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1D126" w14:textId="5CC58AE5" w:rsidR="00B164C1" w:rsidRPr="005B034C" w:rsidRDefault="006305D7" w:rsidP="006820EA">
      <w:pPr>
        <w:pStyle w:val="NormalWeb"/>
        <w:spacing w:before="0" w:beforeAutospacing="0" w:after="0" w:afterAutospacing="0"/>
        <w:rPr>
          <w:rFonts w:asciiTheme="minorHAnsi" w:hAnsiTheme="minorHAnsi" w:cstheme="minorHAnsi"/>
          <w:color w:val="auto"/>
        </w:rPr>
      </w:pPr>
      <w:r w:rsidRPr="005B034C">
        <w:rPr>
          <w:rFonts w:asciiTheme="minorHAnsi" w:hAnsiTheme="minorHAnsi" w:cstheme="minorHAnsi"/>
          <w:b/>
          <w:bCs/>
          <w:color w:val="auto"/>
        </w:rPr>
        <w:t>TITLE:</w:t>
      </w:r>
    </w:p>
    <w:p w14:paraId="0C76090E" w14:textId="535A0853" w:rsidR="007A4DD6" w:rsidRPr="005B034C" w:rsidRDefault="00947BED" w:rsidP="006820EA">
      <w:pPr>
        <w:pStyle w:val="NormalWeb"/>
        <w:spacing w:before="0" w:beforeAutospacing="0" w:after="0" w:afterAutospacing="0"/>
        <w:rPr>
          <w:rFonts w:asciiTheme="minorHAnsi" w:hAnsiTheme="minorHAnsi" w:cstheme="minorHAnsi"/>
          <w:b/>
          <w:bCs/>
          <w:color w:val="auto"/>
        </w:rPr>
      </w:pPr>
      <w:r w:rsidRPr="005B034C">
        <w:rPr>
          <w:rFonts w:asciiTheme="minorHAnsi" w:hAnsiTheme="minorHAnsi" w:cstheme="minorHAnsi"/>
          <w:b/>
          <w:bCs/>
          <w:color w:val="auto"/>
        </w:rPr>
        <w:t xml:space="preserve">Genetic Variant Detection </w:t>
      </w:r>
      <w:r w:rsidR="0059727E" w:rsidRPr="005B034C">
        <w:rPr>
          <w:rFonts w:asciiTheme="minorHAnsi" w:hAnsiTheme="minorHAnsi" w:cstheme="minorHAnsi"/>
          <w:b/>
          <w:bCs/>
          <w:color w:val="auto"/>
        </w:rPr>
        <w:t xml:space="preserve">in the </w:t>
      </w:r>
      <w:r w:rsidR="0059727E" w:rsidRPr="005B034C">
        <w:rPr>
          <w:rFonts w:asciiTheme="minorHAnsi" w:hAnsiTheme="minorHAnsi" w:cstheme="minorHAnsi"/>
          <w:b/>
          <w:bCs/>
          <w:i/>
          <w:color w:val="auto"/>
        </w:rPr>
        <w:t xml:space="preserve">CALR </w:t>
      </w:r>
      <w:r w:rsidR="0059727E" w:rsidRPr="005B034C">
        <w:rPr>
          <w:rFonts w:asciiTheme="minorHAnsi" w:hAnsiTheme="minorHAnsi" w:cstheme="minorHAnsi"/>
          <w:b/>
          <w:bCs/>
          <w:color w:val="auto"/>
        </w:rPr>
        <w:t>gene using</w:t>
      </w:r>
      <w:r w:rsidRPr="005B034C">
        <w:rPr>
          <w:rFonts w:asciiTheme="minorHAnsi" w:hAnsiTheme="minorHAnsi" w:cstheme="minorHAnsi"/>
          <w:b/>
          <w:bCs/>
          <w:color w:val="auto"/>
        </w:rPr>
        <w:t xml:space="preserve"> H</w:t>
      </w:r>
      <w:r w:rsidR="0079717E" w:rsidRPr="005B034C">
        <w:rPr>
          <w:rFonts w:asciiTheme="minorHAnsi" w:hAnsiTheme="minorHAnsi" w:cstheme="minorHAnsi"/>
          <w:b/>
          <w:bCs/>
          <w:color w:val="auto"/>
        </w:rPr>
        <w:t xml:space="preserve">igh </w:t>
      </w:r>
      <w:r w:rsidRPr="005B034C">
        <w:rPr>
          <w:rFonts w:asciiTheme="minorHAnsi" w:hAnsiTheme="minorHAnsi" w:cstheme="minorHAnsi"/>
          <w:b/>
          <w:bCs/>
          <w:color w:val="auto"/>
        </w:rPr>
        <w:t>R</w:t>
      </w:r>
      <w:r w:rsidR="0079717E" w:rsidRPr="005B034C">
        <w:rPr>
          <w:rFonts w:asciiTheme="minorHAnsi" w:hAnsiTheme="minorHAnsi" w:cstheme="minorHAnsi"/>
          <w:b/>
          <w:bCs/>
          <w:color w:val="auto"/>
        </w:rPr>
        <w:t xml:space="preserve">esolution </w:t>
      </w:r>
      <w:r w:rsidRPr="005B034C">
        <w:rPr>
          <w:rFonts w:asciiTheme="minorHAnsi" w:hAnsiTheme="minorHAnsi" w:cstheme="minorHAnsi"/>
          <w:b/>
          <w:bCs/>
          <w:color w:val="auto"/>
        </w:rPr>
        <w:t>M</w:t>
      </w:r>
      <w:r w:rsidR="0079717E" w:rsidRPr="005B034C">
        <w:rPr>
          <w:rFonts w:asciiTheme="minorHAnsi" w:hAnsiTheme="minorHAnsi" w:cstheme="minorHAnsi"/>
          <w:b/>
          <w:bCs/>
          <w:color w:val="auto"/>
        </w:rPr>
        <w:t xml:space="preserve">elting </w:t>
      </w:r>
      <w:r w:rsidR="00AA015F" w:rsidRPr="005B034C">
        <w:rPr>
          <w:rFonts w:asciiTheme="minorHAnsi" w:hAnsiTheme="minorHAnsi" w:cstheme="minorHAnsi"/>
          <w:b/>
          <w:bCs/>
          <w:color w:val="auto"/>
        </w:rPr>
        <w:t>Analysis</w:t>
      </w:r>
    </w:p>
    <w:p w14:paraId="2E300B21" w14:textId="77777777" w:rsidR="007A4DD6" w:rsidRPr="005B034C" w:rsidRDefault="007A4DD6" w:rsidP="006820EA">
      <w:pPr>
        <w:rPr>
          <w:rFonts w:asciiTheme="minorHAnsi" w:hAnsiTheme="minorHAnsi" w:cstheme="minorHAnsi"/>
          <w:b/>
          <w:bCs/>
          <w:color w:val="auto"/>
        </w:rPr>
      </w:pPr>
    </w:p>
    <w:p w14:paraId="554DEE3D" w14:textId="77777777" w:rsidR="00B164C1" w:rsidRPr="005B034C" w:rsidRDefault="006305D7" w:rsidP="006820EA">
      <w:pPr>
        <w:rPr>
          <w:rFonts w:asciiTheme="minorHAnsi" w:hAnsiTheme="minorHAnsi" w:cstheme="minorHAnsi"/>
          <w:b/>
          <w:bCs/>
          <w:color w:val="auto"/>
        </w:rPr>
      </w:pPr>
      <w:r w:rsidRPr="005B034C">
        <w:rPr>
          <w:rFonts w:asciiTheme="minorHAnsi" w:hAnsiTheme="minorHAnsi" w:cstheme="minorHAnsi"/>
          <w:b/>
          <w:bCs/>
          <w:color w:val="auto"/>
        </w:rPr>
        <w:t>AUTHORS</w:t>
      </w:r>
      <w:r w:rsidR="000B662E" w:rsidRPr="005B034C">
        <w:rPr>
          <w:rFonts w:asciiTheme="minorHAnsi" w:hAnsiTheme="minorHAnsi" w:cstheme="minorHAnsi"/>
          <w:b/>
          <w:bCs/>
          <w:color w:val="auto"/>
        </w:rPr>
        <w:t xml:space="preserve"> </w:t>
      </w:r>
      <w:r w:rsidR="00086FF5" w:rsidRPr="005B034C">
        <w:rPr>
          <w:rFonts w:asciiTheme="minorHAnsi" w:hAnsiTheme="minorHAnsi" w:cstheme="minorHAnsi"/>
          <w:b/>
          <w:bCs/>
          <w:color w:val="auto"/>
        </w:rPr>
        <w:t xml:space="preserve">AND </w:t>
      </w:r>
      <w:r w:rsidR="000B662E" w:rsidRPr="005B034C">
        <w:rPr>
          <w:rFonts w:asciiTheme="minorHAnsi" w:hAnsiTheme="minorHAnsi" w:cstheme="minorHAnsi"/>
          <w:b/>
          <w:bCs/>
          <w:color w:val="auto"/>
        </w:rPr>
        <w:t>AFFILIATIONS</w:t>
      </w:r>
      <w:r w:rsidRPr="005B034C">
        <w:rPr>
          <w:rFonts w:asciiTheme="minorHAnsi" w:hAnsiTheme="minorHAnsi" w:cstheme="minorHAnsi"/>
          <w:b/>
          <w:bCs/>
          <w:color w:val="auto"/>
        </w:rPr>
        <w:t xml:space="preserve">: </w:t>
      </w:r>
    </w:p>
    <w:p w14:paraId="666DAB36" w14:textId="3B4DEC1A" w:rsidR="0079717E" w:rsidRPr="005B034C" w:rsidRDefault="00875B24" w:rsidP="006820EA">
      <w:pPr>
        <w:rPr>
          <w:rFonts w:asciiTheme="minorHAnsi" w:hAnsiTheme="minorHAnsi" w:cstheme="minorHAnsi"/>
          <w:color w:val="auto"/>
          <w:vertAlign w:val="superscript"/>
        </w:rPr>
      </w:pPr>
      <w:proofErr w:type="spellStart"/>
      <w:r w:rsidRPr="005B034C">
        <w:rPr>
          <w:rFonts w:asciiTheme="minorHAnsi" w:hAnsiTheme="minorHAnsi" w:cstheme="minorHAnsi"/>
          <w:color w:val="auto"/>
        </w:rPr>
        <w:t>Tadej</w:t>
      </w:r>
      <w:proofErr w:type="spellEnd"/>
      <w:r w:rsidRPr="005B034C">
        <w:rPr>
          <w:rFonts w:asciiTheme="minorHAnsi" w:hAnsiTheme="minorHAnsi" w:cstheme="minorHAnsi"/>
          <w:color w:val="auto"/>
        </w:rPr>
        <w:t xml:space="preserve"> </w:t>
      </w:r>
      <w:proofErr w:type="spellStart"/>
      <w:r w:rsidR="0079717E" w:rsidRPr="005B034C">
        <w:rPr>
          <w:rFonts w:asciiTheme="minorHAnsi" w:hAnsiTheme="minorHAnsi" w:cstheme="minorHAnsi"/>
          <w:color w:val="auto"/>
        </w:rPr>
        <w:t>Pajič</w:t>
      </w:r>
      <w:proofErr w:type="spellEnd"/>
      <w:r w:rsidR="0079717E" w:rsidRPr="005B034C">
        <w:rPr>
          <w:rFonts w:asciiTheme="minorHAnsi" w:hAnsiTheme="minorHAnsi" w:cstheme="minorHAnsi"/>
          <w:color w:val="auto"/>
        </w:rPr>
        <w:t xml:space="preserve"> </w:t>
      </w:r>
      <w:r w:rsidR="0079717E" w:rsidRPr="005B034C">
        <w:rPr>
          <w:rFonts w:asciiTheme="minorHAnsi" w:hAnsiTheme="minorHAnsi" w:cstheme="minorHAnsi"/>
          <w:color w:val="auto"/>
          <w:vertAlign w:val="superscript"/>
        </w:rPr>
        <w:t>1,2</w:t>
      </w:r>
      <w:r w:rsidR="0079717E" w:rsidRPr="005B034C">
        <w:rPr>
          <w:rFonts w:asciiTheme="minorHAnsi" w:hAnsiTheme="minorHAnsi" w:cstheme="minorHAnsi"/>
          <w:color w:val="auto"/>
        </w:rPr>
        <w:t xml:space="preserve">, </w:t>
      </w:r>
      <w:r w:rsidRPr="005B034C">
        <w:rPr>
          <w:rFonts w:asciiTheme="minorHAnsi" w:hAnsiTheme="minorHAnsi" w:cstheme="minorHAnsi"/>
          <w:color w:val="auto"/>
        </w:rPr>
        <w:t xml:space="preserve">Tanja </w:t>
      </w:r>
      <w:proofErr w:type="spellStart"/>
      <w:r w:rsidR="0079717E" w:rsidRPr="005B034C">
        <w:rPr>
          <w:rFonts w:asciiTheme="minorHAnsi" w:hAnsiTheme="minorHAnsi" w:cstheme="minorHAnsi"/>
          <w:color w:val="auto"/>
        </w:rPr>
        <w:t>Belčič</w:t>
      </w:r>
      <w:proofErr w:type="spellEnd"/>
      <w:r w:rsidR="0079717E" w:rsidRPr="005B034C">
        <w:rPr>
          <w:rFonts w:asciiTheme="minorHAnsi" w:hAnsiTheme="minorHAnsi" w:cstheme="minorHAnsi"/>
          <w:color w:val="auto"/>
        </w:rPr>
        <w:t xml:space="preserve"> Mikič</w:t>
      </w:r>
      <w:r w:rsidR="005309BB" w:rsidRPr="005B034C">
        <w:rPr>
          <w:rFonts w:asciiTheme="minorHAnsi" w:hAnsiTheme="minorHAnsi" w:cstheme="minorHAnsi"/>
          <w:color w:val="auto"/>
          <w:vertAlign w:val="superscript"/>
        </w:rPr>
        <w:t>1</w:t>
      </w:r>
      <w:r w:rsidR="0079717E" w:rsidRPr="005B034C">
        <w:rPr>
          <w:rFonts w:asciiTheme="minorHAnsi" w:hAnsiTheme="minorHAnsi" w:cstheme="minorHAnsi"/>
          <w:color w:val="auto"/>
        </w:rPr>
        <w:t xml:space="preserve">, </w:t>
      </w:r>
      <w:r w:rsidRPr="005B034C">
        <w:rPr>
          <w:rFonts w:asciiTheme="minorHAnsi" w:hAnsiTheme="minorHAnsi" w:cstheme="minorHAnsi"/>
          <w:color w:val="auto"/>
        </w:rPr>
        <w:t xml:space="preserve">Helena </w:t>
      </w:r>
      <w:r w:rsidR="0079717E" w:rsidRPr="005B034C">
        <w:rPr>
          <w:rFonts w:asciiTheme="minorHAnsi" w:hAnsiTheme="minorHAnsi" w:cstheme="minorHAnsi"/>
          <w:color w:val="auto"/>
        </w:rPr>
        <w:t>Podgornik</w:t>
      </w:r>
      <w:r w:rsidR="0079717E" w:rsidRPr="005B034C">
        <w:rPr>
          <w:rFonts w:asciiTheme="minorHAnsi" w:hAnsiTheme="minorHAnsi" w:cstheme="minorHAnsi"/>
          <w:color w:val="auto"/>
          <w:vertAlign w:val="superscript"/>
        </w:rPr>
        <w:t>1</w:t>
      </w:r>
      <w:r w:rsidR="008246F9" w:rsidRPr="005B034C">
        <w:rPr>
          <w:rFonts w:asciiTheme="minorHAnsi" w:hAnsiTheme="minorHAnsi" w:cstheme="minorHAnsi"/>
          <w:color w:val="auto"/>
          <w:vertAlign w:val="superscript"/>
        </w:rPr>
        <w:t>,</w:t>
      </w:r>
      <w:r w:rsidR="009B69F3" w:rsidRPr="005B034C">
        <w:rPr>
          <w:rFonts w:asciiTheme="minorHAnsi" w:hAnsiTheme="minorHAnsi" w:cstheme="minorHAnsi"/>
          <w:color w:val="auto"/>
          <w:vertAlign w:val="superscript"/>
        </w:rPr>
        <w:t>3</w:t>
      </w:r>
      <w:r w:rsidR="0079717E" w:rsidRPr="005B034C">
        <w:rPr>
          <w:rFonts w:asciiTheme="minorHAnsi" w:hAnsiTheme="minorHAnsi" w:cstheme="minorHAnsi"/>
          <w:color w:val="auto"/>
        </w:rPr>
        <w:t xml:space="preserve">, </w:t>
      </w:r>
      <w:r w:rsidRPr="005B034C">
        <w:rPr>
          <w:rFonts w:asciiTheme="minorHAnsi" w:hAnsiTheme="minorHAnsi" w:cstheme="minorHAnsi"/>
          <w:color w:val="auto"/>
        </w:rPr>
        <w:t xml:space="preserve">Jurka </w:t>
      </w:r>
      <w:r w:rsidR="00B40902" w:rsidRPr="005B034C">
        <w:rPr>
          <w:rFonts w:asciiTheme="minorHAnsi" w:hAnsiTheme="minorHAnsi" w:cstheme="minorHAnsi"/>
          <w:color w:val="auto"/>
        </w:rPr>
        <w:t>Klun</w:t>
      </w:r>
      <w:r w:rsidR="005309BB" w:rsidRPr="005B034C">
        <w:rPr>
          <w:rFonts w:asciiTheme="minorHAnsi" w:hAnsiTheme="minorHAnsi" w:cstheme="minorHAnsi"/>
          <w:color w:val="auto"/>
          <w:vertAlign w:val="superscript"/>
        </w:rPr>
        <w:t>1</w:t>
      </w:r>
      <w:r w:rsidR="00B40902" w:rsidRPr="005B034C">
        <w:rPr>
          <w:rFonts w:asciiTheme="minorHAnsi" w:hAnsiTheme="minorHAnsi" w:cstheme="minorHAnsi"/>
          <w:color w:val="auto"/>
        </w:rPr>
        <w:t xml:space="preserve">, </w:t>
      </w:r>
      <w:r w:rsidRPr="005B034C">
        <w:rPr>
          <w:rFonts w:asciiTheme="minorHAnsi" w:hAnsiTheme="minorHAnsi" w:cstheme="minorHAnsi"/>
          <w:color w:val="auto"/>
        </w:rPr>
        <w:t xml:space="preserve">Sandra </w:t>
      </w:r>
      <w:r w:rsidR="0088052C" w:rsidRPr="005B034C">
        <w:rPr>
          <w:rFonts w:asciiTheme="minorHAnsi" w:hAnsiTheme="minorHAnsi" w:cstheme="minorHAnsi"/>
          <w:color w:val="auto"/>
        </w:rPr>
        <w:t>Šućurović</w:t>
      </w:r>
      <w:r w:rsidR="0088052C" w:rsidRPr="005B034C">
        <w:rPr>
          <w:rFonts w:asciiTheme="minorHAnsi" w:hAnsiTheme="minorHAnsi" w:cstheme="minorHAnsi"/>
          <w:color w:val="auto"/>
          <w:vertAlign w:val="superscript"/>
        </w:rPr>
        <w:t>1</w:t>
      </w:r>
      <w:r w:rsidR="0079717E" w:rsidRPr="005B034C">
        <w:rPr>
          <w:rFonts w:asciiTheme="minorHAnsi" w:hAnsiTheme="minorHAnsi" w:cstheme="minorHAnsi"/>
          <w:color w:val="auto"/>
        </w:rPr>
        <w:t xml:space="preserve">, </w:t>
      </w:r>
      <w:proofErr w:type="spellStart"/>
      <w:r w:rsidRPr="005B034C">
        <w:rPr>
          <w:rFonts w:asciiTheme="minorHAnsi" w:hAnsiTheme="minorHAnsi" w:cstheme="minorHAnsi"/>
          <w:color w:val="auto"/>
        </w:rPr>
        <w:t>Samo</w:t>
      </w:r>
      <w:proofErr w:type="spellEnd"/>
      <w:r w:rsidRPr="005B034C">
        <w:rPr>
          <w:rFonts w:asciiTheme="minorHAnsi" w:hAnsiTheme="minorHAnsi" w:cstheme="minorHAnsi"/>
          <w:color w:val="auto"/>
        </w:rPr>
        <w:t xml:space="preserve"> </w:t>
      </w:r>
      <w:r w:rsidR="00870144" w:rsidRPr="005B034C">
        <w:rPr>
          <w:rFonts w:asciiTheme="minorHAnsi" w:hAnsiTheme="minorHAnsi" w:cstheme="minorHAnsi"/>
          <w:color w:val="auto"/>
        </w:rPr>
        <w:t>Zver</w:t>
      </w:r>
      <w:r w:rsidR="00870144" w:rsidRPr="005B034C">
        <w:rPr>
          <w:rFonts w:asciiTheme="minorHAnsi" w:hAnsiTheme="minorHAnsi" w:cstheme="minorHAnsi"/>
          <w:color w:val="auto"/>
          <w:vertAlign w:val="superscript"/>
        </w:rPr>
        <w:t>1</w:t>
      </w:r>
      <w:r w:rsidR="00870144" w:rsidRPr="005B034C">
        <w:rPr>
          <w:rFonts w:asciiTheme="minorHAnsi" w:hAnsiTheme="minorHAnsi" w:cstheme="minorHAnsi"/>
          <w:color w:val="auto"/>
        </w:rPr>
        <w:t xml:space="preserve">, </w:t>
      </w:r>
      <w:proofErr w:type="spellStart"/>
      <w:r w:rsidRPr="005B034C">
        <w:rPr>
          <w:rFonts w:asciiTheme="minorHAnsi" w:hAnsiTheme="minorHAnsi" w:cstheme="minorHAnsi"/>
          <w:color w:val="auto"/>
        </w:rPr>
        <w:t>Matjaz</w:t>
      </w:r>
      <w:proofErr w:type="spellEnd"/>
      <w:r w:rsidRPr="005B034C">
        <w:rPr>
          <w:rFonts w:asciiTheme="minorHAnsi" w:hAnsiTheme="minorHAnsi" w:cstheme="minorHAnsi"/>
          <w:color w:val="auto"/>
        </w:rPr>
        <w:t xml:space="preserve"> </w:t>
      </w:r>
      <w:r w:rsidR="0079717E" w:rsidRPr="005B034C">
        <w:rPr>
          <w:rFonts w:asciiTheme="minorHAnsi" w:hAnsiTheme="minorHAnsi" w:cstheme="minorHAnsi"/>
          <w:color w:val="auto"/>
        </w:rPr>
        <w:t>Sever</w:t>
      </w:r>
      <w:r w:rsidR="0079717E" w:rsidRPr="005B034C">
        <w:rPr>
          <w:rFonts w:asciiTheme="minorHAnsi" w:hAnsiTheme="minorHAnsi" w:cstheme="minorHAnsi"/>
          <w:color w:val="auto"/>
          <w:vertAlign w:val="superscript"/>
        </w:rPr>
        <w:t>1</w:t>
      </w:r>
    </w:p>
    <w:p w14:paraId="14BD409F" w14:textId="77777777" w:rsidR="007321A3" w:rsidRPr="005B034C" w:rsidRDefault="007321A3" w:rsidP="006820EA">
      <w:pPr>
        <w:rPr>
          <w:rFonts w:asciiTheme="minorHAnsi" w:hAnsiTheme="minorHAnsi" w:cstheme="minorHAnsi"/>
          <w:color w:val="auto"/>
        </w:rPr>
      </w:pPr>
    </w:p>
    <w:p w14:paraId="45066131" w14:textId="132AD34A" w:rsidR="0079717E" w:rsidRPr="005B034C" w:rsidRDefault="0079717E" w:rsidP="006820EA">
      <w:pPr>
        <w:pStyle w:val="ListParagraph"/>
        <w:numPr>
          <w:ilvl w:val="0"/>
          <w:numId w:val="32"/>
        </w:numPr>
        <w:ind w:left="0" w:firstLine="0"/>
        <w:rPr>
          <w:rFonts w:asciiTheme="minorHAnsi" w:hAnsiTheme="minorHAnsi" w:cstheme="minorHAnsi"/>
          <w:bCs/>
          <w:color w:val="auto"/>
        </w:rPr>
      </w:pPr>
      <w:r w:rsidRPr="005B034C">
        <w:rPr>
          <w:rFonts w:asciiTheme="minorHAnsi" w:hAnsiTheme="minorHAnsi" w:cstheme="minorHAnsi"/>
          <w:bCs/>
          <w:color w:val="auto"/>
        </w:rPr>
        <w:t>Department of Hematology, University Medical Centre Ljubljana</w:t>
      </w:r>
      <w:r w:rsidR="00B164C1" w:rsidRPr="005B034C">
        <w:rPr>
          <w:rFonts w:asciiTheme="minorHAnsi" w:hAnsiTheme="minorHAnsi" w:cstheme="minorHAnsi"/>
          <w:bCs/>
          <w:color w:val="auto"/>
        </w:rPr>
        <w:t xml:space="preserve">, </w:t>
      </w:r>
      <w:r w:rsidR="00F47F46" w:rsidRPr="005B034C">
        <w:rPr>
          <w:rFonts w:asciiTheme="minorHAnsi" w:hAnsiTheme="minorHAnsi" w:cstheme="minorHAnsi"/>
          <w:bCs/>
          <w:color w:val="auto"/>
        </w:rPr>
        <w:t xml:space="preserve">Ljubljana, </w:t>
      </w:r>
      <w:r w:rsidR="00B164C1" w:rsidRPr="005B034C">
        <w:rPr>
          <w:rFonts w:asciiTheme="minorHAnsi" w:hAnsiTheme="minorHAnsi" w:cstheme="minorHAnsi"/>
          <w:bCs/>
          <w:color w:val="auto"/>
        </w:rPr>
        <w:t>Slovenia</w:t>
      </w:r>
    </w:p>
    <w:p w14:paraId="2F626EA0" w14:textId="761B86A6" w:rsidR="0079717E" w:rsidRPr="005B034C" w:rsidRDefault="00ED0871" w:rsidP="006820EA">
      <w:pPr>
        <w:pStyle w:val="ListParagraph"/>
        <w:numPr>
          <w:ilvl w:val="0"/>
          <w:numId w:val="32"/>
        </w:numPr>
        <w:ind w:left="0" w:firstLine="0"/>
        <w:rPr>
          <w:rFonts w:asciiTheme="minorHAnsi" w:hAnsiTheme="minorHAnsi" w:cstheme="minorHAnsi"/>
          <w:bCs/>
          <w:color w:val="auto"/>
        </w:rPr>
      </w:pPr>
      <w:r w:rsidRPr="005B034C">
        <w:rPr>
          <w:rFonts w:asciiTheme="minorHAnsi" w:hAnsiTheme="minorHAnsi" w:cstheme="minorHAnsi"/>
          <w:bCs/>
          <w:color w:val="auto"/>
        </w:rPr>
        <w:t>Clinical Institute for Genomic Medicine</w:t>
      </w:r>
      <w:r w:rsidR="0079717E" w:rsidRPr="005B034C">
        <w:rPr>
          <w:rFonts w:asciiTheme="minorHAnsi" w:hAnsiTheme="minorHAnsi" w:cstheme="minorHAnsi"/>
          <w:bCs/>
          <w:color w:val="auto"/>
        </w:rPr>
        <w:t>, University Medical Centre Ljubljana</w:t>
      </w:r>
      <w:r w:rsidR="00B164C1" w:rsidRPr="005B034C">
        <w:rPr>
          <w:rFonts w:asciiTheme="minorHAnsi" w:hAnsiTheme="minorHAnsi" w:cstheme="minorHAnsi"/>
          <w:bCs/>
          <w:color w:val="auto"/>
        </w:rPr>
        <w:t xml:space="preserve">, </w:t>
      </w:r>
      <w:r w:rsidR="00F47F46" w:rsidRPr="005B034C">
        <w:rPr>
          <w:rFonts w:asciiTheme="minorHAnsi" w:hAnsiTheme="minorHAnsi" w:cstheme="minorHAnsi"/>
          <w:bCs/>
          <w:color w:val="auto"/>
        </w:rPr>
        <w:t xml:space="preserve">Ljubljana, </w:t>
      </w:r>
      <w:r w:rsidR="00B164C1" w:rsidRPr="005B034C">
        <w:rPr>
          <w:rFonts w:asciiTheme="minorHAnsi" w:hAnsiTheme="minorHAnsi" w:cstheme="minorHAnsi"/>
          <w:bCs/>
          <w:color w:val="auto"/>
        </w:rPr>
        <w:t>Slovenia</w:t>
      </w:r>
    </w:p>
    <w:p w14:paraId="3E40F038" w14:textId="1473EF7E" w:rsidR="004D37E5" w:rsidRPr="005B034C" w:rsidRDefault="008246F9" w:rsidP="006820EA">
      <w:pPr>
        <w:pStyle w:val="ListParagraph"/>
        <w:numPr>
          <w:ilvl w:val="0"/>
          <w:numId w:val="32"/>
        </w:numPr>
        <w:ind w:left="0" w:firstLine="0"/>
        <w:rPr>
          <w:rFonts w:asciiTheme="minorHAnsi" w:hAnsiTheme="minorHAnsi" w:cstheme="minorHAnsi"/>
          <w:bCs/>
          <w:color w:val="auto"/>
        </w:rPr>
      </w:pPr>
      <w:r w:rsidRPr="005B034C">
        <w:rPr>
          <w:rFonts w:asciiTheme="minorHAnsi" w:hAnsiTheme="minorHAnsi" w:cstheme="minorHAnsi"/>
          <w:bCs/>
          <w:color w:val="auto"/>
        </w:rPr>
        <w:t>Faculty of Pharmacy, University of Ljubljana, Ljubljana, Slovenia</w:t>
      </w:r>
    </w:p>
    <w:p w14:paraId="7E100691" w14:textId="77777777" w:rsidR="008246F9" w:rsidRPr="005B034C" w:rsidRDefault="008246F9" w:rsidP="006820EA">
      <w:pPr>
        <w:rPr>
          <w:rFonts w:asciiTheme="minorHAnsi" w:hAnsiTheme="minorHAnsi" w:cstheme="minorHAnsi"/>
          <w:bCs/>
          <w:color w:val="auto"/>
        </w:rPr>
      </w:pPr>
    </w:p>
    <w:p w14:paraId="2D67FE09" w14:textId="77777777" w:rsidR="004D37E5" w:rsidRPr="005B034C" w:rsidRDefault="004D37E5" w:rsidP="006820EA">
      <w:pPr>
        <w:rPr>
          <w:rFonts w:asciiTheme="minorHAnsi" w:hAnsiTheme="minorHAnsi" w:cstheme="minorHAnsi"/>
          <w:bCs/>
          <w:color w:val="auto"/>
        </w:rPr>
      </w:pPr>
      <w:r w:rsidRPr="005B034C">
        <w:rPr>
          <w:rFonts w:asciiTheme="minorHAnsi" w:hAnsiTheme="minorHAnsi" w:cstheme="minorHAnsi"/>
          <w:bCs/>
          <w:color w:val="auto"/>
        </w:rPr>
        <w:t>Email addresses of co-authors:</w:t>
      </w:r>
    </w:p>
    <w:p w14:paraId="09896ABA" w14:textId="1EFF600C" w:rsidR="004D37E5" w:rsidRPr="005B034C" w:rsidRDefault="004D37E5" w:rsidP="006820EA">
      <w:pPr>
        <w:pStyle w:val="NormalWeb"/>
        <w:spacing w:before="0" w:beforeAutospacing="0" w:after="0" w:afterAutospacing="0"/>
        <w:rPr>
          <w:rFonts w:cs="Arial"/>
          <w:bCs/>
          <w:color w:val="auto"/>
        </w:rPr>
      </w:pPr>
      <w:r w:rsidRPr="005B034C">
        <w:rPr>
          <w:rFonts w:cs="Arial"/>
          <w:bCs/>
          <w:color w:val="auto"/>
        </w:rPr>
        <w:t xml:space="preserve">Tanja </w:t>
      </w:r>
      <w:proofErr w:type="spellStart"/>
      <w:r w:rsidRPr="005B034C">
        <w:rPr>
          <w:rFonts w:cs="Arial"/>
          <w:bCs/>
          <w:color w:val="auto"/>
        </w:rPr>
        <w:t>Belčič</w:t>
      </w:r>
      <w:proofErr w:type="spellEnd"/>
      <w:r w:rsidRPr="005B034C">
        <w:rPr>
          <w:rFonts w:cs="Arial"/>
          <w:bCs/>
          <w:color w:val="auto"/>
        </w:rPr>
        <w:t xml:space="preserve"> </w:t>
      </w:r>
      <w:proofErr w:type="spellStart"/>
      <w:r w:rsidRPr="005B034C">
        <w:rPr>
          <w:rFonts w:cs="Arial"/>
          <w:bCs/>
          <w:color w:val="auto"/>
        </w:rPr>
        <w:t>Mikič</w:t>
      </w:r>
      <w:proofErr w:type="spellEnd"/>
      <w:r w:rsidRPr="005B034C">
        <w:rPr>
          <w:rFonts w:cs="Arial"/>
          <w:bCs/>
          <w:color w:val="auto"/>
        </w:rPr>
        <w:tab/>
      </w:r>
      <w:r w:rsidRPr="005B034C">
        <w:rPr>
          <w:rFonts w:cs="Arial"/>
          <w:bCs/>
          <w:color w:val="auto"/>
        </w:rPr>
        <w:tab/>
        <w:t>(tanja.belcic</w:t>
      </w:r>
      <w:r w:rsidR="0052398F" w:rsidRPr="005B034C">
        <w:rPr>
          <w:rFonts w:cs="Arial"/>
          <w:bCs/>
          <w:color w:val="auto"/>
        </w:rPr>
        <w:t>.mikic</w:t>
      </w:r>
      <w:r w:rsidRPr="005B034C">
        <w:rPr>
          <w:rFonts w:cs="Arial"/>
          <w:bCs/>
          <w:color w:val="auto"/>
        </w:rPr>
        <w:t>@kclj.si</w:t>
      </w:r>
      <w:r w:rsidR="005B034C" w:rsidRPr="005B034C">
        <w:rPr>
          <w:rFonts w:cs="Arial"/>
          <w:color w:val="auto"/>
        </w:rPr>
        <w:t>)</w:t>
      </w:r>
    </w:p>
    <w:p w14:paraId="6F405947" w14:textId="19EF00EA" w:rsidR="004D37E5" w:rsidRPr="005B034C" w:rsidRDefault="004D37E5" w:rsidP="006820EA">
      <w:pPr>
        <w:pStyle w:val="NormalWeb"/>
        <w:spacing w:before="0" w:beforeAutospacing="0" w:after="0" w:afterAutospacing="0"/>
        <w:rPr>
          <w:rFonts w:cs="Arial"/>
          <w:bCs/>
          <w:color w:val="auto"/>
        </w:rPr>
      </w:pPr>
      <w:r w:rsidRPr="005B034C">
        <w:rPr>
          <w:rFonts w:cs="Arial"/>
          <w:bCs/>
          <w:color w:val="auto"/>
        </w:rPr>
        <w:t xml:space="preserve">Helena </w:t>
      </w:r>
      <w:proofErr w:type="spellStart"/>
      <w:r w:rsidRPr="005B034C">
        <w:rPr>
          <w:rFonts w:cs="Arial"/>
          <w:bCs/>
          <w:color w:val="auto"/>
        </w:rPr>
        <w:t>Podgornik</w:t>
      </w:r>
      <w:proofErr w:type="spellEnd"/>
      <w:r w:rsidRPr="005B034C">
        <w:rPr>
          <w:rFonts w:cs="Arial"/>
          <w:bCs/>
          <w:color w:val="auto"/>
        </w:rPr>
        <w:tab/>
      </w:r>
      <w:r w:rsidRPr="005B034C">
        <w:rPr>
          <w:rFonts w:cs="Arial"/>
          <w:bCs/>
          <w:color w:val="auto"/>
        </w:rPr>
        <w:tab/>
        <w:t>(</w:t>
      </w:r>
      <w:r w:rsidR="00C05B46" w:rsidRPr="005B034C">
        <w:rPr>
          <w:rFonts w:cs="Arial"/>
          <w:bCs/>
          <w:color w:val="auto"/>
        </w:rPr>
        <w:t>helena.podgornik@kcl</w:t>
      </w:r>
      <w:r w:rsidR="00904BA2" w:rsidRPr="005B034C">
        <w:rPr>
          <w:rFonts w:cs="Arial"/>
          <w:bCs/>
          <w:color w:val="auto"/>
        </w:rPr>
        <w:t>j</w:t>
      </w:r>
      <w:r w:rsidR="00C05B46" w:rsidRPr="005B034C">
        <w:rPr>
          <w:rFonts w:cs="Arial"/>
          <w:bCs/>
          <w:color w:val="auto"/>
        </w:rPr>
        <w:t>.si</w:t>
      </w:r>
      <w:r w:rsidR="005B034C" w:rsidRPr="005B034C">
        <w:rPr>
          <w:rFonts w:cs="Arial"/>
          <w:color w:val="auto"/>
        </w:rPr>
        <w:t>)</w:t>
      </w:r>
    </w:p>
    <w:p w14:paraId="5424B31C" w14:textId="61472595" w:rsidR="00B40902" w:rsidRPr="005B034C" w:rsidRDefault="00B40902" w:rsidP="006820EA">
      <w:pPr>
        <w:pStyle w:val="NormalWeb"/>
        <w:spacing w:before="0" w:beforeAutospacing="0" w:after="0" w:afterAutospacing="0"/>
        <w:rPr>
          <w:rFonts w:cs="Arial"/>
          <w:bCs/>
          <w:color w:val="auto"/>
        </w:rPr>
      </w:pPr>
      <w:r w:rsidRPr="005B034C">
        <w:rPr>
          <w:rFonts w:cs="Arial"/>
          <w:bCs/>
          <w:color w:val="auto"/>
        </w:rPr>
        <w:t xml:space="preserve">Jurka </w:t>
      </w:r>
      <w:proofErr w:type="spellStart"/>
      <w:r w:rsidRPr="005B034C">
        <w:rPr>
          <w:rFonts w:cs="Arial"/>
          <w:bCs/>
          <w:color w:val="auto"/>
        </w:rPr>
        <w:t>Klun</w:t>
      </w:r>
      <w:proofErr w:type="spellEnd"/>
      <w:r w:rsidRPr="005B034C">
        <w:rPr>
          <w:rFonts w:cs="Arial"/>
          <w:bCs/>
          <w:color w:val="auto"/>
        </w:rPr>
        <w:t xml:space="preserve"> </w:t>
      </w:r>
      <w:r w:rsidRPr="005B034C">
        <w:rPr>
          <w:rFonts w:cs="Arial"/>
          <w:bCs/>
          <w:color w:val="auto"/>
        </w:rPr>
        <w:tab/>
      </w:r>
      <w:r w:rsidRPr="005B034C">
        <w:rPr>
          <w:rFonts w:cs="Arial"/>
          <w:bCs/>
          <w:color w:val="auto"/>
        </w:rPr>
        <w:tab/>
      </w:r>
      <w:r w:rsidRPr="005B034C">
        <w:rPr>
          <w:rFonts w:cs="Arial"/>
          <w:bCs/>
          <w:color w:val="auto"/>
        </w:rPr>
        <w:tab/>
        <w:t>(jurka.klun@kclj.si</w:t>
      </w:r>
      <w:r w:rsidR="005B034C" w:rsidRPr="005B034C">
        <w:rPr>
          <w:rFonts w:cs="Arial"/>
          <w:color w:val="auto"/>
        </w:rPr>
        <w:t>)</w:t>
      </w:r>
    </w:p>
    <w:p w14:paraId="1FD95FDF" w14:textId="31E5AC74" w:rsidR="004D37E5" w:rsidRPr="005B034C" w:rsidRDefault="00412C16" w:rsidP="006820EA">
      <w:pPr>
        <w:pStyle w:val="NormalWeb"/>
        <w:spacing w:before="0" w:beforeAutospacing="0" w:after="0" w:afterAutospacing="0"/>
        <w:rPr>
          <w:rFonts w:cs="Arial"/>
          <w:bCs/>
          <w:color w:val="auto"/>
        </w:rPr>
      </w:pPr>
      <w:r w:rsidRPr="005B034C">
        <w:rPr>
          <w:rFonts w:cs="Arial"/>
          <w:bCs/>
          <w:color w:val="auto"/>
        </w:rPr>
        <w:t xml:space="preserve">Sandra </w:t>
      </w:r>
      <w:proofErr w:type="spellStart"/>
      <w:r w:rsidRPr="005B034C">
        <w:rPr>
          <w:rFonts w:cs="Arial"/>
          <w:bCs/>
          <w:color w:val="auto"/>
        </w:rPr>
        <w:t>Šućurović</w:t>
      </w:r>
      <w:proofErr w:type="spellEnd"/>
      <w:r w:rsidRPr="005B034C">
        <w:rPr>
          <w:rFonts w:cs="Arial"/>
          <w:bCs/>
          <w:color w:val="auto"/>
        </w:rPr>
        <w:tab/>
      </w:r>
      <w:r w:rsidRPr="005B034C">
        <w:rPr>
          <w:rFonts w:cs="Arial"/>
          <w:bCs/>
          <w:color w:val="auto"/>
        </w:rPr>
        <w:tab/>
        <w:t>(</w:t>
      </w:r>
      <w:r w:rsidR="00C05B46" w:rsidRPr="005B034C">
        <w:rPr>
          <w:rFonts w:cs="Arial"/>
          <w:bCs/>
          <w:color w:val="auto"/>
        </w:rPr>
        <w:t>sandra.sucurovic@kclj.si</w:t>
      </w:r>
      <w:r w:rsidR="005B034C" w:rsidRPr="005B034C">
        <w:rPr>
          <w:rFonts w:cs="Arial"/>
          <w:color w:val="auto"/>
        </w:rPr>
        <w:t>)</w:t>
      </w:r>
    </w:p>
    <w:p w14:paraId="5FA08DD5" w14:textId="04064C70" w:rsidR="00C05B46" w:rsidRPr="005B034C" w:rsidRDefault="00C05B46" w:rsidP="006820EA">
      <w:pPr>
        <w:pStyle w:val="NormalWeb"/>
        <w:spacing w:before="0" w:beforeAutospacing="0" w:after="0" w:afterAutospacing="0"/>
        <w:rPr>
          <w:rFonts w:cs="Arial"/>
          <w:bCs/>
          <w:color w:val="auto"/>
        </w:rPr>
      </w:pPr>
      <w:proofErr w:type="spellStart"/>
      <w:r w:rsidRPr="005B034C">
        <w:rPr>
          <w:rFonts w:cs="Arial"/>
          <w:bCs/>
          <w:color w:val="auto"/>
        </w:rPr>
        <w:t>Samo</w:t>
      </w:r>
      <w:proofErr w:type="spellEnd"/>
      <w:r w:rsidRPr="005B034C">
        <w:rPr>
          <w:rFonts w:cs="Arial"/>
          <w:bCs/>
          <w:color w:val="auto"/>
        </w:rPr>
        <w:t xml:space="preserve"> </w:t>
      </w:r>
      <w:proofErr w:type="spellStart"/>
      <w:r w:rsidRPr="005B034C">
        <w:rPr>
          <w:rFonts w:cs="Arial"/>
          <w:bCs/>
          <w:color w:val="auto"/>
        </w:rPr>
        <w:t>Zver</w:t>
      </w:r>
      <w:proofErr w:type="spellEnd"/>
      <w:r w:rsidRPr="005B034C">
        <w:rPr>
          <w:rFonts w:cs="Arial"/>
          <w:bCs/>
          <w:color w:val="auto"/>
        </w:rPr>
        <w:tab/>
      </w:r>
      <w:r w:rsidRPr="005B034C">
        <w:rPr>
          <w:rFonts w:cs="Arial"/>
          <w:bCs/>
          <w:color w:val="auto"/>
        </w:rPr>
        <w:tab/>
      </w:r>
      <w:r w:rsidRPr="005B034C">
        <w:rPr>
          <w:rFonts w:cs="Arial"/>
          <w:bCs/>
          <w:color w:val="auto"/>
        </w:rPr>
        <w:tab/>
        <w:t>(samo.zver@kclj.si</w:t>
      </w:r>
      <w:r w:rsidR="005B034C" w:rsidRPr="005B034C">
        <w:rPr>
          <w:rFonts w:cs="Arial"/>
          <w:color w:val="auto"/>
        </w:rPr>
        <w:t>)</w:t>
      </w:r>
    </w:p>
    <w:p w14:paraId="42C946E9" w14:textId="580277A5" w:rsidR="004D37E5" w:rsidRPr="005B034C" w:rsidRDefault="004D37E5" w:rsidP="006820EA">
      <w:pPr>
        <w:pStyle w:val="NormalWeb"/>
        <w:spacing w:before="0" w:beforeAutospacing="0" w:after="0" w:afterAutospacing="0"/>
        <w:rPr>
          <w:rFonts w:cs="Arial"/>
          <w:bCs/>
          <w:color w:val="auto"/>
        </w:rPr>
      </w:pPr>
      <w:proofErr w:type="spellStart"/>
      <w:r w:rsidRPr="005B034C">
        <w:rPr>
          <w:rFonts w:cs="Arial"/>
          <w:bCs/>
          <w:color w:val="auto"/>
        </w:rPr>
        <w:t>Matjaž</w:t>
      </w:r>
      <w:proofErr w:type="spellEnd"/>
      <w:r w:rsidRPr="005B034C">
        <w:rPr>
          <w:rFonts w:cs="Arial"/>
          <w:bCs/>
          <w:color w:val="auto"/>
        </w:rPr>
        <w:t xml:space="preserve"> Sever</w:t>
      </w:r>
      <w:r w:rsidRPr="005B034C">
        <w:rPr>
          <w:rFonts w:cs="Arial"/>
          <w:bCs/>
          <w:color w:val="auto"/>
        </w:rPr>
        <w:tab/>
      </w:r>
      <w:r w:rsidRPr="005B034C">
        <w:rPr>
          <w:rFonts w:cs="Arial"/>
          <w:bCs/>
          <w:color w:val="auto"/>
        </w:rPr>
        <w:tab/>
      </w:r>
      <w:r w:rsidRPr="005B034C">
        <w:rPr>
          <w:rFonts w:cs="Arial"/>
          <w:bCs/>
          <w:color w:val="auto"/>
        </w:rPr>
        <w:tab/>
        <w:t>(</w:t>
      </w:r>
      <w:r w:rsidR="00C05B46" w:rsidRPr="005B034C">
        <w:rPr>
          <w:rFonts w:cs="Arial"/>
          <w:bCs/>
          <w:color w:val="auto"/>
        </w:rPr>
        <w:t>matjaz.sever@kclj.si</w:t>
      </w:r>
      <w:r w:rsidR="005B034C" w:rsidRPr="005B034C">
        <w:rPr>
          <w:rFonts w:cs="Arial"/>
          <w:color w:val="auto"/>
        </w:rPr>
        <w:t>)</w:t>
      </w:r>
    </w:p>
    <w:p w14:paraId="4B15A8A3" w14:textId="77777777" w:rsidR="008246F9" w:rsidRPr="005B034C" w:rsidRDefault="008246F9" w:rsidP="006820EA">
      <w:pPr>
        <w:pStyle w:val="NormalWeb"/>
        <w:spacing w:before="0" w:beforeAutospacing="0" w:after="0" w:afterAutospacing="0"/>
        <w:rPr>
          <w:rFonts w:cs="Arial"/>
          <w:bCs/>
          <w:color w:val="auto"/>
        </w:rPr>
      </w:pPr>
    </w:p>
    <w:p w14:paraId="0442E4DB" w14:textId="77777777" w:rsidR="004D37E5" w:rsidRPr="005B034C" w:rsidRDefault="004D37E5" w:rsidP="006820EA">
      <w:pPr>
        <w:rPr>
          <w:rFonts w:asciiTheme="minorHAnsi" w:hAnsiTheme="minorHAnsi" w:cstheme="minorHAnsi"/>
          <w:bCs/>
          <w:color w:val="auto"/>
        </w:rPr>
      </w:pPr>
      <w:r w:rsidRPr="005B034C">
        <w:rPr>
          <w:rFonts w:asciiTheme="minorHAnsi" w:hAnsiTheme="minorHAnsi" w:cstheme="minorHAnsi"/>
          <w:bCs/>
          <w:color w:val="auto"/>
        </w:rPr>
        <w:t xml:space="preserve">Corresponding author: </w:t>
      </w:r>
    </w:p>
    <w:p w14:paraId="1552524B" w14:textId="41D4FBA0" w:rsidR="004D37E5" w:rsidRPr="005B034C" w:rsidRDefault="004D37E5" w:rsidP="006820EA">
      <w:pPr>
        <w:rPr>
          <w:rFonts w:asciiTheme="minorHAnsi" w:hAnsiTheme="minorHAnsi" w:cstheme="minorHAnsi"/>
          <w:bCs/>
          <w:color w:val="auto"/>
        </w:rPr>
      </w:pPr>
      <w:proofErr w:type="spellStart"/>
      <w:r w:rsidRPr="005B034C">
        <w:rPr>
          <w:rFonts w:asciiTheme="minorHAnsi" w:hAnsiTheme="minorHAnsi" w:cstheme="minorHAnsi"/>
          <w:bCs/>
          <w:color w:val="auto"/>
        </w:rPr>
        <w:t>Tadej</w:t>
      </w:r>
      <w:proofErr w:type="spellEnd"/>
      <w:r w:rsidRPr="005B034C">
        <w:rPr>
          <w:rFonts w:asciiTheme="minorHAnsi" w:hAnsiTheme="minorHAnsi" w:cstheme="minorHAnsi"/>
          <w:bCs/>
          <w:color w:val="auto"/>
        </w:rPr>
        <w:t xml:space="preserve"> </w:t>
      </w:r>
      <w:proofErr w:type="spellStart"/>
      <w:r w:rsidRPr="005B034C">
        <w:rPr>
          <w:rFonts w:asciiTheme="minorHAnsi" w:hAnsiTheme="minorHAnsi" w:cstheme="minorHAnsi"/>
          <w:bCs/>
          <w:color w:val="auto"/>
        </w:rPr>
        <w:t>Pajič</w:t>
      </w:r>
      <w:proofErr w:type="spellEnd"/>
      <w:r w:rsidRPr="005B034C">
        <w:rPr>
          <w:rFonts w:asciiTheme="minorHAnsi" w:hAnsiTheme="minorHAnsi" w:cstheme="minorHAnsi"/>
          <w:bCs/>
          <w:color w:val="auto"/>
        </w:rPr>
        <w:tab/>
        <w:t>(tadej.pajic@kclj.si</w:t>
      </w:r>
      <w:r w:rsidR="005B034C" w:rsidRPr="005B034C">
        <w:rPr>
          <w:rFonts w:cs="Arial"/>
          <w:color w:val="auto"/>
        </w:rPr>
        <w:t>)</w:t>
      </w:r>
    </w:p>
    <w:p w14:paraId="6ED74538" w14:textId="77777777" w:rsidR="004D37E5" w:rsidRPr="005B034C" w:rsidRDefault="004D37E5" w:rsidP="006820EA">
      <w:pPr>
        <w:rPr>
          <w:rFonts w:asciiTheme="minorHAnsi" w:hAnsiTheme="minorHAnsi" w:cstheme="minorHAnsi"/>
          <w:bCs/>
          <w:color w:val="auto"/>
        </w:rPr>
      </w:pPr>
    </w:p>
    <w:p w14:paraId="71B79AC9" w14:textId="75E1F820" w:rsidR="006305D7" w:rsidRPr="005B034C" w:rsidRDefault="006305D7" w:rsidP="006820EA">
      <w:pPr>
        <w:pStyle w:val="NormalWeb"/>
        <w:spacing w:before="0" w:beforeAutospacing="0" w:after="0" w:afterAutospacing="0"/>
        <w:rPr>
          <w:rFonts w:asciiTheme="minorHAnsi" w:hAnsiTheme="minorHAnsi" w:cstheme="minorHAnsi"/>
          <w:color w:val="auto"/>
        </w:rPr>
      </w:pPr>
      <w:r w:rsidRPr="005B034C">
        <w:rPr>
          <w:rFonts w:asciiTheme="minorHAnsi" w:hAnsiTheme="minorHAnsi" w:cstheme="minorHAnsi"/>
          <w:b/>
          <w:bCs/>
          <w:color w:val="auto"/>
        </w:rPr>
        <w:t>KEYWORDS:</w:t>
      </w:r>
      <w:r w:rsidRPr="005B034C">
        <w:rPr>
          <w:rFonts w:asciiTheme="minorHAnsi" w:hAnsiTheme="minorHAnsi" w:cstheme="minorHAnsi"/>
          <w:color w:val="auto"/>
        </w:rPr>
        <w:t xml:space="preserve"> </w:t>
      </w:r>
    </w:p>
    <w:p w14:paraId="6BA70F9E" w14:textId="68DC4668" w:rsidR="00EF5A15" w:rsidRPr="005B034C" w:rsidRDefault="00B164C1" w:rsidP="006820EA">
      <w:pPr>
        <w:rPr>
          <w:rFonts w:asciiTheme="minorHAnsi" w:hAnsiTheme="minorHAnsi" w:cstheme="minorBidi"/>
          <w:color w:val="auto"/>
        </w:rPr>
      </w:pPr>
      <w:r w:rsidRPr="005B034C">
        <w:rPr>
          <w:rFonts w:asciiTheme="minorHAnsi" w:hAnsiTheme="minorHAnsi" w:cstheme="minorHAnsi"/>
          <w:color w:val="auto"/>
        </w:rPr>
        <w:t xml:space="preserve">High </w:t>
      </w:r>
      <w:r w:rsidR="00EF5A15" w:rsidRPr="005B034C">
        <w:rPr>
          <w:rFonts w:asciiTheme="minorHAnsi" w:hAnsiTheme="minorHAnsi" w:cstheme="minorHAnsi"/>
          <w:color w:val="auto"/>
        </w:rPr>
        <w:t>r</w:t>
      </w:r>
      <w:r w:rsidRPr="005B034C">
        <w:rPr>
          <w:rFonts w:asciiTheme="minorHAnsi" w:hAnsiTheme="minorHAnsi" w:cstheme="minorHAnsi"/>
          <w:color w:val="auto"/>
        </w:rPr>
        <w:t xml:space="preserve">esolution </w:t>
      </w:r>
      <w:r w:rsidR="00EF5A15" w:rsidRPr="005B034C">
        <w:rPr>
          <w:rFonts w:asciiTheme="minorHAnsi" w:hAnsiTheme="minorHAnsi" w:cstheme="minorHAnsi"/>
          <w:color w:val="auto"/>
        </w:rPr>
        <w:t>m</w:t>
      </w:r>
      <w:r w:rsidRPr="005B034C">
        <w:rPr>
          <w:rFonts w:asciiTheme="minorHAnsi" w:hAnsiTheme="minorHAnsi" w:cstheme="minorHAnsi"/>
          <w:color w:val="auto"/>
        </w:rPr>
        <w:t>elting</w:t>
      </w:r>
      <w:r w:rsidR="00ED7919" w:rsidRPr="005B034C">
        <w:rPr>
          <w:rFonts w:asciiTheme="minorHAnsi" w:hAnsiTheme="minorHAnsi" w:cstheme="minorHAnsi"/>
          <w:color w:val="auto"/>
        </w:rPr>
        <w:t xml:space="preserve"> ana</w:t>
      </w:r>
      <w:r w:rsidR="008F4B1C" w:rsidRPr="005B034C">
        <w:rPr>
          <w:rFonts w:asciiTheme="minorHAnsi" w:hAnsiTheme="minorHAnsi" w:cstheme="minorHAnsi"/>
          <w:color w:val="auto"/>
        </w:rPr>
        <w:t>lysis</w:t>
      </w:r>
      <w:r w:rsidR="00EF5A15" w:rsidRPr="005B034C">
        <w:rPr>
          <w:rFonts w:asciiTheme="minorHAnsi" w:hAnsiTheme="minorHAnsi" w:cstheme="minorHAnsi"/>
          <w:color w:val="auto"/>
        </w:rPr>
        <w:t xml:space="preserve">; </w:t>
      </w:r>
      <w:r w:rsidR="00DE102A" w:rsidRPr="005B034C">
        <w:rPr>
          <w:rFonts w:asciiTheme="minorHAnsi" w:hAnsiTheme="minorHAnsi" w:cstheme="minorHAnsi"/>
          <w:color w:val="auto"/>
        </w:rPr>
        <w:t xml:space="preserve">fluorescence-based quantitative real-time polymerase chain reaction; </w:t>
      </w:r>
      <w:r w:rsidRPr="005B034C">
        <w:rPr>
          <w:rFonts w:asciiTheme="minorHAnsi" w:hAnsiTheme="minorHAnsi" w:cstheme="minorHAnsi"/>
          <w:color w:val="auto"/>
        </w:rPr>
        <w:t>genetic variant</w:t>
      </w:r>
      <w:r w:rsidR="00EF5A15" w:rsidRPr="005B034C">
        <w:rPr>
          <w:rFonts w:asciiTheme="minorHAnsi" w:hAnsiTheme="minorHAnsi" w:cstheme="minorHAnsi"/>
          <w:color w:val="auto"/>
        </w:rPr>
        <w:t>; pre-cast a</w:t>
      </w:r>
      <w:r w:rsidR="00EF5A15" w:rsidRPr="005B034C">
        <w:rPr>
          <w:rFonts w:asciiTheme="minorHAnsi" w:hAnsiTheme="minorHAnsi" w:cstheme="minorBidi"/>
          <w:color w:val="auto"/>
        </w:rPr>
        <w:t xml:space="preserve">garose gel electrophoresis, </w:t>
      </w:r>
      <w:r w:rsidR="0087146E" w:rsidRPr="005B034C">
        <w:rPr>
          <w:rFonts w:asciiTheme="minorHAnsi" w:hAnsiTheme="minorHAnsi" w:cstheme="minorBidi"/>
          <w:color w:val="auto"/>
        </w:rPr>
        <w:t xml:space="preserve">indel </w:t>
      </w:r>
      <w:r w:rsidR="00B46FE6" w:rsidRPr="005B034C">
        <w:rPr>
          <w:rFonts w:asciiTheme="minorHAnsi" w:hAnsiTheme="minorHAnsi" w:cstheme="minorBidi"/>
          <w:color w:val="auto"/>
        </w:rPr>
        <w:t>somatic mutation</w:t>
      </w:r>
      <w:r w:rsidR="009979DB" w:rsidRPr="005B034C">
        <w:rPr>
          <w:rFonts w:asciiTheme="minorHAnsi" w:hAnsiTheme="minorHAnsi" w:cstheme="minorBidi"/>
          <w:color w:val="auto"/>
        </w:rPr>
        <w:t>; heteroduplex scanning</w:t>
      </w:r>
      <w:r w:rsidR="00412C16" w:rsidRPr="005B034C">
        <w:rPr>
          <w:rFonts w:asciiTheme="minorHAnsi" w:hAnsiTheme="minorHAnsi" w:cstheme="minorBidi"/>
          <w:color w:val="auto"/>
        </w:rPr>
        <w:t>, CALR</w:t>
      </w:r>
    </w:p>
    <w:p w14:paraId="1CB4E390" w14:textId="77777777" w:rsidR="006305D7" w:rsidRPr="005B034C" w:rsidRDefault="006305D7" w:rsidP="006820EA">
      <w:pPr>
        <w:pStyle w:val="NormalWeb"/>
        <w:spacing w:before="0" w:beforeAutospacing="0" w:after="0" w:afterAutospacing="0"/>
        <w:rPr>
          <w:rFonts w:asciiTheme="minorHAnsi" w:hAnsiTheme="minorHAnsi" w:cstheme="minorHAnsi"/>
          <w:color w:val="auto"/>
        </w:rPr>
      </w:pPr>
    </w:p>
    <w:p w14:paraId="628AC4B5" w14:textId="5F74B7EB" w:rsidR="006305D7" w:rsidRPr="005B034C" w:rsidRDefault="00086FF5" w:rsidP="006820EA">
      <w:pPr>
        <w:rPr>
          <w:rFonts w:asciiTheme="minorHAnsi" w:hAnsiTheme="minorHAnsi" w:cstheme="minorHAnsi"/>
          <w:color w:val="auto"/>
        </w:rPr>
      </w:pPr>
      <w:r w:rsidRPr="005B034C">
        <w:rPr>
          <w:rFonts w:asciiTheme="minorHAnsi" w:hAnsiTheme="minorHAnsi" w:cstheme="minorHAnsi"/>
          <w:b/>
          <w:bCs/>
          <w:color w:val="auto"/>
        </w:rPr>
        <w:t>SUMMARY</w:t>
      </w:r>
      <w:r w:rsidR="006305D7" w:rsidRPr="005B034C">
        <w:rPr>
          <w:rFonts w:asciiTheme="minorHAnsi" w:hAnsiTheme="minorHAnsi" w:cstheme="minorHAnsi"/>
          <w:b/>
          <w:bCs/>
          <w:color w:val="auto"/>
        </w:rPr>
        <w:t>:</w:t>
      </w:r>
    </w:p>
    <w:p w14:paraId="761028D6" w14:textId="2371F820" w:rsidR="006305D7" w:rsidRPr="005B034C" w:rsidRDefault="00D7470B" w:rsidP="006820EA">
      <w:pPr>
        <w:rPr>
          <w:rFonts w:asciiTheme="minorHAnsi" w:hAnsiTheme="minorHAnsi" w:cstheme="minorHAnsi"/>
          <w:color w:val="auto"/>
        </w:rPr>
      </w:pPr>
      <w:r w:rsidRPr="005B034C">
        <w:rPr>
          <w:rFonts w:asciiTheme="minorHAnsi" w:hAnsiTheme="minorHAnsi" w:cstheme="minorHAnsi"/>
          <w:color w:val="auto"/>
        </w:rPr>
        <w:t>H</w:t>
      </w:r>
      <w:r w:rsidR="004D37E5" w:rsidRPr="005B034C">
        <w:rPr>
          <w:rFonts w:asciiTheme="minorHAnsi" w:hAnsiTheme="minorHAnsi" w:cstheme="minorHAnsi"/>
          <w:color w:val="auto"/>
        </w:rPr>
        <w:t>igh</w:t>
      </w:r>
      <w:r w:rsidR="002A348C" w:rsidRPr="005B034C">
        <w:rPr>
          <w:rFonts w:asciiTheme="minorHAnsi" w:hAnsiTheme="minorHAnsi" w:cstheme="minorHAnsi"/>
          <w:color w:val="auto"/>
        </w:rPr>
        <w:t xml:space="preserve"> </w:t>
      </w:r>
      <w:r w:rsidR="004D37E5" w:rsidRPr="005B034C">
        <w:rPr>
          <w:rFonts w:asciiTheme="minorHAnsi" w:hAnsiTheme="minorHAnsi" w:cstheme="minorHAnsi"/>
          <w:color w:val="auto"/>
        </w:rPr>
        <w:t xml:space="preserve">resolution melting </w:t>
      </w:r>
      <w:r w:rsidR="005B46B2" w:rsidRPr="005B034C">
        <w:rPr>
          <w:rFonts w:asciiTheme="minorHAnsi" w:hAnsiTheme="minorHAnsi" w:cstheme="minorHAnsi"/>
          <w:color w:val="auto"/>
        </w:rPr>
        <w:t>analysis</w:t>
      </w:r>
      <w:r w:rsidR="002A348C" w:rsidRPr="005B034C">
        <w:rPr>
          <w:rFonts w:asciiTheme="minorHAnsi" w:hAnsiTheme="minorHAnsi" w:cstheme="minorHAnsi"/>
          <w:color w:val="auto"/>
        </w:rPr>
        <w:t xml:space="preserve"> (HRM</w:t>
      </w:r>
      <w:r w:rsidR="005B034C" w:rsidRPr="005B034C">
        <w:rPr>
          <w:rFonts w:asciiTheme="minorHAnsi" w:hAnsiTheme="minorHAnsi" w:cstheme="minorHAnsi"/>
          <w:color w:val="auto"/>
        </w:rPr>
        <w:t>)</w:t>
      </w:r>
      <w:r w:rsidR="005B46B2" w:rsidRPr="005B034C">
        <w:rPr>
          <w:rFonts w:asciiTheme="minorHAnsi" w:hAnsiTheme="minorHAnsi" w:cstheme="minorHAnsi"/>
          <w:color w:val="auto"/>
        </w:rPr>
        <w:t xml:space="preserve"> </w:t>
      </w:r>
      <w:r w:rsidR="004D37E5" w:rsidRPr="005B034C">
        <w:rPr>
          <w:rFonts w:asciiTheme="minorHAnsi" w:hAnsiTheme="minorHAnsi" w:cstheme="minorHAnsi"/>
          <w:color w:val="auto"/>
        </w:rPr>
        <w:t xml:space="preserve">is a </w:t>
      </w:r>
      <w:r w:rsidR="007B4D36" w:rsidRPr="005B034C">
        <w:rPr>
          <w:rFonts w:asciiTheme="minorHAnsi" w:hAnsiTheme="minorHAnsi" w:cstheme="minorHAnsi"/>
          <w:color w:val="auto"/>
        </w:rPr>
        <w:t>sensitive and rapid</w:t>
      </w:r>
      <w:r w:rsidR="004D37E5" w:rsidRPr="005B034C">
        <w:rPr>
          <w:rFonts w:asciiTheme="minorHAnsi" w:hAnsiTheme="minorHAnsi" w:cstheme="minorHAnsi"/>
          <w:color w:val="auto"/>
        </w:rPr>
        <w:t xml:space="preserve"> solution for genetic variant detection. It depends on sequence differences that result in heteroduplexes </w:t>
      </w:r>
      <w:r w:rsidRPr="005B034C">
        <w:rPr>
          <w:rFonts w:asciiTheme="minorHAnsi" w:hAnsiTheme="minorHAnsi" w:cstheme="minorHAnsi"/>
          <w:color w:val="auto"/>
        </w:rPr>
        <w:t>changing</w:t>
      </w:r>
      <w:r w:rsidR="004D37E5" w:rsidRPr="005B034C">
        <w:rPr>
          <w:rFonts w:asciiTheme="minorHAnsi" w:hAnsiTheme="minorHAnsi" w:cstheme="minorHAnsi"/>
          <w:color w:val="auto"/>
        </w:rPr>
        <w:t xml:space="preserve"> the shape of the melting curve. By combing HRM</w:t>
      </w:r>
      <w:r w:rsidR="00ED7919" w:rsidRPr="005B034C">
        <w:rPr>
          <w:rFonts w:asciiTheme="minorHAnsi" w:hAnsiTheme="minorHAnsi" w:cstheme="minorHAnsi"/>
          <w:color w:val="auto"/>
        </w:rPr>
        <w:t xml:space="preserve"> and </w:t>
      </w:r>
      <w:r w:rsidR="004D37E5" w:rsidRPr="005B034C">
        <w:rPr>
          <w:rFonts w:asciiTheme="minorHAnsi" w:hAnsiTheme="minorHAnsi" w:cstheme="minorHAnsi"/>
          <w:color w:val="auto"/>
        </w:rPr>
        <w:t>agarose gel electrophoresis</w:t>
      </w:r>
      <w:r w:rsidR="001533C0" w:rsidRPr="005B034C">
        <w:rPr>
          <w:rFonts w:asciiTheme="minorHAnsi" w:hAnsiTheme="minorHAnsi" w:cstheme="minorHAnsi"/>
          <w:color w:val="auto"/>
        </w:rPr>
        <w:t>,</w:t>
      </w:r>
      <w:r w:rsidR="004D37E5" w:rsidRPr="005B034C">
        <w:rPr>
          <w:rFonts w:asciiTheme="minorHAnsi" w:hAnsiTheme="minorHAnsi" w:cstheme="minorHAnsi"/>
          <w:color w:val="auto"/>
        </w:rPr>
        <w:t xml:space="preserve"> different types of genetic variants </w:t>
      </w:r>
      <w:r w:rsidR="002A348C" w:rsidRPr="005B034C">
        <w:rPr>
          <w:rFonts w:asciiTheme="minorHAnsi" w:hAnsiTheme="minorHAnsi" w:cstheme="minorHAnsi"/>
          <w:color w:val="auto"/>
        </w:rPr>
        <w:t xml:space="preserve">such </w:t>
      </w:r>
      <w:r w:rsidR="007B4D36" w:rsidRPr="005B034C">
        <w:rPr>
          <w:rFonts w:asciiTheme="minorHAnsi" w:hAnsiTheme="minorHAnsi" w:cstheme="minorHAnsi"/>
          <w:color w:val="auto"/>
        </w:rPr>
        <w:t xml:space="preserve">as </w:t>
      </w:r>
      <w:r w:rsidR="002A348C" w:rsidRPr="005B034C">
        <w:rPr>
          <w:rFonts w:asciiTheme="minorHAnsi" w:hAnsiTheme="minorHAnsi" w:cstheme="minorHAnsi"/>
          <w:color w:val="auto"/>
        </w:rPr>
        <w:t xml:space="preserve">indels </w:t>
      </w:r>
      <w:r w:rsidR="004D37E5" w:rsidRPr="005B034C">
        <w:rPr>
          <w:rFonts w:asciiTheme="minorHAnsi" w:hAnsiTheme="minorHAnsi" w:cstheme="minorHAnsi"/>
          <w:color w:val="auto"/>
        </w:rPr>
        <w:t xml:space="preserve">can be </w:t>
      </w:r>
      <w:r w:rsidR="00BF0167" w:rsidRPr="005B034C">
        <w:rPr>
          <w:rFonts w:asciiTheme="minorHAnsi" w:hAnsiTheme="minorHAnsi" w:cstheme="minorHAnsi"/>
          <w:color w:val="auto"/>
        </w:rPr>
        <w:t>identif</w:t>
      </w:r>
      <w:r w:rsidR="00B837B2" w:rsidRPr="005B034C">
        <w:rPr>
          <w:rFonts w:asciiTheme="minorHAnsi" w:hAnsiTheme="minorHAnsi" w:cstheme="minorHAnsi"/>
          <w:color w:val="auto"/>
        </w:rPr>
        <w:t>ied</w:t>
      </w:r>
      <w:r w:rsidR="00ED7919" w:rsidRPr="005B034C">
        <w:rPr>
          <w:rFonts w:asciiTheme="minorHAnsi" w:hAnsiTheme="minorHAnsi" w:cstheme="minorHAnsi"/>
          <w:color w:val="auto"/>
        </w:rPr>
        <w:t>.</w:t>
      </w:r>
    </w:p>
    <w:p w14:paraId="7337AC12" w14:textId="77777777" w:rsidR="004D37E5" w:rsidRPr="005B034C" w:rsidRDefault="004D37E5" w:rsidP="006820EA">
      <w:pPr>
        <w:rPr>
          <w:rFonts w:asciiTheme="minorHAnsi" w:hAnsiTheme="minorHAnsi" w:cstheme="minorHAnsi"/>
          <w:color w:val="auto"/>
        </w:rPr>
      </w:pPr>
    </w:p>
    <w:p w14:paraId="64FB8590" w14:textId="68738B0F" w:rsidR="006305D7" w:rsidRPr="005B034C" w:rsidRDefault="006305D7" w:rsidP="006820EA">
      <w:pPr>
        <w:rPr>
          <w:rFonts w:asciiTheme="minorHAnsi" w:hAnsiTheme="minorHAnsi" w:cstheme="minorHAnsi"/>
          <w:color w:val="auto"/>
        </w:rPr>
      </w:pPr>
      <w:r w:rsidRPr="005B034C">
        <w:rPr>
          <w:rFonts w:asciiTheme="minorHAnsi" w:hAnsiTheme="minorHAnsi" w:cstheme="minorHAnsi"/>
          <w:b/>
          <w:bCs/>
          <w:color w:val="auto"/>
        </w:rPr>
        <w:t>ABSTRACT:</w:t>
      </w:r>
    </w:p>
    <w:p w14:paraId="1B39DA32" w14:textId="61D55098" w:rsidR="004804FC" w:rsidRPr="005B034C" w:rsidRDefault="000003AB" w:rsidP="006820EA">
      <w:pPr>
        <w:rPr>
          <w:rFonts w:asciiTheme="minorHAnsi" w:hAnsiTheme="minorHAnsi" w:cstheme="minorHAnsi"/>
          <w:color w:val="auto"/>
        </w:rPr>
      </w:pPr>
      <w:r w:rsidRPr="005B034C">
        <w:rPr>
          <w:rFonts w:asciiTheme="minorHAnsi" w:hAnsiTheme="minorHAnsi" w:cstheme="minorHAnsi"/>
          <w:color w:val="auto"/>
        </w:rPr>
        <w:t>H</w:t>
      </w:r>
      <w:r w:rsidR="00883AC4" w:rsidRPr="005B034C">
        <w:rPr>
          <w:rFonts w:asciiTheme="minorHAnsi" w:hAnsiTheme="minorHAnsi" w:cstheme="minorHAnsi"/>
          <w:color w:val="auto"/>
        </w:rPr>
        <w:t>igh resolution melting analysis (HRM</w:t>
      </w:r>
      <w:r w:rsidR="005B034C" w:rsidRPr="005B034C">
        <w:rPr>
          <w:rFonts w:asciiTheme="minorHAnsi" w:hAnsiTheme="minorHAnsi" w:cstheme="minorHAnsi"/>
          <w:color w:val="auto"/>
        </w:rPr>
        <w:t>)</w:t>
      </w:r>
      <w:r w:rsidR="00883AC4" w:rsidRPr="005B034C">
        <w:rPr>
          <w:rFonts w:asciiTheme="minorHAnsi" w:hAnsiTheme="minorHAnsi" w:cstheme="minorHAnsi"/>
          <w:color w:val="auto"/>
        </w:rPr>
        <w:t xml:space="preserve"> is a powerful method for genotyping and genetic variation scanning. </w:t>
      </w:r>
      <w:r w:rsidR="00CF66E0" w:rsidRPr="005B034C">
        <w:rPr>
          <w:rFonts w:asciiTheme="minorHAnsi" w:hAnsiTheme="minorHAnsi" w:cstheme="minorHAnsi"/>
          <w:color w:val="auto"/>
        </w:rPr>
        <w:t>Most HRM application</w:t>
      </w:r>
      <w:r w:rsidR="00D46489" w:rsidRPr="005B034C">
        <w:rPr>
          <w:rFonts w:asciiTheme="minorHAnsi" w:hAnsiTheme="minorHAnsi" w:cstheme="minorHAnsi"/>
          <w:color w:val="auto"/>
        </w:rPr>
        <w:t>s</w:t>
      </w:r>
      <w:r w:rsidR="00CF66E0" w:rsidRPr="005B034C">
        <w:rPr>
          <w:rFonts w:asciiTheme="minorHAnsi" w:hAnsiTheme="minorHAnsi" w:cstheme="minorHAnsi"/>
          <w:color w:val="auto"/>
        </w:rPr>
        <w:t xml:space="preserve"> depend on saturating DNA dyes that detect sequence differences</w:t>
      </w:r>
      <w:r w:rsidR="004E39CA" w:rsidRPr="005B034C">
        <w:rPr>
          <w:rFonts w:asciiTheme="minorHAnsi" w:hAnsiTheme="minorHAnsi" w:cstheme="minorHAnsi"/>
          <w:color w:val="auto"/>
        </w:rPr>
        <w:t>,</w:t>
      </w:r>
      <w:r w:rsidR="004E2A39">
        <w:rPr>
          <w:rFonts w:asciiTheme="minorHAnsi" w:hAnsiTheme="minorHAnsi" w:cstheme="minorHAnsi"/>
          <w:color w:val="auto"/>
        </w:rPr>
        <w:t xml:space="preserve"> and </w:t>
      </w:r>
      <w:r w:rsidR="00CF66E0" w:rsidRPr="005B034C">
        <w:rPr>
          <w:rFonts w:asciiTheme="minorHAnsi" w:hAnsiTheme="minorHAnsi" w:cstheme="minorHAnsi"/>
          <w:color w:val="auto"/>
        </w:rPr>
        <w:t xml:space="preserve">heteroduplexes </w:t>
      </w:r>
      <w:r w:rsidR="004E39CA" w:rsidRPr="005B034C">
        <w:rPr>
          <w:rFonts w:asciiTheme="minorHAnsi" w:hAnsiTheme="minorHAnsi" w:cstheme="minorHAnsi"/>
          <w:color w:val="auto"/>
        </w:rPr>
        <w:t>that</w:t>
      </w:r>
      <w:r w:rsidR="00CF66E0" w:rsidRPr="005B034C">
        <w:rPr>
          <w:rFonts w:asciiTheme="minorHAnsi" w:hAnsiTheme="minorHAnsi" w:cstheme="minorHAnsi"/>
          <w:color w:val="auto"/>
        </w:rPr>
        <w:t xml:space="preserve"> change the shape of the melting curve. </w:t>
      </w:r>
      <w:r w:rsidR="004E39CA" w:rsidRPr="005B034C">
        <w:rPr>
          <w:rFonts w:asciiTheme="minorHAnsi" w:hAnsiTheme="minorHAnsi" w:cstheme="minorHAnsi"/>
          <w:color w:val="auto"/>
        </w:rPr>
        <w:t xml:space="preserve">Excellent </w:t>
      </w:r>
      <w:r w:rsidR="00CF66E0" w:rsidRPr="005B034C">
        <w:rPr>
          <w:rFonts w:asciiTheme="minorHAnsi" w:hAnsiTheme="minorHAnsi" w:cstheme="minorHAnsi"/>
          <w:color w:val="auto"/>
        </w:rPr>
        <w:t xml:space="preserve">instrument resolution and </w:t>
      </w:r>
      <w:r w:rsidR="004E39CA" w:rsidRPr="005B034C">
        <w:rPr>
          <w:rFonts w:asciiTheme="minorHAnsi" w:hAnsiTheme="minorHAnsi" w:cstheme="minorHAnsi"/>
          <w:color w:val="auto"/>
        </w:rPr>
        <w:t xml:space="preserve">special </w:t>
      </w:r>
      <w:r w:rsidR="00CF66E0" w:rsidRPr="005B034C">
        <w:rPr>
          <w:rFonts w:asciiTheme="minorHAnsi" w:hAnsiTheme="minorHAnsi" w:cstheme="minorHAnsi"/>
          <w:color w:val="auto"/>
        </w:rPr>
        <w:t>data analysis</w:t>
      </w:r>
      <w:r w:rsidR="004E39CA" w:rsidRPr="005B034C">
        <w:rPr>
          <w:rFonts w:asciiTheme="minorHAnsi" w:hAnsiTheme="minorHAnsi" w:cstheme="minorHAnsi"/>
          <w:color w:val="auto"/>
        </w:rPr>
        <w:t xml:space="preserve"> </w:t>
      </w:r>
      <w:r w:rsidR="004804FC" w:rsidRPr="005B034C">
        <w:rPr>
          <w:rFonts w:asciiTheme="minorHAnsi" w:hAnsiTheme="minorHAnsi" w:cstheme="minorHAnsi"/>
          <w:color w:val="auto"/>
        </w:rPr>
        <w:t xml:space="preserve">software </w:t>
      </w:r>
      <w:r w:rsidR="004E39CA" w:rsidRPr="005B034C">
        <w:rPr>
          <w:rFonts w:asciiTheme="minorHAnsi" w:hAnsiTheme="minorHAnsi" w:cstheme="minorHAnsi"/>
          <w:color w:val="auto"/>
        </w:rPr>
        <w:t xml:space="preserve">are needed to identify the small melting curve differences that identify a variant or genotype. </w:t>
      </w:r>
      <w:r w:rsidR="00883AC4" w:rsidRPr="005B034C">
        <w:rPr>
          <w:rFonts w:asciiTheme="minorHAnsi" w:hAnsiTheme="minorHAnsi" w:cstheme="minorHAnsi"/>
          <w:color w:val="auto"/>
        </w:rPr>
        <w:t>Different types of genetic variants with diverse frequenc</w:t>
      </w:r>
      <w:r w:rsidR="004E2A39">
        <w:rPr>
          <w:rFonts w:asciiTheme="minorHAnsi" w:hAnsiTheme="minorHAnsi" w:cstheme="minorHAnsi"/>
          <w:color w:val="auto"/>
        </w:rPr>
        <w:t>ies</w:t>
      </w:r>
      <w:r w:rsidR="00883AC4" w:rsidRPr="005B034C">
        <w:rPr>
          <w:rFonts w:asciiTheme="minorHAnsi" w:hAnsiTheme="minorHAnsi" w:cstheme="minorHAnsi"/>
          <w:color w:val="auto"/>
        </w:rPr>
        <w:t xml:space="preserve"> can be observed in the gene specific for </w:t>
      </w:r>
      <w:r w:rsidR="00D46489" w:rsidRPr="005B034C">
        <w:rPr>
          <w:rFonts w:asciiTheme="minorHAnsi" w:hAnsiTheme="minorHAnsi" w:cstheme="minorHAnsi"/>
          <w:color w:val="auto"/>
        </w:rPr>
        <w:t xml:space="preserve">patients with a specific </w:t>
      </w:r>
      <w:r w:rsidR="009F0F92" w:rsidRPr="005B034C">
        <w:rPr>
          <w:rFonts w:asciiTheme="minorHAnsi" w:hAnsiTheme="minorHAnsi" w:cstheme="minorHAnsi"/>
          <w:color w:val="auto"/>
        </w:rPr>
        <w:t>disease,</w:t>
      </w:r>
      <w:r w:rsidR="00D46489" w:rsidRPr="005B034C">
        <w:rPr>
          <w:rFonts w:asciiTheme="minorHAnsi" w:hAnsiTheme="minorHAnsi" w:cstheme="minorHAnsi"/>
          <w:color w:val="auto"/>
        </w:rPr>
        <w:t xml:space="preserve"> </w:t>
      </w:r>
      <w:r w:rsidR="004804FC" w:rsidRPr="005B034C">
        <w:rPr>
          <w:rFonts w:asciiTheme="minorHAnsi" w:hAnsiTheme="minorHAnsi" w:cstheme="minorHAnsi"/>
          <w:color w:val="auto"/>
        </w:rPr>
        <w:t>especially</w:t>
      </w:r>
      <w:r w:rsidR="00883AC4" w:rsidRPr="005B034C">
        <w:rPr>
          <w:rFonts w:asciiTheme="minorHAnsi" w:hAnsiTheme="minorHAnsi" w:cstheme="minorHAnsi"/>
          <w:color w:val="auto"/>
        </w:rPr>
        <w:t xml:space="preserve"> cancer</w:t>
      </w:r>
      <w:r w:rsidR="008F228C" w:rsidRPr="005B034C">
        <w:rPr>
          <w:rFonts w:asciiTheme="minorHAnsi" w:hAnsiTheme="minorHAnsi" w:cstheme="minorHAnsi"/>
          <w:color w:val="auto"/>
        </w:rPr>
        <w:t xml:space="preserve"> and </w:t>
      </w:r>
      <w:r w:rsidR="002D531C" w:rsidRPr="005B034C">
        <w:rPr>
          <w:rFonts w:asciiTheme="minorHAnsi" w:hAnsiTheme="minorHAnsi" w:cstheme="minorHAnsi"/>
          <w:color w:val="auto"/>
        </w:rPr>
        <w:t xml:space="preserve">in the </w:t>
      </w:r>
      <w:r w:rsidR="002D531C" w:rsidRPr="005B034C">
        <w:rPr>
          <w:rFonts w:asciiTheme="minorHAnsi" w:hAnsiTheme="minorHAnsi" w:cstheme="minorHAnsi"/>
          <w:i/>
          <w:iCs/>
          <w:color w:val="auto"/>
        </w:rPr>
        <w:t>CALR</w:t>
      </w:r>
      <w:r w:rsidR="002D531C" w:rsidRPr="005B034C">
        <w:rPr>
          <w:rFonts w:asciiTheme="minorHAnsi" w:hAnsiTheme="minorHAnsi" w:cstheme="minorHAnsi"/>
          <w:color w:val="auto"/>
        </w:rPr>
        <w:t xml:space="preserve"> gene in patients with Philadelphia chromosome–negative myeloproliferative neoplasms</w:t>
      </w:r>
      <w:r w:rsidR="00883AC4" w:rsidRPr="005B034C">
        <w:rPr>
          <w:rFonts w:asciiTheme="minorHAnsi" w:hAnsiTheme="minorHAnsi" w:cstheme="minorHAnsi"/>
          <w:color w:val="auto"/>
        </w:rPr>
        <w:t xml:space="preserve">. </w:t>
      </w:r>
      <w:r w:rsidR="004804FC" w:rsidRPr="005B034C">
        <w:rPr>
          <w:rFonts w:asciiTheme="minorHAnsi" w:hAnsiTheme="minorHAnsi" w:cstheme="minorHAnsi"/>
          <w:color w:val="auto"/>
        </w:rPr>
        <w:t>Single nucleotide change</w:t>
      </w:r>
      <w:r w:rsidR="004E2A39">
        <w:rPr>
          <w:rFonts w:asciiTheme="minorHAnsi" w:hAnsiTheme="minorHAnsi" w:cstheme="minorHAnsi"/>
          <w:color w:val="auto"/>
        </w:rPr>
        <w:t>s</w:t>
      </w:r>
      <w:r w:rsidR="004804FC" w:rsidRPr="005B034C">
        <w:rPr>
          <w:rFonts w:asciiTheme="minorHAnsi" w:hAnsiTheme="minorHAnsi" w:cstheme="minorHAnsi"/>
          <w:color w:val="auto"/>
        </w:rPr>
        <w:t xml:space="preserve">, </w:t>
      </w:r>
      <w:r w:rsidR="0028061C" w:rsidRPr="005B034C">
        <w:rPr>
          <w:rFonts w:asciiTheme="minorHAnsi" w:hAnsiTheme="minorHAnsi" w:cstheme="minorHAnsi"/>
          <w:color w:val="auto"/>
        </w:rPr>
        <w:t xml:space="preserve">insertions and/or </w:t>
      </w:r>
      <w:r w:rsidR="004804FC" w:rsidRPr="005B034C">
        <w:rPr>
          <w:rFonts w:asciiTheme="minorHAnsi" w:hAnsiTheme="minorHAnsi" w:cstheme="minorHAnsi"/>
          <w:color w:val="auto"/>
        </w:rPr>
        <w:t>d</w:t>
      </w:r>
      <w:r w:rsidR="00883AC4" w:rsidRPr="005B034C">
        <w:rPr>
          <w:rFonts w:asciiTheme="minorHAnsi" w:hAnsiTheme="minorHAnsi" w:cstheme="minorHAnsi"/>
          <w:color w:val="auto"/>
        </w:rPr>
        <w:t xml:space="preserve">eletions </w:t>
      </w:r>
      <w:r w:rsidR="0028061C" w:rsidRPr="005B034C">
        <w:rPr>
          <w:rFonts w:asciiTheme="minorHAnsi" w:hAnsiTheme="minorHAnsi" w:cstheme="minorHAnsi"/>
          <w:color w:val="auto"/>
        </w:rPr>
        <w:t>(indels</w:t>
      </w:r>
      <w:r w:rsidR="005B034C" w:rsidRPr="005B034C">
        <w:rPr>
          <w:rFonts w:asciiTheme="minorHAnsi" w:hAnsiTheme="minorHAnsi" w:cstheme="minorHAnsi"/>
          <w:color w:val="auto"/>
        </w:rPr>
        <w:t>)</w:t>
      </w:r>
      <w:r w:rsidR="0028061C" w:rsidRPr="005B034C">
        <w:rPr>
          <w:rFonts w:asciiTheme="minorHAnsi" w:hAnsiTheme="minorHAnsi" w:cstheme="minorHAnsi"/>
          <w:color w:val="auto"/>
        </w:rPr>
        <w:t xml:space="preserve"> </w:t>
      </w:r>
      <w:r w:rsidR="00883AC4" w:rsidRPr="005B034C">
        <w:rPr>
          <w:rFonts w:asciiTheme="minorHAnsi" w:hAnsiTheme="minorHAnsi" w:cstheme="minorHAnsi"/>
          <w:color w:val="auto"/>
        </w:rPr>
        <w:t>in the gene of interest can be detected by the HRM analysis</w:t>
      </w:r>
      <w:r w:rsidR="004E39CA" w:rsidRPr="005B034C">
        <w:rPr>
          <w:rFonts w:asciiTheme="minorHAnsi" w:hAnsiTheme="minorHAnsi" w:cstheme="minorHAnsi"/>
          <w:color w:val="auto"/>
        </w:rPr>
        <w:t xml:space="preserve">. </w:t>
      </w:r>
      <w:r w:rsidR="009463C2" w:rsidRPr="005B034C">
        <w:rPr>
          <w:rFonts w:asciiTheme="minorHAnsi" w:hAnsiTheme="minorHAnsi" w:cstheme="minorHAnsi"/>
          <w:color w:val="auto"/>
        </w:rPr>
        <w:t xml:space="preserve">The identification of different types of </w:t>
      </w:r>
      <w:r w:rsidR="009463C2" w:rsidRPr="005B034C">
        <w:rPr>
          <w:rFonts w:asciiTheme="minorHAnsi" w:hAnsiTheme="minorHAnsi" w:cstheme="minorHAnsi"/>
          <w:color w:val="auto"/>
        </w:rPr>
        <w:lastRenderedPageBreak/>
        <w:t xml:space="preserve">genetic variants is mostly based on the controls used in the qPCR HRM assay. </w:t>
      </w:r>
      <w:r w:rsidR="00883AC4" w:rsidRPr="005B034C">
        <w:rPr>
          <w:rFonts w:asciiTheme="minorHAnsi" w:hAnsiTheme="minorHAnsi" w:cstheme="minorHAnsi"/>
          <w:color w:val="auto"/>
        </w:rPr>
        <w:t>However, as the product length increases, the difference between wild-type and heterozygote curves bec</w:t>
      </w:r>
      <w:r w:rsidR="004E2A39">
        <w:rPr>
          <w:rFonts w:asciiTheme="minorHAnsi" w:hAnsiTheme="minorHAnsi" w:cstheme="minorHAnsi"/>
          <w:color w:val="auto"/>
        </w:rPr>
        <w:t>o</w:t>
      </w:r>
      <w:r w:rsidR="00883AC4" w:rsidRPr="005B034C">
        <w:rPr>
          <w:rFonts w:asciiTheme="minorHAnsi" w:hAnsiTheme="minorHAnsi" w:cstheme="minorHAnsi"/>
          <w:color w:val="auto"/>
        </w:rPr>
        <w:t>me</w:t>
      </w:r>
      <w:r w:rsidR="004E2A39">
        <w:rPr>
          <w:rFonts w:asciiTheme="minorHAnsi" w:hAnsiTheme="minorHAnsi" w:cstheme="minorHAnsi"/>
          <w:color w:val="auto"/>
        </w:rPr>
        <w:t>s</w:t>
      </w:r>
      <w:r w:rsidR="00883AC4" w:rsidRPr="005B034C">
        <w:rPr>
          <w:rFonts w:asciiTheme="minorHAnsi" w:hAnsiTheme="minorHAnsi" w:cstheme="minorHAnsi"/>
          <w:color w:val="auto"/>
        </w:rPr>
        <w:t xml:space="preserve"> smaller, and </w:t>
      </w:r>
      <w:r w:rsidR="00D46489" w:rsidRPr="005B034C">
        <w:rPr>
          <w:rFonts w:asciiTheme="minorHAnsi" w:hAnsiTheme="minorHAnsi" w:cstheme="minorHAnsi"/>
          <w:color w:val="auto"/>
        </w:rPr>
        <w:t xml:space="preserve">the type of genetic variant </w:t>
      </w:r>
      <w:r w:rsidR="004E2A39">
        <w:rPr>
          <w:rFonts w:asciiTheme="minorHAnsi" w:hAnsiTheme="minorHAnsi" w:cstheme="minorHAnsi"/>
          <w:color w:val="auto"/>
        </w:rPr>
        <w:t>is</w:t>
      </w:r>
      <w:r w:rsidR="00D46489" w:rsidRPr="005B034C">
        <w:rPr>
          <w:rFonts w:asciiTheme="minorHAnsi" w:hAnsiTheme="minorHAnsi" w:cstheme="minorHAnsi"/>
          <w:color w:val="auto"/>
        </w:rPr>
        <w:t xml:space="preserve"> more difficult to determine</w:t>
      </w:r>
      <w:r w:rsidR="004E39CA" w:rsidRPr="005B034C">
        <w:rPr>
          <w:rFonts w:asciiTheme="minorHAnsi" w:hAnsiTheme="minorHAnsi" w:cstheme="minorHAnsi"/>
          <w:color w:val="auto"/>
        </w:rPr>
        <w:t>.</w:t>
      </w:r>
      <w:r w:rsidR="00883AC4" w:rsidRPr="005B034C">
        <w:rPr>
          <w:rFonts w:asciiTheme="minorHAnsi" w:hAnsiTheme="minorHAnsi" w:cstheme="minorHAnsi"/>
          <w:color w:val="auto"/>
        </w:rPr>
        <w:t xml:space="preserve"> </w:t>
      </w:r>
      <w:r w:rsidR="0028061C" w:rsidRPr="005B034C">
        <w:rPr>
          <w:rFonts w:asciiTheme="minorHAnsi" w:hAnsiTheme="minorHAnsi" w:cstheme="minorHAnsi"/>
          <w:color w:val="auto"/>
        </w:rPr>
        <w:t xml:space="preserve">Therefore, where indels are the prevalent genetic variant expected in the gene of interest, </w:t>
      </w:r>
      <w:r w:rsidR="004804FC" w:rsidRPr="005B034C">
        <w:rPr>
          <w:rFonts w:asciiTheme="minorHAnsi" w:hAnsiTheme="minorHAnsi" w:cstheme="minorHAnsi"/>
          <w:color w:val="auto"/>
        </w:rPr>
        <w:t xml:space="preserve">an additional method </w:t>
      </w:r>
      <w:r w:rsidR="0028061C" w:rsidRPr="005B034C">
        <w:rPr>
          <w:rFonts w:asciiTheme="minorHAnsi" w:hAnsiTheme="minorHAnsi" w:cstheme="minorHAnsi"/>
          <w:color w:val="auto"/>
        </w:rPr>
        <w:t xml:space="preserve">such as agarose gel electrophoresis can be used </w:t>
      </w:r>
      <w:r w:rsidR="004804FC" w:rsidRPr="005B034C">
        <w:rPr>
          <w:rFonts w:asciiTheme="minorHAnsi" w:hAnsiTheme="minorHAnsi" w:cstheme="minorHAnsi"/>
          <w:color w:val="auto"/>
        </w:rPr>
        <w:t xml:space="preserve">for the clarification of </w:t>
      </w:r>
      <w:r w:rsidR="0028061C" w:rsidRPr="005B034C">
        <w:rPr>
          <w:rFonts w:asciiTheme="minorHAnsi" w:hAnsiTheme="minorHAnsi" w:cstheme="minorHAnsi"/>
          <w:color w:val="auto"/>
        </w:rPr>
        <w:t>the HRM result</w:t>
      </w:r>
      <w:r w:rsidR="004804FC" w:rsidRPr="005B034C">
        <w:rPr>
          <w:rFonts w:asciiTheme="minorHAnsi" w:hAnsiTheme="minorHAnsi" w:cstheme="minorHAnsi"/>
          <w:color w:val="auto"/>
        </w:rPr>
        <w:t xml:space="preserve">. In some instances, </w:t>
      </w:r>
      <w:r w:rsidR="001533C0" w:rsidRPr="005B034C">
        <w:rPr>
          <w:rFonts w:asciiTheme="minorHAnsi" w:hAnsiTheme="minorHAnsi" w:cstheme="minorHAnsi"/>
          <w:color w:val="auto"/>
        </w:rPr>
        <w:t xml:space="preserve">an </w:t>
      </w:r>
      <w:r w:rsidR="004804FC" w:rsidRPr="005B034C">
        <w:rPr>
          <w:rFonts w:asciiTheme="minorHAnsi" w:hAnsiTheme="minorHAnsi" w:cstheme="minorHAnsi"/>
          <w:color w:val="auto"/>
        </w:rPr>
        <w:t xml:space="preserve">inconclusive result </w:t>
      </w:r>
      <w:r w:rsidR="001533C0" w:rsidRPr="005B034C">
        <w:rPr>
          <w:rFonts w:asciiTheme="minorHAnsi" w:hAnsiTheme="minorHAnsi" w:cstheme="minorHAnsi"/>
          <w:color w:val="auto"/>
        </w:rPr>
        <w:t xml:space="preserve">must </w:t>
      </w:r>
      <w:r w:rsidR="004804FC" w:rsidRPr="005B034C">
        <w:rPr>
          <w:rFonts w:asciiTheme="minorHAnsi" w:hAnsiTheme="minorHAnsi" w:cstheme="minorHAnsi"/>
          <w:color w:val="auto"/>
        </w:rPr>
        <w:t xml:space="preserve">be </w:t>
      </w:r>
      <w:r w:rsidR="00D46489" w:rsidRPr="005B034C">
        <w:rPr>
          <w:rFonts w:asciiTheme="minorHAnsi" w:hAnsiTheme="minorHAnsi" w:cstheme="minorHAnsi"/>
          <w:color w:val="auto"/>
        </w:rPr>
        <w:t>re-checked/re-diagnosed</w:t>
      </w:r>
      <w:r w:rsidR="004804FC" w:rsidRPr="005B034C">
        <w:rPr>
          <w:rFonts w:asciiTheme="minorHAnsi" w:hAnsiTheme="minorHAnsi" w:cstheme="minorHAnsi"/>
          <w:color w:val="auto"/>
        </w:rPr>
        <w:t xml:space="preserve"> by standard Sanger sequencing. </w:t>
      </w:r>
      <w:r w:rsidR="008F228C" w:rsidRPr="005B034C">
        <w:rPr>
          <w:rFonts w:asciiTheme="minorHAnsi" w:hAnsiTheme="minorHAnsi" w:cstheme="minorHAnsi"/>
          <w:color w:val="auto"/>
        </w:rPr>
        <w:t xml:space="preserve">In </w:t>
      </w:r>
      <w:r w:rsidR="001533C0" w:rsidRPr="005B034C">
        <w:rPr>
          <w:rFonts w:asciiTheme="minorHAnsi" w:hAnsiTheme="minorHAnsi" w:cstheme="minorHAnsi"/>
          <w:color w:val="auto"/>
        </w:rPr>
        <w:t>this</w:t>
      </w:r>
      <w:r w:rsidR="008F228C" w:rsidRPr="005B034C">
        <w:rPr>
          <w:rFonts w:asciiTheme="minorHAnsi" w:hAnsiTheme="minorHAnsi" w:cstheme="minorHAnsi"/>
          <w:color w:val="auto"/>
        </w:rPr>
        <w:t xml:space="preserve"> retrospective study</w:t>
      </w:r>
      <w:r w:rsidR="001533C0" w:rsidRPr="005B034C">
        <w:rPr>
          <w:rFonts w:asciiTheme="minorHAnsi" w:hAnsiTheme="minorHAnsi" w:cstheme="minorHAnsi"/>
          <w:color w:val="auto"/>
        </w:rPr>
        <w:t>,</w:t>
      </w:r>
      <w:r w:rsidR="008F228C" w:rsidRPr="005B034C">
        <w:rPr>
          <w:rFonts w:asciiTheme="minorHAnsi" w:hAnsiTheme="minorHAnsi" w:cstheme="minorHAnsi"/>
          <w:color w:val="auto"/>
        </w:rPr>
        <w:t xml:space="preserve"> we applied the method to </w:t>
      </w:r>
      <w:r w:rsidR="009C46B9" w:rsidRPr="005B034C">
        <w:rPr>
          <w:rFonts w:asciiTheme="minorHAnsi" w:hAnsiTheme="minorHAnsi" w:cstheme="minorHAnsi"/>
          <w:i/>
          <w:color w:val="auto"/>
        </w:rPr>
        <w:t>JAK2</w:t>
      </w:r>
      <w:r w:rsidR="009C46B9" w:rsidRPr="005B034C">
        <w:rPr>
          <w:rFonts w:asciiTheme="minorHAnsi" w:hAnsiTheme="minorHAnsi" w:cstheme="minorHAnsi"/>
          <w:color w:val="auto"/>
        </w:rPr>
        <w:t xml:space="preserve"> V617F-negative patients with MPN. </w:t>
      </w:r>
    </w:p>
    <w:p w14:paraId="3222EBFD" w14:textId="77777777" w:rsidR="0028061C" w:rsidRPr="005B034C" w:rsidRDefault="0028061C" w:rsidP="006820EA">
      <w:pPr>
        <w:rPr>
          <w:rFonts w:asciiTheme="minorHAnsi" w:hAnsiTheme="minorHAnsi" w:cstheme="minorHAnsi"/>
          <w:color w:val="auto"/>
        </w:rPr>
      </w:pPr>
    </w:p>
    <w:p w14:paraId="27F68203" w14:textId="77777777" w:rsidR="00350F1E" w:rsidRPr="005B034C" w:rsidRDefault="006305D7" w:rsidP="006820EA">
      <w:pPr>
        <w:rPr>
          <w:rFonts w:asciiTheme="minorHAnsi" w:hAnsiTheme="minorHAnsi" w:cstheme="minorHAnsi"/>
          <w:color w:val="auto"/>
        </w:rPr>
      </w:pPr>
      <w:r w:rsidRPr="005B034C">
        <w:rPr>
          <w:rFonts w:asciiTheme="minorHAnsi" w:hAnsiTheme="minorHAnsi" w:cstheme="minorHAnsi"/>
          <w:b/>
          <w:color w:val="auto"/>
        </w:rPr>
        <w:t>INTRODUCTION</w:t>
      </w:r>
      <w:r w:rsidRPr="005B034C">
        <w:rPr>
          <w:rFonts w:asciiTheme="minorHAnsi" w:hAnsiTheme="minorHAnsi" w:cstheme="minorHAnsi"/>
          <w:b/>
          <w:bCs/>
          <w:color w:val="auto"/>
        </w:rPr>
        <w:t>:</w:t>
      </w:r>
      <w:r w:rsidRPr="005B034C">
        <w:rPr>
          <w:rFonts w:asciiTheme="minorHAnsi" w:hAnsiTheme="minorHAnsi" w:cstheme="minorHAnsi"/>
          <w:color w:val="auto"/>
        </w:rPr>
        <w:t xml:space="preserve"> </w:t>
      </w:r>
    </w:p>
    <w:p w14:paraId="28C93A63" w14:textId="31E8343E" w:rsidR="009979DB" w:rsidRPr="005B034C" w:rsidRDefault="00092998" w:rsidP="006820EA">
      <w:pPr>
        <w:rPr>
          <w:rFonts w:cstheme="minorHAnsi"/>
          <w:color w:val="auto"/>
        </w:rPr>
      </w:pPr>
      <w:r w:rsidRPr="005B034C">
        <w:rPr>
          <w:rFonts w:cstheme="minorHAnsi"/>
          <w:color w:val="auto"/>
        </w:rPr>
        <w:t>Somatic genetic variants</w:t>
      </w:r>
      <w:r w:rsidR="009979DB" w:rsidRPr="005B034C">
        <w:rPr>
          <w:rFonts w:cstheme="minorHAnsi"/>
          <w:color w:val="auto"/>
        </w:rPr>
        <w:t xml:space="preserve"> in the calreticulin gene</w:t>
      </w:r>
      <w:r w:rsidR="009979DB" w:rsidRPr="005B034C">
        <w:rPr>
          <w:rFonts w:cstheme="minorHAnsi"/>
          <w:i/>
          <w:color w:val="auto"/>
        </w:rPr>
        <w:t xml:space="preserve"> </w:t>
      </w:r>
      <w:r w:rsidR="009979DB" w:rsidRPr="005B034C">
        <w:rPr>
          <w:rFonts w:cstheme="minorHAnsi"/>
          <w:color w:val="auto"/>
        </w:rPr>
        <w:t>(</w:t>
      </w:r>
      <w:r w:rsidR="009979DB" w:rsidRPr="005B034C">
        <w:rPr>
          <w:rFonts w:cstheme="minorHAnsi"/>
          <w:i/>
          <w:color w:val="auto"/>
        </w:rPr>
        <w:t>CALR</w:t>
      </w:r>
      <w:r w:rsidR="005B034C" w:rsidRPr="005B034C">
        <w:rPr>
          <w:rFonts w:cstheme="minorHAnsi"/>
          <w:color w:val="auto"/>
        </w:rPr>
        <w:t>)</w:t>
      </w:r>
      <w:r w:rsidR="009979DB" w:rsidRPr="005B034C">
        <w:rPr>
          <w:rFonts w:cstheme="minorHAnsi"/>
          <w:color w:val="auto"/>
        </w:rPr>
        <w:t xml:space="preserve"> were recognized in 2013 in </w:t>
      </w:r>
      <w:r w:rsidRPr="005B034C">
        <w:rPr>
          <w:rFonts w:cstheme="minorHAnsi"/>
          <w:color w:val="auto"/>
        </w:rPr>
        <w:t>patients with myeloproliferative neoplasm</w:t>
      </w:r>
      <w:r w:rsidR="00D46489" w:rsidRPr="005B034C">
        <w:rPr>
          <w:rFonts w:cstheme="minorHAnsi"/>
          <w:color w:val="auto"/>
        </w:rPr>
        <w:t>s</w:t>
      </w:r>
      <w:r w:rsidRPr="005B034C">
        <w:rPr>
          <w:rFonts w:cstheme="minorHAnsi"/>
          <w:color w:val="auto"/>
        </w:rPr>
        <w:t xml:space="preserve"> (MPN</w:t>
      </w:r>
      <w:r w:rsidR="005B034C" w:rsidRPr="005B034C">
        <w:rPr>
          <w:rFonts w:cstheme="minorHAnsi"/>
          <w:color w:val="auto"/>
        </w:rPr>
        <w:t>)</w:t>
      </w:r>
      <w:r w:rsidRPr="005B034C">
        <w:rPr>
          <w:rFonts w:cstheme="minorHAnsi"/>
          <w:color w:val="auto"/>
        </w:rPr>
        <w:t xml:space="preserve"> </w:t>
      </w:r>
      <w:r w:rsidR="007B4D36" w:rsidRPr="005B034C">
        <w:rPr>
          <w:rFonts w:cstheme="minorHAnsi"/>
          <w:color w:val="auto"/>
        </w:rPr>
        <w:t xml:space="preserve">such as </w:t>
      </w:r>
      <w:r w:rsidR="009979DB" w:rsidRPr="005B034C">
        <w:rPr>
          <w:rFonts w:cstheme="minorHAnsi"/>
          <w:color w:val="auto"/>
        </w:rPr>
        <w:t>essential thrombocythemia and primary myelofibrosis</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{"citationItems":[{"id":"ITEM-1","itemData":{"DOI":"10.1056/NEJMoa1312542","ISSN":"15334406","abstract":"BACKGROUND: Somatic mutations in the Janus kinase 2 gene (JAK2) occur in many myeloproliferative neoplasms, but the molecular pathogenesis of myeloproliferative neoplasms with nonmutated JAK2 is obscure, and the diagnosis of these neoplasms remains a challenge. METHODS: We performed exome sequencing of samples obtained from 151 patients with myeloproliferative neoplasms. The mutation status of the gene encoding calreticulin (CALR) was assessed in an additional 1345 hematologic cancers, 1517 other cancers, and 550 controls. We established phylogenetic trees using hematopoietic colonies. We assessed calreticulin subcellular localization using immunofluorescence and flow cytometry. RESULTS: Exome sequencing identified 1498 mutations in 151 patients, with medians of 6.5, 6.5, and 13.0 mutations per patient in samples of polycythemia vera, essential thrombocythemia, and myelofibrosis, respectively. Somatic CALR mutations were found in 70 to 84% of samples of myeloproliferative neoplasms with nonmutated JAK2, in 8% of myelodysplasia samples, in occasional samples of other myeloid cancers, and in none of the other cancers. A total of 148 CALR mutations were identified with 19 distinct variants. Mutations were located in exon 9 and generated a +1 base-pair frameshift, which would result in a mutant protein with a novel C-terminal. Mutant calreticulin was observed in the endoplasmic reticulum without increased cell-surface or Golgi accumulation. Patients with myeloproliferative neoplasms carrying CALR mutations presented with higher platelet counts and lower hemoglobin levels than patients with mutated JAK2. Mutation of CALR was detected in hematopoietic stem and progenitor cells. Clonal analyses showed CALR mutations in the earliest phylogenetic node, a finding consistent with its role as an initiating mutation in some patients. CONCLUSIONS: Somatic mutations in the endoplasmic reticulum chaperone CALR were found in a majority of patients with myeloproliferative neoplasms with nonmutated JAK2. (Funded by the Kay Kendall Leukaemia Fund and others.) Copyright © 2013 Massachusetts Medical Society.","author":[{"dropping-particle":"","family":"Nangalia","given":"J.","non-dropping-particle":"","parse-names":false,"suffix":""},{"dropping-particle":"","family":"Massie","given":"C. E.","non-dropping-particle":"","parse-names":false,"suffix":""},{"dropping-particle":"","family":"Baxter","given":"E. J.","non-dropping-particle":"","parse-names":false,"suffix":""},{"dropping-particle":"","family":"Nice","given":"F. L.","non-dropping-particle":"","parse-names":false,"suffix":""},{"dropping-particle":"","family":"Gundem","given":"G.","non-dropping-particle":"","parse-names":false,"suffix":""},{"dropping-particle":"","family":"Wedge","given":"D. C.","non-dropping-particle":"","parse-names":false,"suffix":""},{"dropping-particle":"","family":"Avezov","given":"E.","non-dropping-particle":"","parse-names":false,"suffix":""},{"dropping-particle":"","family":"Li","given":"J.","non-dropping-particle":"","parse-names":false,"suffix":""},{"dropping-particle":"","family":"Kollmann","given":"K.","non-dropping-particle":"","parse-names":false,"suffix":""},{"dropping-particle":"","family":"Kent","given":"D. G.","non-dropping-particle":"","parse-names":false,"suffix":""},{"dropping-particle":"","family":"Aziz","given":"A.","non-dropping-particle":"","parse-names":false,"suffix":""},{"dropping-particle":"","family":"Godfrey","given":"A. L.","non-dropping-particle":"","parse-names":false,"suffix":""},{"dropping-particle":"","family":"Hinton","given":"J.","non-dropping-particle":"","parse-names":false,"suffix":""},{"dropping-particle":"","family":"Martincorena","given":"I.","non-dropping-particle":"","parse-names":false,"suffix":""},{"dropping-particle":"","family":"Loo","given":"P.","non-dropping-particle":"Van","parse-names":false,"suffix":""},{"dropping-particle":"V.","family":"Jones","given":"A.","non-dropping-particle":"","parse-names":false,"suffix":""},{"dropping-particle":"","family":"Guglielmelli","given":"P.","non-dropping-particle":"","parse-names":false,"suffix":""},{"dropping-particle":"","family":"Tarpey","given":"P.","non-dropping-particle":"","parse-names":false,"suffix":""},{"dropping-particle":"","family":"Harding","given":"H. P.","non-dropping-particle":"","parse-names":false,"suffix":""},{"dropping-particle":"","family":"Fitzpatrick","given":"J. D.","non-dropping-particle":"","parse-names":false,"suffix":""},{"dropping-particle":"","family":"Goudie","given":"C. T.","non-dropping-particle":"","parse-names":false,"suffix":""},{"dropping-particle":"","family":"Ortmann","given":"C. A.","non-dropping-particle":"","parse-names":false,"suffix":""},{"dropping-particle":"","family":"Loughran","given":"S. J.","non-dropping-particle":"","parse-names":false,"suffix":""},{"dropping-particle":"","family":"Raine","given":"K.","non-dropping-particle":"","parse-names":false,"suffix":""},{"dropping-particle":"","family":"Jones","given":"D. R.","non-dropping-particle":"","parse-names":false,"suffix":""},{"dropping-particle":"","family":"Butler","given":"A. P.","non-dropping-particle":"","parse-names":false,"suffix":""},{"dropping-particle":"","family":"Teague","given":"J. W.","non-dropping-particle":"","parse-names":false,"suffix":""},{"dropping-particle":"","family":"O'Meara","given":"S.","non-dropping-particle":"","parse-names":false,"suffix":""},{"dropping-particle":"","family":"McLaren","given":"S.","non-dropping-particle":"","parse-names":false,"suffix":""},{"dropping-particle":"","family":"Bianchi","given":"M.","non-dropping-particle":"","parse-names":false,"suffix":""},{"dropping-particle":"","family":"Silber","given":"Y.","non-dropping-particle":"","parse-names":false,"suffix":""},{"dropping-particle":"","family":"Dimitropoulou","given":"D.","non-dropping-particle":"","parse-names":false,"suffix":""},{"dropping-particle":"","family":"Bloxham","given":"D.","non-dropping-particle":"","parse-names":false,"suffix":""},{"dropping-particle":"","family":"Mudie","given":"L.","non-dropping-particle":"","parse-names":false,"suffix":""},{"dropping-particle":"","family":"Maddison","given":"M.","non-dropping-particle":"","parse-names":false,"suffix":""},{"dropping-particle":"","family":"Robinson","given":"B.","non-dropping-particle":"","parse-names":false,"suffix":""},{"dropping-particle":"","family":"Keohane","given":"C.","non-dropping-particle":"","parse-names":false,"suffix":""},{"dropping-particle":"","family":"Maclean","given":"C.","non-dropping-particle":"","parse-names":false,"suffix":""},{"dropping-particle":"","family":"Hill","given":"K.","non-dropping-particle":"","parse-names":false,"suffix":""},{"dropping-particle":"","family":"Orchard","given":"K.","non-dropping-particle":"","parse-names":false,"suffix":""},{"dropping-particle":"","family":"Tauro","given":"S.","non-dropping-particle":"","parse-names":false,"suffix":""},{"dropping-particle":"","family":"Du","given":"M. Q.","non-dropping-particle":"","parse-names":false,"suffix":""},{"dropping-particle":"","family":"Greaves","given":"M.","non-dropping-particle":"","parse-names":false,"suffix":""},{"dropping-particle":"","family":"Bowen","given":"D.","non-dropping-particle":"","parse-names":false,"suffix":""},{"dropping-particle":"","family":"Huntly","given":"B. J.P.","non-dropping-particle":"","parse-names":false,"suffix":""},{"dropping-particle":"","family":"Harrison","given":"C. N.","non-dropping-particle":"","parse-names":false,"suffix":""},{"dropping-particle":"","family":"Cross","given":"N. C.P.","non-dropping-particle":"","parse-names":false,"suffix":""},{"dropping-particle":"","family":"Ron","given":"D.","non-dropping-particle":"","parse-names":false,"suffix":""},{"dropping-particle":"","family":"Vannucchi","given":"A. M.","non-dropping-particle":"","parse-names":false,"suffix":""},{"dropping-particle":"","family":"Papaemmanuil","given":"E.","non-dropping-particle":"","parse-names":false,"suffix":""},{"dropping-particle":"","family":"Campbell","given":"P. J.","non-dropping-particle":"","parse-names":false,"suffix":""},{"dropping-particle":"","family":"Green","given":"A. R.","non-dropping-particle":"","parse-names":false,"suffix":""}],"container-title":"New England Journal of Medicine","id":"ITEM-1","issue":"25","issued":{"date-parts":[["2013","12","10"]]},"note":"doi: 10.1056/NEJMoa1312542","page":"2391-2405","publisher":"Massachusetts Medical Society","title":"Somatic CALR mutations in myeloproliferative neoplasms with nonmutated JAK2","type":"article-journal","volume":"369"},"uris":["http://www.mendeley.com/documents/?uuid=2311e8ee-be80-4726-b97c-0f8c8106fc69"]}],"mendeley":{"formattedCitation":"&lt;sup&gt;1&lt;/sup&gt;","plainTextFormattedCitation":"1","previouslyFormattedCitation":"&lt;sup&gt;1&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noProof/>
          <w:color w:val="auto"/>
          <w:vertAlign w:val="superscript"/>
        </w:rPr>
        <w:t>1</w:t>
      </w:r>
      <w:r w:rsidR="00A34E38" w:rsidRPr="005B034C">
        <w:rPr>
          <w:rStyle w:val="FootnoteReference"/>
          <w:rFonts w:cstheme="minorHAnsi"/>
          <w:color w:val="auto"/>
        </w:rPr>
        <w:fldChar w:fldCharType="end"/>
      </w:r>
      <w:r w:rsidR="00A9662C" w:rsidRPr="005B034C">
        <w:rPr>
          <w:rFonts w:cstheme="minorHAnsi"/>
          <w:color w:val="auto"/>
          <w:vertAlign w:val="superscript"/>
        </w:rPr>
        <w:t>,</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{"citationItems":[{"id":"ITEM-1","itemData":{"DOI":"10.1056/NEJMoa1311347","ISSN":"15334406","abstract":"BACKGROUND: Approximately 50 to 60% of patients with essential thrombocythemia or primary myelofibrosis carry a mutation in the Janus kinase 2 gene (JAK2), and an additional 5 to 10% have activating mutations in the thrombopoietin receptor gene (MPL). So far, no specific molecular marker has been identified in the remaining 30 to 45% of patients. METHODS: We performed whole-exome sequencing to identify somatically acquired mutations in six patients who had primary myelofibrosis without mutations in JAK2 or MPL. Resequencing of CALR, encoding calreticulin, was then performed in cohorts of patients with myeloid neoplasms. RESULTS: Somatic insertions or deletions in exon 9 of CALR were detected in all patients who underwent whole-exome sequencing. Resequencing in 1107 samples from patients with myeloproliferative neoplasms showed that CALR mutations were absent in polycythemia vera. In essential thrombocythemia and primary myelofibrosis, CALR mutations and JAK2 and MPL mutations were mutually exclusive. Among patients with essential thrombocythemia or primary myelofibrosis with nonmutated JAK2 or MPL, CALR mutations were detected in 67% of those with essential thrombocythemia and 88% of those with primary myelofibrosis. A total of 36 types of insertions or deletions were identified that all cause a frameshift to the same alternative reading frame and generate a novel C-terminal peptide in the mutant calreticulin. Overexpression of the most frequent CALR deletion caused cytokine-independent growth in vitro owing to the activation of signal transducer and activator of transcription 5 (STAT5) by means of an unknown mechanism. Patients with mutated CALR had a lower risk of thrombosis and longer overall survival than patients with mutated JAK2. CONCLUSIONS: Most patients with essential thrombocythemia or primary myelofibrosis that was not associated with a JAK2 or MPL alteration carried a somatic mutation in CALR. The clinical course in these patients was more indolent than that in patients with the JAK2 V617F mutation. (Funded by the MPN Research Foundation and Associazione Italiana per la Ricerca sul Cancro.) Copyright © 2013 Massachusetts Medical Society. All rights reserved.","author":[{"dropping-particle":"","family":"Klampfl","given":"Thorsten","non-dropping-particle":"","parse-names":false,"suffix":""},{"dropping-particle":"","family":"Gisslinger","given":"Heinz","non-dropping-particle":"","parse-names":false,"suffix":""},{"dropping-particle":"","family":"Harutyunyan","given":"Ashot S.","non-dropping-particle":"","parse-names":false,"suffix":""},{"dropping-particle":"","family":"Nivarthi","given":"Harini","non-dropping-particle":"","parse-names":false,"suffix":""},{"dropping-particle":"","family":"Rumi","given":"Elisa","non-dropping-particle":"","parse-names":false,"suffix":""},{"dropping-particle":"","family":"Milosevic","given":"Jelena D.","non-dropping-particle":"","parse-names":false,"suffix":""},{"dropping-particle":"","family":"Them","given":"Nicole C.C.","non-dropping-particle":"","parse-names":false,"suffix":""},{"dropping-particle":"","family":"Berg","given":"Tiina","non-dropping-particle":"","parse-names":false,"suffix":""},{"dropping-particle":"","family":"Gisslinger","given":"Bettina","non-dropping-particle":"","parse-names":false,"suffix":""},{"dropping-particle":"","family":"Pietra","given":"Daniela","non-dropping-particle":"","parse-names":false,"suffix":""},{"dropping-particle":"","family":"Chen","given":"Doris","non-dropping-particle":"","parse-names":false,"suffix":""},{"dropping-particle":"","family":"Vladimer","given":"Gregory I.","non-dropping-particle":"","parse-names":false,"suffix":""},{"dropping-particle":"","family":"Bagienski","given":"Klaudia","non-dropping-particle":"","parse-names":false,"suffix":""},{"dropping-particle":"","family":"Milanesi","given":"Chiara","non-dropping-particle":"","parse-names":false,"suffix":""},{"dropping-particle":"","family":"Casetti","given":"Ilaria Carola","non-dropping-particle":"","parse-names":false,"suffix":""},{"dropping-particle":"","family":"Sant'Antonio","given":"Emanuela","non-dropping-particle":"","parse-names":false,"suffix":""},{"dropping-particle":"","family":"Ferretti","given":"Virginia","non-dropping-particle":"","parse-names":false,"suffix":""},{"dropping-particle":"","family":"Elena","given":"Chiara","non-dropping-particle":"","parse-names":false,"suffix":""},{"dropping-particle":"","family":"Schischlik","given":"Fiorella","non-dropping-particle":"","parse-names":false,"suffix":""},{"dropping-particle":"","family":"Cleary","given":"Ciara","non-dropping-particle":"","parse-names":false,"suffix":""},{"dropping-particle":"","family":"Six","given":"Melanie","non-dropping-particle":"","parse-names":false,"suffix":""},{"dropping-particle":"","family":"Schalling","given":"Martin","non-dropping-particle":"","parse-names":false,"suffix":""},{"dropping-particle":"","family":"Schon̈egger","given":"Andreas","non-dropping-particle":"","parse-names":false,"suffix":""},{"dropping-particle":"","family":"Bock","given":"Christoph","non-dropping-particle":"","parse-names":false,"suffix":""},{"dropping-particle":"","family":"Malcovati","given":"Luca","non-dropping-particle":"","parse-names":false,"suffix":""},{"dropping-particle":"","family":"Pascutto","given":"Cristiana","non-dropping-particle":"","parse-names":false,"suffix":""},{"dropping-particle":"","family":"Superti-Furga","given":"Giulio","non-dropping-particle":"","parse-names":false,"suffix":""},{"dropping-particle":"","family":"Cazzola","given":"Mario","non-dropping-particle":"","parse-names":false,"suffix":""},{"dropping-particle":"","family":"Kralovics","given":"Robert","non-dropping-particle":"","parse-names":false,"suffix":""}],"container-title":"New England Journal of Medicine","id":"ITEM-1","issue":"25","issued":{"date-parts":[["2013","12","10"]]},"note":"doi: 10.1056/NEJMoa1311347","page":"2379-2390","publisher":"Massachusetts Medical Society","title":"Somatic mutations of calreticulin in myeloproliferative neoplasms","type":"article-journal","volume":"369"},"uris":["http://www.mendeley.com/documents/?uuid=46462d5d-d6a7-49fa-a943-79a4681a3d9c"]}],"mendeley":{"formattedCitation":"&lt;sup&gt;2&lt;/sup&gt;","plainTextFormattedCitation":"2","previouslyFormattedCitation":"&lt;sup&gt;2&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noProof/>
          <w:color w:val="auto"/>
          <w:vertAlign w:val="superscript"/>
        </w:rPr>
        <w:t>2</w:t>
      </w:r>
      <w:r w:rsidR="00A34E38" w:rsidRPr="005B034C">
        <w:rPr>
          <w:rStyle w:val="FootnoteReference"/>
          <w:rFonts w:cstheme="minorHAnsi"/>
          <w:color w:val="auto"/>
        </w:rPr>
        <w:fldChar w:fldCharType="end"/>
      </w:r>
      <w:r w:rsidR="00A9662C" w:rsidRPr="005B034C">
        <w:rPr>
          <w:rFonts w:cstheme="minorHAnsi"/>
          <w:color w:val="auto"/>
        </w:rPr>
        <w:t>.</w:t>
      </w:r>
      <w:r w:rsidR="009979DB" w:rsidRPr="005B034C">
        <w:rPr>
          <w:rFonts w:cstheme="minorHAnsi"/>
          <w:color w:val="auto"/>
        </w:rPr>
        <w:t xml:space="preserve"> Since then, more than 50 </w:t>
      </w:r>
      <w:r w:rsidRPr="005B034C">
        <w:rPr>
          <w:rFonts w:cstheme="minorHAnsi"/>
          <w:color w:val="auto"/>
        </w:rPr>
        <w:t>genetic variants</w:t>
      </w:r>
      <w:r w:rsidR="009979DB" w:rsidRPr="005B034C">
        <w:rPr>
          <w:rFonts w:cstheme="minorHAnsi"/>
          <w:color w:val="auto"/>
        </w:rPr>
        <w:t xml:space="preserve"> in the </w:t>
      </w:r>
      <w:r w:rsidR="009979DB" w:rsidRPr="005B034C">
        <w:rPr>
          <w:rFonts w:cstheme="minorHAnsi"/>
          <w:i/>
          <w:color w:val="auto"/>
        </w:rPr>
        <w:t>CALR</w:t>
      </w:r>
      <w:r w:rsidR="009979DB" w:rsidRPr="005B034C">
        <w:rPr>
          <w:rFonts w:cstheme="minorHAnsi"/>
          <w:color w:val="auto"/>
        </w:rPr>
        <w:t xml:space="preserve"> gene have been discovered</w:t>
      </w:r>
      <w:r w:rsidR="009979DB" w:rsidRPr="005B034C">
        <w:rPr>
          <w:rFonts w:eastAsia="Calibri" w:cstheme="minorHAnsi"/>
          <w:color w:val="auto"/>
        </w:rPr>
        <w:t>,</w:t>
      </w:r>
      <w:r w:rsidR="009979DB" w:rsidRPr="005B034C">
        <w:rPr>
          <w:rFonts w:cstheme="minorHAnsi"/>
          <w:color w:val="auto"/>
        </w:rPr>
        <w:t xml:space="preserve"> inducing a +1 (−1+2</w:t>
      </w:r>
      <w:r w:rsidR="005B034C" w:rsidRPr="005B034C">
        <w:rPr>
          <w:rFonts w:cstheme="minorHAnsi"/>
          <w:color w:val="auto"/>
        </w:rPr>
        <w:t>)</w:t>
      </w:r>
      <w:r w:rsidR="009979DB" w:rsidRPr="005B034C">
        <w:rPr>
          <w:rFonts w:cstheme="minorHAnsi"/>
          <w:color w:val="auto"/>
        </w:rPr>
        <w:t xml:space="preserve"> frameshift</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{"citationItems":[{"id":"ITEM-1","itemData":{"DOI":"10.1182/blood-2016-10-695940","ISSN":"15280020","abstract":"The genetic landscape of classicalmyeloproliferative neoplasm (MPN) is in large part elucidated. The MPN-restricted driver mutations, including those in JAK2, calreticulin (CALR), and myeloproliferative leukemia virus (MPL), abnormally activate the cytokine receptor/JAK2 pathway and their downstreameffectors, more particularlytheSTATs. The most frequent mutation, JAK2V617F, activates the 3 main myeloid cytokine receptors (erythropoietin receptor, granulocyte colony-stimulating factor receptor, and MPL) whereas CALR or MPL mutants are restricted to MPL activation. This explains why JAK2V617F is associated with polycythemia vera, essential thrombocythemia (ET), and primarymyelofibrosis (PMF)whereas CALR and MPL mutants are found in ET and PMF. Othermutations in genes involved in epigenetic regulation, splicing, and signaling cooperatewiththe3MPNdriversandplayakey role in the PMF pathogenesis. Mutations in epigenetic regulatorsTET2andDNMT3Aare involved in disease initiation and may precede the acquisition of JAK2V617F. Other mutations in epigenetic regulators such as EZH2 and ASXL1 also play a role in disease initiation and disease progression. Mutations in the splicing machinery are predominantly foundinPMFandare implicated inthe development of anemia or pancytopenia. Both heterogeneity of classical MPNs and prognosis are determined by a specific genomic landscape, that is, type of MPN driver mutations, association with other mutations, and their order of acquisition. However, factors other than somatic mutations play an important role in disease initiation as well as disease progression such as germ line predisposition, inflammation, and aging. Delineation of these environmental factors will be important to better understand the precise pathogenesis of MPN.","author":[{"dropping-particle":"","family":"Vainchenker","given":"William","non-dropping-particle":"","parse-names":false,"suffix":""},{"dropping-particle":"","family":"Kralovics","given":"Robert","non-dropping-particle":"","parse-names":false,"suffix":""}],"container-title":"Blood","id":"ITEM-1","issue":"6","issued":{"date-parts":[["2017","2","9"]]},"page":"667-679","title":"Genetic basis and molecular pathophysiology of classical myeloproliferative neoplasms","type":"article-journal","volume":"129"},"uris":["http://www.mendeley.com/documents/?uuid=be1c7ef6-bcc3-4f45-b866-5df34cd423a9"]}],"mendeley":{"formattedCitation":"&lt;sup&gt;3&lt;/sup&gt;","plainTextFormattedCitation":"3","previouslyFormattedCitation":"&lt;sup&gt;3&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noProof/>
          <w:color w:val="auto"/>
          <w:vertAlign w:val="superscript"/>
        </w:rPr>
        <w:t>3</w:t>
      </w:r>
      <w:r w:rsidR="00A34E38" w:rsidRPr="005B034C">
        <w:rPr>
          <w:rStyle w:val="FootnoteReference"/>
          <w:rFonts w:cstheme="minorHAnsi"/>
          <w:color w:val="auto"/>
        </w:rPr>
        <w:fldChar w:fldCharType="end"/>
      </w:r>
      <w:r w:rsidR="009979DB" w:rsidRPr="005B034C">
        <w:rPr>
          <w:rFonts w:cstheme="minorHAnsi"/>
          <w:color w:val="auto"/>
        </w:rPr>
        <w:t xml:space="preserve">. The two most frequent </w:t>
      </w:r>
      <w:r w:rsidR="009979DB" w:rsidRPr="005B034C">
        <w:rPr>
          <w:rFonts w:cstheme="minorHAnsi"/>
          <w:i/>
          <w:color w:val="auto"/>
        </w:rPr>
        <w:t>CALR</w:t>
      </w:r>
      <w:r w:rsidR="009979DB" w:rsidRPr="005B034C">
        <w:rPr>
          <w:rFonts w:cstheme="minorHAnsi"/>
          <w:color w:val="auto"/>
        </w:rPr>
        <w:t xml:space="preserve"> </w:t>
      </w:r>
      <w:r w:rsidR="00C8374B" w:rsidRPr="005B034C">
        <w:rPr>
          <w:rFonts w:cstheme="minorHAnsi"/>
          <w:color w:val="auto"/>
        </w:rPr>
        <w:t>genetic variants</w:t>
      </w:r>
      <w:r w:rsidR="009979DB" w:rsidRPr="005B034C">
        <w:rPr>
          <w:rFonts w:cstheme="minorHAnsi"/>
          <w:color w:val="auto"/>
        </w:rPr>
        <w:t xml:space="preserve"> are a 52 bp deletion</w:t>
      </w:r>
      <w:r w:rsidRPr="005B034C">
        <w:rPr>
          <w:rFonts w:cstheme="minorHAnsi"/>
          <w:color w:val="auto"/>
        </w:rPr>
        <w:t xml:space="preserve"> (NM_004343.3 (</w:t>
      </w:r>
      <w:r w:rsidRPr="005B034C">
        <w:rPr>
          <w:rFonts w:cstheme="minorHAnsi"/>
          <w:i/>
          <w:iCs/>
          <w:color w:val="auto"/>
        </w:rPr>
        <w:t>CALR</w:t>
      </w:r>
      <w:r w:rsidR="005B034C" w:rsidRPr="005B034C">
        <w:rPr>
          <w:rFonts w:cstheme="minorHAnsi"/>
          <w:color w:val="auto"/>
        </w:rPr>
        <w:t>)</w:t>
      </w:r>
      <w:r w:rsidRPr="005B034C">
        <w:rPr>
          <w:rFonts w:cstheme="minorHAnsi"/>
          <w:color w:val="auto"/>
        </w:rPr>
        <w:t>:c.1099_1150del52, p.(Leu367Thrfs*46</w:t>
      </w:r>
      <w:r w:rsidR="005B034C" w:rsidRPr="005B034C">
        <w:rPr>
          <w:rFonts w:cstheme="minorHAnsi"/>
          <w:color w:val="auto"/>
        </w:rPr>
        <w:t>))</w:t>
      </w:r>
      <w:r w:rsidR="009979DB" w:rsidRPr="005B034C">
        <w:rPr>
          <w:rFonts w:cstheme="minorHAnsi"/>
          <w:color w:val="auto"/>
        </w:rPr>
        <w:t>, also called type 1</w:t>
      </w:r>
      <w:r w:rsidR="00D46489" w:rsidRPr="005B034C">
        <w:rPr>
          <w:rFonts w:cstheme="minorHAnsi"/>
          <w:color w:val="auto"/>
        </w:rPr>
        <w:t xml:space="preserve"> mutation</w:t>
      </w:r>
      <w:r w:rsidR="009979DB" w:rsidRPr="005B034C">
        <w:rPr>
          <w:rFonts w:cstheme="minorHAnsi"/>
          <w:color w:val="auto"/>
        </w:rPr>
        <w:t>, and a 5 bp insertion</w:t>
      </w:r>
      <w:r w:rsidRPr="005B034C">
        <w:rPr>
          <w:rFonts w:cstheme="minorHAnsi"/>
          <w:color w:val="auto"/>
        </w:rPr>
        <w:t xml:space="preserve"> (NM_004343.3 (</w:t>
      </w:r>
      <w:r w:rsidRPr="005B034C">
        <w:rPr>
          <w:rFonts w:cstheme="minorHAnsi"/>
          <w:i/>
          <w:iCs/>
          <w:color w:val="auto"/>
        </w:rPr>
        <w:t>CALR</w:t>
      </w:r>
      <w:r w:rsidR="005B034C" w:rsidRPr="005B034C">
        <w:rPr>
          <w:rFonts w:cstheme="minorHAnsi"/>
          <w:color w:val="auto"/>
        </w:rPr>
        <w:t>)</w:t>
      </w:r>
      <w:r w:rsidRPr="005B034C">
        <w:rPr>
          <w:rFonts w:cstheme="minorHAnsi"/>
          <w:color w:val="auto"/>
        </w:rPr>
        <w:t>:c.1154_1155insTTGTC, p.(Lys385Asnfs*47</w:t>
      </w:r>
      <w:r w:rsidR="005B034C" w:rsidRPr="005B034C">
        <w:rPr>
          <w:rFonts w:cstheme="minorHAnsi"/>
          <w:color w:val="auto"/>
        </w:rPr>
        <w:t>))</w:t>
      </w:r>
      <w:r w:rsidR="009979DB" w:rsidRPr="005B034C">
        <w:rPr>
          <w:rFonts w:cstheme="minorHAnsi"/>
          <w:color w:val="auto"/>
        </w:rPr>
        <w:t>, also called type 2</w:t>
      </w:r>
      <w:r w:rsidR="00D46489" w:rsidRPr="005B034C">
        <w:rPr>
          <w:rFonts w:cstheme="minorHAnsi"/>
          <w:color w:val="auto"/>
        </w:rPr>
        <w:t xml:space="preserve"> mutation</w:t>
      </w:r>
      <w:r w:rsidR="009979DB" w:rsidRPr="005B034C">
        <w:rPr>
          <w:rFonts w:cstheme="minorHAnsi"/>
          <w:color w:val="auto"/>
        </w:rPr>
        <w:t xml:space="preserve">. These two </w:t>
      </w:r>
      <w:r w:rsidR="00C8374B" w:rsidRPr="005B034C">
        <w:rPr>
          <w:rFonts w:cstheme="minorHAnsi"/>
          <w:color w:val="auto"/>
        </w:rPr>
        <w:t xml:space="preserve">genetic variants </w:t>
      </w:r>
      <w:r w:rsidR="009979DB" w:rsidRPr="005B034C">
        <w:rPr>
          <w:rFonts w:cstheme="minorHAnsi"/>
          <w:color w:val="auto"/>
        </w:rPr>
        <w:t xml:space="preserve">represent 80% of all </w:t>
      </w:r>
      <w:r w:rsidR="009979DB" w:rsidRPr="005B034C">
        <w:rPr>
          <w:rFonts w:cstheme="minorHAnsi"/>
          <w:i/>
          <w:color w:val="auto"/>
        </w:rPr>
        <w:t>CALR</w:t>
      </w:r>
      <w:r w:rsidR="009979DB" w:rsidRPr="005B034C">
        <w:rPr>
          <w:rFonts w:cstheme="minorHAnsi"/>
          <w:color w:val="auto"/>
        </w:rPr>
        <w:t xml:space="preserve"> </w:t>
      </w:r>
      <w:r w:rsidRPr="005B034C">
        <w:rPr>
          <w:rFonts w:cstheme="minorHAnsi"/>
          <w:color w:val="auto"/>
        </w:rPr>
        <w:t>genetic variants</w:t>
      </w:r>
      <w:r w:rsidR="009979DB" w:rsidRPr="005B034C">
        <w:rPr>
          <w:rFonts w:cstheme="minorHAnsi"/>
          <w:color w:val="auto"/>
        </w:rPr>
        <w:t xml:space="preserve">. The other </w:t>
      </w:r>
      <w:r w:rsidRPr="005B034C">
        <w:rPr>
          <w:rFonts w:cstheme="minorHAnsi"/>
          <w:color w:val="auto"/>
        </w:rPr>
        <w:t>ones</w:t>
      </w:r>
      <w:r w:rsidR="009979DB" w:rsidRPr="005B034C">
        <w:rPr>
          <w:rFonts w:cstheme="minorHAnsi"/>
          <w:color w:val="auto"/>
        </w:rPr>
        <w:t xml:space="preserve"> have been classified as type 1–like or type 2–like using algorithms based on the preservation of an α helix close to wild type CALR</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{"citationItems":[{"id":"ITEM-1","itemData":{"DOI":"10.1038/leu.2015.277","ISSN":"14765551","abstract":"A quarter of patients with essential thrombocythemia or primary myelofibrosis carry a driver mutation of CALR, the calreticulin gene. A 52-bp deletion (type 1) and a 5-bp insertion (type 2 mutation) are the most frequent variants. These indels might differentially impair the calcium binding activity of mutant calreticulin. We studied the relationship between mutation subtype and biological/clinical features of the disease. Thirty-two different types of CALR variants were identified in 311 patients. Based on their predicted effect on calreticulin C-terminal, mutations were classified as: (i) type 1-like (65%); (ii) type 2-like (32%); and (iii) other types (3%). Corresponding CALR mutants had significantly different estimated isoelectric points. Patients with type 1 mutation, but not those with type 2, showed abnormal cytosolic calcium signals in cultured megakaryocytes. Type 1-like mutations were mainly associated with a myelofibrosis phenotype and a significantly higher risk of myelofibrotic transformation in essential thrombocythemia. Type 2-like CALR mutations were preferentially associated with an essential thrombocythemia phenotype, low risk of thrombosis despite very-high platelet counts and indolent clinical course. Thus, mutation subtype contributes to determining clinical phenotype and outcomes in CALR-mutant myeloproliferative neoplasms. CALR variants that markedly impair the calcium binding activity of mutant calreticulin are mainly associated with a myelofibrosis phenotype.","author":[{"dropping-particle":"","family":"Pietra","given":"D.","non-dropping-particle":"","parse-names":false,"suffix":""},{"dropping-particle":"","family":"Rumi","given":"E.","non-dropping-particle":"","parse-names":false,"suffix":""},{"dropping-particle":"V.","family":"Ferretti","given":"V.","non-dropping-particle":"","parse-names":false,"suffix":""},{"dropping-particle":"","family":"Buduo","given":"C. A.","non-dropping-particle":"Di","parse-names":false,"suffix":""},{"dropping-particle":"","family":"Milanesi","given":"C.","non-dropping-particle":"","parse-names":false,"suffix":""},{"dropping-particle":"","family":"Cavalloni","given":"C.","non-dropping-particle":"","parse-names":false,"suffix":""},{"dropping-particle":"","family":"Sant'Antonio","given":"E.","non-dropping-particle":"","parse-names":false,"suffix":""},{"dropping-particle":"","family":"Abbonante","given":"V.","non-dropping-particle":"","parse-names":false,"suffix":""},{"dropping-particle":"","family":"Moccia","given":"F.","non-dropping-particle":"","parse-names":false,"suffix":""},{"dropping-particle":"","family":"Casetti","given":"I. C.","non-dropping-particle":"","parse-names":false,"suffix":""},{"dropping-particle":"","family":"Bellini","given":"M.","non-dropping-particle":"","parse-names":false,"suffix":""},{"dropping-particle":"","family":"Renna","given":"M. C.","non-dropping-particle":"","parse-names":false,"suffix":""},{"dropping-particle":"","family":"Roncoroni","given":"E.","non-dropping-particle":"","parse-names":false,"suffix":""},{"dropping-particle":"","family":"Fugazza","given":"E.","non-dropping-particle":"","parse-names":false,"suffix":""},{"dropping-particle":"","family":"Astori","given":"C.","non-dropping-particle":"","parse-names":false,"suffix":""},{"dropping-particle":"","family":"Boveri","given":"E.","non-dropping-particle":"","parse-names":false,"suffix":""},{"dropping-particle":"","family":"Rosti","given":"V.","non-dropping-particle":"","parse-names":false,"suffix":""},{"dropping-particle":"","family":"Barosi","given":"G.","non-dropping-particle":"","parse-names":false,"suffix":""},{"dropping-particle":"","family":"Balduini","given":"A.","non-dropping-particle":"","parse-names":false,"suffix":""},{"dropping-particle":"","family":"Cazzola","given":"M.","non-dropping-particle":"","parse-names":false,"suffix":""}],"container-title":"Leukemia","id":"ITEM-1","issue":"2","issued":{"date-parts":[["2016"]]},"page":"431-438","title":"Differential clinical effects of different mutation subtypes in CALR-mutant myeloproliferative neoplasms","type":"article-journal","volume":"30"},"uris":["http://www.mendeley.com/documents/?uuid=ce8488d3-9c88-4907-85f8-1deb8a2aec1d"]}],"mendeley":{"formattedCitation":"&lt;sup&gt;4&lt;/sup&gt;","plainTextFormattedCitation":"4","previouslyFormattedCitation":"&lt;sup&gt;4&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bCs/>
          <w:noProof/>
          <w:color w:val="auto"/>
          <w:vertAlign w:val="superscript"/>
          <w:lang w:val="sl-SI"/>
        </w:rPr>
        <w:t>4</w:t>
      </w:r>
      <w:r w:rsidR="00A34E38" w:rsidRPr="005B034C">
        <w:rPr>
          <w:rStyle w:val="FootnoteReference"/>
          <w:rFonts w:cstheme="minorHAnsi"/>
          <w:color w:val="auto"/>
        </w:rPr>
        <w:fldChar w:fldCharType="end"/>
      </w:r>
      <w:r w:rsidR="009979DB" w:rsidRPr="005B034C">
        <w:rPr>
          <w:rFonts w:cstheme="minorHAnsi"/>
          <w:color w:val="auto"/>
        </w:rPr>
        <w:t xml:space="preserve">. Here, we present one of the highly sensitive and rapid methods for </w:t>
      </w:r>
      <w:r w:rsidR="009979DB" w:rsidRPr="005B034C">
        <w:rPr>
          <w:rFonts w:cstheme="minorHAnsi"/>
          <w:i/>
          <w:color w:val="auto"/>
        </w:rPr>
        <w:t>CALR</w:t>
      </w:r>
      <w:r w:rsidR="009979DB" w:rsidRPr="005B034C">
        <w:rPr>
          <w:rFonts w:cstheme="minorHAnsi"/>
          <w:color w:val="auto"/>
        </w:rPr>
        <w:t xml:space="preserve"> </w:t>
      </w:r>
      <w:r w:rsidR="00C8374B" w:rsidRPr="005B034C">
        <w:rPr>
          <w:rFonts w:cstheme="minorHAnsi"/>
          <w:color w:val="auto"/>
        </w:rPr>
        <w:t>genetic variant</w:t>
      </w:r>
      <w:r w:rsidR="009979DB" w:rsidRPr="005B034C">
        <w:rPr>
          <w:rFonts w:cstheme="minorHAnsi"/>
          <w:color w:val="auto"/>
        </w:rPr>
        <w:t xml:space="preserve"> detection, the </w:t>
      </w:r>
      <w:proofErr w:type="gramStart"/>
      <w:r w:rsidR="007B4D36" w:rsidRPr="005B034C">
        <w:rPr>
          <w:rFonts w:cstheme="minorHAnsi"/>
          <w:color w:val="auto"/>
        </w:rPr>
        <w:t>h</w:t>
      </w:r>
      <w:r w:rsidR="009979DB" w:rsidRPr="005B034C">
        <w:rPr>
          <w:rFonts w:cstheme="minorHAnsi"/>
          <w:color w:val="auto"/>
        </w:rPr>
        <w:t xml:space="preserve">igh </w:t>
      </w:r>
      <w:r w:rsidR="007B4D36" w:rsidRPr="005B034C">
        <w:rPr>
          <w:rFonts w:cstheme="minorHAnsi"/>
          <w:color w:val="auto"/>
        </w:rPr>
        <w:t>r</w:t>
      </w:r>
      <w:r w:rsidR="009979DB" w:rsidRPr="005B034C">
        <w:rPr>
          <w:rFonts w:cstheme="minorHAnsi"/>
          <w:color w:val="auto"/>
        </w:rPr>
        <w:t>esolution</w:t>
      </w:r>
      <w:proofErr w:type="gramEnd"/>
      <w:r w:rsidR="009979DB" w:rsidRPr="005B034C">
        <w:rPr>
          <w:rFonts w:cstheme="minorHAnsi"/>
          <w:color w:val="auto"/>
        </w:rPr>
        <w:t xml:space="preserve"> </w:t>
      </w:r>
      <w:r w:rsidR="007B4D36" w:rsidRPr="005B034C">
        <w:rPr>
          <w:rFonts w:cstheme="minorHAnsi"/>
          <w:color w:val="auto"/>
        </w:rPr>
        <w:t>m</w:t>
      </w:r>
      <w:r w:rsidR="009979DB" w:rsidRPr="005B034C">
        <w:rPr>
          <w:rFonts w:cstheme="minorHAnsi"/>
          <w:color w:val="auto"/>
        </w:rPr>
        <w:t>elt</w:t>
      </w:r>
      <w:r w:rsidR="007B4D36" w:rsidRPr="005B034C">
        <w:rPr>
          <w:rFonts w:cstheme="minorHAnsi"/>
          <w:color w:val="auto"/>
        </w:rPr>
        <w:t xml:space="preserve">ing analysis </w:t>
      </w:r>
      <w:r w:rsidR="009979DB" w:rsidRPr="005B034C">
        <w:rPr>
          <w:rFonts w:cstheme="minorHAnsi"/>
          <w:color w:val="auto"/>
        </w:rPr>
        <w:t>method</w:t>
      </w:r>
      <w:r w:rsidR="007B4D36" w:rsidRPr="005B034C">
        <w:rPr>
          <w:rFonts w:cstheme="minorHAnsi"/>
          <w:color w:val="auto"/>
        </w:rPr>
        <w:t xml:space="preserve"> (HRM</w:t>
      </w:r>
      <w:r w:rsidR="005B034C" w:rsidRPr="005B034C">
        <w:rPr>
          <w:rFonts w:cstheme="minorHAnsi"/>
          <w:color w:val="auto"/>
        </w:rPr>
        <w:t>)</w:t>
      </w:r>
      <w:r w:rsidR="009979DB" w:rsidRPr="005B034C">
        <w:rPr>
          <w:rFonts w:cstheme="minorHAnsi"/>
          <w:color w:val="auto"/>
        </w:rPr>
        <w:t xml:space="preserve">. This method enables the rapid detection of type 1 and type 2 </w:t>
      </w:r>
      <w:r w:rsidR="007B4D36" w:rsidRPr="005B034C">
        <w:rPr>
          <w:rFonts w:cstheme="minorHAnsi"/>
          <w:color w:val="auto"/>
        </w:rPr>
        <w:t>genetic variants</w:t>
      </w:r>
      <w:r w:rsidR="009979DB" w:rsidRPr="005B034C">
        <w:rPr>
          <w:rFonts w:cstheme="minorHAnsi"/>
          <w:color w:val="auto"/>
        </w:rPr>
        <w:t xml:space="preserve">, which represent the majority of </w:t>
      </w:r>
      <w:r w:rsidR="009979DB" w:rsidRPr="005B034C">
        <w:rPr>
          <w:rFonts w:cstheme="minorHAnsi"/>
          <w:i/>
          <w:color w:val="auto"/>
        </w:rPr>
        <w:t>CALR</w:t>
      </w:r>
      <w:r w:rsidR="009979DB" w:rsidRPr="005B034C">
        <w:rPr>
          <w:rFonts w:cstheme="minorHAnsi"/>
          <w:color w:val="auto"/>
        </w:rPr>
        <w:t xml:space="preserve"> mutations</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{"citationItems":[{"id":"ITEM-1","itemData":{"DOI":"10.1016/j.cca.2014.11.011","ISSN":"18733492","abstract":"Background: Somatic CALR exon 9 mutations have recently been identified in patients with JAK2/. MPL-unmutated myeloproliferative neoplasm, and have become an important clonal marker for the diagnosis of essential thrombocythemia (ET) and primary myelofibrosis. In the present study, we sought to use high-resolution melting analysis (HRMA) as a screening method for the detection of CALR mutations. Methods: 32 JAK2/. MPL-unmutated ET patients were retrospectively enrolled and 8 healthy adults were used as wild-type control. CALR exon 9 mutation was independently screened by HRMA with the CFX Connect real-time system and Sanger sequencing. TA-cloning was used to detect CALR exon 9 mutations in patients suspected to have low mutant allele burden. Results: The maximal sensitivity of HRMA in identifying both CALR type 1 and type 2 mutants from patients' genomic DNA was 2.5%. Twenty-two samples were found to have distinct melting curves from wild-type. The presence of CALR mutations in 16 of these 22 samples was confirmed by Sanger sequencing, while the other 6 samples were wild-type by sequencing. After TA-cloning, CALR mutations were detected in 5 of 6 patients from 1 (6%) of 16 clones to 1 (2%) of 50 clones. Therefore, HRMA identified CALR mutations in 21 (65.6%) of 32 ET patients compared to 16 (50%) patients by Sanger sequencing, with a false positive rate of 3% and no false negative. Conclusion: The HRMA developed in our system is a rapid and sensitive technique for the detection of CALR exon 9 mutations.","author":[{"dropping-particle":"","family":"Lim","given":"Ken Hong","non-dropping-particle":"","parse-names":false,"suffix":""},{"dropping-particle":"","family":"Lin","given":"Huan Chau","non-dropping-particle":"","parse-names":false,"suffix":""},{"dropping-particle":"","family":"Chen","given":"Caleb Gon Shen","non-dropping-particle":"","parse-names":false,"suffix":""},{"dropping-particle":"","family":"Wang","given":"Wei Ting","non-dropping-particle":"","parse-names":false,"suffix":""},{"dropping-particle":"","family":"Chang","given":"Yu Cheng","non-dropping-particle":"","parse-names":false,"suffix":""},{"dropping-particle":"","family":"Chiang","given":"Yi Hao","non-dropping-particle":"","parse-names":false,"suffix":""},{"dropping-particle":"","family":"Lin","given":"Ching Sung","non-dropping-particle":"","parse-names":false,"suffix":""},{"dropping-particle":"","family":"Su","given":"Nai Wen","non-dropping-particle":"","parse-names":false,"suffix":""},{"dropping-particle":"","family":"Su","given":"Ying Wen","non-dropping-particle":"","parse-names":false,"suffix":""},{"dropping-particle":"","family":"Lin","given":"Johnson","non-dropping-particle":"","parse-names":false,"suffix":""},{"dropping-particle":"","family":"Chang","given":"Yi Fang","non-dropping-particle":"","parse-names":false,"suffix":""},{"dropping-particle":"","family":"Chang","given":"Ming Chih","non-dropping-particle":"","parse-names":false,"suffix":""},{"dropping-particle":"","family":"Hsieh","given":"Ruey Kuen","non-dropping-particle":"","parse-names":false,"suffix":""},{"dropping-particle":"","family":"Kuo","given":"Yuan Yeh","non-dropping-particle":"","parse-names":false,"suffix":""},{"dropping-particle":"","family":"Chou","given":"Wen Chien","non-dropping-particle":"","parse-names":false,"suffix":""}],"container-title":"Clinica Chimica Acta","id":"ITEM-1","issued":{"date-parts":[["2015"]]},"page":"133-139","title":"Rapid and sensitive detection of CALR exon 9 mutations using high-resolution melting analysis","type":"article-journal","volume":"440"},"uris":["http://www.mendeley.com/documents/?uuid=b62d2b1c-e0c0-4bcb-aa97-54db7652d3ef"]}],"mendeley":{"formattedCitation":"&lt;sup&gt;5&lt;/sup&gt;","plainTextFormattedCitation":"5","previouslyFormattedCitation":"&lt;sup&gt;5&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noProof/>
          <w:color w:val="auto"/>
          <w:vertAlign w:val="superscript"/>
        </w:rPr>
        <w:t>5</w:t>
      </w:r>
      <w:r w:rsidR="00A34E38" w:rsidRPr="005B034C">
        <w:rPr>
          <w:rStyle w:val="FootnoteReference"/>
          <w:rFonts w:cstheme="minorHAnsi"/>
          <w:color w:val="auto"/>
        </w:rPr>
        <w:fldChar w:fldCharType="end"/>
      </w:r>
      <w:r w:rsidR="009979DB" w:rsidRPr="005B034C">
        <w:rPr>
          <w:rFonts w:cstheme="minorHAnsi"/>
          <w:color w:val="auto"/>
        </w:rPr>
        <w:t>. HRM was introduced in combination with real time »polymerase chain reaction« (</w:t>
      </w:r>
      <w:r w:rsidR="007B4D36" w:rsidRPr="005B034C">
        <w:rPr>
          <w:rFonts w:cstheme="minorHAnsi"/>
          <w:color w:val="auto"/>
        </w:rPr>
        <w:t>q</w:t>
      </w:r>
      <w:r w:rsidR="009979DB" w:rsidRPr="005B034C">
        <w:rPr>
          <w:rFonts w:cstheme="minorHAnsi"/>
          <w:color w:val="auto"/>
        </w:rPr>
        <w:t>PCR</w:t>
      </w:r>
      <w:r w:rsidR="005B034C" w:rsidRPr="005B034C">
        <w:rPr>
          <w:rFonts w:cstheme="minorHAnsi"/>
          <w:color w:val="auto"/>
        </w:rPr>
        <w:t>)</w:t>
      </w:r>
      <w:r w:rsidR="009979DB" w:rsidRPr="005B034C">
        <w:rPr>
          <w:rFonts w:cstheme="minorHAnsi"/>
          <w:color w:val="auto"/>
        </w:rPr>
        <w:t xml:space="preserve"> in 1997 as a tool to detect the mutation in factor V Leiden</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{"citationItems":[{"id":"ITEM-1","itemData":{"DOI":"10.1093/clinchem/43.12.2262","ISSN":"00099147","PMID":"9439442","abstract":"A single-step method for factor V Leiden genotyping is presented that uses rapid-cycle PCR and simultaneous fluorescence analysis with resonance energy transfer probes. A fragment of the factor V gene containing the mutation is amplified asymmetrically through use of a primer labeled with Cy5(TM) in the presence of a 3-fluorescein-labeled probe that covers the mutation site. When the fluorescein probe is annealed to the extension product of the Cy5-labeled primer, the fluorophores are brought into close enough contact for resonance energy transfer to occur. As the temperature increases, the probe melts from its target, decreasing the resonance energy transfer. When the probe is complementary to the product strand, it melts at 65 °C; if the single-base mutation is present, the probe melts at 57 °C. Concurrent amplification and analysis from genomic DNA takes 20-45 min and requires no sample manipulation after the fluorescence thermal cycler is loaded.","author":[{"dropping-particle":"","family":"Lay","given":"Marla J.","non-dropping-particle":"","parse-names":false,"suffix":""},{"dropping-particle":"","family":"Wittwer","given":"Carl T.","non-dropping-particle":"","parse-names":false,"suffix":""}],"container-title":"Clinical Chemistry","id":"ITEM-1","issue":"12","issued":{"date-parts":[["1997","12","1"]]},"page":"2262-2267","title":"Real-time fluorescence genotyping of factor V leiden during rapid-cycle PCR","type":"article-journal","volume":"43"},"uris":["http://www.mendeley.com/documents/?uuid=c8ddff4f-5468-425f-8988-bed5c7d2d5ad"]}],"mendeley":{"formattedCitation":"&lt;sup&gt;6&lt;/sup&gt;","plainTextFormattedCitation":"6","previouslyFormattedCitation":"&lt;sup&gt;6&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bCs/>
          <w:noProof/>
          <w:color w:val="auto"/>
          <w:vertAlign w:val="superscript"/>
          <w:lang w:val="sl-SI"/>
        </w:rPr>
        <w:t>6</w:t>
      </w:r>
      <w:r w:rsidR="00A34E38" w:rsidRPr="005B034C">
        <w:rPr>
          <w:rStyle w:val="FootnoteReference"/>
          <w:rFonts w:cstheme="minorHAnsi"/>
          <w:color w:val="auto"/>
        </w:rPr>
        <w:fldChar w:fldCharType="end"/>
      </w:r>
      <w:r w:rsidR="009979DB" w:rsidRPr="005B034C">
        <w:rPr>
          <w:rFonts w:cstheme="minorHAnsi"/>
          <w:color w:val="auto"/>
        </w:rPr>
        <w:t xml:space="preserve">. In comparison to Sanger sequencing </w:t>
      </w:r>
      <w:r w:rsidR="00045FCD" w:rsidRPr="005B034C">
        <w:rPr>
          <w:rFonts w:cstheme="minorHAnsi"/>
          <w:color w:val="auto"/>
        </w:rPr>
        <w:t>that</w:t>
      </w:r>
      <w:r w:rsidR="009979DB" w:rsidRPr="005B034C">
        <w:rPr>
          <w:rFonts w:cstheme="minorHAnsi"/>
          <w:color w:val="auto"/>
        </w:rPr>
        <w:t xml:space="preserve"> represents the golden standard technique</w:t>
      </w:r>
      <w:r w:rsidRPr="005B034C">
        <w:rPr>
          <w:rFonts w:cstheme="minorHAnsi"/>
          <w:color w:val="auto"/>
        </w:rPr>
        <w:t xml:space="preserve">, </w:t>
      </w:r>
      <w:r w:rsidR="009979DB" w:rsidRPr="005B034C">
        <w:rPr>
          <w:rFonts w:cstheme="minorHAnsi"/>
          <w:color w:val="auto"/>
        </w:rPr>
        <w:t>HRM is a more sensitive and less specific method</w:t>
      </w:r>
      <w:r w:rsidR="00C8374B" w:rsidRPr="005B034C">
        <w:rPr>
          <w:rFonts w:cstheme="minorHAnsi"/>
          <w:color w:val="auto"/>
        </w:rPr>
        <w:fldChar w:fldCharType="begin" w:fldLock="1"/>
      </w:r>
      <w:r w:rsidR="00C8374B" w:rsidRPr="005B034C">
        <w:rPr>
          <w:rFonts w:cstheme="minorHAnsi"/>
          <w:color w:val="auto"/>
        </w:rPr>
        <w:instrText>ADDIN CSL_CITATION {"citationItems":[{"id":"ITEM-1","itemData":{"DOI":"10.1016/j.cca.2014.11.011","ISSN":"18733492","abstract":"Background: Somatic CALR exon 9 mutations have recently been identified in patients with JAK2/. MPL-unmutated myeloproliferative neoplasm, and have become an important clonal marker for the diagnosis of essential thrombocythemia (ET) and primary myelofibrosis. In the present study, we sought to use high-resolution melting analysis (HRMA) as a screening method for the detection of CALR mutations. Methods: 32 JAK2/. MPL-unmutated ET patients were retrospectively enrolled and 8 healthy adults were used as wild-type control. CALR exon 9 mutation was independently screened by HRMA with the CFX Connect real-time system and Sanger sequencing. TA-cloning was used to detect CALR exon 9 mutations in patients suspected to have low mutant allele burden. Results: The maximal sensitivity of HRMA in identifying both CALR type 1 and type 2 mutants from patients' genomic DNA was 2.5%. Twenty-two samples were found to have distinct melting curves from wild-type. The presence of CALR mutations in 16 of these 22 samples was confirmed by Sanger sequencing, while the other 6 samples were wild-type by sequencing. After TA-cloning, CALR mutations were detected in 5 of 6 patients from 1 (6%) of 16 clones to 1 (2%) of 50 clones. Therefore, HRMA identified CALR mutations in 21 (65.6%) of 32 ET patients compared to 16 (50%) patients by Sanger sequencing, with a false positive rate of 3% and no false negative. Conclusion: The HRMA developed in our system is a rapid and sensitive technique for the detection of CALR exon 9 mutations.","author":[{"dropping-particle":"","family":"Lim","given":"Ken Hong","non-dropping-particle":"","parse-names":false,"suffix":""},{"dropping-particle":"","family":"Lin","given":"Huan Chau","non-dropping-particle":"","parse-names":false,"suffix":""},{"dropping-particle":"","family":"Chen","given":"Caleb Gon Shen","non-dropping-particle":"","parse-names":false,"suffix":""},{"dropping-particle":"","family":"Wang","given":"Wei Ting","non-dropping-particle":"","parse-names":false,"suffix":""},{"dropping-particle":"","family":"Chang","given":"Yu Cheng","non-dropping-particle":"","parse-names":false,"suffix":""},{"dropping-particle":"","family":"Chiang","given":"Yi Hao","non-dropping-particle":"","parse-names":false,"suffix":""},{"dropping-particle":"","family":"Lin","given":"Ching Sung","non-dropping-particle":"","parse-names":false,"suffix":""},{"dropping-particle":"","family":"Su","given":"Nai Wen","non-dropping-particle":"","parse-names":false,"suffix":""},{"dropping-particle":"","family":"Su","given":"Ying Wen","non-dropping-particle":"","parse-names":false,"suffix":""},{"dropping-particle":"","family":"Lin","given":"Johnson","non-dropping-particle":"","parse-names":false,"suffix":""},{"dropping-particle":"","family":"Chang","given":"Yi Fang","non-dropping-particle":"","parse-names":false,"suffix":""},{"dropping-particle":"","family":"Chang","given":"Ming Chih","non-dropping-particle":"","parse-names":false,"suffix":""},{"dropping-particle":"","family":"Hsieh","given":"Ruey Kuen","non-dropping-particle":"","parse-names":false,"suffix":""},{"dropping-particle":"","family":"Kuo","given":"Yuan Yeh","non-dropping-particle":"","parse-names":false,"suffix":""},{"dropping-particle":"","family":"Chou","given":"Wen Chien","non-dropping-particle":"","parse-names":false,"suffix":""}],"container-title":"Clinica Chimica Acta","id":"ITEM-1","issued":{"date-parts":[["2015"]]},"page":"133-139","title":"Rapid and sensitive detection of CALR exon 9 mutations using high-resolution melting analysis","type":"article-journal","volume":"440"},"uris":["http://www.mendeley.com/documents/?uuid=b62d2b1c-e0c0-4bcb-aa97-54db7652d3ef"]}],"mendeley":{"formattedCitation":"&lt;sup&gt;5&lt;/sup&gt;","plainTextFormattedCitation":"5","previouslyFormattedCitation":"&lt;sup&gt;5&lt;/sup&gt;"},"properties":{"noteIndex":0},"schema":"https://github.com/citation-style-language/schema/raw/master/csl-citation.json"}</w:instrText>
      </w:r>
      <w:r w:rsidR="00C8374B" w:rsidRPr="005B034C">
        <w:rPr>
          <w:rFonts w:cstheme="minorHAnsi"/>
          <w:color w:val="auto"/>
        </w:rPr>
        <w:fldChar w:fldCharType="separate"/>
      </w:r>
      <w:r w:rsidR="00C8374B" w:rsidRPr="005B034C">
        <w:rPr>
          <w:rFonts w:cstheme="minorHAnsi"/>
          <w:noProof/>
          <w:color w:val="auto"/>
          <w:vertAlign w:val="superscript"/>
        </w:rPr>
        <w:t>5</w:t>
      </w:r>
      <w:r w:rsidR="00C8374B" w:rsidRPr="005B034C">
        <w:rPr>
          <w:rFonts w:cstheme="minorHAnsi"/>
          <w:color w:val="auto"/>
        </w:rPr>
        <w:fldChar w:fldCharType="end"/>
      </w:r>
      <w:r w:rsidR="009979DB" w:rsidRPr="005B034C">
        <w:rPr>
          <w:rFonts w:cstheme="minorHAnsi"/>
          <w:color w:val="auto"/>
        </w:rPr>
        <w:t xml:space="preserve">. </w:t>
      </w:r>
      <w:r w:rsidR="00045FCD" w:rsidRPr="005B034C">
        <w:rPr>
          <w:rFonts w:cstheme="minorHAnsi"/>
          <w:color w:val="auto"/>
        </w:rPr>
        <w:t xml:space="preserve">The </w:t>
      </w:r>
      <w:r w:rsidR="009979DB" w:rsidRPr="005B034C">
        <w:rPr>
          <w:rFonts w:cstheme="minorHAnsi"/>
          <w:color w:val="auto"/>
        </w:rPr>
        <w:t xml:space="preserve">HRM method is a good screening method </w:t>
      </w:r>
      <w:r w:rsidR="00045FCD" w:rsidRPr="005B034C">
        <w:rPr>
          <w:rFonts w:cstheme="minorHAnsi"/>
          <w:color w:val="auto"/>
        </w:rPr>
        <w:t>that</w:t>
      </w:r>
      <w:r w:rsidR="009979DB" w:rsidRPr="005B034C">
        <w:rPr>
          <w:rFonts w:cstheme="minorHAnsi"/>
          <w:color w:val="auto"/>
        </w:rPr>
        <w:t xml:space="preserve"> enables a rapid analysis of </w:t>
      </w:r>
      <w:r w:rsidR="00045FCD" w:rsidRPr="005B034C">
        <w:rPr>
          <w:rFonts w:cstheme="minorHAnsi"/>
          <w:color w:val="auto"/>
        </w:rPr>
        <w:t xml:space="preserve">a </w:t>
      </w:r>
      <w:r w:rsidR="009979DB" w:rsidRPr="005B034C">
        <w:rPr>
          <w:rFonts w:cstheme="minorHAnsi"/>
          <w:color w:val="auto"/>
        </w:rPr>
        <w:t xml:space="preserve">large number of samples </w:t>
      </w:r>
      <w:r w:rsidR="00A27F0B">
        <w:rPr>
          <w:rFonts w:cstheme="minorHAnsi"/>
          <w:color w:val="auto"/>
        </w:rPr>
        <w:t>with a</w:t>
      </w:r>
      <w:r w:rsidR="009979DB" w:rsidRPr="005B034C">
        <w:rPr>
          <w:rFonts w:cstheme="minorHAnsi"/>
          <w:color w:val="auto"/>
        </w:rPr>
        <w:t xml:space="preserve"> great cost-benefit</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{"citationItems":[{"id":"ITEM-1","itemData":{"DOI":"10.1016/j.cca.2014.11.011","ISSN":"18733492","abstract":"Background: Somatic CALR exon 9 mutations have recently been identified in patients with JAK2/. MPL-unmutated myeloproliferative neoplasm, and have become an important clonal marker for the diagnosis of essential thrombocythemia (ET) and primary myelofibrosis. In the present study, we sought to use high-resolution melting analysis (HRMA) as a screening method for the detection of CALR mutations. Methods: 32 JAK2/. MPL-unmutated ET patients were retrospectively enrolled and 8 healthy adults were used as wild-type control. CALR exon 9 mutation was independently screened by HRMA with the CFX Connect real-time system and Sanger sequencing. TA-cloning was used to detect CALR exon 9 mutations in patients suspected to have low mutant allele burden. Results: The maximal sensitivity of HRMA in identifying both CALR type 1 and type 2 mutants from patients' genomic DNA was 2.5%. Twenty-two samples were found to have distinct melting curves from wild-type. The presence of CALR mutations in 16 of these 22 samples was confirmed by Sanger sequencing, while the other 6 samples were wild-type by sequencing. After TA-cloning, CALR mutations were detected in 5 of 6 patients from 1 (6%) of 16 clones to 1 (2%) of 50 clones. Therefore, HRMA identified CALR mutations in 21 (65.6%) of 32 ET patients compared to 16 (50%) patients by Sanger sequencing, with a false positive rate of 3% and no false negative. Conclusion: The HRMA developed in our system is a rapid and sensitive technique for the detection of CALR exon 9 mutations.","author":[{"dropping-particle":"","family":"Lim","given":"Ken Hong","non-dropping-particle":"","parse-names":false,"suffix":""},{"dropping-particle":"","family":"Lin","given":"Huan Chau","non-dropping-particle":"","parse-names":false,"suffix":""},{"dropping-particle":"","family":"Chen","given":"Caleb Gon Shen","non-dropping-particle":"","parse-names":false,"suffix":""},{"dropping-particle":"","family":"Wang","given":"Wei Ting","non-dropping-particle":"","parse-names":false,"suffix":""},{"dropping-particle":"","family":"Chang","given":"Yu Cheng","non-dropping-particle":"","parse-names":false,"suffix":""},{"dropping-particle":"","family":"Chiang","given":"Yi Hao","non-dropping-particle":"","parse-names":false,"suffix":""},{"dropping-particle":"","family":"Lin","given":"Ching Sung","non-dropping-particle":"","parse-names":false,"suffix":""},{"dropping-particle":"","family":"Su","given":"Nai Wen","non-dropping-particle":"","parse-names":false,"suffix":""},{"dropping-particle":"","family":"Su","given":"Ying Wen","non-dropping-particle":"","parse-names":false,"suffix":""},{"dropping-particle":"","family":"Lin","given":"Johnson","non-dropping-particle":"","parse-names":false,"suffix":""},{"dropping-particle":"","family":"Chang","given":"Yi Fang","non-dropping-particle":"","parse-names":false,"suffix":""},{"dropping-particle":"","family":"Chang","given":"Ming Chih","non-dropping-particle":"","parse-names":false,"suffix":""},{"dropping-particle":"","family":"Hsieh","given":"Ruey Kuen","non-dropping-particle":"","parse-names":false,"suffix":""},{"dropping-particle":"","family":"Kuo","given":"Yuan Yeh","non-dropping-particle":"","parse-names":false,"suffix":""},{"dropping-particle":"","family":"Chou","given":"Wen Chien","non-dropping-particle":"","parse-names":false,"suffix":""}],"container-title":"Clinica Chimica Acta","id":"ITEM-1","issued":{"date-parts":[["2015"]]},"page":"133-139","title":"Rapid and sensitive detection of CALR exon 9 mutations using high-resolution melting analysis","type":"article-journal","volume":"440"},"uris":["http://www.mendeley.com/documents/?uuid=b62d2b1c-e0c0-4bcb-aa97-54db7652d3ef"]}],"mendeley":{"formattedCitation":"&lt;sup&gt;5&lt;/sup&gt;","plainTextFormattedCitation":"5","previouslyFormattedCitation":"&lt;sup&gt;5&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noProof/>
          <w:color w:val="auto"/>
          <w:vertAlign w:val="superscript"/>
        </w:rPr>
        <w:t>5</w:t>
      </w:r>
      <w:r w:rsidR="00A34E38" w:rsidRPr="005B034C">
        <w:rPr>
          <w:rStyle w:val="FootnoteReference"/>
          <w:rFonts w:cstheme="minorHAnsi"/>
          <w:color w:val="auto"/>
        </w:rPr>
        <w:fldChar w:fldCharType="end"/>
      </w:r>
      <w:r w:rsidR="009979DB" w:rsidRPr="005B034C">
        <w:rPr>
          <w:rFonts w:cstheme="minorHAnsi"/>
          <w:color w:val="auto"/>
        </w:rPr>
        <w:t xml:space="preserve">. It is a simple PCR method performed in the presence of a fluorescent dye and does not require specific skills. Another benefit is that the procedure itself does not damage or destroy the analyzed sample </w:t>
      </w:r>
      <w:r w:rsidR="00045FCD" w:rsidRPr="005B034C">
        <w:rPr>
          <w:rFonts w:cstheme="minorHAnsi"/>
          <w:color w:val="auto"/>
        </w:rPr>
        <w:t>that</w:t>
      </w:r>
      <w:r w:rsidR="009979DB" w:rsidRPr="005B034C">
        <w:rPr>
          <w:rFonts w:cstheme="minorHAnsi"/>
          <w:color w:val="auto"/>
        </w:rPr>
        <w:t xml:space="preserve"> allows us to reuse the sample for electrophoresis or Sanger sequencing after the HRM procedure</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{"citationItems":[{"id":"ITEM-1","itemData":{"DOI":"10.1002/humu.21019","ISSN":"10597794","abstract":"Transition of the double-stranded DNA molecule to its two single strands, DNA denaturation or melting, has been used for many years to study DNA structure and composition. Recent technological advances have improved the potential of this technology, especially to detect variants in the DNA sequence. Sensitivity and specificity were increased significantly by the development of so-called saturating DNA dyes and by improvements in the instrumentation to measure the melting behavior (improved temperature precision combined with increased measurements per time unit and drop in temperature). Melt analysis using these new instruments has been designated high-resolution melting curve analysis (HRM or HRMA). Based on its ease of use, simplicity, flexibility, low cost, nondestructive nature, superb sensitivity, and specificity, HRMA is quickly becoming the tool of choice to screen patients for pathogenic variants. Here we will briefly discuss the latest developments in HRMA and review in particular other applications that have thus far received less attention, including presequence screening, single nucleotide polymorphism (SNP) typing, methylation analysis, quantification (copy number variants and mosaicism), an alternative to gel-electrophoresis and clone characterization. Together, these diverse applications make HRMA a multipurpose technology and a standard tool that should be present in any laboratory studying nucleic acids. © 2009 Wiley-Liss, Inc.","author":[{"dropping-particle":"","family":"Vossen","given":"Rolf H.A.M.","non-dropping-particle":"","parse-names":false,"suffix":""},{"dropping-particle":"","family":"Aten","given":"Emmelien","non-dropping-particle":"","parse-names":false,"suffix":""},{"dropping-particle":"","family":"Roos","given":"Anja","non-dropping-particle":"","parse-names":false,"suffix":""},{"dropping-particle":"","family":"Dunnen","given":"Johan T.","non-dropping-particle":"Den","parse-names":false,"suffix":""}],"container-title":"Human Mutation","id":"ITEM-1","issue":"6","issued":{"date-parts":[["2009"]]},"page":"860-866","title":"High-resolution melting analysis (HRMA) - More than just sequence variant screening","type":"article-journal","volume":"30"},"uris":["http://www.mendeley.com/documents/?uuid=9f56c676-af0e-4e05-b5bf-de3281af7e1e"]}],"mendeley":{"formattedCitation":"&lt;sup&gt;7&lt;/sup&gt;","plainTextFormattedCitation":"7","previouslyFormattedCitation":"&lt;sup&gt;7&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bCs/>
          <w:noProof/>
          <w:color w:val="auto"/>
          <w:vertAlign w:val="superscript"/>
          <w:lang w:val="sl-SI"/>
        </w:rPr>
        <w:t>7</w:t>
      </w:r>
      <w:r w:rsidR="00A34E38" w:rsidRPr="005B034C">
        <w:rPr>
          <w:rStyle w:val="FootnoteReference"/>
          <w:rFonts w:cstheme="minorHAnsi"/>
          <w:color w:val="auto"/>
        </w:rPr>
        <w:fldChar w:fldCharType="end"/>
      </w:r>
      <w:r w:rsidR="009979DB" w:rsidRPr="005B034C">
        <w:rPr>
          <w:rFonts w:cstheme="minorHAnsi"/>
          <w:color w:val="auto"/>
        </w:rPr>
        <w:t xml:space="preserve">. The only </w:t>
      </w:r>
      <w:r w:rsidR="008246F9" w:rsidRPr="005B034C">
        <w:rPr>
          <w:rFonts w:cstheme="minorHAnsi"/>
          <w:color w:val="auto"/>
        </w:rPr>
        <w:t>disadvantage</w:t>
      </w:r>
      <w:r w:rsidR="009979DB" w:rsidRPr="005B034C">
        <w:rPr>
          <w:rFonts w:cstheme="minorHAnsi"/>
          <w:color w:val="auto"/>
        </w:rPr>
        <w:t xml:space="preserve"> is that it is sometimes difficult to interpret the results. Additionally, HRM does not detect the exact mutation in patients with non-type 1 or type 2 mutations</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{"citationItems":[{"id":"ITEM-1","itemData":{"DOI":"10.1038/bcj.2015.64","ISSN":"20445385","abstract":"The 2001/2008 World Health Organization (WHO)-based diagnostic criteria for polycythemia vera (PV), essential thrombocythemia (ET) and primary myelofibrosis (PMF)were recently revised to accomodate new information on disease-specific mutations and underscore distinguishing morphologic features. In this context, it seems to be reasonable to compare first major diagnostic criteria of the former WHO classifications for myeloproliferative neoplasm (MPN) and then to focus on details that have been discussed and will be proposed for the upcoming revision of diagnostic guidelines. In PV, a characteristic bone marrow (BM) morphology was added as one of three major diagnostic criteria, which allowed lowering of the hemoglobin/hematocrit threshold for diagnosis, which is another major criterion, to 16.5 g/dl/49% in men and 16 g/dl/48% in women. The presence of a JAK2 mutation remains the third major diagnostic criterion in PV. Subnormal serum erythropoietin level is now the only minor criterion in PV and is used to capture JAK2-unmutated cases. In ET and PMF, mutations that are considered to confirm clonality and specific diagnosis now include CALR, in addition to JAK2 and MPL. Also in the 2015 discussed revision, overtly fibrotic PMF is clearly distinguished from early/prefibrotic PMF and each PMF variant now includes a separate list of diagnostic criteria. The main rationale for these changes was to enhance the distinction between so-called masked PV and JAK2-mutated ET and between ET and prefibrotic early PMF. The proposed changes also underscore the complementary role, as well as limitations of mutation analysis in morphologic diagnosis. On the other hand, discovery of new biological markers may probably be expected in the future to enhance discrimination of the different MPN subtypes in accordance with the histological BM patterns and corresponding clinical features.","author":[{"dropping-particle":"","family":"Barbui","given":"T.","non-dropping-particle":"","parse-names":false,"suffix":""},{"dropping-particle":"","family":"Thiele","given":"J.","non-dropping-particle":"","parse-names":false,"suffix":""},{"dropping-particle":"","family":"Vannucchi","given":"A. M.","non-dropping-particle":"","parse-names":false,"suffix":""},{"dropping-particle":"","family":"Tefferi","given":"A.","non-dropping-particle":"","parse-names":false,"suffix":""}],"container-title":"Blood Cancer Journal","id":"ITEM-1","issue":"8","issued":{"date-parts":[["2015"]]},"page":"e337-8","publisher":"Nature Publishing Group","title":"Rationale for revision and proposed changes of the WHO diagnostic criteria for polycythemia vera, essential thrombocythemia and primary myelofibrosis","type":"article-journal","volume":"5"},"uris":["http://www.mendeley.com/documents/?uuid=7b82581f-30fc-4f73-8782-720a0ef2d7f8"]}],"mendeley":{"formattedCitation":"&lt;sup&gt;8&lt;/sup&gt;","plainTextFormattedCitation":"8","previouslyFormattedCitation":"&lt;sup&gt;8&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bCs/>
          <w:noProof/>
          <w:color w:val="auto"/>
          <w:vertAlign w:val="superscript"/>
          <w:lang w:val="sl-SI"/>
        </w:rPr>
        <w:t>8</w:t>
      </w:r>
      <w:r w:rsidR="00A34E38" w:rsidRPr="005B034C">
        <w:rPr>
          <w:rStyle w:val="FootnoteReference"/>
          <w:rFonts w:cstheme="minorHAnsi"/>
          <w:color w:val="auto"/>
        </w:rPr>
        <w:fldChar w:fldCharType="end"/>
      </w:r>
      <w:r w:rsidR="009979DB" w:rsidRPr="005B034C">
        <w:rPr>
          <w:rFonts w:ascii="Garamond" w:hAnsi="Garamond"/>
          <w:color w:val="auto"/>
        </w:rPr>
        <w:t xml:space="preserve">. </w:t>
      </w:r>
      <w:r w:rsidR="009979DB" w:rsidRPr="005B034C">
        <w:rPr>
          <w:rFonts w:cstheme="minorHAnsi"/>
          <w:color w:val="auto"/>
        </w:rPr>
        <w:t>In these patients, Sanger sequencing should be performed</w:t>
      </w:r>
      <w:r w:rsidR="00450274" w:rsidRPr="005B034C">
        <w:rPr>
          <w:rFonts w:cstheme="minorHAnsi"/>
          <w:color w:val="auto"/>
        </w:rPr>
        <w:t xml:space="preserve"> (</w:t>
      </w:r>
      <w:r w:rsidR="00450274" w:rsidRPr="005B034C">
        <w:rPr>
          <w:rFonts w:cstheme="minorHAnsi"/>
          <w:b/>
          <w:bCs/>
          <w:color w:val="auto"/>
        </w:rPr>
        <w:t>Figure 1</w:t>
      </w:r>
      <w:r w:rsidR="005B034C" w:rsidRPr="005B034C">
        <w:rPr>
          <w:rFonts w:cstheme="minorHAnsi"/>
          <w:color w:val="auto"/>
        </w:rPr>
        <w:t>)</w:t>
      </w:r>
      <w:r w:rsidR="009979DB" w:rsidRPr="005B034C">
        <w:rPr>
          <w:rFonts w:cstheme="minorHAnsi"/>
          <w:color w:val="auto"/>
        </w:rPr>
        <w:t>.</w:t>
      </w:r>
    </w:p>
    <w:p w14:paraId="4AD1A3C2" w14:textId="77777777" w:rsidR="009979DB" w:rsidRPr="005B034C" w:rsidRDefault="009979DB" w:rsidP="006820EA">
      <w:pPr>
        <w:rPr>
          <w:rFonts w:ascii="Garamond" w:hAnsi="Garamond"/>
          <w:color w:val="auto"/>
        </w:rPr>
      </w:pPr>
    </w:p>
    <w:p w14:paraId="6784215E" w14:textId="1C4E8085" w:rsidR="009979DB" w:rsidRPr="005B034C" w:rsidRDefault="009979DB" w:rsidP="006820EA">
      <w:pPr>
        <w:rPr>
          <w:rFonts w:cstheme="minorHAnsi"/>
          <w:color w:val="auto"/>
        </w:rPr>
      </w:pPr>
      <w:r w:rsidRPr="005B034C">
        <w:rPr>
          <w:rFonts w:cstheme="minorHAnsi"/>
          <w:color w:val="auto"/>
        </w:rPr>
        <w:t xml:space="preserve">HRM is based on the </w:t>
      </w:r>
      <w:r w:rsidR="001E599A" w:rsidRPr="005B034C">
        <w:rPr>
          <w:rFonts w:cstheme="minorHAnsi"/>
          <w:color w:val="auto"/>
        </w:rPr>
        <w:t>amplification</w:t>
      </w:r>
      <w:r w:rsidRPr="005B034C">
        <w:rPr>
          <w:rFonts w:cstheme="minorHAnsi"/>
          <w:color w:val="auto"/>
        </w:rPr>
        <w:t xml:space="preserve"> of the specific DNA region in the presence of </w:t>
      </w:r>
      <w:r w:rsidR="001E599A" w:rsidRPr="005B034C">
        <w:rPr>
          <w:rFonts w:cstheme="minorHAnsi"/>
          <w:color w:val="auto"/>
        </w:rPr>
        <w:t xml:space="preserve">saturating DNA </w:t>
      </w:r>
      <w:r w:rsidRPr="005B034C">
        <w:rPr>
          <w:rFonts w:cstheme="minorHAnsi"/>
          <w:color w:val="auto"/>
        </w:rPr>
        <w:t>fluorescent dye</w:t>
      </w:r>
      <w:r w:rsidR="00045FCD" w:rsidRPr="005B034C">
        <w:rPr>
          <w:rFonts w:cstheme="minorHAnsi"/>
          <w:color w:val="auto"/>
        </w:rPr>
        <w:t>,</w:t>
      </w:r>
      <w:r w:rsidRPr="005B034C">
        <w:rPr>
          <w:rFonts w:cstheme="minorHAnsi"/>
          <w:color w:val="auto"/>
        </w:rPr>
        <w:t xml:space="preserve"> which is incorporated in double-stranded DNA (dsDNA</w:t>
      </w:r>
      <w:r w:rsidR="005B034C" w:rsidRPr="005B034C">
        <w:rPr>
          <w:rFonts w:cstheme="minorHAnsi"/>
          <w:color w:val="auto"/>
        </w:rPr>
        <w:t>)</w:t>
      </w:r>
      <w:r w:rsidRPr="005B034C">
        <w:rPr>
          <w:rFonts w:cstheme="minorHAnsi"/>
          <w:color w:val="auto"/>
        </w:rPr>
        <w:t xml:space="preserve">. The fluorescent dye emits light when incorporated in the dsDNA. After </w:t>
      </w:r>
      <w:r w:rsidR="00045FCD" w:rsidRPr="005B034C">
        <w:rPr>
          <w:rFonts w:cstheme="minorHAnsi"/>
          <w:color w:val="auto"/>
        </w:rPr>
        <w:t xml:space="preserve">a </w:t>
      </w:r>
      <w:r w:rsidRPr="005B034C">
        <w:rPr>
          <w:rFonts w:cstheme="minorHAnsi"/>
          <w:color w:val="auto"/>
        </w:rPr>
        <w:t>progressive increase in temperature</w:t>
      </w:r>
      <w:r w:rsidR="00045FCD" w:rsidRPr="005B034C">
        <w:rPr>
          <w:rFonts w:cstheme="minorHAnsi"/>
          <w:color w:val="auto"/>
        </w:rPr>
        <w:t>,</w:t>
      </w:r>
      <w:r w:rsidRPr="005B034C">
        <w:rPr>
          <w:rFonts w:cstheme="minorHAnsi"/>
          <w:color w:val="auto"/>
        </w:rPr>
        <w:t xml:space="preserve"> dsDNA breaks down into single stranded DNA</w:t>
      </w:r>
      <w:r w:rsidR="00045FCD" w:rsidRPr="005B034C">
        <w:rPr>
          <w:rFonts w:cstheme="minorHAnsi"/>
          <w:color w:val="auto"/>
        </w:rPr>
        <w:t>,</w:t>
      </w:r>
      <w:r w:rsidRPr="005B034C">
        <w:rPr>
          <w:rFonts w:cstheme="minorHAnsi"/>
          <w:color w:val="auto"/>
        </w:rPr>
        <w:t xml:space="preserve"> which can be detected on the melting curve as a sudden decrease in fluorescence intensity</w:t>
      </w:r>
      <w:r w:rsidR="00C05B46" w:rsidRPr="005B034C">
        <w:rPr>
          <w:rFonts w:cstheme="minorHAnsi"/>
          <w:color w:val="auto"/>
        </w:rPr>
        <w:t xml:space="preserve">. </w:t>
      </w:r>
      <w:r w:rsidRPr="005B034C">
        <w:rPr>
          <w:rFonts w:cstheme="minorHAnsi"/>
          <w:color w:val="auto"/>
        </w:rPr>
        <w:t xml:space="preserve">The shape of the melting curve depends on the DNA sequence </w:t>
      </w:r>
      <w:r w:rsidR="00045FCD" w:rsidRPr="005B034C">
        <w:rPr>
          <w:rFonts w:cstheme="minorHAnsi"/>
          <w:color w:val="auto"/>
        </w:rPr>
        <w:t>that</w:t>
      </w:r>
      <w:r w:rsidRPr="005B034C">
        <w:rPr>
          <w:rFonts w:cstheme="minorHAnsi"/>
          <w:color w:val="auto"/>
        </w:rPr>
        <w:t xml:space="preserve"> is used to detect the mutation. Melting</w:t>
      </w:r>
      <w:r w:rsidR="00A27F0B">
        <w:rPr>
          <w:rFonts w:cstheme="minorHAnsi"/>
          <w:color w:val="auto"/>
        </w:rPr>
        <w:t xml:space="preserve"> </w:t>
      </w:r>
      <w:r w:rsidRPr="005B034C">
        <w:rPr>
          <w:rFonts w:cstheme="minorHAnsi"/>
          <w:color w:val="auto"/>
        </w:rPr>
        <w:t>curves of samples are compared to melting</w:t>
      </w:r>
      <w:r w:rsidR="00A27F0B">
        <w:rPr>
          <w:rFonts w:cstheme="minorHAnsi"/>
          <w:color w:val="auto"/>
        </w:rPr>
        <w:t xml:space="preserve"> </w:t>
      </w:r>
      <w:r w:rsidRPr="005B034C">
        <w:rPr>
          <w:rFonts w:cstheme="minorHAnsi"/>
          <w:color w:val="auto"/>
        </w:rPr>
        <w:t>curves of known mutations or wild type CALR. Distinct melting</w:t>
      </w:r>
      <w:r w:rsidR="00A27F0B">
        <w:rPr>
          <w:rFonts w:cstheme="minorHAnsi"/>
          <w:color w:val="auto"/>
        </w:rPr>
        <w:t xml:space="preserve"> </w:t>
      </w:r>
      <w:r w:rsidRPr="005B034C">
        <w:rPr>
          <w:rFonts w:cstheme="minorHAnsi"/>
          <w:color w:val="auto"/>
        </w:rPr>
        <w:t>curves represent a different mutation that is non type 1 or type 2</w:t>
      </w:r>
      <w:r w:rsidR="00A34E38" w:rsidRPr="005B034C">
        <w:rPr>
          <w:rStyle w:val="FootnoteReference"/>
          <w:rFonts w:cstheme="minorHAnsi"/>
          <w:color w:val="auto"/>
        </w:rPr>
        <w:fldChar w:fldCharType="begin" w:fldLock="1"/>
      </w:r>
      <w:r w:rsidR="00A34E38" w:rsidRPr="005B034C">
        <w:rPr>
          <w:rFonts w:cstheme="minorHAnsi"/>
          <w:color w:val="auto"/>
        </w:rPr>
        <w:instrText>ADDIN CSL_CITATION {"citationItems":[{"id":"ITEM-1","itemData":{"DOI":"10.1373/clinchem.2003.029751","ISSN":"00099147","abstract":"Background: Screening for heterozygous sequence changes in PCR products, also known as \"mutation scanning\", is an important tool for genetic research and clinical applications. Conventional methods require a separation step. Methods: We evaluated the sensitivity and specificity of homogeneous scanning, using a saturating DNA dye and high-resolution melting. Heterozygous single-nucleotide polymorphism (SNP) detection was studied in three different sequence backgrounds of 40%, 50%, and 60% GC content. PCR products of 50-1000 bp were generated in the presence of LCGreen™ I. After fluorescence normalization and temperature overlay, melting curve shape was used to judge the presence or absence of heterozygotes among 1632 cases. Results: For PCR products of 300 bp or less, all 280 heterozygous and 296 wild-type cases were correctly called without error. In 672 cases between 400 and 1000 bp with the mutation centered, the sensitivity and specificity were 96.1% and 99.4%, respectively. When the sequence background and product size with the greatest error rate were used, the sensitivity of off-center SNPs (384 cases) was 95.6% with a specificity of 99.4%. Most false negatives occurred with SNPs that were compared with an A or T wild type sequence. Conclusions: High-resolution melting analysis with the dye LCGreen I identifies heterozygous single-base changes in PCR products with a sensitivity and specificity comparable or superior to nonhomogeneous techniques. The error rate of scanning depends on the PCR product size and the type of base change, but not on the position of the SNP. The technique requires only PCR reagents, the dye LCGreen I, and 1-2 min of closed-tube, post-PCR analysis. © 2004 American Association for Clinical Chemistry.","author":[{"dropping-particle":"","family":"Reed","given":"Gudrun H.","non-dropping-particle":"","parse-names":false,"suffix":""},{"dropping-particle":"","family":"Wittwer","given":"Carl T.","non-dropping-particle":"","parse-names":false,"suffix":""}],"container-title":"Clinical Chemistry","id":"ITEM-1","issue":"10","issued":{"date-parts":[["2004"]]},"page":"1748-1754","title":"Sensitivity and specificity of single-nucleotide polymorphism scanning by high-resolution melting analysis","type":"article-journal","volume":"50"},"uris":["http://www.mendeley.com/documents/?uuid=0d9fd111-83b2-4086-b01f-f8da5b28987f"]}],"mendeley":{"formattedCitation":"&lt;sup&gt;9&lt;/sup&gt;","plainTextFormattedCitation":"9","previouslyFormattedCitation":"&lt;sup&gt;9&lt;/sup&gt;"},"properties":{"noteIndex":0},"schema":"https://github.com/citation-style-language/schema/raw/master/csl-citation.json"}</w:instrText>
      </w:r>
      <w:r w:rsidR="00A34E38" w:rsidRPr="005B034C">
        <w:rPr>
          <w:rStyle w:val="FootnoteReference"/>
          <w:rFonts w:cstheme="minorHAnsi"/>
          <w:color w:val="auto"/>
        </w:rPr>
        <w:fldChar w:fldCharType="separate"/>
      </w:r>
      <w:r w:rsidR="00A34E38" w:rsidRPr="005B034C">
        <w:rPr>
          <w:rFonts w:cstheme="minorHAnsi"/>
          <w:bCs/>
          <w:noProof/>
          <w:color w:val="auto"/>
          <w:vertAlign w:val="superscript"/>
          <w:lang w:val="sl-SI"/>
        </w:rPr>
        <w:t>9</w:t>
      </w:r>
      <w:r w:rsidR="00A34E38" w:rsidRPr="005B034C">
        <w:rPr>
          <w:rStyle w:val="FootnoteReference"/>
          <w:rFonts w:cstheme="minorHAnsi"/>
          <w:color w:val="auto"/>
        </w:rPr>
        <w:fldChar w:fldCharType="end"/>
      </w:r>
      <w:r w:rsidRPr="005B034C">
        <w:rPr>
          <w:rFonts w:cstheme="minorHAnsi"/>
          <w:color w:val="auto"/>
        </w:rPr>
        <w:t>.</w:t>
      </w:r>
    </w:p>
    <w:p w14:paraId="584A743D" w14:textId="302B35D8" w:rsidR="00350F1E" w:rsidRPr="005B034C" w:rsidRDefault="00350F1E" w:rsidP="006820EA">
      <w:pPr>
        <w:rPr>
          <w:rFonts w:cstheme="minorHAnsi"/>
          <w:color w:val="auto"/>
        </w:rPr>
      </w:pPr>
    </w:p>
    <w:p w14:paraId="6E5F6752" w14:textId="15074228" w:rsidR="00A55044" w:rsidRPr="005B034C" w:rsidRDefault="0010021E" w:rsidP="006820EA">
      <w:pPr>
        <w:rPr>
          <w:rFonts w:cstheme="minorHAnsi"/>
          <w:color w:val="auto"/>
        </w:rPr>
      </w:pPr>
      <w:r w:rsidRPr="005B034C">
        <w:rPr>
          <w:rFonts w:cstheme="minorHAnsi"/>
          <w:color w:val="auto"/>
        </w:rPr>
        <w:t xml:space="preserve">The algorithm for the somatic genetic variant detection in the </w:t>
      </w:r>
      <w:r w:rsidRPr="005B034C">
        <w:rPr>
          <w:rFonts w:cstheme="minorHAnsi"/>
          <w:i/>
          <w:iCs/>
          <w:color w:val="auto"/>
        </w:rPr>
        <w:t>CALR</w:t>
      </w:r>
      <w:r w:rsidRPr="005B034C">
        <w:rPr>
          <w:rFonts w:cstheme="minorHAnsi"/>
          <w:color w:val="auto"/>
        </w:rPr>
        <w:t xml:space="preserve"> gene by HRM, agarose gel electrophoresis and sequencing method (</w:t>
      </w:r>
      <w:r w:rsidRPr="005B034C">
        <w:rPr>
          <w:rFonts w:cstheme="minorHAnsi"/>
          <w:b/>
          <w:bCs/>
          <w:color w:val="auto"/>
        </w:rPr>
        <w:t>Figure 1</w:t>
      </w:r>
      <w:r w:rsidR="005B034C" w:rsidRPr="005B034C">
        <w:rPr>
          <w:rFonts w:cstheme="minorHAnsi"/>
          <w:color w:val="auto"/>
        </w:rPr>
        <w:t>)</w:t>
      </w:r>
      <w:r w:rsidRPr="005B034C">
        <w:rPr>
          <w:rFonts w:cstheme="minorHAnsi"/>
          <w:color w:val="auto"/>
        </w:rPr>
        <w:t xml:space="preserve"> was used </w:t>
      </w:r>
      <w:r w:rsidR="000F46C2" w:rsidRPr="005B034C">
        <w:rPr>
          <w:rFonts w:cstheme="minorHAnsi"/>
          <w:color w:val="auto"/>
        </w:rPr>
        <w:t xml:space="preserve">and validated </w:t>
      </w:r>
      <w:r w:rsidRPr="005B034C">
        <w:rPr>
          <w:rFonts w:cstheme="minorHAnsi"/>
          <w:color w:val="auto"/>
        </w:rPr>
        <w:t xml:space="preserve">in the </w:t>
      </w:r>
      <w:r w:rsidR="00CE37F3" w:rsidRPr="005B034C">
        <w:rPr>
          <w:rFonts w:cstheme="minorHAnsi"/>
          <w:color w:val="auto"/>
        </w:rPr>
        <w:t xml:space="preserve">retrospective </w:t>
      </w:r>
      <w:r w:rsidRPr="005B034C">
        <w:rPr>
          <w:rFonts w:cstheme="minorHAnsi"/>
          <w:color w:val="auto"/>
        </w:rPr>
        <w:lastRenderedPageBreak/>
        <w:t>study</w:t>
      </w:r>
      <w:r w:rsidR="00C95E0F" w:rsidRPr="005B034C">
        <w:rPr>
          <w:rFonts w:cstheme="minorHAnsi"/>
          <w:color w:val="auto"/>
        </w:rPr>
        <w:t xml:space="preserve"> </w:t>
      </w:r>
      <w:r w:rsidR="00A55044" w:rsidRPr="005B034C">
        <w:rPr>
          <w:rFonts w:cstheme="minorHAnsi"/>
          <w:color w:val="auto"/>
        </w:rPr>
        <w:t>published befo</w:t>
      </w:r>
      <w:r w:rsidR="007906E0" w:rsidRPr="005B034C">
        <w:rPr>
          <w:rFonts w:cstheme="minorHAnsi"/>
          <w:color w:val="auto"/>
        </w:rPr>
        <w:t>re</w:t>
      </w:r>
      <w:r w:rsidR="00153681" w:rsidRPr="005B034C">
        <w:rPr>
          <w:rFonts w:cstheme="minorHAnsi"/>
          <w:color w:val="auto"/>
        </w:rPr>
        <w:fldChar w:fldCharType="begin" w:fldLock="1"/>
      </w:r>
      <w:r w:rsidR="00153681" w:rsidRPr="005B034C">
        <w:rPr>
          <w:rFonts w:cstheme="minorHAnsi"/>
          <w:color w:val="auto"/>
        </w:rPr>
        <w:instrText>ADDIN CSL_CITATION {"citationItems":[{"id":"ITEM-1","itemData":{"DOI":"10.1038/s41598-019-56236-x","ISSN":"2045-2322","abstract":"Suspicion of myeloproliferative neoplasms (MPNs) and especially essential thrombocythemia (ET) in primary care is often based solely on blood counts, with patients referred to a haematologist without a thorough evaluation. We retrospectively assessed the role of calreticulin gene (CALR) mutations in the diagnosis of MPN in this population. We studied CALR mutations in 524 JAK2 V617F-negative patients with suspected MPN. Uncommon CALR mutations were confirmed by Sanger sequencing and searched for in the COSMIC or HGMD database. Mutations were defined as frameshift or non-frameshift mutations. CALR mutations were detected in 23 patients (23/524 = 4.4%). Four mutations detected in our study were newly identified mutations. Non-frameshift mutations were detected in two patients. Most patients (380/524 = 72.5%) were diagnosed with secondary conditions leading to blood count abnormalities such as iron deficiency, inflammatory and infectious diseases, malignancy and hyposplenism. Nine patients (9/23 = 39%) were retrospectively diagnosed with ET based on CALR mutation confirmation. Two patients with non-frameshift CALR mutations were diagnosed with reactive thrombocytosis and MPN unclassifiable, respectively. Our study showed that CALR mutations are important, non-invasive diagnostic indicators of ET and can aid in its diagnosis. Moreover, the type of CALR mutation must be accurately defined, as non-frameshift mutations may not be associated with ET. Finally, CALR mutation detection should be reserved for patients with high suspicion of clonal haematological disease.","author":[{"dropping-particle":"","family":"Belcic Mikic","given":"Tanja","non-dropping-particle":"","parse-names":false,"suffix":""},{"dropping-particle":"","family":"Pajic","given":"Tadej","non-dropping-particle":"","parse-names":false,"suffix":""},{"dropping-particle":"","family":"Sever","given":"Matjaz","non-dropping-particle":"","parse-names":false,"suffix":""}],"container-title":"Scientific Reports","id":"ITEM-1","issue":"1","issued":{"date-parts":[["2019"]]},"page":"19838","title":"CALR mutations in a cohort of JAK2 V617F negative patients with suspected myeloproliferative neoplasms","type":"article-journal","volume":"9"},"uris":["http://www.mendeley.com/documents/?uuid=f95d0ca8-9c4b-4183-bc9a-69bcc70a091d"]}],"mendeley":{"formattedCitation":"&lt;sup&gt;10&lt;/sup&gt;","plainTextFormattedCitation":"10"},"properties":{"noteIndex":0},"schema":"https://github.com/citation-style-language/schema/raw/master/csl-citation.json"}</w:instrText>
      </w:r>
      <w:r w:rsidR="00153681" w:rsidRPr="005B034C">
        <w:rPr>
          <w:rFonts w:cstheme="minorHAnsi"/>
          <w:color w:val="auto"/>
        </w:rPr>
        <w:fldChar w:fldCharType="separate"/>
      </w:r>
      <w:r w:rsidR="00153681" w:rsidRPr="005B034C">
        <w:rPr>
          <w:rFonts w:cstheme="minorHAnsi"/>
          <w:noProof/>
          <w:color w:val="auto"/>
          <w:vertAlign w:val="superscript"/>
        </w:rPr>
        <w:t>10</w:t>
      </w:r>
      <w:r w:rsidR="00153681" w:rsidRPr="005B034C">
        <w:rPr>
          <w:rFonts w:cstheme="minorHAnsi"/>
          <w:color w:val="auto"/>
        </w:rPr>
        <w:fldChar w:fldCharType="end"/>
      </w:r>
      <w:r w:rsidR="00153681" w:rsidRPr="005B034C">
        <w:rPr>
          <w:rFonts w:cstheme="minorHAnsi"/>
          <w:color w:val="auto"/>
        </w:rPr>
        <w:t>.</w:t>
      </w:r>
      <w:r w:rsidR="00A55044" w:rsidRPr="005B034C">
        <w:rPr>
          <w:rFonts w:cstheme="minorHAnsi"/>
          <w:color w:val="auto"/>
        </w:rPr>
        <w:t xml:space="preserve"> </w:t>
      </w:r>
    </w:p>
    <w:p w14:paraId="2F95B311" w14:textId="77777777" w:rsidR="00CE37F3" w:rsidRPr="005B034C" w:rsidRDefault="00CE37F3" w:rsidP="006820EA">
      <w:pPr>
        <w:rPr>
          <w:rFonts w:cstheme="minorHAnsi"/>
          <w:color w:val="auto"/>
        </w:rPr>
      </w:pPr>
    </w:p>
    <w:p w14:paraId="3D242D97" w14:textId="629B7940" w:rsidR="00045FCD" w:rsidRPr="005B034C" w:rsidRDefault="006305D7" w:rsidP="006820EA">
      <w:pPr>
        <w:rPr>
          <w:rFonts w:asciiTheme="minorHAnsi" w:hAnsiTheme="minorHAnsi" w:cstheme="minorHAnsi"/>
          <w:b/>
          <w:color w:val="auto"/>
        </w:rPr>
      </w:pPr>
      <w:r w:rsidRPr="005B034C">
        <w:rPr>
          <w:rFonts w:asciiTheme="minorHAnsi" w:hAnsiTheme="minorHAnsi" w:cstheme="minorHAnsi"/>
          <w:b/>
          <w:color w:val="auto"/>
        </w:rPr>
        <w:t>PROTOCOL:</w:t>
      </w:r>
    </w:p>
    <w:p w14:paraId="2FF5BEF1" w14:textId="77777777" w:rsidR="00045FCD" w:rsidRPr="005B034C" w:rsidRDefault="00045FCD" w:rsidP="006820EA">
      <w:pPr>
        <w:rPr>
          <w:rFonts w:cstheme="minorHAnsi"/>
          <w:color w:val="auto"/>
        </w:rPr>
      </w:pPr>
    </w:p>
    <w:p w14:paraId="01AAE92A" w14:textId="77777777" w:rsidR="00045FCD" w:rsidRPr="005B034C" w:rsidRDefault="00045FCD" w:rsidP="006820EA">
      <w:pPr>
        <w:rPr>
          <w:rFonts w:cstheme="minorHAnsi"/>
          <w:color w:val="auto"/>
        </w:rPr>
      </w:pPr>
      <w:r w:rsidRPr="005B034C">
        <w:rPr>
          <w:rFonts w:cstheme="minorHAnsi"/>
          <w:color w:val="auto"/>
        </w:rPr>
        <w:t xml:space="preserve">The study was approved by the Committee of Medical Ethics of the Republic of Slovenia. All procedures were in accordance with the Helsinki declaration. </w:t>
      </w:r>
    </w:p>
    <w:p w14:paraId="73A4806F" w14:textId="77777777" w:rsidR="00045FCD" w:rsidRPr="005B034C" w:rsidRDefault="00045FCD" w:rsidP="006820EA">
      <w:pPr>
        <w:rPr>
          <w:rFonts w:asciiTheme="minorHAnsi" w:hAnsiTheme="minorHAnsi" w:cstheme="minorHAnsi"/>
          <w:color w:val="auto"/>
        </w:rPr>
      </w:pPr>
    </w:p>
    <w:p w14:paraId="7C212A7A" w14:textId="54BBEE5F" w:rsidR="00350F1E" w:rsidRPr="005B034C" w:rsidRDefault="00045FCD" w:rsidP="006820EA">
      <w:pPr>
        <w:pStyle w:val="ListParagraph"/>
        <w:numPr>
          <w:ilvl w:val="0"/>
          <w:numId w:val="30"/>
        </w:numPr>
        <w:ind w:left="0" w:firstLine="0"/>
        <w:rPr>
          <w:rFonts w:asciiTheme="minorHAnsi" w:hAnsiTheme="minorHAnsi" w:cstheme="minorBidi"/>
          <w:b/>
          <w:bCs/>
          <w:color w:val="auto"/>
          <w:highlight w:val="yellow"/>
        </w:rPr>
      </w:pPr>
      <w:bookmarkStart w:id="0" w:name="_Hlk47093282"/>
      <w:r w:rsidRPr="005B034C">
        <w:rPr>
          <w:rFonts w:asciiTheme="minorHAnsi" w:hAnsiTheme="minorHAnsi" w:cstheme="minorBidi"/>
          <w:b/>
          <w:bCs/>
          <w:color w:val="auto"/>
          <w:highlight w:val="yellow"/>
        </w:rPr>
        <w:t>F</w:t>
      </w:r>
      <w:r w:rsidR="00350F1E" w:rsidRPr="005B034C">
        <w:rPr>
          <w:rFonts w:asciiTheme="minorHAnsi" w:hAnsiTheme="minorHAnsi" w:cstheme="minorBidi"/>
          <w:b/>
          <w:bCs/>
          <w:color w:val="auto"/>
          <w:highlight w:val="yellow"/>
        </w:rPr>
        <w:t>luorescence-based quantitative real-time PCR (</w:t>
      </w:r>
      <w:r w:rsidR="00350F1E" w:rsidRPr="00A27F0B">
        <w:rPr>
          <w:rFonts w:asciiTheme="minorHAnsi" w:hAnsiTheme="minorHAnsi" w:cstheme="minorBidi"/>
          <w:b/>
          <w:bCs/>
          <w:color w:val="auto"/>
          <w:highlight w:val="yellow"/>
        </w:rPr>
        <w:t>qPCR</w:t>
      </w:r>
      <w:r w:rsidR="005B034C" w:rsidRPr="00A27F0B">
        <w:rPr>
          <w:rFonts w:asciiTheme="minorHAnsi" w:hAnsiTheme="minorHAnsi" w:cstheme="minorBidi"/>
          <w:b/>
          <w:bCs/>
          <w:color w:val="auto"/>
        </w:rPr>
        <w:t>)</w:t>
      </w:r>
      <w:r w:rsidR="00350F1E" w:rsidRPr="00A27F0B">
        <w:rPr>
          <w:rFonts w:asciiTheme="minorHAnsi" w:hAnsiTheme="minorHAnsi" w:cstheme="minorBidi"/>
          <w:b/>
          <w:bCs/>
          <w:color w:val="auto"/>
          <w:highlight w:val="yellow"/>
        </w:rPr>
        <w:t xml:space="preserve"> an</w:t>
      </w:r>
      <w:r w:rsidR="00350F1E" w:rsidRPr="005B034C">
        <w:rPr>
          <w:rFonts w:asciiTheme="minorHAnsi" w:hAnsiTheme="minorHAnsi" w:cstheme="minorBidi"/>
          <w:b/>
          <w:bCs/>
          <w:color w:val="auto"/>
          <w:highlight w:val="yellow"/>
        </w:rPr>
        <w:t>d post-qPCR analysis by HRM</w:t>
      </w:r>
    </w:p>
    <w:p w14:paraId="1F6780C9" w14:textId="77777777" w:rsidR="00350F1E" w:rsidRPr="005B034C" w:rsidRDefault="00350F1E" w:rsidP="006820EA">
      <w:pPr>
        <w:rPr>
          <w:rFonts w:asciiTheme="minorHAnsi" w:hAnsiTheme="minorHAnsi" w:cstheme="minorBidi"/>
          <w:b/>
          <w:bCs/>
          <w:color w:val="auto"/>
          <w:highlight w:val="yellow"/>
        </w:rPr>
      </w:pPr>
    </w:p>
    <w:p w14:paraId="60C4593D" w14:textId="0C599DED"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rPr>
        <w:t xml:space="preserve">Resuspend primers listed in </w:t>
      </w:r>
      <w:r w:rsidR="00A27F0B">
        <w:rPr>
          <w:rFonts w:asciiTheme="minorHAnsi" w:hAnsiTheme="minorHAnsi" w:cstheme="minorBidi"/>
          <w:color w:val="auto"/>
        </w:rPr>
        <w:t xml:space="preserve">the </w:t>
      </w:r>
      <w:r w:rsidR="0046736C" w:rsidRPr="005B034C">
        <w:rPr>
          <w:rFonts w:asciiTheme="minorHAnsi" w:hAnsiTheme="minorHAnsi" w:cstheme="minorHAnsi"/>
          <w:b/>
          <w:color w:val="auto"/>
        </w:rPr>
        <w:t>Table of Materials</w:t>
      </w:r>
      <w:r w:rsidRPr="005B034C">
        <w:rPr>
          <w:rFonts w:asciiTheme="minorHAnsi" w:hAnsiTheme="minorHAnsi" w:cstheme="minorBidi"/>
          <w:color w:val="auto"/>
        </w:rPr>
        <w:t xml:space="preserve"> to 100 µM with sterile, RNase and DNase free H</w:t>
      </w:r>
      <w:r w:rsidRPr="005B034C">
        <w:rPr>
          <w:rFonts w:asciiTheme="minorHAnsi" w:hAnsiTheme="minorHAnsi" w:cstheme="minorBidi"/>
          <w:color w:val="auto"/>
          <w:vertAlign w:val="subscript"/>
        </w:rPr>
        <w:t>2</w:t>
      </w:r>
      <w:r w:rsidRPr="005B034C">
        <w:rPr>
          <w:rFonts w:asciiTheme="minorHAnsi" w:hAnsiTheme="minorHAnsi" w:cstheme="minorBidi"/>
          <w:color w:val="auto"/>
        </w:rPr>
        <w:t>O</w:t>
      </w:r>
      <w:r w:rsidRPr="005B034C">
        <w:rPr>
          <w:rFonts w:asciiTheme="minorHAnsi" w:hAnsiTheme="minorHAnsi" w:cstheme="minorHAnsi"/>
          <w:bCs/>
          <w:color w:val="auto"/>
        </w:rPr>
        <w:t xml:space="preserve"> (see </w:t>
      </w:r>
      <w:r w:rsidRPr="005B034C">
        <w:rPr>
          <w:rFonts w:asciiTheme="minorHAnsi" w:hAnsiTheme="minorHAnsi" w:cstheme="minorHAnsi"/>
          <w:b/>
          <w:color w:val="auto"/>
        </w:rPr>
        <w:t>Table of Materials</w:t>
      </w:r>
      <w:r w:rsidR="005B034C" w:rsidRPr="005B034C">
        <w:rPr>
          <w:rFonts w:asciiTheme="minorHAnsi" w:hAnsiTheme="minorHAnsi" w:cstheme="minorHAnsi"/>
          <w:color w:val="auto"/>
        </w:rPr>
        <w:t>)</w:t>
      </w:r>
      <w:r w:rsidRPr="005B034C">
        <w:rPr>
          <w:rFonts w:asciiTheme="minorHAnsi" w:hAnsiTheme="minorHAnsi" w:cstheme="minorBidi"/>
          <w:color w:val="auto"/>
        </w:rPr>
        <w:t>. Make a 10 µM working concentration primer. Primers used in the protocol were published before</w:t>
      </w:r>
      <w:r w:rsidR="00A34E38" w:rsidRPr="005B034C">
        <w:rPr>
          <w:rStyle w:val="FootnoteReference"/>
          <w:rFonts w:asciiTheme="minorHAnsi" w:hAnsiTheme="minorHAnsi" w:cstheme="minorBidi"/>
          <w:color w:val="auto"/>
        </w:rPr>
        <w:fldChar w:fldCharType="begin" w:fldLock="1"/>
      </w:r>
      <w:r w:rsidR="00A34E38" w:rsidRPr="005B034C">
        <w:rPr>
          <w:rFonts w:asciiTheme="minorHAnsi" w:hAnsiTheme="minorHAnsi" w:cstheme="minorBidi"/>
          <w:color w:val="auto"/>
        </w:rPr>
        <w:instrText>ADDIN CSL_CITATION {"citationItems":[{"id":"ITEM-1","itemData":{"DOI":"10.1056/NEJMoa1311347","ISSN":"15334406","abstract":"BACKGROUND: Approximately 50 to 60% of patients with essential thrombocythemia or primary myelofibrosis carry a mutation in the Janus kinase 2 gene (JAK2), and an additional 5 to 10% have activating mutations in the thrombopoietin receptor gene (MPL). So far, no specific molecular marker has been identified in the remaining 30 to 45% of patients. METHODS: We performed whole-exome sequencing to identify somatically acquired mutations in six patients who had primary myelofibrosis without mutations in JAK2 or MPL. Resequencing of CALR, encoding calreticulin, was then performed in cohorts of patients with myeloid neoplasms. RESULTS: Somatic insertions or deletions in exon 9 of CALR were detected in all patients who underwent whole-exome sequencing. Resequencing in 1107 samples from patients with myeloproliferative neoplasms showed that CALR mutations were absent in polycythemia vera. In essential thrombocythemia and primary myelofibrosis, CALR mutations and JAK2 and MPL mutations were mutually exclusive. Among patients with essential thrombocythemia or primary myelofibrosis with nonmutated JAK2 or MPL, CALR mutations were detected in 67% of those with essential thrombocythemia and 88% of those with primary myelofibrosis. A total of 36 types of insertions or deletions were identified that all cause a frameshift to the same alternative reading frame and generate a novel C-terminal peptide in the mutant calreticulin. Overexpression of the most frequent CALR deletion caused cytokine-independent growth in vitro owing to the activation of signal transducer and activator of transcription 5 (STAT5) by means of an unknown mechanism. Patients with mutated CALR had a lower risk of thrombosis and longer overall survival than patients with mutated JAK2. CONCLUSIONS: Most patients with essential thrombocythemia or primary myelofibrosis that was not associated with a JAK2 or MPL alteration carried a somatic mutation in CALR. The clinical course in these patients was more indolent than that in patients with the JAK2 V617F mutation. (Funded by the MPN Research Foundation and Associazione Italiana per la Ricerca sul Cancro.) Copyright © 2013 Massachusetts Medical Society. All rights reserved.","author":[{"dropping-particle":"","family":"Klampfl","given":"Thorsten","non-dropping-particle":"","parse-names":false,"suffix":""},{"dropping-particle":"","family":"Gisslinger","given":"Heinz","non-dropping-particle":"","parse-names":false,"suffix":""},{"dropping-particle":"","family":"Harutyunyan","given":"Ashot S.","non-dropping-particle":"","parse-names":false,"suffix":""},{"dropping-particle":"","family":"Nivarthi","given":"Harini","non-dropping-particle":"","parse-names":false,"suffix":""},{"dropping-particle":"","family":"Rumi","given":"Elisa","non-dropping-particle":"","parse-names":false,"suffix":""},{"dropping-particle":"","family":"Milosevic","given":"Jelena D.","non-dropping-particle":"","parse-names":false,"suffix":""},{"dropping-particle":"","family":"Them","given":"Nicole C.C.","non-dropping-particle":"","parse-names":false,"suffix":""},{"dropping-particle":"","family":"Berg","given":"Tiina","non-dropping-particle":"","parse-names":false,"suffix":""},{"dropping-particle":"","family":"Gisslinger","given":"Bettina","non-dropping-particle":"","parse-names":false,"suffix":""},{"dropping-particle":"","family":"Pietra","given":"Daniela","non-dropping-particle":"","parse-names":false,"suffix":""},{"dropping-particle":"","family":"Chen","given":"Doris","non-dropping-particle":"","parse-names":false,"suffix":""},{"dropping-particle":"","family":"Vladimer","given":"Gregory I.","non-dropping-particle":"","parse-names":false,"suffix":""},{"dropping-particle":"","family":"Bagienski","given":"Klaudia","non-dropping-particle":"","parse-names":false,"suffix":""},{"dropping-particle":"","family":"Milanesi","given":"Chiara","non-dropping-particle":"","parse-names":false,"suffix":""},{"dropping-particle":"","family":"Casetti","given":"Ilaria Carola","non-dropping-particle":"","parse-names":false,"suffix":""},{"dropping-particle":"","family":"Sant'Antonio","given":"Emanuela","non-dropping-particle":"","parse-names":false,"suffix":""},{"dropping-particle":"","family":"Ferretti","given":"Virginia","non-dropping-particle":"","parse-names":false,"suffix":""},{"dropping-particle":"","family":"Elena","given":"Chiara","non-dropping-particle":"","parse-names":false,"suffix":""},{"dropping-particle":"","family":"Schischlik","given":"Fiorella","non-dropping-particle":"","parse-names":false,"suffix":""},{"dropping-particle":"","family":"Cleary","given":"Ciara","non-dropping-particle":"","parse-names":false,"suffix":""},{"dropping-particle":"","family":"Six","given":"Melanie","non-dropping-particle":"","parse-names":false,"suffix":""},{"dropping-particle":"","family":"Schalling","given":"Martin","non-dropping-particle":"","parse-names":false,"suffix":""},{"dropping-particle":"","family":"Schon̈egger","given":"Andreas","non-dropping-particle":"","parse-names":false,"suffix":""},{"dropping-particle":"","family":"Bock","given":"Christoph","non-dropping-particle":"","parse-names":false,"suffix":""},{"dropping-particle":"","family":"Malcovati","given":"Luca","non-dropping-particle":"","parse-names":false,"suffix":""},{"dropping-particle":"","family":"Pascutto","given":"Cristiana","non-dropping-particle":"","parse-names":false,"suffix":""},{"dropping-particle":"","family":"Superti-Furga","given":"Giulio","non-dropping-particle":"","parse-names":false,"suffix":""},{"dropping-particle":"","family":"Cazzola","given":"Mario","non-dropping-particle":"","parse-names":false,"suffix":""},{"dropping-particle":"","family":"Kralovics","given":"Robert","non-dropping-particle":"","parse-names":false,"suffix":""}],"container-title":"New England Journal of Medicine","id":"ITEM-1","issue":"25","issued":{"date-parts":[["2013","12","10"]]},"note":"doi: 10.1056/NEJMoa1311347","page":"2379-2390","publisher":"Massachusetts Medical Society","title":"Somatic mutations of calreticulin in myeloproliferative neoplasms","type":"article-journal","volume":"369"},"uris":["http://www.mendeley.com/documents/?uuid=46462d5d-d6a7-49fa-a943-79a4681a3d9c"]}],"mendeley":{"formattedCitation":"&lt;sup&gt;2&lt;/sup&gt;","plainTextFormattedCitation":"2","previouslyFormattedCitation":"&lt;sup&gt;2&lt;/sup&gt;"},"properties":{"noteIndex":0},"schema":"https://github.com/citation-style-language/schema/raw/master/csl-citation.json"}</w:instrText>
      </w:r>
      <w:r w:rsidR="00A34E38" w:rsidRPr="005B034C">
        <w:rPr>
          <w:rStyle w:val="FootnoteReference"/>
          <w:rFonts w:asciiTheme="minorHAnsi" w:hAnsiTheme="minorHAnsi" w:cstheme="minorBidi"/>
          <w:color w:val="auto"/>
        </w:rPr>
        <w:fldChar w:fldCharType="separate"/>
      </w:r>
      <w:r w:rsidR="00A34E38" w:rsidRPr="005B034C">
        <w:rPr>
          <w:rFonts w:asciiTheme="minorHAnsi" w:hAnsiTheme="minorHAnsi" w:cstheme="minorBidi"/>
          <w:noProof/>
          <w:color w:val="auto"/>
          <w:vertAlign w:val="superscript"/>
        </w:rPr>
        <w:t>2</w:t>
      </w:r>
      <w:r w:rsidR="00A34E38" w:rsidRPr="005B034C">
        <w:rPr>
          <w:rStyle w:val="FootnoteReference"/>
          <w:rFonts w:asciiTheme="minorHAnsi" w:hAnsiTheme="minorHAnsi" w:cstheme="minorBidi"/>
          <w:color w:val="auto"/>
        </w:rPr>
        <w:fldChar w:fldCharType="end"/>
      </w:r>
      <w:r w:rsidRPr="005B034C">
        <w:rPr>
          <w:rFonts w:asciiTheme="minorHAnsi" w:hAnsiTheme="minorHAnsi" w:cstheme="minorBidi"/>
          <w:color w:val="auto"/>
        </w:rPr>
        <w:t xml:space="preserve">. </w:t>
      </w:r>
    </w:p>
    <w:p w14:paraId="5F6123B2" w14:textId="77777777" w:rsidR="0059727E" w:rsidRPr="005B034C" w:rsidRDefault="0059727E" w:rsidP="006820EA">
      <w:pPr>
        <w:pStyle w:val="ListParagraph"/>
        <w:ind w:left="0"/>
        <w:rPr>
          <w:rFonts w:asciiTheme="minorHAnsi" w:hAnsiTheme="minorHAnsi" w:cstheme="minorBidi"/>
          <w:color w:val="auto"/>
        </w:rPr>
      </w:pPr>
    </w:p>
    <w:p w14:paraId="76A7D4A9" w14:textId="76076837" w:rsidR="00045FCD" w:rsidRPr="005B034C" w:rsidRDefault="00350F1E" w:rsidP="006820EA">
      <w:pPr>
        <w:pStyle w:val="ListParagraph"/>
        <w:numPr>
          <w:ilvl w:val="1"/>
          <w:numId w:val="30"/>
        </w:numPr>
        <w:rPr>
          <w:rFonts w:asciiTheme="minorHAnsi" w:hAnsiTheme="minorHAnsi" w:cstheme="minorHAnsi"/>
          <w:bCs/>
          <w:color w:val="auto"/>
        </w:rPr>
      </w:pPr>
      <w:r w:rsidRPr="005B034C">
        <w:rPr>
          <w:rFonts w:asciiTheme="minorHAnsi" w:hAnsiTheme="minorHAnsi" w:cstheme="minorHAnsi"/>
          <w:bCs/>
          <w:color w:val="auto"/>
        </w:rPr>
        <w:t xml:space="preserve">Quantitate granulocytes DNA by the fluorescence staining </w:t>
      </w:r>
      <w:r w:rsidR="00092EB6" w:rsidRPr="005B034C">
        <w:rPr>
          <w:rFonts w:asciiTheme="minorHAnsi" w:hAnsiTheme="minorHAnsi" w:cstheme="minorHAnsi"/>
          <w:bCs/>
          <w:color w:val="auto"/>
        </w:rPr>
        <w:t xml:space="preserve">method </w:t>
      </w:r>
      <w:r w:rsidRPr="005B034C">
        <w:rPr>
          <w:rFonts w:asciiTheme="minorHAnsi" w:hAnsiTheme="minorHAnsi" w:cstheme="minorHAnsi"/>
          <w:bCs/>
          <w:color w:val="auto"/>
        </w:rPr>
        <w:t>following the manufacturer’s instruction</w:t>
      </w:r>
      <w:r w:rsidR="00A34E38" w:rsidRPr="005B034C">
        <w:rPr>
          <w:rStyle w:val="FootnoteReference"/>
          <w:rFonts w:asciiTheme="minorHAnsi" w:hAnsiTheme="minorHAnsi" w:cstheme="minorHAnsi"/>
          <w:bCs/>
          <w:color w:val="auto"/>
        </w:rPr>
        <w:fldChar w:fldCharType="begin" w:fldLock="1"/>
      </w:r>
      <w:r w:rsidR="00153681" w:rsidRPr="005B034C">
        <w:rPr>
          <w:rFonts w:asciiTheme="minorHAnsi" w:hAnsiTheme="minorHAnsi" w:cstheme="minorHAnsi"/>
          <w:bCs/>
          <w:color w:val="auto"/>
        </w:rPr>
        <w:instrText>ADDIN CSL_CITATION {"citationItems":[{"id":"ITEM-1","itemData":{"author":[{"dropping-particle":"","family":"QtfXna","given":"LifeTech","non-dropping-particle":"","parse-names":false,"suffix":""}],"container-title":"Manual","id":"ITEM-1","issued":{"date-parts":[["2015"]]},"page":"1-9","title":"LifeTech: Qubit ™ dsDNA HS Assay Kits","type":"article-journal"},"uris":["http://www.mendeley.com/documents/?uuid=c4cadef0-58b8-41ec-943b-88de15e63835"]}],"mendeley":{"formattedCitation":"&lt;sup&gt;11&lt;/sup&gt;","plainTextFormattedCitation":"11","previouslyFormattedCitation":"&lt;sup&gt;10&lt;/sup&gt;"},"properties":{"noteIndex":0},"schema":"https://github.com/citation-style-language/schema/raw/master/csl-citation.json"}</w:instrText>
      </w:r>
      <w:r w:rsidR="00A34E38" w:rsidRPr="005B034C">
        <w:rPr>
          <w:rStyle w:val="FootnoteReference"/>
          <w:rFonts w:asciiTheme="minorHAnsi" w:hAnsiTheme="minorHAnsi" w:cstheme="minorHAnsi"/>
          <w:bCs/>
          <w:color w:val="auto"/>
        </w:rPr>
        <w:fldChar w:fldCharType="separate"/>
      </w:r>
      <w:r w:rsidR="00153681" w:rsidRPr="005B034C">
        <w:rPr>
          <w:rFonts w:asciiTheme="minorHAnsi" w:hAnsiTheme="minorHAnsi" w:cstheme="minorHAnsi"/>
          <w:noProof/>
          <w:color w:val="auto"/>
          <w:vertAlign w:val="superscript"/>
          <w:lang w:val="sl-SI"/>
        </w:rPr>
        <w:t>11</w:t>
      </w:r>
      <w:r w:rsidR="00A34E38" w:rsidRPr="005B034C">
        <w:rPr>
          <w:rStyle w:val="FootnoteReference"/>
          <w:rFonts w:asciiTheme="minorHAnsi" w:hAnsiTheme="minorHAnsi" w:cstheme="minorHAnsi"/>
          <w:bCs/>
          <w:color w:val="auto"/>
        </w:rPr>
        <w:fldChar w:fldCharType="end"/>
      </w:r>
      <w:r w:rsidRPr="005B034C">
        <w:rPr>
          <w:rFonts w:asciiTheme="minorHAnsi" w:hAnsiTheme="minorHAnsi" w:cstheme="minorHAnsi"/>
          <w:bCs/>
          <w:color w:val="auto"/>
        </w:rPr>
        <w:t xml:space="preserve"> (see </w:t>
      </w:r>
      <w:r w:rsidRPr="005B034C">
        <w:rPr>
          <w:rFonts w:asciiTheme="minorHAnsi" w:hAnsiTheme="minorHAnsi" w:cstheme="minorHAnsi"/>
          <w:b/>
          <w:color w:val="auto"/>
        </w:rPr>
        <w:t>Table of Materials</w:t>
      </w:r>
      <w:r w:rsidR="005B034C" w:rsidRPr="005B034C">
        <w:rPr>
          <w:rFonts w:asciiTheme="minorHAnsi" w:hAnsiTheme="minorHAnsi" w:cstheme="minorHAnsi"/>
          <w:color w:val="auto"/>
        </w:rPr>
        <w:t>)</w:t>
      </w:r>
      <w:r w:rsidRPr="005B034C">
        <w:rPr>
          <w:rFonts w:asciiTheme="minorHAnsi" w:hAnsiTheme="minorHAnsi" w:cstheme="minorHAnsi"/>
          <w:bCs/>
          <w:color w:val="auto"/>
        </w:rPr>
        <w:t xml:space="preserve">. </w:t>
      </w:r>
      <w:r w:rsidR="00045FCD" w:rsidRPr="005B034C">
        <w:rPr>
          <w:rFonts w:asciiTheme="minorHAnsi" w:hAnsiTheme="minorHAnsi" w:cstheme="minorHAnsi"/>
          <w:bCs/>
          <w:color w:val="auto"/>
        </w:rPr>
        <w:t xml:space="preserve">Prepare </w:t>
      </w:r>
      <w:r w:rsidR="003941FF">
        <w:rPr>
          <w:rFonts w:asciiTheme="minorHAnsi" w:hAnsiTheme="minorHAnsi" w:cstheme="minorHAnsi"/>
          <w:bCs/>
          <w:color w:val="auto"/>
        </w:rPr>
        <w:t xml:space="preserve">a </w:t>
      </w:r>
      <w:r w:rsidR="00045FCD" w:rsidRPr="005B034C">
        <w:rPr>
          <w:rFonts w:asciiTheme="minorHAnsi" w:hAnsiTheme="minorHAnsi" w:cstheme="minorHAnsi"/>
          <w:bCs/>
          <w:color w:val="auto"/>
        </w:rPr>
        <w:t xml:space="preserve">20 ng/µL DNA solution using 10 mM Tris-Cl, 0.5 mM EDTA, pH 9.0 (see </w:t>
      </w:r>
      <w:r w:rsidR="00045FCD" w:rsidRPr="005B034C">
        <w:rPr>
          <w:rFonts w:asciiTheme="minorHAnsi" w:hAnsiTheme="minorHAnsi" w:cstheme="minorHAnsi"/>
          <w:b/>
          <w:color w:val="auto"/>
        </w:rPr>
        <w:t>Table of Materials</w:t>
      </w:r>
      <w:r w:rsidR="005B034C" w:rsidRPr="005B034C">
        <w:rPr>
          <w:rFonts w:asciiTheme="minorHAnsi" w:hAnsiTheme="minorHAnsi" w:cstheme="minorHAnsi"/>
          <w:color w:val="auto"/>
        </w:rPr>
        <w:t>)</w:t>
      </w:r>
      <w:r w:rsidR="00045FCD" w:rsidRPr="005B034C">
        <w:rPr>
          <w:rFonts w:asciiTheme="minorHAnsi" w:hAnsiTheme="minorHAnsi" w:cstheme="minorHAnsi"/>
          <w:bCs/>
          <w:color w:val="auto"/>
        </w:rPr>
        <w:t>.</w:t>
      </w:r>
    </w:p>
    <w:p w14:paraId="0E8D3E54" w14:textId="77777777" w:rsidR="00045FCD" w:rsidRPr="005B034C" w:rsidRDefault="00045FCD" w:rsidP="006820EA">
      <w:pPr>
        <w:pStyle w:val="ListParagraph"/>
        <w:ind w:left="0"/>
        <w:rPr>
          <w:rFonts w:asciiTheme="minorHAnsi" w:hAnsiTheme="minorHAnsi" w:cstheme="minorHAnsi"/>
          <w:bCs/>
          <w:color w:val="auto"/>
        </w:rPr>
      </w:pPr>
    </w:p>
    <w:p w14:paraId="67A0582B" w14:textId="6CE1BE5D" w:rsidR="00350F1E" w:rsidRPr="005B034C" w:rsidRDefault="00350F1E" w:rsidP="006820EA">
      <w:pPr>
        <w:pStyle w:val="ListParagraph"/>
        <w:numPr>
          <w:ilvl w:val="2"/>
          <w:numId w:val="30"/>
        </w:numPr>
        <w:ind w:left="0" w:firstLine="0"/>
        <w:rPr>
          <w:rFonts w:asciiTheme="minorHAnsi" w:hAnsiTheme="minorHAnsi" w:cstheme="minorHAnsi"/>
          <w:bCs/>
          <w:color w:val="auto"/>
        </w:rPr>
      </w:pPr>
      <w:r w:rsidRPr="005B034C">
        <w:rPr>
          <w:rFonts w:asciiTheme="minorHAnsi" w:hAnsiTheme="minorHAnsi" w:cstheme="minorBidi"/>
          <w:color w:val="auto"/>
        </w:rPr>
        <w:t>In addition to DNA samples</w:t>
      </w:r>
      <w:r w:rsidR="003941FF">
        <w:rPr>
          <w:rFonts w:asciiTheme="minorHAnsi" w:hAnsiTheme="minorHAnsi" w:cstheme="minorBidi"/>
          <w:color w:val="auto"/>
        </w:rPr>
        <w:t>,</w:t>
      </w:r>
      <w:r w:rsidRPr="005B034C">
        <w:rPr>
          <w:rFonts w:asciiTheme="minorHAnsi" w:hAnsiTheme="minorHAnsi" w:cstheme="minorBidi"/>
          <w:color w:val="auto"/>
        </w:rPr>
        <w:t xml:space="preserve"> </w:t>
      </w:r>
      <w:r w:rsidR="00C469E9" w:rsidRPr="005B034C">
        <w:rPr>
          <w:rFonts w:asciiTheme="minorHAnsi" w:hAnsiTheme="minorHAnsi" w:cstheme="minorBidi"/>
          <w:color w:val="auto"/>
        </w:rPr>
        <w:t>prepare</w:t>
      </w:r>
      <w:r w:rsidRPr="005B034C">
        <w:rPr>
          <w:rFonts w:asciiTheme="minorHAnsi" w:hAnsiTheme="minorHAnsi" w:cstheme="minorBidi"/>
          <w:color w:val="auto"/>
        </w:rPr>
        <w:t xml:space="preserve"> at least three DNA controls</w:t>
      </w:r>
      <w:r w:rsidR="003941FF">
        <w:rPr>
          <w:rFonts w:asciiTheme="minorHAnsi" w:hAnsiTheme="minorHAnsi" w:cstheme="minorBidi"/>
          <w:color w:val="auto"/>
        </w:rPr>
        <w:t>:</w:t>
      </w:r>
      <w:r w:rsidRPr="005B034C">
        <w:rPr>
          <w:rFonts w:asciiTheme="minorHAnsi" w:hAnsiTheme="minorHAnsi" w:cstheme="minorBidi"/>
          <w:color w:val="auto"/>
        </w:rPr>
        <w:t xml:space="preserve"> two positive controls with the NM_004343.3 (</w:t>
      </w:r>
      <w:r w:rsidRPr="005B034C">
        <w:rPr>
          <w:rFonts w:asciiTheme="minorHAnsi" w:hAnsiTheme="minorHAnsi" w:cstheme="minorBidi"/>
          <w:i/>
          <w:iCs/>
          <w:color w:val="auto"/>
        </w:rPr>
        <w:t>CALR</w:t>
      </w:r>
      <w:r w:rsidR="005B034C" w:rsidRPr="005B034C">
        <w:rPr>
          <w:rFonts w:asciiTheme="minorHAnsi" w:hAnsiTheme="minorHAnsi" w:cstheme="minorBidi"/>
          <w:color w:val="auto"/>
        </w:rPr>
        <w:t>)</w:t>
      </w:r>
      <w:r w:rsidRPr="005B034C">
        <w:rPr>
          <w:rFonts w:asciiTheme="minorHAnsi" w:hAnsiTheme="minorHAnsi" w:cstheme="minorBidi"/>
          <w:color w:val="auto"/>
        </w:rPr>
        <w:t>: c.1099_1150del52, p.(Leu367Thrfs*46</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(52 bp deletion or type 1 mutation</w:t>
      </w:r>
      <w:r w:rsidR="005B034C" w:rsidRPr="005B034C">
        <w:rPr>
          <w:rFonts w:asciiTheme="minorHAnsi" w:hAnsiTheme="minorHAnsi" w:cstheme="minorBidi"/>
          <w:color w:val="auto"/>
        </w:rPr>
        <w:t>)</w:t>
      </w:r>
      <w:r w:rsidRPr="005B034C">
        <w:rPr>
          <w:rFonts w:asciiTheme="minorHAnsi" w:hAnsiTheme="minorHAnsi" w:cstheme="minorBidi"/>
          <w:color w:val="auto"/>
        </w:rPr>
        <w:t>, and NM_004343.3 (</w:t>
      </w:r>
      <w:r w:rsidRPr="005B034C">
        <w:rPr>
          <w:rFonts w:asciiTheme="minorHAnsi" w:hAnsiTheme="minorHAnsi" w:cstheme="minorBidi"/>
          <w:i/>
          <w:iCs/>
          <w:color w:val="auto"/>
        </w:rPr>
        <w:t>CALR</w:t>
      </w:r>
      <w:r w:rsidR="005B034C" w:rsidRPr="005B034C">
        <w:rPr>
          <w:rFonts w:asciiTheme="minorHAnsi" w:hAnsiTheme="minorHAnsi" w:cstheme="minorBidi"/>
          <w:color w:val="auto"/>
        </w:rPr>
        <w:t>)</w:t>
      </w:r>
      <w:r w:rsidRPr="005B034C">
        <w:rPr>
          <w:rFonts w:asciiTheme="minorHAnsi" w:hAnsiTheme="minorHAnsi" w:cstheme="minorBidi"/>
          <w:color w:val="auto"/>
        </w:rPr>
        <w:t>: c.1154_1155insTTGTC, p.(Lys385Asnfs*47</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(5 bp insertion or type 2 mutation</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genetic variant, as well as wild-type DNA and negative control as a non-template (NTC</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control. </w:t>
      </w:r>
    </w:p>
    <w:p w14:paraId="0D634FC0" w14:textId="77777777" w:rsidR="00350F1E" w:rsidRPr="005B034C" w:rsidRDefault="00350F1E" w:rsidP="006820EA">
      <w:pPr>
        <w:pStyle w:val="ListParagraph"/>
        <w:ind w:left="0"/>
        <w:rPr>
          <w:rFonts w:asciiTheme="minorHAnsi" w:hAnsiTheme="minorHAnsi" w:cstheme="minorHAnsi"/>
          <w:bCs/>
          <w:color w:val="auto"/>
        </w:rPr>
      </w:pPr>
    </w:p>
    <w:p w14:paraId="35F74255" w14:textId="7D7B7C7A" w:rsidR="00350F1E" w:rsidRPr="005B034C" w:rsidRDefault="00350F1E" w:rsidP="006820EA">
      <w:pPr>
        <w:pStyle w:val="ListParagraph"/>
        <w:ind w:left="0"/>
        <w:rPr>
          <w:rFonts w:asciiTheme="minorHAnsi" w:hAnsiTheme="minorHAnsi" w:cstheme="minorBidi"/>
          <w:color w:val="auto"/>
        </w:rPr>
      </w:pPr>
      <w:r w:rsidRPr="005B034C">
        <w:rPr>
          <w:rFonts w:asciiTheme="minorHAnsi" w:hAnsiTheme="minorHAnsi" w:cstheme="minorBidi"/>
          <w:color w:val="auto"/>
        </w:rPr>
        <w:t>NOTE: Before performing the HRM setup</w:t>
      </w:r>
      <w:r w:rsidR="001B775D" w:rsidRPr="005B034C">
        <w:rPr>
          <w:rFonts w:asciiTheme="minorHAnsi" w:hAnsiTheme="minorHAnsi" w:cstheme="minorBidi"/>
          <w:color w:val="auto"/>
        </w:rPr>
        <w:t>,</w:t>
      </w:r>
      <w:r w:rsidRPr="005B034C">
        <w:rPr>
          <w:rFonts w:asciiTheme="minorHAnsi" w:hAnsiTheme="minorHAnsi" w:cstheme="minorBidi"/>
          <w:color w:val="auto"/>
        </w:rPr>
        <w:t xml:space="preserve"> confirm that the qPCR instrument is calibrated for HRM experiments. </w:t>
      </w:r>
    </w:p>
    <w:p w14:paraId="69B87897" w14:textId="77777777" w:rsidR="00350F1E" w:rsidRPr="005B034C" w:rsidRDefault="00350F1E" w:rsidP="006820EA">
      <w:pPr>
        <w:pStyle w:val="ListParagraph"/>
        <w:ind w:left="0"/>
        <w:rPr>
          <w:rFonts w:asciiTheme="minorHAnsi" w:hAnsiTheme="minorHAnsi" w:cstheme="minorHAnsi"/>
          <w:bCs/>
          <w:color w:val="auto"/>
        </w:rPr>
      </w:pPr>
    </w:p>
    <w:p w14:paraId="4CB6DBF4" w14:textId="0787570A" w:rsidR="00045FCD" w:rsidRPr="005B034C" w:rsidRDefault="00350F1E" w:rsidP="006820EA">
      <w:pPr>
        <w:pStyle w:val="ListParagraph"/>
        <w:numPr>
          <w:ilvl w:val="1"/>
          <w:numId w:val="30"/>
        </w:numPr>
        <w:rPr>
          <w:rFonts w:asciiTheme="minorHAnsi" w:hAnsiTheme="minorHAnsi" w:cstheme="minorBidi"/>
          <w:color w:val="auto"/>
          <w:highlight w:val="yellow"/>
        </w:rPr>
      </w:pPr>
      <w:bookmarkStart w:id="1" w:name="_Hlk47094035"/>
      <w:r w:rsidRPr="005B034C">
        <w:rPr>
          <w:rFonts w:asciiTheme="minorHAnsi" w:hAnsiTheme="minorHAnsi" w:cstheme="minorBidi"/>
          <w:color w:val="auto"/>
          <w:highlight w:val="yellow"/>
        </w:rPr>
        <w:t>Prepare qPCR HRM Master Mix according to</w:t>
      </w:r>
      <w:r w:rsidRPr="005B034C">
        <w:rPr>
          <w:rFonts w:asciiTheme="minorHAnsi" w:hAnsiTheme="minorHAnsi" w:cstheme="minorHAnsi"/>
          <w:bCs/>
          <w:color w:val="auto"/>
          <w:highlight w:val="yellow"/>
        </w:rPr>
        <w:t xml:space="preserve"> manufacturer’</w:t>
      </w:r>
      <w:r w:rsidRPr="005B034C">
        <w:rPr>
          <w:rFonts w:asciiTheme="minorHAnsi" w:hAnsiTheme="minorHAnsi" w:cstheme="minorBidi"/>
          <w:bCs/>
          <w:color w:val="auto"/>
          <w:highlight w:val="yellow"/>
        </w:rPr>
        <w:t>s</w:t>
      </w:r>
      <w:r w:rsidRPr="005B034C">
        <w:rPr>
          <w:rFonts w:asciiTheme="minorHAnsi" w:hAnsiTheme="minorHAnsi" w:cstheme="minorBidi"/>
          <w:color w:val="auto"/>
          <w:highlight w:val="yellow"/>
        </w:rPr>
        <w:t xml:space="preserve"> protocol</w:t>
      </w:r>
      <w:r w:rsidRPr="005B034C">
        <w:rPr>
          <w:rFonts w:asciiTheme="minorHAnsi" w:hAnsiTheme="minorHAnsi" w:cstheme="minorBidi"/>
          <w:color w:val="auto"/>
        </w:rPr>
        <w:t xml:space="preserve"> (see </w:t>
      </w:r>
      <w:r w:rsidRPr="005B034C">
        <w:rPr>
          <w:rFonts w:asciiTheme="minorHAnsi" w:hAnsiTheme="minorHAnsi" w:cstheme="minorBidi"/>
          <w:b/>
          <w:bCs/>
          <w:color w:val="auto"/>
        </w:rPr>
        <w:t>Table of Materials</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as follows: 10 µL of 2</w:t>
      </w:r>
      <w:r w:rsidR="00045FCD" w:rsidRPr="005B034C">
        <w:rPr>
          <w:rFonts w:asciiTheme="minorHAnsi" w:hAnsiTheme="minorHAnsi" w:cstheme="minorBidi"/>
          <w:color w:val="auto"/>
          <w:highlight w:val="yellow"/>
        </w:rPr>
        <w:t>x</w:t>
      </w:r>
      <w:r w:rsidRPr="005B034C">
        <w:rPr>
          <w:rFonts w:asciiTheme="minorHAnsi" w:hAnsiTheme="minorHAnsi" w:cstheme="minorBidi"/>
          <w:color w:val="auto"/>
          <w:highlight w:val="yellow"/>
        </w:rPr>
        <w:t xml:space="preserve"> qPCR Master Mix with Dye, 0.2 µL of 10 µM Forward Primer, 0.2 µL of 10 µM Reverse Primer, 8</w:t>
      </w:r>
      <w:r w:rsidR="001B775D" w:rsidRPr="005B034C">
        <w:rPr>
          <w:rFonts w:asciiTheme="minorHAnsi" w:hAnsiTheme="minorHAnsi" w:cstheme="minorBidi"/>
          <w:color w:val="auto"/>
          <w:highlight w:val="yellow"/>
        </w:rPr>
        <w:t>.</w:t>
      </w:r>
      <w:r w:rsidRPr="005B034C">
        <w:rPr>
          <w:rFonts w:asciiTheme="minorHAnsi" w:hAnsiTheme="minorHAnsi" w:cstheme="minorBidi"/>
          <w:color w:val="auto"/>
          <w:highlight w:val="yellow"/>
        </w:rPr>
        <w:t>6 µL of sterile, RNase and DNase free H</w:t>
      </w:r>
      <w:r w:rsidRPr="005B034C">
        <w:rPr>
          <w:rFonts w:asciiTheme="minorHAnsi" w:hAnsiTheme="minorHAnsi" w:cstheme="minorBidi"/>
          <w:color w:val="auto"/>
          <w:highlight w:val="yellow"/>
          <w:vertAlign w:val="subscript"/>
        </w:rPr>
        <w:t>2</w:t>
      </w:r>
      <w:r w:rsidRPr="005B034C">
        <w:rPr>
          <w:rFonts w:asciiTheme="minorHAnsi" w:hAnsiTheme="minorHAnsi" w:cstheme="minorBidi"/>
          <w:color w:val="auto"/>
          <w:highlight w:val="yellow"/>
        </w:rPr>
        <w:t xml:space="preserve">O. </w:t>
      </w:r>
      <w:r w:rsidRPr="005B034C">
        <w:rPr>
          <w:rFonts w:asciiTheme="minorHAnsi" w:hAnsiTheme="minorHAnsi" w:cstheme="minorBidi"/>
          <w:color w:val="auto"/>
        </w:rPr>
        <w:t xml:space="preserve">Use the primers from </w:t>
      </w:r>
      <w:r w:rsidR="001B775D" w:rsidRPr="005B034C">
        <w:rPr>
          <w:rFonts w:asciiTheme="minorHAnsi" w:hAnsiTheme="minorHAnsi" w:cstheme="minorBidi"/>
          <w:color w:val="auto"/>
        </w:rPr>
        <w:t xml:space="preserve">the </w:t>
      </w:r>
      <w:r w:rsidR="00C469E9" w:rsidRPr="005B034C">
        <w:rPr>
          <w:rFonts w:asciiTheme="minorHAnsi" w:hAnsiTheme="minorHAnsi" w:cstheme="minorHAnsi"/>
          <w:b/>
          <w:color w:val="auto"/>
        </w:rPr>
        <w:t>Table of Materials</w:t>
      </w:r>
      <w:r w:rsidRPr="005B034C">
        <w:rPr>
          <w:rFonts w:asciiTheme="minorHAnsi" w:hAnsiTheme="minorHAnsi" w:cstheme="minorBidi"/>
          <w:color w:val="auto"/>
        </w:rPr>
        <w:t xml:space="preserve">. </w:t>
      </w:r>
      <w:r w:rsidR="00045FCD" w:rsidRPr="005B034C">
        <w:rPr>
          <w:rFonts w:asciiTheme="minorHAnsi" w:hAnsiTheme="minorHAnsi" w:cstheme="minorBidi"/>
          <w:color w:val="auto"/>
          <w:highlight w:val="yellow"/>
        </w:rPr>
        <w:t>Run three replicates for each DNA sample and control.</w:t>
      </w:r>
    </w:p>
    <w:p w14:paraId="089F52F4" w14:textId="77777777" w:rsidR="00045FCD" w:rsidRPr="005B034C" w:rsidRDefault="00045FCD" w:rsidP="006820EA">
      <w:pPr>
        <w:pStyle w:val="ListParagraph"/>
        <w:ind w:left="0"/>
        <w:rPr>
          <w:rFonts w:asciiTheme="minorHAnsi" w:hAnsiTheme="minorHAnsi" w:cstheme="minorBidi"/>
          <w:color w:val="auto"/>
        </w:rPr>
      </w:pPr>
    </w:p>
    <w:p w14:paraId="64F71E28" w14:textId="48F61E65" w:rsidR="00350F1E" w:rsidRPr="005B034C" w:rsidRDefault="002B0232" w:rsidP="006820EA">
      <w:pPr>
        <w:pStyle w:val="ListParagraph"/>
        <w:numPr>
          <w:ilvl w:val="2"/>
          <w:numId w:val="30"/>
        </w:numPr>
        <w:ind w:left="0" w:firstLine="0"/>
        <w:rPr>
          <w:rFonts w:asciiTheme="minorHAnsi" w:hAnsiTheme="minorHAnsi" w:cstheme="minorBidi"/>
          <w:color w:val="auto"/>
        </w:rPr>
      </w:pPr>
      <w:r w:rsidRPr="005B034C">
        <w:rPr>
          <w:rFonts w:asciiTheme="minorHAnsi" w:hAnsiTheme="minorHAnsi" w:cstheme="minorBidi"/>
          <w:color w:val="auto"/>
        </w:rPr>
        <w:t>Prepare the qPCR HRM Master Mix according to the number of samples being processed. I</w:t>
      </w:r>
      <w:r w:rsidR="00B13BEA" w:rsidRPr="005B034C">
        <w:rPr>
          <w:rFonts w:asciiTheme="minorHAnsi" w:hAnsiTheme="minorHAnsi" w:cstheme="minorBidi"/>
          <w:color w:val="auto"/>
        </w:rPr>
        <w:t xml:space="preserve">nclude excess volume of at least 10% in </w:t>
      </w:r>
      <w:r w:rsidR="00045FCD" w:rsidRPr="005B034C">
        <w:rPr>
          <w:rFonts w:asciiTheme="minorHAnsi" w:hAnsiTheme="minorHAnsi" w:cstheme="minorBidi"/>
          <w:color w:val="auto"/>
        </w:rPr>
        <w:t>the</w:t>
      </w:r>
      <w:r w:rsidR="00B13BEA" w:rsidRPr="005B034C">
        <w:rPr>
          <w:rFonts w:asciiTheme="minorHAnsi" w:hAnsiTheme="minorHAnsi" w:cstheme="minorBidi"/>
          <w:color w:val="auto"/>
        </w:rPr>
        <w:t xml:space="preserve"> calculations to provide excess volume for the loss that occurs during reagent transfers.</w:t>
      </w:r>
    </w:p>
    <w:p w14:paraId="774CD48C" w14:textId="77777777" w:rsidR="00350F1E" w:rsidRPr="005B034C" w:rsidRDefault="00350F1E" w:rsidP="006820EA">
      <w:pPr>
        <w:pStyle w:val="ListParagraph"/>
        <w:ind w:left="0"/>
        <w:rPr>
          <w:rFonts w:asciiTheme="minorHAnsi" w:hAnsiTheme="minorHAnsi" w:cstheme="minorBidi"/>
          <w:color w:val="auto"/>
        </w:rPr>
      </w:pPr>
    </w:p>
    <w:p w14:paraId="0EED9841" w14:textId="2D3A460C" w:rsidR="00350F1E" w:rsidRPr="005B034C" w:rsidRDefault="00350F1E" w:rsidP="006820EA">
      <w:pPr>
        <w:pStyle w:val="ListParagraph"/>
        <w:numPr>
          <w:ilvl w:val="1"/>
          <w:numId w:val="30"/>
        </w:numPr>
        <w:rPr>
          <w:rFonts w:asciiTheme="minorHAnsi" w:hAnsiTheme="minorHAnsi" w:cstheme="minorHAnsi"/>
          <w:bCs/>
          <w:color w:val="auto"/>
          <w:highlight w:val="yellow"/>
        </w:rPr>
      </w:pPr>
      <w:r w:rsidRPr="005B034C">
        <w:rPr>
          <w:rFonts w:asciiTheme="minorHAnsi" w:hAnsiTheme="minorHAnsi" w:cstheme="minorBidi"/>
          <w:color w:val="auto"/>
          <w:highlight w:val="yellow"/>
        </w:rPr>
        <w:t xml:space="preserve">Mix the reaction contents by gently tapping and inverting the tube and </w:t>
      </w:r>
      <w:proofErr w:type="spellStart"/>
      <w:r w:rsidRPr="005B034C">
        <w:rPr>
          <w:rFonts w:asciiTheme="minorHAnsi" w:hAnsiTheme="minorHAnsi" w:cstheme="minorBidi"/>
          <w:color w:val="auto"/>
          <w:highlight w:val="yellow"/>
        </w:rPr>
        <w:t>vortexing</w:t>
      </w:r>
      <w:proofErr w:type="spellEnd"/>
      <w:r w:rsidRPr="005B034C">
        <w:rPr>
          <w:rFonts w:asciiTheme="minorHAnsi" w:hAnsiTheme="minorHAnsi" w:cstheme="minorBidi"/>
          <w:color w:val="auto"/>
          <w:highlight w:val="yellow"/>
        </w:rPr>
        <w:t xml:space="preserve"> for 2-3 </w:t>
      </w:r>
      <w:r w:rsidR="00045FCD" w:rsidRPr="005B034C">
        <w:rPr>
          <w:rFonts w:asciiTheme="minorHAnsi" w:hAnsiTheme="minorHAnsi" w:cstheme="minorBidi"/>
          <w:color w:val="auto"/>
          <w:highlight w:val="yellow"/>
        </w:rPr>
        <w:t>s</w:t>
      </w:r>
      <w:r w:rsidRPr="005B034C">
        <w:rPr>
          <w:rFonts w:asciiTheme="minorHAnsi" w:hAnsiTheme="minorHAnsi" w:cstheme="minorBidi"/>
          <w:color w:val="auto"/>
          <w:highlight w:val="yellow"/>
        </w:rPr>
        <w:t xml:space="preserve">. Collect all the scattered droplets from the wall of the tube to the bottom by a brief spin. </w:t>
      </w:r>
    </w:p>
    <w:p w14:paraId="39524F67" w14:textId="77777777" w:rsidR="0059727E" w:rsidRPr="005B034C" w:rsidRDefault="0059727E" w:rsidP="006820EA">
      <w:pPr>
        <w:pStyle w:val="ListParagraph"/>
        <w:ind w:left="0"/>
        <w:rPr>
          <w:rFonts w:asciiTheme="minorHAnsi" w:hAnsiTheme="minorHAnsi" w:cstheme="minorHAnsi"/>
          <w:bCs/>
          <w:color w:val="auto"/>
          <w:highlight w:val="yellow"/>
        </w:rPr>
      </w:pPr>
    </w:p>
    <w:p w14:paraId="4BF6A737" w14:textId="4AF8DAEF"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 xml:space="preserve">Prepare a reaction plate appropriate for </w:t>
      </w:r>
      <w:r w:rsidR="001B775D" w:rsidRPr="005B034C">
        <w:rPr>
          <w:rFonts w:asciiTheme="minorHAnsi" w:hAnsiTheme="minorHAnsi" w:cstheme="minorBidi"/>
          <w:color w:val="auto"/>
          <w:highlight w:val="yellow"/>
        </w:rPr>
        <w:t>the</w:t>
      </w:r>
      <w:r w:rsidRPr="005B034C">
        <w:rPr>
          <w:rFonts w:asciiTheme="minorHAnsi" w:hAnsiTheme="minorHAnsi" w:cstheme="minorBidi"/>
          <w:color w:val="auto"/>
          <w:highlight w:val="yellow"/>
        </w:rPr>
        <w:t xml:space="preserve"> instrument and HRM experiment</w:t>
      </w:r>
      <w:r w:rsidRPr="005B034C">
        <w:rPr>
          <w:rFonts w:asciiTheme="minorHAnsi" w:hAnsiTheme="minorHAnsi" w:cstheme="minorBidi"/>
          <w:color w:val="auto"/>
        </w:rPr>
        <w:t xml:space="preserve"> (see </w:t>
      </w:r>
      <w:r w:rsidRPr="005B034C">
        <w:rPr>
          <w:rFonts w:asciiTheme="minorHAnsi" w:hAnsiTheme="minorHAnsi" w:cstheme="minorBidi"/>
          <w:b/>
          <w:bCs/>
          <w:color w:val="auto"/>
        </w:rPr>
        <w:t>Table of Materials</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Transfer 19 µL of the qPCR HRM Master Mix to the appropriate wells of the 96-well optical reaction plate.</w:t>
      </w:r>
    </w:p>
    <w:p w14:paraId="67EE5912" w14:textId="77777777" w:rsidR="0059727E" w:rsidRPr="005B034C" w:rsidRDefault="0059727E" w:rsidP="006820EA">
      <w:pPr>
        <w:pStyle w:val="ListParagraph"/>
        <w:ind w:left="0"/>
        <w:rPr>
          <w:rFonts w:asciiTheme="minorHAnsi" w:hAnsiTheme="minorHAnsi" w:cstheme="minorBidi"/>
          <w:color w:val="auto"/>
        </w:rPr>
      </w:pPr>
    </w:p>
    <w:p w14:paraId="5079CC43" w14:textId="2DF79DE5" w:rsidR="00350F1E"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Pipet 1</w:t>
      </w:r>
      <w:r w:rsidRPr="005B034C">
        <w:rPr>
          <w:rFonts w:asciiTheme="minorHAnsi" w:hAnsiTheme="minorHAnsi" w:cstheme="minorHAnsi"/>
          <w:color w:val="auto"/>
          <w:highlight w:val="yellow"/>
        </w:rPr>
        <w:t xml:space="preserve"> </w:t>
      </w:r>
      <w:r w:rsidRPr="005B034C">
        <w:rPr>
          <w:rFonts w:asciiTheme="minorHAnsi" w:hAnsiTheme="minorHAnsi" w:cstheme="minorBidi"/>
          <w:color w:val="auto"/>
          <w:highlight w:val="yellow"/>
        </w:rPr>
        <w:t xml:space="preserve">µL of the negative controls, positive controls, and samples into the appropriate wells of the optical reaction plate. For the NTC, transfer 1 </w:t>
      </w:r>
      <w:r w:rsidRPr="005B034C">
        <w:rPr>
          <w:rFonts w:asciiTheme="minorHAnsi" w:eastAsia="Symbol" w:hAnsiTheme="minorHAnsi" w:cstheme="minorBidi"/>
          <w:color w:val="auto"/>
          <w:highlight w:val="yellow"/>
        </w:rPr>
        <w:sym w:font="Symbol" w:char="F06D"/>
      </w:r>
      <w:r w:rsidRPr="005B034C">
        <w:rPr>
          <w:rFonts w:asciiTheme="minorHAnsi" w:hAnsiTheme="minorHAnsi" w:cstheme="minorBidi"/>
          <w:color w:val="auto"/>
          <w:highlight w:val="yellow"/>
        </w:rPr>
        <w:t xml:space="preserve">L </w:t>
      </w:r>
      <w:r w:rsidR="001B775D" w:rsidRPr="005B034C">
        <w:rPr>
          <w:rFonts w:asciiTheme="minorHAnsi" w:hAnsiTheme="minorHAnsi" w:cstheme="minorBidi"/>
          <w:color w:val="auto"/>
          <w:highlight w:val="yellow"/>
        </w:rPr>
        <w:t xml:space="preserve">of </w:t>
      </w:r>
      <w:r w:rsidRPr="005B034C">
        <w:rPr>
          <w:rFonts w:asciiTheme="minorHAnsi" w:hAnsiTheme="minorHAnsi" w:cstheme="minorBidi"/>
          <w:color w:val="auto"/>
          <w:highlight w:val="yellow"/>
        </w:rPr>
        <w:t xml:space="preserve">sterile, RNase and DNase free </w:t>
      </w:r>
      <w:r w:rsidRPr="005B034C">
        <w:rPr>
          <w:rFonts w:asciiTheme="minorHAnsi" w:hAnsiTheme="minorHAnsi" w:cstheme="minorBidi"/>
          <w:color w:val="auto"/>
          <w:highlight w:val="yellow"/>
        </w:rPr>
        <w:lastRenderedPageBreak/>
        <w:t>H</w:t>
      </w:r>
      <w:r w:rsidRPr="005B034C">
        <w:rPr>
          <w:rFonts w:asciiTheme="minorHAnsi" w:hAnsiTheme="minorHAnsi" w:cstheme="minorBidi"/>
          <w:color w:val="auto"/>
          <w:highlight w:val="yellow"/>
          <w:vertAlign w:val="subscript"/>
        </w:rPr>
        <w:t>2</w:t>
      </w:r>
      <w:r w:rsidRPr="005B034C">
        <w:rPr>
          <w:rFonts w:asciiTheme="minorHAnsi" w:hAnsiTheme="minorHAnsi" w:cstheme="minorBidi"/>
          <w:color w:val="auto"/>
          <w:highlight w:val="yellow"/>
        </w:rPr>
        <w:t>O used for preparing the qPCR HRM Master Mix instead of DNA.</w:t>
      </w:r>
      <w:r w:rsidRPr="005B034C">
        <w:rPr>
          <w:color w:val="auto"/>
          <w:highlight w:val="yellow"/>
        </w:rPr>
        <w:t xml:space="preserve"> </w:t>
      </w:r>
    </w:p>
    <w:p w14:paraId="35B95059" w14:textId="77777777" w:rsidR="0059727E" w:rsidRPr="005B034C" w:rsidRDefault="0059727E" w:rsidP="006820EA">
      <w:pPr>
        <w:pStyle w:val="ListParagraph"/>
        <w:ind w:left="0"/>
        <w:rPr>
          <w:rFonts w:asciiTheme="minorHAnsi" w:hAnsiTheme="minorHAnsi" w:cstheme="minorBidi"/>
          <w:color w:val="auto"/>
          <w:highlight w:val="yellow"/>
        </w:rPr>
      </w:pPr>
    </w:p>
    <w:p w14:paraId="6B9DF3AA" w14:textId="329B9096" w:rsidR="00350F1E" w:rsidRPr="005B034C" w:rsidRDefault="00350F1E" w:rsidP="006820EA">
      <w:pPr>
        <w:pStyle w:val="ListParagraph"/>
        <w:numPr>
          <w:ilvl w:val="1"/>
          <w:numId w:val="30"/>
        </w:numPr>
        <w:rPr>
          <w:rFonts w:asciiTheme="minorHAnsi" w:hAnsiTheme="minorHAnsi" w:cstheme="minorHAnsi"/>
          <w:bCs/>
          <w:color w:val="auto"/>
          <w:highlight w:val="yellow"/>
        </w:rPr>
      </w:pPr>
      <w:r w:rsidRPr="005B034C">
        <w:rPr>
          <w:rFonts w:asciiTheme="minorHAnsi" w:hAnsiTheme="minorHAnsi" w:cstheme="minorBidi"/>
          <w:color w:val="auto"/>
          <w:highlight w:val="yellow"/>
        </w:rPr>
        <w:t xml:space="preserve">Seal the reaction plate with the optical adhesive film. Do it firmly </w:t>
      </w:r>
      <w:r w:rsidR="009F0F92" w:rsidRPr="005B034C">
        <w:rPr>
          <w:rFonts w:asciiTheme="minorHAnsi" w:hAnsiTheme="minorHAnsi" w:cstheme="minorBidi"/>
          <w:color w:val="auto"/>
          <w:highlight w:val="yellow"/>
        </w:rPr>
        <w:t>to</w:t>
      </w:r>
      <w:r w:rsidRPr="005B034C">
        <w:rPr>
          <w:rFonts w:asciiTheme="minorHAnsi" w:hAnsiTheme="minorHAnsi" w:cstheme="minorBidi"/>
          <w:color w:val="auto"/>
          <w:highlight w:val="yellow"/>
        </w:rPr>
        <w:t xml:space="preserve"> prevent evaporation during the run. Check that the optical adhesive film </w:t>
      </w:r>
      <w:r w:rsidRPr="005B034C">
        <w:rPr>
          <w:rFonts w:asciiTheme="minorHAnsi" w:hAnsiTheme="minorHAnsi" w:cstheme="minorBidi"/>
          <w:color w:val="auto"/>
          <w:highlight w:val="yellow"/>
          <w:lang w:val="en-GB"/>
        </w:rPr>
        <w:t>is</w:t>
      </w:r>
      <w:r w:rsidRPr="005B034C">
        <w:rPr>
          <w:rFonts w:asciiTheme="minorHAnsi" w:hAnsiTheme="minorHAnsi" w:cstheme="minorBidi"/>
          <w:color w:val="auto"/>
          <w:highlight w:val="yellow"/>
        </w:rPr>
        <w:t xml:space="preserve"> plane across all the wells in the reaction plate </w:t>
      </w:r>
      <w:r w:rsidR="009F0F92" w:rsidRPr="005B034C">
        <w:rPr>
          <w:rFonts w:asciiTheme="minorHAnsi" w:hAnsiTheme="minorHAnsi" w:cstheme="minorBidi"/>
          <w:color w:val="auto"/>
          <w:highlight w:val="yellow"/>
        </w:rPr>
        <w:t>to</w:t>
      </w:r>
      <w:r w:rsidRPr="005B034C">
        <w:rPr>
          <w:rFonts w:asciiTheme="minorHAnsi" w:hAnsiTheme="minorHAnsi" w:cstheme="minorBidi"/>
          <w:color w:val="auto"/>
          <w:highlight w:val="yellow"/>
        </w:rPr>
        <w:t xml:space="preserve"> </w:t>
      </w:r>
      <w:r w:rsidR="001B775D" w:rsidRPr="005B034C">
        <w:rPr>
          <w:rFonts w:asciiTheme="minorHAnsi" w:hAnsiTheme="minorHAnsi" w:cstheme="minorBidi"/>
          <w:color w:val="auto"/>
          <w:highlight w:val="yellow"/>
        </w:rPr>
        <w:t>en</w:t>
      </w:r>
      <w:r w:rsidRPr="005B034C">
        <w:rPr>
          <w:rFonts w:asciiTheme="minorHAnsi" w:hAnsiTheme="minorHAnsi" w:cstheme="minorBidi"/>
          <w:color w:val="auto"/>
          <w:highlight w:val="yellow"/>
        </w:rPr>
        <w:t xml:space="preserve">sure correct fluorescence detection. </w:t>
      </w:r>
    </w:p>
    <w:p w14:paraId="50FC44D1" w14:textId="77777777" w:rsidR="0059727E" w:rsidRPr="005B034C" w:rsidRDefault="0059727E" w:rsidP="006820EA">
      <w:pPr>
        <w:pStyle w:val="ListParagraph"/>
        <w:ind w:left="0"/>
        <w:rPr>
          <w:rFonts w:asciiTheme="minorHAnsi" w:hAnsiTheme="minorHAnsi" w:cstheme="minorHAnsi"/>
          <w:bCs/>
          <w:color w:val="auto"/>
          <w:highlight w:val="yellow"/>
        </w:rPr>
      </w:pPr>
    </w:p>
    <w:p w14:paraId="2599ABFB" w14:textId="7336E27A" w:rsidR="00350F1E" w:rsidRPr="005B034C" w:rsidRDefault="00350F1E" w:rsidP="006820EA">
      <w:pPr>
        <w:pStyle w:val="ListParagraph"/>
        <w:numPr>
          <w:ilvl w:val="1"/>
          <w:numId w:val="30"/>
        </w:numPr>
        <w:rPr>
          <w:rFonts w:asciiTheme="minorHAnsi" w:hAnsiTheme="minorHAnsi" w:cstheme="minorHAnsi"/>
          <w:bCs/>
          <w:color w:val="auto"/>
          <w:highlight w:val="yellow"/>
        </w:rPr>
      </w:pPr>
      <w:r w:rsidRPr="005B034C">
        <w:rPr>
          <w:rFonts w:asciiTheme="minorHAnsi" w:hAnsiTheme="minorHAnsi" w:cstheme="minorBidi"/>
          <w:color w:val="auto"/>
          <w:highlight w:val="yellow"/>
        </w:rPr>
        <w:t xml:space="preserve">Spin the reaction plate at 780 x </w:t>
      </w:r>
      <w:r w:rsidRPr="005B034C">
        <w:rPr>
          <w:rFonts w:asciiTheme="minorHAnsi" w:hAnsiTheme="minorHAnsi" w:cstheme="minorBidi"/>
          <w:i/>
          <w:iCs/>
          <w:color w:val="auto"/>
          <w:highlight w:val="yellow"/>
        </w:rPr>
        <w:t>g</w:t>
      </w:r>
      <w:r w:rsidRPr="005B034C">
        <w:rPr>
          <w:rFonts w:asciiTheme="minorHAnsi" w:hAnsiTheme="minorHAnsi" w:cstheme="minorBidi"/>
          <w:color w:val="auto"/>
          <w:highlight w:val="yellow"/>
        </w:rPr>
        <w:t xml:space="preserve"> at room temperature (RT</w:t>
      </w:r>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 xml:space="preserve"> for 1 minute. Check that the liquid is at the bottom of the wells in the reaction plate. Proceed to run the assay. </w:t>
      </w:r>
    </w:p>
    <w:p w14:paraId="13679354" w14:textId="77777777" w:rsidR="00350F1E" w:rsidRPr="005B034C" w:rsidRDefault="00350F1E" w:rsidP="006820EA">
      <w:pPr>
        <w:pStyle w:val="ListParagraph"/>
        <w:ind w:left="0"/>
        <w:rPr>
          <w:rFonts w:asciiTheme="minorHAnsi" w:hAnsiTheme="minorHAnsi" w:cstheme="minorHAnsi"/>
          <w:bCs/>
          <w:color w:val="auto"/>
          <w:highlight w:val="yellow"/>
        </w:rPr>
      </w:pPr>
    </w:p>
    <w:p w14:paraId="078BBA83" w14:textId="03964AA7" w:rsidR="00350F1E" w:rsidRPr="005B034C" w:rsidRDefault="00350F1E" w:rsidP="006820EA">
      <w:pPr>
        <w:pStyle w:val="ListParagraph"/>
        <w:ind w:left="0"/>
        <w:rPr>
          <w:rFonts w:asciiTheme="minorHAnsi" w:hAnsiTheme="minorHAnsi" w:cstheme="minorBidi"/>
          <w:color w:val="auto"/>
        </w:rPr>
      </w:pPr>
      <w:r w:rsidRPr="005B034C">
        <w:rPr>
          <w:rFonts w:asciiTheme="minorHAnsi" w:hAnsiTheme="minorHAnsi" w:cstheme="minorHAnsi"/>
          <w:bCs/>
          <w:color w:val="auto"/>
        </w:rPr>
        <w:t>NOTE: The protocol can be paused here. S</w:t>
      </w:r>
      <w:r w:rsidRPr="005B034C">
        <w:rPr>
          <w:rFonts w:asciiTheme="minorHAnsi" w:hAnsiTheme="minorHAnsi" w:cstheme="minorBidi"/>
          <w:bCs/>
          <w:color w:val="auto"/>
        </w:rPr>
        <w:t xml:space="preserve">tore the plate at 4 °C for no more than 24 </w:t>
      </w:r>
      <w:r w:rsidR="00045FCD" w:rsidRPr="005B034C">
        <w:rPr>
          <w:rFonts w:asciiTheme="minorHAnsi" w:hAnsiTheme="minorHAnsi" w:cstheme="minorBidi"/>
          <w:bCs/>
          <w:color w:val="auto"/>
        </w:rPr>
        <w:t>h</w:t>
      </w:r>
      <w:r w:rsidRPr="005B034C">
        <w:rPr>
          <w:rFonts w:asciiTheme="minorHAnsi" w:hAnsiTheme="minorHAnsi" w:cstheme="minorBidi"/>
          <w:bCs/>
          <w:color w:val="auto"/>
        </w:rPr>
        <w:t>.</w:t>
      </w:r>
      <w:r w:rsidRPr="005B034C">
        <w:rPr>
          <w:rFonts w:asciiTheme="minorHAnsi" w:hAnsiTheme="minorHAnsi" w:cstheme="minorBidi"/>
          <w:color w:val="auto"/>
        </w:rPr>
        <w:t xml:space="preserve"> Allow the plate stored at 4 °C to warm to RT, </w:t>
      </w:r>
      <w:r w:rsidR="001B775D" w:rsidRPr="005B034C">
        <w:rPr>
          <w:rFonts w:asciiTheme="minorHAnsi" w:hAnsiTheme="minorHAnsi" w:cstheme="minorBidi"/>
          <w:color w:val="auto"/>
        </w:rPr>
        <w:t xml:space="preserve">and </w:t>
      </w:r>
      <w:r w:rsidRPr="005B034C">
        <w:rPr>
          <w:rFonts w:asciiTheme="minorHAnsi" w:hAnsiTheme="minorHAnsi" w:cstheme="minorBidi"/>
          <w:color w:val="auto"/>
        </w:rPr>
        <w:t>then spin the plate briefly before running it.</w:t>
      </w:r>
    </w:p>
    <w:p w14:paraId="167EE186" w14:textId="77777777" w:rsidR="00350F1E" w:rsidRPr="005B034C" w:rsidRDefault="00350F1E" w:rsidP="006820EA">
      <w:pPr>
        <w:pStyle w:val="ListParagraph"/>
        <w:ind w:left="0"/>
        <w:rPr>
          <w:rFonts w:asciiTheme="minorHAnsi" w:hAnsiTheme="minorHAnsi" w:cstheme="minorBidi"/>
          <w:color w:val="auto"/>
        </w:rPr>
      </w:pPr>
    </w:p>
    <w:p w14:paraId="1C9E926C" w14:textId="11A9C241" w:rsidR="00350F1E" w:rsidRPr="005B034C" w:rsidRDefault="00350F1E" w:rsidP="006820EA">
      <w:pPr>
        <w:pStyle w:val="ListParagraph"/>
        <w:numPr>
          <w:ilvl w:val="1"/>
          <w:numId w:val="30"/>
        </w:numPr>
        <w:rPr>
          <w:rFonts w:asciiTheme="minorHAnsi" w:hAnsiTheme="minorHAnsi" w:cstheme="minorHAnsi"/>
          <w:bCs/>
          <w:color w:val="auto"/>
          <w:highlight w:val="yellow"/>
        </w:rPr>
      </w:pPr>
      <w:r w:rsidRPr="005B034C">
        <w:rPr>
          <w:rFonts w:asciiTheme="minorHAnsi" w:hAnsiTheme="minorHAnsi" w:cstheme="minorBidi"/>
          <w:color w:val="auto"/>
          <w:highlight w:val="yellow"/>
        </w:rPr>
        <w:t>Acc</w:t>
      </w:r>
      <w:r w:rsidR="0059727E" w:rsidRPr="005B034C">
        <w:rPr>
          <w:rFonts w:asciiTheme="minorHAnsi" w:hAnsiTheme="minorHAnsi" w:cstheme="minorBidi"/>
          <w:color w:val="auto"/>
          <w:highlight w:val="yellow"/>
        </w:rPr>
        <w:t>o</w:t>
      </w:r>
      <w:r w:rsidRPr="005B034C">
        <w:rPr>
          <w:rFonts w:asciiTheme="minorHAnsi" w:hAnsiTheme="minorHAnsi" w:cstheme="minorBidi"/>
          <w:color w:val="auto"/>
          <w:highlight w:val="yellow"/>
        </w:rPr>
        <w:t xml:space="preserve">rding to the manufacturer’s instruction prepare and start the run to amplify and melt the DNA and to generate HRM fluorescence data in the qPCR instrument. In </w:t>
      </w:r>
      <w:bookmarkStart w:id="2" w:name="_Hlk45989689"/>
      <w:r w:rsidRPr="005B034C">
        <w:rPr>
          <w:rFonts w:asciiTheme="minorHAnsi" w:hAnsiTheme="minorHAnsi" w:cstheme="minorBidi"/>
          <w:color w:val="auto"/>
          <w:highlight w:val="yellow"/>
        </w:rPr>
        <w:t>the instrument system software</w:t>
      </w:r>
      <w:r w:rsidR="00045FCD" w:rsidRPr="005B034C">
        <w:rPr>
          <w:rFonts w:asciiTheme="minorHAnsi" w:hAnsiTheme="minorHAnsi" w:cstheme="minorBidi"/>
          <w:color w:val="auto"/>
          <w:highlight w:val="yellow"/>
        </w:rPr>
        <w:t>,</w:t>
      </w:r>
      <w:r w:rsidRPr="005B034C">
        <w:rPr>
          <w:rFonts w:asciiTheme="minorHAnsi" w:hAnsiTheme="minorHAnsi" w:cstheme="minorBidi"/>
          <w:color w:val="auto"/>
          <w:highlight w:val="yellow"/>
        </w:rPr>
        <w:t xml:space="preserve"> </w:t>
      </w:r>
      <w:bookmarkEnd w:id="2"/>
      <w:r w:rsidRPr="005B034C">
        <w:rPr>
          <w:rFonts w:asciiTheme="minorHAnsi" w:hAnsiTheme="minorHAnsi" w:cstheme="minorBidi"/>
          <w:color w:val="auto"/>
          <w:highlight w:val="yellow"/>
        </w:rPr>
        <w:t>assign the controls and samples to the appropriate wells.</w:t>
      </w:r>
    </w:p>
    <w:p w14:paraId="6CBCEC42" w14:textId="77777777" w:rsidR="0059727E" w:rsidRPr="005B034C" w:rsidRDefault="0059727E" w:rsidP="006820EA">
      <w:pPr>
        <w:pStyle w:val="ListParagraph"/>
        <w:ind w:left="0"/>
        <w:rPr>
          <w:rFonts w:asciiTheme="minorHAnsi" w:hAnsiTheme="minorHAnsi" w:cstheme="minorHAnsi"/>
          <w:bCs/>
          <w:color w:val="auto"/>
          <w:highlight w:val="yellow"/>
        </w:rPr>
      </w:pPr>
    </w:p>
    <w:p w14:paraId="0A63EA51" w14:textId="58FC8224" w:rsidR="00350F1E" w:rsidRPr="005B034C" w:rsidRDefault="00350F1E" w:rsidP="006820EA">
      <w:pPr>
        <w:pStyle w:val="ListParagraph"/>
        <w:numPr>
          <w:ilvl w:val="1"/>
          <w:numId w:val="30"/>
        </w:numPr>
        <w:rPr>
          <w:rFonts w:asciiTheme="minorHAnsi" w:hAnsiTheme="minorHAnsi" w:cstheme="minorHAnsi"/>
          <w:bCs/>
          <w:color w:val="auto"/>
          <w:highlight w:val="yellow"/>
        </w:rPr>
      </w:pPr>
      <w:r w:rsidRPr="005B034C">
        <w:rPr>
          <w:rFonts w:asciiTheme="minorHAnsi" w:hAnsiTheme="minorHAnsi" w:cstheme="minorBidi"/>
          <w:color w:val="auto"/>
          <w:highlight w:val="yellow"/>
        </w:rPr>
        <w:t xml:space="preserve">For the </w:t>
      </w:r>
      <w:r w:rsidRPr="005B034C">
        <w:rPr>
          <w:rFonts w:asciiTheme="minorHAnsi" w:hAnsiTheme="minorHAnsi" w:cstheme="minorBidi"/>
          <w:i/>
          <w:iCs/>
          <w:color w:val="auto"/>
          <w:highlight w:val="yellow"/>
        </w:rPr>
        <w:t xml:space="preserve">CALR </w:t>
      </w:r>
      <w:r w:rsidRPr="005B034C">
        <w:rPr>
          <w:rFonts w:asciiTheme="minorHAnsi" w:hAnsiTheme="minorHAnsi" w:cstheme="minorBidi"/>
          <w:color w:val="auto"/>
          <w:highlight w:val="yellow"/>
        </w:rPr>
        <w:t>genetic variant detection, change the default instrument amplification protocol and amplify the DNA using the following thermal cycling protocol: 95 °C</w:t>
      </w:r>
      <w:r w:rsidR="00045FCD" w:rsidRPr="005B034C">
        <w:rPr>
          <w:rFonts w:asciiTheme="minorHAnsi" w:hAnsiTheme="minorHAnsi" w:cstheme="minorBidi"/>
          <w:color w:val="auto"/>
          <w:highlight w:val="yellow"/>
        </w:rPr>
        <w:t xml:space="preserve"> for </w:t>
      </w:r>
      <w:r w:rsidRPr="005B034C">
        <w:rPr>
          <w:rFonts w:asciiTheme="minorHAnsi" w:hAnsiTheme="minorHAnsi" w:cstheme="minorBidi"/>
          <w:color w:val="auto"/>
          <w:highlight w:val="yellow"/>
        </w:rPr>
        <w:t xml:space="preserve">10 minutes, followed by 50 cycles of 95 °C for 10 </w:t>
      </w:r>
      <w:r w:rsidR="00045FCD" w:rsidRPr="005B034C">
        <w:rPr>
          <w:rFonts w:asciiTheme="minorHAnsi" w:hAnsiTheme="minorHAnsi" w:cstheme="minorBidi"/>
          <w:color w:val="auto"/>
          <w:highlight w:val="yellow"/>
        </w:rPr>
        <w:t>s</w:t>
      </w:r>
      <w:r w:rsidRPr="005B034C">
        <w:rPr>
          <w:rFonts w:asciiTheme="minorHAnsi" w:hAnsiTheme="minorHAnsi" w:cstheme="minorBidi"/>
          <w:color w:val="auto"/>
          <w:highlight w:val="yellow"/>
        </w:rPr>
        <w:t xml:space="preserve"> and 62.5 °C for 60 </w:t>
      </w:r>
      <w:r w:rsidR="00045FCD" w:rsidRPr="005B034C">
        <w:rPr>
          <w:rFonts w:asciiTheme="minorHAnsi" w:hAnsiTheme="minorHAnsi" w:cstheme="minorBidi"/>
          <w:color w:val="auto"/>
          <w:highlight w:val="yellow"/>
        </w:rPr>
        <w:t>s</w:t>
      </w:r>
      <w:r w:rsidRPr="005B034C">
        <w:rPr>
          <w:rFonts w:asciiTheme="minorHAnsi" w:hAnsiTheme="minorHAnsi" w:cstheme="minorBidi"/>
          <w:color w:val="auto"/>
          <w:highlight w:val="yellow"/>
        </w:rPr>
        <w:t>.</w:t>
      </w:r>
    </w:p>
    <w:p w14:paraId="2DE582FA" w14:textId="77777777" w:rsidR="0059727E" w:rsidRPr="005B034C" w:rsidRDefault="0059727E" w:rsidP="006820EA">
      <w:pPr>
        <w:pStyle w:val="ListParagraph"/>
        <w:ind w:left="0"/>
        <w:rPr>
          <w:rFonts w:asciiTheme="minorHAnsi" w:hAnsiTheme="minorHAnsi" w:cstheme="minorHAnsi"/>
          <w:bCs/>
          <w:color w:val="auto"/>
          <w:highlight w:val="yellow"/>
        </w:rPr>
      </w:pPr>
    </w:p>
    <w:p w14:paraId="3620D7EE" w14:textId="4815D220" w:rsidR="00350F1E" w:rsidRPr="005B034C" w:rsidRDefault="00350F1E" w:rsidP="006820EA">
      <w:pPr>
        <w:pStyle w:val="ListParagraph"/>
        <w:numPr>
          <w:ilvl w:val="1"/>
          <w:numId w:val="30"/>
        </w:numPr>
        <w:rPr>
          <w:color w:val="auto"/>
          <w:highlight w:val="yellow"/>
        </w:rPr>
      </w:pPr>
      <w:r w:rsidRPr="005B034C">
        <w:rPr>
          <w:rFonts w:asciiTheme="minorHAnsi" w:hAnsiTheme="minorHAnsi" w:cstheme="minorBidi"/>
          <w:color w:val="auto"/>
          <w:highlight w:val="yellow"/>
        </w:rPr>
        <w:t xml:space="preserve">Perform </w:t>
      </w:r>
      <w:r w:rsidR="006820EA">
        <w:rPr>
          <w:rFonts w:asciiTheme="minorHAnsi" w:hAnsiTheme="minorHAnsi" w:cstheme="minorBidi"/>
          <w:color w:val="auto"/>
          <w:highlight w:val="yellow"/>
        </w:rPr>
        <w:t xml:space="preserve">the </w:t>
      </w:r>
      <w:r w:rsidRPr="005B034C">
        <w:rPr>
          <w:rFonts w:asciiTheme="minorHAnsi" w:hAnsiTheme="minorHAnsi" w:cstheme="minorBidi"/>
          <w:color w:val="auto"/>
          <w:highlight w:val="yellow"/>
        </w:rPr>
        <w:t>melt curve/dissociation (HRM</w:t>
      </w:r>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 xml:space="preserve"> stage immediately after qPCR according to the manufacturer’s instructions</w:t>
      </w:r>
      <w:r w:rsidR="00A34E38" w:rsidRPr="005B034C">
        <w:rPr>
          <w:rStyle w:val="FootnoteReference"/>
          <w:rFonts w:asciiTheme="minorHAnsi" w:hAnsiTheme="minorHAnsi" w:cstheme="minorBidi"/>
          <w:color w:val="auto"/>
          <w:highlight w:val="yellow"/>
        </w:rPr>
        <w:fldChar w:fldCharType="begin" w:fldLock="1"/>
      </w:r>
      <w:r w:rsidR="00153681" w:rsidRPr="005B034C">
        <w:rPr>
          <w:rFonts w:asciiTheme="minorHAnsi" w:hAnsiTheme="minorHAnsi" w:cstheme="minorBidi"/>
          <w:color w:val="auto"/>
          <w:highlight w:val="yellow"/>
        </w:rPr>
        <w:instrText>ADDIN CSL_CITATION {"citationItems":[{"id":"ITEM-1","itemData":{"author":[{"dropping-particle":"","family":"Biosystems","given":"Applied","non-dropping-particle":"","parse-names":false,"suffix":""}],"id":"ITEM-1","issued":{"date-parts":[["0"]]},"title":"Applied Biosystems High Resolution Melt Module for ViiA ™ 7 Software v1 . 1 Getting Started Guide","type":"article-journal"},"uris":["http://www.mendeley.com/documents/?uuid=9e3d3605-e5da-493e-96fd-40b6ff2c24ca"]}],"mendeley":{"formattedCitation":"&lt;sup&gt;12&lt;/sup&gt;","plainTextFormattedCitation":"12","previouslyFormattedCitation":"&lt;sup&gt;11&lt;/sup&gt;"},"properties":{"noteIndex":0},"schema":"https://github.com/citation-style-language/schema/raw/master/csl-citation.json"}</w:instrText>
      </w:r>
      <w:r w:rsidR="00A34E38" w:rsidRPr="005B034C">
        <w:rPr>
          <w:rStyle w:val="FootnoteReference"/>
          <w:rFonts w:asciiTheme="minorHAnsi" w:hAnsiTheme="minorHAnsi" w:cstheme="minorBidi"/>
          <w:color w:val="auto"/>
          <w:highlight w:val="yellow"/>
        </w:rPr>
        <w:fldChar w:fldCharType="separate"/>
      </w:r>
      <w:r w:rsidR="00153681" w:rsidRPr="005B034C">
        <w:rPr>
          <w:rFonts w:asciiTheme="minorHAnsi" w:hAnsiTheme="minorHAnsi" w:cstheme="minorBidi"/>
          <w:noProof/>
          <w:color w:val="auto"/>
          <w:highlight w:val="yellow"/>
          <w:vertAlign w:val="superscript"/>
        </w:rPr>
        <w:t>12</w:t>
      </w:r>
      <w:r w:rsidR="00A34E38" w:rsidRPr="005B034C">
        <w:rPr>
          <w:rStyle w:val="FootnoteReference"/>
          <w:rFonts w:asciiTheme="minorHAnsi" w:hAnsiTheme="minorHAnsi" w:cstheme="minorBidi"/>
          <w:color w:val="auto"/>
          <w:highlight w:val="yellow"/>
        </w:rPr>
        <w:fldChar w:fldCharType="end"/>
      </w:r>
      <w:r w:rsidRPr="005B034C">
        <w:rPr>
          <w:rFonts w:asciiTheme="minorHAnsi" w:hAnsiTheme="minorHAnsi" w:cstheme="minorBidi"/>
          <w:color w:val="auto"/>
          <w:highlight w:val="yellow"/>
        </w:rPr>
        <w:t xml:space="preserve"> as follows:</w:t>
      </w:r>
      <w:r w:rsidRPr="005B034C">
        <w:rPr>
          <w:color w:val="auto"/>
          <w:highlight w:val="yellow"/>
        </w:rPr>
        <w:t xml:space="preserve"> </w:t>
      </w:r>
      <w:r w:rsidRPr="005B034C">
        <w:rPr>
          <w:rFonts w:asciiTheme="minorHAnsi" w:hAnsiTheme="minorHAnsi" w:cstheme="minorBidi"/>
          <w:color w:val="auto"/>
          <w:highlight w:val="yellow"/>
        </w:rPr>
        <w:t>95 °C</w:t>
      </w:r>
      <w:r w:rsidR="00045FCD" w:rsidRPr="005B034C">
        <w:rPr>
          <w:rFonts w:asciiTheme="minorHAnsi" w:hAnsiTheme="minorHAnsi" w:cstheme="minorBidi"/>
          <w:color w:val="auto"/>
          <w:highlight w:val="yellow"/>
        </w:rPr>
        <w:t xml:space="preserve"> for </w:t>
      </w:r>
      <w:r w:rsidRPr="005B034C">
        <w:rPr>
          <w:rFonts w:asciiTheme="minorHAnsi" w:hAnsiTheme="minorHAnsi" w:cstheme="minorBidi"/>
          <w:color w:val="auto"/>
          <w:highlight w:val="yellow"/>
        </w:rPr>
        <w:t xml:space="preserve">10 </w:t>
      </w:r>
      <w:r w:rsidR="00045FCD" w:rsidRPr="005B034C">
        <w:rPr>
          <w:rFonts w:asciiTheme="minorHAnsi" w:hAnsiTheme="minorHAnsi" w:cstheme="minorBidi"/>
          <w:color w:val="auto"/>
          <w:highlight w:val="yellow"/>
        </w:rPr>
        <w:t>s</w:t>
      </w:r>
      <w:r w:rsidRPr="005B034C">
        <w:rPr>
          <w:rFonts w:asciiTheme="minorHAnsi" w:hAnsiTheme="minorHAnsi" w:cstheme="minorBidi"/>
          <w:color w:val="auto"/>
          <w:highlight w:val="yellow"/>
        </w:rPr>
        <w:t xml:space="preserve">, 60 °C </w:t>
      </w:r>
      <w:r w:rsidR="00045FCD" w:rsidRPr="005B034C">
        <w:rPr>
          <w:rFonts w:asciiTheme="minorHAnsi" w:hAnsiTheme="minorHAnsi" w:cstheme="minorBidi"/>
          <w:color w:val="auto"/>
          <w:highlight w:val="yellow"/>
        </w:rPr>
        <w:t xml:space="preserve">for </w:t>
      </w:r>
      <w:r w:rsidRPr="005B034C">
        <w:rPr>
          <w:rFonts w:asciiTheme="minorHAnsi" w:hAnsiTheme="minorHAnsi" w:cstheme="minorBidi"/>
          <w:color w:val="auto"/>
          <w:highlight w:val="yellow"/>
        </w:rPr>
        <w:t xml:space="preserve">1 min, and then </w:t>
      </w:r>
      <w:r w:rsidR="006820EA">
        <w:rPr>
          <w:rFonts w:asciiTheme="minorHAnsi" w:hAnsiTheme="minorHAnsi" w:cstheme="minorBidi"/>
          <w:color w:val="auto"/>
          <w:highlight w:val="yellow"/>
        </w:rPr>
        <w:t>a</w:t>
      </w:r>
      <w:r w:rsidRPr="005B034C">
        <w:rPr>
          <w:rFonts w:asciiTheme="minorHAnsi" w:hAnsiTheme="minorHAnsi" w:cstheme="minorBidi"/>
          <w:color w:val="auto"/>
          <w:highlight w:val="yellow"/>
        </w:rPr>
        <w:t xml:space="preserve"> ramp rate of 0.025 </w:t>
      </w:r>
      <w:r w:rsidR="00045FCD" w:rsidRPr="005B034C">
        <w:rPr>
          <w:rFonts w:asciiTheme="minorHAnsi" w:hAnsiTheme="minorHAnsi" w:cstheme="minorHAnsi"/>
          <w:color w:val="auto"/>
          <w:highlight w:val="yellow"/>
        </w:rPr>
        <w:t>°</w:t>
      </w:r>
      <w:r w:rsidRPr="005B034C">
        <w:rPr>
          <w:rFonts w:asciiTheme="minorHAnsi" w:hAnsiTheme="minorHAnsi" w:cstheme="minorBidi"/>
          <w:color w:val="auto"/>
          <w:highlight w:val="yellow"/>
        </w:rPr>
        <w:t xml:space="preserve">C/s </w:t>
      </w:r>
      <w:r w:rsidR="00045FCD" w:rsidRPr="005B034C">
        <w:rPr>
          <w:rFonts w:asciiTheme="minorHAnsi" w:hAnsiTheme="minorHAnsi" w:cstheme="minorBidi"/>
          <w:color w:val="auto"/>
          <w:highlight w:val="yellow"/>
        </w:rPr>
        <w:t>until</w:t>
      </w:r>
      <w:r w:rsidRPr="005B034C">
        <w:rPr>
          <w:rFonts w:asciiTheme="minorHAnsi" w:hAnsiTheme="minorHAnsi" w:cstheme="minorBidi"/>
          <w:color w:val="auto"/>
          <w:highlight w:val="yellow"/>
        </w:rPr>
        <w:t xml:space="preserve"> 95 </w:t>
      </w:r>
      <w:r w:rsidR="00045FCD" w:rsidRPr="005B034C">
        <w:rPr>
          <w:rFonts w:asciiTheme="minorHAnsi" w:hAnsiTheme="minorHAnsi" w:cstheme="minorHAnsi"/>
          <w:color w:val="auto"/>
          <w:highlight w:val="yellow"/>
        </w:rPr>
        <w:t>°</w:t>
      </w:r>
      <w:r w:rsidRPr="005B034C">
        <w:rPr>
          <w:rFonts w:asciiTheme="minorHAnsi" w:hAnsiTheme="minorHAnsi" w:cstheme="minorBidi"/>
          <w:color w:val="auto"/>
          <w:highlight w:val="yellow"/>
        </w:rPr>
        <w:t xml:space="preserve">C. Hold </w:t>
      </w:r>
      <w:r w:rsidR="00045FCD" w:rsidRPr="005B034C">
        <w:rPr>
          <w:rFonts w:asciiTheme="minorHAnsi" w:hAnsiTheme="minorHAnsi" w:cstheme="minorBidi"/>
          <w:color w:val="auto"/>
          <w:highlight w:val="yellow"/>
        </w:rPr>
        <w:t xml:space="preserve">the </w:t>
      </w:r>
      <w:r w:rsidRPr="005B034C">
        <w:rPr>
          <w:rFonts w:asciiTheme="minorHAnsi" w:hAnsiTheme="minorHAnsi" w:cstheme="minorBidi"/>
          <w:color w:val="auto"/>
          <w:highlight w:val="yellow"/>
        </w:rPr>
        <w:t xml:space="preserve">temperature at 95 </w:t>
      </w:r>
      <w:r w:rsidR="00045FCD" w:rsidRPr="005B034C">
        <w:rPr>
          <w:rFonts w:asciiTheme="minorHAnsi" w:hAnsiTheme="minorHAnsi" w:cstheme="minorHAnsi"/>
          <w:color w:val="auto"/>
          <w:highlight w:val="yellow"/>
        </w:rPr>
        <w:t>°</w:t>
      </w:r>
      <w:r w:rsidRPr="005B034C">
        <w:rPr>
          <w:rFonts w:asciiTheme="minorHAnsi" w:hAnsiTheme="minorHAnsi" w:cstheme="minorBidi"/>
          <w:color w:val="auto"/>
          <w:highlight w:val="yellow"/>
        </w:rPr>
        <w:t xml:space="preserve">C for 15 </w:t>
      </w:r>
      <w:r w:rsidR="00045FCD" w:rsidRPr="005B034C">
        <w:rPr>
          <w:rFonts w:asciiTheme="minorHAnsi" w:hAnsiTheme="minorHAnsi" w:cstheme="minorBidi"/>
          <w:color w:val="auto"/>
          <w:highlight w:val="yellow"/>
        </w:rPr>
        <w:t>s</w:t>
      </w:r>
      <w:r w:rsidRPr="005B034C">
        <w:rPr>
          <w:rFonts w:asciiTheme="minorHAnsi" w:hAnsiTheme="minorHAnsi" w:cstheme="minorBidi"/>
          <w:color w:val="auto"/>
          <w:highlight w:val="yellow"/>
        </w:rPr>
        <w:t xml:space="preserve"> and at 60 °C for 15 </w:t>
      </w:r>
      <w:r w:rsidR="00045FCD" w:rsidRPr="005B034C">
        <w:rPr>
          <w:rFonts w:asciiTheme="minorHAnsi" w:hAnsiTheme="minorHAnsi" w:cstheme="minorBidi"/>
          <w:color w:val="auto"/>
          <w:highlight w:val="yellow"/>
        </w:rPr>
        <w:t>s</w:t>
      </w:r>
      <w:r w:rsidRPr="005B034C">
        <w:rPr>
          <w:rFonts w:asciiTheme="minorHAnsi" w:hAnsiTheme="minorHAnsi" w:cstheme="minorBidi"/>
          <w:color w:val="auto"/>
          <w:highlight w:val="yellow"/>
        </w:rPr>
        <w:t>.</w:t>
      </w:r>
    </w:p>
    <w:p w14:paraId="70DEE773" w14:textId="77777777" w:rsidR="0059727E" w:rsidRPr="005B034C" w:rsidRDefault="0059727E" w:rsidP="006820EA">
      <w:pPr>
        <w:pStyle w:val="ListParagraph"/>
        <w:ind w:left="0"/>
        <w:rPr>
          <w:color w:val="auto"/>
          <w:highlight w:val="yellow"/>
        </w:rPr>
      </w:pPr>
    </w:p>
    <w:p w14:paraId="25088946" w14:textId="74B4D71E" w:rsidR="00350F1E"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The run ends automatically. First, review and verify the amplification plot</w:t>
      </w:r>
      <w:r w:rsidR="0059727E" w:rsidRPr="005B034C">
        <w:rPr>
          <w:rFonts w:asciiTheme="minorHAnsi" w:hAnsiTheme="minorHAnsi" w:cstheme="minorBidi"/>
          <w:color w:val="auto"/>
          <w:highlight w:val="yellow"/>
        </w:rPr>
        <w:t xml:space="preserve"> (</w:t>
      </w:r>
      <w:r w:rsidR="00450274" w:rsidRPr="005B034C">
        <w:rPr>
          <w:rFonts w:asciiTheme="minorHAnsi" w:hAnsiTheme="minorHAnsi" w:cstheme="minorBidi"/>
          <w:b/>
          <w:bCs/>
          <w:color w:val="auto"/>
          <w:highlight w:val="yellow"/>
        </w:rPr>
        <w:t>Figure 2</w:t>
      </w:r>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w:t>
      </w:r>
      <w:r w:rsidRPr="005B034C">
        <w:rPr>
          <w:color w:val="auto"/>
          <w:highlight w:val="yellow"/>
        </w:rPr>
        <w:t xml:space="preserve"> </w:t>
      </w:r>
    </w:p>
    <w:p w14:paraId="17595287" w14:textId="77777777" w:rsidR="0059727E" w:rsidRPr="005B034C" w:rsidRDefault="0059727E" w:rsidP="006820EA">
      <w:pPr>
        <w:pStyle w:val="ListParagraph"/>
        <w:ind w:left="0"/>
        <w:rPr>
          <w:rFonts w:asciiTheme="minorHAnsi" w:hAnsiTheme="minorHAnsi" w:cstheme="minorBidi"/>
          <w:color w:val="auto"/>
          <w:highlight w:val="yellow"/>
        </w:rPr>
      </w:pPr>
    </w:p>
    <w:p w14:paraId="035F603E" w14:textId="36667D67" w:rsidR="001B775D"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 xml:space="preserve">In the experiment menu of the instrument system software, select </w:t>
      </w:r>
      <w:r w:rsidR="006820EA">
        <w:rPr>
          <w:rFonts w:asciiTheme="minorHAnsi" w:hAnsiTheme="minorHAnsi" w:cstheme="minorBidi"/>
          <w:color w:val="auto"/>
          <w:highlight w:val="yellow"/>
        </w:rPr>
        <w:t xml:space="preserve">the </w:t>
      </w:r>
      <w:r w:rsidRPr="005B034C">
        <w:rPr>
          <w:rFonts w:asciiTheme="minorHAnsi" w:hAnsiTheme="minorHAnsi" w:cstheme="minorBidi"/>
          <w:color w:val="auto"/>
          <w:highlight w:val="yellow"/>
        </w:rPr>
        <w:t xml:space="preserve">amplification plot option. If no data are displayed, click </w:t>
      </w:r>
      <w:r w:rsidR="00045FCD" w:rsidRPr="005B034C">
        <w:rPr>
          <w:rFonts w:asciiTheme="minorHAnsi" w:hAnsiTheme="minorHAnsi" w:cstheme="minorBidi"/>
          <w:color w:val="auto"/>
          <w:highlight w:val="yellow"/>
        </w:rPr>
        <w:t xml:space="preserve">the </w:t>
      </w:r>
      <w:r w:rsidRPr="005B034C">
        <w:rPr>
          <w:rFonts w:asciiTheme="minorHAnsi" w:hAnsiTheme="minorHAnsi" w:cstheme="minorBidi"/>
          <w:color w:val="auto"/>
          <w:highlight w:val="yellow"/>
        </w:rPr>
        <w:t xml:space="preserve">green button </w:t>
      </w:r>
      <w:r w:rsidRPr="005B034C">
        <w:rPr>
          <w:rFonts w:asciiTheme="minorHAnsi" w:hAnsiTheme="minorHAnsi" w:cstheme="minorBidi"/>
          <w:b/>
          <w:bCs/>
          <w:color w:val="auto"/>
          <w:highlight w:val="yellow"/>
        </w:rPr>
        <w:t>Analyze</w:t>
      </w:r>
      <w:r w:rsidRPr="005B034C">
        <w:rPr>
          <w:rFonts w:asciiTheme="minorHAnsi" w:hAnsiTheme="minorHAnsi" w:cstheme="minorBidi"/>
          <w:color w:val="auto"/>
          <w:highlight w:val="yellow"/>
        </w:rPr>
        <w:t xml:space="preserve">. </w:t>
      </w:r>
    </w:p>
    <w:p w14:paraId="0A7718E5" w14:textId="77777777" w:rsidR="001B775D" w:rsidRPr="005B034C" w:rsidRDefault="001B775D" w:rsidP="006820EA">
      <w:pPr>
        <w:pStyle w:val="ListParagraph"/>
        <w:ind w:left="0"/>
        <w:rPr>
          <w:rFonts w:asciiTheme="minorHAnsi" w:hAnsiTheme="minorHAnsi" w:cstheme="minorBidi"/>
          <w:color w:val="auto"/>
          <w:highlight w:val="yellow"/>
        </w:rPr>
      </w:pPr>
    </w:p>
    <w:p w14:paraId="538704AA" w14:textId="1C3028DB" w:rsidR="00350F1E" w:rsidRPr="005B034C" w:rsidRDefault="00350F1E" w:rsidP="006820EA">
      <w:pPr>
        <w:pStyle w:val="ListParagraph"/>
        <w:numPr>
          <w:ilvl w:val="2"/>
          <w:numId w:val="30"/>
        </w:numPr>
        <w:ind w:left="0" w:firstLine="0"/>
        <w:rPr>
          <w:rFonts w:asciiTheme="minorHAnsi" w:hAnsiTheme="minorHAnsi" w:cstheme="minorBidi"/>
          <w:color w:val="auto"/>
          <w:highlight w:val="yellow"/>
        </w:rPr>
      </w:pPr>
      <w:r w:rsidRPr="005B034C">
        <w:rPr>
          <w:rFonts w:asciiTheme="minorHAnsi" w:hAnsiTheme="minorHAnsi" w:cstheme="minorBidi"/>
          <w:color w:val="auto"/>
          <w:highlight w:val="yellow"/>
        </w:rPr>
        <w:t xml:space="preserve">In the amplification plot tab, from the plot type drop-down menu, select the plot </w:t>
      </w:r>
      <w:r w:rsidR="00045FCD" w:rsidRPr="005B034C">
        <w:rPr>
          <w:rFonts w:asciiTheme="minorHAnsi" w:hAnsiTheme="minorHAnsi" w:cstheme="minorBidi"/>
          <w:color w:val="auto"/>
          <w:highlight w:val="yellow"/>
        </w:rPr>
        <w:t>that</w:t>
      </w:r>
      <w:r w:rsidRPr="005B034C">
        <w:rPr>
          <w:rFonts w:asciiTheme="minorHAnsi" w:hAnsiTheme="minorHAnsi" w:cstheme="minorBidi"/>
          <w:color w:val="auto"/>
          <w:highlight w:val="yellow"/>
        </w:rPr>
        <w:t xml:space="preserve"> displays the amplification data as the raw fluorescence readings normalized to the fluorescence from the passive reference (</w:t>
      </w:r>
      <w:proofErr w:type="spellStart"/>
      <w:r w:rsidRPr="005B034C">
        <w:rPr>
          <w:rFonts w:asciiTheme="minorHAnsi" w:hAnsiTheme="minorHAnsi" w:cstheme="minorBidi"/>
          <w:color w:val="auto"/>
          <w:highlight w:val="yellow"/>
        </w:rPr>
        <w:t>ΔRn</w:t>
      </w:r>
      <w:proofErr w:type="spellEnd"/>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 xml:space="preserve"> as a function of cycle number</w:t>
      </w:r>
      <w:r w:rsidRPr="005B034C">
        <w:rPr>
          <w:color w:val="auto"/>
          <w:highlight w:val="yellow"/>
        </w:rPr>
        <w:t xml:space="preserve"> (</w:t>
      </w:r>
      <w:proofErr w:type="spellStart"/>
      <w:r w:rsidRPr="005B034C">
        <w:rPr>
          <w:rFonts w:asciiTheme="minorHAnsi" w:hAnsiTheme="minorHAnsi" w:cstheme="minorBidi"/>
          <w:color w:val="auto"/>
          <w:highlight w:val="yellow"/>
        </w:rPr>
        <w:t>ΔRn</w:t>
      </w:r>
      <w:proofErr w:type="spellEnd"/>
      <w:r w:rsidRPr="005B034C">
        <w:rPr>
          <w:rFonts w:asciiTheme="minorHAnsi" w:hAnsiTheme="minorHAnsi" w:cstheme="minorBidi"/>
          <w:color w:val="auto"/>
          <w:highlight w:val="yellow"/>
        </w:rPr>
        <w:t xml:space="preserve"> vs Cycle</w:t>
      </w:r>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w:t>
      </w:r>
      <w:r w:rsidRPr="005B034C">
        <w:rPr>
          <w:color w:val="auto"/>
          <w:highlight w:val="yellow"/>
        </w:rPr>
        <w:t xml:space="preserve"> I</w:t>
      </w:r>
      <w:r w:rsidRPr="005B034C">
        <w:rPr>
          <w:rFonts w:asciiTheme="minorHAnsi" w:hAnsiTheme="minorHAnsi" w:cstheme="minorBidi"/>
          <w:color w:val="auto"/>
          <w:highlight w:val="yellow"/>
        </w:rPr>
        <w:t>n the plot color drop-down menu</w:t>
      </w:r>
      <w:r w:rsidR="00045FCD" w:rsidRPr="005B034C">
        <w:rPr>
          <w:rFonts w:asciiTheme="minorHAnsi" w:hAnsiTheme="minorHAnsi" w:cstheme="minorBidi"/>
          <w:color w:val="auto"/>
          <w:highlight w:val="yellow"/>
        </w:rPr>
        <w:t>,</w:t>
      </w:r>
      <w:r w:rsidRPr="005B034C">
        <w:rPr>
          <w:color w:val="auto"/>
          <w:highlight w:val="yellow"/>
        </w:rPr>
        <w:t xml:space="preserve"> s</w:t>
      </w:r>
      <w:r w:rsidRPr="005B034C">
        <w:rPr>
          <w:rFonts w:asciiTheme="minorHAnsi" w:hAnsiTheme="minorHAnsi" w:cstheme="minorBidi"/>
          <w:color w:val="auto"/>
          <w:highlight w:val="yellow"/>
        </w:rPr>
        <w:t xml:space="preserve">elect </w:t>
      </w:r>
      <w:r w:rsidR="00045FCD" w:rsidRPr="005B034C">
        <w:rPr>
          <w:rFonts w:asciiTheme="minorHAnsi" w:hAnsiTheme="minorHAnsi" w:cstheme="minorBidi"/>
          <w:b/>
          <w:bCs/>
          <w:color w:val="auto"/>
          <w:highlight w:val="yellow"/>
        </w:rPr>
        <w:t>Sample</w:t>
      </w:r>
      <w:r w:rsidRPr="005B034C">
        <w:rPr>
          <w:rFonts w:asciiTheme="minorHAnsi" w:hAnsiTheme="minorHAnsi" w:cstheme="minorBidi"/>
          <w:color w:val="auto"/>
          <w:highlight w:val="yellow"/>
        </w:rPr>
        <w:t>.</w:t>
      </w:r>
    </w:p>
    <w:p w14:paraId="69547F25" w14:textId="77777777" w:rsidR="0059727E" w:rsidRPr="005B034C" w:rsidRDefault="0059727E" w:rsidP="006820EA">
      <w:pPr>
        <w:pStyle w:val="ListParagraph"/>
        <w:ind w:left="0"/>
        <w:rPr>
          <w:rFonts w:asciiTheme="minorHAnsi" w:hAnsiTheme="minorHAnsi" w:cstheme="minorBidi"/>
          <w:color w:val="auto"/>
          <w:highlight w:val="yellow"/>
        </w:rPr>
      </w:pPr>
    </w:p>
    <w:p w14:paraId="7DCADD79" w14:textId="2218E60B"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 xml:space="preserve">From the graph type drop-down menu, select the linear amplification graph type. Show the baseline start and end cycle on the linear amplification graph by selecting </w:t>
      </w:r>
      <w:r w:rsidR="006820EA">
        <w:rPr>
          <w:rFonts w:asciiTheme="minorHAnsi" w:hAnsiTheme="minorHAnsi" w:cstheme="minorBidi"/>
          <w:color w:val="auto"/>
          <w:highlight w:val="yellow"/>
        </w:rPr>
        <w:t xml:space="preserve">the </w:t>
      </w:r>
      <w:r w:rsidRPr="005B034C">
        <w:rPr>
          <w:rFonts w:asciiTheme="minorHAnsi" w:hAnsiTheme="minorHAnsi" w:cstheme="minorBidi"/>
          <w:color w:val="auto"/>
          <w:highlight w:val="yellow"/>
        </w:rPr>
        <w:t xml:space="preserve">baseline start option. Verify that the </w:t>
      </w:r>
      <w:r w:rsidRPr="005B034C">
        <w:rPr>
          <w:color w:val="auto"/>
          <w:highlight w:val="yellow"/>
        </w:rPr>
        <w:t>baseline is set correctly</w:t>
      </w:r>
      <w:r w:rsidR="006820EA">
        <w:rPr>
          <w:color w:val="auto"/>
          <w:highlight w:val="yellow"/>
        </w:rPr>
        <w:t>. T</w:t>
      </w:r>
      <w:r w:rsidRPr="005B034C">
        <w:rPr>
          <w:color w:val="auto"/>
          <w:highlight w:val="yellow"/>
        </w:rPr>
        <w:t>he end cycle should be set a few cycles before the cycle number where significant fluorescent signal is detected. The baseline is usually set from 3 to 15 cycles</w:t>
      </w:r>
      <w:r w:rsidRPr="005B034C">
        <w:rPr>
          <w:color w:val="auto"/>
        </w:rPr>
        <w:t xml:space="preserve"> (</w:t>
      </w:r>
      <w:r w:rsidR="00450274" w:rsidRPr="005B034C">
        <w:rPr>
          <w:b/>
          <w:bCs/>
          <w:color w:val="auto"/>
        </w:rPr>
        <w:t>Figure 2</w:t>
      </w:r>
      <w:r w:rsidR="005B034C" w:rsidRPr="005B034C">
        <w:rPr>
          <w:color w:val="auto"/>
        </w:rPr>
        <w:t>)</w:t>
      </w:r>
      <w:r w:rsidRPr="005B034C">
        <w:rPr>
          <w:color w:val="auto"/>
        </w:rPr>
        <w:t>.</w:t>
      </w:r>
    </w:p>
    <w:p w14:paraId="3E8898F3" w14:textId="77777777" w:rsidR="0059727E" w:rsidRPr="005B034C" w:rsidRDefault="0059727E" w:rsidP="006820EA">
      <w:pPr>
        <w:pStyle w:val="ListParagraph"/>
        <w:ind w:left="0"/>
        <w:rPr>
          <w:rFonts w:asciiTheme="minorHAnsi" w:hAnsiTheme="minorHAnsi" w:cstheme="minorBidi"/>
          <w:color w:val="auto"/>
        </w:rPr>
      </w:pPr>
    </w:p>
    <w:p w14:paraId="6A9F647D" w14:textId="7746F4AA"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From the graph type drop-down menu</w:t>
      </w:r>
      <w:r w:rsidRPr="005B034C">
        <w:rPr>
          <w:color w:val="auto"/>
          <w:highlight w:val="yellow"/>
        </w:rPr>
        <w:t xml:space="preserve">, select the </w:t>
      </w:r>
      <w:r w:rsidRPr="005B034C">
        <w:rPr>
          <w:b/>
          <w:bCs/>
          <w:color w:val="auto"/>
          <w:highlight w:val="yellow"/>
        </w:rPr>
        <w:t>log10 amplification</w:t>
      </w:r>
      <w:r w:rsidRPr="005B034C">
        <w:rPr>
          <w:color w:val="auto"/>
          <w:highlight w:val="yellow"/>
        </w:rPr>
        <w:t xml:space="preserve"> </w:t>
      </w:r>
      <w:r w:rsidRPr="005B034C">
        <w:rPr>
          <w:b/>
          <w:bCs/>
          <w:color w:val="auto"/>
          <w:highlight w:val="yellow"/>
        </w:rPr>
        <w:t>graph</w:t>
      </w:r>
      <w:r w:rsidRPr="005B034C">
        <w:rPr>
          <w:color w:val="auto"/>
          <w:highlight w:val="yellow"/>
        </w:rPr>
        <w:t xml:space="preserve"> type.</w:t>
      </w:r>
      <w:r w:rsidRPr="005B034C">
        <w:rPr>
          <w:rFonts w:asciiTheme="minorHAnsi" w:hAnsiTheme="minorHAnsi" w:cstheme="minorBidi"/>
          <w:color w:val="auto"/>
          <w:highlight w:val="yellow"/>
        </w:rPr>
        <w:t xml:space="preserve"> Show</w:t>
      </w:r>
      <w:r w:rsidRPr="005B034C">
        <w:rPr>
          <w:color w:val="auto"/>
          <w:highlight w:val="yellow"/>
        </w:rPr>
        <w:t xml:space="preserve"> </w:t>
      </w:r>
      <w:r w:rsidRPr="005B034C">
        <w:rPr>
          <w:rFonts w:asciiTheme="minorHAnsi" w:hAnsiTheme="minorHAnsi" w:cstheme="minorBidi"/>
          <w:color w:val="auto"/>
          <w:highlight w:val="yellow"/>
        </w:rPr>
        <w:t>th</w:t>
      </w:r>
      <w:r w:rsidRPr="005B034C">
        <w:rPr>
          <w:color w:val="auto"/>
          <w:highlight w:val="yellow"/>
        </w:rPr>
        <w:t xml:space="preserve">e threshold line on the graph by selecting the threshold option. Adjust </w:t>
      </w:r>
      <w:r w:rsidRPr="005B034C">
        <w:rPr>
          <w:rFonts w:asciiTheme="minorHAnsi" w:hAnsiTheme="minorHAnsi" w:cstheme="minorBidi"/>
          <w:color w:val="auto"/>
          <w:highlight w:val="yellow"/>
        </w:rPr>
        <w:t>th</w:t>
      </w:r>
      <w:r w:rsidRPr="005B034C">
        <w:rPr>
          <w:color w:val="auto"/>
          <w:highlight w:val="yellow"/>
        </w:rPr>
        <w:t>e threshold accordingly if not set correctly. The correctly set threshold means that the threshold line crosses the exponential phase of the qPCR curves</w:t>
      </w:r>
      <w:r w:rsidRPr="005B034C">
        <w:rPr>
          <w:color w:val="auto"/>
        </w:rPr>
        <w:t xml:space="preserve"> (</w:t>
      </w:r>
      <w:r w:rsidR="00450274" w:rsidRPr="005B034C">
        <w:rPr>
          <w:b/>
          <w:bCs/>
          <w:color w:val="auto"/>
        </w:rPr>
        <w:t>Figure 2</w:t>
      </w:r>
      <w:r w:rsidR="005B034C" w:rsidRPr="005B034C">
        <w:rPr>
          <w:color w:val="auto"/>
        </w:rPr>
        <w:t>)</w:t>
      </w:r>
      <w:r w:rsidRPr="005B034C">
        <w:rPr>
          <w:color w:val="auto"/>
        </w:rPr>
        <w:t>.</w:t>
      </w:r>
    </w:p>
    <w:p w14:paraId="4E718222" w14:textId="77777777" w:rsidR="0059727E" w:rsidRPr="005B034C" w:rsidRDefault="0059727E" w:rsidP="006820EA">
      <w:pPr>
        <w:pStyle w:val="ListParagraph"/>
        <w:ind w:left="0"/>
        <w:rPr>
          <w:rFonts w:asciiTheme="minorHAnsi" w:hAnsiTheme="minorHAnsi" w:cstheme="minorBidi"/>
          <w:color w:val="auto"/>
        </w:rPr>
      </w:pPr>
    </w:p>
    <w:p w14:paraId="7FDF0139" w14:textId="3FE79B8D" w:rsidR="00350F1E" w:rsidRPr="005B034C" w:rsidRDefault="00350F1E" w:rsidP="006820EA">
      <w:pPr>
        <w:pStyle w:val="ListParagraph"/>
        <w:numPr>
          <w:ilvl w:val="1"/>
          <w:numId w:val="30"/>
        </w:numPr>
        <w:rPr>
          <w:rFonts w:asciiTheme="minorHAnsi" w:hAnsiTheme="minorHAnsi" w:cstheme="minorBidi"/>
          <w:color w:val="auto"/>
        </w:rPr>
      </w:pPr>
      <w:r w:rsidRPr="005B034C">
        <w:rPr>
          <w:color w:val="auto"/>
          <w:highlight w:val="yellow"/>
        </w:rPr>
        <w:t>Verify that normal amplification curves are in all sample and positive control wells. Verify that there is no amplification in the NTC wells before cycle 40.</w:t>
      </w:r>
      <w:r w:rsidRPr="005B034C">
        <w:rPr>
          <w:rFonts w:asciiTheme="minorHAnsi" w:hAnsiTheme="minorHAnsi" w:cstheme="minorBidi"/>
          <w:color w:val="auto"/>
          <w:highlight w:val="yellow"/>
        </w:rPr>
        <w:t xml:space="preserve"> </w:t>
      </w:r>
      <w:r w:rsidR="001B775D" w:rsidRPr="005B034C">
        <w:rPr>
          <w:rFonts w:asciiTheme="minorHAnsi" w:hAnsiTheme="minorHAnsi" w:cstheme="minorBidi"/>
          <w:color w:val="auto"/>
          <w:highlight w:val="yellow"/>
        </w:rPr>
        <w:t>A n</w:t>
      </w:r>
      <w:r w:rsidRPr="005B034C">
        <w:rPr>
          <w:rFonts w:asciiTheme="minorHAnsi" w:hAnsiTheme="minorHAnsi" w:cstheme="minorBidi"/>
          <w:color w:val="auto"/>
          <w:highlight w:val="yellow"/>
        </w:rPr>
        <w:t>ormal amplification plot shows an exponential increase in fluorescence that exceeds the threshold between cycles 15 and 35</w:t>
      </w:r>
      <w:r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Figure 2</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 xml:space="preserve">Exclude the sample wells from the analysis if </w:t>
      </w:r>
      <w:r w:rsidRPr="005B034C">
        <w:rPr>
          <w:color w:val="auto"/>
          <w:highlight w:val="yellow"/>
        </w:rPr>
        <w:t>there is no amplification in the well position.</w:t>
      </w:r>
    </w:p>
    <w:p w14:paraId="293EE48A" w14:textId="77777777" w:rsidR="00350F1E" w:rsidRPr="005B034C" w:rsidRDefault="00350F1E" w:rsidP="006820EA">
      <w:pPr>
        <w:pStyle w:val="ListParagraph"/>
        <w:ind w:left="0"/>
        <w:rPr>
          <w:color w:val="auto"/>
          <w:highlight w:val="cyan"/>
        </w:rPr>
      </w:pPr>
    </w:p>
    <w:p w14:paraId="6CD24D49" w14:textId="74E4A142" w:rsidR="00350F1E" w:rsidRPr="005B034C" w:rsidRDefault="00350F1E" w:rsidP="006820EA">
      <w:pPr>
        <w:pStyle w:val="ListParagraph"/>
        <w:ind w:left="0"/>
        <w:rPr>
          <w:rFonts w:asciiTheme="minorHAnsi" w:hAnsiTheme="minorHAnsi" w:cstheme="minorBidi"/>
          <w:color w:val="auto"/>
        </w:rPr>
      </w:pPr>
      <w:r w:rsidRPr="005B034C">
        <w:rPr>
          <w:color w:val="auto"/>
        </w:rPr>
        <w:t>NOTE: If the amplification plot looks abnormal or the NTC well indicate</w:t>
      </w:r>
      <w:r w:rsidR="006820EA">
        <w:rPr>
          <w:color w:val="auto"/>
        </w:rPr>
        <w:t>s</w:t>
      </w:r>
      <w:r w:rsidRPr="005B034C">
        <w:rPr>
          <w:color w:val="auto"/>
        </w:rPr>
        <w:t xml:space="preserve"> the amplification, </w:t>
      </w:r>
      <w:proofErr w:type="gramStart"/>
      <w:r w:rsidR="009F0F92" w:rsidRPr="005B034C">
        <w:rPr>
          <w:color w:val="auto"/>
        </w:rPr>
        <w:t>identify</w:t>
      </w:r>
      <w:proofErr w:type="gramEnd"/>
      <w:r w:rsidR="006820EA">
        <w:rPr>
          <w:color w:val="auto"/>
        </w:rPr>
        <w:t xml:space="preserve"> </w:t>
      </w:r>
      <w:r w:rsidRPr="005B034C">
        <w:rPr>
          <w:color w:val="auto"/>
        </w:rPr>
        <w:t xml:space="preserve">and resolve the problem according to the </w:t>
      </w:r>
      <w:r w:rsidR="006820EA" w:rsidRPr="005B034C">
        <w:rPr>
          <w:color w:val="auto"/>
        </w:rPr>
        <w:t>manufacturer</w:t>
      </w:r>
      <w:r w:rsidR="006820EA">
        <w:rPr>
          <w:color w:val="auto"/>
        </w:rPr>
        <w:t>’s</w:t>
      </w:r>
      <w:r w:rsidR="006820EA" w:rsidRPr="005B034C">
        <w:rPr>
          <w:color w:val="auto"/>
        </w:rPr>
        <w:t xml:space="preserve"> </w:t>
      </w:r>
      <w:r w:rsidRPr="005B034C">
        <w:rPr>
          <w:color w:val="auto"/>
        </w:rPr>
        <w:t>troubleshooting guide.</w:t>
      </w:r>
    </w:p>
    <w:p w14:paraId="5AEBCA7A" w14:textId="77777777" w:rsidR="00350F1E" w:rsidRPr="005B034C" w:rsidRDefault="00350F1E" w:rsidP="006820EA">
      <w:pPr>
        <w:pStyle w:val="ListParagraph"/>
        <w:ind w:left="0"/>
        <w:rPr>
          <w:rFonts w:asciiTheme="minorHAnsi" w:hAnsiTheme="minorHAnsi" w:cstheme="minorBidi"/>
          <w:color w:val="auto"/>
        </w:rPr>
      </w:pPr>
    </w:p>
    <w:p w14:paraId="22C385F6" w14:textId="03E72532"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rPr>
        <w:t xml:space="preserve">Exclude the outlier with </w:t>
      </w:r>
      <w:r w:rsidR="006820EA">
        <w:rPr>
          <w:rFonts w:asciiTheme="minorHAnsi" w:hAnsiTheme="minorHAnsi" w:cstheme="minorBidi"/>
          <w:color w:val="auto"/>
        </w:rPr>
        <w:t xml:space="preserve">the </w:t>
      </w:r>
      <w:r w:rsidRPr="005B034C">
        <w:rPr>
          <w:rFonts w:asciiTheme="minorHAnsi" w:hAnsiTheme="minorHAnsi" w:cstheme="minorBidi"/>
          <w:color w:val="auto"/>
        </w:rPr>
        <w:t>quantification cycle (</w:t>
      </w:r>
      <w:proofErr w:type="spellStart"/>
      <w:r w:rsidRPr="005B034C">
        <w:rPr>
          <w:rFonts w:asciiTheme="minorHAnsi" w:hAnsiTheme="minorHAnsi" w:cstheme="minorBidi"/>
          <w:color w:val="auto"/>
        </w:rPr>
        <w:t>Cq</w:t>
      </w:r>
      <w:proofErr w:type="spellEnd"/>
      <w:r w:rsidR="005B034C" w:rsidRPr="005B034C">
        <w:rPr>
          <w:rFonts w:asciiTheme="minorHAnsi" w:hAnsiTheme="minorHAnsi" w:cstheme="minorBidi"/>
          <w:color w:val="auto"/>
        </w:rPr>
        <w:t>)</w:t>
      </w:r>
      <w:r w:rsidRPr="005B034C">
        <w:rPr>
          <w:rFonts w:asciiTheme="minorHAnsi" w:hAnsiTheme="minorHAnsi" w:cstheme="minorBidi"/>
          <w:color w:val="auto"/>
        </w:rPr>
        <w:t xml:space="preserve"> value that differs from replicates by more than 2 in the instrument system software</w:t>
      </w:r>
      <w:r w:rsidR="00A34E38" w:rsidRPr="005B034C">
        <w:rPr>
          <w:rStyle w:val="FootnoteReference"/>
          <w:rFonts w:asciiTheme="minorHAnsi" w:hAnsiTheme="minorHAnsi" w:cstheme="minorBidi"/>
          <w:color w:val="auto"/>
        </w:rPr>
        <w:fldChar w:fldCharType="begin" w:fldLock="1"/>
      </w:r>
      <w:r w:rsidR="00153681" w:rsidRPr="005B034C">
        <w:rPr>
          <w:rFonts w:asciiTheme="minorHAnsi" w:hAnsiTheme="minorHAnsi" w:cstheme="minorBidi"/>
          <w:color w:val="auto"/>
        </w:rPr>
        <w:instrText>ADDIN CSL_CITATION {"citationItems":[{"id":"ITEM-1","itemData":{"author":[{"dropping-particle":"","family":"Biosystems","given":"Applied","non-dropping-particle":"","parse-names":false,"suffix":""}],"id":"ITEM-1","issued":{"date-parts":[["0"]]},"title":"Applied Biosystems High Resolution Melt Module for ViiA ™ 7 Software v1 . 1 Getting Started Guide","type":"article-journal"},"uris":["http://www.mendeley.com/documents/?uuid=9e3d3605-e5da-493e-96fd-40b6ff2c24ca"]}],"mendeley":{"formattedCitation":"&lt;sup&gt;12&lt;/sup&gt;","plainTextFormattedCitation":"12","previouslyFormattedCitation":"&lt;sup&gt;11&lt;/sup&gt;"},"properties":{"noteIndex":0},"schema":"https://github.com/citation-style-language/schema/raw/master/csl-citation.json"}</w:instrText>
      </w:r>
      <w:r w:rsidR="00A34E38" w:rsidRPr="005B034C">
        <w:rPr>
          <w:rStyle w:val="FootnoteReference"/>
          <w:rFonts w:asciiTheme="minorHAnsi" w:hAnsiTheme="minorHAnsi" w:cstheme="minorBidi"/>
          <w:color w:val="auto"/>
        </w:rPr>
        <w:fldChar w:fldCharType="separate"/>
      </w:r>
      <w:r w:rsidR="00153681" w:rsidRPr="005B034C">
        <w:rPr>
          <w:rFonts w:asciiTheme="minorHAnsi" w:hAnsiTheme="minorHAnsi" w:cstheme="minorBidi"/>
          <w:noProof/>
          <w:color w:val="auto"/>
          <w:vertAlign w:val="superscript"/>
        </w:rPr>
        <w:t>12</w:t>
      </w:r>
      <w:r w:rsidR="00A34E38" w:rsidRPr="005B034C">
        <w:rPr>
          <w:rStyle w:val="FootnoteReference"/>
          <w:rFonts w:asciiTheme="minorHAnsi" w:hAnsiTheme="minorHAnsi" w:cstheme="minorBidi"/>
          <w:color w:val="auto"/>
        </w:rPr>
        <w:fldChar w:fldCharType="end"/>
      </w:r>
      <w:r w:rsidRPr="005B034C">
        <w:rPr>
          <w:rFonts w:asciiTheme="minorHAnsi" w:hAnsiTheme="minorHAnsi" w:cstheme="minorBidi"/>
          <w:color w:val="auto"/>
        </w:rPr>
        <w:t>.</w:t>
      </w:r>
      <w:r w:rsidRPr="005B034C">
        <w:rPr>
          <w:color w:val="auto"/>
        </w:rPr>
        <w:t xml:space="preserve"> </w:t>
      </w:r>
      <w:r w:rsidRPr="005B034C">
        <w:rPr>
          <w:rFonts w:asciiTheme="minorHAnsi" w:hAnsiTheme="minorHAnsi" w:cstheme="minorBidi"/>
          <w:color w:val="auto"/>
        </w:rPr>
        <w:t>The outliers may produce erroneous HRM results.</w:t>
      </w:r>
    </w:p>
    <w:p w14:paraId="78D1436A" w14:textId="77777777" w:rsidR="0059727E" w:rsidRPr="005B034C" w:rsidRDefault="0059727E" w:rsidP="006820EA">
      <w:pPr>
        <w:pStyle w:val="ListParagraph"/>
        <w:ind w:left="0"/>
        <w:rPr>
          <w:rFonts w:asciiTheme="minorHAnsi" w:hAnsiTheme="minorHAnsi" w:cstheme="minorBidi"/>
          <w:color w:val="auto"/>
        </w:rPr>
      </w:pPr>
    </w:p>
    <w:p w14:paraId="41F6E776" w14:textId="76EE7AB7" w:rsidR="00350F1E" w:rsidRPr="005B034C" w:rsidRDefault="00350F1E" w:rsidP="006820EA">
      <w:pPr>
        <w:pStyle w:val="ListParagraph"/>
        <w:numPr>
          <w:ilvl w:val="1"/>
          <w:numId w:val="30"/>
        </w:numPr>
        <w:rPr>
          <w:rFonts w:asciiTheme="minorHAnsi" w:hAnsiTheme="minorHAnsi" w:cstheme="minorBidi"/>
          <w:color w:val="auto"/>
        </w:rPr>
      </w:pPr>
      <w:r w:rsidRPr="005B034C">
        <w:rPr>
          <w:color w:val="auto"/>
          <w:highlight w:val="yellow"/>
        </w:rPr>
        <w:t>In the derivative melt curves,</w:t>
      </w:r>
      <w:r w:rsidRPr="005B034C">
        <w:rPr>
          <w:rFonts w:asciiTheme="minorHAnsi" w:hAnsiTheme="minorHAnsi" w:cstheme="minorBidi"/>
          <w:color w:val="auto"/>
          <w:highlight w:val="yellow"/>
        </w:rPr>
        <w:t xml:space="preserve"> review the p</w:t>
      </w:r>
      <w:r w:rsidRPr="005B034C">
        <w:rPr>
          <w:color w:val="auto"/>
          <w:highlight w:val="yellow"/>
        </w:rPr>
        <w:t>re- and post-melt regions/temperature lines</w:t>
      </w:r>
      <w:r w:rsidRPr="005B034C">
        <w:rPr>
          <w:rFonts w:asciiTheme="minorHAnsi" w:hAnsiTheme="minorHAnsi" w:cstheme="minorBidi"/>
          <w:color w:val="auto"/>
          <w:highlight w:val="yellow"/>
        </w:rPr>
        <w:t xml:space="preserve">. </w:t>
      </w:r>
      <w:r w:rsidRPr="005B034C">
        <w:rPr>
          <w:color w:val="auto"/>
          <w:highlight w:val="yellow"/>
        </w:rPr>
        <w:t>The pre- and post-melt regions should be within a flat area where there are no large peaks or slopes in the fluorescent levels</w:t>
      </w:r>
      <w:r w:rsidRPr="005B034C">
        <w:rPr>
          <w:color w:val="auto"/>
        </w:rPr>
        <w:t xml:space="preserve"> (</w:t>
      </w:r>
      <w:r w:rsidR="00450274" w:rsidRPr="005B034C">
        <w:rPr>
          <w:b/>
          <w:bCs/>
          <w:color w:val="auto"/>
        </w:rPr>
        <w:t>Figure 3</w:t>
      </w:r>
      <w:r w:rsidR="005B034C" w:rsidRPr="005B034C">
        <w:rPr>
          <w:color w:val="auto"/>
        </w:rPr>
        <w:t>)</w:t>
      </w:r>
      <w:r w:rsidRPr="005B034C">
        <w:rPr>
          <w:color w:val="auto"/>
        </w:rPr>
        <w:t xml:space="preserve">. </w:t>
      </w:r>
      <w:r w:rsidRPr="005B034C">
        <w:rPr>
          <w:color w:val="auto"/>
          <w:highlight w:val="yellow"/>
        </w:rPr>
        <w:t>I</w:t>
      </w:r>
      <w:r w:rsidRPr="005B034C">
        <w:rPr>
          <w:rFonts w:asciiTheme="minorHAnsi" w:hAnsiTheme="minorHAnsi" w:cstheme="minorBidi"/>
          <w:color w:val="auto"/>
          <w:highlight w:val="yellow"/>
        </w:rPr>
        <w:t>f needed</w:t>
      </w:r>
      <w:r w:rsidRPr="005B034C">
        <w:rPr>
          <w:color w:val="auto"/>
          <w:highlight w:val="yellow"/>
        </w:rPr>
        <w:t xml:space="preserve"> a</w:t>
      </w:r>
      <w:r w:rsidRPr="005B034C">
        <w:rPr>
          <w:rFonts w:asciiTheme="minorHAnsi" w:hAnsiTheme="minorHAnsi" w:cstheme="minorBidi"/>
          <w:color w:val="auto"/>
          <w:highlight w:val="yellow"/>
        </w:rPr>
        <w:t>djust it accordingly</w:t>
      </w:r>
      <w:r w:rsidRPr="005B034C">
        <w:rPr>
          <w:color w:val="auto"/>
          <w:highlight w:val="yellow"/>
        </w:rPr>
        <w:t>. Set</w:t>
      </w:r>
      <w:r w:rsidR="001B775D" w:rsidRPr="005B034C">
        <w:rPr>
          <w:color w:val="auto"/>
          <w:highlight w:val="yellow"/>
        </w:rPr>
        <w:t xml:space="preserve"> </w:t>
      </w:r>
      <w:r w:rsidRPr="005B034C">
        <w:rPr>
          <w:color w:val="auto"/>
          <w:highlight w:val="yellow"/>
        </w:rPr>
        <w:t>up the start and stop of the pre- and post-melt temperature lines approximately 0.5 °C apart from each other</w:t>
      </w:r>
      <w:r w:rsidRPr="005B034C">
        <w:rPr>
          <w:color w:val="auto"/>
        </w:rPr>
        <w:t xml:space="preserve"> (</w:t>
      </w:r>
      <w:r w:rsidR="00450274" w:rsidRPr="005B034C">
        <w:rPr>
          <w:b/>
          <w:bCs/>
          <w:color w:val="auto"/>
        </w:rPr>
        <w:t>Figure 3</w:t>
      </w:r>
      <w:r w:rsidR="005B034C" w:rsidRPr="005B034C">
        <w:rPr>
          <w:color w:val="auto"/>
        </w:rPr>
        <w:t>)</w:t>
      </w:r>
      <w:r w:rsidRPr="005B034C">
        <w:rPr>
          <w:color w:val="auto"/>
        </w:rPr>
        <w:t xml:space="preserve">. </w:t>
      </w:r>
      <w:r w:rsidRPr="005B034C">
        <w:rPr>
          <w:color w:val="auto"/>
          <w:highlight w:val="yellow"/>
        </w:rPr>
        <w:t xml:space="preserve">Restart the analysis if </w:t>
      </w:r>
      <w:r w:rsidR="001B775D" w:rsidRPr="005B034C">
        <w:rPr>
          <w:color w:val="auto"/>
          <w:highlight w:val="yellow"/>
        </w:rPr>
        <w:t xml:space="preserve">the parameters are </w:t>
      </w:r>
      <w:r w:rsidRPr="005B034C">
        <w:rPr>
          <w:color w:val="auto"/>
          <w:highlight w:val="yellow"/>
        </w:rPr>
        <w:t>adjust</w:t>
      </w:r>
      <w:r w:rsidR="001B775D" w:rsidRPr="005B034C">
        <w:rPr>
          <w:color w:val="auto"/>
          <w:highlight w:val="yellow"/>
        </w:rPr>
        <w:t>ed</w:t>
      </w:r>
      <w:r w:rsidRPr="005B034C">
        <w:rPr>
          <w:color w:val="auto"/>
          <w:highlight w:val="yellow"/>
        </w:rPr>
        <w:t xml:space="preserve"> </w:t>
      </w:r>
      <w:r w:rsidRPr="005B034C">
        <w:rPr>
          <w:rFonts w:asciiTheme="minorHAnsi" w:hAnsiTheme="minorHAnsi" w:cstheme="minorBidi"/>
          <w:color w:val="auto"/>
          <w:highlight w:val="yellow"/>
        </w:rPr>
        <w:t xml:space="preserve">by clicking on the </w:t>
      </w:r>
      <w:r w:rsidRPr="005B034C">
        <w:rPr>
          <w:rFonts w:asciiTheme="minorHAnsi" w:hAnsiTheme="minorHAnsi" w:cstheme="minorBidi"/>
          <w:b/>
          <w:bCs/>
          <w:color w:val="auto"/>
          <w:highlight w:val="yellow"/>
        </w:rPr>
        <w:t>Analyze</w:t>
      </w:r>
      <w:r w:rsidRPr="005B034C">
        <w:rPr>
          <w:rFonts w:asciiTheme="minorHAnsi" w:hAnsiTheme="minorHAnsi" w:cstheme="minorBidi"/>
          <w:color w:val="auto"/>
          <w:highlight w:val="yellow"/>
        </w:rPr>
        <w:t xml:space="preserve"> button.</w:t>
      </w:r>
    </w:p>
    <w:p w14:paraId="321C8692" w14:textId="77777777" w:rsidR="0059727E" w:rsidRPr="005B034C" w:rsidRDefault="0059727E" w:rsidP="006820EA">
      <w:pPr>
        <w:pStyle w:val="ListParagraph"/>
        <w:ind w:left="0"/>
        <w:rPr>
          <w:rFonts w:asciiTheme="minorHAnsi" w:hAnsiTheme="minorHAnsi" w:cstheme="minorBidi"/>
          <w:color w:val="auto"/>
        </w:rPr>
      </w:pPr>
    </w:p>
    <w:p w14:paraId="381A8371" w14:textId="7E85DD2B"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In the difference plot tab, in the plot settings tab, choose one of the wild-type control (homozygote</w:t>
      </w:r>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 xml:space="preserve"> replicate</w:t>
      </w:r>
      <w:r w:rsidR="006820EA">
        <w:rPr>
          <w:rFonts w:asciiTheme="minorHAnsi" w:hAnsiTheme="minorHAnsi" w:cstheme="minorBidi"/>
          <w:color w:val="auto"/>
          <w:highlight w:val="yellow"/>
        </w:rPr>
        <w:t>s</w:t>
      </w:r>
      <w:r w:rsidRPr="005B034C">
        <w:rPr>
          <w:rFonts w:asciiTheme="minorHAnsi" w:hAnsiTheme="minorHAnsi" w:cstheme="minorBidi"/>
          <w:color w:val="auto"/>
          <w:highlight w:val="yellow"/>
        </w:rPr>
        <w:t xml:space="preserve"> as the reference DNA and restart the analysis by clicking on the </w:t>
      </w:r>
      <w:r w:rsidRPr="005B034C">
        <w:rPr>
          <w:rFonts w:asciiTheme="minorHAnsi" w:hAnsiTheme="minorHAnsi" w:cstheme="minorBidi"/>
          <w:b/>
          <w:bCs/>
          <w:color w:val="auto"/>
          <w:highlight w:val="yellow"/>
        </w:rPr>
        <w:t>Analyze</w:t>
      </w:r>
      <w:r w:rsidRPr="005B034C">
        <w:rPr>
          <w:rFonts w:asciiTheme="minorHAnsi" w:hAnsiTheme="minorHAnsi" w:cstheme="minorBidi"/>
          <w:color w:val="auto"/>
          <w:highlight w:val="yellow"/>
        </w:rPr>
        <w:t xml:space="preserve"> button.</w:t>
      </w:r>
    </w:p>
    <w:p w14:paraId="186328B4" w14:textId="77777777" w:rsidR="0059727E" w:rsidRPr="005B034C" w:rsidRDefault="0059727E" w:rsidP="006820EA">
      <w:pPr>
        <w:pStyle w:val="ListParagraph"/>
        <w:ind w:left="0"/>
        <w:rPr>
          <w:rFonts w:asciiTheme="minorHAnsi" w:hAnsiTheme="minorHAnsi" w:cstheme="minorBidi"/>
          <w:color w:val="auto"/>
        </w:rPr>
      </w:pPr>
    </w:p>
    <w:p w14:paraId="6C315D44" w14:textId="75872455" w:rsidR="00350F1E"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In the</w:t>
      </w:r>
      <w:r w:rsidRPr="005B034C">
        <w:rPr>
          <w:rFonts w:asciiTheme="minorHAnsi" w:hAnsiTheme="minorHAnsi" w:cstheme="minorBidi"/>
          <w:b/>
          <w:bCs/>
          <w:color w:val="auto"/>
          <w:highlight w:val="yellow"/>
        </w:rPr>
        <w:t xml:space="preserve"> </w:t>
      </w:r>
      <w:r w:rsidR="00C55E06" w:rsidRPr="005B034C">
        <w:rPr>
          <w:rFonts w:asciiTheme="minorHAnsi" w:hAnsiTheme="minorHAnsi" w:cstheme="minorBidi"/>
          <w:color w:val="auto"/>
          <w:highlight w:val="yellow"/>
        </w:rPr>
        <w:t>a</w:t>
      </w:r>
      <w:r w:rsidRPr="005B034C">
        <w:rPr>
          <w:rFonts w:asciiTheme="minorHAnsi" w:hAnsiTheme="minorHAnsi" w:cstheme="minorBidi"/>
          <w:color w:val="auto"/>
          <w:highlight w:val="yellow"/>
        </w:rPr>
        <w:t xml:space="preserve">ligned </w:t>
      </w:r>
      <w:r w:rsidR="00C55E06" w:rsidRPr="005B034C">
        <w:rPr>
          <w:rFonts w:asciiTheme="minorHAnsi" w:hAnsiTheme="minorHAnsi" w:cstheme="minorBidi"/>
          <w:color w:val="auto"/>
          <w:highlight w:val="yellow"/>
        </w:rPr>
        <w:t>m</w:t>
      </w:r>
      <w:r w:rsidRPr="005B034C">
        <w:rPr>
          <w:rFonts w:asciiTheme="minorHAnsi" w:hAnsiTheme="minorHAnsi" w:cstheme="minorBidi"/>
          <w:color w:val="auto"/>
          <w:highlight w:val="yellow"/>
        </w:rPr>
        <w:t xml:space="preserve">elt </w:t>
      </w:r>
      <w:r w:rsidR="00C55E06" w:rsidRPr="005B034C">
        <w:rPr>
          <w:rFonts w:asciiTheme="minorHAnsi" w:hAnsiTheme="minorHAnsi" w:cstheme="minorBidi"/>
          <w:color w:val="auto"/>
          <w:highlight w:val="yellow"/>
        </w:rPr>
        <w:t>c</w:t>
      </w:r>
      <w:r w:rsidRPr="005B034C">
        <w:rPr>
          <w:rFonts w:asciiTheme="minorHAnsi" w:hAnsiTheme="minorHAnsi" w:cstheme="minorBidi"/>
          <w:color w:val="auto"/>
          <w:highlight w:val="yellow"/>
        </w:rPr>
        <w:t>urves tab</w:t>
      </w:r>
      <w:r w:rsidR="006820EA">
        <w:rPr>
          <w:rFonts w:asciiTheme="minorHAnsi" w:hAnsiTheme="minorHAnsi" w:cstheme="minorBidi"/>
          <w:color w:val="auto"/>
          <w:highlight w:val="yellow"/>
        </w:rPr>
        <w:t>,</w:t>
      </w:r>
      <w:r w:rsidRPr="005B034C">
        <w:rPr>
          <w:rFonts w:asciiTheme="minorHAnsi" w:hAnsiTheme="minorHAnsi" w:cstheme="minorBidi"/>
          <w:color w:val="auto"/>
          <w:highlight w:val="yellow"/>
        </w:rPr>
        <w:t xml:space="preserve"> confirm that all positive controls have the correct genotype and NTC failed to amplify</w:t>
      </w:r>
      <w:r w:rsidR="00325DD4"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Figure 4</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 xml:space="preserve">From the well table, select the wells containing a positive control to highlight the corresponding melt curve in the analysis plots. Confirm that </w:t>
      </w:r>
      <w:bookmarkStart w:id="3" w:name="_Hlk45990124"/>
      <w:r w:rsidRPr="005B034C">
        <w:rPr>
          <w:rFonts w:asciiTheme="minorHAnsi" w:hAnsiTheme="minorHAnsi" w:cstheme="minorBidi"/>
          <w:color w:val="auto"/>
          <w:highlight w:val="yellow"/>
        </w:rPr>
        <w:t xml:space="preserve">the </w:t>
      </w:r>
      <w:bookmarkStart w:id="4" w:name="_Hlk45987650"/>
      <w:r w:rsidRPr="005B034C">
        <w:rPr>
          <w:rFonts w:asciiTheme="minorHAnsi" w:hAnsiTheme="minorHAnsi" w:cstheme="minorBidi"/>
          <w:color w:val="auto"/>
          <w:highlight w:val="yellow"/>
        </w:rPr>
        <w:t>color of the line corresponds to the correct genotype</w:t>
      </w:r>
      <w:bookmarkEnd w:id="3"/>
      <w:bookmarkEnd w:id="4"/>
      <w:r w:rsidRPr="005B034C">
        <w:rPr>
          <w:rFonts w:asciiTheme="minorHAnsi" w:hAnsiTheme="minorHAnsi" w:cstheme="minorBidi"/>
          <w:color w:val="auto"/>
          <w:highlight w:val="yellow"/>
        </w:rPr>
        <w:t xml:space="preserve">. Repeat steps for the wells containing the other </w:t>
      </w:r>
      <w:r w:rsidR="00744C03" w:rsidRPr="005B034C">
        <w:rPr>
          <w:rFonts w:asciiTheme="minorHAnsi" w:hAnsiTheme="minorHAnsi" w:cstheme="minorBidi"/>
          <w:color w:val="auto"/>
          <w:highlight w:val="yellow"/>
        </w:rPr>
        <w:t>positive controls and NTC.</w:t>
      </w:r>
    </w:p>
    <w:p w14:paraId="4BA7300D" w14:textId="77777777" w:rsidR="0059727E" w:rsidRPr="005B034C" w:rsidRDefault="0059727E" w:rsidP="006820EA">
      <w:pPr>
        <w:pStyle w:val="ListParagraph"/>
        <w:ind w:left="0"/>
        <w:rPr>
          <w:rFonts w:asciiTheme="minorHAnsi" w:hAnsiTheme="minorHAnsi" w:cstheme="minorBidi"/>
          <w:color w:val="auto"/>
          <w:highlight w:val="yellow"/>
        </w:rPr>
      </w:pPr>
    </w:p>
    <w:p w14:paraId="3AE01FBB" w14:textId="3A1FB8E0" w:rsidR="001B775D"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In the</w:t>
      </w:r>
      <w:r w:rsidRPr="005B034C">
        <w:rPr>
          <w:rFonts w:asciiTheme="minorHAnsi" w:hAnsiTheme="minorHAnsi" w:cstheme="minorBidi"/>
          <w:b/>
          <w:bCs/>
          <w:color w:val="auto"/>
          <w:highlight w:val="yellow"/>
        </w:rPr>
        <w:t xml:space="preserve"> </w:t>
      </w:r>
      <w:r w:rsidRPr="005B034C">
        <w:rPr>
          <w:rFonts w:asciiTheme="minorHAnsi" w:hAnsiTheme="minorHAnsi" w:cstheme="minorBidi"/>
          <w:color w:val="auto"/>
          <w:highlight w:val="yellow"/>
        </w:rPr>
        <w:t>aligned melt curves tab</w:t>
      </w:r>
      <w:r w:rsidR="001B775D" w:rsidRPr="005B034C">
        <w:rPr>
          <w:rFonts w:asciiTheme="minorHAnsi" w:hAnsiTheme="minorHAnsi" w:cstheme="minorBidi"/>
          <w:color w:val="auto"/>
          <w:highlight w:val="yellow"/>
        </w:rPr>
        <w:t>,</w:t>
      </w:r>
      <w:r w:rsidRPr="005B034C">
        <w:rPr>
          <w:rFonts w:asciiTheme="minorHAnsi" w:hAnsiTheme="minorHAnsi" w:cstheme="minorBidi"/>
          <w:color w:val="auto"/>
          <w:highlight w:val="yellow"/>
        </w:rPr>
        <w:t xml:space="preserve"> carefully review the plot displays for the unknown samples and compare them to the plot displays for controls</w:t>
      </w:r>
      <w:r w:rsidR="00744C03"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Figure 4</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 xml:space="preserve">From the well table, select the wells containing the unknown sample replicates, check the color of the melt curve and align them with the controls in an ordered sequence by selecting the wells containing positive controls one by one. Repeat the process for all the unknown samples. </w:t>
      </w:r>
    </w:p>
    <w:p w14:paraId="6B9DC03B" w14:textId="77777777" w:rsidR="001B775D" w:rsidRPr="005B034C" w:rsidRDefault="001B775D" w:rsidP="006820EA">
      <w:pPr>
        <w:pStyle w:val="ListParagraph"/>
        <w:ind w:left="0"/>
        <w:rPr>
          <w:rFonts w:asciiTheme="minorHAnsi" w:hAnsiTheme="minorHAnsi" w:cstheme="minorBidi"/>
          <w:color w:val="auto"/>
          <w:highlight w:val="yellow"/>
        </w:rPr>
      </w:pPr>
    </w:p>
    <w:p w14:paraId="79A04870" w14:textId="6E1AD62E" w:rsidR="001B775D" w:rsidRPr="005B034C" w:rsidRDefault="001B775D" w:rsidP="006820EA">
      <w:pPr>
        <w:pStyle w:val="ListParagraph"/>
        <w:ind w:left="0"/>
        <w:rPr>
          <w:rFonts w:asciiTheme="minorHAnsi" w:hAnsiTheme="minorHAnsi" w:cstheme="minorBidi"/>
          <w:color w:val="auto"/>
        </w:rPr>
      </w:pPr>
      <w:r w:rsidRPr="005B034C">
        <w:rPr>
          <w:rFonts w:asciiTheme="minorHAnsi" w:hAnsiTheme="minorHAnsi" w:cstheme="minorBidi"/>
          <w:color w:val="auto"/>
        </w:rPr>
        <w:t xml:space="preserve">NOTE: </w:t>
      </w:r>
      <w:r w:rsidR="00350F1E" w:rsidRPr="005B034C">
        <w:rPr>
          <w:rFonts w:asciiTheme="minorHAnsi" w:hAnsiTheme="minorHAnsi" w:cstheme="minorBidi"/>
          <w:color w:val="auto"/>
        </w:rPr>
        <w:t>The unknown sample contains the variant of one of the controls if its melting curve is tightly aligned to it. Different variant groups (different colors</w:t>
      </w:r>
      <w:r w:rsidR="005B034C" w:rsidRPr="005B034C">
        <w:rPr>
          <w:rFonts w:asciiTheme="minorHAnsi" w:hAnsiTheme="minorHAnsi" w:cstheme="minorBidi"/>
          <w:color w:val="auto"/>
        </w:rPr>
        <w:t>)</w:t>
      </w:r>
      <w:r w:rsidR="00350F1E" w:rsidRPr="005B034C">
        <w:rPr>
          <w:rFonts w:asciiTheme="minorHAnsi" w:hAnsiTheme="minorHAnsi" w:cstheme="minorBidi"/>
          <w:color w:val="auto"/>
        </w:rPr>
        <w:t xml:space="preserve"> could be displayed indicat</w:t>
      </w:r>
      <w:r w:rsidR="006820EA">
        <w:rPr>
          <w:rFonts w:asciiTheme="minorHAnsi" w:hAnsiTheme="minorHAnsi" w:cstheme="minorBidi"/>
          <w:color w:val="auto"/>
        </w:rPr>
        <w:t xml:space="preserve">ing </w:t>
      </w:r>
      <w:r w:rsidR="00350F1E" w:rsidRPr="005B034C">
        <w:rPr>
          <w:rFonts w:asciiTheme="minorHAnsi" w:hAnsiTheme="minorHAnsi" w:cstheme="minorBidi"/>
          <w:color w:val="auto"/>
        </w:rPr>
        <w:t>that the unknow</w:t>
      </w:r>
      <w:r w:rsidR="007E397B" w:rsidRPr="005B034C">
        <w:rPr>
          <w:rFonts w:asciiTheme="minorHAnsi" w:hAnsiTheme="minorHAnsi" w:cstheme="minorBidi"/>
          <w:color w:val="auto"/>
        </w:rPr>
        <w:t>n</w:t>
      </w:r>
      <w:r w:rsidR="00350F1E" w:rsidRPr="005B034C">
        <w:rPr>
          <w:rFonts w:asciiTheme="minorHAnsi" w:hAnsiTheme="minorHAnsi" w:cstheme="minorBidi"/>
          <w:color w:val="auto"/>
        </w:rPr>
        <w:t xml:space="preserve"> sample consists of an unknown variant, not corresponding to </w:t>
      </w:r>
      <w:r w:rsidR="006820EA">
        <w:rPr>
          <w:rFonts w:asciiTheme="minorHAnsi" w:hAnsiTheme="minorHAnsi" w:cstheme="minorBidi"/>
          <w:color w:val="auto"/>
        </w:rPr>
        <w:t xml:space="preserve">the </w:t>
      </w:r>
      <w:r w:rsidR="00350F1E" w:rsidRPr="005B034C">
        <w:rPr>
          <w:rFonts w:asciiTheme="minorHAnsi" w:hAnsiTheme="minorHAnsi" w:cstheme="minorBidi"/>
          <w:color w:val="auto"/>
        </w:rPr>
        <w:t>controls</w:t>
      </w:r>
      <w:r w:rsidR="00744C03"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Figure 8</w:t>
      </w:r>
      <w:r w:rsidR="005B034C" w:rsidRPr="005B034C">
        <w:rPr>
          <w:rFonts w:asciiTheme="minorHAnsi" w:hAnsiTheme="minorHAnsi" w:cstheme="minorBidi"/>
          <w:color w:val="auto"/>
        </w:rPr>
        <w:t>)</w:t>
      </w:r>
      <w:r w:rsidR="00350F1E" w:rsidRPr="005B034C">
        <w:rPr>
          <w:rFonts w:asciiTheme="minorHAnsi" w:hAnsiTheme="minorHAnsi" w:cstheme="minorBidi"/>
          <w:color w:val="auto"/>
        </w:rPr>
        <w:t>.</w:t>
      </w:r>
      <w:r w:rsidR="00483209" w:rsidRPr="005B034C">
        <w:rPr>
          <w:color w:val="auto"/>
        </w:rPr>
        <w:t xml:space="preserve"> </w:t>
      </w:r>
      <w:r w:rsidRPr="005B034C">
        <w:rPr>
          <w:rFonts w:asciiTheme="minorHAnsi" w:hAnsiTheme="minorHAnsi" w:cstheme="minorBidi"/>
          <w:color w:val="auto"/>
        </w:rPr>
        <w:t>A l</w:t>
      </w:r>
      <w:r w:rsidR="00483209" w:rsidRPr="005B034C">
        <w:rPr>
          <w:rFonts w:asciiTheme="minorHAnsi" w:hAnsiTheme="minorHAnsi" w:cstheme="minorBidi"/>
          <w:color w:val="auto"/>
        </w:rPr>
        <w:t>ow level of the somatic genetic variant can be present in the patient</w:t>
      </w:r>
      <w:r w:rsidR="00483209" w:rsidRPr="005B034C">
        <w:rPr>
          <w:rFonts w:asciiTheme="minorHAnsi" w:hAnsiTheme="minorHAnsi" w:cstheme="minorBidi"/>
          <w:color w:val="auto"/>
        </w:rPr>
        <w:sym w:font="Symbol" w:char="F0A2"/>
      </w:r>
      <w:r w:rsidR="00483209" w:rsidRPr="005B034C">
        <w:rPr>
          <w:rFonts w:asciiTheme="minorHAnsi" w:hAnsiTheme="minorHAnsi" w:cstheme="minorBidi"/>
          <w:color w:val="auto"/>
        </w:rPr>
        <w:t>s sample. This could influence the interpretation of the HRM result, particularly at the detection limit of the assay (</w:t>
      </w:r>
      <w:r w:rsidR="00450274" w:rsidRPr="005B034C">
        <w:rPr>
          <w:rFonts w:asciiTheme="minorHAnsi" w:hAnsiTheme="minorHAnsi" w:cstheme="minorBidi"/>
          <w:b/>
          <w:bCs/>
          <w:color w:val="auto"/>
        </w:rPr>
        <w:t>Figure 9</w:t>
      </w:r>
      <w:r w:rsidR="005B034C" w:rsidRPr="005B034C">
        <w:rPr>
          <w:rFonts w:asciiTheme="minorHAnsi" w:hAnsiTheme="minorHAnsi" w:cstheme="minorBidi"/>
          <w:color w:val="auto"/>
        </w:rPr>
        <w:t>)</w:t>
      </w:r>
      <w:r w:rsidR="00483209" w:rsidRPr="005B034C">
        <w:rPr>
          <w:rFonts w:asciiTheme="minorHAnsi" w:hAnsiTheme="minorHAnsi" w:cstheme="minorBidi"/>
          <w:color w:val="auto"/>
        </w:rPr>
        <w:t xml:space="preserve">. In these cases, the color or even the shape of the line could closely resemble that of the wild-type genotype. </w:t>
      </w:r>
      <w:bookmarkStart w:id="5" w:name="_Hlk46003605"/>
    </w:p>
    <w:p w14:paraId="35EB0A8C" w14:textId="77777777" w:rsidR="001B775D" w:rsidRPr="005B034C" w:rsidRDefault="001B775D" w:rsidP="006820EA">
      <w:pPr>
        <w:pStyle w:val="ListParagraph"/>
        <w:ind w:left="0"/>
        <w:rPr>
          <w:rFonts w:asciiTheme="minorHAnsi" w:hAnsiTheme="minorHAnsi" w:cstheme="minorBidi"/>
          <w:color w:val="auto"/>
          <w:highlight w:val="yellow"/>
        </w:rPr>
      </w:pPr>
    </w:p>
    <w:p w14:paraId="3CD3E407" w14:textId="1839CD0A" w:rsidR="00350F1E" w:rsidRPr="005B034C" w:rsidRDefault="00483209" w:rsidP="006820EA">
      <w:pPr>
        <w:pStyle w:val="ListParagraph"/>
        <w:numPr>
          <w:ilvl w:val="2"/>
          <w:numId w:val="30"/>
        </w:numPr>
        <w:ind w:left="0" w:firstLine="0"/>
        <w:rPr>
          <w:rFonts w:asciiTheme="minorHAnsi" w:hAnsiTheme="minorHAnsi" w:cstheme="minorBidi"/>
          <w:color w:val="auto"/>
        </w:rPr>
      </w:pPr>
      <w:r w:rsidRPr="005B034C">
        <w:rPr>
          <w:rFonts w:asciiTheme="minorHAnsi" w:hAnsiTheme="minorHAnsi" w:cstheme="minorBidi"/>
          <w:color w:val="auto"/>
          <w:highlight w:val="yellow"/>
        </w:rPr>
        <w:lastRenderedPageBreak/>
        <w:t>When the result is inconclusive, combine the HRM results with the results of the agarose gel electrophoresis and sequencing methods. Retest the sample or request and retest a new sample if needed.</w:t>
      </w:r>
      <w:r w:rsidR="00E14428" w:rsidRPr="005B034C">
        <w:rPr>
          <w:rFonts w:asciiTheme="minorHAnsi" w:hAnsiTheme="minorHAnsi" w:cstheme="minorBidi"/>
          <w:color w:val="auto"/>
        </w:rPr>
        <w:t xml:space="preserve"> </w:t>
      </w:r>
      <w:bookmarkStart w:id="6" w:name="_Hlk45986888"/>
      <w:bookmarkEnd w:id="5"/>
    </w:p>
    <w:bookmarkEnd w:id="6"/>
    <w:p w14:paraId="27DFB0CB" w14:textId="77777777" w:rsidR="00350F1E" w:rsidRPr="005B034C" w:rsidRDefault="00350F1E" w:rsidP="006820EA">
      <w:pPr>
        <w:pStyle w:val="ListParagraph"/>
        <w:ind w:left="0"/>
        <w:rPr>
          <w:rFonts w:asciiTheme="minorHAnsi" w:hAnsiTheme="minorHAnsi" w:cstheme="minorBidi"/>
          <w:color w:val="auto"/>
        </w:rPr>
      </w:pPr>
    </w:p>
    <w:p w14:paraId="4B8E23D4" w14:textId="12881EC2" w:rsidR="00350F1E" w:rsidRPr="005B034C" w:rsidRDefault="00350F1E" w:rsidP="006820EA">
      <w:pPr>
        <w:pStyle w:val="ListParagraph"/>
        <w:numPr>
          <w:ilvl w:val="2"/>
          <w:numId w:val="30"/>
        </w:numPr>
        <w:ind w:left="0" w:firstLine="0"/>
        <w:rPr>
          <w:rFonts w:asciiTheme="minorHAnsi" w:hAnsiTheme="minorHAnsi" w:cstheme="minorBidi"/>
          <w:color w:val="auto"/>
        </w:rPr>
      </w:pPr>
      <w:r w:rsidRPr="005B034C">
        <w:rPr>
          <w:rFonts w:asciiTheme="minorHAnsi" w:hAnsiTheme="minorHAnsi" w:cstheme="minorBidi"/>
          <w:color w:val="auto"/>
        </w:rPr>
        <w:t xml:space="preserve">Carefully review </w:t>
      </w:r>
      <w:r w:rsidR="00023B1E">
        <w:rPr>
          <w:rFonts w:asciiTheme="minorHAnsi" w:hAnsiTheme="minorHAnsi" w:cstheme="minorBidi"/>
          <w:color w:val="auto"/>
        </w:rPr>
        <w:t xml:space="preserve">the </w:t>
      </w:r>
      <w:r w:rsidRPr="005B034C">
        <w:rPr>
          <w:rFonts w:asciiTheme="minorHAnsi" w:hAnsiTheme="minorHAnsi" w:cstheme="minorBidi"/>
          <w:color w:val="auto"/>
        </w:rPr>
        <w:t xml:space="preserve">data set for replicate curves and check that the alignment of each replicate within the group is tight. </w:t>
      </w:r>
      <w:r w:rsidR="001B775D" w:rsidRPr="005B034C">
        <w:rPr>
          <w:rFonts w:asciiTheme="minorHAnsi" w:hAnsiTheme="minorHAnsi" w:cstheme="minorBidi"/>
          <w:color w:val="auto"/>
        </w:rPr>
        <w:t>E</w:t>
      </w:r>
      <w:r w:rsidRPr="005B034C">
        <w:rPr>
          <w:rFonts w:asciiTheme="minorHAnsi" w:hAnsiTheme="minorHAnsi" w:cstheme="minorBidi"/>
          <w:color w:val="auto"/>
        </w:rPr>
        <w:t xml:space="preserve">xclude </w:t>
      </w:r>
      <w:r w:rsidR="00023B1E">
        <w:rPr>
          <w:rFonts w:asciiTheme="minorHAnsi" w:hAnsiTheme="minorHAnsi" w:cstheme="minorBidi"/>
          <w:color w:val="auto"/>
        </w:rPr>
        <w:t xml:space="preserve">the </w:t>
      </w:r>
      <w:r w:rsidRPr="005B034C">
        <w:rPr>
          <w:rFonts w:asciiTheme="minorHAnsi" w:hAnsiTheme="minorHAnsi" w:cstheme="minorBidi"/>
          <w:color w:val="auto"/>
        </w:rPr>
        <w:t>replicate if it does not align tightly with the other samples in the group (outlier</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bookmarkStart w:id="7" w:name="_Hlk45989043"/>
      <w:r w:rsidRPr="005B034C">
        <w:rPr>
          <w:rFonts w:asciiTheme="minorHAnsi" w:hAnsiTheme="minorHAnsi" w:cstheme="minorBidi"/>
          <w:color w:val="auto"/>
        </w:rPr>
        <w:t xml:space="preserve">Retest the sample </w:t>
      </w:r>
      <w:bookmarkEnd w:id="7"/>
      <w:r w:rsidRPr="005B034C">
        <w:rPr>
          <w:rFonts w:asciiTheme="minorHAnsi" w:hAnsiTheme="minorHAnsi" w:cstheme="minorBidi"/>
          <w:color w:val="auto"/>
        </w:rPr>
        <w:t>if more outliers are present and the results are inconclusive. Be aware that the quantity and quality of the DNA sample influence</w:t>
      </w:r>
      <w:r w:rsidR="00023B1E">
        <w:rPr>
          <w:rFonts w:asciiTheme="minorHAnsi" w:hAnsiTheme="minorHAnsi" w:cstheme="minorBidi"/>
          <w:color w:val="auto"/>
        </w:rPr>
        <w:t xml:space="preserve"> </w:t>
      </w:r>
      <w:r w:rsidRPr="005B034C">
        <w:rPr>
          <w:rFonts w:asciiTheme="minorHAnsi" w:hAnsiTheme="minorHAnsi" w:cstheme="minorBidi"/>
          <w:color w:val="auto"/>
        </w:rPr>
        <w:t xml:space="preserve">the HRM results. </w:t>
      </w:r>
    </w:p>
    <w:p w14:paraId="27014BD1" w14:textId="77777777" w:rsidR="00350F1E" w:rsidRPr="005B034C" w:rsidRDefault="00350F1E" w:rsidP="006820EA">
      <w:pPr>
        <w:rPr>
          <w:rFonts w:asciiTheme="minorHAnsi" w:hAnsiTheme="minorHAnsi" w:cstheme="minorBidi"/>
          <w:color w:val="auto"/>
        </w:rPr>
      </w:pPr>
    </w:p>
    <w:p w14:paraId="3DE9CA8B" w14:textId="47D3F6CA" w:rsidR="00B744EA" w:rsidRPr="005B034C" w:rsidRDefault="00023B1E" w:rsidP="006820EA">
      <w:pPr>
        <w:pStyle w:val="ListParagraph"/>
        <w:numPr>
          <w:ilvl w:val="1"/>
          <w:numId w:val="30"/>
        </w:numPr>
        <w:rPr>
          <w:rFonts w:asciiTheme="minorHAnsi" w:hAnsiTheme="minorHAnsi" w:cstheme="minorBidi"/>
          <w:color w:val="auto"/>
        </w:rPr>
      </w:pPr>
      <w:r>
        <w:rPr>
          <w:rFonts w:asciiTheme="minorHAnsi" w:hAnsiTheme="minorHAnsi" w:cstheme="minorBidi"/>
          <w:color w:val="auto"/>
          <w:highlight w:val="yellow"/>
        </w:rPr>
        <w:t>A</w:t>
      </w:r>
      <w:r w:rsidR="00350F1E" w:rsidRPr="005B034C">
        <w:rPr>
          <w:rFonts w:asciiTheme="minorHAnsi" w:hAnsiTheme="minorHAnsi" w:cstheme="minorBidi"/>
          <w:color w:val="auto"/>
          <w:highlight w:val="yellow"/>
        </w:rPr>
        <w:t xml:space="preserve">nalyze the result for the unknown sample in the </w:t>
      </w:r>
      <w:r w:rsidR="00350F1E" w:rsidRPr="005B034C">
        <w:rPr>
          <w:rFonts w:asciiTheme="minorHAnsi" w:hAnsiTheme="minorHAnsi" w:cstheme="minorBidi"/>
          <w:b/>
          <w:bCs/>
          <w:color w:val="auto"/>
          <w:highlight w:val="yellow"/>
        </w:rPr>
        <w:t>Difference</w:t>
      </w:r>
      <w:r w:rsidR="00350F1E" w:rsidRPr="005B034C">
        <w:rPr>
          <w:rFonts w:asciiTheme="minorHAnsi" w:hAnsiTheme="minorHAnsi" w:cstheme="minorBidi"/>
          <w:color w:val="auto"/>
          <w:highlight w:val="yellow"/>
        </w:rPr>
        <w:t xml:space="preserve"> plot tab. Repeat the procedure described</w:t>
      </w:r>
      <w:r w:rsidR="00350F1E" w:rsidRPr="005B034C">
        <w:rPr>
          <w:rFonts w:asciiTheme="minorHAnsi" w:hAnsiTheme="minorHAnsi" w:cstheme="minorBidi"/>
          <w:color w:val="auto"/>
        </w:rPr>
        <w:t xml:space="preserve"> in the </w:t>
      </w:r>
      <w:r w:rsidR="001B775D" w:rsidRPr="005B034C">
        <w:rPr>
          <w:rFonts w:asciiTheme="minorHAnsi" w:hAnsiTheme="minorHAnsi" w:cstheme="minorBidi"/>
          <w:color w:val="auto"/>
        </w:rPr>
        <w:t xml:space="preserve">step </w:t>
      </w:r>
      <w:r w:rsidR="00350F1E" w:rsidRPr="005B034C">
        <w:rPr>
          <w:rFonts w:asciiTheme="minorHAnsi" w:hAnsiTheme="minorHAnsi" w:cstheme="minorBidi"/>
          <w:color w:val="auto"/>
        </w:rPr>
        <w:t xml:space="preserve">1.21 </w:t>
      </w:r>
      <w:r w:rsidR="00350F1E" w:rsidRPr="005B034C">
        <w:rPr>
          <w:rFonts w:asciiTheme="minorHAnsi" w:hAnsiTheme="minorHAnsi" w:cstheme="minorBidi"/>
          <w:color w:val="auto"/>
          <w:highlight w:val="yellow"/>
        </w:rPr>
        <w:t>and verify that the results obtained for the unknown sample are the same</w:t>
      </w:r>
      <w:r w:rsidR="001B775D" w:rsidRPr="005B034C">
        <w:rPr>
          <w:rFonts w:asciiTheme="minorHAnsi" w:hAnsiTheme="minorHAnsi" w:cstheme="minorBidi"/>
          <w:color w:val="auto"/>
        </w:rPr>
        <w:t>.</w:t>
      </w:r>
    </w:p>
    <w:p w14:paraId="1C3BB350" w14:textId="77777777" w:rsidR="0059727E" w:rsidRPr="005B034C" w:rsidRDefault="0059727E" w:rsidP="006820EA">
      <w:pPr>
        <w:pStyle w:val="ListParagraph"/>
        <w:ind w:left="0"/>
        <w:rPr>
          <w:rFonts w:asciiTheme="minorHAnsi" w:hAnsiTheme="minorHAnsi" w:cstheme="minorBidi"/>
          <w:color w:val="auto"/>
          <w:highlight w:val="yellow"/>
        </w:rPr>
      </w:pPr>
    </w:p>
    <w:p w14:paraId="0ECD377A" w14:textId="51040D0E" w:rsidR="00350F1E" w:rsidRPr="005B034C" w:rsidRDefault="00023B1E" w:rsidP="006820EA">
      <w:pPr>
        <w:pStyle w:val="ListParagraph"/>
        <w:numPr>
          <w:ilvl w:val="1"/>
          <w:numId w:val="30"/>
        </w:numPr>
        <w:rPr>
          <w:rFonts w:asciiTheme="minorHAnsi" w:hAnsiTheme="minorHAnsi" w:cstheme="minorBidi"/>
          <w:color w:val="auto"/>
        </w:rPr>
      </w:pPr>
      <w:r>
        <w:rPr>
          <w:rFonts w:asciiTheme="minorHAnsi" w:hAnsiTheme="minorHAnsi" w:cstheme="minorBidi"/>
          <w:color w:val="auto"/>
          <w:highlight w:val="yellow"/>
        </w:rPr>
        <w:t>Then, run</w:t>
      </w:r>
      <w:r w:rsidR="00350F1E" w:rsidRPr="005B034C">
        <w:rPr>
          <w:rFonts w:asciiTheme="minorHAnsi" w:hAnsiTheme="minorHAnsi" w:cstheme="minorBidi"/>
          <w:color w:val="auto"/>
          <w:highlight w:val="yellow"/>
        </w:rPr>
        <w:t xml:space="preserve"> the qPCR HRM products on the agarose gel</w:t>
      </w:r>
      <w:r w:rsidR="00350F1E" w:rsidRPr="005B034C">
        <w:rPr>
          <w:rFonts w:asciiTheme="minorHAnsi" w:hAnsiTheme="minorHAnsi" w:cstheme="minorBidi"/>
          <w:color w:val="auto"/>
        </w:rPr>
        <w:t>.</w:t>
      </w:r>
    </w:p>
    <w:p w14:paraId="71D605C7" w14:textId="77777777" w:rsidR="00350F1E" w:rsidRPr="005B034C" w:rsidRDefault="00350F1E" w:rsidP="006820EA">
      <w:pPr>
        <w:rPr>
          <w:rFonts w:asciiTheme="minorHAnsi" w:hAnsiTheme="minorHAnsi" w:cstheme="minorBidi"/>
          <w:color w:val="auto"/>
        </w:rPr>
      </w:pPr>
    </w:p>
    <w:p w14:paraId="3AA8A7EB" w14:textId="79301111" w:rsidR="00350F1E" w:rsidRPr="005B034C" w:rsidRDefault="00350F1E" w:rsidP="006820EA">
      <w:pPr>
        <w:rPr>
          <w:rFonts w:asciiTheme="minorHAnsi" w:hAnsiTheme="minorHAnsi" w:cstheme="minorHAnsi"/>
          <w:color w:val="auto"/>
        </w:rPr>
      </w:pPr>
      <w:r w:rsidRPr="005B034C">
        <w:rPr>
          <w:rFonts w:asciiTheme="minorHAnsi" w:hAnsiTheme="minorHAnsi" w:cstheme="minorHAnsi"/>
          <w:color w:val="auto"/>
        </w:rPr>
        <w:t xml:space="preserve">NOTE: The protocol can be paused here. Store the plate at 4 °C for no more than 24 hours or at -20 </w:t>
      </w:r>
      <w:r w:rsidR="001B775D" w:rsidRPr="005B034C">
        <w:rPr>
          <w:rFonts w:asciiTheme="minorHAnsi" w:hAnsiTheme="minorHAnsi" w:cstheme="minorHAnsi"/>
          <w:color w:val="auto"/>
        </w:rPr>
        <w:t>°</w:t>
      </w:r>
      <w:r w:rsidRPr="005B034C">
        <w:rPr>
          <w:rFonts w:asciiTheme="minorHAnsi" w:hAnsiTheme="minorHAnsi" w:cstheme="minorHAnsi"/>
          <w:color w:val="auto"/>
        </w:rPr>
        <w:t xml:space="preserve">C for a longer period time but no more than 7 days. Allow the plate stored at 4 °C to warm to RT, </w:t>
      </w:r>
      <w:r w:rsidR="001B775D" w:rsidRPr="005B034C">
        <w:rPr>
          <w:rFonts w:asciiTheme="minorHAnsi" w:hAnsiTheme="minorHAnsi" w:cstheme="minorHAnsi"/>
          <w:color w:val="auto"/>
        </w:rPr>
        <w:t xml:space="preserve">and </w:t>
      </w:r>
      <w:r w:rsidRPr="005B034C">
        <w:rPr>
          <w:rFonts w:asciiTheme="minorHAnsi" w:hAnsiTheme="minorHAnsi" w:cstheme="minorHAnsi"/>
          <w:color w:val="auto"/>
        </w:rPr>
        <w:t xml:space="preserve">then spin the plate briefly before running it. Allow the plate stored at - 20 </w:t>
      </w:r>
      <w:r w:rsidR="001B775D" w:rsidRPr="005B034C">
        <w:rPr>
          <w:rFonts w:asciiTheme="minorHAnsi" w:hAnsiTheme="minorHAnsi" w:cstheme="minorHAnsi"/>
          <w:color w:val="auto"/>
        </w:rPr>
        <w:t>°</w:t>
      </w:r>
      <w:r w:rsidRPr="005B034C">
        <w:rPr>
          <w:rFonts w:asciiTheme="minorHAnsi" w:hAnsiTheme="minorHAnsi" w:cstheme="minorHAnsi"/>
          <w:color w:val="auto"/>
        </w:rPr>
        <w:t>C to thaw and warm to RT</w:t>
      </w:r>
      <w:r w:rsidR="00023B1E">
        <w:rPr>
          <w:rFonts w:asciiTheme="minorHAnsi" w:hAnsiTheme="minorHAnsi" w:cstheme="minorHAnsi"/>
          <w:color w:val="auto"/>
        </w:rPr>
        <w:t>, and</w:t>
      </w:r>
      <w:r w:rsidRPr="005B034C">
        <w:rPr>
          <w:rFonts w:asciiTheme="minorHAnsi" w:hAnsiTheme="minorHAnsi" w:cstheme="minorHAnsi"/>
          <w:color w:val="auto"/>
        </w:rPr>
        <w:t xml:space="preserve"> then spin the plate briefly before running it.</w:t>
      </w:r>
    </w:p>
    <w:p w14:paraId="733EA953" w14:textId="77777777" w:rsidR="00350F1E" w:rsidRPr="005B034C" w:rsidRDefault="00350F1E" w:rsidP="006820EA">
      <w:pPr>
        <w:rPr>
          <w:rFonts w:asciiTheme="minorHAnsi" w:hAnsiTheme="minorHAnsi" w:cstheme="minorBidi"/>
          <w:color w:val="auto"/>
        </w:rPr>
      </w:pPr>
    </w:p>
    <w:p w14:paraId="45F2D5E1" w14:textId="7BAB9586" w:rsidR="00350F1E" w:rsidRPr="005B034C" w:rsidRDefault="00350F1E" w:rsidP="006820EA">
      <w:pPr>
        <w:pStyle w:val="ListParagraph"/>
        <w:numPr>
          <w:ilvl w:val="0"/>
          <w:numId w:val="30"/>
        </w:numPr>
        <w:ind w:left="0" w:firstLine="0"/>
        <w:rPr>
          <w:rFonts w:asciiTheme="minorHAnsi" w:hAnsiTheme="minorHAnsi" w:cstheme="minorBidi"/>
          <w:b/>
          <w:bCs/>
          <w:color w:val="auto"/>
          <w:highlight w:val="yellow"/>
        </w:rPr>
      </w:pPr>
      <w:r w:rsidRPr="005B034C">
        <w:rPr>
          <w:rFonts w:asciiTheme="minorHAnsi" w:hAnsiTheme="minorHAnsi" w:cstheme="minorBidi"/>
          <w:b/>
          <w:bCs/>
          <w:color w:val="auto"/>
          <w:highlight w:val="yellow"/>
        </w:rPr>
        <w:t>Agarose gel electrophoresis</w:t>
      </w:r>
    </w:p>
    <w:p w14:paraId="5EBF7B86" w14:textId="77777777" w:rsidR="0059727E" w:rsidRPr="005B034C" w:rsidRDefault="0059727E" w:rsidP="006820EA">
      <w:pPr>
        <w:pStyle w:val="ListParagraph"/>
        <w:ind w:left="0"/>
        <w:rPr>
          <w:rFonts w:asciiTheme="minorHAnsi" w:hAnsiTheme="minorHAnsi" w:cstheme="minorBidi"/>
          <w:b/>
          <w:bCs/>
          <w:color w:val="auto"/>
          <w:highlight w:val="yellow"/>
        </w:rPr>
      </w:pPr>
    </w:p>
    <w:p w14:paraId="1003F4FA" w14:textId="6E18A88F"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 xml:space="preserve">Run qPCR HRM products on a 4% agarose </w:t>
      </w:r>
      <w:r w:rsidR="00275AF3" w:rsidRPr="005B034C">
        <w:rPr>
          <w:rFonts w:asciiTheme="minorHAnsi" w:hAnsiTheme="minorHAnsi" w:cstheme="minorBidi"/>
          <w:color w:val="auto"/>
          <w:highlight w:val="yellow"/>
        </w:rPr>
        <w:t>pre</w:t>
      </w:r>
      <w:r w:rsidR="003237AC" w:rsidRPr="005B034C">
        <w:rPr>
          <w:rFonts w:asciiTheme="minorHAnsi" w:hAnsiTheme="minorHAnsi" w:cstheme="minorBidi"/>
          <w:color w:val="auto"/>
          <w:highlight w:val="yellow"/>
        </w:rPr>
        <w:t>-</w:t>
      </w:r>
      <w:r w:rsidR="00275AF3" w:rsidRPr="005B034C">
        <w:rPr>
          <w:rFonts w:asciiTheme="minorHAnsi" w:hAnsiTheme="minorHAnsi" w:cstheme="minorBidi"/>
          <w:color w:val="auto"/>
          <w:highlight w:val="yellow"/>
        </w:rPr>
        <w:t>cast</w:t>
      </w:r>
      <w:r w:rsidR="001B775D" w:rsidRPr="005B034C">
        <w:rPr>
          <w:rFonts w:asciiTheme="minorHAnsi" w:hAnsiTheme="minorHAnsi" w:cstheme="minorBidi"/>
          <w:color w:val="auto"/>
          <w:highlight w:val="yellow"/>
        </w:rPr>
        <w:t xml:space="preserve"> </w:t>
      </w:r>
      <w:r w:rsidRPr="005B034C">
        <w:rPr>
          <w:rFonts w:asciiTheme="minorHAnsi" w:hAnsiTheme="minorHAnsi" w:cstheme="minorBidi"/>
          <w:color w:val="auto"/>
          <w:highlight w:val="yellow"/>
        </w:rPr>
        <w:t xml:space="preserve">gel </w:t>
      </w:r>
      <w:r w:rsidR="00644CA4" w:rsidRPr="005B034C">
        <w:rPr>
          <w:rFonts w:asciiTheme="minorHAnsi" w:hAnsiTheme="minorHAnsi" w:cstheme="minorBidi"/>
          <w:color w:val="auto"/>
          <w:highlight w:val="yellow"/>
        </w:rPr>
        <w:t xml:space="preserve">containing a fluorescent nucleic acid stain </w:t>
      </w:r>
      <w:r w:rsidRPr="005B034C">
        <w:rPr>
          <w:rFonts w:asciiTheme="minorHAnsi" w:hAnsiTheme="minorHAnsi" w:cstheme="minorBidi"/>
          <w:color w:val="auto"/>
          <w:highlight w:val="yellow"/>
        </w:rPr>
        <w:t xml:space="preserve">using the </w:t>
      </w:r>
      <w:r w:rsidR="00E706E1" w:rsidRPr="005B034C">
        <w:rPr>
          <w:rFonts w:asciiTheme="minorHAnsi" w:hAnsiTheme="minorHAnsi" w:cstheme="minorBidi"/>
          <w:color w:val="auto"/>
          <w:highlight w:val="yellow"/>
        </w:rPr>
        <w:t xml:space="preserve">appropriate </w:t>
      </w:r>
      <w:r w:rsidRPr="005B034C">
        <w:rPr>
          <w:rFonts w:asciiTheme="minorHAnsi" w:hAnsiTheme="minorHAnsi" w:cstheme="minorBidi"/>
          <w:color w:val="auto"/>
          <w:highlight w:val="yellow"/>
        </w:rPr>
        <w:t>gel electrophoresis system</w:t>
      </w:r>
      <w:r w:rsidRPr="005B034C">
        <w:rPr>
          <w:rFonts w:asciiTheme="minorHAnsi" w:hAnsiTheme="minorHAnsi" w:cstheme="minorBidi"/>
          <w:color w:val="auto"/>
        </w:rPr>
        <w:t xml:space="preserve"> (see </w:t>
      </w:r>
      <w:r w:rsidRPr="005B034C">
        <w:rPr>
          <w:rFonts w:asciiTheme="minorHAnsi" w:hAnsiTheme="minorHAnsi" w:cstheme="minorBidi"/>
          <w:b/>
          <w:color w:val="auto"/>
        </w:rPr>
        <w:t>Table of Materials</w:t>
      </w:r>
      <w:r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Figure 5</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Run</w:t>
      </w:r>
      <w:r w:rsidR="001B775D" w:rsidRPr="005B034C">
        <w:rPr>
          <w:rFonts w:asciiTheme="minorHAnsi" w:hAnsiTheme="minorHAnsi" w:cstheme="minorBidi"/>
          <w:color w:val="auto"/>
          <w:highlight w:val="yellow"/>
        </w:rPr>
        <w:t xml:space="preserve"> </w:t>
      </w:r>
      <w:r w:rsidRPr="005B034C">
        <w:rPr>
          <w:rFonts w:asciiTheme="minorHAnsi" w:hAnsiTheme="minorHAnsi" w:cstheme="minorBidi"/>
          <w:color w:val="auto"/>
          <w:highlight w:val="yellow"/>
        </w:rPr>
        <w:t>only one positive, negative, NTC and sample qPCR HRM replicate.</w:t>
      </w:r>
      <w:r w:rsidRPr="005B034C">
        <w:rPr>
          <w:color w:val="auto"/>
        </w:rPr>
        <w:t xml:space="preserve"> </w:t>
      </w:r>
    </w:p>
    <w:p w14:paraId="02D9E54E" w14:textId="77777777" w:rsidR="00350F1E" w:rsidRPr="005B034C" w:rsidRDefault="00350F1E" w:rsidP="006820EA">
      <w:pPr>
        <w:pStyle w:val="ListParagraph"/>
        <w:ind w:left="0"/>
        <w:rPr>
          <w:rFonts w:asciiTheme="minorHAnsi" w:hAnsiTheme="minorHAnsi" w:cstheme="minorBidi"/>
          <w:color w:val="auto"/>
        </w:rPr>
      </w:pPr>
    </w:p>
    <w:p w14:paraId="1FAB3045" w14:textId="529A19FB" w:rsidR="00B35C53" w:rsidRPr="005B034C" w:rsidRDefault="00350F1E" w:rsidP="00023B1E">
      <w:pPr>
        <w:ind w:left="720" w:hanging="720"/>
        <w:rPr>
          <w:color w:val="auto"/>
        </w:rPr>
      </w:pPr>
      <w:r w:rsidRPr="005B034C">
        <w:rPr>
          <w:rFonts w:asciiTheme="minorHAnsi" w:hAnsiTheme="minorHAnsi" w:cstheme="minorBidi"/>
          <w:color w:val="auto"/>
        </w:rPr>
        <w:t>NOTE: Gloves should always be worn when handling gels.</w:t>
      </w:r>
      <w:r w:rsidRPr="005B034C">
        <w:rPr>
          <w:color w:val="auto"/>
        </w:rPr>
        <w:t xml:space="preserve"> </w:t>
      </w:r>
      <w:r w:rsidR="00B35C53" w:rsidRPr="005B034C">
        <w:rPr>
          <w:color w:val="auto"/>
        </w:rPr>
        <w:t xml:space="preserve">Any other gel </w:t>
      </w:r>
      <w:r w:rsidR="00B35C53" w:rsidRPr="005B034C">
        <w:rPr>
          <w:rFonts w:asciiTheme="minorHAnsi" w:hAnsiTheme="minorHAnsi" w:cstheme="minorBidi"/>
          <w:color w:val="auto"/>
        </w:rPr>
        <w:t xml:space="preserve">electrophoresis system </w:t>
      </w:r>
      <w:r w:rsidR="00B35C53" w:rsidRPr="005B034C">
        <w:rPr>
          <w:color w:val="auto"/>
        </w:rPr>
        <w:t xml:space="preserve">can </w:t>
      </w:r>
      <w:r w:rsidR="00687A6D" w:rsidRPr="005B034C">
        <w:rPr>
          <w:color w:val="auto"/>
        </w:rPr>
        <w:t>fulfil</w:t>
      </w:r>
      <w:r w:rsidR="001B775D" w:rsidRPr="005B034C">
        <w:rPr>
          <w:color w:val="auto"/>
        </w:rPr>
        <w:t>l</w:t>
      </w:r>
      <w:r w:rsidR="00687A6D" w:rsidRPr="005B034C">
        <w:rPr>
          <w:color w:val="auto"/>
        </w:rPr>
        <w:t xml:space="preserve"> </w:t>
      </w:r>
      <w:r w:rsidR="00B35C53" w:rsidRPr="005B034C">
        <w:rPr>
          <w:color w:val="auto"/>
        </w:rPr>
        <w:t>th</w:t>
      </w:r>
      <w:r w:rsidR="00687A6D" w:rsidRPr="005B034C">
        <w:rPr>
          <w:color w:val="auto"/>
        </w:rPr>
        <w:t>is</w:t>
      </w:r>
      <w:r w:rsidR="00B35C53" w:rsidRPr="005B034C">
        <w:rPr>
          <w:color w:val="auto"/>
        </w:rPr>
        <w:t xml:space="preserve"> purpose </w:t>
      </w:r>
      <w:r w:rsidR="009F0F92" w:rsidRPr="005B034C">
        <w:rPr>
          <w:color w:val="auto"/>
        </w:rPr>
        <w:t>if</w:t>
      </w:r>
      <w:r w:rsidR="00B35C53" w:rsidRPr="005B034C">
        <w:rPr>
          <w:color w:val="auto"/>
        </w:rPr>
        <w:t xml:space="preserve"> t</w:t>
      </w:r>
      <w:r w:rsidR="00687A6D" w:rsidRPr="005B034C">
        <w:rPr>
          <w:color w:val="auto"/>
        </w:rPr>
        <w:t xml:space="preserve">he equivalent agarose percentage, </w:t>
      </w:r>
      <w:r w:rsidR="00687A6D" w:rsidRPr="005B034C">
        <w:rPr>
          <w:rFonts w:asciiTheme="minorHAnsi" w:hAnsiTheme="minorHAnsi" w:cstheme="minorBidi"/>
          <w:color w:val="auto"/>
        </w:rPr>
        <w:t>fluorescent nucleic acid stain</w:t>
      </w:r>
      <w:r w:rsidR="00687A6D" w:rsidRPr="005B034C">
        <w:rPr>
          <w:color w:val="auto"/>
        </w:rPr>
        <w:t xml:space="preserve"> and well format are chosen.</w:t>
      </w:r>
    </w:p>
    <w:p w14:paraId="2C3822CD" w14:textId="77777777" w:rsidR="0059727E" w:rsidRPr="005B034C" w:rsidRDefault="0059727E" w:rsidP="006820EA">
      <w:pPr>
        <w:pStyle w:val="ListParagraph"/>
        <w:ind w:left="0"/>
        <w:rPr>
          <w:rFonts w:asciiTheme="minorHAnsi" w:hAnsiTheme="minorHAnsi" w:cstheme="minorBidi"/>
          <w:color w:val="auto"/>
          <w:highlight w:val="yellow"/>
        </w:rPr>
      </w:pPr>
    </w:p>
    <w:p w14:paraId="39E4DB8A" w14:textId="5D863B65" w:rsidR="00350F1E" w:rsidRPr="005B034C" w:rsidRDefault="001B775D"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 xml:space="preserve">Run the </w:t>
      </w:r>
      <w:r w:rsidR="00644CA4" w:rsidRPr="005B034C">
        <w:rPr>
          <w:rFonts w:asciiTheme="minorHAnsi" w:hAnsiTheme="minorHAnsi" w:cstheme="minorBidi"/>
          <w:color w:val="auto"/>
          <w:highlight w:val="yellow"/>
        </w:rPr>
        <w:t xml:space="preserve">gel electrophoresis system according to </w:t>
      </w:r>
      <w:r w:rsidRPr="005B034C">
        <w:rPr>
          <w:rFonts w:asciiTheme="minorHAnsi" w:hAnsiTheme="minorHAnsi" w:cstheme="minorBidi"/>
          <w:color w:val="auto"/>
          <w:highlight w:val="yellow"/>
        </w:rPr>
        <w:t>the manufacturer’s</w:t>
      </w:r>
      <w:r w:rsidR="00644CA4" w:rsidRPr="005B034C">
        <w:rPr>
          <w:rFonts w:asciiTheme="minorHAnsi" w:hAnsiTheme="minorHAnsi" w:cstheme="minorBidi"/>
          <w:color w:val="auto"/>
          <w:highlight w:val="yellow"/>
        </w:rPr>
        <w:t xml:space="preserve"> protocol (see </w:t>
      </w:r>
      <w:r w:rsidR="00644CA4" w:rsidRPr="005B034C">
        <w:rPr>
          <w:rFonts w:asciiTheme="minorHAnsi" w:hAnsiTheme="minorHAnsi" w:cstheme="minorBidi"/>
          <w:b/>
          <w:color w:val="auto"/>
          <w:highlight w:val="yellow"/>
        </w:rPr>
        <w:t>Table of Materials</w:t>
      </w:r>
      <w:r w:rsidR="005B034C" w:rsidRPr="005B034C">
        <w:rPr>
          <w:rFonts w:asciiTheme="minorHAnsi" w:hAnsiTheme="minorHAnsi" w:cstheme="minorBidi"/>
          <w:color w:val="auto"/>
        </w:rPr>
        <w:t>)</w:t>
      </w:r>
      <w:r w:rsidRPr="005B034C">
        <w:rPr>
          <w:rFonts w:asciiTheme="minorHAnsi" w:hAnsiTheme="minorHAnsi" w:cstheme="minorBidi"/>
          <w:color w:val="auto"/>
          <w:highlight w:val="yellow"/>
        </w:rPr>
        <w:t xml:space="preserve">. </w:t>
      </w:r>
      <w:r w:rsidR="00350F1E" w:rsidRPr="005B034C">
        <w:rPr>
          <w:rFonts w:asciiTheme="minorHAnsi" w:hAnsiTheme="minorHAnsi" w:cstheme="minorBidi"/>
          <w:color w:val="auto"/>
          <w:highlight w:val="yellow"/>
        </w:rPr>
        <w:t>Remove the pre-cast gel in the cassette from the package, remove the comb and insert it into the apparatus according to the manufacturer's instructions</w:t>
      </w:r>
      <w:r w:rsidR="00275AF3" w:rsidRPr="005B034C">
        <w:rPr>
          <w:rFonts w:asciiTheme="minorHAnsi" w:hAnsiTheme="minorHAnsi" w:cstheme="minorBidi"/>
          <w:color w:val="auto"/>
          <w:highlight w:val="yellow"/>
        </w:rPr>
        <w:t xml:space="preserve"> (see </w:t>
      </w:r>
      <w:r w:rsidR="00275AF3" w:rsidRPr="005B034C">
        <w:rPr>
          <w:rFonts w:asciiTheme="minorHAnsi" w:hAnsiTheme="minorHAnsi" w:cstheme="minorBidi"/>
          <w:b/>
          <w:color w:val="auto"/>
          <w:highlight w:val="yellow"/>
        </w:rPr>
        <w:t>Table of Materials</w:t>
      </w:r>
      <w:r w:rsidR="005B034C" w:rsidRPr="005B034C">
        <w:rPr>
          <w:rFonts w:asciiTheme="minorHAnsi" w:hAnsiTheme="minorHAnsi" w:cstheme="minorBidi"/>
          <w:color w:val="auto"/>
        </w:rPr>
        <w:t>)</w:t>
      </w:r>
      <w:r w:rsidR="00350F1E" w:rsidRPr="005B034C">
        <w:rPr>
          <w:rFonts w:asciiTheme="minorHAnsi" w:hAnsiTheme="minorHAnsi" w:cstheme="minorBidi"/>
          <w:color w:val="auto"/>
          <w:highlight w:val="yellow"/>
        </w:rPr>
        <w:t xml:space="preserve">. </w:t>
      </w:r>
    </w:p>
    <w:p w14:paraId="1BC70AB0" w14:textId="77777777" w:rsidR="00350F1E" w:rsidRPr="005B034C" w:rsidRDefault="00350F1E" w:rsidP="006820EA">
      <w:pPr>
        <w:pStyle w:val="ListParagraph"/>
        <w:ind w:left="0"/>
        <w:rPr>
          <w:rFonts w:asciiTheme="minorHAnsi" w:hAnsiTheme="minorHAnsi" w:cstheme="minorBidi"/>
          <w:color w:val="auto"/>
        </w:rPr>
      </w:pPr>
    </w:p>
    <w:p w14:paraId="7CC6954E" w14:textId="372CAC5E" w:rsidR="00350F1E" w:rsidRPr="005B034C" w:rsidRDefault="00350F1E" w:rsidP="006820EA">
      <w:pPr>
        <w:pStyle w:val="ListParagraph"/>
        <w:ind w:left="0"/>
        <w:rPr>
          <w:rFonts w:asciiTheme="minorHAnsi" w:hAnsiTheme="minorHAnsi" w:cstheme="minorBidi"/>
          <w:color w:val="auto"/>
        </w:rPr>
      </w:pPr>
      <w:r w:rsidRPr="005B034C">
        <w:rPr>
          <w:rFonts w:asciiTheme="minorHAnsi" w:hAnsiTheme="minorHAnsi" w:cstheme="minorBidi"/>
          <w:color w:val="auto"/>
        </w:rPr>
        <w:t>NOTE</w:t>
      </w:r>
      <w:r w:rsidR="001B775D" w:rsidRPr="005B034C">
        <w:rPr>
          <w:rFonts w:asciiTheme="minorHAnsi" w:hAnsiTheme="minorHAnsi" w:cstheme="minorBidi"/>
          <w:color w:val="auto"/>
        </w:rPr>
        <w:t>:</w:t>
      </w:r>
      <w:r w:rsidR="005E6712" w:rsidRPr="005B034C">
        <w:rPr>
          <w:rFonts w:asciiTheme="minorHAnsi" w:hAnsiTheme="minorHAnsi" w:cstheme="minorBidi"/>
          <w:color w:val="auto"/>
        </w:rPr>
        <w:t xml:space="preserve"> </w:t>
      </w:r>
      <w:r w:rsidRPr="005B034C">
        <w:rPr>
          <w:rFonts w:asciiTheme="minorHAnsi" w:hAnsiTheme="minorHAnsi" w:cstheme="minorBidi"/>
          <w:color w:val="auto"/>
        </w:rPr>
        <w:t xml:space="preserve">Load the gel </w:t>
      </w:r>
      <w:r w:rsidR="001B775D" w:rsidRPr="005B034C">
        <w:rPr>
          <w:rFonts w:asciiTheme="minorHAnsi" w:hAnsiTheme="minorHAnsi" w:cstheme="minorBidi"/>
          <w:color w:val="auto"/>
        </w:rPr>
        <w:t>within</w:t>
      </w:r>
      <w:r w:rsidRPr="005B034C">
        <w:rPr>
          <w:rFonts w:asciiTheme="minorHAnsi" w:hAnsiTheme="minorHAnsi" w:cstheme="minorBidi"/>
          <w:color w:val="auto"/>
        </w:rPr>
        <w:t xml:space="preserve"> 15 minutes </w:t>
      </w:r>
      <w:r w:rsidR="001B775D" w:rsidRPr="005B034C">
        <w:rPr>
          <w:rFonts w:asciiTheme="minorHAnsi" w:hAnsiTheme="minorHAnsi" w:cstheme="minorBidi"/>
          <w:color w:val="auto"/>
        </w:rPr>
        <w:t>of</w:t>
      </w:r>
      <w:r w:rsidRPr="005B034C">
        <w:rPr>
          <w:rFonts w:asciiTheme="minorHAnsi" w:hAnsiTheme="minorHAnsi" w:cstheme="minorBidi"/>
          <w:color w:val="auto"/>
        </w:rPr>
        <w:t xml:space="preserve"> opening the package.</w:t>
      </w:r>
    </w:p>
    <w:p w14:paraId="5CB24677" w14:textId="77777777" w:rsidR="00350F1E" w:rsidRPr="005B034C" w:rsidRDefault="00350F1E" w:rsidP="006820EA">
      <w:pPr>
        <w:pStyle w:val="ListParagraph"/>
        <w:ind w:left="0"/>
        <w:rPr>
          <w:rFonts w:asciiTheme="minorHAnsi" w:hAnsiTheme="minorHAnsi" w:cstheme="minorBidi"/>
          <w:color w:val="auto"/>
        </w:rPr>
      </w:pPr>
    </w:p>
    <w:p w14:paraId="27007D3C" w14:textId="7D44DFE6" w:rsidR="00350F1E"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 xml:space="preserve">Dilute </w:t>
      </w:r>
      <w:r w:rsidR="001B775D" w:rsidRPr="005B034C">
        <w:rPr>
          <w:rFonts w:asciiTheme="minorHAnsi" w:hAnsiTheme="minorHAnsi" w:cstheme="minorBidi"/>
          <w:color w:val="auto"/>
          <w:highlight w:val="yellow"/>
        </w:rPr>
        <w:t xml:space="preserve">a </w:t>
      </w:r>
      <w:r w:rsidRPr="005B034C">
        <w:rPr>
          <w:rFonts w:asciiTheme="minorHAnsi" w:hAnsiTheme="minorHAnsi" w:cstheme="minorBidi"/>
          <w:color w:val="auto"/>
          <w:highlight w:val="yellow"/>
        </w:rPr>
        <w:t xml:space="preserve">10 </w:t>
      </w:r>
      <w:r w:rsidRPr="005B034C">
        <w:rPr>
          <w:rFonts w:asciiTheme="minorHAnsi" w:hAnsiTheme="minorHAnsi" w:cstheme="minorBidi"/>
          <w:color w:val="auto"/>
          <w:highlight w:val="yellow"/>
        </w:rPr>
        <w:sym w:font="Symbol" w:char="F06D"/>
      </w:r>
      <w:r w:rsidRPr="005B034C">
        <w:rPr>
          <w:rFonts w:asciiTheme="minorHAnsi" w:hAnsiTheme="minorHAnsi" w:cstheme="minorBidi"/>
          <w:color w:val="auto"/>
          <w:highlight w:val="yellow"/>
        </w:rPr>
        <w:t xml:space="preserve">L sample to 20 </w:t>
      </w:r>
      <w:r w:rsidRPr="005B034C">
        <w:rPr>
          <w:rFonts w:asciiTheme="minorHAnsi" w:hAnsiTheme="minorHAnsi" w:cstheme="minorBidi"/>
          <w:color w:val="auto"/>
          <w:highlight w:val="yellow"/>
        </w:rPr>
        <w:sym w:font="Symbol" w:char="F06D"/>
      </w:r>
      <w:r w:rsidRPr="005B034C">
        <w:rPr>
          <w:rFonts w:asciiTheme="minorHAnsi" w:hAnsiTheme="minorHAnsi" w:cstheme="minorBidi"/>
          <w:color w:val="auto"/>
          <w:highlight w:val="yellow"/>
        </w:rPr>
        <w:t>L with sterile, RNase and DNase free H</w:t>
      </w:r>
      <w:r w:rsidRPr="005B034C">
        <w:rPr>
          <w:rFonts w:asciiTheme="minorHAnsi" w:hAnsiTheme="minorHAnsi" w:cstheme="minorBidi"/>
          <w:color w:val="auto"/>
          <w:highlight w:val="yellow"/>
          <w:vertAlign w:val="subscript"/>
        </w:rPr>
        <w:t>2</w:t>
      </w:r>
      <w:r w:rsidRPr="005B034C">
        <w:rPr>
          <w:rFonts w:asciiTheme="minorHAnsi" w:hAnsiTheme="minorHAnsi" w:cstheme="minorBidi"/>
          <w:color w:val="auto"/>
          <w:highlight w:val="yellow"/>
        </w:rPr>
        <w:t>O.</w:t>
      </w:r>
      <w:r w:rsidR="001B775D" w:rsidRPr="005B034C">
        <w:rPr>
          <w:rFonts w:asciiTheme="minorHAnsi" w:hAnsiTheme="minorHAnsi" w:cstheme="minorBidi"/>
          <w:color w:val="auto"/>
          <w:highlight w:val="yellow"/>
        </w:rPr>
        <w:t xml:space="preserve"> </w:t>
      </w:r>
      <w:r w:rsidRPr="005B034C">
        <w:rPr>
          <w:rFonts w:asciiTheme="minorHAnsi" w:hAnsiTheme="minorHAnsi" w:cstheme="minorBidi"/>
          <w:color w:val="auto"/>
          <w:highlight w:val="yellow"/>
        </w:rPr>
        <w:t xml:space="preserve">Load each well with 20 </w:t>
      </w:r>
      <w:r w:rsidRPr="005B034C">
        <w:rPr>
          <w:rFonts w:asciiTheme="minorHAnsi" w:hAnsiTheme="minorHAnsi" w:cstheme="minorBidi"/>
          <w:color w:val="auto"/>
          <w:highlight w:val="yellow"/>
        </w:rPr>
        <w:sym w:font="Symbol" w:char="F06D"/>
      </w:r>
      <w:r w:rsidRPr="005B034C">
        <w:rPr>
          <w:rFonts w:asciiTheme="minorHAnsi" w:hAnsiTheme="minorHAnsi" w:cstheme="minorBidi"/>
          <w:color w:val="auto"/>
          <w:highlight w:val="yellow"/>
        </w:rPr>
        <w:t>L of diluted sample.</w:t>
      </w:r>
    </w:p>
    <w:p w14:paraId="7D6ED1A3" w14:textId="77777777" w:rsidR="0059727E" w:rsidRPr="005B034C" w:rsidRDefault="0059727E" w:rsidP="006820EA">
      <w:pPr>
        <w:pStyle w:val="ListParagraph"/>
        <w:ind w:left="0"/>
        <w:rPr>
          <w:rFonts w:asciiTheme="minorHAnsi" w:hAnsiTheme="minorHAnsi" w:cstheme="minorBidi"/>
          <w:color w:val="auto"/>
          <w:highlight w:val="yellow"/>
        </w:rPr>
      </w:pPr>
    </w:p>
    <w:p w14:paraId="69B0182D" w14:textId="656DA67D"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 xml:space="preserve">Dilute 3 </w:t>
      </w:r>
      <w:r w:rsidRPr="005B034C">
        <w:rPr>
          <w:rFonts w:asciiTheme="minorHAnsi" w:hAnsiTheme="minorHAnsi" w:cstheme="minorBidi"/>
          <w:color w:val="auto"/>
          <w:highlight w:val="yellow"/>
        </w:rPr>
        <w:sym w:font="Symbol" w:char="F06D"/>
      </w:r>
      <w:r w:rsidRPr="005B034C">
        <w:rPr>
          <w:rFonts w:asciiTheme="minorHAnsi" w:hAnsiTheme="minorHAnsi" w:cstheme="minorBidi"/>
          <w:color w:val="auto"/>
          <w:highlight w:val="yellow"/>
        </w:rPr>
        <w:t xml:space="preserve">L </w:t>
      </w:r>
      <w:r w:rsidR="001B775D" w:rsidRPr="005B034C">
        <w:rPr>
          <w:rFonts w:asciiTheme="minorHAnsi" w:hAnsiTheme="minorHAnsi" w:cstheme="minorBidi"/>
          <w:color w:val="auto"/>
          <w:highlight w:val="yellow"/>
        </w:rPr>
        <w:t xml:space="preserve">of </w:t>
      </w:r>
      <w:r w:rsidRPr="005B034C">
        <w:rPr>
          <w:rFonts w:asciiTheme="minorHAnsi" w:hAnsiTheme="minorHAnsi" w:cstheme="minorBidi"/>
          <w:color w:val="auto"/>
          <w:highlight w:val="yellow"/>
        </w:rPr>
        <w:t xml:space="preserve">DNA size standard solution to 20 </w:t>
      </w:r>
      <w:r w:rsidRPr="005B034C">
        <w:rPr>
          <w:rFonts w:asciiTheme="minorHAnsi" w:hAnsiTheme="minorHAnsi" w:cstheme="minorBidi"/>
          <w:color w:val="auto"/>
          <w:highlight w:val="yellow"/>
        </w:rPr>
        <w:sym w:font="Symbol" w:char="F06D"/>
      </w:r>
      <w:r w:rsidRPr="005B034C">
        <w:rPr>
          <w:rFonts w:asciiTheme="minorHAnsi" w:hAnsiTheme="minorHAnsi" w:cstheme="minorBidi"/>
          <w:color w:val="auto"/>
          <w:highlight w:val="yellow"/>
        </w:rPr>
        <w:t>L with sterile, RNase and DNase free H</w:t>
      </w:r>
      <w:r w:rsidRPr="005B034C">
        <w:rPr>
          <w:rFonts w:asciiTheme="minorHAnsi" w:hAnsiTheme="minorHAnsi" w:cstheme="minorBidi"/>
          <w:color w:val="auto"/>
          <w:highlight w:val="yellow"/>
          <w:vertAlign w:val="subscript"/>
        </w:rPr>
        <w:t>2</w:t>
      </w:r>
      <w:r w:rsidRPr="005B034C">
        <w:rPr>
          <w:rFonts w:asciiTheme="minorHAnsi" w:hAnsiTheme="minorHAnsi" w:cstheme="minorBidi"/>
          <w:color w:val="auto"/>
          <w:highlight w:val="yellow"/>
        </w:rPr>
        <w:t>O</w:t>
      </w:r>
      <w:r w:rsidRPr="005B034C">
        <w:rPr>
          <w:rFonts w:asciiTheme="minorHAnsi" w:hAnsiTheme="minorHAnsi" w:cstheme="minorBidi"/>
          <w:color w:val="auto"/>
        </w:rPr>
        <w:t xml:space="preserve"> (see </w:t>
      </w:r>
      <w:r w:rsidRPr="005B034C">
        <w:rPr>
          <w:rFonts w:asciiTheme="minorHAnsi" w:hAnsiTheme="minorHAnsi" w:cstheme="minorBidi"/>
          <w:b/>
          <w:bCs/>
          <w:color w:val="auto"/>
        </w:rPr>
        <w:t>Table of Materials</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r w:rsidR="001B775D" w:rsidRPr="005B034C">
        <w:rPr>
          <w:rFonts w:asciiTheme="minorHAnsi" w:hAnsiTheme="minorHAnsi" w:cstheme="minorBidi"/>
          <w:color w:val="auto"/>
        </w:rPr>
        <w:t xml:space="preserve"> </w:t>
      </w:r>
      <w:r w:rsidRPr="005B034C">
        <w:rPr>
          <w:rFonts w:asciiTheme="minorHAnsi" w:hAnsiTheme="minorHAnsi" w:cstheme="minorBidi"/>
          <w:color w:val="auto"/>
          <w:highlight w:val="yellow"/>
        </w:rPr>
        <w:t xml:space="preserve">Load the M well with 20 µL </w:t>
      </w:r>
      <w:r w:rsidR="001B775D" w:rsidRPr="005B034C">
        <w:rPr>
          <w:rFonts w:asciiTheme="minorHAnsi" w:hAnsiTheme="minorHAnsi" w:cstheme="minorBidi"/>
          <w:color w:val="auto"/>
          <w:highlight w:val="yellow"/>
        </w:rPr>
        <w:t xml:space="preserve">of </w:t>
      </w:r>
      <w:r w:rsidRPr="005B034C">
        <w:rPr>
          <w:rFonts w:asciiTheme="minorHAnsi" w:hAnsiTheme="minorHAnsi" w:cstheme="minorBidi"/>
          <w:color w:val="auto"/>
          <w:highlight w:val="yellow"/>
        </w:rPr>
        <w:t>diluted DNA size standard solution</w:t>
      </w:r>
      <w:r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Figure 6</w:t>
      </w:r>
      <w:r w:rsidR="005B034C" w:rsidRPr="005B034C">
        <w:rPr>
          <w:rFonts w:asciiTheme="minorHAnsi" w:hAnsiTheme="minorHAnsi" w:cstheme="minorBidi"/>
          <w:color w:val="auto"/>
        </w:rPr>
        <w:t>)</w:t>
      </w:r>
      <w:r w:rsidRPr="005B034C">
        <w:rPr>
          <w:rFonts w:asciiTheme="minorHAnsi" w:hAnsiTheme="minorHAnsi" w:cstheme="minorBidi"/>
          <w:color w:val="auto"/>
        </w:rPr>
        <w:t>.</w:t>
      </w:r>
    </w:p>
    <w:p w14:paraId="239C664B" w14:textId="77777777" w:rsidR="00350F1E" w:rsidRPr="005B034C" w:rsidRDefault="00350F1E" w:rsidP="006820EA">
      <w:pPr>
        <w:pStyle w:val="ListParagraph"/>
        <w:ind w:left="0"/>
        <w:rPr>
          <w:rFonts w:asciiTheme="minorHAnsi" w:hAnsiTheme="minorHAnsi" w:cstheme="minorBidi"/>
          <w:color w:val="auto"/>
        </w:rPr>
      </w:pPr>
    </w:p>
    <w:p w14:paraId="4B60B85A" w14:textId="4314D6A9" w:rsidR="00350F1E"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lastRenderedPageBreak/>
        <w:t>Fill any empty wells with 20 µL</w:t>
      </w:r>
      <w:r w:rsidR="00023B1E">
        <w:rPr>
          <w:rFonts w:asciiTheme="minorHAnsi" w:hAnsiTheme="minorHAnsi" w:cstheme="minorBidi"/>
          <w:color w:val="auto"/>
          <w:highlight w:val="yellow"/>
        </w:rPr>
        <w:t xml:space="preserve"> of</w:t>
      </w:r>
      <w:r w:rsidRPr="005B034C">
        <w:rPr>
          <w:rFonts w:asciiTheme="minorHAnsi" w:hAnsiTheme="minorHAnsi" w:cstheme="minorBidi"/>
          <w:color w:val="auto"/>
          <w:highlight w:val="yellow"/>
        </w:rPr>
        <w:t xml:space="preserve"> sterile, RNase and DNase free H</w:t>
      </w:r>
      <w:r w:rsidRPr="005B034C">
        <w:rPr>
          <w:rFonts w:asciiTheme="minorHAnsi" w:hAnsiTheme="minorHAnsi" w:cstheme="minorBidi"/>
          <w:color w:val="auto"/>
          <w:highlight w:val="yellow"/>
          <w:vertAlign w:val="subscript"/>
        </w:rPr>
        <w:t>2</w:t>
      </w:r>
      <w:r w:rsidRPr="005B034C">
        <w:rPr>
          <w:rFonts w:asciiTheme="minorHAnsi" w:hAnsiTheme="minorHAnsi" w:cstheme="minorBidi"/>
          <w:color w:val="auto"/>
          <w:highlight w:val="yellow"/>
        </w:rPr>
        <w:t>O.</w:t>
      </w:r>
    </w:p>
    <w:p w14:paraId="0F85734D" w14:textId="77777777" w:rsidR="0059727E" w:rsidRPr="005B034C" w:rsidRDefault="0059727E" w:rsidP="006820EA">
      <w:pPr>
        <w:pStyle w:val="ListParagraph"/>
        <w:ind w:left="0"/>
        <w:rPr>
          <w:rFonts w:asciiTheme="minorHAnsi" w:hAnsiTheme="minorHAnsi" w:cstheme="minorBidi"/>
          <w:color w:val="auto"/>
          <w:highlight w:val="yellow"/>
        </w:rPr>
      </w:pPr>
    </w:p>
    <w:p w14:paraId="3E6C8AD8" w14:textId="2840C286" w:rsidR="00350F1E" w:rsidRPr="005B034C" w:rsidRDefault="00350F1E" w:rsidP="006820EA">
      <w:pPr>
        <w:pStyle w:val="ListParagraph"/>
        <w:numPr>
          <w:ilvl w:val="1"/>
          <w:numId w:val="30"/>
        </w:numPr>
        <w:rPr>
          <w:rFonts w:asciiTheme="minorHAnsi" w:hAnsiTheme="minorHAnsi" w:cstheme="minorBidi"/>
          <w:color w:val="auto"/>
          <w:highlight w:val="yellow"/>
        </w:rPr>
      </w:pPr>
      <w:r w:rsidRPr="005B034C">
        <w:rPr>
          <w:rFonts w:asciiTheme="minorHAnsi" w:hAnsiTheme="minorHAnsi" w:cstheme="minorBidi"/>
          <w:color w:val="auto"/>
          <w:highlight w:val="yellow"/>
        </w:rPr>
        <w:t>Immediately</w:t>
      </w:r>
      <w:r w:rsidRPr="005B034C">
        <w:rPr>
          <w:color w:val="auto"/>
          <w:highlight w:val="yellow"/>
        </w:rPr>
        <w:t xml:space="preserve"> </w:t>
      </w:r>
      <w:r w:rsidRPr="005B034C">
        <w:rPr>
          <w:rFonts w:asciiTheme="minorHAnsi" w:hAnsiTheme="minorHAnsi" w:cstheme="minorBidi"/>
          <w:color w:val="auto"/>
          <w:highlight w:val="yellow"/>
        </w:rPr>
        <w:t>select the program according to the percentage of the gel being run and set the run time on the apparatus to 10 minutes.</w:t>
      </w:r>
    </w:p>
    <w:p w14:paraId="4991D5A9" w14:textId="77777777" w:rsidR="00350F1E" w:rsidRPr="005B034C" w:rsidRDefault="00350F1E" w:rsidP="006820EA">
      <w:pPr>
        <w:rPr>
          <w:rFonts w:asciiTheme="minorHAnsi" w:hAnsiTheme="minorHAnsi" w:cstheme="minorBidi"/>
          <w:color w:val="auto"/>
        </w:rPr>
      </w:pPr>
    </w:p>
    <w:p w14:paraId="40144AEA" w14:textId="6D3570C1" w:rsidR="00034788"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 xml:space="preserve">Start the electrophoresis within 1 min of loading sample by pressing the </w:t>
      </w:r>
      <w:r w:rsidRPr="005B034C">
        <w:rPr>
          <w:rFonts w:asciiTheme="minorHAnsi" w:hAnsiTheme="minorHAnsi" w:cstheme="minorBidi"/>
          <w:b/>
          <w:bCs/>
          <w:color w:val="auto"/>
          <w:highlight w:val="yellow"/>
        </w:rPr>
        <w:t>GO</w:t>
      </w:r>
      <w:r w:rsidRPr="005B034C">
        <w:rPr>
          <w:rFonts w:asciiTheme="minorHAnsi" w:hAnsiTheme="minorHAnsi" w:cstheme="minorBidi"/>
          <w:color w:val="auto"/>
          <w:highlight w:val="yellow"/>
        </w:rPr>
        <w:t xml:space="preserve"> button.</w:t>
      </w:r>
      <w:r w:rsidR="00875B24" w:rsidRPr="005B034C">
        <w:rPr>
          <w:color w:val="auto"/>
          <w:highlight w:val="yellow"/>
        </w:rPr>
        <w:t xml:space="preserve"> </w:t>
      </w:r>
      <w:r w:rsidR="00034788" w:rsidRPr="005B034C">
        <w:rPr>
          <w:rFonts w:asciiTheme="minorHAnsi" w:hAnsiTheme="minorHAnsi" w:cstheme="minorBidi"/>
          <w:color w:val="auto"/>
        </w:rPr>
        <w:t>The electrophoresis time can be extended if insufficient resolution is obtained.</w:t>
      </w:r>
    </w:p>
    <w:p w14:paraId="70894F68" w14:textId="77777777" w:rsidR="00350F1E" w:rsidRPr="005B034C" w:rsidRDefault="00350F1E" w:rsidP="006820EA">
      <w:pPr>
        <w:pStyle w:val="ListParagraph"/>
        <w:ind w:left="0"/>
        <w:rPr>
          <w:rFonts w:asciiTheme="minorHAnsi" w:hAnsiTheme="minorHAnsi" w:cstheme="minorBidi"/>
          <w:color w:val="auto"/>
        </w:rPr>
      </w:pPr>
    </w:p>
    <w:p w14:paraId="5EB84ED4" w14:textId="5362A791" w:rsidR="00350F1E" w:rsidRPr="005B034C" w:rsidRDefault="00350F1E" w:rsidP="006820EA">
      <w:pPr>
        <w:pStyle w:val="ListParagraph"/>
        <w:ind w:left="0"/>
        <w:rPr>
          <w:rFonts w:asciiTheme="minorHAnsi" w:hAnsiTheme="minorHAnsi" w:cstheme="minorBidi"/>
          <w:color w:val="auto"/>
        </w:rPr>
      </w:pPr>
      <w:r w:rsidRPr="005B034C">
        <w:rPr>
          <w:rFonts w:asciiTheme="minorHAnsi" w:hAnsiTheme="minorHAnsi" w:cstheme="minorBidi"/>
          <w:color w:val="auto"/>
        </w:rPr>
        <w:t>NOTE:</w:t>
      </w:r>
      <w:r w:rsidRPr="005B034C">
        <w:rPr>
          <w:color w:val="auto"/>
        </w:rPr>
        <w:t xml:space="preserve"> </w:t>
      </w:r>
      <w:r w:rsidRPr="005B034C">
        <w:rPr>
          <w:rFonts w:asciiTheme="minorHAnsi" w:hAnsiTheme="minorHAnsi" w:cstheme="minorBidi"/>
          <w:color w:val="auto"/>
        </w:rPr>
        <w:t xml:space="preserve">Do not </w:t>
      </w:r>
      <w:r w:rsidR="003237AC" w:rsidRPr="005B034C">
        <w:rPr>
          <w:rFonts w:asciiTheme="minorHAnsi" w:hAnsiTheme="minorHAnsi" w:cstheme="minorBidi"/>
          <w:color w:val="auto"/>
        </w:rPr>
        <w:t>exceed the maximum recommended agarose electrophoresis running time according to</w:t>
      </w:r>
      <w:r w:rsidR="00A77666" w:rsidRPr="005B034C">
        <w:rPr>
          <w:rFonts w:asciiTheme="minorHAnsi" w:hAnsiTheme="minorHAnsi" w:cstheme="minorBidi"/>
          <w:color w:val="auto"/>
        </w:rPr>
        <w:t xml:space="preserve"> </w:t>
      </w:r>
      <w:r w:rsidR="003237AC" w:rsidRPr="005B034C">
        <w:rPr>
          <w:rFonts w:asciiTheme="minorHAnsi" w:hAnsiTheme="minorHAnsi" w:cstheme="minorBidi"/>
          <w:color w:val="auto"/>
        </w:rPr>
        <w:t>manufacturer</w:t>
      </w:r>
      <w:r w:rsidR="003237AC" w:rsidRPr="005B034C">
        <w:rPr>
          <w:rFonts w:asciiTheme="minorHAnsi" w:hAnsiTheme="minorHAnsi" w:cstheme="minorBidi"/>
          <w:color w:val="auto"/>
        </w:rPr>
        <w:sym w:font="Symbol" w:char="F0A2"/>
      </w:r>
      <w:r w:rsidR="003237AC" w:rsidRPr="005B034C">
        <w:rPr>
          <w:rFonts w:asciiTheme="minorHAnsi" w:hAnsiTheme="minorHAnsi" w:cstheme="minorBidi"/>
          <w:color w:val="auto"/>
        </w:rPr>
        <w:t>s instructions</w:t>
      </w:r>
      <w:r w:rsidRPr="005B034C">
        <w:rPr>
          <w:rFonts w:asciiTheme="minorHAnsi" w:hAnsiTheme="minorHAnsi" w:cstheme="minorBidi"/>
          <w:color w:val="auto"/>
        </w:rPr>
        <w:t xml:space="preserve">. </w:t>
      </w:r>
    </w:p>
    <w:p w14:paraId="5FB4F334" w14:textId="77777777" w:rsidR="00350F1E" w:rsidRPr="005B034C" w:rsidRDefault="00350F1E" w:rsidP="006820EA">
      <w:pPr>
        <w:pStyle w:val="ListParagraph"/>
        <w:ind w:left="0"/>
        <w:rPr>
          <w:rFonts w:asciiTheme="minorHAnsi" w:hAnsiTheme="minorHAnsi" w:cstheme="minorBidi"/>
          <w:color w:val="auto"/>
        </w:rPr>
      </w:pPr>
    </w:p>
    <w:p w14:paraId="3D90D5B2" w14:textId="631781CA" w:rsidR="00A77666"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highlight w:val="yellow"/>
        </w:rPr>
        <w:t>When the electrophoresis is completed</w:t>
      </w:r>
      <w:r w:rsidR="00023B1E">
        <w:rPr>
          <w:rFonts w:asciiTheme="minorHAnsi" w:hAnsiTheme="minorHAnsi" w:cstheme="minorBidi"/>
          <w:color w:val="auto"/>
          <w:highlight w:val="yellow"/>
        </w:rPr>
        <w:t>,</w:t>
      </w:r>
      <w:r w:rsidRPr="005B034C">
        <w:rPr>
          <w:rFonts w:asciiTheme="minorHAnsi" w:hAnsiTheme="minorHAnsi" w:cstheme="minorBidi"/>
          <w:color w:val="auto"/>
          <w:highlight w:val="yellow"/>
        </w:rPr>
        <w:t xml:space="preserve"> </w:t>
      </w:r>
      <w:r w:rsidR="00A77666" w:rsidRPr="005B034C">
        <w:rPr>
          <w:rFonts w:asciiTheme="minorHAnsi" w:hAnsiTheme="minorHAnsi" w:cstheme="minorBidi"/>
          <w:color w:val="auto"/>
          <w:highlight w:val="yellow"/>
        </w:rPr>
        <w:t xml:space="preserve">visualize DNA in the gel using a blue light or UV transillumination. </w:t>
      </w:r>
      <w:bookmarkEnd w:id="1"/>
      <w:r w:rsidR="00A77666" w:rsidRPr="005B034C">
        <w:rPr>
          <w:rFonts w:asciiTheme="minorHAnsi" w:hAnsiTheme="minorHAnsi" w:cstheme="minorBidi"/>
          <w:color w:val="auto"/>
        </w:rPr>
        <w:t xml:space="preserve">Visualizing, </w:t>
      </w:r>
      <w:r w:rsidR="009F0F92" w:rsidRPr="005B034C">
        <w:rPr>
          <w:rFonts w:asciiTheme="minorHAnsi" w:hAnsiTheme="minorHAnsi" w:cstheme="minorBidi"/>
          <w:color w:val="auto"/>
        </w:rPr>
        <w:t>analyzing,</w:t>
      </w:r>
      <w:r w:rsidR="00A77666" w:rsidRPr="005B034C">
        <w:rPr>
          <w:rFonts w:asciiTheme="minorHAnsi" w:hAnsiTheme="minorHAnsi" w:cstheme="minorBidi"/>
          <w:color w:val="auto"/>
        </w:rPr>
        <w:t xml:space="preserve"> and storing the electrophoresis images are mostly done by a gel imager with photo-documentation system (</w:t>
      </w:r>
      <w:r w:rsidR="00450274" w:rsidRPr="005B034C">
        <w:rPr>
          <w:rFonts w:asciiTheme="minorHAnsi" w:hAnsiTheme="minorHAnsi" w:cstheme="minorBidi"/>
          <w:b/>
          <w:bCs/>
          <w:color w:val="auto"/>
        </w:rPr>
        <w:t>Figure 5</w:t>
      </w:r>
      <w:r w:rsidR="005B034C" w:rsidRPr="005B034C">
        <w:rPr>
          <w:rFonts w:asciiTheme="minorHAnsi" w:hAnsiTheme="minorHAnsi" w:cstheme="minorBidi"/>
          <w:color w:val="auto"/>
        </w:rPr>
        <w:t>)</w:t>
      </w:r>
      <w:r w:rsidR="00A77666" w:rsidRPr="005B034C">
        <w:rPr>
          <w:rFonts w:asciiTheme="minorHAnsi" w:hAnsiTheme="minorHAnsi" w:cstheme="minorBidi"/>
          <w:color w:val="auto"/>
        </w:rPr>
        <w:t>.</w:t>
      </w:r>
    </w:p>
    <w:p w14:paraId="0C75D5C8" w14:textId="77777777" w:rsidR="0059727E" w:rsidRPr="005B034C" w:rsidRDefault="0059727E" w:rsidP="006820EA">
      <w:pPr>
        <w:pStyle w:val="ListParagraph"/>
        <w:ind w:left="0"/>
        <w:rPr>
          <w:rFonts w:asciiTheme="minorHAnsi" w:hAnsiTheme="minorHAnsi" w:cstheme="minorBidi"/>
          <w:color w:val="auto"/>
        </w:rPr>
      </w:pPr>
    </w:p>
    <w:p w14:paraId="5FF3376A" w14:textId="46AE436D"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rPr>
        <w:t>Analyze and interpret the visualized qPCR HRM products gel pattern by comparing the results of the unknown sample to positive controls (</w:t>
      </w:r>
      <w:r w:rsidR="00450274" w:rsidRPr="005B034C">
        <w:rPr>
          <w:rFonts w:asciiTheme="minorHAnsi" w:hAnsiTheme="minorHAnsi" w:cstheme="minorBidi"/>
          <w:b/>
          <w:bCs/>
          <w:color w:val="auto"/>
        </w:rPr>
        <w:t>Figure 7</w:t>
      </w:r>
      <w:r w:rsidR="00325DD4" w:rsidRPr="005B034C">
        <w:rPr>
          <w:rFonts w:asciiTheme="minorHAnsi" w:hAnsiTheme="minorHAnsi" w:cstheme="minorBidi"/>
          <w:color w:val="auto"/>
        </w:rPr>
        <w:t xml:space="preserve"> and </w:t>
      </w:r>
      <w:r w:rsidR="001B775D" w:rsidRPr="005B034C">
        <w:rPr>
          <w:rFonts w:asciiTheme="minorHAnsi" w:hAnsiTheme="minorHAnsi" w:cstheme="minorBidi"/>
          <w:b/>
          <w:bCs/>
          <w:color w:val="auto"/>
        </w:rPr>
        <w:t>Figure</w:t>
      </w:r>
      <w:r w:rsidR="001B775D" w:rsidRPr="005B034C">
        <w:rPr>
          <w:rFonts w:asciiTheme="minorHAnsi" w:hAnsiTheme="minorHAnsi" w:cstheme="minorBidi"/>
          <w:color w:val="auto"/>
        </w:rPr>
        <w:t xml:space="preserve"> </w:t>
      </w:r>
      <w:r w:rsidR="00450274" w:rsidRPr="005B034C">
        <w:rPr>
          <w:rFonts w:asciiTheme="minorHAnsi" w:hAnsiTheme="minorHAnsi" w:cstheme="minorBidi"/>
          <w:b/>
          <w:bCs/>
          <w:color w:val="auto"/>
        </w:rPr>
        <w:t>8</w:t>
      </w:r>
      <w:r w:rsidR="005B034C" w:rsidRPr="005B034C">
        <w:rPr>
          <w:rFonts w:asciiTheme="minorHAnsi" w:hAnsiTheme="minorHAnsi" w:cstheme="minorBidi"/>
          <w:color w:val="auto"/>
        </w:rPr>
        <w:t>)</w:t>
      </w:r>
      <w:r w:rsidRPr="005B034C">
        <w:rPr>
          <w:rFonts w:asciiTheme="minorHAnsi" w:hAnsiTheme="minorHAnsi" w:cstheme="minorBidi"/>
          <w:color w:val="auto"/>
        </w:rPr>
        <w:t xml:space="preserve">. </w:t>
      </w:r>
    </w:p>
    <w:p w14:paraId="0E6061D0" w14:textId="77777777" w:rsidR="0059727E" w:rsidRPr="005B034C" w:rsidRDefault="0059727E" w:rsidP="006820EA">
      <w:pPr>
        <w:pStyle w:val="ListParagraph"/>
        <w:ind w:left="0"/>
        <w:rPr>
          <w:rFonts w:asciiTheme="minorHAnsi" w:hAnsiTheme="minorHAnsi" w:cstheme="minorBidi"/>
          <w:color w:val="auto"/>
        </w:rPr>
      </w:pPr>
    </w:p>
    <w:p w14:paraId="10A1D060" w14:textId="7140B906" w:rsidR="00350F1E" w:rsidRPr="005B034C" w:rsidRDefault="00350F1E" w:rsidP="006820EA">
      <w:pPr>
        <w:pStyle w:val="ListParagraph"/>
        <w:numPr>
          <w:ilvl w:val="1"/>
          <w:numId w:val="30"/>
        </w:numPr>
        <w:rPr>
          <w:rFonts w:asciiTheme="minorHAnsi" w:hAnsiTheme="minorHAnsi" w:cstheme="minorBidi"/>
          <w:color w:val="auto"/>
        </w:rPr>
      </w:pPr>
      <w:r w:rsidRPr="005B034C">
        <w:rPr>
          <w:rFonts w:asciiTheme="minorHAnsi" w:hAnsiTheme="minorHAnsi" w:cstheme="minorBidi"/>
          <w:color w:val="auto"/>
        </w:rPr>
        <w:t xml:space="preserve">If the unknown sample HRM and gel electrophoresis results indicates </w:t>
      </w:r>
      <w:r w:rsidR="00023B1E">
        <w:rPr>
          <w:rFonts w:asciiTheme="minorHAnsi" w:hAnsiTheme="minorHAnsi" w:cstheme="minorBidi"/>
          <w:color w:val="auto"/>
        </w:rPr>
        <w:t xml:space="preserve">that </w:t>
      </w:r>
      <w:r w:rsidRPr="005B034C">
        <w:rPr>
          <w:rFonts w:asciiTheme="minorHAnsi" w:hAnsiTheme="minorHAnsi" w:cstheme="minorBidi"/>
          <w:color w:val="auto"/>
        </w:rPr>
        <w:t xml:space="preserve">an unknown genetic variant is present, sequence the qPCR HRM product using primers described in </w:t>
      </w:r>
      <w:r w:rsidR="007E397B" w:rsidRPr="005B034C">
        <w:rPr>
          <w:rFonts w:asciiTheme="minorHAnsi" w:hAnsiTheme="minorHAnsi" w:cstheme="minorBidi"/>
          <w:b/>
          <w:bCs/>
          <w:color w:val="auto"/>
        </w:rPr>
        <w:t>Table of Materials</w:t>
      </w:r>
      <w:r w:rsidRPr="005B034C">
        <w:rPr>
          <w:rFonts w:asciiTheme="minorHAnsi" w:hAnsiTheme="minorHAnsi" w:cstheme="minorBidi"/>
          <w:color w:val="auto"/>
        </w:rPr>
        <w:t xml:space="preserve"> according to the protocol described</w:t>
      </w:r>
      <w:r w:rsidR="00A34E38" w:rsidRPr="005B034C">
        <w:rPr>
          <w:rStyle w:val="FootnoteReference"/>
          <w:rFonts w:asciiTheme="minorHAnsi" w:hAnsiTheme="minorHAnsi" w:cstheme="minorBidi"/>
          <w:color w:val="auto"/>
        </w:rPr>
        <w:fldChar w:fldCharType="begin" w:fldLock="1"/>
      </w:r>
      <w:r w:rsidR="00153681" w:rsidRPr="005B034C">
        <w:rPr>
          <w:rFonts w:asciiTheme="minorHAnsi" w:hAnsiTheme="minorHAnsi" w:cstheme="minorBidi"/>
          <w:color w:val="auto"/>
        </w:rPr>
        <w:instrText>ADDIN CSL_CITATION {"citationItems":[{"id":"ITEM-1","itemData":{"author":[{"dropping-particle":"","family":"Biosystems","given":"Applied","non-dropping-particle":"","parse-names":false,"suffix":""}],"container-title":"Application Note","id":"ITEM-1","issue":"Figure 1","issued":{"date-parts":[["0"]]},"title":"Making it Easier to Unlock Understanding","type":"article-journal"},"uris":["http://www.mendeley.com/documents/?uuid=06b1f6a7-9fea-41d9-b492-23d0762e3b1f"]}],"mendeley":{"formattedCitation":"&lt;sup&gt;13&lt;/sup&gt;","plainTextFormattedCitation":"13","previouslyFormattedCitation":"&lt;sup&gt;12&lt;/sup&gt;"},"properties":{"noteIndex":0},"schema":"https://github.com/citation-style-language/schema/raw/master/csl-citation.json"}</w:instrText>
      </w:r>
      <w:r w:rsidR="00A34E38" w:rsidRPr="005B034C">
        <w:rPr>
          <w:rStyle w:val="FootnoteReference"/>
          <w:rFonts w:asciiTheme="minorHAnsi" w:hAnsiTheme="minorHAnsi" w:cstheme="minorBidi"/>
          <w:color w:val="auto"/>
        </w:rPr>
        <w:fldChar w:fldCharType="separate"/>
      </w:r>
      <w:r w:rsidR="00153681" w:rsidRPr="005B034C">
        <w:rPr>
          <w:rFonts w:asciiTheme="minorHAnsi" w:hAnsiTheme="minorHAnsi" w:cstheme="minorBidi"/>
          <w:bCs/>
          <w:noProof/>
          <w:color w:val="auto"/>
          <w:vertAlign w:val="superscript"/>
          <w:lang w:val="sl-SI"/>
        </w:rPr>
        <w:t>13</w:t>
      </w:r>
      <w:r w:rsidR="00A34E38" w:rsidRPr="005B034C">
        <w:rPr>
          <w:rStyle w:val="FootnoteReference"/>
          <w:rFonts w:asciiTheme="minorHAnsi" w:hAnsiTheme="minorHAnsi" w:cstheme="minorBidi"/>
          <w:color w:val="auto"/>
        </w:rPr>
        <w:fldChar w:fldCharType="end"/>
      </w:r>
      <w:r w:rsidRPr="005B034C">
        <w:rPr>
          <w:rFonts w:asciiTheme="minorHAnsi" w:hAnsiTheme="minorHAnsi" w:cstheme="minorBidi"/>
          <w:color w:val="auto"/>
        </w:rPr>
        <w:t xml:space="preserve">. </w:t>
      </w:r>
    </w:p>
    <w:bookmarkEnd w:id="0"/>
    <w:p w14:paraId="2AC3B7D0" w14:textId="77777777" w:rsidR="00350F1E" w:rsidRPr="005B034C" w:rsidRDefault="00350F1E" w:rsidP="006820EA">
      <w:pPr>
        <w:pStyle w:val="ListParagraph"/>
        <w:ind w:left="0"/>
        <w:rPr>
          <w:rFonts w:asciiTheme="minorHAnsi" w:hAnsiTheme="minorHAnsi" w:cstheme="minorBidi"/>
          <w:color w:val="auto"/>
        </w:rPr>
      </w:pPr>
    </w:p>
    <w:p w14:paraId="316F5E3C" w14:textId="53159660" w:rsidR="00350F1E" w:rsidRPr="005B034C" w:rsidRDefault="00350F1E" w:rsidP="006820EA">
      <w:pPr>
        <w:rPr>
          <w:rFonts w:asciiTheme="minorHAnsi" w:hAnsiTheme="minorHAnsi" w:cstheme="minorBidi"/>
          <w:color w:val="auto"/>
        </w:rPr>
      </w:pPr>
      <w:r w:rsidRPr="005B034C">
        <w:rPr>
          <w:rFonts w:asciiTheme="minorHAnsi" w:hAnsiTheme="minorHAnsi" w:cstheme="minorBidi"/>
          <w:color w:val="auto"/>
        </w:rPr>
        <w:t>CAUTION: The agarose gels contain</w:t>
      </w:r>
      <w:r w:rsidR="003237AC" w:rsidRPr="005B034C">
        <w:rPr>
          <w:rFonts w:asciiTheme="minorHAnsi" w:hAnsiTheme="minorHAnsi" w:cstheme="minorBidi"/>
          <w:color w:val="auto"/>
        </w:rPr>
        <w:t>ing</w:t>
      </w:r>
      <w:r w:rsidRPr="005B034C">
        <w:rPr>
          <w:rFonts w:asciiTheme="minorHAnsi" w:hAnsiTheme="minorHAnsi" w:cstheme="minorBidi"/>
          <w:color w:val="auto"/>
        </w:rPr>
        <w:t xml:space="preserve"> a fluorescent nucleic acid stain must be properly disposed of per institution regulations.</w:t>
      </w:r>
    </w:p>
    <w:p w14:paraId="187EFC11" w14:textId="41A709A4" w:rsidR="00350F1E" w:rsidRPr="005B034C" w:rsidRDefault="00350F1E" w:rsidP="006820EA">
      <w:pPr>
        <w:rPr>
          <w:rFonts w:asciiTheme="minorHAnsi" w:hAnsiTheme="minorHAnsi" w:cstheme="minorBidi"/>
          <w:color w:val="auto"/>
        </w:rPr>
      </w:pPr>
    </w:p>
    <w:p w14:paraId="3E79FCA8" w14:textId="23FF06EA" w:rsidR="006305D7" w:rsidRPr="005B034C" w:rsidRDefault="006305D7" w:rsidP="006820EA">
      <w:pPr>
        <w:pStyle w:val="NormalWeb"/>
        <w:spacing w:before="0" w:beforeAutospacing="0" w:after="0" w:afterAutospacing="0"/>
        <w:rPr>
          <w:rFonts w:asciiTheme="minorHAnsi" w:hAnsiTheme="minorHAnsi" w:cstheme="minorHAnsi"/>
          <w:color w:val="auto"/>
        </w:rPr>
      </w:pPr>
      <w:r w:rsidRPr="005B034C">
        <w:rPr>
          <w:rFonts w:asciiTheme="minorHAnsi" w:hAnsiTheme="minorHAnsi" w:cstheme="minorHAnsi"/>
          <w:b/>
          <w:color w:val="auto"/>
        </w:rPr>
        <w:t>REPRESENTATIVE RESULTS</w:t>
      </w:r>
      <w:r w:rsidR="00EF1462" w:rsidRPr="005B034C">
        <w:rPr>
          <w:rFonts w:asciiTheme="minorHAnsi" w:hAnsiTheme="minorHAnsi" w:cstheme="minorHAnsi"/>
          <w:b/>
          <w:color w:val="auto"/>
        </w:rPr>
        <w:t xml:space="preserve">: </w:t>
      </w:r>
    </w:p>
    <w:p w14:paraId="51CC0BBF" w14:textId="22F6DE95" w:rsidR="00F74542" w:rsidRPr="005B034C" w:rsidRDefault="00F74542" w:rsidP="006820EA">
      <w:pPr>
        <w:rPr>
          <w:rFonts w:asciiTheme="minorHAnsi" w:hAnsiTheme="minorHAnsi" w:cstheme="minorHAnsi"/>
          <w:color w:val="auto"/>
        </w:rPr>
      </w:pPr>
      <w:r w:rsidRPr="005B034C">
        <w:rPr>
          <w:rFonts w:asciiTheme="minorHAnsi" w:hAnsiTheme="minorHAnsi" w:cstheme="minorHAnsi"/>
          <w:color w:val="auto"/>
        </w:rPr>
        <w:t xml:space="preserve">The successfully amplified DNA region of interest with </w:t>
      </w:r>
      <w:r w:rsidR="005B034C" w:rsidRPr="005B034C">
        <w:rPr>
          <w:rFonts w:asciiTheme="minorHAnsi" w:hAnsiTheme="minorHAnsi" w:cstheme="minorHAnsi"/>
          <w:color w:val="auto"/>
        </w:rPr>
        <w:t xml:space="preserve">an </w:t>
      </w:r>
      <w:r w:rsidRPr="005B034C">
        <w:rPr>
          <w:rFonts w:asciiTheme="minorHAnsi" w:hAnsiTheme="minorHAnsi" w:cstheme="minorHAnsi"/>
          <w:color w:val="auto"/>
        </w:rPr>
        <w:t>exponential increase in fluorescence that exceeds the threshold between cycles 15 and 35 and very narrow values of the cycle of quantification (</w:t>
      </w:r>
      <w:proofErr w:type="spellStart"/>
      <w:r w:rsidRPr="005B034C">
        <w:rPr>
          <w:rFonts w:asciiTheme="minorHAnsi" w:hAnsiTheme="minorHAnsi" w:cstheme="minorHAnsi"/>
          <w:color w:val="auto"/>
        </w:rPr>
        <w:t>Cq</w:t>
      </w:r>
      <w:proofErr w:type="spellEnd"/>
      <w:r w:rsidR="005B034C" w:rsidRPr="005B034C">
        <w:rPr>
          <w:rFonts w:asciiTheme="minorHAnsi" w:hAnsiTheme="minorHAnsi" w:cstheme="minorHAnsi"/>
          <w:color w:val="auto"/>
        </w:rPr>
        <w:t>)</w:t>
      </w:r>
      <w:r w:rsidRPr="005B034C">
        <w:rPr>
          <w:rFonts w:asciiTheme="minorHAnsi" w:hAnsiTheme="minorHAnsi" w:cstheme="minorHAnsi"/>
          <w:color w:val="auto"/>
        </w:rPr>
        <w:t xml:space="preserve"> in all replicate</w:t>
      </w:r>
      <w:r w:rsidR="00671620" w:rsidRPr="005B034C">
        <w:rPr>
          <w:rFonts w:asciiTheme="minorHAnsi" w:hAnsiTheme="minorHAnsi" w:cstheme="minorHAnsi"/>
          <w:color w:val="auto"/>
        </w:rPr>
        <w:t xml:space="preserve">d </w:t>
      </w:r>
      <w:r w:rsidRPr="005B034C">
        <w:rPr>
          <w:rFonts w:asciiTheme="minorHAnsi" w:hAnsiTheme="minorHAnsi" w:cstheme="minorHAnsi"/>
          <w:color w:val="auto"/>
        </w:rPr>
        <w:t>samples and controls (</w:t>
      </w:r>
      <w:r w:rsidR="00450274" w:rsidRPr="005B034C">
        <w:rPr>
          <w:rFonts w:asciiTheme="minorHAnsi" w:hAnsiTheme="minorHAnsi" w:cstheme="minorHAnsi"/>
          <w:b/>
          <w:bCs/>
          <w:color w:val="auto"/>
        </w:rPr>
        <w:t>Figure 2</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is a prerequisite for the reliable identification of genetic variants by HRM analysis. This is achieved </w:t>
      </w:r>
      <w:r w:rsidR="00287D99" w:rsidRPr="005B034C">
        <w:rPr>
          <w:rFonts w:asciiTheme="minorHAnsi" w:hAnsiTheme="minorHAnsi" w:cstheme="minorHAnsi"/>
          <w:color w:val="auto"/>
        </w:rPr>
        <w:t xml:space="preserve">by </w:t>
      </w:r>
      <w:r w:rsidRPr="005B034C">
        <w:rPr>
          <w:rFonts w:asciiTheme="minorHAnsi" w:hAnsiTheme="minorHAnsi" w:cstheme="minorHAnsi"/>
          <w:color w:val="auto"/>
        </w:rPr>
        <w:t xml:space="preserve">using a precise determination of DNA with fluorescence staining and </w:t>
      </w:r>
      <w:r w:rsidR="00023B1E">
        <w:rPr>
          <w:rFonts w:asciiTheme="minorHAnsi" w:hAnsiTheme="minorHAnsi" w:cstheme="minorHAnsi"/>
          <w:color w:val="auto"/>
        </w:rPr>
        <w:t xml:space="preserve">an </w:t>
      </w:r>
      <w:r w:rsidRPr="005B034C">
        <w:rPr>
          <w:rFonts w:asciiTheme="minorHAnsi" w:hAnsiTheme="minorHAnsi" w:cstheme="minorHAnsi"/>
          <w:color w:val="auto"/>
        </w:rPr>
        <w:t>equal amount of DNA in the qPCR HRM experiment (see step 1.2</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w:t>
      </w:r>
      <w:r w:rsidR="00450274" w:rsidRPr="005B034C">
        <w:rPr>
          <w:rFonts w:asciiTheme="minorHAnsi" w:hAnsiTheme="minorHAnsi" w:cstheme="minorHAnsi"/>
          <w:b/>
          <w:bCs/>
          <w:color w:val="auto"/>
        </w:rPr>
        <w:t>Figure 2</w:t>
      </w:r>
      <w:r w:rsidRPr="005B034C">
        <w:rPr>
          <w:rFonts w:asciiTheme="minorHAnsi" w:hAnsiTheme="minorHAnsi" w:cstheme="minorHAnsi"/>
          <w:color w:val="auto"/>
        </w:rPr>
        <w:t xml:space="preserve"> shows the successful amplification of the DNA region of interest where the </w:t>
      </w:r>
      <w:proofErr w:type="spellStart"/>
      <w:r w:rsidRPr="005B034C">
        <w:rPr>
          <w:rFonts w:asciiTheme="minorHAnsi" w:hAnsiTheme="minorHAnsi" w:cstheme="minorHAnsi"/>
          <w:color w:val="auto"/>
        </w:rPr>
        <w:t>Cq</w:t>
      </w:r>
      <w:proofErr w:type="spellEnd"/>
      <w:r w:rsidRPr="005B034C">
        <w:rPr>
          <w:rFonts w:asciiTheme="minorHAnsi" w:hAnsiTheme="minorHAnsi" w:cstheme="minorHAnsi"/>
          <w:color w:val="auto"/>
        </w:rPr>
        <w:t xml:space="preserve"> values of all the samples and controls are in a very narrow interval. There is no amplification in the NTC wells. </w:t>
      </w:r>
    </w:p>
    <w:p w14:paraId="6C5189F7" w14:textId="77777777" w:rsidR="005B034C" w:rsidRPr="005B034C" w:rsidRDefault="005B034C" w:rsidP="006820EA">
      <w:pPr>
        <w:rPr>
          <w:rFonts w:asciiTheme="minorHAnsi" w:hAnsiTheme="minorHAnsi" w:cstheme="minorHAnsi"/>
          <w:color w:val="auto"/>
        </w:rPr>
      </w:pPr>
    </w:p>
    <w:p w14:paraId="607053F2" w14:textId="6A85594D" w:rsidR="0075399D" w:rsidRPr="005B034C" w:rsidRDefault="00F74542" w:rsidP="006820EA">
      <w:pPr>
        <w:rPr>
          <w:rFonts w:asciiTheme="minorHAnsi" w:hAnsiTheme="minorHAnsi" w:cstheme="minorHAnsi"/>
          <w:color w:val="auto"/>
        </w:rPr>
      </w:pPr>
      <w:r w:rsidRPr="005B034C">
        <w:rPr>
          <w:rFonts w:asciiTheme="minorHAnsi" w:hAnsiTheme="minorHAnsi" w:cstheme="minorHAnsi"/>
          <w:color w:val="auto"/>
        </w:rPr>
        <w:t>The HRM stage is performed immediately after qPCR using the protocol described in step 1.11. The active melt region</w:t>
      </w:r>
      <w:r w:rsidR="00023B1E">
        <w:rPr>
          <w:rFonts w:asciiTheme="minorHAnsi" w:hAnsiTheme="minorHAnsi" w:cstheme="minorHAnsi"/>
          <w:color w:val="auto"/>
        </w:rPr>
        <w:t>s</w:t>
      </w:r>
      <w:r w:rsidRPr="005B034C">
        <w:rPr>
          <w:rFonts w:asciiTheme="minorHAnsi" w:hAnsiTheme="minorHAnsi" w:cstheme="minorHAnsi"/>
          <w:color w:val="auto"/>
        </w:rPr>
        <w:t xml:space="preserve"> (</w:t>
      </w:r>
      <w:r w:rsidR="00450274" w:rsidRPr="005B034C">
        <w:rPr>
          <w:rFonts w:asciiTheme="minorHAnsi" w:hAnsiTheme="minorHAnsi" w:cstheme="minorHAnsi"/>
          <w:b/>
          <w:bCs/>
          <w:color w:val="auto"/>
        </w:rPr>
        <w:t>Figure 3</w:t>
      </w:r>
      <w:r w:rsidRPr="005B034C">
        <w:rPr>
          <w:rFonts w:asciiTheme="minorHAnsi" w:hAnsiTheme="minorHAnsi" w:cstheme="minorHAnsi"/>
          <w:color w:val="auto"/>
        </w:rPr>
        <w:t>, label (c</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of the samples, </w:t>
      </w:r>
      <w:r w:rsidR="00023B1E">
        <w:rPr>
          <w:rFonts w:asciiTheme="minorHAnsi" w:hAnsiTheme="minorHAnsi" w:cstheme="minorHAnsi"/>
          <w:color w:val="auto"/>
        </w:rPr>
        <w:t xml:space="preserve">the </w:t>
      </w:r>
      <w:r w:rsidRPr="005B034C">
        <w:rPr>
          <w:rFonts w:asciiTheme="minorHAnsi" w:hAnsiTheme="minorHAnsi" w:cstheme="minorHAnsi"/>
          <w:color w:val="auto"/>
        </w:rPr>
        <w:t xml:space="preserve">controls and </w:t>
      </w:r>
      <w:r w:rsidR="00023B1E">
        <w:rPr>
          <w:rFonts w:asciiTheme="minorHAnsi" w:hAnsiTheme="minorHAnsi" w:cstheme="minorHAnsi"/>
          <w:color w:val="auto"/>
        </w:rPr>
        <w:t xml:space="preserve">the </w:t>
      </w:r>
      <w:r w:rsidRPr="005B034C">
        <w:rPr>
          <w:rFonts w:asciiTheme="minorHAnsi" w:hAnsiTheme="minorHAnsi" w:cstheme="minorHAnsi"/>
          <w:color w:val="auto"/>
        </w:rPr>
        <w:t xml:space="preserve">NTC </w:t>
      </w:r>
      <w:r w:rsidR="00023B1E">
        <w:rPr>
          <w:rFonts w:asciiTheme="minorHAnsi" w:hAnsiTheme="minorHAnsi" w:cstheme="minorHAnsi"/>
          <w:color w:val="auto"/>
        </w:rPr>
        <w:t>are</w:t>
      </w:r>
      <w:r w:rsidRPr="005B034C">
        <w:rPr>
          <w:rFonts w:asciiTheme="minorHAnsi" w:hAnsiTheme="minorHAnsi" w:cstheme="minorHAnsi"/>
          <w:color w:val="auto"/>
        </w:rPr>
        <w:t xml:space="preserve"> used to create their aligned melt curve plots (</w:t>
      </w:r>
      <w:r w:rsidR="00450274" w:rsidRPr="005B034C">
        <w:rPr>
          <w:rFonts w:asciiTheme="minorHAnsi" w:hAnsiTheme="minorHAnsi" w:cstheme="minorHAnsi"/>
          <w:b/>
          <w:bCs/>
          <w:color w:val="auto"/>
        </w:rPr>
        <w:t>Figure 4</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Therefore, </w:t>
      </w:r>
      <w:r w:rsidR="00671620" w:rsidRPr="005B034C">
        <w:rPr>
          <w:rFonts w:asciiTheme="minorHAnsi" w:hAnsiTheme="minorHAnsi" w:cstheme="minorHAnsi"/>
          <w:color w:val="auto"/>
        </w:rPr>
        <w:t xml:space="preserve">the </w:t>
      </w:r>
      <w:r w:rsidRPr="005B034C">
        <w:rPr>
          <w:rFonts w:asciiTheme="minorHAnsi" w:hAnsiTheme="minorHAnsi" w:cstheme="minorHAnsi"/>
          <w:color w:val="auto"/>
        </w:rPr>
        <w:t xml:space="preserve">correctly set pre- and post-melt regions/temperature lines </w:t>
      </w:r>
      <w:r w:rsidR="00023B1E">
        <w:rPr>
          <w:rFonts w:asciiTheme="minorHAnsi" w:hAnsiTheme="minorHAnsi" w:cstheme="minorHAnsi"/>
          <w:color w:val="auto"/>
        </w:rPr>
        <w:t>(</w:t>
      </w:r>
      <w:r w:rsidR="00450274" w:rsidRPr="005B034C">
        <w:rPr>
          <w:rFonts w:asciiTheme="minorHAnsi" w:hAnsiTheme="minorHAnsi" w:cstheme="minorHAnsi"/>
          <w:b/>
          <w:bCs/>
          <w:color w:val="auto"/>
        </w:rPr>
        <w:t>Figure 3</w:t>
      </w:r>
      <w:r w:rsidRPr="005B034C">
        <w:rPr>
          <w:rFonts w:asciiTheme="minorHAnsi" w:hAnsiTheme="minorHAnsi" w:cstheme="minorHAnsi"/>
          <w:b/>
          <w:bCs/>
          <w:color w:val="auto"/>
        </w:rPr>
        <w:t>A</w:t>
      </w:r>
      <w:r w:rsidR="00023B1E" w:rsidRPr="00023B1E">
        <w:rPr>
          <w:rFonts w:asciiTheme="minorHAnsi" w:hAnsiTheme="minorHAnsi" w:cstheme="minorHAnsi"/>
          <w:color w:val="auto"/>
        </w:rPr>
        <w:t>)</w:t>
      </w:r>
      <w:r w:rsidRPr="00023B1E">
        <w:rPr>
          <w:rFonts w:asciiTheme="minorHAnsi" w:hAnsiTheme="minorHAnsi" w:cstheme="minorHAnsi"/>
          <w:color w:val="auto"/>
        </w:rPr>
        <w:t xml:space="preserve"> </w:t>
      </w:r>
      <w:r w:rsidRPr="005B034C">
        <w:rPr>
          <w:rFonts w:asciiTheme="minorHAnsi" w:hAnsiTheme="minorHAnsi" w:cstheme="minorHAnsi"/>
          <w:color w:val="auto"/>
        </w:rPr>
        <w:t xml:space="preserve">are </w:t>
      </w:r>
      <w:r w:rsidR="009F0F92" w:rsidRPr="005B034C">
        <w:rPr>
          <w:rFonts w:asciiTheme="minorHAnsi" w:hAnsiTheme="minorHAnsi" w:cstheme="minorHAnsi"/>
          <w:color w:val="auto"/>
        </w:rPr>
        <w:t>important</w:t>
      </w:r>
      <w:r w:rsidRPr="005B034C">
        <w:rPr>
          <w:rFonts w:asciiTheme="minorHAnsi" w:hAnsiTheme="minorHAnsi" w:cstheme="minorHAnsi"/>
          <w:color w:val="auto"/>
        </w:rPr>
        <w:t xml:space="preserve"> for </w:t>
      </w:r>
      <w:r w:rsidR="00671620" w:rsidRPr="005B034C">
        <w:rPr>
          <w:rFonts w:asciiTheme="minorHAnsi" w:hAnsiTheme="minorHAnsi" w:cstheme="minorHAnsi"/>
          <w:color w:val="auto"/>
        </w:rPr>
        <w:t xml:space="preserve">properly </w:t>
      </w:r>
      <w:r w:rsidRPr="005B034C">
        <w:rPr>
          <w:rFonts w:asciiTheme="minorHAnsi" w:hAnsiTheme="minorHAnsi" w:cstheme="minorHAnsi"/>
          <w:color w:val="auto"/>
        </w:rPr>
        <w:t xml:space="preserve">visualizing and identifying genetic variants in the samples. </w:t>
      </w:r>
      <w:r w:rsidRPr="005B034C">
        <w:rPr>
          <w:rFonts w:asciiTheme="minorHAnsi" w:hAnsiTheme="minorHAnsi" w:cstheme="minorHAnsi"/>
          <w:b/>
          <w:bCs/>
          <w:color w:val="auto"/>
        </w:rPr>
        <w:t xml:space="preserve">Figure </w:t>
      </w:r>
      <w:r w:rsidR="00450274" w:rsidRPr="005B034C">
        <w:rPr>
          <w:rFonts w:asciiTheme="minorHAnsi" w:hAnsiTheme="minorHAnsi" w:cstheme="minorHAnsi"/>
          <w:b/>
          <w:bCs/>
          <w:color w:val="auto"/>
        </w:rPr>
        <w:t>4</w:t>
      </w:r>
      <w:r w:rsidRPr="005B034C">
        <w:rPr>
          <w:rFonts w:asciiTheme="minorHAnsi" w:hAnsiTheme="minorHAnsi" w:cstheme="minorHAnsi"/>
          <w:b/>
          <w:bCs/>
          <w:color w:val="auto"/>
        </w:rPr>
        <w:t>A</w:t>
      </w:r>
      <w:r w:rsidRPr="005B034C">
        <w:rPr>
          <w:rFonts w:asciiTheme="minorHAnsi" w:hAnsiTheme="minorHAnsi" w:cstheme="minorHAnsi"/>
          <w:color w:val="auto"/>
        </w:rPr>
        <w:t xml:space="preserve"> and </w:t>
      </w:r>
      <w:r w:rsidR="005B034C" w:rsidRPr="005B034C">
        <w:rPr>
          <w:rFonts w:asciiTheme="minorHAnsi" w:hAnsiTheme="minorHAnsi" w:cstheme="minorHAnsi"/>
          <w:b/>
          <w:bCs/>
          <w:color w:val="auto"/>
        </w:rPr>
        <w:t xml:space="preserve">Figure 4B </w:t>
      </w:r>
      <w:r w:rsidRPr="005B034C">
        <w:rPr>
          <w:rFonts w:asciiTheme="minorHAnsi" w:hAnsiTheme="minorHAnsi" w:cstheme="minorHAnsi"/>
          <w:color w:val="auto"/>
        </w:rPr>
        <w:t>show the aligned melt curves and difference plots, respectively, where the identification of genetic variants is possible. The unknown samples are tightly aligned with one of the positive controls.</w:t>
      </w:r>
      <w:r w:rsidR="00AE1CD8" w:rsidRPr="005B034C">
        <w:rPr>
          <w:rFonts w:asciiTheme="minorHAnsi" w:hAnsiTheme="minorHAnsi" w:cstheme="minorHAnsi"/>
          <w:color w:val="auto"/>
        </w:rPr>
        <w:t xml:space="preserve"> </w:t>
      </w:r>
      <w:r w:rsidR="00450274" w:rsidRPr="005B034C">
        <w:rPr>
          <w:rFonts w:asciiTheme="minorHAnsi" w:hAnsiTheme="minorHAnsi" w:cstheme="minorHAnsi"/>
          <w:b/>
          <w:bCs/>
          <w:color w:val="auto"/>
        </w:rPr>
        <w:t>Figure 3</w:t>
      </w:r>
      <w:r w:rsidRPr="005B034C">
        <w:rPr>
          <w:rFonts w:asciiTheme="minorHAnsi" w:hAnsiTheme="minorHAnsi" w:cstheme="minorHAnsi"/>
          <w:b/>
          <w:bCs/>
          <w:color w:val="auto"/>
        </w:rPr>
        <w:t>B</w:t>
      </w:r>
      <w:r w:rsidRPr="005B034C">
        <w:rPr>
          <w:rFonts w:asciiTheme="minorHAnsi" w:hAnsiTheme="minorHAnsi" w:cstheme="minorHAnsi"/>
          <w:color w:val="auto"/>
        </w:rPr>
        <w:t xml:space="preserve"> shows incorrectly set pre- and post-melt regions/temperature lines. </w:t>
      </w:r>
      <w:r w:rsidR="007368BC" w:rsidRPr="005B034C">
        <w:rPr>
          <w:rFonts w:asciiTheme="minorHAnsi" w:hAnsiTheme="minorHAnsi" w:cstheme="minorHAnsi"/>
          <w:color w:val="auto"/>
        </w:rPr>
        <w:t xml:space="preserve">This </w:t>
      </w:r>
      <w:r w:rsidRPr="005B034C">
        <w:rPr>
          <w:rFonts w:asciiTheme="minorHAnsi" w:hAnsiTheme="minorHAnsi" w:cstheme="minorHAnsi"/>
          <w:color w:val="auto"/>
        </w:rPr>
        <w:t>result</w:t>
      </w:r>
      <w:r w:rsidR="00B40902" w:rsidRPr="005B034C">
        <w:rPr>
          <w:rFonts w:asciiTheme="minorHAnsi" w:hAnsiTheme="minorHAnsi" w:cstheme="minorHAnsi"/>
          <w:color w:val="auto"/>
        </w:rPr>
        <w:t>s</w:t>
      </w:r>
      <w:r w:rsidRPr="005B034C">
        <w:rPr>
          <w:rFonts w:asciiTheme="minorHAnsi" w:hAnsiTheme="minorHAnsi" w:cstheme="minorHAnsi"/>
          <w:color w:val="auto"/>
        </w:rPr>
        <w:t xml:space="preserve"> </w:t>
      </w:r>
      <w:r w:rsidR="007368BC" w:rsidRPr="005B034C">
        <w:rPr>
          <w:rFonts w:asciiTheme="minorHAnsi" w:hAnsiTheme="minorHAnsi" w:cstheme="minorHAnsi"/>
          <w:color w:val="auto"/>
        </w:rPr>
        <w:t>in an</w:t>
      </w:r>
      <w:r w:rsidRPr="005B034C">
        <w:rPr>
          <w:rFonts w:asciiTheme="minorHAnsi" w:hAnsiTheme="minorHAnsi" w:cstheme="minorHAnsi"/>
          <w:color w:val="auto"/>
        </w:rPr>
        <w:t xml:space="preserve"> aligned melt curve and difference plots where correct identification of the genetic variants is </w:t>
      </w:r>
      <w:r w:rsidR="002C7824" w:rsidRPr="005B034C">
        <w:rPr>
          <w:rFonts w:asciiTheme="minorHAnsi" w:hAnsiTheme="minorHAnsi" w:cstheme="minorHAnsi"/>
          <w:color w:val="auto"/>
        </w:rPr>
        <w:t xml:space="preserve">more difficult </w:t>
      </w:r>
      <w:r w:rsidRPr="005B034C">
        <w:rPr>
          <w:rFonts w:asciiTheme="minorHAnsi" w:hAnsiTheme="minorHAnsi" w:cstheme="minorHAnsi"/>
          <w:color w:val="auto"/>
        </w:rPr>
        <w:t>(</w:t>
      </w:r>
      <w:r w:rsidR="00450274" w:rsidRPr="005B034C">
        <w:rPr>
          <w:rFonts w:asciiTheme="minorHAnsi" w:hAnsiTheme="minorHAnsi" w:cstheme="minorHAnsi"/>
          <w:b/>
          <w:bCs/>
          <w:color w:val="auto"/>
        </w:rPr>
        <w:t xml:space="preserve">Figure </w:t>
      </w:r>
      <w:r w:rsidR="00450274" w:rsidRPr="005B034C">
        <w:rPr>
          <w:rFonts w:asciiTheme="minorHAnsi" w:hAnsiTheme="minorHAnsi" w:cstheme="minorHAnsi"/>
          <w:b/>
          <w:bCs/>
          <w:color w:val="auto"/>
        </w:rPr>
        <w:lastRenderedPageBreak/>
        <w:t>4</w:t>
      </w:r>
      <w:r w:rsidRPr="005B034C">
        <w:rPr>
          <w:rFonts w:asciiTheme="minorHAnsi" w:hAnsiTheme="minorHAnsi" w:cstheme="minorHAnsi"/>
          <w:b/>
          <w:bCs/>
          <w:color w:val="auto"/>
        </w:rPr>
        <w:t xml:space="preserve">C </w:t>
      </w:r>
      <w:r w:rsidRPr="005B034C">
        <w:rPr>
          <w:rFonts w:asciiTheme="minorHAnsi" w:hAnsiTheme="minorHAnsi" w:cstheme="minorHAnsi"/>
          <w:color w:val="auto"/>
        </w:rPr>
        <w:t>and</w:t>
      </w:r>
      <w:r w:rsidRPr="005B034C">
        <w:rPr>
          <w:rFonts w:asciiTheme="minorHAnsi" w:hAnsiTheme="minorHAnsi" w:cstheme="minorHAnsi"/>
          <w:b/>
          <w:bCs/>
          <w:color w:val="auto"/>
        </w:rPr>
        <w:t xml:space="preserve"> </w:t>
      </w:r>
      <w:r w:rsidR="005B034C" w:rsidRPr="005B034C">
        <w:rPr>
          <w:rFonts w:asciiTheme="minorHAnsi" w:hAnsiTheme="minorHAnsi" w:cstheme="minorHAnsi"/>
          <w:b/>
          <w:bCs/>
          <w:color w:val="auto"/>
        </w:rPr>
        <w:t>Figure 4</w:t>
      </w:r>
      <w:r w:rsidRPr="005B034C">
        <w:rPr>
          <w:rFonts w:asciiTheme="minorHAnsi" w:hAnsiTheme="minorHAnsi" w:cstheme="minorHAnsi"/>
          <w:b/>
          <w:bCs/>
          <w:color w:val="auto"/>
        </w:rPr>
        <w:t>D</w:t>
      </w:r>
      <w:r w:rsidR="005B034C" w:rsidRPr="005B034C">
        <w:rPr>
          <w:rFonts w:asciiTheme="minorHAnsi" w:hAnsiTheme="minorHAnsi" w:cstheme="minorHAnsi"/>
          <w:color w:val="auto"/>
        </w:rPr>
        <w:t>)</w:t>
      </w:r>
      <w:r w:rsidRPr="005B034C">
        <w:rPr>
          <w:rFonts w:asciiTheme="minorHAnsi" w:hAnsiTheme="minorHAnsi" w:cstheme="minorHAnsi"/>
          <w:color w:val="auto"/>
        </w:rPr>
        <w:t>.</w:t>
      </w:r>
    </w:p>
    <w:p w14:paraId="0000050D" w14:textId="302B1847" w:rsidR="00F74542" w:rsidRPr="005B034C" w:rsidRDefault="00F74542" w:rsidP="006820EA">
      <w:pPr>
        <w:rPr>
          <w:rFonts w:asciiTheme="minorHAnsi" w:hAnsiTheme="minorHAnsi" w:cstheme="minorHAnsi"/>
          <w:color w:val="auto"/>
        </w:rPr>
      </w:pPr>
    </w:p>
    <w:p w14:paraId="2D3F820A" w14:textId="06B2EE73" w:rsidR="007A4DD6" w:rsidRPr="005B034C" w:rsidRDefault="00F74542" w:rsidP="006820EA">
      <w:pPr>
        <w:rPr>
          <w:rFonts w:asciiTheme="minorHAnsi" w:hAnsiTheme="minorHAnsi" w:cstheme="minorHAnsi"/>
          <w:color w:val="auto"/>
        </w:rPr>
      </w:pPr>
      <w:r w:rsidRPr="005B034C">
        <w:rPr>
          <w:rFonts w:asciiTheme="minorHAnsi" w:hAnsiTheme="minorHAnsi" w:cstheme="minorHAnsi"/>
          <w:color w:val="auto"/>
        </w:rPr>
        <w:t xml:space="preserve">To confirm the HRM results and to </w:t>
      </w:r>
      <w:r w:rsidR="003430DC" w:rsidRPr="005B034C">
        <w:rPr>
          <w:rFonts w:asciiTheme="minorHAnsi" w:hAnsiTheme="minorHAnsi" w:cstheme="minorHAnsi"/>
          <w:color w:val="auto"/>
        </w:rPr>
        <w:t xml:space="preserve">detect whether </w:t>
      </w:r>
      <w:r w:rsidRPr="005B034C">
        <w:rPr>
          <w:rFonts w:asciiTheme="minorHAnsi" w:hAnsiTheme="minorHAnsi" w:cstheme="minorHAnsi"/>
          <w:color w:val="auto"/>
        </w:rPr>
        <w:t xml:space="preserve">standard </w:t>
      </w:r>
      <w:r w:rsidR="00B00602" w:rsidRPr="005B034C">
        <w:rPr>
          <w:rFonts w:asciiTheme="minorHAnsi" w:hAnsiTheme="minorHAnsi" w:cstheme="minorHAnsi"/>
          <w:color w:val="auto"/>
        </w:rPr>
        <w:t xml:space="preserve">or next generation </w:t>
      </w:r>
      <w:r w:rsidRPr="005B034C">
        <w:rPr>
          <w:rFonts w:asciiTheme="minorHAnsi" w:hAnsiTheme="minorHAnsi" w:cstheme="minorHAnsi"/>
          <w:color w:val="auto"/>
        </w:rPr>
        <w:t xml:space="preserve">sequencing method is </w:t>
      </w:r>
      <w:r w:rsidR="003430DC" w:rsidRPr="005B034C">
        <w:rPr>
          <w:rFonts w:asciiTheme="minorHAnsi" w:hAnsiTheme="minorHAnsi" w:cstheme="minorHAnsi"/>
          <w:color w:val="auto"/>
        </w:rPr>
        <w:t xml:space="preserve">required to identify </w:t>
      </w:r>
      <w:r w:rsidRPr="005B034C">
        <w:rPr>
          <w:rFonts w:asciiTheme="minorHAnsi" w:hAnsiTheme="minorHAnsi" w:cstheme="minorHAnsi"/>
          <w:color w:val="auto"/>
        </w:rPr>
        <w:t xml:space="preserve">the genetic variant present in the sample, agarose gel electrophoresis is used. </w:t>
      </w:r>
      <w:r w:rsidR="00450274" w:rsidRPr="005B034C">
        <w:rPr>
          <w:rFonts w:asciiTheme="minorHAnsi" w:hAnsiTheme="minorHAnsi" w:cstheme="minorHAnsi"/>
          <w:b/>
          <w:bCs/>
          <w:color w:val="auto"/>
        </w:rPr>
        <w:t>Figure 7</w:t>
      </w:r>
      <w:r w:rsidRPr="005B034C">
        <w:rPr>
          <w:rFonts w:asciiTheme="minorHAnsi" w:hAnsiTheme="minorHAnsi" w:cstheme="minorHAnsi"/>
          <w:color w:val="auto"/>
        </w:rPr>
        <w:t xml:space="preserve"> shows the agarose gel electrophoresis of the same samples and controls that are displayed in </w:t>
      </w:r>
      <w:r w:rsidR="00450274" w:rsidRPr="005B034C">
        <w:rPr>
          <w:rFonts w:asciiTheme="minorHAnsi" w:hAnsiTheme="minorHAnsi" w:cstheme="minorHAnsi"/>
          <w:b/>
          <w:bCs/>
          <w:color w:val="auto"/>
        </w:rPr>
        <w:t>Figure 4</w:t>
      </w:r>
      <w:r w:rsidRPr="005B034C">
        <w:rPr>
          <w:rFonts w:asciiTheme="minorHAnsi" w:hAnsiTheme="minorHAnsi" w:cstheme="minorHAnsi"/>
          <w:color w:val="auto"/>
        </w:rPr>
        <w:t>. The genetic variant in the sample can be identified by comparing the band pattern of the sample to the controls and by comb</w:t>
      </w:r>
      <w:r w:rsidR="00023B1E">
        <w:rPr>
          <w:rFonts w:asciiTheme="minorHAnsi" w:hAnsiTheme="minorHAnsi" w:cstheme="minorHAnsi"/>
          <w:color w:val="auto"/>
        </w:rPr>
        <w:t>in</w:t>
      </w:r>
      <w:r w:rsidRPr="005B034C">
        <w:rPr>
          <w:rFonts w:asciiTheme="minorHAnsi" w:hAnsiTheme="minorHAnsi" w:cstheme="minorHAnsi"/>
          <w:color w:val="auto"/>
        </w:rPr>
        <w:t>ing the HRM and agarose gel electrophoresis. However, the correct genetic variant identification c</w:t>
      </w:r>
      <w:r w:rsidR="003430DC" w:rsidRPr="005B034C">
        <w:rPr>
          <w:rFonts w:asciiTheme="minorHAnsi" w:hAnsiTheme="minorHAnsi" w:cstheme="minorHAnsi"/>
          <w:color w:val="auto"/>
        </w:rPr>
        <w:t>an</w:t>
      </w:r>
      <w:r w:rsidRPr="005B034C">
        <w:rPr>
          <w:rFonts w:asciiTheme="minorHAnsi" w:hAnsiTheme="minorHAnsi" w:cstheme="minorHAnsi"/>
          <w:color w:val="auto"/>
        </w:rPr>
        <w:t xml:space="preserve"> </w:t>
      </w:r>
      <w:r w:rsidR="003430DC" w:rsidRPr="005B034C">
        <w:rPr>
          <w:rFonts w:asciiTheme="minorHAnsi" w:hAnsiTheme="minorHAnsi" w:cstheme="minorHAnsi"/>
          <w:color w:val="auto"/>
        </w:rPr>
        <w:t xml:space="preserve">only </w:t>
      </w:r>
      <w:r w:rsidRPr="005B034C">
        <w:rPr>
          <w:rFonts w:asciiTheme="minorHAnsi" w:hAnsiTheme="minorHAnsi" w:cstheme="minorHAnsi"/>
          <w:color w:val="auto"/>
        </w:rPr>
        <w:t>be done for the samples that contain the same genetic variant as one of the controls used in the HRM assay (</w:t>
      </w:r>
      <w:r w:rsidR="00450274" w:rsidRPr="005B034C">
        <w:rPr>
          <w:rFonts w:asciiTheme="minorHAnsi" w:hAnsiTheme="minorHAnsi" w:cstheme="minorHAnsi"/>
          <w:b/>
          <w:bCs/>
          <w:color w:val="auto"/>
        </w:rPr>
        <w:t>Figure 7</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w:t>
      </w:r>
      <w:r w:rsidR="00B40902" w:rsidRPr="005B034C">
        <w:rPr>
          <w:rFonts w:asciiTheme="minorHAnsi" w:hAnsiTheme="minorHAnsi" w:cstheme="minorHAnsi"/>
          <w:color w:val="auto"/>
        </w:rPr>
        <w:t xml:space="preserve">Samples containing rare </w:t>
      </w:r>
      <w:r w:rsidR="00B40902" w:rsidRPr="005B034C">
        <w:rPr>
          <w:rFonts w:asciiTheme="minorHAnsi" w:hAnsiTheme="minorHAnsi" w:cstheme="minorHAnsi"/>
          <w:i/>
          <w:color w:val="auto"/>
        </w:rPr>
        <w:t>CALR</w:t>
      </w:r>
      <w:r w:rsidR="00B40902" w:rsidRPr="005B034C">
        <w:rPr>
          <w:rFonts w:asciiTheme="minorHAnsi" w:hAnsiTheme="minorHAnsi" w:cstheme="minorHAnsi"/>
          <w:color w:val="auto"/>
        </w:rPr>
        <w:t xml:space="preserve"> </w:t>
      </w:r>
      <w:r w:rsidR="00C01061" w:rsidRPr="005B034C">
        <w:rPr>
          <w:rFonts w:asciiTheme="minorHAnsi" w:hAnsiTheme="minorHAnsi" w:cstheme="minorHAnsi"/>
          <w:color w:val="auto"/>
        </w:rPr>
        <w:t>genetic variant</w:t>
      </w:r>
      <w:r w:rsidR="00B40902" w:rsidRPr="005B034C">
        <w:rPr>
          <w:rFonts w:asciiTheme="minorHAnsi" w:hAnsiTheme="minorHAnsi" w:cstheme="minorHAnsi"/>
          <w:color w:val="auto"/>
        </w:rPr>
        <w:t>s</w:t>
      </w:r>
      <w:r w:rsidR="00C01061" w:rsidRPr="005B034C">
        <w:rPr>
          <w:rFonts w:asciiTheme="minorHAnsi" w:hAnsiTheme="minorHAnsi" w:cstheme="minorHAnsi"/>
          <w:color w:val="auto"/>
        </w:rPr>
        <w:t xml:space="preserve"> differ in the HRM result and </w:t>
      </w:r>
      <w:r w:rsidR="00B40902" w:rsidRPr="005B034C">
        <w:rPr>
          <w:rFonts w:asciiTheme="minorHAnsi" w:hAnsiTheme="minorHAnsi" w:cstheme="minorHAnsi"/>
          <w:color w:val="auto"/>
        </w:rPr>
        <w:t xml:space="preserve">electrophoresis </w:t>
      </w:r>
      <w:r w:rsidR="00C01061" w:rsidRPr="005B034C">
        <w:rPr>
          <w:rFonts w:asciiTheme="minorHAnsi" w:hAnsiTheme="minorHAnsi" w:cstheme="minorHAnsi"/>
          <w:color w:val="auto"/>
        </w:rPr>
        <w:t>band pattern (</w:t>
      </w:r>
      <w:r w:rsidR="00450274" w:rsidRPr="005B034C">
        <w:rPr>
          <w:rFonts w:asciiTheme="minorHAnsi" w:hAnsiTheme="minorHAnsi" w:cstheme="minorHAnsi"/>
          <w:b/>
          <w:bCs/>
          <w:color w:val="auto"/>
        </w:rPr>
        <w:t>Figure 8</w:t>
      </w:r>
      <w:r w:rsidR="005B034C" w:rsidRPr="005B034C">
        <w:rPr>
          <w:rFonts w:asciiTheme="minorHAnsi" w:hAnsiTheme="minorHAnsi" w:cstheme="minorHAnsi"/>
          <w:color w:val="auto"/>
        </w:rPr>
        <w:t>)</w:t>
      </w:r>
      <w:r w:rsidR="00B40902" w:rsidRPr="005B034C">
        <w:rPr>
          <w:rFonts w:asciiTheme="minorHAnsi" w:hAnsiTheme="minorHAnsi" w:cstheme="minorHAnsi"/>
          <w:color w:val="auto"/>
        </w:rPr>
        <w:t xml:space="preserve">. </w:t>
      </w:r>
      <w:r w:rsidRPr="005B034C">
        <w:rPr>
          <w:rFonts w:asciiTheme="minorHAnsi" w:hAnsiTheme="minorHAnsi" w:cstheme="minorHAnsi"/>
          <w:color w:val="auto"/>
        </w:rPr>
        <w:t xml:space="preserve">In this case, the Sanger sequencing </w:t>
      </w:r>
      <w:r w:rsidR="00B00602" w:rsidRPr="005B034C">
        <w:rPr>
          <w:rFonts w:asciiTheme="minorHAnsi" w:hAnsiTheme="minorHAnsi" w:cstheme="minorHAnsi"/>
          <w:color w:val="auto"/>
        </w:rPr>
        <w:t>or even next generation sequencing method are</w:t>
      </w:r>
      <w:r w:rsidRPr="005B034C">
        <w:rPr>
          <w:rFonts w:asciiTheme="minorHAnsi" w:hAnsiTheme="minorHAnsi" w:cstheme="minorHAnsi"/>
          <w:color w:val="auto"/>
        </w:rPr>
        <w:t xml:space="preserve"> </w:t>
      </w:r>
      <w:r w:rsidR="003430DC" w:rsidRPr="005B034C">
        <w:rPr>
          <w:rFonts w:asciiTheme="minorHAnsi" w:hAnsiTheme="minorHAnsi" w:cstheme="minorHAnsi"/>
          <w:color w:val="auto"/>
        </w:rPr>
        <w:t>used</w:t>
      </w:r>
      <w:r w:rsidRPr="005B034C">
        <w:rPr>
          <w:rFonts w:asciiTheme="minorHAnsi" w:hAnsiTheme="minorHAnsi" w:cstheme="minorHAnsi"/>
          <w:color w:val="auto"/>
        </w:rPr>
        <w:t xml:space="preserve"> to identify the exact genetic variant.</w:t>
      </w:r>
    </w:p>
    <w:p w14:paraId="7F5815FC" w14:textId="3133E33C" w:rsidR="004A71E4" w:rsidRPr="005B034C" w:rsidRDefault="004A71E4" w:rsidP="006820EA">
      <w:pPr>
        <w:rPr>
          <w:rFonts w:asciiTheme="minorHAnsi" w:hAnsiTheme="minorHAnsi" w:cstheme="minorHAnsi"/>
          <w:color w:val="auto"/>
        </w:rPr>
      </w:pPr>
    </w:p>
    <w:p w14:paraId="3C9083F6" w14:textId="2F41CD10" w:rsidR="00B32616" w:rsidRPr="005B034C" w:rsidRDefault="00B32616" w:rsidP="006820EA">
      <w:pPr>
        <w:rPr>
          <w:rFonts w:asciiTheme="minorHAnsi" w:hAnsiTheme="minorHAnsi" w:cstheme="minorHAnsi"/>
          <w:bCs/>
          <w:color w:val="auto"/>
        </w:rPr>
      </w:pPr>
      <w:r w:rsidRPr="005B034C">
        <w:rPr>
          <w:rFonts w:asciiTheme="minorHAnsi" w:hAnsiTheme="minorHAnsi" w:cstheme="minorHAnsi"/>
          <w:b/>
          <w:color w:val="auto"/>
        </w:rPr>
        <w:t xml:space="preserve">FIGURE </w:t>
      </w:r>
      <w:r w:rsidR="0013621E" w:rsidRPr="005B034C">
        <w:rPr>
          <w:rFonts w:asciiTheme="minorHAnsi" w:hAnsiTheme="minorHAnsi" w:cstheme="minorHAnsi"/>
          <w:b/>
          <w:color w:val="auto"/>
        </w:rPr>
        <w:t xml:space="preserve">AND TABLE </w:t>
      </w:r>
      <w:r w:rsidRPr="005B034C">
        <w:rPr>
          <w:rFonts w:asciiTheme="minorHAnsi" w:hAnsiTheme="minorHAnsi" w:cstheme="minorHAnsi"/>
          <w:b/>
          <w:color w:val="auto"/>
        </w:rPr>
        <w:t>LEGENDS:</w:t>
      </w:r>
      <w:r w:rsidRPr="005B034C">
        <w:rPr>
          <w:rFonts w:asciiTheme="minorHAnsi" w:hAnsiTheme="minorHAnsi" w:cstheme="minorHAnsi"/>
          <w:color w:val="auto"/>
        </w:rPr>
        <w:t xml:space="preserve"> </w:t>
      </w:r>
    </w:p>
    <w:p w14:paraId="78C7E1ED" w14:textId="77777777" w:rsidR="00450274" w:rsidRPr="005B034C" w:rsidRDefault="00450274" w:rsidP="006820EA">
      <w:pPr>
        <w:rPr>
          <w:rFonts w:asciiTheme="minorHAnsi" w:hAnsiTheme="minorHAnsi" w:cstheme="minorHAnsi"/>
          <w:b/>
          <w:bCs/>
          <w:color w:val="auto"/>
          <w:shd w:val="clear" w:color="auto" w:fill="FFFFFF"/>
        </w:rPr>
      </w:pPr>
    </w:p>
    <w:p w14:paraId="1D7E250B" w14:textId="31F0D4D4" w:rsidR="00450274" w:rsidRPr="005B034C" w:rsidRDefault="00450274" w:rsidP="006820EA">
      <w:pPr>
        <w:rPr>
          <w:rFonts w:asciiTheme="minorHAnsi" w:hAnsiTheme="minorHAnsi" w:cstheme="minorHAnsi"/>
          <w:b/>
          <w:bCs/>
          <w:color w:val="auto"/>
          <w:shd w:val="clear" w:color="auto" w:fill="FFFFFF"/>
        </w:rPr>
      </w:pPr>
      <w:r w:rsidRPr="005B034C">
        <w:rPr>
          <w:rFonts w:asciiTheme="minorHAnsi" w:hAnsiTheme="minorHAnsi" w:cstheme="minorHAnsi"/>
          <w:b/>
          <w:bCs/>
          <w:color w:val="auto"/>
          <w:shd w:val="clear" w:color="auto" w:fill="FFFFFF"/>
        </w:rPr>
        <w:t xml:space="preserve">Figure 1. </w:t>
      </w:r>
      <w:r w:rsidRPr="005B034C">
        <w:rPr>
          <w:rFonts w:asciiTheme="minorHAnsi" w:hAnsiTheme="minorHAnsi" w:cstheme="minorHAnsi"/>
          <w:b/>
          <w:color w:val="auto"/>
          <w:shd w:val="clear" w:color="auto" w:fill="FFFFFF"/>
        </w:rPr>
        <w:t xml:space="preserve">Schematic representation of the algorithm for the somatic genetic variant detection in the </w:t>
      </w:r>
      <w:r w:rsidRPr="005B034C">
        <w:rPr>
          <w:rFonts w:asciiTheme="minorHAnsi" w:hAnsiTheme="minorHAnsi" w:cstheme="minorHAnsi"/>
          <w:b/>
          <w:i/>
          <w:color w:val="auto"/>
          <w:shd w:val="clear" w:color="auto" w:fill="FFFFFF"/>
        </w:rPr>
        <w:t xml:space="preserve">CALR </w:t>
      </w:r>
      <w:r w:rsidRPr="005B034C">
        <w:rPr>
          <w:rFonts w:asciiTheme="minorHAnsi" w:hAnsiTheme="minorHAnsi" w:cstheme="minorHAnsi"/>
          <w:b/>
          <w:color w:val="auto"/>
          <w:shd w:val="clear" w:color="auto" w:fill="FFFFFF"/>
        </w:rPr>
        <w:t>gene by HRM, agarose gel electrophoresis and sequencing methods.</w:t>
      </w:r>
    </w:p>
    <w:p w14:paraId="3E4C3F2D" w14:textId="77777777" w:rsidR="00450274" w:rsidRPr="005B034C" w:rsidRDefault="00450274" w:rsidP="006820EA">
      <w:pPr>
        <w:rPr>
          <w:rFonts w:asciiTheme="minorHAnsi" w:hAnsiTheme="minorHAnsi" w:cstheme="minorHAnsi"/>
          <w:b/>
          <w:bCs/>
          <w:color w:val="auto"/>
          <w:shd w:val="clear" w:color="auto" w:fill="FFFFFF"/>
        </w:rPr>
      </w:pPr>
    </w:p>
    <w:p w14:paraId="18C599F7" w14:textId="3D263682" w:rsidR="00E9332D" w:rsidRPr="005B034C" w:rsidRDefault="00450274" w:rsidP="006820EA">
      <w:pPr>
        <w:rPr>
          <w:rFonts w:asciiTheme="minorHAnsi" w:hAnsiTheme="minorHAnsi" w:cstheme="minorHAnsi"/>
          <w:color w:val="auto"/>
          <w:shd w:val="clear" w:color="auto" w:fill="FFFFFF"/>
          <w:lang w:val="sl-SI"/>
        </w:rPr>
      </w:pPr>
      <w:r w:rsidRPr="005B034C">
        <w:rPr>
          <w:rFonts w:asciiTheme="minorHAnsi" w:hAnsiTheme="minorHAnsi" w:cstheme="minorHAnsi"/>
          <w:b/>
          <w:bCs/>
          <w:color w:val="auto"/>
          <w:shd w:val="clear" w:color="auto" w:fill="FFFFFF"/>
        </w:rPr>
        <w:t>Figure 2</w:t>
      </w:r>
      <w:r w:rsidR="00725F40" w:rsidRPr="005B034C">
        <w:rPr>
          <w:rFonts w:asciiTheme="minorHAnsi" w:hAnsiTheme="minorHAnsi" w:cstheme="minorHAnsi"/>
          <w:b/>
          <w:bCs/>
          <w:color w:val="auto"/>
          <w:shd w:val="clear" w:color="auto" w:fill="FFFFFF"/>
        </w:rPr>
        <w:t>.</w:t>
      </w:r>
      <w:r w:rsidR="00725F40" w:rsidRPr="005B034C">
        <w:rPr>
          <w:rFonts w:asciiTheme="minorHAnsi" w:hAnsiTheme="minorHAnsi" w:cstheme="minorHAnsi"/>
          <w:color w:val="auto"/>
          <w:shd w:val="clear" w:color="auto" w:fill="FFFFFF"/>
        </w:rPr>
        <w:t xml:space="preserve"> </w:t>
      </w:r>
      <w:r w:rsidR="00E9332D" w:rsidRPr="005B034C">
        <w:rPr>
          <w:rFonts w:asciiTheme="minorHAnsi" w:hAnsiTheme="minorHAnsi" w:cstheme="minorHAnsi"/>
          <w:b/>
          <w:color w:val="auto"/>
          <w:shd w:val="clear" w:color="auto" w:fill="FFFFFF"/>
          <w:lang w:val="sl-SI"/>
        </w:rPr>
        <w:t>A</w:t>
      </w:r>
      <w:proofErr w:type="spellStart"/>
      <w:r w:rsidR="00E9332D" w:rsidRPr="005B034C">
        <w:rPr>
          <w:rFonts w:asciiTheme="minorHAnsi" w:hAnsiTheme="minorHAnsi" w:cstheme="minorHAnsi"/>
          <w:b/>
          <w:color w:val="auto"/>
          <w:shd w:val="clear" w:color="auto" w:fill="FFFFFF"/>
        </w:rPr>
        <w:t>mplification</w:t>
      </w:r>
      <w:proofErr w:type="spellEnd"/>
      <w:r w:rsidR="00E9332D" w:rsidRPr="005B034C">
        <w:rPr>
          <w:rFonts w:asciiTheme="minorHAnsi" w:hAnsiTheme="minorHAnsi" w:cstheme="minorHAnsi"/>
          <w:b/>
          <w:color w:val="auto"/>
          <w:shd w:val="clear" w:color="auto" w:fill="FFFFFF"/>
        </w:rPr>
        <w:t xml:space="preserve"> plot </w:t>
      </w:r>
      <w:r w:rsidR="00E9332D" w:rsidRPr="005B034C">
        <w:rPr>
          <w:rFonts w:asciiTheme="minorHAnsi" w:hAnsiTheme="minorHAnsi" w:cstheme="minorHAnsi"/>
          <w:b/>
          <w:color w:val="auto"/>
          <w:shd w:val="clear" w:color="auto" w:fill="FFFFFF"/>
          <w:lang w:val="sl-SI"/>
        </w:rPr>
        <w:t xml:space="preserve">of the </w:t>
      </w:r>
      <w:r w:rsidR="00E9332D" w:rsidRPr="005B034C">
        <w:rPr>
          <w:rFonts w:asciiTheme="minorHAnsi" w:hAnsiTheme="minorHAnsi" w:cstheme="minorHAnsi"/>
          <w:b/>
          <w:color w:val="auto"/>
          <w:shd w:val="clear" w:color="auto" w:fill="FFFFFF"/>
        </w:rPr>
        <w:t>qPCR HRM assay</w:t>
      </w:r>
      <w:r w:rsidR="00E9332D" w:rsidRPr="005B034C">
        <w:rPr>
          <w:rFonts w:asciiTheme="minorHAnsi" w:hAnsiTheme="minorHAnsi" w:cstheme="minorHAnsi"/>
          <w:b/>
          <w:color w:val="auto"/>
          <w:shd w:val="clear" w:color="auto" w:fill="FFFFFF"/>
          <w:lang w:val="sl-SI"/>
        </w:rPr>
        <w:t xml:space="preserve"> </w:t>
      </w:r>
      <w:r w:rsidR="00E9332D" w:rsidRPr="005B034C">
        <w:rPr>
          <w:rFonts w:asciiTheme="minorHAnsi" w:hAnsiTheme="minorHAnsi" w:cstheme="minorHAnsi"/>
          <w:b/>
          <w:color w:val="auto"/>
          <w:shd w:val="clear" w:color="auto" w:fill="FFFFFF"/>
        </w:rPr>
        <w:t>for the detection of the genetic variants in the CALR gene.</w:t>
      </w:r>
      <w:r w:rsidR="00E9332D" w:rsidRPr="005B034C">
        <w:rPr>
          <w:rFonts w:asciiTheme="minorHAnsi" w:hAnsiTheme="minorHAnsi" w:cstheme="minorHAnsi"/>
          <w:color w:val="auto"/>
          <w:shd w:val="clear" w:color="auto" w:fill="FFFFFF"/>
        </w:rPr>
        <w:t xml:space="preserve"> The amplification plot is displayed as the raw fluorescence normalized to the fluorescence from the passive reference (</w:t>
      </w:r>
      <w:proofErr w:type="spellStart"/>
      <w:r w:rsidR="00E9332D" w:rsidRPr="005B034C">
        <w:rPr>
          <w:rFonts w:asciiTheme="minorHAnsi" w:hAnsiTheme="minorHAnsi" w:cstheme="minorHAnsi"/>
          <w:color w:val="auto"/>
          <w:shd w:val="clear" w:color="auto" w:fill="FFFFFF"/>
        </w:rPr>
        <w:t>ΔRn</w:t>
      </w:r>
      <w:proofErr w:type="spellEnd"/>
      <w:r w:rsidR="005B034C" w:rsidRPr="005B034C">
        <w:rPr>
          <w:rFonts w:asciiTheme="minorHAnsi" w:hAnsiTheme="minorHAnsi" w:cstheme="minorHAnsi"/>
          <w:color w:val="auto"/>
          <w:shd w:val="clear" w:color="auto" w:fill="FFFFFF"/>
        </w:rPr>
        <w:t>)</w:t>
      </w:r>
      <w:r w:rsidR="00E9332D" w:rsidRPr="005B034C">
        <w:rPr>
          <w:rFonts w:asciiTheme="minorHAnsi" w:hAnsiTheme="minorHAnsi" w:cstheme="minorHAnsi"/>
          <w:color w:val="auto"/>
          <w:shd w:val="clear" w:color="auto" w:fill="FFFFFF"/>
        </w:rPr>
        <w:t xml:space="preserve"> and as a function of a cycle number. The baseline is set from 3 to 15 cycles when the DNA region of interest was efficiently amplified using 20 ng of </w:t>
      </w:r>
      <w:r w:rsidR="00BB32A5" w:rsidRPr="005B034C">
        <w:rPr>
          <w:rFonts w:asciiTheme="minorHAnsi" w:hAnsiTheme="minorHAnsi" w:cstheme="minorHAnsi"/>
          <w:color w:val="auto"/>
          <w:shd w:val="clear" w:color="auto" w:fill="FFFFFF"/>
        </w:rPr>
        <w:t>high-quality</w:t>
      </w:r>
      <w:r w:rsidR="00E9332D" w:rsidRPr="005B034C">
        <w:rPr>
          <w:rFonts w:asciiTheme="minorHAnsi" w:hAnsiTheme="minorHAnsi" w:cstheme="minorHAnsi"/>
          <w:color w:val="auto"/>
          <w:shd w:val="clear" w:color="auto" w:fill="FFFFFF"/>
        </w:rPr>
        <w:t xml:space="preserve"> DNA in </w:t>
      </w:r>
      <w:r w:rsidR="007C4274">
        <w:rPr>
          <w:rFonts w:asciiTheme="minorHAnsi" w:hAnsiTheme="minorHAnsi" w:cstheme="minorHAnsi"/>
          <w:color w:val="auto"/>
          <w:shd w:val="clear" w:color="auto" w:fill="FFFFFF"/>
        </w:rPr>
        <w:t xml:space="preserve">the </w:t>
      </w:r>
      <w:r w:rsidR="00E9332D" w:rsidRPr="005B034C">
        <w:rPr>
          <w:rFonts w:asciiTheme="minorHAnsi" w:hAnsiTheme="minorHAnsi" w:cstheme="minorHAnsi"/>
          <w:color w:val="auto"/>
          <w:shd w:val="clear" w:color="auto" w:fill="FFFFFF"/>
        </w:rPr>
        <w:t xml:space="preserve">qPCR reaction. The normal amplification plots of the DNA region of interest of all the samples are shown as green lines. Plots show an exponential increase in fluorescence that exceeds the threshold between cycles 15 and 35 in the experiment using 20 ng of </w:t>
      </w:r>
      <w:r w:rsidR="007C4274" w:rsidRPr="005B034C">
        <w:rPr>
          <w:rFonts w:asciiTheme="minorHAnsi" w:hAnsiTheme="minorHAnsi" w:cstheme="minorHAnsi"/>
          <w:color w:val="auto"/>
          <w:shd w:val="clear" w:color="auto" w:fill="FFFFFF"/>
        </w:rPr>
        <w:t>high-quality</w:t>
      </w:r>
      <w:r w:rsidR="00E9332D" w:rsidRPr="005B034C">
        <w:rPr>
          <w:rFonts w:asciiTheme="minorHAnsi" w:hAnsiTheme="minorHAnsi" w:cstheme="minorHAnsi"/>
          <w:color w:val="auto"/>
          <w:shd w:val="clear" w:color="auto" w:fill="FFFFFF"/>
        </w:rPr>
        <w:t xml:space="preserve"> DNA in qPCR reaction. The graph shows no amplification in the non-template sample wells (NTC</w:t>
      </w:r>
      <w:r w:rsidR="005B034C" w:rsidRPr="005B034C">
        <w:rPr>
          <w:rFonts w:asciiTheme="minorHAnsi" w:hAnsiTheme="minorHAnsi" w:cstheme="minorHAnsi"/>
          <w:color w:val="auto"/>
          <w:shd w:val="clear" w:color="auto" w:fill="FFFFFF"/>
        </w:rPr>
        <w:t>)</w:t>
      </w:r>
      <w:r w:rsidR="00E9332D" w:rsidRPr="005B034C">
        <w:rPr>
          <w:rFonts w:asciiTheme="minorHAnsi" w:hAnsiTheme="minorHAnsi" w:cstheme="minorHAnsi"/>
          <w:color w:val="auto"/>
          <w:shd w:val="clear" w:color="auto" w:fill="FFFFFF"/>
          <w:lang w:val="sl-SI"/>
        </w:rPr>
        <w:t>.</w:t>
      </w:r>
    </w:p>
    <w:p w14:paraId="615F298F" w14:textId="77777777" w:rsidR="00725F40" w:rsidRPr="005B034C" w:rsidRDefault="00725F40" w:rsidP="006820EA">
      <w:pPr>
        <w:rPr>
          <w:rFonts w:asciiTheme="minorHAnsi" w:hAnsiTheme="minorHAnsi" w:cstheme="minorHAnsi"/>
          <w:color w:val="auto"/>
          <w:shd w:val="clear" w:color="auto" w:fill="FFFFFF"/>
        </w:rPr>
      </w:pPr>
    </w:p>
    <w:p w14:paraId="3E870E18" w14:textId="24D6FD12" w:rsidR="00E9332D" w:rsidRPr="005B034C" w:rsidRDefault="00450274" w:rsidP="006820EA">
      <w:pPr>
        <w:rPr>
          <w:rFonts w:asciiTheme="minorHAnsi" w:hAnsiTheme="minorHAnsi" w:cstheme="minorHAnsi"/>
          <w:bCs/>
          <w:color w:val="auto"/>
          <w:shd w:val="clear" w:color="auto" w:fill="FFFFFF"/>
          <w:lang w:val="sl-SI"/>
        </w:rPr>
      </w:pPr>
      <w:r w:rsidRPr="005B034C">
        <w:rPr>
          <w:rFonts w:asciiTheme="minorHAnsi" w:hAnsiTheme="minorHAnsi" w:cstheme="minorHAnsi"/>
          <w:b/>
          <w:bCs/>
          <w:color w:val="auto"/>
          <w:shd w:val="clear" w:color="auto" w:fill="FFFFFF"/>
        </w:rPr>
        <w:t>Figure 3</w:t>
      </w:r>
      <w:r w:rsidR="00E9332D" w:rsidRPr="005B034C">
        <w:rPr>
          <w:rFonts w:asciiTheme="minorHAnsi" w:hAnsiTheme="minorHAnsi" w:cstheme="minorHAnsi"/>
          <w:b/>
          <w:bCs/>
          <w:color w:val="auto"/>
          <w:shd w:val="clear" w:color="auto" w:fill="FFFFFF"/>
        </w:rPr>
        <w:t xml:space="preserve">. </w:t>
      </w:r>
      <w:r w:rsidR="00E9332D" w:rsidRPr="005B034C">
        <w:rPr>
          <w:rFonts w:asciiTheme="minorHAnsi" w:hAnsiTheme="minorHAnsi" w:cstheme="minorHAnsi"/>
          <w:b/>
          <w:bCs/>
          <w:color w:val="auto"/>
          <w:shd w:val="clear" w:color="auto" w:fill="FFFFFF"/>
          <w:lang w:val="sl-SI"/>
        </w:rPr>
        <w:t>D</w:t>
      </w:r>
      <w:proofErr w:type="spellStart"/>
      <w:r w:rsidR="00E9332D" w:rsidRPr="005B034C">
        <w:rPr>
          <w:rFonts w:asciiTheme="minorHAnsi" w:hAnsiTheme="minorHAnsi" w:cstheme="minorHAnsi"/>
          <w:b/>
          <w:bCs/>
          <w:color w:val="auto"/>
          <w:shd w:val="clear" w:color="auto" w:fill="FFFFFF"/>
        </w:rPr>
        <w:t>erivative</w:t>
      </w:r>
      <w:proofErr w:type="spellEnd"/>
      <w:r w:rsidR="00E9332D" w:rsidRPr="005B034C">
        <w:rPr>
          <w:rFonts w:asciiTheme="minorHAnsi" w:hAnsiTheme="minorHAnsi" w:cstheme="minorHAnsi"/>
          <w:b/>
          <w:bCs/>
          <w:color w:val="auto"/>
          <w:shd w:val="clear" w:color="auto" w:fill="FFFFFF"/>
        </w:rPr>
        <w:t xml:space="preserve"> melt curves in the qPCR HRM assay for the detection of the genetic variants in the </w:t>
      </w:r>
      <w:r w:rsidR="00E9332D" w:rsidRPr="005B034C">
        <w:rPr>
          <w:rFonts w:asciiTheme="minorHAnsi" w:hAnsiTheme="minorHAnsi" w:cstheme="minorHAnsi"/>
          <w:b/>
          <w:bCs/>
          <w:i/>
          <w:color w:val="auto"/>
          <w:shd w:val="clear" w:color="auto" w:fill="FFFFFF"/>
        </w:rPr>
        <w:t>CALR</w:t>
      </w:r>
      <w:r w:rsidR="00E9332D" w:rsidRPr="005B034C">
        <w:rPr>
          <w:rFonts w:asciiTheme="minorHAnsi" w:hAnsiTheme="minorHAnsi" w:cstheme="minorHAnsi"/>
          <w:b/>
          <w:bCs/>
          <w:color w:val="auto"/>
          <w:shd w:val="clear" w:color="auto" w:fill="FFFFFF"/>
        </w:rPr>
        <w:t xml:space="preserve"> gene. A</w:t>
      </w:r>
      <w:r w:rsidR="005B034C" w:rsidRPr="005B034C">
        <w:rPr>
          <w:rFonts w:asciiTheme="minorHAnsi" w:hAnsiTheme="minorHAnsi" w:cstheme="minorHAnsi"/>
          <w:color w:val="auto"/>
          <w:shd w:val="clear" w:color="auto" w:fill="FFFFFF"/>
          <w:lang w:val="sl-SI"/>
        </w:rPr>
        <w:t>)</w:t>
      </w:r>
      <w:r w:rsidR="00E9332D" w:rsidRPr="005B034C">
        <w:rPr>
          <w:rFonts w:asciiTheme="minorHAnsi" w:hAnsiTheme="minorHAnsi" w:cstheme="minorHAnsi"/>
          <w:bCs/>
          <w:color w:val="auto"/>
          <w:shd w:val="clear" w:color="auto" w:fill="FFFFFF"/>
        </w:rPr>
        <w:t xml:space="preserve"> </w:t>
      </w:r>
      <w:r w:rsidR="007C4274">
        <w:rPr>
          <w:rFonts w:asciiTheme="minorHAnsi" w:hAnsiTheme="minorHAnsi" w:cstheme="minorHAnsi"/>
          <w:bCs/>
          <w:color w:val="auto"/>
          <w:shd w:val="clear" w:color="auto" w:fill="FFFFFF"/>
        </w:rPr>
        <w:t xml:space="preserve">An example of </w:t>
      </w:r>
      <w:r w:rsidR="007C4274">
        <w:rPr>
          <w:rFonts w:asciiTheme="minorHAnsi" w:hAnsiTheme="minorHAnsi" w:cstheme="minorHAnsi"/>
          <w:bCs/>
          <w:color w:val="auto"/>
          <w:shd w:val="clear" w:color="auto" w:fill="FFFFFF"/>
        </w:rPr>
        <w:t>c</w:t>
      </w:r>
      <w:r w:rsidR="00E9332D" w:rsidRPr="005B034C">
        <w:rPr>
          <w:rFonts w:asciiTheme="minorHAnsi" w:hAnsiTheme="minorHAnsi" w:cstheme="minorHAnsi"/>
          <w:bCs/>
          <w:color w:val="auto"/>
          <w:shd w:val="clear" w:color="auto" w:fill="FFFFFF"/>
        </w:rPr>
        <w:t xml:space="preserve">orrectly set pre- and post-melt regions/temperature lines. </w:t>
      </w:r>
      <w:r w:rsidR="007C4274">
        <w:rPr>
          <w:rFonts w:asciiTheme="minorHAnsi" w:hAnsiTheme="minorHAnsi" w:cstheme="minorHAnsi"/>
          <w:bCs/>
          <w:color w:val="auto"/>
          <w:shd w:val="clear" w:color="auto" w:fill="FFFFFF"/>
        </w:rPr>
        <w:t>The p</w:t>
      </w:r>
      <w:r w:rsidR="00E9332D" w:rsidRPr="005B034C">
        <w:rPr>
          <w:rFonts w:asciiTheme="minorHAnsi" w:hAnsiTheme="minorHAnsi" w:cstheme="minorHAnsi"/>
          <w:bCs/>
          <w:color w:val="auto"/>
          <w:shd w:val="clear" w:color="auto" w:fill="FFFFFF"/>
        </w:rPr>
        <w:t xml:space="preserve">re-melt stop temperature line </w:t>
      </w:r>
      <w:r w:rsidR="007C4274">
        <w:rPr>
          <w:rFonts w:asciiTheme="minorHAnsi" w:hAnsiTheme="minorHAnsi" w:cstheme="minorHAnsi"/>
          <w:bCs/>
          <w:color w:val="auto"/>
          <w:shd w:val="clear" w:color="auto" w:fill="FFFFFF"/>
        </w:rPr>
        <w:t>must</w:t>
      </w:r>
      <w:r w:rsidR="00E9332D" w:rsidRPr="005B034C">
        <w:rPr>
          <w:rFonts w:asciiTheme="minorHAnsi" w:hAnsiTheme="minorHAnsi" w:cstheme="minorHAnsi"/>
          <w:bCs/>
          <w:color w:val="auto"/>
          <w:shd w:val="clear" w:color="auto" w:fill="FFFFFF"/>
        </w:rPr>
        <w:t xml:space="preserve"> be adjacent to the start of the melt transition region. </w:t>
      </w:r>
      <w:r w:rsidR="007C4274">
        <w:rPr>
          <w:rFonts w:asciiTheme="minorHAnsi" w:hAnsiTheme="minorHAnsi" w:cstheme="minorHAnsi"/>
          <w:bCs/>
          <w:color w:val="auto"/>
          <w:shd w:val="clear" w:color="auto" w:fill="FFFFFF"/>
        </w:rPr>
        <w:t>The p</w:t>
      </w:r>
      <w:r w:rsidR="00E9332D" w:rsidRPr="005B034C">
        <w:rPr>
          <w:rFonts w:asciiTheme="minorHAnsi" w:hAnsiTheme="minorHAnsi" w:cstheme="minorHAnsi"/>
          <w:bCs/>
          <w:color w:val="auto"/>
          <w:shd w:val="clear" w:color="auto" w:fill="FFFFFF"/>
        </w:rPr>
        <w:t xml:space="preserve">ost-melt start temperature line </w:t>
      </w:r>
      <w:r w:rsidR="007C4274">
        <w:rPr>
          <w:rFonts w:asciiTheme="minorHAnsi" w:hAnsiTheme="minorHAnsi" w:cstheme="minorHAnsi"/>
          <w:bCs/>
          <w:color w:val="auto"/>
          <w:shd w:val="clear" w:color="auto" w:fill="FFFFFF"/>
        </w:rPr>
        <w:t>must</w:t>
      </w:r>
      <w:r w:rsidR="00E9332D" w:rsidRPr="005B034C">
        <w:rPr>
          <w:rFonts w:asciiTheme="minorHAnsi" w:hAnsiTheme="minorHAnsi" w:cstheme="minorHAnsi"/>
          <w:bCs/>
          <w:color w:val="auto"/>
          <w:shd w:val="clear" w:color="auto" w:fill="FFFFFF"/>
        </w:rPr>
        <w:t xml:space="preserve"> be adjacent to the end of the melt transition region. </w:t>
      </w:r>
      <w:r w:rsidR="00E9332D" w:rsidRPr="005B034C">
        <w:rPr>
          <w:rFonts w:asciiTheme="minorHAnsi" w:hAnsiTheme="minorHAnsi" w:cstheme="minorHAnsi"/>
          <w:bCs/>
          <w:color w:val="auto"/>
          <w:shd w:val="clear" w:color="auto" w:fill="FFFFFF"/>
          <w:lang w:val="sl-SI"/>
        </w:rPr>
        <w:t>T</w:t>
      </w:r>
      <w:r w:rsidR="00E9332D" w:rsidRPr="005B034C">
        <w:rPr>
          <w:rFonts w:asciiTheme="minorHAnsi" w:hAnsiTheme="minorHAnsi" w:cstheme="minorHAnsi"/>
          <w:bCs/>
          <w:color w:val="auto"/>
          <w:shd w:val="clear" w:color="auto" w:fill="FFFFFF"/>
        </w:rPr>
        <w:t>he</w:t>
      </w:r>
      <w:r w:rsidR="007C4274">
        <w:rPr>
          <w:rFonts w:asciiTheme="minorHAnsi" w:hAnsiTheme="minorHAnsi" w:cstheme="minorHAnsi"/>
          <w:bCs/>
          <w:color w:val="auto"/>
          <w:shd w:val="clear" w:color="auto" w:fill="FFFFFF"/>
        </w:rPr>
        <w:t xml:space="preserve"> </w:t>
      </w:r>
      <w:r w:rsidR="007C4274" w:rsidRPr="005B034C">
        <w:rPr>
          <w:rFonts w:asciiTheme="minorHAnsi" w:hAnsiTheme="minorHAnsi" w:cstheme="minorHAnsi"/>
          <w:bCs/>
          <w:color w:val="auto"/>
          <w:shd w:val="clear" w:color="auto" w:fill="FFFFFF"/>
        </w:rPr>
        <w:t>(a</w:t>
      </w:r>
      <w:r w:rsidR="007C4274" w:rsidRPr="005B034C">
        <w:rPr>
          <w:rFonts w:asciiTheme="minorHAnsi" w:hAnsiTheme="minorHAnsi" w:cstheme="minorHAnsi"/>
          <w:color w:val="auto"/>
          <w:shd w:val="clear" w:color="auto" w:fill="FFFFFF"/>
        </w:rPr>
        <w:t>)</w:t>
      </w:r>
      <w:r w:rsidR="007C4274" w:rsidRPr="005B034C">
        <w:rPr>
          <w:rFonts w:asciiTheme="minorHAnsi" w:hAnsiTheme="minorHAnsi" w:cstheme="minorHAnsi"/>
          <w:bCs/>
          <w:color w:val="auto"/>
          <w:shd w:val="clear" w:color="auto" w:fill="FFFFFF"/>
        </w:rPr>
        <w:t xml:space="preserve"> </w:t>
      </w:r>
      <w:r w:rsidR="00E9332D" w:rsidRPr="005B034C">
        <w:rPr>
          <w:rFonts w:asciiTheme="minorHAnsi" w:hAnsiTheme="minorHAnsi" w:cstheme="minorHAnsi"/>
          <w:bCs/>
          <w:color w:val="auto"/>
          <w:shd w:val="clear" w:color="auto" w:fill="FFFFFF"/>
        </w:rPr>
        <w:t>label indicates the pair of lines to the left of the peaks where the pre-melt start</w:t>
      </w:r>
      <w:r w:rsidR="00E9332D" w:rsidRPr="005B034C">
        <w:rPr>
          <w:rFonts w:asciiTheme="minorHAnsi" w:hAnsiTheme="minorHAnsi" w:cstheme="minorHAnsi"/>
          <w:bCs/>
          <w:color w:val="auto"/>
          <w:shd w:val="clear" w:color="auto" w:fill="FFFFFF"/>
          <w:lang w:val="sl-SI"/>
        </w:rPr>
        <w:t>s</w:t>
      </w:r>
      <w:r w:rsidR="00E9332D" w:rsidRPr="005B034C">
        <w:rPr>
          <w:rFonts w:asciiTheme="minorHAnsi" w:hAnsiTheme="minorHAnsi" w:cstheme="minorHAnsi"/>
          <w:bCs/>
          <w:color w:val="auto"/>
          <w:shd w:val="clear" w:color="auto" w:fill="FFFFFF"/>
        </w:rPr>
        <w:t xml:space="preserve"> and stop temperatures are set. Every amplicon is double-stranded. </w:t>
      </w:r>
      <w:r w:rsidR="00E9332D" w:rsidRPr="005B034C">
        <w:rPr>
          <w:rFonts w:asciiTheme="minorHAnsi" w:hAnsiTheme="minorHAnsi" w:cstheme="minorHAnsi"/>
          <w:bCs/>
          <w:color w:val="auto"/>
          <w:shd w:val="clear" w:color="auto" w:fill="FFFFFF"/>
          <w:lang w:val="sl-SI"/>
        </w:rPr>
        <w:t>T</w:t>
      </w:r>
      <w:r w:rsidR="00E9332D" w:rsidRPr="005B034C">
        <w:rPr>
          <w:rFonts w:asciiTheme="minorHAnsi" w:hAnsiTheme="minorHAnsi" w:cstheme="minorHAnsi"/>
          <w:bCs/>
          <w:color w:val="auto"/>
          <w:shd w:val="clear" w:color="auto" w:fill="FFFFFF"/>
        </w:rPr>
        <w:t xml:space="preserve">he </w:t>
      </w:r>
      <w:r w:rsidR="007C4274" w:rsidRPr="005B034C">
        <w:rPr>
          <w:rFonts w:asciiTheme="minorHAnsi" w:hAnsiTheme="minorHAnsi" w:cstheme="minorHAnsi"/>
          <w:bCs/>
          <w:color w:val="auto"/>
          <w:shd w:val="clear" w:color="auto" w:fill="FFFFFF"/>
        </w:rPr>
        <w:t>(b</w:t>
      </w:r>
      <w:r w:rsidR="007C4274" w:rsidRPr="005B034C">
        <w:rPr>
          <w:rFonts w:asciiTheme="minorHAnsi" w:hAnsiTheme="minorHAnsi" w:cstheme="minorHAnsi"/>
          <w:color w:val="auto"/>
          <w:shd w:val="clear" w:color="auto" w:fill="FFFFFF"/>
        </w:rPr>
        <w:t>)</w:t>
      </w:r>
      <w:r w:rsidR="007C4274" w:rsidRPr="005B034C">
        <w:rPr>
          <w:rFonts w:asciiTheme="minorHAnsi" w:hAnsiTheme="minorHAnsi" w:cstheme="minorHAnsi"/>
          <w:bCs/>
          <w:color w:val="auto"/>
          <w:shd w:val="clear" w:color="auto" w:fill="FFFFFF"/>
        </w:rPr>
        <w:t xml:space="preserve"> </w:t>
      </w:r>
      <w:r w:rsidR="00E9332D" w:rsidRPr="005B034C">
        <w:rPr>
          <w:rFonts w:asciiTheme="minorHAnsi" w:hAnsiTheme="minorHAnsi" w:cstheme="minorHAnsi"/>
          <w:bCs/>
          <w:color w:val="auto"/>
          <w:shd w:val="clear" w:color="auto" w:fill="FFFFFF"/>
        </w:rPr>
        <w:t xml:space="preserve">label indicates the data peaks of the active melt region used to create the </w:t>
      </w:r>
      <w:r w:rsidR="00C55E06" w:rsidRPr="005B034C">
        <w:rPr>
          <w:rFonts w:asciiTheme="minorHAnsi" w:hAnsiTheme="minorHAnsi" w:cstheme="minorHAnsi"/>
          <w:bCs/>
          <w:color w:val="auto"/>
          <w:shd w:val="clear" w:color="auto" w:fill="FFFFFF"/>
        </w:rPr>
        <w:t>a</w:t>
      </w:r>
      <w:r w:rsidR="00E9332D" w:rsidRPr="005B034C">
        <w:rPr>
          <w:rFonts w:asciiTheme="minorHAnsi" w:hAnsiTheme="minorHAnsi" w:cstheme="minorHAnsi"/>
          <w:bCs/>
          <w:color w:val="auto"/>
          <w:shd w:val="clear" w:color="auto" w:fill="FFFFFF"/>
        </w:rPr>
        <w:t xml:space="preserve">ligned </w:t>
      </w:r>
      <w:r w:rsidR="00C55E06" w:rsidRPr="005B034C">
        <w:rPr>
          <w:rFonts w:asciiTheme="minorHAnsi" w:hAnsiTheme="minorHAnsi" w:cstheme="minorHAnsi"/>
          <w:bCs/>
          <w:color w:val="auto"/>
          <w:shd w:val="clear" w:color="auto" w:fill="FFFFFF"/>
        </w:rPr>
        <w:t>m</w:t>
      </w:r>
      <w:r w:rsidR="00E9332D" w:rsidRPr="005B034C">
        <w:rPr>
          <w:rFonts w:asciiTheme="minorHAnsi" w:hAnsiTheme="minorHAnsi" w:cstheme="minorHAnsi"/>
          <w:bCs/>
          <w:color w:val="auto"/>
          <w:shd w:val="clear" w:color="auto" w:fill="FFFFFF"/>
        </w:rPr>
        <w:t xml:space="preserve">elt </w:t>
      </w:r>
      <w:r w:rsidR="00C55E06" w:rsidRPr="005B034C">
        <w:rPr>
          <w:rFonts w:asciiTheme="minorHAnsi" w:hAnsiTheme="minorHAnsi" w:cstheme="minorHAnsi"/>
          <w:bCs/>
          <w:color w:val="auto"/>
          <w:shd w:val="clear" w:color="auto" w:fill="FFFFFF"/>
        </w:rPr>
        <w:t>c</w:t>
      </w:r>
      <w:r w:rsidR="00E9332D" w:rsidRPr="005B034C">
        <w:rPr>
          <w:rFonts w:asciiTheme="minorHAnsi" w:hAnsiTheme="minorHAnsi" w:cstheme="minorHAnsi"/>
          <w:bCs/>
          <w:color w:val="auto"/>
          <w:shd w:val="clear" w:color="auto" w:fill="FFFFFF"/>
        </w:rPr>
        <w:t xml:space="preserve">urves </w:t>
      </w:r>
      <w:r w:rsidR="00C55E06" w:rsidRPr="005B034C">
        <w:rPr>
          <w:rFonts w:asciiTheme="minorHAnsi" w:hAnsiTheme="minorHAnsi" w:cstheme="minorHAnsi"/>
          <w:bCs/>
          <w:color w:val="auto"/>
          <w:shd w:val="clear" w:color="auto" w:fill="FFFFFF"/>
        </w:rPr>
        <w:t>p</w:t>
      </w:r>
      <w:r w:rsidR="00E9332D" w:rsidRPr="005B034C">
        <w:rPr>
          <w:rFonts w:asciiTheme="minorHAnsi" w:hAnsiTheme="minorHAnsi" w:cstheme="minorHAnsi"/>
          <w:bCs/>
          <w:color w:val="auto"/>
          <w:shd w:val="clear" w:color="auto" w:fill="FFFFFF"/>
        </w:rPr>
        <w:t xml:space="preserve">lot. </w:t>
      </w:r>
      <w:r w:rsidR="00E9332D" w:rsidRPr="005B034C">
        <w:rPr>
          <w:rFonts w:asciiTheme="minorHAnsi" w:hAnsiTheme="minorHAnsi" w:cstheme="minorHAnsi"/>
          <w:bCs/>
          <w:color w:val="auto"/>
          <w:shd w:val="clear" w:color="auto" w:fill="FFFFFF"/>
          <w:lang w:val="sl-SI"/>
        </w:rPr>
        <w:t>T</w:t>
      </w:r>
      <w:r w:rsidR="00E9332D" w:rsidRPr="005B034C">
        <w:rPr>
          <w:rFonts w:asciiTheme="minorHAnsi" w:hAnsiTheme="minorHAnsi" w:cstheme="minorHAnsi"/>
          <w:bCs/>
          <w:color w:val="auto"/>
          <w:shd w:val="clear" w:color="auto" w:fill="FFFFFF"/>
        </w:rPr>
        <w:t xml:space="preserve">he </w:t>
      </w:r>
      <w:r w:rsidR="007C4274" w:rsidRPr="005B034C">
        <w:rPr>
          <w:rFonts w:asciiTheme="minorHAnsi" w:hAnsiTheme="minorHAnsi" w:cstheme="minorHAnsi"/>
          <w:bCs/>
          <w:color w:val="auto"/>
          <w:shd w:val="clear" w:color="auto" w:fill="FFFFFF"/>
        </w:rPr>
        <w:t>(c</w:t>
      </w:r>
      <w:r w:rsidR="007C4274" w:rsidRPr="005B034C">
        <w:rPr>
          <w:rFonts w:asciiTheme="minorHAnsi" w:hAnsiTheme="minorHAnsi" w:cstheme="minorHAnsi"/>
          <w:color w:val="auto"/>
          <w:shd w:val="clear" w:color="auto" w:fill="FFFFFF"/>
        </w:rPr>
        <w:t>)</w:t>
      </w:r>
      <w:r w:rsidR="007C4274" w:rsidRPr="005B034C">
        <w:rPr>
          <w:rFonts w:asciiTheme="minorHAnsi" w:hAnsiTheme="minorHAnsi" w:cstheme="minorHAnsi"/>
          <w:bCs/>
          <w:color w:val="auto"/>
          <w:shd w:val="clear" w:color="auto" w:fill="FFFFFF"/>
        </w:rPr>
        <w:t xml:space="preserve"> </w:t>
      </w:r>
      <w:r w:rsidR="00E9332D" w:rsidRPr="005B034C">
        <w:rPr>
          <w:rFonts w:asciiTheme="minorHAnsi" w:hAnsiTheme="minorHAnsi" w:cstheme="minorHAnsi"/>
          <w:bCs/>
          <w:color w:val="auto"/>
          <w:shd w:val="clear" w:color="auto" w:fill="FFFFFF"/>
        </w:rPr>
        <w:t xml:space="preserve">label indicates the pair of lines to the right of the peaks where the post-melt start and stop temperatures are set. Every amplicon is single-stranded. </w:t>
      </w:r>
      <w:r w:rsidR="00E9332D" w:rsidRPr="005B034C">
        <w:rPr>
          <w:rFonts w:asciiTheme="minorHAnsi" w:hAnsiTheme="minorHAnsi" w:cstheme="minorHAnsi"/>
          <w:b/>
          <w:bCs/>
          <w:color w:val="auto"/>
          <w:shd w:val="clear" w:color="auto" w:fill="FFFFFF"/>
        </w:rPr>
        <w:t>B</w:t>
      </w:r>
      <w:r w:rsidR="005B034C" w:rsidRPr="005B034C">
        <w:rPr>
          <w:rFonts w:asciiTheme="minorHAnsi" w:hAnsiTheme="minorHAnsi" w:cstheme="minorHAnsi"/>
          <w:color w:val="auto"/>
          <w:shd w:val="clear" w:color="auto" w:fill="FFFFFF"/>
          <w:lang w:val="sl-SI"/>
        </w:rPr>
        <w:t>)</w:t>
      </w:r>
      <w:r w:rsidR="00E9332D" w:rsidRPr="005B034C">
        <w:rPr>
          <w:rFonts w:asciiTheme="minorHAnsi" w:hAnsiTheme="minorHAnsi" w:cstheme="minorHAnsi"/>
          <w:color w:val="auto"/>
          <w:shd w:val="clear" w:color="auto" w:fill="FFFFFF"/>
        </w:rPr>
        <w:t xml:space="preserve"> </w:t>
      </w:r>
      <w:r w:rsidR="007C4274">
        <w:rPr>
          <w:rFonts w:asciiTheme="minorHAnsi" w:hAnsiTheme="minorHAnsi" w:cstheme="minorHAnsi"/>
          <w:bCs/>
          <w:color w:val="auto"/>
          <w:shd w:val="clear" w:color="auto" w:fill="FFFFFF"/>
        </w:rPr>
        <w:t>An example of i</w:t>
      </w:r>
      <w:r w:rsidR="00E9332D" w:rsidRPr="005B034C">
        <w:rPr>
          <w:rFonts w:asciiTheme="minorHAnsi" w:hAnsiTheme="minorHAnsi" w:cstheme="minorHAnsi"/>
          <w:bCs/>
          <w:color w:val="auto"/>
          <w:shd w:val="clear" w:color="auto" w:fill="FFFFFF"/>
        </w:rPr>
        <w:t>ncorrectly set pre- and post-melt regions/temperature lines. The start and stop of the pre- and post-melt temperature lines are not adjacent to the melt transition regions and are more than 0.5 °C apart from each other.</w:t>
      </w:r>
    </w:p>
    <w:p w14:paraId="5C8C0BDE" w14:textId="77777777" w:rsidR="00725F40" w:rsidRPr="005B034C" w:rsidRDefault="00725F40" w:rsidP="006820EA">
      <w:pPr>
        <w:rPr>
          <w:rFonts w:asciiTheme="minorHAnsi" w:hAnsiTheme="minorHAnsi" w:cstheme="minorHAnsi"/>
          <w:color w:val="auto"/>
          <w:shd w:val="clear" w:color="auto" w:fill="FFFFFF"/>
        </w:rPr>
      </w:pPr>
    </w:p>
    <w:p w14:paraId="7C09F2DF" w14:textId="0A6F0519" w:rsidR="00E37B1C" w:rsidRPr="005B034C" w:rsidRDefault="00450274" w:rsidP="006820EA">
      <w:pPr>
        <w:rPr>
          <w:rFonts w:asciiTheme="minorHAnsi" w:hAnsiTheme="minorHAnsi" w:cstheme="minorHAnsi"/>
          <w:bCs/>
          <w:color w:val="auto"/>
          <w:shd w:val="clear" w:color="auto" w:fill="FFFFFF"/>
          <w:lang w:val="sl-SI"/>
        </w:rPr>
      </w:pPr>
      <w:r w:rsidRPr="005B034C">
        <w:rPr>
          <w:rFonts w:asciiTheme="minorHAnsi" w:hAnsiTheme="minorHAnsi" w:cstheme="minorHAnsi"/>
          <w:b/>
          <w:bCs/>
          <w:color w:val="auto"/>
          <w:shd w:val="clear" w:color="auto" w:fill="FFFFFF"/>
        </w:rPr>
        <w:t>Figure 4</w:t>
      </w:r>
      <w:r w:rsidR="00E9332D" w:rsidRPr="005B034C">
        <w:rPr>
          <w:rFonts w:asciiTheme="minorHAnsi" w:hAnsiTheme="minorHAnsi" w:cstheme="minorHAnsi"/>
          <w:b/>
          <w:bCs/>
          <w:color w:val="auto"/>
          <w:shd w:val="clear" w:color="auto" w:fill="FFFFFF"/>
        </w:rPr>
        <w:t xml:space="preserve">. </w:t>
      </w:r>
      <w:r w:rsidR="00E9332D" w:rsidRPr="005B034C">
        <w:rPr>
          <w:rFonts w:asciiTheme="minorHAnsi" w:hAnsiTheme="minorHAnsi" w:cstheme="minorHAnsi"/>
          <w:b/>
          <w:bCs/>
          <w:color w:val="auto"/>
          <w:shd w:val="clear" w:color="auto" w:fill="FFFFFF"/>
          <w:lang w:val="sl-SI"/>
        </w:rPr>
        <w:t xml:space="preserve">The aligned </w:t>
      </w:r>
      <w:r w:rsidR="00E9332D" w:rsidRPr="005B034C">
        <w:rPr>
          <w:rFonts w:asciiTheme="minorHAnsi" w:hAnsiTheme="minorHAnsi" w:cstheme="minorHAnsi"/>
          <w:b/>
          <w:bCs/>
          <w:color w:val="auto"/>
          <w:shd w:val="clear" w:color="auto" w:fill="FFFFFF"/>
        </w:rPr>
        <w:t xml:space="preserve">melt curves and difference plots in the qPCR HRM assay for the detection of the genetic variants in the </w:t>
      </w:r>
      <w:r w:rsidR="00E9332D" w:rsidRPr="005B034C">
        <w:rPr>
          <w:rFonts w:asciiTheme="minorHAnsi" w:hAnsiTheme="minorHAnsi" w:cstheme="minorHAnsi"/>
          <w:b/>
          <w:bCs/>
          <w:i/>
          <w:color w:val="auto"/>
          <w:shd w:val="clear" w:color="auto" w:fill="FFFFFF"/>
        </w:rPr>
        <w:t>CALR</w:t>
      </w:r>
      <w:r w:rsidR="00E9332D" w:rsidRPr="005B034C">
        <w:rPr>
          <w:rFonts w:asciiTheme="minorHAnsi" w:hAnsiTheme="minorHAnsi" w:cstheme="minorHAnsi"/>
          <w:b/>
          <w:bCs/>
          <w:color w:val="auto"/>
          <w:shd w:val="clear" w:color="auto" w:fill="FFFFFF"/>
        </w:rPr>
        <w:t xml:space="preserve"> gene</w:t>
      </w:r>
      <w:bookmarkStart w:id="8" w:name="_Hlk45998478"/>
      <w:r w:rsidR="00E9332D" w:rsidRPr="005B034C">
        <w:rPr>
          <w:rFonts w:asciiTheme="minorHAnsi" w:hAnsiTheme="minorHAnsi" w:cstheme="minorHAnsi"/>
          <w:b/>
          <w:bCs/>
          <w:color w:val="auto"/>
          <w:shd w:val="clear" w:color="auto" w:fill="FFFFFF"/>
        </w:rPr>
        <w:t xml:space="preserve">. </w:t>
      </w:r>
      <w:r w:rsidR="00E37B1C" w:rsidRPr="005B034C">
        <w:rPr>
          <w:rFonts w:asciiTheme="minorHAnsi" w:hAnsiTheme="minorHAnsi" w:cstheme="minorHAnsi"/>
          <w:b/>
          <w:bCs/>
          <w:color w:val="auto"/>
          <w:shd w:val="clear" w:color="auto" w:fill="FFFFFF"/>
        </w:rPr>
        <w:t>A</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Cs/>
          <w:color w:val="auto"/>
          <w:shd w:val="clear" w:color="auto" w:fill="FFFFFF"/>
        </w:rPr>
        <w:t xml:space="preserve"> and </w:t>
      </w:r>
      <w:r w:rsidR="00E37B1C" w:rsidRPr="005B034C">
        <w:rPr>
          <w:rFonts w:asciiTheme="minorHAnsi" w:hAnsiTheme="minorHAnsi" w:cstheme="minorHAnsi"/>
          <w:b/>
          <w:bCs/>
          <w:color w:val="auto"/>
          <w:shd w:val="clear" w:color="auto" w:fill="FFFFFF"/>
        </w:rPr>
        <w:t>B</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Cs/>
          <w:color w:val="auto"/>
          <w:shd w:val="clear" w:color="auto" w:fill="FFFFFF"/>
        </w:rPr>
        <w:t xml:space="preserve"> show the aligned melt curves and difference plots </w:t>
      </w:r>
      <w:bookmarkEnd w:id="8"/>
      <w:r w:rsidR="00E37B1C" w:rsidRPr="005B034C">
        <w:rPr>
          <w:rFonts w:asciiTheme="minorHAnsi" w:hAnsiTheme="minorHAnsi" w:cstheme="minorHAnsi"/>
          <w:bCs/>
          <w:color w:val="auto"/>
          <w:shd w:val="clear" w:color="auto" w:fill="FFFFFF"/>
        </w:rPr>
        <w:t>after the pre- and post-melt regions/temperature lines</w:t>
      </w:r>
      <w:r w:rsidR="00E37B1C" w:rsidRPr="005B034C">
        <w:rPr>
          <w:rFonts w:asciiTheme="minorHAnsi" w:hAnsiTheme="minorHAnsi" w:cstheme="minorHAnsi"/>
          <w:bCs/>
          <w:color w:val="auto"/>
          <w:shd w:val="clear" w:color="auto" w:fill="FFFFFF"/>
          <w:lang w:val="sl-SI"/>
        </w:rPr>
        <w:t xml:space="preserve"> are</w:t>
      </w:r>
      <w:r w:rsidR="00E37B1C" w:rsidRPr="005B034C">
        <w:rPr>
          <w:rFonts w:asciiTheme="minorHAnsi" w:hAnsiTheme="minorHAnsi" w:cstheme="minorHAnsi"/>
          <w:bCs/>
          <w:color w:val="auto"/>
          <w:shd w:val="clear" w:color="auto" w:fill="FFFFFF"/>
        </w:rPr>
        <w:t xml:space="preserve"> correctly set.</w:t>
      </w:r>
      <w:r w:rsidR="00E37B1C" w:rsidRPr="005B034C">
        <w:rPr>
          <w:rFonts w:asciiTheme="minorHAnsi" w:hAnsiTheme="minorHAnsi" w:cstheme="minorHAnsi"/>
          <w:bCs/>
          <w:color w:val="auto"/>
          <w:shd w:val="clear" w:color="auto" w:fill="FFFFFF"/>
          <w:lang w:val="sl-SI"/>
        </w:rPr>
        <w:t xml:space="preserve"> </w:t>
      </w:r>
      <w:r w:rsidR="00E37B1C" w:rsidRPr="005B034C">
        <w:rPr>
          <w:rFonts w:asciiTheme="minorHAnsi" w:hAnsiTheme="minorHAnsi" w:cstheme="minorHAnsi"/>
          <w:b/>
          <w:bCs/>
          <w:color w:val="auto"/>
          <w:shd w:val="clear" w:color="auto" w:fill="FFFFFF"/>
          <w:lang w:val="sl-SI"/>
        </w:rPr>
        <w:t>A</w:t>
      </w:r>
      <w:r w:rsidR="005B034C" w:rsidRPr="005B034C">
        <w:rPr>
          <w:rFonts w:asciiTheme="minorHAnsi" w:hAnsiTheme="minorHAnsi" w:cstheme="minorHAnsi"/>
          <w:color w:val="auto"/>
          <w:shd w:val="clear" w:color="auto" w:fill="FFFFFF"/>
          <w:lang w:val="sl-SI"/>
        </w:rPr>
        <w:t>)</w:t>
      </w:r>
      <w:r w:rsidR="00E37B1C" w:rsidRPr="005B034C">
        <w:rPr>
          <w:rFonts w:asciiTheme="minorHAnsi" w:hAnsiTheme="minorHAnsi" w:cstheme="minorHAnsi"/>
          <w:bCs/>
          <w:color w:val="auto"/>
          <w:shd w:val="clear" w:color="auto" w:fill="FFFFFF"/>
        </w:rPr>
        <w:t xml:space="preserve"> The aligned melt curve</w:t>
      </w:r>
      <w:r w:rsidR="00E37B1C" w:rsidRPr="005B034C">
        <w:rPr>
          <w:rFonts w:asciiTheme="minorHAnsi" w:hAnsiTheme="minorHAnsi" w:cstheme="minorHAnsi"/>
          <w:bCs/>
          <w:color w:val="auto"/>
          <w:shd w:val="clear" w:color="auto" w:fill="FFFFFF"/>
          <w:lang w:val="sl-SI"/>
        </w:rPr>
        <w:t>s</w:t>
      </w:r>
      <w:r w:rsidR="00E37B1C" w:rsidRPr="005B034C">
        <w:rPr>
          <w:rFonts w:asciiTheme="minorHAnsi" w:hAnsiTheme="minorHAnsi" w:cstheme="minorHAnsi"/>
          <w:bCs/>
          <w:color w:val="auto"/>
          <w:shd w:val="clear" w:color="auto" w:fill="FFFFFF"/>
        </w:rPr>
        <w:t xml:space="preserve"> of </w:t>
      </w:r>
      <w:r w:rsidR="00E37B1C" w:rsidRPr="005B034C">
        <w:rPr>
          <w:rFonts w:asciiTheme="minorHAnsi" w:hAnsiTheme="minorHAnsi" w:cstheme="minorHAnsi"/>
          <w:bCs/>
          <w:color w:val="auto"/>
          <w:shd w:val="clear" w:color="auto" w:fill="FFFFFF"/>
          <w:lang w:val="sl-SI"/>
        </w:rPr>
        <w:t xml:space="preserve">the positive controles with </w:t>
      </w:r>
      <w:r w:rsidR="00E37B1C" w:rsidRPr="005B034C">
        <w:rPr>
          <w:rFonts w:asciiTheme="minorHAnsi" w:hAnsiTheme="minorHAnsi" w:cstheme="minorHAnsi"/>
          <w:bCs/>
          <w:color w:val="auto"/>
          <w:shd w:val="clear" w:color="auto" w:fill="FFFFFF"/>
        </w:rPr>
        <w:t>52 bp deletion (type 1 mutation</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Cs/>
          <w:color w:val="auto"/>
          <w:shd w:val="clear" w:color="auto" w:fill="FFFFFF"/>
        </w:rPr>
        <w:t xml:space="preserve">, 5 bp insertion (type 2 </w:t>
      </w:r>
      <w:r w:rsidR="00E37B1C" w:rsidRPr="005B034C">
        <w:rPr>
          <w:rFonts w:asciiTheme="minorHAnsi" w:hAnsiTheme="minorHAnsi" w:cstheme="minorHAnsi"/>
          <w:bCs/>
          <w:color w:val="auto"/>
          <w:shd w:val="clear" w:color="auto" w:fill="FFFFFF"/>
        </w:rPr>
        <w:lastRenderedPageBreak/>
        <w:t>mutation</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Cs/>
          <w:color w:val="auto"/>
          <w:shd w:val="clear" w:color="auto" w:fill="FFFFFF"/>
        </w:rPr>
        <w:t xml:space="preserve"> and </w:t>
      </w:r>
      <w:r w:rsidR="00E37B1C" w:rsidRPr="005B034C">
        <w:rPr>
          <w:rFonts w:asciiTheme="minorHAnsi" w:hAnsiTheme="minorHAnsi" w:cstheme="minorHAnsi"/>
          <w:bCs/>
          <w:color w:val="auto"/>
          <w:shd w:val="clear" w:color="auto" w:fill="FFFFFF"/>
          <w:lang w:val="sl-SI"/>
        </w:rPr>
        <w:t xml:space="preserve">a </w:t>
      </w:r>
      <w:r w:rsidR="00E37B1C" w:rsidRPr="005B034C">
        <w:rPr>
          <w:rFonts w:asciiTheme="minorHAnsi" w:hAnsiTheme="minorHAnsi" w:cstheme="minorHAnsi"/>
          <w:bCs/>
          <w:color w:val="auto"/>
          <w:shd w:val="clear" w:color="auto" w:fill="FFFFFF"/>
        </w:rPr>
        <w:t xml:space="preserve">wild-type are shown as </w:t>
      </w:r>
      <w:r w:rsidR="00E37B1C" w:rsidRPr="005B034C">
        <w:rPr>
          <w:rFonts w:asciiTheme="minorHAnsi" w:hAnsiTheme="minorHAnsi" w:cstheme="minorHAnsi"/>
          <w:bCs/>
          <w:color w:val="auto"/>
          <w:shd w:val="clear" w:color="auto" w:fill="FFFFFF"/>
          <w:lang w:val="sl-SI"/>
        </w:rPr>
        <w:t>orange</w:t>
      </w:r>
      <w:r w:rsidR="00E37B1C" w:rsidRPr="005B034C">
        <w:rPr>
          <w:rFonts w:asciiTheme="minorHAnsi" w:hAnsiTheme="minorHAnsi" w:cstheme="minorHAnsi"/>
          <w:bCs/>
          <w:color w:val="auto"/>
          <w:shd w:val="clear" w:color="auto" w:fill="FFFFFF"/>
        </w:rPr>
        <w:t xml:space="preserve">, </w:t>
      </w:r>
      <w:r w:rsidR="00E37B1C" w:rsidRPr="005B034C">
        <w:rPr>
          <w:rFonts w:asciiTheme="minorHAnsi" w:hAnsiTheme="minorHAnsi" w:cstheme="minorHAnsi"/>
          <w:bCs/>
          <w:color w:val="auto"/>
          <w:shd w:val="clear" w:color="auto" w:fill="FFFFFF"/>
          <w:lang w:val="sl-SI"/>
        </w:rPr>
        <w:t>purple</w:t>
      </w:r>
      <w:r w:rsidR="00E37B1C" w:rsidRPr="005B034C">
        <w:rPr>
          <w:rFonts w:asciiTheme="minorHAnsi" w:hAnsiTheme="minorHAnsi" w:cstheme="minorHAnsi"/>
          <w:bCs/>
          <w:color w:val="auto"/>
          <w:shd w:val="clear" w:color="auto" w:fill="FFFFFF"/>
        </w:rPr>
        <w:t xml:space="preserve"> and </w:t>
      </w:r>
      <w:r w:rsidR="00E37B1C" w:rsidRPr="005B034C">
        <w:rPr>
          <w:rFonts w:asciiTheme="minorHAnsi" w:hAnsiTheme="minorHAnsi" w:cstheme="minorHAnsi"/>
          <w:bCs/>
          <w:color w:val="auto"/>
          <w:shd w:val="clear" w:color="auto" w:fill="FFFFFF"/>
          <w:lang w:val="sl-SI"/>
        </w:rPr>
        <w:t>red</w:t>
      </w:r>
      <w:r w:rsidR="00E37B1C" w:rsidRPr="005B034C">
        <w:rPr>
          <w:rFonts w:asciiTheme="minorHAnsi" w:hAnsiTheme="minorHAnsi" w:cstheme="minorHAnsi"/>
          <w:bCs/>
          <w:color w:val="auto"/>
          <w:shd w:val="clear" w:color="auto" w:fill="FFFFFF"/>
        </w:rPr>
        <w:t xml:space="preserve"> color, respectively.</w:t>
      </w:r>
      <w:r w:rsidR="00E37B1C" w:rsidRPr="005B034C">
        <w:rPr>
          <w:rFonts w:asciiTheme="minorHAnsi" w:hAnsiTheme="minorHAnsi" w:cstheme="minorHAnsi"/>
          <w:bCs/>
          <w:color w:val="auto"/>
          <w:shd w:val="clear" w:color="auto" w:fill="FFFFFF"/>
          <w:lang w:val="sl-SI"/>
        </w:rPr>
        <w:t xml:space="preserve"> </w:t>
      </w:r>
      <w:r w:rsidR="00E37B1C" w:rsidRPr="005B034C">
        <w:rPr>
          <w:rFonts w:asciiTheme="minorHAnsi" w:hAnsiTheme="minorHAnsi" w:cstheme="minorHAnsi"/>
          <w:b/>
          <w:bCs/>
          <w:color w:val="auto"/>
          <w:shd w:val="clear" w:color="auto" w:fill="FFFFFF"/>
          <w:lang w:val="sl-SI"/>
        </w:rPr>
        <w:t>B</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
          <w:bCs/>
          <w:color w:val="auto"/>
          <w:shd w:val="clear" w:color="auto" w:fill="FFFFFF"/>
        </w:rPr>
        <w:t xml:space="preserve"> </w:t>
      </w:r>
      <w:r w:rsidR="00E37B1C" w:rsidRPr="005B034C">
        <w:rPr>
          <w:rFonts w:asciiTheme="minorHAnsi" w:hAnsiTheme="minorHAnsi" w:cstheme="minorHAnsi"/>
          <w:bCs/>
          <w:color w:val="auto"/>
          <w:shd w:val="clear" w:color="auto" w:fill="FFFFFF"/>
        </w:rPr>
        <w:t xml:space="preserve">The Difference plot of the same samples as described in panel </w:t>
      </w:r>
      <w:r w:rsidR="00E37B1C" w:rsidRPr="005B034C">
        <w:rPr>
          <w:rFonts w:asciiTheme="minorHAnsi" w:hAnsiTheme="minorHAnsi" w:cstheme="minorHAnsi"/>
          <w:b/>
          <w:color w:val="auto"/>
          <w:shd w:val="clear" w:color="auto" w:fill="FFFFFF"/>
        </w:rPr>
        <w:t>A</w:t>
      </w:r>
      <w:r w:rsidR="00E37B1C" w:rsidRPr="005B034C">
        <w:rPr>
          <w:rFonts w:asciiTheme="minorHAnsi" w:hAnsiTheme="minorHAnsi" w:cstheme="minorHAnsi"/>
          <w:bCs/>
          <w:color w:val="auto"/>
          <w:shd w:val="clear" w:color="auto" w:fill="FFFFFF"/>
        </w:rPr>
        <w:t xml:space="preserve">. </w:t>
      </w:r>
      <w:r w:rsidR="00E37B1C" w:rsidRPr="005B034C">
        <w:rPr>
          <w:rFonts w:asciiTheme="minorHAnsi" w:hAnsiTheme="minorHAnsi" w:cstheme="minorHAnsi"/>
          <w:b/>
          <w:bCs/>
          <w:color w:val="auto"/>
          <w:shd w:val="clear" w:color="auto" w:fill="FFFFFF"/>
        </w:rPr>
        <w:t>C</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Cs/>
          <w:color w:val="auto"/>
          <w:shd w:val="clear" w:color="auto" w:fill="FFFFFF"/>
        </w:rPr>
        <w:t xml:space="preserve"> and </w:t>
      </w:r>
      <w:r w:rsidR="00E37B1C" w:rsidRPr="005B034C">
        <w:rPr>
          <w:rFonts w:asciiTheme="minorHAnsi" w:hAnsiTheme="minorHAnsi" w:cstheme="minorHAnsi"/>
          <w:b/>
          <w:bCs/>
          <w:color w:val="auto"/>
          <w:shd w:val="clear" w:color="auto" w:fill="FFFFFF"/>
        </w:rPr>
        <w:t>D</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bCs/>
          <w:color w:val="auto"/>
          <w:shd w:val="clear" w:color="auto" w:fill="FFFFFF"/>
        </w:rPr>
        <w:t xml:space="preserve"> show the aligned melt curves and difference plots after the incorrectly set pre- and post-melt regions/temperature lines</w:t>
      </w:r>
      <w:r w:rsidR="00E37B1C" w:rsidRPr="005B034C">
        <w:rPr>
          <w:rFonts w:asciiTheme="minorHAnsi" w:hAnsiTheme="minorHAnsi" w:cstheme="minorHAnsi"/>
          <w:bCs/>
          <w:color w:val="auto"/>
          <w:shd w:val="clear" w:color="auto" w:fill="FFFFFF"/>
          <w:lang w:val="sl-SI"/>
        </w:rPr>
        <w:t xml:space="preserve"> for the same set of samples</w:t>
      </w:r>
      <w:r w:rsidR="00E37B1C" w:rsidRPr="005B034C">
        <w:rPr>
          <w:rFonts w:asciiTheme="minorHAnsi" w:hAnsiTheme="minorHAnsi" w:cstheme="minorHAnsi"/>
          <w:bCs/>
          <w:color w:val="auto"/>
          <w:shd w:val="clear" w:color="auto" w:fill="FFFFFF"/>
        </w:rPr>
        <w:t xml:space="preserve">. </w:t>
      </w:r>
    </w:p>
    <w:p w14:paraId="6147E8C5" w14:textId="1AC11331" w:rsidR="00E9332D" w:rsidRPr="005B034C" w:rsidRDefault="00E9332D" w:rsidP="006820EA">
      <w:pPr>
        <w:rPr>
          <w:rFonts w:asciiTheme="minorHAnsi" w:hAnsiTheme="minorHAnsi" w:cstheme="minorHAnsi"/>
          <w:bCs/>
          <w:color w:val="auto"/>
          <w:shd w:val="clear" w:color="auto" w:fill="FFFFFF"/>
          <w:lang w:val="sl-SI"/>
        </w:rPr>
      </w:pPr>
    </w:p>
    <w:p w14:paraId="68259720" w14:textId="723A9D5C" w:rsidR="00E37B1C" w:rsidRPr="005B034C" w:rsidRDefault="00450274" w:rsidP="006820EA">
      <w:pPr>
        <w:rPr>
          <w:rFonts w:asciiTheme="minorHAnsi" w:hAnsiTheme="minorHAnsi" w:cstheme="minorHAnsi"/>
          <w:color w:val="auto"/>
          <w:shd w:val="clear" w:color="auto" w:fill="FFFFFF"/>
          <w:lang w:val="sl-SI"/>
        </w:rPr>
      </w:pPr>
      <w:r w:rsidRPr="005B034C">
        <w:rPr>
          <w:rFonts w:asciiTheme="minorHAnsi" w:hAnsiTheme="minorHAnsi" w:cstheme="minorHAnsi"/>
          <w:b/>
          <w:bCs/>
          <w:color w:val="auto"/>
          <w:shd w:val="clear" w:color="auto" w:fill="FFFFFF"/>
        </w:rPr>
        <w:t>Figure 5</w:t>
      </w:r>
      <w:r w:rsidR="00E37B1C" w:rsidRPr="005B034C">
        <w:rPr>
          <w:rFonts w:asciiTheme="minorHAnsi" w:hAnsiTheme="minorHAnsi" w:cstheme="minorHAnsi"/>
          <w:b/>
          <w:bCs/>
          <w:color w:val="auto"/>
          <w:shd w:val="clear" w:color="auto" w:fill="FFFFFF"/>
        </w:rPr>
        <w:t>.</w:t>
      </w:r>
      <w:r w:rsidR="00E37B1C" w:rsidRPr="005B034C">
        <w:rPr>
          <w:rFonts w:asciiTheme="minorHAnsi" w:hAnsiTheme="minorHAnsi" w:cstheme="minorHAnsi"/>
          <w:color w:val="auto"/>
          <w:shd w:val="clear" w:color="auto" w:fill="FFFFFF"/>
        </w:rPr>
        <w:t xml:space="preserve"> </w:t>
      </w:r>
      <w:r w:rsidR="00E37B1C" w:rsidRPr="005B034C">
        <w:rPr>
          <w:rFonts w:asciiTheme="minorHAnsi" w:hAnsiTheme="minorHAnsi" w:cstheme="minorHAnsi"/>
          <w:b/>
          <w:color w:val="auto"/>
          <w:shd w:val="clear" w:color="auto" w:fill="FFFFFF"/>
        </w:rPr>
        <w:t>The gel electrophoresis system.</w:t>
      </w:r>
      <w:r w:rsidR="00E37B1C" w:rsidRPr="005B034C">
        <w:rPr>
          <w:rFonts w:asciiTheme="minorHAnsi" w:hAnsiTheme="minorHAnsi" w:cstheme="minorHAnsi"/>
          <w:b/>
          <w:color w:val="auto"/>
          <w:shd w:val="clear" w:color="auto" w:fill="FFFFFF"/>
          <w:lang w:val="sl-SI"/>
        </w:rPr>
        <w:t xml:space="preserve"> </w:t>
      </w:r>
      <w:r w:rsidR="00E37B1C" w:rsidRPr="005B034C">
        <w:rPr>
          <w:rFonts w:asciiTheme="minorHAnsi" w:hAnsiTheme="minorHAnsi" w:cstheme="minorHAnsi"/>
          <w:b/>
          <w:bCs/>
          <w:color w:val="auto"/>
          <w:shd w:val="clear" w:color="auto" w:fill="FFFFFF"/>
          <w:lang w:val="sl-SI"/>
        </w:rPr>
        <w:t>A</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color w:val="auto"/>
          <w:shd w:val="clear" w:color="auto" w:fill="FFFFFF"/>
        </w:rPr>
        <w:t xml:space="preserve"> The basic units of the gel electrophoresis system (</w:t>
      </w:r>
      <w:r w:rsidR="00D550F7" w:rsidRPr="005B034C">
        <w:rPr>
          <w:rFonts w:asciiTheme="minorHAnsi" w:hAnsiTheme="minorHAnsi" w:cstheme="minorHAnsi"/>
          <w:color w:val="auto"/>
          <w:shd w:val="clear" w:color="auto" w:fill="FFFFFF"/>
        </w:rPr>
        <w:t xml:space="preserve">see </w:t>
      </w:r>
      <w:r w:rsidR="00D550F7" w:rsidRPr="005B034C">
        <w:rPr>
          <w:rFonts w:asciiTheme="minorHAnsi" w:hAnsiTheme="minorHAnsi" w:cstheme="minorHAnsi"/>
          <w:b/>
          <w:color w:val="auto"/>
          <w:shd w:val="clear" w:color="auto" w:fill="FFFFFF"/>
        </w:rPr>
        <w:t>Table of Materials</w:t>
      </w:r>
      <w:r w:rsidR="005B034C" w:rsidRPr="005B034C">
        <w:rPr>
          <w:rFonts w:asciiTheme="minorHAnsi" w:hAnsiTheme="minorHAnsi" w:cstheme="minorHAnsi"/>
          <w:color w:val="auto"/>
          <w:shd w:val="clear" w:color="auto" w:fill="FFFFFF"/>
        </w:rPr>
        <w:t>)</w:t>
      </w:r>
      <w:r w:rsidR="00E37B1C" w:rsidRPr="005B034C">
        <w:rPr>
          <w:rFonts w:asciiTheme="minorHAnsi" w:hAnsiTheme="minorHAnsi" w:cstheme="minorHAnsi"/>
          <w:color w:val="auto"/>
          <w:shd w:val="clear" w:color="auto" w:fill="FFFFFF"/>
          <w:lang w:val="sl-SI"/>
        </w:rPr>
        <w:t>.</w:t>
      </w:r>
      <w:r w:rsidR="00E37B1C" w:rsidRPr="005B034C">
        <w:rPr>
          <w:rFonts w:asciiTheme="minorHAnsi" w:hAnsiTheme="minorHAnsi" w:cstheme="minorHAnsi"/>
          <w:b/>
          <w:color w:val="auto"/>
          <w:shd w:val="clear" w:color="auto" w:fill="FFFFFF"/>
          <w:lang w:val="sl-SI"/>
        </w:rPr>
        <w:t xml:space="preserve"> B</w:t>
      </w:r>
      <w:r w:rsidR="005B034C" w:rsidRPr="005B034C">
        <w:rPr>
          <w:rFonts w:asciiTheme="minorHAnsi" w:hAnsiTheme="minorHAnsi" w:cstheme="minorHAnsi"/>
          <w:color w:val="auto"/>
          <w:shd w:val="clear" w:color="auto" w:fill="FFFFFF"/>
          <w:lang w:val="sl-SI"/>
        </w:rPr>
        <w:t>)</w:t>
      </w:r>
      <w:r w:rsidR="00E37B1C" w:rsidRPr="005B034C">
        <w:rPr>
          <w:rFonts w:asciiTheme="minorHAnsi" w:hAnsiTheme="minorHAnsi" w:cstheme="minorHAnsi"/>
          <w:color w:val="auto"/>
          <w:shd w:val="clear" w:color="auto" w:fill="FFFFFF"/>
          <w:lang w:val="sl-SI"/>
        </w:rPr>
        <w:t xml:space="preserve"> </w:t>
      </w:r>
      <w:r w:rsidR="00DA6E69" w:rsidRPr="005B034C">
        <w:rPr>
          <w:rFonts w:asciiTheme="minorHAnsi" w:hAnsiTheme="minorHAnsi" w:cstheme="minorHAnsi"/>
          <w:color w:val="auto"/>
          <w:shd w:val="clear" w:color="auto" w:fill="FFFFFF"/>
        </w:rPr>
        <w:t>G</w:t>
      </w:r>
      <w:r w:rsidR="00E37B1C" w:rsidRPr="005B034C">
        <w:rPr>
          <w:rFonts w:asciiTheme="minorHAnsi" w:hAnsiTheme="minorHAnsi" w:cstheme="minorHAnsi"/>
          <w:color w:val="auto"/>
          <w:shd w:val="clear" w:color="auto" w:fill="FFFFFF"/>
        </w:rPr>
        <w:t>el imager</w:t>
      </w:r>
      <w:r w:rsidR="00E37B1C" w:rsidRPr="005B034C">
        <w:rPr>
          <w:rFonts w:asciiTheme="minorHAnsi" w:hAnsiTheme="minorHAnsi" w:cstheme="minorHAnsi"/>
          <w:color w:val="auto"/>
          <w:shd w:val="clear" w:color="auto" w:fill="FFFFFF"/>
          <w:lang w:val="sl-SI"/>
        </w:rPr>
        <w:t xml:space="preserve"> </w:t>
      </w:r>
      <w:r w:rsidR="00E37B1C" w:rsidRPr="005B034C">
        <w:rPr>
          <w:rFonts w:asciiTheme="minorHAnsi" w:hAnsiTheme="minorHAnsi" w:cstheme="minorHAnsi"/>
          <w:color w:val="auto"/>
          <w:shd w:val="clear" w:color="auto" w:fill="FFFFFF"/>
        </w:rPr>
        <w:t xml:space="preserve">with photo-documentation system consisting of a CCD camera, </w:t>
      </w:r>
      <w:r w:rsidR="007C4274">
        <w:rPr>
          <w:rFonts w:asciiTheme="minorHAnsi" w:hAnsiTheme="minorHAnsi" w:cstheme="minorHAnsi"/>
          <w:color w:val="auto"/>
          <w:shd w:val="clear" w:color="auto" w:fill="FFFFFF"/>
        </w:rPr>
        <w:t xml:space="preserve">a </w:t>
      </w:r>
      <w:r w:rsidR="00E37B1C" w:rsidRPr="005B034C">
        <w:rPr>
          <w:rFonts w:asciiTheme="minorHAnsi" w:hAnsiTheme="minorHAnsi" w:cstheme="minorHAnsi"/>
          <w:color w:val="auto"/>
          <w:shd w:val="clear" w:color="auto" w:fill="FFFFFF"/>
        </w:rPr>
        <w:t>chamber with suitable trans/illuminating lights</w:t>
      </w:r>
      <w:r w:rsidR="007C4274">
        <w:rPr>
          <w:rFonts w:asciiTheme="minorHAnsi" w:hAnsiTheme="minorHAnsi" w:cstheme="minorHAnsi"/>
          <w:color w:val="auto"/>
          <w:shd w:val="clear" w:color="auto" w:fill="FFFFFF"/>
        </w:rPr>
        <w:t>,</w:t>
      </w:r>
      <w:r w:rsidR="00E37B1C" w:rsidRPr="005B034C">
        <w:rPr>
          <w:rFonts w:asciiTheme="minorHAnsi" w:hAnsiTheme="minorHAnsi" w:cstheme="minorHAnsi"/>
          <w:color w:val="auto"/>
          <w:shd w:val="clear" w:color="auto" w:fill="FFFFFF"/>
        </w:rPr>
        <w:t xml:space="preserve"> and </w:t>
      </w:r>
      <w:r w:rsidR="007C4274">
        <w:rPr>
          <w:rFonts w:asciiTheme="minorHAnsi" w:hAnsiTheme="minorHAnsi" w:cstheme="minorHAnsi"/>
          <w:color w:val="auto"/>
          <w:shd w:val="clear" w:color="auto" w:fill="FFFFFF"/>
        </w:rPr>
        <w:t xml:space="preserve">a </w:t>
      </w:r>
      <w:r w:rsidR="00E37B1C" w:rsidRPr="005B034C">
        <w:rPr>
          <w:rFonts w:asciiTheme="minorHAnsi" w:hAnsiTheme="minorHAnsi" w:cstheme="minorHAnsi"/>
          <w:color w:val="auto"/>
          <w:shd w:val="clear" w:color="auto" w:fill="FFFFFF"/>
        </w:rPr>
        <w:t>photographic filter is shown</w:t>
      </w:r>
      <w:r w:rsidR="00D550F7" w:rsidRPr="005B034C">
        <w:rPr>
          <w:rFonts w:asciiTheme="minorHAnsi" w:hAnsiTheme="minorHAnsi" w:cstheme="minorHAnsi"/>
          <w:color w:val="auto"/>
          <w:shd w:val="clear" w:color="auto" w:fill="FFFFFF"/>
        </w:rPr>
        <w:t xml:space="preserve"> (see </w:t>
      </w:r>
      <w:r w:rsidR="00D550F7" w:rsidRPr="005B034C">
        <w:rPr>
          <w:rFonts w:asciiTheme="minorHAnsi" w:hAnsiTheme="minorHAnsi" w:cstheme="minorHAnsi"/>
          <w:b/>
          <w:color w:val="auto"/>
          <w:shd w:val="clear" w:color="auto" w:fill="FFFFFF"/>
        </w:rPr>
        <w:t>Table of Materials</w:t>
      </w:r>
      <w:r w:rsidR="005B034C" w:rsidRPr="005B034C">
        <w:rPr>
          <w:rFonts w:asciiTheme="minorHAnsi" w:hAnsiTheme="minorHAnsi" w:cstheme="minorHAnsi"/>
          <w:color w:val="auto"/>
          <w:shd w:val="clear" w:color="auto" w:fill="FFFFFF"/>
        </w:rPr>
        <w:t>)</w:t>
      </w:r>
      <w:r w:rsidR="00D550F7" w:rsidRPr="005B034C">
        <w:rPr>
          <w:rFonts w:asciiTheme="minorHAnsi" w:hAnsiTheme="minorHAnsi" w:cstheme="minorHAnsi"/>
          <w:color w:val="auto"/>
          <w:shd w:val="clear" w:color="auto" w:fill="FFFFFF"/>
          <w:lang w:val="sl-SI"/>
        </w:rPr>
        <w:t>.</w:t>
      </w:r>
    </w:p>
    <w:p w14:paraId="0FC0F4AB" w14:textId="77777777" w:rsidR="00725F40" w:rsidRPr="005B034C" w:rsidRDefault="00725F40" w:rsidP="006820EA">
      <w:pPr>
        <w:rPr>
          <w:rFonts w:asciiTheme="minorHAnsi" w:hAnsiTheme="minorHAnsi" w:cstheme="minorHAnsi"/>
          <w:color w:val="auto"/>
          <w:shd w:val="clear" w:color="auto" w:fill="FFFFFF"/>
        </w:rPr>
      </w:pPr>
    </w:p>
    <w:p w14:paraId="66FB7AEA" w14:textId="72DE79BE" w:rsidR="00E37B1C" w:rsidRPr="005B034C" w:rsidRDefault="00450274" w:rsidP="006820EA">
      <w:pPr>
        <w:rPr>
          <w:rFonts w:asciiTheme="minorHAnsi" w:hAnsiTheme="minorHAnsi" w:cstheme="minorHAnsi"/>
          <w:bCs/>
          <w:color w:val="auto"/>
          <w:shd w:val="clear" w:color="auto" w:fill="FFFFFF"/>
          <w:lang w:val="sl-SI"/>
        </w:rPr>
      </w:pPr>
      <w:r w:rsidRPr="005B034C">
        <w:rPr>
          <w:rFonts w:asciiTheme="minorHAnsi" w:hAnsiTheme="minorHAnsi" w:cstheme="minorHAnsi"/>
          <w:b/>
          <w:bCs/>
          <w:color w:val="auto"/>
          <w:shd w:val="clear" w:color="auto" w:fill="FFFFFF"/>
        </w:rPr>
        <w:t>Figure 6</w:t>
      </w:r>
      <w:r w:rsidR="00E37B1C" w:rsidRPr="005B034C">
        <w:rPr>
          <w:rFonts w:asciiTheme="minorHAnsi" w:hAnsiTheme="minorHAnsi" w:cstheme="minorHAnsi"/>
          <w:b/>
          <w:bCs/>
          <w:color w:val="auto"/>
          <w:shd w:val="clear" w:color="auto" w:fill="FFFFFF"/>
        </w:rPr>
        <w:t xml:space="preserve">. </w:t>
      </w:r>
      <w:r w:rsidR="00E37B1C" w:rsidRPr="005B034C">
        <w:rPr>
          <w:rFonts w:asciiTheme="minorHAnsi" w:hAnsiTheme="minorHAnsi" w:cstheme="minorHAnsi"/>
          <w:b/>
          <w:color w:val="auto"/>
          <w:shd w:val="clear" w:color="auto" w:fill="FFFFFF"/>
        </w:rPr>
        <w:t>Loading the gel</w:t>
      </w:r>
      <w:r w:rsidR="00875B24" w:rsidRPr="005B034C">
        <w:rPr>
          <w:rFonts w:asciiTheme="minorHAnsi" w:hAnsiTheme="minorHAnsi" w:cstheme="minorHAnsi"/>
          <w:b/>
          <w:color w:val="auto"/>
          <w:shd w:val="clear" w:color="auto" w:fill="FFFFFF"/>
        </w:rPr>
        <w:t xml:space="preserve"> </w:t>
      </w:r>
      <w:r w:rsidR="00E37B1C" w:rsidRPr="005B034C">
        <w:rPr>
          <w:rFonts w:asciiTheme="minorHAnsi" w:hAnsiTheme="minorHAnsi" w:cstheme="minorHAnsi"/>
          <w:b/>
          <w:color w:val="auto"/>
          <w:shd w:val="clear" w:color="auto" w:fill="FFFFFF"/>
        </w:rPr>
        <w:t>with diluted samples</w:t>
      </w:r>
      <w:r w:rsidR="00E37B1C" w:rsidRPr="005B034C">
        <w:rPr>
          <w:rFonts w:asciiTheme="minorHAnsi" w:hAnsiTheme="minorHAnsi" w:cstheme="minorHAnsi"/>
          <w:b/>
          <w:color w:val="auto"/>
          <w:shd w:val="clear" w:color="auto" w:fill="FFFFFF"/>
          <w:lang w:val="sl-SI"/>
        </w:rPr>
        <w:t xml:space="preserve"> and</w:t>
      </w:r>
      <w:r w:rsidR="00E37B1C" w:rsidRPr="005B034C">
        <w:rPr>
          <w:rFonts w:asciiTheme="minorHAnsi" w:hAnsiTheme="minorHAnsi" w:cstheme="minorHAnsi"/>
          <w:b/>
          <w:color w:val="auto"/>
          <w:shd w:val="clear" w:color="auto" w:fill="FFFFFF"/>
        </w:rPr>
        <w:t xml:space="preserve"> DNA size standard solution or RNase and DNase free H</w:t>
      </w:r>
      <w:r w:rsidR="006F3389" w:rsidRPr="005B034C">
        <w:rPr>
          <w:rFonts w:asciiTheme="minorHAnsi" w:hAnsiTheme="minorHAnsi" w:cstheme="minorHAnsi"/>
          <w:b/>
          <w:color w:val="auto"/>
          <w:shd w:val="clear" w:color="auto" w:fill="FFFFFF"/>
          <w:vertAlign w:val="subscript"/>
        </w:rPr>
        <w:t>2</w:t>
      </w:r>
      <w:r w:rsidR="00E37B1C" w:rsidRPr="005B034C">
        <w:rPr>
          <w:rFonts w:asciiTheme="minorHAnsi" w:hAnsiTheme="minorHAnsi" w:cstheme="minorHAnsi"/>
          <w:b/>
          <w:color w:val="auto"/>
          <w:shd w:val="clear" w:color="auto" w:fill="FFFFFF"/>
        </w:rPr>
        <w:t>O</w:t>
      </w:r>
      <w:r w:rsidR="00E37B1C" w:rsidRPr="005B034C">
        <w:rPr>
          <w:rFonts w:asciiTheme="minorHAnsi" w:hAnsiTheme="minorHAnsi" w:cstheme="minorHAnsi"/>
          <w:b/>
          <w:color w:val="auto"/>
          <w:shd w:val="clear" w:color="auto" w:fill="FFFFFF"/>
          <w:lang w:val="sl-SI"/>
        </w:rPr>
        <w:t xml:space="preserve"> for empty wells</w:t>
      </w:r>
      <w:r w:rsidR="00E37B1C" w:rsidRPr="005B034C">
        <w:rPr>
          <w:rFonts w:asciiTheme="minorHAnsi" w:hAnsiTheme="minorHAnsi" w:cstheme="minorHAnsi"/>
          <w:b/>
          <w:color w:val="auto"/>
          <w:shd w:val="clear" w:color="auto" w:fill="FFFFFF"/>
        </w:rPr>
        <w:t>.</w:t>
      </w:r>
    </w:p>
    <w:p w14:paraId="06E5DBAE" w14:textId="77777777" w:rsidR="00725F40" w:rsidRPr="005B034C" w:rsidRDefault="00725F40" w:rsidP="006820EA">
      <w:pPr>
        <w:rPr>
          <w:rFonts w:asciiTheme="minorHAnsi" w:hAnsiTheme="minorHAnsi" w:cstheme="minorHAnsi"/>
          <w:color w:val="auto"/>
          <w:shd w:val="clear" w:color="auto" w:fill="FFFFFF"/>
        </w:rPr>
      </w:pPr>
    </w:p>
    <w:p w14:paraId="118372AD" w14:textId="0A39C547" w:rsidR="00E37B1C" w:rsidRPr="005B034C" w:rsidRDefault="00450274" w:rsidP="006820EA">
      <w:pPr>
        <w:rPr>
          <w:rFonts w:asciiTheme="minorHAnsi" w:hAnsiTheme="minorHAnsi" w:cstheme="minorHAnsi"/>
          <w:bCs/>
          <w:color w:val="auto"/>
          <w:shd w:val="clear" w:color="auto" w:fill="FFFFFF"/>
          <w:lang w:val="sl-SI"/>
        </w:rPr>
      </w:pPr>
      <w:r w:rsidRPr="005B034C">
        <w:rPr>
          <w:rFonts w:asciiTheme="minorHAnsi" w:hAnsiTheme="minorHAnsi" w:cstheme="minorHAnsi"/>
          <w:b/>
          <w:bCs/>
          <w:color w:val="auto"/>
          <w:shd w:val="clear" w:color="auto" w:fill="FFFFFF"/>
        </w:rPr>
        <w:t>Figure 7</w:t>
      </w:r>
      <w:r w:rsidR="00E37B1C" w:rsidRPr="005B034C">
        <w:rPr>
          <w:rFonts w:asciiTheme="minorHAnsi" w:hAnsiTheme="minorHAnsi" w:cstheme="minorHAnsi"/>
          <w:b/>
          <w:bCs/>
          <w:color w:val="auto"/>
          <w:shd w:val="clear" w:color="auto" w:fill="FFFFFF"/>
        </w:rPr>
        <w:t xml:space="preserve">. </w:t>
      </w:r>
      <w:r w:rsidR="00E37B1C" w:rsidRPr="005B034C">
        <w:rPr>
          <w:rFonts w:asciiTheme="minorHAnsi" w:hAnsiTheme="minorHAnsi" w:cstheme="minorHAnsi"/>
          <w:b/>
          <w:bCs/>
          <w:color w:val="auto"/>
          <w:shd w:val="clear" w:color="auto" w:fill="FFFFFF"/>
          <w:lang w:val="en-GB"/>
        </w:rPr>
        <w:t xml:space="preserve">Analyses of </w:t>
      </w:r>
      <w:r w:rsidR="00820739" w:rsidRPr="005B034C">
        <w:rPr>
          <w:rFonts w:asciiTheme="minorHAnsi" w:hAnsiTheme="minorHAnsi" w:cstheme="minorHAnsi"/>
          <w:b/>
          <w:bCs/>
          <w:color w:val="auto"/>
          <w:shd w:val="clear" w:color="auto" w:fill="FFFFFF"/>
          <w:lang w:val="en-GB"/>
        </w:rPr>
        <w:t xml:space="preserve">the qPCR </w:t>
      </w:r>
      <w:r w:rsidR="00E37B1C" w:rsidRPr="005B034C">
        <w:rPr>
          <w:rFonts w:asciiTheme="minorHAnsi" w:hAnsiTheme="minorHAnsi" w:cstheme="minorHAnsi"/>
          <w:b/>
          <w:bCs/>
          <w:color w:val="auto"/>
          <w:shd w:val="clear" w:color="auto" w:fill="FFFFFF"/>
          <w:lang w:val="en-GB"/>
        </w:rPr>
        <w:t>HRM products on gel</w:t>
      </w:r>
      <w:r w:rsidR="00875B24" w:rsidRPr="005B034C">
        <w:rPr>
          <w:rFonts w:asciiTheme="minorHAnsi" w:hAnsiTheme="minorHAnsi" w:cstheme="minorHAnsi"/>
          <w:b/>
          <w:bCs/>
          <w:color w:val="auto"/>
          <w:shd w:val="clear" w:color="auto" w:fill="FFFFFF"/>
          <w:lang w:val="en-GB"/>
        </w:rPr>
        <w:t xml:space="preserve"> </w:t>
      </w:r>
      <w:r w:rsidR="00E37B1C" w:rsidRPr="005B034C">
        <w:rPr>
          <w:rFonts w:asciiTheme="minorHAnsi" w:hAnsiTheme="minorHAnsi" w:cstheme="minorHAnsi"/>
          <w:b/>
          <w:bCs/>
          <w:color w:val="auto"/>
          <w:shd w:val="clear" w:color="auto" w:fill="FFFFFF"/>
          <w:lang w:val="en-GB"/>
        </w:rPr>
        <w:t>electrophoresis.</w:t>
      </w:r>
      <w:r w:rsidR="00E37B1C" w:rsidRPr="005B034C">
        <w:rPr>
          <w:rFonts w:asciiTheme="minorHAnsi" w:hAnsiTheme="minorHAnsi" w:cstheme="minorHAnsi"/>
          <w:bCs/>
          <w:color w:val="auto"/>
          <w:shd w:val="clear" w:color="auto" w:fill="FFFFFF"/>
          <w:lang w:val="en-GB"/>
        </w:rPr>
        <w:t xml:space="preserve"> The </w:t>
      </w:r>
      <w:r w:rsidR="00820739" w:rsidRPr="005B034C">
        <w:rPr>
          <w:rFonts w:asciiTheme="minorHAnsi" w:hAnsiTheme="minorHAnsi" w:cstheme="minorHAnsi"/>
          <w:bCs/>
          <w:color w:val="auto"/>
          <w:shd w:val="clear" w:color="auto" w:fill="FFFFFF"/>
          <w:lang w:val="en-GB"/>
        </w:rPr>
        <w:t>gel</w:t>
      </w:r>
      <w:r w:rsidR="00875B24" w:rsidRPr="005B034C">
        <w:rPr>
          <w:rFonts w:asciiTheme="minorHAnsi" w:hAnsiTheme="minorHAnsi" w:cstheme="minorHAnsi"/>
          <w:bCs/>
          <w:color w:val="auto"/>
          <w:shd w:val="clear" w:color="auto" w:fill="FFFFFF"/>
          <w:lang w:val="en-GB"/>
        </w:rPr>
        <w:t xml:space="preserve"> </w:t>
      </w:r>
      <w:r w:rsidR="00E37B1C" w:rsidRPr="005B034C">
        <w:rPr>
          <w:rFonts w:asciiTheme="minorHAnsi" w:hAnsiTheme="minorHAnsi" w:cstheme="minorHAnsi"/>
          <w:bCs/>
          <w:color w:val="auto"/>
          <w:shd w:val="clear" w:color="auto" w:fill="FFFFFF"/>
          <w:lang w:val="en-GB"/>
        </w:rPr>
        <w:t>was exposed to UV transilluminator. Image was taken by</w:t>
      </w:r>
      <w:r w:rsidR="00875B24" w:rsidRPr="005B034C">
        <w:rPr>
          <w:rFonts w:asciiTheme="minorHAnsi" w:hAnsiTheme="minorHAnsi" w:cstheme="minorHAnsi"/>
          <w:bCs/>
          <w:color w:val="auto"/>
          <w:shd w:val="clear" w:color="auto" w:fill="FFFFFF"/>
          <w:lang w:val="en-GB"/>
        </w:rPr>
        <w:t xml:space="preserve"> </w:t>
      </w:r>
      <w:r w:rsidR="005B034C">
        <w:rPr>
          <w:rFonts w:asciiTheme="minorHAnsi" w:hAnsiTheme="minorHAnsi" w:cstheme="minorHAnsi"/>
          <w:bCs/>
          <w:color w:val="auto"/>
          <w:shd w:val="clear" w:color="auto" w:fill="FFFFFF"/>
          <w:lang w:val="en-GB"/>
        </w:rPr>
        <w:t xml:space="preserve">the </w:t>
      </w:r>
      <w:r w:rsidR="00E37B1C" w:rsidRPr="005B034C">
        <w:rPr>
          <w:rFonts w:asciiTheme="minorHAnsi" w:hAnsiTheme="minorHAnsi" w:cstheme="minorHAnsi"/>
          <w:bCs/>
          <w:color w:val="auto"/>
          <w:shd w:val="clear" w:color="auto" w:fill="FFFFFF"/>
          <w:lang w:val="en-GB"/>
        </w:rPr>
        <w:t>photo-documentation system (</w:t>
      </w:r>
      <w:r w:rsidRPr="005B034C">
        <w:rPr>
          <w:rFonts w:asciiTheme="minorHAnsi" w:hAnsiTheme="minorHAnsi" w:cstheme="minorHAnsi"/>
          <w:b/>
          <w:color w:val="auto"/>
          <w:shd w:val="clear" w:color="auto" w:fill="FFFFFF"/>
          <w:lang w:val="en-GB"/>
        </w:rPr>
        <w:t>Figure 5</w:t>
      </w:r>
      <w:r w:rsidR="00E37B1C" w:rsidRPr="005B034C">
        <w:rPr>
          <w:rFonts w:asciiTheme="minorHAnsi" w:hAnsiTheme="minorHAnsi" w:cstheme="minorHAnsi"/>
          <w:b/>
          <w:color w:val="auto"/>
          <w:shd w:val="clear" w:color="auto" w:fill="FFFFFF"/>
          <w:lang w:val="en-GB"/>
        </w:rPr>
        <w:t>B</w:t>
      </w:r>
      <w:r w:rsidR="005B034C" w:rsidRPr="005B034C">
        <w:rPr>
          <w:rFonts w:asciiTheme="minorHAnsi" w:hAnsiTheme="minorHAnsi" w:cstheme="minorHAnsi"/>
          <w:color w:val="auto"/>
          <w:shd w:val="clear" w:color="auto" w:fill="FFFFFF"/>
          <w:lang w:val="en-GB"/>
        </w:rPr>
        <w:t>)</w:t>
      </w:r>
      <w:r w:rsidR="00E37B1C" w:rsidRPr="005B034C">
        <w:rPr>
          <w:rFonts w:asciiTheme="minorHAnsi" w:hAnsiTheme="minorHAnsi" w:cstheme="minorHAnsi"/>
          <w:bCs/>
          <w:color w:val="auto"/>
          <w:shd w:val="clear" w:color="auto" w:fill="FFFFFF"/>
          <w:lang w:val="en-GB"/>
        </w:rPr>
        <w:t>. Wells from 1 to 3 show controls: 52 bp deletion (type 1 mutation</w:t>
      </w:r>
      <w:r w:rsidR="005B034C" w:rsidRPr="005B034C">
        <w:rPr>
          <w:rFonts w:asciiTheme="minorHAnsi" w:hAnsiTheme="minorHAnsi" w:cstheme="minorHAnsi"/>
          <w:color w:val="auto"/>
          <w:shd w:val="clear" w:color="auto" w:fill="FFFFFF"/>
          <w:lang w:val="en-GB"/>
        </w:rPr>
        <w:t>)</w:t>
      </w:r>
      <w:r w:rsidR="00E37B1C" w:rsidRPr="005B034C">
        <w:rPr>
          <w:rFonts w:asciiTheme="minorHAnsi" w:hAnsiTheme="minorHAnsi" w:cstheme="minorHAnsi"/>
          <w:bCs/>
          <w:color w:val="auto"/>
          <w:shd w:val="clear" w:color="auto" w:fill="FFFFFF"/>
          <w:lang w:val="en-GB"/>
        </w:rPr>
        <w:t>, 5 bp insertion (type 2 mutation</w:t>
      </w:r>
      <w:r w:rsidR="005B034C" w:rsidRPr="005B034C">
        <w:rPr>
          <w:rFonts w:asciiTheme="minorHAnsi" w:hAnsiTheme="minorHAnsi" w:cstheme="minorHAnsi"/>
          <w:color w:val="auto"/>
          <w:shd w:val="clear" w:color="auto" w:fill="FFFFFF"/>
          <w:lang w:val="en-GB"/>
        </w:rPr>
        <w:t>)</w:t>
      </w:r>
      <w:r w:rsidR="00E37B1C" w:rsidRPr="005B034C">
        <w:rPr>
          <w:rFonts w:asciiTheme="minorHAnsi" w:hAnsiTheme="minorHAnsi" w:cstheme="minorHAnsi"/>
          <w:bCs/>
          <w:color w:val="auto"/>
          <w:shd w:val="clear" w:color="auto" w:fill="FFFFFF"/>
          <w:lang w:val="en-GB"/>
        </w:rPr>
        <w:t xml:space="preserve"> and wild-type variant</w:t>
      </w:r>
      <w:r w:rsidR="005A0BD2" w:rsidRPr="005B034C">
        <w:rPr>
          <w:rFonts w:asciiTheme="minorHAnsi" w:hAnsiTheme="minorHAnsi" w:cstheme="minorHAnsi"/>
          <w:bCs/>
          <w:color w:val="auto"/>
          <w:shd w:val="clear" w:color="auto" w:fill="FFFFFF"/>
          <w:lang w:val="en-GB"/>
        </w:rPr>
        <w:t>, respectively</w:t>
      </w:r>
      <w:r w:rsidR="00E37B1C" w:rsidRPr="005B034C">
        <w:rPr>
          <w:rFonts w:asciiTheme="minorHAnsi" w:hAnsiTheme="minorHAnsi" w:cstheme="minorHAnsi"/>
          <w:bCs/>
          <w:color w:val="auto"/>
          <w:shd w:val="clear" w:color="auto" w:fill="FFFFFF"/>
          <w:lang w:val="en-GB"/>
        </w:rPr>
        <w:t>. The band pattern of the unknown samples in the wells 4-10 indicates them as the wild-type genetic variant. The M well represents</w:t>
      </w:r>
      <w:r w:rsidR="00E37B1C" w:rsidRPr="005B034C">
        <w:rPr>
          <w:rFonts w:asciiTheme="minorHAnsi" w:hAnsiTheme="minorHAnsi" w:cstheme="minorHAnsi"/>
          <w:bCs/>
          <w:color w:val="auto"/>
          <w:shd w:val="clear" w:color="auto" w:fill="FFFFFF"/>
          <w:lang w:val="sl-SI"/>
        </w:rPr>
        <w:t xml:space="preserve"> </w:t>
      </w:r>
      <w:r w:rsidR="00E37B1C" w:rsidRPr="005B034C">
        <w:rPr>
          <w:rFonts w:asciiTheme="minorHAnsi" w:hAnsiTheme="minorHAnsi" w:cstheme="minorHAnsi"/>
          <w:bCs/>
          <w:color w:val="auto"/>
          <w:shd w:val="clear" w:color="auto" w:fill="FFFFFF"/>
          <w:lang w:val="en-GB"/>
        </w:rPr>
        <w:t xml:space="preserve">diluted DNA size standard solution </w:t>
      </w:r>
      <w:r w:rsidR="00E37B1C" w:rsidRPr="005B034C">
        <w:rPr>
          <w:rFonts w:asciiTheme="minorHAnsi" w:hAnsiTheme="minorHAnsi" w:cstheme="minorHAnsi"/>
          <w:bCs/>
          <w:color w:val="auto"/>
          <w:shd w:val="clear" w:color="auto" w:fill="FFFFFF"/>
          <w:lang w:val="sl-SI"/>
        </w:rPr>
        <w:t>(</w:t>
      </w:r>
      <w:r w:rsidR="00E37B1C" w:rsidRPr="005B034C">
        <w:rPr>
          <w:rFonts w:asciiTheme="minorHAnsi" w:hAnsiTheme="minorHAnsi" w:cstheme="minorHAnsi"/>
          <w:bCs/>
          <w:color w:val="auto"/>
          <w:shd w:val="clear" w:color="auto" w:fill="FFFFFF"/>
          <w:lang w:val="en-GB"/>
        </w:rPr>
        <w:t>100 to 2,000 bp</w:t>
      </w:r>
      <w:r w:rsidR="005B034C" w:rsidRPr="005B034C">
        <w:rPr>
          <w:rFonts w:asciiTheme="minorHAnsi" w:hAnsiTheme="minorHAnsi" w:cstheme="minorHAnsi"/>
          <w:color w:val="auto"/>
          <w:shd w:val="clear" w:color="auto" w:fill="FFFFFF"/>
          <w:lang w:val="sl-SI"/>
        </w:rPr>
        <w:t>)</w:t>
      </w:r>
      <w:r w:rsidR="00E37B1C" w:rsidRPr="005B034C">
        <w:rPr>
          <w:rFonts w:asciiTheme="minorHAnsi" w:hAnsiTheme="minorHAnsi" w:cstheme="minorHAnsi"/>
          <w:bCs/>
          <w:color w:val="auto"/>
          <w:shd w:val="clear" w:color="auto" w:fill="FFFFFF"/>
          <w:lang w:val="en-GB"/>
        </w:rPr>
        <w:t>.</w:t>
      </w:r>
    </w:p>
    <w:p w14:paraId="3B295C48" w14:textId="1E0076F2" w:rsidR="00725F40" w:rsidRPr="005B034C" w:rsidRDefault="006F3389" w:rsidP="006820EA">
      <w:pPr>
        <w:rPr>
          <w:rFonts w:asciiTheme="minorHAnsi" w:hAnsiTheme="minorHAnsi" w:cstheme="minorHAnsi"/>
          <w:color w:val="auto"/>
          <w:shd w:val="clear" w:color="auto" w:fill="FFFFFF"/>
        </w:rPr>
      </w:pPr>
      <w:r w:rsidRPr="005B034C">
        <w:rPr>
          <w:rFonts w:asciiTheme="minorHAnsi" w:hAnsiTheme="minorHAnsi" w:cstheme="minorHAnsi"/>
          <w:color w:val="auto"/>
          <w:shd w:val="clear" w:color="auto" w:fill="FFFFFF"/>
        </w:rPr>
        <w:tab/>
      </w:r>
    </w:p>
    <w:p w14:paraId="25FD6715" w14:textId="3655CD1D" w:rsidR="00725F40" w:rsidRPr="005B034C" w:rsidRDefault="00450274" w:rsidP="006820EA">
      <w:pPr>
        <w:rPr>
          <w:rFonts w:asciiTheme="minorHAnsi" w:hAnsiTheme="minorHAnsi" w:cstheme="minorHAnsi"/>
          <w:color w:val="auto"/>
          <w:shd w:val="clear" w:color="auto" w:fill="FFFFFF"/>
        </w:rPr>
      </w:pPr>
      <w:r w:rsidRPr="005B034C">
        <w:rPr>
          <w:rFonts w:asciiTheme="minorHAnsi" w:hAnsiTheme="minorHAnsi" w:cstheme="minorHAnsi"/>
          <w:b/>
          <w:color w:val="auto"/>
          <w:shd w:val="clear" w:color="auto" w:fill="FFFFFF"/>
        </w:rPr>
        <w:t>Figure 8</w:t>
      </w:r>
      <w:r w:rsidR="008237F5" w:rsidRPr="005B034C">
        <w:rPr>
          <w:rFonts w:asciiTheme="minorHAnsi" w:hAnsiTheme="minorHAnsi" w:cstheme="minorHAnsi"/>
          <w:b/>
          <w:color w:val="auto"/>
          <w:shd w:val="clear" w:color="auto" w:fill="FFFFFF"/>
        </w:rPr>
        <w:t>.</w:t>
      </w:r>
      <w:r w:rsidR="008237F5" w:rsidRPr="005B034C">
        <w:rPr>
          <w:rFonts w:asciiTheme="minorHAnsi" w:hAnsiTheme="minorHAnsi" w:cstheme="minorHAnsi"/>
          <w:color w:val="auto"/>
          <w:shd w:val="clear" w:color="auto" w:fill="FFFFFF"/>
        </w:rPr>
        <w:t xml:space="preserve"> </w:t>
      </w:r>
      <w:r w:rsidR="008237F5" w:rsidRPr="005B034C">
        <w:rPr>
          <w:rFonts w:asciiTheme="minorHAnsi" w:hAnsiTheme="minorHAnsi" w:cstheme="minorHAnsi"/>
          <w:b/>
          <w:color w:val="auto"/>
          <w:shd w:val="clear" w:color="auto" w:fill="FFFFFF"/>
        </w:rPr>
        <w:t xml:space="preserve">HRM </w:t>
      </w:r>
      <w:r w:rsidR="006F3389" w:rsidRPr="005B034C">
        <w:rPr>
          <w:rFonts w:asciiTheme="minorHAnsi" w:hAnsiTheme="minorHAnsi" w:cstheme="minorHAnsi"/>
          <w:b/>
          <w:color w:val="auto"/>
          <w:shd w:val="clear" w:color="auto" w:fill="FFFFFF"/>
        </w:rPr>
        <w:t xml:space="preserve">and </w:t>
      </w:r>
      <w:r w:rsidR="006F3389" w:rsidRPr="005B034C">
        <w:rPr>
          <w:rFonts w:asciiTheme="minorHAnsi" w:hAnsiTheme="minorHAnsi" w:cstheme="minorHAnsi"/>
          <w:b/>
          <w:bCs/>
          <w:color w:val="auto"/>
          <w:shd w:val="clear" w:color="auto" w:fill="FFFFFF"/>
          <w:lang w:val="en-GB"/>
        </w:rPr>
        <w:t>gel electrophoresis</w:t>
      </w:r>
      <w:r w:rsidR="006F3389" w:rsidRPr="005B034C">
        <w:rPr>
          <w:rFonts w:asciiTheme="minorHAnsi" w:hAnsiTheme="minorHAnsi" w:cstheme="minorHAnsi"/>
          <w:b/>
          <w:color w:val="auto"/>
          <w:shd w:val="clear" w:color="auto" w:fill="FFFFFF"/>
        </w:rPr>
        <w:t xml:space="preserve"> a</w:t>
      </w:r>
      <w:r w:rsidR="008237F5" w:rsidRPr="005B034C">
        <w:rPr>
          <w:rFonts w:asciiTheme="minorHAnsi" w:hAnsiTheme="minorHAnsi" w:cstheme="minorHAnsi"/>
          <w:b/>
          <w:color w:val="auto"/>
          <w:shd w:val="clear" w:color="auto" w:fill="FFFFFF"/>
        </w:rPr>
        <w:t xml:space="preserve">nalyses of </w:t>
      </w:r>
      <w:r w:rsidR="006F3389" w:rsidRPr="005B034C">
        <w:rPr>
          <w:rFonts w:asciiTheme="minorHAnsi" w:hAnsiTheme="minorHAnsi" w:cstheme="minorHAnsi"/>
          <w:b/>
          <w:bCs/>
          <w:color w:val="auto"/>
          <w:shd w:val="clear" w:color="auto" w:fill="FFFFFF"/>
        </w:rPr>
        <w:t xml:space="preserve">the genetic variants in the </w:t>
      </w:r>
      <w:r w:rsidR="006F3389" w:rsidRPr="005B034C">
        <w:rPr>
          <w:rFonts w:asciiTheme="minorHAnsi" w:hAnsiTheme="minorHAnsi" w:cstheme="minorHAnsi"/>
          <w:b/>
          <w:bCs/>
          <w:i/>
          <w:color w:val="auto"/>
          <w:shd w:val="clear" w:color="auto" w:fill="FFFFFF"/>
        </w:rPr>
        <w:t>CALR</w:t>
      </w:r>
      <w:r w:rsidR="006F3389" w:rsidRPr="005B034C">
        <w:rPr>
          <w:rFonts w:asciiTheme="minorHAnsi" w:hAnsiTheme="minorHAnsi" w:cstheme="minorHAnsi"/>
          <w:b/>
          <w:bCs/>
          <w:color w:val="auto"/>
          <w:shd w:val="clear" w:color="auto" w:fill="FFFFFF"/>
        </w:rPr>
        <w:t xml:space="preserve"> gene</w:t>
      </w:r>
      <w:r w:rsidR="008237F5" w:rsidRPr="005B034C">
        <w:rPr>
          <w:rFonts w:asciiTheme="minorHAnsi" w:hAnsiTheme="minorHAnsi" w:cstheme="minorHAnsi"/>
          <w:b/>
          <w:color w:val="auto"/>
          <w:shd w:val="clear" w:color="auto" w:fill="FFFFFF"/>
        </w:rPr>
        <w:t>.</w:t>
      </w:r>
      <w:r w:rsidR="008237F5" w:rsidRPr="005B034C">
        <w:rPr>
          <w:rFonts w:asciiTheme="minorHAnsi" w:hAnsiTheme="minorHAnsi" w:cstheme="minorHAnsi"/>
          <w:color w:val="auto"/>
          <w:shd w:val="clear" w:color="auto" w:fill="FFFFFF"/>
        </w:rPr>
        <w:t xml:space="preserve"> </w:t>
      </w:r>
      <w:r w:rsidR="008237F5" w:rsidRPr="005B034C">
        <w:rPr>
          <w:rFonts w:asciiTheme="minorHAnsi" w:hAnsiTheme="minorHAnsi" w:cstheme="minorHAnsi"/>
          <w:b/>
          <w:color w:val="auto"/>
          <w:shd w:val="clear" w:color="auto" w:fill="FFFFFF"/>
        </w:rPr>
        <w:t>A</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 xml:space="preserve"> </w:t>
      </w:r>
      <w:r w:rsidR="006F3389" w:rsidRPr="005B034C">
        <w:rPr>
          <w:rFonts w:asciiTheme="minorHAnsi" w:hAnsiTheme="minorHAnsi" w:cstheme="minorHAnsi"/>
          <w:b/>
          <w:color w:val="auto"/>
          <w:shd w:val="clear" w:color="auto" w:fill="FFFFFF"/>
        </w:rPr>
        <w:t>HRM analyses</w:t>
      </w:r>
      <w:r w:rsidR="006F3389" w:rsidRPr="005B034C">
        <w:rPr>
          <w:rFonts w:asciiTheme="minorHAnsi" w:hAnsiTheme="minorHAnsi" w:cstheme="minorHAnsi"/>
          <w:color w:val="auto"/>
          <w:shd w:val="clear" w:color="auto" w:fill="FFFFFF"/>
        </w:rPr>
        <w:t xml:space="preserve">. </w:t>
      </w:r>
      <w:r w:rsidR="008237F5" w:rsidRPr="005B034C">
        <w:rPr>
          <w:rFonts w:asciiTheme="minorHAnsi" w:hAnsiTheme="minorHAnsi" w:cstheme="minorHAnsi"/>
          <w:color w:val="auto"/>
          <w:shd w:val="clear" w:color="auto" w:fill="FFFFFF"/>
        </w:rPr>
        <w:t xml:space="preserve">The aligned melt curves of the positive controls </w:t>
      </w:r>
      <w:bookmarkStart w:id="9" w:name="_Hlk45997946"/>
      <w:r w:rsidR="008237F5" w:rsidRPr="005B034C">
        <w:rPr>
          <w:rFonts w:asciiTheme="minorHAnsi" w:hAnsiTheme="minorHAnsi" w:cstheme="minorHAnsi"/>
          <w:color w:val="auto"/>
          <w:shd w:val="clear" w:color="auto" w:fill="FFFFFF"/>
        </w:rPr>
        <w:t>with 52 bp deletion (type 1 mutation</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 5 bp insertion (type 2 mutation</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 xml:space="preserve"> and a </w:t>
      </w:r>
      <w:proofErr w:type="gramStart"/>
      <w:r w:rsidR="008237F5" w:rsidRPr="005B034C">
        <w:rPr>
          <w:rFonts w:asciiTheme="minorHAnsi" w:hAnsiTheme="minorHAnsi" w:cstheme="minorHAnsi"/>
          <w:color w:val="auto"/>
          <w:shd w:val="clear" w:color="auto" w:fill="FFFFFF"/>
        </w:rPr>
        <w:t>wild-type</w:t>
      </w:r>
      <w:proofErr w:type="gramEnd"/>
      <w:r w:rsidR="008237F5" w:rsidRPr="005B034C">
        <w:rPr>
          <w:rFonts w:asciiTheme="minorHAnsi" w:hAnsiTheme="minorHAnsi" w:cstheme="minorHAnsi"/>
          <w:color w:val="auto"/>
          <w:shd w:val="clear" w:color="auto" w:fill="FFFFFF"/>
        </w:rPr>
        <w:t xml:space="preserve"> </w:t>
      </w:r>
      <w:bookmarkEnd w:id="9"/>
      <w:r w:rsidR="008237F5" w:rsidRPr="005B034C">
        <w:rPr>
          <w:rFonts w:asciiTheme="minorHAnsi" w:hAnsiTheme="minorHAnsi" w:cstheme="minorHAnsi"/>
          <w:color w:val="auto"/>
          <w:shd w:val="clear" w:color="auto" w:fill="FFFFFF"/>
        </w:rPr>
        <w:t xml:space="preserve">are shown as orange, purple and red color, respectively. The unknown sample with the different genetic variant is indicated as dark blue color. </w:t>
      </w:r>
      <w:r w:rsidR="008237F5" w:rsidRPr="005B034C">
        <w:rPr>
          <w:rFonts w:asciiTheme="minorHAnsi" w:hAnsiTheme="minorHAnsi" w:cstheme="minorHAnsi"/>
          <w:b/>
          <w:color w:val="auto"/>
          <w:shd w:val="clear" w:color="auto" w:fill="FFFFFF"/>
        </w:rPr>
        <w:t>B</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 xml:space="preserve"> </w:t>
      </w:r>
      <w:r w:rsidR="0089666B" w:rsidRPr="005B034C">
        <w:rPr>
          <w:rFonts w:asciiTheme="minorHAnsi" w:hAnsiTheme="minorHAnsi" w:cstheme="minorHAnsi"/>
          <w:color w:val="auto"/>
          <w:shd w:val="clear" w:color="auto" w:fill="FFFFFF"/>
          <w:lang w:val="en-GB"/>
        </w:rPr>
        <w:t>G</w:t>
      </w:r>
      <w:r w:rsidR="006F3389" w:rsidRPr="005B034C">
        <w:rPr>
          <w:rFonts w:asciiTheme="minorHAnsi" w:hAnsiTheme="minorHAnsi" w:cstheme="minorHAnsi"/>
          <w:color w:val="auto"/>
          <w:shd w:val="clear" w:color="auto" w:fill="FFFFFF"/>
          <w:lang w:val="en-GB"/>
        </w:rPr>
        <w:t>el electrophoresis</w:t>
      </w:r>
      <w:r w:rsidR="006F3389" w:rsidRPr="005B034C">
        <w:rPr>
          <w:rFonts w:asciiTheme="minorHAnsi" w:hAnsiTheme="minorHAnsi" w:cstheme="minorHAnsi"/>
          <w:color w:val="auto"/>
          <w:shd w:val="clear" w:color="auto" w:fill="FFFFFF"/>
        </w:rPr>
        <w:t xml:space="preserve"> analyses. </w:t>
      </w:r>
      <w:r w:rsidR="008237F5" w:rsidRPr="005B034C">
        <w:rPr>
          <w:rFonts w:asciiTheme="minorHAnsi" w:hAnsiTheme="minorHAnsi" w:cstheme="minorHAnsi"/>
          <w:color w:val="auto"/>
          <w:shd w:val="clear" w:color="auto" w:fill="FFFFFF"/>
        </w:rPr>
        <w:t>Wells fr</w:t>
      </w:r>
      <w:r w:rsidR="000D4F7A" w:rsidRPr="005B034C">
        <w:rPr>
          <w:rFonts w:asciiTheme="minorHAnsi" w:hAnsiTheme="minorHAnsi" w:cstheme="minorHAnsi"/>
          <w:color w:val="auto"/>
          <w:shd w:val="clear" w:color="auto" w:fill="FFFFFF"/>
        </w:rPr>
        <w:t xml:space="preserve">om 1 to 3 show controls: </w:t>
      </w:r>
      <w:r w:rsidR="008237F5" w:rsidRPr="005B034C">
        <w:rPr>
          <w:rFonts w:asciiTheme="minorHAnsi" w:hAnsiTheme="minorHAnsi" w:cstheme="minorHAnsi"/>
          <w:color w:val="auto"/>
          <w:shd w:val="clear" w:color="auto" w:fill="FFFFFF"/>
        </w:rPr>
        <w:t>52 bp deletion (type 1 mutation</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 5 bp insertion (type 2 mutation</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 xml:space="preserve"> and wild-type variant</w:t>
      </w:r>
      <w:r w:rsidR="006F3389" w:rsidRPr="005B034C">
        <w:rPr>
          <w:rFonts w:asciiTheme="minorHAnsi" w:hAnsiTheme="minorHAnsi" w:cstheme="minorHAnsi"/>
          <w:color w:val="auto"/>
          <w:shd w:val="clear" w:color="auto" w:fill="FFFFFF"/>
        </w:rPr>
        <w:t xml:space="preserve">, </w:t>
      </w:r>
      <w:r w:rsidR="000D4F7A" w:rsidRPr="005B034C">
        <w:rPr>
          <w:rFonts w:asciiTheme="minorHAnsi" w:hAnsiTheme="minorHAnsi" w:cstheme="minorHAnsi"/>
          <w:color w:val="auto"/>
          <w:shd w:val="clear" w:color="auto" w:fill="FFFFFF"/>
        </w:rPr>
        <w:t>respectivel</w:t>
      </w:r>
      <w:r w:rsidR="006F3389" w:rsidRPr="005B034C">
        <w:rPr>
          <w:rFonts w:asciiTheme="minorHAnsi" w:hAnsiTheme="minorHAnsi" w:cstheme="minorHAnsi"/>
          <w:color w:val="auto"/>
          <w:shd w:val="clear" w:color="auto" w:fill="FFFFFF"/>
        </w:rPr>
        <w:t>y</w:t>
      </w:r>
      <w:r w:rsidR="008237F5" w:rsidRPr="005B034C">
        <w:rPr>
          <w:rFonts w:asciiTheme="minorHAnsi" w:hAnsiTheme="minorHAnsi" w:cstheme="minorHAnsi"/>
          <w:color w:val="auto"/>
          <w:shd w:val="clear" w:color="auto" w:fill="FFFFFF"/>
        </w:rPr>
        <w:t xml:space="preserve">. The band pattern of the unknown sample in the lane 9 indicates the different genetic variant as controls. Other unknown samples are the wild-type variant. The M well represents </w:t>
      </w:r>
      <w:r w:rsidR="00A231ED">
        <w:rPr>
          <w:rFonts w:asciiTheme="minorHAnsi" w:hAnsiTheme="minorHAnsi" w:cstheme="minorHAnsi"/>
          <w:color w:val="auto"/>
          <w:shd w:val="clear" w:color="auto" w:fill="FFFFFF"/>
        </w:rPr>
        <w:t xml:space="preserve">the </w:t>
      </w:r>
      <w:r w:rsidR="008237F5" w:rsidRPr="005B034C">
        <w:rPr>
          <w:rFonts w:asciiTheme="minorHAnsi" w:hAnsiTheme="minorHAnsi" w:cstheme="minorHAnsi"/>
          <w:color w:val="auto"/>
          <w:shd w:val="clear" w:color="auto" w:fill="FFFFFF"/>
        </w:rPr>
        <w:t>diluted DNA size standard solution (100 to 2,000 bp</w:t>
      </w:r>
      <w:r w:rsidR="005B034C" w:rsidRPr="005B034C">
        <w:rPr>
          <w:rFonts w:asciiTheme="minorHAnsi" w:hAnsiTheme="minorHAnsi" w:cstheme="minorHAnsi"/>
          <w:color w:val="auto"/>
          <w:shd w:val="clear" w:color="auto" w:fill="FFFFFF"/>
        </w:rPr>
        <w:t>)</w:t>
      </w:r>
      <w:r w:rsidR="008237F5" w:rsidRPr="005B034C">
        <w:rPr>
          <w:rFonts w:asciiTheme="minorHAnsi" w:hAnsiTheme="minorHAnsi" w:cstheme="minorHAnsi"/>
          <w:color w:val="auto"/>
          <w:shd w:val="clear" w:color="auto" w:fill="FFFFFF"/>
        </w:rPr>
        <w:t>.</w:t>
      </w:r>
    </w:p>
    <w:p w14:paraId="22570E15" w14:textId="77777777" w:rsidR="00595896" w:rsidRPr="005B034C" w:rsidRDefault="00595896" w:rsidP="006820EA">
      <w:pPr>
        <w:rPr>
          <w:rFonts w:asciiTheme="minorHAnsi" w:hAnsiTheme="minorHAnsi" w:cstheme="minorHAnsi"/>
          <w:color w:val="auto"/>
          <w:shd w:val="clear" w:color="auto" w:fill="FFFFFF"/>
        </w:rPr>
      </w:pPr>
    </w:p>
    <w:p w14:paraId="6D9A5081" w14:textId="24F8C4E9" w:rsidR="00DA6E69" w:rsidRPr="005B034C" w:rsidRDefault="00450274" w:rsidP="006820EA">
      <w:pPr>
        <w:rPr>
          <w:rFonts w:asciiTheme="minorHAnsi" w:hAnsiTheme="minorHAnsi" w:cstheme="minorHAnsi"/>
          <w:color w:val="auto"/>
          <w:shd w:val="clear" w:color="auto" w:fill="FFFFFF"/>
        </w:rPr>
      </w:pPr>
      <w:bookmarkStart w:id="10" w:name="_Hlk45998064"/>
      <w:r w:rsidRPr="005B034C">
        <w:rPr>
          <w:rFonts w:asciiTheme="minorHAnsi" w:hAnsiTheme="minorHAnsi" w:cstheme="minorHAnsi"/>
          <w:b/>
          <w:bCs/>
          <w:color w:val="auto"/>
          <w:shd w:val="clear" w:color="auto" w:fill="FFFFFF"/>
        </w:rPr>
        <w:t>Figure 9</w:t>
      </w:r>
      <w:r w:rsidR="003B23DE" w:rsidRPr="005B034C">
        <w:rPr>
          <w:rFonts w:asciiTheme="minorHAnsi" w:hAnsiTheme="minorHAnsi" w:cstheme="minorHAnsi"/>
          <w:b/>
          <w:bCs/>
          <w:color w:val="auto"/>
          <w:shd w:val="clear" w:color="auto" w:fill="FFFFFF"/>
        </w:rPr>
        <w:t xml:space="preserve">. The limit of detection of HRM assay. </w:t>
      </w:r>
      <w:r w:rsidR="00A231ED">
        <w:rPr>
          <w:rFonts w:asciiTheme="minorHAnsi" w:hAnsiTheme="minorHAnsi" w:cstheme="minorHAnsi"/>
          <w:color w:val="auto"/>
          <w:shd w:val="clear" w:color="auto" w:fill="FFFFFF"/>
        </w:rPr>
        <w:t>A serial dilution of a</w:t>
      </w:r>
      <w:r w:rsidR="003B23DE" w:rsidRPr="005B034C">
        <w:rPr>
          <w:rFonts w:asciiTheme="minorHAnsi" w:hAnsiTheme="minorHAnsi" w:cstheme="minorHAnsi"/>
          <w:color w:val="auto"/>
          <w:shd w:val="clear" w:color="auto" w:fill="FFFFFF"/>
        </w:rPr>
        <w:t xml:space="preserve"> sample of a 52 bp deletion (type 1 mutation</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and 5 bp insertion (type 2 mutation</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w:t>
      </w:r>
      <w:r w:rsidR="00A231ED">
        <w:rPr>
          <w:rFonts w:asciiTheme="minorHAnsi" w:hAnsiTheme="minorHAnsi" w:cstheme="minorHAnsi"/>
          <w:color w:val="auto"/>
          <w:shd w:val="clear" w:color="auto" w:fill="FFFFFF"/>
        </w:rPr>
        <w:t xml:space="preserve">is presented </w:t>
      </w:r>
      <w:r w:rsidR="003B23DE" w:rsidRPr="005B034C">
        <w:rPr>
          <w:rFonts w:asciiTheme="minorHAnsi" w:hAnsiTheme="minorHAnsi" w:cstheme="minorHAnsi"/>
          <w:color w:val="auto"/>
          <w:shd w:val="clear" w:color="auto" w:fill="FFFFFF"/>
        </w:rPr>
        <w:t xml:space="preserve">displaying a genetic variant allele burden of approximately 50% according to Sanger sequencing analysis and the qPCR HRM assay according to the protocol described in this article. </w:t>
      </w:r>
      <w:r w:rsidR="003B23DE" w:rsidRPr="005B034C">
        <w:rPr>
          <w:rFonts w:asciiTheme="minorHAnsi" w:hAnsiTheme="minorHAnsi" w:cstheme="minorHAnsi"/>
          <w:b/>
          <w:bCs/>
          <w:color w:val="auto"/>
          <w:shd w:val="clear" w:color="auto" w:fill="FFFFFF"/>
        </w:rPr>
        <w:t>A</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and </w:t>
      </w:r>
      <w:r w:rsidR="003B23DE" w:rsidRPr="005B034C">
        <w:rPr>
          <w:rFonts w:asciiTheme="minorHAnsi" w:hAnsiTheme="minorHAnsi" w:cstheme="minorHAnsi"/>
          <w:b/>
          <w:bCs/>
          <w:color w:val="auto"/>
          <w:shd w:val="clear" w:color="auto" w:fill="FFFFFF"/>
        </w:rPr>
        <w:t>B</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show the aligned melt curves and difference plots for wild-type and serial dilutions of a 52 bp deletion (type 1 mutation</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w:t>
      </w:r>
      <w:r w:rsidR="003B23DE" w:rsidRPr="005B034C">
        <w:rPr>
          <w:rFonts w:asciiTheme="minorHAnsi" w:hAnsiTheme="minorHAnsi" w:cstheme="minorHAnsi"/>
          <w:b/>
          <w:bCs/>
          <w:color w:val="auto"/>
          <w:shd w:val="clear" w:color="auto" w:fill="FFFFFF"/>
        </w:rPr>
        <w:t>C</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and </w:t>
      </w:r>
      <w:r w:rsidR="003B23DE" w:rsidRPr="005B034C">
        <w:rPr>
          <w:rFonts w:asciiTheme="minorHAnsi" w:hAnsiTheme="minorHAnsi" w:cstheme="minorHAnsi"/>
          <w:b/>
          <w:bCs/>
          <w:color w:val="auto"/>
          <w:shd w:val="clear" w:color="auto" w:fill="FFFFFF"/>
        </w:rPr>
        <w:t>D</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show the aligned melt curves and difference plots for wild-type and serial dilutions of a 5 bp insertion (type 2 mutation</w:t>
      </w:r>
      <w:r w:rsidR="005B034C" w:rsidRPr="005B034C">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In either case, the </w:t>
      </w:r>
      <w:r w:rsidR="003B23DE" w:rsidRPr="005B034C">
        <w:rPr>
          <w:rFonts w:asciiTheme="minorHAnsi" w:hAnsiTheme="minorHAnsi" w:cstheme="minorHAnsi"/>
          <w:i/>
          <w:iCs/>
          <w:color w:val="auto"/>
          <w:shd w:val="clear" w:color="auto" w:fill="FFFFFF"/>
        </w:rPr>
        <w:t>CALR</w:t>
      </w:r>
      <w:r w:rsidR="003B23DE" w:rsidRPr="005B034C">
        <w:rPr>
          <w:rFonts w:asciiTheme="minorHAnsi" w:hAnsiTheme="minorHAnsi" w:cstheme="minorHAnsi"/>
          <w:color w:val="auto"/>
          <w:shd w:val="clear" w:color="auto" w:fill="FFFFFF"/>
        </w:rPr>
        <w:t xml:space="preserve"> genetic variant could be detected in up to </w:t>
      </w:r>
      <w:r w:rsidR="005268B4" w:rsidRPr="005B034C">
        <w:rPr>
          <w:rFonts w:asciiTheme="minorHAnsi" w:hAnsiTheme="minorHAnsi" w:cstheme="minorHAnsi"/>
          <w:color w:val="auto"/>
          <w:shd w:val="clear" w:color="auto" w:fill="FFFFFF"/>
        </w:rPr>
        <w:t>1</w:t>
      </w:r>
      <w:r w:rsidR="00AB78C3" w:rsidRPr="005B034C">
        <w:rPr>
          <w:rFonts w:asciiTheme="minorHAnsi" w:hAnsiTheme="minorHAnsi" w:cstheme="minorHAnsi"/>
          <w:color w:val="auto"/>
          <w:shd w:val="clear" w:color="auto" w:fill="FFFFFF"/>
        </w:rPr>
        <w:t>.</w:t>
      </w:r>
      <w:r w:rsidR="005268B4" w:rsidRPr="005B034C">
        <w:rPr>
          <w:rFonts w:asciiTheme="minorHAnsi" w:hAnsiTheme="minorHAnsi" w:cstheme="minorHAnsi"/>
          <w:color w:val="auto"/>
          <w:shd w:val="clear" w:color="auto" w:fill="FFFFFF"/>
        </w:rPr>
        <w:t>56</w:t>
      </w:r>
      <w:r w:rsidR="006E7E6E">
        <w:rPr>
          <w:rFonts w:asciiTheme="minorHAnsi" w:hAnsiTheme="minorHAnsi" w:cstheme="minorHAnsi"/>
          <w:color w:val="auto"/>
          <w:shd w:val="clear" w:color="auto" w:fill="FFFFFF"/>
        </w:rPr>
        <w:t>%</w:t>
      </w:r>
      <w:r w:rsidR="003B23DE" w:rsidRPr="005B034C">
        <w:rPr>
          <w:rFonts w:asciiTheme="minorHAnsi" w:hAnsiTheme="minorHAnsi" w:cstheme="minorHAnsi"/>
          <w:color w:val="auto"/>
          <w:shd w:val="clear" w:color="auto" w:fill="FFFFFF"/>
        </w:rPr>
        <w:t xml:space="preserve"> dilution.</w:t>
      </w:r>
      <w:bookmarkEnd w:id="10"/>
    </w:p>
    <w:p w14:paraId="37343D14" w14:textId="77777777" w:rsidR="005E6712" w:rsidRPr="005B034C" w:rsidRDefault="005E6712" w:rsidP="006820EA">
      <w:pPr>
        <w:rPr>
          <w:rFonts w:asciiTheme="minorHAnsi" w:hAnsiTheme="minorHAnsi" w:cstheme="minorHAnsi"/>
          <w:b/>
          <w:color w:val="auto"/>
        </w:rPr>
      </w:pPr>
    </w:p>
    <w:p w14:paraId="64B8CF78" w14:textId="2E741AC8" w:rsidR="006305D7" w:rsidRPr="005B034C" w:rsidRDefault="006305D7" w:rsidP="006820EA">
      <w:pPr>
        <w:rPr>
          <w:rFonts w:asciiTheme="minorHAnsi" w:hAnsiTheme="minorHAnsi" w:cstheme="minorHAnsi"/>
          <w:b/>
          <w:color w:val="auto"/>
        </w:rPr>
      </w:pPr>
      <w:r w:rsidRPr="005B034C">
        <w:rPr>
          <w:rFonts w:asciiTheme="minorHAnsi" w:hAnsiTheme="minorHAnsi" w:cstheme="minorHAnsi"/>
          <w:b/>
          <w:color w:val="auto"/>
        </w:rPr>
        <w:t>DISCUSSION</w:t>
      </w:r>
      <w:r w:rsidRPr="005B034C">
        <w:rPr>
          <w:rFonts w:asciiTheme="minorHAnsi" w:hAnsiTheme="minorHAnsi" w:cstheme="minorHAnsi"/>
          <w:b/>
          <w:bCs/>
          <w:color w:val="auto"/>
        </w:rPr>
        <w:t>:</w:t>
      </w:r>
    </w:p>
    <w:p w14:paraId="1063DE1B" w14:textId="29E62648" w:rsidR="00D10715" w:rsidRPr="005B034C" w:rsidRDefault="00927266" w:rsidP="006820EA">
      <w:pPr>
        <w:rPr>
          <w:color w:val="auto"/>
        </w:rPr>
      </w:pPr>
      <w:r w:rsidRPr="005B034C">
        <w:rPr>
          <w:rFonts w:asciiTheme="minorHAnsi" w:hAnsiTheme="minorHAnsi" w:cstheme="minorHAnsi"/>
          <w:color w:val="auto"/>
        </w:rPr>
        <w:t>High-resolution melting of DNA is a simple solution for genotyping and genetic variant scanning</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{"citationItems":[{"id":"ITEM-1","itemData":{"DOI":"10.2217/14622416.8.6.597","ISSN":"14622416","abstract":"High-resolution melting of DNA is a simple solution for genotyping, mutation scanning and sequence matching. The melting profile of a PCR product depends on its GC content, length, sequence and heterozygosity and is best monitored with saturating dyes that fluoresce in the presence of double-stranded DNA. Genotyping of most variants is possible by the melting temperature of the PCR products, while all variants can be genotyped with unlabeled probes. Mutation scanning and sequence matching depend on sequence differences that result in heteroduplexes that change the shape of the melting curve. High-resolution DNA melting has several advantages over other genotyping and scanning methods, including an inexpensive closed tube format that is homogenous, accurate and rapid. Owing to its simplicity and speed, the method is a good fit for personalized medicine as a rapid, inexpensive method to predict therapeutic response. © 2007 Future Medicine Ltd.","author":[{"dropping-particle":"","family":"Reed","given":"Gudrun H.","non-dropping-particle":"","parse-names":false,"suffix":""},{"dropping-particle":"","family":"Kent","given":"Jana O.","non-dropping-particle":"","parse-names":false,"suffix":""},{"dropping-particle":"","family":"Wittwer","given":"Carl T.","non-dropping-particle":"","parse-names":false,"suffix":""}],"container-title":"Pharmacogenomics","id":"ITEM-1","issue":"6","issued":{"date-parts":[["2007","6","1"]]},"note":"doi: 10.2217/14622416.8.6.597","page":"597-608","publisher":"Future Medicine","title":"High-resolution DNA melting analysis for simple and efficient molecular diagnostics","type":"article-journal","volume":"8"},"uris":["http://www.mendeley.com/documents/?uuid=1902496d-9b24-444f-92b3-93ce6b4a546e"]}],"mendeley":{"formattedCitation":"&lt;sup&gt;14&lt;/sup&gt;","plainTextFormattedCitation":"14","previouslyFormattedCitation":"&lt;sup&gt;13&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bCs/>
          <w:noProof/>
          <w:color w:val="auto"/>
          <w:vertAlign w:val="superscript"/>
          <w:lang w:val="sl-SI"/>
        </w:rPr>
        <w:t>14</w:t>
      </w:r>
      <w:r w:rsidR="00A34E38" w:rsidRPr="005B034C">
        <w:rPr>
          <w:rStyle w:val="FootnoteReference"/>
          <w:rFonts w:asciiTheme="minorHAnsi" w:hAnsiTheme="minorHAnsi" w:cstheme="minorHAnsi"/>
          <w:color w:val="auto"/>
        </w:rPr>
        <w:fldChar w:fldCharType="end"/>
      </w:r>
      <w:r w:rsidRPr="005B034C">
        <w:rPr>
          <w:rFonts w:asciiTheme="minorHAnsi" w:hAnsiTheme="minorHAnsi" w:cstheme="minorHAnsi"/>
          <w:color w:val="auto"/>
        </w:rPr>
        <w:t xml:space="preserve">. It depends on sequence differences that result in heteroduplexes that change the shape of the melting curve. </w:t>
      </w:r>
      <w:r w:rsidRPr="005B034C">
        <w:rPr>
          <w:color w:val="auto"/>
        </w:rPr>
        <w:t>Different types of genetic variants with diverse frequencies can be observed in the gene specific for a certain group of patients with cancer</w:t>
      </w:r>
      <w:r w:rsidR="00A34E38" w:rsidRPr="005B034C">
        <w:rPr>
          <w:rStyle w:val="FootnoteReference"/>
          <w:color w:val="auto"/>
        </w:rPr>
        <w:fldChar w:fldCharType="begin" w:fldLock="1"/>
      </w:r>
      <w:r w:rsidR="00A34E38" w:rsidRPr="005B034C">
        <w:rPr>
          <w:color w:val="auto"/>
        </w:rPr>
        <w:instrText>ADDIN CSL_CITATION {"citationItems":[{"id":"ITEM-1","itemData":{"DOI":"10.1056/NEJMoa1311347","ISSN":"15334406","abstract":"BACKGROUND: Approximately 50 to 60% of patients with essential thrombocythemia or primary myelofibrosis carry a mutation in the Janus kinase 2 gene (JAK2), and an additional 5 to 10% have activating mutations in the thrombopoietin receptor gene (MPL). So far, no specific molecular marker has been identified in the remaining 30 to 45% of patients. METHODS: We performed whole-exome sequencing to identify somatically acquired mutations in six patients who had primary myelofibrosis without mutations in JAK2 or MPL. Resequencing of CALR, encoding calreticulin, was then performed in cohorts of patients with myeloid neoplasms. RESULTS: Somatic insertions or deletions in exon 9 of CALR were detected in all patients who underwent whole-exome sequencing. Resequencing in 1107 samples from patients with myeloproliferative neoplasms showed that CALR mutations were absent in polycythemia vera. In essential thrombocythemia and primary myelofibrosis, CALR mutations and JAK2 and MPL mutations were mutually exclusive. Among patients with essential thrombocythemia or primary myelofibrosis with nonmutated JAK2 or MPL, CALR mutations were detected in 67% of those with essential thrombocythemia and 88% of those with primary myelofibrosis. A total of 36 types of insertions or deletions were identified that all cause a frameshift to the same alternative reading frame and generate a novel C-terminal peptide in the mutant calreticulin. Overexpression of the most frequent CALR deletion caused cytokine-independent growth in vitro owing to the activation of signal transducer and activator of transcription 5 (STAT5) by means of an unknown mechanism. Patients with mutated CALR had a lower risk of thrombosis and longer overall survival than patients with mutated JAK2. CONCLUSIONS: Most patients with essential thrombocythemia or primary myelofibrosis that was not associated with a JAK2 or MPL alteration carried a somatic mutation in CALR. The clinical course in these patients was more indolent than that in patients with the JAK2 V617F mutation. (Funded by the MPN Research Foundation and Associazione Italiana per la Ricerca sul Cancro.) Copyright © 2013 Massachusetts Medical Society. All rights reserved.","author":[{"dropping-particle":"","family":"Klampfl","given":"Thorsten","non-dropping-particle":"","parse-names":false,"suffix":""},{"dropping-particle":"","family":"Gisslinger","given":"Heinz","non-dropping-particle":"","parse-names":false,"suffix":""},{"dropping-particle":"","family":"Harutyunyan","given":"Ashot S.","non-dropping-particle":"","parse-names":false,"suffix":""},{"dropping-particle":"","family":"Nivarthi","given":"Harini","non-dropping-particle":"","parse-names":false,"suffix":""},{"dropping-particle":"","family":"Rumi","given":"Elisa","non-dropping-particle":"","parse-names":false,"suffix":""},{"dropping-particle":"","family":"Milosevic","given":"Jelena D.","non-dropping-particle":"","parse-names":false,"suffix":""},{"dropping-particle":"","family":"Them","given":"Nicole C.C.","non-dropping-particle":"","parse-names":false,"suffix":""},{"dropping-particle":"","family":"Berg","given":"Tiina","non-dropping-particle":"","parse-names":false,"suffix":""},{"dropping-particle":"","family":"Gisslinger","given":"Bettina","non-dropping-particle":"","parse-names":false,"suffix":""},{"dropping-particle":"","family":"Pietra","given":"Daniela","non-dropping-particle":"","parse-names":false,"suffix":""},{"dropping-particle":"","family":"Chen","given":"Doris","non-dropping-particle":"","parse-names":false,"suffix":""},{"dropping-particle":"","family":"Vladimer","given":"Gregory I.","non-dropping-particle":"","parse-names":false,"suffix":""},{"dropping-particle":"","family":"Bagienski","given":"Klaudia","non-dropping-particle":"","parse-names":false,"suffix":""},{"dropping-particle":"","family":"Milanesi","given":"Chiara","non-dropping-particle":"","parse-names":false,"suffix":""},{"dropping-particle":"","family":"Casetti","given":"Ilaria Carola","non-dropping-particle":"","parse-names":false,"suffix":""},{"dropping-particle":"","family":"Sant'Antonio","given":"Emanuela","non-dropping-particle":"","parse-names":false,"suffix":""},{"dropping-particle":"","family":"Ferretti","given":"Virginia","non-dropping-particle":"","parse-names":false,"suffix":""},{"dropping-particle":"","family":"Elena","given":"Chiara","non-dropping-particle":"","parse-names":false,"suffix":""},{"dropping-particle":"","family":"Schischlik","given":"Fiorella","non-dropping-particle":"","parse-names":false,"suffix":""},{"dropping-particle":"","family":"Cleary","given":"Ciara","non-dropping-particle":"","parse-names":false,"suffix":""},{"dropping-particle":"","family":"Six","given":"Melanie","non-dropping-particle":"","parse-names":false,"suffix":""},{"dropping-particle":"","family":"Schalling","given":"Martin","non-dropping-particle":"","parse-names":false,"suffix":""},{"dropping-particle":"","family":"Schon̈egger","given":"Andreas","non-dropping-particle":"","parse-names":false,"suffix":""},{"dropping-particle":"","family":"Bock","given":"Christoph","non-dropping-particle":"","parse-names":false,"suffix":""},{"dropping-particle":"","family":"Malcovati","given":"Luca","non-dropping-particle":"","parse-names":false,"suffix":""},{"dropping-particle":"","family":"Pascutto","given":"Cristiana","non-dropping-particle":"","parse-names":false,"suffix":""},{"dropping-particle":"","family":"Superti-Furga","given":"Giulio","non-dropping-particle":"","parse-names":false,"suffix":""},{"dropping-particle":"","family":"Cazzola","given":"Mario","non-dropping-particle":"","parse-names":false,"suffix":""},{"dropping-particle":"","family":"Kralovics","given":"Robert","non-dropping-particle":"","parse-names":false,"suffix":""}],"container-title":"New England Journal of Medicine","id":"ITEM-1","issue":"25","issued":{"date-parts":[["2013","12","10"]]},"note":"doi: 10.1056/NEJMoa1311347","page":"2379-2390","publisher":"Massachusetts Medical Society","title":"Somatic mutations of calreticulin in myeloproliferative neoplasms","type":"article-journal","volume":"369"},"uris":["http://www.mendeley.com/documents/?uuid=46462d5d-d6a7-49fa-a943-79a4681a3d9c"]},{"id":"ITEM-2","itemData":{"DOI":"10.1056/NEJMoa1312542","ISSN":"15334406","abstract":"BACKGROUND: Somatic mutations in the Janus kinase 2 gene (JAK2) occur in many myeloproliferative neoplasms, but the molecular pathogenesis of myeloproliferative neoplasms with nonmutated JAK2 is obscure, and the diagnosis of these neoplasms remains a challenge. METHODS: We performed exome sequencing of samples obtained from 151 patients with myeloproliferative neoplasms. The mutation status of the gene encoding calreticulin (CALR) was assessed in an additional 1345 hematologic cancers, 1517 other cancers, and 550 controls. We established phylogenetic trees using hematopoietic colonies. We assessed calreticulin subcellular localization using immunofluorescence and flow cytometry. RESULTS: Exome sequencing identified 1498 mutations in 151 patients, with medians of 6.5, 6.5, and 13.0 mutations per patient in samples of polycythemia vera, essential thrombocythemia, and myelofibrosis, respectively. Somatic CALR mutations were found in 70 to 84% of samples of myeloproliferative neoplasms with nonmutated JAK2, in 8% of myelodysplasia samples, in occasional samples of other myeloid cancers, and in none of the other cancers. A total of 148 CALR mutations were identified with 19 distinct variants. Mutations were located in exon 9 and generated a +1 base-pair frameshift, which would result in a mutant protein with a novel C-terminal. Mutant calreticulin was observed in the endoplasmic reticulum without increased cell-surface or Golgi accumulation. Patients with myeloproliferative neoplasms carrying CALR mutations presented with higher platelet counts and lower hemoglobin levels than patients with mutated JAK2. Mutation of CALR was detected in hematopoietic stem and progenitor cells. Clonal analyses showed CALR mutations in the earliest phylogenetic node, a finding consistent with its role as an initiating mutation in some patients. CONCLUSIONS: Somatic mutations in the endoplasmic reticulum chaperone CALR were found in a majority of patients with myeloproliferative neoplasms with nonmutated JAK2. (Funded by the Kay Kendall Leukaemia Fund and others.) Copyright © 2013 Massachusetts Medical Society.","author":[{"dropping-particle":"","family":"Nangalia","given":"J.","non-dropping-particle":"","parse-names":false,"suffix":""},{"dropping-particle":"","family":"Massie","given":"C. E.","non-dropping-particle":"","parse-names":false,"suffix":""},{"dropping-particle":"","family":"Baxter","given":"E. J.","non-dropping-particle":"","parse-names":false,"suffix":""},{"dropping-particle":"","family":"Nice","given":"F. L.","non-dropping-particle":"","parse-names":false,"suffix":""},{"dropping-particle":"","family":"Gundem","given":"G.","non-dropping-particle":"","parse-names":false,"suffix":""},{"dropping-particle":"","family":"Wedge","given":"D. C.","non-dropping-particle":"","parse-names":false,"suffix":""},{"dropping-particle":"","family":"Avezov","given":"E.","non-dropping-particle":"","parse-names":false,"suffix":""},{"dropping-particle":"","family":"Li","given":"J.","non-dropping-particle":"","parse-names":false,"suffix":""},{"dropping-particle":"","family":"Kollmann","given":"K.","non-dropping-particle":"","parse-names":false,"suffix":""},{"dropping-particle":"","family":"Kent","given":"D. G.","non-dropping-particle":"","parse-names":false,"suffix":""},{"dropping-particle":"","family":"Aziz","given":"A.","non-dropping-particle":"","parse-names":false,"suffix":""},{"dropping-particle":"","family":"Godfrey","given":"A. L.","non-dropping-particle":"","parse-names":false,"suffix":""},{"dropping-particle":"","family":"Hinton","given":"J.","non-dropping-particle":"","parse-names":false,"suffix":""},{"dropping-particle":"","family":"Martincorena","given":"I.","non-dropping-particle":"","parse-names":false,"suffix":""},{"dropping-particle":"","family":"Loo","given":"P.","non-dropping-particle":"Van","parse-names":false,"suffix":""},{"dropping-particle":"V.","family":"Jones","given":"A.","non-dropping-particle":"","parse-names":false,"suffix":""},{"dropping-particle":"","family":"Guglielmelli","given":"P.","non-dropping-particle":"","parse-names":false,"suffix":""},{"dropping-particle":"","family":"Tarpey","given":"P.","non-dropping-particle":"","parse-names":false,"suffix":""},{"dropping-particle":"","family":"Harding","given":"H. P.","non-dropping-particle":"","parse-names":false,"suffix":""},{"dropping-particle":"","family":"Fitzpatrick","given":"J. D.","non-dropping-particle":"","parse-names":false,"suffix":""},{"dropping-particle":"","family":"Goudie","given":"C. T.","non-dropping-particle":"","parse-names":false,"suffix":""},{"dropping-particle":"","family":"Ortmann","given":"C. A.","non-dropping-particle":"","parse-names":false,"suffix":""},{"dropping-particle":"","family":"Loughran","given":"S. J.","non-dropping-particle":"","parse-names":false,"suffix":""},{"dropping-particle":"","family":"Raine","given":"K.","non-dropping-particle":"","parse-names":false,"suffix":""},{"dropping-particle":"","family":"Jones","given":"D. R.","non-dropping-particle":"","parse-names":false,"suffix":""},{"dropping-particle":"","family":"Butler","given":"A. P.","non-dropping-particle":"","parse-names":false,"suffix":""},{"dropping-particle":"","family":"Teague","given":"J. W.","non-dropping-particle":"","parse-names":false,"suffix":""},{"dropping-particle":"","family":"O'Meara","given":"S.","non-dropping-particle":"","parse-names":false,"suffix":""},{"dropping-particle":"","family":"McLaren","given":"S.","non-dropping-particle":"","parse-names":false,"suffix":""},{"dropping-particle":"","family":"Bianchi","given":"M.","non-dropping-particle":"","parse-names":false,"suffix":""},{"dropping-particle":"","family":"Silber","given":"Y.","non-dropping-particle":"","parse-names":false,"suffix":""},{"dropping-particle":"","family":"Dimitropoulou","given":"D.","non-dropping-particle":"","parse-names":false,"suffix":""},{"dropping-particle":"","family":"Bloxham","given":"D.","non-dropping-particle":"","parse-names":false,"suffix":""},{"dropping-particle":"","family":"Mudie","given":"L.","non-dropping-particle":"","parse-names":false,"suffix":""},{"dropping-particle":"","family":"Maddison","given":"M.","non-dropping-particle":"","parse-names":false,"suffix":""},{"dropping-particle":"","family":"Robinson","given":"B.","non-dropping-particle":"","parse-names":false,"suffix":""},{"dropping-particle":"","family":"Keohane","given":"C.","non-dropping-particle":"","parse-names":false,"suffix":""},{"dropping-particle":"","family":"Maclean","given":"C.","non-dropping-particle":"","parse-names":false,"suffix":""},{"dropping-particle":"","family":"Hill","given":"K.","non-dropping-particle":"","parse-names":false,"suffix":""},{"dropping-particle":"","family":"Orchard","given":"K.","non-dropping-particle":"","parse-names":false,"suffix":""},{"dropping-particle":"","family":"Tauro","given":"S.","non-dropping-particle":"","parse-names":false,"suffix":""},{"dropping-particle":"","family":"Du","given":"M. Q.","non-dropping-particle":"","parse-names":false,"suffix":""},{"dropping-particle":"","family":"Greaves","given":"M.","non-dropping-particle":"","parse-names":false,"suffix":""},{"dropping-particle":"","family":"Bowen","given":"D.","non-dropping-particle":"","parse-names":false,"suffix":""},{"dropping-particle":"","family":"Huntly","given":"B. J.P.","non-dropping-particle":"","parse-names":false,"suffix":""},{"dropping-particle":"","family":"Harrison","given":"C. N.","non-dropping-particle":"","parse-names":false,"suffix":""},{"dropping-particle":"","family":"Cross","given":"N. C.P.","non-dropping-particle":"","parse-names":false,"suffix":""},{"dropping-particle":"","family":"Ron","given":"D.","non-dropping-particle":"","parse-names":false,"suffix":""},{"dropping-particle":"","family":"Vannucchi","given":"A. M.","non-dropping-particle":"","parse-names":false,"suffix":""},{"dropping-particle":"","family":"Papaemmanuil","given":"E.","non-dropping-particle":"","parse-names":false,"suffix":""},{"dropping-particle":"","family":"Campbell","given":"P. J.","non-dropping-particle":"","parse-names":false,"suffix":""},{"dropping-particle":"","family":"Green","given":"A. R.","non-dropping-particle":"","parse-names":false,"suffix":""}],"container-title":"New England Journal of Medicine","id":"ITEM-2","issue":"25","issued":{"date-parts":[["2013","12","10"]]},"note":"doi: 10.1056/NEJMoa1312542","page":"2391-2405","publisher":"Massachusetts Medical Society","title":"Somatic CALR mutations in myeloproliferative neoplasms with nonmutated JAK2","type":"article-journal","volume":"369"},"uris":["http://www.mendeley.com/documents/?uuid=2311e8ee-be80-4726-b97c-0f8c8106fc69"]}],"mendeley":{"formattedCitation":"&lt;sup&gt;1,2&lt;/sup&gt;","plainTextFormattedCitation":"1,2","previouslyFormattedCitation":"&lt;sup&gt;1,2&lt;/sup&gt;"},"properties":{"noteIndex":0},"schema":"https://github.com/citation-style-language/schema/raw/master/csl-citation.json"}</w:instrText>
      </w:r>
      <w:r w:rsidR="00A34E38" w:rsidRPr="005B034C">
        <w:rPr>
          <w:rStyle w:val="FootnoteReference"/>
          <w:color w:val="auto"/>
        </w:rPr>
        <w:fldChar w:fldCharType="separate"/>
      </w:r>
      <w:r w:rsidR="00A34E38" w:rsidRPr="005B034C">
        <w:rPr>
          <w:noProof/>
          <w:color w:val="auto"/>
          <w:vertAlign w:val="superscript"/>
        </w:rPr>
        <w:t>1,2</w:t>
      </w:r>
      <w:r w:rsidR="00A34E38" w:rsidRPr="005B034C">
        <w:rPr>
          <w:rStyle w:val="FootnoteReference"/>
          <w:color w:val="auto"/>
        </w:rPr>
        <w:fldChar w:fldCharType="end"/>
      </w:r>
      <w:r w:rsidRPr="005B034C">
        <w:rPr>
          <w:color w:val="auto"/>
          <w:vertAlign w:val="superscript"/>
        </w:rPr>
        <w:t>,</w:t>
      </w:r>
      <w:r w:rsidR="00A34E38" w:rsidRPr="005B034C">
        <w:rPr>
          <w:rStyle w:val="FootnoteReference"/>
          <w:color w:val="auto"/>
        </w:rPr>
        <w:fldChar w:fldCharType="begin" w:fldLock="1"/>
      </w:r>
      <w:r w:rsidR="00153681" w:rsidRPr="005B034C">
        <w:rPr>
          <w:color w:val="auto"/>
        </w:rPr>
        <w:instrText>ADDIN CSL_CITATION {"citationItems":[{"id":"ITEM-1","itemData":{"DOI":"10.1371/journal.pone.0014522","ISSN":"19326203","abstract":"Identification of somatic mutations in cancer is a major goal for understanding and monitoring the events related to cancer initiation and progression. High resolution melting (HRM) curve analysis represents a fast, post-PCR high-throughput method for scanning somatic sequence alterations in target genes. The aim of this study was to assess the sensitivity and specificity of HRM analysis for tumor mutation screening in a range of tumor samples, which included 216 frozen pediatric small rounded blue-cell tumors as well as 180 paraffin-embedded tumors from breast, endometrial and ovarian cancers (60 of each). HRM analysis was performed in exons of the following candidate genes known to harbor established commonly observed mutations: PIK3CA, ERBB2, KRAS, TP53, EGFR, BRAF, GATA3, and FGFR3. Bi-directional sequencing analysis was used to determine the accuracy of the HRM analysis. For the 39 mutations observed in frozen samples, the sensitivity and specificity of HRM analysis were 97% and 87%, respectively. There were 67 mutation/variants in the paraffin-embedded samples, and the sensitivity and specificity for the HRM analysis were 88% and 80%, respectively. Paraffin-embedded samples require higher quantity of purified DNA for high performance. In summary, HRM analysis is a promising moderatethroughput screening test for mutations among known candidate genomic regions. Although the overall accuracy appears to be better in frozen specimens, somatic alterations were detected in DNA extracted from paraffin-embedded samples.","author":[{"dropping-particle":"","family":"Gonzalez-Bosquet","given":"Jesus","non-dropping-particle":"","parse-names":false,"suffix":""},{"dropping-particle":"","family":"Calcei","given":"Jacob","non-dropping-particle":"","parse-names":false,"suffix":""},{"dropping-particle":"","family":"Wei","given":"Jun S.","non-dropping-particle":"","parse-names":false,"suffix":""},{"dropping-particle":"","family":"Garcia-Closas","given":"Montserrat","non-dropping-particle":"","parse-names":false,"suffix":""},{"dropping-particle":"","family":"Sherman","given":"Mark E.","non-dropping-particle":"","parse-names":false,"suffix":""},{"dropping-particle":"","family":"Hewitt","given":"Stephen","non-dropping-particle":"","parse-names":false,"suffix":""},{"dropping-particle":"","family":"Vockley","given":"Joseph","non-dropping-particle":"","parse-names":false,"suffix":""},{"dropping-particle":"","family":"Lissowska","given":"Jolanta","non-dropping-particle":"","parse-names":false,"suffix":""},{"dropping-particle":"","family":"Yang","given":"Hannah P.","non-dropping-particle":"","parse-names":false,"suffix":""},{"dropping-particle":"","family":"Khan","given":"Javed","non-dropping-particle":"","parse-names":false,"suffix":""},{"dropping-particle":"","family":"Chanock","given":"Stephen","non-dropping-particle":"","parse-names":false,"suffix":""}],"container-title":"PLoS ONE","id":"ITEM-1","issue":"1","issued":{"date-parts":[["2011","1","17"]]},"language":"eng","page":"e14522-e14522","publisher":"Public Library of Science","title":"Detection of somatic mutations by high-resolution DNA melting (HRM) analysis in multiple cancers","type":"article-journal","volume":"6"},"uris":["http://www.mendeley.com/documents/?uuid=57781be9-f7db-48fd-9b67-87d5437bf6c2"]}],"mendeley":{"formattedCitation":"&lt;sup&gt;15&lt;/sup&gt;","plainTextFormattedCitation":"15","previouslyFormattedCitation":"&lt;sup&gt;14&lt;/sup&gt;"},"properties":{"noteIndex":0},"schema":"https://github.com/citation-style-language/schema/raw/master/csl-citation.json"}</w:instrText>
      </w:r>
      <w:r w:rsidR="00A34E38" w:rsidRPr="005B034C">
        <w:rPr>
          <w:rStyle w:val="FootnoteReference"/>
          <w:color w:val="auto"/>
        </w:rPr>
        <w:fldChar w:fldCharType="separate"/>
      </w:r>
      <w:r w:rsidR="00153681" w:rsidRPr="005B034C">
        <w:rPr>
          <w:bCs/>
          <w:noProof/>
          <w:color w:val="auto"/>
          <w:vertAlign w:val="superscript"/>
          <w:lang w:val="sl-SI"/>
        </w:rPr>
        <w:t>15</w:t>
      </w:r>
      <w:r w:rsidR="00A34E38" w:rsidRPr="005B034C">
        <w:rPr>
          <w:rStyle w:val="FootnoteReference"/>
          <w:color w:val="auto"/>
        </w:rPr>
        <w:fldChar w:fldCharType="end"/>
      </w:r>
      <w:r w:rsidRPr="005B034C">
        <w:rPr>
          <w:color w:val="auto"/>
          <w:vertAlign w:val="superscript"/>
        </w:rPr>
        <w:t>,</w:t>
      </w:r>
      <w:r w:rsidR="00A34E38" w:rsidRPr="005B034C">
        <w:rPr>
          <w:rStyle w:val="FootnoteReference"/>
          <w:color w:val="auto"/>
        </w:rPr>
        <w:fldChar w:fldCharType="begin" w:fldLock="1"/>
      </w:r>
      <w:r w:rsidR="00153681" w:rsidRPr="005B034C">
        <w:rPr>
          <w:color w:val="auto"/>
        </w:rPr>
        <w:instrText>ADDIN CSL_CITATION {"citationItems":[{"id":"ITEM-1","itemData":{"DOI":"10.1002/humu.21004","ISSN":"10597794","abstract":"Genetic analysis of BRCA1 by sequencing is often preceded by a scanning method like denaturing gradient gel electrophoresis (DGGE), protein truncation test (PTT) or DHPLC. High-resolution melting curve (HRM) analysis is a promising and economical method for high-throughput mutation scanning. The EuroGentest network (www.eurogentest.org) aims to assist with the introduction of novel technologies in the diagnostic setting. Therefore, we have performed a thorough and highstandard interlaboratory evaluation and validation of HRM, in collaboration with Idaho Technology, the manufacturer of the LightScanner™ (LS). Through this detailed study of 170 variants, we have generated guidelines for easy setup and implementation of HRM as a scanning technique for new genes, which are adaptable to the quality system of an individual diagnostic laboratory. This validation study includes the description of a BRCA1-specific mutation screening test using the 96-well LS. This assay comprises 40 amplicons and was evaluated using a statistically significant elaborate panel of variants and control DNA samples. All heterozygous variants were detected. Moreover, genotype analysis for nine common polymorphisms created a fast screening and detection method for these frequently occurring nonpathogenic variants. A blind study using a total of 28 patient-derived DNA samples resulted also in 100% detection and showed an average specificity of 98%, indicating a low incidence of false positives (FPs). © 2009 Wiley-Liss, Inc.","author":[{"dropping-particle":"","family":"Stoep","given":"Nienke","non-dropping-particle":"Van Der","parse-names":false,"suffix":""},{"dropping-particle":"","family":"Paridon","given":"Chantal D.M.","non-dropping-particle":"Van","parse-names":false,"suffix":""},{"dropping-particle":"","family":"Janssens","given":"Tom","non-dropping-particle":"","parse-names":false,"suffix":""},{"dropping-particle":"","family":"Krenkova","given":"Petra","non-dropping-particle":"","parse-names":false,"suffix":""},{"dropping-particle":"","family":"Stambergova","given":"Alexandra","non-dropping-particle":"","parse-names":false,"suffix":""},{"dropping-particle":"","family":"Macek","given":"Milan","non-dropping-particle":"","parse-names":false,"suffix":""},{"dropping-particle":"","family":"Matthijs","given":"Gert","non-dropping-particle":"","parse-names":false,"suffix":""},{"dropping-particle":"","family":"Bakker","given":"Egbert","non-dropping-particle":"","parse-names":false,"suffix":""}],"container-title":"Human Mutation","id":"ITEM-1","issue":"6","issued":{"date-parts":[["2009"]]},"page":"899-909","title":"Diagnostic guidelines for high-resolution melting curve (HRM) analysis: An interlaboratory validation of BRCA1 mutation scanning using the 96-well LightScanner™","type":"article-journal","volume":"30"},"uris":["http://www.mendeley.com/documents/?uuid=bf6081c9-3c75-4da2-a1fd-870b559e7733"]}],"mendeley":{"formattedCitation":"&lt;sup&gt;16&lt;/sup&gt;","plainTextFormattedCitation":"16","previouslyFormattedCitation":"&lt;sup&gt;15&lt;/sup&gt;"},"properties":{"noteIndex":0},"schema":"https://github.com/citation-style-language/schema/raw/master/csl-citation.json"}</w:instrText>
      </w:r>
      <w:r w:rsidR="00A34E38" w:rsidRPr="005B034C">
        <w:rPr>
          <w:rStyle w:val="FootnoteReference"/>
          <w:color w:val="auto"/>
        </w:rPr>
        <w:fldChar w:fldCharType="separate"/>
      </w:r>
      <w:r w:rsidR="00153681" w:rsidRPr="005B034C">
        <w:rPr>
          <w:bCs/>
          <w:noProof/>
          <w:color w:val="auto"/>
          <w:vertAlign w:val="superscript"/>
          <w:lang w:val="sl-SI"/>
        </w:rPr>
        <w:t>16</w:t>
      </w:r>
      <w:r w:rsidR="00A34E38" w:rsidRPr="005B034C">
        <w:rPr>
          <w:rStyle w:val="FootnoteReference"/>
          <w:color w:val="auto"/>
        </w:rPr>
        <w:fldChar w:fldCharType="end"/>
      </w:r>
      <w:r w:rsidRPr="005B034C">
        <w:rPr>
          <w:color w:val="auto"/>
          <w:vertAlign w:val="superscript"/>
        </w:rPr>
        <w:t>,</w:t>
      </w:r>
      <w:r w:rsidR="00A34E38" w:rsidRPr="005B034C">
        <w:rPr>
          <w:rStyle w:val="FootnoteReference"/>
          <w:color w:val="auto"/>
        </w:rPr>
        <w:fldChar w:fldCharType="begin" w:fldLock="1"/>
      </w:r>
      <w:r w:rsidR="00153681" w:rsidRPr="005B034C">
        <w:rPr>
          <w:color w:val="auto"/>
        </w:rPr>
        <w:instrText>ADDIN CSL_CITATION {"citationItems":[{"id":"ITEM-1","itemData":{"DOI":"10.1038/s41598-019-56236-x","ISSN":"2045-2322","abstract":"Suspicion of myeloproliferative neoplasms (MPNs) and especially essential thrombocythemia (ET) in primary care is often based solely on blood counts, with patients referred to a haematologist without a thorough evaluation. We retrospectively assessed the role of calreticulin gene (CALR) mutations in the diagnosis of MPN in this population. We studied CALR mutations in 524 JAK2 V617F-negative patients with suspected MPN. Uncommon CALR mutations were confirmed by Sanger sequencing and searched for in the COSMIC or HGMD database. Mutations were defined as frameshift or non-frameshift mutations. CALR mutations were detected in 23 patients (23/524 = 4.4%). Four mutations detected in our study were newly identified mutations. Non-frameshift mutations were detected in two patients. Most patients (380/524 = 72.5%) were diagnosed with secondary conditions leading to blood count abnormalities such as iron deficiency, inflammatory and infectious diseases, malignancy and hyposplenism. Nine patients (9/23 = 39%) were retrospectively diagnosed with ET based on CALR mutation confirmation. Two patients with non-frameshift CALR mutations were diagnosed with reactive thrombocytosis and MPN unclassifiable, respectively. Our study showed that CALR mutations are important, non-invasive diagnostic indicators of ET and can aid in its diagnosis. Moreover, the type of CALR mutation must be accurately defined, as non-frameshift mutations may not be associated with ET. Finally, CALR mutation detection should be reserved for patients with high suspicion of clonal haematological disease.","author":[{"dropping-particle":"","family":"Belcic Mikic","given":"Tanja","non-dropping-particle":"","parse-names":false,"suffix":""},{"dropping-particle":"","family":"Pajic","given":"Tadej","non-dropping-particle":"","parse-names":false,"suffix":""},{"dropping-particle":"","family":"Sever","given":"Matjaz","non-dropping-particle":"","parse-names":false,"suffix":""}],"container-title":"Scientific Reports","id":"ITEM-1","issue":"1","issued":{"date-parts":[["2019"]]},"page":"19838","title":"CALR mutations in a cohort of JAK2 V617F negative patients with suspected myeloproliferative neoplasms","type":"article-journal","volume":"9"},"uris":["http://www.mendeley.com/documents/?uuid=f95d0ca8-9c4b-4183-bc9a-69bcc70a091d"]}],"mendeley":{"formattedCitation":"&lt;sup&gt;10&lt;/sup&gt;","plainTextFormattedCitation":"10","previouslyFormattedCitation":"&lt;sup&gt;16&lt;/sup&gt;"},"properties":{"noteIndex":0},"schema":"https://github.com/citation-style-language/schema/raw/master/csl-citation.json"}</w:instrText>
      </w:r>
      <w:r w:rsidR="00A34E38" w:rsidRPr="005B034C">
        <w:rPr>
          <w:rStyle w:val="FootnoteReference"/>
          <w:color w:val="auto"/>
        </w:rPr>
        <w:fldChar w:fldCharType="separate"/>
      </w:r>
      <w:r w:rsidR="00153681" w:rsidRPr="005B034C">
        <w:rPr>
          <w:bCs/>
          <w:noProof/>
          <w:color w:val="auto"/>
          <w:vertAlign w:val="superscript"/>
          <w:lang w:val="sl-SI"/>
        </w:rPr>
        <w:t>10</w:t>
      </w:r>
      <w:r w:rsidR="00A34E38" w:rsidRPr="005B034C">
        <w:rPr>
          <w:rStyle w:val="FootnoteReference"/>
          <w:color w:val="auto"/>
        </w:rPr>
        <w:fldChar w:fldCharType="end"/>
      </w:r>
      <w:r w:rsidRPr="005B034C">
        <w:rPr>
          <w:color w:val="auto"/>
        </w:rPr>
        <w:t xml:space="preserve">. Deletions or insertions in the </w:t>
      </w:r>
      <w:r w:rsidRPr="005B034C">
        <w:rPr>
          <w:color w:val="auto"/>
        </w:rPr>
        <w:lastRenderedPageBreak/>
        <w:t xml:space="preserve">gene of interest can be detected by the HRM analysis as we have shown in </w:t>
      </w:r>
      <w:r w:rsidR="00450274" w:rsidRPr="005B034C">
        <w:rPr>
          <w:b/>
          <w:bCs/>
          <w:color w:val="auto"/>
        </w:rPr>
        <w:t>Figure 4</w:t>
      </w:r>
      <w:r w:rsidRPr="005B034C">
        <w:rPr>
          <w:b/>
          <w:bCs/>
          <w:color w:val="auto"/>
        </w:rPr>
        <w:t>A</w:t>
      </w:r>
      <w:r w:rsidR="00D10715" w:rsidRPr="005B034C">
        <w:rPr>
          <w:color w:val="auto"/>
        </w:rPr>
        <w:t>. At the implementation of the qPCR HRM assay into the routine testing, we have performed an initial evaluation study including 21 JAK2 V617F-negative ET patients with a median age of 63 years (range from 24 to 90 years</w:t>
      </w:r>
      <w:r w:rsidR="005B034C" w:rsidRPr="005B034C">
        <w:rPr>
          <w:color w:val="auto"/>
        </w:rPr>
        <w:t>)</w:t>
      </w:r>
      <w:r w:rsidR="00D10715" w:rsidRPr="005B034C">
        <w:rPr>
          <w:color w:val="auto"/>
        </w:rPr>
        <w:t>.</w:t>
      </w:r>
      <w:r w:rsidR="00D10715" w:rsidRPr="005B034C">
        <w:rPr>
          <w:rStyle w:val="tlid-translation"/>
          <w:color w:val="auto"/>
        </w:rPr>
        <w:t xml:space="preserve"> </w:t>
      </w:r>
      <w:r w:rsidR="00D10715" w:rsidRPr="005B034C">
        <w:rPr>
          <w:rStyle w:val="tlid-translation"/>
          <w:color w:val="auto"/>
          <w:lang w:val="en"/>
        </w:rPr>
        <w:t xml:space="preserve">A genetic variant in the </w:t>
      </w:r>
      <w:r w:rsidR="00D10715" w:rsidRPr="005B034C">
        <w:rPr>
          <w:rStyle w:val="tlid-translation"/>
          <w:i/>
          <w:iCs/>
          <w:color w:val="auto"/>
          <w:lang w:val="en"/>
        </w:rPr>
        <w:t>CALR</w:t>
      </w:r>
      <w:r w:rsidR="00D10715" w:rsidRPr="005B034C">
        <w:rPr>
          <w:rStyle w:val="tlid-translation"/>
          <w:color w:val="auto"/>
          <w:lang w:val="en"/>
        </w:rPr>
        <w:t xml:space="preserve"> gene was detected in 12 out of 21 JAK2 V617F-negative ET patients (proportion 0</w:t>
      </w:r>
      <w:r w:rsidR="00EA4D74" w:rsidRPr="005B034C">
        <w:rPr>
          <w:rStyle w:val="tlid-translation"/>
          <w:color w:val="auto"/>
          <w:lang w:val="en"/>
        </w:rPr>
        <w:t>.</w:t>
      </w:r>
      <w:r w:rsidR="00D10715" w:rsidRPr="005B034C">
        <w:rPr>
          <w:rStyle w:val="tlid-translation"/>
          <w:color w:val="auto"/>
          <w:lang w:val="en"/>
        </w:rPr>
        <w:t>57</w:t>
      </w:r>
      <w:r w:rsidR="005B034C" w:rsidRPr="005B034C">
        <w:rPr>
          <w:rStyle w:val="tlid-translation"/>
          <w:color w:val="auto"/>
          <w:lang w:val="en"/>
        </w:rPr>
        <w:t>)</w:t>
      </w:r>
      <w:r w:rsidR="00D10715" w:rsidRPr="005B034C">
        <w:rPr>
          <w:rStyle w:val="tlid-translation"/>
          <w:color w:val="auto"/>
          <w:lang w:val="en"/>
        </w:rPr>
        <w:t>. A 52 bp deletion (type 1 mutation</w:t>
      </w:r>
      <w:r w:rsidR="005B034C" w:rsidRPr="005B034C">
        <w:rPr>
          <w:rStyle w:val="tlid-translation"/>
          <w:color w:val="auto"/>
          <w:lang w:val="en"/>
        </w:rPr>
        <w:t>)</w:t>
      </w:r>
      <w:r w:rsidR="00D10715" w:rsidRPr="005B034C">
        <w:rPr>
          <w:rStyle w:val="tlid-translation"/>
          <w:color w:val="auto"/>
          <w:lang w:val="en"/>
        </w:rPr>
        <w:t xml:space="preserve"> was detected in 9 out of 21 (proportion 0</w:t>
      </w:r>
      <w:r w:rsidR="00EA4D74" w:rsidRPr="005B034C">
        <w:rPr>
          <w:rStyle w:val="tlid-translation"/>
          <w:color w:val="auto"/>
          <w:lang w:val="en"/>
        </w:rPr>
        <w:t>.</w:t>
      </w:r>
      <w:r w:rsidR="00D10715" w:rsidRPr="005B034C">
        <w:rPr>
          <w:rStyle w:val="tlid-translation"/>
          <w:color w:val="auto"/>
          <w:lang w:val="en"/>
        </w:rPr>
        <w:t>43</w:t>
      </w:r>
      <w:r w:rsidR="005B034C" w:rsidRPr="005B034C">
        <w:rPr>
          <w:rStyle w:val="tlid-translation"/>
          <w:color w:val="auto"/>
          <w:lang w:val="en"/>
        </w:rPr>
        <w:t>)</w:t>
      </w:r>
      <w:r w:rsidR="00D10715" w:rsidRPr="005B034C">
        <w:rPr>
          <w:rStyle w:val="tlid-translation"/>
          <w:color w:val="auto"/>
          <w:lang w:val="en"/>
        </w:rPr>
        <w:t>, a 5 bp insertion (type 2 mutation</w:t>
      </w:r>
      <w:r w:rsidR="005B034C" w:rsidRPr="005B034C">
        <w:rPr>
          <w:rStyle w:val="tlid-translation"/>
          <w:color w:val="auto"/>
          <w:lang w:val="en"/>
        </w:rPr>
        <w:t>)</w:t>
      </w:r>
      <w:r w:rsidR="00D10715" w:rsidRPr="005B034C">
        <w:rPr>
          <w:rStyle w:val="tlid-translation"/>
          <w:color w:val="auto"/>
          <w:lang w:val="en"/>
        </w:rPr>
        <w:t xml:space="preserve"> was detected in 3 out of 21 (proportion 0</w:t>
      </w:r>
      <w:r w:rsidR="00EA4D74" w:rsidRPr="005B034C">
        <w:rPr>
          <w:rStyle w:val="tlid-translation"/>
          <w:color w:val="auto"/>
          <w:lang w:val="en"/>
        </w:rPr>
        <w:t>.</w:t>
      </w:r>
      <w:r w:rsidR="00D10715" w:rsidRPr="005B034C">
        <w:rPr>
          <w:rStyle w:val="tlid-translation"/>
          <w:color w:val="auto"/>
          <w:lang w:val="en"/>
        </w:rPr>
        <w:t>143</w:t>
      </w:r>
      <w:r w:rsidR="005B034C" w:rsidRPr="005B034C">
        <w:rPr>
          <w:rStyle w:val="tlid-translation"/>
          <w:color w:val="auto"/>
          <w:lang w:val="en"/>
        </w:rPr>
        <w:t>)</w:t>
      </w:r>
      <w:r w:rsidR="00D10715" w:rsidRPr="005B034C">
        <w:rPr>
          <w:rStyle w:val="tlid-translation"/>
          <w:color w:val="auto"/>
          <w:lang w:val="en"/>
        </w:rPr>
        <w:t xml:space="preserve"> JAK2 V617F-negative ET patients. The results are consistent </w:t>
      </w:r>
      <w:r w:rsidR="00807D21" w:rsidRPr="005B034C">
        <w:rPr>
          <w:rStyle w:val="tlid-translation"/>
          <w:color w:val="auto"/>
          <w:lang w:val="en"/>
        </w:rPr>
        <w:t>with</w:t>
      </w:r>
      <w:r w:rsidR="00D10715" w:rsidRPr="005B034C">
        <w:rPr>
          <w:rStyle w:val="tlid-translation"/>
          <w:color w:val="auto"/>
          <w:lang w:val="en"/>
        </w:rPr>
        <w:t xml:space="preserve"> the data from the literature</w:t>
      </w:r>
      <w:r w:rsidR="00D10715" w:rsidRPr="005B034C">
        <w:rPr>
          <w:rStyle w:val="tlid-translation"/>
          <w:color w:val="auto"/>
          <w:lang w:val="en"/>
        </w:rPr>
        <w:fldChar w:fldCharType="begin" w:fldLock="1"/>
      </w:r>
      <w:r w:rsidR="00D10715" w:rsidRPr="005B034C">
        <w:rPr>
          <w:rStyle w:val="tlid-translation"/>
          <w:color w:val="auto"/>
          <w:lang w:val="en"/>
        </w:rPr>
        <w:instrText>ADDIN CSL_CITATION {"citationItems":[{"id":"ITEM-1","itemData":{"DOI":"10.1056/NEJMoa1312542","ISSN":"15334406","abstract":"BACKGROUND: Somatic mutations in the Janus kinase 2 gene (JAK2) occur in many myeloproliferative neoplasms, but the molecular pathogenesis of myeloproliferative neoplasms with nonmutated JAK2 is obscure, and the diagnosis of these neoplasms remains a challenge. METHODS: We performed exome sequencing of samples obtained from 151 patients with myeloproliferative neoplasms. The mutation status of the gene encoding calreticulin (CALR) was assessed in an additional 1345 hematologic cancers, 1517 other cancers, and 550 controls. We established phylogenetic trees using hematopoietic colonies. We assessed calreticulin subcellular localization using immunofluorescence and flow cytometry. RESULTS: Exome sequencing identified 1498 mutations in 151 patients, with medians of 6.5, 6.5, and 13.0 mutations per patient in samples of polycythemia vera, essential thrombocythemia, and myelofibrosis, respectively. Somatic CALR mutations were found in 70 to 84% of samples of myeloproliferative neoplasms with nonmutated JAK2, in 8% of myelodysplasia samples, in occasional samples of other myeloid cancers, and in none of the other cancers. A total of 148 CALR mutations were identified with 19 distinct variants. Mutations were located in exon 9 and generated a +1 base-pair frameshift, which would result in a mutant protein with a novel C-terminal. Mutant calreticulin was observed in the endoplasmic reticulum without increased cell-surface or Golgi accumulation. Patients with myeloproliferative neoplasms carrying CALR mutations presented with higher platelet counts and lower hemoglobin levels than patients with mutated JAK2. Mutation of CALR was detected in hematopoietic stem and progenitor cells. Clonal analyses showed CALR mutations in the earliest phylogenetic node, a finding consistent with its role as an initiating mutation in some patients. CONCLUSIONS: Somatic mutations in the endoplasmic reticulum chaperone CALR were found in a majority of patients with myeloproliferative neoplasms with nonmutated JAK2. (Funded by the Kay Kendall Leukaemia Fund and others.) Copyright © 2013 Massachusetts Medical Society.","author":[{"dropping-particle":"","family":"Nangalia","given":"J.","non-dropping-particle":"","parse-names":false,"suffix":""},{"dropping-particle":"","family":"Massie","given":"C. E.","non-dropping-particle":"","parse-names":false,"suffix":""},{"dropping-particle":"","family":"Baxter","given":"E. J.","non-dropping-particle":"","parse-names":false,"suffix":""},{"dropping-particle":"","family":"Nice","given":"F. L.","non-dropping-particle":"","parse-names":false,"suffix":""},{"dropping-particle":"","family":"Gundem","given":"G.","non-dropping-particle":"","parse-names":false,"suffix":""},{"dropping-particle":"","family":"Wedge","given":"D. C.","non-dropping-particle":"","parse-names":false,"suffix":""},{"dropping-particle":"","family":"Avezov","given":"E.","non-dropping-particle":"","parse-names":false,"suffix":""},{"dropping-particle":"","family":"Li","given":"J.","non-dropping-particle":"","parse-names":false,"suffix":""},{"dropping-particle":"","family":"Kollmann","given":"K.","non-dropping-particle":"","parse-names":false,"suffix":""},{"dropping-particle":"","family":"Kent","given":"D. G.","non-dropping-particle":"","parse-names":false,"suffix":""},{"dropping-particle":"","family":"Aziz","given":"A.","non-dropping-particle":"","parse-names":false,"suffix":""},{"dropping-particle":"","family":"Godfrey","given":"A. L.","non-dropping-particle":"","parse-names":false,"suffix":""},{"dropping-particle":"","family":"Hinton","given":"J.","non-dropping-particle":"","parse-names":false,"suffix":""},{"dropping-particle":"","family":"Martincorena","given":"I.","non-dropping-particle":"","parse-names":false,"suffix":""},{"dropping-particle":"","family":"Loo","given":"P.","non-dropping-particle":"Van","parse-names":false,"suffix":""},{"dropping-particle":"V.","family":"Jones","given":"A.","non-dropping-particle":"","parse-names":false,"suffix":""},{"dropping-particle":"","family":"Guglielmelli","given":"P.","non-dropping-particle":"","parse-names":false,"suffix":""},{"dropping-particle":"","family":"Tarpey","given":"P.","non-dropping-particle":"","parse-names":false,"suffix":""},{"dropping-particle":"","family":"Harding","given":"H. P.","non-dropping-particle":"","parse-names":false,"suffix":""},{"dropping-particle":"","family":"Fitzpatrick","given":"J. D.","non-dropping-particle":"","parse-names":false,"suffix":""},{"dropping-particle":"","family":"Goudie","given":"C. T.","non-dropping-particle":"","parse-names":false,"suffix":""},{"dropping-particle":"","family":"Ortmann","given":"C. A.","non-dropping-particle":"","parse-names":false,"suffix":""},{"dropping-particle":"","family":"Loughran","given":"S. J.","non-dropping-particle":"","parse-names":false,"suffix":""},{"dropping-particle":"","family":"Raine","given":"K.","non-dropping-particle":"","parse-names":false,"suffix":""},{"dropping-particle":"","family":"Jones","given":"D. R.","non-dropping-particle":"","parse-names":false,"suffix":""},{"dropping-particle":"","family":"Butler","given":"A. P.","non-dropping-particle":"","parse-names":false,"suffix":""},{"dropping-particle":"","family":"Teague","given":"J. W.","non-dropping-particle":"","parse-names":false,"suffix":""},{"dropping-particle":"","family":"O'Meara","given":"S.","non-dropping-particle":"","parse-names":false,"suffix":""},{"dropping-particle":"","family":"McLaren","given":"S.","non-dropping-particle":"","parse-names":false,"suffix":""},{"dropping-particle":"","family":"Bianchi","given":"M.","non-dropping-particle":"","parse-names":false,"suffix":""},{"dropping-particle":"","family":"Silber","given":"Y.","non-dropping-particle":"","parse-names":false,"suffix":""},{"dropping-particle":"","family":"Dimitropoulou","given":"D.","non-dropping-particle":"","parse-names":false,"suffix":""},{"dropping-particle":"","family":"Bloxham","given":"D.","non-dropping-particle":"","parse-names":false,"suffix":""},{"dropping-particle":"","family":"Mudie","given":"L.","non-dropping-particle":"","parse-names":false,"suffix":""},{"dropping-particle":"","family":"Maddison","given":"M.","non-dropping-particle":"","parse-names":false,"suffix":""},{"dropping-particle":"","family":"Robinson","given":"B.","non-dropping-particle":"","parse-names":false,"suffix":""},{"dropping-particle":"","family":"Keohane","given":"C.","non-dropping-particle":"","parse-names":false,"suffix":""},{"dropping-particle":"","family":"Maclean","given":"C.","non-dropping-particle":"","parse-names":false,"suffix":""},{"dropping-particle":"","family":"Hill","given":"K.","non-dropping-particle":"","parse-names":false,"suffix":""},{"dropping-particle":"","family":"Orchard","given":"K.","non-dropping-particle":"","parse-names":false,"suffix":""},{"dropping-particle":"","family":"Tauro","given":"S.","non-dropping-particle":"","parse-names":false,"suffix":""},{"dropping-particle":"","family":"Du","given":"M. Q.","non-dropping-particle":"","parse-names":false,"suffix":""},{"dropping-particle":"","family":"Greaves","given":"M.","non-dropping-particle":"","parse-names":false,"suffix":""},{"dropping-particle":"","family":"Bowen","given":"D.","non-dropping-particle":"","parse-names":false,"suffix":""},{"dropping-particle":"","family":"Huntly","given":"B. J.P.","non-dropping-particle":"","parse-names":false,"suffix":""},{"dropping-particle":"","family":"Harrison","given":"C. N.","non-dropping-particle":"","parse-names":false,"suffix":""},{"dropping-particle":"","family":"Cross","given":"N. C.P.","non-dropping-particle":"","parse-names":false,"suffix":""},{"dropping-particle":"","family":"Ron","given":"D.","non-dropping-particle":"","parse-names":false,"suffix":""},{"dropping-particle":"","family":"Vannucchi","given":"A. M.","non-dropping-particle":"","parse-names":false,"suffix":""},{"dropping-particle":"","family":"Papaemmanuil","given":"E.","non-dropping-particle":"","parse-names":false,"suffix":""},{"dropping-particle":"","family":"Campbell","given":"P. J.","non-dropping-particle":"","parse-names":false,"suffix":""},{"dropping-particle":"","family":"Green","given":"A. R.","non-dropping-particle":"","parse-names":false,"suffix":""}],"container-title":"New England Journal of Medicine","id":"ITEM-1","issue":"25","issued":{"date-parts":[["2013","12","10"]]},"note":"doi: 10.1056/NEJMoa1312542","page":"2391-2405","publisher":"Massachusetts Medical Society","title":"Somatic CALR mutations in myeloproliferative neoplasms with nonmutated JAK2","type":"article-journal","volume":"369"},"uris":["http://www.mendeley.com/documents/?uuid=2311e8ee-be80-4726-b97c-0f8c8106fc69"]}],"mendeley":{"formattedCitation":"&lt;sup&gt;1&lt;/sup&gt;","plainTextFormattedCitation":"1","previouslyFormattedCitation":"&lt;sup&gt;1&lt;/sup&gt;"},"properties":{"noteIndex":0},"schema":"https://github.com/citation-style-language/schema/raw/master/csl-citation.json"}</w:instrText>
      </w:r>
      <w:r w:rsidR="00D10715" w:rsidRPr="005B034C">
        <w:rPr>
          <w:rStyle w:val="tlid-translation"/>
          <w:color w:val="auto"/>
          <w:lang w:val="en"/>
        </w:rPr>
        <w:fldChar w:fldCharType="separate"/>
      </w:r>
      <w:r w:rsidR="00D10715" w:rsidRPr="005B034C">
        <w:rPr>
          <w:rStyle w:val="tlid-translation"/>
          <w:noProof/>
          <w:color w:val="auto"/>
          <w:vertAlign w:val="superscript"/>
          <w:lang w:val="en"/>
        </w:rPr>
        <w:t>1</w:t>
      </w:r>
      <w:r w:rsidR="00D10715" w:rsidRPr="005B034C">
        <w:rPr>
          <w:rStyle w:val="tlid-translation"/>
          <w:color w:val="auto"/>
          <w:lang w:val="en"/>
        </w:rPr>
        <w:fldChar w:fldCharType="end"/>
      </w:r>
      <w:r w:rsidR="00D10715" w:rsidRPr="005B034C">
        <w:rPr>
          <w:rStyle w:val="tlid-translation"/>
          <w:color w:val="auto"/>
          <w:vertAlign w:val="superscript"/>
          <w:lang w:val="en"/>
        </w:rPr>
        <w:t>,</w:t>
      </w:r>
      <w:r w:rsidR="00D10715" w:rsidRPr="005B034C">
        <w:rPr>
          <w:rStyle w:val="tlid-translation"/>
          <w:color w:val="auto"/>
          <w:vertAlign w:val="superscript"/>
          <w:lang w:val="en"/>
        </w:rPr>
        <w:fldChar w:fldCharType="begin" w:fldLock="1"/>
      </w:r>
      <w:r w:rsidR="00153681" w:rsidRPr="005B034C">
        <w:rPr>
          <w:rStyle w:val="tlid-translation"/>
          <w:color w:val="auto"/>
          <w:vertAlign w:val="superscript"/>
          <w:lang w:val="en"/>
        </w:rPr>
        <w:instrText>ADDIN CSL_CITATION {"citationItems":[{"id":"ITEM-1","itemData":{"DOI":"10.1056/NEJMoa1311347","ISSN":"15334406","abstract":"BACKGROUND: Approximately 50 to 60% of patients with essential thrombocythemia or primary myelofibrosis carry a mutation in the Janus kinase 2 gene (JAK2), and an additional 5 to 10% have activating mutations in the thrombopoietin receptor gene (MPL). So far, no specific molecular marker has been identified in the remaining 30 to 45% of patients. METHODS: We performed whole-exome sequencing to identify somatically acquired mutations in six patients who had primary myelofibrosis without mutations in JAK2 or MPL. Resequencing of CALR, encoding calreticulin, was then performed in cohorts of patients with myeloid neoplasms. RESULTS: Somatic insertions or deletions in exon 9 of CALR were detected in all patients who underwent whole-exome sequencing. Resequencing in 1107 samples from patients with myeloproliferative neoplasms showed that CALR mutations were absent in polycythemia vera. In essential thrombocythemia and primary myelofibrosis, CALR mutations and JAK2 and MPL mutations were mutually exclusive. Among patients with essential thrombocythemia or primary myelofibrosis with nonmutated JAK2 or MPL, CALR mutations were detected in 67% of those with essential thrombocythemia and 88% of those with primary myelofibrosis. A total of 36 types of insertions or deletions were identified that all cause a frameshift to the same alternative reading frame and generate a novel C-terminal peptide in the mutant calreticulin. Overexpression of the most frequent CALR deletion caused cytokine-independent growth in vitro owing to the activation of signal transducer and activator of transcription 5 (STAT5) by means of an unknown mechanism. Patients with mutated CALR had a lower risk of thrombosis and longer overall survival than patients with mutated JAK2. CONCLUSIONS: Most patients with essential thrombocythemia or primary myelofibrosis that was not associated with a JAK2 or MPL alteration carried a somatic mutation in CALR. The clinical course in these patients was more indolent than that in patients with the JAK2 V617F mutation. (Funded by the MPN Research Foundation and Associazione Italiana per la Ricerca sul Cancro.) Copyright © 2013 Massachusetts Medical Society. All rights reserved.","author":[{"dropping-particle":"","family":"Klampfl","given":"Thorsten","non-dropping-particle":"","parse-names":false,"suffix":""},{"dropping-particle":"","family":"Gisslinger","given":"Heinz","non-dropping-particle":"","parse-names":false,"suffix":""},{"dropping-particle":"","family":"Harutyunyan","given":"Ashot S.","non-dropping-particle":"","parse-names":false,"suffix":""},{"dropping-particle":"","family":"Nivarthi","given":"Harini","non-dropping-particle":"","parse-names":false,"suffix":""},{"dropping-particle":"","family":"Rumi","given":"Elisa","non-dropping-particle":"","parse-names":false,"suffix":""},{"dropping-particle":"","family":"Milosevic","given":"Jelena D.","non-dropping-particle":"","parse-names":false,"suffix":""},{"dropping-particle":"","family":"Them","given":"Nicole C.C.","non-dropping-particle":"","parse-names":false,"suffix":""},{"dropping-particle":"","family":"Berg","given":"Tiina","non-dropping-particle":"","parse-names":false,"suffix":""},{"dropping-particle":"","family":"Gisslinger","given":"Bettina","non-dropping-particle":"","parse-names":false,"suffix":""},{"dropping-particle":"","family":"Pietra","given":"Daniela","non-dropping-particle":"","parse-names":false,"suffix":""},{"dropping-particle":"","family":"Chen","given":"Doris","non-dropping-particle":"","parse-names":false,"suffix":""},{"dropping-particle":"","family":"Vladimer","given":"Gregory I.","non-dropping-particle":"","parse-names":false,"suffix":""},{"dropping-particle":"","family":"Bagienski","given":"Klaudia","non-dropping-particle":"","parse-names":false,"suffix":""},{"dropping-particle":"","family":"Milanesi","given":"Chiara","non-dropping-particle":"","parse-names":false,"suffix":""},{"dropping-particle":"","family":"Casetti","given":"Ilaria Carola","non-dropping-particle":"","parse-names":false,"suffix":""},{"dropping-particle":"","family":"Sant'Antonio","given":"Emanuela","non-dropping-particle":"","parse-names":false,"suffix":""},{"dropping-particle":"","family":"Ferretti","given":"Virginia","non-dropping-particle":"","parse-names":false,"suffix":""},{"dropping-particle":"","family":"Elena","given":"Chiara","non-dropping-particle":"","parse-names":false,"suffix":""},{"dropping-particle":"","family":"Schischlik","given":"Fiorella","non-dropping-particle":"","parse-names":false,"suffix":""},{"dropping-particle":"","family":"Cleary","given":"Ciara","non-dropping-particle":"","parse-names":false,"suffix":""},{"dropping-particle":"","family":"Six","given":"Melanie","non-dropping-particle":"","parse-names":false,"suffix":""},{"dropping-particle":"","family":"Schalling","given":"Martin","non-dropping-particle":"","parse-names":false,"suffix":""},{"dropping-particle":"","family":"Schon̈egger","given":"Andreas","non-dropping-particle":"","parse-names":false,"suffix":""},{"dropping-particle":"","family":"Bock","given":"Christoph","non-dropping-particle":"","parse-names":false,"suffix":""},{"dropping-particle":"","family":"Malcovati","given":"Luca","non-dropping-particle":"","parse-names":false,"suffix":""},{"dropping-particle":"","family":"Pascutto","given":"Cristiana","non-dropping-particle":"","parse-names":false,"suffix":""},{"dropping-particle":"","family":"Superti-Furga","given":"Giulio","non-dropping-particle":"","parse-names":false,"suffix":""},{"dropping-particle":"","family":"Cazzola","given":"Mario","non-dropping-particle":"","parse-names":false,"suffix":""},{"dropping-particle":"","family":"Kralovics","given":"Robert","non-dropping-particle":"","parse-names":false,"suffix":""}],"container-title":"New England Journal of Medicine","id":"ITEM-1","issue":"25","issued":{"date-parts":[["2013","12","10"]]},"note":"doi: 10.1056/NEJMoa1311347","page":"2379-2390","publisher":"Massachusetts Medical Society","title":"Somatic mutations of calreticulin in myeloproliferative neoplasms","type":"article-journal","volume":"369"},"uris":["http://www.mendeley.com/documents/?uuid=46462d5d-d6a7-49fa-a943-79a4681a3d9c"]}],"mendeley":{"formattedCitation":"&lt;sup&gt;2&lt;/sup&gt;","plainTextFormattedCitation":"2","previouslyFormattedCitation":"&lt;sup&gt;2&lt;/sup&gt;"},"properties":{"noteIndex":0},"schema":"https://github.com/citation-style-language/schema/raw/master/csl-citation.json"}</w:instrText>
      </w:r>
      <w:r w:rsidR="00D10715" w:rsidRPr="005B034C">
        <w:rPr>
          <w:rStyle w:val="tlid-translation"/>
          <w:color w:val="auto"/>
          <w:vertAlign w:val="superscript"/>
          <w:lang w:val="en"/>
        </w:rPr>
        <w:fldChar w:fldCharType="separate"/>
      </w:r>
      <w:r w:rsidR="00D10715" w:rsidRPr="005B034C">
        <w:rPr>
          <w:rStyle w:val="tlid-translation"/>
          <w:noProof/>
          <w:color w:val="auto"/>
          <w:vertAlign w:val="superscript"/>
          <w:lang w:val="en"/>
        </w:rPr>
        <w:t>2</w:t>
      </w:r>
      <w:r w:rsidR="00D10715" w:rsidRPr="005B034C">
        <w:rPr>
          <w:rStyle w:val="tlid-translation"/>
          <w:color w:val="auto"/>
          <w:vertAlign w:val="superscript"/>
          <w:lang w:val="en"/>
        </w:rPr>
        <w:fldChar w:fldCharType="end"/>
      </w:r>
      <w:r w:rsidR="00D10715" w:rsidRPr="005B034C">
        <w:rPr>
          <w:rStyle w:val="tlid-translation"/>
          <w:color w:val="auto"/>
          <w:vertAlign w:val="superscript"/>
          <w:lang w:val="en"/>
        </w:rPr>
        <w:t>,</w:t>
      </w:r>
      <w:r w:rsidR="00D10715" w:rsidRPr="005B034C">
        <w:rPr>
          <w:rStyle w:val="tlid-translation"/>
          <w:color w:val="auto"/>
          <w:lang w:val="en"/>
        </w:rPr>
        <w:fldChar w:fldCharType="begin" w:fldLock="1"/>
      </w:r>
      <w:r w:rsidR="00D10715" w:rsidRPr="005B034C">
        <w:rPr>
          <w:rStyle w:val="tlid-translation"/>
          <w:color w:val="auto"/>
          <w:lang w:val="en"/>
        </w:rPr>
        <w:instrText>ADDIN CSL_CITATION {"citationItems":[{"id":"ITEM-1","itemData":{"DOI":"10.22034/APJCP.2016.17.10.4647","ISSN":"1513-7368","abstract":"Background: The discovery of somatic acquired mutations of JAK2 (V617F) in Philadelphia-negative myeloproliferative neoplasms (Ph-negative MPNs) including polycythemia vera (PV), essential thrombocythemia (ET), and primary myelofibrosis (PMF) has not only improved rational disease classification and prognostication but also brings new understanding insight into the pathogenesis of diseases. Dosage effects of the JAK2 (V617F) allelic burden in Ph-negative MPNs may partially influence clinical presentation, disease progression, and treatment outcome. Material and Methods: Pyrosequencing was performed to detect JAK2 (V617F) and MPL (W515K/L) and capillary electrophoresis to identify CALR exon 9.0 mutations in 100.0 samples of Ph-negative MPNs (38.0 PV, 55 ET, 4 PMF, and 3 MPN-U). Results: The results showed somatic mutations of JAK2 (V617F) in 94.7% of PV, 74.5% of ET, 25.0% of PMF, and all MPN-U. A high proportion of JAK2 (V617F) mutant allele burden (mutational load &gt; 50.0%) was predominantly observed in PV when compared with ET. Although a high level of JAK2 (V617F) allele burden was strongly associated with high WBC counts in both PV and ET, several hematological parameters (hemoglobin, hematocrit, and platelet count) were independent of JAK2 (V617F) mutational load. MPL (W515K/L) mutations could not be detected whereas CALR exon 9.0 mutations were identified in 35.7% of patients with JAK2 negative ET and 33.3% with JAK2 negative PMF. Conclusions: The JAK2 (V617F) allele burden may be involved in progression of MPNs. Furthermore, a high level of JAK2 (V617F) mutant allele appears strongly associated with leukocytosis in both PV and ET.","author":[{"dropping-particle":"","family":"Singdong","given":"Roongrudee","non-dropping-particle":"","parse-names":false,"suffix":""},{"dropping-particle":"","family":"Siriboonpiputtana","given":"Teerapong","non-dropping-particle":"","parse-names":false,"suffix":""},{"dropping-particle":"","family":"Chareonsirisuthigul","given":"Takol","non-dropping-particle":"","parse-names":false,"suffix":""},{"dropping-particle":"","family":"Kongruang","given":"Adcharee","non-dropping-particle":"","parse-names":false,"suffix":""},{"dropping-particle":"","family":"Limsuwanachot","given":"Nittaya","non-dropping-particle":"","parse-names":false,"suffix":""},{"dropping-particle":"","family":"Sirirat","given":"Tanasan","non-dropping-particle":"","parse-names":false,"suffix":""},{"dropping-particle":"","family":"Chuncharunee","given":"Suporn","non-dropping-particle":"","parse-names":false,"suffix":""},{"dropping-particle":"","family":"Rerkamnuaychoke","given":"Budsaba","non-dropping-particle":"","parse-names":false,"suffix":""}],"container-title":"Asian Pacific Journal of Cancer Prevention","id":"ITEM-1","issue":"10","issued":{"date-parts":[["2016","10","1"]]},"page":"4647-4653","publisher":"West Asia Organization for Cancer Prevention (WAOCP)","title":"Characterization and Prognosis Significance of JAK2 (V617F), MPL, and CALR Mutations in Philadelphia-Negative Myeloproliferative Neoplasms","type":"article-journal","volume":"17"},"uris":["http://www.mendeley.com/documents/?uuid=5fba6db0-10dc-3447-9fa2-c48611d00d9e"]}],"mendeley":{"formattedCitation":"&lt;sup&gt;17&lt;/sup&gt;","plainTextFormattedCitation":"17","previouslyFormattedCitation":"&lt;sup&gt;17&lt;/sup&gt;"},"properties":{"noteIndex":0},"schema":"https://github.com/citation-style-language/schema/raw/master/csl-citation.json"}</w:instrText>
      </w:r>
      <w:r w:rsidR="00D10715" w:rsidRPr="005B034C">
        <w:rPr>
          <w:rStyle w:val="tlid-translation"/>
          <w:color w:val="auto"/>
          <w:lang w:val="en"/>
        </w:rPr>
        <w:fldChar w:fldCharType="separate"/>
      </w:r>
      <w:r w:rsidR="00D10715" w:rsidRPr="005B034C">
        <w:rPr>
          <w:rStyle w:val="tlid-translation"/>
          <w:noProof/>
          <w:color w:val="auto"/>
          <w:vertAlign w:val="superscript"/>
          <w:lang w:val="en"/>
        </w:rPr>
        <w:t>17</w:t>
      </w:r>
      <w:r w:rsidR="00D10715" w:rsidRPr="005B034C">
        <w:rPr>
          <w:rStyle w:val="tlid-translation"/>
          <w:color w:val="auto"/>
          <w:lang w:val="en"/>
        </w:rPr>
        <w:fldChar w:fldCharType="end"/>
      </w:r>
      <w:r w:rsidR="00D10715" w:rsidRPr="005B034C">
        <w:rPr>
          <w:rStyle w:val="tlid-translation"/>
          <w:color w:val="auto"/>
          <w:lang w:val="en"/>
        </w:rPr>
        <w:t>.</w:t>
      </w:r>
    </w:p>
    <w:p w14:paraId="1ADD49DC" w14:textId="77777777" w:rsidR="00753A3D" w:rsidRPr="005B034C" w:rsidRDefault="00753A3D" w:rsidP="006820EA">
      <w:pPr>
        <w:rPr>
          <w:color w:val="auto"/>
        </w:rPr>
      </w:pPr>
    </w:p>
    <w:p w14:paraId="3518B7AB" w14:textId="6E02AEC2" w:rsidR="00725F40" w:rsidRPr="005B034C" w:rsidRDefault="00725F40" w:rsidP="006820EA">
      <w:pPr>
        <w:rPr>
          <w:rFonts w:asciiTheme="minorHAnsi" w:hAnsiTheme="minorHAnsi" w:cstheme="minorHAnsi"/>
          <w:color w:val="auto"/>
        </w:rPr>
      </w:pPr>
      <w:r w:rsidRPr="005B034C">
        <w:rPr>
          <w:rFonts w:asciiTheme="minorHAnsi" w:hAnsiTheme="minorHAnsi" w:cstheme="minorHAnsi"/>
          <w:color w:val="auto"/>
        </w:rPr>
        <w:t xml:space="preserve">Reliable identification of genetic variants by HRM analysis can be achieved through the </w:t>
      </w:r>
      <w:r w:rsidR="0067458F" w:rsidRPr="005B034C">
        <w:rPr>
          <w:rFonts w:asciiTheme="minorHAnsi" w:hAnsiTheme="minorHAnsi" w:cstheme="minorHAnsi"/>
          <w:color w:val="auto"/>
        </w:rPr>
        <w:t>proper</w:t>
      </w:r>
      <w:r w:rsidR="00AF0417" w:rsidRPr="005B034C">
        <w:rPr>
          <w:rFonts w:asciiTheme="minorHAnsi" w:hAnsiTheme="minorHAnsi" w:cstheme="minorHAnsi"/>
          <w:color w:val="auto"/>
        </w:rPr>
        <w:t xml:space="preserve"> </w:t>
      </w:r>
      <w:r w:rsidRPr="005B034C">
        <w:rPr>
          <w:rFonts w:asciiTheme="minorHAnsi" w:hAnsiTheme="minorHAnsi" w:cstheme="minorHAnsi"/>
          <w:color w:val="auto"/>
        </w:rPr>
        <w:t>assay development that ensure</w:t>
      </w:r>
      <w:r w:rsidR="0067458F" w:rsidRPr="005B034C">
        <w:rPr>
          <w:rFonts w:asciiTheme="minorHAnsi" w:hAnsiTheme="minorHAnsi" w:cstheme="minorHAnsi"/>
          <w:color w:val="auto"/>
        </w:rPr>
        <w:t>s</w:t>
      </w:r>
      <w:r w:rsidRPr="005B034C">
        <w:rPr>
          <w:rFonts w:asciiTheme="minorHAnsi" w:hAnsiTheme="minorHAnsi" w:cstheme="minorHAnsi"/>
          <w:color w:val="auto"/>
        </w:rPr>
        <w:t xml:space="preserve"> that the experiment is optimized for HRM. </w:t>
      </w:r>
      <w:r w:rsidR="0067458F" w:rsidRPr="005B034C">
        <w:rPr>
          <w:rFonts w:asciiTheme="minorHAnsi" w:hAnsiTheme="minorHAnsi" w:cstheme="minorHAnsi"/>
          <w:color w:val="auto"/>
        </w:rPr>
        <w:t>F</w:t>
      </w:r>
      <w:r w:rsidRPr="005B034C">
        <w:rPr>
          <w:rFonts w:asciiTheme="minorHAnsi" w:hAnsiTheme="minorHAnsi" w:cstheme="minorHAnsi"/>
          <w:color w:val="auto"/>
        </w:rPr>
        <w:t>actors other than sequence can be a source of small difference</w:t>
      </w:r>
      <w:r w:rsidR="0067458F" w:rsidRPr="005B034C">
        <w:rPr>
          <w:rFonts w:asciiTheme="minorHAnsi" w:hAnsiTheme="minorHAnsi" w:cstheme="minorHAnsi"/>
          <w:color w:val="auto"/>
        </w:rPr>
        <w:t>s</w:t>
      </w:r>
      <w:r w:rsidRPr="005B034C">
        <w:rPr>
          <w:rFonts w:asciiTheme="minorHAnsi" w:hAnsiTheme="minorHAnsi" w:cstheme="minorHAnsi"/>
          <w:color w:val="auto"/>
        </w:rPr>
        <w:t xml:space="preserve"> in </w:t>
      </w:r>
      <w:r w:rsidR="0067458F" w:rsidRPr="005B034C">
        <w:rPr>
          <w:rFonts w:asciiTheme="minorHAnsi" w:hAnsiTheme="minorHAnsi" w:cstheme="minorHAnsi"/>
          <w:color w:val="auto"/>
        </w:rPr>
        <w:t xml:space="preserve">the </w:t>
      </w:r>
      <w:r w:rsidRPr="005B034C">
        <w:rPr>
          <w:rFonts w:asciiTheme="minorHAnsi" w:hAnsiTheme="minorHAnsi" w:cstheme="minorHAnsi"/>
          <w:color w:val="auto"/>
        </w:rPr>
        <w:t>HRM curves</w:t>
      </w:r>
      <w:r w:rsidR="0067458F" w:rsidRPr="005B034C">
        <w:rPr>
          <w:rFonts w:asciiTheme="minorHAnsi" w:hAnsiTheme="minorHAnsi" w:cstheme="minorHAnsi"/>
          <w:color w:val="auto"/>
        </w:rPr>
        <w:t xml:space="preserve"> such as p</w:t>
      </w:r>
      <w:r w:rsidRPr="005B034C">
        <w:rPr>
          <w:rFonts w:asciiTheme="minorHAnsi" w:hAnsiTheme="minorHAnsi" w:cstheme="minorHAnsi"/>
          <w:color w:val="auto"/>
        </w:rPr>
        <w:t>rimer design, amplicon length, dye selection, choice of qPCR HRM reagent and temperature and time profiles of the qPCR HRM steps</w:t>
      </w:r>
      <w:r w:rsidR="0067458F" w:rsidRPr="005B034C">
        <w:rPr>
          <w:rFonts w:asciiTheme="minorHAnsi" w:hAnsiTheme="minorHAnsi" w:cstheme="minorHAnsi"/>
          <w:color w:val="auto"/>
        </w:rPr>
        <w:t xml:space="preserve">. This is </w:t>
      </w:r>
      <w:r w:rsidR="00EA4D74" w:rsidRPr="005B034C">
        <w:rPr>
          <w:rFonts w:asciiTheme="minorHAnsi" w:hAnsiTheme="minorHAnsi" w:cstheme="minorHAnsi"/>
          <w:color w:val="auto"/>
        </w:rPr>
        <w:t xml:space="preserve">the </w:t>
      </w:r>
      <w:r w:rsidRPr="005B034C">
        <w:rPr>
          <w:rFonts w:asciiTheme="minorHAnsi" w:hAnsiTheme="minorHAnsi" w:cstheme="minorHAnsi"/>
          <w:color w:val="auto"/>
        </w:rPr>
        <w:t xml:space="preserve">part of the very early development and optimization of the qPCR HRM assay and </w:t>
      </w:r>
      <w:r w:rsidR="0067458F" w:rsidRPr="005B034C">
        <w:rPr>
          <w:rFonts w:asciiTheme="minorHAnsi" w:hAnsiTheme="minorHAnsi" w:cstheme="minorHAnsi"/>
          <w:color w:val="auto"/>
        </w:rPr>
        <w:t xml:space="preserve">has already been </w:t>
      </w:r>
      <w:r w:rsidRPr="005B034C">
        <w:rPr>
          <w:rFonts w:asciiTheme="minorHAnsi" w:hAnsiTheme="minorHAnsi" w:cstheme="minorHAnsi"/>
          <w:color w:val="auto"/>
        </w:rPr>
        <w:t>discussed elsewhere</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{"citationItems":[{"id":"ITEM-1","itemData":{"author":[{"dropping-particle":"","family":"Biosystems","given":"Applied","non-dropping-particle":"","parse-names":false,"suffix":""}],"id":"ITEM-1","issued":{"date-parts":[["0"]]},"title":"Applied Biosystems High Resolution Melt Module for ViiA ™ 7 Software v1 . 1 Getting Started Guide","type":"article-journal"},"uris":["http://www.mendeley.com/documents/?uuid=9e3d3605-e5da-493e-96fd-40b6ff2c24ca"]}],"mendeley":{"formattedCitation":"&lt;sup&gt;12&lt;/sup&gt;","plainTextFormattedCitation":"12","previouslyFormattedCitation":"&lt;sup&gt;11&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12</w:t>
      </w:r>
      <w:r w:rsidR="00A34E38" w:rsidRPr="005B034C">
        <w:rPr>
          <w:rStyle w:val="FootnoteReference"/>
          <w:rFonts w:asciiTheme="minorHAnsi" w:hAnsiTheme="minorHAnsi" w:cstheme="minorHAnsi"/>
          <w:color w:val="auto"/>
        </w:rPr>
        <w:fldChar w:fldCharType="end"/>
      </w:r>
      <w:r w:rsidR="00E76980" w:rsidRPr="005B034C">
        <w:rPr>
          <w:rFonts w:asciiTheme="minorHAnsi" w:hAnsiTheme="minorHAnsi" w:cstheme="minorHAnsi"/>
          <w:color w:val="auto"/>
          <w:vertAlign w:val="superscript"/>
        </w:rPr>
        <w:t>,</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{"citationItems":[{"id":"ITEM-1","itemData":{"DOI":"10.2217/14622416.8.6.597","ISSN":"14622416","abstract":"High-resolution melting of DNA is a simple solution for genotyping, mutation scanning and sequence matching. The melting profile of a PCR product depends on its GC content, length, sequence and heterozygosity and is best monitored with saturating dyes that fluoresce in the presence of double-stranded DNA. Genotyping of most variants is possible by the melting temperature of the PCR products, while all variants can be genotyped with unlabeled probes. Mutation scanning and sequence matching depend on sequence differences that result in heteroduplexes that change the shape of the melting curve. High-resolution DNA melting has several advantages over other genotyping and scanning methods, including an inexpensive closed tube format that is homogenous, accurate and rapid. Owing to its simplicity and speed, the method is a good fit for personalized medicine as a rapid, inexpensive method to predict therapeutic response. © 2007 Future Medicine Ltd.","author":[{"dropping-particle":"","family":"Reed","given":"Gudrun H.","non-dropping-particle":"","parse-names":false,"suffix":""},{"dropping-particle":"","family":"Kent","given":"Jana O.","non-dropping-particle":"","parse-names":false,"suffix":""},{"dropping-particle":"","family":"Wittwer","given":"Carl T.","non-dropping-particle":"","parse-names":false,"suffix":""}],"container-title":"Pharmacogenomics","id":"ITEM-1","issue":"6","issued":{"date-parts":[["2007","6","1"]]},"note":"doi: 10.2217/14622416.8.6.597","page":"597-608","publisher":"Future Medicine","title":"High-resolution DNA melting analysis for simple and efficient molecular diagnostics","type":"article-journal","volume":"8"},"uris":["http://www.mendeley.com/documents/?uuid=1902496d-9b24-444f-92b3-93ce6b4a546e"]}],"mendeley":{"formattedCitation":"&lt;sup&gt;14&lt;/sup&gt;","plainTextFormattedCitation":"14","previouslyFormattedCitation":"&lt;sup&gt;13&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14</w:t>
      </w:r>
      <w:r w:rsidR="00A34E38" w:rsidRPr="005B034C">
        <w:rPr>
          <w:rStyle w:val="FootnoteReference"/>
          <w:rFonts w:asciiTheme="minorHAnsi" w:hAnsiTheme="minorHAnsi" w:cstheme="minorHAnsi"/>
          <w:color w:val="auto"/>
        </w:rPr>
        <w:fldChar w:fldCharType="end"/>
      </w:r>
      <w:r w:rsidR="00E76980" w:rsidRPr="005B034C">
        <w:rPr>
          <w:rFonts w:asciiTheme="minorHAnsi" w:hAnsiTheme="minorHAnsi" w:cstheme="minorHAnsi"/>
          <w:color w:val="auto"/>
          <w:vertAlign w:val="superscript"/>
        </w:rPr>
        <w:t>,</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{"citationItems":[{"id":"ITEM-1","itemData":{"DOI":"10.1016/j.ymeth.2010.01.013","ISSN":"10462023","abstract":"High resolution melting is a new method of genotyping and variant scanning that can be seamlessly appended to PCR amplification. Limitations of genotyping by amplicon melting can be addressed by unlabeled probe or snapback primer analysis, all performed without labeled probes. High resolution melting can also be used to scan for rare sequence variants in large genes with multiple exons and is the focus of this article. With the simple addition of a heteroduplex-detecting dye before PCR, high resolution melting is performed without any additions, processing or separation steps. Heterozygous variants are identified by atypical melting curves of a different shape compared to wild-type homozygotes. Homozygous or hemizygous variants are detected by prior mixing with wild-type DNA. Design, optimization, and performance considerations for high resolution scanning assays are presented for rapid turnaround of gene scanning. Design concerns include primer selection and predicting melting profiles in silico. Optimization includes temperature gradient selection of the annealing temperature, random population screening for common variants, and batch preparation of primer plates with robotically deposited and dried primer pairs. Performance includes rapid DNA preparation, PCR, and scanning by high resolution melting that require, in total, only 3 h when no variants are present. When variants are detected, they can be identified in an additional 3 h by rapid cycle sequencing and capillary electrophoresis. For each step in the protocol, a general overview of principles is provided, followed by an in depth analysis of one example, scanning of CYBB, the gene that is mutated in X-linked chronic granulomatous disease. © 2010 Elsevier Inc. All rights reserved.","author":[{"dropping-particle":"","family":"Erali","given":"Maria","non-dropping-particle":"","parse-names":false,"suffix":""},{"dropping-particle":"","family":"Wittwer","given":"Carl T.","non-dropping-particle":"","parse-names":false,"suffix":""}],"container-title":"Methods","id":"ITEM-1","issue":"4","issued":{"date-parts":[["2010"]]},"note":"The ongoing Evolution of qPCR","page":"250-261","title":"High resolution melting analysis for gene scanning","type":"article-journal","volume":"50"},"uris":["http://www.mendeley.com/documents/?uuid=53c92aa1-052f-4455-ba06-9c1abc06292d"]}],"mendeley":{"formattedCitation":"&lt;sup&gt;18&lt;/sup&gt;","plainTextFormattedCitation":"18","previouslyFormattedCitation":"&lt;sup&gt;18&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bCs/>
          <w:noProof/>
          <w:color w:val="auto"/>
          <w:vertAlign w:val="superscript"/>
          <w:lang w:val="sl-SI"/>
        </w:rPr>
        <w:t>18</w:t>
      </w:r>
      <w:r w:rsidR="00A34E38" w:rsidRPr="005B034C">
        <w:rPr>
          <w:rStyle w:val="FootnoteReference"/>
          <w:rFonts w:asciiTheme="minorHAnsi" w:hAnsiTheme="minorHAnsi" w:cstheme="minorHAnsi"/>
          <w:color w:val="auto"/>
        </w:rPr>
        <w:fldChar w:fldCharType="end"/>
      </w:r>
      <w:r w:rsidRPr="005B034C">
        <w:rPr>
          <w:rFonts w:asciiTheme="minorHAnsi" w:hAnsiTheme="minorHAnsi" w:cstheme="minorHAnsi"/>
          <w:color w:val="auto"/>
        </w:rPr>
        <w:t xml:space="preserve">. </w:t>
      </w:r>
      <w:r w:rsidR="00E713D8" w:rsidRPr="005B034C">
        <w:rPr>
          <w:rFonts w:asciiTheme="minorHAnsi" w:hAnsiTheme="minorHAnsi" w:cstheme="minorHAnsi"/>
          <w:color w:val="auto"/>
        </w:rPr>
        <w:t xml:space="preserve">However, </w:t>
      </w:r>
      <w:r w:rsidR="005C6CB4" w:rsidRPr="005B034C">
        <w:rPr>
          <w:rFonts w:asciiTheme="minorHAnsi" w:hAnsiTheme="minorHAnsi" w:cstheme="minorHAnsi"/>
          <w:color w:val="auto"/>
        </w:rPr>
        <w:t>r</w:t>
      </w:r>
      <w:r w:rsidR="00E713D8" w:rsidRPr="005B034C">
        <w:rPr>
          <w:rFonts w:asciiTheme="minorHAnsi" w:hAnsiTheme="minorHAnsi" w:cstheme="minorHAnsi"/>
          <w:color w:val="auto"/>
        </w:rPr>
        <w:t xml:space="preserve">eliable identification of genetic variants in the </w:t>
      </w:r>
      <w:r w:rsidR="00E713D8" w:rsidRPr="005B034C">
        <w:rPr>
          <w:rFonts w:asciiTheme="minorHAnsi" w:hAnsiTheme="minorHAnsi" w:cstheme="minorHAnsi"/>
          <w:i/>
          <w:iCs/>
          <w:color w:val="auto"/>
        </w:rPr>
        <w:t>CALR</w:t>
      </w:r>
      <w:r w:rsidR="00E713D8" w:rsidRPr="005B034C">
        <w:rPr>
          <w:rFonts w:asciiTheme="minorHAnsi" w:hAnsiTheme="minorHAnsi" w:cstheme="minorHAnsi"/>
          <w:color w:val="auto"/>
        </w:rPr>
        <w:t xml:space="preserve"> gene with comparable sensitivity of the assays could be achieved on different HRM platforms using the same primer </w:t>
      </w:r>
      <w:r w:rsidR="003D372E" w:rsidRPr="005B034C">
        <w:rPr>
          <w:rFonts w:asciiTheme="minorHAnsi" w:hAnsiTheme="minorHAnsi" w:cstheme="minorHAnsi"/>
          <w:color w:val="auto"/>
        </w:rPr>
        <w:t>sequences</w:t>
      </w:r>
      <w:r w:rsidR="003D372E" w:rsidRPr="005B034C">
        <w:rPr>
          <w:rFonts w:asciiTheme="minorHAnsi" w:hAnsiTheme="minorHAnsi" w:cstheme="minorHAnsi"/>
          <w:color w:val="auto"/>
        </w:rPr>
        <w:fldChar w:fldCharType="begin" w:fldLock="1"/>
      </w:r>
      <w:r w:rsidR="003D372E" w:rsidRPr="005B034C">
        <w:rPr>
          <w:rFonts w:asciiTheme="minorHAnsi" w:hAnsiTheme="minorHAnsi" w:cstheme="minorHAnsi"/>
          <w:color w:val="auto"/>
        </w:rPr>
        <w:instrText>ADDIN CSL_CITATION {"citationItems":[{"id":"ITEM-1","itemData":{"DOI":"10.1371/journal.pone.0103511","ISSN":"1932-6203","abstract":"Background The recent discovery of CALR mutations in essential thrombocythemia (ET) and primary myelofibrosis (PMF) patients without JAK2/MPL mutations has emerged as a relevant finding for the molecular diagnosis of these myeloproliferative neoplasms (MPN). We tested the feasibility of high-resolution melting (HRM) as a screening method for rapid detection of CALR mutations.  Methods CALR was studied in wild-type JAK2/MPL patients including 34 ET, 21 persistent thrombocytosis suggestive of MPN and 98 suspected secondary thrombocytosis. CALR mutation analysis was performed through HRM and Sanger sequencing. We compared clinical features of CALR-mutated versus 45 JAK2/MPL-mutated subjects in ET.  Results Nineteen samples showed distinct HRM patterns from wild-type. Of them, 18 were mutations and one a polymorphism as confirmed by direct sequencing. CALR mutations were present in 44% of ET (15/34), 14% of persistent thrombocytosis suggestive of MPN (3/21) and none of the secondary thrombocytosis (0/98). Of the 18 mutants, 9 were 52 bp deletions, 8 were 5 bp insertions and other was a complex mutation with insertion/deletion. No mutations were found after sequencing analysis of 45 samples displaying wild-type HRM curves. HRM technique was reproducible, no false positive or negative were detected and the limit of detection was of 3%.  Conclusions This study establishes a sensitive, reliable and rapid HRM method to screen for the presence of CALR mutations.","author":[{"dropping-particle":"","family":"Bilbao-Sieyro","given":"Cristina","non-dropping-particle":"","parse-names":false,"suffix":""},{"dropping-particle":"","family":"Santana","given":"Guillermo","non-dropping-particle":"","parse-names":false,"suffix":""},{"dropping-particle":"","family":"Moreno","given":"Melania","non-dropping-particle":"","parse-names":false,"suffix":""},{"dropping-particle":"","family":"Torres","given":"Laura","non-dropping-particle":"","parse-names":false,"suffix":""},{"dropping-particle":"","family":"Santana-Lopez","given":"Gonzalo","non-dropping-particle":"","parse-names":false,"suffix":""},{"dropping-particle":"","family":"Rodriguez-Medina","given":"Carlos","non-dropping-particle":"","parse-names":false,"suffix":""},{"dropping-particle":"","family":"Perera","given":"María","non-dropping-particle":"","parse-names":false,"suffix":""},{"dropping-particle":"","family":"Bellosillo","given":"Beatriz","non-dropping-particle":"","parse-names":false,"suffix":""},{"dropping-particle":"","family":"la Iglesia","given":"Silvia","non-dropping-particle":"de","parse-names":false,"suffix":""},{"dropping-particle":"","family":"Molero","given":"Teresa","non-dropping-particle":"","parse-names":false,"suffix":""},{"dropping-particle":"","family":"Gomez-Casares","given":"Maria Teresa","non-dropping-particle":"","parse-names":false,"suffix":""}],"container-title":"PLoS ONE","editor":[{"dropping-particle":"","family":"Szecsi","given":"Pal Bela","non-dropping-particle":"","parse-names":false,"suffix":""}],"id":"ITEM-1","issue":"7","issued":{"date-parts":[["2014","7","28"]]},"page":"e103511","publisher":"Public Library of Science","title":"High Resolution Melting Analysis: A Rapid and Accurate Method to Detect CALR Mutations","type":"article-journal","volume":"9"},"uris":["http://www.mendeley.com/documents/?uuid=4614cbbf-6c7d-37dd-8169-e46c94e5c058"]}],"mendeley":{"formattedCitation":"&lt;sup&gt;19&lt;/sup&gt;","plainTextFormattedCitation":"19","previouslyFormattedCitation":"&lt;sup&gt;19&lt;/sup&gt;"},"properties":{"noteIndex":0},"schema":"https://github.com/citation-style-language/schema/raw/master/csl-citation.json"}</w:instrText>
      </w:r>
      <w:r w:rsidR="003D372E" w:rsidRPr="005B034C">
        <w:rPr>
          <w:rFonts w:asciiTheme="minorHAnsi" w:hAnsiTheme="minorHAnsi" w:cstheme="minorHAnsi"/>
          <w:color w:val="auto"/>
        </w:rPr>
        <w:fldChar w:fldCharType="separate"/>
      </w:r>
      <w:r w:rsidR="003D372E" w:rsidRPr="005B034C">
        <w:rPr>
          <w:rFonts w:asciiTheme="minorHAnsi" w:hAnsiTheme="minorHAnsi" w:cstheme="minorHAnsi"/>
          <w:noProof/>
          <w:color w:val="auto"/>
          <w:vertAlign w:val="superscript"/>
        </w:rPr>
        <w:t>19</w:t>
      </w:r>
      <w:r w:rsidR="003D372E" w:rsidRPr="005B034C">
        <w:rPr>
          <w:rFonts w:asciiTheme="minorHAnsi" w:hAnsiTheme="minorHAnsi" w:cstheme="minorHAnsi"/>
          <w:color w:val="auto"/>
        </w:rPr>
        <w:fldChar w:fldCharType="end"/>
      </w:r>
      <w:r w:rsidR="00E713D8" w:rsidRPr="005B034C">
        <w:rPr>
          <w:rFonts w:asciiTheme="minorHAnsi" w:hAnsiTheme="minorHAnsi" w:cstheme="minorHAnsi"/>
          <w:color w:val="auto"/>
        </w:rPr>
        <w:t xml:space="preserve">. </w:t>
      </w:r>
      <w:r w:rsidR="006E7E6E">
        <w:rPr>
          <w:rFonts w:asciiTheme="minorHAnsi" w:hAnsiTheme="minorHAnsi" w:cstheme="minorHAnsi"/>
          <w:color w:val="auto"/>
        </w:rPr>
        <w:t>T</w:t>
      </w:r>
      <w:r w:rsidR="00E713D8" w:rsidRPr="005B034C">
        <w:rPr>
          <w:rFonts w:asciiTheme="minorHAnsi" w:hAnsiTheme="minorHAnsi" w:cstheme="minorHAnsi"/>
          <w:color w:val="auto"/>
        </w:rPr>
        <w:t>he most critical point in the optimization process of the qPCR HRM assay was optimization of the melting and elongation temperature in the qPCR step of the qPCR HRM assay. No modification was needed for the HRM step</w:t>
      </w:r>
      <w:r w:rsidR="00E713D8" w:rsidRPr="005B034C">
        <w:rPr>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{"citationItems":[{"id":"ITEM-1","itemData":{"author":[{"dropping-particle":"","family":"Biosystems","given":"Applied","non-dropping-particle":"","parse-names":false,"suffix":""}],"id":"ITEM-1","issued":{"date-parts":[["0"]]},"title":"Applied Biosystems High Resolution Melt Module for ViiA ™ 7 Software v1 . 1 Getting Started Guide","type":"article-journal"},"uris":["http://www.mendeley.com/documents/?uuid=9e3d3605-e5da-493e-96fd-40b6ff2c24ca"]}],"mendeley":{"formattedCitation":"&lt;sup&gt;12&lt;/sup&gt;","plainTextFormattedCitation":"12","previouslyFormattedCitation":"&lt;sup&gt;11&lt;/sup&gt;"},"properties":{"noteIndex":0},"schema":"https://github.com/citation-style-language/schema/raw/master/csl-citation.json"}</w:instrText>
      </w:r>
      <w:r w:rsidR="00E713D8" w:rsidRPr="005B034C">
        <w:rPr>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12</w:t>
      </w:r>
      <w:r w:rsidR="00E713D8" w:rsidRPr="005B034C">
        <w:rPr>
          <w:rFonts w:asciiTheme="minorHAnsi" w:hAnsiTheme="minorHAnsi" w:cstheme="minorHAnsi"/>
          <w:color w:val="auto"/>
        </w:rPr>
        <w:fldChar w:fldCharType="end"/>
      </w:r>
      <w:r w:rsidR="00E713D8" w:rsidRPr="005B034C">
        <w:rPr>
          <w:rFonts w:asciiTheme="minorHAnsi" w:hAnsiTheme="minorHAnsi" w:cstheme="minorHAnsi"/>
          <w:color w:val="auto"/>
        </w:rPr>
        <w:t>. I</w:t>
      </w:r>
      <w:r w:rsidR="00277A44" w:rsidRPr="005B034C">
        <w:rPr>
          <w:rFonts w:asciiTheme="minorHAnsi" w:hAnsiTheme="minorHAnsi" w:cstheme="minorHAnsi"/>
          <w:color w:val="auto"/>
        </w:rPr>
        <w:t>n the ro</w:t>
      </w:r>
      <w:r w:rsidR="005359C1" w:rsidRPr="005B034C">
        <w:rPr>
          <w:rFonts w:asciiTheme="minorHAnsi" w:hAnsiTheme="minorHAnsi" w:cstheme="minorHAnsi"/>
          <w:color w:val="auto"/>
        </w:rPr>
        <w:t xml:space="preserve">utine </w:t>
      </w:r>
      <w:r w:rsidR="00606B6E" w:rsidRPr="005B034C">
        <w:rPr>
          <w:rFonts w:asciiTheme="minorHAnsi" w:hAnsiTheme="minorHAnsi" w:cstheme="minorHAnsi"/>
          <w:color w:val="auto"/>
        </w:rPr>
        <w:t>testing</w:t>
      </w:r>
      <w:r w:rsidR="006E7E6E">
        <w:rPr>
          <w:rFonts w:asciiTheme="minorHAnsi" w:hAnsiTheme="minorHAnsi" w:cstheme="minorHAnsi"/>
          <w:color w:val="auto"/>
        </w:rPr>
        <w:t>,</w:t>
      </w:r>
      <w:r w:rsidR="007E71AC" w:rsidRPr="005B034C">
        <w:rPr>
          <w:rFonts w:asciiTheme="minorHAnsi" w:hAnsiTheme="minorHAnsi" w:cstheme="minorHAnsi"/>
          <w:color w:val="auto"/>
        </w:rPr>
        <w:t xml:space="preserve"> </w:t>
      </w:r>
      <w:r w:rsidRPr="005B034C">
        <w:rPr>
          <w:rFonts w:asciiTheme="minorHAnsi" w:hAnsiTheme="minorHAnsi" w:cstheme="minorHAnsi"/>
          <w:color w:val="auto"/>
        </w:rPr>
        <w:t>other factors influencing the HRM results</w:t>
      </w:r>
      <w:r w:rsidR="00B54253" w:rsidRPr="005B034C">
        <w:rPr>
          <w:rFonts w:asciiTheme="minorHAnsi" w:hAnsiTheme="minorHAnsi" w:cstheme="minorHAnsi"/>
          <w:color w:val="auto"/>
        </w:rPr>
        <w:t xml:space="preserve"> </w:t>
      </w:r>
      <w:r w:rsidR="007E71AC" w:rsidRPr="005B034C">
        <w:rPr>
          <w:rFonts w:asciiTheme="minorHAnsi" w:hAnsiTheme="minorHAnsi" w:cstheme="minorHAnsi"/>
          <w:color w:val="auto"/>
        </w:rPr>
        <w:t>becomes</w:t>
      </w:r>
      <w:r w:rsidR="000C4C4F" w:rsidRPr="005B034C">
        <w:rPr>
          <w:rFonts w:asciiTheme="minorHAnsi" w:hAnsiTheme="minorHAnsi" w:cstheme="minorHAnsi"/>
          <w:color w:val="auto"/>
        </w:rPr>
        <w:t xml:space="preserve"> more </w:t>
      </w:r>
      <w:r w:rsidRPr="005B034C">
        <w:rPr>
          <w:rFonts w:asciiTheme="minorHAnsi" w:hAnsiTheme="minorHAnsi" w:cstheme="minorHAnsi"/>
          <w:color w:val="auto"/>
        </w:rPr>
        <w:t>important</w:t>
      </w:r>
      <w:r w:rsidR="00036A39" w:rsidRPr="005B034C">
        <w:rPr>
          <w:rFonts w:asciiTheme="minorHAnsi" w:hAnsiTheme="minorHAnsi" w:cstheme="minorHAnsi"/>
          <w:color w:val="auto"/>
        </w:rPr>
        <w:t xml:space="preserve"> to follow</w:t>
      </w:r>
      <w:r w:rsidR="00132A6B" w:rsidRPr="005B034C">
        <w:rPr>
          <w:rFonts w:asciiTheme="minorHAnsi" w:hAnsiTheme="minorHAnsi" w:cstheme="minorHAnsi"/>
          <w:color w:val="auto"/>
        </w:rPr>
        <w:t>.</w:t>
      </w:r>
      <w:r w:rsidRPr="005B034C">
        <w:rPr>
          <w:rFonts w:asciiTheme="minorHAnsi" w:hAnsiTheme="minorHAnsi" w:cstheme="minorHAnsi"/>
          <w:color w:val="auto"/>
        </w:rPr>
        <w:t xml:space="preserve"> </w:t>
      </w:r>
    </w:p>
    <w:p w14:paraId="51F25070" w14:textId="77777777" w:rsidR="005A1C80" w:rsidRPr="005B034C" w:rsidRDefault="005A1C80" w:rsidP="006820EA">
      <w:pPr>
        <w:rPr>
          <w:rFonts w:asciiTheme="minorHAnsi" w:hAnsiTheme="minorHAnsi" w:cstheme="minorHAnsi"/>
          <w:color w:val="auto"/>
        </w:rPr>
      </w:pPr>
    </w:p>
    <w:p w14:paraId="6FB64DE6" w14:textId="32C87302" w:rsidR="00B96C55" w:rsidRPr="005B034C" w:rsidRDefault="00725F40" w:rsidP="006820EA">
      <w:pPr>
        <w:rPr>
          <w:rFonts w:asciiTheme="minorHAnsi" w:hAnsiTheme="minorHAnsi" w:cstheme="minorHAnsi"/>
          <w:color w:val="auto"/>
        </w:rPr>
      </w:pPr>
      <w:r w:rsidRPr="005B034C">
        <w:rPr>
          <w:rFonts w:asciiTheme="minorHAnsi" w:hAnsiTheme="minorHAnsi" w:cstheme="minorHAnsi"/>
          <w:color w:val="auto"/>
        </w:rPr>
        <w:t>High-quality DNA resuspended in a low-salt buffer such as TE (10 mM Tris, 1 mM EDTA or lower concentration</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and the same amount of DNA in the qPCR HRM assay are important factors for successfully amplified DNA region of interest</w:t>
      </w:r>
      <w:r w:rsidR="00D07346">
        <w:rPr>
          <w:rFonts w:asciiTheme="minorHAnsi" w:hAnsiTheme="minorHAnsi" w:cstheme="minorHAnsi"/>
          <w:color w:val="auto"/>
        </w:rPr>
        <w:t>s</w:t>
      </w:r>
      <w:r w:rsidRPr="005B034C">
        <w:rPr>
          <w:rFonts w:asciiTheme="minorHAnsi" w:hAnsiTheme="minorHAnsi" w:cstheme="minorHAnsi"/>
          <w:color w:val="auto"/>
        </w:rPr>
        <w:t xml:space="preserve"> with a high signal plateau in the qPCR amplification phase (</w:t>
      </w:r>
      <w:r w:rsidR="00450274" w:rsidRPr="006E7E6E">
        <w:rPr>
          <w:rFonts w:asciiTheme="minorHAnsi" w:hAnsiTheme="minorHAnsi" w:cstheme="minorHAnsi"/>
          <w:b/>
          <w:bCs/>
          <w:color w:val="auto"/>
        </w:rPr>
        <w:t>Figure 2</w:t>
      </w:r>
      <w:r w:rsidR="005B034C" w:rsidRPr="005B034C">
        <w:rPr>
          <w:rFonts w:asciiTheme="minorHAnsi" w:hAnsiTheme="minorHAnsi" w:cstheme="minorHAnsi"/>
          <w:color w:val="auto"/>
        </w:rPr>
        <w:t>)</w:t>
      </w:r>
      <w:r w:rsidRPr="005B034C">
        <w:rPr>
          <w:rFonts w:asciiTheme="minorHAnsi" w:hAnsiTheme="minorHAnsi" w:cstheme="minorHAnsi"/>
          <w:color w:val="auto"/>
        </w:rPr>
        <w:t>. This lead</w:t>
      </w:r>
      <w:r w:rsidR="0067458F" w:rsidRPr="005B034C">
        <w:rPr>
          <w:rFonts w:asciiTheme="minorHAnsi" w:hAnsiTheme="minorHAnsi" w:cstheme="minorHAnsi"/>
          <w:color w:val="auto"/>
        </w:rPr>
        <w:t>s</w:t>
      </w:r>
      <w:r w:rsidRPr="005B034C">
        <w:rPr>
          <w:rFonts w:asciiTheme="minorHAnsi" w:hAnsiTheme="minorHAnsi" w:cstheme="minorHAnsi"/>
          <w:color w:val="auto"/>
        </w:rPr>
        <w:t xml:space="preserve"> to reliable identification of genetic variants by HRM analysis (</w:t>
      </w:r>
      <w:r w:rsidR="00450274" w:rsidRPr="006E7E6E">
        <w:rPr>
          <w:rFonts w:asciiTheme="minorHAnsi" w:hAnsiTheme="minorHAnsi" w:cstheme="minorHAnsi"/>
          <w:b/>
          <w:bCs/>
          <w:color w:val="auto"/>
        </w:rPr>
        <w:t>Figure 4</w:t>
      </w:r>
      <w:r w:rsidRPr="006E7E6E">
        <w:rPr>
          <w:rFonts w:asciiTheme="minorHAnsi" w:hAnsiTheme="minorHAnsi" w:cstheme="minorHAnsi"/>
          <w:b/>
          <w:bCs/>
          <w:color w:val="auto"/>
        </w:rPr>
        <w:t>A,</w:t>
      </w:r>
      <w:r w:rsidR="00450274" w:rsidRPr="006E7E6E">
        <w:rPr>
          <w:rFonts w:asciiTheme="minorHAnsi" w:hAnsiTheme="minorHAnsi" w:cstheme="minorHAnsi"/>
          <w:b/>
          <w:bCs/>
          <w:color w:val="auto"/>
        </w:rPr>
        <w:t>4</w:t>
      </w:r>
      <w:r w:rsidRPr="006E7E6E">
        <w:rPr>
          <w:rFonts w:asciiTheme="minorHAnsi" w:hAnsiTheme="minorHAnsi" w:cstheme="minorHAnsi"/>
          <w:b/>
          <w:bCs/>
          <w:color w:val="auto"/>
        </w:rPr>
        <w:t>B</w:t>
      </w:r>
      <w:r w:rsidR="005B034C" w:rsidRPr="005B034C">
        <w:rPr>
          <w:rFonts w:asciiTheme="minorHAnsi" w:hAnsiTheme="minorHAnsi" w:cstheme="minorHAnsi"/>
          <w:color w:val="auto"/>
        </w:rPr>
        <w:t>)</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{"citationItems":[{"id":"ITEM-1","itemData":{"author":[{"dropping-particle":"","family":"Biosystems","given":"Applied","non-dropping-particle":"","parse-names":false,"suffix":""}],"id":"ITEM-1","issued":{"date-parts":[["0"]]},"title":"Applied Biosystems High Resolution Melt Module for ViiA ™ 7 Software v1 . 1 Getting Started Guide","type":"article-journal"},"uris":["http://www.mendeley.com/documents/?uuid=9e3d3605-e5da-493e-96fd-40b6ff2c24ca"]}],"mendeley":{"formattedCitation":"&lt;sup&gt;12&lt;/sup&gt;","plainTextFormattedCitation":"12","previouslyFormattedCitation":"&lt;sup&gt;11&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12</w:t>
      </w:r>
      <w:r w:rsidR="00A34E38" w:rsidRPr="005B034C">
        <w:rPr>
          <w:rStyle w:val="FootnoteReference"/>
          <w:rFonts w:asciiTheme="minorHAnsi" w:hAnsiTheme="minorHAnsi" w:cstheme="minorHAnsi"/>
          <w:color w:val="auto"/>
        </w:rPr>
        <w:fldChar w:fldCharType="end"/>
      </w:r>
      <w:r w:rsidR="00E76980" w:rsidRPr="005B034C">
        <w:rPr>
          <w:rFonts w:asciiTheme="minorHAnsi" w:hAnsiTheme="minorHAnsi" w:cstheme="minorHAnsi"/>
          <w:color w:val="auto"/>
          <w:vertAlign w:val="superscript"/>
        </w:rPr>
        <w:t>,</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{"citationItems":[{"id":"ITEM-1","itemData":{"DOI":"10.2217/14622416.8.6.597","ISSN":"14622416","abstract":"High-resolution melting of DNA is a simple solution for genotyping, mutation scanning and sequence matching. The melting profile of a PCR product depends on its GC content, length, sequence and heterozygosity and is best monitored with saturating dyes that fluoresce in the presence of double-stranded DNA. Genotyping of most variants is possible by the melting temperature of the PCR products, while all variants can be genotyped with unlabeled probes. Mutation scanning and sequence matching depend on sequence differences that result in heteroduplexes that change the shape of the melting curve. High-resolution DNA melting has several advantages over other genotyping and scanning methods, including an inexpensive closed tube format that is homogenous, accurate and rapid. Owing to its simplicity and speed, the method is a good fit for personalized medicine as a rapid, inexpensive method to predict therapeutic response. © 2007 Future Medicine Ltd.","author":[{"dropping-particle":"","family":"Reed","given":"Gudrun H.","non-dropping-particle":"","parse-names":false,"suffix":""},{"dropping-particle":"","family":"Kent","given":"Jana O.","non-dropping-particle":"","parse-names":false,"suffix":""},{"dropping-particle":"","family":"Wittwer","given":"Carl T.","non-dropping-particle":"","parse-names":false,"suffix":""}],"container-title":"Pharmacogenomics","id":"ITEM-1","issue":"6","issued":{"date-parts":[["2007","6","1"]]},"note":"doi: 10.2217/14622416.8.6.597","page":"597-608","publisher":"Future Medicine","title":"High-resolution DNA melting analysis for simple and efficient molecular diagnostics","type":"article-journal","volume":"8"},"uris":["http://www.mendeley.com/documents/?uuid=1902496d-9b24-444f-92b3-93ce6b4a546e"]}],"mendeley":{"formattedCitation":"&lt;sup&gt;14&lt;/sup&gt;","plainTextFormattedCitation":"14","previouslyFormattedCitation":"&lt;sup&gt;13&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14</w:t>
      </w:r>
      <w:r w:rsidR="00A34E38" w:rsidRPr="005B034C">
        <w:rPr>
          <w:rStyle w:val="FootnoteReference"/>
          <w:rFonts w:asciiTheme="minorHAnsi" w:hAnsiTheme="minorHAnsi" w:cstheme="minorHAnsi"/>
          <w:color w:val="auto"/>
        </w:rPr>
        <w:fldChar w:fldCharType="end"/>
      </w:r>
      <w:r w:rsidRPr="005B034C">
        <w:rPr>
          <w:rFonts w:asciiTheme="minorHAnsi" w:hAnsiTheme="minorHAnsi" w:cstheme="minorHAnsi"/>
          <w:color w:val="auto"/>
        </w:rPr>
        <w:t xml:space="preserve">. </w:t>
      </w:r>
      <w:r w:rsidR="006E7E6E">
        <w:rPr>
          <w:rFonts w:asciiTheme="minorHAnsi" w:hAnsiTheme="minorHAnsi" w:cstheme="minorHAnsi"/>
          <w:color w:val="auto"/>
        </w:rPr>
        <w:t>A h</w:t>
      </w:r>
      <w:r w:rsidRPr="005B034C">
        <w:rPr>
          <w:rFonts w:asciiTheme="minorHAnsi" w:hAnsiTheme="minorHAnsi" w:cstheme="minorHAnsi"/>
          <w:color w:val="auto"/>
        </w:rPr>
        <w:t xml:space="preserve">igh-salt buffer used for the elution of DNA in the extraction protocol may subtly change the thermodynamics of the DNA melting transition. Precipitation and resuspension in low-salt buffer TE or dilution of the sample can resolve the problem of the impurities in the DNA sample. Low quality DNA can produce nonspecific PCR products or failed amplification. All </w:t>
      </w:r>
      <w:r w:rsidR="0067458F" w:rsidRPr="005B034C">
        <w:rPr>
          <w:rFonts w:asciiTheme="minorHAnsi" w:hAnsiTheme="minorHAnsi" w:cstheme="minorHAnsi"/>
          <w:color w:val="auto"/>
        </w:rPr>
        <w:t xml:space="preserve">this </w:t>
      </w:r>
      <w:r w:rsidRPr="005B034C">
        <w:rPr>
          <w:rFonts w:asciiTheme="minorHAnsi" w:hAnsiTheme="minorHAnsi" w:cstheme="minorHAnsi"/>
          <w:color w:val="auto"/>
        </w:rPr>
        <w:t>c</w:t>
      </w:r>
      <w:r w:rsidR="0067458F" w:rsidRPr="005B034C">
        <w:rPr>
          <w:rFonts w:asciiTheme="minorHAnsi" w:hAnsiTheme="minorHAnsi" w:cstheme="minorHAnsi"/>
          <w:color w:val="auto"/>
        </w:rPr>
        <w:t xml:space="preserve">an </w:t>
      </w:r>
      <w:r w:rsidRPr="005B034C">
        <w:rPr>
          <w:rFonts w:asciiTheme="minorHAnsi" w:hAnsiTheme="minorHAnsi" w:cstheme="minorHAnsi"/>
          <w:color w:val="auto"/>
        </w:rPr>
        <w:t xml:space="preserve">result in a lower reproducibility and higher error rate in HRM variant </w:t>
      </w:r>
      <w:r w:rsidR="00B043B1" w:rsidRPr="005B034C">
        <w:rPr>
          <w:rFonts w:asciiTheme="minorHAnsi" w:hAnsiTheme="minorHAnsi" w:cstheme="minorHAnsi"/>
          <w:color w:val="auto"/>
        </w:rPr>
        <w:t>detection</w:t>
      </w:r>
      <w:r w:rsidRPr="005B034C">
        <w:rPr>
          <w:rFonts w:asciiTheme="minorHAnsi" w:hAnsiTheme="minorHAnsi" w:cstheme="minorHAnsi"/>
          <w:color w:val="auto"/>
        </w:rPr>
        <w:t xml:space="preserve">. </w:t>
      </w:r>
      <w:r w:rsidR="00B96C55" w:rsidRPr="005B034C">
        <w:rPr>
          <w:rFonts w:asciiTheme="minorHAnsi" w:hAnsiTheme="minorHAnsi" w:cstheme="minorHAnsi"/>
          <w:color w:val="auto"/>
        </w:rPr>
        <w:t>Additional optimization for the challenging sample</w:t>
      </w:r>
      <w:r w:rsidR="00B54253" w:rsidRPr="005B034C">
        <w:rPr>
          <w:rFonts w:asciiTheme="minorHAnsi" w:hAnsiTheme="minorHAnsi" w:cstheme="minorHAnsi"/>
          <w:color w:val="auto"/>
        </w:rPr>
        <w:t>s</w:t>
      </w:r>
      <w:r w:rsidR="00B96C55" w:rsidRPr="005B034C">
        <w:rPr>
          <w:rFonts w:asciiTheme="minorHAnsi" w:hAnsiTheme="minorHAnsi" w:cstheme="minorHAnsi"/>
          <w:color w:val="auto"/>
        </w:rPr>
        <w:t xml:space="preserve"> such as </w:t>
      </w:r>
      <w:r w:rsidR="00560602" w:rsidRPr="005B034C">
        <w:rPr>
          <w:rFonts w:asciiTheme="minorHAnsi" w:hAnsiTheme="minorHAnsi" w:cstheme="minorHAnsi"/>
          <w:color w:val="auto"/>
        </w:rPr>
        <w:t xml:space="preserve">DNA extracted from paraffin-embedded samples </w:t>
      </w:r>
      <w:r w:rsidR="00B96C55" w:rsidRPr="005B034C">
        <w:rPr>
          <w:rFonts w:asciiTheme="minorHAnsi" w:hAnsiTheme="minorHAnsi" w:cstheme="minorHAnsi"/>
          <w:color w:val="auto"/>
        </w:rPr>
        <w:t>could be neede</w:t>
      </w:r>
      <w:r w:rsidR="00560602" w:rsidRPr="005B034C">
        <w:rPr>
          <w:rFonts w:asciiTheme="minorHAnsi" w:hAnsiTheme="minorHAnsi" w:cstheme="minorHAnsi"/>
          <w:color w:val="auto"/>
        </w:rPr>
        <w:t>d</w:t>
      </w:r>
      <w:r w:rsidR="00B96C55" w:rsidRPr="005B034C">
        <w:rPr>
          <w:rFonts w:asciiTheme="minorHAnsi" w:hAnsiTheme="minorHAnsi" w:cstheme="minorHAnsi"/>
          <w:color w:val="auto"/>
        </w:rPr>
        <w:t xml:space="preserve"> to obtain </w:t>
      </w:r>
      <w:r w:rsidR="00BE6F55">
        <w:rPr>
          <w:rFonts w:asciiTheme="minorHAnsi" w:hAnsiTheme="minorHAnsi" w:cstheme="minorHAnsi"/>
          <w:color w:val="auto"/>
        </w:rPr>
        <w:t xml:space="preserve">an </w:t>
      </w:r>
      <w:r w:rsidR="00B96C55" w:rsidRPr="005B034C">
        <w:rPr>
          <w:rFonts w:asciiTheme="minorHAnsi" w:hAnsiTheme="minorHAnsi" w:cstheme="minorHAnsi"/>
          <w:color w:val="auto"/>
        </w:rPr>
        <w:t>optimal HRM result</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{"citationItems":[{"id":"ITEM-1","itemData":{"DOI":"10.1371/journal.pone.0014522","ISSN":"19326203","abstract":"Identification of somatic mutations in cancer is a major goal for understanding and monitoring the events related to cancer initiation and progression. High resolution melting (HRM) curve analysis represents a fast, post-PCR high-throughput method for scanning somatic sequence alterations in target genes. The aim of this study was to assess the sensitivity and specificity of HRM analysis for tumor mutation screening in a range of tumor samples, which included 216 frozen pediatric small rounded blue-cell tumors as well as 180 paraffin-embedded tumors from breast, endometrial and ovarian cancers (60 of each). HRM analysis was performed in exons of the following candidate genes known to harbor established commonly observed mutations: PIK3CA, ERBB2, KRAS, TP53, EGFR, BRAF, GATA3, and FGFR3. Bi-directional sequencing analysis was used to determine the accuracy of the HRM analysis. For the 39 mutations observed in frozen samples, the sensitivity and specificity of HRM analysis were 97% and 87%, respectively. There were 67 mutation/variants in the paraffin-embedded samples, and the sensitivity and specificity for the HRM analysis were 88% and 80%, respectively. Paraffin-embedded samples require higher quantity of purified DNA for high performance. In summary, HRM analysis is a promising moderatethroughput screening test for mutations among known candidate genomic regions. Although the overall accuracy appears to be better in frozen specimens, somatic alterations were detected in DNA extracted from paraffin-embedded samples.","author":[{"dropping-particle":"","family":"Gonzalez-Bosquet","given":"Jesus","non-dropping-particle":"","parse-names":false,"suffix":""},{"dropping-particle":"","family":"Calcei","given":"Jacob","non-dropping-particle":"","parse-names":false,"suffix":""},{"dropping-particle":"","family":"Wei","given":"Jun S.","non-dropping-particle":"","parse-names":false,"suffix":""},{"dropping-particle":"","family":"Garcia-Closas","given":"Montserrat","non-dropping-particle":"","parse-names":false,"suffix":""},{"dropping-particle":"","family":"Sherman","given":"Mark E.","non-dropping-particle":"","parse-names":false,"suffix":""},{"dropping-particle":"","family":"Hewitt","given":"Stephen","non-dropping-particle":"","parse-names":false,"suffix":""},{"dropping-particle":"","family":"Vockley","given":"Joseph","non-dropping-particle":"","parse-names":false,"suffix":""},{"dropping-particle":"","family":"Lissowska","given":"Jolanta","non-dropping-particle":"","parse-names":false,"suffix":""},{"dropping-particle":"","family":"Yang","given":"Hannah P.","non-dropping-particle":"","parse-names":false,"suffix":""},{"dropping-particle":"","family":"Khan","given":"Javed","non-dropping-particle":"","parse-names":false,"suffix":""},{"dropping-particle":"","family":"Chanock","given":"Stephen","non-dropping-particle":"","parse-names":false,"suffix":""}],"container-title":"PLoS ONE","id":"ITEM-1","issue":"1","issued":{"date-parts":[["2011","1","17"]]},"language":"eng","page":"e14522-e14522","publisher":"Public Library of Science","title":"Detection of somatic mutations by high-resolution DNA melting (HRM) analysis in multiple cancers","type":"article-journal","volume":"6"},"uris":["http://www.mendeley.com/documents/?uuid=57781be9-f7db-48fd-9b67-87d5437bf6c2"]}],"mendeley":{"formattedCitation":"&lt;sup&gt;15&lt;/sup&gt;","plainTextFormattedCitation":"15","previouslyFormattedCitation":"&lt;sup&gt;14&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15</w:t>
      </w:r>
      <w:r w:rsidR="00A34E38" w:rsidRPr="005B034C">
        <w:rPr>
          <w:rStyle w:val="FootnoteReference"/>
          <w:rFonts w:asciiTheme="minorHAnsi" w:hAnsiTheme="minorHAnsi" w:cstheme="minorHAnsi"/>
          <w:color w:val="auto"/>
        </w:rPr>
        <w:fldChar w:fldCharType="end"/>
      </w:r>
      <w:r w:rsidR="00B96C55" w:rsidRPr="005B034C">
        <w:rPr>
          <w:rFonts w:asciiTheme="minorHAnsi" w:hAnsiTheme="minorHAnsi" w:cstheme="minorHAnsi"/>
          <w:color w:val="auto"/>
        </w:rPr>
        <w:t xml:space="preserve">. </w:t>
      </w:r>
    </w:p>
    <w:p w14:paraId="5183B018" w14:textId="77777777" w:rsidR="005A1C80" w:rsidRPr="005B034C" w:rsidRDefault="005A1C80" w:rsidP="006820EA">
      <w:pPr>
        <w:rPr>
          <w:rFonts w:asciiTheme="minorHAnsi" w:hAnsiTheme="minorHAnsi" w:cstheme="minorHAnsi"/>
          <w:color w:val="auto"/>
        </w:rPr>
      </w:pPr>
    </w:p>
    <w:p w14:paraId="104AF616" w14:textId="30398AE8" w:rsidR="00725F40" w:rsidRPr="005B034C" w:rsidRDefault="00725F40" w:rsidP="006820EA">
      <w:pPr>
        <w:rPr>
          <w:rFonts w:asciiTheme="minorHAnsi" w:hAnsiTheme="minorHAnsi" w:cstheme="minorHAnsi"/>
          <w:color w:val="auto"/>
        </w:rPr>
      </w:pPr>
      <w:r w:rsidRPr="005B034C">
        <w:rPr>
          <w:rFonts w:asciiTheme="minorHAnsi" w:hAnsiTheme="minorHAnsi" w:cstheme="minorHAnsi"/>
          <w:color w:val="auto"/>
        </w:rPr>
        <w:t>Large differences in the DNA amount used in the qPCR HRM assay can impact the resulting melting temperature (Tm</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and consequently</w:t>
      </w:r>
      <w:r w:rsidR="00B54253" w:rsidRPr="005B034C">
        <w:rPr>
          <w:rFonts w:asciiTheme="minorHAnsi" w:hAnsiTheme="minorHAnsi" w:cstheme="minorHAnsi"/>
          <w:color w:val="auto"/>
        </w:rPr>
        <w:t xml:space="preserve"> lead to</w:t>
      </w:r>
      <w:r w:rsidRPr="005B034C">
        <w:rPr>
          <w:rFonts w:asciiTheme="minorHAnsi" w:hAnsiTheme="minorHAnsi" w:cstheme="minorHAnsi"/>
          <w:color w:val="auto"/>
        </w:rPr>
        <w:t xml:space="preserve"> inconclusive results</w:t>
      </w:r>
      <w:r w:rsidR="009F12DA" w:rsidRPr="005B034C">
        <w:rPr>
          <w:rFonts w:asciiTheme="minorHAnsi" w:hAnsiTheme="minorHAnsi" w:cstheme="minorHAnsi"/>
          <w:color w:val="auto"/>
        </w:rPr>
        <w:t xml:space="preserve">. </w:t>
      </w:r>
      <w:r w:rsidRPr="005B034C">
        <w:rPr>
          <w:rFonts w:asciiTheme="minorHAnsi" w:hAnsiTheme="minorHAnsi" w:cstheme="minorHAnsi"/>
          <w:color w:val="auto"/>
        </w:rPr>
        <w:t xml:space="preserve">Therefore, the precise determination of DNA concentration </w:t>
      </w:r>
      <w:r w:rsidR="007E349B" w:rsidRPr="005B034C">
        <w:rPr>
          <w:rFonts w:asciiTheme="minorHAnsi" w:hAnsiTheme="minorHAnsi" w:cstheme="minorHAnsi"/>
          <w:color w:val="auto"/>
        </w:rPr>
        <w:t xml:space="preserve">and dilution of all DNA samples </w:t>
      </w:r>
      <w:r w:rsidR="00FB4D79" w:rsidRPr="005B034C">
        <w:rPr>
          <w:rFonts w:asciiTheme="minorHAnsi" w:hAnsiTheme="minorHAnsi" w:cstheme="minorHAnsi"/>
          <w:color w:val="auto"/>
        </w:rPr>
        <w:t>are</w:t>
      </w:r>
      <w:r w:rsidRPr="005B034C">
        <w:rPr>
          <w:rFonts w:asciiTheme="minorHAnsi" w:hAnsiTheme="minorHAnsi" w:cstheme="minorHAnsi"/>
          <w:color w:val="auto"/>
        </w:rPr>
        <w:t xml:space="preserve"> </w:t>
      </w:r>
      <w:r w:rsidR="00B54253" w:rsidRPr="005B034C">
        <w:rPr>
          <w:rFonts w:asciiTheme="minorHAnsi" w:hAnsiTheme="minorHAnsi" w:cstheme="minorHAnsi"/>
          <w:color w:val="auto"/>
        </w:rPr>
        <w:t>mandatory</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{"citationItems":[{"id":"ITEM-1","itemData":{"DOI":"10.3390/ijms18112316","ISSN":"14220067","abstract":"High resolution melting (HRM) is a convenient method for gene scanning as well as genotyping of individual and multiple single nucleotide polymorphisms (SNPs). This rapid, simple, closed-tube, homogenous, and cost-efficient approach has the capacity for high specificity and sensitivity, while allowing easy transition to high-throughput scale. In this paper, we provide examples from our laboratory practice of some problematic issues which can affect the performance and data analysis ofHRMresults, especially with regard to reference curve-based targeted genotyping. We present those examples in order of the typical experimental workflow, and discuss the crucial significance of the respective experimental errors and limitations for the quality and analysis of results. The experimental details which have a decisive impact on correct execution of a HRM genotyping experiment include type and quality of DNA source material, reproducibility of isolation method and template DNA preparation, primer and amplicon design, automation-derived preparation and pipetting inconsistencies, as well as physical limitations in melting curve distinction for alternative variants and careful selection of samples for validation by sequencing. We provide a case-by-case analysis and discussion of actual problems we encountered and solutions that should be taken into account by researchers newly attempting HRM genotyping, especially in a high-throughput setup.","author":[{"dropping-particle":"","family":"Słomka","given":"Marcin","non-dropping-particle":"","parse-names":false,"suffix":""},{"dropping-particle":"","family":"Sobalska-Kwapis","given":"Marta","non-dropping-particle":"","parse-names":false,"suffix":""},{"dropping-particle":"","family":"Wachulec","given":"Monika","non-dropping-particle":"","parse-names":false,"suffix":""},{"dropping-particle":"","family":"Bartosz","given":"Grzegorz","non-dropping-particle":"","parse-names":false,"suffix":""},{"dropping-particle":"","family":"Strapagiel","given":"Dominik","non-dropping-particle":"","parse-names":false,"suffix":""}],"container-title":"International Journal of Molecular Sciences","id":"ITEM-1","issue":"11","issued":{"date-parts":[["2017","11","3"]]},"language":"eng","page":"2316","publisher":"MDPI","title":"High resolution melting (HRM) for high-throughput genotyping-limitations and caveats in practical case studies","type":"article-journal","volume":"18"},"uris":["http://www.mendeley.com/documents/?uuid=7ffa6aa5-ecaa-43ea-a39e-0242f737dece"]}],"mendeley":{"formattedCitation":"&lt;sup&gt;20&lt;/sup&gt;","plainTextFormattedCitation":"20","previouslyFormattedCitation":"&lt;sup&gt;20&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bCs/>
          <w:noProof/>
          <w:color w:val="auto"/>
          <w:vertAlign w:val="superscript"/>
          <w:lang w:val="sl-SI"/>
        </w:rPr>
        <w:t>20</w:t>
      </w:r>
      <w:r w:rsidR="00A34E38" w:rsidRPr="005B034C">
        <w:rPr>
          <w:rStyle w:val="FootnoteReference"/>
          <w:rFonts w:asciiTheme="minorHAnsi" w:hAnsiTheme="minorHAnsi" w:cstheme="minorHAnsi"/>
          <w:color w:val="auto"/>
        </w:rPr>
        <w:fldChar w:fldCharType="end"/>
      </w:r>
      <w:r w:rsidRPr="005B034C">
        <w:rPr>
          <w:rFonts w:asciiTheme="minorHAnsi" w:hAnsiTheme="minorHAnsi" w:cstheme="minorHAnsi"/>
          <w:color w:val="auto"/>
        </w:rPr>
        <w:t>. Ultraviolet (UV</w:t>
      </w:r>
      <w:r w:rsidR="005B034C" w:rsidRPr="005B034C">
        <w:rPr>
          <w:rFonts w:asciiTheme="minorHAnsi" w:hAnsiTheme="minorHAnsi" w:cstheme="minorHAnsi"/>
          <w:color w:val="auto"/>
        </w:rPr>
        <w:t>)</w:t>
      </w:r>
      <w:r w:rsidRPr="005B034C">
        <w:rPr>
          <w:rFonts w:asciiTheme="minorHAnsi" w:hAnsiTheme="minorHAnsi" w:cstheme="minorHAnsi"/>
          <w:color w:val="auto"/>
        </w:rPr>
        <w:t xml:space="preserve"> absorption and fluorescence staining methods accurately determine the concentrations of high-purity DNA solutions</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{"citationItems":[{"id":"ITEM-1","itemData":{"DOI":"https://doi.org/10.1016/j.ab.2014.01.016","ISSN":"0003-2697","abstract":"Accurate measurement of DNA concentration is important for DNA-based biological applications. DNA concentration is usually determined by the ultraviolet (UV) absorption, fluorescence staining, and diphenylamine reaction methods. However, the best method for quality assurance of measurements is unknown. Here, we comprehensively compared these methods using different types of samples. We found that all three methods accurately determined the concentrations of high-purity DNA solutions. After digestion of DNA samples, concentration measurements revealed that the PicoGreen dye method was very sensitive to the degradation of DNA. The three methods displayed different anti-jamming ability when contaminants such as transfer RNA (tRNA), protein, and organic chemicals were included in DNA solutions. The diphenylamine reaction method gave the highest accuracy, with an average error of approximately 10% between measured and true values. The PicoGreen dye method was influenced by tRNA and protein, and the UV absorption method was susceptible to all kinds of impurities. Overall, the diphenylamine reaction method gave the most accurate results when DNA was mixed with contaminants, the PicoGreen dye method was most suitable for degraded DNA samples or DNA extracted from processed products, and the UV absorbance method was best for evaluating the impurities in DNA solutions.","author":[{"dropping-particle":"","family":"Li","given":"Xiaofei","non-dropping-particle":"","parse-names":false,"suffix":""},{"dropping-particle":"","family":"Wu","given":"Yuhua","non-dropping-particle":"","parse-names":false,"suffix":""},{"dropping-particle":"","family":"Zhang","given":"Li","non-dropping-particle":"","parse-names":false,"suffix":""},{"dropping-particle":"","family":"Cao","given":"Yinglong","non-dropping-particle":"","parse-names":false,"suffix":""},{"dropping-particle":"","family":"Li","given":"Yunjing","non-dropping-particle":"","parse-names":false,"suffix":""},{"dropping-particle":"","family":"Li","given":"Jun","non-dropping-particle":"","parse-names":false,"suffix":""},{"dropping-particle":"","family":"Zhu","given":"Li","non-dropping-particle":"","parse-names":false,"suffix":""},{"dropping-particle":"","family":"Wu","given":"Gang","non-dropping-particle":"","parse-names":false,"suffix":""}],"container-title":"Analytical Biochemistry","id":"ITEM-1","issued":{"date-parts":[["2014"]]},"page":"18-24","title":"Comparison of three common DNA concentration measurement methods","type":"article-journal","volume":"451"},"uris":["http://www.mendeley.com/documents/?uuid=ccd81703-a3b3-478d-b447-1b0473142a5b"]}],"mendeley":{"formattedCitation":"&lt;sup&gt;21&lt;/sup&gt;","plainTextFormattedCitation":"21","previouslyFormattedCitation":"&lt;sup&gt;21&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bCs/>
          <w:noProof/>
          <w:color w:val="auto"/>
          <w:vertAlign w:val="superscript"/>
          <w:lang w:val="sl-SI"/>
        </w:rPr>
        <w:t>21</w:t>
      </w:r>
      <w:r w:rsidR="00A34E38" w:rsidRPr="005B034C">
        <w:rPr>
          <w:rStyle w:val="FootnoteReference"/>
          <w:rFonts w:asciiTheme="minorHAnsi" w:hAnsiTheme="minorHAnsi" w:cstheme="minorHAnsi"/>
          <w:color w:val="auto"/>
        </w:rPr>
        <w:fldChar w:fldCharType="end"/>
      </w:r>
      <w:r w:rsidRPr="005B034C">
        <w:rPr>
          <w:rFonts w:asciiTheme="minorHAnsi" w:hAnsiTheme="minorHAnsi" w:cstheme="minorHAnsi"/>
          <w:color w:val="auto"/>
        </w:rPr>
        <w:t xml:space="preserve">. </w:t>
      </w:r>
      <w:r w:rsidR="001856D8" w:rsidRPr="005B034C">
        <w:rPr>
          <w:rFonts w:asciiTheme="minorHAnsi" w:hAnsiTheme="minorHAnsi" w:cstheme="minorHAnsi"/>
          <w:color w:val="auto"/>
        </w:rPr>
        <w:t xml:space="preserve">The </w:t>
      </w:r>
      <w:r w:rsidRPr="005B034C">
        <w:rPr>
          <w:rFonts w:asciiTheme="minorHAnsi" w:hAnsiTheme="minorHAnsi" w:cstheme="minorHAnsi"/>
          <w:color w:val="auto"/>
        </w:rPr>
        <w:t xml:space="preserve">UV absorbance method could be used for evaluating </w:t>
      </w:r>
      <w:r w:rsidR="00BE6F55">
        <w:rPr>
          <w:rFonts w:asciiTheme="minorHAnsi" w:hAnsiTheme="minorHAnsi" w:cstheme="minorHAnsi"/>
          <w:color w:val="auto"/>
        </w:rPr>
        <w:t xml:space="preserve">the </w:t>
      </w:r>
      <w:r w:rsidRPr="005B034C">
        <w:rPr>
          <w:rFonts w:asciiTheme="minorHAnsi" w:hAnsiTheme="minorHAnsi" w:cstheme="minorHAnsi"/>
          <w:color w:val="auto"/>
        </w:rPr>
        <w:t>purity of the DNA solutions by performing ratio absorbance measurements at A260/A280 and A260/230.</w:t>
      </w:r>
      <w:r w:rsidR="00B54253" w:rsidRPr="005B034C">
        <w:rPr>
          <w:rFonts w:asciiTheme="minorHAnsi" w:hAnsiTheme="minorHAnsi" w:cstheme="minorHAnsi"/>
          <w:color w:val="auto"/>
        </w:rPr>
        <w:t xml:space="preserve"> </w:t>
      </w:r>
      <w:r w:rsidR="001856D8" w:rsidRPr="005B034C">
        <w:rPr>
          <w:rFonts w:asciiTheme="minorHAnsi" w:hAnsiTheme="minorHAnsi" w:cstheme="minorHAnsi"/>
          <w:color w:val="auto"/>
        </w:rPr>
        <w:t xml:space="preserve">However, </w:t>
      </w:r>
      <w:r w:rsidR="00BE6F55">
        <w:rPr>
          <w:rFonts w:asciiTheme="minorHAnsi" w:hAnsiTheme="minorHAnsi" w:cstheme="minorHAnsi"/>
          <w:color w:val="auto"/>
        </w:rPr>
        <w:t xml:space="preserve">the </w:t>
      </w:r>
      <w:r w:rsidR="001856D8" w:rsidRPr="005B034C">
        <w:rPr>
          <w:rFonts w:asciiTheme="minorHAnsi" w:hAnsiTheme="minorHAnsi" w:cstheme="minorHAnsi"/>
          <w:color w:val="auto"/>
        </w:rPr>
        <w:t xml:space="preserve">fluorescent staining method is more sensitive to the degradation of DNA than </w:t>
      </w:r>
      <w:r w:rsidR="00BE6F55">
        <w:rPr>
          <w:rFonts w:asciiTheme="minorHAnsi" w:hAnsiTheme="minorHAnsi" w:cstheme="minorHAnsi"/>
          <w:color w:val="auto"/>
        </w:rPr>
        <w:t xml:space="preserve">the </w:t>
      </w:r>
      <w:r w:rsidR="001856D8" w:rsidRPr="005B034C">
        <w:rPr>
          <w:rFonts w:asciiTheme="minorHAnsi" w:hAnsiTheme="minorHAnsi" w:cstheme="minorHAnsi"/>
          <w:color w:val="auto"/>
        </w:rPr>
        <w:t>UV absorption method and can more accurately determine DNA concentration</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{"citationItems":[{"id":"ITEM-1","itemData":{"DOI":"https://doi.org/10.1016/j.ab.2014.01.016","ISSN":"0003-2697","abstract":"Accurate measurement of DNA concentration is important for DNA-based biological applications. DNA concentration is usually determined by the ultraviolet (UV) absorption, fluorescence staining, and diphenylamine reaction methods. However, the best method for quality assurance of measurements is unknown. Here, we comprehensively compared these methods using different types of samples. We found that all three methods accurately determined the concentrations of high-purity DNA solutions. After digestion of DNA samples, concentration measurements revealed that the PicoGreen dye method was very sensitive to the degradation of DNA. The three methods displayed different anti-jamming ability when contaminants such as transfer RNA (tRNA), protein, and organic chemicals were included in DNA solutions. The diphenylamine reaction method gave the highest accuracy, with an average error of approximately 10% between measured and true values. The PicoGreen dye method was influenced by tRNA and protein, and the UV absorption method was susceptible to all kinds of impurities. Overall, the diphenylamine reaction method gave the most accurate results when DNA was mixed with contaminants, the PicoGreen dye method was most suitable for degraded DNA samples or DNA extracted from processed products, and the UV absorbance method was best for evaluating the impurities in DNA solutions.","author":[{"dropping-particle":"","family":"Li","given":"Xiaofei","non-dropping-particle":"","parse-names":false,"suffix":""},{"dropping-particle":"","family":"Wu","given":"Yuhua","non-dropping-particle":"","parse-names":false,"suffix":""},{"dropping-particle":"","family":"Zhang","given":"Li","non-dropping-particle":"","parse-names":false,"suffix":""},{"dropping-particle":"","family":"Cao","given":"Yinglong","non-dropping-particle":"","parse-names":false,"suffix":""},{"dropping-particle":"","family":"Li","given":"Yunjing","non-dropping-particle":"","parse-names":false,"suffix":""},{"dropping-particle":"","family":"Li","given":"Jun","non-dropping-particle":"","parse-names":false,"suffix":""},{"dropping-particle":"","family":"Zhu","given":"Li","non-dropping-particle":"","parse-names":false,"suffix":""},{"dropping-particle":"","family":"Wu","given":"Gang","non-dropping-particle":"","parse-names":false,"suffix":""}],"container-title":"Analytical Biochemistry","id":"ITEM-1","issued":{"date-parts":[["2014"]]},"page":"18-24","title":"Comparison of three common DNA concentration measurement methods","type":"article-journal","volume":"451"},"uris":["http://www.mendeley.com/documents/?uuid=ccd81703-a3b3-478d-b447-1b0473142a5b"]}],"mendeley":{"formattedCitation":"&lt;sup&gt;21&lt;/sup&gt;","plainTextFormattedCitation":"21","previouslyFormattedCitation":"&lt;sup&gt;21&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noProof/>
          <w:color w:val="auto"/>
          <w:vertAlign w:val="superscript"/>
        </w:rPr>
        <w:t>21</w:t>
      </w:r>
      <w:r w:rsidR="00A34E38" w:rsidRPr="005B034C">
        <w:rPr>
          <w:rStyle w:val="FootnoteReference"/>
          <w:rFonts w:asciiTheme="minorHAnsi" w:hAnsiTheme="minorHAnsi" w:cstheme="minorHAnsi"/>
          <w:color w:val="auto"/>
        </w:rPr>
        <w:fldChar w:fldCharType="end"/>
      </w:r>
      <w:r w:rsidR="007411B4" w:rsidRPr="005B034C">
        <w:rPr>
          <w:rFonts w:asciiTheme="minorHAnsi" w:hAnsiTheme="minorHAnsi" w:cstheme="minorHAnsi"/>
          <w:color w:val="auto"/>
        </w:rPr>
        <w:t xml:space="preserve">. Therefore, it </w:t>
      </w:r>
      <w:r w:rsidR="00A15741" w:rsidRPr="005B034C">
        <w:rPr>
          <w:rFonts w:asciiTheme="minorHAnsi" w:hAnsiTheme="minorHAnsi" w:cstheme="minorHAnsi"/>
          <w:color w:val="auto"/>
        </w:rPr>
        <w:t xml:space="preserve">is more appropriate for the </w:t>
      </w:r>
      <w:r w:rsidR="003C07C2" w:rsidRPr="005B034C">
        <w:rPr>
          <w:rFonts w:asciiTheme="minorHAnsi" w:hAnsiTheme="minorHAnsi" w:cstheme="minorHAnsi"/>
          <w:color w:val="auto"/>
        </w:rPr>
        <w:t xml:space="preserve">standardization of quantification and dilution of all DNA samples </w:t>
      </w:r>
      <w:r w:rsidR="0008021D" w:rsidRPr="005B034C">
        <w:rPr>
          <w:rFonts w:asciiTheme="minorHAnsi" w:hAnsiTheme="minorHAnsi" w:cstheme="minorHAnsi"/>
          <w:color w:val="auto"/>
        </w:rPr>
        <w:t>in the HRM analysis</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{"citationItems":[{"id":"ITEM-1","itemData":{"DOI":"10.3390/ijms18112316","ISSN":"14220067","abstract":"High resolution melting (HRM) is a convenient method for gene scanning as well as genotyping of individual and multiple single nucleotide polymorphisms (SNPs). This rapid, simple, closed-tube, homogenous, and cost-efficient approach has the capacity for high specificity and sensitivity, while allowing easy transition to high-throughput scale. In this paper, we provide examples from our laboratory practice of some problematic issues which can affect the performance and data analysis ofHRMresults, especially with regard to reference curve-based targeted genotyping. We present those examples in order of the typical experimental workflow, and discuss the crucial significance of the respective experimental errors and limitations for the quality and analysis of results. The experimental details which have a decisive impact on correct execution of a HRM genotyping experiment include type and quality of DNA source material, reproducibility of isolation method and template DNA preparation, primer and amplicon design, automation-derived preparation and pipetting inconsistencies, as well as physical limitations in melting curve distinction for alternative variants and careful selection of samples for validation by sequencing. We provide a case-by-case analysis and discussion of actual problems we encountered and solutions that should be taken into account by researchers newly attempting HRM genotyping, especially in a high-throughput setup.","author":[{"dropping-particle":"","family":"Słomka","given":"Marcin","non-dropping-particle":"","parse-names":false,"suffix":""},{"dropping-particle":"","family":"Sobalska-Kwapis","given":"Marta","non-dropping-particle":"","parse-names":false,"suffix":""},{"dropping-particle":"","family":"Wachulec","given":"Monika","non-dropping-particle":"","parse-names":false,"suffix":""},{"dropping-particle":"","family":"Bartosz","given":"Grzegorz","non-dropping-particle":"","parse-names":false,"suffix":""},{"dropping-particle":"","family":"Strapagiel","given":"Dominik","non-dropping-particle":"","parse-names":false,"suffix":""}],"container-title":"International Journal of Molecular Sciences","id":"ITEM-1","issue":"11","issued":{"date-parts":[["2017","11","3"]]},"language":"eng","page":"2316","publisher":"MDPI","title":"High resolution melting (HRM) for high-throughput genotyping-limitations and caveats in practical case studies","type":"article-journal","volume":"18"},"uris":["http://www.mendeley.com/documents/?uuid=7ffa6aa5-ecaa-43ea-a39e-0242f737dece"]}],"mendeley":{"formattedCitation":"&lt;sup&gt;20&lt;/sup&gt;","plainTextFormattedCitation":"20","previouslyFormattedCitation":"&lt;sup&gt;20&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noProof/>
          <w:color w:val="auto"/>
          <w:vertAlign w:val="superscript"/>
        </w:rPr>
        <w:t>20</w:t>
      </w:r>
      <w:r w:rsidR="00A34E38" w:rsidRPr="005B034C">
        <w:rPr>
          <w:rStyle w:val="FootnoteReference"/>
          <w:rFonts w:asciiTheme="minorHAnsi" w:hAnsiTheme="minorHAnsi" w:cstheme="minorHAnsi"/>
          <w:color w:val="auto"/>
        </w:rPr>
        <w:fldChar w:fldCharType="end"/>
      </w:r>
      <w:r w:rsidR="00DE66B9" w:rsidRPr="005B034C">
        <w:rPr>
          <w:rFonts w:asciiTheme="minorHAnsi" w:hAnsiTheme="minorHAnsi" w:cstheme="minorHAnsi"/>
          <w:color w:val="auto"/>
          <w:vertAlign w:val="superscript"/>
        </w:rPr>
        <w:t>,</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{"citationItems":[{"id":"ITEM-1","itemData":{"DOI":"https://doi.org/10.1016/j.ab.2014.01.016","ISSN":"0003-2697","abstract":"Accurate measurement of DNA concentration is important for DNA-based biological applications. DNA concentration is usually determined by the ultraviolet (UV) absorption, fluorescence staining, and diphenylamine reaction methods. However, the best method for quality assurance of measurements is unknown. Here, we comprehensively compared these methods using different types of samples. We found that all three methods accurately determined the concentrations of high-purity DNA solutions. After digestion of DNA samples, concentration measurements revealed that the PicoGreen dye method was very sensitive to the degradation of DNA. The three methods displayed different anti-jamming ability when contaminants such as transfer RNA (tRNA), protein, and organic chemicals were included in DNA solutions. The diphenylamine reaction method gave the highest accuracy, with an average error of approximately 10% between measured and true values. The PicoGreen dye method was influenced by tRNA and protein, and the UV absorption method was susceptible to all kinds of impurities. Overall, the diphenylamine reaction method gave the most accurate results when DNA was mixed with contaminants, the PicoGreen dye method was most suitable for degraded DNA samples or DNA extracted from processed products, and the UV absorbance method was best for evaluating the impurities in DNA solutions.","author":[{"dropping-particle":"","family":"Li","given":"Xiaofei","non-dropping-particle":"","parse-names":false,"suffix":""},{"dropping-particle":"","family":"Wu","given":"Yuhua","non-dropping-particle":"","parse-names":false,"suffix":""},{"dropping-particle":"","family":"Zhang","given":"Li","non-dropping-particle":"","parse-names":false,"suffix":""},{"dropping-particle":"","family":"Cao","given":"Yinglong","non-dropping-particle":"","parse-names":false,"suffix":""},{"dropping-particle":"","family":"Li","given":"Yunjing","non-dropping-particle":"","parse-names":false,"suffix":""},{"dropping-particle":"","family":"Li","given":"Jun","non-dropping-particle":"","parse-names":false,"suffix":""},{"dropping-particle":"","family":"Zhu","given":"Li","non-dropping-particle":"","parse-names":false,"suffix":""},{"dropping-particle":"","family":"Wu","given":"Gang","non-dropping-particle":"","parse-names":false,"suffix":""}],"container-title":"Analytical Biochemistry","id":"ITEM-1","issued":{"date-parts":[["2014"]]},"page":"18-24","title":"Comparison of three common DNA concentration measurement methods","type":"article-journal","volume":"451"},"uris":["http://www.mendeley.com/documents/?uuid=ccd81703-a3b3-478d-b447-1b0473142a5b"]}],"mendeley":{"formattedCitation":"&lt;sup&gt;21&lt;/sup&gt;","plainTextFormattedCitation":"21","previouslyFormattedCitation":"&lt;sup&gt;21&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noProof/>
          <w:color w:val="auto"/>
          <w:vertAlign w:val="superscript"/>
        </w:rPr>
        <w:t>21</w:t>
      </w:r>
      <w:r w:rsidR="00A34E38" w:rsidRPr="005B034C">
        <w:rPr>
          <w:rStyle w:val="FootnoteReference"/>
          <w:rFonts w:asciiTheme="minorHAnsi" w:hAnsiTheme="minorHAnsi" w:cstheme="minorHAnsi"/>
          <w:color w:val="auto"/>
        </w:rPr>
        <w:fldChar w:fldCharType="end"/>
      </w:r>
      <w:r w:rsidR="00DE66B9" w:rsidRPr="005B034C">
        <w:rPr>
          <w:rFonts w:asciiTheme="minorHAnsi" w:hAnsiTheme="minorHAnsi" w:cstheme="minorHAnsi"/>
          <w:color w:val="auto"/>
        </w:rPr>
        <w:t>.</w:t>
      </w:r>
    </w:p>
    <w:p w14:paraId="26CF711A" w14:textId="77777777" w:rsidR="00725F40" w:rsidRPr="005B034C" w:rsidRDefault="00725F40" w:rsidP="006820EA">
      <w:pPr>
        <w:rPr>
          <w:rFonts w:asciiTheme="minorHAnsi" w:hAnsiTheme="minorHAnsi" w:cstheme="minorHAnsi"/>
          <w:color w:val="auto"/>
        </w:rPr>
      </w:pPr>
    </w:p>
    <w:p w14:paraId="057D9488" w14:textId="66AB1690" w:rsidR="005A1C80" w:rsidRPr="005B034C" w:rsidRDefault="007F1F1B" w:rsidP="006820EA">
      <w:pPr>
        <w:rPr>
          <w:color w:val="auto"/>
        </w:rPr>
      </w:pPr>
      <w:r w:rsidRPr="005B034C">
        <w:rPr>
          <w:rFonts w:asciiTheme="minorHAnsi" w:hAnsiTheme="minorHAnsi" w:cstheme="minorHAnsi"/>
          <w:color w:val="auto"/>
        </w:rPr>
        <w:t xml:space="preserve">The indels are the main genetic variants </w:t>
      </w:r>
      <w:r w:rsidR="0050243B" w:rsidRPr="005B034C">
        <w:rPr>
          <w:rFonts w:asciiTheme="minorHAnsi" w:hAnsiTheme="minorHAnsi" w:cstheme="minorHAnsi"/>
          <w:color w:val="auto"/>
        </w:rPr>
        <w:t xml:space="preserve">in the </w:t>
      </w:r>
      <w:r w:rsidR="0050243B" w:rsidRPr="005B034C">
        <w:rPr>
          <w:rFonts w:asciiTheme="minorHAnsi" w:hAnsiTheme="minorHAnsi" w:cstheme="minorHAnsi"/>
          <w:i/>
          <w:iCs/>
          <w:color w:val="auto"/>
        </w:rPr>
        <w:t xml:space="preserve">CALR </w:t>
      </w:r>
      <w:r w:rsidR="0050243B" w:rsidRPr="005B034C">
        <w:rPr>
          <w:rFonts w:asciiTheme="minorHAnsi" w:hAnsiTheme="minorHAnsi" w:cstheme="minorHAnsi"/>
          <w:color w:val="auto"/>
        </w:rPr>
        <w:t xml:space="preserve">gene </w:t>
      </w:r>
      <w:r w:rsidRPr="005B034C">
        <w:rPr>
          <w:rFonts w:asciiTheme="minorHAnsi" w:hAnsiTheme="minorHAnsi" w:cstheme="minorHAnsi"/>
          <w:color w:val="auto"/>
        </w:rPr>
        <w:t>observed in MPN patients</w:t>
      </w:r>
      <w:r w:rsidR="00A34E38" w:rsidRPr="005B034C">
        <w:rPr>
          <w:rStyle w:val="FootnoteReference"/>
          <w:rFonts w:asciiTheme="minorHAnsi" w:hAnsiTheme="minorHAnsi" w:cstheme="minorHAnsi"/>
          <w:color w:val="auto"/>
        </w:rPr>
        <w:fldChar w:fldCharType="begin" w:fldLock="1"/>
      </w:r>
      <w:r w:rsidR="00A34E38" w:rsidRPr="005B034C">
        <w:rPr>
          <w:rFonts w:asciiTheme="minorHAnsi" w:hAnsiTheme="minorHAnsi" w:cstheme="minorHAnsi"/>
          <w:color w:val="auto"/>
        </w:rPr>
        <w:instrText>ADDIN CSL_CITATION {"citationItems":[{"id":"ITEM-1","itemData":{"DOI":"10.1056/NEJMoa1312542","ISSN":"15334406","abstract":"BACKGROUND: Somatic mutations in the Janus kinase 2 gene (JAK2) occur in many myeloproliferative neoplasms, but the molecular pathogenesis of myeloproliferative neoplasms with nonmutated JAK2 is obscure, and the diagnosis of these neoplasms remains a challenge. METHODS: We performed exome sequencing of samples obtained from 151 patients with myeloproliferative neoplasms. The mutation status of the gene encoding calreticulin (CALR) was assessed in an additional 1345 hematologic cancers, 1517 other cancers, and 550 controls. We established phylogenetic trees using hematopoietic colonies. We assessed calreticulin subcellular localization using immunofluorescence and flow cytometry. RESULTS: Exome sequencing identified 1498 mutations in 151 patients, with medians of 6.5, 6.5, and 13.0 mutations per patient in samples of polycythemia vera, essential thrombocythemia, and myelofibrosis, respectively. Somatic CALR mutations were found in 70 to 84% of samples of myeloproliferative neoplasms with nonmutated JAK2, in 8% of myelodysplasia samples, in occasional samples of other myeloid cancers, and in none of the other cancers. A total of 148 CALR mutations were identified with 19 distinct variants. Mutations were located in exon 9 and generated a +1 base-pair frameshift, which would result in a mutant protein with a novel C-terminal. Mutant calreticulin was observed in the endoplasmic reticulum without increased cell-surface or Golgi accumulation. Patients with myeloproliferative neoplasms carrying CALR mutations presented with higher platelet counts and lower hemoglobin levels than patients with mutated JAK2. Mutation of CALR was detected in hematopoietic stem and progenitor cells. Clonal analyses showed CALR mutations in the earliest phylogenetic node, a finding consistent with its role as an initiating mutation in some patients. CONCLUSIONS: Somatic mutations in the endoplasmic reticulum chaperone CALR were found in a majority of patients with myeloproliferative neoplasms with nonmutated JAK2. (Funded by the Kay Kendall Leukaemia Fund and others.) Copyright © 2013 Massachusetts Medical Society.","author":[{"dropping-particle":"","family":"Nangalia","given":"J.","non-dropping-particle":"","parse-names":false,"suffix":""},{"dropping-particle":"","family":"Massie","given":"C. E.","non-dropping-particle":"","parse-names":false,"suffix":""},{"dropping-particle":"","family":"Baxter","given":"E. J.","non-dropping-particle":"","parse-names":false,"suffix":""},{"dropping-particle":"","family":"Nice","given":"F. L.","non-dropping-particle":"","parse-names":false,"suffix":""},{"dropping-particle":"","family":"Gundem","given":"G.","non-dropping-particle":"","parse-names":false,"suffix":""},{"dropping-particle":"","family":"Wedge","given":"D. C.","non-dropping-particle":"","parse-names":false,"suffix":""},{"dropping-particle":"","family":"Avezov","given":"E.","non-dropping-particle":"","parse-names":false,"suffix":""},{"dropping-particle":"","family":"Li","given":"J.","non-dropping-particle":"","parse-names":false,"suffix":""},{"dropping-particle":"","family":"Kollmann","given":"K.","non-dropping-particle":"","parse-names":false,"suffix":""},{"dropping-particle":"","family":"Kent","given":"D. G.","non-dropping-particle":"","parse-names":false,"suffix":""},{"dropping-particle":"","family":"Aziz","given":"A.","non-dropping-particle":"","parse-names":false,"suffix":""},{"dropping-particle":"","family":"Godfrey","given":"A. L.","non-dropping-particle":"","parse-names":false,"suffix":""},{"dropping-particle":"","family":"Hinton","given":"J.","non-dropping-particle":"","parse-names":false,"suffix":""},{"dropping-particle":"","family":"Martincorena","given":"I.","non-dropping-particle":"","parse-names":false,"suffix":""},{"dropping-particle":"","family":"Loo","given":"P.","non-dropping-particle":"Van","parse-names":false,"suffix":""},{"dropping-particle":"V.","family":"Jones","given":"A.","non-dropping-particle":"","parse-names":false,"suffix":""},{"dropping-particle":"","family":"Guglielmelli","given":"P.","non-dropping-particle":"","parse-names":false,"suffix":""},{"dropping-particle":"","family":"Tarpey","given":"P.","non-dropping-particle":"","parse-names":false,"suffix":""},{"dropping-particle":"","family":"Harding","given":"H. P.","non-dropping-particle":"","parse-names":false,"suffix":""},{"dropping-particle":"","family":"Fitzpatrick","given":"J. D.","non-dropping-particle":"","parse-names":false,"suffix":""},{"dropping-particle":"","family":"Goudie","given":"C. T.","non-dropping-particle":"","parse-names":false,"suffix":""},{"dropping-particle":"","family":"Ortmann","given":"C. A.","non-dropping-particle":"","parse-names":false,"suffix":""},{"dropping-particle":"","family":"Loughran","given":"S. J.","non-dropping-particle":"","parse-names":false,"suffix":""},{"dropping-particle":"","family":"Raine","given":"K.","non-dropping-particle":"","parse-names":false,"suffix":""},{"dropping-particle":"","family":"Jones","given":"D. R.","non-dropping-particle":"","parse-names":false,"suffix":""},{"dropping-particle":"","family":"Butler","given":"A. P.","non-dropping-particle":"","parse-names":false,"suffix":""},{"dropping-particle":"","family":"Teague","given":"J. W.","non-dropping-particle":"","parse-names":false,"suffix":""},{"dropping-particle":"","family":"O'Meara","given":"S.","non-dropping-particle":"","parse-names":false,"suffix":""},{"dropping-particle":"","family":"McLaren","given":"S.","non-dropping-particle":"","parse-names":false,"suffix":""},{"dropping-particle":"","family":"Bianchi","given":"M.","non-dropping-particle":"","parse-names":false,"suffix":""},{"dropping-particle":"","family":"Silber","given":"Y.","non-dropping-particle":"","parse-names":false,"suffix":""},{"dropping-particle":"","family":"Dimitropoulou","given":"D.","non-dropping-particle":"","parse-names":false,"suffix":""},{"dropping-particle":"","family":"Bloxham","given":"D.","non-dropping-particle":"","parse-names":false,"suffix":""},{"dropping-particle":"","family":"Mudie","given":"L.","non-dropping-particle":"","parse-names":false,"suffix":""},{"dropping-particle":"","family":"Maddison","given":"M.","non-dropping-particle":"","parse-names":false,"suffix":""},{"dropping-particle":"","family":"Robinson","given":"B.","non-dropping-particle":"","parse-names":false,"suffix":""},{"dropping-particle":"","family":"Keohane","given":"C.","non-dropping-particle":"","parse-names":false,"suffix":""},{"dropping-particle":"","family":"Maclean","given":"C.","non-dropping-particle":"","parse-names":false,"suffix":""},{"dropping-particle":"","family":"Hill","given":"K.","non-dropping-particle":"","parse-names":false,"suffix":""},{"dropping-particle":"","family":"Orchard","given":"K.","non-dropping-particle":"","parse-names":false,"suffix":""},{"dropping-particle":"","family":"Tauro","given":"S.","non-dropping-particle":"","parse-names":false,"suffix":""},{"dropping-particle":"","family":"Du","given":"M. Q.","non-dropping-particle":"","parse-names":false,"suffix":""},{"dropping-particle":"","family":"Greaves","given":"M.","non-dropping-particle":"","parse-names":false,"suffix":""},{"dropping-particle":"","family":"Bowen","given":"D.","non-dropping-particle":"","parse-names":false,"suffix":""},{"dropping-particle":"","family":"Huntly","given":"B. J.P.","non-dropping-particle":"","parse-names":false,"suffix":""},{"dropping-particle":"","family":"Harrison","given":"C. N.","non-dropping-particle":"","parse-names":false,"suffix":""},{"dropping-particle":"","family":"Cross","given":"N. C.P.","non-dropping-particle":"","parse-names":false,"suffix":""},{"dropping-particle":"","family":"Ron","given":"D.","non-dropping-particle":"","parse-names":false,"suffix":""},{"dropping-particle":"","family":"Vannucchi","given":"A. M.","non-dropping-particle":"","parse-names":false,"suffix":""},{"dropping-particle":"","family":"Papaemmanuil","given":"E.","non-dropping-particle":"","parse-names":false,"suffix":""},{"dropping-particle":"","family":"Campbell","given":"P. J.","non-dropping-particle":"","parse-names":false,"suffix":""},{"dropping-particle":"","family":"Green","given":"A. R.","non-dropping-particle":"","parse-names":false,"suffix":""}],"container-title":"New England Journal of Medicine","id":"ITEM-1","issue":"25","issued":{"date-parts":[["2013","12","10"]]},"note":"doi: 10.1056/NEJMoa1312542","page":"2391-2405","publisher":"Massachusetts Medical Society","title":"Somatic CALR mutations in myeloproliferative neoplasms with nonmutated JAK2","type":"article-journal","volume":"369"},"uris":["http://www.mendeley.com/documents/?uuid=2311e8ee-be80-4726-b97c-0f8c8106fc69"]}],"mendeley":{"formattedCitation":"&lt;sup&gt;1&lt;/sup&gt;","plainTextFormattedCitation":"1","previouslyFormattedCitation":"&lt;sup&gt;1&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A34E38" w:rsidRPr="005B034C">
        <w:rPr>
          <w:rFonts w:asciiTheme="minorHAnsi" w:hAnsiTheme="minorHAnsi" w:cstheme="minorHAnsi"/>
          <w:noProof/>
          <w:color w:val="auto"/>
          <w:vertAlign w:val="superscript"/>
        </w:rPr>
        <w:t>1</w:t>
      </w:r>
      <w:r w:rsidR="00A34E38" w:rsidRPr="005B034C">
        <w:rPr>
          <w:rStyle w:val="FootnoteReference"/>
          <w:rFonts w:asciiTheme="minorHAnsi" w:hAnsiTheme="minorHAnsi" w:cstheme="minorHAnsi"/>
          <w:color w:val="auto"/>
        </w:rPr>
        <w:fldChar w:fldCharType="end"/>
      </w:r>
      <w:r w:rsidRPr="005B034C">
        <w:rPr>
          <w:rFonts w:asciiTheme="minorHAnsi" w:hAnsiTheme="minorHAnsi" w:cstheme="minorHAnsi"/>
          <w:color w:val="auto"/>
        </w:rPr>
        <w:t xml:space="preserve">. </w:t>
      </w:r>
      <w:r w:rsidR="003217D1" w:rsidRPr="005B034C">
        <w:rPr>
          <w:color w:val="auto"/>
        </w:rPr>
        <w:t>A</w:t>
      </w:r>
      <w:r w:rsidR="00725F40" w:rsidRPr="005B034C">
        <w:rPr>
          <w:color w:val="auto"/>
        </w:rPr>
        <w:t xml:space="preserve">s the product length </w:t>
      </w:r>
      <w:r w:rsidR="00595896" w:rsidRPr="005B034C">
        <w:rPr>
          <w:color w:val="auto"/>
        </w:rPr>
        <w:t>changes</w:t>
      </w:r>
      <w:r w:rsidR="006E7E6E">
        <w:rPr>
          <w:color w:val="auto"/>
        </w:rPr>
        <w:t xml:space="preserve"> and</w:t>
      </w:r>
      <w:r w:rsidR="00595896" w:rsidRPr="005B034C">
        <w:rPr>
          <w:color w:val="auto"/>
        </w:rPr>
        <w:t xml:space="preserve"> </w:t>
      </w:r>
      <w:r w:rsidR="00725F40" w:rsidRPr="005B034C">
        <w:rPr>
          <w:color w:val="auto"/>
        </w:rPr>
        <w:t>increases, the difference between wild-type and heterozygote curves bec</w:t>
      </w:r>
      <w:r w:rsidR="00B54253" w:rsidRPr="005B034C">
        <w:rPr>
          <w:color w:val="auto"/>
        </w:rPr>
        <w:t>o</w:t>
      </w:r>
      <w:r w:rsidR="00725F40" w:rsidRPr="005B034C">
        <w:rPr>
          <w:color w:val="auto"/>
        </w:rPr>
        <w:t>me</w:t>
      </w:r>
      <w:r w:rsidR="00B54253" w:rsidRPr="005B034C">
        <w:rPr>
          <w:color w:val="auto"/>
        </w:rPr>
        <w:t>s</w:t>
      </w:r>
      <w:r w:rsidR="00725F40" w:rsidRPr="005B034C">
        <w:rPr>
          <w:color w:val="auto"/>
        </w:rPr>
        <w:t xml:space="preserve"> smaller, and the </w:t>
      </w:r>
      <w:r w:rsidR="00487BD1" w:rsidRPr="005B034C">
        <w:rPr>
          <w:color w:val="auto"/>
        </w:rPr>
        <w:t xml:space="preserve">variant detection </w:t>
      </w:r>
      <w:r w:rsidR="00725F40" w:rsidRPr="005B034C">
        <w:rPr>
          <w:color w:val="auto"/>
        </w:rPr>
        <w:t>become</w:t>
      </w:r>
      <w:r w:rsidR="006E7E6E">
        <w:rPr>
          <w:color w:val="auto"/>
        </w:rPr>
        <w:t>s</w:t>
      </w:r>
      <w:r w:rsidR="00725F40" w:rsidRPr="005B034C">
        <w:rPr>
          <w:color w:val="auto"/>
        </w:rPr>
        <w:t xml:space="preserve"> harder</w:t>
      </w:r>
      <w:r w:rsidR="00A34E38" w:rsidRPr="005B034C">
        <w:rPr>
          <w:color w:val="auto"/>
          <w:vertAlign w:val="superscript"/>
        </w:rPr>
        <w:t>7</w:t>
      </w:r>
      <w:r w:rsidR="00725F40" w:rsidRPr="005B034C">
        <w:rPr>
          <w:color w:val="auto"/>
        </w:rPr>
        <w:t xml:space="preserve">. Therefore, an additional method for the clarification of such genetic variant </w:t>
      </w:r>
      <w:r w:rsidR="00B54253" w:rsidRPr="005B034C">
        <w:rPr>
          <w:color w:val="auto"/>
        </w:rPr>
        <w:t xml:space="preserve">should </w:t>
      </w:r>
      <w:r w:rsidR="00725F40" w:rsidRPr="005B034C">
        <w:rPr>
          <w:color w:val="auto"/>
        </w:rPr>
        <w:t>be used.</w:t>
      </w:r>
    </w:p>
    <w:p w14:paraId="5335182D" w14:textId="77777777" w:rsidR="0080793D" w:rsidRPr="005B034C" w:rsidRDefault="0080793D" w:rsidP="006820EA">
      <w:pPr>
        <w:rPr>
          <w:color w:val="auto"/>
        </w:rPr>
      </w:pPr>
    </w:p>
    <w:p w14:paraId="7F32B461" w14:textId="1116C269" w:rsidR="00725F40" w:rsidRPr="005B034C" w:rsidRDefault="00C63648" w:rsidP="006820EA">
      <w:pPr>
        <w:rPr>
          <w:rFonts w:asciiTheme="minorHAnsi" w:hAnsiTheme="minorHAnsi" w:cstheme="minorHAnsi"/>
          <w:color w:val="auto"/>
        </w:rPr>
      </w:pPr>
      <w:r w:rsidRPr="005B034C">
        <w:rPr>
          <w:rFonts w:asciiTheme="minorHAnsi" w:hAnsiTheme="minorHAnsi" w:cstheme="minorHAnsi"/>
          <w:color w:val="auto"/>
        </w:rPr>
        <w:t>A goo</w:t>
      </w:r>
      <w:r w:rsidR="00054575" w:rsidRPr="005B034C">
        <w:rPr>
          <w:rFonts w:asciiTheme="minorHAnsi" w:hAnsiTheme="minorHAnsi" w:cstheme="minorHAnsi"/>
          <w:color w:val="auto"/>
        </w:rPr>
        <w:t>d</w:t>
      </w:r>
      <w:r w:rsidRPr="005B034C">
        <w:rPr>
          <w:rFonts w:asciiTheme="minorHAnsi" w:hAnsiTheme="minorHAnsi" w:cstheme="minorHAnsi"/>
          <w:color w:val="auto"/>
        </w:rPr>
        <w:t xml:space="preserve"> example is </w:t>
      </w:r>
      <w:r w:rsidR="00054575" w:rsidRPr="005B034C">
        <w:rPr>
          <w:rFonts w:asciiTheme="minorHAnsi" w:hAnsiTheme="minorHAnsi" w:cstheme="minorHAnsi"/>
          <w:color w:val="auto"/>
        </w:rPr>
        <w:t xml:space="preserve">agarose gel electrophoresis. </w:t>
      </w:r>
      <w:r w:rsidR="00D34764" w:rsidRPr="005B034C">
        <w:rPr>
          <w:rFonts w:asciiTheme="minorHAnsi" w:hAnsiTheme="minorHAnsi" w:cstheme="minorHAnsi"/>
          <w:color w:val="auto"/>
        </w:rPr>
        <w:t xml:space="preserve">This is a simple </w:t>
      </w:r>
      <w:r w:rsidR="00664345" w:rsidRPr="005B034C">
        <w:rPr>
          <w:rFonts w:asciiTheme="minorHAnsi" w:hAnsiTheme="minorHAnsi" w:cstheme="minorHAnsi"/>
          <w:color w:val="auto"/>
        </w:rPr>
        <w:t xml:space="preserve">and effective </w:t>
      </w:r>
      <w:r w:rsidR="0060198E" w:rsidRPr="005B034C">
        <w:rPr>
          <w:rFonts w:asciiTheme="minorHAnsi" w:hAnsiTheme="minorHAnsi" w:cstheme="minorHAnsi"/>
          <w:color w:val="auto"/>
        </w:rPr>
        <w:t xml:space="preserve">method </w:t>
      </w:r>
      <w:r w:rsidR="00105BFD" w:rsidRPr="005B034C">
        <w:rPr>
          <w:rFonts w:asciiTheme="minorHAnsi" w:hAnsiTheme="minorHAnsi" w:cstheme="minorHAnsi"/>
          <w:color w:val="auto"/>
        </w:rPr>
        <w:t>to separ</w:t>
      </w:r>
      <w:r w:rsidR="006B5B89" w:rsidRPr="005B034C">
        <w:rPr>
          <w:rFonts w:asciiTheme="minorHAnsi" w:hAnsiTheme="minorHAnsi" w:cstheme="minorHAnsi"/>
          <w:color w:val="auto"/>
        </w:rPr>
        <w:t xml:space="preserve">ate </w:t>
      </w:r>
      <w:r w:rsidR="00EA2039" w:rsidRPr="005B034C">
        <w:rPr>
          <w:rFonts w:asciiTheme="minorHAnsi" w:hAnsiTheme="minorHAnsi" w:cstheme="minorHAnsi"/>
          <w:color w:val="auto"/>
        </w:rPr>
        <w:t xml:space="preserve">DNA fragments </w:t>
      </w:r>
      <w:r w:rsidR="00B63F3E" w:rsidRPr="005B034C">
        <w:rPr>
          <w:rFonts w:asciiTheme="minorHAnsi" w:hAnsiTheme="minorHAnsi" w:cstheme="minorHAnsi"/>
          <w:color w:val="auto"/>
        </w:rPr>
        <w:t>of different sizes</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{"citationItems":[{"id":"ITEM-1","itemData":{"DOI":"10.1002/0471142735.im1004s02","ISSN":"1934-3671","abstract":"Abstract Agarose gel electrophoresis is a simple and highly effective method for separating, identifying, and purifying 0.5- to 25-kb DNA fragments. The Basic Protocol in this unit can be divided into three stages: (1) a gel is prepared with an agarose concentration appropriate for the size of DNA fragments to be separated; (2) the DNA samples are loaded into the sample wells and the gel is run at a voltage and for a time period that will achieve optimal separation; and (3) the gel is stained or, if ethidium bromide has been incorporated into the gel and electrophoresis buffer, visualized directly upon illumination with UV light. Support protocols describe the use of midigels and minigels, as well as recommendations for photographing stained gels.","author":[{"dropping-particle":"","family":"Voytas","given":"Daniel","non-dropping-particle":"","parse-names":false,"suffix":""}],"container-title":"Current Protocols in Immunology","id":"ITEM-1","issue":"1","issued":{"date-parts":[["1992","6","1"]]},"note":"doi: 10.1002/0471142735.im1004s02","page":"10.4.1-10.4.8","publisher":"John Wiley &amp; Sons, Ltd","title":"Agarose Gel Electrophoresis","type":"article-journal","volume":"2"},"uris":["http://www.mendeley.com/documents/?uuid=21d6f211-95e3-43f4-80f2-aef929b1d4aa"]}],"mendeley":{"formattedCitation":"&lt;sup&gt;22&lt;/sup&gt;","plainTextFormattedCitation":"22","previouslyFormattedCitation":"&lt;sup&gt;22&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bCs/>
          <w:noProof/>
          <w:color w:val="auto"/>
          <w:vertAlign w:val="superscript"/>
          <w:lang w:val="sl-SI"/>
        </w:rPr>
        <w:t>22</w:t>
      </w:r>
      <w:r w:rsidR="00A34E38" w:rsidRPr="005B034C">
        <w:rPr>
          <w:rStyle w:val="FootnoteReference"/>
          <w:rFonts w:asciiTheme="minorHAnsi" w:hAnsiTheme="minorHAnsi" w:cstheme="minorHAnsi"/>
          <w:color w:val="auto"/>
        </w:rPr>
        <w:fldChar w:fldCharType="end"/>
      </w:r>
      <w:r w:rsidR="00E846C8" w:rsidRPr="005B034C">
        <w:rPr>
          <w:rFonts w:asciiTheme="minorHAnsi" w:hAnsiTheme="minorHAnsi" w:cstheme="minorHAnsi"/>
          <w:color w:val="auto"/>
          <w:vertAlign w:val="superscript"/>
        </w:rPr>
        <w:t>,</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{"citationItems":[{"id":"ITEM-1","itemData":{"DOI":"doi:10.3791/3923","ISSN":"1940-087X","abstract":"Agarose gel electrophoresis is the most effective way of separating DNA fragments of varying sizes ranging from 100 bp to 25 kb1. Agarose is isolated from the seaweed genera Gelidium and Gracilaria, and consists of repeated agarobiose (L- and D-galactose) subunits2. During gelation, agarose polymers associate non-covalently and form a network of bundles whose pore sizes determine a gel's molecular sieving properties. The use of agarose gel electrophoresis revolutionized the separation of DNA. Prior to the adoption of agarose gels, DNA was primarily separated using sucrose density gradient centrifugation, which only provided an approximation of size. To separate DNA using agarose gel electrophoresis, the DNA is loaded into pre-cast wells in the gel and a current applied. The phosphate backbone of the DNA (and RNA) molecule is negatively charged, therefore when placed in an electric field, DNA fragments will migrate to the positively charged anode. Because DNA has a uniform mass/charge ratio, DNA molecules are separated by size within an agarose gel in a pattern such that the distance traveled is inversely proportional to the log of its molecular weight3. The leading model for DNA movement through an agarose gel is \"biased reptation\", whereby the leading edge moves forward and pulls the rest of the molecule along4. The rate of migration of a DNA molecule through a gel is determined by the following: 1) size of DNA molecule; 2) agarose concentration; 3) DNA conformation5; 4) voltage applied, 5) presence of ethidium bromide, 6) type of agarose and 7) electrophoresis buffer. After separation, the DNA molecules can be visualized under uv light after staining with an appropriate dye. By following this protocol, students should be able to: 1. Understand the mechanism by which DNA fragments are separated within a gel matrix 2. Understand how conformation of the DNA molecule will determine its mobility through a gel matrix 3. Identify an agarose solution of appropriate concentration for their needs 4. Prepare an agarose gel for electrophoresis of DNA samples 5. Set up the gel electrophoresis apparatus and power supply 6. Select an appropriate voltage for the separation of DNA fragments 7. Understand the mechanism by which ethidium bromide allows for the visualization of DNA bands 8. Determine the sizes of separated DNA fragments","author":[{"dropping-particle":"","family":"Lee","given":"Pei Yun","non-dropping-particle":"","parse-names":false,"suffix":""},{"dropping-particle":"","family":"Costumbrado","given":"John","non-dropping-particle":"","parse-names":false,"suffix":""},{"dropping-particle":"","family":"Hsu","given":"Chih-Yuan","non-dropping-particle":"","parse-names":false,"suffix":""},{"dropping-particle":"","family":"Kim","given":"Yong Hoon","non-dropping-particle":"","parse-names":false,"suffix":""}],"container-title":"JoVE","id":"ITEM-1","issue":"62","issued":{"date-parts":[["2012"]]},"page":"e3923","publisher":"MyJoVE Corp","title":"Agarose Gel Electrophoresis for the Separation of DNA Fragments","type":"article-journal"},"uris":["http://www.mendeley.com/documents/?uuid=2e6b65db-33f7-4ea1-ae1f-c05f06afb351"]}],"mendeley":{"formattedCitation":"&lt;sup&gt;23&lt;/sup&gt;","plainTextFormattedCitation":"23","previouslyFormattedCitation":"&lt;sup&gt;23&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bCs/>
          <w:noProof/>
          <w:color w:val="auto"/>
          <w:vertAlign w:val="superscript"/>
          <w:lang w:val="sl-SI"/>
        </w:rPr>
        <w:t>23</w:t>
      </w:r>
      <w:r w:rsidR="00A34E38" w:rsidRPr="005B034C">
        <w:rPr>
          <w:rStyle w:val="FootnoteReference"/>
          <w:rFonts w:asciiTheme="minorHAnsi" w:hAnsiTheme="minorHAnsi" w:cstheme="minorHAnsi"/>
          <w:color w:val="auto"/>
        </w:rPr>
        <w:fldChar w:fldCharType="end"/>
      </w:r>
      <w:r w:rsidR="00B63F3E" w:rsidRPr="005B034C">
        <w:rPr>
          <w:rFonts w:asciiTheme="minorHAnsi" w:hAnsiTheme="minorHAnsi" w:cstheme="minorHAnsi"/>
          <w:color w:val="auto"/>
        </w:rPr>
        <w:t xml:space="preserve">. </w:t>
      </w:r>
      <w:r w:rsidR="00072D15" w:rsidRPr="005B034C">
        <w:rPr>
          <w:rFonts w:asciiTheme="minorHAnsi" w:hAnsiTheme="minorHAnsi" w:cstheme="minorHAnsi"/>
          <w:color w:val="auto"/>
        </w:rPr>
        <w:t xml:space="preserve">DNA molecules </w:t>
      </w:r>
      <w:r w:rsidR="00960118" w:rsidRPr="005B034C">
        <w:rPr>
          <w:rFonts w:asciiTheme="minorHAnsi" w:hAnsiTheme="minorHAnsi" w:cstheme="minorHAnsi"/>
          <w:color w:val="auto"/>
        </w:rPr>
        <w:t xml:space="preserve">are separated </w:t>
      </w:r>
      <w:r w:rsidR="00EB29DC" w:rsidRPr="005B034C">
        <w:rPr>
          <w:rFonts w:asciiTheme="minorHAnsi" w:hAnsiTheme="minorHAnsi" w:cstheme="minorHAnsi"/>
          <w:color w:val="auto"/>
        </w:rPr>
        <w:t xml:space="preserve">by size within </w:t>
      </w:r>
      <w:r w:rsidR="00173915" w:rsidRPr="005B034C">
        <w:rPr>
          <w:rFonts w:asciiTheme="minorHAnsi" w:hAnsiTheme="minorHAnsi" w:cstheme="minorHAnsi"/>
          <w:color w:val="auto"/>
        </w:rPr>
        <w:t xml:space="preserve">the agarose gel </w:t>
      </w:r>
      <w:r w:rsidR="00B217A8" w:rsidRPr="005B034C">
        <w:rPr>
          <w:rFonts w:asciiTheme="minorHAnsi" w:hAnsiTheme="minorHAnsi" w:cstheme="minorHAnsi"/>
          <w:color w:val="auto"/>
        </w:rPr>
        <w:t xml:space="preserve">so that </w:t>
      </w:r>
      <w:r w:rsidR="006F31BA" w:rsidRPr="005B034C">
        <w:rPr>
          <w:rFonts w:asciiTheme="minorHAnsi" w:hAnsiTheme="minorHAnsi" w:cstheme="minorHAnsi"/>
          <w:color w:val="auto"/>
        </w:rPr>
        <w:t xml:space="preserve">the traveled </w:t>
      </w:r>
      <w:r w:rsidR="00D246AC" w:rsidRPr="005B034C">
        <w:rPr>
          <w:rFonts w:asciiTheme="minorHAnsi" w:hAnsiTheme="minorHAnsi" w:cstheme="minorHAnsi"/>
          <w:color w:val="auto"/>
        </w:rPr>
        <w:t>d</w:t>
      </w:r>
      <w:r w:rsidR="001B665D" w:rsidRPr="005B034C">
        <w:rPr>
          <w:rFonts w:asciiTheme="minorHAnsi" w:hAnsiTheme="minorHAnsi" w:cstheme="minorHAnsi"/>
          <w:color w:val="auto"/>
        </w:rPr>
        <w:t>i</w:t>
      </w:r>
      <w:r w:rsidR="00D246AC" w:rsidRPr="005B034C">
        <w:rPr>
          <w:rFonts w:asciiTheme="minorHAnsi" w:hAnsiTheme="minorHAnsi" w:cstheme="minorHAnsi"/>
          <w:color w:val="auto"/>
        </w:rPr>
        <w:t xml:space="preserve">stance is inversely </w:t>
      </w:r>
      <w:r w:rsidR="0023106F" w:rsidRPr="005B034C">
        <w:rPr>
          <w:rFonts w:asciiTheme="minorHAnsi" w:hAnsiTheme="minorHAnsi" w:cstheme="minorHAnsi"/>
          <w:color w:val="auto"/>
        </w:rPr>
        <w:t xml:space="preserve">proportional </w:t>
      </w:r>
      <w:r w:rsidR="00801AEB" w:rsidRPr="005B034C">
        <w:rPr>
          <w:rFonts w:asciiTheme="minorHAnsi" w:hAnsiTheme="minorHAnsi" w:cstheme="minorHAnsi"/>
          <w:color w:val="auto"/>
        </w:rPr>
        <w:t xml:space="preserve">to the logarithm </w:t>
      </w:r>
      <w:r w:rsidR="001433DA" w:rsidRPr="005B034C">
        <w:rPr>
          <w:rFonts w:asciiTheme="minorHAnsi" w:hAnsiTheme="minorHAnsi" w:cstheme="minorHAnsi"/>
          <w:color w:val="auto"/>
        </w:rPr>
        <w:t xml:space="preserve">of its </w:t>
      </w:r>
      <w:r w:rsidR="00B84156" w:rsidRPr="005B034C">
        <w:rPr>
          <w:rFonts w:asciiTheme="minorHAnsi" w:hAnsiTheme="minorHAnsi" w:cstheme="minorHAnsi"/>
          <w:color w:val="auto"/>
        </w:rPr>
        <w:t>molecular weight</w:t>
      </w:r>
      <w:r w:rsidR="00A34E38" w:rsidRPr="005B034C">
        <w:rPr>
          <w:rStyle w:val="FootnoteReference"/>
          <w:rFonts w:asciiTheme="minorHAnsi" w:hAnsiTheme="minorHAnsi" w:cstheme="minorHAnsi"/>
          <w:color w:val="auto"/>
        </w:rPr>
        <w:fldChar w:fldCharType="begin" w:fldLock="1"/>
      </w:r>
      <w:r w:rsidR="00D10715" w:rsidRPr="005B034C">
        <w:rPr>
          <w:rFonts w:asciiTheme="minorHAnsi" w:hAnsiTheme="minorHAnsi" w:cstheme="minorHAnsi"/>
          <w:color w:val="auto"/>
        </w:rPr>
        <w:instrText>ADDIN CSL_CITATION {"citationItems":[{"id":"ITEM-1","itemData":{"author":[{"dropping-particle":"","family":"Helling","given":"Robert B","non-dropping-particle":"","parse-names":false,"suffix":""},{"dropping-particle":"","family":"Goodman","given":"Howard M","non-dropping-particle":"","parse-names":false,"suffix":""},{"dropping-particle":"","family":"Boyer","given":"Herbert W","non-dropping-particle":"","parse-names":false,"suffix":""}],"id":"ITEM-1","issue":"5","issued":{"date-parts":[["1974"]]},"page":"1235-1244","title":"J. Virol.-1974-Helling-1235-44.pdf","type":"article-journal","volume":"14"},"uris":["http://www.mendeley.com/documents/?uuid=48fd5e21-04bd-444d-9b59-6aa5331e6222"]}],"mendeley":{"formattedCitation":"&lt;sup&gt;24&lt;/sup&gt;","plainTextFormattedCitation":"24","previouslyFormattedCitation":"&lt;sup&gt;24&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D10715" w:rsidRPr="005B034C">
        <w:rPr>
          <w:rFonts w:asciiTheme="minorHAnsi" w:hAnsiTheme="minorHAnsi" w:cstheme="minorHAnsi"/>
          <w:bCs/>
          <w:noProof/>
          <w:color w:val="auto"/>
          <w:vertAlign w:val="superscript"/>
          <w:lang w:val="sl-SI"/>
        </w:rPr>
        <w:t>24</w:t>
      </w:r>
      <w:r w:rsidR="00A34E38" w:rsidRPr="005B034C">
        <w:rPr>
          <w:rStyle w:val="FootnoteReference"/>
          <w:rFonts w:asciiTheme="minorHAnsi" w:hAnsiTheme="minorHAnsi" w:cstheme="minorHAnsi"/>
          <w:color w:val="auto"/>
        </w:rPr>
        <w:fldChar w:fldCharType="end"/>
      </w:r>
      <w:r w:rsidR="00B84156" w:rsidRPr="005B034C">
        <w:rPr>
          <w:rFonts w:asciiTheme="minorHAnsi" w:hAnsiTheme="minorHAnsi" w:cstheme="minorHAnsi"/>
          <w:color w:val="auto"/>
        </w:rPr>
        <w:t xml:space="preserve">. </w:t>
      </w:r>
      <w:r w:rsidR="00450274" w:rsidRPr="006E7E6E">
        <w:rPr>
          <w:rFonts w:asciiTheme="minorHAnsi" w:hAnsiTheme="minorHAnsi" w:cstheme="minorHAnsi"/>
          <w:b/>
          <w:bCs/>
          <w:color w:val="auto"/>
        </w:rPr>
        <w:t>Figure 4</w:t>
      </w:r>
      <w:r w:rsidR="008101EF" w:rsidRPr="006E7E6E">
        <w:rPr>
          <w:rFonts w:asciiTheme="minorHAnsi" w:hAnsiTheme="minorHAnsi" w:cstheme="minorHAnsi"/>
          <w:b/>
          <w:bCs/>
          <w:color w:val="auto"/>
        </w:rPr>
        <w:t>A</w:t>
      </w:r>
      <w:r w:rsidR="00BE6F55">
        <w:rPr>
          <w:rFonts w:asciiTheme="minorHAnsi" w:hAnsiTheme="minorHAnsi" w:cstheme="minorHAnsi"/>
          <w:b/>
          <w:bCs/>
          <w:color w:val="auto"/>
        </w:rPr>
        <w:t xml:space="preserve">, </w:t>
      </w:r>
      <w:r w:rsidR="00BE6F55" w:rsidRPr="00BE6F55">
        <w:rPr>
          <w:b/>
          <w:bCs/>
        </w:rPr>
        <w:t>Figure</w:t>
      </w:r>
      <w:r w:rsidR="00BE6F55">
        <w:t xml:space="preserve"> </w:t>
      </w:r>
      <w:r w:rsidR="00450274" w:rsidRPr="006E7E6E">
        <w:rPr>
          <w:rFonts w:asciiTheme="minorHAnsi" w:hAnsiTheme="minorHAnsi" w:cstheme="minorHAnsi"/>
          <w:b/>
          <w:bCs/>
          <w:color w:val="auto"/>
        </w:rPr>
        <w:t>4</w:t>
      </w:r>
      <w:r w:rsidR="008101EF" w:rsidRPr="006E7E6E">
        <w:rPr>
          <w:rFonts w:asciiTheme="minorHAnsi" w:hAnsiTheme="minorHAnsi" w:cstheme="minorHAnsi"/>
          <w:b/>
          <w:bCs/>
          <w:color w:val="auto"/>
        </w:rPr>
        <w:t>B</w:t>
      </w:r>
      <w:r w:rsidR="00725F40" w:rsidRPr="005B034C">
        <w:rPr>
          <w:rFonts w:asciiTheme="minorHAnsi" w:hAnsiTheme="minorHAnsi" w:cstheme="minorHAnsi"/>
          <w:color w:val="auto"/>
        </w:rPr>
        <w:t xml:space="preserve"> </w:t>
      </w:r>
      <w:r w:rsidR="008101EF" w:rsidRPr="005B034C">
        <w:rPr>
          <w:rFonts w:asciiTheme="minorHAnsi" w:hAnsiTheme="minorHAnsi" w:cstheme="minorHAnsi"/>
          <w:color w:val="auto"/>
        </w:rPr>
        <w:t xml:space="preserve">and </w:t>
      </w:r>
      <w:r w:rsidR="006E7E6E" w:rsidRPr="006E7E6E">
        <w:rPr>
          <w:rFonts w:asciiTheme="minorHAnsi" w:hAnsiTheme="minorHAnsi" w:cstheme="minorHAnsi"/>
          <w:b/>
          <w:bCs/>
          <w:color w:val="auto"/>
        </w:rPr>
        <w:t xml:space="preserve">Figure </w:t>
      </w:r>
      <w:r w:rsidR="00450274" w:rsidRPr="006E7E6E">
        <w:rPr>
          <w:rFonts w:asciiTheme="minorHAnsi" w:hAnsiTheme="minorHAnsi" w:cstheme="minorHAnsi"/>
          <w:b/>
          <w:bCs/>
          <w:color w:val="auto"/>
        </w:rPr>
        <w:t>7</w:t>
      </w:r>
      <w:r w:rsidR="00725F40" w:rsidRPr="005B034C">
        <w:rPr>
          <w:rFonts w:asciiTheme="minorHAnsi" w:hAnsiTheme="minorHAnsi" w:cstheme="minorHAnsi"/>
          <w:color w:val="auto"/>
        </w:rPr>
        <w:t xml:space="preserve"> show</w:t>
      </w:r>
      <w:r w:rsidR="00C82E18" w:rsidRPr="005B034C">
        <w:rPr>
          <w:rFonts w:asciiTheme="minorHAnsi" w:hAnsiTheme="minorHAnsi" w:cstheme="minorHAnsi"/>
          <w:color w:val="auto"/>
        </w:rPr>
        <w:t xml:space="preserve"> examples</w:t>
      </w:r>
      <w:r w:rsidR="00725F40" w:rsidRPr="005B034C">
        <w:rPr>
          <w:rFonts w:asciiTheme="minorHAnsi" w:hAnsiTheme="minorHAnsi" w:cstheme="minorHAnsi"/>
          <w:color w:val="auto"/>
        </w:rPr>
        <w:t xml:space="preserve"> where the two most common types of </w:t>
      </w:r>
      <w:r w:rsidR="00C82E18" w:rsidRPr="005B034C">
        <w:rPr>
          <w:rFonts w:asciiTheme="minorHAnsi" w:hAnsiTheme="minorHAnsi" w:cstheme="minorHAnsi"/>
          <w:i/>
          <w:color w:val="auto"/>
        </w:rPr>
        <w:t>CALR</w:t>
      </w:r>
      <w:r w:rsidR="00725F40" w:rsidRPr="005B034C">
        <w:rPr>
          <w:rFonts w:asciiTheme="minorHAnsi" w:hAnsiTheme="minorHAnsi" w:cstheme="minorHAnsi"/>
          <w:color w:val="auto"/>
        </w:rPr>
        <w:t xml:space="preserve"> genetic variant, 52 bp deletion and 5 bp insertion</w:t>
      </w:r>
      <w:r w:rsidR="001E08AC" w:rsidRPr="005B034C">
        <w:rPr>
          <w:rFonts w:asciiTheme="minorHAnsi" w:hAnsiTheme="minorHAnsi" w:cstheme="minorHAnsi"/>
          <w:color w:val="auto"/>
        </w:rPr>
        <w:t>,</w:t>
      </w:r>
      <w:r w:rsidR="00725F40" w:rsidRPr="005B034C">
        <w:rPr>
          <w:rFonts w:asciiTheme="minorHAnsi" w:hAnsiTheme="minorHAnsi" w:cstheme="minorHAnsi"/>
          <w:color w:val="auto"/>
        </w:rPr>
        <w:t xml:space="preserve"> are identified </w:t>
      </w:r>
      <w:r w:rsidR="00C82E18" w:rsidRPr="005B034C">
        <w:rPr>
          <w:rFonts w:asciiTheme="minorHAnsi" w:hAnsiTheme="minorHAnsi" w:cstheme="minorHAnsi"/>
          <w:color w:val="auto"/>
        </w:rPr>
        <w:t xml:space="preserve">by </w:t>
      </w:r>
      <w:r w:rsidR="00725F40" w:rsidRPr="005B034C">
        <w:rPr>
          <w:rFonts w:asciiTheme="minorHAnsi" w:hAnsiTheme="minorHAnsi" w:cstheme="minorHAnsi"/>
          <w:color w:val="auto"/>
        </w:rPr>
        <w:t>combining</w:t>
      </w:r>
      <w:r w:rsidR="00C82E18" w:rsidRPr="005B034C">
        <w:rPr>
          <w:rFonts w:asciiTheme="minorHAnsi" w:hAnsiTheme="minorHAnsi" w:cstheme="minorHAnsi"/>
          <w:color w:val="auto"/>
        </w:rPr>
        <w:t xml:space="preserve"> </w:t>
      </w:r>
      <w:r w:rsidR="00725F40" w:rsidRPr="005B034C">
        <w:rPr>
          <w:rFonts w:asciiTheme="minorHAnsi" w:hAnsiTheme="minorHAnsi" w:cstheme="minorHAnsi"/>
          <w:color w:val="auto"/>
        </w:rPr>
        <w:t>qPCR HRM and agarose gel electrophoresis results.</w:t>
      </w:r>
      <w:r w:rsidR="00AB59B8" w:rsidRPr="005B034C">
        <w:rPr>
          <w:color w:val="auto"/>
        </w:rPr>
        <w:t xml:space="preserve"> </w:t>
      </w:r>
      <w:r w:rsidR="00723F1E" w:rsidRPr="005B034C">
        <w:rPr>
          <w:rFonts w:asciiTheme="minorHAnsi" w:hAnsiTheme="minorHAnsi" w:cstheme="minorHAnsi"/>
          <w:color w:val="auto"/>
        </w:rPr>
        <w:t>However, whe</w:t>
      </w:r>
      <w:r w:rsidR="00B02370" w:rsidRPr="005B034C">
        <w:rPr>
          <w:rFonts w:asciiTheme="minorHAnsi" w:hAnsiTheme="minorHAnsi" w:cstheme="minorHAnsi"/>
          <w:color w:val="auto"/>
        </w:rPr>
        <w:t>n</w:t>
      </w:r>
      <w:r w:rsidR="00AB59B8" w:rsidRPr="005B034C">
        <w:rPr>
          <w:rFonts w:asciiTheme="minorHAnsi" w:hAnsiTheme="minorHAnsi" w:cstheme="minorHAnsi"/>
          <w:color w:val="auto"/>
        </w:rPr>
        <w:t xml:space="preserve"> the HRM result and </w:t>
      </w:r>
      <w:r w:rsidR="00D83B28" w:rsidRPr="005B034C">
        <w:rPr>
          <w:rFonts w:asciiTheme="minorHAnsi" w:hAnsiTheme="minorHAnsi" w:cstheme="minorHAnsi"/>
          <w:color w:val="auto"/>
        </w:rPr>
        <w:t xml:space="preserve">agarose gel electrophoresis </w:t>
      </w:r>
      <w:r w:rsidR="00AB59B8" w:rsidRPr="005B034C">
        <w:rPr>
          <w:rFonts w:asciiTheme="minorHAnsi" w:hAnsiTheme="minorHAnsi" w:cstheme="minorHAnsi"/>
          <w:color w:val="auto"/>
        </w:rPr>
        <w:t xml:space="preserve">band pattern indicate </w:t>
      </w:r>
      <w:r w:rsidR="006E7E6E">
        <w:rPr>
          <w:rFonts w:asciiTheme="minorHAnsi" w:hAnsiTheme="minorHAnsi" w:cstheme="minorHAnsi"/>
          <w:color w:val="auto"/>
        </w:rPr>
        <w:t>a</w:t>
      </w:r>
      <w:r w:rsidR="00AB59B8" w:rsidRPr="005B034C">
        <w:rPr>
          <w:rFonts w:asciiTheme="minorHAnsi" w:hAnsiTheme="minorHAnsi" w:cstheme="minorHAnsi"/>
          <w:color w:val="auto"/>
        </w:rPr>
        <w:t xml:space="preserve"> different genetic variant </w:t>
      </w:r>
      <w:r w:rsidR="0032596D" w:rsidRPr="005B034C">
        <w:rPr>
          <w:rFonts w:asciiTheme="minorHAnsi" w:hAnsiTheme="minorHAnsi" w:cstheme="minorHAnsi"/>
          <w:color w:val="auto"/>
        </w:rPr>
        <w:t>(including single nucleotide change</w:t>
      </w:r>
      <w:r w:rsidR="005B034C" w:rsidRPr="005B034C">
        <w:rPr>
          <w:rFonts w:asciiTheme="minorHAnsi" w:hAnsiTheme="minorHAnsi" w:cstheme="minorHAnsi"/>
          <w:color w:val="auto"/>
        </w:rPr>
        <w:t>)</w:t>
      </w:r>
      <w:r w:rsidR="0032596D" w:rsidRPr="005B034C">
        <w:rPr>
          <w:rFonts w:asciiTheme="minorHAnsi" w:hAnsiTheme="minorHAnsi" w:cstheme="minorHAnsi"/>
          <w:color w:val="auto"/>
        </w:rPr>
        <w:t xml:space="preserve"> </w:t>
      </w:r>
      <w:r w:rsidR="00AB59B8" w:rsidRPr="005B034C">
        <w:rPr>
          <w:rFonts w:asciiTheme="minorHAnsi" w:hAnsiTheme="minorHAnsi" w:cstheme="minorHAnsi"/>
          <w:color w:val="auto"/>
        </w:rPr>
        <w:t>as in the controls</w:t>
      </w:r>
      <w:r w:rsidR="00083C86" w:rsidRPr="005B034C">
        <w:rPr>
          <w:rFonts w:asciiTheme="minorHAnsi" w:hAnsiTheme="minorHAnsi" w:cstheme="minorHAnsi"/>
          <w:color w:val="auto"/>
        </w:rPr>
        <w:t xml:space="preserve"> (</w:t>
      </w:r>
      <w:r w:rsidR="00450274" w:rsidRPr="006E7E6E">
        <w:rPr>
          <w:rFonts w:asciiTheme="minorHAnsi" w:hAnsiTheme="minorHAnsi" w:cstheme="minorHAnsi"/>
          <w:b/>
          <w:bCs/>
          <w:color w:val="auto"/>
        </w:rPr>
        <w:t>Figure 8</w:t>
      </w:r>
      <w:r w:rsidR="005B034C" w:rsidRPr="005B034C">
        <w:rPr>
          <w:rFonts w:asciiTheme="minorHAnsi" w:hAnsiTheme="minorHAnsi" w:cstheme="minorHAnsi"/>
          <w:color w:val="auto"/>
        </w:rPr>
        <w:t>)</w:t>
      </w:r>
      <w:r w:rsidR="00BA4E36" w:rsidRPr="005B034C">
        <w:rPr>
          <w:rFonts w:asciiTheme="minorHAnsi" w:hAnsiTheme="minorHAnsi" w:cstheme="minorHAnsi"/>
          <w:color w:val="auto"/>
        </w:rPr>
        <w:t xml:space="preserve">, </w:t>
      </w:r>
      <w:r w:rsidR="00AB59B8" w:rsidRPr="005B034C">
        <w:rPr>
          <w:rFonts w:asciiTheme="minorHAnsi" w:hAnsiTheme="minorHAnsi" w:cstheme="minorHAnsi"/>
          <w:color w:val="auto"/>
        </w:rPr>
        <w:t xml:space="preserve">Sanger sequencing is </w:t>
      </w:r>
      <w:r w:rsidR="00101F79" w:rsidRPr="005B034C">
        <w:rPr>
          <w:rFonts w:asciiTheme="minorHAnsi" w:hAnsiTheme="minorHAnsi" w:cstheme="minorHAnsi"/>
          <w:color w:val="auto"/>
        </w:rPr>
        <w:t xml:space="preserve">still needed </w:t>
      </w:r>
      <w:r w:rsidR="00AB59B8" w:rsidRPr="005B034C">
        <w:rPr>
          <w:rFonts w:asciiTheme="minorHAnsi" w:hAnsiTheme="minorHAnsi" w:cstheme="minorHAnsi"/>
          <w:color w:val="auto"/>
        </w:rPr>
        <w:t>to identify the exact genetic variant</w:t>
      </w:r>
      <w:r w:rsidR="00A34E38" w:rsidRPr="005B034C">
        <w:rPr>
          <w:rStyle w:val="FootnoteReference"/>
          <w:rFonts w:asciiTheme="minorHAnsi" w:hAnsiTheme="minorHAnsi" w:cstheme="minorHAnsi"/>
          <w:color w:val="auto"/>
        </w:rPr>
        <w:fldChar w:fldCharType="begin" w:fldLock="1"/>
      </w:r>
      <w:r w:rsidR="00153681" w:rsidRPr="005B034C">
        <w:rPr>
          <w:rFonts w:asciiTheme="minorHAnsi" w:hAnsiTheme="minorHAnsi" w:cstheme="minorHAnsi"/>
          <w:color w:val="auto"/>
        </w:rPr>
        <w:instrText>ADDIN CSL_CITATION {"citationItems":[{"id":"ITEM-1","itemData":{"DOI":"10.1038/s41598-019-56236-x","ISSN":"2045-2322","abstract":"Suspicion of myeloproliferative neoplasms (MPNs) and especially essential thrombocythemia (ET) in primary care is often based solely on blood counts, with patients referred to a haematologist without a thorough evaluation. We retrospectively assessed the role of calreticulin gene (CALR) mutations in the diagnosis of MPN in this population. We studied CALR mutations in 524 JAK2 V617F-negative patients with suspected MPN. Uncommon CALR mutations were confirmed by Sanger sequencing and searched for in the COSMIC or HGMD database. Mutations were defined as frameshift or non-frameshift mutations. CALR mutations were detected in 23 patients (23/524 = 4.4%). Four mutations detected in our study were newly identified mutations. Non-frameshift mutations were detected in two patients. Most patients (380/524 = 72.5%) were diagnosed with secondary conditions leading to blood count abnormalities such as iron deficiency, inflammatory and infectious diseases, malignancy and hyposplenism. Nine patients (9/23 = 39%) were retrospectively diagnosed with ET based on CALR mutation confirmation. Two patients with non-frameshift CALR mutations were diagnosed with reactive thrombocytosis and MPN unclassifiable, respectively. Our study showed that CALR mutations are important, non-invasive diagnostic indicators of ET and can aid in its diagnosis. Moreover, the type of CALR mutation must be accurately defined, as non-frameshift mutations may not be associated with ET. Finally, CALR mutation detection should be reserved for patients with high suspicion of clonal haematological disease.","author":[{"dropping-particle":"","family":"Belcic Mikic","given":"Tanja","non-dropping-particle":"","parse-names":false,"suffix":""},{"dropping-particle":"","family":"Pajic","given":"Tadej","non-dropping-particle":"","parse-names":false,"suffix":""},{"dropping-particle":"","family":"Sever","given":"Matjaz","non-dropping-particle":"","parse-names":false,"suffix":""}],"container-title":"Scientific Reports","id":"ITEM-1","issue":"1","issued":{"date-parts":[["2019"]]},"page":"19838","title":"CALR mutations in a cohort of JAK2 V617F negative patients with suspected myeloproliferative neoplasms","type":"article-journal","volume":"9"},"uris":["http://www.mendeley.com/documents/?uuid=f95d0ca8-9c4b-4183-bc9a-69bcc70a091d"]}],"mendeley":{"formattedCitation":"&lt;sup&gt;10&lt;/sup&gt;","plainTextFormattedCitation":"10","previouslyFormattedCitation":"&lt;sup&gt;16&lt;/sup&gt;"},"properties":{"noteIndex":0},"schema":"https://github.com/citation-style-language/schema/raw/master/csl-citation.json"}</w:instrText>
      </w:r>
      <w:r w:rsidR="00A34E38" w:rsidRPr="005B034C">
        <w:rPr>
          <w:rStyle w:val="FootnoteReference"/>
          <w:rFonts w:asciiTheme="minorHAnsi" w:hAnsiTheme="minorHAnsi" w:cstheme="minorHAnsi"/>
          <w:color w:val="auto"/>
        </w:rPr>
        <w:fldChar w:fldCharType="separate"/>
      </w:r>
      <w:r w:rsidR="00153681" w:rsidRPr="005B034C">
        <w:rPr>
          <w:rFonts w:asciiTheme="minorHAnsi" w:hAnsiTheme="minorHAnsi" w:cstheme="minorHAnsi"/>
          <w:noProof/>
          <w:color w:val="auto"/>
          <w:vertAlign w:val="superscript"/>
        </w:rPr>
        <w:t>10</w:t>
      </w:r>
      <w:r w:rsidR="00A34E38" w:rsidRPr="005B034C">
        <w:rPr>
          <w:rStyle w:val="FootnoteReference"/>
          <w:rFonts w:asciiTheme="minorHAnsi" w:hAnsiTheme="minorHAnsi" w:cstheme="minorHAnsi"/>
          <w:color w:val="auto"/>
        </w:rPr>
        <w:fldChar w:fldCharType="end"/>
      </w:r>
      <w:r w:rsidR="008D19DF" w:rsidRPr="005B034C">
        <w:rPr>
          <w:rFonts w:asciiTheme="minorHAnsi" w:hAnsiTheme="minorHAnsi" w:cstheme="minorHAnsi"/>
          <w:color w:val="auto"/>
        </w:rPr>
        <w:t>.</w:t>
      </w:r>
    </w:p>
    <w:p w14:paraId="09BA4903" w14:textId="5FC6693F" w:rsidR="001A7EE6" w:rsidRPr="005B034C" w:rsidRDefault="001A7EE6" w:rsidP="006820EA">
      <w:pPr>
        <w:rPr>
          <w:rFonts w:asciiTheme="minorHAnsi" w:hAnsiTheme="minorHAnsi" w:cstheme="minorHAnsi"/>
          <w:color w:val="auto"/>
        </w:rPr>
      </w:pPr>
    </w:p>
    <w:p w14:paraId="00768D8E" w14:textId="30D53360" w:rsidR="00375E9B" w:rsidRPr="005B034C" w:rsidRDefault="006E7E6E" w:rsidP="006820EA">
      <w:pPr>
        <w:rPr>
          <w:rFonts w:asciiTheme="minorHAnsi" w:hAnsiTheme="minorHAnsi" w:cstheme="minorHAnsi"/>
          <w:color w:val="auto"/>
        </w:rPr>
      </w:pPr>
      <w:bookmarkStart w:id="11" w:name="_Hlk46001493"/>
      <w:r>
        <w:rPr>
          <w:color w:val="auto"/>
        </w:rPr>
        <w:t>A l</w:t>
      </w:r>
      <w:r w:rsidR="00603D58" w:rsidRPr="005B034C">
        <w:rPr>
          <w:color w:val="auto"/>
        </w:rPr>
        <w:t xml:space="preserve">ow level of somatic genetic variant in the </w:t>
      </w:r>
      <w:r w:rsidR="00603D58" w:rsidRPr="005B034C">
        <w:rPr>
          <w:i/>
          <w:iCs/>
          <w:color w:val="auto"/>
        </w:rPr>
        <w:t>CALR</w:t>
      </w:r>
      <w:r w:rsidR="00603D58" w:rsidRPr="005B034C">
        <w:rPr>
          <w:color w:val="auto"/>
        </w:rPr>
        <w:t xml:space="preserve"> gene can be present in the patient</w:t>
      </w:r>
      <w:r w:rsidR="00603D58" w:rsidRPr="005B034C">
        <w:rPr>
          <w:color w:val="auto"/>
        </w:rPr>
        <w:sym w:font="Symbol" w:char="F0A2"/>
      </w:r>
      <w:r w:rsidR="00603D58" w:rsidRPr="005B034C">
        <w:rPr>
          <w:color w:val="auto"/>
        </w:rPr>
        <w:t>s sample</w:t>
      </w:r>
      <w:r>
        <w:rPr>
          <w:color w:val="auto"/>
        </w:rPr>
        <w:t>.</w:t>
      </w:r>
      <w:r w:rsidR="00603D58" w:rsidRPr="005B034C">
        <w:rPr>
          <w:color w:val="auto"/>
        </w:rPr>
        <w:t xml:space="preserve"> making an interpretation of the qPCR HRM, agarose gel electrophoresis and Sanger sequencing results more demanding, particularly at the detection limit of the assay (</w:t>
      </w:r>
      <w:r w:rsidR="00450274" w:rsidRPr="006E7E6E">
        <w:rPr>
          <w:b/>
          <w:bCs/>
          <w:color w:val="auto"/>
        </w:rPr>
        <w:t>Figure 9</w:t>
      </w:r>
      <w:r w:rsidR="005B034C" w:rsidRPr="005B034C">
        <w:rPr>
          <w:color w:val="auto"/>
        </w:rPr>
        <w:t>)</w:t>
      </w:r>
      <w:r w:rsidR="00603D58" w:rsidRPr="005B034C">
        <w:rPr>
          <w:color w:val="auto"/>
        </w:rPr>
        <w:t>. Any melting curve shape line differing from the wild type one indicates the genetic variant to be present in the sample. The sensitivity of the qPCR HRM assay is lower than 5% (</w:t>
      </w:r>
      <w:r w:rsidR="00450274" w:rsidRPr="006E7E6E">
        <w:rPr>
          <w:b/>
          <w:bCs/>
          <w:color w:val="auto"/>
        </w:rPr>
        <w:t>Figure 9</w:t>
      </w:r>
      <w:r w:rsidR="00603D58" w:rsidRPr="005B034C">
        <w:rPr>
          <w:color w:val="auto"/>
        </w:rPr>
        <w:t xml:space="preserve"> and </w:t>
      </w:r>
      <w:r w:rsidR="00053DA5" w:rsidRPr="005B034C">
        <w:rPr>
          <w:color w:val="auto"/>
        </w:rPr>
        <w:t>reference</w:t>
      </w:r>
      <w:r w:rsidR="00053DA5" w:rsidRPr="005B034C">
        <w:rPr>
          <w:color w:val="auto"/>
        </w:rPr>
        <w:fldChar w:fldCharType="begin" w:fldLock="1"/>
      </w:r>
      <w:r w:rsidR="00D10715" w:rsidRPr="005B034C">
        <w:rPr>
          <w:color w:val="auto"/>
        </w:rPr>
        <w:instrText>ADDIN CSL_CITATION {"citationItems":[{"id":"ITEM-1","itemData":{"DOI":"10.1371/journal.pone.0103511","ISSN":"1932-6203","abstract":"Background The recent discovery of CALR mutations in essential thrombocythemia (ET) and primary myelofibrosis (PMF) patients without JAK2/MPL mutations has emerged as a relevant finding for the molecular diagnosis of these myeloproliferative neoplasms (MPN). We tested the feasibility of high-resolution melting (HRM) as a screening method for rapid detection of CALR mutations.  Methods CALR was studied in wild-type JAK2/MPL patients including 34 ET, 21 persistent thrombocytosis suggestive of MPN and 98 suspected secondary thrombocytosis. CALR mutation analysis was performed through HRM and Sanger sequencing. We compared clinical features of CALR-mutated versus 45 JAK2/MPL-mutated subjects in ET.  Results Nineteen samples showed distinct HRM patterns from wild-type. Of them, 18 were mutations and one a polymorphism as confirmed by direct sequencing. CALR mutations were present in 44% of ET (15/34), 14% of persistent thrombocytosis suggestive of MPN (3/21) and none of the secondary thrombocytosis (0/98). Of the 18 mutants, 9 were 52 bp deletions, 8 were 5 bp insertions and other was a complex mutation with insertion/deletion. No mutations were found after sequencing analysis of 45 samples displaying wild-type HRM curves. HRM technique was reproducible, no false positive or negative were detected and the limit of detection was of 3%.  Conclusions This study establishes a sensitive, reliable and rapid HRM method to screen for the presence of CALR mutations.","author":[{"dropping-particle":"","family":"Bilbao-Sieyro","given":"Cristina","non-dropping-particle":"","parse-names":false,"suffix":""},{"dropping-particle":"","family":"Santana","given":"Guillermo","non-dropping-particle":"","parse-names":false,"suffix":""},{"dropping-particle":"","family":"Moreno","given":"Melania","non-dropping-particle":"","parse-names":false,"suffix":""},{"dropping-particle":"","family":"Torres","given":"Laura","non-dropping-particle":"","parse-names":false,"suffix":""},{"dropping-particle":"","family":"Santana-Lopez","given":"Gonzalo","non-dropping-particle":"","parse-names":false,"suffix":""},{"dropping-particle":"","family":"Rodriguez-Medina","given":"Carlos","non-dropping-particle":"","parse-names":false,"suffix":""},{"dropping-particle":"","family":"Perera","given":"María","non-dropping-particle":"","parse-names":false,"suffix":""},{"dropping-particle":"","family":"Bellosillo","given":"Beatriz","non-dropping-particle":"","parse-names":false,"suffix":""},{"dropping-particle":"","family":"la Iglesia","given":"Silvia","non-dropping-particle":"de","parse-names":false,"suffix":""},{"dropping-particle":"","family":"Molero","given":"Teresa","non-dropping-particle":"","parse-names":false,"suffix":""},{"dropping-particle":"","family":"Gomez-Casares","given":"Maria Teresa","non-dropping-particle":"","parse-names":false,"suffix":""}],"container-title":"PLoS ONE","editor":[{"dropping-particle":"","family":"Szecsi","given":"Pal Bela","non-dropping-particle":"","parse-names":false,"suffix":""}],"id":"ITEM-1","issue":"7","issued":{"date-parts":[["2014","7","28"]]},"page":"e103511","publisher":"Public Library of Science","title":"High Resolution Melting Analysis: A Rapid and Accurate Method to Detect CALR Mutations","type":"article-journal","volume":"9"},"uris":["http://www.mendeley.com/documents/?uuid=4614cbbf-6c7d-37dd-8169-e46c94e5c058"]}],"mendeley":{"formattedCitation":"&lt;sup&gt;19&lt;/sup&gt;","plainTextFormattedCitation":"19","previouslyFormattedCitation":"&lt;sup&gt;19&lt;/sup&gt;"},"properties":{"noteIndex":0},"schema":"https://github.com/citation-style-language/schema/raw/master/csl-citation.json"}</w:instrText>
      </w:r>
      <w:r w:rsidR="00053DA5" w:rsidRPr="005B034C">
        <w:rPr>
          <w:color w:val="auto"/>
        </w:rPr>
        <w:fldChar w:fldCharType="separate"/>
      </w:r>
      <w:r w:rsidR="00D10715" w:rsidRPr="005B034C">
        <w:rPr>
          <w:noProof/>
          <w:color w:val="auto"/>
          <w:vertAlign w:val="superscript"/>
        </w:rPr>
        <w:t>19</w:t>
      </w:r>
      <w:r w:rsidR="00053DA5" w:rsidRPr="005B034C">
        <w:rPr>
          <w:color w:val="auto"/>
        </w:rPr>
        <w:fldChar w:fldCharType="end"/>
      </w:r>
      <w:r w:rsidR="005B034C" w:rsidRPr="005B034C">
        <w:rPr>
          <w:color w:val="auto"/>
        </w:rPr>
        <w:t>)</w:t>
      </w:r>
      <w:r w:rsidR="00603D58" w:rsidRPr="005B034C">
        <w:rPr>
          <w:color w:val="auto"/>
        </w:rPr>
        <w:t xml:space="preserve"> and is more sensitive than </w:t>
      </w:r>
      <w:r>
        <w:rPr>
          <w:color w:val="auto"/>
        </w:rPr>
        <w:t xml:space="preserve">the </w:t>
      </w:r>
      <w:r w:rsidR="00603D58" w:rsidRPr="005B034C">
        <w:rPr>
          <w:color w:val="auto"/>
        </w:rPr>
        <w:t>Sanger sequencing method</w:t>
      </w:r>
      <w:r>
        <w:rPr>
          <w:color w:val="auto"/>
        </w:rPr>
        <w:t>,</w:t>
      </w:r>
      <w:r w:rsidR="00603D58" w:rsidRPr="005B034C">
        <w:rPr>
          <w:color w:val="auto"/>
        </w:rPr>
        <w:t xml:space="preserve"> whose sensitivity was reported to be 15-20</w:t>
      </w:r>
      <w:r>
        <w:rPr>
          <w:color w:val="auto"/>
        </w:rPr>
        <w:t>%</w:t>
      </w:r>
      <w:r w:rsidR="00053DA5" w:rsidRPr="005B034C">
        <w:rPr>
          <w:color w:val="auto"/>
        </w:rPr>
        <w:fldChar w:fldCharType="begin" w:fldLock="1"/>
      </w:r>
      <w:r w:rsidR="00D10715" w:rsidRPr="005B034C">
        <w:rPr>
          <w:color w:val="auto"/>
        </w:rPr>
        <w:instrText>ADDIN CSL_CITATION {"citationItems":[{"id":"ITEM-1","itemData":{"DOI":"10.1371/journal.pone.0103511","ISSN":"1932-6203","abstract":"Background The recent discovery of CALR mutations in essential thrombocythemia (ET) and primary myelofibrosis (PMF) patients without JAK2/MPL mutations has emerged as a relevant finding for the molecular diagnosis of these myeloproliferative neoplasms (MPN). We tested the feasibility of high-resolution melting (HRM) as a screening method for rapid detection of CALR mutations.  Methods CALR was studied in wild-type JAK2/MPL patients including 34 ET, 21 persistent thrombocytosis suggestive of MPN and 98 suspected secondary thrombocytosis. CALR mutation analysis was performed through HRM and Sanger sequencing. We compared clinical features of CALR-mutated versus 45 JAK2/MPL-mutated subjects in ET.  Results Nineteen samples showed distinct HRM patterns from wild-type. Of them, 18 were mutations and one a polymorphism as confirmed by direct sequencing. CALR mutations were present in 44% of ET (15/34), 14% of persistent thrombocytosis suggestive of MPN (3/21) and none of the secondary thrombocytosis (0/98). Of the 18 mutants, 9 were 52 bp deletions, 8 were 5 bp insertions and other was a complex mutation with insertion/deletion. No mutations were found after sequencing analysis of 45 samples displaying wild-type HRM curves. HRM technique was reproducible, no false positive or negative were detected and the limit of detection was of 3%.  Conclusions This study establishes a sensitive, reliable and rapid HRM method to screen for the presence of CALR mutations.","author":[{"dropping-particle":"","family":"Bilbao-Sieyro","given":"Cristina","non-dropping-particle":"","parse-names":false,"suffix":""},{"dropping-particle":"","family":"Santana","given":"Guillermo","non-dropping-particle":"","parse-names":false,"suffix":""},{"dropping-particle":"","family":"Moreno","given":"Melania","non-dropping-particle":"","parse-names":false,"suffix":""},{"dropping-particle":"","family":"Torres","given":"Laura","non-dropping-particle":"","parse-names":false,"suffix":""},{"dropping-particle":"","family":"Santana-Lopez","given":"Gonzalo","non-dropping-particle":"","parse-names":false,"suffix":""},{"dropping-particle":"","family":"Rodriguez-Medina","given":"Carlos","non-dropping-particle":"","parse-names":false,"suffix":""},{"dropping-particle":"","family":"Perera","given":"María","non-dropping-particle":"","parse-names":false,"suffix":""},{"dropping-particle":"","family":"Bellosillo","given":"Beatriz","non-dropping-particle":"","parse-names":false,"suffix":""},{"dropping-particle":"","family":"la Iglesia","given":"Silvia","non-dropping-particle":"de","parse-names":false,"suffix":""},{"dropping-particle":"","family":"Molero","given":"Teresa","non-dropping-particle":"","parse-names":false,"suffix":""},{"dropping-particle":"","family":"Gomez-Casares","given":"Maria Teresa","non-dropping-particle":"","parse-names":false,"suffix":""}],"container-title":"PLoS ONE","editor":[{"dropping-particle":"","family":"Szecsi","given":"Pal Bela","non-dropping-particle":"","parse-names":false,"suffix":""}],"id":"ITEM-1","issue":"7","issued":{"date-parts":[["2014","7","28"]]},"page":"e103511","publisher":"Public Library of Science","title":"High Resolution Melting Analysis: A Rapid and Accurate Method to Detect CALR Mutations","type":"article-journal","volume":"9"},"uris":["http://www.mendeley.com/documents/?uuid=4614cbbf-6c7d-37dd-8169-e46c94e5c058"]}],"mendeley":{"formattedCitation":"&lt;sup&gt;19&lt;/sup&gt;","plainTextFormattedCitation":"19","previouslyFormattedCitation":"&lt;sup&gt;19&lt;/sup&gt;"},"properties":{"noteIndex":0},"schema":"https://github.com/citation-style-language/schema/raw/master/csl-citation.json"}</w:instrText>
      </w:r>
      <w:r w:rsidR="00053DA5" w:rsidRPr="005B034C">
        <w:rPr>
          <w:color w:val="auto"/>
        </w:rPr>
        <w:fldChar w:fldCharType="separate"/>
      </w:r>
      <w:r w:rsidR="00D10715" w:rsidRPr="005B034C">
        <w:rPr>
          <w:noProof/>
          <w:color w:val="auto"/>
          <w:vertAlign w:val="superscript"/>
        </w:rPr>
        <w:t>19</w:t>
      </w:r>
      <w:r w:rsidR="00053DA5" w:rsidRPr="005B034C">
        <w:rPr>
          <w:color w:val="auto"/>
        </w:rPr>
        <w:fldChar w:fldCharType="end"/>
      </w:r>
      <w:r w:rsidR="00603D58" w:rsidRPr="005B034C">
        <w:rPr>
          <w:color w:val="auto"/>
        </w:rPr>
        <w:t>. In these cases, the next generation deep sequencing method that detect larger indels could be applied and confirm the HRM result.</w:t>
      </w:r>
      <w:r w:rsidR="005E6712" w:rsidRPr="005B034C">
        <w:rPr>
          <w:color w:val="auto"/>
        </w:rPr>
        <w:t xml:space="preserve"> </w:t>
      </w:r>
      <w:bookmarkEnd w:id="11"/>
      <w:r w:rsidR="00725F40" w:rsidRPr="005B034C">
        <w:rPr>
          <w:rFonts w:asciiTheme="minorHAnsi" w:hAnsiTheme="minorHAnsi" w:cstheme="minorHAnsi"/>
          <w:color w:val="auto"/>
        </w:rPr>
        <w:t xml:space="preserve">In conclusion, the HRM analysis is a powerful method for </w:t>
      </w:r>
      <w:r w:rsidR="000E7B4C" w:rsidRPr="005B034C">
        <w:rPr>
          <w:rFonts w:asciiTheme="minorHAnsi" w:hAnsiTheme="minorHAnsi" w:cstheme="minorHAnsi"/>
          <w:color w:val="auto"/>
        </w:rPr>
        <w:t>genotyping and genetic variation</w:t>
      </w:r>
      <w:r w:rsidR="0005080E" w:rsidRPr="005B034C">
        <w:rPr>
          <w:rFonts w:asciiTheme="minorHAnsi" w:hAnsiTheme="minorHAnsi" w:cstheme="minorHAnsi"/>
          <w:color w:val="auto"/>
        </w:rPr>
        <w:t xml:space="preserve"> scanning</w:t>
      </w:r>
      <w:r w:rsidR="00E742FD" w:rsidRPr="005B034C">
        <w:rPr>
          <w:rFonts w:asciiTheme="minorHAnsi" w:hAnsiTheme="minorHAnsi" w:cstheme="minorHAnsi"/>
          <w:color w:val="auto"/>
        </w:rPr>
        <w:t xml:space="preserve"> of somatic genetic variants in the </w:t>
      </w:r>
      <w:r w:rsidR="00E742FD" w:rsidRPr="005B034C">
        <w:rPr>
          <w:rFonts w:asciiTheme="minorHAnsi" w:hAnsiTheme="minorHAnsi" w:cstheme="minorHAnsi"/>
          <w:i/>
          <w:iCs/>
          <w:color w:val="auto"/>
        </w:rPr>
        <w:t xml:space="preserve">CALR </w:t>
      </w:r>
      <w:r w:rsidR="00E742FD" w:rsidRPr="005B034C">
        <w:rPr>
          <w:rFonts w:asciiTheme="minorHAnsi" w:hAnsiTheme="minorHAnsi" w:cstheme="minorHAnsi"/>
          <w:color w:val="auto"/>
        </w:rPr>
        <w:t>gene</w:t>
      </w:r>
      <w:r w:rsidR="000E7B4C" w:rsidRPr="005B034C">
        <w:rPr>
          <w:rFonts w:asciiTheme="minorHAnsi" w:hAnsiTheme="minorHAnsi" w:cstheme="minorHAnsi"/>
          <w:color w:val="auto"/>
        </w:rPr>
        <w:t>. T</w:t>
      </w:r>
      <w:r w:rsidR="00725F40" w:rsidRPr="005B034C">
        <w:rPr>
          <w:rFonts w:asciiTheme="minorHAnsi" w:hAnsiTheme="minorHAnsi" w:cstheme="minorHAnsi"/>
          <w:color w:val="auto"/>
        </w:rPr>
        <w:t xml:space="preserve">he identification of different </w:t>
      </w:r>
      <w:r w:rsidR="0005080E" w:rsidRPr="005B034C">
        <w:rPr>
          <w:rFonts w:asciiTheme="minorHAnsi" w:hAnsiTheme="minorHAnsi" w:cstheme="minorHAnsi"/>
          <w:color w:val="auto"/>
        </w:rPr>
        <w:t xml:space="preserve">types of </w:t>
      </w:r>
      <w:r w:rsidR="00725F40" w:rsidRPr="005B034C">
        <w:rPr>
          <w:rFonts w:asciiTheme="minorHAnsi" w:hAnsiTheme="minorHAnsi" w:cstheme="minorHAnsi"/>
          <w:color w:val="auto"/>
        </w:rPr>
        <w:t>genetic variant</w:t>
      </w:r>
      <w:r w:rsidR="000E7B4C" w:rsidRPr="005B034C">
        <w:rPr>
          <w:rFonts w:asciiTheme="minorHAnsi" w:hAnsiTheme="minorHAnsi" w:cstheme="minorHAnsi"/>
          <w:color w:val="auto"/>
        </w:rPr>
        <w:t xml:space="preserve"> is mostly based on the controls used in the qPCR HRM assay</w:t>
      </w:r>
      <w:r w:rsidR="00375E9B" w:rsidRPr="005B034C">
        <w:rPr>
          <w:rFonts w:asciiTheme="minorHAnsi" w:hAnsiTheme="minorHAnsi" w:cstheme="minorHAnsi"/>
          <w:color w:val="auto"/>
        </w:rPr>
        <w:t xml:space="preserve">. </w:t>
      </w:r>
      <w:r w:rsidR="0056527E" w:rsidRPr="005B034C">
        <w:rPr>
          <w:rFonts w:asciiTheme="minorHAnsi" w:hAnsiTheme="minorHAnsi" w:cstheme="minorHAnsi"/>
          <w:color w:val="auto"/>
        </w:rPr>
        <w:t>M</w:t>
      </w:r>
      <w:r w:rsidR="00375E9B" w:rsidRPr="005B034C">
        <w:rPr>
          <w:rFonts w:asciiTheme="minorHAnsi" w:hAnsiTheme="minorHAnsi" w:cstheme="minorHAnsi"/>
          <w:color w:val="auto"/>
        </w:rPr>
        <w:t xml:space="preserve">ore </w:t>
      </w:r>
      <w:r w:rsidR="000E7B4C" w:rsidRPr="005B034C">
        <w:rPr>
          <w:rFonts w:asciiTheme="minorHAnsi" w:hAnsiTheme="minorHAnsi" w:cstheme="minorHAnsi"/>
          <w:color w:val="auto"/>
        </w:rPr>
        <w:t>reliable results are obtain</w:t>
      </w:r>
      <w:r w:rsidR="0056527E" w:rsidRPr="005B034C">
        <w:rPr>
          <w:rFonts w:asciiTheme="minorHAnsi" w:hAnsiTheme="minorHAnsi" w:cstheme="minorHAnsi"/>
          <w:color w:val="auto"/>
        </w:rPr>
        <w:t xml:space="preserve">ed by combining the HRM results with </w:t>
      </w:r>
      <w:r>
        <w:rPr>
          <w:rFonts w:asciiTheme="minorHAnsi" w:hAnsiTheme="minorHAnsi" w:cstheme="minorHAnsi"/>
          <w:color w:val="auto"/>
        </w:rPr>
        <w:t>results from</w:t>
      </w:r>
      <w:r w:rsidR="0056527E" w:rsidRPr="005B034C">
        <w:rPr>
          <w:rFonts w:asciiTheme="minorHAnsi" w:hAnsiTheme="minorHAnsi" w:cstheme="minorHAnsi"/>
          <w:color w:val="auto"/>
        </w:rPr>
        <w:t xml:space="preserve"> agarose gel electrophoresis. </w:t>
      </w:r>
      <w:r w:rsidR="00375E9B" w:rsidRPr="005B034C">
        <w:rPr>
          <w:rFonts w:asciiTheme="minorHAnsi" w:hAnsiTheme="minorHAnsi" w:cstheme="minorHAnsi"/>
          <w:color w:val="auto"/>
        </w:rPr>
        <w:t>I</w:t>
      </w:r>
      <w:r w:rsidR="00725F40" w:rsidRPr="005B034C">
        <w:rPr>
          <w:rFonts w:asciiTheme="minorHAnsi" w:hAnsiTheme="minorHAnsi" w:cstheme="minorHAnsi"/>
          <w:color w:val="auto"/>
        </w:rPr>
        <w:t xml:space="preserve">n </w:t>
      </w:r>
      <w:r w:rsidR="00F36A75" w:rsidRPr="005B034C">
        <w:rPr>
          <w:rFonts w:asciiTheme="minorHAnsi" w:hAnsiTheme="minorHAnsi" w:cstheme="minorHAnsi"/>
          <w:color w:val="auto"/>
        </w:rPr>
        <w:t>case of inconclusive results</w:t>
      </w:r>
      <w:r>
        <w:rPr>
          <w:rFonts w:asciiTheme="minorHAnsi" w:hAnsiTheme="minorHAnsi" w:cstheme="minorHAnsi"/>
          <w:color w:val="auto"/>
        </w:rPr>
        <w:t>,</w:t>
      </w:r>
      <w:r w:rsidR="00F36A75" w:rsidRPr="005B034C">
        <w:rPr>
          <w:rFonts w:asciiTheme="minorHAnsi" w:hAnsiTheme="minorHAnsi" w:cstheme="minorHAnsi"/>
          <w:color w:val="auto"/>
        </w:rPr>
        <w:t xml:space="preserve"> </w:t>
      </w:r>
      <w:r w:rsidR="00725F40" w:rsidRPr="005B034C">
        <w:rPr>
          <w:rFonts w:asciiTheme="minorHAnsi" w:hAnsiTheme="minorHAnsi" w:cstheme="minorHAnsi"/>
          <w:color w:val="auto"/>
        </w:rPr>
        <w:t xml:space="preserve">standard </w:t>
      </w:r>
      <w:r w:rsidR="00375E9B" w:rsidRPr="005B034C">
        <w:rPr>
          <w:rFonts w:asciiTheme="minorHAnsi" w:hAnsiTheme="minorHAnsi" w:cstheme="minorHAnsi"/>
          <w:color w:val="auto"/>
        </w:rPr>
        <w:t xml:space="preserve">Sanger </w:t>
      </w:r>
      <w:r w:rsidR="00725F40" w:rsidRPr="005B034C">
        <w:rPr>
          <w:rFonts w:asciiTheme="minorHAnsi" w:hAnsiTheme="minorHAnsi" w:cstheme="minorHAnsi"/>
          <w:color w:val="auto"/>
        </w:rPr>
        <w:t xml:space="preserve">sequencing </w:t>
      </w:r>
      <w:r w:rsidR="00603D58" w:rsidRPr="005B034C">
        <w:rPr>
          <w:rFonts w:asciiTheme="minorHAnsi" w:hAnsiTheme="minorHAnsi" w:cstheme="minorHAnsi"/>
          <w:color w:val="auto"/>
        </w:rPr>
        <w:t xml:space="preserve">or even more sensitive next generation sequencing method </w:t>
      </w:r>
      <w:r>
        <w:rPr>
          <w:rFonts w:asciiTheme="minorHAnsi" w:hAnsiTheme="minorHAnsi" w:cstheme="minorHAnsi"/>
          <w:color w:val="auto"/>
        </w:rPr>
        <w:t>can</w:t>
      </w:r>
      <w:r w:rsidR="00F36A75" w:rsidRPr="005B034C">
        <w:rPr>
          <w:rFonts w:asciiTheme="minorHAnsi" w:hAnsiTheme="minorHAnsi" w:cstheme="minorHAnsi"/>
          <w:color w:val="auto"/>
        </w:rPr>
        <w:t xml:space="preserve"> be used to properly identify the genetic variant</w:t>
      </w:r>
      <w:r w:rsidR="00375E9B" w:rsidRPr="005B034C">
        <w:rPr>
          <w:rFonts w:asciiTheme="minorHAnsi" w:hAnsiTheme="minorHAnsi" w:cstheme="minorHAnsi"/>
          <w:color w:val="auto"/>
        </w:rPr>
        <w:t xml:space="preserve">. </w:t>
      </w:r>
    </w:p>
    <w:p w14:paraId="639DFF7F" w14:textId="77777777" w:rsidR="00375E9B" w:rsidRPr="005B034C" w:rsidRDefault="00375E9B" w:rsidP="006820EA">
      <w:pPr>
        <w:rPr>
          <w:rFonts w:asciiTheme="minorHAnsi" w:hAnsiTheme="minorHAnsi" w:cstheme="minorHAnsi"/>
          <w:color w:val="auto"/>
        </w:rPr>
      </w:pPr>
    </w:p>
    <w:p w14:paraId="1734505F" w14:textId="46D975BE" w:rsidR="00AA03DF" w:rsidRPr="005B034C" w:rsidRDefault="00AA03DF" w:rsidP="006820EA">
      <w:pPr>
        <w:pStyle w:val="NormalWeb"/>
        <w:spacing w:before="0" w:beforeAutospacing="0" w:after="0" w:afterAutospacing="0"/>
        <w:rPr>
          <w:rFonts w:asciiTheme="minorHAnsi" w:hAnsiTheme="minorHAnsi" w:cstheme="minorHAnsi"/>
          <w:color w:val="auto"/>
        </w:rPr>
      </w:pPr>
      <w:r w:rsidRPr="005B034C">
        <w:rPr>
          <w:rFonts w:asciiTheme="minorHAnsi" w:hAnsiTheme="minorHAnsi" w:cstheme="minorHAnsi"/>
          <w:b/>
          <w:bCs/>
          <w:color w:val="auto"/>
        </w:rPr>
        <w:t xml:space="preserve">ACKNOWLEDGMENTS: </w:t>
      </w:r>
    </w:p>
    <w:p w14:paraId="2D96E92E" w14:textId="4618C3E9" w:rsidR="00AA03DF" w:rsidRPr="005B034C" w:rsidRDefault="0056527E" w:rsidP="006820EA">
      <w:pPr>
        <w:rPr>
          <w:rFonts w:asciiTheme="minorHAnsi" w:hAnsiTheme="minorHAnsi" w:cstheme="minorHAnsi"/>
          <w:color w:val="auto"/>
        </w:rPr>
      </w:pPr>
      <w:r w:rsidRPr="005B034C">
        <w:rPr>
          <w:rFonts w:asciiTheme="minorHAnsi" w:hAnsiTheme="minorHAnsi" w:cstheme="minorHAnsi"/>
          <w:color w:val="auto"/>
        </w:rPr>
        <w:t>The authors would like to thank all the academic experts and employees at the Specialized Hematology Laboratory, Department of Hematology, Division of Internal Medicine, University Medical Centre Ljubljana.</w:t>
      </w:r>
    </w:p>
    <w:p w14:paraId="4F61D57D" w14:textId="77777777" w:rsidR="0056527E" w:rsidRPr="005B034C" w:rsidRDefault="0056527E" w:rsidP="006820EA">
      <w:pPr>
        <w:rPr>
          <w:rFonts w:asciiTheme="minorHAnsi" w:hAnsiTheme="minorHAnsi" w:cstheme="minorHAnsi"/>
          <w:b/>
          <w:bCs/>
          <w:color w:val="auto"/>
        </w:rPr>
      </w:pPr>
    </w:p>
    <w:p w14:paraId="5D52ED8B" w14:textId="14C58132" w:rsidR="00AA03DF" w:rsidRPr="005B034C" w:rsidRDefault="00AA03DF" w:rsidP="006820EA">
      <w:pPr>
        <w:pStyle w:val="NormalWeb"/>
        <w:spacing w:before="0" w:beforeAutospacing="0" w:after="0" w:afterAutospacing="0"/>
        <w:rPr>
          <w:rFonts w:asciiTheme="minorHAnsi" w:hAnsiTheme="minorHAnsi" w:cstheme="minorHAnsi"/>
          <w:color w:val="auto"/>
        </w:rPr>
      </w:pPr>
      <w:r w:rsidRPr="005B034C">
        <w:rPr>
          <w:rFonts w:asciiTheme="minorHAnsi" w:hAnsiTheme="minorHAnsi" w:cstheme="minorHAnsi"/>
          <w:b/>
          <w:color w:val="auto"/>
        </w:rPr>
        <w:t>DISCLOSURES</w:t>
      </w:r>
      <w:r w:rsidRPr="005B034C">
        <w:rPr>
          <w:rFonts w:asciiTheme="minorHAnsi" w:hAnsiTheme="minorHAnsi" w:cstheme="minorHAnsi"/>
          <w:b/>
          <w:bCs/>
          <w:color w:val="auto"/>
        </w:rPr>
        <w:t xml:space="preserve">: </w:t>
      </w:r>
    </w:p>
    <w:p w14:paraId="66030076" w14:textId="59A20977" w:rsidR="00AA03DF" w:rsidRPr="005B034C" w:rsidRDefault="00725F40" w:rsidP="006820EA">
      <w:pPr>
        <w:rPr>
          <w:color w:val="auto"/>
          <w:sz w:val="23"/>
          <w:szCs w:val="23"/>
        </w:rPr>
      </w:pPr>
      <w:r w:rsidRPr="005B034C">
        <w:rPr>
          <w:color w:val="auto"/>
          <w:sz w:val="23"/>
          <w:szCs w:val="23"/>
        </w:rPr>
        <w:t>The authors have no conflicts of interest to disclose.</w:t>
      </w:r>
    </w:p>
    <w:p w14:paraId="34A64F52" w14:textId="77777777" w:rsidR="00D643BE" w:rsidRPr="005B034C" w:rsidRDefault="00D643BE" w:rsidP="006820EA">
      <w:pPr>
        <w:rPr>
          <w:rFonts w:asciiTheme="minorHAnsi" w:hAnsiTheme="minorHAnsi" w:cstheme="minorHAnsi"/>
          <w:color w:val="auto"/>
        </w:rPr>
      </w:pPr>
    </w:p>
    <w:p w14:paraId="315B4FAD" w14:textId="7A68BBE5" w:rsidR="00B32616" w:rsidRPr="005B034C" w:rsidRDefault="009726EE" w:rsidP="006820EA">
      <w:pPr>
        <w:rPr>
          <w:rFonts w:asciiTheme="minorHAnsi" w:hAnsiTheme="minorHAnsi" w:cstheme="minorHAnsi"/>
          <w:b/>
          <w:color w:val="auto"/>
        </w:rPr>
      </w:pPr>
      <w:bookmarkStart w:id="12" w:name="_Hlk37174871"/>
      <w:r w:rsidRPr="005B034C">
        <w:rPr>
          <w:rFonts w:asciiTheme="minorHAnsi" w:hAnsiTheme="minorHAnsi" w:cstheme="minorHAnsi"/>
          <w:b/>
          <w:bCs/>
          <w:color w:val="auto"/>
        </w:rPr>
        <w:t>REFERENCES</w:t>
      </w:r>
      <w:r w:rsidR="00D04760" w:rsidRPr="005B034C">
        <w:rPr>
          <w:rFonts w:asciiTheme="minorHAnsi" w:hAnsiTheme="minorHAnsi" w:cstheme="minorHAnsi"/>
          <w:b/>
          <w:bCs/>
          <w:color w:val="auto"/>
        </w:rPr>
        <w:t>:</w:t>
      </w:r>
      <w:r w:rsidRPr="005B034C">
        <w:rPr>
          <w:rFonts w:asciiTheme="minorHAnsi" w:hAnsiTheme="minorHAnsi" w:cstheme="minorHAnsi"/>
          <w:color w:val="auto"/>
        </w:rPr>
        <w:t xml:space="preserve"> </w:t>
      </w:r>
    </w:p>
    <w:p w14:paraId="2129B7D4" w14:textId="43C64FAD" w:rsidR="00153681" w:rsidRPr="005B034C" w:rsidRDefault="00A9662C" w:rsidP="006820EA">
      <w:pPr>
        <w:rPr>
          <w:noProof/>
          <w:color w:val="auto"/>
        </w:rPr>
      </w:pPr>
      <w:r w:rsidRPr="005B034C">
        <w:rPr>
          <w:rFonts w:asciiTheme="minorHAnsi" w:hAnsiTheme="minorHAnsi" w:cstheme="minorHAnsi"/>
          <w:color w:val="auto"/>
        </w:rPr>
        <w:fldChar w:fldCharType="begin" w:fldLock="1"/>
      </w:r>
      <w:r w:rsidRPr="005B034C">
        <w:rPr>
          <w:rFonts w:asciiTheme="minorHAnsi" w:hAnsiTheme="minorHAnsi" w:cstheme="minorHAnsi"/>
          <w:color w:val="auto"/>
        </w:rPr>
        <w:instrText xml:space="preserve">ADDIN Mendeley Bibliography CSL_BIBLIOGRAPHY </w:instrText>
      </w:r>
      <w:r w:rsidRPr="005B034C">
        <w:rPr>
          <w:rFonts w:asciiTheme="minorHAnsi" w:hAnsiTheme="minorHAnsi" w:cstheme="minorHAnsi"/>
          <w:color w:val="auto"/>
        </w:rPr>
        <w:fldChar w:fldCharType="separate"/>
      </w:r>
      <w:r w:rsidR="00153681" w:rsidRPr="005B034C">
        <w:rPr>
          <w:noProof/>
          <w:color w:val="auto"/>
        </w:rPr>
        <w:t>1.</w:t>
      </w:r>
      <w:r w:rsidR="00153681" w:rsidRPr="005B034C">
        <w:rPr>
          <w:noProof/>
          <w:color w:val="auto"/>
        </w:rPr>
        <w:tab/>
        <w:t xml:space="preserve">Nangalia, J. </w:t>
      </w:r>
      <w:r w:rsidR="006E7E6E" w:rsidRPr="006E7E6E">
        <w:rPr>
          <w:noProof/>
          <w:color w:val="auto"/>
        </w:rPr>
        <w:t>et al.</w:t>
      </w:r>
      <w:r w:rsidR="00153681" w:rsidRPr="005B034C">
        <w:rPr>
          <w:noProof/>
          <w:color w:val="auto"/>
        </w:rPr>
        <w:t xml:space="preserve"> Somatic CALR mutations in myeloproliferative neoplasms with nonmutated JAK2. </w:t>
      </w:r>
      <w:r w:rsidR="006E7E6E">
        <w:rPr>
          <w:i/>
          <w:iCs/>
          <w:noProof/>
          <w:color w:val="auto"/>
        </w:rPr>
        <w:t>New England Journal of Medicine</w:t>
      </w:r>
      <w:r w:rsidR="00153681" w:rsidRPr="005B034C">
        <w:rPr>
          <w:i/>
          <w:iCs/>
          <w:noProof/>
          <w:color w:val="auto"/>
        </w:rPr>
        <w:t>.</w:t>
      </w:r>
      <w:r w:rsidR="00153681" w:rsidRPr="005B034C">
        <w:rPr>
          <w:noProof/>
          <w:color w:val="auto"/>
        </w:rPr>
        <w:t xml:space="preserve"> </w:t>
      </w:r>
      <w:r w:rsidR="00153681" w:rsidRPr="005B034C">
        <w:rPr>
          <w:b/>
          <w:bCs/>
          <w:noProof/>
          <w:color w:val="auto"/>
        </w:rPr>
        <w:t>369</w:t>
      </w:r>
      <w:r w:rsidR="00153681" w:rsidRPr="005B034C">
        <w:rPr>
          <w:noProof/>
          <w:color w:val="auto"/>
        </w:rPr>
        <w:t>, 2391–2405 (2013</w:t>
      </w:r>
      <w:r w:rsidR="005B034C" w:rsidRPr="005B034C">
        <w:rPr>
          <w:noProof/>
          <w:color w:val="auto"/>
        </w:rPr>
        <w:t>)</w:t>
      </w:r>
      <w:r w:rsidR="00153681" w:rsidRPr="005B034C">
        <w:rPr>
          <w:noProof/>
          <w:color w:val="auto"/>
        </w:rPr>
        <w:t>.</w:t>
      </w:r>
    </w:p>
    <w:p w14:paraId="587E161C" w14:textId="4A715D8E" w:rsidR="00153681" w:rsidRPr="005B034C" w:rsidRDefault="00153681" w:rsidP="006820EA">
      <w:pPr>
        <w:rPr>
          <w:noProof/>
          <w:color w:val="auto"/>
        </w:rPr>
      </w:pPr>
      <w:r w:rsidRPr="005B034C">
        <w:rPr>
          <w:noProof/>
          <w:color w:val="auto"/>
        </w:rPr>
        <w:t>2.</w:t>
      </w:r>
      <w:r w:rsidRPr="005B034C">
        <w:rPr>
          <w:noProof/>
          <w:color w:val="auto"/>
        </w:rPr>
        <w:tab/>
        <w:t xml:space="preserve">Klampfl, T. </w:t>
      </w:r>
      <w:r w:rsidR="006E7E6E" w:rsidRPr="006E7E6E">
        <w:rPr>
          <w:noProof/>
          <w:color w:val="auto"/>
        </w:rPr>
        <w:t>et al.</w:t>
      </w:r>
      <w:r w:rsidRPr="005B034C">
        <w:rPr>
          <w:noProof/>
          <w:color w:val="auto"/>
        </w:rPr>
        <w:t xml:space="preserve"> Somatic mutations of calreticulin in myeloproliferative neoplasms. </w:t>
      </w:r>
      <w:r w:rsidR="006E7E6E">
        <w:rPr>
          <w:i/>
          <w:iCs/>
          <w:noProof/>
          <w:color w:val="auto"/>
        </w:rPr>
        <w:t>New England Journal of Medicine</w:t>
      </w:r>
      <w:r w:rsidRPr="005B034C">
        <w:rPr>
          <w:i/>
          <w:iCs/>
          <w:noProof/>
          <w:color w:val="auto"/>
        </w:rPr>
        <w:t>.</w:t>
      </w:r>
      <w:r w:rsidRPr="005B034C">
        <w:rPr>
          <w:noProof/>
          <w:color w:val="auto"/>
        </w:rPr>
        <w:t xml:space="preserve"> </w:t>
      </w:r>
      <w:r w:rsidRPr="005B034C">
        <w:rPr>
          <w:b/>
          <w:bCs/>
          <w:noProof/>
          <w:color w:val="auto"/>
        </w:rPr>
        <w:t>369</w:t>
      </w:r>
      <w:r w:rsidRPr="005B034C">
        <w:rPr>
          <w:noProof/>
          <w:color w:val="auto"/>
        </w:rPr>
        <w:t>, 2379–2390 (2013</w:t>
      </w:r>
      <w:r w:rsidR="005B034C" w:rsidRPr="005B034C">
        <w:rPr>
          <w:noProof/>
          <w:color w:val="auto"/>
        </w:rPr>
        <w:t>)</w:t>
      </w:r>
      <w:r w:rsidRPr="005B034C">
        <w:rPr>
          <w:noProof/>
          <w:color w:val="auto"/>
        </w:rPr>
        <w:t>.</w:t>
      </w:r>
    </w:p>
    <w:p w14:paraId="782315B2" w14:textId="16A80510" w:rsidR="00153681" w:rsidRPr="005B034C" w:rsidRDefault="00153681" w:rsidP="006820EA">
      <w:pPr>
        <w:rPr>
          <w:noProof/>
          <w:color w:val="auto"/>
        </w:rPr>
      </w:pPr>
      <w:r w:rsidRPr="005B034C">
        <w:rPr>
          <w:noProof/>
          <w:color w:val="auto"/>
        </w:rPr>
        <w:lastRenderedPageBreak/>
        <w:t>3.</w:t>
      </w:r>
      <w:r w:rsidRPr="005B034C">
        <w:rPr>
          <w:noProof/>
          <w:color w:val="auto"/>
        </w:rPr>
        <w:tab/>
        <w:t>Vainchenker, W.</w:t>
      </w:r>
      <w:r w:rsidR="006E7E6E">
        <w:rPr>
          <w:noProof/>
          <w:color w:val="auto"/>
        </w:rPr>
        <w:t xml:space="preserve">, </w:t>
      </w:r>
      <w:r w:rsidRPr="005B034C">
        <w:rPr>
          <w:noProof/>
          <w:color w:val="auto"/>
        </w:rPr>
        <w:t xml:space="preserve">Kralovics, R. Genetic basis and molecular pathophysiology of classical myeloproliferative neoplasms. </w:t>
      </w:r>
      <w:r w:rsidRPr="005B034C">
        <w:rPr>
          <w:i/>
          <w:iCs/>
          <w:noProof/>
          <w:color w:val="auto"/>
        </w:rPr>
        <w:t>Blood</w:t>
      </w:r>
      <w:r w:rsidRPr="005B034C">
        <w:rPr>
          <w:noProof/>
          <w:color w:val="auto"/>
        </w:rPr>
        <w:t xml:space="preserve"> </w:t>
      </w:r>
      <w:r w:rsidRPr="005B034C">
        <w:rPr>
          <w:b/>
          <w:bCs/>
          <w:noProof/>
          <w:color w:val="auto"/>
        </w:rPr>
        <w:t>129</w:t>
      </w:r>
      <w:r w:rsidRPr="005B034C">
        <w:rPr>
          <w:noProof/>
          <w:color w:val="auto"/>
        </w:rPr>
        <w:t>, 667–679 (2017</w:t>
      </w:r>
      <w:r w:rsidR="005B034C" w:rsidRPr="005B034C">
        <w:rPr>
          <w:noProof/>
          <w:color w:val="auto"/>
        </w:rPr>
        <w:t>)</w:t>
      </w:r>
      <w:r w:rsidRPr="005B034C">
        <w:rPr>
          <w:noProof/>
          <w:color w:val="auto"/>
        </w:rPr>
        <w:t>.</w:t>
      </w:r>
    </w:p>
    <w:p w14:paraId="75045295" w14:textId="792F0999" w:rsidR="00153681" w:rsidRPr="005B034C" w:rsidRDefault="00153681" w:rsidP="006820EA">
      <w:pPr>
        <w:rPr>
          <w:noProof/>
          <w:color w:val="auto"/>
        </w:rPr>
      </w:pPr>
      <w:r w:rsidRPr="005B034C">
        <w:rPr>
          <w:noProof/>
          <w:color w:val="auto"/>
        </w:rPr>
        <w:t>4.</w:t>
      </w:r>
      <w:r w:rsidRPr="005B034C">
        <w:rPr>
          <w:noProof/>
          <w:color w:val="auto"/>
        </w:rPr>
        <w:tab/>
        <w:t xml:space="preserve">Pietra, D. </w:t>
      </w:r>
      <w:r w:rsidR="006E7E6E" w:rsidRPr="006E7E6E">
        <w:rPr>
          <w:noProof/>
          <w:color w:val="auto"/>
        </w:rPr>
        <w:t>et al.</w:t>
      </w:r>
      <w:r w:rsidRPr="005B034C">
        <w:rPr>
          <w:noProof/>
          <w:color w:val="auto"/>
        </w:rPr>
        <w:t xml:space="preserve"> Differential clinical effects of different mutation subtypes in CALR-mutant myeloproliferative neoplasms. </w:t>
      </w:r>
      <w:r w:rsidRPr="005B034C">
        <w:rPr>
          <w:i/>
          <w:iCs/>
          <w:noProof/>
          <w:color w:val="auto"/>
        </w:rPr>
        <w:t>Leukemia</w:t>
      </w:r>
      <w:r w:rsidRPr="005B034C">
        <w:rPr>
          <w:noProof/>
          <w:color w:val="auto"/>
        </w:rPr>
        <w:t xml:space="preserve"> </w:t>
      </w:r>
      <w:r w:rsidRPr="005B034C">
        <w:rPr>
          <w:b/>
          <w:bCs/>
          <w:noProof/>
          <w:color w:val="auto"/>
        </w:rPr>
        <w:t>30</w:t>
      </w:r>
      <w:r w:rsidRPr="005B034C">
        <w:rPr>
          <w:noProof/>
          <w:color w:val="auto"/>
        </w:rPr>
        <w:t>, 431–438 (2016</w:t>
      </w:r>
      <w:r w:rsidR="005B034C" w:rsidRPr="005B034C">
        <w:rPr>
          <w:noProof/>
          <w:color w:val="auto"/>
        </w:rPr>
        <w:t>)</w:t>
      </w:r>
      <w:r w:rsidRPr="005B034C">
        <w:rPr>
          <w:noProof/>
          <w:color w:val="auto"/>
        </w:rPr>
        <w:t>.</w:t>
      </w:r>
    </w:p>
    <w:p w14:paraId="41E12753" w14:textId="7C4A69C7" w:rsidR="00153681" w:rsidRPr="005B034C" w:rsidRDefault="00153681" w:rsidP="006820EA">
      <w:pPr>
        <w:rPr>
          <w:noProof/>
          <w:color w:val="auto"/>
        </w:rPr>
      </w:pPr>
      <w:r w:rsidRPr="005B034C">
        <w:rPr>
          <w:noProof/>
          <w:color w:val="auto"/>
        </w:rPr>
        <w:t>5.</w:t>
      </w:r>
      <w:r w:rsidRPr="005B034C">
        <w:rPr>
          <w:noProof/>
          <w:color w:val="auto"/>
        </w:rPr>
        <w:tab/>
        <w:t xml:space="preserve">Lim, K. H. </w:t>
      </w:r>
      <w:r w:rsidR="006E7E6E" w:rsidRPr="006E7E6E">
        <w:rPr>
          <w:noProof/>
          <w:color w:val="auto"/>
        </w:rPr>
        <w:t>et al.</w:t>
      </w:r>
      <w:r w:rsidRPr="005B034C">
        <w:rPr>
          <w:noProof/>
          <w:color w:val="auto"/>
        </w:rPr>
        <w:t xml:space="preserve"> Rapid and sensitive detection of CALR exon 9 mutations using high-resolution melting analysis. </w:t>
      </w:r>
      <w:r w:rsidR="006E7E6E">
        <w:rPr>
          <w:i/>
          <w:iCs/>
          <w:noProof/>
          <w:color w:val="auto"/>
        </w:rPr>
        <w:t>Clinica Chimica Acta.</w:t>
      </w:r>
      <w:r w:rsidRPr="005B034C">
        <w:rPr>
          <w:noProof/>
          <w:color w:val="auto"/>
        </w:rPr>
        <w:t xml:space="preserve"> </w:t>
      </w:r>
      <w:r w:rsidRPr="005B034C">
        <w:rPr>
          <w:b/>
          <w:bCs/>
          <w:noProof/>
          <w:color w:val="auto"/>
        </w:rPr>
        <w:t>440</w:t>
      </w:r>
      <w:r w:rsidRPr="005B034C">
        <w:rPr>
          <w:noProof/>
          <w:color w:val="auto"/>
        </w:rPr>
        <w:t>, 133–139 (2015</w:t>
      </w:r>
      <w:r w:rsidR="005B034C" w:rsidRPr="005B034C">
        <w:rPr>
          <w:noProof/>
          <w:color w:val="auto"/>
        </w:rPr>
        <w:t>)</w:t>
      </w:r>
      <w:r w:rsidRPr="005B034C">
        <w:rPr>
          <w:noProof/>
          <w:color w:val="auto"/>
        </w:rPr>
        <w:t>.</w:t>
      </w:r>
    </w:p>
    <w:p w14:paraId="75AE651B" w14:textId="6032C22B" w:rsidR="00153681" w:rsidRPr="005B034C" w:rsidRDefault="00153681" w:rsidP="006820EA">
      <w:pPr>
        <w:rPr>
          <w:noProof/>
          <w:color w:val="auto"/>
        </w:rPr>
      </w:pPr>
      <w:r w:rsidRPr="005B034C">
        <w:rPr>
          <w:noProof/>
          <w:color w:val="auto"/>
        </w:rPr>
        <w:t>6.</w:t>
      </w:r>
      <w:r w:rsidRPr="005B034C">
        <w:rPr>
          <w:noProof/>
          <w:color w:val="auto"/>
        </w:rPr>
        <w:tab/>
        <w:t>Lay, M. J.</w:t>
      </w:r>
      <w:r w:rsidR="006E7E6E">
        <w:rPr>
          <w:noProof/>
          <w:color w:val="auto"/>
        </w:rPr>
        <w:t xml:space="preserve">, </w:t>
      </w:r>
      <w:r w:rsidRPr="005B034C">
        <w:rPr>
          <w:noProof/>
          <w:color w:val="auto"/>
        </w:rPr>
        <w:t xml:space="preserve">Wittwer, C. T. Real-time fluorescence genotyping of factor V leiden during rapid-cycle PCR. </w:t>
      </w:r>
      <w:r w:rsidR="006E7E6E">
        <w:rPr>
          <w:i/>
          <w:iCs/>
          <w:noProof/>
          <w:color w:val="auto"/>
        </w:rPr>
        <w:t>Clinical Chemistry</w:t>
      </w:r>
      <w:r w:rsidRPr="005B034C">
        <w:rPr>
          <w:i/>
          <w:iCs/>
          <w:noProof/>
          <w:color w:val="auto"/>
        </w:rPr>
        <w:t>.</w:t>
      </w:r>
      <w:r w:rsidRPr="005B034C">
        <w:rPr>
          <w:noProof/>
          <w:color w:val="auto"/>
        </w:rPr>
        <w:t xml:space="preserve"> </w:t>
      </w:r>
      <w:r w:rsidRPr="005B034C">
        <w:rPr>
          <w:b/>
          <w:bCs/>
          <w:noProof/>
          <w:color w:val="auto"/>
        </w:rPr>
        <w:t>43</w:t>
      </w:r>
      <w:r w:rsidRPr="005B034C">
        <w:rPr>
          <w:noProof/>
          <w:color w:val="auto"/>
        </w:rPr>
        <w:t>, 2262–2267 (1997</w:t>
      </w:r>
      <w:r w:rsidR="005B034C" w:rsidRPr="005B034C">
        <w:rPr>
          <w:noProof/>
          <w:color w:val="auto"/>
        </w:rPr>
        <w:t>)</w:t>
      </w:r>
      <w:r w:rsidRPr="005B034C">
        <w:rPr>
          <w:noProof/>
          <w:color w:val="auto"/>
        </w:rPr>
        <w:t>.</w:t>
      </w:r>
    </w:p>
    <w:p w14:paraId="3E69A15D" w14:textId="6FB9828B" w:rsidR="00153681" w:rsidRPr="005B034C" w:rsidRDefault="00153681" w:rsidP="006820EA">
      <w:pPr>
        <w:rPr>
          <w:noProof/>
          <w:color w:val="auto"/>
        </w:rPr>
      </w:pPr>
      <w:r w:rsidRPr="005B034C">
        <w:rPr>
          <w:noProof/>
          <w:color w:val="auto"/>
        </w:rPr>
        <w:t>7.</w:t>
      </w:r>
      <w:r w:rsidRPr="005B034C">
        <w:rPr>
          <w:noProof/>
          <w:color w:val="auto"/>
        </w:rPr>
        <w:tab/>
        <w:t>Vossen, R. H. A. M., Aten, E., Roos, A.</w:t>
      </w:r>
      <w:r w:rsidR="006E7E6E">
        <w:rPr>
          <w:noProof/>
          <w:color w:val="auto"/>
        </w:rPr>
        <w:t xml:space="preserve">, </w:t>
      </w:r>
      <w:r w:rsidRPr="005B034C">
        <w:rPr>
          <w:noProof/>
          <w:color w:val="auto"/>
        </w:rPr>
        <w:t>Den Dunnen, J. T. High-resolution melting analysis (HRMA</w:t>
      </w:r>
      <w:r w:rsidR="005B034C" w:rsidRPr="005B034C">
        <w:rPr>
          <w:noProof/>
          <w:color w:val="auto"/>
        </w:rPr>
        <w:t>)</w:t>
      </w:r>
      <w:r w:rsidRPr="005B034C">
        <w:rPr>
          <w:noProof/>
          <w:color w:val="auto"/>
        </w:rPr>
        <w:t xml:space="preserve"> - More than just sequence variant screening. </w:t>
      </w:r>
      <w:r w:rsidR="006E7E6E">
        <w:rPr>
          <w:i/>
          <w:iCs/>
          <w:noProof/>
          <w:color w:val="auto"/>
        </w:rPr>
        <w:t>Human Mutation</w:t>
      </w:r>
      <w:r w:rsidRPr="005B034C">
        <w:rPr>
          <w:i/>
          <w:iCs/>
          <w:noProof/>
          <w:color w:val="auto"/>
        </w:rPr>
        <w:t>.</w:t>
      </w:r>
      <w:r w:rsidRPr="005B034C">
        <w:rPr>
          <w:noProof/>
          <w:color w:val="auto"/>
        </w:rPr>
        <w:t xml:space="preserve"> </w:t>
      </w:r>
      <w:r w:rsidRPr="005B034C">
        <w:rPr>
          <w:b/>
          <w:bCs/>
          <w:noProof/>
          <w:color w:val="auto"/>
        </w:rPr>
        <w:t>30</w:t>
      </w:r>
      <w:r w:rsidRPr="005B034C">
        <w:rPr>
          <w:noProof/>
          <w:color w:val="auto"/>
        </w:rPr>
        <w:t>, 860–866 (2009</w:t>
      </w:r>
      <w:r w:rsidR="005B034C" w:rsidRPr="005B034C">
        <w:rPr>
          <w:noProof/>
          <w:color w:val="auto"/>
        </w:rPr>
        <w:t>)</w:t>
      </w:r>
      <w:r w:rsidRPr="005B034C">
        <w:rPr>
          <w:noProof/>
          <w:color w:val="auto"/>
        </w:rPr>
        <w:t>.</w:t>
      </w:r>
    </w:p>
    <w:p w14:paraId="75603DA1" w14:textId="5CEB20EE" w:rsidR="00153681" w:rsidRPr="005B034C" w:rsidRDefault="00153681" w:rsidP="006820EA">
      <w:pPr>
        <w:rPr>
          <w:noProof/>
          <w:color w:val="auto"/>
        </w:rPr>
      </w:pPr>
      <w:r w:rsidRPr="005B034C">
        <w:rPr>
          <w:noProof/>
          <w:color w:val="auto"/>
        </w:rPr>
        <w:t>8.</w:t>
      </w:r>
      <w:r w:rsidRPr="005B034C">
        <w:rPr>
          <w:noProof/>
          <w:color w:val="auto"/>
        </w:rPr>
        <w:tab/>
        <w:t>Barbui, T., Thiele, J., Vannucchi, A. M.</w:t>
      </w:r>
      <w:r w:rsidR="006E7E6E">
        <w:rPr>
          <w:noProof/>
          <w:color w:val="auto"/>
        </w:rPr>
        <w:t xml:space="preserve">, </w:t>
      </w:r>
      <w:r w:rsidRPr="005B034C">
        <w:rPr>
          <w:noProof/>
          <w:color w:val="auto"/>
        </w:rPr>
        <w:t xml:space="preserve">Tefferi, A. Rationale for revision and proposed changes of the WHO diagnostic criteria for polycythemia vera, essential thrombocythemia and primary myelofibrosis. </w:t>
      </w:r>
      <w:r w:rsidRPr="005B034C">
        <w:rPr>
          <w:i/>
          <w:iCs/>
          <w:noProof/>
          <w:color w:val="auto"/>
        </w:rPr>
        <w:t>Blood Cancer J</w:t>
      </w:r>
      <w:r w:rsidR="006E7E6E">
        <w:rPr>
          <w:i/>
          <w:iCs/>
          <w:noProof/>
          <w:color w:val="auto"/>
        </w:rPr>
        <w:t>ournal</w:t>
      </w:r>
      <w:r w:rsidRPr="005B034C">
        <w:rPr>
          <w:i/>
          <w:iCs/>
          <w:noProof/>
          <w:color w:val="auto"/>
        </w:rPr>
        <w:t>.</w:t>
      </w:r>
      <w:r w:rsidRPr="005B034C">
        <w:rPr>
          <w:noProof/>
          <w:color w:val="auto"/>
        </w:rPr>
        <w:t xml:space="preserve"> </w:t>
      </w:r>
      <w:r w:rsidRPr="005B034C">
        <w:rPr>
          <w:b/>
          <w:bCs/>
          <w:noProof/>
          <w:color w:val="auto"/>
        </w:rPr>
        <w:t>5</w:t>
      </w:r>
      <w:r w:rsidRPr="005B034C">
        <w:rPr>
          <w:noProof/>
          <w:color w:val="auto"/>
        </w:rPr>
        <w:t>, e337-8 (2015</w:t>
      </w:r>
      <w:r w:rsidR="005B034C" w:rsidRPr="005B034C">
        <w:rPr>
          <w:noProof/>
          <w:color w:val="auto"/>
        </w:rPr>
        <w:t>)</w:t>
      </w:r>
      <w:r w:rsidRPr="005B034C">
        <w:rPr>
          <w:noProof/>
          <w:color w:val="auto"/>
        </w:rPr>
        <w:t>.</w:t>
      </w:r>
    </w:p>
    <w:p w14:paraId="08294952" w14:textId="0DCFCC1C" w:rsidR="00153681" w:rsidRPr="005B034C" w:rsidRDefault="00153681" w:rsidP="006820EA">
      <w:pPr>
        <w:rPr>
          <w:noProof/>
          <w:color w:val="auto"/>
        </w:rPr>
      </w:pPr>
      <w:r w:rsidRPr="005B034C">
        <w:rPr>
          <w:noProof/>
          <w:color w:val="auto"/>
        </w:rPr>
        <w:t>9.</w:t>
      </w:r>
      <w:r w:rsidRPr="005B034C">
        <w:rPr>
          <w:noProof/>
          <w:color w:val="auto"/>
        </w:rPr>
        <w:tab/>
        <w:t>Reed, G. H.</w:t>
      </w:r>
      <w:r w:rsidR="006E7E6E">
        <w:rPr>
          <w:noProof/>
          <w:color w:val="auto"/>
        </w:rPr>
        <w:t xml:space="preserve">, </w:t>
      </w:r>
      <w:r w:rsidRPr="005B034C">
        <w:rPr>
          <w:noProof/>
          <w:color w:val="auto"/>
        </w:rPr>
        <w:t xml:space="preserve">Wittwer, C. T. Sensitivity and specificity of single-nucleotide polymorphism scanning by high-resolution melting analysis. </w:t>
      </w:r>
      <w:r w:rsidR="006E7E6E">
        <w:rPr>
          <w:i/>
          <w:iCs/>
          <w:noProof/>
          <w:color w:val="auto"/>
        </w:rPr>
        <w:t>Clinical Chemistry</w:t>
      </w:r>
      <w:r w:rsidRPr="005B034C">
        <w:rPr>
          <w:i/>
          <w:iCs/>
          <w:noProof/>
          <w:color w:val="auto"/>
        </w:rPr>
        <w:t>.</w:t>
      </w:r>
      <w:r w:rsidRPr="005B034C">
        <w:rPr>
          <w:noProof/>
          <w:color w:val="auto"/>
        </w:rPr>
        <w:t xml:space="preserve"> </w:t>
      </w:r>
      <w:r w:rsidRPr="005B034C">
        <w:rPr>
          <w:b/>
          <w:bCs/>
          <w:noProof/>
          <w:color w:val="auto"/>
        </w:rPr>
        <w:t>50</w:t>
      </w:r>
      <w:r w:rsidRPr="005B034C">
        <w:rPr>
          <w:noProof/>
          <w:color w:val="auto"/>
        </w:rPr>
        <w:t>, 1748–1754 (2004</w:t>
      </w:r>
      <w:r w:rsidR="005B034C" w:rsidRPr="005B034C">
        <w:rPr>
          <w:noProof/>
          <w:color w:val="auto"/>
        </w:rPr>
        <w:t>)</w:t>
      </w:r>
      <w:r w:rsidRPr="005B034C">
        <w:rPr>
          <w:noProof/>
          <w:color w:val="auto"/>
        </w:rPr>
        <w:t>.</w:t>
      </w:r>
    </w:p>
    <w:p w14:paraId="32EE7DC5" w14:textId="63AC7DB0" w:rsidR="00153681" w:rsidRPr="005B034C" w:rsidRDefault="00153681" w:rsidP="006820EA">
      <w:pPr>
        <w:rPr>
          <w:noProof/>
          <w:color w:val="auto"/>
        </w:rPr>
      </w:pPr>
      <w:r w:rsidRPr="005B034C">
        <w:rPr>
          <w:noProof/>
          <w:color w:val="auto"/>
        </w:rPr>
        <w:t>10.</w:t>
      </w:r>
      <w:r w:rsidRPr="005B034C">
        <w:rPr>
          <w:noProof/>
          <w:color w:val="auto"/>
        </w:rPr>
        <w:tab/>
        <w:t>Belcic Mikic, T., Pajic, T.</w:t>
      </w:r>
      <w:r w:rsidR="006E7E6E">
        <w:rPr>
          <w:noProof/>
          <w:color w:val="auto"/>
        </w:rPr>
        <w:t xml:space="preserve">, </w:t>
      </w:r>
      <w:r w:rsidRPr="005B034C">
        <w:rPr>
          <w:noProof/>
          <w:color w:val="auto"/>
        </w:rPr>
        <w:t xml:space="preserve">Sever, M. CALR mutations in a cohort of JAK2 V617F negative patients with suspected myeloproliferative neoplasms. </w:t>
      </w:r>
      <w:r w:rsidR="006E7E6E">
        <w:rPr>
          <w:i/>
          <w:iCs/>
          <w:noProof/>
          <w:color w:val="auto"/>
        </w:rPr>
        <w:t>Scientific Reports</w:t>
      </w:r>
      <w:r w:rsidRPr="005B034C">
        <w:rPr>
          <w:i/>
          <w:iCs/>
          <w:noProof/>
          <w:color w:val="auto"/>
        </w:rPr>
        <w:t>.</w:t>
      </w:r>
      <w:r w:rsidRPr="005B034C">
        <w:rPr>
          <w:noProof/>
          <w:color w:val="auto"/>
        </w:rPr>
        <w:t xml:space="preserve"> </w:t>
      </w:r>
      <w:r w:rsidRPr="005B034C">
        <w:rPr>
          <w:b/>
          <w:bCs/>
          <w:noProof/>
          <w:color w:val="auto"/>
        </w:rPr>
        <w:t>9</w:t>
      </w:r>
      <w:r w:rsidRPr="005B034C">
        <w:rPr>
          <w:noProof/>
          <w:color w:val="auto"/>
        </w:rPr>
        <w:t>, 19838 (2019</w:t>
      </w:r>
      <w:r w:rsidR="005B034C" w:rsidRPr="005B034C">
        <w:rPr>
          <w:noProof/>
          <w:color w:val="auto"/>
        </w:rPr>
        <w:t>)</w:t>
      </w:r>
      <w:r w:rsidRPr="005B034C">
        <w:rPr>
          <w:noProof/>
          <w:color w:val="auto"/>
        </w:rPr>
        <w:t>.</w:t>
      </w:r>
    </w:p>
    <w:p w14:paraId="025BC423" w14:textId="56B4B5D4" w:rsidR="00153681" w:rsidRPr="005B034C" w:rsidRDefault="00153681" w:rsidP="006820EA">
      <w:pPr>
        <w:rPr>
          <w:noProof/>
          <w:color w:val="auto"/>
        </w:rPr>
      </w:pPr>
      <w:r w:rsidRPr="005B034C">
        <w:rPr>
          <w:noProof/>
          <w:color w:val="auto"/>
        </w:rPr>
        <w:t>11.</w:t>
      </w:r>
      <w:r w:rsidRPr="005B034C">
        <w:rPr>
          <w:noProof/>
          <w:color w:val="auto"/>
        </w:rPr>
        <w:tab/>
        <w:t xml:space="preserve">QtfXna, L. LifeTech: Qubit </w:t>
      </w:r>
      <w:r w:rsidRPr="005B034C">
        <w:rPr>
          <w:noProof/>
          <w:color w:val="auto"/>
          <w:vertAlign w:val="superscript"/>
        </w:rPr>
        <w:t>TM</w:t>
      </w:r>
      <w:r w:rsidRPr="005B034C">
        <w:rPr>
          <w:noProof/>
          <w:color w:val="auto"/>
        </w:rPr>
        <w:t xml:space="preserve"> dsDNA HS Assay Kits. </w:t>
      </w:r>
      <w:r w:rsidRPr="005B034C">
        <w:rPr>
          <w:i/>
          <w:iCs/>
          <w:noProof/>
          <w:color w:val="auto"/>
        </w:rPr>
        <w:t>Manual</w:t>
      </w:r>
      <w:r w:rsidRPr="005B034C">
        <w:rPr>
          <w:noProof/>
          <w:color w:val="auto"/>
        </w:rPr>
        <w:t xml:space="preserve"> 1–9 (2015</w:t>
      </w:r>
      <w:r w:rsidR="005B034C" w:rsidRPr="005B034C">
        <w:rPr>
          <w:noProof/>
          <w:color w:val="auto"/>
        </w:rPr>
        <w:t>)</w:t>
      </w:r>
      <w:r w:rsidRPr="005B034C">
        <w:rPr>
          <w:noProof/>
          <w:color w:val="auto"/>
        </w:rPr>
        <w:t>.</w:t>
      </w:r>
    </w:p>
    <w:p w14:paraId="158036D4" w14:textId="66E0A67B" w:rsidR="00153681" w:rsidRPr="005B034C" w:rsidRDefault="00153681" w:rsidP="006820EA">
      <w:pPr>
        <w:rPr>
          <w:noProof/>
          <w:color w:val="auto"/>
        </w:rPr>
      </w:pPr>
      <w:r w:rsidRPr="005B034C">
        <w:rPr>
          <w:noProof/>
          <w:color w:val="auto"/>
        </w:rPr>
        <w:t>12.</w:t>
      </w:r>
      <w:r w:rsidRPr="005B034C">
        <w:rPr>
          <w:noProof/>
          <w:color w:val="auto"/>
        </w:rPr>
        <w:tab/>
        <w:t>Biosystems, A. Applied Biosystems High Resolution Melt Module for ViiA 7 Software v1 . 1 Getting Started Guide</w:t>
      </w:r>
      <w:r w:rsidR="006E7E6E">
        <w:rPr>
          <w:noProof/>
          <w:color w:val="auto"/>
        </w:rPr>
        <w:t xml:space="preserve"> (2020).</w:t>
      </w:r>
    </w:p>
    <w:p w14:paraId="72C41AC3" w14:textId="1C8710E9" w:rsidR="00153681" w:rsidRPr="005B034C" w:rsidRDefault="00153681" w:rsidP="006820EA">
      <w:pPr>
        <w:rPr>
          <w:noProof/>
          <w:color w:val="auto"/>
        </w:rPr>
      </w:pPr>
      <w:r w:rsidRPr="005B034C">
        <w:rPr>
          <w:noProof/>
          <w:color w:val="auto"/>
        </w:rPr>
        <w:t>13.</w:t>
      </w:r>
      <w:r w:rsidRPr="005B034C">
        <w:rPr>
          <w:noProof/>
          <w:color w:val="auto"/>
        </w:rPr>
        <w:tab/>
        <w:t xml:space="preserve">Biosystems, A. Making it Easier to Unlock Understanding. </w:t>
      </w:r>
      <w:r w:rsidRPr="005B034C">
        <w:rPr>
          <w:i/>
          <w:iCs/>
          <w:noProof/>
          <w:color w:val="auto"/>
        </w:rPr>
        <w:t>Appl. Note</w:t>
      </w:r>
      <w:r w:rsidRPr="005B034C">
        <w:rPr>
          <w:noProof/>
          <w:color w:val="auto"/>
        </w:rPr>
        <w:t>.</w:t>
      </w:r>
      <w:r w:rsidR="006E7E6E">
        <w:rPr>
          <w:noProof/>
          <w:color w:val="auto"/>
        </w:rPr>
        <w:t xml:space="preserve"> (2020)</w:t>
      </w:r>
    </w:p>
    <w:p w14:paraId="6843A113" w14:textId="7D809CF6" w:rsidR="00153681" w:rsidRPr="005B034C" w:rsidRDefault="00153681" w:rsidP="006820EA">
      <w:pPr>
        <w:rPr>
          <w:noProof/>
          <w:color w:val="auto"/>
        </w:rPr>
      </w:pPr>
      <w:r w:rsidRPr="005B034C">
        <w:rPr>
          <w:noProof/>
          <w:color w:val="auto"/>
        </w:rPr>
        <w:t>14.</w:t>
      </w:r>
      <w:r w:rsidRPr="005B034C">
        <w:rPr>
          <w:noProof/>
          <w:color w:val="auto"/>
        </w:rPr>
        <w:tab/>
        <w:t>Reed, G. H., Kent, J. O.</w:t>
      </w:r>
      <w:r w:rsidR="006E7E6E">
        <w:rPr>
          <w:noProof/>
          <w:color w:val="auto"/>
        </w:rPr>
        <w:t xml:space="preserve">, </w:t>
      </w:r>
      <w:r w:rsidRPr="005B034C">
        <w:rPr>
          <w:noProof/>
          <w:color w:val="auto"/>
        </w:rPr>
        <w:t xml:space="preserve">Wittwer, C. T. High-resolution DNA melting analysis for simple and efficient molecular diagnostics. </w:t>
      </w:r>
      <w:r w:rsidRPr="005B034C">
        <w:rPr>
          <w:i/>
          <w:iCs/>
          <w:noProof/>
          <w:color w:val="auto"/>
        </w:rPr>
        <w:t>Pharmacogenomics</w:t>
      </w:r>
      <w:r w:rsidR="006E7E6E">
        <w:rPr>
          <w:noProof/>
          <w:color w:val="auto"/>
        </w:rPr>
        <w:t>.</w:t>
      </w:r>
      <w:r w:rsidRPr="005B034C">
        <w:rPr>
          <w:noProof/>
          <w:color w:val="auto"/>
        </w:rPr>
        <w:t xml:space="preserve"> </w:t>
      </w:r>
      <w:r w:rsidRPr="005B034C">
        <w:rPr>
          <w:b/>
          <w:bCs/>
          <w:noProof/>
          <w:color w:val="auto"/>
        </w:rPr>
        <w:t>8</w:t>
      </w:r>
      <w:r w:rsidRPr="005B034C">
        <w:rPr>
          <w:noProof/>
          <w:color w:val="auto"/>
        </w:rPr>
        <w:t>, 597–608 (2007</w:t>
      </w:r>
      <w:r w:rsidR="005B034C" w:rsidRPr="005B034C">
        <w:rPr>
          <w:noProof/>
          <w:color w:val="auto"/>
        </w:rPr>
        <w:t>)</w:t>
      </w:r>
      <w:r w:rsidRPr="005B034C">
        <w:rPr>
          <w:noProof/>
          <w:color w:val="auto"/>
        </w:rPr>
        <w:t>.</w:t>
      </w:r>
    </w:p>
    <w:p w14:paraId="05874806" w14:textId="4AEB1FC0" w:rsidR="00153681" w:rsidRPr="005B034C" w:rsidRDefault="00153681" w:rsidP="006820EA">
      <w:pPr>
        <w:rPr>
          <w:noProof/>
          <w:color w:val="auto"/>
        </w:rPr>
      </w:pPr>
      <w:r w:rsidRPr="005B034C">
        <w:rPr>
          <w:noProof/>
          <w:color w:val="auto"/>
        </w:rPr>
        <w:t>15.</w:t>
      </w:r>
      <w:r w:rsidRPr="005B034C">
        <w:rPr>
          <w:noProof/>
          <w:color w:val="auto"/>
        </w:rPr>
        <w:tab/>
        <w:t xml:space="preserve">Gonzalez-Bosquet, J. </w:t>
      </w:r>
      <w:r w:rsidR="006E7E6E" w:rsidRPr="006E7E6E">
        <w:rPr>
          <w:noProof/>
          <w:color w:val="auto"/>
        </w:rPr>
        <w:t>et al.</w:t>
      </w:r>
      <w:r w:rsidRPr="005B034C">
        <w:rPr>
          <w:noProof/>
          <w:color w:val="auto"/>
        </w:rPr>
        <w:t xml:space="preserve"> Detection of somatic mutations by high-resolution DNA melting (HRM</w:t>
      </w:r>
      <w:r w:rsidR="005B034C" w:rsidRPr="005B034C">
        <w:rPr>
          <w:noProof/>
          <w:color w:val="auto"/>
        </w:rPr>
        <w:t>)</w:t>
      </w:r>
      <w:r w:rsidRPr="005B034C">
        <w:rPr>
          <w:noProof/>
          <w:color w:val="auto"/>
        </w:rPr>
        <w:t xml:space="preserve"> analysis in multiple cancers. </w:t>
      </w:r>
      <w:r w:rsidRPr="005B034C">
        <w:rPr>
          <w:i/>
          <w:iCs/>
          <w:noProof/>
          <w:color w:val="auto"/>
        </w:rPr>
        <w:t>PLoS One</w:t>
      </w:r>
      <w:r w:rsidR="006E7E6E">
        <w:rPr>
          <w:noProof/>
          <w:color w:val="auto"/>
        </w:rPr>
        <w:t>.</w:t>
      </w:r>
      <w:r w:rsidRPr="005B034C">
        <w:rPr>
          <w:noProof/>
          <w:color w:val="auto"/>
        </w:rPr>
        <w:t xml:space="preserve"> </w:t>
      </w:r>
      <w:r w:rsidRPr="005B034C">
        <w:rPr>
          <w:b/>
          <w:bCs/>
          <w:noProof/>
          <w:color w:val="auto"/>
        </w:rPr>
        <w:t>6</w:t>
      </w:r>
      <w:r w:rsidRPr="005B034C">
        <w:rPr>
          <w:noProof/>
          <w:color w:val="auto"/>
        </w:rPr>
        <w:t>, e14522–e14522 (2011</w:t>
      </w:r>
      <w:r w:rsidR="005B034C" w:rsidRPr="005B034C">
        <w:rPr>
          <w:noProof/>
          <w:color w:val="auto"/>
        </w:rPr>
        <w:t>)</w:t>
      </w:r>
      <w:r w:rsidRPr="005B034C">
        <w:rPr>
          <w:noProof/>
          <w:color w:val="auto"/>
        </w:rPr>
        <w:t>.</w:t>
      </w:r>
    </w:p>
    <w:p w14:paraId="31E2B3CB" w14:textId="538DAA74" w:rsidR="00153681" w:rsidRPr="005B034C" w:rsidRDefault="00153681" w:rsidP="006820EA">
      <w:pPr>
        <w:rPr>
          <w:noProof/>
          <w:color w:val="auto"/>
        </w:rPr>
      </w:pPr>
      <w:r w:rsidRPr="005B034C">
        <w:rPr>
          <w:noProof/>
          <w:color w:val="auto"/>
        </w:rPr>
        <w:t>16.</w:t>
      </w:r>
      <w:r w:rsidRPr="005B034C">
        <w:rPr>
          <w:noProof/>
          <w:color w:val="auto"/>
        </w:rPr>
        <w:tab/>
        <w:t xml:space="preserve">Van Der Stoep, N. </w:t>
      </w:r>
      <w:r w:rsidR="006E7E6E" w:rsidRPr="006E7E6E">
        <w:rPr>
          <w:noProof/>
          <w:color w:val="auto"/>
        </w:rPr>
        <w:t>et al.</w:t>
      </w:r>
      <w:r w:rsidRPr="005B034C">
        <w:rPr>
          <w:noProof/>
          <w:color w:val="auto"/>
        </w:rPr>
        <w:t xml:space="preserve"> Diagnostic guidelines for high-resolution melting curve (HRM</w:t>
      </w:r>
      <w:r w:rsidR="005B034C" w:rsidRPr="005B034C">
        <w:rPr>
          <w:noProof/>
          <w:color w:val="auto"/>
        </w:rPr>
        <w:t>)</w:t>
      </w:r>
      <w:r w:rsidRPr="005B034C">
        <w:rPr>
          <w:noProof/>
          <w:color w:val="auto"/>
        </w:rPr>
        <w:t xml:space="preserve"> analysis: An interlaboratory validation of BRCA1 mutation scanning using the 96-well LightScanner. </w:t>
      </w:r>
      <w:r w:rsidR="006E7E6E">
        <w:rPr>
          <w:i/>
          <w:iCs/>
          <w:noProof/>
          <w:color w:val="auto"/>
        </w:rPr>
        <w:t>Human Mutation</w:t>
      </w:r>
      <w:r w:rsidRPr="005B034C">
        <w:rPr>
          <w:i/>
          <w:iCs/>
          <w:noProof/>
          <w:color w:val="auto"/>
        </w:rPr>
        <w:t>.</w:t>
      </w:r>
      <w:r w:rsidRPr="005B034C">
        <w:rPr>
          <w:noProof/>
          <w:color w:val="auto"/>
        </w:rPr>
        <w:t xml:space="preserve"> </w:t>
      </w:r>
      <w:r w:rsidRPr="005B034C">
        <w:rPr>
          <w:b/>
          <w:bCs/>
          <w:noProof/>
          <w:color w:val="auto"/>
        </w:rPr>
        <w:t>30</w:t>
      </w:r>
      <w:r w:rsidRPr="005B034C">
        <w:rPr>
          <w:noProof/>
          <w:color w:val="auto"/>
        </w:rPr>
        <w:t>, 899–909 (2009</w:t>
      </w:r>
      <w:r w:rsidR="005B034C" w:rsidRPr="005B034C">
        <w:rPr>
          <w:noProof/>
          <w:color w:val="auto"/>
        </w:rPr>
        <w:t>)</w:t>
      </w:r>
      <w:r w:rsidRPr="005B034C">
        <w:rPr>
          <w:noProof/>
          <w:color w:val="auto"/>
        </w:rPr>
        <w:t>.</w:t>
      </w:r>
    </w:p>
    <w:p w14:paraId="611853A0" w14:textId="15C150B2" w:rsidR="00153681" w:rsidRPr="005B034C" w:rsidRDefault="00153681" w:rsidP="006820EA">
      <w:pPr>
        <w:rPr>
          <w:noProof/>
          <w:color w:val="auto"/>
        </w:rPr>
      </w:pPr>
      <w:r w:rsidRPr="005B034C">
        <w:rPr>
          <w:noProof/>
          <w:color w:val="auto"/>
        </w:rPr>
        <w:t>17.</w:t>
      </w:r>
      <w:r w:rsidRPr="005B034C">
        <w:rPr>
          <w:noProof/>
          <w:color w:val="auto"/>
        </w:rPr>
        <w:tab/>
        <w:t xml:space="preserve">Singdong, R. </w:t>
      </w:r>
      <w:r w:rsidR="006E7E6E" w:rsidRPr="006E7E6E">
        <w:rPr>
          <w:noProof/>
          <w:color w:val="auto"/>
        </w:rPr>
        <w:t>et al.</w:t>
      </w:r>
      <w:r w:rsidRPr="005B034C">
        <w:rPr>
          <w:noProof/>
          <w:color w:val="auto"/>
        </w:rPr>
        <w:t xml:space="preserve"> Characterization and Prognosis Significance of JAK2 (V617F</w:t>
      </w:r>
      <w:r w:rsidR="005B034C" w:rsidRPr="005B034C">
        <w:rPr>
          <w:noProof/>
          <w:color w:val="auto"/>
        </w:rPr>
        <w:t>)</w:t>
      </w:r>
      <w:r w:rsidRPr="005B034C">
        <w:rPr>
          <w:noProof/>
          <w:color w:val="auto"/>
        </w:rPr>
        <w:t xml:space="preserve">, MPL, and CALR Mutations in Philadelphia-Negative Myeloproliferative Neoplasms. </w:t>
      </w:r>
      <w:r w:rsidR="006E7E6E">
        <w:rPr>
          <w:i/>
          <w:iCs/>
          <w:noProof/>
          <w:color w:val="auto"/>
        </w:rPr>
        <w:t>Asian Pacific Journal of Cancer Prevention</w:t>
      </w:r>
      <w:r w:rsidRPr="005B034C">
        <w:rPr>
          <w:i/>
          <w:iCs/>
          <w:noProof/>
          <w:color w:val="auto"/>
        </w:rPr>
        <w:t>.</w:t>
      </w:r>
      <w:r w:rsidRPr="005B034C">
        <w:rPr>
          <w:noProof/>
          <w:color w:val="auto"/>
        </w:rPr>
        <w:t xml:space="preserve"> </w:t>
      </w:r>
      <w:r w:rsidRPr="005B034C">
        <w:rPr>
          <w:b/>
          <w:bCs/>
          <w:noProof/>
          <w:color w:val="auto"/>
        </w:rPr>
        <w:t>17</w:t>
      </w:r>
      <w:r w:rsidRPr="005B034C">
        <w:rPr>
          <w:noProof/>
          <w:color w:val="auto"/>
        </w:rPr>
        <w:t>, 4647–4653 (2016</w:t>
      </w:r>
      <w:r w:rsidR="005B034C" w:rsidRPr="005B034C">
        <w:rPr>
          <w:noProof/>
          <w:color w:val="auto"/>
        </w:rPr>
        <w:t>)</w:t>
      </w:r>
      <w:r w:rsidRPr="005B034C">
        <w:rPr>
          <w:noProof/>
          <w:color w:val="auto"/>
        </w:rPr>
        <w:t>.</w:t>
      </w:r>
    </w:p>
    <w:p w14:paraId="7D4D1C01" w14:textId="79A27F2F" w:rsidR="00153681" w:rsidRPr="005B034C" w:rsidRDefault="00153681" w:rsidP="006820EA">
      <w:pPr>
        <w:rPr>
          <w:noProof/>
          <w:color w:val="auto"/>
        </w:rPr>
      </w:pPr>
      <w:r w:rsidRPr="005B034C">
        <w:rPr>
          <w:noProof/>
          <w:color w:val="auto"/>
        </w:rPr>
        <w:t>18.</w:t>
      </w:r>
      <w:r w:rsidRPr="005B034C">
        <w:rPr>
          <w:noProof/>
          <w:color w:val="auto"/>
        </w:rPr>
        <w:tab/>
        <w:t>Erali, M.</w:t>
      </w:r>
      <w:r w:rsidR="006E7E6E">
        <w:rPr>
          <w:noProof/>
          <w:color w:val="auto"/>
        </w:rPr>
        <w:t xml:space="preserve">, </w:t>
      </w:r>
      <w:r w:rsidRPr="005B034C">
        <w:rPr>
          <w:noProof/>
          <w:color w:val="auto"/>
        </w:rPr>
        <w:t xml:space="preserve">Wittwer, C. T. High resolution melting analysis for gene scanning. </w:t>
      </w:r>
      <w:r w:rsidRPr="005B034C">
        <w:rPr>
          <w:i/>
          <w:iCs/>
          <w:noProof/>
          <w:color w:val="auto"/>
        </w:rPr>
        <w:t>Methods</w:t>
      </w:r>
      <w:r w:rsidRPr="005B034C">
        <w:rPr>
          <w:noProof/>
          <w:color w:val="auto"/>
        </w:rPr>
        <w:t xml:space="preserve"> </w:t>
      </w:r>
      <w:r w:rsidRPr="005B034C">
        <w:rPr>
          <w:b/>
          <w:bCs/>
          <w:noProof/>
          <w:color w:val="auto"/>
        </w:rPr>
        <w:t>50</w:t>
      </w:r>
      <w:r w:rsidRPr="005B034C">
        <w:rPr>
          <w:noProof/>
          <w:color w:val="auto"/>
        </w:rPr>
        <w:t>, 250–261 (2010</w:t>
      </w:r>
      <w:r w:rsidR="005B034C" w:rsidRPr="005B034C">
        <w:rPr>
          <w:noProof/>
          <w:color w:val="auto"/>
        </w:rPr>
        <w:t>)</w:t>
      </w:r>
      <w:r w:rsidRPr="005B034C">
        <w:rPr>
          <w:noProof/>
          <w:color w:val="auto"/>
        </w:rPr>
        <w:t>.</w:t>
      </w:r>
    </w:p>
    <w:p w14:paraId="12384E5F" w14:textId="521C46BD" w:rsidR="00153681" w:rsidRPr="005B034C" w:rsidRDefault="00153681" w:rsidP="006820EA">
      <w:pPr>
        <w:rPr>
          <w:noProof/>
          <w:color w:val="auto"/>
        </w:rPr>
      </w:pPr>
      <w:r w:rsidRPr="005B034C">
        <w:rPr>
          <w:noProof/>
          <w:color w:val="auto"/>
        </w:rPr>
        <w:t>19.</w:t>
      </w:r>
      <w:r w:rsidRPr="005B034C">
        <w:rPr>
          <w:noProof/>
          <w:color w:val="auto"/>
        </w:rPr>
        <w:tab/>
        <w:t xml:space="preserve">Bilbao-Sieyro, C. </w:t>
      </w:r>
      <w:r w:rsidR="006E7E6E" w:rsidRPr="006E7E6E">
        <w:rPr>
          <w:noProof/>
          <w:color w:val="auto"/>
        </w:rPr>
        <w:t>et al.</w:t>
      </w:r>
      <w:r w:rsidRPr="005B034C">
        <w:rPr>
          <w:noProof/>
          <w:color w:val="auto"/>
        </w:rPr>
        <w:t xml:space="preserve"> High Resolution Melting Analysis: A Rapid and Accurate Method to Detect CALR Mutations. </w:t>
      </w:r>
      <w:r w:rsidRPr="005B034C">
        <w:rPr>
          <w:i/>
          <w:iCs/>
          <w:noProof/>
          <w:color w:val="auto"/>
        </w:rPr>
        <w:t>PLoS One</w:t>
      </w:r>
      <w:r w:rsidR="006E7E6E">
        <w:rPr>
          <w:noProof/>
          <w:color w:val="auto"/>
        </w:rPr>
        <w:t>.</w:t>
      </w:r>
      <w:r w:rsidRPr="005B034C">
        <w:rPr>
          <w:noProof/>
          <w:color w:val="auto"/>
        </w:rPr>
        <w:t xml:space="preserve"> </w:t>
      </w:r>
      <w:r w:rsidRPr="005B034C">
        <w:rPr>
          <w:b/>
          <w:bCs/>
          <w:noProof/>
          <w:color w:val="auto"/>
        </w:rPr>
        <w:t>9</w:t>
      </w:r>
      <w:r w:rsidRPr="005B034C">
        <w:rPr>
          <w:noProof/>
          <w:color w:val="auto"/>
        </w:rPr>
        <w:t>, e103511 (2014</w:t>
      </w:r>
      <w:r w:rsidR="005B034C" w:rsidRPr="005B034C">
        <w:rPr>
          <w:noProof/>
          <w:color w:val="auto"/>
        </w:rPr>
        <w:t>)</w:t>
      </w:r>
      <w:r w:rsidRPr="005B034C">
        <w:rPr>
          <w:noProof/>
          <w:color w:val="auto"/>
        </w:rPr>
        <w:t>.</w:t>
      </w:r>
    </w:p>
    <w:p w14:paraId="15235DAB" w14:textId="21A76FED" w:rsidR="00153681" w:rsidRPr="005B034C" w:rsidRDefault="00153681" w:rsidP="006820EA">
      <w:pPr>
        <w:rPr>
          <w:noProof/>
          <w:color w:val="auto"/>
        </w:rPr>
      </w:pPr>
      <w:r w:rsidRPr="005B034C">
        <w:rPr>
          <w:noProof/>
          <w:color w:val="auto"/>
        </w:rPr>
        <w:t>20.</w:t>
      </w:r>
      <w:r w:rsidRPr="005B034C">
        <w:rPr>
          <w:noProof/>
          <w:color w:val="auto"/>
        </w:rPr>
        <w:tab/>
        <w:t>Słomka, M., Sobalska-Kwapis, M., Wachulec, M., Bartosz, G.</w:t>
      </w:r>
      <w:r w:rsidR="006E7E6E">
        <w:rPr>
          <w:noProof/>
          <w:color w:val="auto"/>
        </w:rPr>
        <w:t xml:space="preserve">, </w:t>
      </w:r>
      <w:r w:rsidRPr="005B034C">
        <w:rPr>
          <w:noProof/>
          <w:color w:val="auto"/>
        </w:rPr>
        <w:t>Strapagiel, D. High resolution melting (HRM</w:t>
      </w:r>
      <w:r w:rsidR="005B034C" w:rsidRPr="005B034C">
        <w:rPr>
          <w:noProof/>
          <w:color w:val="auto"/>
        </w:rPr>
        <w:t>)</w:t>
      </w:r>
      <w:r w:rsidRPr="005B034C">
        <w:rPr>
          <w:noProof/>
          <w:color w:val="auto"/>
        </w:rPr>
        <w:t xml:space="preserve"> for high-throughput genotyping-limitations and caveats in practical case studies. </w:t>
      </w:r>
      <w:r w:rsidR="006E7E6E">
        <w:rPr>
          <w:i/>
          <w:iCs/>
          <w:noProof/>
          <w:color w:val="auto"/>
        </w:rPr>
        <w:t>International Journal of Molecular Sciences</w:t>
      </w:r>
      <w:r w:rsidRPr="005B034C">
        <w:rPr>
          <w:i/>
          <w:iCs/>
          <w:noProof/>
          <w:color w:val="auto"/>
        </w:rPr>
        <w:t>.</w:t>
      </w:r>
      <w:r w:rsidRPr="005B034C">
        <w:rPr>
          <w:noProof/>
          <w:color w:val="auto"/>
        </w:rPr>
        <w:t xml:space="preserve"> </w:t>
      </w:r>
      <w:r w:rsidRPr="005B034C">
        <w:rPr>
          <w:b/>
          <w:bCs/>
          <w:noProof/>
          <w:color w:val="auto"/>
        </w:rPr>
        <w:t>18</w:t>
      </w:r>
      <w:r w:rsidRPr="005B034C">
        <w:rPr>
          <w:noProof/>
          <w:color w:val="auto"/>
        </w:rPr>
        <w:t>, 2316 (2017</w:t>
      </w:r>
      <w:r w:rsidR="005B034C" w:rsidRPr="005B034C">
        <w:rPr>
          <w:noProof/>
          <w:color w:val="auto"/>
        </w:rPr>
        <w:t>)</w:t>
      </w:r>
      <w:r w:rsidRPr="005B034C">
        <w:rPr>
          <w:noProof/>
          <w:color w:val="auto"/>
        </w:rPr>
        <w:t>.</w:t>
      </w:r>
    </w:p>
    <w:p w14:paraId="08CD23B8" w14:textId="3278817E" w:rsidR="00153681" w:rsidRPr="005B034C" w:rsidRDefault="00153681" w:rsidP="006820EA">
      <w:pPr>
        <w:rPr>
          <w:noProof/>
          <w:color w:val="auto"/>
        </w:rPr>
      </w:pPr>
      <w:r w:rsidRPr="005B034C">
        <w:rPr>
          <w:noProof/>
          <w:color w:val="auto"/>
        </w:rPr>
        <w:t>21.</w:t>
      </w:r>
      <w:r w:rsidRPr="005B034C">
        <w:rPr>
          <w:noProof/>
          <w:color w:val="auto"/>
        </w:rPr>
        <w:tab/>
        <w:t xml:space="preserve">Li, X. </w:t>
      </w:r>
      <w:r w:rsidR="006E7E6E" w:rsidRPr="006E7E6E">
        <w:rPr>
          <w:noProof/>
          <w:color w:val="auto"/>
        </w:rPr>
        <w:t>et al.</w:t>
      </w:r>
      <w:r w:rsidRPr="005B034C">
        <w:rPr>
          <w:noProof/>
          <w:color w:val="auto"/>
        </w:rPr>
        <w:t xml:space="preserve"> Comparison of three common DNA concentration measurement methods. </w:t>
      </w:r>
      <w:r w:rsidR="006E7E6E">
        <w:rPr>
          <w:i/>
          <w:iCs/>
          <w:noProof/>
          <w:color w:val="auto"/>
        </w:rPr>
        <w:t>Analytical Biochemistry</w:t>
      </w:r>
      <w:r w:rsidRPr="005B034C">
        <w:rPr>
          <w:i/>
          <w:iCs/>
          <w:noProof/>
          <w:color w:val="auto"/>
        </w:rPr>
        <w:t>.</w:t>
      </w:r>
      <w:r w:rsidRPr="005B034C">
        <w:rPr>
          <w:noProof/>
          <w:color w:val="auto"/>
        </w:rPr>
        <w:t xml:space="preserve"> </w:t>
      </w:r>
      <w:r w:rsidRPr="005B034C">
        <w:rPr>
          <w:b/>
          <w:bCs/>
          <w:noProof/>
          <w:color w:val="auto"/>
        </w:rPr>
        <w:t>451</w:t>
      </w:r>
      <w:r w:rsidRPr="005B034C">
        <w:rPr>
          <w:noProof/>
          <w:color w:val="auto"/>
        </w:rPr>
        <w:t>, 18–24 (2014</w:t>
      </w:r>
      <w:r w:rsidR="005B034C" w:rsidRPr="005B034C">
        <w:rPr>
          <w:noProof/>
          <w:color w:val="auto"/>
        </w:rPr>
        <w:t>)</w:t>
      </w:r>
      <w:r w:rsidRPr="005B034C">
        <w:rPr>
          <w:noProof/>
          <w:color w:val="auto"/>
        </w:rPr>
        <w:t>.</w:t>
      </w:r>
    </w:p>
    <w:p w14:paraId="40DFFEF8" w14:textId="021434E6" w:rsidR="00153681" w:rsidRPr="005B034C" w:rsidRDefault="00153681" w:rsidP="006820EA">
      <w:pPr>
        <w:rPr>
          <w:noProof/>
          <w:color w:val="auto"/>
        </w:rPr>
      </w:pPr>
      <w:r w:rsidRPr="005B034C">
        <w:rPr>
          <w:noProof/>
          <w:color w:val="auto"/>
        </w:rPr>
        <w:t>22.</w:t>
      </w:r>
      <w:r w:rsidRPr="005B034C">
        <w:rPr>
          <w:noProof/>
          <w:color w:val="auto"/>
        </w:rPr>
        <w:tab/>
        <w:t xml:space="preserve">Voytas, D. Agarose Gel Electrophoresis. </w:t>
      </w:r>
      <w:r w:rsidR="006E7E6E">
        <w:rPr>
          <w:i/>
          <w:iCs/>
          <w:noProof/>
          <w:color w:val="auto"/>
        </w:rPr>
        <w:t>Current Protocols in Immunology</w:t>
      </w:r>
      <w:r w:rsidRPr="005B034C">
        <w:rPr>
          <w:i/>
          <w:iCs/>
          <w:noProof/>
          <w:color w:val="auto"/>
        </w:rPr>
        <w:t>.</w:t>
      </w:r>
      <w:r w:rsidRPr="005B034C">
        <w:rPr>
          <w:noProof/>
          <w:color w:val="auto"/>
        </w:rPr>
        <w:t xml:space="preserve"> </w:t>
      </w:r>
      <w:r w:rsidRPr="005B034C">
        <w:rPr>
          <w:b/>
          <w:bCs/>
          <w:noProof/>
          <w:color w:val="auto"/>
        </w:rPr>
        <w:t>2</w:t>
      </w:r>
      <w:r w:rsidRPr="005B034C">
        <w:rPr>
          <w:noProof/>
          <w:color w:val="auto"/>
        </w:rPr>
        <w:t>, 10.4.1-10.4.8 (1992</w:t>
      </w:r>
      <w:r w:rsidR="005B034C" w:rsidRPr="005B034C">
        <w:rPr>
          <w:noProof/>
          <w:color w:val="auto"/>
        </w:rPr>
        <w:t>)</w:t>
      </w:r>
      <w:r w:rsidRPr="005B034C">
        <w:rPr>
          <w:noProof/>
          <w:color w:val="auto"/>
        </w:rPr>
        <w:t>.</w:t>
      </w:r>
    </w:p>
    <w:p w14:paraId="6C45419D" w14:textId="260A53AD" w:rsidR="00153681" w:rsidRPr="005B034C" w:rsidRDefault="00153681" w:rsidP="006820EA">
      <w:pPr>
        <w:rPr>
          <w:noProof/>
          <w:color w:val="auto"/>
        </w:rPr>
      </w:pPr>
      <w:r w:rsidRPr="005B034C">
        <w:rPr>
          <w:noProof/>
          <w:color w:val="auto"/>
        </w:rPr>
        <w:t>23.</w:t>
      </w:r>
      <w:r w:rsidRPr="005B034C">
        <w:rPr>
          <w:noProof/>
          <w:color w:val="auto"/>
        </w:rPr>
        <w:tab/>
        <w:t>Lee, P. Y., Costumbrado, J., Hsu, C.-Y.</w:t>
      </w:r>
      <w:r w:rsidR="006E7E6E">
        <w:rPr>
          <w:noProof/>
          <w:color w:val="auto"/>
        </w:rPr>
        <w:t xml:space="preserve">, </w:t>
      </w:r>
      <w:r w:rsidRPr="005B034C">
        <w:rPr>
          <w:noProof/>
          <w:color w:val="auto"/>
        </w:rPr>
        <w:t xml:space="preserve">Kim, Y. H. Agarose Gel Electrophoresis for the Separation of DNA Fragments. </w:t>
      </w:r>
      <w:r w:rsidR="006E7E6E">
        <w:rPr>
          <w:i/>
          <w:iCs/>
          <w:noProof/>
          <w:color w:val="auto"/>
        </w:rPr>
        <w:t>Journal of Visualized Experiments.</w:t>
      </w:r>
      <w:r w:rsidRPr="005B034C">
        <w:rPr>
          <w:noProof/>
          <w:color w:val="auto"/>
        </w:rPr>
        <w:t xml:space="preserve"> e3923 (2012</w:t>
      </w:r>
      <w:r w:rsidR="005B034C" w:rsidRPr="005B034C">
        <w:rPr>
          <w:noProof/>
          <w:color w:val="auto"/>
        </w:rPr>
        <w:t>)</w:t>
      </w:r>
      <w:r w:rsidR="006E7E6E">
        <w:rPr>
          <w:noProof/>
          <w:color w:val="auto"/>
        </w:rPr>
        <w:t>.</w:t>
      </w:r>
    </w:p>
    <w:p w14:paraId="37F315DA" w14:textId="7BA25452" w:rsidR="00153681" w:rsidRPr="005B034C" w:rsidRDefault="00153681" w:rsidP="006820EA">
      <w:pPr>
        <w:rPr>
          <w:noProof/>
          <w:color w:val="auto"/>
        </w:rPr>
      </w:pPr>
      <w:r w:rsidRPr="005B034C">
        <w:rPr>
          <w:noProof/>
          <w:color w:val="auto"/>
        </w:rPr>
        <w:lastRenderedPageBreak/>
        <w:t>24.</w:t>
      </w:r>
      <w:r w:rsidRPr="005B034C">
        <w:rPr>
          <w:noProof/>
          <w:color w:val="auto"/>
        </w:rPr>
        <w:tab/>
        <w:t>Helling, R. B., Goodman, H. M.</w:t>
      </w:r>
      <w:r w:rsidR="006E7E6E">
        <w:rPr>
          <w:noProof/>
          <w:color w:val="auto"/>
        </w:rPr>
        <w:t xml:space="preserve">, </w:t>
      </w:r>
      <w:r w:rsidRPr="005B034C">
        <w:rPr>
          <w:noProof/>
          <w:color w:val="auto"/>
        </w:rPr>
        <w:t xml:space="preserve">Boyer, H. W. </w:t>
      </w:r>
      <w:r w:rsidR="006E7E6E" w:rsidRPr="006E7E6E">
        <w:rPr>
          <w:noProof/>
          <w:color w:val="auto"/>
        </w:rPr>
        <w:t>Analysis of Endonuclease R·EcoRI Fragments of DNA from Lambdoid Bacteriophages and Other Viruses by Agarose-Gel Electrophoresis</w:t>
      </w:r>
      <w:r w:rsidR="006E7E6E">
        <w:rPr>
          <w:noProof/>
          <w:color w:val="auto"/>
        </w:rPr>
        <w:t xml:space="preserve">. </w:t>
      </w:r>
      <w:r w:rsidR="006E7E6E" w:rsidRPr="006E7E6E">
        <w:rPr>
          <w:i/>
          <w:iCs/>
          <w:noProof/>
          <w:color w:val="auto"/>
        </w:rPr>
        <w:t>Journal of Virology</w:t>
      </w:r>
      <w:r w:rsidR="006E7E6E">
        <w:rPr>
          <w:noProof/>
          <w:color w:val="auto"/>
        </w:rPr>
        <w:t xml:space="preserve">. </w:t>
      </w:r>
      <w:r w:rsidRPr="005B034C">
        <w:rPr>
          <w:noProof/>
          <w:color w:val="auto"/>
        </w:rPr>
        <w:t>1235–1244 (1974</w:t>
      </w:r>
      <w:r w:rsidR="005B034C" w:rsidRPr="005B034C">
        <w:rPr>
          <w:noProof/>
          <w:color w:val="auto"/>
        </w:rPr>
        <w:t>)</w:t>
      </w:r>
      <w:r w:rsidRPr="005B034C">
        <w:rPr>
          <w:noProof/>
          <w:color w:val="auto"/>
        </w:rPr>
        <w:t>.</w:t>
      </w:r>
    </w:p>
    <w:p w14:paraId="68DE3046" w14:textId="7A81DFDC" w:rsidR="00D643BE" w:rsidRPr="005B034C" w:rsidRDefault="00A9662C" w:rsidP="006820EA">
      <w:pPr>
        <w:rPr>
          <w:rFonts w:asciiTheme="minorHAnsi" w:hAnsiTheme="minorHAnsi" w:cstheme="minorHAnsi"/>
          <w:color w:val="auto"/>
        </w:rPr>
      </w:pPr>
      <w:r w:rsidRPr="005B034C">
        <w:rPr>
          <w:rFonts w:asciiTheme="minorHAnsi" w:hAnsiTheme="minorHAnsi" w:cstheme="minorHAnsi"/>
          <w:color w:val="auto"/>
        </w:rPr>
        <w:fldChar w:fldCharType="end"/>
      </w:r>
      <w:bookmarkEnd w:id="12"/>
    </w:p>
    <w:sectPr w:rsidR="00D643BE" w:rsidRPr="005B034C"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9B6AD" w14:textId="77777777" w:rsidR="00993CCA" w:rsidRDefault="00993CCA" w:rsidP="00621C4E">
      <w:r>
        <w:separator/>
      </w:r>
    </w:p>
  </w:endnote>
  <w:endnote w:type="continuationSeparator" w:id="0">
    <w:p w14:paraId="542C7CC2" w14:textId="77777777" w:rsidR="00993CCA" w:rsidRDefault="00993CCA" w:rsidP="00621C4E">
      <w:r>
        <w:continuationSeparator/>
      </w:r>
    </w:p>
  </w:endnote>
  <w:endnote w:type="continuationNotice" w:id="1">
    <w:p w14:paraId="26141EBF" w14:textId="77777777" w:rsidR="00993CCA" w:rsidRDefault="00993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CD2F9E0" w:rsidR="00023B1E" w:rsidRDefault="00023B1E">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10</w:t>
        </w:r>
        <w:r>
          <w:rPr>
            <w:noProof/>
          </w:rPr>
          <w:tab/>
        </w:r>
        <w:r>
          <w:rPr>
            <w:noProof/>
          </w:rPr>
          <w:tab/>
        </w:r>
      </w:p>
    </w:sdtContent>
  </w:sdt>
  <w:p w14:paraId="39947363" w14:textId="71AB2B06" w:rsidR="00023B1E" w:rsidRPr="00494F77" w:rsidRDefault="00023B1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23B1E" w:rsidRDefault="00023B1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364DE" w14:textId="77777777" w:rsidR="00993CCA" w:rsidRDefault="00993CCA" w:rsidP="00621C4E">
      <w:r>
        <w:separator/>
      </w:r>
    </w:p>
  </w:footnote>
  <w:footnote w:type="continuationSeparator" w:id="0">
    <w:p w14:paraId="033D6604" w14:textId="77777777" w:rsidR="00993CCA" w:rsidRDefault="00993CCA" w:rsidP="00621C4E">
      <w:r>
        <w:continuationSeparator/>
      </w:r>
    </w:p>
  </w:footnote>
  <w:footnote w:type="continuationNotice" w:id="1">
    <w:p w14:paraId="60B67ACF" w14:textId="77777777" w:rsidR="00993CCA" w:rsidRDefault="00993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23B1E" w:rsidRPr="006F06E4" w:rsidRDefault="00023B1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659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A143A"/>
    <w:multiLevelType w:val="multilevel"/>
    <w:tmpl w:val="C31A7034"/>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lvlText w:val="%1.%2."/>
      <w:lvlJc w:val="left"/>
      <w:pPr>
        <w:ind w:left="0" w:firstLine="0"/>
      </w:pPr>
      <w:rPr>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36918D8"/>
    <w:multiLevelType w:val="hybridMultilevel"/>
    <w:tmpl w:val="91D6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E012E"/>
    <w:multiLevelType w:val="multilevel"/>
    <w:tmpl w:val="D896A8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166B9D"/>
    <w:multiLevelType w:val="hybridMultilevel"/>
    <w:tmpl w:val="E9EA4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9"/>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7"/>
  </w:num>
  <w:num w:numId="22">
    <w:abstractNumId w:val="24"/>
  </w:num>
  <w:num w:numId="23">
    <w:abstractNumId w:val="15"/>
  </w:num>
  <w:num w:numId="24">
    <w:abstractNumId w:val="30"/>
  </w:num>
  <w:num w:numId="25">
    <w:abstractNumId w:val="7"/>
  </w:num>
  <w:num w:numId="26">
    <w:abstractNumId w:val="1"/>
  </w:num>
  <w:num w:numId="27">
    <w:abstractNumId w:val="6"/>
  </w:num>
  <w:num w:numId="28">
    <w:abstractNumId w:val="31"/>
  </w:num>
  <w:num w:numId="29">
    <w:abstractNumId w:val="25"/>
  </w:num>
  <w:num w:numId="30">
    <w:abstractNumId w:val="10"/>
  </w:num>
  <w:num w:numId="31">
    <w:abstractNumId w:val="28"/>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cientific Repor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pspxdac52zv5eve5a5wa9k9t0vrd2pzvdw&quot;&gt;My EndNote Library-Converted&lt;record-ids&gt;&lt;item&gt;531&lt;/item&gt;&lt;/record-ids&gt;&lt;/item&gt;&lt;/Libraries&gt;"/>
  </w:docVars>
  <w:rsids>
    <w:rsidRoot w:val="00EE705F"/>
    <w:rsid w:val="000003AB"/>
    <w:rsid w:val="00001169"/>
    <w:rsid w:val="00001806"/>
    <w:rsid w:val="00002EB0"/>
    <w:rsid w:val="00003379"/>
    <w:rsid w:val="00003B7D"/>
    <w:rsid w:val="000054C5"/>
    <w:rsid w:val="00005815"/>
    <w:rsid w:val="00005D37"/>
    <w:rsid w:val="00006410"/>
    <w:rsid w:val="000064EA"/>
    <w:rsid w:val="00006E68"/>
    <w:rsid w:val="000070CC"/>
    <w:rsid w:val="00007247"/>
    <w:rsid w:val="00007DBC"/>
    <w:rsid w:val="00007EA1"/>
    <w:rsid w:val="000100F0"/>
    <w:rsid w:val="000129B2"/>
    <w:rsid w:val="00012FF9"/>
    <w:rsid w:val="0001389C"/>
    <w:rsid w:val="00013C3E"/>
    <w:rsid w:val="00014314"/>
    <w:rsid w:val="00017A70"/>
    <w:rsid w:val="0002037B"/>
    <w:rsid w:val="000212AE"/>
    <w:rsid w:val="00021434"/>
    <w:rsid w:val="000216DD"/>
    <w:rsid w:val="00021774"/>
    <w:rsid w:val="00021DF3"/>
    <w:rsid w:val="00022E75"/>
    <w:rsid w:val="00023869"/>
    <w:rsid w:val="00023B1E"/>
    <w:rsid w:val="00023CF4"/>
    <w:rsid w:val="00023D53"/>
    <w:rsid w:val="00023F8C"/>
    <w:rsid w:val="00024598"/>
    <w:rsid w:val="000248F6"/>
    <w:rsid w:val="00024C4F"/>
    <w:rsid w:val="00024D2A"/>
    <w:rsid w:val="00026B83"/>
    <w:rsid w:val="000279B0"/>
    <w:rsid w:val="00030767"/>
    <w:rsid w:val="00031A98"/>
    <w:rsid w:val="00032769"/>
    <w:rsid w:val="0003311E"/>
    <w:rsid w:val="0003379E"/>
    <w:rsid w:val="00033F6F"/>
    <w:rsid w:val="00034788"/>
    <w:rsid w:val="00034AD1"/>
    <w:rsid w:val="00034EB8"/>
    <w:rsid w:val="00036A39"/>
    <w:rsid w:val="00037490"/>
    <w:rsid w:val="00037B58"/>
    <w:rsid w:val="0004031E"/>
    <w:rsid w:val="000410B3"/>
    <w:rsid w:val="000412E8"/>
    <w:rsid w:val="00045FCD"/>
    <w:rsid w:val="000469CA"/>
    <w:rsid w:val="00047567"/>
    <w:rsid w:val="0005080E"/>
    <w:rsid w:val="0005119D"/>
    <w:rsid w:val="00051B73"/>
    <w:rsid w:val="000520B9"/>
    <w:rsid w:val="00053525"/>
    <w:rsid w:val="00053D71"/>
    <w:rsid w:val="00053DA5"/>
    <w:rsid w:val="00054575"/>
    <w:rsid w:val="00054642"/>
    <w:rsid w:val="0005551B"/>
    <w:rsid w:val="00056BD3"/>
    <w:rsid w:val="000575A4"/>
    <w:rsid w:val="000575CF"/>
    <w:rsid w:val="00060ABE"/>
    <w:rsid w:val="00061A50"/>
    <w:rsid w:val="00061D62"/>
    <w:rsid w:val="00062FDF"/>
    <w:rsid w:val="0006361B"/>
    <w:rsid w:val="00064104"/>
    <w:rsid w:val="00064F32"/>
    <w:rsid w:val="00065223"/>
    <w:rsid w:val="000652E3"/>
    <w:rsid w:val="00066025"/>
    <w:rsid w:val="000663A3"/>
    <w:rsid w:val="000674A9"/>
    <w:rsid w:val="00067779"/>
    <w:rsid w:val="00067A8F"/>
    <w:rsid w:val="00067EA7"/>
    <w:rsid w:val="000701D1"/>
    <w:rsid w:val="0007134F"/>
    <w:rsid w:val="00071500"/>
    <w:rsid w:val="00071A93"/>
    <w:rsid w:val="00072D15"/>
    <w:rsid w:val="0007365A"/>
    <w:rsid w:val="000743AF"/>
    <w:rsid w:val="00074860"/>
    <w:rsid w:val="00075019"/>
    <w:rsid w:val="00077E82"/>
    <w:rsid w:val="0008021D"/>
    <w:rsid w:val="00080A20"/>
    <w:rsid w:val="00081475"/>
    <w:rsid w:val="0008161D"/>
    <w:rsid w:val="000817B3"/>
    <w:rsid w:val="000818AB"/>
    <w:rsid w:val="00081A0F"/>
    <w:rsid w:val="00082796"/>
    <w:rsid w:val="00082DF4"/>
    <w:rsid w:val="00083741"/>
    <w:rsid w:val="00083C86"/>
    <w:rsid w:val="0008631D"/>
    <w:rsid w:val="00086724"/>
    <w:rsid w:val="00086FF5"/>
    <w:rsid w:val="00087C0A"/>
    <w:rsid w:val="00091788"/>
    <w:rsid w:val="0009200C"/>
    <w:rsid w:val="0009209E"/>
    <w:rsid w:val="00092998"/>
    <w:rsid w:val="00092EB6"/>
    <w:rsid w:val="00093BC4"/>
    <w:rsid w:val="00093E87"/>
    <w:rsid w:val="000943E6"/>
    <w:rsid w:val="0009700C"/>
    <w:rsid w:val="00097929"/>
    <w:rsid w:val="000A0A9A"/>
    <w:rsid w:val="000A1E80"/>
    <w:rsid w:val="000A2515"/>
    <w:rsid w:val="000A29C2"/>
    <w:rsid w:val="000A3208"/>
    <w:rsid w:val="000A396F"/>
    <w:rsid w:val="000A3B70"/>
    <w:rsid w:val="000A5153"/>
    <w:rsid w:val="000B0E8A"/>
    <w:rsid w:val="000B10AE"/>
    <w:rsid w:val="000B246E"/>
    <w:rsid w:val="000B30BF"/>
    <w:rsid w:val="000B32F7"/>
    <w:rsid w:val="000B3311"/>
    <w:rsid w:val="000B3D1A"/>
    <w:rsid w:val="000B47A3"/>
    <w:rsid w:val="000B539E"/>
    <w:rsid w:val="000B566B"/>
    <w:rsid w:val="000B595C"/>
    <w:rsid w:val="000B5962"/>
    <w:rsid w:val="000B5F66"/>
    <w:rsid w:val="000B662E"/>
    <w:rsid w:val="000B70BD"/>
    <w:rsid w:val="000B7294"/>
    <w:rsid w:val="000B75D0"/>
    <w:rsid w:val="000B7D4D"/>
    <w:rsid w:val="000C05D7"/>
    <w:rsid w:val="000C1CF8"/>
    <w:rsid w:val="000C2710"/>
    <w:rsid w:val="000C37DC"/>
    <w:rsid w:val="000C49CF"/>
    <w:rsid w:val="000C4C4F"/>
    <w:rsid w:val="000C52E9"/>
    <w:rsid w:val="000C5B8B"/>
    <w:rsid w:val="000C5CDC"/>
    <w:rsid w:val="000C65DC"/>
    <w:rsid w:val="000C66F3"/>
    <w:rsid w:val="000C6900"/>
    <w:rsid w:val="000C7376"/>
    <w:rsid w:val="000C76BC"/>
    <w:rsid w:val="000C796B"/>
    <w:rsid w:val="000D28BF"/>
    <w:rsid w:val="000D31E8"/>
    <w:rsid w:val="000D4F7A"/>
    <w:rsid w:val="000D67B6"/>
    <w:rsid w:val="000D70A0"/>
    <w:rsid w:val="000D7428"/>
    <w:rsid w:val="000D76E4"/>
    <w:rsid w:val="000E0952"/>
    <w:rsid w:val="000E1435"/>
    <w:rsid w:val="000E1BBB"/>
    <w:rsid w:val="000E1D36"/>
    <w:rsid w:val="000E1F40"/>
    <w:rsid w:val="000E23E6"/>
    <w:rsid w:val="000E3816"/>
    <w:rsid w:val="000E3C4C"/>
    <w:rsid w:val="000E4A9C"/>
    <w:rsid w:val="000E4F77"/>
    <w:rsid w:val="000E5E6E"/>
    <w:rsid w:val="000E5F27"/>
    <w:rsid w:val="000E5F55"/>
    <w:rsid w:val="000E723E"/>
    <w:rsid w:val="000E76DF"/>
    <w:rsid w:val="000E790A"/>
    <w:rsid w:val="000E7B4C"/>
    <w:rsid w:val="000F0813"/>
    <w:rsid w:val="000F1378"/>
    <w:rsid w:val="000F265C"/>
    <w:rsid w:val="000F3AFA"/>
    <w:rsid w:val="000F46C2"/>
    <w:rsid w:val="000F5712"/>
    <w:rsid w:val="000F6611"/>
    <w:rsid w:val="000F7E22"/>
    <w:rsid w:val="0010021E"/>
    <w:rsid w:val="00100E9D"/>
    <w:rsid w:val="00101F79"/>
    <w:rsid w:val="0010237A"/>
    <w:rsid w:val="00102C18"/>
    <w:rsid w:val="001046FF"/>
    <w:rsid w:val="00104D86"/>
    <w:rsid w:val="00105BFD"/>
    <w:rsid w:val="00107554"/>
    <w:rsid w:val="001075E9"/>
    <w:rsid w:val="001077A3"/>
    <w:rsid w:val="001078B5"/>
    <w:rsid w:val="001104F3"/>
    <w:rsid w:val="00112EEB"/>
    <w:rsid w:val="0011429B"/>
    <w:rsid w:val="0011437F"/>
    <w:rsid w:val="001147FA"/>
    <w:rsid w:val="001173FF"/>
    <w:rsid w:val="00117F55"/>
    <w:rsid w:val="001204AC"/>
    <w:rsid w:val="00120FFC"/>
    <w:rsid w:val="00121B9B"/>
    <w:rsid w:val="0012312A"/>
    <w:rsid w:val="00124349"/>
    <w:rsid w:val="00124D5D"/>
    <w:rsid w:val="0012563A"/>
    <w:rsid w:val="001264DE"/>
    <w:rsid w:val="00126A32"/>
    <w:rsid w:val="00126CA3"/>
    <w:rsid w:val="00126ED8"/>
    <w:rsid w:val="00130262"/>
    <w:rsid w:val="001313A7"/>
    <w:rsid w:val="00132493"/>
    <w:rsid w:val="0013276F"/>
    <w:rsid w:val="00132A6B"/>
    <w:rsid w:val="001337E0"/>
    <w:rsid w:val="001342B5"/>
    <w:rsid w:val="0013621E"/>
    <w:rsid w:val="0013642E"/>
    <w:rsid w:val="001364C7"/>
    <w:rsid w:val="001365B7"/>
    <w:rsid w:val="00137967"/>
    <w:rsid w:val="00140347"/>
    <w:rsid w:val="001405F9"/>
    <w:rsid w:val="00141934"/>
    <w:rsid w:val="001425D5"/>
    <w:rsid w:val="00142EFE"/>
    <w:rsid w:val="001433DA"/>
    <w:rsid w:val="001449CF"/>
    <w:rsid w:val="0014558C"/>
    <w:rsid w:val="00151E6F"/>
    <w:rsid w:val="00152A23"/>
    <w:rsid w:val="001533C0"/>
    <w:rsid w:val="00153681"/>
    <w:rsid w:val="001540AA"/>
    <w:rsid w:val="0015411B"/>
    <w:rsid w:val="00155B3F"/>
    <w:rsid w:val="00155ECB"/>
    <w:rsid w:val="00156934"/>
    <w:rsid w:val="00156A2F"/>
    <w:rsid w:val="00156AE8"/>
    <w:rsid w:val="00156B11"/>
    <w:rsid w:val="00157068"/>
    <w:rsid w:val="001603EB"/>
    <w:rsid w:val="00161EF3"/>
    <w:rsid w:val="00162CB7"/>
    <w:rsid w:val="00163AB4"/>
    <w:rsid w:val="00163AF9"/>
    <w:rsid w:val="0016656A"/>
    <w:rsid w:val="001665C9"/>
    <w:rsid w:val="00166F32"/>
    <w:rsid w:val="00166FD4"/>
    <w:rsid w:val="00167D88"/>
    <w:rsid w:val="00171265"/>
    <w:rsid w:val="001718C0"/>
    <w:rsid w:val="00171E5B"/>
    <w:rsid w:val="00171F94"/>
    <w:rsid w:val="001733F2"/>
    <w:rsid w:val="00173915"/>
    <w:rsid w:val="00175D4E"/>
    <w:rsid w:val="0017668A"/>
    <w:rsid w:val="001766FE"/>
    <w:rsid w:val="0017709C"/>
    <w:rsid w:val="001771E7"/>
    <w:rsid w:val="00177284"/>
    <w:rsid w:val="00182B84"/>
    <w:rsid w:val="00183359"/>
    <w:rsid w:val="001837A4"/>
    <w:rsid w:val="001837AC"/>
    <w:rsid w:val="001838B0"/>
    <w:rsid w:val="001847C1"/>
    <w:rsid w:val="001856D8"/>
    <w:rsid w:val="00185CED"/>
    <w:rsid w:val="0018605F"/>
    <w:rsid w:val="00187724"/>
    <w:rsid w:val="001877E7"/>
    <w:rsid w:val="00187FBB"/>
    <w:rsid w:val="001901D3"/>
    <w:rsid w:val="0019112D"/>
    <w:rsid w:val="0019119A"/>
    <w:rsid w:val="001911FF"/>
    <w:rsid w:val="00192006"/>
    <w:rsid w:val="0019236F"/>
    <w:rsid w:val="00192AEB"/>
    <w:rsid w:val="00193180"/>
    <w:rsid w:val="001944E2"/>
    <w:rsid w:val="00194D85"/>
    <w:rsid w:val="0019530C"/>
    <w:rsid w:val="001957E0"/>
    <w:rsid w:val="00196792"/>
    <w:rsid w:val="001A013B"/>
    <w:rsid w:val="001A1E2A"/>
    <w:rsid w:val="001A1F00"/>
    <w:rsid w:val="001A2054"/>
    <w:rsid w:val="001A2A0C"/>
    <w:rsid w:val="001A7EE6"/>
    <w:rsid w:val="001B0C49"/>
    <w:rsid w:val="001B1519"/>
    <w:rsid w:val="001B1BE6"/>
    <w:rsid w:val="001B2407"/>
    <w:rsid w:val="001B289E"/>
    <w:rsid w:val="001B29FA"/>
    <w:rsid w:val="001B2B16"/>
    <w:rsid w:val="001B2E2D"/>
    <w:rsid w:val="001B2EC7"/>
    <w:rsid w:val="001B5CD2"/>
    <w:rsid w:val="001B60E5"/>
    <w:rsid w:val="001B665D"/>
    <w:rsid w:val="001B775D"/>
    <w:rsid w:val="001B7C62"/>
    <w:rsid w:val="001C0BEE"/>
    <w:rsid w:val="001C148F"/>
    <w:rsid w:val="001C1E49"/>
    <w:rsid w:val="001C27C1"/>
    <w:rsid w:val="001C2A98"/>
    <w:rsid w:val="001C3B26"/>
    <w:rsid w:val="001C3B86"/>
    <w:rsid w:val="001C3FB0"/>
    <w:rsid w:val="001C4D95"/>
    <w:rsid w:val="001C527C"/>
    <w:rsid w:val="001C6793"/>
    <w:rsid w:val="001C6B2B"/>
    <w:rsid w:val="001D072E"/>
    <w:rsid w:val="001D12D5"/>
    <w:rsid w:val="001D3D7D"/>
    <w:rsid w:val="001D3FFF"/>
    <w:rsid w:val="001D42B6"/>
    <w:rsid w:val="001D4997"/>
    <w:rsid w:val="001D625F"/>
    <w:rsid w:val="001D68A4"/>
    <w:rsid w:val="001D7576"/>
    <w:rsid w:val="001E08AC"/>
    <w:rsid w:val="001E0E3F"/>
    <w:rsid w:val="001E14A0"/>
    <w:rsid w:val="001E1820"/>
    <w:rsid w:val="001E1FCB"/>
    <w:rsid w:val="001E31C5"/>
    <w:rsid w:val="001E599A"/>
    <w:rsid w:val="001E59CF"/>
    <w:rsid w:val="001E7376"/>
    <w:rsid w:val="001E7CF6"/>
    <w:rsid w:val="001E7F79"/>
    <w:rsid w:val="001F225C"/>
    <w:rsid w:val="001F24CE"/>
    <w:rsid w:val="001F2AA8"/>
    <w:rsid w:val="001F3DD2"/>
    <w:rsid w:val="001F41ED"/>
    <w:rsid w:val="001F5E8C"/>
    <w:rsid w:val="001F64F9"/>
    <w:rsid w:val="001F731D"/>
    <w:rsid w:val="002002F1"/>
    <w:rsid w:val="002006BC"/>
    <w:rsid w:val="00200792"/>
    <w:rsid w:val="0020097A"/>
    <w:rsid w:val="00201B46"/>
    <w:rsid w:val="00201CFA"/>
    <w:rsid w:val="0020220D"/>
    <w:rsid w:val="00202448"/>
    <w:rsid w:val="00202D15"/>
    <w:rsid w:val="002032D2"/>
    <w:rsid w:val="002032E2"/>
    <w:rsid w:val="002047E9"/>
    <w:rsid w:val="00205367"/>
    <w:rsid w:val="00205B3F"/>
    <w:rsid w:val="00211E18"/>
    <w:rsid w:val="00212711"/>
    <w:rsid w:val="00212EAE"/>
    <w:rsid w:val="00214BEE"/>
    <w:rsid w:val="00214E94"/>
    <w:rsid w:val="0021606A"/>
    <w:rsid w:val="002179C0"/>
    <w:rsid w:val="002205B8"/>
    <w:rsid w:val="002208E5"/>
    <w:rsid w:val="0022142E"/>
    <w:rsid w:val="00221720"/>
    <w:rsid w:val="00222160"/>
    <w:rsid w:val="002237CC"/>
    <w:rsid w:val="00223BD9"/>
    <w:rsid w:val="002241DC"/>
    <w:rsid w:val="0022476E"/>
    <w:rsid w:val="00224B58"/>
    <w:rsid w:val="00225720"/>
    <w:rsid w:val="002259E5"/>
    <w:rsid w:val="00226140"/>
    <w:rsid w:val="00227069"/>
    <w:rsid w:val="002274F3"/>
    <w:rsid w:val="0023094C"/>
    <w:rsid w:val="0023106F"/>
    <w:rsid w:val="00233364"/>
    <w:rsid w:val="00233484"/>
    <w:rsid w:val="0023416A"/>
    <w:rsid w:val="00234303"/>
    <w:rsid w:val="00234BE3"/>
    <w:rsid w:val="00235A90"/>
    <w:rsid w:val="00235E1F"/>
    <w:rsid w:val="0023624F"/>
    <w:rsid w:val="00236DBB"/>
    <w:rsid w:val="00240339"/>
    <w:rsid w:val="00241041"/>
    <w:rsid w:val="00241112"/>
    <w:rsid w:val="002418DA"/>
    <w:rsid w:val="00241B31"/>
    <w:rsid w:val="00241E48"/>
    <w:rsid w:val="00241E71"/>
    <w:rsid w:val="0024214E"/>
    <w:rsid w:val="002424ED"/>
    <w:rsid w:val="00242623"/>
    <w:rsid w:val="002434F9"/>
    <w:rsid w:val="002436F8"/>
    <w:rsid w:val="00244079"/>
    <w:rsid w:val="00245E49"/>
    <w:rsid w:val="00246B11"/>
    <w:rsid w:val="00246B27"/>
    <w:rsid w:val="00250558"/>
    <w:rsid w:val="00250B2E"/>
    <w:rsid w:val="00251CBC"/>
    <w:rsid w:val="0025357C"/>
    <w:rsid w:val="00254D64"/>
    <w:rsid w:val="002550B1"/>
    <w:rsid w:val="002565D9"/>
    <w:rsid w:val="002605D1"/>
    <w:rsid w:val="00260652"/>
    <w:rsid w:val="002608D7"/>
    <w:rsid w:val="00260C85"/>
    <w:rsid w:val="00261F25"/>
    <w:rsid w:val="00263E83"/>
    <w:rsid w:val="002646B2"/>
    <w:rsid w:val="002648A9"/>
    <w:rsid w:val="00264DD3"/>
    <w:rsid w:val="0026536F"/>
    <w:rsid w:val="0026553C"/>
    <w:rsid w:val="002661A0"/>
    <w:rsid w:val="0026790A"/>
    <w:rsid w:val="00267BA8"/>
    <w:rsid w:val="00267DD5"/>
    <w:rsid w:val="00270B7C"/>
    <w:rsid w:val="00270D77"/>
    <w:rsid w:val="00271BEB"/>
    <w:rsid w:val="002724E1"/>
    <w:rsid w:val="00272BA2"/>
    <w:rsid w:val="00272DB8"/>
    <w:rsid w:val="00273D2D"/>
    <w:rsid w:val="00273E8C"/>
    <w:rsid w:val="00274A0A"/>
    <w:rsid w:val="00274CD7"/>
    <w:rsid w:val="00275570"/>
    <w:rsid w:val="00275AF3"/>
    <w:rsid w:val="00275E29"/>
    <w:rsid w:val="00276263"/>
    <w:rsid w:val="002762AD"/>
    <w:rsid w:val="00277593"/>
    <w:rsid w:val="0027771E"/>
    <w:rsid w:val="00277A44"/>
    <w:rsid w:val="00277E7D"/>
    <w:rsid w:val="0028061C"/>
    <w:rsid w:val="00280909"/>
    <w:rsid w:val="00280918"/>
    <w:rsid w:val="00281249"/>
    <w:rsid w:val="00282A33"/>
    <w:rsid w:val="00282AF6"/>
    <w:rsid w:val="0028596A"/>
    <w:rsid w:val="00285FE5"/>
    <w:rsid w:val="00286149"/>
    <w:rsid w:val="002866B2"/>
    <w:rsid w:val="00287085"/>
    <w:rsid w:val="002870E4"/>
    <w:rsid w:val="00287912"/>
    <w:rsid w:val="00287D99"/>
    <w:rsid w:val="00287DC0"/>
    <w:rsid w:val="00290649"/>
    <w:rsid w:val="002908A5"/>
    <w:rsid w:val="00290AEC"/>
    <w:rsid w:val="00290AF9"/>
    <w:rsid w:val="00291131"/>
    <w:rsid w:val="002920B0"/>
    <w:rsid w:val="002921C5"/>
    <w:rsid w:val="002923CA"/>
    <w:rsid w:val="0029315F"/>
    <w:rsid w:val="0029464F"/>
    <w:rsid w:val="00296260"/>
    <w:rsid w:val="002967CF"/>
    <w:rsid w:val="00296857"/>
    <w:rsid w:val="002968EC"/>
    <w:rsid w:val="002975D3"/>
    <w:rsid w:val="00297788"/>
    <w:rsid w:val="002A3160"/>
    <w:rsid w:val="002A3285"/>
    <w:rsid w:val="002A348C"/>
    <w:rsid w:val="002A34F9"/>
    <w:rsid w:val="002A4053"/>
    <w:rsid w:val="002A45CD"/>
    <w:rsid w:val="002A4615"/>
    <w:rsid w:val="002A4730"/>
    <w:rsid w:val="002A484B"/>
    <w:rsid w:val="002A5DFF"/>
    <w:rsid w:val="002A64A6"/>
    <w:rsid w:val="002A6A45"/>
    <w:rsid w:val="002A6E39"/>
    <w:rsid w:val="002B0232"/>
    <w:rsid w:val="002B04AB"/>
    <w:rsid w:val="002B0C26"/>
    <w:rsid w:val="002B0D86"/>
    <w:rsid w:val="002B1FE3"/>
    <w:rsid w:val="002B2652"/>
    <w:rsid w:val="002B3301"/>
    <w:rsid w:val="002B453B"/>
    <w:rsid w:val="002C1199"/>
    <w:rsid w:val="002C1445"/>
    <w:rsid w:val="002C18F4"/>
    <w:rsid w:val="002C47D4"/>
    <w:rsid w:val="002C7824"/>
    <w:rsid w:val="002D0F38"/>
    <w:rsid w:val="002D489E"/>
    <w:rsid w:val="002D531C"/>
    <w:rsid w:val="002D77E3"/>
    <w:rsid w:val="002E1665"/>
    <w:rsid w:val="002E2DFC"/>
    <w:rsid w:val="002E4927"/>
    <w:rsid w:val="002E6AA1"/>
    <w:rsid w:val="002E76F3"/>
    <w:rsid w:val="002E7F2B"/>
    <w:rsid w:val="002F0948"/>
    <w:rsid w:val="002F0A97"/>
    <w:rsid w:val="002F2859"/>
    <w:rsid w:val="002F4CB0"/>
    <w:rsid w:val="002F6E3C"/>
    <w:rsid w:val="002F7B52"/>
    <w:rsid w:val="0030048D"/>
    <w:rsid w:val="0030117D"/>
    <w:rsid w:val="00301F30"/>
    <w:rsid w:val="00303031"/>
    <w:rsid w:val="003038FD"/>
    <w:rsid w:val="00303C87"/>
    <w:rsid w:val="0030611C"/>
    <w:rsid w:val="00306D67"/>
    <w:rsid w:val="003108E5"/>
    <w:rsid w:val="00310997"/>
    <w:rsid w:val="003115A8"/>
    <w:rsid w:val="00311763"/>
    <w:rsid w:val="00311D83"/>
    <w:rsid w:val="003120CB"/>
    <w:rsid w:val="003134E7"/>
    <w:rsid w:val="00314963"/>
    <w:rsid w:val="00314D6A"/>
    <w:rsid w:val="003169B7"/>
    <w:rsid w:val="003176B9"/>
    <w:rsid w:val="003200C7"/>
    <w:rsid w:val="00320153"/>
    <w:rsid w:val="00320367"/>
    <w:rsid w:val="003213AD"/>
    <w:rsid w:val="00321651"/>
    <w:rsid w:val="003217D1"/>
    <w:rsid w:val="00322871"/>
    <w:rsid w:val="003237AC"/>
    <w:rsid w:val="003239B7"/>
    <w:rsid w:val="003248EE"/>
    <w:rsid w:val="00324C61"/>
    <w:rsid w:val="0032596D"/>
    <w:rsid w:val="00325DD4"/>
    <w:rsid w:val="00326FB3"/>
    <w:rsid w:val="003304C8"/>
    <w:rsid w:val="0033053D"/>
    <w:rsid w:val="003316D4"/>
    <w:rsid w:val="003321B2"/>
    <w:rsid w:val="00332860"/>
    <w:rsid w:val="00332BBE"/>
    <w:rsid w:val="00332D3B"/>
    <w:rsid w:val="00332E3A"/>
    <w:rsid w:val="00333822"/>
    <w:rsid w:val="003338FD"/>
    <w:rsid w:val="003350AF"/>
    <w:rsid w:val="00335DF0"/>
    <w:rsid w:val="00336715"/>
    <w:rsid w:val="00336C71"/>
    <w:rsid w:val="00336CDE"/>
    <w:rsid w:val="00336D95"/>
    <w:rsid w:val="003401EC"/>
    <w:rsid w:val="00340DFD"/>
    <w:rsid w:val="003412E0"/>
    <w:rsid w:val="00342893"/>
    <w:rsid w:val="003430DC"/>
    <w:rsid w:val="00344954"/>
    <w:rsid w:val="00345751"/>
    <w:rsid w:val="00345FC0"/>
    <w:rsid w:val="00346780"/>
    <w:rsid w:val="003468E8"/>
    <w:rsid w:val="00346A36"/>
    <w:rsid w:val="00347637"/>
    <w:rsid w:val="00347647"/>
    <w:rsid w:val="00347DE2"/>
    <w:rsid w:val="00350CD7"/>
    <w:rsid w:val="00350F1E"/>
    <w:rsid w:val="003538CB"/>
    <w:rsid w:val="00354358"/>
    <w:rsid w:val="003551B0"/>
    <w:rsid w:val="0035762C"/>
    <w:rsid w:val="003576DA"/>
    <w:rsid w:val="00357F5E"/>
    <w:rsid w:val="00360C17"/>
    <w:rsid w:val="003614BA"/>
    <w:rsid w:val="00361C11"/>
    <w:rsid w:val="003621C6"/>
    <w:rsid w:val="003622B8"/>
    <w:rsid w:val="003622EA"/>
    <w:rsid w:val="0036232E"/>
    <w:rsid w:val="00362395"/>
    <w:rsid w:val="0036406F"/>
    <w:rsid w:val="00364A2B"/>
    <w:rsid w:val="00364DB7"/>
    <w:rsid w:val="00365243"/>
    <w:rsid w:val="0036629C"/>
    <w:rsid w:val="00366B76"/>
    <w:rsid w:val="003679B0"/>
    <w:rsid w:val="0037113D"/>
    <w:rsid w:val="00371EC9"/>
    <w:rsid w:val="003723A8"/>
    <w:rsid w:val="00373051"/>
    <w:rsid w:val="003737C5"/>
    <w:rsid w:val="00373B8F"/>
    <w:rsid w:val="00374D8B"/>
    <w:rsid w:val="00375099"/>
    <w:rsid w:val="00375AD7"/>
    <w:rsid w:val="00375E9B"/>
    <w:rsid w:val="00376D95"/>
    <w:rsid w:val="00376E2A"/>
    <w:rsid w:val="00376FF3"/>
    <w:rsid w:val="00377FBB"/>
    <w:rsid w:val="00380E86"/>
    <w:rsid w:val="0038401A"/>
    <w:rsid w:val="003842B9"/>
    <w:rsid w:val="00384CBC"/>
    <w:rsid w:val="00385140"/>
    <w:rsid w:val="00385C0F"/>
    <w:rsid w:val="00387991"/>
    <w:rsid w:val="00387C03"/>
    <w:rsid w:val="003901D6"/>
    <w:rsid w:val="00390B6C"/>
    <w:rsid w:val="00391F06"/>
    <w:rsid w:val="003921D6"/>
    <w:rsid w:val="00393CC7"/>
    <w:rsid w:val="003941FF"/>
    <w:rsid w:val="0039548D"/>
    <w:rsid w:val="00395B9E"/>
    <w:rsid w:val="00396302"/>
    <w:rsid w:val="003971F7"/>
    <w:rsid w:val="00397328"/>
    <w:rsid w:val="003A0E7F"/>
    <w:rsid w:val="003A16FC"/>
    <w:rsid w:val="003A2C8A"/>
    <w:rsid w:val="003A45FA"/>
    <w:rsid w:val="003A4FCD"/>
    <w:rsid w:val="003A51FC"/>
    <w:rsid w:val="003A68EF"/>
    <w:rsid w:val="003A6D05"/>
    <w:rsid w:val="003A71C7"/>
    <w:rsid w:val="003A76CD"/>
    <w:rsid w:val="003A7907"/>
    <w:rsid w:val="003B04DF"/>
    <w:rsid w:val="003B08B4"/>
    <w:rsid w:val="003B0944"/>
    <w:rsid w:val="003B0A3A"/>
    <w:rsid w:val="003B1593"/>
    <w:rsid w:val="003B1B6E"/>
    <w:rsid w:val="003B23DE"/>
    <w:rsid w:val="003B2766"/>
    <w:rsid w:val="003B2A9B"/>
    <w:rsid w:val="003B4235"/>
    <w:rsid w:val="003B4381"/>
    <w:rsid w:val="003B48F6"/>
    <w:rsid w:val="003B751D"/>
    <w:rsid w:val="003C07C2"/>
    <w:rsid w:val="003C1043"/>
    <w:rsid w:val="003C1A30"/>
    <w:rsid w:val="003C23C9"/>
    <w:rsid w:val="003C310F"/>
    <w:rsid w:val="003C40E8"/>
    <w:rsid w:val="003C6779"/>
    <w:rsid w:val="003C6909"/>
    <w:rsid w:val="003C71BE"/>
    <w:rsid w:val="003C740A"/>
    <w:rsid w:val="003C758E"/>
    <w:rsid w:val="003C79F7"/>
    <w:rsid w:val="003D033C"/>
    <w:rsid w:val="003D12BA"/>
    <w:rsid w:val="003D1DB6"/>
    <w:rsid w:val="003D24F2"/>
    <w:rsid w:val="003D2998"/>
    <w:rsid w:val="003D2F0A"/>
    <w:rsid w:val="003D372E"/>
    <w:rsid w:val="003D3891"/>
    <w:rsid w:val="003D3FE9"/>
    <w:rsid w:val="003D4E29"/>
    <w:rsid w:val="003D5D84"/>
    <w:rsid w:val="003D7534"/>
    <w:rsid w:val="003E0F4F"/>
    <w:rsid w:val="003E1200"/>
    <w:rsid w:val="003E18AC"/>
    <w:rsid w:val="003E210B"/>
    <w:rsid w:val="003E2428"/>
    <w:rsid w:val="003E2A12"/>
    <w:rsid w:val="003E3253"/>
    <w:rsid w:val="003E3384"/>
    <w:rsid w:val="003E349D"/>
    <w:rsid w:val="003E3CA4"/>
    <w:rsid w:val="003E4009"/>
    <w:rsid w:val="003E495F"/>
    <w:rsid w:val="003E548E"/>
    <w:rsid w:val="003E5593"/>
    <w:rsid w:val="003E6F0A"/>
    <w:rsid w:val="003E7402"/>
    <w:rsid w:val="003F0724"/>
    <w:rsid w:val="003F2749"/>
    <w:rsid w:val="003F31A5"/>
    <w:rsid w:val="003F3F2B"/>
    <w:rsid w:val="003F46BD"/>
    <w:rsid w:val="003F47C8"/>
    <w:rsid w:val="003F4D0B"/>
    <w:rsid w:val="003F525C"/>
    <w:rsid w:val="003F6464"/>
    <w:rsid w:val="004005F5"/>
    <w:rsid w:val="00401116"/>
    <w:rsid w:val="00405028"/>
    <w:rsid w:val="004052CB"/>
    <w:rsid w:val="004062DF"/>
    <w:rsid w:val="00406D17"/>
    <w:rsid w:val="00406DD3"/>
    <w:rsid w:val="0040723A"/>
    <w:rsid w:val="00407788"/>
    <w:rsid w:val="00407EC8"/>
    <w:rsid w:val="00410453"/>
    <w:rsid w:val="00410638"/>
    <w:rsid w:val="0041110A"/>
    <w:rsid w:val="00411624"/>
    <w:rsid w:val="00411A93"/>
    <w:rsid w:val="004120BB"/>
    <w:rsid w:val="0041238B"/>
    <w:rsid w:val="00412A70"/>
    <w:rsid w:val="00412C16"/>
    <w:rsid w:val="004137A2"/>
    <w:rsid w:val="004148E1"/>
    <w:rsid w:val="00414CFA"/>
    <w:rsid w:val="00415EC0"/>
    <w:rsid w:val="00416628"/>
    <w:rsid w:val="00416DB3"/>
    <w:rsid w:val="00420BE9"/>
    <w:rsid w:val="0042168A"/>
    <w:rsid w:val="00421F81"/>
    <w:rsid w:val="00421FC6"/>
    <w:rsid w:val="00422E90"/>
    <w:rsid w:val="00423AD8"/>
    <w:rsid w:val="00423FDD"/>
    <w:rsid w:val="00424097"/>
    <w:rsid w:val="004244C0"/>
    <w:rsid w:val="00424C85"/>
    <w:rsid w:val="00425145"/>
    <w:rsid w:val="0042587E"/>
    <w:rsid w:val="004260BD"/>
    <w:rsid w:val="0043012F"/>
    <w:rsid w:val="00430F1F"/>
    <w:rsid w:val="00430F4D"/>
    <w:rsid w:val="004314B2"/>
    <w:rsid w:val="00431588"/>
    <w:rsid w:val="004321D1"/>
    <w:rsid w:val="004326EA"/>
    <w:rsid w:val="00432FAE"/>
    <w:rsid w:val="00433A32"/>
    <w:rsid w:val="00434BF8"/>
    <w:rsid w:val="00435A41"/>
    <w:rsid w:val="00436541"/>
    <w:rsid w:val="00436D31"/>
    <w:rsid w:val="00436DC5"/>
    <w:rsid w:val="00440350"/>
    <w:rsid w:val="00440BC0"/>
    <w:rsid w:val="004412CE"/>
    <w:rsid w:val="00442B28"/>
    <w:rsid w:val="00442D72"/>
    <w:rsid w:val="0044434C"/>
    <w:rsid w:val="0044456B"/>
    <w:rsid w:val="0044641B"/>
    <w:rsid w:val="004468BD"/>
    <w:rsid w:val="00446B32"/>
    <w:rsid w:val="004478D9"/>
    <w:rsid w:val="00447B99"/>
    <w:rsid w:val="00447BD1"/>
    <w:rsid w:val="00450274"/>
    <w:rsid w:val="004507F3"/>
    <w:rsid w:val="00450AF4"/>
    <w:rsid w:val="00450BDC"/>
    <w:rsid w:val="004548A2"/>
    <w:rsid w:val="0045594D"/>
    <w:rsid w:val="00456611"/>
    <w:rsid w:val="004566E8"/>
    <w:rsid w:val="00456A57"/>
    <w:rsid w:val="0046002C"/>
    <w:rsid w:val="004601E0"/>
    <w:rsid w:val="00460377"/>
    <w:rsid w:val="004604BC"/>
    <w:rsid w:val="004607DE"/>
    <w:rsid w:val="00461838"/>
    <w:rsid w:val="00461E07"/>
    <w:rsid w:val="00462D8F"/>
    <w:rsid w:val="0046313C"/>
    <w:rsid w:val="00463513"/>
    <w:rsid w:val="00464558"/>
    <w:rsid w:val="00464917"/>
    <w:rsid w:val="00466A69"/>
    <w:rsid w:val="00466BBD"/>
    <w:rsid w:val="00466D31"/>
    <w:rsid w:val="004671C7"/>
    <w:rsid w:val="0046736C"/>
    <w:rsid w:val="00467A46"/>
    <w:rsid w:val="00467CCA"/>
    <w:rsid w:val="004715F5"/>
    <w:rsid w:val="00471E95"/>
    <w:rsid w:val="004721A0"/>
    <w:rsid w:val="00472321"/>
    <w:rsid w:val="004723DD"/>
    <w:rsid w:val="00472D0B"/>
    <w:rsid w:val="00472F4D"/>
    <w:rsid w:val="004730BF"/>
    <w:rsid w:val="004748C2"/>
    <w:rsid w:val="00474DCB"/>
    <w:rsid w:val="0047535C"/>
    <w:rsid w:val="00476193"/>
    <w:rsid w:val="004762F6"/>
    <w:rsid w:val="00477BC9"/>
    <w:rsid w:val="004804FC"/>
    <w:rsid w:val="00480E31"/>
    <w:rsid w:val="0048138D"/>
    <w:rsid w:val="004815EA"/>
    <w:rsid w:val="00481DD9"/>
    <w:rsid w:val="00483209"/>
    <w:rsid w:val="00483300"/>
    <w:rsid w:val="00484240"/>
    <w:rsid w:val="004848FD"/>
    <w:rsid w:val="00485870"/>
    <w:rsid w:val="00485FE8"/>
    <w:rsid w:val="00487BD1"/>
    <w:rsid w:val="00490C16"/>
    <w:rsid w:val="00491A77"/>
    <w:rsid w:val="004921F6"/>
    <w:rsid w:val="00492473"/>
    <w:rsid w:val="00492EB5"/>
    <w:rsid w:val="00493DC6"/>
    <w:rsid w:val="00493ECD"/>
    <w:rsid w:val="00494F77"/>
    <w:rsid w:val="0049699F"/>
    <w:rsid w:val="004974F8"/>
    <w:rsid w:val="00497721"/>
    <w:rsid w:val="004A0229"/>
    <w:rsid w:val="004A0254"/>
    <w:rsid w:val="004A2C87"/>
    <w:rsid w:val="004A3163"/>
    <w:rsid w:val="004A35D2"/>
    <w:rsid w:val="004A3EE8"/>
    <w:rsid w:val="004A4523"/>
    <w:rsid w:val="004A477B"/>
    <w:rsid w:val="004A5716"/>
    <w:rsid w:val="004A5D22"/>
    <w:rsid w:val="004A5D8E"/>
    <w:rsid w:val="004A5FE3"/>
    <w:rsid w:val="004A6C73"/>
    <w:rsid w:val="004A70ED"/>
    <w:rsid w:val="004A71E4"/>
    <w:rsid w:val="004B097C"/>
    <w:rsid w:val="004B1851"/>
    <w:rsid w:val="004B223A"/>
    <w:rsid w:val="004B2F00"/>
    <w:rsid w:val="004B5076"/>
    <w:rsid w:val="004B5807"/>
    <w:rsid w:val="004B5923"/>
    <w:rsid w:val="004B667A"/>
    <w:rsid w:val="004B6E31"/>
    <w:rsid w:val="004B7EE1"/>
    <w:rsid w:val="004C11E4"/>
    <w:rsid w:val="004C1B84"/>
    <w:rsid w:val="004C1D66"/>
    <w:rsid w:val="004C2533"/>
    <w:rsid w:val="004C31D7"/>
    <w:rsid w:val="004C4753"/>
    <w:rsid w:val="004C47BA"/>
    <w:rsid w:val="004C4AD2"/>
    <w:rsid w:val="004C6981"/>
    <w:rsid w:val="004C7599"/>
    <w:rsid w:val="004D1539"/>
    <w:rsid w:val="004D1F21"/>
    <w:rsid w:val="004D268C"/>
    <w:rsid w:val="004D2B72"/>
    <w:rsid w:val="004D37E5"/>
    <w:rsid w:val="004D4480"/>
    <w:rsid w:val="004D509E"/>
    <w:rsid w:val="004D575E"/>
    <w:rsid w:val="004D59D8"/>
    <w:rsid w:val="004D5DA1"/>
    <w:rsid w:val="004D6CCD"/>
    <w:rsid w:val="004D7910"/>
    <w:rsid w:val="004D7CE5"/>
    <w:rsid w:val="004E150F"/>
    <w:rsid w:val="004E1DCA"/>
    <w:rsid w:val="004E23A1"/>
    <w:rsid w:val="004E28FC"/>
    <w:rsid w:val="004E2A39"/>
    <w:rsid w:val="004E3489"/>
    <w:rsid w:val="004E358A"/>
    <w:rsid w:val="004E39CA"/>
    <w:rsid w:val="004E3AFA"/>
    <w:rsid w:val="004E4DC2"/>
    <w:rsid w:val="004E5B5C"/>
    <w:rsid w:val="004E606E"/>
    <w:rsid w:val="004E6588"/>
    <w:rsid w:val="004E7434"/>
    <w:rsid w:val="004E79EC"/>
    <w:rsid w:val="004F02B0"/>
    <w:rsid w:val="004F0AAF"/>
    <w:rsid w:val="004F0CE4"/>
    <w:rsid w:val="004F2742"/>
    <w:rsid w:val="004F5A0A"/>
    <w:rsid w:val="004F6008"/>
    <w:rsid w:val="004F6168"/>
    <w:rsid w:val="004F78A5"/>
    <w:rsid w:val="004F7996"/>
    <w:rsid w:val="004F7F02"/>
    <w:rsid w:val="004F7FD9"/>
    <w:rsid w:val="0050243B"/>
    <w:rsid w:val="00502746"/>
    <w:rsid w:val="00502A0A"/>
    <w:rsid w:val="00502E13"/>
    <w:rsid w:val="005038B1"/>
    <w:rsid w:val="005045DD"/>
    <w:rsid w:val="005051EF"/>
    <w:rsid w:val="00506540"/>
    <w:rsid w:val="00506A5F"/>
    <w:rsid w:val="00507C50"/>
    <w:rsid w:val="00507F06"/>
    <w:rsid w:val="0051005E"/>
    <w:rsid w:val="00511837"/>
    <w:rsid w:val="00512D4D"/>
    <w:rsid w:val="00513405"/>
    <w:rsid w:val="00513647"/>
    <w:rsid w:val="0051376A"/>
    <w:rsid w:val="00514C9E"/>
    <w:rsid w:val="00514D40"/>
    <w:rsid w:val="0051753E"/>
    <w:rsid w:val="00517C3A"/>
    <w:rsid w:val="0052036D"/>
    <w:rsid w:val="00520A1B"/>
    <w:rsid w:val="00522316"/>
    <w:rsid w:val="0052398F"/>
    <w:rsid w:val="005268B4"/>
    <w:rsid w:val="005278CE"/>
    <w:rsid w:val="00527BF4"/>
    <w:rsid w:val="00527D09"/>
    <w:rsid w:val="005309BB"/>
    <w:rsid w:val="00530B59"/>
    <w:rsid w:val="005324BE"/>
    <w:rsid w:val="00532686"/>
    <w:rsid w:val="00532B81"/>
    <w:rsid w:val="00533000"/>
    <w:rsid w:val="005331BC"/>
    <w:rsid w:val="00534F6C"/>
    <w:rsid w:val="00535994"/>
    <w:rsid w:val="005359C1"/>
    <w:rsid w:val="0053646D"/>
    <w:rsid w:val="00536D67"/>
    <w:rsid w:val="00536EA3"/>
    <w:rsid w:val="00537CB0"/>
    <w:rsid w:val="00540AAD"/>
    <w:rsid w:val="00541F6A"/>
    <w:rsid w:val="00543EC1"/>
    <w:rsid w:val="00543F29"/>
    <w:rsid w:val="0054521C"/>
    <w:rsid w:val="005463ED"/>
    <w:rsid w:val="00546411"/>
    <w:rsid w:val="00546458"/>
    <w:rsid w:val="005473B8"/>
    <w:rsid w:val="0055087C"/>
    <w:rsid w:val="005512BE"/>
    <w:rsid w:val="0055299C"/>
    <w:rsid w:val="00552DC9"/>
    <w:rsid w:val="00552F67"/>
    <w:rsid w:val="0055330D"/>
    <w:rsid w:val="00553413"/>
    <w:rsid w:val="00553805"/>
    <w:rsid w:val="005545AC"/>
    <w:rsid w:val="0055462B"/>
    <w:rsid w:val="0055527A"/>
    <w:rsid w:val="00555983"/>
    <w:rsid w:val="00556BE9"/>
    <w:rsid w:val="00560602"/>
    <w:rsid w:val="00560DB5"/>
    <w:rsid w:val="00560E31"/>
    <w:rsid w:val="0056138D"/>
    <w:rsid w:val="00561BDA"/>
    <w:rsid w:val="0056527E"/>
    <w:rsid w:val="005656D9"/>
    <w:rsid w:val="0056697B"/>
    <w:rsid w:val="00566E5C"/>
    <w:rsid w:val="00567DBF"/>
    <w:rsid w:val="005715AF"/>
    <w:rsid w:val="00571EC2"/>
    <w:rsid w:val="00573127"/>
    <w:rsid w:val="00574A4C"/>
    <w:rsid w:val="005766B5"/>
    <w:rsid w:val="0057746D"/>
    <w:rsid w:val="005778DB"/>
    <w:rsid w:val="00581B23"/>
    <w:rsid w:val="00581F52"/>
    <w:rsid w:val="0058219C"/>
    <w:rsid w:val="00583783"/>
    <w:rsid w:val="005847F7"/>
    <w:rsid w:val="00585285"/>
    <w:rsid w:val="00586625"/>
    <w:rsid w:val="00586D09"/>
    <w:rsid w:val="0058707F"/>
    <w:rsid w:val="00587B44"/>
    <w:rsid w:val="00587F63"/>
    <w:rsid w:val="00591DBD"/>
    <w:rsid w:val="00592CCF"/>
    <w:rsid w:val="005931FE"/>
    <w:rsid w:val="005934B3"/>
    <w:rsid w:val="00594D9E"/>
    <w:rsid w:val="00595896"/>
    <w:rsid w:val="00595D10"/>
    <w:rsid w:val="00596667"/>
    <w:rsid w:val="0059695D"/>
    <w:rsid w:val="00596C42"/>
    <w:rsid w:val="0059727E"/>
    <w:rsid w:val="005A0028"/>
    <w:rsid w:val="005A0086"/>
    <w:rsid w:val="005A0ACC"/>
    <w:rsid w:val="005A0BD2"/>
    <w:rsid w:val="005A181D"/>
    <w:rsid w:val="005A1BD4"/>
    <w:rsid w:val="005A1C80"/>
    <w:rsid w:val="005A2349"/>
    <w:rsid w:val="005A2F7A"/>
    <w:rsid w:val="005A3A25"/>
    <w:rsid w:val="005A4A55"/>
    <w:rsid w:val="005A5390"/>
    <w:rsid w:val="005A56D1"/>
    <w:rsid w:val="005A6C13"/>
    <w:rsid w:val="005A7151"/>
    <w:rsid w:val="005A7C0A"/>
    <w:rsid w:val="005B0072"/>
    <w:rsid w:val="005B034C"/>
    <w:rsid w:val="005B0732"/>
    <w:rsid w:val="005B1CBA"/>
    <w:rsid w:val="005B38A0"/>
    <w:rsid w:val="005B46B2"/>
    <w:rsid w:val="005B4802"/>
    <w:rsid w:val="005B491C"/>
    <w:rsid w:val="005B4DBF"/>
    <w:rsid w:val="005B58FA"/>
    <w:rsid w:val="005B5DE2"/>
    <w:rsid w:val="005B674C"/>
    <w:rsid w:val="005B7B0F"/>
    <w:rsid w:val="005C1A06"/>
    <w:rsid w:val="005C24F2"/>
    <w:rsid w:val="005C2EE6"/>
    <w:rsid w:val="005C425F"/>
    <w:rsid w:val="005C462A"/>
    <w:rsid w:val="005C6C48"/>
    <w:rsid w:val="005C6CB4"/>
    <w:rsid w:val="005C74DE"/>
    <w:rsid w:val="005C7561"/>
    <w:rsid w:val="005C7659"/>
    <w:rsid w:val="005C79EF"/>
    <w:rsid w:val="005D1C2E"/>
    <w:rsid w:val="005D1C92"/>
    <w:rsid w:val="005D1E57"/>
    <w:rsid w:val="005D2A03"/>
    <w:rsid w:val="005D2F57"/>
    <w:rsid w:val="005D34F6"/>
    <w:rsid w:val="005D3935"/>
    <w:rsid w:val="005D3C39"/>
    <w:rsid w:val="005D3C49"/>
    <w:rsid w:val="005D463B"/>
    <w:rsid w:val="005D4F1A"/>
    <w:rsid w:val="005D5C06"/>
    <w:rsid w:val="005E0227"/>
    <w:rsid w:val="005E11CD"/>
    <w:rsid w:val="005E1884"/>
    <w:rsid w:val="005E192E"/>
    <w:rsid w:val="005E1D7D"/>
    <w:rsid w:val="005E2732"/>
    <w:rsid w:val="005E51E4"/>
    <w:rsid w:val="005E61AC"/>
    <w:rsid w:val="005E6712"/>
    <w:rsid w:val="005E6E8E"/>
    <w:rsid w:val="005E7138"/>
    <w:rsid w:val="005F1935"/>
    <w:rsid w:val="005F373A"/>
    <w:rsid w:val="005F3AE5"/>
    <w:rsid w:val="005F4F87"/>
    <w:rsid w:val="005F4FFB"/>
    <w:rsid w:val="005F6B0E"/>
    <w:rsid w:val="005F760E"/>
    <w:rsid w:val="005F7B1D"/>
    <w:rsid w:val="00600929"/>
    <w:rsid w:val="00600AB3"/>
    <w:rsid w:val="0060198E"/>
    <w:rsid w:val="0060222A"/>
    <w:rsid w:val="00603897"/>
    <w:rsid w:val="00603D58"/>
    <w:rsid w:val="00603EED"/>
    <w:rsid w:val="00604F8C"/>
    <w:rsid w:val="00606B6E"/>
    <w:rsid w:val="00606D30"/>
    <w:rsid w:val="006070C4"/>
    <w:rsid w:val="00610C21"/>
    <w:rsid w:val="00610D04"/>
    <w:rsid w:val="00611907"/>
    <w:rsid w:val="00613116"/>
    <w:rsid w:val="00613CDC"/>
    <w:rsid w:val="0061521E"/>
    <w:rsid w:val="0061662C"/>
    <w:rsid w:val="006176B0"/>
    <w:rsid w:val="006202A6"/>
    <w:rsid w:val="0062054B"/>
    <w:rsid w:val="00620795"/>
    <w:rsid w:val="00620926"/>
    <w:rsid w:val="006219D7"/>
    <w:rsid w:val="00621C4E"/>
    <w:rsid w:val="00622B86"/>
    <w:rsid w:val="00623752"/>
    <w:rsid w:val="006244F6"/>
    <w:rsid w:val="00624EAE"/>
    <w:rsid w:val="00625129"/>
    <w:rsid w:val="00626C0C"/>
    <w:rsid w:val="0062704A"/>
    <w:rsid w:val="00627823"/>
    <w:rsid w:val="00630334"/>
    <w:rsid w:val="006305D7"/>
    <w:rsid w:val="00631BBD"/>
    <w:rsid w:val="00632F63"/>
    <w:rsid w:val="00633A01"/>
    <w:rsid w:val="00633B97"/>
    <w:rsid w:val="006341F7"/>
    <w:rsid w:val="00634397"/>
    <w:rsid w:val="00634585"/>
    <w:rsid w:val="006349CC"/>
    <w:rsid w:val="00635014"/>
    <w:rsid w:val="006350A5"/>
    <w:rsid w:val="006369CE"/>
    <w:rsid w:val="00637DE2"/>
    <w:rsid w:val="006411CA"/>
    <w:rsid w:val="00641BA4"/>
    <w:rsid w:val="00641FB0"/>
    <w:rsid w:val="00643D7A"/>
    <w:rsid w:val="0064441B"/>
    <w:rsid w:val="00644CA4"/>
    <w:rsid w:val="006450C9"/>
    <w:rsid w:val="00645C21"/>
    <w:rsid w:val="0064605E"/>
    <w:rsid w:val="00651055"/>
    <w:rsid w:val="00651061"/>
    <w:rsid w:val="006511B7"/>
    <w:rsid w:val="006543C5"/>
    <w:rsid w:val="006561B3"/>
    <w:rsid w:val="00657330"/>
    <w:rsid w:val="00657BC4"/>
    <w:rsid w:val="00660756"/>
    <w:rsid w:val="0066176D"/>
    <w:rsid w:val="006619C8"/>
    <w:rsid w:val="00661EA3"/>
    <w:rsid w:val="0066202C"/>
    <w:rsid w:val="00662038"/>
    <w:rsid w:val="006642C3"/>
    <w:rsid w:val="00664345"/>
    <w:rsid w:val="006654E5"/>
    <w:rsid w:val="0066580C"/>
    <w:rsid w:val="00666346"/>
    <w:rsid w:val="0066676F"/>
    <w:rsid w:val="00666CBB"/>
    <w:rsid w:val="0066749B"/>
    <w:rsid w:val="0067055B"/>
    <w:rsid w:val="00670D4D"/>
    <w:rsid w:val="00671620"/>
    <w:rsid w:val="00671710"/>
    <w:rsid w:val="006725DE"/>
    <w:rsid w:val="006731CB"/>
    <w:rsid w:val="00673414"/>
    <w:rsid w:val="0067458F"/>
    <w:rsid w:val="00676079"/>
    <w:rsid w:val="00676DBF"/>
    <w:rsid w:val="00676ECD"/>
    <w:rsid w:val="00677D0A"/>
    <w:rsid w:val="0068185F"/>
    <w:rsid w:val="006820EA"/>
    <w:rsid w:val="0068289B"/>
    <w:rsid w:val="00682C2F"/>
    <w:rsid w:val="00687976"/>
    <w:rsid w:val="00687A6D"/>
    <w:rsid w:val="00690892"/>
    <w:rsid w:val="006909A8"/>
    <w:rsid w:val="00690E71"/>
    <w:rsid w:val="00691E5C"/>
    <w:rsid w:val="00691FF4"/>
    <w:rsid w:val="00692469"/>
    <w:rsid w:val="0069357E"/>
    <w:rsid w:val="006965C8"/>
    <w:rsid w:val="006A01CF"/>
    <w:rsid w:val="006A03C0"/>
    <w:rsid w:val="006A0D35"/>
    <w:rsid w:val="006A3381"/>
    <w:rsid w:val="006A3741"/>
    <w:rsid w:val="006A384E"/>
    <w:rsid w:val="006A454B"/>
    <w:rsid w:val="006A60DD"/>
    <w:rsid w:val="006A62A1"/>
    <w:rsid w:val="006A7068"/>
    <w:rsid w:val="006A7514"/>
    <w:rsid w:val="006A7906"/>
    <w:rsid w:val="006A7EF8"/>
    <w:rsid w:val="006B0679"/>
    <w:rsid w:val="006B074C"/>
    <w:rsid w:val="006B1F37"/>
    <w:rsid w:val="006B2959"/>
    <w:rsid w:val="006B3639"/>
    <w:rsid w:val="006B3B4C"/>
    <w:rsid w:val="006B3B84"/>
    <w:rsid w:val="006B4E7C"/>
    <w:rsid w:val="006B5B89"/>
    <w:rsid w:val="006B5D8C"/>
    <w:rsid w:val="006B72D4"/>
    <w:rsid w:val="006B7A52"/>
    <w:rsid w:val="006C0749"/>
    <w:rsid w:val="006C11CC"/>
    <w:rsid w:val="006C1898"/>
    <w:rsid w:val="006C1AEB"/>
    <w:rsid w:val="006C3925"/>
    <w:rsid w:val="006C4388"/>
    <w:rsid w:val="006C5460"/>
    <w:rsid w:val="006C57FE"/>
    <w:rsid w:val="006C668E"/>
    <w:rsid w:val="006D1627"/>
    <w:rsid w:val="006E13D5"/>
    <w:rsid w:val="006E3484"/>
    <w:rsid w:val="006E3512"/>
    <w:rsid w:val="006E4B63"/>
    <w:rsid w:val="006E4CF5"/>
    <w:rsid w:val="006E6042"/>
    <w:rsid w:val="006E6082"/>
    <w:rsid w:val="006E6526"/>
    <w:rsid w:val="006E6528"/>
    <w:rsid w:val="006E6530"/>
    <w:rsid w:val="006E7E6E"/>
    <w:rsid w:val="006F06E4"/>
    <w:rsid w:val="006F26EC"/>
    <w:rsid w:val="006F2C0A"/>
    <w:rsid w:val="006F31BA"/>
    <w:rsid w:val="006F3389"/>
    <w:rsid w:val="006F5F9F"/>
    <w:rsid w:val="006F5FFA"/>
    <w:rsid w:val="006F649A"/>
    <w:rsid w:val="006F7B41"/>
    <w:rsid w:val="00701F5C"/>
    <w:rsid w:val="00702B5D"/>
    <w:rsid w:val="00703212"/>
    <w:rsid w:val="00703ED2"/>
    <w:rsid w:val="007045D3"/>
    <w:rsid w:val="007059F6"/>
    <w:rsid w:val="00706FCA"/>
    <w:rsid w:val="00707B8D"/>
    <w:rsid w:val="0071069B"/>
    <w:rsid w:val="00712BDD"/>
    <w:rsid w:val="00713636"/>
    <w:rsid w:val="00713A07"/>
    <w:rsid w:val="00713AE2"/>
    <w:rsid w:val="00713F9F"/>
    <w:rsid w:val="00714B8C"/>
    <w:rsid w:val="00715442"/>
    <w:rsid w:val="00715482"/>
    <w:rsid w:val="007161EB"/>
    <w:rsid w:val="0071662E"/>
    <w:rsid w:val="0071675D"/>
    <w:rsid w:val="00717736"/>
    <w:rsid w:val="007177BF"/>
    <w:rsid w:val="00717FDC"/>
    <w:rsid w:val="00720111"/>
    <w:rsid w:val="00720C4A"/>
    <w:rsid w:val="00721486"/>
    <w:rsid w:val="00721FBB"/>
    <w:rsid w:val="00722FC0"/>
    <w:rsid w:val="00723F1E"/>
    <w:rsid w:val="00724ED3"/>
    <w:rsid w:val="00725A47"/>
    <w:rsid w:val="00725F40"/>
    <w:rsid w:val="00726FD0"/>
    <w:rsid w:val="0072720D"/>
    <w:rsid w:val="007304D2"/>
    <w:rsid w:val="007314DC"/>
    <w:rsid w:val="00731705"/>
    <w:rsid w:val="0073192E"/>
    <w:rsid w:val="007321A3"/>
    <w:rsid w:val="00732B47"/>
    <w:rsid w:val="007336A0"/>
    <w:rsid w:val="007343E4"/>
    <w:rsid w:val="00734D71"/>
    <w:rsid w:val="00735573"/>
    <w:rsid w:val="00735CF5"/>
    <w:rsid w:val="00735DC7"/>
    <w:rsid w:val="007368BC"/>
    <w:rsid w:val="00736E4D"/>
    <w:rsid w:val="00737097"/>
    <w:rsid w:val="00737490"/>
    <w:rsid w:val="0074063A"/>
    <w:rsid w:val="007411B4"/>
    <w:rsid w:val="00741516"/>
    <w:rsid w:val="007416C6"/>
    <w:rsid w:val="007417BB"/>
    <w:rsid w:val="00742AA4"/>
    <w:rsid w:val="007431C2"/>
    <w:rsid w:val="00743BA1"/>
    <w:rsid w:val="00744C03"/>
    <w:rsid w:val="00745F1E"/>
    <w:rsid w:val="00750B35"/>
    <w:rsid w:val="007515FE"/>
    <w:rsid w:val="0075399D"/>
    <w:rsid w:val="00753A3D"/>
    <w:rsid w:val="0075518F"/>
    <w:rsid w:val="00757F9A"/>
    <w:rsid w:val="007601D0"/>
    <w:rsid w:val="007603BB"/>
    <w:rsid w:val="0076109D"/>
    <w:rsid w:val="00761469"/>
    <w:rsid w:val="00761B06"/>
    <w:rsid w:val="007625AF"/>
    <w:rsid w:val="00762A42"/>
    <w:rsid w:val="007653D7"/>
    <w:rsid w:val="007661F5"/>
    <w:rsid w:val="00766686"/>
    <w:rsid w:val="00766D28"/>
    <w:rsid w:val="00767107"/>
    <w:rsid w:val="007671D6"/>
    <w:rsid w:val="00770782"/>
    <w:rsid w:val="00771D13"/>
    <w:rsid w:val="007720B8"/>
    <w:rsid w:val="00773617"/>
    <w:rsid w:val="00773A10"/>
    <w:rsid w:val="00773BFD"/>
    <w:rsid w:val="007740FB"/>
    <w:rsid w:val="007742B4"/>
    <w:rsid w:val="007743B3"/>
    <w:rsid w:val="00774490"/>
    <w:rsid w:val="00775464"/>
    <w:rsid w:val="0077581E"/>
    <w:rsid w:val="007819FF"/>
    <w:rsid w:val="00782BF1"/>
    <w:rsid w:val="0078360C"/>
    <w:rsid w:val="00784A4C"/>
    <w:rsid w:val="00784BC6"/>
    <w:rsid w:val="0078523D"/>
    <w:rsid w:val="00785D14"/>
    <w:rsid w:val="00787583"/>
    <w:rsid w:val="00787EA0"/>
    <w:rsid w:val="007906E0"/>
    <w:rsid w:val="007919F9"/>
    <w:rsid w:val="007931DF"/>
    <w:rsid w:val="007933C8"/>
    <w:rsid w:val="00793451"/>
    <w:rsid w:val="00793B24"/>
    <w:rsid w:val="00794FAB"/>
    <w:rsid w:val="00795722"/>
    <w:rsid w:val="00795D60"/>
    <w:rsid w:val="00796200"/>
    <w:rsid w:val="00796740"/>
    <w:rsid w:val="0079717E"/>
    <w:rsid w:val="007A0172"/>
    <w:rsid w:val="007A1804"/>
    <w:rsid w:val="007A215A"/>
    <w:rsid w:val="007A226B"/>
    <w:rsid w:val="007A239B"/>
    <w:rsid w:val="007A23EF"/>
    <w:rsid w:val="007A2511"/>
    <w:rsid w:val="007A260E"/>
    <w:rsid w:val="007A2E35"/>
    <w:rsid w:val="007A41BC"/>
    <w:rsid w:val="007A42E6"/>
    <w:rsid w:val="007A4D4C"/>
    <w:rsid w:val="007A4DD6"/>
    <w:rsid w:val="007A5CB9"/>
    <w:rsid w:val="007A6684"/>
    <w:rsid w:val="007A7290"/>
    <w:rsid w:val="007A7E1F"/>
    <w:rsid w:val="007B03E1"/>
    <w:rsid w:val="007B1627"/>
    <w:rsid w:val="007B20AE"/>
    <w:rsid w:val="007B25A7"/>
    <w:rsid w:val="007B4176"/>
    <w:rsid w:val="007B42B2"/>
    <w:rsid w:val="007B42F4"/>
    <w:rsid w:val="007B4D36"/>
    <w:rsid w:val="007B5A5E"/>
    <w:rsid w:val="007B69E4"/>
    <w:rsid w:val="007B6A7B"/>
    <w:rsid w:val="007B6B07"/>
    <w:rsid w:val="007B6D43"/>
    <w:rsid w:val="007B6EDC"/>
    <w:rsid w:val="007B7373"/>
    <w:rsid w:val="007B749A"/>
    <w:rsid w:val="007B7C6E"/>
    <w:rsid w:val="007C0D94"/>
    <w:rsid w:val="007C13CB"/>
    <w:rsid w:val="007C1E74"/>
    <w:rsid w:val="007C3056"/>
    <w:rsid w:val="007C4274"/>
    <w:rsid w:val="007C434D"/>
    <w:rsid w:val="007C4C15"/>
    <w:rsid w:val="007C6A0B"/>
    <w:rsid w:val="007C732B"/>
    <w:rsid w:val="007C7E21"/>
    <w:rsid w:val="007D00DB"/>
    <w:rsid w:val="007D1A27"/>
    <w:rsid w:val="007D20B4"/>
    <w:rsid w:val="007D2AD8"/>
    <w:rsid w:val="007D38A4"/>
    <w:rsid w:val="007D44D7"/>
    <w:rsid w:val="007D4ACF"/>
    <w:rsid w:val="007D621A"/>
    <w:rsid w:val="007D67B9"/>
    <w:rsid w:val="007D73A2"/>
    <w:rsid w:val="007E058A"/>
    <w:rsid w:val="007E06DB"/>
    <w:rsid w:val="007E097E"/>
    <w:rsid w:val="007E1816"/>
    <w:rsid w:val="007E1A97"/>
    <w:rsid w:val="007E2148"/>
    <w:rsid w:val="007E2887"/>
    <w:rsid w:val="007E349B"/>
    <w:rsid w:val="007E397B"/>
    <w:rsid w:val="007E3BBA"/>
    <w:rsid w:val="007E3EFE"/>
    <w:rsid w:val="007E4578"/>
    <w:rsid w:val="007E49C8"/>
    <w:rsid w:val="007E5278"/>
    <w:rsid w:val="007E59AD"/>
    <w:rsid w:val="007E71AC"/>
    <w:rsid w:val="007E749C"/>
    <w:rsid w:val="007F0E0D"/>
    <w:rsid w:val="007F1B5C"/>
    <w:rsid w:val="007F1F1B"/>
    <w:rsid w:val="007F1F1F"/>
    <w:rsid w:val="007F321D"/>
    <w:rsid w:val="007F3D82"/>
    <w:rsid w:val="007F3E58"/>
    <w:rsid w:val="007F4510"/>
    <w:rsid w:val="007F5740"/>
    <w:rsid w:val="007F5B5B"/>
    <w:rsid w:val="007F63F8"/>
    <w:rsid w:val="007F693A"/>
    <w:rsid w:val="007F7748"/>
    <w:rsid w:val="007F788B"/>
    <w:rsid w:val="007F7A54"/>
    <w:rsid w:val="007F7E23"/>
    <w:rsid w:val="008005AE"/>
    <w:rsid w:val="008008C1"/>
    <w:rsid w:val="00800FE6"/>
    <w:rsid w:val="00801257"/>
    <w:rsid w:val="008018BE"/>
    <w:rsid w:val="00801AEB"/>
    <w:rsid w:val="00801C9B"/>
    <w:rsid w:val="00801E1A"/>
    <w:rsid w:val="00803B0A"/>
    <w:rsid w:val="00804353"/>
    <w:rsid w:val="00804DED"/>
    <w:rsid w:val="00805B96"/>
    <w:rsid w:val="008067EA"/>
    <w:rsid w:val="00806910"/>
    <w:rsid w:val="0080793D"/>
    <w:rsid w:val="00807D21"/>
    <w:rsid w:val="0081008E"/>
    <w:rsid w:val="008101EF"/>
    <w:rsid w:val="00810265"/>
    <w:rsid w:val="008105BE"/>
    <w:rsid w:val="00810606"/>
    <w:rsid w:val="008112F2"/>
    <w:rsid w:val="008115A5"/>
    <w:rsid w:val="00811D46"/>
    <w:rsid w:val="00813CBF"/>
    <w:rsid w:val="0081404B"/>
    <w:rsid w:val="0081415D"/>
    <w:rsid w:val="008159CB"/>
    <w:rsid w:val="00815D71"/>
    <w:rsid w:val="00816450"/>
    <w:rsid w:val="00817303"/>
    <w:rsid w:val="00820229"/>
    <w:rsid w:val="00820739"/>
    <w:rsid w:val="00821E5F"/>
    <w:rsid w:val="00822448"/>
    <w:rsid w:val="00822658"/>
    <w:rsid w:val="00822ABE"/>
    <w:rsid w:val="008237F5"/>
    <w:rsid w:val="0082380B"/>
    <w:rsid w:val="008244D1"/>
    <w:rsid w:val="008246F9"/>
    <w:rsid w:val="00826BA5"/>
    <w:rsid w:val="00826E29"/>
    <w:rsid w:val="00827E1D"/>
    <w:rsid w:val="00827F51"/>
    <w:rsid w:val="0083104E"/>
    <w:rsid w:val="008325B6"/>
    <w:rsid w:val="00832F16"/>
    <w:rsid w:val="008338E1"/>
    <w:rsid w:val="008343BE"/>
    <w:rsid w:val="00834E8E"/>
    <w:rsid w:val="00835428"/>
    <w:rsid w:val="00836535"/>
    <w:rsid w:val="00837705"/>
    <w:rsid w:val="00837895"/>
    <w:rsid w:val="00840574"/>
    <w:rsid w:val="00840FB4"/>
    <w:rsid w:val="008410B2"/>
    <w:rsid w:val="00841780"/>
    <w:rsid w:val="0084202C"/>
    <w:rsid w:val="00844C0E"/>
    <w:rsid w:val="00844C7A"/>
    <w:rsid w:val="008500A0"/>
    <w:rsid w:val="00851DE6"/>
    <w:rsid w:val="00851EB8"/>
    <w:rsid w:val="008524E5"/>
    <w:rsid w:val="00853141"/>
    <w:rsid w:val="0085351C"/>
    <w:rsid w:val="008542FC"/>
    <w:rsid w:val="0085435A"/>
    <w:rsid w:val="008549CA"/>
    <w:rsid w:val="008556C3"/>
    <w:rsid w:val="0085687C"/>
    <w:rsid w:val="00856F23"/>
    <w:rsid w:val="008611C1"/>
    <w:rsid w:val="008612F6"/>
    <w:rsid w:val="0086154F"/>
    <w:rsid w:val="008629F2"/>
    <w:rsid w:val="008639B6"/>
    <w:rsid w:val="008648ED"/>
    <w:rsid w:val="00864947"/>
    <w:rsid w:val="0086746A"/>
    <w:rsid w:val="00867A0F"/>
    <w:rsid w:val="00870144"/>
    <w:rsid w:val="008706C5"/>
    <w:rsid w:val="00870B72"/>
    <w:rsid w:val="0087146E"/>
    <w:rsid w:val="00871812"/>
    <w:rsid w:val="00873707"/>
    <w:rsid w:val="00874077"/>
    <w:rsid w:val="00874B20"/>
    <w:rsid w:val="00874CF6"/>
    <w:rsid w:val="008757C6"/>
    <w:rsid w:val="00875B24"/>
    <w:rsid w:val="008763E1"/>
    <w:rsid w:val="00876C89"/>
    <w:rsid w:val="008770C0"/>
    <w:rsid w:val="0087775C"/>
    <w:rsid w:val="00877864"/>
    <w:rsid w:val="00877EC8"/>
    <w:rsid w:val="00880010"/>
    <w:rsid w:val="008803EA"/>
    <w:rsid w:val="0088052C"/>
    <w:rsid w:val="00880F36"/>
    <w:rsid w:val="00881707"/>
    <w:rsid w:val="00882EBF"/>
    <w:rsid w:val="00883541"/>
    <w:rsid w:val="00883AC4"/>
    <w:rsid w:val="00885530"/>
    <w:rsid w:val="00885E0E"/>
    <w:rsid w:val="008863C2"/>
    <w:rsid w:val="008879B9"/>
    <w:rsid w:val="008908FA"/>
    <w:rsid w:val="008910D1"/>
    <w:rsid w:val="00892333"/>
    <w:rsid w:val="0089241B"/>
    <w:rsid w:val="00892536"/>
    <w:rsid w:val="00892605"/>
    <w:rsid w:val="0089296C"/>
    <w:rsid w:val="0089434A"/>
    <w:rsid w:val="00894363"/>
    <w:rsid w:val="0089666B"/>
    <w:rsid w:val="008966B4"/>
    <w:rsid w:val="00896ABD"/>
    <w:rsid w:val="00897559"/>
    <w:rsid w:val="00897AB6"/>
    <w:rsid w:val="00897DA8"/>
    <w:rsid w:val="008A1B6C"/>
    <w:rsid w:val="008A234E"/>
    <w:rsid w:val="008A2EDC"/>
    <w:rsid w:val="008A3380"/>
    <w:rsid w:val="008A3D8E"/>
    <w:rsid w:val="008A6D3D"/>
    <w:rsid w:val="008A710D"/>
    <w:rsid w:val="008A7A9C"/>
    <w:rsid w:val="008B295C"/>
    <w:rsid w:val="008B366B"/>
    <w:rsid w:val="008B4322"/>
    <w:rsid w:val="008B4D8D"/>
    <w:rsid w:val="008B5218"/>
    <w:rsid w:val="008B7102"/>
    <w:rsid w:val="008B797A"/>
    <w:rsid w:val="008C062C"/>
    <w:rsid w:val="008C0735"/>
    <w:rsid w:val="008C09AB"/>
    <w:rsid w:val="008C1216"/>
    <w:rsid w:val="008C1B9D"/>
    <w:rsid w:val="008C286F"/>
    <w:rsid w:val="008C3B7D"/>
    <w:rsid w:val="008C4032"/>
    <w:rsid w:val="008C5951"/>
    <w:rsid w:val="008C613D"/>
    <w:rsid w:val="008C7210"/>
    <w:rsid w:val="008C7790"/>
    <w:rsid w:val="008D03D1"/>
    <w:rsid w:val="008D0F90"/>
    <w:rsid w:val="008D136C"/>
    <w:rsid w:val="008D19DF"/>
    <w:rsid w:val="008D3715"/>
    <w:rsid w:val="008D3FD3"/>
    <w:rsid w:val="008D4092"/>
    <w:rsid w:val="008D4194"/>
    <w:rsid w:val="008D5465"/>
    <w:rsid w:val="008D5B6C"/>
    <w:rsid w:val="008D5E61"/>
    <w:rsid w:val="008D5EA1"/>
    <w:rsid w:val="008D6E3D"/>
    <w:rsid w:val="008D7902"/>
    <w:rsid w:val="008D7BB4"/>
    <w:rsid w:val="008D7EB7"/>
    <w:rsid w:val="008D7EC5"/>
    <w:rsid w:val="008E052A"/>
    <w:rsid w:val="008E1965"/>
    <w:rsid w:val="008E3684"/>
    <w:rsid w:val="008E4E2F"/>
    <w:rsid w:val="008E5691"/>
    <w:rsid w:val="008E57F5"/>
    <w:rsid w:val="008E6FFB"/>
    <w:rsid w:val="008E7606"/>
    <w:rsid w:val="008E778E"/>
    <w:rsid w:val="008F0129"/>
    <w:rsid w:val="008F07C4"/>
    <w:rsid w:val="008F1CA1"/>
    <w:rsid w:val="008F1DAA"/>
    <w:rsid w:val="008F20E8"/>
    <w:rsid w:val="008F228C"/>
    <w:rsid w:val="008F36A0"/>
    <w:rsid w:val="008F3EBD"/>
    <w:rsid w:val="008F4047"/>
    <w:rsid w:val="008F49BC"/>
    <w:rsid w:val="008F4A1D"/>
    <w:rsid w:val="008F4B1C"/>
    <w:rsid w:val="008F5742"/>
    <w:rsid w:val="008F60B2"/>
    <w:rsid w:val="008F6165"/>
    <w:rsid w:val="008F6FDF"/>
    <w:rsid w:val="008F73C1"/>
    <w:rsid w:val="008F7C41"/>
    <w:rsid w:val="00900DC1"/>
    <w:rsid w:val="00901187"/>
    <w:rsid w:val="0090198E"/>
    <w:rsid w:val="00901F17"/>
    <w:rsid w:val="00902E93"/>
    <w:rsid w:val="009031E2"/>
    <w:rsid w:val="009032BC"/>
    <w:rsid w:val="00904BA2"/>
    <w:rsid w:val="00905491"/>
    <w:rsid w:val="00905C2E"/>
    <w:rsid w:val="00907171"/>
    <w:rsid w:val="00907309"/>
    <w:rsid w:val="00910181"/>
    <w:rsid w:val="00910DAB"/>
    <w:rsid w:val="0091276C"/>
    <w:rsid w:val="00912DE6"/>
    <w:rsid w:val="00913C1C"/>
    <w:rsid w:val="009145BE"/>
    <w:rsid w:val="009147B7"/>
    <w:rsid w:val="00914D20"/>
    <w:rsid w:val="00915CA3"/>
    <w:rsid w:val="00916098"/>
    <w:rsid w:val="009165AC"/>
    <w:rsid w:val="00916FFC"/>
    <w:rsid w:val="00917C90"/>
    <w:rsid w:val="00917CAD"/>
    <w:rsid w:val="0092053F"/>
    <w:rsid w:val="009206BD"/>
    <w:rsid w:val="00922E7E"/>
    <w:rsid w:val="0092340A"/>
    <w:rsid w:val="009238F3"/>
    <w:rsid w:val="0092492E"/>
    <w:rsid w:val="009263DA"/>
    <w:rsid w:val="00927266"/>
    <w:rsid w:val="009278FB"/>
    <w:rsid w:val="009313D9"/>
    <w:rsid w:val="00931471"/>
    <w:rsid w:val="00932BEB"/>
    <w:rsid w:val="0093329A"/>
    <w:rsid w:val="00934D65"/>
    <w:rsid w:val="00935B7F"/>
    <w:rsid w:val="00936256"/>
    <w:rsid w:val="009403C2"/>
    <w:rsid w:val="0094070E"/>
    <w:rsid w:val="00941293"/>
    <w:rsid w:val="009427E2"/>
    <w:rsid w:val="00942B9C"/>
    <w:rsid w:val="00942DBA"/>
    <w:rsid w:val="009439E5"/>
    <w:rsid w:val="00946372"/>
    <w:rsid w:val="009463C2"/>
    <w:rsid w:val="009472C7"/>
    <w:rsid w:val="00947BED"/>
    <w:rsid w:val="0095032B"/>
    <w:rsid w:val="0095045A"/>
    <w:rsid w:val="00950721"/>
    <w:rsid w:val="00950B13"/>
    <w:rsid w:val="00950C17"/>
    <w:rsid w:val="0095113F"/>
    <w:rsid w:val="009514A8"/>
    <w:rsid w:val="009517AF"/>
    <w:rsid w:val="00951FAF"/>
    <w:rsid w:val="00952CDF"/>
    <w:rsid w:val="00953EB7"/>
    <w:rsid w:val="0095439B"/>
    <w:rsid w:val="00954740"/>
    <w:rsid w:val="009557BC"/>
    <w:rsid w:val="00955AE5"/>
    <w:rsid w:val="00955C8C"/>
    <w:rsid w:val="00956BBC"/>
    <w:rsid w:val="0095703C"/>
    <w:rsid w:val="00960118"/>
    <w:rsid w:val="009611A0"/>
    <w:rsid w:val="00961AB1"/>
    <w:rsid w:val="00962D10"/>
    <w:rsid w:val="00962E71"/>
    <w:rsid w:val="00963754"/>
    <w:rsid w:val="00963ABC"/>
    <w:rsid w:val="0096498A"/>
    <w:rsid w:val="00965D21"/>
    <w:rsid w:val="00966538"/>
    <w:rsid w:val="00967764"/>
    <w:rsid w:val="009677DA"/>
    <w:rsid w:val="009678FC"/>
    <w:rsid w:val="00970B0E"/>
    <w:rsid w:val="00970BB9"/>
    <w:rsid w:val="009725E7"/>
    <w:rsid w:val="009726EE"/>
    <w:rsid w:val="00972CDE"/>
    <w:rsid w:val="009733DD"/>
    <w:rsid w:val="00975573"/>
    <w:rsid w:val="00976D03"/>
    <w:rsid w:val="00977B30"/>
    <w:rsid w:val="00981E7A"/>
    <w:rsid w:val="00981FA7"/>
    <w:rsid w:val="0098295D"/>
    <w:rsid w:val="00982F41"/>
    <w:rsid w:val="009837F1"/>
    <w:rsid w:val="00985090"/>
    <w:rsid w:val="009860A6"/>
    <w:rsid w:val="0098686E"/>
    <w:rsid w:val="009869DA"/>
    <w:rsid w:val="00986C10"/>
    <w:rsid w:val="00986DD7"/>
    <w:rsid w:val="00987710"/>
    <w:rsid w:val="00987A17"/>
    <w:rsid w:val="009904AB"/>
    <w:rsid w:val="00991587"/>
    <w:rsid w:val="00991A2F"/>
    <w:rsid w:val="00992A28"/>
    <w:rsid w:val="0099376F"/>
    <w:rsid w:val="00993CCA"/>
    <w:rsid w:val="00995688"/>
    <w:rsid w:val="009958A6"/>
    <w:rsid w:val="00995E49"/>
    <w:rsid w:val="00996456"/>
    <w:rsid w:val="009967D2"/>
    <w:rsid w:val="00996888"/>
    <w:rsid w:val="00997708"/>
    <w:rsid w:val="009979DB"/>
    <w:rsid w:val="009A04F5"/>
    <w:rsid w:val="009A15EF"/>
    <w:rsid w:val="009A31A6"/>
    <w:rsid w:val="009A33C3"/>
    <w:rsid w:val="009A38A5"/>
    <w:rsid w:val="009A3B69"/>
    <w:rsid w:val="009A4ACA"/>
    <w:rsid w:val="009A5531"/>
    <w:rsid w:val="009A5802"/>
    <w:rsid w:val="009A5B73"/>
    <w:rsid w:val="009A5E8C"/>
    <w:rsid w:val="009A7DDC"/>
    <w:rsid w:val="009A7E4D"/>
    <w:rsid w:val="009B0CF1"/>
    <w:rsid w:val="009B118B"/>
    <w:rsid w:val="009B1737"/>
    <w:rsid w:val="009B3D4B"/>
    <w:rsid w:val="009B4E63"/>
    <w:rsid w:val="009B5B99"/>
    <w:rsid w:val="009B64B2"/>
    <w:rsid w:val="009B69F3"/>
    <w:rsid w:val="009B6EFC"/>
    <w:rsid w:val="009B766B"/>
    <w:rsid w:val="009C00D2"/>
    <w:rsid w:val="009C03A3"/>
    <w:rsid w:val="009C0B18"/>
    <w:rsid w:val="009C1FD0"/>
    <w:rsid w:val="009C2DF8"/>
    <w:rsid w:val="009C31BF"/>
    <w:rsid w:val="009C328C"/>
    <w:rsid w:val="009C46B9"/>
    <w:rsid w:val="009C5CB0"/>
    <w:rsid w:val="009C65F6"/>
    <w:rsid w:val="009C68B7"/>
    <w:rsid w:val="009C6B79"/>
    <w:rsid w:val="009C6E8B"/>
    <w:rsid w:val="009D0834"/>
    <w:rsid w:val="009D095A"/>
    <w:rsid w:val="009D09C5"/>
    <w:rsid w:val="009D0A1E"/>
    <w:rsid w:val="009D0F8F"/>
    <w:rsid w:val="009D1415"/>
    <w:rsid w:val="009D2445"/>
    <w:rsid w:val="009D2AE3"/>
    <w:rsid w:val="009D307D"/>
    <w:rsid w:val="009D3230"/>
    <w:rsid w:val="009D3312"/>
    <w:rsid w:val="009D36D4"/>
    <w:rsid w:val="009D47B9"/>
    <w:rsid w:val="009D51ED"/>
    <w:rsid w:val="009D52BC"/>
    <w:rsid w:val="009D6240"/>
    <w:rsid w:val="009D7D0A"/>
    <w:rsid w:val="009E09D9"/>
    <w:rsid w:val="009E22C0"/>
    <w:rsid w:val="009E34F0"/>
    <w:rsid w:val="009F01B1"/>
    <w:rsid w:val="009F0DBB"/>
    <w:rsid w:val="009F0F92"/>
    <w:rsid w:val="009F12DA"/>
    <w:rsid w:val="009F1E99"/>
    <w:rsid w:val="009F214C"/>
    <w:rsid w:val="009F2AEA"/>
    <w:rsid w:val="009F3494"/>
    <w:rsid w:val="009F3887"/>
    <w:rsid w:val="009F3FD8"/>
    <w:rsid w:val="009F40DC"/>
    <w:rsid w:val="009F4E82"/>
    <w:rsid w:val="009F51A7"/>
    <w:rsid w:val="009F5B6A"/>
    <w:rsid w:val="009F6001"/>
    <w:rsid w:val="009F659A"/>
    <w:rsid w:val="009F695B"/>
    <w:rsid w:val="009F69DF"/>
    <w:rsid w:val="009F732B"/>
    <w:rsid w:val="009F7E8C"/>
    <w:rsid w:val="00A001F9"/>
    <w:rsid w:val="00A01FE0"/>
    <w:rsid w:val="00A02DC6"/>
    <w:rsid w:val="00A0391D"/>
    <w:rsid w:val="00A045BE"/>
    <w:rsid w:val="00A047AF"/>
    <w:rsid w:val="00A04938"/>
    <w:rsid w:val="00A04B0C"/>
    <w:rsid w:val="00A05FA4"/>
    <w:rsid w:val="00A06945"/>
    <w:rsid w:val="00A06A5E"/>
    <w:rsid w:val="00A10656"/>
    <w:rsid w:val="00A113C0"/>
    <w:rsid w:val="00A118C0"/>
    <w:rsid w:val="00A12F1B"/>
    <w:rsid w:val="00A12FA6"/>
    <w:rsid w:val="00A1339B"/>
    <w:rsid w:val="00A142AB"/>
    <w:rsid w:val="00A14ABA"/>
    <w:rsid w:val="00A15741"/>
    <w:rsid w:val="00A16653"/>
    <w:rsid w:val="00A1734A"/>
    <w:rsid w:val="00A17957"/>
    <w:rsid w:val="00A17A49"/>
    <w:rsid w:val="00A202DA"/>
    <w:rsid w:val="00A2191C"/>
    <w:rsid w:val="00A22640"/>
    <w:rsid w:val="00A231ED"/>
    <w:rsid w:val="00A23AEE"/>
    <w:rsid w:val="00A243ED"/>
    <w:rsid w:val="00A2459D"/>
    <w:rsid w:val="00A249EF"/>
    <w:rsid w:val="00A24CB6"/>
    <w:rsid w:val="00A251FE"/>
    <w:rsid w:val="00A25865"/>
    <w:rsid w:val="00A26CD2"/>
    <w:rsid w:val="00A2718C"/>
    <w:rsid w:val="00A27667"/>
    <w:rsid w:val="00A27BC2"/>
    <w:rsid w:val="00A27F0B"/>
    <w:rsid w:val="00A3135D"/>
    <w:rsid w:val="00A32809"/>
    <w:rsid w:val="00A3292C"/>
    <w:rsid w:val="00A32979"/>
    <w:rsid w:val="00A32F23"/>
    <w:rsid w:val="00A34A67"/>
    <w:rsid w:val="00A34B04"/>
    <w:rsid w:val="00A34E38"/>
    <w:rsid w:val="00A36B22"/>
    <w:rsid w:val="00A37352"/>
    <w:rsid w:val="00A37462"/>
    <w:rsid w:val="00A379DF"/>
    <w:rsid w:val="00A40DF0"/>
    <w:rsid w:val="00A42B1A"/>
    <w:rsid w:val="00A44A65"/>
    <w:rsid w:val="00A459E1"/>
    <w:rsid w:val="00A46AC4"/>
    <w:rsid w:val="00A46CB5"/>
    <w:rsid w:val="00A478A5"/>
    <w:rsid w:val="00A47B7B"/>
    <w:rsid w:val="00A501C5"/>
    <w:rsid w:val="00A50640"/>
    <w:rsid w:val="00A50CA8"/>
    <w:rsid w:val="00A511D5"/>
    <w:rsid w:val="00A52296"/>
    <w:rsid w:val="00A539C3"/>
    <w:rsid w:val="00A5413C"/>
    <w:rsid w:val="00A543F9"/>
    <w:rsid w:val="00A55044"/>
    <w:rsid w:val="00A55661"/>
    <w:rsid w:val="00A55815"/>
    <w:rsid w:val="00A55C29"/>
    <w:rsid w:val="00A55EDC"/>
    <w:rsid w:val="00A56237"/>
    <w:rsid w:val="00A56743"/>
    <w:rsid w:val="00A569E8"/>
    <w:rsid w:val="00A5762F"/>
    <w:rsid w:val="00A57E95"/>
    <w:rsid w:val="00A61B70"/>
    <w:rsid w:val="00A61FA8"/>
    <w:rsid w:val="00A637F4"/>
    <w:rsid w:val="00A649EF"/>
    <w:rsid w:val="00A64DF2"/>
    <w:rsid w:val="00A65485"/>
    <w:rsid w:val="00A663B3"/>
    <w:rsid w:val="00A669E4"/>
    <w:rsid w:val="00A66AB1"/>
    <w:rsid w:val="00A66E05"/>
    <w:rsid w:val="00A670B7"/>
    <w:rsid w:val="00A67655"/>
    <w:rsid w:val="00A70753"/>
    <w:rsid w:val="00A712D2"/>
    <w:rsid w:val="00A72442"/>
    <w:rsid w:val="00A7255B"/>
    <w:rsid w:val="00A72A62"/>
    <w:rsid w:val="00A736E6"/>
    <w:rsid w:val="00A74255"/>
    <w:rsid w:val="00A75281"/>
    <w:rsid w:val="00A7590A"/>
    <w:rsid w:val="00A76A68"/>
    <w:rsid w:val="00A774F5"/>
    <w:rsid w:val="00A77666"/>
    <w:rsid w:val="00A77778"/>
    <w:rsid w:val="00A8283D"/>
    <w:rsid w:val="00A82C8A"/>
    <w:rsid w:val="00A8346B"/>
    <w:rsid w:val="00A83EE1"/>
    <w:rsid w:val="00A84BE0"/>
    <w:rsid w:val="00A852FF"/>
    <w:rsid w:val="00A86724"/>
    <w:rsid w:val="00A87337"/>
    <w:rsid w:val="00A87C0D"/>
    <w:rsid w:val="00A90341"/>
    <w:rsid w:val="00A9082F"/>
    <w:rsid w:val="00A90877"/>
    <w:rsid w:val="00A90C97"/>
    <w:rsid w:val="00A91709"/>
    <w:rsid w:val="00A9215B"/>
    <w:rsid w:val="00A92DDC"/>
    <w:rsid w:val="00A94273"/>
    <w:rsid w:val="00A9563D"/>
    <w:rsid w:val="00A960C8"/>
    <w:rsid w:val="00A96604"/>
    <w:rsid w:val="00A9662C"/>
    <w:rsid w:val="00A96F21"/>
    <w:rsid w:val="00A97C48"/>
    <w:rsid w:val="00AA015F"/>
    <w:rsid w:val="00AA03DF"/>
    <w:rsid w:val="00AA1B4F"/>
    <w:rsid w:val="00AA21D8"/>
    <w:rsid w:val="00AA271A"/>
    <w:rsid w:val="00AA3270"/>
    <w:rsid w:val="00AA375A"/>
    <w:rsid w:val="00AA3E10"/>
    <w:rsid w:val="00AA54F3"/>
    <w:rsid w:val="00AA5CEC"/>
    <w:rsid w:val="00AA6136"/>
    <w:rsid w:val="00AA6206"/>
    <w:rsid w:val="00AA6644"/>
    <w:rsid w:val="00AA6799"/>
    <w:rsid w:val="00AA6B43"/>
    <w:rsid w:val="00AA6E47"/>
    <w:rsid w:val="00AA720D"/>
    <w:rsid w:val="00AA7B1F"/>
    <w:rsid w:val="00AB078B"/>
    <w:rsid w:val="00AB0F8E"/>
    <w:rsid w:val="00AB1850"/>
    <w:rsid w:val="00AB1FC6"/>
    <w:rsid w:val="00AB3145"/>
    <w:rsid w:val="00AB32B0"/>
    <w:rsid w:val="00AB357D"/>
    <w:rsid w:val="00AB367A"/>
    <w:rsid w:val="00AB58BA"/>
    <w:rsid w:val="00AB59B8"/>
    <w:rsid w:val="00AB5AE4"/>
    <w:rsid w:val="00AB78C3"/>
    <w:rsid w:val="00AB7BF8"/>
    <w:rsid w:val="00AC01D1"/>
    <w:rsid w:val="00AC063D"/>
    <w:rsid w:val="00AC0AB2"/>
    <w:rsid w:val="00AC0E9F"/>
    <w:rsid w:val="00AC3909"/>
    <w:rsid w:val="00AC3CF3"/>
    <w:rsid w:val="00AC5174"/>
    <w:rsid w:val="00AC52A5"/>
    <w:rsid w:val="00AC65BA"/>
    <w:rsid w:val="00AC6EFD"/>
    <w:rsid w:val="00AC7151"/>
    <w:rsid w:val="00AC74CE"/>
    <w:rsid w:val="00AC74D8"/>
    <w:rsid w:val="00AC7ECD"/>
    <w:rsid w:val="00AD02BB"/>
    <w:rsid w:val="00AD22E3"/>
    <w:rsid w:val="00AD2CAA"/>
    <w:rsid w:val="00AD3715"/>
    <w:rsid w:val="00AD460A"/>
    <w:rsid w:val="00AD50DB"/>
    <w:rsid w:val="00AD6A05"/>
    <w:rsid w:val="00AD6EB0"/>
    <w:rsid w:val="00AD70F2"/>
    <w:rsid w:val="00AD72EE"/>
    <w:rsid w:val="00AE043D"/>
    <w:rsid w:val="00AE118B"/>
    <w:rsid w:val="00AE1CD8"/>
    <w:rsid w:val="00AE1E22"/>
    <w:rsid w:val="00AE1F89"/>
    <w:rsid w:val="00AE214E"/>
    <w:rsid w:val="00AE23DF"/>
    <w:rsid w:val="00AE272B"/>
    <w:rsid w:val="00AE2767"/>
    <w:rsid w:val="00AE3E3A"/>
    <w:rsid w:val="00AE485C"/>
    <w:rsid w:val="00AE77B4"/>
    <w:rsid w:val="00AE7C1A"/>
    <w:rsid w:val="00AE7DF8"/>
    <w:rsid w:val="00AF0417"/>
    <w:rsid w:val="00AF0BD4"/>
    <w:rsid w:val="00AF0D9C"/>
    <w:rsid w:val="00AF0E47"/>
    <w:rsid w:val="00AF13AB"/>
    <w:rsid w:val="00AF14CB"/>
    <w:rsid w:val="00AF1D36"/>
    <w:rsid w:val="00AF203A"/>
    <w:rsid w:val="00AF2229"/>
    <w:rsid w:val="00AF22DA"/>
    <w:rsid w:val="00AF280B"/>
    <w:rsid w:val="00AF3494"/>
    <w:rsid w:val="00AF36DB"/>
    <w:rsid w:val="00AF5A04"/>
    <w:rsid w:val="00AF5C04"/>
    <w:rsid w:val="00AF5F75"/>
    <w:rsid w:val="00AF6001"/>
    <w:rsid w:val="00AF6E51"/>
    <w:rsid w:val="00AF6F91"/>
    <w:rsid w:val="00AF72FE"/>
    <w:rsid w:val="00AF72FF"/>
    <w:rsid w:val="00AF7D1B"/>
    <w:rsid w:val="00B00602"/>
    <w:rsid w:val="00B00F16"/>
    <w:rsid w:val="00B016BF"/>
    <w:rsid w:val="00B01A16"/>
    <w:rsid w:val="00B01E23"/>
    <w:rsid w:val="00B022EA"/>
    <w:rsid w:val="00B02370"/>
    <w:rsid w:val="00B0321B"/>
    <w:rsid w:val="00B03A45"/>
    <w:rsid w:val="00B03A8E"/>
    <w:rsid w:val="00B043B1"/>
    <w:rsid w:val="00B07432"/>
    <w:rsid w:val="00B07E43"/>
    <w:rsid w:val="00B07F45"/>
    <w:rsid w:val="00B1021A"/>
    <w:rsid w:val="00B10271"/>
    <w:rsid w:val="00B10DC9"/>
    <w:rsid w:val="00B1297A"/>
    <w:rsid w:val="00B1355C"/>
    <w:rsid w:val="00B13638"/>
    <w:rsid w:val="00B13BEA"/>
    <w:rsid w:val="00B140D9"/>
    <w:rsid w:val="00B14439"/>
    <w:rsid w:val="00B1474B"/>
    <w:rsid w:val="00B14753"/>
    <w:rsid w:val="00B1481A"/>
    <w:rsid w:val="00B14E21"/>
    <w:rsid w:val="00B15232"/>
    <w:rsid w:val="00B153EB"/>
    <w:rsid w:val="00B15681"/>
    <w:rsid w:val="00B15A1F"/>
    <w:rsid w:val="00B15BB8"/>
    <w:rsid w:val="00B15FE9"/>
    <w:rsid w:val="00B164C1"/>
    <w:rsid w:val="00B16E96"/>
    <w:rsid w:val="00B20CC6"/>
    <w:rsid w:val="00B20DAE"/>
    <w:rsid w:val="00B2148A"/>
    <w:rsid w:val="00B217A8"/>
    <w:rsid w:val="00B220C2"/>
    <w:rsid w:val="00B2276E"/>
    <w:rsid w:val="00B22C8E"/>
    <w:rsid w:val="00B2340A"/>
    <w:rsid w:val="00B25456"/>
    <w:rsid w:val="00B259DD"/>
    <w:rsid w:val="00B25B32"/>
    <w:rsid w:val="00B27C4E"/>
    <w:rsid w:val="00B3016A"/>
    <w:rsid w:val="00B30F7F"/>
    <w:rsid w:val="00B32616"/>
    <w:rsid w:val="00B32AB5"/>
    <w:rsid w:val="00B3308A"/>
    <w:rsid w:val="00B35C53"/>
    <w:rsid w:val="00B36AF0"/>
    <w:rsid w:val="00B36C42"/>
    <w:rsid w:val="00B4074C"/>
    <w:rsid w:val="00B40902"/>
    <w:rsid w:val="00B40A92"/>
    <w:rsid w:val="00B42251"/>
    <w:rsid w:val="00B42EA7"/>
    <w:rsid w:val="00B42F5B"/>
    <w:rsid w:val="00B4333A"/>
    <w:rsid w:val="00B4345F"/>
    <w:rsid w:val="00B43C3F"/>
    <w:rsid w:val="00B45867"/>
    <w:rsid w:val="00B46FE6"/>
    <w:rsid w:val="00B473E3"/>
    <w:rsid w:val="00B47D75"/>
    <w:rsid w:val="00B516AA"/>
    <w:rsid w:val="00B5177E"/>
    <w:rsid w:val="00B51845"/>
    <w:rsid w:val="00B51923"/>
    <w:rsid w:val="00B51B51"/>
    <w:rsid w:val="00B52978"/>
    <w:rsid w:val="00B5337C"/>
    <w:rsid w:val="00B53FDE"/>
    <w:rsid w:val="00B54253"/>
    <w:rsid w:val="00B5425F"/>
    <w:rsid w:val="00B546A5"/>
    <w:rsid w:val="00B5486B"/>
    <w:rsid w:val="00B56397"/>
    <w:rsid w:val="00B571DA"/>
    <w:rsid w:val="00B6027B"/>
    <w:rsid w:val="00B60C6F"/>
    <w:rsid w:val="00B6194F"/>
    <w:rsid w:val="00B62203"/>
    <w:rsid w:val="00B62484"/>
    <w:rsid w:val="00B636C8"/>
    <w:rsid w:val="00B63F3E"/>
    <w:rsid w:val="00B64E5F"/>
    <w:rsid w:val="00B65EDB"/>
    <w:rsid w:val="00B663A2"/>
    <w:rsid w:val="00B6738E"/>
    <w:rsid w:val="00B67AFF"/>
    <w:rsid w:val="00B67C41"/>
    <w:rsid w:val="00B702BB"/>
    <w:rsid w:val="00B70402"/>
    <w:rsid w:val="00B70B59"/>
    <w:rsid w:val="00B72462"/>
    <w:rsid w:val="00B729DD"/>
    <w:rsid w:val="00B7305F"/>
    <w:rsid w:val="00B73657"/>
    <w:rsid w:val="00B73673"/>
    <w:rsid w:val="00B739B3"/>
    <w:rsid w:val="00B744EA"/>
    <w:rsid w:val="00B74A7A"/>
    <w:rsid w:val="00B75512"/>
    <w:rsid w:val="00B802F0"/>
    <w:rsid w:val="00B808D1"/>
    <w:rsid w:val="00B81686"/>
    <w:rsid w:val="00B81B15"/>
    <w:rsid w:val="00B81DAE"/>
    <w:rsid w:val="00B825B4"/>
    <w:rsid w:val="00B82D07"/>
    <w:rsid w:val="00B82DCB"/>
    <w:rsid w:val="00B82FB1"/>
    <w:rsid w:val="00B8350C"/>
    <w:rsid w:val="00B837B2"/>
    <w:rsid w:val="00B83B7D"/>
    <w:rsid w:val="00B84156"/>
    <w:rsid w:val="00B84A96"/>
    <w:rsid w:val="00B84BD8"/>
    <w:rsid w:val="00B84DB3"/>
    <w:rsid w:val="00B857B2"/>
    <w:rsid w:val="00B85C39"/>
    <w:rsid w:val="00B87EA1"/>
    <w:rsid w:val="00B913D1"/>
    <w:rsid w:val="00B915AE"/>
    <w:rsid w:val="00B93D6C"/>
    <w:rsid w:val="00B94367"/>
    <w:rsid w:val="00B94846"/>
    <w:rsid w:val="00B96B73"/>
    <w:rsid w:val="00B96C55"/>
    <w:rsid w:val="00B96CCB"/>
    <w:rsid w:val="00B97AE5"/>
    <w:rsid w:val="00B97ECA"/>
    <w:rsid w:val="00BA06EF"/>
    <w:rsid w:val="00BA1735"/>
    <w:rsid w:val="00BA19FA"/>
    <w:rsid w:val="00BA1B35"/>
    <w:rsid w:val="00BA20A3"/>
    <w:rsid w:val="00BA2143"/>
    <w:rsid w:val="00BA26CE"/>
    <w:rsid w:val="00BA2FCD"/>
    <w:rsid w:val="00BA39E9"/>
    <w:rsid w:val="00BA4288"/>
    <w:rsid w:val="00BA4E36"/>
    <w:rsid w:val="00BA5617"/>
    <w:rsid w:val="00BA5740"/>
    <w:rsid w:val="00BA6ECC"/>
    <w:rsid w:val="00BA71C8"/>
    <w:rsid w:val="00BA7E16"/>
    <w:rsid w:val="00BA7EFD"/>
    <w:rsid w:val="00BB04A5"/>
    <w:rsid w:val="00BB0902"/>
    <w:rsid w:val="00BB0FB6"/>
    <w:rsid w:val="00BB1491"/>
    <w:rsid w:val="00BB1875"/>
    <w:rsid w:val="00BB1F9C"/>
    <w:rsid w:val="00BB2553"/>
    <w:rsid w:val="00BB32A5"/>
    <w:rsid w:val="00BB48E5"/>
    <w:rsid w:val="00BB4EA9"/>
    <w:rsid w:val="00BB5607"/>
    <w:rsid w:val="00BB5ACA"/>
    <w:rsid w:val="00BB627F"/>
    <w:rsid w:val="00BC0C17"/>
    <w:rsid w:val="00BC3823"/>
    <w:rsid w:val="00BC51AC"/>
    <w:rsid w:val="00BC5841"/>
    <w:rsid w:val="00BC5E38"/>
    <w:rsid w:val="00BC5F78"/>
    <w:rsid w:val="00BC606D"/>
    <w:rsid w:val="00BC6FB1"/>
    <w:rsid w:val="00BC73B8"/>
    <w:rsid w:val="00BC7DE6"/>
    <w:rsid w:val="00BD05FF"/>
    <w:rsid w:val="00BD201A"/>
    <w:rsid w:val="00BD2DC4"/>
    <w:rsid w:val="00BD2EF0"/>
    <w:rsid w:val="00BD3306"/>
    <w:rsid w:val="00BD5DCD"/>
    <w:rsid w:val="00BD60B4"/>
    <w:rsid w:val="00BD796B"/>
    <w:rsid w:val="00BE087D"/>
    <w:rsid w:val="00BE1145"/>
    <w:rsid w:val="00BE151C"/>
    <w:rsid w:val="00BE330A"/>
    <w:rsid w:val="00BE3B9F"/>
    <w:rsid w:val="00BE4034"/>
    <w:rsid w:val="00BE40C0"/>
    <w:rsid w:val="00BE445C"/>
    <w:rsid w:val="00BE5641"/>
    <w:rsid w:val="00BE5F4A"/>
    <w:rsid w:val="00BE60E8"/>
    <w:rsid w:val="00BE6F55"/>
    <w:rsid w:val="00BE7530"/>
    <w:rsid w:val="00BE7AEF"/>
    <w:rsid w:val="00BF0167"/>
    <w:rsid w:val="00BF01A7"/>
    <w:rsid w:val="00BF09B0"/>
    <w:rsid w:val="00BF0A74"/>
    <w:rsid w:val="00BF1544"/>
    <w:rsid w:val="00BF1B53"/>
    <w:rsid w:val="00BF205A"/>
    <w:rsid w:val="00BF246D"/>
    <w:rsid w:val="00BF2682"/>
    <w:rsid w:val="00BF4E1A"/>
    <w:rsid w:val="00BF5F39"/>
    <w:rsid w:val="00C000C0"/>
    <w:rsid w:val="00C01061"/>
    <w:rsid w:val="00C040B3"/>
    <w:rsid w:val="00C04156"/>
    <w:rsid w:val="00C04895"/>
    <w:rsid w:val="00C04B16"/>
    <w:rsid w:val="00C04F94"/>
    <w:rsid w:val="00C05B46"/>
    <w:rsid w:val="00C06B8C"/>
    <w:rsid w:val="00C06F06"/>
    <w:rsid w:val="00C126A1"/>
    <w:rsid w:val="00C143AA"/>
    <w:rsid w:val="00C15912"/>
    <w:rsid w:val="00C16938"/>
    <w:rsid w:val="00C179B7"/>
    <w:rsid w:val="00C17B44"/>
    <w:rsid w:val="00C17BFF"/>
    <w:rsid w:val="00C20278"/>
    <w:rsid w:val="00C2033A"/>
    <w:rsid w:val="00C20FAD"/>
    <w:rsid w:val="00C2375F"/>
    <w:rsid w:val="00C23967"/>
    <w:rsid w:val="00C23BB2"/>
    <w:rsid w:val="00C241A0"/>
    <w:rsid w:val="00C24650"/>
    <w:rsid w:val="00C247CB"/>
    <w:rsid w:val="00C256B3"/>
    <w:rsid w:val="00C266D7"/>
    <w:rsid w:val="00C2787C"/>
    <w:rsid w:val="00C32E66"/>
    <w:rsid w:val="00C3312E"/>
    <w:rsid w:val="00C3355F"/>
    <w:rsid w:val="00C33A04"/>
    <w:rsid w:val="00C344BF"/>
    <w:rsid w:val="00C34755"/>
    <w:rsid w:val="00C34E57"/>
    <w:rsid w:val="00C3569A"/>
    <w:rsid w:val="00C37901"/>
    <w:rsid w:val="00C402C3"/>
    <w:rsid w:val="00C43F48"/>
    <w:rsid w:val="00C443D2"/>
    <w:rsid w:val="00C448FF"/>
    <w:rsid w:val="00C45231"/>
    <w:rsid w:val="00C45868"/>
    <w:rsid w:val="00C45E57"/>
    <w:rsid w:val="00C45F48"/>
    <w:rsid w:val="00C469E9"/>
    <w:rsid w:val="00C501E5"/>
    <w:rsid w:val="00C50CC5"/>
    <w:rsid w:val="00C517E7"/>
    <w:rsid w:val="00C52A38"/>
    <w:rsid w:val="00C52F29"/>
    <w:rsid w:val="00C55592"/>
    <w:rsid w:val="00C55E06"/>
    <w:rsid w:val="00C55F6D"/>
    <w:rsid w:val="00C56CE6"/>
    <w:rsid w:val="00C56E55"/>
    <w:rsid w:val="00C56F45"/>
    <w:rsid w:val="00C5745F"/>
    <w:rsid w:val="00C60005"/>
    <w:rsid w:val="00C60506"/>
    <w:rsid w:val="00C60948"/>
    <w:rsid w:val="00C60BFF"/>
    <w:rsid w:val="00C610C0"/>
    <w:rsid w:val="00C610D7"/>
    <w:rsid w:val="00C61199"/>
    <w:rsid w:val="00C61A98"/>
    <w:rsid w:val="00C629F4"/>
    <w:rsid w:val="00C62D71"/>
    <w:rsid w:val="00C63201"/>
    <w:rsid w:val="00C63592"/>
    <w:rsid w:val="00C63648"/>
    <w:rsid w:val="00C648FD"/>
    <w:rsid w:val="00C64E62"/>
    <w:rsid w:val="00C651D5"/>
    <w:rsid w:val="00C65CCC"/>
    <w:rsid w:val="00C65DA9"/>
    <w:rsid w:val="00C7017B"/>
    <w:rsid w:val="00C70EFF"/>
    <w:rsid w:val="00C712B3"/>
    <w:rsid w:val="00C724ED"/>
    <w:rsid w:val="00C725FB"/>
    <w:rsid w:val="00C729CB"/>
    <w:rsid w:val="00C73905"/>
    <w:rsid w:val="00C73C3B"/>
    <w:rsid w:val="00C74840"/>
    <w:rsid w:val="00C74FFB"/>
    <w:rsid w:val="00C75AF8"/>
    <w:rsid w:val="00C75E83"/>
    <w:rsid w:val="00C7618F"/>
    <w:rsid w:val="00C765A9"/>
    <w:rsid w:val="00C8071E"/>
    <w:rsid w:val="00C80D33"/>
    <w:rsid w:val="00C81157"/>
    <w:rsid w:val="00C8162D"/>
    <w:rsid w:val="00C82E18"/>
    <w:rsid w:val="00C830BB"/>
    <w:rsid w:val="00C8374B"/>
    <w:rsid w:val="00C837F8"/>
    <w:rsid w:val="00C83A0B"/>
    <w:rsid w:val="00C83EE3"/>
    <w:rsid w:val="00C842D0"/>
    <w:rsid w:val="00C847BC"/>
    <w:rsid w:val="00C84ED1"/>
    <w:rsid w:val="00C863CC"/>
    <w:rsid w:val="00C86BCC"/>
    <w:rsid w:val="00C87E07"/>
    <w:rsid w:val="00C90125"/>
    <w:rsid w:val="00C9038F"/>
    <w:rsid w:val="00C90E6D"/>
    <w:rsid w:val="00C916D0"/>
    <w:rsid w:val="00C92AAB"/>
    <w:rsid w:val="00C9322A"/>
    <w:rsid w:val="00C9432A"/>
    <w:rsid w:val="00C95C0D"/>
    <w:rsid w:val="00C95D4C"/>
    <w:rsid w:val="00C95E0F"/>
    <w:rsid w:val="00C9637F"/>
    <w:rsid w:val="00C968F5"/>
    <w:rsid w:val="00C9708A"/>
    <w:rsid w:val="00CA0658"/>
    <w:rsid w:val="00CA1AF1"/>
    <w:rsid w:val="00CA1D48"/>
    <w:rsid w:val="00CA2435"/>
    <w:rsid w:val="00CA34DC"/>
    <w:rsid w:val="00CA4068"/>
    <w:rsid w:val="00CA6317"/>
    <w:rsid w:val="00CA67F4"/>
    <w:rsid w:val="00CA717C"/>
    <w:rsid w:val="00CA748B"/>
    <w:rsid w:val="00CB0BC8"/>
    <w:rsid w:val="00CB0F52"/>
    <w:rsid w:val="00CB150F"/>
    <w:rsid w:val="00CB180A"/>
    <w:rsid w:val="00CB1864"/>
    <w:rsid w:val="00CB37F8"/>
    <w:rsid w:val="00CB3C84"/>
    <w:rsid w:val="00CB7223"/>
    <w:rsid w:val="00CB7DC3"/>
    <w:rsid w:val="00CC0042"/>
    <w:rsid w:val="00CC084A"/>
    <w:rsid w:val="00CC24B6"/>
    <w:rsid w:val="00CC48CB"/>
    <w:rsid w:val="00CC4AEB"/>
    <w:rsid w:val="00CC4BB2"/>
    <w:rsid w:val="00CC5385"/>
    <w:rsid w:val="00CC5BE1"/>
    <w:rsid w:val="00CC6543"/>
    <w:rsid w:val="00CC6A79"/>
    <w:rsid w:val="00CC70E0"/>
    <w:rsid w:val="00CC75A2"/>
    <w:rsid w:val="00CC791D"/>
    <w:rsid w:val="00CC7A18"/>
    <w:rsid w:val="00CC7B30"/>
    <w:rsid w:val="00CD03DB"/>
    <w:rsid w:val="00CD0E2F"/>
    <w:rsid w:val="00CD1A5A"/>
    <w:rsid w:val="00CD1D49"/>
    <w:rsid w:val="00CD2AE5"/>
    <w:rsid w:val="00CD2F20"/>
    <w:rsid w:val="00CD3128"/>
    <w:rsid w:val="00CD3DEB"/>
    <w:rsid w:val="00CD574F"/>
    <w:rsid w:val="00CD6B20"/>
    <w:rsid w:val="00CD6BAA"/>
    <w:rsid w:val="00CD72CC"/>
    <w:rsid w:val="00CD79D0"/>
    <w:rsid w:val="00CD7E3C"/>
    <w:rsid w:val="00CE1339"/>
    <w:rsid w:val="00CE149B"/>
    <w:rsid w:val="00CE269E"/>
    <w:rsid w:val="00CE2A8C"/>
    <w:rsid w:val="00CE37F3"/>
    <w:rsid w:val="00CE4E4E"/>
    <w:rsid w:val="00CE5796"/>
    <w:rsid w:val="00CE61CC"/>
    <w:rsid w:val="00CE6E42"/>
    <w:rsid w:val="00CF1EFB"/>
    <w:rsid w:val="00CF20B7"/>
    <w:rsid w:val="00CF283B"/>
    <w:rsid w:val="00CF2F61"/>
    <w:rsid w:val="00CF30FA"/>
    <w:rsid w:val="00CF349A"/>
    <w:rsid w:val="00CF57AF"/>
    <w:rsid w:val="00CF6692"/>
    <w:rsid w:val="00CF66E0"/>
    <w:rsid w:val="00CF7441"/>
    <w:rsid w:val="00CF7792"/>
    <w:rsid w:val="00D001BF"/>
    <w:rsid w:val="00D004B7"/>
    <w:rsid w:val="00D00D16"/>
    <w:rsid w:val="00D00E8C"/>
    <w:rsid w:val="00D021CB"/>
    <w:rsid w:val="00D02E3C"/>
    <w:rsid w:val="00D03C6C"/>
    <w:rsid w:val="00D04760"/>
    <w:rsid w:val="00D04A95"/>
    <w:rsid w:val="00D04FFD"/>
    <w:rsid w:val="00D06288"/>
    <w:rsid w:val="00D068C7"/>
    <w:rsid w:val="00D07346"/>
    <w:rsid w:val="00D10715"/>
    <w:rsid w:val="00D10FB7"/>
    <w:rsid w:val="00D115B4"/>
    <w:rsid w:val="00D128A4"/>
    <w:rsid w:val="00D12A96"/>
    <w:rsid w:val="00D1389B"/>
    <w:rsid w:val="00D13CA1"/>
    <w:rsid w:val="00D1437E"/>
    <w:rsid w:val="00D1447C"/>
    <w:rsid w:val="00D147C8"/>
    <w:rsid w:val="00D15131"/>
    <w:rsid w:val="00D16FA2"/>
    <w:rsid w:val="00D17191"/>
    <w:rsid w:val="00D20954"/>
    <w:rsid w:val="00D21C39"/>
    <w:rsid w:val="00D21FC6"/>
    <w:rsid w:val="00D2243A"/>
    <w:rsid w:val="00D22874"/>
    <w:rsid w:val="00D23173"/>
    <w:rsid w:val="00D23AD0"/>
    <w:rsid w:val="00D246AC"/>
    <w:rsid w:val="00D26B10"/>
    <w:rsid w:val="00D26F10"/>
    <w:rsid w:val="00D278EC"/>
    <w:rsid w:val="00D3145C"/>
    <w:rsid w:val="00D31CF5"/>
    <w:rsid w:val="00D324ED"/>
    <w:rsid w:val="00D33393"/>
    <w:rsid w:val="00D33D36"/>
    <w:rsid w:val="00D34764"/>
    <w:rsid w:val="00D34D94"/>
    <w:rsid w:val="00D409E2"/>
    <w:rsid w:val="00D41554"/>
    <w:rsid w:val="00D427D7"/>
    <w:rsid w:val="00D433D7"/>
    <w:rsid w:val="00D43E3D"/>
    <w:rsid w:val="00D44D76"/>
    <w:rsid w:val="00D44E62"/>
    <w:rsid w:val="00D44E9A"/>
    <w:rsid w:val="00D44F54"/>
    <w:rsid w:val="00D46063"/>
    <w:rsid w:val="00D46489"/>
    <w:rsid w:val="00D477DC"/>
    <w:rsid w:val="00D4786D"/>
    <w:rsid w:val="00D500F3"/>
    <w:rsid w:val="00D51570"/>
    <w:rsid w:val="00D5160B"/>
    <w:rsid w:val="00D525BD"/>
    <w:rsid w:val="00D52AF5"/>
    <w:rsid w:val="00D53477"/>
    <w:rsid w:val="00D53F20"/>
    <w:rsid w:val="00D5496C"/>
    <w:rsid w:val="00D54CAA"/>
    <w:rsid w:val="00D550F7"/>
    <w:rsid w:val="00D556AD"/>
    <w:rsid w:val="00D60381"/>
    <w:rsid w:val="00D616DE"/>
    <w:rsid w:val="00D62201"/>
    <w:rsid w:val="00D6236E"/>
    <w:rsid w:val="00D63DA3"/>
    <w:rsid w:val="00D63F2B"/>
    <w:rsid w:val="00D643BE"/>
    <w:rsid w:val="00D651D1"/>
    <w:rsid w:val="00D65E3B"/>
    <w:rsid w:val="00D66080"/>
    <w:rsid w:val="00D66734"/>
    <w:rsid w:val="00D6761E"/>
    <w:rsid w:val="00D67921"/>
    <w:rsid w:val="00D67F08"/>
    <w:rsid w:val="00D70711"/>
    <w:rsid w:val="00D7093F"/>
    <w:rsid w:val="00D717BB"/>
    <w:rsid w:val="00D7226B"/>
    <w:rsid w:val="00D72707"/>
    <w:rsid w:val="00D72BBC"/>
    <w:rsid w:val="00D7470B"/>
    <w:rsid w:val="00D75A9C"/>
    <w:rsid w:val="00D75DB0"/>
    <w:rsid w:val="00D75FE7"/>
    <w:rsid w:val="00D763B5"/>
    <w:rsid w:val="00D829C8"/>
    <w:rsid w:val="00D83B28"/>
    <w:rsid w:val="00D84FE7"/>
    <w:rsid w:val="00D857B5"/>
    <w:rsid w:val="00D85EEC"/>
    <w:rsid w:val="00D86469"/>
    <w:rsid w:val="00D87917"/>
    <w:rsid w:val="00D87F9D"/>
    <w:rsid w:val="00D902B6"/>
    <w:rsid w:val="00D90871"/>
    <w:rsid w:val="00D90FFC"/>
    <w:rsid w:val="00D9142B"/>
    <w:rsid w:val="00D9155F"/>
    <w:rsid w:val="00D926D6"/>
    <w:rsid w:val="00D9367A"/>
    <w:rsid w:val="00D93C66"/>
    <w:rsid w:val="00D9403F"/>
    <w:rsid w:val="00D9459E"/>
    <w:rsid w:val="00D959B4"/>
    <w:rsid w:val="00D96237"/>
    <w:rsid w:val="00D97B26"/>
    <w:rsid w:val="00D97B33"/>
    <w:rsid w:val="00D97DDF"/>
    <w:rsid w:val="00DA1183"/>
    <w:rsid w:val="00DA21EE"/>
    <w:rsid w:val="00DA2D5F"/>
    <w:rsid w:val="00DA396B"/>
    <w:rsid w:val="00DA4201"/>
    <w:rsid w:val="00DA43CE"/>
    <w:rsid w:val="00DA44DE"/>
    <w:rsid w:val="00DA6803"/>
    <w:rsid w:val="00DA6E69"/>
    <w:rsid w:val="00DA750B"/>
    <w:rsid w:val="00DA7DB0"/>
    <w:rsid w:val="00DB09C6"/>
    <w:rsid w:val="00DB1601"/>
    <w:rsid w:val="00DB17E0"/>
    <w:rsid w:val="00DB2334"/>
    <w:rsid w:val="00DB24EB"/>
    <w:rsid w:val="00DB40E4"/>
    <w:rsid w:val="00DB4756"/>
    <w:rsid w:val="00DB620A"/>
    <w:rsid w:val="00DB7544"/>
    <w:rsid w:val="00DB7DB1"/>
    <w:rsid w:val="00DC0ECA"/>
    <w:rsid w:val="00DC2F26"/>
    <w:rsid w:val="00DC32E1"/>
    <w:rsid w:val="00DC3832"/>
    <w:rsid w:val="00DC406B"/>
    <w:rsid w:val="00DC56AD"/>
    <w:rsid w:val="00DC5AAF"/>
    <w:rsid w:val="00DC6038"/>
    <w:rsid w:val="00DC70B7"/>
    <w:rsid w:val="00DC7A51"/>
    <w:rsid w:val="00DD0DC5"/>
    <w:rsid w:val="00DD1B0D"/>
    <w:rsid w:val="00DD21F2"/>
    <w:rsid w:val="00DD34E8"/>
    <w:rsid w:val="00DD385F"/>
    <w:rsid w:val="00DD38C5"/>
    <w:rsid w:val="00DD3B1E"/>
    <w:rsid w:val="00DD42DE"/>
    <w:rsid w:val="00DD4704"/>
    <w:rsid w:val="00DD5683"/>
    <w:rsid w:val="00DD5B16"/>
    <w:rsid w:val="00DD669A"/>
    <w:rsid w:val="00DD732C"/>
    <w:rsid w:val="00DD7894"/>
    <w:rsid w:val="00DE06B2"/>
    <w:rsid w:val="00DE102A"/>
    <w:rsid w:val="00DE1316"/>
    <w:rsid w:val="00DE1F5C"/>
    <w:rsid w:val="00DE3640"/>
    <w:rsid w:val="00DE36E3"/>
    <w:rsid w:val="00DE5B5F"/>
    <w:rsid w:val="00DE66B9"/>
    <w:rsid w:val="00DE6B48"/>
    <w:rsid w:val="00DF033B"/>
    <w:rsid w:val="00DF185F"/>
    <w:rsid w:val="00DF2A50"/>
    <w:rsid w:val="00DF3007"/>
    <w:rsid w:val="00DF3892"/>
    <w:rsid w:val="00DF473F"/>
    <w:rsid w:val="00DF5411"/>
    <w:rsid w:val="00DF5DFE"/>
    <w:rsid w:val="00DF614E"/>
    <w:rsid w:val="00DF721D"/>
    <w:rsid w:val="00E00696"/>
    <w:rsid w:val="00E01190"/>
    <w:rsid w:val="00E02108"/>
    <w:rsid w:val="00E02CA7"/>
    <w:rsid w:val="00E03019"/>
    <w:rsid w:val="00E03651"/>
    <w:rsid w:val="00E03808"/>
    <w:rsid w:val="00E0381B"/>
    <w:rsid w:val="00E04022"/>
    <w:rsid w:val="00E04930"/>
    <w:rsid w:val="00E060C2"/>
    <w:rsid w:val="00E06324"/>
    <w:rsid w:val="00E067C9"/>
    <w:rsid w:val="00E07B2F"/>
    <w:rsid w:val="00E07B81"/>
    <w:rsid w:val="00E109AB"/>
    <w:rsid w:val="00E10AFD"/>
    <w:rsid w:val="00E122B9"/>
    <w:rsid w:val="00E12B11"/>
    <w:rsid w:val="00E12FB0"/>
    <w:rsid w:val="00E14428"/>
    <w:rsid w:val="00E144B2"/>
    <w:rsid w:val="00E14814"/>
    <w:rsid w:val="00E1591B"/>
    <w:rsid w:val="00E15EFA"/>
    <w:rsid w:val="00E166F6"/>
    <w:rsid w:val="00E16A50"/>
    <w:rsid w:val="00E17060"/>
    <w:rsid w:val="00E1714B"/>
    <w:rsid w:val="00E176C8"/>
    <w:rsid w:val="00E177B2"/>
    <w:rsid w:val="00E17CE8"/>
    <w:rsid w:val="00E2006D"/>
    <w:rsid w:val="00E20A26"/>
    <w:rsid w:val="00E20D37"/>
    <w:rsid w:val="00E212EA"/>
    <w:rsid w:val="00E21D60"/>
    <w:rsid w:val="00E22937"/>
    <w:rsid w:val="00E22CA8"/>
    <w:rsid w:val="00E24234"/>
    <w:rsid w:val="00E249D5"/>
    <w:rsid w:val="00E24C9A"/>
    <w:rsid w:val="00E25017"/>
    <w:rsid w:val="00E25CEB"/>
    <w:rsid w:val="00E264D9"/>
    <w:rsid w:val="00E26F73"/>
    <w:rsid w:val="00E27422"/>
    <w:rsid w:val="00E3017D"/>
    <w:rsid w:val="00E30A34"/>
    <w:rsid w:val="00E310A7"/>
    <w:rsid w:val="00E33BFA"/>
    <w:rsid w:val="00E33C68"/>
    <w:rsid w:val="00E34B2E"/>
    <w:rsid w:val="00E34E09"/>
    <w:rsid w:val="00E34EEB"/>
    <w:rsid w:val="00E350A3"/>
    <w:rsid w:val="00E35C3E"/>
    <w:rsid w:val="00E3687C"/>
    <w:rsid w:val="00E37B1C"/>
    <w:rsid w:val="00E37ED8"/>
    <w:rsid w:val="00E40289"/>
    <w:rsid w:val="00E42616"/>
    <w:rsid w:val="00E43132"/>
    <w:rsid w:val="00E43C7A"/>
    <w:rsid w:val="00E444B4"/>
    <w:rsid w:val="00E44904"/>
    <w:rsid w:val="00E44EB9"/>
    <w:rsid w:val="00E45BDC"/>
    <w:rsid w:val="00E460B7"/>
    <w:rsid w:val="00E460CF"/>
    <w:rsid w:val="00E46358"/>
    <w:rsid w:val="00E46A99"/>
    <w:rsid w:val="00E471DC"/>
    <w:rsid w:val="00E47919"/>
    <w:rsid w:val="00E508C3"/>
    <w:rsid w:val="00E50EB4"/>
    <w:rsid w:val="00E5146F"/>
    <w:rsid w:val="00E51DD3"/>
    <w:rsid w:val="00E5239B"/>
    <w:rsid w:val="00E532FC"/>
    <w:rsid w:val="00E53317"/>
    <w:rsid w:val="00E559B4"/>
    <w:rsid w:val="00E55BB0"/>
    <w:rsid w:val="00E567A5"/>
    <w:rsid w:val="00E56CD4"/>
    <w:rsid w:val="00E60473"/>
    <w:rsid w:val="00E609E5"/>
    <w:rsid w:val="00E60F27"/>
    <w:rsid w:val="00E6178A"/>
    <w:rsid w:val="00E64D93"/>
    <w:rsid w:val="00E65EDB"/>
    <w:rsid w:val="00E66927"/>
    <w:rsid w:val="00E677B8"/>
    <w:rsid w:val="00E67C24"/>
    <w:rsid w:val="00E67D7E"/>
    <w:rsid w:val="00E67E9E"/>
    <w:rsid w:val="00E67FA1"/>
    <w:rsid w:val="00E706E1"/>
    <w:rsid w:val="00E7115E"/>
    <w:rsid w:val="00E713D8"/>
    <w:rsid w:val="00E7387D"/>
    <w:rsid w:val="00E73D53"/>
    <w:rsid w:val="00E742FD"/>
    <w:rsid w:val="00E74404"/>
    <w:rsid w:val="00E744F4"/>
    <w:rsid w:val="00E74FBD"/>
    <w:rsid w:val="00E75111"/>
    <w:rsid w:val="00E75ED1"/>
    <w:rsid w:val="00E763F4"/>
    <w:rsid w:val="00E76980"/>
    <w:rsid w:val="00E77296"/>
    <w:rsid w:val="00E778DE"/>
    <w:rsid w:val="00E8073E"/>
    <w:rsid w:val="00E81A04"/>
    <w:rsid w:val="00E81FAE"/>
    <w:rsid w:val="00E83287"/>
    <w:rsid w:val="00E837D9"/>
    <w:rsid w:val="00E83E99"/>
    <w:rsid w:val="00E83FFB"/>
    <w:rsid w:val="00E841F0"/>
    <w:rsid w:val="00E846C8"/>
    <w:rsid w:val="00E8487C"/>
    <w:rsid w:val="00E84C2F"/>
    <w:rsid w:val="00E84F03"/>
    <w:rsid w:val="00E87527"/>
    <w:rsid w:val="00E87C36"/>
    <w:rsid w:val="00E87EF7"/>
    <w:rsid w:val="00E9018F"/>
    <w:rsid w:val="00E91771"/>
    <w:rsid w:val="00E9332D"/>
    <w:rsid w:val="00E933FC"/>
    <w:rsid w:val="00E93763"/>
    <w:rsid w:val="00E94D59"/>
    <w:rsid w:val="00E96692"/>
    <w:rsid w:val="00E96C4C"/>
    <w:rsid w:val="00E96FE0"/>
    <w:rsid w:val="00EA0D75"/>
    <w:rsid w:val="00EA1FD1"/>
    <w:rsid w:val="00EA2039"/>
    <w:rsid w:val="00EA26F6"/>
    <w:rsid w:val="00EA2AAE"/>
    <w:rsid w:val="00EA2EC0"/>
    <w:rsid w:val="00EA374C"/>
    <w:rsid w:val="00EA427A"/>
    <w:rsid w:val="00EA4546"/>
    <w:rsid w:val="00EA4AFB"/>
    <w:rsid w:val="00EA4D74"/>
    <w:rsid w:val="00EA723B"/>
    <w:rsid w:val="00EA7635"/>
    <w:rsid w:val="00EB0563"/>
    <w:rsid w:val="00EB0DFA"/>
    <w:rsid w:val="00EB1484"/>
    <w:rsid w:val="00EB29DC"/>
    <w:rsid w:val="00EB318C"/>
    <w:rsid w:val="00EB3EDC"/>
    <w:rsid w:val="00EB4C0A"/>
    <w:rsid w:val="00EB610B"/>
    <w:rsid w:val="00EB6350"/>
    <w:rsid w:val="00EB6489"/>
    <w:rsid w:val="00EB687A"/>
    <w:rsid w:val="00EB694A"/>
    <w:rsid w:val="00EB6B55"/>
    <w:rsid w:val="00EB7080"/>
    <w:rsid w:val="00EB73F7"/>
    <w:rsid w:val="00EC1FFE"/>
    <w:rsid w:val="00EC2F62"/>
    <w:rsid w:val="00EC35F1"/>
    <w:rsid w:val="00EC4060"/>
    <w:rsid w:val="00EC4534"/>
    <w:rsid w:val="00EC4ABC"/>
    <w:rsid w:val="00EC4FDB"/>
    <w:rsid w:val="00EC5C12"/>
    <w:rsid w:val="00EC5F94"/>
    <w:rsid w:val="00EC62EB"/>
    <w:rsid w:val="00EC6E9F"/>
    <w:rsid w:val="00ED0871"/>
    <w:rsid w:val="00ED1C83"/>
    <w:rsid w:val="00ED2C45"/>
    <w:rsid w:val="00ED3681"/>
    <w:rsid w:val="00ED44F0"/>
    <w:rsid w:val="00ED4B33"/>
    <w:rsid w:val="00ED50B0"/>
    <w:rsid w:val="00ED5993"/>
    <w:rsid w:val="00ED5C2D"/>
    <w:rsid w:val="00ED7919"/>
    <w:rsid w:val="00ED7ACF"/>
    <w:rsid w:val="00ED7DD6"/>
    <w:rsid w:val="00EE060B"/>
    <w:rsid w:val="00EE0986"/>
    <w:rsid w:val="00EE0BF9"/>
    <w:rsid w:val="00EE15A1"/>
    <w:rsid w:val="00EE2476"/>
    <w:rsid w:val="00EE2A7C"/>
    <w:rsid w:val="00EE2C42"/>
    <w:rsid w:val="00EE33B3"/>
    <w:rsid w:val="00EE341B"/>
    <w:rsid w:val="00EE4453"/>
    <w:rsid w:val="00EE4740"/>
    <w:rsid w:val="00EE5FCE"/>
    <w:rsid w:val="00EE6BBD"/>
    <w:rsid w:val="00EE6E1E"/>
    <w:rsid w:val="00EE705F"/>
    <w:rsid w:val="00EE7867"/>
    <w:rsid w:val="00EF1462"/>
    <w:rsid w:val="00EF33D0"/>
    <w:rsid w:val="00EF54FD"/>
    <w:rsid w:val="00EF5A15"/>
    <w:rsid w:val="00EF622C"/>
    <w:rsid w:val="00F0119C"/>
    <w:rsid w:val="00F01A63"/>
    <w:rsid w:val="00F01E23"/>
    <w:rsid w:val="00F03E24"/>
    <w:rsid w:val="00F04B56"/>
    <w:rsid w:val="00F058D6"/>
    <w:rsid w:val="00F058E5"/>
    <w:rsid w:val="00F07469"/>
    <w:rsid w:val="00F07C96"/>
    <w:rsid w:val="00F07F0D"/>
    <w:rsid w:val="00F10521"/>
    <w:rsid w:val="00F13112"/>
    <w:rsid w:val="00F1364C"/>
    <w:rsid w:val="00F15979"/>
    <w:rsid w:val="00F15BE6"/>
    <w:rsid w:val="00F15D72"/>
    <w:rsid w:val="00F16435"/>
    <w:rsid w:val="00F16FE6"/>
    <w:rsid w:val="00F2090D"/>
    <w:rsid w:val="00F21D6C"/>
    <w:rsid w:val="00F227F4"/>
    <w:rsid w:val="00F2383B"/>
    <w:rsid w:val="00F238BD"/>
    <w:rsid w:val="00F24992"/>
    <w:rsid w:val="00F27959"/>
    <w:rsid w:val="00F27AB4"/>
    <w:rsid w:val="00F32083"/>
    <w:rsid w:val="00F320A2"/>
    <w:rsid w:val="00F327B1"/>
    <w:rsid w:val="00F32F2F"/>
    <w:rsid w:val="00F332BA"/>
    <w:rsid w:val="00F33AB4"/>
    <w:rsid w:val="00F33F3F"/>
    <w:rsid w:val="00F3405F"/>
    <w:rsid w:val="00F342F0"/>
    <w:rsid w:val="00F353CC"/>
    <w:rsid w:val="00F35BDD"/>
    <w:rsid w:val="00F35EF0"/>
    <w:rsid w:val="00F3644D"/>
    <w:rsid w:val="00F36A55"/>
    <w:rsid w:val="00F36A75"/>
    <w:rsid w:val="00F3781F"/>
    <w:rsid w:val="00F403FD"/>
    <w:rsid w:val="00F40882"/>
    <w:rsid w:val="00F40C07"/>
    <w:rsid w:val="00F41E72"/>
    <w:rsid w:val="00F420C4"/>
    <w:rsid w:val="00F42484"/>
    <w:rsid w:val="00F42793"/>
    <w:rsid w:val="00F4390C"/>
    <w:rsid w:val="00F43E10"/>
    <w:rsid w:val="00F45BDF"/>
    <w:rsid w:val="00F46755"/>
    <w:rsid w:val="00F4728F"/>
    <w:rsid w:val="00F47F46"/>
    <w:rsid w:val="00F50300"/>
    <w:rsid w:val="00F504E0"/>
    <w:rsid w:val="00F536F1"/>
    <w:rsid w:val="00F53EE7"/>
    <w:rsid w:val="00F53FA6"/>
    <w:rsid w:val="00F53FCF"/>
    <w:rsid w:val="00F5414B"/>
    <w:rsid w:val="00F544C6"/>
    <w:rsid w:val="00F56630"/>
    <w:rsid w:val="00F56E39"/>
    <w:rsid w:val="00F575EA"/>
    <w:rsid w:val="00F576B5"/>
    <w:rsid w:val="00F60348"/>
    <w:rsid w:val="00F60E4F"/>
    <w:rsid w:val="00F611F0"/>
    <w:rsid w:val="00F62155"/>
    <w:rsid w:val="00F623E9"/>
    <w:rsid w:val="00F634C6"/>
    <w:rsid w:val="00F63544"/>
    <w:rsid w:val="00F63951"/>
    <w:rsid w:val="00F63C86"/>
    <w:rsid w:val="00F640BB"/>
    <w:rsid w:val="00F6562D"/>
    <w:rsid w:val="00F65D04"/>
    <w:rsid w:val="00F66D71"/>
    <w:rsid w:val="00F70CD5"/>
    <w:rsid w:val="00F71305"/>
    <w:rsid w:val="00F71508"/>
    <w:rsid w:val="00F73947"/>
    <w:rsid w:val="00F74542"/>
    <w:rsid w:val="00F74957"/>
    <w:rsid w:val="00F766BE"/>
    <w:rsid w:val="00F7761F"/>
    <w:rsid w:val="00F779A8"/>
    <w:rsid w:val="00F77EB9"/>
    <w:rsid w:val="00F80635"/>
    <w:rsid w:val="00F80BB2"/>
    <w:rsid w:val="00F80D3F"/>
    <w:rsid w:val="00F8115F"/>
    <w:rsid w:val="00F815D1"/>
    <w:rsid w:val="00F81DFD"/>
    <w:rsid w:val="00F81E13"/>
    <w:rsid w:val="00F81E7E"/>
    <w:rsid w:val="00F81F0F"/>
    <w:rsid w:val="00F825F4"/>
    <w:rsid w:val="00F82F02"/>
    <w:rsid w:val="00F838DF"/>
    <w:rsid w:val="00F83CE0"/>
    <w:rsid w:val="00F8474D"/>
    <w:rsid w:val="00F85005"/>
    <w:rsid w:val="00F8622A"/>
    <w:rsid w:val="00F86BC9"/>
    <w:rsid w:val="00F87941"/>
    <w:rsid w:val="00F90764"/>
    <w:rsid w:val="00F91E83"/>
    <w:rsid w:val="00F92AA1"/>
    <w:rsid w:val="00F932DE"/>
    <w:rsid w:val="00F943A0"/>
    <w:rsid w:val="00F95FF9"/>
    <w:rsid w:val="00F963DD"/>
    <w:rsid w:val="00F9641A"/>
    <w:rsid w:val="00F96AEC"/>
    <w:rsid w:val="00F96E9E"/>
    <w:rsid w:val="00F97004"/>
    <w:rsid w:val="00F97596"/>
    <w:rsid w:val="00FA05A0"/>
    <w:rsid w:val="00FA067D"/>
    <w:rsid w:val="00FA12D0"/>
    <w:rsid w:val="00FA2045"/>
    <w:rsid w:val="00FA2BB4"/>
    <w:rsid w:val="00FA3157"/>
    <w:rsid w:val="00FA4281"/>
    <w:rsid w:val="00FA4359"/>
    <w:rsid w:val="00FA51E6"/>
    <w:rsid w:val="00FA5AEB"/>
    <w:rsid w:val="00FA623D"/>
    <w:rsid w:val="00FA7767"/>
    <w:rsid w:val="00FA7A66"/>
    <w:rsid w:val="00FA7C5F"/>
    <w:rsid w:val="00FA7E7B"/>
    <w:rsid w:val="00FB1AA9"/>
    <w:rsid w:val="00FB27F3"/>
    <w:rsid w:val="00FB3653"/>
    <w:rsid w:val="00FB4B5A"/>
    <w:rsid w:val="00FB4D79"/>
    <w:rsid w:val="00FB5447"/>
    <w:rsid w:val="00FB5963"/>
    <w:rsid w:val="00FB5DAA"/>
    <w:rsid w:val="00FC04B9"/>
    <w:rsid w:val="00FC06A3"/>
    <w:rsid w:val="00FC08D8"/>
    <w:rsid w:val="00FC0E63"/>
    <w:rsid w:val="00FC161A"/>
    <w:rsid w:val="00FC1674"/>
    <w:rsid w:val="00FC23D5"/>
    <w:rsid w:val="00FC4337"/>
    <w:rsid w:val="00FC4C1A"/>
    <w:rsid w:val="00FC4F79"/>
    <w:rsid w:val="00FC628F"/>
    <w:rsid w:val="00FC6468"/>
    <w:rsid w:val="00FC666A"/>
    <w:rsid w:val="00FC6776"/>
    <w:rsid w:val="00FC6D49"/>
    <w:rsid w:val="00FC7DEF"/>
    <w:rsid w:val="00FD1642"/>
    <w:rsid w:val="00FD2CEF"/>
    <w:rsid w:val="00FD4922"/>
    <w:rsid w:val="00FD6461"/>
    <w:rsid w:val="00FD7D5F"/>
    <w:rsid w:val="00FE0281"/>
    <w:rsid w:val="00FE0706"/>
    <w:rsid w:val="00FE3B90"/>
    <w:rsid w:val="00FE42DF"/>
    <w:rsid w:val="00FE5308"/>
    <w:rsid w:val="00FE7083"/>
    <w:rsid w:val="00FE7E61"/>
    <w:rsid w:val="00FE7EDE"/>
    <w:rsid w:val="00FF019F"/>
    <w:rsid w:val="00FF1B2A"/>
    <w:rsid w:val="00FF1FC4"/>
    <w:rsid w:val="00FF2160"/>
    <w:rsid w:val="00FF2E31"/>
    <w:rsid w:val="00FF30DE"/>
    <w:rsid w:val="00FF3710"/>
    <w:rsid w:val="00FF44AF"/>
    <w:rsid w:val="00FF51CC"/>
    <w:rsid w:val="00FF5C77"/>
    <w:rsid w:val="00FF644B"/>
    <w:rsid w:val="00FF77E1"/>
    <w:rsid w:val="00FF7873"/>
    <w:rsid w:val="00FF7908"/>
    <w:rsid w:val="00FF7ABB"/>
    <w:rsid w:val="00FF7C8D"/>
    <w:rsid w:val="3412E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erazreenaomemba1">
    <w:name w:val="Nerazrešena omemba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7E097E"/>
    <w:rPr>
      <w:sz w:val="20"/>
      <w:szCs w:val="20"/>
    </w:rPr>
  </w:style>
  <w:style w:type="character" w:customStyle="1" w:styleId="FootnoteTextChar">
    <w:name w:val="Footnote Text Char"/>
    <w:basedOn w:val="DefaultParagraphFont"/>
    <w:link w:val="FootnoteText"/>
    <w:uiPriority w:val="99"/>
    <w:semiHidden/>
    <w:rsid w:val="007E097E"/>
    <w:rPr>
      <w:rFonts w:ascii="Calibri" w:hAnsi="Calibri" w:cs="Calibri"/>
      <w:color w:val="000000"/>
    </w:rPr>
  </w:style>
  <w:style w:type="character" w:styleId="FootnoteReference">
    <w:name w:val="footnote reference"/>
    <w:basedOn w:val="DefaultParagraphFont"/>
    <w:uiPriority w:val="99"/>
    <w:semiHidden/>
    <w:unhideWhenUsed/>
    <w:rsid w:val="007E097E"/>
    <w:rPr>
      <w:vertAlign w:val="superscript"/>
    </w:rPr>
  </w:style>
  <w:style w:type="character" w:styleId="PlaceholderText">
    <w:name w:val="Placeholder Text"/>
    <w:basedOn w:val="DefaultParagraphFont"/>
    <w:uiPriority w:val="99"/>
    <w:semiHidden/>
    <w:rsid w:val="00532686"/>
    <w:rPr>
      <w:color w:val="808080"/>
    </w:rPr>
  </w:style>
  <w:style w:type="paragraph" w:customStyle="1" w:styleId="EndNoteBibliographyTitle">
    <w:name w:val="EndNote Bibliography Title"/>
    <w:basedOn w:val="Normal"/>
    <w:link w:val="EndNoteBibliographyTitleChar"/>
    <w:rsid w:val="00120FFC"/>
    <w:pPr>
      <w:jc w:val="center"/>
    </w:pPr>
    <w:rPr>
      <w:noProof/>
    </w:rPr>
  </w:style>
  <w:style w:type="character" w:customStyle="1" w:styleId="EndNoteBibliographyTitleChar">
    <w:name w:val="EndNote Bibliography Title Char"/>
    <w:basedOn w:val="DefaultParagraphFont"/>
    <w:link w:val="EndNoteBibliographyTitle"/>
    <w:rsid w:val="00120FFC"/>
    <w:rPr>
      <w:rFonts w:ascii="Calibri" w:hAnsi="Calibri" w:cs="Calibri"/>
      <w:noProof/>
      <w:color w:val="000000"/>
      <w:sz w:val="24"/>
      <w:szCs w:val="24"/>
    </w:rPr>
  </w:style>
  <w:style w:type="paragraph" w:customStyle="1" w:styleId="EndNoteBibliography">
    <w:name w:val="EndNote Bibliography"/>
    <w:basedOn w:val="Normal"/>
    <w:link w:val="EndNoteBibliographyChar"/>
    <w:rsid w:val="00120FFC"/>
    <w:rPr>
      <w:noProof/>
    </w:rPr>
  </w:style>
  <w:style w:type="character" w:customStyle="1" w:styleId="EndNoteBibliographyChar">
    <w:name w:val="EndNote Bibliography Char"/>
    <w:basedOn w:val="DefaultParagraphFont"/>
    <w:link w:val="EndNoteBibliography"/>
    <w:rsid w:val="00120FFC"/>
    <w:rPr>
      <w:rFonts w:ascii="Calibri" w:hAnsi="Calibri" w:cs="Calibri"/>
      <w:noProof/>
      <w:color w:val="000000"/>
      <w:sz w:val="24"/>
      <w:szCs w:val="24"/>
    </w:rPr>
  </w:style>
  <w:style w:type="character" w:customStyle="1" w:styleId="tlid-translation">
    <w:name w:val="tlid-translation"/>
    <w:basedOn w:val="DefaultParagraphFont"/>
    <w:rsid w:val="00D1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9265793">
      <w:bodyDiv w:val="1"/>
      <w:marLeft w:val="0"/>
      <w:marRight w:val="0"/>
      <w:marTop w:val="0"/>
      <w:marBottom w:val="0"/>
      <w:divBdr>
        <w:top w:val="none" w:sz="0" w:space="0" w:color="auto"/>
        <w:left w:val="none" w:sz="0" w:space="0" w:color="auto"/>
        <w:bottom w:val="none" w:sz="0" w:space="0" w:color="auto"/>
        <w:right w:val="none" w:sz="0" w:space="0" w:color="auto"/>
      </w:divBdr>
    </w:div>
    <w:div w:id="5927838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3740">
      <w:bodyDiv w:val="1"/>
      <w:marLeft w:val="0"/>
      <w:marRight w:val="0"/>
      <w:marTop w:val="0"/>
      <w:marBottom w:val="0"/>
      <w:divBdr>
        <w:top w:val="none" w:sz="0" w:space="0" w:color="auto"/>
        <w:left w:val="none" w:sz="0" w:space="0" w:color="auto"/>
        <w:bottom w:val="none" w:sz="0" w:space="0" w:color="auto"/>
        <w:right w:val="none" w:sz="0" w:space="0" w:color="auto"/>
      </w:divBdr>
    </w:div>
    <w:div w:id="10990584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2888310">
      <w:bodyDiv w:val="1"/>
      <w:marLeft w:val="0"/>
      <w:marRight w:val="0"/>
      <w:marTop w:val="0"/>
      <w:marBottom w:val="0"/>
      <w:divBdr>
        <w:top w:val="none" w:sz="0" w:space="0" w:color="auto"/>
        <w:left w:val="none" w:sz="0" w:space="0" w:color="auto"/>
        <w:bottom w:val="none" w:sz="0" w:space="0" w:color="auto"/>
        <w:right w:val="none" w:sz="0" w:space="0" w:color="auto"/>
      </w:divBdr>
    </w:div>
    <w:div w:id="1548103608">
      <w:bodyDiv w:val="1"/>
      <w:marLeft w:val="0"/>
      <w:marRight w:val="0"/>
      <w:marTop w:val="0"/>
      <w:marBottom w:val="0"/>
      <w:divBdr>
        <w:top w:val="none" w:sz="0" w:space="0" w:color="auto"/>
        <w:left w:val="none" w:sz="0" w:space="0" w:color="auto"/>
        <w:bottom w:val="none" w:sz="0" w:space="0" w:color="auto"/>
        <w:right w:val="none" w:sz="0" w:space="0" w:color="auto"/>
      </w:divBdr>
    </w:div>
    <w:div w:id="16582236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155726">
      <w:bodyDiv w:val="1"/>
      <w:marLeft w:val="0"/>
      <w:marRight w:val="0"/>
      <w:marTop w:val="0"/>
      <w:marBottom w:val="0"/>
      <w:divBdr>
        <w:top w:val="none" w:sz="0" w:space="0" w:color="auto"/>
        <w:left w:val="none" w:sz="0" w:space="0" w:color="auto"/>
        <w:bottom w:val="none" w:sz="0" w:space="0" w:color="auto"/>
        <w:right w:val="none" w:sz="0" w:space="0" w:color="auto"/>
      </w:divBdr>
    </w:div>
    <w:div w:id="205292149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E58504-B5B8-4750-B422-4ACF1857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29318</Words>
  <Characters>167119</Characters>
  <Application>Microsoft Office Word</Application>
  <DocSecurity>0</DocSecurity>
  <Lines>1392</Lines>
  <Paragraphs>392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196045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2020-07-20T19:58:00Z</dcterms:created>
  <dcterms:modified xsi:type="dcterms:W3CDTF">2020-07-31T18:36:00Z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id="hfDAqXz9"/&gt;&lt;style id="http://www.zotero.org/styles/chicago-note-bibliography" locale="en-GB"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http://www.zotero.org/styles/nature</vt:lpwstr>
  </property>
  <property fmtid="{D5CDD505-2E9C-101B-9397-08002B2CF9AE}" pid="26" name="Mendeley Unique User Id_1">
    <vt:lpwstr>d637df38-920d-3ea8-9f50-90d377d999dc</vt:lpwstr>
  </property>
</Properties>
</file>