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76E75" w14:textId="4CDD0C45" w:rsidR="00FB0EDF" w:rsidRPr="007061A3" w:rsidRDefault="006317A5" w:rsidP="006317A5">
      <w:pPr>
        <w:rPr>
          <w:b/>
          <w:sz w:val="28"/>
          <w:szCs w:val="28"/>
          <w:lang w:val="en-US"/>
        </w:rPr>
      </w:pPr>
      <w:r w:rsidRPr="00FB0EDF">
        <w:rPr>
          <w:b/>
          <w:sz w:val="28"/>
          <w:szCs w:val="28"/>
          <w:lang w:val="en-US"/>
        </w:rPr>
        <w:t>Dear</w:t>
      </w:r>
      <w:r w:rsidR="007061A3">
        <w:rPr>
          <w:b/>
          <w:sz w:val="28"/>
          <w:szCs w:val="28"/>
          <w:lang w:val="en-US"/>
        </w:rPr>
        <w:t xml:space="preserve"> Dr.</w:t>
      </w:r>
      <w:r w:rsidRPr="00FB0EDF">
        <w:rPr>
          <w:b/>
          <w:sz w:val="28"/>
          <w:szCs w:val="28"/>
          <w:lang w:val="en-US"/>
        </w:rPr>
        <w:t xml:space="preserve"> Nam Nguyen</w:t>
      </w:r>
    </w:p>
    <w:p w14:paraId="29457305" w14:textId="77777777" w:rsidR="00FB0EDF" w:rsidRPr="00FB0EDF" w:rsidRDefault="00FB0EDF" w:rsidP="006317A5">
      <w:pPr>
        <w:rPr>
          <w:sz w:val="24"/>
          <w:szCs w:val="24"/>
          <w:lang w:val="en-US"/>
        </w:rPr>
      </w:pPr>
    </w:p>
    <w:p w14:paraId="685A4B99" w14:textId="5870C176" w:rsidR="00FB0EDF" w:rsidRPr="00901A3C" w:rsidRDefault="00FB0EDF" w:rsidP="001E5D69">
      <w:pPr>
        <w:spacing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We have corrected the manuscript according to editorial requirements. Please find the </w:t>
      </w:r>
      <w:r w:rsidR="007061A3" w:rsidRPr="00901A3C">
        <w:rPr>
          <w:sz w:val="24"/>
          <w:szCs w:val="24"/>
          <w:lang w:val="en-US"/>
        </w:rPr>
        <w:t>changes below.</w:t>
      </w:r>
    </w:p>
    <w:p w14:paraId="64EC9D85" w14:textId="344656F6" w:rsidR="007061A3" w:rsidRPr="00901A3C" w:rsidRDefault="007061A3" w:rsidP="00901A3C">
      <w:pPr>
        <w:jc w:val="both"/>
        <w:rPr>
          <w:b/>
          <w:sz w:val="24"/>
          <w:szCs w:val="24"/>
          <w:u w:val="single"/>
          <w:lang w:val="en-US"/>
        </w:rPr>
      </w:pPr>
      <w:r w:rsidRPr="00901A3C">
        <w:rPr>
          <w:b/>
          <w:sz w:val="24"/>
          <w:szCs w:val="24"/>
          <w:u w:val="single"/>
          <w:lang w:val="en-US"/>
        </w:rPr>
        <w:t>Response to editorial comments</w:t>
      </w:r>
    </w:p>
    <w:p w14:paraId="6B13230B" w14:textId="5A3F47D6" w:rsidR="006317A5" w:rsidRPr="00901A3C" w:rsidRDefault="006317A5" w:rsidP="00901A3C">
      <w:pPr>
        <w:spacing w:after="0"/>
        <w:jc w:val="both"/>
        <w:rPr>
          <w:sz w:val="24"/>
          <w:szCs w:val="24"/>
          <w:u w:val="single"/>
          <w:lang w:val="en-US"/>
        </w:rPr>
      </w:pPr>
      <w:r w:rsidRPr="00901A3C">
        <w:rPr>
          <w:sz w:val="24"/>
          <w:szCs w:val="24"/>
          <w:u w:val="single"/>
          <w:lang w:val="en-US"/>
        </w:rPr>
        <w:t>1. Please revise the followin</w:t>
      </w:r>
      <w:r w:rsidR="00FB0EDF" w:rsidRPr="00901A3C">
        <w:rPr>
          <w:sz w:val="24"/>
          <w:szCs w:val="24"/>
          <w:u w:val="single"/>
          <w:lang w:val="en-US"/>
        </w:rPr>
        <w:t>g lines to avoid previously pub</w:t>
      </w:r>
      <w:r w:rsidRPr="00901A3C">
        <w:rPr>
          <w:sz w:val="24"/>
          <w:szCs w:val="24"/>
          <w:u w:val="single"/>
          <w:lang w:val="en-US"/>
        </w:rPr>
        <w:t>li</w:t>
      </w:r>
      <w:r w:rsidR="00FB0EDF" w:rsidRPr="00901A3C">
        <w:rPr>
          <w:sz w:val="24"/>
          <w:szCs w:val="24"/>
          <w:u w:val="single"/>
          <w:lang w:val="en-US"/>
        </w:rPr>
        <w:t>s</w:t>
      </w:r>
      <w:r w:rsidRPr="00901A3C">
        <w:rPr>
          <w:sz w:val="24"/>
          <w:szCs w:val="24"/>
          <w:u w:val="single"/>
          <w:lang w:val="en-US"/>
        </w:rPr>
        <w:t xml:space="preserve">hed </w:t>
      </w:r>
      <w:r w:rsidR="007061A3" w:rsidRPr="00901A3C">
        <w:rPr>
          <w:sz w:val="24"/>
          <w:szCs w:val="24"/>
          <w:u w:val="single"/>
          <w:lang w:val="en-US"/>
        </w:rPr>
        <w:t>text.</w:t>
      </w:r>
    </w:p>
    <w:p w14:paraId="58343D81" w14:textId="77777777" w:rsidR="006317A5" w:rsidRPr="00901A3C" w:rsidRDefault="006317A5" w:rsidP="00901A3C">
      <w:pPr>
        <w:spacing w:after="0"/>
        <w:jc w:val="both"/>
        <w:rPr>
          <w:sz w:val="24"/>
          <w:szCs w:val="24"/>
          <w:u w:val="single"/>
          <w:lang w:val="en-US"/>
        </w:rPr>
      </w:pPr>
    </w:p>
    <w:p w14:paraId="672855E7" w14:textId="0982F6A2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38-41: </w:t>
      </w:r>
      <w:bookmarkStart w:id="0" w:name="_Hlk62037525"/>
      <w:r w:rsidRPr="00901A3C">
        <w:rPr>
          <w:rFonts w:eastAsia="Cambria" w:cs="Calibri"/>
          <w:sz w:val="24"/>
          <w:szCs w:val="24"/>
          <w:lang w:val="en-US"/>
        </w:rPr>
        <w:t>A process of dedifferentiation was initiated by activation of the novel</w:t>
      </w:r>
      <w:r w:rsidR="00FB0EDF" w:rsidRPr="00901A3C">
        <w:rPr>
          <w:rFonts w:eastAsia="Cambria" w:cs="Calibri"/>
          <w:sz w:val="24"/>
          <w:szCs w:val="24"/>
          <w:lang w:val="en-US"/>
        </w:rPr>
        <w:t xml:space="preserve"> human GPI-linked glycoprotein,</w:t>
      </w:r>
      <w:r w:rsidR="007061A3" w:rsidRPr="00901A3C">
        <w:rPr>
          <w:rFonts w:eastAsia="Cambria" w:cs="Calibri"/>
          <w:sz w:val="24"/>
          <w:szCs w:val="24"/>
          <w:lang w:val="en-US"/>
        </w:rPr>
        <w:t xml:space="preserve"> </w:t>
      </w:r>
      <w:r w:rsidRPr="00901A3C">
        <w:rPr>
          <w:rFonts w:eastAsia="Cambria" w:cs="Calibri"/>
          <w:sz w:val="24"/>
          <w:szCs w:val="24"/>
          <w:lang w:val="en-US"/>
        </w:rPr>
        <w:t>that leads to generation of pluripotent stem cells</w:t>
      </w:r>
      <w:r w:rsidRPr="00901A3C">
        <w:rPr>
          <w:rFonts w:eastAsia="Cambria" w:cs="Calibri"/>
          <w:sz w:val="24"/>
          <w:szCs w:val="24"/>
          <w:vertAlign w:val="superscript"/>
          <w:lang w:val="en-US"/>
        </w:rPr>
        <w:t>1</w:t>
      </w:r>
      <w:r w:rsidRPr="00901A3C">
        <w:rPr>
          <w:rFonts w:eastAsia="Cambria" w:cs="Calibri"/>
          <w:sz w:val="24"/>
          <w:szCs w:val="24"/>
          <w:lang w:val="en-US"/>
        </w:rPr>
        <w:t xml:space="preserve">. These blood-derived pluripotent stem cells (BD-PSCs) differentiate </w:t>
      </w:r>
      <w:r w:rsidRPr="00901A3C">
        <w:rPr>
          <w:rFonts w:eastAsia="Cambria" w:cs="Calibri"/>
          <w:i/>
          <w:sz w:val="24"/>
          <w:szCs w:val="24"/>
          <w:lang w:val="en-US"/>
        </w:rPr>
        <w:t>in vitro</w:t>
      </w:r>
      <w:r w:rsidRPr="00901A3C">
        <w:rPr>
          <w:rFonts w:eastAsia="Cambria" w:cs="Calibri"/>
          <w:sz w:val="24"/>
          <w:szCs w:val="24"/>
          <w:lang w:val="en-US"/>
        </w:rPr>
        <w:t xml:space="preserve"> into cells with neural phenotype as shown by brightfield and immunofluorescence microscopy.</w:t>
      </w:r>
      <w:bookmarkEnd w:id="0"/>
    </w:p>
    <w:p w14:paraId="1174692B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9F35FD4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47-48: </w:t>
      </w:r>
      <w:bookmarkStart w:id="1" w:name="_Hlk62037612"/>
      <w:r w:rsidRPr="00901A3C">
        <w:rPr>
          <w:rFonts w:eastAsia="Cambria" w:cs="Calibri"/>
          <w:sz w:val="24"/>
          <w:szCs w:val="24"/>
          <w:lang w:val="en-US"/>
        </w:rPr>
        <w:t>Development of basics and pre-clinical stem cell research</w:t>
      </w:r>
      <w:r w:rsidR="00FB0EDF" w:rsidRPr="00901A3C">
        <w:rPr>
          <w:rFonts w:eastAsia="Cambria" w:cs="Calibri"/>
          <w:sz w:val="24"/>
          <w:szCs w:val="24"/>
          <w:lang w:val="en-US"/>
        </w:rPr>
        <w:t xml:space="preserve"> methods</w:t>
      </w:r>
      <w:r w:rsidRPr="00901A3C">
        <w:rPr>
          <w:rFonts w:eastAsia="Cambria" w:cs="Calibri"/>
          <w:sz w:val="24"/>
          <w:szCs w:val="24"/>
          <w:lang w:val="en-US"/>
        </w:rPr>
        <w:t xml:space="preserve"> encourages the perspective for the clinical application of stem cell-based therapies for neurological diseases.</w:t>
      </w:r>
      <w:bookmarkEnd w:id="1"/>
      <w:r w:rsidRPr="00901A3C">
        <w:rPr>
          <w:rFonts w:eastAsia="Cambria" w:cs="Calibri"/>
          <w:sz w:val="24"/>
          <w:szCs w:val="24"/>
          <w:lang w:val="en-US"/>
        </w:rPr>
        <w:t xml:space="preserve"> </w:t>
      </w:r>
    </w:p>
    <w:p w14:paraId="48B00D40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4F923CC" w14:textId="77777777" w:rsidR="006317A5" w:rsidRPr="00901A3C" w:rsidRDefault="006317A5" w:rsidP="001E5D69">
      <w:pPr>
        <w:spacing w:after="0" w:line="240" w:lineRule="auto"/>
        <w:jc w:val="both"/>
        <w:rPr>
          <w:rFonts w:eastAsia="Cambria" w:cs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60-64: </w:t>
      </w:r>
      <w:bookmarkStart w:id="2" w:name="_Hlk62037678"/>
      <w:r w:rsidRPr="00901A3C">
        <w:rPr>
          <w:rFonts w:eastAsia="Cambria" w:cs="Calibri"/>
          <w:sz w:val="24"/>
          <w:szCs w:val="24"/>
          <w:lang w:val="en-US"/>
        </w:rPr>
        <w:t>Degenerative neurological diseases are difficult to cure using standard pharmacological approaches. New therapeutic strategies f</w:t>
      </w:r>
      <w:r w:rsidR="00FB0EDF" w:rsidRPr="00901A3C">
        <w:rPr>
          <w:rFonts w:eastAsia="Cambria" w:cs="Calibri"/>
          <w:sz w:val="24"/>
          <w:szCs w:val="24"/>
          <w:lang w:val="en-US"/>
        </w:rPr>
        <w:t>or embracing many immedicable</w:t>
      </w:r>
      <w:r w:rsidRPr="00901A3C">
        <w:rPr>
          <w:rFonts w:eastAsia="Cambria" w:cs="Calibri"/>
          <w:sz w:val="24"/>
          <w:szCs w:val="24"/>
          <w:lang w:val="en-US"/>
        </w:rPr>
        <w:t xml:space="preserve"> neurological disorders are based on cell replacement therapies of diseased and injured tissue.</w:t>
      </w:r>
      <w:bookmarkEnd w:id="2"/>
      <w:r w:rsidRPr="00901A3C">
        <w:rPr>
          <w:rFonts w:eastAsia="Cambria" w:cs="Calibri"/>
          <w:sz w:val="24"/>
          <w:szCs w:val="24"/>
          <w:lang w:val="en-US"/>
        </w:rPr>
        <w:t xml:space="preserve"> </w:t>
      </w:r>
    </w:p>
    <w:p w14:paraId="04DF10E5" w14:textId="77777777" w:rsidR="006317A5" w:rsidRPr="00901A3C" w:rsidRDefault="006317A5" w:rsidP="001E5D69">
      <w:pPr>
        <w:spacing w:after="0" w:line="240" w:lineRule="auto"/>
        <w:jc w:val="both"/>
        <w:rPr>
          <w:rFonts w:eastAsia="Cambria" w:cs="Calibri"/>
          <w:sz w:val="24"/>
          <w:szCs w:val="24"/>
          <w:lang w:val="en-US"/>
        </w:rPr>
      </w:pPr>
    </w:p>
    <w:p w14:paraId="7C97D51D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65: damaged cells and provide</w:t>
      </w:r>
    </w:p>
    <w:p w14:paraId="67D7B504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948417A" w14:textId="7D640C7F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71-74: </w:t>
      </w:r>
      <w:bookmarkStart w:id="3" w:name="_Hlk62037732"/>
      <w:r w:rsidRPr="00901A3C">
        <w:rPr>
          <w:rFonts w:eastAsia="Cambria" w:cs="Calibri"/>
          <w:sz w:val="24"/>
          <w:szCs w:val="24"/>
          <w:lang w:val="en-US"/>
        </w:rPr>
        <w:t>Cell replacement therapy is still a challenging issue. Though ESC</w:t>
      </w:r>
      <w:r w:rsidR="00FB0EDF" w:rsidRPr="00901A3C">
        <w:rPr>
          <w:rFonts w:eastAsia="Cambria" w:cs="Calibri"/>
          <w:sz w:val="24"/>
          <w:szCs w:val="24"/>
          <w:lang w:val="en-US"/>
        </w:rPr>
        <w:t>, fetal,</w:t>
      </w:r>
      <w:r w:rsidRPr="00901A3C">
        <w:rPr>
          <w:rFonts w:eastAsia="Cambria" w:cs="Calibri"/>
          <w:sz w:val="24"/>
          <w:szCs w:val="24"/>
          <w:lang w:val="en-US"/>
        </w:rPr>
        <w:t xml:space="preserve"> or </w:t>
      </w:r>
      <w:proofErr w:type="spellStart"/>
      <w:r w:rsidRPr="00901A3C">
        <w:rPr>
          <w:rFonts w:eastAsia="Cambria" w:cs="Calibri"/>
          <w:sz w:val="24"/>
          <w:szCs w:val="24"/>
          <w:lang w:val="en-US"/>
        </w:rPr>
        <w:t>iPS</w:t>
      </w:r>
      <w:proofErr w:type="spellEnd"/>
      <w:r w:rsidRPr="00901A3C">
        <w:rPr>
          <w:rFonts w:eastAsia="Cambria" w:cs="Calibri"/>
          <w:sz w:val="24"/>
          <w:szCs w:val="24"/>
          <w:lang w:val="en-US"/>
        </w:rPr>
        <w:t xml:space="preserve"> can be a source for</w:t>
      </w:r>
      <w:r w:rsidR="00BE4410" w:rsidRPr="00901A3C">
        <w:rPr>
          <w:rFonts w:eastAsia="Cambria" w:cs="Calibri"/>
          <w:sz w:val="24"/>
          <w:szCs w:val="24"/>
          <w:lang w:val="en-US"/>
        </w:rPr>
        <w:t xml:space="preserve"> generation of neuronal cells for treating</w:t>
      </w:r>
      <w:r w:rsidR="00FB0EDF" w:rsidRPr="00901A3C">
        <w:rPr>
          <w:rFonts w:eastAsia="Cambria" w:cs="Calibri"/>
          <w:sz w:val="24"/>
          <w:szCs w:val="24"/>
          <w:lang w:val="en-US"/>
        </w:rPr>
        <w:t xml:space="preserve"> </w:t>
      </w:r>
      <w:r w:rsidRPr="00901A3C">
        <w:rPr>
          <w:rFonts w:eastAsia="Cambria" w:cs="Calibri"/>
          <w:sz w:val="24"/>
          <w:szCs w:val="24"/>
          <w:lang w:val="en-US"/>
        </w:rPr>
        <w:t>many incurable neurological</w:t>
      </w:r>
      <w:r w:rsidR="00BE4410" w:rsidRPr="00901A3C">
        <w:rPr>
          <w:rFonts w:eastAsia="Cambria" w:cs="Calibri"/>
          <w:sz w:val="24"/>
          <w:szCs w:val="24"/>
          <w:lang w:val="en-US"/>
        </w:rPr>
        <w:t xml:space="preserve"> diseases, </w:t>
      </w:r>
      <w:r w:rsidRPr="00901A3C">
        <w:rPr>
          <w:rFonts w:eastAsia="Cambria" w:cs="Calibri"/>
          <w:sz w:val="24"/>
          <w:szCs w:val="24"/>
          <w:lang w:val="en-US"/>
        </w:rPr>
        <w:t>autologous adult SCs cell repl</w:t>
      </w:r>
      <w:r w:rsidR="00BE4410" w:rsidRPr="00901A3C">
        <w:rPr>
          <w:rFonts w:eastAsia="Cambria" w:cs="Calibri"/>
          <w:sz w:val="24"/>
          <w:szCs w:val="24"/>
          <w:lang w:val="en-US"/>
        </w:rPr>
        <w:t xml:space="preserve">acement of damaged tissues is </w:t>
      </w:r>
      <w:r w:rsidRPr="00901A3C">
        <w:rPr>
          <w:rFonts w:eastAsia="Cambria" w:cs="Calibri"/>
          <w:sz w:val="24"/>
          <w:szCs w:val="24"/>
          <w:lang w:val="en-US"/>
        </w:rPr>
        <w:t>better alternative that circumvent immunological, ethical and safety concerns.</w:t>
      </w:r>
    </w:p>
    <w:bookmarkEnd w:id="3"/>
    <w:p w14:paraId="4404DC28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97EC785" w14:textId="1AA9069E" w:rsidR="006317A5" w:rsidRPr="00901A3C" w:rsidRDefault="006317A5" w:rsidP="001E5D69">
      <w:pPr>
        <w:spacing w:after="0" w:line="240" w:lineRule="auto"/>
        <w:jc w:val="both"/>
        <w:rPr>
          <w:rFonts w:eastAsia="Cambria" w:cs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76-80: </w:t>
      </w:r>
      <w:bookmarkStart w:id="4" w:name="_Hlk62037822"/>
      <w:r w:rsidRPr="00901A3C">
        <w:rPr>
          <w:rFonts w:eastAsia="Cambria" w:cs="Calibri"/>
          <w:sz w:val="24"/>
          <w:szCs w:val="24"/>
          <w:lang w:val="en-US"/>
        </w:rPr>
        <w:t xml:space="preserve">Activation of human GPI-linked protein by antibody-crosslinking </w:t>
      </w:r>
      <w:r w:rsidRPr="00901A3C">
        <w:rPr>
          <w:rFonts w:eastAsia="Cambria" w:cs="Calibri"/>
          <w:i/>
          <w:iCs/>
          <w:sz w:val="24"/>
          <w:szCs w:val="24"/>
          <w:lang w:val="en-US"/>
        </w:rPr>
        <w:t>via</w:t>
      </w:r>
      <w:r w:rsidRPr="00901A3C">
        <w:rPr>
          <w:rFonts w:eastAsia="Cambria" w:cs="Calibri"/>
          <w:sz w:val="24"/>
          <w:szCs w:val="24"/>
          <w:lang w:val="en-US"/>
        </w:rPr>
        <w:t xml:space="preserve"> phosphorylation of </w:t>
      </w:r>
      <w:proofErr w:type="spellStart"/>
      <w:r w:rsidR="00BE4410" w:rsidRPr="00901A3C">
        <w:rPr>
          <w:rFonts w:eastAsia="Cambria" w:cs="Calibri"/>
          <w:sz w:val="24"/>
          <w:szCs w:val="24"/>
          <w:lang w:val="en-US"/>
        </w:rPr>
        <w:t>PLC</w:t>
      </w:r>
      <w:r w:rsidR="00193692">
        <w:rPr>
          <w:rFonts w:eastAsia="Cambria" w:cstheme="minorHAnsi"/>
          <w:sz w:val="24"/>
          <w:szCs w:val="24"/>
          <w:lang w:val="en-US"/>
        </w:rPr>
        <w:t>γ</w:t>
      </w:r>
      <w:proofErr w:type="spellEnd"/>
      <w:r w:rsidR="00BE4410" w:rsidRPr="00901A3C">
        <w:rPr>
          <w:rFonts w:eastAsia="Cambria" w:cs="Calibri"/>
          <w:sz w:val="24"/>
          <w:szCs w:val="24"/>
          <w:lang w:val="en-US"/>
        </w:rPr>
        <w:t>/</w:t>
      </w:r>
      <w:r w:rsidRPr="00901A3C">
        <w:rPr>
          <w:rFonts w:eastAsia="Cambria" w:cs="Calibri"/>
          <w:sz w:val="24"/>
          <w:szCs w:val="24"/>
          <w:lang w:val="en-US"/>
        </w:rPr>
        <w:t>PI3K/Akt/</w:t>
      </w:r>
      <w:proofErr w:type="spellStart"/>
      <w:r w:rsidRPr="00901A3C">
        <w:rPr>
          <w:rFonts w:eastAsia="Cambria" w:cs="Calibri"/>
          <w:sz w:val="24"/>
          <w:szCs w:val="24"/>
          <w:lang w:val="en-US"/>
        </w:rPr>
        <w:t>mTor</w:t>
      </w:r>
      <w:proofErr w:type="spellEnd"/>
      <w:r w:rsidRPr="00901A3C">
        <w:rPr>
          <w:rFonts w:eastAsia="Cambria" w:cs="Calibri"/>
          <w:sz w:val="24"/>
          <w:szCs w:val="24"/>
          <w:lang w:val="en-US"/>
        </w:rPr>
        <w:t>/PTEN initiates a dedifferentiation of blood progenitor cells and generation of blood-derived pluripotent stem cells (BD-PSCs)</w:t>
      </w:r>
      <w:r w:rsidR="007061A3" w:rsidRPr="00901A3C">
        <w:rPr>
          <w:rFonts w:eastAsia="Cambria" w:cs="Calibri"/>
          <w:sz w:val="24"/>
          <w:szCs w:val="24"/>
          <w:vertAlign w:val="superscript"/>
          <w:lang w:val="en-US"/>
        </w:rPr>
        <w:t>1.</w:t>
      </w:r>
      <w:r w:rsidRPr="00901A3C">
        <w:rPr>
          <w:rFonts w:eastAsia="Cambria" w:cs="Calibri"/>
          <w:sz w:val="24"/>
          <w:szCs w:val="24"/>
          <w:lang w:val="en-US"/>
        </w:rPr>
        <w:t xml:space="preserve"> These cells differentiate </w:t>
      </w:r>
      <w:r w:rsidRPr="00901A3C">
        <w:rPr>
          <w:rFonts w:eastAsia="Cambria" w:cs="Calibri"/>
          <w:i/>
          <w:sz w:val="24"/>
          <w:szCs w:val="24"/>
          <w:lang w:val="en-US"/>
        </w:rPr>
        <w:t>in vitro</w:t>
      </w:r>
      <w:r w:rsidRPr="00901A3C">
        <w:rPr>
          <w:rFonts w:eastAsia="Cambria" w:cs="Calibri"/>
          <w:sz w:val="24"/>
          <w:szCs w:val="24"/>
          <w:lang w:val="en-US"/>
        </w:rPr>
        <w:t xml:space="preserve"> toward neuronal cells as confirmed </w:t>
      </w:r>
      <w:r w:rsidRPr="00901A3C">
        <w:rPr>
          <w:rFonts w:eastAsia="Cambria" w:cs="Calibri"/>
          <w:sz w:val="24"/>
          <w:szCs w:val="24"/>
          <w:lang w:val="en-GB"/>
        </w:rPr>
        <w:t xml:space="preserve">by means of </w:t>
      </w:r>
      <w:r w:rsidRPr="00901A3C">
        <w:rPr>
          <w:rFonts w:eastAsia="Cambria" w:cs="Calibri"/>
          <w:sz w:val="24"/>
          <w:szCs w:val="24"/>
          <w:lang w:val="en-US"/>
        </w:rPr>
        <w:t>brightfield, immunofluorescence and transmission electron microscopy (TEM) analysis.</w:t>
      </w:r>
    </w:p>
    <w:bookmarkEnd w:id="4"/>
    <w:p w14:paraId="5FB8FCC0" w14:textId="77777777" w:rsidR="006317A5" w:rsidRPr="00901A3C" w:rsidRDefault="006317A5" w:rsidP="001E5D69">
      <w:pPr>
        <w:spacing w:after="0" w:line="240" w:lineRule="auto"/>
        <w:jc w:val="both"/>
        <w:rPr>
          <w:rFonts w:eastAsia="Cambria" w:cs="Calibri"/>
          <w:sz w:val="24"/>
          <w:szCs w:val="24"/>
          <w:lang w:val="en-US"/>
        </w:rPr>
      </w:pPr>
    </w:p>
    <w:p w14:paraId="56C53DDF" w14:textId="7C881502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248-249: We observe the morphological changes from D2 to D30 with more complex structure including ramification</w:t>
      </w:r>
      <w:r w:rsidR="00BE4410" w:rsidRPr="00901A3C">
        <w:rPr>
          <w:sz w:val="24"/>
          <w:szCs w:val="24"/>
          <w:lang w:val="en-US"/>
        </w:rPr>
        <w:t>,</w:t>
      </w:r>
      <w:r w:rsidRPr="00901A3C">
        <w:rPr>
          <w:sz w:val="24"/>
          <w:szCs w:val="24"/>
          <w:lang w:val="en-US"/>
        </w:rPr>
        <w:t xml:space="preserve"> implying an active process toward differen</w:t>
      </w:r>
      <w:r w:rsidR="00BE4410" w:rsidRPr="00901A3C">
        <w:rPr>
          <w:sz w:val="24"/>
          <w:szCs w:val="24"/>
          <w:lang w:val="en-US"/>
        </w:rPr>
        <w:t xml:space="preserve">tiation to neuronal </w:t>
      </w:r>
      <w:r w:rsidR="007061A3" w:rsidRPr="00901A3C">
        <w:rPr>
          <w:sz w:val="24"/>
          <w:szCs w:val="24"/>
          <w:lang w:val="en-US"/>
        </w:rPr>
        <w:t>lineages throughout</w:t>
      </w:r>
      <w:r w:rsidRPr="00901A3C">
        <w:rPr>
          <w:sz w:val="24"/>
          <w:szCs w:val="24"/>
          <w:lang w:val="en-US"/>
        </w:rPr>
        <w:t xml:space="preserve"> culture time period.</w:t>
      </w:r>
    </w:p>
    <w:p w14:paraId="67E371F8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B982EC2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265-267: </w:t>
      </w:r>
      <w:r w:rsidRPr="00901A3C">
        <w:rPr>
          <w:rFonts w:eastAsia="Times New Roman" w:cs="Calibri"/>
          <w:bCs/>
          <w:sz w:val="24"/>
          <w:szCs w:val="24"/>
          <w:lang w:val="en-GB"/>
        </w:rPr>
        <w:t>Tuj1 is typical neuronal cell marker. Its function is to stabilize microtubili in neuronal cell body and axons. It is also implicated in axonal transport</w:t>
      </w:r>
      <w:r w:rsidRPr="00901A3C">
        <w:rPr>
          <w:rFonts w:eastAsia="Times New Roman" w:cs="Calibri"/>
          <w:bCs/>
          <w:sz w:val="24"/>
          <w:szCs w:val="24"/>
          <w:vertAlign w:val="superscript"/>
          <w:lang w:val="en-US"/>
        </w:rPr>
        <w:t>11</w:t>
      </w:r>
      <w:r w:rsidRPr="00901A3C">
        <w:rPr>
          <w:rFonts w:eastAsia="Times New Roman" w:cs="Calibri"/>
          <w:bCs/>
          <w:sz w:val="24"/>
          <w:szCs w:val="24"/>
          <w:lang w:val="en-GB"/>
        </w:rPr>
        <w:t xml:space="preserve">. </w:t>
      </w:r>
    </w:p>
    <w:p w14:paraId="38467F06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383EC04" w14:textId="5305456E" w:rsidR="006317A5" w:rsidRPr="00901A3C" w:rsidRDefault="006317A5" w:rsidP="001E5D69">
      <w:p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271-273: </w:t>
      </w:r>
      <w:proofErr w:type="spellStart"/>
      <w:r w:rsidRPr="00901A3C">
        <w:rPr>
          <w:rFonts w:eastAsia="Times New Roman" w:cs="Calibri"/>
          <w:bCs/>
          <w:sz w:val="24"/>
          <w:szCs w:val="24"/>
          <w:lang w:val="en-US"/>
        </w:rPr>
        <w:t>Nestin</w:t>
      </w:r>
      <w:proofErr w:type="spellEnd"/>
      <w:r w:rsidRPr="00901A3C">
        <w:rPr>
          <w:rFonts w:eastAsia="Times New Roman" w:cs="Calibri"/>
          <w:bCs/>
          <w:sz w:val="24"/>
          <w:szCs w:val="24"/>
          <w:lang w:val="en-US"/>
        </w:rPr>
        <w:t xml:space="preserve"> </w:t>
      </w:r>
      <w:r w:rsidRPr="00901A3C">
        <w:rPr>
          <w:rFonts w:eastAsia="Times New Roman" w:cs="Calibri"/>
          <w:bCs/>
          <w:sz w:val="24"/>
          <w:szCs w:val="24"/>
          <w:lang w:val="en-GB"/>
        </w:rPr>
        <w:t xml:space="preserve">was first characterized in </w:t>
      </w:r>
      <w:r w:rsidRPr="00901A3C">
        <w:rPr>
          <w:rFonts w:eastAsia="Times New Roman" w:cs="Calibri"/>
          <w:bCs/>
          <w:sz w:val="24"/>
          <w:szCs w:val="24"/>
          <w:lang w:val="en-US"/>
        </w:rPr>
        <w:t xml:space="preserve">NSCs </w:t>
      </w:r>
      <w:r w:rsidRPr="00901A3C">
        <w:rPr>
          <w:rFonts w:eastAsia="Times New Roman" w:cs="Calibri"/>
          <w:bCs/>
          <w:sz w:val="24"/>
          <w:szCs w:val="24"/>
          <w:lang w:val="en-GB"/>
        </w:rPr>
        <w:t xml:space="preserve">and </w:t>
      </w:r>
      <w:r w:rsidR="009D5B81" w:rsidRPr="00901A3C">
        <w:rPr>
          <w:rFonts w:eastAsia="Times New Roman" w:cs="Calibri"/>
          <w:bCs/>
          <w:sz w:val="24"/>
          <w:szCs w:val="24"/>
          <w:lang w:val="en-US"/>
        </w:rPr>
        <w:t>represents</w:t>
      </w:r>
      <w:r w:rsidRPr="00901A3C">
        <w:rPr>
          <w:rFonts w:eastAsia="Times New Roman" w:cs="Calibri"/>
          <w:bCs/>
          <w:sz w:val="24"/>
          <w:szCs w:val="24"/>
          <w:lang w:val="en-US"/>
        </w:rPr>
        <w:t xml:space="preserve"> a</w:t>
      </w:r>
      <w:r w:rsidRPr="00901A3C">
        <w:rPr>
          <w:rFonts w:cs="Calibri"/>
          <w:sz w:val="24"/>
          <w:szCs w:val="24"/>
          <w:lang w:val="en-US"/>
        </w:rPr>
        <w:t xml:space="preserve"> neuro epithelial stem cell protein, </w:t>
      </w:r>
      <w:r w:rsidRPr="00901A3C">
        <w:rPr>
          <w:rFonts w:cs="Calibri"/>
          <w:sz w:val="24"/>
          <w:szCs w:val="24"/>
          <w:lang w:val="en-GB"/>
        </w:rPr>
        <w:t xml:space="preserve">which belongs to </w:t>
      </w:r>
      <w:r w:rsidRPr="00901A3C">
        <w:rPr>
          <w:rFonts w:cs="Calibri"/>
          <w:sz w:val="24"/>
          <w:szCs w:val="24"/>
          <w:lang w:val="en-US"/>
        </w:rPr>
        <w:t>intermediate filament (IF) protein</w:t>
      </w:r>
      <w:r w:rsidRPr="00901A3C">
        <w:rPr>
          <w:rFonts w:cs="Calibri"/>
          <w:sz w:val="24"/>
          <w:szCs w:val="24"/>
          <w:vertAlign w:val="superscript"/>
          <w:lang w:val="en-US"/>
        </w:rPr>
        <w:t>12</w:t>
      </w:r>
      <w:r w:rsidR="009D5B81" w:rsidRPr="00901A3C">
        <w:rPr>
          <w:rFonts w:cs="Calibri"/>
          <w:sz w:val="24"/>
          <w:szCs w:val="24"/>
          <w:lang w:val="en-US"/>
        </w:rPr>
        <w:t xml:space="preserve"> distinguishing neuronal progenitor </w:t>
      </w:r>
      <w:r w:rsidR="007061A3" w:rsidRPr="00901A3C">
        <w:rPr>
          <w:rFonts w:cs="Calibri"/>
          <w:sz w:val="24"/>
          <w:szCs w:val="24"/>
          <w:lang w:val="en-US"/>
        </w:rPr>
        <w:t>cells from</w:t>
      </w:r>
      <w:r w:rsidR="009D5B81" w:rsidRPr="00901A3C">
        <w:rPr>
          <w:rFonts w:cs="Calibri"/>
          <w:sz w:val="24"/>
          <w:szCs w:val="24"/>
          <w:lang w:val="en-US"/>
        </w:rPr>
        <w:t xml:space="preserve"> more differentiated neuronal cells.</w:t>
      </w:r>
    </w:p>
    <w:p w14:paraId="7701F8F7" w14:textId="146943C4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rFonts w:cs="Calibri"/>
          <w:sz w:val="24"/>
          <w:szCs w:val="24"/>
          <w:lang w:val="en-US"/>
        </w:rPr>
        <w:t xml:space="preserve">274: involved instead of </w:t>
      </w:r>
      <w:proofErr w:type="gramStart"/>
      <w:r w:rsidRPr="00901A3C">
        <w:rPr>
          <w:rFonts w:cs="Calibri"/>
          <w:sz w:val="24"/>
          <w:szCs w:val="24"/>
          <w:lang w:val="en-US"/>
        </w:rPr>
        <w:t>implicated</w:t>
      </w:r>
      <w:proofErr w:type="gramEnd"/>
    </w:p>
    <w:p w14:paraId="21B91FAE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6012B1B" w14:textId="4310F27C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lastRenderedPageBreak/>
        <w:t>2. „Me</w:t>
      </w:r>
      <w:r w:rsidR="009D5B81" w:rsidRPr="00901A3C">
        <w:rPr>
          <w:sz w:val="24"/>
          <w:szCs w:val="24"/>
          <w:lang w:val="en-US"/>
        </w:rPr>
        <w:t xml:space="preserve">thod </w:t>
      </w:r>
      <w:r w:rsidR="007061A3" w:rsidRPr="00901A3C">
        <w:rPr>
          <w:sz w:val="24"/>
          <w:szCs w:val="24"/>
          <w:lang w:val="en-US"/>
        </w:rPr>
        <w:t>for “is</w:t>
      </w:r>
      <w:r w:rsidR="009D5B81" w:rsidRPr="00901A3C">
        <w:rPr>
          <w:sz w:val="24"/>
          <w:szCs w:val="24"/>
          <w:lang w:val="en-US"/>
        </w:rPr>
        <w:t xml:space="preserve"> removed from the</w:t>
      </w:r>
      <w:r w:rsidRPr="00901A3C">
        <w:rPr>
          <w:sz w:val="24"/>
          <w:szCs w:val="24"/>
          <w:lang w:val="en-US"/>
        </w:rPr>
        <w:t xml:space="preserve"> </w:t>
      </w:r>
      <w:r w:rsidR="007061A3" w:rsidRPr="00901A3C">
        <w:rPr>
          <w:sz w:val="24"/>
          <w:szCs w:val="24"/>
          <w:lang w:val="en-US"/>
        </w:rPr>
        <w:t>title.</w:t>
      </w:r>
    </w:p>
    <w:p w14:paraId="7C3350F1" w14:textId="77777777" w:rsidR="007061A3" w:rsidRPr="00901A3C" w:rsidRDefault="007061A3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9C8934B" w14:textId="4F8DE84A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3. Ethics statement</w:t>
      </w:r>
    </w:p>
    <w:p w14:paraId="5C4A3DF5" w14:textId="0297D305" w:rsidR="009D5B81" w:rsidRPr="00901A3C" w:rsidRDefault="007061A3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91: </w:t>
      </w:r>
      <w:bookmarkStart w:id="5" w:name="_Hlk62037853"/>
      <w:r w:rsidRPr="00901A3C">
        <w:rPr>
          <w:sz w:val="24"/>
          <w:szCs w:val="24"/>
          <w:lang w:val="en-US"/>
        </w:rPr>
        <w:t>(ethic approvals were obtained when performing the experiments).</w:t>
      </w:r>
      <w:bookmarkEnd w:id="5"/>
    </w:p>
    <w:p w14:paraId="2737BD37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C7B503C" w14:textId="77777777" w:rsidR="007061A3" w:rsidRPr="00901A3C" w:rsidRDefault="006317A5" w:rsidP="001E5D69">
      <w:pPr>
        <w:tabs>
          <w:tab w:val="left" w:pos="1080"/>
          <w:tab w:val="left" w:pos="117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4. </w:t>
      </w:r>
    </w:p>
    <w:p w14:paraId="2062BF53" w14:textId="158723F6" w:rsidR="006317A5" w:rsidRPr="00901A3C" w:rsidRDefault="006317A5" w:rsidP="001E5D69">
      <w:pPr>
        <w:tabs>
          <w:tab w:val="left" w:pos="1080"/>
          <w:tab w:val="left" w:pos="117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1.3 </w:t>
      </w:r>
      <w:r w:rsidRPr="00901A3C">
        <w:rPr>
          <w:rFonts w:eastAsia="Arial" w:cs="Calibri"/>
          <w:sz w:val="24"/>
          <w:szCs w:val="24"/>
          <w:lang w:val="en-US"/>
        </w:rPr>
        <w:t xml:space="preserve">Isolate PBMNCs by density gradient media, use 10 mL of media with 25 mL of 1:1 blood diluted with phosphate buffer saline (PBS), centrifuge at 300 x </w:t>
      </w:r>
      <w:r w:rsidRPr="00901A3C">
        <w:rPr>
          <w:rFonts w:eastAsia="Arial" w:cs="Calibri"/>
          <w:i/>
          <w:sz w:val="24"/>
          <w:szCs w:val="24"/>
          <w:lang w:val="en-US"/>
        </w:rPr>
        <w:t>g</w:t>
      </w:r>
      <w:r w:rsidRPr="00901A3C">
        <w:rPr>
          <w:rFonts w:eastAsia="Arial" w:cs="Calibri"/>
          <w:sz w:val="24"/>
          <w:szCs w:val="24"/>
          <w:lang w:val="en-US"/>
        </w:rPr>
        <w:t xml:space="preserve"> for 30 min.</w:t>
      </w:r>
    </w:p>
    <w:p w14:paraId="07528C8D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B133998" w14:textId="77777777" w:rsidR="007061A3" w:rsidRPr="00901A3C" w:rsidRDefault="006317A5" w:rsidP="001E5D69">
      <w:pPr>
        <w:tabs>
          <w:tab w:val="left" w:pos="1080"/>
          <w:tab w:val="left" w:pos="117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5. </w:t>
      </w:r>
    </w:p>
    <w:p w14:paraId="04E6B5F3" w14:textId="42DA1F7B" w:rsidR="006317A5" w:rsidRPr="00901A3C" w:rsidRDefault="006317A5" w:rsidP="001E5D69">
      <w:pPr>
        <w:tabs>
          <w:tab w:val="left" w:pos="1080"/>
          <w:tab w:val="left" w:pos="117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1.4 </w:t>
      </w:r>
      <w:r w:rsidRPr="00901A3C">
        <w:rPr>
          <w:rFonts w:eastAsia="Arial" w:cs="Calibri"/>
          <w:sz w:val="24"/>
          <w:szCs w:val="24"/>
          <w:lang w:val="en-US"/>
        </w:rPr>
        <w:t xml:space="preserve">Isolate the interphase layer between plasma and density gradient media by pipetting and wash the isolated cells with </w:t>
      </w:r>
      <w:r w:rsidR="00DA57A5" w:rsidRPr="00901A3C">
        <w:rPr>
          <w:rFonts w:eastAsia="Arial" w:cs="Calibri"/>
          <w:sz w:val="24"/>
          <w:szCs w:val="24"/>
          <w:lang w:val="en-US"/>
        </w:rPr>
        <w:t>5 ml sterile PBS and centrifuge</w:t>
      </w:r>
      <w:r w:rsidRPr="00901A3C">
        <w:rPr>
          <w:rFonts w:eastAsia="Arial" w:cs="Calibri"/>
          <w:sz w:val="24"/>
          <w:szCs w:val="24"/>
          <w:lang w:val="en-US"/>
        </w:rPr>
        <w:t xml:space="preserve"> </w:t>
      </w:r>
      <w:r w:rsidR="00DA57A5" w:rsidRPr="00901A3C">
        <w:rPr>
          <w:rFonts w:eastAsia="Arial" w:cs="Calibri"/>
          <w:sz w:val="24"/>
          <w:szCs w:val="24"/>
          <w:lang w:val="en-US"/>
        </w:rPr>
        <w:t xml:space="preserve">at 300 x g for 10 min. Repeat twice. </w:t>
      </w:r>
    </w:p>
    <w:p w14:paraId="21DECBA6" w14:textId="77777777" w:rsidR="006317A5" w:rsidRPr="00901A3C" w:rsidRDefault="006317A5" w:rsidP="001E5D69">
      <w:pPr>
        <w:tabs>
          <w:tab w:val="left" w:pos="1080"/>
          <w:tab w:val="left" w:pos="117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</w:p>
    <w:p w14:paraId="4B0AAF82" w14:textId="77777777" w:rsidR="007061A3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6.</w:t>
      </w:r>
    </w:p>
    <w:p w14:paraId="7B3764C3" w14:textId="73FBF3FA" w:rsidR="006317A5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2.1</w:t>
      </w:r>
      <w:r w:rsidRPr="00901A3C">
        <w:rPr>
          <w:rFonts w:eastAsia="Arial" w:cs="Calibri"/>
          <w:sz w:val="24"/>
          <w:szCs w:val="24"/>
          <w:lang w:val="en-US"/>
        </w:rPr>
        <w:t xml:space="preserve"> Place the 6 x 10</w:t>
      </w:r>
      <w:r w:rsidRPr="00901A3C">
        <w:rPr>
          <w:rFonts w:eastAsia="Arial" w:cs="Calibri"/>
          <w:sz w:val="24"/>
          <w:szCs w:val="24"/>
          <w:vertAlign w:val="superscript"/>
          <w:lang w:val="en-US"/>
        </w:rPr>
        <w:t>6</w:t>
      </w:r>
      <w:r w:rsidRPr="00901A3C">
        <w:rPr>
          <w:rFonts w:eastAsia="Arial" w:cs="Calibri"/>
          <w:sz w:val="24"/>
          <w:szCs w:val="24"/>
          <w:lang w:val="en-US"/>
        </w:rPr>
        <w:t xml:space="preserve"> mononuclear cells (MNCs) in 15 mL tubes and perform antibody crosslinking by incubating the cells with human GPI-linked membrane protein-specific antibody (30µg/mL) for 30 min in PBS with 1% bovine serum albumin (BSA) at 37 °C.</w:t>
      </w:r>
    </w:p>
    <w:p w14:paraId="1721754B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85D13E9" w14:textId="77777777" w:rsidR="007061A3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7. </w:t>
      </w:r>
    </w:p>
    <w:p w14:paraId="799D79D0" w14:textId="6E96CA95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3.1 is removed and following steps </w:t>
      </w:r>
      <w:r w:rsidR="007061A3" w:rsidRPr="00901A3C">
        <w:rPr>
          <w:sz w:val="24"/>
          <w:szCs w:val="24"/>
          <w:lang w:val="en-US"/>
        </w:rPr>
        <w:t>renumbered.</w:t>
      </w:r>
    </w:p>
    <w:p w14:paraId="295709EA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A27C923" w14:textId="77777777" w:rsidR="007061A3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8. </w:t>
      </w:r>
    </w:p>
    <w:p w14:paraId="0B241879" w14:textId="05D1BC0C" w:rsidR="006317A5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3.3 is replaced by 3.2 </w:t>
      </w:r>
      <w:r w:rsidRPr="00901A3C">
        <w:rPr>
          <w:rFonts w:eastAsia="Arial" w:cs="Calibri"/>
          <w:bCs/>
          <w:sz w:val="24"/>
          <w:szCs w:val="24"/>
          <w:lang w:val="en-US"/>
        </w:rPr>
        <w:t>Centrifuge cultured cell suspension (5-</w:t>
      </w:r>
      <w:r w:rsidRPr="00901A3C">
        <w:rPr>
          <w:rFonts w:eastAsia="Arial" w:cs="Calibri"/>
          <w:sz w:val="24"/>
          <w:szCs w:val="24"/>
          <w:lang w:val="en-US"/>
        </w:rPr>
        <w:t>7 x 10</w:t>
      </w:r>
      <w:r w:rsidRPr="00901A3C">
        <w:rPr>
          <w:rFonts w:eastAsia="Arial" w:cs="Calibri"/>
          <w:sz w:val="24"/>
          <w:szCs w:val="24"/>
          <w:vertAlign w:val="superscript"/>
          <w:lang w:val="en-US"/>
        </w:rPr>
        <w:t>6</w:t>
      </w:r>
      <w:r w:rsidRPr="00901A3C">
        <w:rPr>
          <w:rFonts w:eastAsia="Arial" w:cs="Calibri"/>
          <w:sz w:val="24"/>
          <w:szCs w:val="24"/>
          <w:lang w:val="en-US"/>
        </w:rPr>
        <w:t xml:space="preserve">) </w:t>
      </w:r>
      <w:r w:rsidRPr="00901A3C">
        <w:rPr>
          <w:rFonts w:eastAsia="Arial" w:cs="Calibri"/>
          <w:bCs/>
          <w:sz w:val="24"/>
          <w:szCs w:val="24"/>
          <w:lang w:val="en-US"/>
        </w:rPr>
        <w:t xml:space="preserve">at 300 x </w:t>
      </w:r>
      <w:r w:rsidRPr="00901A3C">
        <w:rPr>
          <w:rFonts w:eastAsia="Arial" w:cs="Calibri"/>
          <w:bCs/>
          <w:i/>
          <w:sz w:val="24"/>
          <w:szCs w:val="24"/>
          <w:lang w:val="en-US"/>
        </w:rPr>
        <w:t>g</w:t>
      </w:r>
      <w:r w:rsidRPr="00901A3C">
        <w:rPr>
          <w:rFonts w:eastAsia="Arial" w:cs="Calibri"/>
          <w:bCs/>
          <w:sz w:val="24"/>
          <w:szCs w:val="24"/>
          <w:lang w:val="en-US"/>
        </w:rPr>
        <w:t xml:space="preserve"> for 10 min and aspirate the resulting supernatant with sterile Pasteur pipette.</w:t>
      </w:r>
    </w:p>
    <w:p w14:paraId="02CB91DC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6A7455D" w14:textId="77777777" w:rsidR="006317A5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9. </w:t>
      </w:r>
    </w:p>
    <w:p w14:paraId="6A1CF393" w14:textId="77777777" w:rsidR="006317A5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  <w:r w:rsidRPr="00901A3C">
        <w:rPr>
          <w:rFonts w:eastAsia="Arial" w:cs="Calibri"/>
          <w:sz w:val="24"/>
          <w:szCs w:val="24"/>
          <w:lang w:val="en-US"/>
        </w:rPr>
        <w:t>5.1 Culture BD-derived CD45 negative cells on laminin/ornithine-coated glass cover-slips for 2 days in incubator at 37 °C, 5% CO</w:t>
      </w:r>
      <w:r w:rsidRPr="00901A3C">
        <w:rPr>
          <w:rFonts w:eastAsia="Arial" w:cs="Calibri"/>
          <w:sz w:val="24"/>
          <w:szCs w:val="24"/>
          <w:vertAlign w:val="subscript"/>
          <w:lang w:val="en-US"/>
        </w:rPr>
        <w:t>2</w:t>
      </w:r>
      <w:r w:rsidRPr="00901A3C">
        <w:rPr>
          <w:rFonts w:eastAsia="Arial" w:cs="Calibri"/>
          <w:sz w:val="24"/>
          <w:szCs w:val="24"/>
          <w:lang w:val="en-US"/>
        </w:rPr>
        <w:t xml:space="preserve"> in N2 medium to initiate a neuronal differentiation of newly BD-generated cells.</w:t>
      </w:r>
    </w:p>
    <w:p w14:paraId="73B949BB" w14:textId="77777777" w:rsidR="006317A5" w:rsidRPr="00901A3C" w:rsidRDefault="006317A5" w:rsidP="001E5D69">
      <w:pPr>
        <w:tabs>
          <w:tab w:val="left" w:pos="108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</w:p>
    <w:p w14:paraId="264E8A63" w14:textId="77777777" w:rsidR="006317A5" w:rsidRPr="00901A3C" w:rsidRDefault="006317A5" w:rsidP="001E5D69">
      <w:pPr>
        <w:tabs>
          <w:tab w:val="left" w:pos="1170"/>
        </w:tabs>
        <w:spacing w:after="0" w:line="240" w:lineRule="auto"/>
        <w:jc w:val="both"/>
        <w:rPr>
          <w:rFonts w:eastAsia="Arial" w:cs="Calibri"/>
          <w:sz w:val="24"/>
          <w:szCs w:val="24"/>
          <w:lang w:val="en-US"/>
        </w:rPr>
      </w:pPr>
      <w:r w:rsidRPr="00901A3C">
        <w:rPr>
          <w:rFonts w:eastAsia="Arial" w:cs="Calibri"/>
          <w:sz w:val="24"/>
          <w:szCs w:val="24"/>
          <w:lang w:val="en-US"/>
        </w:rPr>
        <w:t>5.2 Culture cells further in neuronal differentiation medium consisting of 48 mL of Neurobasal medium, 500µL L-glutamine, 1 mL B27 Supplement, 500 µL NEAA, 50 µL recombinant human glial-derived neurotrophic factor (GDNF) at 5 µg/250 µL in PBS/0.1 % BSA, and 50 µL recombinant human brain derived neurotrophic factor (BDNF) at 5 µg/200µL in PBS/0.1 % BSA and 50 µL ascorbic acid solution 2.9 g/50 mL in PBS, place plates in incubator at 37 °C, 5% CO</w:t>
      </w:r>
      <w:r w:rsidRPr="00901A3C">
        <w:rPr>
          <w:rFonts w:eastAsia="Arial" w:cs="Calibri"/>
          <w:sz w:val="24"/>
          <w:szCs w:val="24"/>
          <w:vertAlign w:val="subscript"/>
          <w:lang w:val="en-US"/>
        </w:rPr>
        <w:t>2</w:t>
      </w:r>
      <w:r w:rsidRPr="00901A3C">
        <w:rPr>
          <w:rFonts w:eastAsia="Arial" w:cs="Calibri"/>
          <w:sz w:val="24"/>
          <w:szCs w:val="24"/>
          <w:lang w:val="en-US"/>
        </w:rPr>
        <w:t>.</w:t>
      </w:r>
    </w:p>
    <w:p w14:paraId="2E1FD0C2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5985F52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10. Abbreviations incorporated into the manuscript</w:t>
      </w:r>
    </w:p>
    <w:p w14:paraId="118D9326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F52E1C8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252: immunocytochemistry (ICC)</w:t>
      </w:r>
    </w:p>
    <w:p w14:paraId="29ACB2B7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150D019" w14:textId="77777777" w:rsidR="006317A5" w:rsidRPr="00901A3C" w:rsidRDefault="006317A5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253:</w:t>
      </w:r>
      <w:r w:rsidRPr="00901A3C">
        <w:rPr>
          <w:rFonts w:eastAsia="Cambria" w:cs="Calibri"/>
          <w:sz w:val="24"/>
          <w:szCs w:val="24"/>
          <w:lang w:val="en-US"/>
        </w:rPr>
        <w:t xml:space="preserve"> </w:t>
      </w:r>
      <w:r w:rsidRPr="00901A3C">
        <w:rPr>
          <w:rFonts w:eastAsia="Times New Roman" w:cs="Calibri"/>
          <w:color w:val="333333"/>
          <w:sz w:val="24"/>
          <w:szCs w:val="24"/>
          <w:lang w:val="en-US"/>
        </w:rPr>
        <w:t>Glial fibrillary acidic protein (GFAP), microtubule-associated protein 2 (MAP2)</w:t>
      </w:r>
      <w:r w:rsidRPr="00901A3C">
        <w:rPr>
          <w:rFonts w:eastAsia="Times New Roman" w:cs="Calibri"/>
          <w:sz w:val="24"/>
          <w:szCs w:val="24"/>
          <w:lang w:val="en-US"/>
        </w:rPr>
        <w:t xml:space="preserve"> and </w:t>
      </w:r>
      <w:r w:rsidRPr="00901A3C">
        <w:rPr>
          <w:rFonts w:eastAsia="Times New Roman" w:cs="Calibri"/>
          <w:color w:val="333333"/>
          <w:sz w:val="24"/>
          <w:szCs w:val="24"/>
          <w:lang w:val="en-US"/>
        </w:rPr>
        <w:t>neuron-specific class III beta-tubulin (Tuj1)</w:t>
      </w:r>
    </w:p>
    <w:p w14:paraId="744C4311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CB5EA46" w14:textId="77777777" w:rsidR="006317A5" w:rsidRPr="00901A3C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429-456 deleted</w:t>
      </w:r>
    </w:p>
    <w:p w14:paraId="59E94616" w14:textId="77777777" w:rsidR="006317A5" w:rsidRPr="00901A3C" w:rsidRDefault="006317A5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</w:p>
    <w:p w14:paraId="78262711" w14:textId="77777777" w:rsidR="00EF7510" w:rsidRDefault="00EF7510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u w:val="single"/>
          <w:lang w:val="en-US"/>
        </w:rPr>
      </w:pPr>
    </w:p>
    <w:p w14:paraId="65329ED8" w14:textId="52C6CBFC" w:rsidR="006317A5" w:rsidRDefault="006317A5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u w:val="single"/>
          <w:lang w:val="en-US"/>
        </w:rPr>
      </w:pPr>
      <w:r w:rsidRPr="00901A3C">
        <w:rPr>
          <w:rFonts w:eastAsia="Times New Roman" w:cs="Calibri"/>
          <w:color w:val="333333"/>
          <w:sz w:val="24"/>
          <w:szCs w:val="24"/>
          <w:u w:val="single"/>
          <w:lang w:val="en-US"/>
        </w:rPr>
        <w:lastRenderedPageBreak/>
        <w:t xml:space="preserve">Manuscript changes </w:t>
      </w:r>
    </w:p>
    <w:p w14:paraId="2F8C533F" w14:textId="4269E35A" w:rsidR="00B60B22" w:rsidRPr="00B60B22" w:rsidRDefault="00B60B22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  <w:r w:rsidRPr="00B60B22">
        <w:rPr>
          <w:rFonts w:eastAsia="Times New Roman" w:cs="Calibri"/>
          <w:color w:val="333333"/>
          <w:sz w:val="24"/>
          <w:szCs w:val="24"/>
          <w:lang w:val="en-US"/>
        </w:rPr>
        <w:t>Protocol</w:t>
      </w:r>
    </w:p>
    <w:p w14:paraId="6500E311" w14:textId="51DB3913" w:rsidR="00A22A90" w:rsidRDefault="00B60B22" w:rsidP="001E5D69">
      <w:pPr>
        <w:spacing w:after="0" w:line="240" w:lineRule="auto"/>
        <w:jc w:val="both"/>
        <w:rPr>
          <w:rFonts w:eastAsia="Arial" w:cs="Calibri"/>
          <w:bCs/>
          <w:sz w:val="24"/>
          <w:szCs w:val="24"/>
          <w:lang w:val="en-US"/>
        </w:rPr>
      </w:pPr>
      <w:r w:rsidRPr="00B60B22">
        <w:rPr>
          <w:rFonts w:eastAsia="Arial" w:cs="Calibri"/>
          <w:bCs/>
          <w:sz w:val="24"/>
          <w:szCs w:val="24"/>
          <w:lang w:val="en-US"/>
        </w:rPr>
        <w:t xml:space="preserve">128: </w:t>
      </w:r>
      <w:r>
        <w:rPr>
          <w:rFonts w:eastAsia="Arial" w:cs="Calibri"/>
          <w:bCs/>
          <w:sz w:val="24"/>
          <w:szCs w:val="24"/>
          <w:highlight w:val="yellow"/>
          <w:lang w:val="en-US"/>
        </w:rPr>
        <w:t>3.3</w:t>
      </w:r>
      <w:r w:rsidRPr="005D6833">
        <w:rPr>
          <w:rFonts w:eastAsia="Arial" w:cs="Calibri"/>
          <w:bCs/>
          <w:sz w:val="24"/>
          <w:szCs w:val="24"/>
          <w:highlight w:val="yellow"/>
          <w:lang w:val="en-US"/>
        </w:rPr>
        <w:t xml:space="preserve"> </w:t>
      </w:r>
      <w:r w:rsidRPr="005D6833">
        <w:rPr>
          <w:rFonts w:eastAsia="Arial" w:cs="Calibri"/>
          <w:bCs/>
          <w:sz w:val="24"/>
          <w:szCs w:val="24"/>
          <w:highlight w:val="yellow"/>
          <w:lang w:val="en-US"/>
        </w:rPr>
        <w:tab/>
        <w:t>Re-suspend cell pellet in 90 µL of pre-cooled PBS pH 7.2, 0.5 % BSA and 2 mM EDTA</w:t>
      </w:r>
      <w:r>
        <w:rPr>
          <w:rFonts w:eastAsia="Arial" w:cs="Calibri"/>
          <w:bCs/>
          <w:sz w:val="24"/>
          <w:szCs w:val="24"/>
          <w:lang w:val="en-US"/>
        </w:rPr>
        <w:t>.</w:t>
      </w:r>
    </w:p>
    <w:p w14:paraId="622978F9" w14:textId="77777777" w:rsidR="00B60B22" w:rsidRPr="00901A3C" w:rsidRDefault="00B60B22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u w:val="single"/>
          <w:lang w:val="en-US"/>
        </w:rPr>
      </w:pPr>
    </w:p>
    <w:p w14:paraId="6204B10A" w14:textId="2D76DCEB" w:rsidR="006317A5" w:rsidRPr="008B7D3E" w:rsidRDefault="007061A3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  <w:r w:rsidRPr="008B7D3E">
        <w:rPr>
          <w:rFonts w:eastAsia="Times New Roman" w:cs="Calibri"/>
          <w:color w:val="333333"/>
          <w:sz w:val="24"/>
          <w:szCs w:val="24"/>
          <w:lang w:val="en-US"/>
        </w:rPr>
        <w:t>Discussion</w:t>
      </w:r>
    </w:p>
    <w:p w14:paraId="4405E35C" w14:textId="3D1E2F63" w:rsidR="007061A3" w:rsidRPr="008B7D3E" w:rsidRDefault="007061A3" w:rsidP="001E5D69">
      <w:pPr>
        <w:spacing w:after="0" w:line="240" w:lineRule="auto"/>
        <w:jc w:val="both"/>
        <w:rPr>
          <w:rFonts w:eastAsia="Cambria" w:cs="Calibri"/>
          <w:sz w:val="24"/>
          <w:szCs w:val="24"/>
          <w:lang w:val="en-US"/>
        </w:rPr>
      </w:pPr>
      <w:r w:rsidRPr="008B7D3E">
        <w:rPr>
          <w:rFonts w:eastAsia="Times New Roman" w:cs="Calibri"/>
          <w:color w:val="333333"/>
          <w:sz w:val="24"/>
          <w:szCs w:val="24"/>
          <w:lang w:val="en-US"/>
        </w:rPr>
        <w:t>335</w:t>
      </w:r>
      <w:r w:rsidR="00B60B22">
        <w:rPr>
          <w:rFonts w:eastAsia="Times New Roman" w:cs="Calibri"/>
          <w:color w:val="333333"/>
          <w:sz w:val="24"/>
          <w:szCs w:val="24"/>
          <w:lang w:val="en-US"/>
        </w:rPr>
        <w:t>:</w:t>
      </w:r>
      <w:r w:rsidR="00EF7510" w:rsidRPr="008B7D3E">
        <w:rPr>
          <w:rFonts w:eastAsia="Times New Roman" w:cs="Calibri"/>
          <w:color w:val="333333"/>
          <w:sz w:val="24"/>
          <w:szCs w:val="24"/>
          <w:lang w:val="en-US"/>
        </w:rPr>
        <w:t xml:space="preserve"> </w:t>
      </w:r>
      <w:r w:rsidR="00EF7510" w:rsidRPr="008B7D3E">
        <w:rPr>
          <w:rFonts w:eastAsia="Cambria" w:cs="Calibri"/>
          <w:sz w:val="24"/>
          <w:szCs w:val="24"/>
          <w:lang w:val="en-US"/>
        </w:rPr>
        <w:t>Moreover, re-differentiation using condition described here, implies neuronal differentiation towards various neuronal lineages.</w:t>
      </w:r>
    </w:p>
    <w:p w14:paraId="599C28AA" w14:textId="56D0E855" w:rsidR="00EF7510" w:rsidRPr="008B7D3E" w:rsidRDefault="00EF7510" w:rsidP="001E5D69">
      <w:pPr>
        <w:spacing w:after="0" w:line="240" w:lineRule="auto"/>
        <w:jc w:val="both"/>
        <w:rPr>
          <w:rFonts w:eastAsia="Cambria" w:cs="Calibri"/>
          <w:sz w:val="24"/>
          <w:szCs w:val="24"/>
          <w:lang w:val="en-US"/>
        </w:rPr>
      </w:pPr>
    </w:p>
    <w:p w14:paraId="276DF845" w14:textId="03BD6D06" w:rsidR="00EF7510" w:rsidRPr="008B7D3E" w:rsidRDefault="00EF7510" w:rsidP="00EF7510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  <w:r w:rsidRPr="008B7D3E">
        <w:rPr>
          <w:rFonts w:eastAsia="Cambria" w:cs="Calibri"/>
          <w:sz w:val="24"/>
          <w:szCs w:val="24"/>
          <w:lang w:val="en-US"/>
        </w:rPr>
        <w:t>3</w:t>
      </w:r>
      <w:r w:rsidR="008B7D3E" w:rsidRPr="008B7D3E">
        <w:rPr>
          <w:rFonts w:eastAsia="Cambria" w:cs="Calibri"/>
          <w:sz w:val="24"/>
          <w:szCs w:val="24"/>
          <w:lang w:val="en-US"/>
        </w:rPr>
        <w:t xml:space="preserve">45: </w:t>
      </w:r>
      <w:r w:rsidRPr="008B7D3E">
        <w:rPr>
          <w:rFonts w:eastAsia="Cambria" w:cs="Calibri"/>
          <w:sz w:val="24"/>
          <w:szCs w:val="24"/>
          <w:lang w:val="en-US"/>
        </w:rPr>
        <w:t>specific types</w:t>
      </w:r>
    </w:p>
    <w:p w14:paraId="6908AE0A" w14:textId="77777777" w:rsidR="006317A5" w:rsidRPr="008B7D3E" w:rsidRDefault="006317A5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</w:p>
    <w:p w14:paraId="0D099492" w14:textId="77777777" w:rsidR="006317A5" w:rsidRPr="008B7D3E" w:rsidRDefault="006317A5" w:rsidP="001E5D69">
      <w:pPr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val="en-US"/>
        </w:rPr>
      </w:pPr>
      <w:r w:rsidRPr="008B7D3E">
        <w:rPr>
          <w:rFonts w:eastAsia="Times New Roman" w:cs="Calibri"/>
          <w:color w:val="333333"/>
          <w:sz w:val="24"/>
          <w:szCs w:val="24"/>
          <w:lang w:val="en-US"/>
        </w:rPr>
        <w:t>Figure 3 legend updated</w:t>
      </w:r>
    </w:p>
    <w:p w14:paraId="43955DD6" w14:textId="5C2D012F" w:rsidR="00A5580D" w:rsidRPr="008B7D3E" w:rsidRDefault="006317A5" w:rsidP="001E5D6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312: Dep</w:t>
      </w:r>
      <w:r w:rsidR="00466363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icted are the fields showing </w:t>
      </w:r>
      <w:r w:rsidR="007061A3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a </w:t>
      </w:r>
      <w:r w:rsidR="00466363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particular</w:t>
      </w:r>
      <w:r w:rsidR="00A5580D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 population that</w:t>
      </w:r>
      <w:r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 express</w:t>
      </w:r>
      <w:r w:rsidR="00A5580D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es one of the</w:t>
      </w:r>
      <w:r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 specific neuronal marker</w:t>
      </w:r>
      <w:r w:rsidR="00A5580D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 </w:t>
      </w:r>
      <w:r w:rsidR="007061A3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characteristic</w:t>
      </w:r>
      <w:r w:rsidR="00A5580D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 for specific lines</w:t>
      </w:r>
      <w:r w:rsidR="001E5D69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>.</w:t>
      </w:r>
      <w:r w:rsidR="00466363" w:rsidRPr="008B7D3E">
        <w:rPr>
          <w:rFonts w:ascii="Calibri" w:eastAsia="Times New Roman" w:hAnsi="Calibri" w:cs="Calibri"/>
          <w:color w:val="333333"/>
          <w:sz w:val="24"/>
          <w:szCs w:val="24"/>
          <w:lang w:val="en-US"/>
        </w:rPr>
        <w:t xml:space="preserve"> </w:t>
      </w:r>
    </w:p>
    <w:p w14:paraId="64355493" w14:textId="0951614A" w:rsidR="006317A5" w:rsidRPr="008B7D3E" w:rsidRDefault="006317A5" w:rsidP="001E5D69">
      <w:pPr>
        <w:spacing w:after="0" w:line="240" w:lineRule="auto"/>
        <w:jc w:val="both"/>
        <w:rPr>
          <w:rFonts w:eastAsia="Times New Roman" w:cs="Calibri"/>
          <w:strike/>
          <w:color w:val="333333"/>
          <w:sz w:val="24"/>
          <w:szCs w:val="24"/>
          <w:lang w:val="en-US"/>
        </w:rPr>
      </w:pPr>
    </w:p>
    <w:p w14:paraId="5DB46590" w14:textId="02CADA2C" w:rsidR="006317A5" w:rsidRPr="008B7D3E" w:rsidRDefault="006317A5" w:rsidP="00901A3C">
      <w:pPr>
        <w:spacing w:after="0"/>
        <w:jc w:val="both"/>
        <w:rPr>
          <w:sz w:val="24"/>
          <w:szCs w:val="24"/>
          <w:lang w:val="en-US"/>
        </w:rPr>
      </w:pPr>
      <w:r w:rsidRPr="008B7D3E">
        <w:rPr>
          <w:bCs/>
          <w:sz w:val="24"/>
          <w:szCs w:val="24"/>
          <w:lang w:val="en-US"/>
        </w:rPr>
        <w:t>Table of Materials updated (see Reviewe</w:t>
      </w:r>
      <w:r w:rsidR="007061A3" w:rsidRPr="008B7D3E">
        <w:rPr>
          <w:bCs/>
          <w:sz w:val="24"/>
          <w:szCs w:val="24"/>
          <w:lang w:val="en-US"/>
        </w:rPr>
        <w:t>r</w:t>
      </w:r>
      <w:r w:rsidRPr="008B7D3E">
        <w:rPr>
          <w:bCs/>
          <w:sz w:val="24"/>
          <w:szCs w:val="24"/>
          <w:lang w:val="en-US"/>
        </w:rPr>
        <w:t xml:space="preserve"> #4)</w:t>
      </w:r>
    </w:p>
    <w:p w14:paraId="6CA9382D" w14:textId="77777777" w:rsidR="006317A5" w:rsidRPr="00901A3C" w:rsidRDefault="006317A5" w:rsidP="00901A3C">
      <w:pPr>
        <w:spacing w:after="0"/>
        <w:jc w:val="both"/>
        <w:rPr>
          <w:sz w:val="24"/>
          <w:szCs w:val="24"/>
          <w:lang w:val="en-US"/>
        </w:rPr>
      </w:pPr>
    </w:p>
    <w:p w14:paraId="32DD01A5" w14:textId="77777777" w:rsidR="00270325" w:rsidRPr="00901A3C" w:rsidRDefault="001715D8" w:rsidP="001E5D69">
      <w:pPr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  <w:r w:rsidRPr="00901A3C">
        <w:rPr>
          <w:b/>
          <w:sz w:val="24"/>
          <w:szCs w:val="24"/>
          <w:u w:val="single"/>
          <w:lang w:val="en-US"/>
        </w:rPr>
        <w:t>Response to comments from Peer-Reviewer:</w:t>
      </w:r>
    </w:p>
    <w:p w14:paraId="6394F4F9" w14:textId="77777777" w:rsidR="00E85D23" w:rsidRPr="00901A3C" w:rsidRDefault="004B32A8" w:rsidP="001E5D69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01A3C">
        <w:rPr>
          <w:b/>
          <w:sz w:val="24"/>
          <w:szCs w:val="24"/>
          <w:lang w:val="en-US"/>
        </w:rPr>
        <w:t>Reviewer #</w:t>
      </w:r>
      <w:r w:rsidR="00E85D23" w:rsidRPr="00901A3C">
        <w:rPr>
          <w:b/>
          <w:sz w:val="24"/>
          <w:szCs w:val="24"/>
          <w:lang w:val="en-US"/>
        </w:rPr>
        <w:t>2</w:t>
      </w:r>
    </w:p>
    <w:p w14:paraId="6486F315" w14:textId="77777777" w:rsidR="001715D8" w:rsidRPr="00901A3C" w:rsidRDefault="002B31BE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Major Concerns:</w:t>
      </w:r>
    </w:p>
    <w:p w14:paraId="28286BC9" w14:textId="067E06A9" w:rsidR="002B31BE" w:rsidRPr="00901A3C" w:rsidRDefault="00F87A27" w:rsidP="001E5D69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The cells shown in </w:t>
      </w:r>
      <w:r w:rsidR="004B32A8" w:rsidRPr="00901A3C">
        <w:rPr>
          <w:sz w:val="24"/>
          <w:szCs w:val="24"/>
          <w:lang w:val="en-US"/>
        </w:rPr>
        <w:t>Figure</w:t>
      </w:r>
      <w:r w:rsidRPr="00901A3C">
        <w:rPr>
          <w:sz w:val="24"/>
          <w:szCs w:val="24"/>
          <w:lang w:val="en-US"/>
        </w:rPr>
        <w:t xml:space="preserve"> 3 represent the different populations of cells. Depicted are the po</w:t>
      </w:r>
      <w:r w:rsidR="00A5580D" w:rsidRPr="00901A3C">
        <w:rPr>
          <w:sz w:val="24"/>
          <w:szCs w:val="24"/>
          <w:lang w:val="en-US"/>
        </w:rPr>
        <w:t>pulations expressing either Tu</w:t>
      </w:r>
      <w:r w:rsidR="007061A3" w:rsidRPr="00901A3C">
        <w:rPr>
          <w:sz w:val="24"/>
          <w:szCs w:val="24"/>
          <w:lang w:val="en-US"/>
        </w:rPr>
        <w:t>j</w:t>
      </w:r>
      <w:r w:rsidR="00901A3C" w:rsidRPr="00901A3C">
        <w:rPr>
          <w:sz w:val="24"/>
          <w:szCs w:val="24"/>
          <w:lang w:val="en-US"/>
        </w:rPr>
        <w:t>1</w:t>
      </w:r>
      <w:r w:rsidRPr="00901A3C">
        <w:rPr>
          <w:sz w:val="24"/>
          <w:szCs w:val="24"/>
          <w:lang w:val="en-US"/>
        </w:rPr>
        <w:t xml:space="preserve"> or GFAP showing that differentiation of BD-PSCs using t</w:t>
      </w:r>
      <w:r w:rsidR="004B32A8" w:rsidRPr="00901A3C">
        <w:rPr>
          <w:sz w:val="24"/>
          <w:szCs w:val="24"/>
          <w:lang w:val="en-US"/>
        </w:rPr>
        <w:t>he conditions described in the manuscript go</w:t>
      </w:r>
      <w:r w:rsidRPr="00901A3C">
        <w:rPr>
          <w:sz w:val="24"/>
          <w:szCs w:val="24"/>
          <w:lang w:val="en-US"/>
        </w:rPr>
        <w:t xml:space="preserve"> towards various neuronal lineages. </w:t>
      </w:r>
    </w:p>
    <w:p w14:paraId="31BBBADD" w14:textId="77777777" w:rsidR="00F87A27" w:rsidRPr="00901A3C" w:rsidRDefault="00F87A27" w:rsidP="001E5D69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T</w:t>
      </w:r>
      <w:r w:rsidR="00BF7DCC" w:rsidRPr="00901A3C">
        <w:rPr>
          <w:sz w:val="24"/>
          <w:szCs w:val="24"/>
          <w:lang w:val="en-US"/>
        </w:rPr>
        <w:t>he images shown in Appendage II</w:t>
      </w:r>
      <w:r w:rsidRPr="00901A3C">
        <w:rPr>
          <w:sz w:val="24"/>
          <w:szCs w:val="24"/>
          <w:lang w:val="en-US"/>
        </w:rPr>
        <w:t xml:space="preserve"> were the results f</w:t>
      </w:r>
      <w:r w:rsidR="00BF7DCC" w:rsidRPr="00901A3C">
        <w:rPr>
          <w:sz w:val="24"/>
          <w:szCs w:val="24"/>
          <w:lang w:val="en-US"/>
        </w:rPr>
        <w:t>rom</w:t>
      </w:r>
      <w:r w:rsidRPr="00901A3C">
        <w:rPr>
          <w:sz w:val="24"/>
          <w:szCs w:val="24"/>
          <w:lang w:val="en-US"/>
        </w:rPr>
        <w:t xml:space="preserve"> different protocol </w:t>
      </w:r>
      <w:r w:rsidR="00E85D23" w:rsidRPr="00901A3C">
        <w:rPr>
          <w:sz w:val="24"/>
          <w:szCs w:val="24"/>
          <w:lang w:val="en-US"/>
        </w:rPr>
        <w:t>and differentiation time therefore it cannot be used in this manuscript.</w:t>
      </w:r>
    </w:p>
    <w:p w14:paraId="09FC76A5" w14:textId="77777777" w:rsidR="006317A5" w:rsidRPr="00901A3C" w:rsidRDefault="006317A5" w:rsidP="001E5D69">
      <w:pPr>
        <w:pStyle w:val="Listenabsatz"/>
        <w:spacing w:after="0" w:line="240" w:lineRule="auto"/>
        <w:jc w:val="both"/>
        <w:rPr>
          <w:sz w:val="24"/>
          <w:szCs w:val="24"/>
          <w:lang w:val="en-US"/>
        </w:rPr>
      </w:pPr>
    </w:p>
    <w:p w14:paraId="356060EC" w14:textId="77777777" w:rsidR="00E85D23" w:rsidRPr="00901A3C" w:rsidRDefault="00E85D23" w:rsidP="001E5D69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01A3C">
        <w:rPr>
          <w:b/>
          <w:sz w:val="24"/>
          <w:szCs w:val="24"/>
          <w:lang w:val="en-US"/>
        </w:rPr>
        <w:t>Reviewer #4</w:t>
      </w:r>
    </w:p>
    <w:p w14:paraId="4D73146D" w14:textId="77777777" w:rsidR="00BF7DCC" w:rsidRPr="00901A3C" w:rsidRDefault="00BF7DCC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Major concern</w:t>
      </w:r>
      <w:r w:rsidR="004B32A8" w:rsidRPr="00901A3C">
        <w:rPr>
          <w:sz w:val="24"/>
          <w:szCs w:val="24"/>
          <w:lang w:val="en-US"/>
        </w:rPr>
        <w:t>s</w:t>
      </w:r>
      <w:r w:rsidRPr="00901A3C">
        <w:rPr>
          <w:sz w:val="24"/>
          <w:szCs w:val="24"/>
          <w:lang w:val="en-US"/>
        </w:rPr>
        <w:t>:</w:t>
      </w:r>
    </w:p>
    <w:p w14:paraId="52E37981" w14:textId="766B1983" w:rsidR="00491110" w:rsidRPr="00901A3C" w:rsidRDefault="00491110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Regarding Figure 1</w:t>
      </w:r>
      <w:r w:rsidR="00A10971" w:rsidRPr="00901A3C">
        <w:rPr>
          <w:sz w:val="24"/>
          <w:szCs w:val="24"/>
          <w:lang w:val="en-US"/>
        </w:rPr>
        <w:t>,</w:t>
      </w:r>
      <w:r w:rsidRPr="00901A3C">
        <w:rPr>
          <w:sz w:val="24"/>
          <w:szCs w:val="24"/>
          <w:lang w:val="en-US"/>
        </w:rPr>
        <w:t xml:space="preserve"> the complete </w:t>
      </w:r>
      <w:proofErr w:type="spellStart"/>
      <w:r w:rsidR="00A10971" w:rsidRPr="00901A3C">
        <w:rPr>
          <w:sz w:val="24"/>
          <w:szCs w:val="24"/>
          <w:lang w:val="en-US"/>
        </w:rPr>
        <w:t>geno</w:t>
      </w:r>
      <w:proofErr w:type="spellEnd"/>
      <w:r w:rsidRPr="00901A3C">
        <w:rPr>
          <w:sz w:val="24"/>
          <w:szCs w:val="24"/>
          <w:lang w:val="en-US"/>
        </w:rPr>
        <w:t xml:space="preserve">- and </w:t>
      </w:r>
      <w:proofErr w:type="spellStart"/>
      <w:r w:rsidR="00A10971" w:rsidRPr="00901A3C">
        <w:rPr>
          <w:sz w:val="24"/>
          <w:szCs w:val="24"/>
          <w:lang w:val="en-US"/>
        </w:rPr>
        <w:t>pheno</w:t>
      </w:r>
      <w:proofErr w:type="spellEnd"/>
      <w:r w:rsidRPr="00901A3C">
        <w:rPr>
          <w:sz w:val="24"/>
          <w:szCs w:val="24"/>
          <w:lang w:val="en-US"/>
        </w:rPr>
        <w:t>-</w:t>
      </w:r>
      <w:r w:rsidR="00A10971" w:rsidRPr="00901A3C">
        <w:rPr>
          <w:sz w:val="24"/>
          <w:szCs w:val="24"/>
          <w:lang w:val="en-US"/>
        </w:rPr>
        <w:t xml:space="preserve"> type</w:t>
      </w:r>
      <w:r w:rsidRPr="00901A3C">
        <w:rPr>
          <w:sz w:val="24"/>
          <w:szCs w:val="24"/>
          <w:lang w:val="en-US"/>
        </w:rPr>
        <w:t xml:space="preserve"> analys</w:t>
      </w:r>
      <w:r w:rsidR="00A10971" w:rsidRPr="00901A3C">
        <w:rPr>
          <w:sz w:val="24"/>
          <w:szCs w:val="24"/>
          <w:lang w:val="en-US"/>
        </w:rPr>
        <w:t xml:space="preserve">is, </w:t>
      </w:r>
      <w:r w:rsidRPr="00901A3C">
        <w:rPr>
          <w:i/>
          <w:sz w:val="24"/>
          <w:szCs w:val="24"/>
          <w:lang w:val="en-US"/>
        </w:rPr>
        <w:t>in vitro</w:t>
      </w:r>
      <w:r w:rsidRPr="00901A3C">
        <w:rPr>
          <w:sz w:val="24"/>
          <w:szCs w:val="24"/>
          <w:lang w:val="en-US"/>
        </w:rPr>
        <w:t xml:space="preserve"> and </w:t>
      </w:r>
      <w:r w:rsidRPr="00901A3C">
        <w:rPr>
          <w:i/>
          <w:sz w:val="24"/>
          <w:szCs w:val="24"/>
          <w:lang w:val="en-US"/>
        </w:rPr>
        <w:t>in vivo</w:t>
      </w:r>
      <w:r w:rsidRPr="00901A3C">
        <w:rPr>
          <w:sz w:val="24"/>
          <w:szCs w:val="24"/>
          <w:lang w:val="en-US"/>
        </w:rPr>
        <w:t xml:space="preserve"> differentiation of BD-PSCs into three germ-layers as well as a mechanism of action of GPI-protein </w:t>
      </w:r>
      <w:r w:rsidR="00A10971" w:rsidRPr="00901A3C">
        <w:rPr>
          <w:sz w:val="24"/>
          <w:szCs w:val="24"/>
          <w:lang w:val="en-US"/>
        </w:rPr>
        <w:t>has been published and cite</w:t>
      </w:r>
      <w:r w:rsidR="001E5D69">
        <w:rPr>
          <w:sz w:val="24"/>
          <w:szCs w:val="24"/>
          <w:lang w:val="en-US"/>
        </w:rPr>
        <w:t xml:space="preserve">d in the manuscript (citation: </w:t>
      </w:r>
      <w:r w:rsidR="00A10971" w:rsidRPr="00901A3C">
        <w:rPr>
          <w:sz w:val="24"/>
          <w:szCs w:val="24"/>
          <w:lang w:val="en-US"/>
        </w:rPr>
        <w:t xml:space="preserve">1 and 8). We did ultrastructure analysis of BD-PSCs versus neuronal differentiated cells </w:t>
      </w:r>
      <w:proofErr w:type="gramStart"/>
      <w:r w:rsidR="00A10971" w:rsidRPr="00901A3C">
        <w:rPr>
          <w:sz w:val="24"/>
          <w:szCs w:val="24"/>
          <w:lang w:val="en-US"/>
        </w:rPr>
        <w:t>in order to</w:t>
      </w:r>
      <w:proofErr w:type="gramEnd"/>
      <w:r w:rsidR="00A10971" w:rsidRPr="00901A3C">
        <w:rPr>
          <w:sz w:val="24"/>
          <w:szCs w:val="24"/>
          <w:lang w:val="en-US"/>
        </w:rPr>
        <w:t xml:space="preserve"> compare morphological changes and capability of the cells originated from blood, to re-differentiate </w:t>
      </w:r>
      <w:r w:rsidR="00193692">
        <w:rPr>
          <w:sz w:val="24"/>
          <w:szCs w:val="24"/>
          <w:lang w:val="en-US"/>
        </w:rPr>
        <w:t>s</w:t>
      </w:r>
      <w:r w:rsidR="00A10971" w:rsidRPr="00901A3C">
        <w:rPr>
          <w:sz w:val="24"/>
          <w:szCs w:val="24"/>
          <w:lang w:val="en-US"/>
        </w:rPr>
        <w:t>howing the changes at the structural level.</w:t>
      </w:r>
    </w:p>
    <w:p w14:paraId="7BB936E1" w14:textId="7A5131DD" w:rsidR="00C228DF" w:rsidRPr="00193692" w:rsidRDefault="00BF7DCC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193692">
        <w:rPr>
          <w:sz w:val="24"/>
          <w:szCs w:val="24"/>
          <w:lang w:val="en-US"/>
        </w:rPr>
        <w:t>Regarding Figure 3</w:t>
      </w:r>
      <w:r w:rsidR="00F25329" w:rsidRPr="00193692">
        <w:rPr>
          <w:sz w:val="24"/>
          <w:szCs w:val="24"/>
          <w:lang w:val="en-US"/>
        </w:rPr>
        <w:t>, our intention is</w:t>
      </w:r>
      <w:r w:rsidRPr="00193692">
        <w:rPr>
          <w:sz w:val="24"/>
          <w:szCs w:val="24"/>
          <w:lang w:val="en-US"/>
        </w:rPr>
        <w:t xml:space="preserve"> to show that re</w:t>
      </w:r>
      <w:r w:rsidR="004B32A8" w:rsidRPr="00193692">
        <w:rPr>
          <w:sz w:val="24"/>
          <w:szCs w:val="24"/>
          <w:lang w:val="en-US"/>
        </w:rPr>
        <w:t>-</w:t>
      </w:r>
      <w:r w:rsidRPr="00193692">
        <w:rPr>
          <w:sz w:val="24"/>
          <w:szCs w:val="24"/>
          <w:lang w:val="en-US"/>
        </w:rPr>
        <w:t>differentiation using the condition describe</w:t>
      </w:r>
      <w:r w:rsidR="00F25329" w:rsidRPr="00193692">
        <w:rPr>
          <w:sz w:val="24"/>
          <w:szCs w:val="24"/>
          <w:lang w:val="en-US"/>
        </w:rPr>
        <w:t>d</w:t>
      </w:r>
      <w:r w:rsidRPr="00193692">
        <w:rPr>
          <w:sz w:val="24"/>
          <w:szCs w:val="24"/>
          <w:lang w:val="en-US"/>
        </w:rPr>
        <w:t xml:space="preserve"> in this manuscript</w:t>
      </w:r>
      <w:r w:rsidR="00491110" w:rsidRPr="00193692">
        <w:rPr>
          <w:sz w:val="24"/>
          <w:szCs w:val="24"/>
          <w:lang w:val="en-US"/>
        </w:rPr>
        <w:t>,</w:t>
      </w:r>
      <w:r w:rsidR="00F25329" w:rsidRPr="00193692">
        <w:rPr>
          <w:sz w:val="24"/>
          <w:szCs w:val="24"/>
          <w:lang w:val="en-US"/>
        </w:rPr>
        <w:t xml:space="preserve"> enable the differentiation towards different neuronal lineages. The </w:t>
      </w:r>
      <w:r w:rsidR="00A5580D" w:rsidRPr="00193692">
        <w:rPr>
          <w:sz w:val="24"/>
          <w:szCs w:val="24"/>
          <w:lang w:val="en-US"/>
        </w:rPr>
        <w:t xml:space="preserve">cells shown in </w:t>
      </w:r>
      <w:r w:rsidR="00491110" w:rsidRPr="00193692">
        <w:rPr>
          <w:sz w:val="24"/>
          <w:szCs w:val="24"/>
          <w:lang w:val="en-US"/>
        </w:rPr>
        <w:t>this</w:t>
      </w:r>
      <w:r w:rsidR="00F25329" w:rsidRPr="00193692">
        <w:rPr>
          <w:sz w:val="24"/>
          <w:szCs w:val="24"/>
          <w:lang w:val="en-US"/>
        </w:rPr>
        <w:t xml:space="preserve"> Figure</w:t>
      </w:r>
      <w:r w:rsidR="00491110" w:rsidRPr="00193692">
        <w:rPr>
          <w:sz w:val="24"/>
          <w:szCs w:val="24"/>
          <w:lang w:val="en-US"/>
        </w:rPr>
        <w:t xml:space="preserve"> </w:t>
      </w:r>
      <w:r w:rsidR="00F25329" w:rsidRPr="00193692">
        <w:rPr>
          <w:sz w:val="24"/>
          <w:szCs w:val="24"/>
          <w:lang w:val="en-US"/>
        </w:rPr>
        <w:t xml:space="preserve">represent the various populations of </w:t>
      </w:r>
      <w:r w:rsidR="00491110" w:rsidRPr="00193692">
        <w:rPr>
          <w:sz w:val="24"/>
          <w:szCs w:val="24"/>
          <w:lang w:val="en-US"/>
        </w:rPr>
        <w:t xml:space="preserve">the </w:t>
      </w:r>
      <w:r w:rsidR="00F25329" w:rsidRPr="00193692">
        <w:rPr>
          <w:sz w:val="24"/>
          <w:szCs w:val="24"/>
          <w:lang w:val="en-US"/>
        </w:rPr>
        <w:t>cells expressing the specific marker.</w:t>
      </w:r>
      <w:r w:rsidR="00491110" w:rsidRPr="00193692">
        <w:rPr>
          <w:sz w:val="24"/>
          <w:szCs w:val="24"/>
          <w:lang w:val="en-US"/>
        </w:rPr>
        <w:t xml:space="preserve"> So,</w:t>
      </w:r>
      <w:r w:rsidR="00F25329" w:rsidRPr="00193692">
        <w:rPr>
          <w:sz w:val="24"/>
          <w:szCs w:val="24"/>
          <w:lang w:val="en-US"/>
        </w:rPr>
        <w:t xml:space="preserve"> </w:t>
      </w:r>
      <w:r w:rsidR="007061A3" w:rsidRPr="00193692">
        <w:rPr>
          <w:sz w:val="24"/>
          <w:szCs w:val="24"/>
          <w:lang w:val="en-US"/>
        </w:rPr>
        <w:t>it</w:t>
      </w:r>
      <w:r w:rsidR="00491110" w:rsidRPr="00193692">
        <w:rPr>
          <w:sz w:val="24"/>
          <w:szCs w:val="24"/>
          <w:lang w:val="en-US"/>
        </w:rPr>
        <w:t xml:space="preserve"> is possible t</w:t>
      </w:r>
      <w:r w:rsidR="00F25329" w:rsidRPr="00193692">
        <w:rPr>
          <w:sz w:val="24"/>
          <w:szCs w:val="24"/>
          <w:lang w:val="en-US"/>
        </w:rPr>
        <w:t xml:space="preserve">o drive the differentiation toward </w:t>
      </w:r>
      <w:r w:rsidR="00A5580D" w:rsidRPr="00193692">
        <w:rPr>
          <w:b/>
          <w:bCs/>
          <w:sz w:val="24"/>
          <w:szCs w:val="24"/>
          <w:lang w:val="en-US"/>
        </w:rPr>
        <w:t xml:space="preserve">single </w:t>
      </w:r>
      <w:r w:rsidR="00F25329" w:rsidRPr="00193692">
        <w:rPr>
          <w:sz w:val="24"/>
          <w:szCs w:val="24"/>
          <w:lang w:val="en-US"/>
        </w:rPr>
        <w:t xml:space="preserve">specific </w:t>
      </w:r>
      <w:r w:rsidR="006317A5" w:rsidRPr="00193692">
        <w:rPr>
          <w:sz w:val="24"/>
          <w:szCs w:val="24"/>
          <w:lang w:val="en-US"/>
        </w:rPr>
        <w:t>lineages</w:t>
      </w:r>
      <w:r w:rsidR="00A10971" w:rsidRPr="00193692">
        <w:rPr>
          <w:sz w:val="24"/>
          <w:szCs w:val="24"/>
          <w:lang w:val="en-US"/>
        </w:rPr>
        <w:t>,</w:t>
      </w:r>
      <w:r w:rsidR="00A5580D" w:rsidRPr="00193692">
        <w:rPr>
          <w:sz w:val="24"/>
          <w:szCs w:val="24"/>
          <w:lang w:val="en-US"/>
        </w:rPr>
        <w:t xml:space="preserve"> but</w:t>
      </w:r>
      <w:r w:rsidR="00491110" w:rsidRPr="00193692">
        <w:rPr>
          <w:sz w:val="24"/>
          <w:szCs w:val="24"/>
          <w:lang w:val="en-US"/>
        </w:rPr>
        <w:t xml:space="preserve"> </w:t>
      </w:r>
      <w:r w:rsidR="00193692" w:rsidRPr="00193692">
        <w:rPr>
          <w:sz w:val="24"/>
          <w:szCs w:val="24"/>
          <w:lang w:val="en-US"/>
        </w:rPr>
        <w:t xml:space="preserve">that requires longer </w:t>
      </w:r>
      <w:r w:rsidR="00F25329" w:rsidRPr="00193692">
        <w:rPr>
          <w:sz w:val="24"/>
          <w:szCs w:val="24"/>
          <w:lang w:val="en-US"/>
        </w:rPr>
        <w:t xml:space="preserve">different </w:t>
      </w:r>
      <w:r w:rsidR="00C228DF" w:rsidRPr="00193692">
        <w:rPr>
          <w:sz w:val="24"/>
          <w:szCs w:val="24"/>
          <w:lang w:val="en-US"/>
        </w:rPr>
        <w:t xml:space="preserve">time and </w:t>
      </w:r>
      <w:r w:rsidR="00193692" w:rsidRPr="00193692">
        <w:rPr>
          <w:sz w:val="24"/>
          <w:szCs w:val="24"/>
          <w:lang w:val="en-US"/>
        </w:rPr>
        <w:t xml:space="preserve">adjusted </w:t>
      </w:r>
      <w:r w:rsidR="00F25329" w:rsidRPr="00193692">
        <w:rPr>
          <w:sz w:val="24"/>
          <w:szCs w:val="24"/>
          <w:lang w:val="en-US"/>
        </w:rPr>
        <w:t>culture condition</w:t>
      </w:r>
      <w:r w:rsidR="00C228DF" w:rsidRPr="00193692">
        <w:rPr>
          <w:sz w:val="24"/>
          <w:szCs w:val="24"/>
          <w:lang w:val="en-US"/>
        </w:rPr>
        <w:t>s.</w:t>
      </w:r>
      <w:r w:rsidR="00F25329" w:rsidRPr="00193692">
        <w:rPr>
          <w:sz w:val="24"/>
          <w:szCs w:val="24"/>
          <w:lang w:val="en-US"/>
        </w:rPr>
        <w:t xml:space="preserve"> </w:t>
      </w:r>
    </w:p>
    <w:p w14:paraId="0B7B60F5" w14:textId="77777777" w:rsidR="006317A5" w:rsidRPr="00193692" w:rsidRDefault="006317A5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7435D5D" w14:textId="77777777" w:rsidR="00F25329" w:rsidRPr="00193692" w:rsidRDefault="00F25329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193692">
        <w:rPr>
          <w:sz w:val="24"/>
          <w:szCs w:val="24"/>
          <w:lang w:val="en-US"/>
        </w:rPr>
        <w:t>Minor concern</w:t>
      </w:r>
      <w:r w:rsidR="004B32A8" w:rsidRPr="00193692">
        <w:rPr>
          <w:sz w:val="24"/>
          <w:szCs w:val="24"/>
          <w:lang w:val="en-US"/>
        </w:rPr>
        <w:t>s</w:t>
      </w:r>
      <w:r w:rsidRPr="00193692">
        <w:rPr>
          <w:sz w:val="24"/>
          <w:szCs w:val="24"/>
          <w:lang w:val="en-US"/>
        </w:rPr>
        <w:t xml:space="preserve">: </w:t>
      </w:r>
    </w:p>
    <w:p w14:paraId="0E6181C5" w14:textId="4BC974AB" w:rsidR="00F25329" w:rsidRDefault="00C228DF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193692">
        <w:rPr>
          <w:sz w:val="24"/>
          <w:szCs w:val="24"/>
          <w:lang w:val="en-US"/>
        </w:rPr>
        <w:t xml:space="preserve">1-4. </w:t>
      </w:r>
      <w:r w:rsidR="00F25329" w:rsidRPr="00193692">
        <w:rPr>
          <w:sz w:val="24"/>
          <w:szCs w:val="24"/>
          <w:lang w:val="en-US"/>
        </w:rPr>
        <w:t>The detailed information regarding line 115, line 160, line 171, as well as line 181 is</w:t>
      </w:r>
      <w:r w:rsidR="00F25329" w:rsidRPr="00901A3C">
        <w:rPr>
          <w:sz w:val="24"/>
          <w:szCs w:val="24"/>
          <w:lang w:val="en-US"/>
        </w:rPr>
        <w:t xml:space="preserve"> provided in the corrected manuscript</w:t>
      </w:r>
      <w:r w:rsidRPr="00901A3C">
        <w:rPr>
          <w:sz w:val="24"/>
          <w:szCs w:val="24"/>
          <w:lang w:val="en-US"/>
        </w:rPr>
        <w:t>.</w:t>
      </w:r>
    </w:p>
    <w:p w14:paraId="0A8D9B31" w14:textId="77777777" w:rsidR="00A22A90" w:rsidRPr="00901A3C" w:rsidRDefault="00A22A90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DBC12E5" w14:textId="77777777" w:rsidR="00C228DF" w:rsidRPr="00901A3C" w:rsidRDefault="00C228DF" w:rsidP="001E5D69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 xml:space="preserve">5. </w:t>
      </w:r>
      <w:r w:rsidRPr="00901A3C">
        <w:rPr>
          <w:rFonts w:ascii="Calibri" w:hAnsi="Calibri"/>
          <w:bCs/>
          <w:sz w:val="24"/>
          <w:szCs w:val="24"/>
          <w:lang w:val="en-US"/>
        </w:rPr>
        <w:t xml:space="preserve">Table of Materials </w:t>
      </w:r>
      <w:r w:rsidR="004B32A8" w:rsidRPr="00901A3C">
        <w:rPr>
          <w:rFonts w:ascii="Calibri" w:hAnsi="Calibri"/>
          <w:bCs/>
          <w:sz w:val="24"/>
          <w:szCs w:val="24"/>
          <w:lang w:val="en-US"/>
        </w:rPr>
        <w:t xml:space="preserve">was </w:t>
      </w:r>
      <w:r w:rsidRPr="00901A3C">
        <w:rPr>
          <w:rFonts w:ascii="Calibri" w:hAnsi="Calibri"/>
          <w:bCs/>
          <w:sz w:val="24"/>
          <w:szCs w:val="24"/>
          <w:lang w:val="en-US"/>
        </w:rPr>
        <w:t>updated</w:t>
      </w:r>
    </w:p>
    <w:p w14:paraId="432DBB1A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8: comment added: Biozym discontinued. The product produced by Logos Biosystems</w:t>
      </w:r>
    </w:p>
    <w:p w14:paraId="4C6F9B1A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lastRenderedPageBreak/>
        <w:t>row 10: company adjusted to Fisher Scientific (Gibco), hyphen removed in catalog number column</w:t>
      </w:r>
    </w:p>
    <w:p w14:paraId="709E194C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11: company adjusted to Fisher Scientific (Gibco), hyphen removed in catalog number column</w:t>
      </w:r>
    </w:p>
    <w:p w14:paraId="7C3D652D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12: BC added in catalog number column</w:t>
      </w:r>
    </w:p>
    <w:p w14:paraId="5A5F7731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13: hyphen removed in catalog number column</w:t>
      </w:r>
    </w:p>
    <w:p w14:paraId="1B6C78C8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 xml:space="preserve">row 15: comment added: </w:t>
      </w:r>
      <w:proofErr w:type="spellStart"/>
      <w:r w:rsidRPr="00901A3C">
        <w:rPr>
          <w:rFonts w:ascii="Calibri" w:hAnsi="Calibri"/>
          <w:sz w:val="24"/>
          <w:szCs w:val="24"/>
          <w:lang w:val="en-US"/>
        </w:rPr>
        <w:t>Biozym</w:t>
      </w:r>
      <w:proofErr w:type="spellEnd"/>
      <w:r w:rsidRPr="00901A3C">
        <w:rPr>
          <w:rFonts w:ascii="Calibri" w:hAnsi="Calibri"/>
          <w:sz w:val="24"/>
          <w:szCs w:val="24"/>
          <w:lang w:val="en-US"/>
        </w:rPr>
        <w:t xml:space="preserve"> discontinued. The product produced by Logos Biosystems</w:t>
      </w:r>
    </w:p>
    <w:p w14:paraId="2B624C4D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16: Thermo removed in company column</w:t>
      </w:r>
    </w:p>
    <w:p w14:paraId="7515EFED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19: comment added: discontinued. new catalog number: TMS-013-B</w:t>
      </w:r>
    </w:p>
    <w:p w14:paraId="65A23BA6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20: company adjusted to Fisher Scientific (Gibco), hyphen removed in catalog number column</w:t>
      </w:r>
    </w:p>
    <w:p w14:paraId="1BD74685" w14:textId="3A967CEF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 xml:space="preserve">row 21: hyphen removed in catalog number column, comment added: </w:t>
      </w:r>
      <w:r w:rsidR="00901A3C" w:rsidRPr="00901A3C">
        <w:rPr>
          <w:rFonts w:ascii="Calibri" w:hAnsi="Calibri"/>
          <w:sz w:val="24"/>
          <w:szCs w:val="24"/>
          <w:lang w:val="en-US"/>
        </w:rPr>
        <w:t>L</w:t>
      </w:r>
      <w:r w:rsidRPr="00901A3C">
        <w:rPr>
          <w:rFonts w:ascii="Calibri" w:hAnsi="Calibri"/>
          <w:sz w:val="24"/>
          <w:szCs w:val="24"/>
          <w:lang w:val="en-US"/>
        </w:rPr>
        <w:t>-glutamine</w:t>
      </w:r>
    </w:p>
    <w:p w14:paraId="2CB90F6B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24: company adjusted to Fisher Scientific (Gibco), hyphen removed in catalog number column</w:t>
      </w:r>
    </w:p>
    <w:p w14:paraId="52915110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26: company adjusted to Fisher Scientific (Gibco), hyphen removed in catalog number column</w:t>
      </w:r>
    </w:p>
    <w:p w14:paraId="2BDFC0CF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27: catalog number adjusted to 15326-25G</w:t>
      </w:r>
    </w:p>
    <w:p w14:paraId="41F4918D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 xml:space="preserve">row 28: comment added: </w:t>
      </w:r>
      <w:proofErr w:type="spellStart"/>
      <w:r w:rsidRPr="00901A3C">
        <w:rPr>
          <w:rFonts w:ascii="Calibri" w:hAnsi="Calibri"/>
          <w:sz w:val="24"/>
          <w:szCs w:val="24"/>
          <w:lang w:val="en-US"/>
        </w:rPr>
        <w:t>Biozym</w:t>
      </w:r>
      <w:proofErr w:type="spellEnd"/>
      <w:r w:rsidRPr="00901A3C">
        <w:rPr>
          <w:rFonts w:ascii="Calibri" w:hAnsi="Calibri"/>
          <w:sz w:val="24"/>
          <w:szCs w:val="24"/>
          <w:lang w:val="en-US"/>
        </w:rPr>
        <w:t xml:space="preserve"> discontinued. The product produced by Logos Biosystems</w:t>
      </w:r>
    </w:p>
    <w:p w14:paraId="5E80AB95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30: hyphen removed in catalog number column</w:t>
      </w:r>
    </w:p>
    <w:p w14:paraId="09435969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33: Thermo removed in company column</w:t>
      </w:r>
    </w:p>
    <w:p w14:paraId="77C9C24B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34: company adjusted to Fisher Scientific (Gibco), hyphen removed in catalog number column</w:t>
      </w:r>
    </w:p>
    <w:p w14:paraId="122FBD72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35: hyphen removed in catalog number column</w:t>
      </w:r>
    </w:p>
    <w:p w14:paraId="4C837E2D" w14:textId="77777777" w:rsidR="00C228DF" w:rsidRPr="00901A3C" w:rsidRDefault="00C228DF" w:rsidP="00A22A90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  <w:r w:rsidRPr="00901A3C">
        <w:rPr>
          <w:rFonts w:ascii="Calibri" w:hAnsi="Calibri"/>
          <w:sz w:val="24"/>
          <w:szCs w:val="24"/>
          <w:lang w:val="en-US"/>
        </w:rPr>
        <w:t>row 36: A removed in catalog number column</w:t>
      </w:r>
    </w:p>
    <w:p w14:paraId="6B8C744A" w14:textId="77777777" w:rsidR="006317A5" w:rsidRPr="00901A3C" w:rsidRDefault="006317A5" w:rsidP="001E5D69">
      <w:pPr>
        <w:spacing w:after="0" w:line="240" w:lineRule="auto"/>
        <w:jc w:val="both"/>
        <w:rPr>
          <w:rFonts w:ascii="Calibri" w:hAnsi="Calibri"/>
          <w:sz w:val="24"/>
          <w:szCs w:val="24"/>
          <w:lang w:val="en-US"/>
        </w:rPr>
      </w:pPr>
    </w:p>
    <w:p w14:paraId="065622F6" w14:textId="77777777" w:rsidR="00C228DF" w:rsidRPr="00901A3C" w:rsidRDefault="00C228DF" w:rsidP="001E5D69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901A3C">
        <w:rPr>
          <w:b/>
          <w:sz w:val="24"/>
          <w:szCs w:val="24"/>
          <w:lang w:val="en-US"/>
        </w:rPr>
        <w:t>Reviewer</w:t>
      </w:r>
      <w:r w:rsidR="004B32A8" w:rsidRPr="00901A3C">
        <w:rPr>
          <w:b/>
          <w:sz w:val="24"/>
          <w:szCs w:val="24"/>
          <w:lang w:val="en-US"/>
        </w:rPr>
        <w:t xml:space="preserve"> #5</w:t>
      </w:r>
    </w:p>
    <w:p w14:paraId="3187F662" w14:textId="7D501896" w:rsidR="00C42E73" w:rsidRPr="00901A3C" w:rsidRDefault="00C42E73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Gene expression profiling indicating expression of pluripotency associated genes at RNA and protein level</w:t>
      </w:r>
      <w:r w:rsidR="004B32A8" w:rsidRPr="00901A3C">
        <w:rPr>
          <w:sz w:val="24"/>
          <w:szCs w:val="24"/>
          <w:lang w:val="en-US"/>
        </w:rPr>
        <w:t>,</w:t>
      </w:r>
      <w:r w:rsidRPr="00901A3C">
        <w:rPr>
          <w:sz w:val="24"/>
          <w:szCs w:val="24"/>
          <w:lang w:val="en-US"/>
        </w:rPr>
        <w:t xml:space="preserve"> </w:t>
      </w:r>
      <w:r w:rsidRPr="00901A3C">
        <w:rPr>
          <w:i/>
          <w:sz w:val="24"/>
          <w:szCs w:val="24"/>
          <w:lang w:val="en-US"/>
        </w:rPr>
        <w:t>in vitro</w:t>
      </w:r>
      <w:r w:rsidRPr="00901A3C">
        <w:rPr>
          <w:sz w:val="24"/>
          <w:szCs w:val="24"/>
          <w:lang w:val="en-US"/>
        </w:rPr>
        <w:t xml:space="preserve"> </w:t>
      </w:r>
      <w:r w:rsidR="00F02C6F" w:rsidRPr="00901A3C">
        <w:rPr>
          <w:i/>
          <w:sz w:val="24"/>
          <w:szCs w:val="24"/>
          <w:lang w:val="en-US"/>
        </w:rPr>
        <w:t>and in vivo</w:t>
      </w:r>
      <w:r w:rsidR="00F02C6F" w:rsidRPr="00901A3C">
        <w:rPr>
          <w:sz w:val="24"/>
          <w:szCs w:val="24"/>
          <w:lang w:val="en-US"/>
        </w:rPr>
        <w:t xml:space="preserve"> </w:t>
      </w:r>
      <w:r w:rsidRPr="00901A3C">
        <w:rPr>
          <w:sz w:val="24"/>
          <w:szCs w:val="24"/>
          <w:lang w:val="en-US"/>
        </w:rPr>
        <w:t>differentiation into cells of all three germ layers are demonstrate</w:t>
      </w:r>
      <w:r w:rsidR="004B32A8" w:rsidRPr="00901A3C">
        <w:rPr>
          <w:sz w:val="24"/>
          <w:szCs w:val="24"/>
          <w:lang w:val="en-US"/>
        </w:rPr>
        <w:t xml:space="preserve">d in the previous publications </w:t>
      </w:r>
      <w:r w:rsidRPr="00901A3C">
        <w:rPr>
          <w:sz w:val="24"/>
          <w:szCs w:val="24"/>
          <w:lang w:val="en-US"/>
        </w:rPr>
        <w:t>(see in References 1 an</w:t>
      </w:r>
      <w:r w:rsidR="009744C2" w:rsidRPr="00901A3C">
        <w:rPr>
          <w:sz w:val="24"/>
          <w:szCs w:val="24"/>
          <w:lang w:val="en-US"/>
        </w:rPr>
        <w:t>d</w:t>
      </w:r>
      <w:r w:rsidRPr="00901A3C">
        <w:rPr>
          <w:sz w:val="24"/>
          <w:szCs w:val="24"/>
          <w:lang w:val="en-US"/>
        </w:rPr>
        <w:t xml:space="preserve"> 8). </w:t>
      </w:r>
      <w:r w:rsidR="00791B8C" w:rsidRPr="00901A3C">
        <w:rPr>
          <w:sz w:val="24"/>
          <w:szCs w:val="24"/>
          <w:lang w:val="en-US"/>
        </w:rPr>
        <w:t xml:space="preserve">Described is also the </w:t>
      </w:r>
      <w:r w:rsidRPr="00901A3C">
        <w:rPr>
          <w:sz w:val="24"/>
          <w:szCs w:val="24"/>
          <w:lang w:val="en-US"/>
        </w:rPr>
        <w:t>molecular mechanism be</w:t>
      </w:r>
      <w:r w:rsidR="00791B8C" w:rsidRPr="00901A3C">
        <w:rPr>
          <w:sz w:val="24"/>
          <w:szCs w:val="24"/>
          <w:lang w:val="en-US"/>
        </w:rPr>
        <w:t xml:space="preserve">hind the specific activation of GPI-linked receptor </w:t>
      </w:r>
      <w:r w:rsidR="004B32A8" w:rsidRPr="00901A3C">
        <w:rPr>
          <w:sz w:val="24"/>
          <w:szCs w:val="24"/>
          <w:lang w:val="en-US"/>
        </w:rPr>
        <w:t>(</w:t>
      </w:r>
      <w:r w:rsidR="00791B8C" w:rsidRPr="00901A3C">
        <w:rPr>
          <w:sz w:val="24"/>
          <w:szCs w:val="24"/>
          <w:lang w:val="en-US"/>
        </w:rPr>
        <w:t>Reference 8</w:t>
      </w:r>
      <w:r w:rsidR="007061A3" w:rsidRPr="00901A3C">
        <w:rPr>
          <w:sz w:val="24"/>
          <w:szCs w:val="24"/>
          <w:lang w:val="en-US"/>
        </w:rPr>
        <w:t>).</w:t>
      </w:r>
      <w:r w:rsidR="00791B8C" w:rsidRPr="00901A3C">
        <w:rPr>
          <w:sz w:val="24"/>
          <w:szCs w:val="24"/>
          <w:lang w:val="en-US"/>
        </w:rPr>
        <w:t xml:space="preserve"> </w:t>
      </w:r>
    </w:p>
    <w:p w14:paraId="4803DE39" w14:textId="1D2268AA" w:rsidR="00791B8C" w:rsidRDefault="00791B8C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 w:rsidRPr="00901A3C">
        <w:rPr>
          <w:sz w:val="24"/>
          <w:szCs w:val="24"/>
          <w:lang w:val="en-US"/>
        </w:rPr>
        <w:t>We have provided the protocol for enabling differentiation towards various neuronal lineages. The variation of media and differentiation time could provide the re</w:t>
      </w:r>
      <w:r w:rsidR="004B32A8" w:rsidRPr="00901A3C">
        <w:rPr>
          <w:sz w:val="24"/>
          <w:szCs w:val="24"/>
          <w:lang w:val="en-US"/>
        </w:rPr>
        <w:t>-</w:t>
      </w:r>
      <w:r w:rsidRPr="00901A3C">
        <w:rPr>
          <w:sz w:val="24"/>
          <w:szCs w:val="24"/>
          <w:lang w:val="en-US"/>
        </w:rPr>
        <w:t>differentiation of BD-PSCs towards</w:t>
      </w:r>
      <w:r w:rsidR="00F57961">
        <w:rPr>
          <w:sz w:val="24"/>
          <w:szCs w:val="24"/>
          <w:lang w:val="en-US"/>
        </w:rPr>
        <w:t xml:space="preserve"> </w:t>
      </w:r>
      <w:r w:rsidR="00F57961" w:rsidRPr="00F57961">
        <w:rPr>
          <w:b/>
          <w:bCs/>
          <w:sz w:val="24"/>
          <w:szCs w:val="24"/>
          <w:lang w:val="en-US"/>
        </w:rPr>
        <w:t>single</w:t>
      </w:r>
      <w:r w:rsidRPr="00901A3C">
        <w:rPr>
          <w:sz w:val="24"/>
          <w:szCs w:val="24"/>
          <w:lang w:val="en-US"/>
        </w:rPr>
        <w:t xml:space="preserve"> specific neuronal cells and</w:t>
      </w:r>
      <w:r w:rsidR="00F02C6F" w:rsidRPr="00901A3C">
        <w:rPr>
          <w:sz w:val="24"/>
          <w:szCs w:val="24"/>
          <w:lang w:val="en-US"/>
        </w:rPr>
        <w:t xml:space="preserve"> therefore</w:t>
      </w:r>
      <w:r w:rsidRPr="00901A3C">
        <w:rPr>
          <w:sz w:val="24"/>
          <w:szCs w:val="24"/>
          <w:lang w:val="en-US"/>
        </w:rPr>
        <w:t xml:space="preserve"> the functional assays should be a topic for further analysis of neuronal g</w:t>
      </w:r>
      <w:r w:rsidR="004B32A8" w:rsidRPr="00901A3C">
        <w:rPr>
          <w:sz w:val="24"/>
          <w:szCs w:val="24"/>
          <w:lang w:val="en-US"/>
        </w:rPr>
        <w:t>enerated cells using the technique</w:t>
      </w:r>
      <w:r w:rsidRPr="00901A3C">
        <w:rPr>
          <w:sz w:val="24"/>
          <w:szCs w:val="24"/>
          <w:lang w:val="en-US"/>
        </w:rPr>
        <w:t xml:space="preserve"> described in this manuscript</w:t>
      </w:r>
      <w:r w:rsidR="00F57961">
        <w:rPr>
          <w:sz w:val="24"/>
          <w:szCs w:val="24"/>
          <w:lang w:val="en-US"/>
        </w:rPr>
        <w:t>.</w:t>
      </w:r>
      <w:r w:rsidRPr="00901A3C">
        <w:rPr>
          <w:sz w:val="24"/>
          <w:szCs w:val="24"/>
          <w:lang w:val="en-US"/>
        </w:rPr>
        <w:t xml:space="preserve"> </w:t>
      </w:r>
    </w:p>
    <w:p w14:paraId="4C1611DB" w14:textId="05B7DF12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9F56737" w14:textId="5685933A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6172EFD" w14:textId="77777777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BE0D5FD" w14:textId="77777777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D6E07C9" w14:textId="02727435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Thank you for your consideration!</w:t>
      </w:r>
    </w:p>
    <w:p w14:paraId="03C398BD" w14:textId="01C743AF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6B88459" w14:textId="77777777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47C4CD1" w14:textId="7B7E48B7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Best regards,</w:t>
      </w:r>
    </w:p>
    <w:p w14:paraId="042430FC" w14:textId="77777777" w:rsidR="00A46D4E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752CA24" w14:textId="5FBA2B83" w:rsidR="00A46D4E" w:rsidRPr="00901A3C" w:rsidRDefault="00A46D4E" w:rsidP="001E5D6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Dr. Zorica Becker-</w:t>
      </w:r>
      <w:proofErr w:type="spellStart"/>
      <w:r>
        <w:rPr>
          <w:sz w:val="24"/>
          <w:szCs w:val="24"/>
          <w:lang w:val="en-US"/>
        </w:rPr>
        <w:t>Koji</w:t>
      </w:r>
      <w:r>
        <w:rPr>
          <w:rFonts w:cstheme="minorHAnsi"/>
          <w:sz w:val="24"/>
          <w:szCs w:val="24"/>
          <w:lang w:val="en-US"/>
        </w:rPr>
        <w:t>ć</w:t>
      </w:r>
      <w:proofErr w:type="spellEnd"/>
    </w:p>
    <w:sectPr w:rsidR="00A46D4E" w:rsidRPr="00901A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43A69"/>
    <w:multiLevelType w:val="hybridMultilevel"/>
    <w:tmpl w:val="0BF06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5D8"/>
    <w:rsid w:val="0004725A"/>
    <w:rsid w:val="001277CB"/>
    <w:rsid w:val="001715D8"/>
    <w:rsid w:val="00193692"/>
    <w:rsid w:val="001D1D64"/>
    <w:rsid w:val="001E5D69"/>
    <w:rsid w:val="00270325"/>
    <w:rsid w:val="002B31BE"/>
    <w:rsid w:val="002F7057"/>
    <w:rsid w:val="003B24D2"/>
    <w:rsid w:val="00466363"/>
    <w:rsid w:val="00491110"/>
    <w:rsid w:val="004B32A8"/>
    <w:rsid w:val="006317A5"/>
    <w:rsid w:val="007061A3"/>
    <w:rsid w:val="00791B8C"/>
    <w:rsid w:val="008B7D3E"/>
    <w:rsid w:val="00901A3C"/>
    <w:rsid w:val="009744C2"/>
    <w:rsid w:val="009D5B81"/>
    <w:rsid w:val="00A10971"/>
    <w:rsid w:val="00A22A90"/>
    <w:rsid w:val="00A46D4E"/>
    <w:rsid w:val="00A5580D"/>
    <w:rsid w:val="00B60B22"/>
    <w:rsid w:val="00BE4410"/>
    <w:rsid w:val="00BF310D"/>
    <w:rsid w:val="00BF7DCC"/>
    <w:rsid w:val="00C228DF"/>
    <w:rsid w:val="00C42E73"/>
    <w:rsid w:val="00DA57A5"/>
    <w:rsid w:val="00E85D23"/>
    <w:rsid w:val="00EF7510"/>
    <w:rsid w:val="00F02C6F"/>
    <w:rsid w:val="00F25329"/>
    <w:rsid w:val="00F57961"/>
    <w:rsid w:val="00F87A27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DD10C"/>
  <w15:docId w15:val="{81FBACFF-F14A-4EBF-9929-CF812A45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B754-4C5F-4169-ACD4-BB48873B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Becker-Kojic</dc:creator>
  <cp:lastModifiedBy>Barnabas von Ritzhaupt</cp:lastModifiedBy>
  <cp:revision>10</cp:revision>
  <dcterms:created xsi:type="dcterms:W3CDTF">2021-01-20T11:04:00Z</dcterms:created>
  <dcterms:modified xsi:type="dcterms:W3CDTF">2021-01-20T13:57:00Z</dcterms:modified>
</cp:coreProperties>
</file>