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25EE4" w14:textId="6809291F" w:rsidR="008574EE" w:rsidRDefault="00DD00AD" w:rsidP="00DD00AD">
      <w:pPr>
        <w:pStyle w:val="NormalWeb"/>
      </w:pPr>
      <w:r w:rsidRPr="0012093A">
        <w:rPr>
          <w:b/>
          <w:bCs/>
          <w:color w:val="FF0000"/>
          <w:u w:val="single"/>
        </w:rPr>
        <w:t>Editorial Comments:</w:t>
      </w:r>
      <w:r w:rsidRPr="0012093A">
        <w:br/>
      </w:r>
      <w:r w:rsidRPr="0012093A">
        <w:br/>
        <w:t>• Please take this opportunity to thoroughly proofread the manuscript to ensure that there are no spelling or grammatical errors.</w:t>
      </w:r>
      <w:r w:rsidRPr="0012093A">
        <w:br/>
      </w:r>
      <w:r w:rsidRPr="0012093A">
        <w:br/>
        <w:t xml:space="preserve">• </w:t>
      </w:r>
      <w:r w:rsidRPr="0012093A">
        <w:rPr>
          <w:b/>
          <w:bCs/>
          <w:color w:val="FF0000"/>
        </w:rPr>
        <w:t>Abstracts:</w:t>
      </w:r>
      <w:r w:rsidRPr="0012093A">
        <w:t xml:space="preserve"> Add a 50 word summary.</w:t>
      </w:r>
    </w:p>
    <w:p w14:paraId="1BA7FF7E" w14:textId="3030AE71" w:rsidR="008574EE" w:rsidRPr="008574EE" w:rsidRDefault="00032DED" w:rsidP="00DD00AD">
      <w:pPr>
        <w:pStyle w:val="NormalWeb"/>
        <w:rPr>
          <w:i/>
          <w:iCs/>
        </w:rPr>
      </w:pPr>
      <w:r>
        <w:rPr>
          <w:i/>
          <w:iCs/>
        </w:rPr>
        <w:t>Response:</w:t>
      </w:r>
      <w:r w:rsidR="008574EE">
        <w:rPr>
          <w:i/>
          <w:iCs/>
        </w:rPr>
        <w:t xml:space="preserve"> </w:t>
      </w:r>
      <w:r w:rsidR="008B070F">
        <w:rPr>
          <w:i/>
          <w:iCs/>
        </w:rPr>
        <w:t xml:space="preserve">We have added a </w:t>
      </w:r>
      <w:r w:rsidR="00CC5B00">
        <w:rPr>
          <w:i/>
          <w:iCs/>
        </w:rPr>
        <w:t>s</w:t>
      </w:r>
      <w:r w:rsidR="008B070F">
        <w:rPr>
          <w:i/>
          <w:iCs/>
        </w:rPr>
        <w:t>ummary to the manuscript.</w:t>
      </w:r>
    </w:p>
    <w:p w14:paraId="0E928BE7" w14:textId="2E1F50C4" w:rsidR="008574EE" w:rsidRDefault="00DD00AD" w:rsidP="00DD00AD">
      <w:pPr>
        <w:pStyle w:val="NormalWeb"/>
      </w:pPr>
      <w:r w:rsidRPr="0012093A">
        <w:t xml:space="preserve">• </w:t>
      </w:r>
      <w:r w:rsidRPr="0012093A">
        <w:rPr>
          <w:b/>
          <w:bCs/>
          <w:color w:val="FF0000"/>
        </w:rPr>
        <w:t>Protocol Language:</w:t>
      </w:r>
      <w:r w:rsidRPr="0012093A">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12093A">
        <w:br/>
        <w:t>1) Entire section 1 and most of the other sections need re-writing.</w:t>
      </w:r>
    </w:p>
    <w:p w14:paraId="6AB4340A" w14:textId="7776DFDB" w:rsidR="008574EE" w:rsidRDefault="00032DED" w:rsidP="00DD00AD">
      <w:pPr>
        <w:pStyle w:val="NormalWeb"/>
      </w:pPr>
      <w:r>
        <w:rPr>
          <w:i/>
          <w:iCs/>
        </w:rPr>
        <w:t>Response:</w:t>
      </w:r>
      <w:r w:rsidR="008574EE">
        <w:rPr>
          <w:i/>
          <w:iCs/>
        </w:rPr>
        <w:t xml:space="preserve"> </w:t>
      </w:r>
      <w:r w:rsidR="008B070F">
        <w:rPr>
          <w:i/>
          <w:iCs/>
        </w:rPr>
        <w:t>We have made the suggested changes to the wording.</w:t>
      </w:r>
    </w:p>
    <w:p w14:paraId="329F2C43" w14:textId="3E64EC00" w:rsidR="008574EE" w:rsidRDefault="00DD00AD" w:rsidP="00DD00AD">
      <w:pPr>
        <w:pStyle w:val="NormalWeb"/>
      </w:pPr>
      <w:r w:rsidRPr="0012093A">
        <w:t xml:space="preserve">• </w:t>
      </w:r>
      <w:r w:rsidRPr="0012093A">
        <w:rPr>
          <w:b/>
          <w:bCs/>
          <w:color w:val="FF0000"/>
        </w:rPr>
        <w:t>Protocol Detail:</w:t>
      </w:r>
      <w:r w:rsidRPr="0012093A">
        <w:t xml:space="preserve"> Please note that your protocol will be used to generate the script for the video, and must contain everything that you would like shown in the video. </w:t>
      </w:r>
      <w:r w:rsidRPr="0012093A">
        <w:rPr>
          <w:b/>
          <w:bCs/>
        </w:rPr>
        <w:t xml:space="preserve">Please add more specific details (e.g. button clicks for software actions, numerical values for settings, etc) to your protocol steps. </w:t>
      </w:r>
      <w:r w:rsidRPr="0012093A">
        <w:t>There should be enough detail in each step to supplement the actions seen in the video so that viewers can easily replicate the protocol.</w:t>
      </w:r>
    </w:p>
    <w:p w14:paraId="6D9E22CC" w14:textId="66331F4C" w:rsidR="008574EE" w:rsidRPr="008574EE" w:rsidRDefault="00364522" w:rsidP="00DD00AD">
      <w:pPr>
        <w:pStyle w:val="NormalWeb"/>
        <w:rPr>
          <w:i/>
          <w:iCs/>
        </w:rPr>
      </w:pPr>
      <w:r>
        <w:rPr>
          <w:i/>
          <w:iCs/>
        </w:rPr>
        <w:t>Response: We have attempted to include an appropriate level of detail, in line with published JoVE articles on similar topics.</w:t>
      </w:r>
    </w:p>
    <w:p w14:paraId="35A4C2D2" w14:textId="52448DB6" w:rsidR="008574EE" w:rsidRDefault="00DD00AD" w:rsidP="00DD00AD">
      <w:pPr>
        <w:pStyle w:val="NormalWeb"/>
      </w:pPr>
      <w:r w:rsidRPr="0012093A">
        <w:t xml:space="preserve">• </w:t>
      </w:r>
      <w:r w:rsidRPr="0012093A">
        <w:rPr>
          <w:b/>
          <w:bCs/>
          <w:color w:val="FF0000"/>
        </w:rPr>
        <w:t>Protocol Numbering:</w:t>
      </w:r>
      <w:r w:rsidRPr="0012093A">
        <w:t xml:space="preserve"> Please adjust the numbering of your protocol section to follow JoVE’s instructions for authors, 1. should be followed by 1.1. and then 1.1.1. if necessary and all steps should be lined up at the left margin with no indentations. There must also be a one-line space between each protocol step.</w:t>
      </w:r>
    </w:p>
    <w:p w14:paraId="0A954634" w14:textId="37B32FD4" w:rsidR="008574EE" w:rsidRPr="008574EE" w:rsidRDefault="00032DED" w:rsidP="00DD00AD">
      <w:pPr>
        <w:pStyle w:val="NormalWeb"/>
      </w:pPr>
      <w:r>
        <w:rPr>
          <w:i/>
          <w:iCs/>
        </w:rPr>
        <w:t>Response:</w:t>
      </w:r>
      <w:r w:rsidR="008574EE" w:rsidRPr="008574EE">
        <w:rPr>
          <w:i/>
          <w:iCs/>
        </w:rPr>
        <w:t xml:space="preserve"> </w:t>
      </w:r>
      <w:r w:rsidR="008B070F">
        <w:rPr>
          <w:i/>
          <w:iCs/>
        </w:rPr>
        <w:t>We have made the requested formatting changes.</w:t>
      </w:r>
    </w:p>
    <w:p w14:paraId="2691682F" w14:textId="53EE84D0" w:rsidR="008574EE" w:rsidRDefault="00DD00AD" w:rsidP="00DD00AD">
      <w:pPr>
        <w:pStyle w:val="NormalWeb"/>
      </w:pPr>
      <w:r w:rsidRPr="0012093A">
        <w:t xml:space="preserve">• </w:t>
      </w:r>
      <w:r w:rsidRPr="0012093A">
        <w:rPr>
          <w:b/>
          <w:bCs/>
          <w:color w:val="FF0000"/>
        </w:rPr>
        <w:t>Protocol Highlight:</w:t>
      </w:r>
      <w:r w:rsidRPr="0012093A">
        <w:t xml:space="preserve"> Please highlight ~2.5 pages or less of text (which includes headings and spaces) in yellow, to identify which steps should be visualized to tel</w:t>
      </w:r>
      <w:r w:rsidR="00EF2E44" w:rsidRPr="0012093A">
        <w:t>;</w:t>
      </w:r>
      <w:r w:rsidRPr="0012093A">
        <w:t>l the most cohesive story of your protocol steps.</w:t>
      </w:r>
      <w:r w:rsidRPr="0012093A">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12093A">
        <w:br/>
        <w:t>2) Some of your shorter protocol steps can be combined so that individual steps contain 2-3 actions and maximum of 4 sentences per step.</w:t>
      </w:r>
      <w:r w:rsidRPr="0012093A">
        <w:br/>
        <w:t>3) The highlighted steps should form a cohesive narrative, that is, there must be a logical flow from one highlighted step to the next.</w:t>
      </w:r>
      <w:r w:rsidRPr="0012093A">
        <w:br/>
        <w:t xml:space="preserve">4) Please highlight complete sentences (not parts of sentences). Include sub-headings and spaces </w:t>
      </w:r>
      <w:r w:rsidRPr="0012093A">
        <w:lastRenderedPageBreak/>
        <w:t>when calculating the final highlighted length.</w:t>
      </w:r>
      <w:r w:rsidRPr="0012093A">
        <w:br/>
        <w:t>5) Notes cannot be filmed and should be excluded from highlighting.</w:t>
      </w:r>
    </w:p>
    <w:p w14:paraId="3EA649F9" w14:textId="2C4EBD5E" w:rsidR="008574EE" w:rsidRPr="008574EE" w:rsidRDefault="00032DED" w:rsidP="00DD00AD">
      <w:pPr>
        <w:pStyle w:val="NormalWeb"/>
        <w:rPr>
          <w:i/>
          <w:iCs/>
        </w:rPr>
      </w:pPr>
      <w:r>
        <w:rPr>
          <w:i/>
          <w:iCs/>
        </w:rPr>
        <w:t>Response: We have h</w:t>
      </w:r>
      <w:r w:rsidR="008574EE" w:rsidRPr="008574EE">
        <w:rPr>
          <w:i/>
          <w:iCs/>
        </w:rPr>
        <w:t xml:space="preserve">ighlighted the parts that </w:t>
      </w:r>
      <w:r>
        <w:rPr>
          <w:i/>
          <w:iCs/>
        </w:rPr>
        <w:t>should</w:t>
      </w:r>
      <w:r w:rsidR="008574EE" w:rsidRPr="008574EE">
        <w:rPr>
          <w:i/>
          <w:iCs/>
        </w:rPr>
        <w:t xml:space="preserve"> be used for making </w:t>
      </w:r>
      <w:r>
        <w:rPr>
          <w:i/>
          <w:iCs/>
        </w:rPr>
        <w:t xml:space="preserve">the </w:t>
      </w:r>
      <w:r w:rsidR="008574EE" w:rsidRPr="008574EE">
        <w:rPr>
          <w:i/>
          <w:iCs/>
        </w:rPr>
        <w:t xml:space="preserve">video. </w:t>
      </w:r>
    </w:p>
    <w:p w14:paraId="541B8478" w14:textId="5E5AD94B" w:rsidR="008574EE" w:rsidRDefault="00DD00AD" w:rsidP="00DD00AD">
      <w:pPr>
        <w:pStyle w:val="NormalWeb"/>
      </w:pPr>
      <w:r w:rsidRPr="0012093A">
        <w:t xml:space="preserve">• </w:t>
      </w:r>
      <w:r w:rsidRPr="0012093A">
        <w:rPr>
          <w:b/>
          <w:bCs/>
          <w:color w:val="FF0000"/>
        </w:rPr>
        <w:t>Discussion:</w:t>
      </w:r>
      <w:r w:rsidRPr="0012093A">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D3FAE3D" w14:textId="3037E33C" w:rsidR="008574EE" w:rsidRPr="008574EE" w:rsidRDefault="00B11F2D" w:rsidP="00DD00AD">
      <w:pPr>
        <w:pStyle w:val="NormalWeb"/>
        <w:rPr>
          <w:i/>
          <w:iCs/>
        </w:rPr>
      </w:pPr>
      <w:r>
        <w:rPr>
          <w:i/>
          <w:iCs/>
        </w:rPr>
        <w:t>Response: We have limited Discussion to the areas requested, and moved description of the technique to other sections where appropriate.</w:t>
      </w:r>
    </w:p>
    <w:p w14:paraId="362ACE99" w14:textId="6B153276" w:rsidR="008574EE" w:rsidRDefault="00DD00AD" w:rsidP="00DD00AD">
      <w:pPr>
        <w:pStyle w:val="NormalWeb"/>
      </w:pPr>
      <w:r w:rsidRPr="0012093A">
        <w:t xml:space="preserve">• </w:t>
      </w:r>
      <w:r w:rsidRPr="0012093A">
        <w:rPr>
          <w:b/>
          <w:bCs/>
          <w:color w:val="FF0000"/>
        </w:rPr>
        <w:t>Figures:</w:t>
      </w:r>
      <w:r w:rsidRPr="0012093A">
        <w:t xml:space="preserve"> Please remove the embedded figures from the manuscript. Figure legends, however, should remain within the manuscript text, directly below the Representative Results text.</w:t>
      </w:r>
    </w:p>
    <w:p w14:paraId="35978589" w14:textId="16B5234B" w:rsidR="008574EE" w:rsidRDefault="00032DED" w:rsidP="00DD00AD">
      <w:pPr>
        <w:pStyle w:val="NormalWeb"/>
      </w:pPr>
      <w:r>
        <w:rPr>
          <w:i/>
          <w:iCs/>
        </w:rPr>
        <w:t>Response:</w:t>
      </w:r>
      <w:r w:rsidR="008574EE" w:rsidRPr="008574EE">
        <w:rPr>
          <w:i/>
          <w:iCs/>
        </w:rPr>
        <w:t xml:space="preserve"> Figures are in separate files now and figure legends are still in the manuscript file.</w:t>
      </w:r>
      <w:r w:rsidR="008574EE">
        <w:t xml:space="preserve"> </w:t>
      </w:r>
    </w:p>
    <w:p w14:paraId="04299F0E" w14:textId="006A09BD" w:rsidR="008574EE" w:rsidRDefault="00DD00AD" w:rsidP="00DD00AD">
      <w:pPr>
        <w:pStyle w:val="NormalWeb"/>
      </w:pPr>
      <w:r w:rsidRPr="0012093A">
        <w:t xml:space="preserve">• </w:t>
      </w:r>
      <w:r w:rsidRPr="0012093A">
        <w:rPr>
          <w:b/>
          <w:bCs/>
          <w:color w:val="FF0000"/>
        </w:rPr>
        <w:t>References:</w:t>
      </w:r>
      <w:r w:rsidRPr="0012093A">
        <w:t xml:space="preserve">Please make sure that your references comply with JoVE instructions for authors. Citation formatting should appear as follows: (For 6 authors or less list all authors. For more than 6 authors, list only the first author then </w:t>
      </w:r>
      <w:r w:rsidRPr="0012093A">
        <w:rPr>
          <w:i/>
          <w:iCs/>
        </w:rPr>
        <w:t>et al.</w:t>
      </w:r>
      <w:r w:rsidRPr="0012093A">
        <w:t xml:space="preserve">): [Lastname, F.I., LastName, F.I., LastName, F.I. Article Title. </w:t>
      </w:r>
      <w:r w:rsidRPr="0012093A">
        <w:rPr>
          <w:i/>
          <w:iCs/>
        </w:rPr>
        <w:t>Source</w:t>
      </w:r>
      <w:r w:rsidRPr="0012093A">
        <w:t xml:space="preserve">. </w:t>
      </w:r>
      <w:r w:rsidRPr="0012093A">
        <w:rPr>
          <w:b/>
          <w:bCs/>
        </w:rPr>
        <w:t>Volume</w:t>
      </w:r>
      <w:r w:rsidRPr="0012093A">
        <w:t xml:space="preserve"> (Issue), FirstPage – LastPage, doi:DOI (YEAR).]</w:t>
      </w:r>
    </w:p>
    <w:p w14:paraId="51073472" w14:textId="55F8ED46" w:rsidR="008574EE" w:rsidRDefault="00032DED" w:rsidP="00DD00AD">
      <w:pPr>
        <w:pStyle w:val="NormalWeb"/>
      </w:pPr>
      <w:r>
        <w:rPr>
          <w:i/>
          <w:iCs/>
        </w:rPr>
        <w:t>Response:</w:t>
      </w:r>
      <w:r w:rsidR="008574EE" w:rsidRPr="008574EE">
        <w:rPr>
          <w:i/>
          <w:iCs/>
        </w:rPr>
        <w:t xml:space="preserve"> References are formatted as </w:t>
      </w:r>
      <w:r w:rsidR="00364522">
        <w:rPr>
          <w:i/>
          <w:iCs/>
        </w:rPr>
        <w:t>required</w:t>
      </w:r>
      <w:r w:rsidR="008574EE" w:rsidRPr="008574EE">
        <w:rPr>
          <w:i/>
          <w:iCs/>
        </w:rPr>
        <w:t>.</w:t>
      </w:r>
      <w:r w:rsidR="008574EE">
        <w:t xml:space="preserve"> </w:t>
      </w:r>
    </w:p>
    <w:p w14:paraId="418BF6FA" w14:textId="07CF1B1E" w:rsidR="008574EE" w:rsidRDefault="00DD00AD" w:rsidP="00DD00AD">
      <w:pPr>
        <w:pStyle w:val="NormalWeb"/>
      </w:pPr>
      <w:r w:rsidRPr="0012093A">
        <w:t xml:space="preserve">• </w:t>
      </w:r>
      <w:r w:rsidRPr="0012093A">
        <w:rPr>
          <w:b/>
          <w:bCs/>
          <w:color w:val="FF0000"/>
        </w:rPr>
        <w:t>Commercial Language:</w:t>
      </w:r>
      <w:r w:rsidR="00952957" w:rsidRPr="0012093A">
        <w:t xml:space="preserve"> Delete commercial words. </w:t>
      </w:r>
      <w:r w:rsidRPr="0012093A">
        <w:t>Examples of commercial sounding language in your manuscript are Orbitrap, Thermo Scientific, Byonic, etc.</w:t>
      </w:r>
      <w:r w:rsidR="00952957" w:rsidRPr="0012093A">
        <w:t xml:space="preserve"> </w:t>
      </w:r>
      <w:r w:rsidRPr="0012093A">
        <w:t>All commercial products should be sufficiently referenced in the table of materials/reagents. You may use the generic term followed by “(see table of materials)” to draw the readers’ attention to specific commercial names.</w:t>
      </w:r>
    </w:p>
    <w:p w14:paraId="07852AC8" w14:textId="43872C1C" w:rsidR="008574EE" w:rsidRDefault="00032DED" w:rsidP="00DD00AD">
      <w:pPr>
        <w:pStyle w:val="NormalWeb"/>
      </w:pPr>
      <w:r>
        <w:rPr>
          <w:i/>
          <w:iCs/>
        </w:rPr>
        <w:t>Response:</w:t>
      </w:r>
      <w:r w:rsidR="008574EE" w:rsidRPr="008574EE">
        <w:rPr>
          <w:i/>
          <w:iCs/>
        </w:rPr>
        <w:t xml:space="preserve"> </w:t>
      </w:r>
      <w:r w:rsidR="00364522">
        <w:rPr>
          <w:i/>
          <w:iCs/>
        </w:rPr>
        <w:t>We have attempted to remove all commercial language while keeping the protocol easy to follow</w:t>
      </w:r>
      <w:r w:rsidR="008574EE" w:rsidRPr="008574EE">
        <w:rPr>
          <w:i/>
          <w:iCs/>
        </w:rPr>
        <w:t>.</w:t>
      </w:r>
      <w:r w:rsidR="008574EE">
        <w:t xml:space="preserve"> </w:t>
      </w:r>
    </w:p>
    <w:p w14:paraId="1D22A713" w14:textId="77777777" w:rsidR="00364522" w:rsidRDefault="00DD00AD" w:rsidP="00452966">
      <w:pPr>
        <w:pStyle w:val="NormalWeb"/>
      </w:pPr>
      <w:r w:rsidRPr="0012093A">
        <w:t>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Pr="0012093A">
        <w:br/>
        <w:t> </w:t>
      </w:r>
    </w:p>
    <w:p w14:paraId="19A49499" w14:textId="2DCFE620" w:rsidR="00452966" w:rsidRPr="00BB73C2" w:rsidRDefault="00032DED" w:rsidP="00452966">
      <w:pPr>
        <w:pStyle w:val="NormalWeb"/>
        <w:rPr>
          <w:i/>
          <w:iCs/>
        </w:rPr>
      </w:pPr>
      <w:r>
        <w:rPr>
          <w:i/>
          <w:iCs/>
        </w:rPr>
        <w:t>Response:</w:t>
      </w:r>
      <w:r w:rsidR="00452966" w:rsidRPr="00BB73C2">
        <w:rPr>
          <w:i/>
          <w:iCs/>
        </w:rPr>
        <w:t xml:space="preserve"> </w:t>
      </w:r>
      <w:r w:rsidR="00275553">
        <w:rPr>
          <w:i/>
          <w:iCs/>
        </w:rPr>
        <w:t>F</w:t>
      </w:r>
      <w:r w:rsidR="00452966" w:rsidRPr="00BB73C2">
        <w:rPr>
          <w:i/>
          <w:iCs/>
        </w:rPr>
        <w:t>igure</w:t>
      </w:r>
      <w:r w:rsidR="00275553">
        <w:rPr>
          <w:i/>
          <w:iCs/>
        </w:rPr>
        <w:t>s</w:t>
      </w:r>
      <w:r w:rsidR="00452966" w:rsidRPr="00BB73C2">
        <w:rPr>
          <w:i/>
          <w:iCs/>
        </w:rPr>
        <w:t xml:space="preserve"> 1</w:t>
      </w:r>
      <w:r w:rsidR="00B11F2D">
        <w:rPr>
          <w:i/>
          <w:iCs/>
        </w:rPr>
        <w:t xml:space="preserve"> and 3</w:t>
      </w:r>
      <w:r w:rsidR="00452966" w:rsidRPr="00BB73C2">
        <w:rPr>
          <w:i/>
          <w:iCs/>
        </w:rPr>
        <w:t>-</w:t>
      </w:r>
      <w:r w:rsidR="00193BC0">
        <w:rPr>
          <w:i/>
          <w:iCs/>
        </w:rPr>
        <w:t>6</w:t>
      </w:r>
      <w:r w:rsidR="00193BC0" w:rsidRPr="00BB73C2">
        <w:rPr>
          <w:i/>
          <w:iCs/>
        </w:rPr>
        <w:t xml:space="preserve"> </w:t>
      </w:r>
      <w:r w:rsidR="00452966" w:rsidRPr="00BB73C2">
        <w:rPr>
          <w:i/>
          <w:iCs/>
        </w:rPr>
        <w:t>are original figure</w:t>
      </w:r>
      <w:r w:rsidR="00275553">
        <w:rPr>
          <w:i/>
          <w:iCs/>
        </w:rPr>
        <w:t>s</w:t>
      </w:r>
      <w:r w:rsidR="00452966" w:rsidRPr="00BB73C2">
        <w:rPr>
          <w:i/>
          <w:iCs/>
        </w:rPr>
        <w:t xml:space="preserve"> and are not published elsewhere. </w:t>
      </w:r>
    </w:p>
    <w:p w14:paraId="2EAC81BF" w14:textId="7644A9B8" w:rsidR="00452966" w:rsidRPr="00BB73C2" w:rsidRDefault="00452966" w:rsidP="00452966">
      <w:pPr>
        <w:pStyle w:val="NormalWeb"/>
        <w:rPr>
          <w:i/>
          <w:iCs/>
        </w:rPr>
      </w:pPr>
      <w:r w:rsidRPr="00BB73C2">
        <w:rPr>
          <w:i/>
          <w:iCs/>
        </w:rPr>
        <w:lastRenderedPageBreak/>
        <w:t xml:space="preserve">For </w:t>
      </w:r>
      <w:r w:rsidR="00711EB0">
        <w:rPr>
          <w:i/>
          <w:iCs/>
        </w:rPr>
        <w:t xml:space="preserve">figures 2 and </w:t>
      </w:r>
      <w:r w:rsidR="00B11F2D">
        <w:rPr>
          <w:i/>
          <w:iCs/>
        </w:rPr>
        <w:t>7</w:t>
      </w:r>
      <w:r w:rsidRPr="00BB73C2">
        <w:rPr>
          <w:i/>
          <w:iCs/>
        </w:rPr>
        <w:t xml:space="preserve">, the permission to reproduce the figure is attached as supplemental file.  </w:t>
      </w:r>
    </w:p>
    <w:p w14:paraId="3EBBCBB2" w14:textId="4E8A8494" w:rsidR="00452966" w:rsidRDefault="00DD00AD" w:rsidP="00DD00AD">
      <w:pPr>
        <w:pStyle w:val="NormalWeb"/>
      </w:pPr>
      <w:r w:rsidRPr="0012093A">
        <w:rPr>
          <w:b/>
          <w:bCs/>
          <w:color w:val="0000FF"/>
          <w:u w:val="single"/>
        </w:rPr>
        <w:t>Comments from Peer-Reviewers:</w:t>
      </w:r>
      <w:r w:rsidRPr="0012093A">
        <w:rPr>
          <w:color w:val="0000FF"/>
        </w:rPr>
        <w:t xml:space="preserve"> </w:t>
      </w:r>
      <w:r w:rsidRPr="0012093A">
        <w:br/>
      </w:r>
      <w:r w:rsidRPr="0012093A">
        <w:br/>
      </w:r>
      <w:r w:rsidRPr="0012093A">
        <w:rPr>
          <w:b/>
          <w:bCs/>
        </w:rPr>
        <w:t xml:space="preserve">Reviewer #1: </w:t>
      </w:r>
      <w:r w:rsidRPr="0012093A">
        <w:br/>
      </w:r>
      <w:r w:rsidRPr="0012093A">
        <w:br/>
      </w:r>
      <w:r w:rsidRPr="0012093A">
        <w:br/>
        <w:t>Minor Concerns:</w:t>
      </w:r>
      <w:r w:rsidRPr="0012093A">
        <w:br/>
        <w:t>In section 1 step 6 and section 3 step 2, authors should provide a typical range used for laser energy, flow rate, and repetition.</w:t>
      </w:r>
    </w:p>
    <w:p w14:paraId="4781BDBF" w14:textId="44FB74F9" w:rsidR="00452966" w:rsidRDefault="00032DED" w:rsidP="00DD00AD">
      <w:pPr>
        <w:pStyle w:val="NormalWeb"/>
      </w:pPr>
      <w:r>
        <w:rPr>
          <w:i/>
          <w:iCs/>
        </w:rPr>
        <w:t>Response:</w:t>
      </w:r>
      <w:r w:rsidR="00452966" w:rsidRPr="00452966">
        <w:rPr>
          <w:i/>
          <w:iCs/>
        </w:rPr>
        <w:t xml:space="preserve"> </w:t>
      </w:r>
      <w:r w:rsidR="00F63C3D">
        <w:rPr>
          <w:i/>
          <w:iCs/>
        </w:rPr>
        <w:t xml:space="preserve">After some changes, the old section 1 step 6 is now step 5 and the </w:t>
      </w:r>
      <w:r w:rsidR="00452966" w:rsidRPr="00452966">
        <w:rPr>
          <w:i/>
          <w:iCs/>
        </w:rPr>
        <w:t>typical range</w:t>
      </w:r>
      <w:r w:rsidR="00F63C3D">
        <w:rPr>
          <w:i/>
          <w:iCs/>
        </w:rPr>
        <w:t xml:space="preserve"> for laser power and repetition rate</w:t>
      </w:r>
      <w:r w:rsidR="00452966" w:rsidRPr="00452966">
        <w:rPr>
          <w:i/>
          <w:iCs/>
        </w:rPr>
        <w:t xml:space="preserve"> has been included</w:t>
      </w:r>
      <w:r w:rsidR="00F63C3D">
        <w:rPr>
          <w:i/>
          <w:iCs/>
        </w:rPr>
        <w:t xml:space="preserve">. </w:t>
      </w:r>
      <w:r w:rsidR="00452966" w:rsidRPr="00452966">
        <w:rPr>
          <w:i/>
          <w:iCs/>
        </w:rPr>
        <w:t xml:space="preserve"> </w:t>
      </w:r>
      <w:r w:rsidR="00F63C3D">
        <w:rPr>
          <w:i/>
          <w:iCs/>
        </w:rPr>
        <w:t xml:space="preserve">Section 3, step 2 contains the typical flow rate. </w:t>
      </w:r>
    </w:p>
    <w:p w14:paraId="00F02B10" w14:textId="77777777" w:rsidR="00364522" w:rsidRDefault="00DD00AD" w:rsidP="00DD00AD">
      <w:pPr>
        <w:pStyle w:val="NormalWeb"/>
      </w:pPr>
      <w:r w:rsidRPr="0012093A">
        <w:t>There are several grammatical errors, some chemical formulas do not have the appropriate super scripting in them, and the degree symbol is missing in Section 5 step 7. These should be addressed.</w:t>
      </w:r>
    </w:p>
    <w:p w14:paraId="594171E2" w14:textId="18B0B957" w:rsidR="007F4B26" w:rsidRPr="00452966" w:rsidRDefault="00DD00AD" w:rsidP="00DD00AD">
      <w:pPr>
        <w:pStyle w:val="NormalWeb"/>
        <w:rPr>
          <w:i/>
          <w:iCs/>
        </w:rPr>
      </w:pPr>
      <w:r w:rsidRPr="0012093A">
        <w:br/>
      </w:r>
      <w:r w:rsidR="00032DED">
        <w:rPr>
          <w:i/>
          <w:iCs/>
        </w:rPr>
        <w:t>Response:</w:t>
      </w:r>
      <w:r w:rsidR="00452966" w:rsidRPr="00452966">
        <w:rPr>
          <w:i/>
          <w:iCs/>
        </w:rPr>
        <w:t xml:space="preserve"> </w:t>
      </w:r>
      <w:r w:rsidR="00B11F2D">
        <w:rPr>
          <w:i/>
          <w:iCs/>
        </w:rPr>
        <w:t>We have attempted to address all grammatical errors, and will cooperate with the editorial process if others are found.</w:t>
      </w:r>
    </w:p>
    <w:p w14:paraId="77CB52E2" w14:textId="7D7B5B43" w:rsidR="00620B80" w:rsidRDefault="00620B80" w:rsidP="00DD00AD">
      <w:pPr>
        <w:pStyle w:val="NormalWeb"/>
        <w:rPr>
          <w:b/>
          <w:bCs/>
        </w:rPr>
      </w:pPr>
      <w:r>
        <w:rPr>
          <w:b/>
          <w:bCs/>
        </w:rPr>
        <w:t>Reviewer #2:</w:t>
      </w:r>
    </w:p>
    <w:p w14:paraId="663A8E3E" w14:textId="77777777" w:rsidR="001969A7" w:rsidRDefault="001969A7" w:rsidP="00DD00AD">
      <w:pPr>
        <w:pStyle w:val="NormalWeb"/>
      </w:pPr>
      <w:r>
        <w:t>Major Concerns:</w:t>
      </w:r>
      <w:r>
        <w:br/>
        <w:t>There are sections of the article where unnecessarily negative views are aimed at other work in the field. This may not be the authors' intentions, but they should be aware of the effect. Examples are pointed out in this review.</w:t>
      </w:r>
    </w:p>
    <w:p w14:paraId="1E10297E" w14:textId="77777777" w:rsidR="007E1A9A" w:rsidRDefault="001969A7" w:rsidP="00DD00AD">
      <w:pPr>
        <w:pStyle w:val="NormalWeb"/>
        <w:rPr>
          <w:i/>
        </w:rPr>
      </w:pPr>
      <w:r>
        <w:rPr>
          <w:i/>
        </w:rPr>
        <w:t>Response: We have certainly not intended to be unnecessarily negative towards others’ work in the field. However, we also do not want to ignore areas in which established researchers have differences of opinion. We have tried to rewrite the manuscript to summarize the conflict while trying to avoid reaching definitive conclusions about the resolution. We will highlight these edits where examples are pointed out.</w:t>
      </w:r>
    </w:p>
    <w:p w14:paraId="12D89A25" w14:textId="4B949475" w:rsidR="001969A7" w:rsidRDefault="001969A7" w:rsidP="00DD00AD">
      <w:pPr>
        <w:pStyle w:val="NormalWeb"/>
      </w:pPr>
      <w:r>
        <w:br/>
        <w:t>1. Title: I suggest that topology is not the correct word here. Topology is defined as MATHEMATICS the study of geometric properties and spatial relations unaffected by the continuous change of shape or size of figures. Or the way in which constituent parts are interrelated or arranged as in "the topology of a computer network." I would vote for high order changes in protein structure. Topology is just one aspect of this.</w:t>
      </w:r>
    </w:p>
    <w:p w14:paraId="2047055F" w14:textId="30362DA0" w:rsidR="001969A7" w:rsidRPr="001969A7" w:rsidRDefault="001969A7" w:rsidP="001969A7">
      <w:pPr>
        <w:pStyle w:val="NormalWeb"/>
        <w:rPr>
          <w:i/>
        </w:rPr>
      </w:pPr>
      <w:r>
        <w:rPr>
          <w:i/>
        </w:rPr>
        <w:t xml:space="preserve">Response: The word “topology” is not used in the title. A search of the document did not find the word “topology” used anywhere in the text. The word used is “topography.” The use of the word “topography” in the context of protein footprinting to describe changes to the protein surface </w:t>
      </w:r>
      <w:r>
        <w:rPr>
          <w:i/>
        </w:rPr>
        <w:lastRenderedPageBreak/>
        <w:t xml:space="preserve">was to my knowledge coined by Prof. H.A. Scheraga (DOI: </w:t>
      </w:r>
      <w:r w:rsidRPr="001969A7">
        <w:rPr>
          <w:i/>
        </w:rPr>
        <w:t>10.1021/bi00622a009</w:t>
      </w:r>
      <w:r>
        <w:rPr>
          <w:i/>
        </w:rPr>
        <w:t xml:space="preserve">) in 1977. It has been used by multiple groups to describe the protein quality probed by hydroxyl radical protein footprinting, including my group (first in DOI: </w:t>
      </w:r>
      <w:r w:rsidRPr="001969A7">
        <w:rPr>
          <w:i/>
        </w:rPr>
        <w:t>10.1038/s41598-017-04689-3</w:t>
      </w:r>
      <w:r>
        <w:rPr>
          <w:i/>
        </w:rPr>
        <w:t xml:space="preserve">) and Mark Chance’s group (first in DOI: </w:t>
      </w:r>
      <w:r w:rsidRPr="001969A7">
        <w:rPr>
          <w:i/>
        </w:rPr>
        <w:t>10.1074/mcp.O114.044362</w:t>
      </w:r>
      <w:r>
        <w:rPr>
          <w:i/>
        </w:rPr>
        <w:t>). We believe that “higher order structure” which includes numerous factors including secondary structure, domain folding, interdomain contacts, etc. is not the best descriptor of what HRPF is measuring: namely, the surface of the protein exposed to hydroxyl radicals diffusing through the solvent. We respectfully decline to make the recommended change.</w:t>
      </w:r>
    </w:p>
    <w:p w14:paraId="298126AC" w14:textId="77777777" w:rsidR="001969A7" w:rsidRDefault="001969A7" w:rsidP="001969A7">
      <w:pPr>
        <w:pStyle w:val="NormalWeb"/>
      </w:pPr>
      <w:r>
        <w:br/>
        <w:t>2. In general, the article has an undue emphasis on the dosimetry. Indeed, that is important, but the treatment is not commensurate with the title and theme of the article. Given the principal author's commercial interests, this emphasis should be reduced.</w:t>
      </w:r>
    </w:p>
    <w:p w14:paraId="1B737C46" w14:textId="68C5DB52" w:rsidR="00944AF8" w:rsidRDefault="001969A7" w:rsidP="001969A7">
      <w:pPr>
        <w:pStyle w:val="NormalWeb"/>
        <w:rPr>
          <w:i/>
        </w:rPr>
      </w:pPr>
      <w:r>
        <w:rPr>
          <w:i/>
        </w:rPr>
        <w:t>Response: We regret that our title was not sufficiently descriptive of the intended focus of the manuscript. While a general overview of FPOP is included, the focus that was pitched to the editor was a detailed demonstration of the use of real-time dosimetry to enable real-time compensation. This is the portion of the protocol that will be focused on for the filmed portion of the submission. We have edited the title to make this focus clearer</w:t>
      </w:r>
      <w:r w:rsidR="00944AF8">
        <w:rPr>
          <w:i/>
        </w:rPr>
        <w:t>: “</w:t>
      </w:r>
      <w:r w:rsidR="008663EA" w:rsidRPr="008663EA">
        <w:rPr>
          <w:i/>
        </w:rPr>
        <w:t>Enabling Real-Time Compensation in Fast Photochemical Oxidations of Proteins for the Determination of Protein Topography Changes</w:t>
      </w:r>
      <w:r w:rsidR="00944AF8">
        <w:rPr>
          <w:i/>
        </w:rPr>
        <w:t>.”</w:t>
      </w:r>
    </w:p>
    <w:p w14:paraId="7B580DD0" w14:textId="77777777" w:rsidR="00944AF8" w:rsidRDefault="001969A7" w:rsidP="001969A7">
      <w:pPr>
        <w:pStyle w:val="NormalWeb"/>
      </w:pPr>
      <w:r>
        <w:br/>
        <w:t>3. In the abstract, authors mentioned that FPOP is a technique that can probe "solvent-exposed surface area of proteins". Practically, FPOP cannot afford surface area directly. A better way of presenting this is FPOP can probe "solvent accessible surfaces of proteins".</w:t>
      </w:r>
    </w:p>
    <w:p w14:paraId="6BE4DE7B" w14:textId="77777777" w:rsidR="00944AF8" w:rsidRDefault="00944AF8" w:rsidP="001969A7">
      <w:pPr>
        <w:pStyle w:val="NormalWeb"/>
        <w:rPr>
          <w:i/>
        </w:rPr>
      </w:pPr>
      <w:r>
        <w:rPr>
          <w:i/>
        </w:rPr>
        <w:t xml:space="preserve">Response: We disagree with the reviewer that FPOP does not measure solvent exposed surface area of proteins. While such measurements are complex and beyond the scope of this review, our publication in 2017 showed the ability to generate absolute solvent accessible surface areas of amino acids for one protein using an empirical relationship equation derived using an unrelated protein (DOI: </w:t>
      </w:r>
      <w:r w:rsidRPr="00944AF8">
        <w:rPr>
          <w:i/>
        </w:rPr>
        <w:t>10.1038/s41598-017-04689-3</w:t>
      </w:r>
      <w:r>
        <w:rPr>
          <w:i/>
        </w:rPr>
        <w:t xml:space="preserve">). While not using FPOP, Mark Chance’s group made a similar claim for hydroxyl radical protein footprinting at an earlier date (DOI: </w:t>
      </w:r>
      <w:r w:rsidRPr="00944AF8">
        <w:rPr>
          <w:i/>
        </w:rPr>
        <w:t>10.1074/mcp.O114.044362</w:t>
      </w:r>
      <w:r>
        <w:rPr>
          <w:i/>
        </w:rPr>
        <w:t>). We contend as we have previously in the published literature that the rate of hydroxyl radical reaction can be used to determine solvent accessible surface area with a valuable level of precision, once the inherent chemical reactivity has been properly controlled for and the amount of oxidation at the amino acid level have been measured using an accurate and precise method. Moreover, this contention is not unique to our group. We respectfully decline to make the recommended change.</w:t>
      </w:r>
    </w:p>
    <w:p w14:paraId="46ED86F3" w14:textId="77777777" w:rsidR="00D00B98" w:rsidRDefault="001969A7" w:rsidP="001969A7">
      <w:pPr>
        <w:pStyle w:val="NormalWeb"/>
      </w:pPr>
      <w:r>
        <w:br/>
        <w:t xml:space="preserve">4. At the beginning of the introduction, authors mentioned that "The rate of the oxidation reaction at any amino acid depends on two factors: the inherent reactivity of that amino acid (which depends on the side chain and the sequence context) and the accessibility of that side chain to the diffusing hydroxyl radical, which closely correlates to the average solvent accessible surface area. All of the standard amino acids except glycine have been observed as labeled by </w:t>
      </w:r>
      <w:r>
        <w:lastRenderedPageBreak/>
        <w:t xml:space="preserve">these highly reactive hydroxyl radicals in FPOP experiments, albeit at widely differing yields.". The rate of oxidation reaction depends not only on the inherent reactivity of the that amino acid and its solvent accessibility, but also on the local environment of that specific amino acid (Chem. Phys. Lett. 2014, 613, 5−9. DOI: 10.1016/j.cplett.2014.08.041; Anal. Chem. 2019, 91, 14, 9238-9245. DOI: 10.1021/acs.analchem.9b02134; Anal. Chem. 2019, 91, 15163-15170. DOI: 10.1021/acs.analchem.9b03958). The fluctuation of local H2O2 concentration prior to laser irradiation is part of the reason where the oxidation is only observed in selected residues. </w:t>
      </w:r>
    </w:p>
    <w:p w14:paraId="54A8E17B" w14:textId="04539FBC" w:rsidR="00D00B98" w:rsidRDefault="00D00B98" w:rsidP="001969A7">
      <w:pPr>
        <w:pStyle w:val="NormalWeb"/>
      </w:pPr>
      <w:r>
        <w:rPr>
          <w:i/>
        </w:rPr>
        <w:t>Response: While we admire the experimental work of Gross et al as presented in</w:t>
      </w:r>
      <w:r w:rsidRPr="00D00B98">
        <w:rPr>
          <w:i/>
        </w:rPr>
        <w:t xml:space="preserve"> DOI: 10.1021/acs.analchem.9b02134</w:t>
      </w:r>
      <w:r>
        <w:rPr>
          <w:i/>
        </w:rPr>
        <w:t>, we dispute their conclusion that the differences in 18O labeling is due to local hydrogen peroxide concentrations. As cited in this review by Reviewer #2 (</w:t>
      </w:r>
      <w:r w:rsidRPr="00D00B98">
        <w:rPr>
          <w:i/>
        </w:rPr>
        <w:t>DOI: 10.1016/j.cplett.2014.08.041</w:t>
      </w:r>
      <w:r>
        <w:rPr>
          <w:i/>
        </w:rPr>
        <w:t xml:space="preserve">), the amino acid calculated to have the highest binding affinity for hydrogen peroxide is aspartic acid, followed by </w:t>
      </w:r>
      <w:r w:rsidR="00B042C6">
        <w:rPr>
          <w:i/>
        </w:rPr>
        <w:t>glutamine in aqueous solution</w:t>
      </w:r>
      <w:r>
        <w:rPr>
          <w:i/>
        </w:rPr>
        <w:t xml:space="preserve">. However, Gross et al found that aspartic acid and </w:t>
      </w:r>
      <w:r w:rsidR="00B042C6">
        <w:rPr>
          <w:i/>
        </w:rPr>
        <w:t>glutamine</w:t>
      </w:r>
      <w:r>
        <w:rPr>
          <w:i/>
        </w:rPr>
        <w:t xml:space="preserve"> took oxygen exclusively from O</w:t>
      </w:r>
      <w:r w:rsidRPr="00CF59CA">
        <w:rPr>
          <w:i/>
          <w:vertAlign w:val="subscript"/>
        </w:rPr>
        <w:t>2</w:t>
      </w:r>
      <w:r>
        <w:rPr>
          <w:i/>
        </w:rPr>
        <w:t xml:space="preserve">, along with many other polar amino acids. We have numerous other disputes with the mechanisms presented </w:t>
      </w:r>
      <w:r w:rsidR="00231587">
        <w:rPr>
          <w:i/>
        </w:rPr>
        <w:t xml:space="preserve">by Gross and coworkers in this work </w:t>
      </w:r>
      <w:r>
        <w:rPr>
          <w:i/>
        </w:rPr>
        <w:t>in light of the time-resolved spectroscop</w:t>
      </w:r>
      <w:r w:rsidR="00231587">
        <w:rPr>
          <w:i/>
        </w:rPr>
        <w:t>y</w:t>
      </w:r>
      <w:r>
        <w:rPr>
          <w:i/>
        </w:rPr>
        <w:t xml:space="preserve"> data that ha</w:t>
      </w:r>
      <w:r w:rsidR="00231587">
        <w:rPr>
          <w:i/>
        </w:rPr>
        <w:t>ve</w:t>
      </w:r>
      <w:r>
        <w:rPr>
          <w:i/>
        </w:rPr>
        <w:t xml:space="preserve"> been presented in the field</w:t>
      </w:r>
      <w:r w:rsidR="00231587">
        <w:rPr>
          <w:i/>
        </w:rPr>
        <w:t xml:space="preserve"> in radiation biochemistry</w:t>
      </w:r>
      <w:r>
        <w:rPr>
          <w:i/>
        </w:rPr>
        <w:t xml:space="preserve"> (e.g. </w:t>
      </w:r>
      <w:r w:rsidR="00B042C6">
        <w:rPr>
          <w:i/>
        </w:rPr>
        <w:t xml:space="preserve">we believe that Gross and coworkers misinterpreted their tyrosine data; spectroscopic data suggest that radical addition to the ring is much more preferred than hydrogen abstraction from the OH group, and the lack of hydroxylation </w:t>
      </w:r>
      <w:r w:rsidR="00231587">
        <w:rPr>
          <w:i/>
        </w:rPr>
        <w:t xml:space="preserve">observed by Nukuna, Goshe and Anderson </w:t>
      </w:r>
      <w:r w:rsidR="00B042C6">
        <w:rPr>
          <w:i/>
        </w:rPr>
        <w:t xml:space="preserve">is due to the resolution chemistry of hydroxylated tyrosine radicals in evacuated solutions, see </w:t>
      </w:r>
      <w:r w:rsidR="00D63298">
        <w:rPr>
          <w:i/>
        </w:rPr>
        <w:t xml:space="preserve">DOI: </w:t>
      </w:r>
      <w:r w:rsidR="00B042C6" w:rsidRPr="00B042C6">
        <w:rPr>
          <w:i/>
        </w:rPr>
        <w:t>10.1021/j150654a030</w:t>
      </w:r>
      <w:r w:rsidR="00B042C6">
        <w:rPr>
          <w:i/>
        </w:rPr>
        <w:t xml:space="preserve">). Additionally, we believe that our data from DOI: </w:t>
      </w:r>
      <w:r w:rsidR="00B042C6" w:rsidRPr="001969A7">
        <w:rPr>
          <w:i/>
        </w:rPr>
        <w:t>10.1038/s41598-017-04689-3</w:t>
      </w:r>
      <w:r w:rsidR="00B042C6">
        <w:rPr>
          <w:i/>
        </w:rPr>
        <w:t xml:space="preserve"> clearly show a close and predictable relationship between solvent accessible surface area and apparent rate of reaction with hydroxyl radicals in FPOP, without the need to include effects of local binding of H</w:t>
      </w:r>
      <w:r w:rsidR="00B042C6" w:rsidRPr="00CF59CA">
        <w:rPr>
          <w:i/>
          <w:vertAlign w:val="subscript"/>
        </w:rPr>
        <w:t>2</w:t>
      </w:r>
      <w:r w:rsidR="00B042C6">
        <w:rPr>
          <w:i/>
        </w:rPr>
        <w:t>O</w:t>
      </w:r>
      <w:r w:rsidR="00B042C6" w:rsidRPr="00CF59CA">
        <w:rPr>
          <w:i/>
          <w:vertAlign w:val="subscript"/>
        </w:rPr>
        <w:t>2</w:t>
      </w:r>
      <w:r w:rsidR="00B042C6">
        <w:rPr>
          <w:i/>
        </w:rPr>
        <w:t xml:space="preserve"> in solution. </w:t>
      </w:r>
      <w:r w:rsidR="00231587">
        <w:rPr>
          <w:i/>
        </w:rPr>
        <w:t>The work cited by Reviewer #2 from the Ashcroft group does not add any light to this question; the Ashcroft group merely invoke the Gross group’s work as a possible alternative explanation for FPOP results. As such, we do not believe the effects of local hydrogen peroxide concentration are sufficiently established to be presented in this review, and we respectfully decline to make the recommended change.</w:t>
      </w:r>
    </w:p>
    <w:p w14:paraId="63C64AF1" w14:textId="215F00A8" w:rsidR="00D00B98" w:rsidRDefault="001969A7" w:rsidP="001969A7">
      <w:pPr>
        <w:pStyle w:val="NormalWeb"/>
      </w:pPr>
      <w:r>
        <w:t>This leads to the concern of number of residues that can be labeled by the FPOP. A common consensus in the field is that 14 out of 20 amino acid can be labeled in a real FPOP experiment (Chem. Rev. 2007, 107, 3514-3543. DOI: 10.1021/cr0682047; Chem. Rev. 2020, ASAP. DOI: 10.1021/acs.chemrev.9b00815). A claim of 19 out of 20 amino acids can be labeled by FPOP is overexaggerating.</w:t>
      </w:r>
    </w:p>
    <w:p w14:paraId="466AC3CF" w14:textId="172396B6" w:rsidR="00231587" w:rsidRDefault="00231587" w:rsidP="001969A7">
      <w:pPr>
        <w:pStyle w:val="NormalWeb"/>
        <w:rPr>
          <w:i/>
        </w:rPr>
      </w:pPr>
      <w:r>
        <w:rPr>
          <w:i/>
        </w:rPr>
        <w:t xml:space="preserve">Response: The </w:t>
      </w:r>
      <w:r w:rsidRPr="00231587">
        <w:rPr>
          <w:i/>
        </w:rPr>
        <w:t>DOI: 10.1021/cr0682047</w:t>
      </w:r>
      <w:r>
        <w:rPr>
          <w:i/>
        </w:rPr>
        <w:t xml:space="preserve"> reference cited by Reviewer #2 is not in respect to FPOP; rather, it is referring to X-ray synchrotron radiolysis-based hydroxyl radical protein footprinting. Unlike FPOP, X-ray HRPF is limited in the amount of hydroxyl radical that the protein can be exposed to without inducing artifactual labeling; under such limited labeling regimes, Chance is correct that the less reactive amino acids are unlikely to be labeled. Part of the genius of Gross’ FPOP invention is to free HRPF from these shackles of limited labeling. </w:t>
      </w:r>
      <w:r w:rsidR="001E72C7">
        <w:rPr>
          <w:i/>
        </w:rPr>
        <w:t>Regardless, we do not see in the Chance reference cited here by Reviewer #2 any claim that only 14 o</w:t>
      </w:r>
      <w:r w:rsidR="00D72090">
        <w:rPr>
          <w:i/>
        </w:rPr>
        <w:t>f</w:t>
      </w:r>
      <w:r w:rsidR="001E72C7">
        <w:rPr>
          <w:i/>
        </w:rPr>
        <w:t xml:space="preserve"> 20 amino acids can be oxidized. </w:t>
      </w:r>
      <w:r w:rsidR="00F31923">
        <w:rPr>
          <w:i/>
        </w:rPr>
        <w:t>While the Gross group has claimed that only 14 out of 20 amino acids are amenable to labeling by FPOP</w:t>
      </w:r>
      <w:r w:rsidR="00D72090">
        <w:rPr>
          <w:i/>
        </w:rPr>
        <w:t xml:space="preserve"> (excluding Gly, Ala, Asp, Asn, Ser and Thr)</w:t>
      </w:r>
      <w:r w:rsidR="00F31923">
        <w:rPr>
          <w:i/>
        </w:rPr>
        <w:t xml:space="preserve">, we cite </w:t>
      </w:r>
      <w:r w:rsidR="001E72C7">
        <w:rPr>
          <w:i/>
        </w:rPr>
        <w:t xml:space="preserve">Xie et al (DOI: </w:t>
      </w:r>
      <w:r w:rsidR="001E72C7" w:rsidRPr="001969A7">
        <w:rPr>
          <w:i/>
        </w:rPr>
        <w:t>10.1038/s41598-017-04689-3</w:t>
      </w:r>
      <w:r w:rsidR="001E72C7">
        <w:rPr>
          <w:i/>
        </w:rPr>
        <w:t xml:space="preserve">) where not only do we identify oxidation of </w:t>
      </w:r>
      <w:r w:rsidR="001E72C7">
        <w:rPr>
          <w:i/>
        </w:rPr>
        <w:lastRenderedPageBreak/>
        <w:t xml:space="preserve">amino acids not in the Gross list, but </w:t>
      </w:r>
      <w:r w:rsidR="00275E25">
        <w:rPr>
          <w:i/>
        </w:rPr>
        <w:t>we demonstrate the dose-response of their oxidation to increasing amounts of hydroxyl radical (e.g. Asn37 and Asn39 of lysozyme shown in Figure 1</w:t>
      </w:r>
      <w:r w:rsidR="00D63298">
        <w:rPr>
          <w:i/>
        </w:rPr>
        <w:t xml:space="preserve"> of that reference</w:t>
      </w:r>
      <w:r w:rsidR="00275E25">
        <w:rPr>
          <w:i/>
        </w:rPr>
        <w:t>). We similarly report in that paper oxidation of Ala107, Ala110, Ala122, Thr 47, Thr51</w:t>
      </w:r>
      <w:r w:rsidR="00D72090">
        <w:rPr>
          <w:i/>
        </w:rPr>
        <w:t>, Ser50, and Asp52</w:t>
      </w:r>
      <w:r w:rsidR="00275E25">
        <w:rPr>
          <w:i/>
        </w:rPr>
        <w:t xml:space="preserve"> of lysozyme, </w:t>
      </w:r>
      <w:r w:rsidR="00D72090">
        <w:rPr>
          <w:i/>
        </w:rPr>
        <w:t xml:space="preserve">along with Thr66, Thr68, T70, Asn12, Asp126 and Ala125 of myoglobin, along with dose response data for each </w:t>
      </w:r>
      <w:r w:rsidR="00513B04">
        <w:rPr>
          <w:i/>
        </w:rPr>
        <w:t xml:space="preserve">of these </w:t>
      </w:r>
      <w:r w:rsidR="00D72090">
        <w:rPr>
          <w:i/>
        </w:rPr>
        <w:t>amino acid</w:t>
      </w:r>
      <w:r w:rsidR="00513B04">
        <w:rPr>
          <w:i/>
        </w:rPr>
        <w:t>s</w:t>
      </w:r>
      <w:r w:rsidR="00D72090">
        <w:rPr>
          <w:i/>
        </w:rPr>
        <w:t>. These amino acids were successfully used to calculate solvent accessible surface area once they were properly normalized for inherent reactivity using a denatured protein</w:t>
      </w:r>
      <w:r w:rsidR="00513B04">
        <w:rPr>
          <w:i/>
        </w:rPr>
        <w:t>, and these values were used to select the correct structure from a group of computational models</w:t>
      </w:r>
      <w:r w:rsidR="00D72090">
        <w:rPr>
          <w:i/>
        </w:rPr>
        <w:t xml:space="preserve">. We have similarly found these amino acids that Gross has listed as inactive labeled in other studies (e.g. DOI </w:t>
      </w:r>
      <w:r w:rsidR="00D72090" w:rsidRPr="00D72090">
        <w:rPr>
          <w:i/>
        </w:rPr>
        <w:t>10.1074/jbc.M115.648410</w:t>
      </w:r>
      <w:r w:rsidR="00D72090">
        <w:rPr>
          <w:i/>
        </w:rPr>
        <w:t xml:space="preserve">; DOI </w:t>
      </w:r>
      <w:r w:rsidR="00D72090" w:rsidRPr="00D72090">
        <w:rPr>
          <w:i/>
        </w:rPr>
        <w:t>10.1021/acs.biochem.6b00888</w:t>
      </w:r>
      <w:r w:rsidR="00D72090">
        <w:rPr>
          <w:i/>
        </w:rPr>
        <w:t xml:space="preserve">). Indeed, we note that Gross and coworkers report on the oxidation of Asp, an amino acid they had called inactive, in their recent paper on OH </w:t>
      </w:r>
      <w:r w:rsidR="00513B04">
        <w:rPr>
          <w:i/>
        </w:rPr>
        <w:t xml:space="preserve">radical </w:t>
      </w:r>
      <w:r w:rsidR="00D72090">
        <w:rPr>
          <w:i/>
        </w:rPr>
        <w:t xml:space="preserve">reaction pathways (DOI </w:t>
      </w:r>
      <w:r w:rsidR="00D72090" w:rsidRPr="00D72090">
        <w:rPr>
          <w:i/>
        </w:rPr>
        <w:t>10.1021/acs.analchem.9b02134</w:t>
      </w:r>
      <w:r w:rsidR="00D72090">
        <w:rPr>
          <w:i/>
        </w:rPr>
        <w:t xml:space="preserve">) cited by Reviewer #2 above. </w:t>
      </w:r>
    </w:p>
    <w:p w14:paraId="787EB9B1" w14:textId="4B598C6C" w:rsidR="00513B04" w:rsidRPr="00513B04" w:rsidRDefault="00513B04" w:rsidP="001969A7">
      <w:pPr>
        <w:pStyle w:val="NormalWeb"/>
        <w:rPr>
          <w:i/>
        </w:rPr>
      </w:pPr>
      <w:r>
        <w:rPr>
          <w:i/>
        </w:rPr>
        <w:t xml:space="preserve">While we strongly dispute the notion that only 14 of 20 amino acids are “active” in FPOP, and stand by our assertion that 19 of 20 can be labeled by the experiment depending on protein structure and oxidation conditions based on published data in the literature, we do not want to leave the reader with the impression that all 19 amino acids are </w:t>
      </w:r>
      <w:r>
        <w:rPr>
          <w:b/>
          <w:i/>
        </w:rPr>
        <w:t>commonly</w:t>
      </w:r>
      <w:r>
        <w:rPr>
          <w:i/>
        </w:rPr>
        <w:t xml:space="preserve"> labeled. We have added text that indicates that Ser, Thr, Asn and Ala are also rarely seen except in special circumstances. We hope that, given both our multiple reports of oxidized Asp and the reports of the Gross group regarding oxidation of Asp, Reviewer #2 will agree with its inclusion in the list of </w:t>
      </w:r>
      <w:r w:rsidR="00D63298">
        <w:rPr>
          <w:i/>
        </w:rPr>
        <w:t xml:space="preserve">somewhat </w:t>
      </w:r>
      <w:r>
        <w:rPr>
          <w:i/>
        </w:rPr>
        <w:t>commonly oxidized amino acids.</w:t>
      </w:r>
    </w:p>
    <w:p w14:paraId="06665C41" w14:textId="77777777" w:rsidR="00174EA7" w:rsidRDefault="001969A7" w:rsidP="001969A7">
      <w:pPr>
        <w:pStyle w:val="NormalWeb"/>
      </w:pPr>
      <w:r>
        <w:br/>
        <w:t>5. P 4: To solve this issue, an inline dosimeter that can monitor the signal from adenine absorbance changes in real time immediately after the laser irradiation is important. Better to say "located in the flow system after the site of irradiation…"</w:t>
      </w:r>
    </w:p>
    <w:p w14:paraId="40AE7022" w14:textId="77777777" w:rsidR="00174EA7" w:rsidRDefault="00174EA7" w:rsidP="001969A7">
      <w:pPr>
        <w:pStyle w:val="NormalWeb"/>
        <w:rPr>
          <w:i/>
        </w:rPr>
      </w:pPr>
      <w:r>
        <w:rPr>
          <w:i/>
        </w:rPr>
        <w:t>Response: We have made the recommended changes.</w:t>
      </w:r>
    </w:p>
    <w:p w14:paraId="3D0579A5" w14:textId="77777777" w:rsidR="00174EA7" w:rsidRDefault="001969A7" w:rsidP="001969A7">
      <w:pPr>
        <w:pStyle w:val="NormalWeb"/>
      </w:pPr>
      <w:r>
        <w:br/>
        <w:t>6. P 4, bottom: Not clear what is meant by "engineering controls"</w:t>
      </w:r>
    </w:p>
    <w:p w14:paraId="7A60DA6C" w14:textId="7DC35616" w:rsidR="00174EA7" w:rsidRDefault="00174EA7" w:rsidP="001969A7">
      <w:pPr>
        <w:pStyle w:val="NormalWeb"/>
        <w:rPr>
          <w:i/>
        </w:rPr>
      </w:pPr>
      <w:r>
        <w:rPr>
          <w:i/>
        </w:rPr>
        <w:t>Response: “Engineering controls” is a term common to safety standards, and a key part of OSHA’s pyramid of workplace exposure control (</w:t>
      </w:r>
      <w:hyperlink r:id="rId6" w:history="1">
        <w:r w:rsidRPr="00E22AD1">
          <w:rPr>
            <w:rStyle w:val="Hyperlink"/>
            <w:i/>
          </w:rPr>
          <w:t>https://www.osha.gov/SLTC/hazardoustoxicsubstances/control.html</w:t>
        </w:r>
      </w:hyperlink>
      <w:r>
        <w:rPr>
          <w:i/>
        </w:rPr>
        <w:t xml:space="preserve">). It refers to physical changes to the workplace to limit exposure. We do not name specific engineering controls here, as </w:t>
      </w:r>
      <w:r w:rsidR="00D63298">
        <w:rPr>
          <w:i/>
        </w:rPr>
        <w:t xml:space="preserve">they </w:t>
      </w:r>
      <w:r>
        <w:rPr>
          <w:i/>
        </w:rPr>
        <w:t>will vary widely from space to space (e.g. laser safety curtains, laser use warning lights, safety interlocks on the access door, blocking all windows, etc.)</w:t>
      </w:r>
    </w:p>
    <w:p w14:paraId="0880827D" w14:textId="77777777" w:rsidR="00174EA7" w:rsidRDefault="001969A7" w:rsidP="001969A7">
      <w:pPr>
        <w:pStyle w:val="NormalWeb"/>
      </w:pPr>
      <w:r>
        <w:br/>
        <w:t>7. P 5, top: Place space between units and numerals</w:t>
      </w:r>
    </w:p>
    <w:p w14:paraId="1E639D41" w14:textId="77777777" w:rsidR="00174EA7" w:rsidRDefault="00174EA7" w:rsidP="001969A7">
      <w:pPr>
        <w:pStyle w:val="NormalWeb"/>
        <w:rPr>
          <w:i/>
        </w:rPr>
      </w:pPr>
      <w:r>
        <w:rPr>
          <w:i/>
        </w:rPr>
        <w:t>Response: We have made the recommended change.</w:t>
      </w:r>
    </w:p>
    <w:p w14:paraId="56387B2F" w14:textId="77777777" w:rsidR="00174EA7" w:rsidRDefault="001969A7" w:rsidP="001969A7">
      <w:pPr>
        <w:pStyle w:val="NormalWeb"/>
      </w:pPr>
      <w:r>
        <w:lastRenderedPageBreak/>
        <w:br/>
        <w:t>8. In page 4, authors stated "VIrr = π(1/2d)2w" and it can be confusing. It is better to replace it with "VIrr = π(1/2·d)2w".</w:t>
      </w:r>
    </w:p>
    <w:p w14:paraId="5C8558FF" w14:textId="77777777" w:rsidR="00A733AF" w:rsidRDefault="00174EA7" w:rsidP="001969A7">
      <w:pPr>
        <w:pStyle w:val="NormalWeb"/>
        <w:rPr>
          <w:i/>
        </w:rPr>
      </w:pPr>
      <w:r>
        <w:rPr>
          <w:i/>
        </w:rPr>
        <w:t>Response: We have instead simplified the expression in question to (d/2). If the editor would prefer some other numerically equivalent expression to meet the journal style, we are happy to do so.</w:t>
      </w:r>
    </w:p>
    <w:p w14:paraId="03325CF0" w14:textId="6810832E" w:rsidR="00174EA7" w:rsidRDefault="001969A7" w:rsidP="001969A7">
      <w:pPr>
        <w:pStyle w:val="NormalWeb"/>
      </w:pPr>
      <w:r>
        <w:br/>
        <w:t>9. At the beginning of page 5, section 2, step 1 of protocol section, authors mentioned "(e.g. ligand-bound and ligand-free, aggregate and monomer, alone and with a protein binding partner, etc.)". The "alone and with a binding partner" is the same with "ligand-bound and ligand-free".</w:t>
      </w:r>
    </w:p>
    <w:p w14:paraId="297DD36C" w14:textId="77777777" w:rsidR="00F24909" w:rsidRDefault="00174EA7" w:rsidP="001969A7">
      <w:pPr>
        <w:pStyle w:val="NormalWeb"/>
        <w:rPr>
          <w:i/>
        </w:rPr>
      </w:pPr>
      <w:r>
        <w:rPr>
          <w:i/>
        </w:rPr>
        <w:t xml:space="preserve">Response: The term “ligand” in protein biochemistry generally refers to a small molecule; by “binding partner” we meant a protein-protein interaction. </w:t>
      </w:r>
      <w:r w:rsidR="00F24909">
        <w:rPr>
          <w:i/>
        </w:rPr>
        <w:t>We have clarified our intention in the text.</w:t>
      </w:r>
    </w:p>
    <w:p w14:paraId="2897E52E" w14:textId="77777777" w:rsidR="00F24909" w:rsidRDefault="001969A7" w:rsidP="001969A7">
      <w:pPr>
        <w:pStyle w:val="NormalWeb"/>
      </w:pPr>
      <w:r>
        <w:br/>
        <w:t>10. P. 5: Clarify: "The diameter of the aperture must be smaller than the smallest impinging focused beam size."</w:t>
      </w:r>
    </w:p>
    <w:p w14:paraId="356BC0BC" w14:textId="23636F84" w:rsidR="00F24909" w:rsidRDefault="00F24909" w:rsidP="001969A7">
      <w:pPr>
        <w:pStyle w:val="NormalWeb"/>
      </w:pPr>
      <w:r>
        <w:rPr>
          <w:i/>
        </w:rPr>
        <w:t>Response: We have clarified the text as follows: “</w:t>
      </w:r>
      <w:r w:rsidRPr="00F24909">
        <w:rPr>
          <w:i/>
        </w:rPr>
        <w:t>The diameter of the aperture must be smaller than the width of the impinging focused beam at every point in the range of the motorized stage.</w:t>
      </w:r>
      <w:r>
        <w:rPr>
          <w:i/>
        </w:rPr>
        <w:t>”</w:t>
      </w:r>
      <w:r w:rsidR="001969A7">
        <w:br/>
      </w:r>
    </w:p>
    <w:p w14:paraId="4AE7048A" w14:textId="77777777" w:rsidR="00F24909" w:rsidRDefault="001969A7" w:rsidP="001969A7">
      <w:pPr>
        <w:pStyle w:val="NormalWeb"/>
      </w:pPr>
      <w:r>
        <w:t>11. P 5, bottom: These ideas of flow, exclusion volume, and the governing math were part of the original idea and design. Citation is needed.</w:t>
      </w:r>
    </w:p>
    <w:p w14:paraId="3A2D4CE3" w14:textId="77777777" w:rsidR="00F24909" w:rsidRDefault="00F24909" w:rsidP="001969A7">
      <w:pPr>
        <w:pStyle w:val="NormalWeb"/>
        <w:rPr>
          <w:i/>
        </w:rPr>
      </w:pPr>
      <w:r>
        <w:rPr>
          <w:i/>
        </w:rPr>
        <w:t>Response: We regret the oversight, and have added the citation to Hambly and Gross (2005).</w:t>
      </w:r>
    </w:p>
    <w:p w14:paraId="4471E07B" w14:textId="77777777" w:rsidR="00F24909" w:rsidRDefault="001969A7" w:rsidP="001969A7">
      <w:pPr>
        <w:pStyle w:val="NormalWeb"/>
      </w:pPr>
      <w:r>
        <w:br/>
        <w:t>12. P 6, top: "the sensitivity of your MS workup" should be rephrased to clarify.</w:t>
      </w:r>
    </w:p>
    <w:p w14:paraId="3AB70E04" w14:textId="77777777" w:rsidR="00F24909" w:rsidRDefault="00F24909" w:rsidP="001969A7">
      <w:pPr>
        <w:pStyle w:val="NormalWeb"/>
        <w:rPr>
          <w:i/>
        </w:rPr>
      </w:pPr>
      <w:r>
        <w:rPr>
          <w:i/>
        </w:rPr>
        <w:t>Response: We have replaced the text in question with “</w:t>
      </w:r>
      <w:r w:rsidRPr="00F24909">
        <w:rPr>
          <w:i/>
        </w:rPr>
        <w:t>the material required for robust detection and relative quantification, and will vary depending largely on the LC-MS/MS system used and the post-labeling sample processing method.</w:t>
      </w:r>
      <w:r>
        <w:rPr>
          <w:i/>
        </w:rPr>
        <w:t>” Unfortunately, the range of potential systems and post-labeling sample processing steps are too broad to give a universal answer in the protocol.</w:t>
      </w:r>
    </w:p>
    <w:p w14:paraId="1DACE479" w14:textId="77777777" w:rsidR="00F24909" w:rsidRDefault="001969A7" w:rsidP="001969A7">
      <w:pPr>
        <w:pStyle w:val="NormalWeb"/>
      </w:pPr>
      <w:r>
        <w:br/>
        <w:t>13. "Hydrogen peroxide should also be regularly tested for integrity on p 6, bottom." Use a more precise term for integrity</w:t>
      </w:r>
    </w:p>
    <w:p w14:paraId="4FF5572A" w14:textId="77777777" w:rsidR="00F24909" w:rsidRDefault="00F24909" w:rsidP="001969A7">
      <w:pPr>
        <w:pStyle w:val="NormalWeb"/>
        <w:rPr>
          <w:i/>
        </w:rPr>
      </w:pPr>
      <w:r>
        <w:rPr>
          <w:i/>
        </w:rPr>
        <w:t>Response: We have replaced “integrity” with “decomposition.”</w:t>
      </w:r>
    </w:p>
    <w:p w14:paraId="1C257C53" w14:textId="77777777" w:rsidR="00F24909" w:rsidRDefault="001969A7" w:rsidP="001969A7">
      <w:pPr>
        <w:pStyle w:val="NormalWeb"/>
      </w:pPr>
      <w:r>
        <w:lastRenderedPageBreak/>
        <w:br/>
        <w:t>14. At the beginning of page 7, section 5, step 1 of protocol section, please specify the volume of the mixture. Also, give some typical values for item 2.</w:t>
      </w:r>
    </w:p>
    <w:p w14:paraId="43ADCF6E" w14:textId="77777777" w:rsidR="00A961ED" w:rsidRDefault="00F24909" w:rsidP="001969A7">
      <w:pPr>
        <w:pStyle w:val="NormalWeb"/>
      </w:pPr>
      <w:r w:rsidRPr="00D527BD">
        <w:rPr>
          <w:i/>
        </w:rPr>
        <w:t xml:space="preserve">Response: </w:t>
      </w:r>
      <w:r w:rsidR="00A961ED">
        <w:rPr>
          <w:i/>
        </w:rPr>
        <w:t xml:space="preserve">We have made the addition of digestion buffer more detailed. </w:t>
      </w:r>
      <w:r w:rsidR="00E83B8E" w:rsidRPr="00A961ED">
        <w:rPr>
          <w:i/>
        </w:rPr>
        <w:t>We are unsure what the reviewer is referring to as “item 2,” and so are unable to respond to this comment.</w:t>
      </w:r>
      <w:r w:rsidR="001969A7">
        <w:br/>
      </w:r>
    </w:p>
    <w:p w14:paraId="573CF422" w14:textId="7DFB8054" w:rsidR="00E83B8E" w:rsidRDefault="001969A7" w:rsidP="001969A7">
      <w:pPr>
        <w:pStyle w:val="NormalWeb"/>
      </w:pPr>
      <w:r>
        <w:t>15. Under compensation on p8, point out that the compensation is not in real time. This compensation is a good idea, and it would be useful to know if real-time compensation is possible.</w:t>
      </w:r>
    </w:p>
    <w:p w14:paraId="7F2D0130" w14:textId="49CA7DD5" w:rsidR="009E19B4" w:rsidRDefault="00E83B8E" w:rsidP="001969A7">
      <w:pPr>
        <w:pStyle w:val="NormalWeb"/>
        <w:rPr>
          <w:i/>
        </w:rPr>
      </w:pPr>
      <w:r>
        <w:rPr>
          <w:i/>
        </w:rPr>
        <w:t xml:space="preserve">Response: Unfortunately, we must dispute with the reviewer; the compensation is in real time. We first reported real time compensation in 2018 (DOI: </w:t>
      </w:r>
      <w:r w:rsidRPr="00E83B8E">
        <w:rPr>
          <w:i/>
        </w:rPr>
        <w:t>10.1021/acs.analchem.8b02787</w:t>
      </w:r>
      <w:r>
        <w:rPr>
          <w:i/>
        </w:rPr>
        <w:t xml:space="preserve">). In </w:t>
      </w:r>
      <w:r w:rsidR="00D63298">
        <w:rPr>
          <w:i/>
        </w:rPr>
        <w:t xml:space="preserve">that </w:t>
      </w:r>
      <w:r>
        <w:rPr>
          <w:i/>
        </w:rPr>
        <w:t>paper, we compensated in real time by adjusting the laser energy per pulse</w:t>
      </w:r>
      <w:r w:rsidR="009E19B4">
        <w:rPr>
          <w:i/>
        </w:rPr>
        <w:t xml:space="preserve"> with an aperture to maintain a constant V</w:t>
      </w:r>
      <w:r w:rsidR="009E19B4" w:rsidRPr="009E19B4">
        <w:rPr>
          <w:i/>
          <w:vertAlign w:val="subscript"/>
        </w:rPr>
        <w:t>Irr</w:t>
      </w:r>
      <w:r>
        <w:rPr>
          <w:i/>
        </w:rPr>
        <w:t xml:space="preserve">. This works for relatively minor differences in </w:t>
      </w:r>
      <w:r w:rsidR="009E19B4">
        <w:rPr>
          <w:i/>
        </w:rPr>
        <w:t>effective radical dose, as much of the increased energy goes into increase beam cross-section. In this review, we teach a new method which will be clear in the video. We have added text at the editor’s request that should also make this method more explicit in Step 4.3. Namely, we adjust the position of the plano-convex focusing lens using the motorized stage, changing the relative position of the focal plane of the lens and the FPOP capillary to increase or decrease laser fluence</w:t>
      </w:r>
      <w:r w:rsidR="00D63298">
        <w:rPr>
          <w:i/>
        </w:rPr>
        <w:t xml:space="preserve"> at the plane of irradiation of the capillary</w:t>
      </w:r>
      <w:r w:rsidR="009E19B4">
        <w:rPr>
          <w:i/>
        </w:rPr>
        <w:t xml:space="preserve">. We continue adjusting the laser fluence until we reach the desired </w:t>
      </w:r>
      <w:r w:rsidR="009E19B4" w:rsidRPr="009E19B4">
        <w:rPr>
          <w:i/>
        </w:rPr>
        <w:t>ΔAbs</w:t>
      </w:r>
      <w:r w:rsidR="009E19B4" w:rsidRPr="009E19B4">
        <w:rPr>
          <w:i/>
          <w:vertAlign w:val="subscript"/>
        </w:rPr>
        <w:t>265</w:t>
      </w:r>
      <w:r w:rsidR="009E19B4" w:rsidRPr="009E19B4">
        <w:rPr>
          <w:i/>
        </w:rPr>
        <w:t xml:space="preserve"> reading</w:t>
      </w:r>
      <w:r w:rsidR="009E19B4">
        <w:rPr>
          <w:i/>
        </w:rPr>
        <w:t>. The video will make the process quite clear, with shots of the stage movement and the dosimeter response.</w:t>
      </w:r>
    </w:p>
    <w:p w14:paraId="411C5A9F" w14:textId="77777777" w:rsidR="009E19B4" w:rsidRDefault="001969A7" w:rsidP="001969A7">
      <w:pPr>
        <w:pStyle w:val="NormalWeb"/>
      </w:pPr>
      <w:r>
        <w:br/>
        <w:t>16. P 8: "…with a UV spectrophotometer is…" Should be "are"</w:t>
      </w:r>
    </w:p>
    <w:p w14:paraId="10131EEF" w14:textId="77777777" w:rsidR="009E19B4" w:rsidRDefault="009E19B4" w:rsidP="001969A7">
      <w:pPr>
        <w:pStyle w:val="NormalWeb"/>
        <w:rPr>
          <w:i/>
        </w:rPr>
      </w:pPr>
      <w:r>
        <w:rPr>
          <w:i/>
        </w:rPr>
        <w:t>Response: We have made the recommended change.</w:t>
      </w:r>
    </w:p>
    <w:p w14:paraId="4C146DAE" w14:textId="77777777" w:rsidR="009E19B4" w:rsidRDefault="001969A7" w:rsidP="001969A7">
      <w:pPr>
        <w:pStyle w:val="NormalWeb"/>
      </w:pPr>
      <w:r>
        <w:br/>
        <w:t>17. At the beginning of page 8, section 6, step 3 of protocol section, authors described a 42 min-long LC gradient, which seems to be short. Is this sufficient for sufficient peptide separation? Authors should comment on how to optimize the LC gradient for different samples.</w:t>
      </w:r>
    </w:p>
    <w:p w14:paraId="48BA08C1" w14:textId="784A2752" w:rsidR="002B7B76" w:rsidRDefault="009E19B4" w:rsidP="001969A7">
      <w:pPr>
        <w:pStyle w:val="NormalWeb"/>
        <w:rPr>
          <w:i/>
        </w:rPr>
      </w:pPr>
      <w:r>
        <w:rPr>
          <w:i/>
        </w:rPr>
        <w:t xml:space="preserve">Resposne: This is </w:t>
      </w:r>
      <w:r w:rsidR="002B7B76">
        <w:rPr>
          <w:i/>
        </w:rPr>
        <w:t xml:space="preserve">more than </w:t>
      </w:r>
      <w:r>
        <w:rPr>
          <w:i/>
        </w:rPr>
        <w:t xml:space="preserve">sufficient for simple one- or two-protein </w:t>
      </w:r>
      <w:r w:rsidR="002B7B76">
        <w:rPr>
          <w:i/>
        </w:rPr>
        <w:t xml:space="preserve">samples in experimental designs seeking to do peptide-level quantification, which is what we are teaching here. For groups trying to do the LC-based sub-peptide quantification as performed by Gross, Chance, and other groups, longer LC gradients </w:t>
      </w:r>
      <w:r w:rsidR="00D63298">
        <w:rPr>
          <w:i/>
        </w:rPr>
        <w:t xml:space="preserve">may </w:t>
      </w:r>
      <w:r w:rsidR="002B7B76">
        <w:rPr>
          <w:i/>
        </w:rPr>
        <w:t>be necessary to achieve desired resolution of peptide oxidation isomers</w:t>
      </w:r>
      <w:r w:rsidR="0075707D">
        <w:rPr>
          <w:i/>
        </w:rPr>
        <w:t xml:space="preserve"> but this is beyond the intended scope of this article</w:t>
      </w:r>
      <w:r w:rsidR="002B7B76">
        <w:rPr>
          <w:i/>
        </w:rPr>
        <w:t>.</w:t>
      </w:r>
      <w:r w:rsidR="0075707D">
        <w:rPr>
          <w:i/>
        </w:rPr>
        <w:t xml:space="preserve"> We have added a note to section 6.3 giving examples of when altering the LC gradient might be warranted.</w:t>
      </w:r>
    </w:p>
    <w:p w14:paraId="34F3B259" w14:textId="77777777" w:rsidR="0075707D" w:rsidRDefault="001969A7" w:rsidP="001969A7">
      <w:pPr>
        <w:pStyle w:val="NormalWeb"/>
      </w:pPr>
      <w:r>
        <w:t>18. P 8: What is the purpose of CaCl2?</w:t>
      </w:r>
    </w:p>
    <w:p w14:paraId="76637E20" w14:textId="2982B3EB" w:rsidR="00FD74AD" w:rsidRDefault="0075707D" w:rsidP="001969A7">
      <w:pPr>
        <w:pStyle w:val="NormalWeb"/>
        <w:rPr>
          <w:i/>
        </w:rPr>
      </w:pPr>
      <w:r>
        <w:rPr>
          <w:i/>
        </w:rPr>
        <w:t>CaCl</w:t>
      </w:r>
      <w:r>
        <w:rPr>
          <w:i/>
          <w:vertAlign w:val="subscript"/>
        </w:rPr>
        <w:t>2</w:t>
      </w:r>
      <w:r>
        <w:rPr>
          <w:i/>
        </w:rPr>
        <w:t xml:space="preserve"> has been noted to increase the efficiency of trypsin digestion</w:t>
      </w:r>
      <w:r w:rsidR="00FD74AD">
        <w:rPr>
          <w:i/>
        </w:rPr>
        <w:t xml:space="preserve">. Reports indicate that this increase is due to stabilization of the trypsin structure (DOI: </w:t>
      </w:r>
      <w:r w:rsidR="00FD74AD" w:rsidRPr="00FD74AD">
        <w:rPr>
          <w:i/>
        </w:rPr>
        <w:t>10.1002/0470028637.met059</w:t>
      </w:r>
      <w:r w:rsidR="00FD74AD">
        <w:rPr>
          <w:i/>
        </w:rPr>
        <w:t xml:space="preserve">). It is </w:t>
      </w:r>
      <w:r w:rsidR="00FD74AD">
        <w:rPr>
          <w:i/>
        </w:rPr>
        <w:lastRenderedPageBreak/>
        <w:t>recommended for tryptic solution digests in Tris buffer in the protocols of both Pierce and Promega.</w:t>
      </w:r>
    </w:p>
    <w:p w14:paraId="3EC2C045" w14:textId="77777777" w:rsidR="00FD74AD" w:rsidRDefault="001969A7" w:rsidP="001969A7">
      <w:pPr>
        <w:pStyle w:val="NormalWeb"/>
      </w:pPr>
      <w:r>
        <w:br/>
        <w:t>19. P 8: Here and throughout: keep items in a list of parallel construction. For example, each item could be "Heat…", "Digest…" "Quench…". Later, add space between numerals and units.</w:t>
      </w:r>
    </w:p>
    <w:p w14:paraId="188A1781" w14:textId="77777777" w:rsidR="00FD74AD" w:rsidRDefault="00FD74AD" w:rsidP="001969A7">
      <w:pPr>
        <w:pStyle w:val="NormalWeb"/>
        <w:rPr>
          <w:i/>
        </w:rPr>
      </w:pPr>
      <w:r>
        <w:rPr>
          <w:i/>
        </w:rPr>
        <w:t>Response: In response to an editorial comment, we have subdivided the process into individual steps numbered in accordance with the journal’s style.</w:t>
      </w:r>
    </w:p>
    <w:p w14:paraId="53CB0952" w14:textId="04B46AFC" w:rsidR="00FD74AD" w:rsidRDefault="001969A7" w:rsidP="001969A7">
      <w:pPr>
        <w:pStyle w:val="NormalWeb"/>
      </w:pPr>
      <w:r>
        <w:br/>
        <w:t>20. P 8, item 5: explain protocol and reason for "rotation"</w:t>
      </w:r>
    </w:p>
    <w:p w14:paraId="76CDF3C2" w14:textId="77777777" w:rsidR="00FD74AD" w:rsidRDefault="00FD74AD" w:rsidP="001969A7">
      <w:pPr>
        <w:pStyle w:val="NormalWeb"/>
        <w:rPr>
          <w:i/>
        </w:rPr>
      </w:pPr>
      <w:r>
        <w:rPr>
          <w:i/>
        </w:rPr>
        <w:t xml:space="preserve">Response: We have replaced “rotation” with “mixing.” In our group, we incubate tryptic digests in a hybridization oven, and mix the reaction by placing the tube in a foam insert attached to the hybridization oven’s rotating arm and rotating it. However, other forms of low volume mixing can work as well to increase efficiency of digestion and help prevent undigested protein from precipitating during the incubation. </w:t>
      </w:r>
    </w:p>
    <w:p w14:paraId="5850444D" w14:textId="77777777" w:rsidR="00FD74AD" w:rsidRDefault="001969A7" w:rsidP="001969A7">
      <w:pPr>
        <w:pStyle w:val="NormalWeb"/>
      </w:pPr>
      <w:r>
        <w:br/>
        <w:t>21. Later this page, step 6, authors mentioned "The peptides were fragmented five times within 30 sec and then it was transferred to an exclusion list for 60 sec.". How was this achieved? Please specify the instrument parameters that was used.</w:t>
      </w:r>
    </w:p>
    <w:p w14:paraId="35161C5B" w14:textId="4FD377EA" w:rsidR="00A6434F" w:rsidRDefault="00FD74AD" w:rsidP="001969A7">
      <w:pPr>
        <w:pStyle w:val="NormalWeb"/>
        <w:rPr>
          <w:i/>
        </w:rPr>
      </w:pPr>
      <w:r>
        <w:rPr>
          <w:i/>
        </w:rPr>
        <w:t xml:space="preserve">Response: Journal policy as indicated by the editor states that we must avoid commercial terms in our manuscript whenever possible. </w:t>
      </w:r>
      <w:r w:rsidR="00D63298">
        <w:rPr>
          <w:i/>
        </w:rPr>
        <w:t>We are</w:t>
      </w:r>
      <w:r w:rsidR="00A6434F">
        <w:rPr>
          <w:i/>
        </w:rPr>
        <w:t xml:space="preserve"> not certain how to more clearly state our method without using Thermo-specific language. We have clarified that the experimenter should fragment peptides </w:t>
      </w:r>
      <w:r w:rsidR="00A6434F">
        <w:rPr>
          <w:b/>
          <w:i/>
        </w:rPr>
        <w:t>up to</w:t>
      </w:r>
      <w:r w:rsidR="00A6434F">
        <w:rPr>
          <w:i/>
        </w:rPr>
        <w:t xml:space="preserve"> five times before moving them to an exclusion list; we would welcome editorial guidance if more explicit instructions involving Thermo Orbitrap-specific language is required.</w:t>
      </w:r>
    </w:p>
    <w:p w14:paraId="431C80D2" w14:textId="77777777" w:rsidR="00A6434F" w:rsidRDefault="001969A7" w:rsidP="001969A7">
      <w:pPr>
        <w:pStyle w:val="NormalWeb"/>
      </w:pPr>
      <w:r>
        <w:br/>
        <w:t>22. P 9, middle: specify the m/z for the resolution (better term is resolving power). Why is it nominal?</w:t>
      </w:r>
    </w:p>
    <w:p w14:paraId="38DE8281" w14:textId="4B3C0066" w:rsidR="00A6434F" w:rsidRDefault="00A6434F" w:rsidP="001969A7">
      <w:pPr>
        <w:pStyle w:val="NormalWeb"/>
        <w:rPr>
          <w:i/>
        </w:rPr>
      </w:pPr>
      <w:r>
        <w:rPr>
          <w:i/>
        </w:rPr>
        <w:t xml:space="preserve">Response: In the Thermo Orbitrap instrument used, transient time is selected not by time, but rather by “resolution”; as this is not true resolving power, the resolution is nominal, not actual. If </w:t>
      </w:r>
      <w:r w:rsidR="00D63298">
        <w:rPr>
          <w:i/>
        </w:rPr>
        <w:t xml:space="preserve">we </w:t>
      </w:r>
      <w:r>
        <w:rPr>
          <w:i/>
        </w:rPr>
        <w:t xml:space="preserve">stated to use a transient time of 128 ms, many readers would be unsure how </w:t>
      </w:r>
      <w:r w:rsidR="00D63298">
        <w:rPr>
          <w:i/>
        </w:rPr>
        <w:t xml:space="preserve">we </w:t>
      </w:r>
      <w:r>
        <w:rPr>
          <w:i/>
        </w:rPr>
        <w:t xml:space="preserve">performed the experiment. Using the setting term “resolution” allows readers to reproduce </w:t>
      </w:r>
      <w:r w:rsidR="00D63298">
        <w:rPr>
          <w:i/>
        </w:rPr>
        <w:t xml:space="preserve">our </w:t>
      </w:r>
      <w:r>
        <w:rPr>
          <w:i/>
        </w:rPr>
        <w:t>protocol in the settings, while allowing non-Orbitrap users to understand the approximate level of resolution required. The Thermo nominal resolution is calculated for m/z 200; we have added that to the text.</w:t>
      </w:r>
    </w:p>
    <w:p w14:paraId="09E96631" w14:textId="77777777" w:rsidR="00A6434F" w:rsidRDefault="001969A7" w:rsidP="001969A7">
      <w:pPr>
        <w:pStyle w:val="NormalWeb"/>
      </w:pPr>
      <w:r>
        <w:t>23. P 9: "…trypsin digested samples using standard trypsin…" small point, but the samples are not using anything</w:t>
      </w:r>
    </w:p>
    <w:p w14:paraId="46791018" w14:textId="77777777" w:rsidR="00443AE5" w:rsidRDefault="00443AE5" w:rsidP="001969A7">
      <w:pPr>
        <w:pStyle w:val="NormalWeb"/>
        <w:rPr>
          <w:i/>
        </w:rPr>
      </w:pPr>
      <w:r>
        <w:rPr>
          <w:i/>
        </w:rPr>
        <w:lastRenderedPageBreak/>
        <w:t>Response: We have added a comma to separate the participle clause from the main clause.</w:t>
      </w:r>
    </w:p>
    <w:p w14:paraId="37704BC3" w14:textId="77777777" w:rsidR="00443AE5" w:rsidRDefault="001969A7" w:rsidP="001969A7">
      <w:pPr>
        <w:pStyle w:val="NormalWeb"/>
      </w:pPr>
      <w:r>
        <w:t>24. In page 9, 7th line from the end, authors mentioned "these are not exposed the laser irradiation", and it should be "these are not exposed to the laser irradiation".</w:t>
      </w:r>
    </w:p>
    <w:p w14:paraId="209342DC" w14:textId="77777777" w:rsidR="00443AE5" w:rsidRDefault="00443AE5" w:rsidP="001969A7">
      <w:pPr>
        <w:pStyle w:val="NormalWeb"/>
        <w:rPr>
          <w:i/>
        </w:rPr>
      </w:pPr>
      <w:r>
        <w:rPr>
          <w:i/>
        </w:rPr>
        <w:t>Response: Editorial requests have resulted in this section’s rewriting. The error is no longer present.</w:t>
      </w:r>
    </w:p>
    <w:p w14:paraId="4DA6B21B" w14:textId="77777777" w:rsidR="00443AE5" w:rsidRDefault="001969A7" w:rsidP="001969A7">
      <w:pPr>
        <w:pStyle w:val="NormalWeb"/>
      </w:pPr>
      <w:r>
        <w:t>25. P 10, top. "The extracted ion chromatogram of these m/z values.." More accurate to state the chromatograms are of peptides represented by mol ions, not values…</w:t>
      </w:r>
    </w:p>
    <w:p w14:paraId="1A48EF31" w14:textId="2589AC7A" w:rsidR="00C54BF5" w:rsidRDefault="00C54BF5" w:rsidP="001969A7">
      <w:pPr>
        <w:pStyle w:val="NormalWeb"/>
        <w:rPr>
          <w:i/>
        </w:rPr>
      </w:pPr>
      <w:r>
        <w:rPr>
          <w:i/>
        </w:rPr>
        <w:t>Response: The extracted ion chromatogram</w:t>
      </w:r>
      <w:r w:rsidR="00475F80">
        <w:rPr>
          <w:i/>
        </w:rPr>
        <w:t xml:space="preserve"> (EIC)</w:t>
      </w:r>
      <w:r>
        <w:rPr>
          <w:i/>
        </w:rPr>
        <w:t xml:space="preserve"> does not distinguish peptides from non-peptides</w:t>
      </w:r>
      <w:r w:rsidR="00475F80">
        <w:rPr>
          <w:i/>
        </w:rPr>
        <w:t>, or even analytes</w:t>
      </w:r>
      <w:r>
        <w:rPr>
          <w:i/>
        </w:rPr>
        <w:t xml:space="preserve"> from non-analytes; it merely shows the intensity of signal at a chosen m/z value. We make note of this fact by recommending readers use the EIC mass as only one factor of three in verifying a given EIC peak’s identity as a peptide oxidation product. Defining the EIC as a chromatogram of the protonated molecule of these peptides would be inconsistent with our recommendations for verifying identity. Our usage </w:t>
      </w:r>
      <w:r w:rsidR="00475F80">
        <w:rPr>
          <w:i/>
        </w:rPr>
        <w:t xml:space="preserve">of EIC </w:t>
      </w:r>
      <w:r>
        <w:rPr>
          <w:i/>
        </w:rPr>
        <w:t xml:space="preserve">is consistent with the definition in the 2013 IUPAC Recommendations (DOI: </w:t>
      </w:r>
      <w:r w:rsidRPr="00C54BF5">
        <w:rPr>
          <w:i/>
        </w:rPr>
        <w:t>10.1351/PAC-REC-06-04-06</w:t>
      </w:r>
      <w:r>
        <w:rPr>
          <w:i/>
        </w:rPr>
        <w:t>). We respectfully decline to make the recommended changes.</w:t>
      </w:r>
    </w:p>
    <w:p w14:paraId="2DAA9817" w14:textId="77777777" w:rsidR="00475F80" w:rsidRDefault="001969A7" w:rsidP="001969A7">
      <w:pPr>
        <w:pStyle w:val="NormalWeb"/>
      </w:pPr>
      <w:r>
        <w:t>26. In page 10, beginning of discussion section, authors mentioned the disadvantages and advantages of FPOP. That should be more comprehensive. For example, FPOP platform allows the discovery and application of other radicals (e.g., CO3-●, I●, CF3) in protein footprinting. A more thorough summary is reported in a recent review article (Chem. Rev. 2020, ASAP. DOI: 10.1021/acs.chemrev.9b00815).</w:t>
      </w:r>
    </w:p>
    <w:p w14:paraId="27B9FDBE" w14:textId="77777777" w:rsidR="00475F80" w:rsidRDefault="00475F80" w:rsidP="001969A7">
      <w:pPr>
        <w:pStyle w:val="NormalWeb"/>
        <w:rPr>
          <w:i/>
        </w:rPr>
      </w:pPr>
      <w:r>
        <w:rPr>
          <w:i/>
        </w:rPr>
        <w:t>Response: While we have great interest in and respect for the work being performed in other labeling technologies, such technologies are beyond the intended scope of this article.</w:t>
      </w:r>
    </w:p>
    <w:p w14:paraId="254F8975" w14:textId="77777777" w:rsidR="00475F80" w:rsidRDefault="001969A7" w:rsidP="001969A7">
      <w:pPr>
        <w:pStyle w:val="NormalWeb"/>
      </w:pPr>
      <w:r>
        <w:t>27. P 10: "Using the LC gradient above,…" is a dangling participle.</w:t>
      </w:r>
    </w:p>
    <w:p w14:paraId="29040B61" w14:textId="77777777" w:rsidR="00475F80" w:rsidRDefault="00475F80" w:rsidP="001969A7">
      <w:pPr>
        <w:pStyle w:val="NormalWeb"/>
      </w:pPr>
      <w:r>
        <w:rPr>
          <w:i/>
        </w:rPr>
        <w:t>Response: We have corrected the sentence.</w:t>
      </w:r>
      <w:r w:rsidR="001969A7">
        <w:br/>
      </w:r>
    </w:p>
    <w:p w14:paraId="5C2DCF94" w14:textId="1B35539F" w:rsidR="00475F80" w:rsidRDefault="001969A7" w:rsidP="001969A7">
      <w:pPr>
        <w:pStyle w:val="NormalWeb"/>
      </w:pPr>
      <w:r>
        <w:t>28. P 10: middle: "control samples are prepared…"</w:t>
      </w:r>
    </w:p>
    <w:p w14:paraId="04958C7A" w14:textId="1B3C4B4B" w:rsidR="00475F80" w:rsidRDefault="00475F80" w:rsidP="001969A7">
      <w:pPr>
        <w:pStyle w:val="NormalWeb"/>
        <w:rPr>
          <w:i/>
        </w:rPr>
      </w:pPr>
      <w:r>
        <w:rPr>
          <w:i/>
        </w:rPr>
        <w:t>Response: We have rewritten the section.</w:t>
      </w:r>
    </w:p>
    <w:p w14:paraId="73213D0E" w14:textId="77777777" w:rsidR="00475F80" w:rsidRDefault="001969A7" w:rsidP="001969A7">
      <w:pPr>
        <w:pStyle w:val="NormalWeb"/>
      </w:pPr>
      <w:r>
        <w:t>29. P 10: Pls improve the sentence: "After processing these samples in mass spectrometry along with other FPOP samples gives a good idea of the extent of background oxidation."</w:t>
      </w:r>
    </w:p>
    <w:p w14:paraId="6C185BCE" w14:textId="77777777" w:rsidR="00475F80" w:rsidRDefault="00475F80" w:rsidP="001969A7">
      <w:pPr>
        <w:pStyle w:val="NormalWeb"/>
        <w:rPr>
          <w:i/>
        </w:rPr>
      </w:pPr>
      <w:r>
        <w:rPr>
          <w:i/>
        </w:rPr>
        <w:t>Response: This section has been entirely rewritten to address editorial comments; the poorly worded sentence is no longer present.</w:t>
      </w:r>
    </w:p>
    <w:p w14:paraId="2799057D" w14:textId="77777777" w:rsidR="00475F80" w:rsidRDefault="001969A7" w:rsidP="001969A7">
      <w:pPr>
        <w:pStyle w:val="NormalWeb"/>
      </w:pPr>
      <w:r>
        <w:t xml:space="preserve">30. In the middle of page 11, authors state "For cases where the protein is particularly sensitive to hydrogen peroxide, on-line mixing with hydrogen peroxide prior to irradiation with the </w:t>
      </w:r>
      <w:r>
        <w:lastRenderedPageBreak/>
        <w:t>excimer laser can limit exposure to seconds or less. However, for most proteins, online mixing is unnecessary.". There is another report that describes the online mixing specifically for FPOP to introduce hydrogen peroxide right before laser irradiation (J. Am. Soc. Mass Spectrom. 2015, 26, 526-529. DOI: 10.1021/jasms.8b04986).</w:t>
      </w:r>
    </w:p>
    <w:p w14:paraId="59B20092" w14:textId="35DF5771" w:rsidR="00F36838" w:rsidRDefault="00F36838" w:rsidP="001969A7">
      <w:pPr>
        <w:pStyle w:val="NormalWeb"/>
        <w:rPr>
          <w:i/>
        </w:rPr>
      </w:pPr>
      <w:r>
        <w:rPr>
          <w:i/>
        </w:rPr>
        <w:t>Response: We have added the requested reference for completeness.</w:t>
      </w:r>
    </w:p>
    <w:p w14:paraId="794133C1" w14:textId="77777777" w:rsidR="00F36838" w:rsidRDefault="001969A7" w:rsidP="001969A7">
      <w:pPr>
        <w:pStyle w:val="NormalWeb"/>
      </w:pPr>
      <w:r>
        <w:t>31. P 11, top: "major hurdles in FPOP for the typical protein mass spectrometry lab is experience in handling". Rephrase this something like "the major hurdles to be faced by a typical mass spectrometry lab…"</w:t>
      </w:r>
    </w:p>
    <w:p w14:paraId="6065888B" w14:textId="77777777" w:rsidR="00F36838" w:rsidRDefault="00F36838" w:rsidP="001969A7">
      <w:pPr>
        <w:pStyle w:val="NormalWeb"/>
        <w:rPr>
          <w:i/>
        </w:rPr>
      </w:pPr>
      <w:r>
        <w:rPr>
          <w:i/>
        </w:rPr>
        <w:t>Response: We have made the requested change.</w:t>
      </w:r>
    </w:p>
    <w:p w14:paraId="2AA3A000" w14:textId="77777777" w:rsidR="00F36838" w:rsidRDefault="001969A7" w:rsidP="001969A7">
      <w:pPr>
        <w:pStyle w:val="NormalWeb"/>
      </w:pPr>
      <w:r>
        <w:t>32. In the first paragraph of page 12, authors mentioned "Therefore, in order to increase the concentration of hydroxyl radical created, it is often necessary to change the focal plane of the lens either alone or in addition to changing the laser energy per pulse." Is the lens movable? Please specify.</w:t>
      </w:r>
    </w:p>
    <w:p w14:paraId="76F53DAF" w14:textId="77777777" w:rsidR="00F36838" w:rsidRDefault="00F36838" w:rsidP="001969A7">
      <w:pPr>
        <w:pStyle w:val="NormalWeb"/>
        <w:rPr>
          <w:i/>
        </w:rPr>
      </w:pPr>
      <w:r>
        <w:rPr>
          <w:i/>
        </w:rPr>
        <w:t>Response: The lens is movable. Please see question 15.</w:t>
      </w:r>
    </w:p>
    <w:p w14:paraId="39938BF3" w14:textId="77777777" w:rsidR="00F36838" w:rsidRDefault="001969A7" w:rsidP="001969A7">
      <w:pPr>
        <w:pStyle w:val="NormalWeb"/>
      </w:pPr>
      <w:r>
        <w:t>33. Immediately after the previous statement (Point 11), authors state "The use of an aperture allows one to change the size of the incident beam cross-section without changing the width of the illuminated region, allowing the investigator to use a constant flow rate.". The statement is not clear, as changing the aperture opening will change the overall size of the laser spot, and the width of the illuminated region should change as well. Please be more specific/explanatory.</w:t>
      </w:r>
    </w:p>
    <w:p w14:paraId="6087D570" w14:textId="33EB2663" w:rsidR="00F36838" w:rsidRDefault="00F36838" w:rsidP="001969A7">
      <w:pPr>
        <w:pStyle w:val="NormalWeb"/>
        <w:rPr>
          <w:i/>
        </w:rPr>
      </w:pPr>
      <w:r>
        <w:rPr>
          <w:i/>
        </w:rPr>
        <w:t>Response: The aperture opening is fixed. The focal plane of the lens is moving, changing the incident beam cross-section in the plane of the capillary without changing the region of the capillary illuminated</w:t>
      </w:r>
      <w:r w:rsidR="00CF59CA">
        <w:rPr>
          <w:i/>
        </w:rPr>
        <w:t xml:space="preserve"> due to the silhouetting by the aperture</w:t>
      </w:r>
      <w:r>
        <w:rPr>
          <w:i/>
        </w:rPr>
        <w:t>.</w:t>
      </w:r>
    </w:p>
    <w:p w14:paraId="55147A80" w14:textId="77777777" w:rsidR="00F36838" w:rsidRDefault="001969A7" w:rsidP="001969A7">
      <w:pPr>
        <w:pStyle w:val="NormalWeb"/>
      </w:pPr>
      <w:r>
        <w:t>34. In page 13, the authors state "The current consensus in the field seems to be that peak area-based amino acid level quantification seems to correctly identify sites of oxidation that change, but may not accurately quantify the degree of change.". This is not accurate and too negative. There are many demonstrations that utilizes the peak-area-based quantification to solve biological questions. Some examples are protection factors (Biophys. J. 2015, 108, 107-115. DOI: 10.1016/j.bpj.2014.11.013) and its application in computer-based protein structural prediction (Anal. Chem. 2018, 90, 7721- 7729, DOI: 10.1021/acs.analchem.8b01624), analyzing amyloid beta aggregation (J. Am. Chem. Soc. 2016, 138, 12090-12098. DOI: 10.1021/jacs.6b07543), and FPOP-based titration for protein-ligand binding affinity measurement (Anal. Chem. 2019, 91, 12560-12567. DOI: 10.1021/acs.analchem.9b03491). Authors should tone down their assertion. It's not productive to imply that most of the data in the literature are not to be trusted. One can say that there is room for improvement…and take a positive view.</w:t>
      </w:r>
    </w:p>
    <w:p w14:paraId="2FDA69D5" w14:textId="57E8339A" w:rsidR="00F548E9" w:rsidRDefault="00F36838" w:rsidP="00C615A4">
      <w:pPr>
        <w:rPr>
          <w:i/>
        </w:rPr>
      </w:pPr>
      <w:r>
        <w:rPr>
          <w:i/>
        </w:rPr>
        <w:t xml:space="preserve">Response: </w:t>
      </w:r>
      <w:r w:rsidR="0056272C">
        <w:rPr>
          <w:i/>
        </w:rPr>
        <w:t>The reviewer is correct that the object of the lack of consensus was improperly worded</w:t>
      </w:r>
      <w:r w:rsidR="00C615A4">
        <w:rPr>
          <w:i/>
        </w:rPr>
        <w:t>, and we apologize for that</w:t>
      </w:r>
      <w:r w:rsidR="0056272C">
        <w:rPr>
          <w:i/>
        </w:rPr>
        <w:t xml:space="preserve">; we do not dispute the ability of LC peak area-based </w:t>
      </w:r>
      <w:r w:rsidR="0056272C">
        <w:rPr>
          <w:i/>
        </w:rPr>
        <w:lastRenderedPageBreak/>
        <w:t xml:space="preserve">quantification to accurately determine sites and relative amounts of change, but rather the ability to determine amounts of oxidation at a given amino acid. </w:t>
      </w:r>
      <w:r w:rsidR="00C615A4">
        <w:rPr>
          <w:i/>
        </w:rPr>
        <w:t xml:space="preserve">We believe that it is important to highlight this lack of consensus, especially as groups move into protection factor-style analysis that relies upon accurate determination of the absolute amount of oxidation of a given amino acid. </w:t>
      </w:r>
      <w:r>
        <w:rPr>
          <w:i/>
        </w:rPr>
        <w:t xml:space="preserve">My group has long contended based on results published in </w:t>
      </w:r>
      <w:r w:rsidR="00F6035D">
        <w:rPr>
          <w:i/>
        </w:rPr>
        <w:t>2016, along with cited work from the Vachet group published in 2009, that quantitative results based on LC separation of peptide oxidation isomers and identification by collision-based methods are prone to error in quantification. We demonstrated this using defined mixtures of synthetic oxidation products, which is the typical procedure for validating quantitative analytical methods. We have offered to make these mixtures available to other established researchers in the HRPF field</w:t>
      </w:r>
      <w:r w:rsidR="00CF59CA">
        <w:rPr>
          <w:i/>
        </w:rPr>
        <w:t xml:space="preserve"> that have published using LC separation-based quantification methods</w:t>
      </w:r>
      <w:r w:rsidR="00F6035D">
        <w:rPr>
          <w:i/>
        </w:rPr>
        <w:t>. One such group accepted our offer and received the mixtures; they have not reported results contradicting our 2016 paper.</w:t>
      </w:r>
      <w:r w:rsidR="0056272C">
        <w:rPr>
          <w:i/>
        </w:rPr>
        <w:t xml:space="preserve"> As an established member of the relatively small HRPF field, I think that my concerns reflect a lack of consensus. However, I do </w:t>
      </w:r>
      <w:r w:rsidR="00C615A4">
        <w:rPr>
          <w:i/>
        </w:rPr>
        <w:t xml:space="preserve">not think that my opinion is </w:t>
      </w:r>
      <w:r w:rsidR="0056272C">
        <w:rPr>
          <w:i/>
        </w:rPr>
        <w:t>controlling, and I have tried to make the dispute in the field clear without obviously taking sides: “</w:t>
      </w:r>
      <w:r w:rsidR="00C615A4" w:rsidRPr="00A5342A">
        <w:rPr>
          <w:rFonts w:asciiTheme="minorHAnsi" w:hAnsiTheme="minorHAnsi" w:cstheme="minorHAnsi"/>
        </w:rPr>
        <w:t xml:space="preserve">The current consensus in the field seems to be that </w:t>
      </w:r>
      <w:r w:rsidR="00C615A4">
        <w:rPr>
          <w:rFonts w:asciiTheme="minorHAnsi" w:hAnsiTheme="minorHAnsi" w:cstheme="minorHAnsi"/>
        </w:rPr>
        <w:t xml:space="preserve">LC </w:t>
      </w:r>
      <w:r w:rsidR="00C615A4" w:rsidRPr="00A5342A">
        <w:rPr>
          <w:rFonts w:asciiTheme="minorHAnsi" w:hAnsiTheme="minorHAnsi" w:cstheme="minorHAnsi"/>
        </w:rPr>
        <w:t xml:space="preserve">peak area-based amino acid level quantification seems to </w:t>
      </w:r>
      <w:r w:rsidR="00C615A4">
        <w:rPr>
          <w:rFonts w:asciiTheme="minorHAnsi" w:hAnsiTheme="minorHAnsi" w:cstheme="minorHAnsi"/>
        </w:rPr>
        <w:t xml:space="preserve">at least </w:t>
      </w:r>
      <w:r w:rsidR="00C615A4" w:rsidRPr="00A5342A">
        <w:rPr>
          <w:rFonts w:asciiTheme="minorHAnsi" w:hAnsiTheme="minorHAnsi" w:cstheme="minorHAnsi"/>
        </w:rPr>
        <w:t>correctly identify sites of oxidation that change</w:t>
      </w:r>
      <w:r w:rsidR="00C615A4">
        <w:rPr>
          <w:rFonts w:asciiTheme="minorHAnsi" w:hAnsiTheme="minorHAnsi" w:cstheme="minorHAnsi"/>
        </w:rPr>
        <w:t xml:space="preserve"> and correctly identify the relative amount of change (i.e. oxidation of amino acid X decreases by Y% in conformation A compared to conformation B)</w:t>
      </w:r>
      <w:r w:rsidR="00C615A4" w:rsidRPr="00A5342A">
        <w:rPr>
          <w:rFonts w:asciiTheme="minorHAnsi" w:hAnsiTheme="minorHAnsi" w:cstheme="minorHAnsi"/>
        </w:rPr>
        <w:t xml:space="preserve">, but </w:t>
      </w:r>
      <w:r w:rsidR="00C615A4">
        <w:rPr>
          <w:rFonts w:asciiTheme="minorHAnsi" w:hAnsiTheme="minorHAnsi" w:cstheme="minorHAnsi"/>
        </w:rPr>
        <w:t>the accuracy of quantification of the amount of oxidation (i.e. amino acid X is Y% oxidized) remains in dispute</w:t>
      </w:r>
      <w:r w:rsidR="0056272C" w:rsidRPr="00A5342A">
        <w:rPr>
          <w:rFonts w:asciiTheme="minorHAnsi" w:hAnsiTheme="minorHAnsi" w:cstheme="minorHAnsi"/>
        </w:rPr>
        <w:t>.</w:t>
      </w:r>
      <w:r w:rsidR="0056272C">
        <w:rPr>
          <w:rFonts w:asciiTheme="minorHAnsi" w:hAnsiTheme="minorHAnsi" w:cstheme="minorHAnsi"/>
        </w:rPr>
        <w:t>”</w:t>
      </w:r>
      <w:r w:rsidR="00C615A4">
        <w:rPr>
          <w:rFonts w:asciiTheme="minorHAnsi" w:hAnsiTheme="minorHAnsi" w:cstheme="minorHAnsi"/>
        </w:rPr>
        <w:t xml:space="preserve"> </w:t>
      </w:r>
      <w:r w:rsidR="00C615A4">
        <w:rPr>
          <w:rFonts w:asciiTheme="minorHAnsi" w:hAnsiTheme="minorHAnsi" w:cstheme="minorHAnsi"/>
          <w:i/>
        </w:rPr>
        <w:t>Hopefully this corrected wording satisfies the reviewer.</w:t>
      </w:r>
      <w:r w:rsidR="00F6035D">
        <w:rPr>
          <w:i/>
        </w:rPr>
        <w:t xml:space="preserve"> </w:t>
      </w:r>
    </w:p>
    <w:p w14:paraId="25895892" w14:textId="77777777" w:rsidR="00F548E9" w:rsidRDefault="001969A7" w:rsidP="001969A7">
      <w:pPr>
        <w:pStyle w:val="NormalWeb"/>
      </w:pPr>
      <w:r>
        <w:t>35. As for item 34, a similar request is made for the comments on software companies. Further, the criticism is a blanket one and may disparage some companies who are working on improvements. Let's not be excessively negative about others to promote one's ideas. Later, the authors say "One method tries to use HPLC…" Again a subtle but "too negative" connotation about other work.</w:t>
      </w:r>
    </w:p>
    <w:p w14:paraId="08A51D64" w14:textId="4F454E96" w:rsidR="0056272C" w:rsidRDefault="00F548E9" w:rsidP="001969A7">
      <w:pPr>
        <w:pStyle w:val="NormalWeb"/>
        <w:rPr>
          <w:i/>
        </w:rPr>
      </w:pPr>
      <w:r>
        <w:rPr>
          <w:i/>
        </w:rPr>
        <w:t xml:space="preserve">Response: Our critique of current automated software packages are not only indicative of our experiences (where we </w:t>
      </w:r>
      <w:r w:rsidR="00C615A4">
        <w:rPr>
          <w:i/>
        </w:rPr>
        <w:t xml:space="preserve">have </w:t>
      </w:r>
      <w:r>
        <w:rPr>
          <w:i/>
        </w:rPr>
        <w:t>manually calculate</w:t>
      </w:r>
      <w:r w:rsidR="00C615A4">
        <w:rPr>
          <w:i/>
        </w:rPr>
        <w:t>d</w:t>
      </w:r>
      <w:r>
        <w:rPr>
          <w:i/>
        </w:rPr>
        <w:t xml:space="preserve"> oxidation</w:t>
      </w:r>
      <w:r w:rsidR="00C615A4">
        <w:rPr>
          <w:i/>
        </w:rPr>
        <w:t xml:space="preserve"> of multiple samples</w:t>
      </w:r>
      <w:r>
        <w:rPr>
          <w:i/>
        </w:rPr>
        <w:t xml:space="preserve"> and then compare</w:t>
      </w:r>
      <w:r w:rsidR="00C615A4">
        <w:rPr>
          <w:i/>
        </w:rPr>
        <w:t>d</w:t>
      </w:r>
      <w:r>
        <w:rPr>
          <w:i/>
        </w:rPr>
        <w:t xml:space="preserve"> our results with available automated solutions, as well as attempts with defined mixtures of synthetic peptide oxidation products in known quantities), but also anecdotal talks with researchers in leading FPOP groups that </w:t>
      </w:r>
      <w:r w:rsidRPr="00C615A4">
        <w:rPr>
          <w:b/>
          <w:i/>
        </w:rPr>
        <w:t>do</w:t>
      </w:r>
      <w:r>
        <w:rPr>
          <w:i/>
        </w:rPr>
        <w:t xml:space="preserve"> </w:t>
      </w:r>
      <w:r w:rsidR="00C615A4">
        <w:rPr>
          <w:i/>
        </w:rPr>
        <w:t xml:space="preserve">commonly </w:t>
      </w:r>
      <w:r>
        <w:rPr>
          <w:i/>
        </w:rPr>
        <w:t xml:space="preserve">use the software; these researchers have repeatedly stated to me that they manually validate </w:t>
      </w:r>
      <w:r w:rsidR="00C615A4">
        <w:rPr>
          <w:i/>
        </w:rPr>
        <w:t xml:space="preserve">and correct </w:t>
      </w:r>
      <w:r>
        <w:rPr>
          <w:i/>
        </w:rPr>
        <w:t xml:space="preserve">all important automated software results because they commonly see misquantification. We do agree with the reviewer’s sentiment that the field should be encouraged rather than </w:t>
      </w:r>
      <w:r w:rsidR="00C615A4">
        <w:rPr>
          <w:i/>
        </w:rPr>
        <w:t>disparaged</w:t>
      </w:r>
      <w:r>
        <w:rPr>
          <w:i/>
        </w:rPr>
        <w:t xml:space="preserve">; we intentionally left out specific citations to groups using the </w:t>
      </w:r>
      <w:r w:rsidR="00C615A4">
        <w:rPr>
          <w:i/>
        </w:rPr>
        <w:t xml:space="preserve">available </w:t>
      </w:r>
      <w:r>
        <w:rPr>
          <w:i/>
        </w:rPr>
        <w:t xml:space="preserve">software because we do not want to unfairly single out any software solution for criticism or imply that any specific developer is doing a bad job. We have added text to point out how difficult the problem is, and how much </w:t>
      </w:r>
      <w:r w:rsidR="00C615A4">
        <w:rPr>
          <w:i/>
        </w:rPr>
        <w:t xml:space="preserve">laudable </w:t>
      </w:r>
      <w:r>
        <w:rPr>
          <w:i/>
        </w:rPr>
        <w:t>progress software solutions have made so far while still pointing out room for improvement.</w:t>
      </w:r>
      <w:r w:rsidR="00C615A4">
        <w:rPr>
          <w:i/>
        </w:rPr>
        <w:t xml:space="preserve"> We have also replaced “commercial” with “available”, as we have tried non-commercial software made available to us with similar results, and we do not want to single out commercial vendors for criticism.</w:t>
      </w:r>
    </w:p>
    <w:p w14:paraId="006916C6" w14:textId="4E0C414B" w:rsidR="00620B80" w:rsidRPr="00620B80" w:rsidRDefault="0056272C" w:rsidP="001969A7">
      <w:pPr>
        <w:pStyle w:val="NormalWeb"/>
        <w:rPr>
          <w:bCs/>
        </w:rPr>
      </w:pPr>
      <w:r>
        <w:rPr>
          <w:i/>
        </w:rPr>
        <w:t>We do agree with the reviewer that the phrase “tries to use HPLC to resolve oxidation isomers” is unfair. These groups largely do an excellent job of resolving oxidation isomers</w:t>
      </w:r>
      <w:r w:rsidR="00CF59CA">
        <w:rPr>
          <w:i/>
        </w:rPr>
        <w:t>.</w:t>
      </w:r>
      <w:r>
        <w:rPr>
          <w:i/>
        </w:rPr>
        <w:t xml:space="preserve"> </w:t>
      </w:r>
      <w:r w:rsidR="00CF59CA">
        <w:rPr>
          <w:i/>
        </w:rPr>
        <w:t>O</w:t>
      </w:r>
      <w:r>
        <w:rPr>
          <w:i/>
        </w:rPr>
        <w:t>ur data suggest it is not insufficient resolution of these isomers that causes ina</w:t>
      </w:r>
      <w:r w:rsidR="00C615A4">
        <w:rPr>
          <w:i/>
        </w:rPr>
        <w:t xml:space="preserve">ccurate absolute </w:t>
      </w:r>
      <w:r w:rsidR="00C615A4">
        <w:rPr>
          <w:i/>
        </w:rPr>
        <w:lastRenderedPageBreak/>
        <w:t>quantification. We have removed the language.</w:t>
      </w:r>
      <w:r w:rsidR="001969A7">
        <w:br/>
      </w:r>
    </w:p>
    <w:p w14:paraId="6097BCE7" w14:textId="77777777" w:rsidR="00B11F2D" w:rsidRDefault="00452966" w:rsidP="00DD00AD">
      <w:pPr>
        <w:pStyle w:val="NormalWeb"/>
      </w:pPr>
      <w:r>
        <w:rPr>
          <w:b/>
          <w:bCs/>
        </w:rPr>
        <w:t>R</w:t>
      </w:r>
      <w:r w:rsidR="00DD00AD" w:rsidRPr="0012093A">
        <w:rPr>
          <w:b/>
          <w:bCs/>
        </w:rPr>
        <w:t>eviewer #3:</w:t>
      </w:r>
      <w:r w:rsidR="00DD00AD" w:rsidRPr="0012093A">
        <w:br/>
      </w:r>
    </w:p>
    <w:p w14:paraId="5E146A0F" w14:textId="77777777" w:rsidR="00364522" w:rsidRDefault="00364522" w:rsidP="00DD00AD">
      <w:pPr>
        <w:pStyle w:val="NormalWeb"/>
      </w:pPr>
      <w:r>
        <w:t>It is quite clear that the lead author wishes to recommend the dosimetry solution which his company also offers commercially. This is fine and the use of dosimetry is justified scientifically, but there are other ways to achieve the same goal, albeit less elegant, by adding an internal molecular dosimeter and using an MS readout at the MS (not MS/MS) level. I would ask the authors to give this option more space in their paper.</w:t>
      </w:r>
    </w:p>
    <w:p w14:paraId="2AED5439" w14:textId="0A676782" w:rsidR="00452966" w:rsidRDefault="00B11F2D" w:rsidP="00DD00AD">
      <w:pPr>
        <w:pStyle w:val="NormalWeb"/>
      </w:pPr>
      <w:r>
        <w:rPr>
          <w:i/>
          <w:iCs/>
        </w:rPr>
        <w:t xml:space="preserve">Response: </w:t>
      </w:r>
      <w:r w:rsidR="00364522">
        <w:rPr>
          <w:i/>
          <w:iCs/>
        </w:rPr>
        <w:t xml:space="preserve">We failed to make clear the original intention of the manuscript. The intention was to highlight the use of real-time dosimetry and compensation for FPOP experiments, and this is the part of the protocol that will be highlighted in the video. Currently, UV-responsive dosimetry is the only method that allows for real time dosimetry and compensation in FPOP. We have changed the title of the manuscript to make our intention more clear. </w:t>
      </w:r>
      <w:r>
        <w:rPr>
          <w:i/>
          <w:iCs/>
        </w:rPr>
        <w:t xml:space="preserve">We have ensured that references to manuscripts using </w:t>
      </w:r>
      <w:r w:rsidR="00364522">
        <w:rPr>
          <w:i/>
          <w:iCs/>
        </w:rPr>
        <w:t>alternative methods of dosimetry</w:t>
      </w:r>
      <w:r>
        <w:rPr>
          <w:i/>
          <w:iCs/>
        </w:rPr>
        <w:t xml:space="preserve"> are included in the Introduction; however, we have been editorially directed to limit discussion to the technique illustrated here.</w:t>
      </w:r>
      <w:bookmarkStart w:id="0" w:name="_GoBack"/>
      <w:bookmarkEnd w:id="0"/>
    </w:p>
    <w:p w14:paraId="32C17B12" w14:textId="6736F631" w:rsidR="00452966" w:rsidRDefault="00DD00AD" w:rsidP="00DD00AD">
      <w:pPr>
        <w:pStyle w:val="NormalWeb"/>
        <w:rPr>
          <w:color w:val="000000" w:themeColor="text1"/>
        </w:rPr>
      </w:pPr>
      <w:r w:rsidRPr="0012093A">
        <w:rPr>
          <w:color w:val="000000" w:themeColor="text1"/>
        </w:rPr>
        <w:t>p3 radicals are short-lived at least in part due to the scavenger which limits their lifetime (not inherently so)</w:t>
      </w:r>
    </w:p>
    <w:p w14:paraId="3541C9E9" w14:textId="6028AE5B" w:rsidR="00452966" w:rsidRPr="00452966" w:rsidRDefault="00032DED" w:rsidP="00DD00AD">
      <w:pPr>
        <w:pStyle w:val="NormalWeb"/>
        <w:rPr>
          <w:i/>
          <w:iCs/>
          <w:color w:val="000000" w:themeColor="text1"/>
        </w:rPr>
      </w:pPr>
      <w:r>
        <w:rPr>
          <w:i/>
          <w:iCs/>
          <w:color w:val="000000" w:themeColor="text1"/>
        </w:rPr>
        <w:t>Response:</w:t>
      </w:r>
      <w:r w:rsidR="00D21A62">
        <w:rPr>
          <w:i/>
          <w:iCs/>
          <w:color w:val="000000" w:themeColor="text1"/>
        </w:rPr>
        <w:t xml:space="preserve"> We have clarified that the hydroxyl radicals are consumed on a microsecond timescale under FPOP conditions.</w:t>
      </w:r>
    </w:p>
    <w:p w14:paraId="5814B694" w14:textId="77777777" w:rsidR="00452966" w:rsidRDefault="00DD00AD" w:rsidP="00DD00AD">
      <w:pPr>
        <w:pStyle w:val="NormalWeb"/>
        <w:rPr>
          <w:color w:val="000000" w:themeColor="text1"/>
        </w:rPr>
      </w:pPr>
      <w:r w:rsidRPr="0012093A">
        <w:rPr>
          <w:color w:val="000000" w:themeColor="text1"/>
        </w:rPr>
        <w:br/>
        <w:t>p5 using methanol to wipe - small fire hazard when capillary is still hot (I've watched someone make a small harmless fire in this way)</w:t>
      </w:r>
    </w:p>
    <w:p w14:paraId="1CC2EC12" w14:textId="72C5EBF5" w:rsidR="00452966" w:rsidRPr="00452966" w:rsidRDefault="00032DED" w:rsidP="00DD00AD">
      <w:pPr>
        <w:pStyle w:val="NormalWeb"/>
        <w:rPr>
          <w:i/>
          <w:iCs/>
          <w:color w:val="000000" w:themeColor="text1"/>
        </w:rPr>
      </w:pPr>
      <w:r>
        <w:rPr>
          <w:i/>
          <w:iCs/>
          <w:color w:val="000000" w:themeColor="text1"/>
        </w:rPr>
        <w:t>Response:</w:t>
      </w:r>
      <w:r w:rsidR="00452966" w:rsidRPr="00452966">
        <w:rPr>
          <w:i/>
          <w:iCs/>
          <w:color w:val="000000" w:themeColor="text1"/>
        </w:rPr>
        <w:t xml:space="preserve"> </w:t>
      </w:r>
      <w:r w:rsidR="00D21A62">
        <w:rPr>
          <w:i/>
          <w:iCs/>
          <w:color w:val="000000" w:themeColor="text1"/>
        </w:rPr>
        <w:t xml:space="preserve">We have added the safety note, and thank the reviewer for </w:t>
      </w:r>
      <w:r w:rsidR="00364522">
        <w:rPr>
          <w:i/>
          <w:iCs/>
          <w:color w:val="000000" w:themeColor="text1"/>
        </w:rPr>
        <w:t>suggesting it</w:t>
      </w:r>
      <w:r w:rsidR="00D21A62">
        <w:rPr>
          <w:i/>
          <w:iCs/>
          <w:color w:val="000000" w:themeColor="text1"/>
        </w:rPr>
        <w:t>.</w:t>
      </w:r>
    </w:p>
    <w:p w14:paraId="5DD0C22D" w14:textId="61C09044" w:rsidR="00452966" w:rsidRDefault="00DD00AD" w:rsidP="00DD00AD">
      <w:pPr>
        <w:pStyle w:val="NormalWeb"/>
        <w:rPr>
          <w:color w:val="000000" w:themeColor="text1"/>
        </w:rPr>
      </w:pPr>
      <w:r w:rsidRPr="0012093A">
        <w:rPr>
          <w:color w:val="000000" w:themeColor="text1"/>
        </w:rPr>
        <w:t>p9 known mass shifts - apart from mentioning +16, would be good to briefly summarize what to look for</w:t>
      </w:r>
    </w:p>
    <w:p w14:paraId="5F3DD49C" w14:textId="5FE2702D" w:rsidR="00452966" w:rsidRPr="00E66685" w:rsidRDefault="00032DED" w:rsidP="00DD00AD">
      <w:pPr>
        <w:pStyle w:val="NormalWeb"/>
        <w:rPr>
          <w:i/>
          <w:iCs/>
          <w:color w:val="000000" w:themeColor="text1"/>
        </w:rPr>
      </w:pPr>
      <w:r>
        <w:rPr>
          <w:i/>
          <w:iCs/>
          <w:color w:val="000000" w:themeColor="text1"/>
        </w:rPr>
        <w:t>Response:</w:t>
      </w:r>
      <w:r w:rsidR="00452966" w:rsidRPr="00E66685">
        <w:rPr>
          <w:i/>
          <w:iCs/>
          <w:color w:val="000000" w:themeColor="text1"/>
        </w:rPr>
        <w:t xml:space="preserve"> </w:t>
      </w:r>
      <w:r w:rsidR="00D21A62">
        <w:rPr>
          <w:i/>
          <w:iCs/>
          <w:color w:val="000000" w:themeColor="text1"/>
        </w:rPr>
        <w:t xml:space="preserve">While a review of the subject would be beyond the scope of this manuscript, the reviewer is correct that +16 is not the only oxidation product that can be observed. We have added references to both an excellent review of protein-hydroxyl radical chemistry, as well as a later series of papers from Xu and Chance examining MS-observable oxidation products. While we would be willing to add in a table of oxidation products, we worry that it would expand the length of the article beyond acceptable limits; we are happy to follow the editor’s discretion on this </w:t>
      </w:r>
      <w:r w:rsidR="00364522">
        <w:rPr>
          <w:i/>
          <w:iCs/>
          <w:color w:val="000000" w:themeColor="text1"/>
        </w:rPr>
        <w:t>matter</w:t>
      </w:r>
      <w:r w:rsidR="00D21A62">
        <w:rPr>
          <w:i/>
          <w:iCs/>
          <w:color w:val="000000" w:themeColor="text1"/>
        </w:rPr>
        <w:t>.</w:t>
      </w:r>
    </w:p>
    <w:p w14:paraId="75720F8F" w14:textId="13C0D573" w:rsidR="00E66685" w:rsidRDefault="00DD00AD" w:rsidP="00DD00AD">
      <w:pPr>
        <w:pStyle w:val="NormalWeb"/>
      </w:pPr>
      <w:r w:rsidRPr="0012093A">
        <w:t>p10 is there a reference for the 240/180s window?</w:t>
      </w:r>
    </w:p>
    <w:p w14:paraId="342F4684" w14:textId="12532D0B" w:rsidR="00E66685" w:rsidRPr="00E66685" w:rsidRDefault="00032DED" w:rsidP="00DD00AD">
      <w:pPr>
        <w:pStyle w:val="NormalWeb"/>
        <w:rPr>
          <w:i/>
          <w:iCs/>
        </w:rPr>
      </w:pPr>
      <w:r>
        <w:rPr>
          <w:i/>
          <w:iCs/>
        </w:rPr>
        <w:lastRenderedPageBreak/>
        <w:t>Response:</w:t>
      </w:r>
      <w:r w:rsidR="00E66685" w:rsidRPr="00E66685">
        <w:rPr>
          <w:i/>
          <w:iCs/>
        </w:rPr>
        <w:t xml:space="preserve"> This </w:t>
      </w:r>
      <w:r w:rsidR="00D21A62">
        <w:rPr>
          <w:i/>
          <w:iCs/>
        </w:rPr>
        <w:t>window depends on the LC separation phase and gradient used, and to my knowledge there has been no systematic examination of the topic. We have added language to make it clear that this window is based on observations in our hands only.</w:t>
      </w:r>
    </w:p>
    <w:p w14:paraId="4A0D668C" w14:textId="281D97BE" w:rsidR="00E66685" w:rsidRDefault="00DD00AD" w:rsidP="00DD00AD">
      <w:pPr>
        <w:pStyle w:val="NormalWeb"/>
      </w:pPr>
      <w:r w:rsidRPr="0012093A">
        <w:t>p10 background oxidation: important to mention that a significant source for this can be in-source in ESI</w:t>
      </w:r>
    </w:p>
    <w:p w14:paraId="0D702F9B" w14:textId="1C99F083" w:rsidR="00946003" w:rsidRPr="00946003" w:rsidRDefault="00032DED" w:rsidP="00DD00AD">
      <w:pPr>
        <w:pStyle w:val="NormalWeb"/>
        <w:rPr>
          <w:i/>
          <w:iCs/>
        </w:rPr>
      </w:pPr>
      <w:r>
        <w:rPr>
          <w:i/>
          <w:iCs/>
        </w:rPr>
        <w:t>Response:</w:t>
      </w:r>
      <w:r w:rsidR="00E66685" w:rsidRPr="00946003">
        <w:rPr>
          <w:i/>
          <w:iCs/>
        </w:rPr>
        <w:t xml:space="preserve"> </w:t>
      </w:r>
      <w:r w:rsidR="00D21A62">
        <w:rPr>
          <w:i/>
          <w:iCs/>
        </w:rPr>
        <w:t>We have discussed this phenomenon in the manuscript and included methods for identification and correction of in-source oxidation</w:t>
      </w:r>
      <w:r w:rsidR="000E666F">
        <w:rPr>
          <w:i/>
          <w:iCs/>
        </w:rPr>
        <w:t>, as well as other forms of background oxidation</w:t>
      </w:r>
      <w:r w:rsidR="00D21A62">
        <w:rPr>
          <w:i/>
          <w:iCs/>
        </w:rPr>
        <w:t>.</w:t>
      </w:r>
      <w:r w:rsidR="00946003" w:rsidRPr="00946003">
        <w:rPr>
          <w:i/>
          <w:iCs/>
        </w:rPr>
        <w:t xml:space="preserve"> </w:t>
      </w:r>
    </w:p>
    <w:p w14:paraId="2755FE1E" w14:textId="58AC8A16" w:rsidR="00946003" w:rsidRDefault="00DD00AD" w:rsidP="00DD00AD">
      <w:pPr>
        <w:pStyle w:val="NormalWeb"/>
      </w:pPr>
      <w:r w:rsidRPr="0012093A">
        <w:t>p11 explain what MES buffer is</w:t>
      </w:r>
    </w:p>
    <w:p w14:paraId="4A26CF0A" w14:textId="6C423640" w:rsidR="00946003" w:rsidRPr="00946003" w:rsidRDefault="00032DED" w:rsidP="00DD00AD">
      <w:pPr>
        <w:pStyle w:val="NormalWeb"/>
        <w:rPr>
          <w:i/>
          <w:iCs/>
        </w:rPr>
      </w:pPr>
      <w:r>
        <w:rPr>
          <w:i/>
          <w:iCs/>
        </w:rPr>
        <w:t>Response:</w:t>
      </w:r>
      <w:r w:rsidR="00946003" w:rsidRPr="00946003">
        <w:rPr>
          <w:i/>
          <w:iCs/>
        </w:rPr>
        <w:t xml:space="preserve"> </w:t>
      </w:r>
      <w:r w:rsidR="000E666F">
        <w:rPr>
          <w:i/>
          <w:iCs/>
        </w:rPr>
        <w:t>The full name of the MES buffer (</w:t>
      </w:r>
      <w:r w:rsidR="000E666F" w:rsidRPr="000E666F">
        <w:rPr>
          <w:i/>
          <w:iCs/>
        </w:rPr>
        <w:t>2-(N-morpholino)ethanesulfonic acid</w:t>
      </w:r>
      <w:r w:rsidR="000E666F">
        <w:rPr>
          <w:i/>
          <w:iCs/>
        </w:rPr>
        <w:t>)</w:t>
      </w:r>
      <w:r w:rsidR="00946003" w:rsidRPr="00946003">
        <w:rPr>
          <w:i/>
          <w:iCs/>
        </w:rPr>
        <w:t xml:space="preserve"> is </w:t>
      </w:r>
      <w:r w:rsidR="000E666F">
        <w:rPr>
          <w:i/>
          <w:iCs/>
        </w:rPr>
        <w:t xml:space="preserve">now </w:t>
      </w:r>
      <w:r w:rsidR="00946003" w:rsidRPr="00946003">
        <w:rPr>
          <w:i/>
          <w:iCs/>
        </w:rPr>
        <w:t xml:space="preserve">included the first time it appears in the manuscript. </w:t>
      </w:r>
    </w:p>
    <w:p w14:paraId="680F2ADC" w14:textId="4328232C" w:rsidR="00035C10" w:rsidRDefault="00DD00AD" w:rsidP="00DD00AD">
      <w:pPr>
        <w:pStyle w:val="NormalWeb"/>
      </w:pPr>
      <w:r w:rsidRPr="0012093A">
        <w:t>p13 about effective dose, I'm not convinced that high dose for a short period vs. lower dose for longer generate identical footprints. Maybe identical total % oxidation, but the amino acid selectivity might well differ due to the vastly different reactivities, which includes kinetics of the reaction (and possible reversibility!). This is an important point and the statement made not self-evident. If there is evidence however, I would welcome if that was shared here.</w:t>
      </w:r>
    </w:p>
    <w:p w14:paraId="083C3924" w14:textId="581EA0F1" w:rsidR="00540268" w:rsidRDefault="00032DED" w:rsidP="00DD00AD">
      <w:pPr>
        <w:pStyle w:val="NormalWeb"/>
        <w:rPr>
          <w:i/>
          <w:iCs/>
        </w:rPr>
      </w:pPr>
      <w:r>
        <w:rPr>
          <w:i/>
          <w:iCs/>
        </w:rPr>
        <w:t>Response:</w:t>
      </w:r>
      <w:r w:rsidR="00946003" w:rsidRPr="00946003">
        <w:rPr>
          <w:i/>
          <w:iCs/>
        </w:rPr>
        <w:t xml:space="preserve"> </w:t>
      </w:r>
      <w:r w:rsidR="000E666F">
        <w:rPr>
          <w:i/>
          <w:iCs/>
        </w:rPr>
        <w:t>The identical amount of oxidation is not only at the protein level, but also at the peptide level (as seen in Figure 7). If compensation resulted in identical total % oxidation but different selectivity, we would observe changes from peptide to peptide as selectivity changed from target residues in one peptide to target residues in another.</w:t>
      </w:r>
      <w:r w:rsidR="00A96535">
        <w:rPr>
          <w:i/>
          <w:iCs/>
        </w:rPr>
        <w:t xml:space="preserve"> Every peptide shows identical total oxidation within the entire protein, even though these peptides have vastly different amino acid compositions from one another.</w:t>
      </w:r>
      <w:r w:rsidR="000E666F">
        <w:rPr>
          <w:i/>
          <w:iCs/>
        </w:rPr>
        <w:t xml:space="preserve"> </w:t>
      </w:r>
      <w:r w:rsidR="002234B5">
        <w:rPr>
          <w:i/>
          <w:iCs/>
        </w:rPr>
        <w:t xml:space="preserve">We show this in Figure 7 for myoglobin with adenine, but we have also shown it with myoglobin using Tris as a dosimeter (Ref. </w:t>
      </w:r>
      <w:r w:rsidR="00EE6DD3">
        <w:rPr>
          <w:i/>
          <w:iCs/>
        </w:rPr>
        <w:t>12</w:t>
      </w:r>
      <w:r w:rsidR="002234B5">
        <w:rPr>
          <w:i/>
          <w:iCs/>
        </w:rPr>
        <w:t xml:space="preserve">) and with adalimumab using an adenine dosimeter (Ref. </w:t>
      </w:r>
      <w:r w:rsidR="00EE6DD3">
        <w:rPr>
          <w:i/>
          <w:iCs/>
        </w:rPr>
        <w:t>30</w:t>
      </w:r>
      <w:r w:rsidR="002234B5">
        <w:rPr>
          <w:i/>
          <w:iCs/>
        </w:rPr>
        <w:t xml:space="preserve">), showing that the relationship holds regardless of amino acid sequence OR UV-responsive dosimeter used. </w:t>
      </w:r>
      <w:r w:rsidR="00540268">
        <w:rPr>
          <w:i/>
          <w:iCs/>
        </w:rPr>
        <w:t xml:space="preserve">Additionally, as currently shown in Figure 2, the compensation observed is consistent with what is predicted by kinetic simulations that do not include changes in the rate constants of oxidation of any amino acid; rather, it treats the protein as a non-consumed reactor of hydroxyl radicals with an unchanging second order rate constant of reaction. </w:t>
      </w:r>
    </w:p>
    <w:p w14:paraId="7B594701" w14:textId="2A112F72" w:rsidR="00A96535" w:rsidRDefault="00A96535" w:rsidP="00DD00AD">
      <w:pPr>
        <w:pStyle w:val="NormalWeb"/>
        <w:rPr>
          <w:i/>
          <w:iCs/>
        </w:rPr>
      </w:pPr>
      <w:r>
        <w:rPr>
          <w:i/>
          <w:iCs/>
        </w:rPr>
        <w:t xml:space="preserve">Finally, under dissolved atmospheric O2 concentrations, reversibility of the reaction will be negligible. Unstable odd-electron products are stabilized relatively quickly through reaction with O2 and secondary oxygen-based radicals, while even-electron oxidation products are irreversible with the exception of methionine sulfoxide, which generally requires an enzyme catalyst and a reductant to reverse the reaction. Current reference </w:t>
      </w:r>
      <w:r w:rsidR="00EE6DD3">
        <w:rPr>
          <w:i/>
          <w:iCs/>
        </w:rPr>
        <w:t xml:space="preserve">26 </w:t>
      </w:r>
      <w:r>
        <w:rPr>
          <w:i/>
          <w:iCs/>
        </w:rPr>
        <w:t>gives a thorough overview of the reaction pathways of amino acids.</w:t>
      </w:r>
    </w:p>
    <w:p w14:paraId="08427D87" w14:textId="7659E2E8" w:rsidR="00035C10" w:rsidRDefault="00DD00AD" w:rsidP="00DD00AD">
      <w:pPr>
        <w:pStyle w:val="NormalWeb"/>
      </w:pPr>
      <w:r w:rsidRPr="0012093A">
        <w:br/>
        <w:t>p14 spatial resolution: might be appropriate to refer to this paper -https://pubmed.ncbi.nlm.nih.gov/30267362</w:t>
      </w:r>
    </w:p>
    <w:p w14:paraId="2021D21D" w14:textId="5796FB52" w:rsidR="00946003" w:rsidRPr="00946003" w:rsidRDefault="00032DED" w:rsidP="00DD00AD">
      <w:pPr>
        <w:pStyle w:val="NormalWeb"/>
        <w:rPr>
          <w:i/>
          <w:iCs/>
        </w:rPr>
      </w:pPr>
      <w:r>
        <w:rPr>
          <w:i/>
          <w:iCs/>
        </w:rPr>
        <w:lastRenderedPageBreak/>
        <w:t>Response:</w:t>
      </w:r>
      <w:r w:rsidR="00946003" w:rsidRPr="00946003">
        <w:rPr>
          <w:i/>
          <w:iCs/>
        </w:rPr>
        <w:t xml:space="preserve"> </w:t>
      </w:r>
      <w:r w:rsidR="002234B5">
        <w:rPr>
          <w:i/>
          <w:iCs/>
        </w:rPr>
        <w:t>We have added the recommended reference.</w:t>
      </w:r>
    </w:p>
    <w:p w14:paraId="7E7F46A5" w14:textId="15E42839" w:rsidR="00754091" w:rsidRDefault="00DD00AD" w:rsidP="00DD00AD">
      <w:pPr>
        <w:pStyle w:val="NormalWeb"/>
      </w:pPr>
      <w:r w:rsidRPr="0012093A">
        <w:br/>
        <w:t>p14 why does ETD require HILIC - please explain</w:t>
      </w:r>
    </w:p>
    <w:p w14:paraId="6CE7D2EB" w14:textId="45C1117C" w:rsidR="00946003" w:rsidRPr="00946003" w:rsidRDefault="00032DED" w:rsidP="00DD00AD">
      <w:pPr>
        <w:pStyle w:val="NormalWeb"/>
        <w:rPr>
          <w:i/>
          <w:iCs/>
        </w:rPr>
      </w:pPr>
      <w:r>
        <w:rPr>
          <w:i/>
          <w:iCs/>
        </w:rPr>
        <w:t>Response:</w:t>
      </w:r>
      <w:r w:rsidR="00946003" w:rsidRPr="00946003">
        <w:rPr>
          <w:i/>
          <w:iCs/>
        </w:rPr>
        <w:t xml:space="preserve"> </w:t>
      </w:r>
      <w:r w:rsidR="00364522">
        <w:rPr>
          <w:i/>
          <w:iCs/>
        </w:rPr>
        <w:t>We have added a brief explanation and references</w:t>
      </w:r>
      <w:r w:rsidR="00946003" w:rsidRPr="00946003">
        <w:rPr>
          <w:i/>
          <w:iCs/>
        </w:rPr>
        <w:t xml:space="preserve"> in the manuscript. </w:t>
      </w:r>
    </w:p>
    <w:p w14:paraId="6A9933EA" w14:textId="67B0F9C2" w:rsidR="00BC2BAD" w:rsidRDefault="00DD00AD" w:rsidP="00DD00AD">
      <w:pPr>
        <w:pStyle w:val="NormalWeb"/>
      </w:pPr>
      <w:r w:rsidRPr="0012093A">
        <w:br/>
        <w:t xml:space="preserve">fig </w:t>
      </w:r>
      <w:r w:rsidR="00946003">
        <w:t xml:space="preserve">1 </w:t>
      </w:r>
      <w:r w:rsidRPr="0012093A">
        <w:t>many groups would have a target % of total oxidation, e.g. +16 peak at 50% intensity of unmodified. Also recommendation to run intact, denatured sample to assess this prior to any digest and LC-MS/MS</w:t>
      </w:r>
    </w:p>
    <w:p w14:paraId="5CDF5886" w14:textId="6B04C973" w:rsidR="00946003" w:rsidRPr="00946003" w:rsidRDefault="00032DED" w:rsidP="00DD00AD">
      <w:pPr>
        <w:pStyle w:val="NormalWeb"/>
        <w:rPr>
          <w:i/>
          <w:iCs/>
        </w:rPr>
      </w:pPr>
      <w:r>
        <w:rPr>
          <w:i/>
          <w:iCs/>
        </w:rPr>
        <w:t>Response:</w:t>
      </w:r>
      <w:r w:rsidR="00946003" w:rsidRPr="00946003">
        <w:rPr>
          <w:i/>
          <w:iCs/>
        </w:rPr>
        <w:t xml:space="preserve"> </w:t>
      </w:r>
      <w:r w:rsidR="00562BEF">
        <w:rPr>
          <w:i/>
          <w:iCs/>
        </w:rPr>
        <w:t xml:space="preserve">The level of total oxidation can vary significantly depending on the conformation of the protein; we would argue that </w:t>
      </w:r>
      <w:r w:rsidR="00620B80">
        <w:rPr>
          <w:i/>
          <w:iCs/>
        </w:rPr>
        <w:t xml:space="preserve">while it may be suitable for specific applications, </w:t>
      </w:r>
      <w:r w:rsidR="00562BEF">
        <w:rPr>
          <w:i/>
          <w:iCs/>
        </w:rPr>
        <w:t>targeting a specific % oxidation intensity is unadvisable</w:t>
      </w:r>
      <w:r w:rsidR="00364522">
        <w:rPr>
          <w:i/>
          <w:iCs/>
        </w:rPr>
        <w:t xml:space="preserve"> as a general practice</w:t>
      </w:r>
      <w:r w:rsidR="00562BEF">
        <w:rPr>
          <w:i/>
          <w:iCs/>
        </w:rPr>
        <w:t>. Post-oxidation clean-up is required to prevent extensive in-source oxidation due to residual hydrogen peroxide in the electrospray source. Intact protein MS can be challenging depending upon the protein. We have had experiences with some proteins aggregating after oxidation and giving poor to no intact signal of the oxidized protein, leading to underestimation of the amount of oxidation. Based on these experiences and the performance of various dosimetry solutions (including the one described here), we do not recommend tracking oxidation of the intact protein as a general practice.</w:t>
      </w:r>
    </w:p>
    <w:p w14:paraId="744C8BF7" w14:textId="31B1209D" w:rsidR="00BC2BAD" w:rsidRDefault="00DD00AD" w:rsidP="00DD00AD">
      <w:pPr>
        <w:pStyle w:val="NormalWeb"/>
      </w:pPr>
      <w:r w:rsidRPr="0012093A">
        <w:t>fig 2 difficult to see detail but video will prob address this</w:t>
      </w:r>
    </w:p>
    <w:p w14:paraId="379B4C65" w14:textId="61B6A7AB" w:rsidR="00946003" w:rsidRPr="00946003" w:rsidRDefault="00032DED" w:rsidP="00DD00AD">
      <w:pPr>
        <w:pStyle w:val="NormalWeb"/>
        <w:rPr>
          <w:i/>
          <w:iCs/>
        </w:rPr>
      </w:pPr>
      <w:r>
        <w:rPr>
          <w:i/>
          <w:iCs/>
        </w:rPr>
        <w:t>Response:</w:t>
      </w:r>
      <w:r w:rsidR="00946003" w:rsidRPr="00946003">
        <w:rPr>
          <w:i/>
          <w:iCs/>
        </w:rPr>
        <w:t xml:space="preserve"> </w:t>
      </w:r>
      <w:r w:rsidR="00562BEF">
        <w:rPr>
          <w:i/>
          <w:iCs/>
        </w:rPr>
        <w:t>We have taken a new image of the current Figure 3; we hope that this makes the detail a bit more clear</w:t>
      </w:r>
      <w:r w:rsidR="00946003" w:rsidRPr="00946003">
        <w:rPr>
          <w:i/>
          <w:iCs/>
        </w:rPr>
        <w:t xml:space="preserve">. </w:t>
      </w:r>
      <w:r w:rsidR="00562BEF">
        <w:rPr>
          <w:i/>
          <w:iCs/>
        </w:rPr>
        <w:t>This segment will also be the focus of the video.</w:t>
      </w:r>
    </w:p>
    <w:p w14:paraId="6D4A01D0" w14:textId="733CE6CC" w:rsidR="00BC2BAD" w:rsidRPr="0012093A" w:rsidRDefault="00DD00AD" w:rsidP="00DD00AD">
      <w:pPr>
        <w:pStyle w:val="NormalWeb"/>
      </w:pPr>
      <w:r w:rsidRPr="0012093A">
        <w:t>fig 5 increasing laser fluence - but with caveats about spot intensity mentioned in the main text...?</w:t>
      </w:r>
    </w:p>
    <w:p w14:paraId="78225C45" w14:textId="43FDD569" w:rsidR="00946003" w:rsidRPr="00562BEF" w:rsidRDefault="00032DED" w:rsidP="00DD00AD">
      <w:pPr>
        <w:pStyle w:val="NormalWeb"/>
        <w:rPr>
          <w:i/>
          <w:iCs/>
        </w:rPr>
      </w:pPr>
      <w:r>
        <w:rPr>
          <w:i/>
          <w:iCs/>
        </w:rPr>
        <w:t>Response:</w:t>
      </w:r>
      <w:r w:rsidR="00946003" w:rsidRPr="00946003">
        <w:rPr>
          <w:i/>
          <w:iCs/>
        </w:rPr>
        <w:t xml:space="preserve"> </w:t>
      </w:r>
      <w:r w:rsidR="00562BEF">
        <w:rPr>
          <w:i/>
          <w:iCs/>
        </w:rPr>
        <w:t xml:space="preserve">We have attempted to make clear the difference between laser </w:t>
      </w:r>
      <w:r w:rsidR="00562BEF">
        <w:rPr>
          <w:i/>
          <w:iCs/>
          <w:u w:val="single"/>
        </w:rPr>
        <w:t>fluence</w:t>
      </w:r>
      <w:r w:rsidR="00562BEF">
        <w:rPr>
          <w:i/>
          <w:iCs/>
        </w:rPr>
        <w:t xml:space="preserve"> and laser </w:t>
      </w:r>
      <w:r w:rsidR="00562BEF">
        <w:rPr>
          <w:i/>
          <w:iCs/>
          <w:u w:val="single"/>
        </w:rPr>
        <w:t>energy per pulse</w:t>
      </w:r>
      <w:r w:rsidR="00562BEF">
        <w:rPr>
          <w:i/>
          <w:iCs/>
        </w:rPr>
        <w:t>. The current Figure 6 was generated by altering the laser fluence, which is the necessary variable in determining peak hydroxyl radical generation. Alteration of laser fluence by altering laser energy per pulse is possible, but care must be taken to account for changes in laser cross-section</w:t>
      </w:r>
      <w:r w:rsidR="00CF59CA">
        <w:rPr>
          <w:i/>
          <w:iCs/>
        </w:rPr>
        <w:t xml:space="preserve"> using the aperture mentioned, along with dosimetry response to report on effective hydroxyl radical dose</w:t>
      </w:r>
      <w:r w:rsidR="00562BEF">
        <w:rPr>
          <w:i/>
          <w:iCs/>
        </w:rPr>
        <w:t>. The other method of altering laser fluence in real time is altering the focal plane of the lens relative to the capillary. We have added detail about this method to the text, and will demonstrate it in the video.</w:t>
      </w:r>
    </w:p>
    <w:p w14:paraId="56DCB30F" w14:textId="31715461" w:rsidR="00DD00AD" w:rsidRPr="0012093A" w:rsidRDefault="00DD00AD" w:rsidP="00DD00AD">
      <w:pPr>
        <w:pStyle w:val="NormalWeb"/>
        <w:rPr>
          <w:color w:val="FF0000"/>
        </w:rPr>
      </w:pPr>
      <w:r w:rsidRPr="0012093A">
        <w:t>fig 7 bit unclear what it adds here out of the context of the paper it appeared in - and difficult to understand. "decrease" = "increase"? I recommend leaving this out here</w:t>
      </w:r>
    </w:p>
    <w:p w14:paraId="6BCE2981" w14:textId="7DFD6BD4" w:rsidR="00DD00AD" w:rsidRPr="00E52DF0" w:rsidRDefault="00DD00AD" w:rsidP="00DD00AD">
      <w:pPr>
        <w:pStyle w:val="NormalWeb"/>
        <w:rPr>
          <w:i/>
          <w:iCs/>
        </w:rPr>
      </w:pPr>
      <w:r w:rsidRPr="00E52DF0">
        <w:rPr>
          <w:i/>
          <w:iCs/>
        </w:rPr>
        <w:t> </w:t>
      </w:r>
      <w:r w:rsidR="00032DED">
        <w:rPr>
          <w:i/>
          <w:iCs/>
        </w:rPr>
        <w:t>Response:</w:t>
      </w:r>
      <w:r w:rsidR="00946003" w:rsidRPr="00E52DF0">
        <w:rPr>
          <w:i/>
          <w:iCs/>
        </w:rPr>
        <w:t xml:space="preserve"> </w:t>
      </w:r>
      <w:r w:rsidR="00562BEF">
        <w:rPr>
          <w:i/>
          <w:iCs/>
        </w:rPr>
        <w:t xml:space="preserve">The current Figure 2 is necessary to demonstrate the theoretical underpinnings of </w:t>
      </w:r>
      <w:r w:rsidR="008C4CC1">
        <w:rPr>
          <w:i/>
          <w:iCs/>
        </w:rPr>
        <w:t xml:space="preserve">both dosimetry and </w:t>
      </w:r>
      <w:r w:rsidR="00562BEF">
        <w:rPr>
          <w:i/>
          <w:iCs/>
        </w:rPr>
        <w:t xml:space="preserve">the compensation phenomenon. There is a misconception </w:t>
      </w:r>
      <w:r w:rsidR="00620B80">
        <w:rPr>
          <w:i/>
          <w:iCs/>
        </w:rPr>
        <w:t>among some novices</w:t>
      </w:r>
      <w:r w:rsidR="00562BEF">
        <w:rPr>
          <w:i/>
          <w:iCs/>
        </w:rPr>
        <w:t xml:space="preserve"> that </w:t>
      </w:r>
      <w:r w:rsidR="008C4CC1">
        <w:rPr>
          <w:i/>
          <w:iCs/>
        </w:rPr>
        <w:t xml:space="preserve">the amount of oxidation of a protein in its buffer is </w:t>
      </w:r>
      <w:r w:rsidR="00620B80">
        <w:rPr>
          <w:i/>
          <w:iCs/>
        </w:rPr>
        <w:t xml:space="preserve">solely </w:t>
      </w:r>
      <w:r w:rsidR="008C4CC1">
        <w:rPr>
          <w:i/>
          <w:iCs/>
        </w:rPr>
        <w:t xml:space="preserve">a factor of the radical </w:t>
      </w:r>
      <w:r w:rsidR="008C4CC1">
        <w:rPr>
          <w:i/>
          <w:iCs/>
        </w:rPr>
        <w:lastRenderedPageBreak/>
        <w:t>half-life; this in only true if the peak concentration of hydroxyl radical generated is constant, as shown in Figure 2. While compensation has only been demonstrated using UV-responsive dosimeters, Figure 2 shows that it should work with any accurate dosimeter. We have moved this figure to the Introduction, and have cleaned up the description.</w:t>
      </w:r>
    </w:p>
    <w:p w14:paraId="6D208FDF" w14:textId="7E1E9F1F" w:rsidR="007F4B26" w:rsidRDefault="00DD00AD" w:rsidP="00620B80">
      <w:pPr>
        <w:pStyle w:val="NormalWeb"/>
      </w:pPr>
      <w:r>
        <w:t> </w:t>
      </w:r>
    </w:p>
    <w:p w14:paraId="43E3C499" w14:textId="13F9FAC0" w:rsidR="007F4B26" w:rsidRDefault="007F4B26" w:rsidP="00DD00AD">
      <w:pPr>
        <w:pStyle w:val="NormalWeb"/>
      </w:pPr>
    </w:p>
    <w:sectPr w:rsidR="007F4B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7A258" w14:textId="77777777" w:rsidR="00270895" w:rsidRDefault="00270895" w:rsidP="00A43D0B">
      <w:r>
        <w:separator/>
      </w:r>
    </w:p>
  </w:endnote>
  <w:endnote w:type="continuationSeparator" w:id="0">
    <w:p w14:paraId="40FE86C6" w14:textId="77777777" w:rsidR="00270895" w:rsidRDefault="00270895" w:rsidP="00A4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B4D37" w14:textId="77777777" w:rsidR="00270895" w:rsidRDefault="00270895" w:rsidP="00A43D0B">
      <w:r>
        <w:separator/>
      </w:r>
    </w:p>
  </w:footnote>
  <w:footnote w:type="continuationSeparator" w:id="0">
    <w:p w14:paraId="7AF3D9C1" w14:textId="77777777" w:rsidR="00270895" w:rsidRDefault="00270895" w:rsidP="00A43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0NLc0MTc0MTA3sDRU0lEKTi0uzszPAykwNKwFAE2eHgotAAAA"/>
  </w:docVars>
  <w:rsids>
    <w:rsidRoot w:val="00DD00AD"/>
    <w:rsid w:val="0001416E"/>
    <w:rsid w:val="00020D68"/>
    <w:rsid w:val="00032DED"/>
    <w:rsid w:val="00035C10"/>
    <w:rsid w:val="0004306D"/>
    <w:rsid w:val="000E666F"/>
    <w:rsid w:val="0012093A"/>
    <w:rsid w:val="00174EA7"/>
    <w:rsid w:val="0018218A"/>
    <w:rsid w:val="00191D7B"/>
    <w:rsid w:val="00193BC0"/>
    <w:rsid w:val="001969A7"/>
    <w:rsid w:val="001A5D10"/>
    <w:rsid w:val="001E72C7"/>
    <w:rsid w:val="002234B5"/>
    <w:rsid w:val="00231587"/>
    <w:rsid w:val="00236E5E"/>
    <w:rsid w:val="00270895"/>
    <w:rsid w:val="00275553"/>
    <w:rsid w:val="00275E25"/>
    <w:rsid w:val="002B1D7F"/>
    <w:rsid w:val="002B7B76"/>
    <w:rsid w:val="002D2F80"/>
    <w:rsid w:val="002E7982"/>
    <w:rsid w:val="00364522"/>
    <w:rsid w:val="003819B0"/>
    <w:rsid w:val="00433972"/>
    <w:rsid w:val="00434358"/>
    <w:rsid w:val="00443AE5"/>
    <w:rsid w:val="00452966"/>
    <w:rsid w:val="00456DDF"/>
    <w:rsid w:val="00475F80"/>
    <w:rsid w:val="00491809"/>
    <w:rsid w:val="00513B04"/>
    <w:rsid w:val="005250F5"/>
    <w:rsid w:val="00530B72"/>
    <w:rsid w:val="00540268"/>
    <w:rsid w:val="0056272C"/>
    <w:rsid w:val="00562BEF"/>
    <w:rsid w:val="005C3BD6"/>
    <w:rsid w:val="005F5644"/>
    <w:rsid w:val="00602DE7"/>
    <w:rsid w:val="00620B80"/>
    <w:rsid w:val="00672A0C"/>
    <w:rsid w:val="006774FA"/>
    <w:rsid w:val="006D1019"/>
    <w:rsid w:val="00711EB0"/>
    <w:rsid w:val="00717D3C"/>
    <w:rsid w:val="00754091"/>
    <w:rsid w:val="0075707D"/>
    <w:rsid w:val="007C25DC"/>
    <w:rsid w:val="007C4FA1"/>
    <w:rsid w:val="007E176D"/>
    <w:rsid w:val="007E1A9A"/>
    <w:rsid w:val="007F4B26"/>
    <w:rsid w:val="008574EE"/>
    <w:rsid w:val="00864C61"/>
    <w:rsid w:val="008663EA"/>
    <w:rsid w:val="008B070F"/>
    <w:rsid w:val="008C4CC1"/>
    <w:rsid w:val="00944AF8"/>
    <w:rsid w:val="00946003"/>
    <w:rsid w:val="009475D3"/>
    <w:rsid w:val="00952957"/>
    <w:rsid w:val="00976AA6"/>
    <w:rsid w:val="00991EDD"/>
    <w:rsid w:val="00996822"/>
    <w:rsid w:val="009A4434"/>
    <w:rsid w:val="009E19B4"/>
    <w:rsid w:val="00A0716B"/>
    <w:rsid w:val="00A43D0B"/>
    <w:rsid w:val="00A56F9E"/>
    <w:rsid w:val="00A6434F"/>
    <w:rsid w:val="00A733AF"/>
    <w:rsid w:val="00A910E1"/>
    <w:rsid w:val="00A961ED"/>
    <w:rsid w:val="00A96535"/>
    <w:rsid w:val="00AC393A"/>
    <w:rsid w:val="00AD4F7E"/>
    <w:rsid w:val="00B042C6"/>
    <w:rsid w:val="00B11F2D"/>
    <w:rsid w:val="00BB68A7"/>
    <w:rsid w:val="00BB73C2"/>
    <w:rsid w:val="00BC2BAD"/>
    <w:rsid w:val="00BD00F1"/>
    <w:rsid w:val="00BF4DFD"/>
    <w:rsid w:val="00C54BF5"/>
    <w:rsid w:val="00C615A4"/>
    <w:rsid w:val="00C73379"/>
    <w:rsid w:val="00CC5B00"/>
    <w:rsid w:val="00CF4F0A"/>
    <w:rsid w:val="00CF59CA"/>
    <w:rsid w:val="00D00B98"/>
    <w:rsid w:val="00D018EB"/>
    <w:rsid w:val="00D21A62"/>
    <w:rsid w:val="00D527BD"/>
    <w:rsid w:val="00D63298"/>
    <w:rsid w:val="00D706BF"/>
    <w:rsid w:val="00D72090"/>
    <w:rsid w:val="00D77E7F"/>
    <w:rsid w:val="00D872F9"/>
    <w:rsid w:val="00DC7420"/>
    <w:rsid w:val="00DC7ADC"/>
    <w:rsid w:val="00DD00AD"/>
    <w:rsid w:val="00E45265"/>
    <w:rsid w:val="00E52DF0"/>
    <w:rsid w:val="00E66685"/>
    <w:rsid w:val="00E83B8E"/>
    <w:rsid w:val="00EE6DD3"/>
    <w:rsid w:val="00EF2E44"/>
    <w:rsid w:val="00F2460A"/>
    <w:rsid w:val="00F24909"/>
    <w:rsid w:val="00F31923"/>
    <w:rsid w:val="00F36838"/>
    <w:rsid w:val="00F548E9"/>
    <w:rsid w:val="00F6035D"/>
    <w:rsid w:val="00F63C3D"/>
    <w:rsid w:val="00FD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F1C7"/>
  <w15:chartTrackingRefBased/>
  <w15:docId w15:val="{5188D779-1774-4DD7-AF53-7D33BED7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A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0AD"/>
    <w:rPr>
      <w:color w:val="0000FF"/>
      <w:u w:val="single"/>
    </w:rPr>
  </w:style>
  <w:style w:type="paragraph" w:styleId="NormalWeb">
    <w:name w:val="Normal (Web)"/>
    <w:basedOn w:val="Normal"/>
    <w:uiPriority w:val="99"/>
    <w:unhideWhenUsed/>
    <w:rsid w:val="00DD00AD"/>
    <w:pPr>
      <w:spacing w:before="100" w:beforeAutospacing="1" w:after="100" w:afterAutospacing="1"/>
    </w:pPr>
  </w:style>
  <w:style w:type="character" w:styleId="Strong">
    <w:name w:val="Strong"/>
    <w:basedOn w:val="DefaultParagraphFont"/>
    <w:uiPriority w:val="22"/>
    <w:qFormat/>
    <w:rsid w:val="00DD00AD"/>
    <w:rPr>
      <w:b/>
      <w:bCs/>
    </w:rPr>
  </w:style>
  <w:style w:type="paragraph" w:styleId="BalloonText">
    <w:name w:val="Balloon Text"/>
    <w:basedOn w:val="Normal"/>
    <w:link w:val="BalloonTextChar"/>
    <w:uiPriority w:val="99"/>
    <w:semiHidden/>
    <w:unhideWhenUsed/>
    <w:rsid w:val="00D01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8EB"/>
    <w:rPr>
      <w:rFonts w:ascii="Segoe UI" w:hAnsi="Segoe UI" w:cs="Segoe UI"/>
      <w:sz w:val="18"/>
      <w:szCs w:val="18"/>
    </w:rPr>
  </w:style>
  <w:style w:type="paragraph" w:styleId="Header">
    <w:name w:val="header"/>
    <w:basedOn w:val="Normal"/>
    <w:link w:val="HeaderChar"/>
    <w:uiPriority w:val="99"/>
    <w:unhideWhenUsed/>
    <w:rsid w:val="00A43D0B"/>
    <w:pPr>
      <w:tabs>
        <w:tab w:val="center" w:pos="4680"/>
        <w:tab w:val="right" w:pos="9360"/>
      </w:tabs>
    </w:pPr>
  </w:style>
  <w:style w:type="character" w:customStyle="1" w:styleId="HeaderChar">
    <w:name w:val="Header Char"/>
    <w:basedOn w:val="DefaultParagraphFont"/>
    <w:link w:val="Header"/>
    <w:uiPriority w:val="99"/>
    <w:rsid w:val="00A43D0B"/>
  </w:style>
  <w:style w:type="paragraph" w:styleId="Footer">
    <w:name w:val="footer"/>
    <w:basedOn w:val="Normal"/>
    <w:link w:val="FooterChar"/>
    <w:uiPriority w:val="99"/>
    <w:unhideWhenUsed/>
    <w:rsid w:val="00A43D0B"/>
    <w:pPr>
      <w:tabs>
        <w:tab w:val="center" w:pos="4680"/>
        <w:tab w:val="right" w:pos="9360"/>
      </w:tabs>
    </w:pPr>
  </w:style>
  <w:style w:type="character" w:customStyle="1" w:styleId="FooterChar">
    <w:name w:val="Footer Char"/>
    <w:basedOn w:val="DefaultParagraphFont"/>
    <w:link w:val="Footer"/>
    <w:uiPriority w:val="99"/>
    <w:rsid w:val="00A43D0B"/>
  </w:style>
  <w:style w:type="character" w:styleId="CommentReference">
    <w:name w:val="annotation reference"/>
    <w:basedOn w:val="DefaultParagraphFont"/>
    <w:uiPriority w:val="99"/>
    <w:semiHidden/>
    <w:unhideWhenUsed/>
    <w:rsid w:val="00672A0C"/>
    <w:rPr>
      <w:sz w:val="16"/>
      <w:szCs w:val="16"/>
    </w:rPr>
  </w:style>
  <w:style w:type="paragraph" w:styleId="CommentText">
    <w:name w:val="annotation text"/>
    <w:basedOn w:val="Normal"/>
    <w:link w:val="CommentTextChar"/>
    <w:uiPriority w:val="99"/>
    <w:semiHidden/>
    <w:unhideWhenUsed/>
    <w:rsid w:val="00672A0C"/>
    <w:rPr>
      <w:sz w:val="20"/>
      <w:szCs w:val="20"/>
    </w:rPr>
  </w:style>
  <w:style w:type="character" w:customStyle="1" w:styleId="CommentTextChar">
    <w:name w:val="Comment Text Char"/>
    <w:basedOn w:val="DefaultParagraphFont"/>
    <w:link w:val="CommentText"/>
    <w:uiPriority w:val="99"/>
    <w:semiHidden/>
    <w:rsid w:val="00672A0C"/>
    <w:rPr>
      <w:sz w:val="20"/>
      <w:szCs w:val="20"/>
    </w:rPr>
  </w:style>
  <w:style w:type="paragraph" w:styleId="CommentSubject">
    <w:name w:val="annotation subject"/>
    <w:basedOn w:val="CommentText"/>
    <w:next w:val="CommentText"/>
    <w:link w:val="CommentSubjectChar"/>
    <w:uiPriority w:val="99"/>
    <w:semiHidden/>
    <w:unhideWhenUsed/>
    <w:rsid w:val="00672A0C"/>
    <w:rPr>
      <w:b/>
      <w:bCs/>
    </w:rPr>
  </w:style>
  <w:style w:type="character" w:customStyle="1" w:styleId="CommentSubjectChar">
    <w:name w:val="Comment Subject Char"/>
    <w:basedOn w:val="CommentTextChar"/>
    <w:link w:val="CommentSubject"/>
    <w:uiPriority w:val="99"/>
    <w:semiHidden/>
    <w:rsid w:val="00672A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96743">
      <w:bodyDiv w:val="1"/>
      <w:marLeft w:val="0"/>
      <w:marRight w:val="0"/>
      <w:marTop w:val="0"/>
      <w:marBottom w:val="0"/>
      <w:divBdr>
        <w:top w:val="none" w:sz="0" w:space="0" w:color="auto"/>
        <w:left w:val="none" w:sz="0" w:space="0" w:color="auto"/>
        <w:bottom w:val="none" w:sz="0" w:space="0" w:color="auto"/>
        <w:right w:val="none" w:sz="0" w:space="0" w:color="auto"/>
      </w:divBdr>
    </w:div>
    <w:div w:id="1429352151">
      <w:bodyDiv w:val="1"/>
      <w:marLeft w:val="0"/>
      <w:marRight w:val="0"/>
      <w:marTop w:val="0"/>
      <w:marBottom w:val="0"/>
      <w:divBdr>
        <w:top w:val="none" w:sz="0" w:space="0" w:color="auto"/>
        <w:left w:val="none" w:sz="0" w:space="0" w:color="auto"/>
        <w:bottom w:val="none" w:sz="0" w:space="0" w:color="auto"/>
        <w:right w:val="none" w:sz="0" w:space="0" w:color="auto"/>
      </w:divBdr>
      <w:divsChild>
        <w:div w:id="762841195">
          <w:marLeft w:val="0"/>
          <w:marRight w:val="0"/>
          <w:marTop w:val="0"/>
          <w:marBottom w:val="0"/>
          <w:divBdr>
            <w:top w:val="none" w:sz="0" w:space="0" w:color="auto"/>
            <w:left w:val="none" w:sz="0" w:space="0" w:color="auto"/>
            <w:bottom w:val="none" w:sz="0" w:space="0" w:color="auto"/>
            <w:right w:val="none" w:sz="0" w:space="0" w:color="auto"/>
          </w:divBdr>
          <w:divsChild>
            <w:div w:id="605118238">
              <w:marLeft w:val="0"/>
              <w:marRight w:val="0"/>
              <w:marTop w:val="0"/>
              <w:marBottom w:val="0"/>
              <w:divBdr>
                <w:top w:val="none" w:sz="0" w:space="0" w:color="auto"/>
                <w:left w:val="none" w:sz="0" w:space="0" w:color="auto"/>
                <w:bottom w:val="none" w:sz="0" w:space="0" w:color="auto"/>
                <w:right w:val="none" w:sz="0" w:space="0" w:color="auto"/>
              </w:divBdr>
            </w:div>
            <w:div w:id="874999591">
              <w:marLeft w:val="0"/>
              <w:marRight w:val="0"/>
              <w:marTop w:val="0"/>
              <w:marBottom w:val="0"/>
              <w:divBdr>
                <w:top w:val="none" w:sz="0" w:space="0" w:color="auto"/>
                <w:left w:val="none" w:sz="0" w:space="0" w:color="auto"/>
                <w:bottom w:val="none" w:sz="0" w:space="0" w:color="auto"/>
                <w:right w:val="none" w:sz="0" w:space="0" w:color="auto"/>
              </w:divBdr>
            </w:div>
            <w:div w:id="1762949800">
              <w:marLeft w:val="0"/>
              <w:marRight w:val="0"/>
              <w:marTop w:val="15"/>
              <w:marBottom w:val="0"/>
              <w:divBdr>
                <w:top w:val="none" w:sz="0" w:space="0" w:color="auto"/>
                <w:left w:val="none" w:sz="0" w:space="0" w:color="auto"/>
                <w:bottom w:val="none" w:sz="0" w:space="0" w:color="auto"/>
                <w:right w:val="none" w:sz="0" w:space="0" w:color="auto"/>
              </w:divBdr>
              <w:divsChild>
                <w:div w:id="1647928149">
                  <w:marLeft w:val="0"/>
                  <w:marRight w:val="0"/>
                  <w:marTop w:val="0"/>
                  <w:marBottom w:val="0"/>
                  <w:divBdr>
                    <w:top w:val="none" w:sz="0" w:space="0" w:color="auto"/>
                    <w:left w:val="none" w:sz="0" w:space="0" w:color="auto"/>
                    <w:bottom w:val="none" w:sz="0" w:space="0" w:color="auto"/>
                    <w:right w:val="none" w:sz="0" w:space="0" w:color="auto"/>
                  </w:divBdr>
                  <w:divsChild>
                    <w:div w:id="13381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9861">
          <w:marLeft w:val="0"/>
          <w:marRight w:val="0"/>
          <w:marTop w:val="0"/>
          <w:marBottom w:val="0"/>
          <w:divBdr>
            <w:top w:val="none" w:sz="0" w:space="0" w:color="auto"/>
            <w:left w:val="none" w:sz="0" w:space="0" w:color="auto"/>
            <w:bottom w:val="none" w:sz="0" w:space="0" w:color="auto"/>
            <w:right w:val="none" w:sz="0" w:space="0" w:color="auto"/>
          </w:divBdr>
          <w:divsChild>
            <w:div w:id="577711941">
              <w:marLeft w:val="0"/>
              <w:marRight w:val="0"/>
              <w:marTop w:val="0"/>
              <w:marBottom w:val="0"/>
              <w:divBdr>
                <w:top w:val="none" w:sz="0" w:space="0" w:color="auto"/>
                <w:left w:val="none" w:sz="0" w:space="0" w:color="auto"/>
                <w:bottom w:val="none" w:sz="0" w:space="0" w:color="auto"/>
                <w:right w:val="none" w:sz="0" w:space="0" w:color="auto"/>
              </w:divBdr>
              <w:divsChild>
                <w:div w:id="1588609490">
                  <w:marLeft w:val="0"/>
                  <w:marRight w:val="0"/>
                  <w:marTop w:val="0"/>
                  <w:marBottom w:val="0"/>
                  <w:divBdr>
                    <w:top w:val="none" w:sz="0" w:space="0" w:color="auto"/>
                    <w:left w:val="none" w:sz="0" w:space="0" w:color="auto"/>
                    <w:bottom w:val="none" w:sz="0" w:space="0" w:color="auto"/>
                    <w:right w:val="none" w:sz="0" w:space="0" w:color="auto"/>
                  </w:divBdr>
                  <w:divsChild>
                    <w:div w:id="345638851">
                      <w:marLeft w:val="0"/>
                      <w:marRight w:val="0"/>
                      <w:marTop w:val="0"/>
                      <w:marBottom w:val="0"/>
                      <w:divBdr>
                        <w:top w:val="none" w:sz="0" w:space="0" w:color="auto"/>
                        <w:left w:val="none" w:sz="0" w:space="0" w:color="auto"/>
                        <w:bottom w:val="none" w:sz="0" w:space="0" w:color="auto"/>
                        <w:right w:val="none" w:sz="0" w:space="0" w:color="auto"/>
                      </w:divBdr>
                      <w:divsChild>
                        <w:div w:id="254871366">
                          <w:marLeft w:val="0"/>
                          <w:marRight w:val="0"/>
                          <w:marTop w:val="0"/>
                          <w:marBottom w:val="0"/>
                          <w:divBdr>
                            <w:top w:val="none" w:sz="0" w:space="0" w:color="auto"/>
                            <w:left w:val="none" w:sz="0" w:space="0" w:color="auto"/>
                            <w:bottom w:val="none" w:sz="0" w:space="0" w:color="auto"/>
                            <w:right w:val="none" w:sz="0" w:space="0" w:color="auto"/>
                          </w:divBdr>
                          <w:divsChild>
                            <w:div w:id="2031562842">
                              <w:marLeft w:val="0"/>
                              <w:marRight w:val="0"/>
                              <w:marTop w:val="0"/>
                              <w:marBottom w:val="0"/>
                              <w:divBdr>
                                <w:top w:val="none" w:sz="0" w:space="0" w:color="auto"/>
                                <w:left w:val="none" w:sz="0" w:space="0" w:color="auto"/>
                                <w:bottom w:val="none" w:sz="0" w:space="0" w:color="auto"/>
                                <w:right w:val="single" w:sz="6" w:space="13" w:color="D8E1E5"/>
                              </w:divBdr>
                            </w:div>
                          </w:divsChild>
                        </w:div>
                      </w:divsChild>
                    </w:div>
                  </w:divsChild>
                </w:div>
              </w:divsChild>
            </w:div>
          </w:divsChild>
        </w:div>
      </w:divsChild>
    </w:div>
    <w:div w:id="20055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ha.gov/SLTC/hazardoustoxicsubstances/control.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6334</Words>
  <Characters>36108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Misra</dc:creator>
  <cp:keywords/>
  <dc:description/>
  <cp:lastModifiedBy>Microsoft account</cp:lastModifiedBy>
  <cp:revision>3</cp:revision>
  <dcterms:created xsi:type="dcterms:W3CDTF">2020-07-17T17:51:00Z</dcterms:created>
  <dcterms:modified xsi:type="dcterms:W3CDTF">2020-07-18T15:46:00Z</dcterms:modified>
</cp:coreProperties>
</file>