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D440" w14:textId="77777777" w:rsidR="0000220E" w:rsidRPr="00C30A34" w:rsidRDefault="0000220E" w:rsidP="00C30A34">
      <w:pPr>
        <w:pStyle w:val="ListParagraph"/>
        <w:widowControl/>
        <w:numPr>
          <w:ilvl w:val="0"/>
          <w:numId w:val="17"/>
        </w:numPr>
        <w:pBdr>
          <w:top w:val="nil"/>
          <w:left w:val="nil"/>
          <w:bottom w:val="nil"/>
          <w:right w:val="nil"/>
          <w:between w:val="nil"/>
        </w:pBdr>
        <w:autoSpaceDE/>
        <w:autoSpaceDN/>
        <w:adjustRightInd/>
        <w:rPr>
          <w:rFonts w:asciiTheme="minorHAnsi" w:hAnsiTheme="minorHAnsi" w:cstheme="minorHAnsi"/>
          <w:color w:val="auto"/>
        </w:rPr>
      </w:pPr>
      <w:r w:rsidRPr="00C30A34">
        <w:rPr>
          <w:rFonts w:asciiTheme="minorHAnsi" w:hAnsiTheme="minorHAnsi" w:cstheme="minorHAnsi"/>
          <w:b/>
          <w:color w:val="auto"/>
        </w:rPr>
        <w:t>Basic procedures for automating cell cultures and imaging</w:t>
      </w:r>
    </w:p>
    <w:p w14:paraId="7377FE5B" w14:textId="5B1F0372" w:rsidR="0000220E" w:rsidRPr="008E2658" w:rsidRDefault="0000220E" w:rsidP="0000220E">
      <w:pPr>
        <w:widowControl/>
        <w:autoSpaceDE/>
        <w:autoSpaceDN/>
        <w:adjustRightInd/>
        <w:rPr>
          <w:rFonts w:asciiTheme="minorHAnsi" w:eastAsia="Calibri" w:hAnsiTheme="minorHAnsi" w:cstheme="minorHAnsi"/>
          <w:b/>
          <w:color w:val="auto"/>
        </w:rPr>
      </w:pPr>
    </w:p>
    <w:p w14:paraId="5D65D015" w14:textId="77777777" w:rsidR="0000220E" w:rsidRPr="008E2658" w:rsidRDefault="0000220E" w:rsidP="00793AFE">
      <w:pPr>
        <w:widowControl/>
        <w:numPr>
          <w:ilvl w:val="0"/>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a measurement setting for the automated confocal microscope</w:t>
      </w:r>
    </w:p>
    <w:p w14:paraId="25ECAC8B"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03A40E17"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Open a new “Measurement setting” in the main view of the imaging software. Select the plate type used for imaging.</w:t>
      </w:r>
    </w:p>
    <w:p w14:paraId="47BD47A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373579E"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“Action list” tab and set the power for each laser. Click on “Add Channel” for each laser which is used in the experiment. Define the fluorophore, the objective, the light source, the fluorescence filter and the binning for each laser.</w:t>
      </w:r>
    </w:p>
    <w:p w14:paraId="3AF522D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9464ECC"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Add a new action by clicking on “3D Fluorescence Acquisition”. This allows to determine the z-stack for image acquisition and the exposure and gain. Select the first channel.</w:t>
      </w:r>
    </w:p>
    <w:p w14:paraId="4949C6E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E60106A"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Click on “Test” and select a z-stack by adjusting parameters for ascending and descending distance and the slicing interval. Additionally, set the exposure time to 200 </w:t>
      </w:r>
      <w:proofErr w:type="spellStart"/>
      <w:r w:rsidRPr="008E2658">
        <w:rPr>
          <w:rFonts w:asciiTheme="minorHAnsi" w:eastAsia="Calibri" w:hAnsiTheme="minorHAnsi" w:cstheme="minorHAnsi"/>
          <w:color w:val="auto"/>
        </w:rPr>
        <w:t>ms</w:t>
      </w:r>
      <w:proofErr w:type="spellEnd"/>
      <w:r w:rsidRPr="008E2658">
        <w:rPr>
          <w:rFonts w:asciiTheme="minorHAnsi" w:eastAsia="Calibri" w:hAnsiTheme="minorHAnsi" w:cstheme="minorHAnsi"/>
          <w:color w:val="auto"/>
        </w:rPr>
        <w:t xml:space="preserve"> and the gain to 50 to start with. Click on “Acquire image”.</w:t>
      </w:r>
    </w:p>
    <w:p w14:paraId="36628874"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19A36DF" w14:textId="0EB4056A" w:rsidR="0000220E" w:rsidRPr="005B1BF9" w:rsidRDefault="0000220E" w:rsidP="005B1BF9">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The automated confocal microscope takes images. Adjust the settings to appropriate values and re-test. Repeat this action for each channel used.</w:t>
      </w:r>
      <w:r w:rsidR="005B1BF9">
        <w:rPr>
          <w:rFonts w:asciiTheme="minorHAnsi" w:eastAsia="Calibri" w:hAnsiTheme="minorHAnsi" w:cstheme="minorHAnsi"/>
          <w:color w:val="auto"/>
        </w:rPr>
        <w:t xml:space="preserve"> </w:t>
      </w:r>
      <w:r w:rsidRPr="005B1BF9">
        <w:rPr>
          <w:rFonts w:asciiTheme="minorHAnsi" w:eastAsia="Calibri" w:hAnsiTheme="minorHAnsi" w:cstheme="minorHAnsi"/>
          <w:color w:val="auto"/>
        </w:rPr>
        <w:t>After successfully setting the imaging parameters, set image processing to “Maximum”. Maximum projection creates a single plane image depicting only the maximum signal obtained for a certain pixel in all acquired z-planes.</w:t>
      </w:r>
    </w:p>
    <w:p w14:paraId="6437D30A"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CA81228"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“Well Plate Scan Setting” tab and determine the position and number of fields which are imaged per well.</w:t>
      </w:r>
    </w:p>
    <w:p w14:paraId="66CD551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E46DF12"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Save the measurement settings using a unique name.</w:t>
      </w:r>
    </w:p>
    <w:p w14:paraId="2FE8B5D1" w14:textId="77777777" w:rsidR="009D6412" w:rsidRPr="008E2658" w:rsidRDefault="009D6412" w:rsidP="00793AFE">
      <w:pPr>
        <w:widowControl/>
        <w:autoSpaceDE/>
        <w:autoSpaceDN/>
        <w:adjustRightInd/>
        <w:rPr>
          <w:rFonts w:asciiTheme="minorHAnsi" w:eastAsia="Calibri" w:hAnsiTheme="minorHAnsi" w:cstheme="minorHAnsi"/>
          <w:color w:val="auto"/>
        </w:rPr>
      </w:pPr>
    </w:p>
    <w:p w14:paraId="0D93EB92" w14:textId="770948A8" w:rsidR="009D6412" w:rsidRPr="008E2658" w:rsidRDefault="009D6412" w:rsidP="005B1BF9">
      <w:pPr>
        <w:widowControl/>
        <w:numPr>
          <w:ilvl w:val="1"/>
          <w:numId w:val="16"/>
        </w:numPr>
        <w:autoSpaceDE/>
        <w:autoSpaceDN/>
        <w:adjustRightInd/>
        <w:rPr>
          <w:rFonts w:asciiTheme="minorHAnsi" w:hAnsiTheme="minorHAnsi" w:cstheme="minorHAnsi"/>
          <w:color w:val="auto"/>
        </w:rPr>
      </w:pPr>
      <w:r w:rsidRPr="008E2658">
        <w:rPr>
          <w:rFonts w:asciiTheme="minorHAnsi" w:hAnsiTheme="minorHAnsi" w:cstheme="minorHAnsi"/>
          <w:b/>
          <w:color w:val="auto"/>
        </w:rPr>
        <w:t>Semi-automated</w:t>
      </w:r>
      <w:r w:rsidR="00AE0465">
        <w:rPr>
          <w:rFonts w:asciiTheme="minorHAnsi" w:hAnsiTheme="minorHAnsi" w:cstheme="minorHAnsi"/>
          <w:b/>
          <w:color w:val="auto"/>
        </w:rPr>
        <w:t xml:space="preserve"> </w:t>
      </w:r>
      <w:r w:rsidR="00DB282F">
        <w:rPr>
          <w:rFonts w:asciiTheme="minorHAnsi" w:hAnsiTheme="minorHAnsi" w:cstheme="minorHAnsi"/>
          <w:b/>
          <w:color w:val="auto"/>
        </w:rPr>
        <w:t>high</w:t>
      </w:r>
      <w:r w:rsidR="00AE0465">
        <w:rPr>
          <w:rFonts w:asciiTheme="minorHAnsi" w:hAnsiTheme="minorHAnsi" w:cstheme="minorHAnsi"/>
          <w:b/>
          <w:color w:val="auto"/>
        </w:rPr>
        <w:t>-</w:t>
      </w:r>
      <w:r w:rsidR="00DB282F">
        <w:rPr>
          <w:rFonts w:asciiTheme="minorHAnsi" w:hAnsiTheme="minorHAnsi" w:cstheme="minorHAnsi"/>
          <w:b/>
          <w:color w:val="auto"/>
        </w:rPr>
        <w:t>content, high-</w:t>
      </w:r>
      <w:r w:rsidRPr="008E2658">
        <w:rPr>
          <w:rFonts w:asciiTheme="minorHAnsi" w:hAnsiTheme="minorHAnsi" w:cstheme="minorHAnsi"/>
          <w:b/>
          <w:color w:val="auto"/>
        </w:rPr>
        <w:t>throughput imaging</w:t>
      </w:r>
    </w:p>
    <w:p w14:paraId="7EC0EEF1" w14:textId="77777777" w:rsidR="009D6412" w:rsidRPr="008E2658" w:rsidRDefault="009D6412" w:rsidP="009D6412">
      <w:pPr>
        <w:widowControl/>
        <w:rPr>
          <w:rFonts w:asciiTheme="minorHAnsi" w:hAnsiTheme="minorHAnsi" w:cstheme="minorHAnsi"/>
          <w:b/>
          <w:color w:val="auto"/>
        </w:rPr>
      </w:pPr>
    </w:p>
    <w:p w14:paraId="4A9B8883" w14:textId="77777777" w:rsidR="009D6412" w:rsidRPr="008E2658" w:rsidRDefault="009D6412" w:rsidP="009D6412">
      <w:pPr>
        <w:widowControl/>
        <w:rPr>
          <w:rFonts w:asciiTheme="minorHAnsi" w:hAnsiTheme="minorHAnsi" w:cstheme="minorHAnsi"/>
          <w:color w:val="auto"/>
        </w:rPr>
      </w:pPr>
      <w:r w:rsidRPr="008E2658">
        <w:rPr>
          <w:rFonts w:asciiTheme="minorHAnsi" w:hAnsiTheme="minorHAnsi" w:cstheme="minorHAnsi"/>
          <w:color w:val="auto"/>
        </w:rPr>
        <w:t>NOTE: Single assay plates may be imaged semi-automatically while a larger number of plates are imaged using the automated imaging method.</w:t>
      </w:r>
    </w:p>
    <w:p w14:paraId="4BD0F842" w14:textId="77777777" w:rsidR="009D6412" w:rsidRPr="008E2658" w:rsidRDefault="009D6412" w:rsidP="009D6412">
      <w:pPr>
        <w:widowControl/>
        <w:rPr>
          <w:rFonts w:asciiTheme="minorHAnsi" w:hAnsiTheme="minorHAnsi" w:cstheme="minorHAnsi"/>
          <w:color w:val="auto"/>
        </w:rPr>
      </w:pPr>
    </w:p>
    <w:p w14:paraId="2AD0E0AF" w14:textId="46F639A4"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Switch on the automated confocal microscope and start the microscope controlling software. Set the temperature to 37 °C and 5% CO</w:t>
      </w:r>
      <w:r w:rsidRPr="008E2658">
        <w:rPr>
          <w:rFonts w:asciiTheme="minorHAnsi" w:hAnsiTheme="minorHAnsi" w:cstheme="minorHAnsi"/>
          <w:color w:val="auto"/>
          <w:vertAlign w:val="subscript"/>
        </w:rPr>
        <w:t>2</w:t>
      </w:r>
      <w:r w:rsidRPr="008E2658">
        <w:rPr>
          <w:rFonts w:asciiTheme="minorHAnsi" w:hAnsiTheme="minorHAnsi" w:cstheme="minorHAnsi"/>
          <w:color w:val="auto"/>
        </w:rPr>
        <w:t xml:space="preserve">, and turn on the </w:t>
      </w:r>
      <w:r w:rsidR="0079322F" w:rsidRPr="008E2658">
        <w:rPr>
          <w:rFonts w:asciiTheme="minorHAnsi" w:hAnsiTheme="minorHAnsi" w:cstheme="minorHAnsi"/>
          <w:color w:val="auto"/>
        </w:rPr>
        <w:t>stage incubator</w:t>
      </w:r>
      <w:r w:rsidRPr="008E2658">
        <w:rPr>
          <w:rFonts w:asciiTheme="minorHAnsi" w:hAnsiTheme="minorHAnsi" w:cstheme="minorHAnsi"/>
          <w:color w:val="auto"/>
        </w:rPr>
        <w:t xml:space="preserve"> of the live-cell chamber if needed in the device console of the reader control panel.</w:t>
      </w:r>
    </w:p>
    <w:p w14:paraId="2A4851D9" w14:textId="77777777" w:rsidR="009D6412" w:rsidRPr="008E2658" w:rsidRDefault="009D6412" w:rsidP="009D6412">
      <w:pPr>
        <w:widowControl/>
        <w:rPr>
          <w:rFonts w:asciiTheme="minorHAnsi" w:hAnsiTheme="minorHAnsi" w:cstheme="minorHAnsi"/>
          <w:color w:val="auto"/>
        </w:rPr>
      </w:pPr>
    </w:p>
    <w:p w14:paraId="3378B51E" w14:textId="2DD8B586"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HEPA hood by using the reso</w:t>
      </w:r>
      <w:r w:rsidR="00BF7CAF">
        <w:rPr>
          <w:rFonts w:asciiTheme="minorHAnsi" w:hAnsiTheme="minorHAnsi" w:cstheme="minorHAnsi"/>
          <w:color w:val="auto"/>
        </w:rPr>
        <w:t>urce/instrument process “RunHepa</w:t>
      </w:r>
      <w:r w:rsidRPr="008E2658">
        <w:rPr>
          <w:rFonts w:asciiTheme="minorHAnsi" w:hAnsiTheme="minorHAnsi" w:cstheme="minorHAnsi"/>
          <w:color w:val="auto"/>
        </w:rPr>
        <w:t>Hood” from the GUI and open the door in front of the robotic arm.</w:t>
      </w:r>
    </w:p>
    <w:p w14:paraId="38C91E16" w14:textId="77777777" w:rsidR="009D6412" w:rsidRPr="008E2658" w:rsidRDefault="009D6412" w:rsidP="009D6412">
      <w:pPr>
        <w:widowControl/>
        <w:rPr>
          <w:rFonts w:asciiTheme="minorHAnsi" w:hAnsiTheme="minorHAnsi" w:cstheme="minorHAnsi"/>
          <w:color w:val="auto"/>
        </w:rPr>
      </w:pPr>
    </w:p>
    <w:p w14:paraId="1693F1D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Wipe the bottom of the assay plate with 70% ethanol using a lint-free tissue and place the plate on the bottom position of the shelf. Make sure that the orientation of the plate is correct. Well A1 must point away from the robotic arm. Wipe the door with 70% ethanol for decontamination and close the door.</w:t>
      </w:r>
    </w:p>
    <w:p w14:paraId="44B148ED" w14:textId="77777777" w:rsidR="009D6412" w:rsidRPr="008E2658" w:rsidRDefault="009D6412" w:rsidP="009D6412">
      <w:pPr>
        <w:widowControl/>
        <w:rPr>
          <w:rFonts w:asciiTheme="minorHAnsi" w:hAnsiTheme="minorHAnsi" w:cstheme="minorHAnsi"/>
          <w:color w:val="auto"/>
        </w:rPr>
      </w:pPr>
    </w:p>
    <w:p w14:paraId="6047900D" w14:textId="26212B1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Open the stage of the automated confocal microscope by clicking on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in the device console of the reader control panel.</w:t>
      </w:r>
    </w:p>
    <w:p w14:paraId="346E2867" w14:textId="77777777" w:rsidR="009D6412" w:rsidRPr="008E2658" w:rsidRDefault="009D6412" w:rsidP="009D6412">
      <w:pPr>
        <w:widowControl/>
        <w:rPr>
          <w:rFonts w:asciiTheme="minorHAnsi" w:hAnsiTheme="minorHAnsi" w:cstheme="minorHAnsi"/>
          <w:color w:val="auto"/>
        </w:rPr>
      </w:pPr>
    </w:p>
    <w:p w14:paraId="0110BD8E" w14:textId="4A078E0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transportation process by selecting the “</w:t>
      </w:r>
      <w:proofErr w:type="spellStart"/>
      <w:r w:rsidRPr="008E2658">
        <w:rPr>
          <w:rFonts w:asciiTheme="minorHAnsi" w:hAnsiTheme="minorHAnsi" w:cstheme="minorHAnsi"/>
          <w:color w:val="auto"/>
        </w:rPr>
        <w:t>TransportOfAssayPlateFromShelfToYokogawa</w:t>
      </w:r>
      <w:proofErr w:type="spellEnd"/>
      <w:r w:rsidRPr="008E2658">
        <w:rPr>
          <w:rFonts w:asciiTheme="minorHAnsi" w:hAnsiTheme="minorHAnsi" w:cstheme="minorHAnsi"/>
          <w:color w:val="auto"/>
        </w:rPr>
        <w:t xml:space="preserve">” instrument process step and clicking on the </w:t>
      </w:r>
      <w:r w:rsidRPr="005B1BF9">
        <w:rPr>
          <w:rFonts w:asciiTheme="minorHAnsi" w:hAnsiTheme="minorHAnsi" w:cstheme="minorHAnsi"/>
          <w:bCs/>
          <w:color w:val="auto"/>
        </w:rPr>
        <w:t>Run Instrument process</w:t>
      </w:r>
      <w:r w:rsidRPr="005B1BF9">
        <w:rPr>
          <w:rFonts w:asciiTheme="minorHAnsi" w:hAnsiTheme="minorHAnsi" w:cstheme="minorHAnsi"/>
          <w:color w:val="auto"/>
        </w:rPr>
        <w:t xml:space="preserve"> </w:t>
      </w:r>
      <w:r w:rsidRPr="008E2658">
        <w:rPr>
          <w:rFonts w:asciiTheme="minorHAnsi" w:hAnsiTheme="minorHAnsi" w:cstheme="minorHAnsi"/>
          <w:color w:val="auto"/>
        </w:rPr>
        <w:t xml:space="preserve">button. Close the stage by clicking on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Cs/>
          <w:color w:val="auto"/>
        </w:rPr>
        <w:t>”</w:t>
      </w:r>
      <w:r w:rsidRPr="008E2658">
        <w:rPr>
          <w:rFonts w:asciiTheme="minorHAnsi" w:hAnsiTheme="minorHAnsi" w:cstheme="minorHAnsi"/>
          <w:color w:val="auto"/>
        </w:rPr>
        <w:t xml:space="preserve"> button of the microscope controlling software. The HEPA hood can now be initialized for standby mode.</w:t>
      </w:r>
    </w:p>
    <w:p w14:paraId="7A44A4A8" w14:textId="77777777" w:rsidR="009D6412" w:rsidRPr="008E2658" w:rsidRDefault="009D6412" w:rsidP="009D6412">
      <w:pPr>
        <w:widowControl/>
        <w:rPr>
          <w:rFonts w:asciiTheme="minorHAnsi" w:hAnsiTheme="minorHAnsi" w:cstheme="minorHAnsi"/>
          <w:color w:val="auto"/>
        </w:rPr>
      </w:pPr>
    </w:p>
    <w:p w14:paraId="366DCA74" w14:textId="38A97B8C"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Generate a measurement setting as described in </w:t>
      </w:r>
      <w:r w:rsidR="00EC7BCA" w:rsidRPr="008E2658">
        <w:rPr>
          <w:rFonts w:asciiTheme="minorHAnsi" w:hAnsiTheme="minorHAnsi" w:cstheme="minorHAnsi"/>
          <w:color w:val="auto"/>
        </w:rPr>
        <w:t>1.1</w:t>
      </w:r>
      <w:r w:rsidRPr="008E2658">
        <w:rPr>
          <w:rFonts w:asciiTheme="minorHAnsi" w:hAnsiTheme="minorHAnsi" w:cstheme="minorHAnsi"/>
          <w:color w:val="auto"/>
        </w:rPr>
        <w:t xml:space="preserve">. Click on </w:t>
      </w:r>
      <w:r w:rsidR="005B1BF9">
        <w:rPr>
          <w:rFonts w:asciiTheme="minorHAnsi" w:hAnsiTheme="minorHAnsi" w:cstheme="minorHAnsi"/>
          <w:color w:val="auto"/>
        </w:rPr>
        <w:t>“</w:t>
      </w:r>
      <w:r w:rsidR="005B1BF9">
        <w:rPr>
          <w:rFonts w:asciiTheme="minorHAnsi" w:hAnsiTheme="minorHAnsi" w:cstheme="minorHAnsi"/>
          <w:bCs/>
          <w:color w:val="auto"/>
        </w:rPr>
        <w:t>s</w:t>
      </w:r>
      <w:r w:rsidRPr="005B1BF9">
        <w:rPr>
          <w:rFonts w:asciiTheme="minorHAnsi" w:hAnsiTheme="minorHAnsi" w:cstheme="minorHAnsi"/>
          <w:bCs/>
          <w:color w:val="auto"/>
        </w:rPr>
        <w:t>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in the reader control window. Select the operator and the measurement setting, enter a measurement title and choose </w:t>
      </w:r>
      <w:r w:rsidR="005B1BF9">
        <w:rPr>
          <w:rFonts w:asciiTheme="minorHAnsi" w:hAnsiTheme="minorHAnsi" w:cstheme="minorHAnsi"/>
          <w:color w:val="auto"/>
        </w:rPr>
        <w:t>“</w:t>
      </w:r>
      <w:r w:rsidRPr="005B1BF9">
        <w:rPr>
          <w:rFonts w:asciiTheme="minorHAnsi" w:hAnsiTheme="minorHAnsi" w:cstheme="minorHAnsi"/>
          <w:bCs/>
          <w:color w:val="auto"/>
        </w:rPr>
        <w:t>Dark &amp; Shading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as well as </w:t>
      </w:r>
      <w:r w:rsidR="005B1BF9">
        <w:rPr>
          <w:rFonts w:asciiTheme="minorHAnsi" w:hAnsiTheme="minorHAnsi" w:cstheme="minorHAnsi"/>
          <w:color w:val="auto"/>
        </w:rPr>
        <w:t>“</w:t>
      </w:r>
      <w:r w:rsidRPr="005B1BF9">
        <w:rPr>
          <w:rFonts w:asciiTheme="minorHAnsi" w:hAnsiTheme="minorHAnsi" w:cstheme="minorHAnsi"/>
          <w:bCs/>
          <w:color w:val="auto"/>
        </w:rPr>
        <w:t>Geometric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for on-the-fly image correction.</w:t>
      </w:r>
    </w:p>
    <w:p w14:paraId="2CFC881A" w14:textId="77777777" w:rsidR="009D6412" w:rsidRPr="008E2658" w:rsidRDefault="009D6412" w:rsidP="009D6412">
      <w:pPr>
        <w:widowControl/>
        <w:rPr>
          <w:rFonts w:asciiTheme="minorHAnsi" w:hAnsiTheme="minorHAnsi" w:cstheme="minorHAnsi"/>
          <w:color w:val="auto"/>
        </w:rPr>
      </w:pPr>
    </w:p>
    <w:p w14:paraId="6EFE1D9E" w14:textId="6D35A299"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confirming the settings by clicking on </w:t>
      </w:r>
      <w:r w:rsidR="005B1BF9">
        <w:rPr>
          <w:rFonts w:asciiTheme="minorHAnsi" w:hAnsiTheme="minorHAnsi" w:cstheme="minorHAnsi"/>
          <w:color w:val="auto"/>
        </w:rPr>
        <w:t>“</w:t>
      </w:r>
      <w:r w:rsidRPr="005B1BF9">
        <w:rPr>
          <w:rFonts w:asciiTheme="minorHAnsi" w:hAnsiTheme="minorHAnsi" w:cstheme="minorHAnsi"/>
          <w:bCs/>
          <w:color w:val="auto"/>
        </w:rPr>
        <w:t>Start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a pop-up window asks whether the assay plate shall be unloaded. After clicking </w:t>
      </w:r>
      <w:r w:rsidR="005B1BF9">
        <w:rPr>
          <w:rFonts w:asciiTheme="minorHAnsi" w:hAnsiTheme="minorHAnsi" w:cstheme="minorHAnsi"/>
          <w:color w:val="auto"/>
        </w:rPr>
        <w:t>“</w:t>
      </w:r>
      <w:r w:rsidRPr="005B1BF9">
        <w:rPr>
          <w:rFonts w:asciiTheme="minorHAnsi" w:hAnsiTheme="minorHAnsi" w:cstheme="minorHAnsi"/>
          <w:bCs/>
          <w:color w:val="auto"/>
        </w:rPr>
        <w:t>No</w:t>
      </w:r>
      <w:r w:rsidR="005B1BF9">
        <w:rPr>
          <w:rFonts w:asciiTheme="minorHAnsi" w:hAnsiTheme="minorHAnsi" w:cstheme="minorHAnsi"/>
          <w:b/>
          <w:bCs/>
          <w:color w:val="auto"/>
        </w:rPr>
        <w:t>”</w:t>
      </w:r>
      <w:r w:rsidRPr="008E2658">
        <w:rPr>
          <w:rFonts w:asciiTheme="minorHAnsi" w:hAnsiTheme="minorHAnsi" w:cstheme="minorHAnsi"/>
          <w:color w:val="auto"/>
        </w:rPr>
        <w:t>, the imaging of the plate starts.</w:t>
      </w:r>
    </w:p>
    <w:p w14:paraId="25C31DE0" w14:textId="77777777" w:rsidR="009D6412" w:rsidRPr="008E2658" w:rsidRDefault="009D6412" w:rsidP="009D6412">
      <w:pPr>
        <w:widowControl/>
        <w:rPr>
          <w:rFonts w:asciiTheme="minorHAnsi" w:hAnsiTheme="minorHAnsi" w:cstheme="minorHAnsi"/>
          <w:color w:val="auto"/>
        </w:rPr>
      </w:pPr>
    </w:p>
    <w:p w14:paraId="495DEE5F" w14:textId="10D4DCA3"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finishing the imaging process, start the HEPA hood again, unload the plate using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button of the microscope controlling software and transport the plate back to the shelf using the “</w:t>
      </w:r>
      <w:proofErr w:type="spellStart"/>
      <w:r w:rsidRPr="008E2658">
        <w:rPr>
          <w:rFonts w:asciiTheme="minorHAnsi" w:hAnsiTheme="minorHAnsi" w:cstheme="minorHAnsi"/>
          <w:color w:val="auto"/>
        </w:rPr>
        <w:t>TransportOfAssayPlateFromYokogawaToShelf</w:t>
      </w:r>
      <w:proofErr w:type="spellEnd"/>
      <w:r w:rsidRPr="008E2658">
        <w:rPr>
          <w:rFonts w:asciiTheme="minorHAnsi" w:hAnsiTheme="minorHAnsi" w:cstheme="minorHAnsi"/>
          <w:color w:val="auto"/>
        </w:rPr>
        <w:t>” instrument process step.</w:t>
      </w:r>
    </w:p>
    <w:p w14:paraId="338E7DBE" w14:textId="77777777" w:rsidR="009D6412" w:rsidRPr="008E2658" w:rsidRDefault="009D6412" w:rsidP="009D6412">
      <w:pPr>
        <w:widowControl/>
        <w:rPr>
          <w:rFonts w:asciiTheme="minorHAnsi" w:hAnsiTheme="minorHAnsi" w:cstheme="minorHAnsi"/>
          <w:color w:val="auto"/>
        </w:rPr>
      </w:pPr>
    </w:p>
    <w:p w14:paraId="7C7AA39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Open the door to remove the plate, decontaminate and close the door and power down the HEPA hood. Switch off the microscope controlling software and the automated confocal microscope.</w:t>
      </w:r>
    </w:p>
    <w:p w14:paraId="07E288D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8A931F9" w14:textId="77777777" w:rsidR="0000220E" w:rsidRPr="008E2658" w:rsidRDefault="0000220E" w:rsidP="00847922">
      <w:pPr>
        <w:widowControl/>
        <w:numPr>
          <w:ilvl w:val="0"/>
          <w:numId w:val="15"/>
        </w:numPr>
        <w:pBdr>
          <w:top w:val="nil"/>
          <w:left w:val="nil"/>
          <w:bottom w:val="nil"/>
          <w:right w:val="nil"/>
          <w:between w:val="nil"/>
        </w:pBd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NGN2 stable cell line</w:t>
      </w:r>
    </w:p>
    <w:p w14:paraId="2DEECCF7" w14:textId="77777777" w:rsidR="0000220E" w:rsidRPr="008E2658" w:rsidRDefault="0000220E" w:rsidP="0000220E">
      <w:pPr>
        <w:widowControl/>
        <w:pBdr>
          <w:top w:val="nil"/>
          <w:left w:val="nil"/>
          <w:bottom w:val="nil"/>
          <w:right w:val="nil"/>
          <w:between w:val="nil"/>
        </w:pBdr>
        <w:autoSpaceDE/>
        <w:autoSpaceDN/>
        <w:adjustRightInd/>
        <w:rPr>
          <w:rFonts w:asciiTheme="minorHAnsi" w:eastAsia="Calibri" w:hAnsiTheme="minorHAnsi" w:cstheme="minorHAnsi"/>
          <w:b/>
          <w:color w:val="auto"/>
        </w:rPr>
      </w:pPr>
    </w:p>
    <w:p w14:paraId="3D39D95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Once hiPSC cultures have reached 70-80% confluency, treat the cells with 2 µM thiazovivin for 1 h.</w:t>
      </w:r>
    </w:p>
    <w:p w14:paraId="6F541F5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9426D86"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Passage hiPSC with single cell dissociation reagent for 20 min at 37 °C, dissociate into single cells, collect cells in a 15-mL tube and adjust the volume to 10 mL. Centrifuge at 300 </w:t>
      </w:r>
      <w:proofErr w:type="spellStart"/>
      <w:r w:rsidRPr="008E2658">
        <w:rPr>
          <w:rFonts w:asciiTheme="minorHAnsi" w:eastAsia="Calibri" w:hAnsiTheme="minorHAnsi" w:cstheme="minorHAnsi"/>
          <w:color w:val="auto"/>
        </w:rPr>
        <w:t>xg</w:t>
      </w:r>
      <w:proofErr w:type="spellEnd"/>
      <w:r w:rsidRPr="008E2658">
        <w:rPr>
          <w:rFonts w:asciiTheme="minorHAnsi" w:eastAsia="Calibri" w:hAnsiTheme="minorHAnsi" w:cstheme="minorHAnsi"/>
          <w:color w:val="auto"/>
        </w:rPr>
        <w:t xml:space="preserve"> for 3 min.</w:t>
      </w:r>
    </w:p>
    <w:p w14:paraId="5470745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92BEC18"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Resuspend cells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 and plate at 25-30,000 cells/cm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on extracellular matrix-coated plates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w:t>
      </w:r>
    </w:p>
    <w:p w14:paraId="250D414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88E955E"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Twenty-four hours after plating cells, perform medium change with iPSC culture medium containing 10 μg/mL protamine sulfate and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w:t>
      </w:r>
    </w:p>
    <w:p w14:paraId="6104F6B0"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67898F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bookmarkStart w:id="0" w:name="_gjdgxs" w:colFirst="0" w:colLast="0"/>
      <w:bookmarkEnd w:id="0"/>
      <w:r w:rsidRPr="008E2658">
        <w:rPr>
          <w:rFonts w:asciiTheme="minorHAnsi" w:eastAsia="Calibri" w:hAnsiTheme="minorHAnsi" w:cstheme="minorHAnsi"/>
          <w:color w:val="auto"/>
        </w:rPr>
        <w:t>After 1 h, add 1 volume of NGN2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61474) and 2 volumes of the rtTA3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61472) virus and incubate overnight at 37 °C. This corresponds to an MOI of 70 for NGN2.</w:t>
      </w:r>
    </w:p>
    <w:p w14:paraId="2B917CE6" w14:textId="77777777" w:rsidR="0000220E" w:rsidRPr="008E2658" w:rsidRDefault="0000220E" w:rsidP="0000220E">
      <w:pPr>
        <w:widowControl/>
        <w:autoSpaceDE/>
        <w:autoSpaceDN/>
        <w:adjustRightInd/>
        <w:rPr>
          <w:rFonts w:asciiTheme="minorHAnsi" w:eastAsia="Calibri" w:hAnsiTheme="minorHAnsi" w:cstheme="minorHAnsi"/>
          <w:color w:val="auto"/>
        </w:rPr>
      </w:pPr>
      <w:bookmarkStart w:id="1" w:name="_qa8z3sahasah" w:colFirst="0" w:colLast="0"/>
      <w:bookmarkEnd w:id="1"/>
    </w:p>
    <w:p w14:paraId="07714160"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 xml:space="preserve">NOTE: Currently, we use 30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NGN2, and 60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rtTA3 concentrated virus (~&gt; 10</w:t>
      </w:r>
      <w:r w:rsidRPr="008E2658">
        <w:rPr>
          <w:rFonts w:asciiTheme="minorHAnsi" w:eastAsia="Calibri" w:hAnsiTheme="minorHAnsi" w:cstheme="minorHAnsi"/>
          <w:color w:val="auto"/>
          <w:vertAlign w:val="superscript"/>
        </w:rPr>
        <w:t>7</w:t>
      </w:r>
      <w:r w:rsidRPr="008E2658">
        <w:rPr>
          <w:rFonts w:asciiTheme="minorHAnsi" w:eastAsia="Calibri" w:hAnsiTheme="minorHAnsi" w:cstheme="minorHAnsi"/>
          <w:color w:val="auto"/>
        </w:rPr>
        <w:t xml:space="preserve"> </w:t>
      </w:r>
      <w:r w:rsidRPr="008E2658">
        <w:rPr>
          <w:rFonts w:asciiTheme="minorHAnsi" w:eastAsia="Calibri" w:hAnsiTheme="minorHAnsi" w:cstheme="minorHAnsi"/>
          <w:color w:val="auto"/>
          <w:highlight w:val="white"/>
        </w:rPr>
        <w:t>TU/mL</w:t>
      </w:r>
      <w:r w:rsidRPr="008E2658">
        <w:rPr>
          <w:rFonts w:asciiTheme="minorHAnsi" w:eastAsia="Calibri" w:hAnsiTheme="minorHAnsi" w:cstheme="minorHAnsi"/>
          <w:color w:val="auto"/>
        </w:rPr>
        <w:t>) per well in a 12-well plate. Two volumes of rtTA3 are added because, in this case, there is no antibiotic selection option for the rtTA3 virus and we will be selecting cells with puromycin for NGN2 construct. Viral titers can differ from batch-to-batch, thus, the volume of virus used for making stable cell lines may need adjustment. Lentivirus production is not described in this study but the detailed protocol can be made available upon request.</w:t>
      </w:r>
    </w:p>
    <w:p w14:paraId="1EE5AD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C46BF10" w14:textId="619B594D"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2</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Repeat viral transduction as described in 2.5.</w:t>
      </w:r>
    </w:p>
    <w:p w14:paraId="711CCA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89A8D4C"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Culture cells for another 1-2 days. By this time, cells are ready for passaging. One well of a 12-well plate can be </w:t>
      </w:r>
      <w:proofErr w:type="spellStart"/>
      <w:r w:rsidRPr="008E2658">
        <w:rPr>
          <w:rFonts w:asciiTheme="minorHAnsi" w:eastAsia="Calibri" w:hAnsiTheme="minorHAnsi" w:cstheme="minorHAnsi"/>
          <w:color w:val="auto"/>
        </w:rPr>
        <w:t>replated</w:t>
      </w:r>
      <w:proofErr w:type="spellEnd"/>
      <w:r w:rsidRPr="008E2658">
        <w:rPr>
          <w:rFonts w:asciiTheme="minorHAnsi" w:eastAsia="Calibri" w:hAnsiTheme="minorHAnsi" w:cstheme="minorHAnsi"/>
          <w:color w:val="auto"/>
        </w:rPr>
        <w:t xml:space="preserve"> into 4-6 wells of a 6-well plate.</w:t>
      </w:r>
    </w:p>
    <w:p w14:paraId="5C2B9851"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F7F3112"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24 h after replating, select positively transduced cells for NGN2 with 0.5 μg/mL puromycin for 1 passage.</w:t>
      </w:r>
    </w:p>
    <w:p w14:paraId="1D8A4A9F"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5D5D6963"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Freeze cell backups already at first passage. By this time, one well of a 12-well plate can yield ~ 48 wells of 6-well plates (after two rounds of passaging using a 1:12 split ratio). The yield of one fully confluent hiPSC plate (6-well format after 5-6 days in culture) can give 6-8 million cells ready for differentiation. Freeze cells from 1-well of a 6-well plate in 2 cryovials. Use the knockout serum replacement (90%) + DMSO (10%) as a freezing medium supplemented with 2 µM thiazovivin.</w:t>
      </w:r>
    </w:p>
    <w:p w14:paraId="63A0DA9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CEE0A8D" w14:textId="77777777" w:rsidR="0000220E" w:rsidRPr="008E2658" w:rsidRDefault="0000220E" w:rsidP="00C65AE9">
      <w:pPr>
        <w:widowControl/>
        <w:numPr>
          <w:ilvl w:val="0"/>
          <w:numId w:val="1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Quantitative real-time polymerase chain reaction (qRT-PCR)</w:t>
      </w:r>
    </w:p>
    <w:p w14:paraId="43179232"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A50733C" w14:textId="77777777" w:rsidR="0000220E" w:rsidRPr="008E2658" w:rsidRDefault="0000220E" w:rsidP="00C65AE9">
      <w:pPr>
        <w:widowControl/>
        <w:numPr>
          <w:ilvl w:val="1"/>
          <w:numId w:val="10"/>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RNA isolation</w:t>
      </w:r>
    </w:p>
    <w:p w14:paraId="7B61B449"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6E4E5F82" w14:textId="1A6DD3FD"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Isolate RNA from hiPSC and differentiated neurons by lysing cells with RNA lysis buffer reagent.</w:t>
      </w:r>
    </w:p>
    <w:p w14:paraId="4FB2FC5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0871755" w14:textId="5066349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Treat lysates with DNase, purify and elute total RNA and proceed with clean on columns (optional RNA isolation kit). Analyze RNA integrity (RIN).</w:t>
      </w:r>
    </w:p>
    <w:p w14:paraId="7996D22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09C7F7" w14:textId="77777777" w:rsidR="0000220E" w:rsidRPr="008E2658" w:rsidRDefault="0000220E" w:rsidP="00847922">
      <w:pPr>
        <w:widowControl/>
        <w:numPr>
          <w:ilvl w:val="1"/>
          <w:numId w:val="13"/>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cDNA synthesis and qRT-PCR</w:t>
      </w:r>
    </w:p>
    <w:p w14:paraId="54490A73"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122AEB4"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Perform reverse transcription reaction with oligo </w:t>
      </w:r>
      <w:proofErr w:type="spellStart"/>
      <w:r w:rsidRPr="008E2658">
        <w:rPr>
          <w:rFonts w:asciiTheme="minorHAnsi" w:eastAsia="Calibri" w:hAnsiTheme="minorHAnsi" w:cstheme="minorHAnsi"/>
          <w:color w:val="auto"/>
        </w:rPr>
        <w:t>dT</w:t>
      </w:r>
      <w:proofErr w:type="spellEnd"/>
      <w:r w:rsidRPr="008E2658">
        <w:rPr>
          <w:rFonts w:asciiTheme="minorHAnsi" w:eastAsia="Calibri" w:hAnsiTheme="minorHAnsi" w:cstheme="minorHAnsi"/>
          <w:color w:val="auto"/>
        </w:rPr>
        <w:t xml:space="preserve"> primers, random </w:t>
      </w:r>
      <w:proofErr w:type="spellStart"/>
      <w:r w:rsidRPr="008E2658">
        <w:rPr>
          <w:rFonts w:asciiTheme="minorHAnsi" w:eastAsia="Calibri" w:hAnsiTheme="minorHAnsi" w:cstheme="minorHAnsi"/>
          <w:color w:val="auto"/>
        </w:rPr>
        <w:t>decamers</w:t>
      </w:r>
      <w:proofErr w:type="spellEnd"/>
      <w:r w:rsidRPr="008E2658">
        <w:rPr>
          <w:rFonts w:asciiTheme="minorHAnsi" w:eastAsia="Calibri" w:hAnsiTheme="minorHAnsi" w:cstheme="minorHAnsi"/>
          <w:color w:val="auto"/>
        </w:rPr>
        <w:t xml:space="preserve"> and reverse transcriptase enzyme using 1 µg of RNA from each sample.</w:t>
      </w:r>
    </w:p>
    <w:p w14:paraId="7A94E97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3DCD24F1" w14:textId="72AFEA05"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Mix the cDNA with 5 µL SYBR Green master mix, 10 µM forward/reverse primer mix and nuclease-free water using electronic -pipettes in a total volume of 10 µL.</w:t>
      </w:r>
    </w:p>
    <w:p w14:paraId="020EF9B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38E6B86" w14:textId="0A944ECB"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Run samples on </w:t>
      </w:r>
      <w:r w:rsidR="0079322F" w:rsidRPr="008E2658">
        <w:rPr>
          <w:rFonts w:asciiTheme="minorHAnsi" w:eastAsia="Calibri" w:hAnsiTheme="minorHAnsi" w:cstheme="minorHAnsi"/>
          <w:color w:val="auto"/>
        </w:rPr>
        <w:t>Real-time PCR machine</w:t>
      </w:r>
      <w:r w:rsidR="00205B01">
        <w:rPr>
          <w:rFonts w:asciiTheme="minorHAnsi" w:eastAsia="Calibri" w:hAnsiTheme="minorHAnsi" w:cstheme="minorHAnsi"/>
          <w:color w:val="auto"/>
        </w:rPr>
        <w:t xml:space="preserve"> </w:t>
      </w:r>
      <w:r w:rsidRPr="008E2658">
        <w:rPr>
          <w:rFonts w:asciiTheme="minorHAnsi" w:eastAsia="Calibri" w:hAnsiTheme="minorHAnsi" w:cstheme="minorHAnsi"/>
          <w:color w:val="auto"/>
        </w:rPr>
        <w:t>using a 40x cycle two-step protocol with 15 s denaturation step at 95°C and 1 min annealing and elongation step at 60°C.</w:t>
      </w:r>
    </w:p>
    <w:p w14:paraId="59BFB43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70BBB4"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Primers were designed for the present study using NCBI primer blast or Primer bank</w:t>
      </w:r>
      <w:hyperlink r:id="rId5">
        <w:r w:rsidRPr="008E2658">
          <w:rPr>
            <w:rFonts w:asciiTheme="minorHAnsi" w:eastAsia="Calibri" w:hAnsiTheme="minorHAnsi" w:cstheme="minorHAnsi"/>
            <w:color w:val="auto"/>
            <w:vertAlign w:val="superscript"/>
          </w:rPr>
          <w:t>17, 18</w:t>
        </w:r>
      </w:hyperlink>
      <w:r w:rsidRPr="008E2658">
        <w:rPr>
          <w:rFonts w:asciiTheme="minorHAnsi" w:eastAsia="Calibri" w:hAnsiTheme="minorHAnsi" w:cstheme="minorHAnsi"/>
          <w:color w:val="auto"/>
        </w:rPr>
        <w:t>.</w:t>
      </w:r>
    </w:p>
    <w:p w14:paraId="41DDC48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3CA3F18" w14:textId="77777777" w:rsidR="0000220E" w:rsidRPr="008E2658" w:rsidRDefault="0000220E" w:rsidP="00847922">
      <w:pPr>
        <w:widowControl/>
        <w:numPr>
          <w:ilvl w:val="1"/>
          <w:numId w:val="14"/>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Data analysis</w:t>
      </w:r>
    </w:p>
    <w:p w14:paraId="30E36ECF"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201ED50A"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Analyze data with cloud based qPCR app to yield relative quantification for each gene, and normalized data to the housekeeping genes. The relative gene expression was normalized to the housekeeping genes.</w:t>
      </w:r>
    </w:p>
    <w:p w14:paraId="2514687B"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1AF8F540" w14:textId="77777777" w:rsidR="00C65AE9" w:rsidRPr="008E2658" w:rsidRDefault="00C65AE9" w:rsidP="00C65AE9">
      <w:pPr>
        <w:widowControl/>
        <w:numPr>
          <w:ilvl w:val="0"/>
          <w:numId w:val="9"/>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Immunostaining protocol</w:t>
      </w:r>
    </w:p>
    <w:p w14:paraId="5BE5656D" w14:textId="77777777" w:rsidR="00C65AE9" w:rsidRPr="008E2658" w:rsidRDefault="00C65AE9" w:rsidP="00C65AE9">
      <w:pPr>
        <w:widowControl/>
        <w:autoSpaceDE/>
        <w:autoSpaceDN/>
        <w:adjustRightInd/>
        <w:rPr>
          <w:rFonts w:asciiTheme="minorHAnsi" w:eastAsia="Calibri" w:hAnsiTheme="minorHAnsi" w:cstheme="minorHAnsi"/>
          <w:b/>
          <w:color w:val="auto"/>
        </w:rPr>
      </w:pPr>
    </w:p>
    <w:p w14:paraId="0A70E3E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Prepare a fresh solution of 4% paraformaldehyde (PFA) in PBS.</w:t>
      </w:r>
    </w:p>
    <w:p w14:paraId="27E3346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25E7BC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Fix cells with 4% PFA/PBS for 20 min at room temperature (RT).</w:t>
      </w:r>
    </w:p>
    <w:p w14:paraId="0DBF871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07AF4D1D"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6B2E0263"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F1E7A49"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Incubate cells with blocking solution for 1 h at RT.</w:t>
      </w:r>
    </w:p>
    <w:p w14:paraId="2F463922"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340A956F" w14:textId="77777777" w:rsidR="00C65AE9" w:rsidRPr="008E2658" w:rsidRDefault="00C65AE9" w:rsidP="00C65AE9">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w:t>
      </w:r>
      <w:r w:rsidRPr="008E2658">
        <w:rPr>
          <w:rFonts w:asciiTheme="minorHAnsi" w:eastAsia="Calibri" w:hAnsiTheme="minorHAnsi" w:cstheme="minorHAnsi"/>
          <w:b/>
          <w:color w:val="auto"/>
        </w:rPr>
        <w:t xml:space="preserve"> </w:t>
      </w:r>
      <w:r w:rsidRPr="008E2658">
        <w:rPr>
          <w:rFonts w:asciiTheme="minorHAnsi" w:eastAsia="Calibri" w:hAnsiTheme="minorHAnsi" w:cstheme="minorHAnsi"/>
          <w:color w:val="auto"/>
        </w:rPr>
        <w:t>Use the following freshly made blocking solution: 5% goat serum/0.1% Triton-X100 in PBS. Triton should be omitted for cell surface antibody staining.</w:t>
      </w:r>
    </w:p>
    <w:p w14:paraId="15139320"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AFFF74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Remove blocking solution, add the primary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Incubate cells overnight at 4°C.</w:t>
      </w:r>
    </w:p>
    <w:p w14:paraId="38BD8781"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A042240"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primary antibody and wash cells three times (5 min each) with PBS at RT.</w:t>
      </w:r>
    </w:p>
    <w:p w14:paraId="6BA2C88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EF4476C"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Add the secondary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and incubate cells for 2 h at RT. Prepare negative controls by omitting the primary antibody.</w:t>
      </w:r>
    </w:p>
    <w:p w14:paraId="5C64ECA6"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6D7842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secondary antibody and add Hoechst (nuclear counterstaining) for 10 min at RT. Alternatively, mount cells with DAPI.</w:t>
      </w:r>
    </w:p>
    <w:p w14:paraId="34F5C2E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343FA7A"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71ED083D"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6FC595C5" w14:textId="473D85C3" w:rsidR="00915656" w:rsidRPr="00847922" w:rsidRDefault="00C65AE9" w:rsidP="00915656">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Keep cells in PBS and image plates immediately or store plates at 4°C for imaging at a later time point.</w:t>
      </w:r>
    </w:p>
    <w:p w14:paraId="64E5B3AB" w14:textId="77777777" w:rsidR="00C65AE9" w:rsidRPr="008E2658" w:rsidRDefault="00C65AE9" w:rsidP="00915656">
      <w:pPr>
        <w:widowControl/>
        <w:autoSpaceDE/>
        <w:autoSpaceDN/>
        <w:adjustRightInd/>
        <w:rPr>
          <w:rFonts w:asciiTheme="minorHAnsi" w:eastAsia="Calibri" w:hAnsiTheme="minorHAnsi" w:cstheme="minorHAnsi"/>
          <w:color w:val="auto"/>
        </w:rPr>
      </w:pPr>
    </w:p>
    <w:p w14:paraId="2F3444D3" w14:textId="77777777" w:rsidR="0011378D" w:rsidRPr="008E2658" w:rsidRDefault="0011378D" w:rsidP="0011378D">
      <w:pPr>
        <w:pStyle w:val="ListParagraph"/>
        <w:widowControl/>
        <w:numPr>
          <w:ilvl w:val="0"/>
          <w:numId w:val="5"/>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smNPC generation from iPS cells.</w:t>
      </w:r>
    </w:p>
    <w:p w14:paraId="034114D1" w14:textId="77777777" w:rsidR="0011378D" w:rsidRPr="008E2658" w:rsidRDefault="0011378D" w:rsidP="0011378D">
      <w:pPr>
        <w:widowControl/>
        <w:autoSpaceDE/>
        <w:autoSpaceDN/>
        <w:adjustRightInd/>
        <w:rPr>
          <w:rFonts w:asciiTheme="minorHAnsi" w:eastAsia="Calibri" w:hAnsiTheme="minorHAnsi" w:cstheme="minorHAnsi"/>
          <w:b/>
          <w:color w:val="auto"/>
        </w:rPr>
      </w:pPr>
    </w:p>
    <w:p w14:paraId="72C8584F"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Grow iPS cells for 5 days in a 6-well plate format so that the cultures are not overgrown. This is referred to as day 0 of smNPC derivation.</w:t>
      </w:r>
    </w:p>
    <w:p w14:paraId="0AF0CC5C"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2DCA0FD" w14:textId="063E613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0, wash iPS cells with PBS and treat with 1 mL of the dissociation reagent (0.5 mM EDTA). Incubate at room temperature for 8 min. After eight minutes, the EDTA solution is aspirated and </w:t>
      </w:r>
      <w:r w:rsidRPr="008E2658">
        <w:rPr>
          <w:rFonts w:asciiTheme="minorHAnsi" w:eastAsia="Calibri" w:hAnsiTheme="minorHAnsi" w:cstheme="minorHAnsi"/>
          <w:color w:val="auto"/>
        </w:rPr>
        <w:lastRenderedPageBreak/>
        <w:t>discarded and 1 mL of the SRM</w:t>
      </w:r>
      <w:r w:rsidR="00CE3494">
        <w:rPr>
          <w:rFonts w:asciiTheme="minorHAnsi" w:eastAsia="Calibri" w:hAnsiTheme="minorHAnsi" w:cstheme="minorHAnsi"/>
          <w:color w:val="auto"/>
        </w:rPr>
        <w:t xml:space="preserve"> medium</w:t>
      </w:r>
      <w:r w:rsidRPr="008E2658">
        <w:rPr>
          <w:rFonts w:asciiTheme="minorHAnsi" w:eastAsia="Calibri" w:hAnsiTheme="minorHAnsi" w:cstheme="minorHAnsi"/>
          <w:color w:val="auto"/>
        </w:rPr>
        <w:t xml:space="preserve"> is added, and gently pipette up and down 3 times to dislodge the colonies.</w:t>
      </w:r>
    </w:p>
    <w:p w14:paraId="7518F342"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93913A6" w14:textId="0429837E"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Adjust the </w:t>
      </w:r>
      <w:r w:rsidR="006405AD">
        <w:rPr>
          <w:rFonts w:asciiTheme="minorHAnsi" w:eastAsia="Calibri" w:hAnsiTheme="minorHAnsi" w:cstheme="minorHAnsi"/>
          <w:color w:val="auto"/>
        </w:rPr>
        <w:t xml:space="preserve">medium </w:t>
      </w:r>
      <w:r w:rsidRPr="008E2658">
        <w:rPr>
          <w:rFonts w:asciiTheme="minorHAnsi" w:eastAsia="Calibri" w:hAnsiTheme="minorHAnsi" w:cstheme="minorHAnsi"/>
          <w:color w:val="auto"/>
        </w:rPr>
        <w:t xml:space="preserve">volume to 6 mL and supplement with 1 µM Dorsomorphin (Do), 10 µM SB431542, 3 µM CHIR99021 (CHIR), 0.5 µM </w:t>
      </w:r>
      <w:proofErr w:type="spellStart"/>
      <w:r w:rsidRPr="008E2658">
        <w:rPr>
          <w:rFonts w:asciiTheme="minorHAnsi" w:eastAsia="Calibri" w:hAnsiTheme="minorHAnsi" w:cstheme="minorHAnsi"/>
          <w:color w:val="auto"/>
        </w:rPr>
        <w:t>Purmorphamine</w:t>
      </w:r>
      <w:proofErr w:type="spellEnd"/>
      <w:r w:rsidRPr="008E2658">
        <w:rPr>
          <w:rFonts w:asciiTheme="minorHAnsi" w:eastAsia="Calibri" w:hAnsiTheme="minorHAnsi" w:cstheme="minorHAnsi"/>
          <w:color w:val="auto"/>
        </w:rPr>
        <w:t xml:space="preserve"> (PMA) and 2 µM thiazovivin. Distribute cells into 2 wells of a suspension plate in a 6-well plate format with 3 mL per well. No steps are required for day 1.</w:t>
      </w:r>
    </w:p>
    <w:p w14:paraId="7DB3BE10"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8F6831" w14:textId="20C0F075"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2, cells start to form </w:t>
      </w:r>
      <w:proofErr w:type="spellStart"/>
      <w:r w:rsidRPr="008E2658">
        <w:rPr>
          <w:rFonts w:asciiTheme="minorHAnsi" w:eastAsia="Calibri" w:hAnsiTheme="minorHAnsi" w:cstheme="minorHAnsi"/>
          <w:color w:val="auto"/>
        </w:rPr>
        <w:t>embryoid</w:t>
      </w:r>
      <w:proofErr w:type="spellEnd"/>
      <w:r w:rsidRPr="008E2658">
        <w:rPr>
          <w:rFonts w:asciiTheme="minorHAnsi" w:eastAsia="Calibri" w:hAnsiTheme="minorHAnsi" w:cstheme="minorHAnsi"/>
          <w:color w:val="auto"/>
        </w:rPr>
        <w:t xml:space="preserve"> bodies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in suspension. Gently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using 5 mL serological pipette in a 15-mL tube and let them settle down by gravity for 7 min. Aspirate 7.5 mL, leaving less than 500 µL in order not to remove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Gently, resuspend the eb in a fresh </w:t>
      </w:r>
      <w:r w:rsidR="00C132EC">
        <w:t>NGN2 medium</w:t>
      </w:r>
      <w:r w:rsidR="00C132EC" w:rsidRPr="008E2658">
        <w:rPr>
          <w:rFonts w:asciiTheme="minorHAnsi" w:eastAsia="Calibri" w:hAnsiTheme="minorHAnsi" w:cstheme="minorHAnsi"/>
          <w:color w:val="auto"/>
        </w:rPr>
        <w:t xml:space="preserve"> </w:t>
      </w:r>
      <w:r w:rsidRPr="008E2658">
        <w:rPr>
          <w:rFonts w:asciiTheme="minorHAnsi" w:eastAsia="Calibri" w:hAnsiTheme="minorHAnsi" w:cstheme="minorHAnsi"/>
          <w:color w:val="auto"/>
        </w:rPr>
        <w:t>supplemented with 1 µM Do, 10 µM SB, 3 µM CHIR, 0.5 µM PMA. No action is needed for day 3.</w:t>
      </w:r>
    </w:p>
    <w:p w14:paraId="5F9D0DB8"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72437AB" w14:textId="7B3C82DD"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4, repeat the step 5 and refresh the </w:t>
      </w:r>
      <w:r w:rsidR="00C132EC">
        <w:t>NGN2 medium</w:t>
      </w:r>
      <w:r w:rsidRPr="008E2658">
        <w:rPr>
          <w:rFonts w:asciiTheme="minorHAnsi" w:eastAsia="Calibri" w:hAnsiTheme="minorHAnsi" w:cstheme="minorHAnsi"/>
          <w:color w:val="auto"/>
        </w:rPr>
        <w:t xml:space="preserve"> supplemented with 3 µM CHIR, 0.5 µM PMA and 64 µg/mL L-ascorbic acid-2-phosphate magnesium (AA2). No action is needed on day 5.</w:t>
      </w:r>
      <w:bookmarkStart w:id="2" w:name="_GoBack"/>
      <w:bookmarkEnd w:id="2"/>
    </w:p>
    <w:p w14:paraId="33785D35"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B9C9C09"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6, coat the adherent culture plate with an extracellular matrix for 2 h.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as in S5.5. Triturate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by pipetting 10 times using a 10 mL serological pipette and plate them onto coated plates. Distribute cells from one wells into 3 wells for adherent culture.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will attach to the culture plate and may show signs of neural tube like formations. No action is needed for day 7.</w:t>
      </w:r>
    </w:p>
    <w:p w14:paraId="321AE0AF"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C2A6421" w14:textId="246C9926"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8, gently, refresh the </w:t>
      </w:r>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r w:rsidRPr="008E2658">
        <w:rPr>
          <w:rFonts w:asciiTheme="minorHAnsi" w:eastAsia="Calibri" w:hAnsiTheme="minorHAnsi" w:cstheme="minorHAnsi"/>
          <w:color w:val="auto"/>
        </w:rPr>
        <w:t>3 µM CHIR, 0.5 µM PMA and 64 µg/mL AA2. No action</w:t>
      </w:r>
      <w:r w:rsidR="007B505A">
        <w:rPr>
          <w:rFonts w:asciiTheme="minorHAnsi" w:eastAsia="Calibri" w:hAnsiTheme="minorHAnsi" w:cstheme="minorHAnsi"/>
          <w:color w:val="auto"/>
        </w:rPr>
        <w:t xml:space="preserve"> is</w:t>
      </w:r>
      <w:r w:rsidRPr="008E2658">
        <w:rPr>
          <w:rFonts w:asciiTheme="minorHAnsi" w:eastAsia="Calibri" w:hAnsiTheme="minorHAnsi" w:cstheme="minorHAnsi"/>
          <w:color w:val="auto"/>
        </w:rPr>
        <w:t xml:space="preserve"> needed for day 9.</w:t>
      </w:r>
    </w:p>
    <w:p w14:paraId="11501591"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8580B68" w14:textId="6412A620"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10, gently, refresh the </w:t>
      </w:r>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r w:rsidRPr="008E2658">
        <w:rPr>
          <w:rFonts w:asciiTheme="minorHAnsi" w:eastAsia="Calibri" w:hAnsiTheme="minorHAnsi" w:cstheme="minorHAnsi"/>
          <w:color w:val="auto"/>
        </w:rPr>
        <w:t>3 µM CHIR, 0.5 µM PMA and 64 µg/mL AA2. No action is needed for day 11.</w:t>
      </w:r>
    </w:p>
    <w:p w14:paraId="74BA634E"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D808EF7" w14:textId="449DE88A"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12, coat adherent culture plates with extracellul</w:t>
      </w:r>
      <w:r w:rsidR="0070670D">
        <w:rPr>
          <w:rFonts w:asciiTheme="minorHAnsi" w:eastAsia="Calibri" w:hAnsiTheme="minorHAnsi" w:cstheme="minorHAnsi"/>
          <w:color w:val="auto"/>
        </w:rPr>
        <w:t>ar matrix</w:t>
      </w:r>
      <w:r w:rsidR="005051B7">
        <w:rPr>
          <w:rFonts w:asciiTheme="minorHAnsi" w:eastAsia="Calibri" w:hAnsiTheme="minorHAnsi" w:cstheme="minorHAnsi"/>
          <w:color w:val="auto"/>
        </w:rPr>
        <w:t>,</w:t>
      </w:r>
      <w:r w:rsidR="0070670D">
        <w:rPr>
          <w:rFonts w:asciiTheme="minorHAnsi" w:eastAsia="Calibri" w:hAnsiTheme="minorHAnsi" w:cstheme="minorHAnsi"/>
          <w:color w:val="auto"/>
        </w:rPr>
        <w:t xml:space="preserve"> treat the cells with s</w:t>
      </w:r>
      <w:r w:rsidRPr="008E2658">
        <w:rPr>
          <w:rFonts w:asciiTheme="minorHAnsi" w:eastAsia="Calibri" w:hAnsiTheme="minorHAnsi" w:cstheme="minorHAnsi"/>
          <w:color w:val="auto"/>
        </w:rPr>
        <w:t>ingle cell dissociation re</w:t>
      </w:r>
      <w:r w:rsidR="0070670D">
        <w:rPr>
          <w:rFonts w:asciiTheme="minorHAnsi" w:eastAsia="Calibri" w:hAnsiTheme="minorHAnsi" w:cstheme="minorHAnsi"/>
          <w:color w:val="auto"/>
        </w:rPr>
        <w:t xml:space="preserve">agent </w:t>
      </w:r>
      <w:r w:rsidR="000D3DC7">
        <w:rPr>
          <w:rFonts w:asciiTheme="minorHAnsi" w:eastAsia="Calibri" w:hAnsiTheme="minorHAnsi" w:cstheme="minorHAnsi"/>
          <w:color w:val="auto"/>
        </w:rPr>
        <w:t xml:space="preserve">as described before in </w:t>
      </w:r>
      <w:r w:rsidR="0070670D">
        <w:rPr>
          <w:rFonts w:asciiTheme="minorHAnsi" w:eastAsia="Calibri" w:hAnsiTheme="minorHAnsi" w:cstheme="minorHAnsi"/>
          <w:color w:val="auto"/>
        </w:rPr>
        <w:t>2.4.4</w:t>
      </w:r>
      <w:r w:rsidR="000D3DC7">
        <w:rPr>
          <w:rFonts w:asciiTheme="minorHAnsi" w:eastAsia="Calibri" w:hAnsiTheme="minorHAnsi" w:cstheme="minorHAnsi"/>
          <w:color w:val="auto"/>
        </w:rPr>
        <w:t xml:space="preserve"> note</w:t>
      </w:r>
      <w:r w:rsidRPr="008E2658">
        <w:rPr>
          <w:rFonts w:asciiTheme="minorHAnsi" w:eastAsia="Calibri" w:hAnsiTheme="minorHAnsi" w:cstheme="minorHAnsi"/>
          <w:color w:val="auto"/>
        </w:rPr>
        <w:t xml:space="preserve">. Plate cells in the </w:t>
      </w:r>
      <w:r w:rsidR="00C132EC">
        <w:t>NGN2 medium</w:t>
      </w:r>
      <w:r w:rsidR="00C132EC" w:rsidRPr="008E2658">
        <w:rPr>
          <w:rFonts w:asciiTheme="minorHAnsi" w:eastAsia="Calibri" w:hAnsiTheme="minorHAnsi" w:cstheme="minorHAnsi"/>
          <w:color w:val="auto"/>
        </w:rPr>
        <w:t xml:space="preserve"> supplemented with</w:t>
      </w:r>
      <w:r w:rsidRPr="008E2658">
        <w:rPr>
          <w:rFonts w:asciiTheme="minorHAnsi" w:eastAsia="Calibri" w:hAnsiTheme="minorHAnsi" w:cstheme="minorHAnsi"/>
          <w:color w:val="auto"/>
        </w:rPr>
        <w:t xml:space="preserve"> 3 µM CHIR, 0.5 µM PMA and 64 µg/mL AA2 using cell density of 70,000/cm². This is passage 1. No action is needed for day 13. </w:t>
      </w:r>
    </w:p>
    <w:p w14:paraId="37F9554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4A2DF5" w14:textId="071970AC" w:rsidR="0011378D" w:rsidRPr="008E2658" w:rsidRDefault="0011378D" w:rsidP="0011378D">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smNPC grows as small colonies with clear borders. Some fibroblast-like cells not growing in colonies are visible at early passages which are selected with extended passages in the cultivation</w:t>
      </w:r>
      <w:r w:rsidR="00C132EC">
        <w:rPr>
          <w:rFonts w:asciiTheme="minorHAnsi" w:eastAsia="Calibri" w:hAnsiTheme="minorHAnsi" w:cstheme="minorHAnsi"/>
          <w:color w:val="auto"/>
        </w:rPr>
        <w:t xml:space="preserve"> medium</w:t>
      </w:r>
      <w:r w:rsidRPr="008E2658">
        <w:rPr>
          <w:rFonts w:asciiTheme="minorHAnsi" w:eastAsia="Calibri" w:hAnsiTheme="minorHAnsi" w:cstheme="minorHAnsi"/>
          <w:color w:val="auto"/>
        </w:rPr>
        <w:t xml:space="preserve"> resulting in a pure smNPC culture by passage 5 to 7.</w:t>
      </w:r>
    </w:p>
    <w:p w14:paraId="7FD1F8A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11F38BC" w14:textId="179EEACA" w:rsidR="0011378D"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14, gently, refresh the </w:t>
      </w:r>
      <w:r w:rsidR="00C132EC">
        <w:t>NGN2 medium</w:t>
      </w:r>
      <w:r w:rsidR="00C132EC" w:rsidRPr="008E2658">
        <w:rPr>
          <w:rFonts w:asciiTheme="minorHAnsi" w:eastAsia="Calibri" w:hAnsiTheme="minorHAnsi" w:cstheme="minorHAnsi"/>
          <w:color w:val="auto"/>
        </w:rPr>
        <w:t xml:space="preserve"> supplemented with</w:t>
      </w:r>
      <w:r w:rsidRPr="008E2658">
        <w:rPr>
          <w:rFonts w:asciiTheme="minorHAnsi" w:eastAsia="Calibri" w:hAnsiTheme="minorHAnsi" w:cstheme="minorHAnsi"/>
          <w:color w:val="auto"/>
        </w:rPr>
        <w:t xml:space="preserve"> 3 µM CHIR, 0.5 µM PMA and 64 µg/mL AA2. No action is needed for day 15.</w:t>
      </w:r>
    </w:p>
    <w:p w14:paraId="6CB878EB" w14:textId="77777777" w:rsidR="005051B7" w:rsidRPr="008E2658" w:rsidRDefault="005051B7" w:rsidP="005051B7">
      <w:pPr>
        <w:pStyle w:val="ListParagraph"/>
        <w:widowControl/>
        <w:autoSpaceDE/>
        <w:autoSpaceDN/>
        <w:adjustRightInd/>
        <w:ind w:left="0"/>
        <w:rPr>
          <w:rFonts w:asciiTheme="minorHAnsi" w:eastAsia="Calibri" w:hAnsiTheme="minorHAnsi" w:cstheme="minorHAnsi"/>
          <w:color w:val="auto"/>
        </w:rPr>
      </w:pPr>
    </w:p>
    <w:p w14:paraId="65659100" w14:textId="7F472979"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Day 16, repeat step S5.9. A seeding density of 70,000/cm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is used for passage 1 to 5. Make frozen backup using 90% culture medi</w:t>
      </w:r>
      <w:r w:rsidR="00C132EC">
        <w:rPr>
          <w:rFonts w:asciiTheme="minorHAnsi" w:eastAsia="Calibri" w:hAnsiTheme="minorHAnsi" w:cstheme="minorHAnsi"/>
          <w:color w:val="auto"/>
        </w:rPr>
        <w:t>um</w:t>
      </w:r>
      <w:r w:rsidRPr="008E2658">
        <w:rPr>
          <w:rFonts w:asciiTheme="minorHAnsi" w:eastAsia="Calibri" w:hAnsiTheme="minorHAnsi" w:cstheme="minorHAnsi"/>
          <w:color w:val="auto"/>
        </w:rPr>
        <w:t xml:space="preserve"> and 10% DMSO solution</w:t>
      </w:r>
      <w:r w:rsidR="005B1BF9">
        <w:rPr>
          <w:rFonts w:asciiTheme="minorHAnsi" w:eastAsia="Calibri" w:hAnsiTheme="minorHAnsi" w:cstheme="minorHAnsi"/>
          <w:color w:val="auto"/>
        </w:rPr>
        <w:t xml:space="preserve">. From passage 5 onwards, lower </w:t>
      </w:r>
      <w:r w:rsidRPr="008E2658">
        <w:rPr>
          <w:rFonts w:asciiTheme="minorHAnsi" w:eastAsia="Calibri" w:hAnsiTheme="minorHAnsi" w:cstheme="minorHAnsi"/>
          <w:color w:val="auto"/>
        </w:rPr>
        <w:t>cells density can be used at 50,000 cells/cm</w:t>
      </w:r>
      <w:r w:rsidR="005B1BF9" w:rsidRPr="008E2658">
        <w:rPr>
          <w:rFonts w:asciiTheme="minorHAnsi" w:eastAsia="Calibri" w:hAnsiTheme="minorHAnsi" w:cstheme="minorHAnsi"/>
          <w:color w:val="auto"/>
          <w:vertAlign w:val="superscript"/>
        </w:rPr>
        <w:t>2</w:t>
      </w:r>
      <w:r w:rsidR="005B1BF9" w:rsidRPr="005B1BF9">
        <w:rPr>
          <w:rFonts w:asciiTheme="minorHAnsi" w:eastAsia="Calibri" w:hAnsiTheme="minorHAnsi" w:cstheme="minorHAnsi"/>
          <w:color w:val="auto"/>
        </w:rPr>
        <w:t>.</w:t>
      </w:r>
    </w:p>
    <w:sectPr w:rsidR="0011378D" w:rsidRPr="008E2658" w:rsidSect="0011378D">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F86"/>
    <w:multiLevelType w:val="multilevel"/>
    <w:tmpl w:val="73EA580C"/>
    <w:lvl w:ilvl="0">
      <w:start w:val="1"/>
      <w:numFmt w:val="decimal"/>
      <w:suff w:val="space"/>
      <w:lvlText w:val="%1."/>
      <w:lvlJc w:val="left"/>
      <w:pPr>
        <w:ind w:left="0" w:firstLine="0"/>
      </w:pPr>
      <w:rPr>
        <w:rFonts w:asciiTheme="minorHAnsi" w:eastAsia="Arial" w:hAnsiTheme="minorHAnsi" w:cstheme="minorHAnsi" w:hint="default"/>
        <w:b/>
        <w:u w:val="none"/>
      </w:rPr>
    </w:lvl>
    <w:lvl w:ilvl="1">
      <w:start w:val="1"/>
      <w:numFmt w:val="none"/>
      <w:suff w:val="space"/>
      <w:lvlText w:val="1.2."/>
      <w:lvlJc w:val="left"/>
      <w:pPr>
        <w:ind w:left="0" w:firstLine="0"/>
      </w:pPr>
      <w:rPr>
        <w:rFonts w:hint="default"/>
        <w:b/>
        <w:color w:val="808080" w:themeColor="background1" w:themeShade="80"/>
        <w:u w:val="none"/>
      </w:rPr>
    </w:lvl>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22704C42"/>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2" w15:restartNumberingAfterBreak="0">
    <w:nsid w:val="412560D0"/>
    <w:multiLevelType w:val="multilevel"/>
    <w:tmpl w:val="94F02B74"/>
    <w:lvl w:ilvl="0">
      <w:start w:val="1"/>
      <w:numFmt w:val="none"/>
      <w:suff w:val="space"/>
      <w:lvlText w:val="4."/>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3" w15:restartNumberingAfterBreak="0">
    <w:nsid w:val="48AA5940"/>
    <w:multiLevelType w:val="multilevel"/>
    <w:tmpl w:val="DB1C5E22"/>
    <w:lvl w:ilvl="0">
      <w:start w:val="1"/>
      <w:numFmt w:val="decimal"/>
      <w:suff w:val="space"/>
      <w:lvlText w:val="%1.1"/>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2.1"/>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4E696388"/>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5" w15:restartNumberingAfterBreak="0">
    <w:nsid w:val="575E6FAF"/>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6" w15:restartNumberingAfterBreak="0">
    <w:nsid w:val="64B30009"/>
    <w:multiLevelType w:val="multilevel"/>
    <w:tmpl w:val="70FAA0F2"/>
    <w:lvl w:ilvl="0">
      <w:start w:val="1"/>
      <w:numFmt w:val="none"/>
      <w:suff w:val="space"/>
      <w:lvlText w:val="5."/>
      <w:lvlJc w:val="left"/>
      <w:pPr>
        <w:ind w:left="0" w:firstLine="0"/>
      </w:pPr>
      <w:rPr>
        <w:rFonts w:ascii="Calibri" w:eastAsia="Calibri" w:hAnsi="Calibri" w:cs="Calibri" w:hint="default"/>
        <w:b/>
        <w:color w:val="808080" w:themeColor="background1" w:themeShade="80"/>
        <w:u w:val="none"/>
        <w:shd w:val="clear" w:color="auto" w:fill="auto"/>
      </w:rPr>
    </w:lvl>
    <w:lvl w:ilvl="1">
      <w:start w:val="1"/>
      <w:numFmt w:val="decimal"/>
      <w:suff w:val="space"/>
      <w:lvlText w:val="5.%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7" w15:restartNumberingAfterBreak="0">
    <w:nsid w:val="66FE79BD"/>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8" w15:restartNumberingAfterBreak="0">
    <w:nsid w:val="695D5C71"/>
    <w:multiLevelType w:val="multilevel"/>
    <w:tmpl w:val="1B7607AC"/>
    <w:lvl w:ilvl="0">
      <w:start w:val="1"/>
      <w:numFmt w:val="decimal"/>
      <w:suff w:val="space"/>
      <w:lvlText w:val="2.%1."/>
      <w:lvlJc w:val="left"/>
      <w:pPr>
        <w:ind w:left="0" w:firstLine="0"/>
      </w:pPr>
      <w:rPr>
        <w:rFonts w:ascii="Calibri" w:eastAsia="Calibri" w:hAnsi="Calibri" w:cs="Calibri" w:hint="default"/>
        <w:b w:val="0"/>
        <w:color w:val="808080" w:themeColor="background1" w:themeShade="80"/>
        <w:u w:val="none"/>
      </w:rPr>
    </w:lvl>
    <w:lvl w:ilvl="1">
      <w:start w:val="1"/>
      <w:numFmt w:val="decimal"/>
      <w:lvlText w:val="S1.%1.%2."/>
      <w:lvlJc w:val="right"/>
      <w:pPr>
        <w:ind w:left="0" w:firstLine="63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6D8B2A6A"/>
    <w:multiLevelType w:val="multilevel"/>
    <w:tmpl w:val="54E2CA64"/>
    <w:lvl w:ilvl="0">
      <w:start w:val="1"/>
      <w:numFmt w:val="decimal"/>
      <w:lvlText w:val="%1."/>
      <w:lvlJc w:val="right"/>
      <w:pPr>
        <w:ind w:left="720" w:hanging="360"/>
      </w:pPr>
      <w:rPr>
        <w:rFonts w:ascii="Arial" w:eastAsia="Arial" w:hAnsi="Arial" w:cs="Arial" w:hint="default"/>
        <w:b/>
        <w:u w:val="none"/>
      </w:rPr>
    </w:lvl>
    <w:lvl w:ilvl="1">
      <w:start w:val="1"/>
      <w:numFmt w:val="decimal"/>
      <w:lvlText w:val="%2."/>
      <w:lvlJc w:val="left"/>
      <w:pPr>
        <w:ind w:left="0" w:firstLine="0"/>
      </w:pPr>
      <w:rPr>
        <w:rFonts w:hint="default"/>
        <w:b/>
        <w:color w:val="808080" w:themeColor="background1" w:themeShade="80"/>
        <w:u w:val="none"/>
      </w:rPr>
    </w:lvl>
    <w:lvl w:ilvl="2">
      <w:start w:val="1"/>
      <w:numFmt w:val="decimal"/>
      <w:suff w:val="space"/>
      <w:lvlText w:val="1.2.%2."/>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0" w15:restartNumberingAfterBreak="0">
    <w:nsid w:val="78A65DBD"/>
    <w:multiLevelType w:val="multilevel"/>
    <w:tmpl w:val="02D85F6A"/>
    <w:lvl w:ilvl="0">
      <w:start w:val="1"/>
      <w:numFmt w:val="decimal"/>
      <w:lvlText w:val="%1."/>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num w:numId="1">
    <w:abstractNumId w:val="4"/>
  </w:num>
  <w:num w:numId="2">
    <w:abstractNumId w:val="3"/>
  </w:num>
  <w:num w:numId="3">
    <w:abstractNumId w:val="8"/>
  </w:num>
  <w:num w:numId="4">
    <w:abstractNumId w:val="9"/>
  </w:num>
  <w:num w:numId="5">
    <w:abstractNumId w:val="6"/>
  </w:num>
  <w:num w:numId="6">
    <w:abstractNumId w:val="5"/>
  </w:num>
  <w:num w:numId="7">
    <w:abstractNumId w:val="7"/>
  </w:num>
  <w:num w:numId="8">
    <w:abstractNumId w:val="1"/>
  </w:num>
  <w:num w:numId="9">
    <w:abstractNumId w:val="2"/>
  </w:num>
  <w:num w:numId="10">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1">
    <w:abstractNumId w:val="10"/>
  </w:num>
  <w:num w:numId="12">
    <w:abstractNumId w:val="10"/>
    <w:lvlOverride w:ilvl="0">
      <w:lvl w:ilvl="0">
        <w:start w:val="1"/>
        <w:numFmt w:val="none"/>
        <w:suff w:val="space"/>
        <w:lvlText w:val="3."/>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3">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4">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5">
    <w:abstractNumId w:val="4"/>
    <w:lvlOverride w:ilvl="0">
      <w:lvl w:ilvl="0">
        <w:start w:val="1"/>
        <w:numFmt w:val="none"/>
        <w:suff w:val="space"/>
        <w:lvlText w:val="2."/>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6">
    <w:abstractNumId w:val="9"/>
    <w:lvlOverride w:ilvl="0">
      <w:lvl w:ilvl="0">
        <w:start w:val="1"/>
        <w:numFmt w:val="decimal"/>
        <w:lvlText w:val="%1."/>
        <w:lvlJc w:val="right"/>
        <w:pPr>
          <w:ind w:left="720" w:hanging="360"/>
        </w:pPr>
        <w:rPr>
          <w:rFonts w:ascii="Arial" w:eastAsia="Arial" w:hAnsi="Arial" w:cs="Arial" w:hint="default"/>
          <w:b/>
          <w:u w:val="none"/>
        </w:rPr>
      </w:lvl>
    </w:lvlOverride>
    <w:lvlOverride w:ilvl="1">
      <w:lvl w:ilvl="1">
        <w:start w:val="1"/>
        <w:numFmt w:val="none"/>
        <w:suff w:val="space"/>
        <w:lvlText w:val="1.2."/>
        <w:lvlJc w:val="left"/>
        <w:pPr>
          <w:ind w:left="0" w:firstLine="0"/>
        </w:pPr>
        <w:rPr>
          <w:rFonts w:hint="default"/>
          <w:b/>
          <w:color w:val="808080" w:themeColor="background1" w:themeShade="80"/>
          <w:u w:val="none"/>
        </w:rPr>
      </w:lvl>
    </w:lvlOverride>
    <w:lvlOverride w:ilvl="2">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MzM1NDa2MDEwMzVX0lEKTi0uzszPAykwNK4FAGUUzcUtAAAA"/>
  </w:docVars>
  <w:rsids>
    <w:rsidRoot w:val="0000220E"/>
    <w:rsid w:val="0000220E"/>
    <w:rsid w:val="00014090"/>
    <w:rsid w:val="000B6B62"/>
    <w:rsid w:val="000D3DC7"/>
    <w:rsid w:val="001061CF"/>
    <w:rsid w:val="0011378D"/>
    <w:rsid w:val="0016151B"/>
    <w:rsid w:val="00192FFB"/>
    <w:rsid w:val="001D174F"/>
    <w:rsid w:val="00205B01"/>
    <w:rsid w:val="003765C1"/>
    <w:rsid w:val="00444A4A"/>
    <w:rsid w:val="004D2B80"/>
    <w:rsid w:val="005051B7"/>
    <w:rsid w:val="005170B0"/>
    <w:rsid w:val="005B1BF9"/>
    <w:rsid w:val="006405AD"/>
    <w:rsid w:val="0070670D"/>
    <w:rsid w:val="00721FB7"/>
    <w:rsid w:val="00735532"/>
    <w:rsid w:val="0078275F"/>
    <w:rsid w:val="0079322F"/>
    <w:rsid w:val="00793AFE"/>
    <w:rsid w:val="007B505A"/>
    <w:rsid w:val="007C3C26"/>
    <w:rsid w:val="007E4D7B"/>
    <w:rsid w:val="00847922"/>
    <w:rsid w:val="008E2658"/>
    <w:rsid w:val="00915656"/>
    <w:rsid w:val="0096583B"/>
    <w:rsid w:val="009D0DC0"/>
    <w:rsid w:val="009D6412"/>
    <w:rsid w:val="00AE0465"/>
    <w:rsid w:val="00AE1FEF"/>
    <w:rsid w:val="00AF261E"/>
    <w:rsid w:val="00AF73CC"/>
    <w:rsid w:val="00B71644"/>
    <w:rsid w:val="00BF7CAF"/>
    <w:rsid w:val="00C132EC"/>
    <w:rsid w:val="00C23CF5"/>
    <w:rsid w:val="00C30A34"/>
    <w:rsid w:val="00C65AE9"/>
    <w:rsid w:val="00CE3494"/>
    <w:rsid w:val="00D056EB"/>
    <w:rsid w:val="00DB282F"/>
    <w:rsid w:val="00E11ECD"/>
    <w:rsid w:val="00EA1F4C"/>
    <w:rsid w:val="00EC7BCA"/>
    <w:rsid w:val="00F0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6A13"/>
  <w15:docId w15:val="{8FF97082-C5C1-4724-8A3D-5BA69FFE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0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32"/>
    <w:rPr>
      <w:rFonts w:ascii="Segoe UI" w:eastAsia="Times New Roman" w:hAnsi="Segoe UI" w:cs="Segoe UI"/>
      <w:color w:val="000000"/>
      <w:sz w:val="18"/>
      <w:szCs w:val="18"/>
    </w:rPr>
  </w:style>
  <w:style w:type="paragraph" w:styleId="ListParagraph">
    <w:name w:val="List Paragraph"/>
    <w:basedOn w:val="Normal"/>
    <w:uiPriority w:val="34"/>
    <w:qFormat/>
    <w:rsid w:val="00735532"/>
    <w:pPr>
      <w:ind w:left="720"/>
      <w:contextualSpacing/>
    </w:pPr>
  </w:style>
  <w:style w:type="character" w:styleId="CommentReference">
    <w:name w:val="annotation reference"/>
    <w:basedOn w:val="DefaultParagraphFont"/>
    <w:unhideWhenUsed/>
    <w:rsid w:val="009D0DC0"/>
    <w:rPr>
      <w:sz w:val="16"/>
      <w:szCs w:val="16"/>
    </w:rPr>
  </w:style>
  <w:style w:type="paragraph" w:styleId="CommentText">
    <w:name w:val="annotation text"/>
    <w:basedOn w:val="Normal"/>
    <w:link w:val="CommentTextChar"/>
    <w:unhideWhenUsed/>
    <w:rsid w:val="009D0DC0"/>
    <w:rPr>
      <w:sz w:val="20"/>
      <w:szCs w:val="20"/>
    </w:rPr>
  </w:style>
  <w:style w:type="character" w:customStyle="1" w:styleId="CommentTextChar">
    <w:name w:val="Comment Text Char"/>
    <w:basedOn w:val="DefaultParagraphFont"/>
    <w:link w:val="CommentText"/>
    <w:rsid w:val="009D0DC0"/>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0DC0"/>
    <w:rPr>
      <w:b/>
      <w:bCs/>
    </w:rPr>
  </w:style>
  <w:style w:type="character" w:customStyle="1" w:styleId="CommentSubjectChar">
    <w:name w:val="Comment Subject Char"/>
    <w:basedOn w:val="CommentTextChar"/>
    <w:link w:val="CommentSubject"/>
    <w:uiPriority w:val="99"/>
    <w:semiHidden/>
    <w:rsid w:val="009D0DC0"/>
    <w:rPr>
      <w:rFonts w:ascii="Calibri" w:eastAsia="Times New Roman" w:hAnsi="Calibri" w:cs="Calibri"/>
      <w:b/>
      <w:bCs/>
      <w:color w:val="000000"/>
      <w:sz w:val="20"/>
      <w:szCs w:val="20"/>
    </w:rPr>
  </w:style>
  <w:style w:type="character" w:styleId="LineNumber">
    <w:name w:val="line number"/>
    <w:basedOn w:val="DefaultParagraphFont"/>
    <w:uiPriority w:val="99"/>
    <w:semiHidden/>
    <w:unhideWhenUsed/>
    <w:rsid w:val="0011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perpile.com/c/Q9JVur/224vB+Axw2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AD-Lab</dc:creator>
  <cp:keywords/>
  <dc:description/>
  <cp:lastModifiedBy>AD-Lab</cp:lastModifiedBy>
  <cp:revision>8</cp:revision>
  <cp:lastPrinted>2020-05-27T20:20:00Z</cp:lastPrinted>
  <dcterms:created xsi:type="dcterms:W3CDTF">2020-07-09T11:19:00Z</dcterms:created>
  <dcterms:modified xsi:type="dcterms:W3CDTF">2020-07-09T13:52:00Z</dcterms:modified>
</cp:coreProperties>
</file>