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806F4" w14:textId="77777777" w:rsidR="00600B78" w:rsidRDefault="00600B78" w:rsidP="00791486">
      <w:pPr>
        <w:rPr>
          <w:rFonts w:ascii="Times New Roman" w:hAnsi="Times New Roman" w:cs="Times New Roman"/>
        </w:rPr>
      </w:pPr>
    </w:p>
    <w:p w14:paraId="7C118CDE" w14:textId="77777777" w:rsidR="00E35173" w:rsidRDefault="00E35173" w:rsidP="00791486">
      <w:pPr>
        <w:rPr>
          <w:rFonts w:ascii="Times New Roman" w:hAnsi="Times New Roman" w:cs="Times New Roman"/>
        </w:rPr>
      </w:pPr>
    </w:p>
    <w:p w14:paraId="2D31062F" w14:textId="77777777" w:rsidR="00E35173" w:rsidRDefault="00E35173" w:rsidP="00791486">
      <w:pPr>
        <w:rPr>
          <w:rFonts w:ascii="Times New Roman" w:hAnsi="Times New Roman" w:cs="Times New Roman"/>
        </w:rPr>
      </w:pPr>
    </w:p>
    <w:p w14:paraId="07F1BD70" w14:textId="77777777" w:rsidR="00E35173" w:rsidRDefault="00E35173" w:rsidP="00791486">
      <w:pPr>
        <w:rPr>
          <w:rFonts w:ascii="Times New Roman" w:hAnsi="Times New Roman" w:cs="Times New Roman"/>
        </w:rPr>
      </w:pPr>
    </w:p>
    <w:p w14:paraId="08B6DF65" w14:textId="5308C79B" w:rsidR="007A355A" w:rsidRPr="00791486" w:rsidRDefault="004A09FD" w:rsidP="00791486">
      <w:pPr>
        <w:rPr>
          <w:rFonts w:ascii="Times New Roman" w:hAnsi="Times New Roman" w:cs="Times New Roman"/>
        </w:rPr>
      </w:pPr>
      <w:r>
        <w:rPr>
          <w:rFonts w:ascii="Times New Roman" w:hAnsi="Times New Roman" w:cs="Times New Roman"/>
        </w:rPr>
        <w:t>April 22, 2020</w:t>
      </w:r>
    </w:p>
    <w:p w14:paraId="0B76E494" w14:textId="77777777" w:rsidR="00791486" w:rsidRPr="00791486" w:rsidRDefault="00791486" w:rsidP="00791486">
      <w:pPr>
        <w:rPr>
          <w:rFonts w:ascii="Times New Roman" w:hAnsi="Times New Roman" w:cs="Times New Roman"/>
        </w:rPr>
      </w:pPr>
    </w:p>
    <w:p w14:paraId="52CB4CC3" w14:textId="03561E94" w:rsidR="00DC4D98" w:rsidRPr="00791486" w:rsidRDefault="00DC4D98" w:rsidP="00791486">
      <w:pPr>
        <w:rPr>
          <w:rFonts w:ascii="Times New Roman" w:hAnsi="Times New Roman" w:cs="Times New Roman"/>
        </w:rPr>
      </w:pPr>
      <w:r w:rsidRPr="00791486">
        <w:rPr>
          <w:rFonts w:ascii="Times New Roman" w:hAnsi="Times New Roman" w:cs="Times New Roman"/>
        </w:rPr>
        <w:t xml:space="preserve">Dear </w:t>
      </w:r>
      <w:r w:rsidR="00372D04" w:rsidRPr="00372D04">
        <w:rPr>
          <w:rFonts w:ascii="Times New Roman" w:hAnsi="Times New Roman" w:cs="Times New Roman"/>
        </w:rPr>
        <w:t xml:space="preserve">Dr. </w:t>
      </w:r>
      <w:r w:rsidR="003677D8" w:rsidRPr="003677D8">
        <w:rPr>
          <w:rFonts w:ascii="Times New Roman" w:hAnsi="Times New Roman" w:cs="Times New Roman"/>
        </w:rPr>
        <w:t xml:space="preserve">Alisha </w:t>
      </w:r>
      <w:proofErr w:type="spellStart"/>
      <w:r w:rsidR="003677D8" w:rsidRPr="003677D8">
        <w:rPr>
          <w:rFonts w:ascii="Times New Roman" w:hAnsi="Times New Roman" w:cs="Times New Roman"/>
        </w:rPr>
        <w:t>DSouza</w:t>
      </w:r>
      <w:proofErr w:type="spellEnd"/>
      <w:r w:rsidRPr="00791486">
        <w:rPr>
          <w:rFonts w:ascii="Times New Roman" w:hAnsi="Times New Roman" w:cs="Times New Roman"/>
        </w:rPr>
        <w:t xml:space="preserve">, </w:t>
      </w:r>
    </w:p>
    <w:p w14:paraId="7DCDA679" w14:textId="77777777" w:rsidR="007A355A" w:rsidRPr="00791486" w:rsidRDefault="007A355A" w:rsidP="00791486">
      <w:pPr>
        <w:ind w:firstLine="720"/>
        <w:rPr>
          <w:rFonts w:ascii="Times New Roman" w:hAnsi="Times New Roman" w:cs="Times New Roman"/>
        </w:rPr>
      </w:pPr>
    </w:p>
    <w:p w14:paraId="386FA1DF" w14:textId="64C28CF7" w:rsidR="004D2ADA" w:rsidRDefault="00DC4D98" w:rsidP="00791486">
      <w:pPr>
        <w:rPr>
          <w:rFonts w:ascii="Times New Roman" w:hAnsi="Times New Roman" w:cs="Times New Roman"/>
        </w:rPr>
      </w:pPr>
      <w:r w:rsidRPr="00791486">
        <w:rPr>
          <w:rFonts w:ascii="Times New Roman" w:hAnsi="Times New Roman" w:cs="Times New Roman"/>
        </w:rPr>
        <w:t xml:space="preserve">Please find enclosed the </w:t>
      </w:r>
      <w:r w:rsidR="006053F3" w:rsidRPr="00791486">
        <w:rPr>
          <w:rFonts w:ascii="Times New Roman" w:hAnsi="Times New Roman" w:cs="Times New Roman"/>
        </w:rPr>
        <w:t xml:space="preserve">following </w:t>
      </w:r>
      <w:r w:rsidR="004A09FD">
        <w:rPr>
          <w:rFonts w:ascii="Times New Roman" w:hAnsi="Times New Roman" w:cs="Times New Roman"/>
        </w:rPr>
        <w:t>revised</w:t>
      </w:r>
      <w:r w:rsidR="00E35173">
        <w:rPr>
          <w:rFonts w:ascii="Times New Roman" w:hAnsi="Times New Roman" w:cs="Times New Roman"/>
        </w:rPr>
        <w:t xml:space="preserve"> </w:t>
      </w:r>
      <w:r w:rsidR="004D2ADA">
        <w:rPr>
          <w:rFonts w:ascii="Times New Roman" w:hAnsi="Times New Roman" w:cs="Times New Roman"/>
        </w:rPr>
        <w:t xml:space="preserve">submission of </w:t>
      </w:r>
      <w:r w:rsidR="00A0001A">
        <w:rPr>
          <w:rFonts w:ascii="Times New Roman" w:hAnsi="Times New Roman" w:cs="Times New Roman"/>
        </w:rPr>
        <w:t xml:space="preserve">a </w:t>
      </w:r>
      <w:r w:rsidR="00E35173">
        <w:rPr>
          <w:rFonts w:ascii="Times New Roman" w:hAnsi="Times New Roman" w:cs="Times New Roman"/>
        </w:rPr>
        <w:t>method</w:t>
      </w:r>
      <w:r w:rsidR="00A0001A">
        <w:rPr>
          <w:rFonts w:ascii="Times New Roman" w:hAnsi="Times New Roman" w:cs="Times New Roman"/>
        </w:rPr>
        <w:t xml:space="preserve"> for consideration </w:t>
      </w:r>
      <w:r w:rsidR="00E35173">
        <w:rPr>
          <w:rFonts w:ascii="Times New Roman" w:hAnsi="Times New Roman" w:cs="Times New Roman"/>
        </w:rPr>
        <w:t>at JOVE</w:t>
      </w:r>
      <w:r w:rsidR="007A355A" w:rsidRPr="00791486">
        <w:rPr>
          <w:rFonts w:ascii="Times New Roman" w:hAnsi="Times New Roman" w:cs="Times New Roman"/>
        </w:rPr>
        <w:t>:</w:t>
      </w:r>
      <w:r w:rsidRPr="00791486">
        <w:rPr>
          <w:rFonts w:ascii="Times New Roman" w:hAnsi="Times New Roman" w:cs="Times New Roman"/>
        </w:rPr>
        <w:t xml:space="preserve"> </w:t>
      </w:r>
      <w:r w:rsidR="007A355A" w:rsidRPr="004B1B06">
        <w:rPr>
          <w:rFonts w:ascii="Times New Roman" w:hAnsi="Times New Roman" w:cs="Times New Roman"/>
        </w:rPr>
        <w:t>“</w:t>
      </w:r>
      <w:r w:rsidR="00E35173" w:rsidRPr="004B1B06">
        <w:rPr>
          <w:rFonts w:ascii="Times New Roman" w:hAnsi="Times New Roman" w:cs="Times New Roman"/>
        </w:rPr>
        <w:t>Leveraging turbidi</w:t>
      </w:r>
      <w:r w:rsidR="00056937" w:rsidRPr="004B1B06">
        <w:rPr>
          <w:rFonts w:ascii="Times New Roman" w:hAnsi="Times New Roman" w:cs="Times New Roman"/>
        </w:rPr>
        <w:t>t</w:t>
      </w:r>
      <w:r w:rsidR="00E35173" w:rsidRPr="004B1B06">
        <w:rPr>
          <w:rFonts w:ascii="Times New Roman" w:hAnsi="Times New Roman" w:cs="Times New Roman"/>
        </w:rPr>
        <w:t xml:space="preserve">y and </w:t>
      </w:r>
      <w:proofErr w:type="spellStart"/>
      <w:r w:rsidR="00E35173" w:rsidRPr="004B1B06">
        <w:rPr>
          <w:rFonts w:ascii="Times New Roman" w:hAnsi="Times New Roman" w:cs="Times New Roman"/>
        </w:rPr>
        <w:t>thromboelastography</w:t>
      </w:r>
      <w:proofErr w:type="spellEnd"/>
      <w:r w:rsidR="00E35173" w:rsidRPr="004B1B06">
        <w:rPr>
          <w:rFonts w:ascii="Times New Roman" w:hAnsi="Times New Roman" w:cs="Times New Roman"/>
        </w:rPr>
        <w:t xml:space="preserve"> for complementary clot characterization</w:t>
      </w:r>
      <w:r w:rsidR="007A355A" w:rsidRPr="004B1B06">
        <w:rPr>
          <w:rFonts w:ascii="Times New Roman" w:hAnsi="Times New Roman" w:cs="Times New Roman"/>
        </w:rPr>
        <w:t>”</w:t>
      </w:r>
      <w:r w:rsidRPr="004B1B06">
        <w:rPr>
          <w:rFonts w:ascii="Times New Roman" w:hAnsi="Times New Roman" w:cs="Times New Roman"/>
        </w:rPr>
        <w:t>.</w:t>
      </w:r>
      <w:r w:rsidRPr="00791486">
        <w:rPr>
          <w:rFonts w:ascii="Times New Roman" w:hAnsi="Times New Roman" w:cs="Times New Roman"/>
        </w:rPr>
        <w:t xml:space="preserve">  </w:t>
      </w:r>
      <w:r w:rsidR="006053F3" w:rsidRPr="00791486">
        <w:rPr>
          <w:rFonts w:ascii="Times New Roman" w:hAnsi="Times New Roman" w:cs="Times New Roman"/>
        </w:rPr>
        <w:t xml:space="preserve">This article is being </w:t>
      </w:r>
      <w:r w:rsidR="00E64AC4" w:rsidRPr="00791486">
        <w:rPr>
          <w:rFonts w:ascii="Times New Roman" w:hAnsi="Times New Roman" w:cs="Times New Roman"/>
        </w:rPr>
        <w:t xml:space="preserve">exclusively </w:t>
      </w:r>
      <w:r w:rsidR="004D2ADA">
        <w:rPr>
          <w:rFonts w:ascii="Times New Roman" w:hAnsi="Times New Roman" w:cs="Times New Roman"/>
        </w:rPr>
        <w:t>considered for publication at</w:t>
      </w:r>
      <w:r w:rsidR="00E64AC4" w:rsidRPr="00791486">
        <w:rPr>
          <w:rFonts w:ascii="Times New Roman" w:hAnsi="Times New Roman" w:cs="Times New Roman"/>
        </w:rPr>
        <w:t xml:space="preserve"> </w:t>
      </w:r>
      <w:r w:rsidR="00E35173">
        <w:rPr>
          <w:rFonts w:ascii="Times New Roman" w:hAnsi="Times New Roman" w:cs="Times New Roman"/>
        </w:rPr>
        <w:t xml:space="preserve">JOVE and is based on the recently published article </w:t>
      </w:r>
      <w:r w:rsidR="00A37F03">
        <w:rPr>
          <w:rFonts w:ascii="Times New Roman" w:hAnsi="Times New Roman" w:cs="Times New Roman"/>
        </w:rPr>
        <w:t xml:space="preserve">that was recently </w:t>
      </w:r>
      <w:r w:rsidR="00E35173">
        <w:rPr>
          <w:rFonts w:ascii="Times New Roman" w:hAnsi="Times New Roman" w:cs="Times New Roman"/>
        </w:rPr>
        <w:t>accepted at Thrombosis Research titled “</w:t>
      </w:r>
      <w:r w:rsidR="00E35173" w:rsidRPr="00E35173">
        <w:rPr>
          <w:rFonts w:ascii="Times New Roman" w:hAnsi="Times New Roman" w:cs="Times New Roman"/>
        </w:rPr>
        <w:t xml:space="preserve">Fibrin clot formation under diverse clotting conditions: Comparing turbidimetry and </w:t>
      </w:r>
      <w:proofErr w:type="spellStart"/>
      <w:r w:rsidR="00E35173" w:rsidRPr="00E35173">
        <w:rPr>
          <w:rFonts w:ascii="Times New Roman" w:hAnsi="Times New Roman" w:cs="Times New Roman"/>
        </w:rPr>
        <w:t>thromboelastography</w:t>
      </w:r>
      <w:proofErr w:type="spellEnd"/>
      <w:r w:rsidR="00E35173">
        <w:rPr>
          <w:rFonts w:ascii="Times New Roman" w:hAnsi="Times New Roman" w:cs="Times New Roman"/>
        </w:rPr>
        <w:t>”</w:t>
      </w:r>
      <w:r w:rsidR="00E64AC4" w:rsidRPr="00791486">
        <w:rPr>
          <w:rFonts w:ascii="Times New Roman" w:hAnsi="Times New Roman" w:cs="Times New Roman"/>
        </w:rPr>
        <w:t xml:space="preserve">.  </w:t>
      </w:r>
    </w:p>
    <w:p w14:paraId="54B7228E" w14:textId="77777777" w:rsidR="00A0001A" w:rsidRDefault="00A0001A" w:rsidP="00791486">
      <w:pPr>
        <w:rPr>
          <w:rFonts w:ascii="Times New Roman" w:hAnsi="Times New Roman" w:cs="Times New Roman"/>
        </w:rPr>
      </w:pPr>
    </w:p>
    <w:p w14:paraId="5DA47204" w14:textId="16A6D51C" w:rsidR="007A355A" w:rsidRPr="00791486" w:rsidRDefault="00E35173" w:rsidP="00791486">
      <w:pPr>
        <w:rPr>
          <w:rFonts w:ascii="Times New Roman" w:hAnsi="Times New Roman" w:cs="Times New Roman"/>
        </w:rPr>
      </w:pPr>
      <w:r>
        <w:rPr>
          <w:rFonts w:ascii="Times New Roman" w:hAnsi="Times New Roman" w:cs="Times New Roman"/>
        </w:rPr>
        <w:t xml:space="preserve">The </w:t>
      </w:r>
      <w:r w:rsidR="004A09FD">
        <w:rPr>
          <w:rFonts w:ascii="Times New Roman" w:hAnsi="Times New Roman" w:cs="Times New Roman"/>
        </w:rPr>
        <w:t xml:space="preserve">revised </w:t>
      </w:r>
      <w:r>
        <w:rPr>
          <w:rFonts w:ascii="Times New Roman" w:hAnsi="Times New Roman" w:cs="Times New Roman"/>
        </w:rPr>
        <w:t xml:space="preserve">manuscript </w:t>
      </w:r>
      <w:r w:rsidR="004A09FD">
        <w:rPr>
          <w:rFonts w:ascii="Times New Roman" w:hAnsi="Times New Roman" w:cs="Times New Roman"/>
        </w:rPr>
        <w:t xml:space="preserve">addresses all reviewer concerns and </w:t>
      </w:r>
      <w:r>
        <w:rPr>
          <w:rFonts w:ascii="Times New Roman" w:hAnsi="Times New Roman" w:cs="Times New Roman"/>
        </w:rPr>
        <w:t xml:space="preserve">details how to run turbidity and </w:t>
      </w:r>
      <w:proofErr w:type="spellStart"/>
      <w:r>
        <w:rPr>
          <w:rFonts w:ascii="Times New Roman" w:hAnsi="Times New Roman" w:cs="Times New Roman"/>
        </w:rPr>
        <w:t>thromboelastography</w:t>
      </w:r>
      <w:proofErr w:type="spellEnd"/>
      <w:r>
        <w:rPr>
          <w:rFonts w:ascii="Times New Roman" w:hAnsi="Times New Roman" w:cs="Times New Roman"/>
        </w:rPr>
        <w:t xml:space="preserve"> utilizing a simplified fibrinogen/thrombin model providing for clot analysis across many different clot formation conditions.  Additionally, the discussion regarding alternatives, pitfalls, </w:t>
      </w:r>
      <w:r w:rsidR="00A37F03">
        <w:rPr>
          <w:rFonts w:ascii="Times New Roman" w:hAnsi="Times New Roman" w:cs="Times New Roman"/>
        </w:rPr>
        <w:t xml:space="preserve">protocol modifications, </w:t>
      </w:r>
      <w:r>
        <w:rPr>
          <w:rFonts w:ascii="Times New Roman" w:hAnsi="Times New Roman" w:cs="Times New Roman"/>
        </w:rPr>
        <w:t>and data analysis associated with these techniques</w:t>
      </w:r>
      <w:r w:rsidR="004A09FD">
        <w:rPr>
          <w:rFonts w:ascii="Times New Roman" w:hAnsi="Times New Roman" w:cs="Times New Roman"/>
        </w:rPr>
        <w:t xml:space="preserve"> has been expanded</w:t>
      </w:r>
      <w:r>
        <w:rPr>
          <w:rFonts w:ascii="Times New Roman" w:hAnsi="Times New Roman" w:cs="Times New Roman"/>
        </w:rPr>
        <w:t xml:space="preserve">.  </w:t>
      </w:r>
      <w:r w:rsidR="00E64AC4" w:rsidRPr="00791486">
        <w:rPr>
          <w:rFonts w:ascii="Times New Roman" w:hAnsi="Times New Roman" w:cs="Times New Roman"/>
        </w:rPr>
        <w:t xml:space="preserve">We look forward to hearing from you regarding </w:t>
      </w:r>
      <w:r w:rsidR="006D469F">
        <w:rPr>
          <w:rFonts w:ascii="Times New Roman" w:hAnsi="Times New Roman" w:cs="Times New Roman"/>
        </w:rPr>
        <w:t>this</w:t>
      </w:r>
      <w:r w:rsidR="00E64AC4" w:rsidRPr="00791486">
        <w:rPr>
          <w:rFonts w:ascii="Times New Roman" w:hAnsi="Times New Roman" w:cs="Times New Roman"/>
        </w:rPr>
        <w:t xml:space="preserve"> submission</w:t>
      </w:r>
      <w:r w:rsidR="007A355A" w:rsidRPr="00791486">
        <w:rPr>
          <w:rFonts w:ascii="Times New Roman" w:hAnsi="Times New Roman" w:cs="Times New Roman"/>
        </w:rPr>
        <w:t xml:space="preserve">.  </w:t>
      </w:r>
      <w:r w:rsidR="00791486">
        <w:rPr>
          <w:rFonts w:ascii="Times New Roman" w:hAnsi="Times New Roman" w:cs="Times New Roman"/>
        </w:rPr>
        <w:t xml:space="preserve">The authors </w:t>
      </w:r>
      <w:r w:rsidR="00600B78">
        <w:rPr>
          <w:rFonts w:ascii="Times New Roman" w:hAnsi="Times New Roman" w:cs="Times New Roman"/>
        </w:rPr>
        <w:t>have</w:t>
      </w:r>
      <w:r w:rsidR="00791486">
        <w:rPr>
          <w:rFonts w:ascii="Times New Roman" w:hAnsi="Times New Roman" w:cs="Times New Roman"/>
        </w:rPr>
        <w:t xml:space="preserve"> no conflicts of interest to disclose.  </w:t>
      </w:r>
      <w:r w:rsidR="009C10C4" w:rsidRPr="00791486">
        <w:rPr>
          <w:rFonts w:ascii="Times New Roman" w:hAnsi="Times New Roman" w:cs="Times New Roman"/>
        </w:rPr>
        <w:t xml:space="preserve">If there are any questions or </w:t>
      </w:r>
      <w:proofErr w:type="gramStart"/>
      <w:r w:rsidR="009C10C4" w:rsidRPr="00791486">
        <w:rPr>
          <w:rFonts w:ascii="Times New Roman" w:hAnsi="Times New Roman" w:cs="Times New Roman"/>
        </w:rPr>
        <w:t>concerns</w:t>
      </w:r>
      <w:proofErr w:type="gramEnd"/>
      <w:r w:rsidR="009C10C4" w:rsidRPr="00791486">
        <w:rPr>
          <w:rFonts w:ascii="Times New Roman" w:hAnsi="Times New Roman" w:cs="Times New Roman"/>
        </w:rPr>
        <w:t xml:space="preserve"> feel free to email (nalves@iu.edu) or call </w:t>
      </w:r>
      <w:r w:rsidR="00E64AC4" w:rsidRPr="00791486">
        <w:rPr>
          <w:rFonts w:ascii="Times New Roman" w:hAnsi="Times New Roman" w:cs="Times New Roman"/>
        </w:rPr>
        <w:t xml:space="preserve">me </w:t>
      </w:r>
      <w:r w:rsidR="007A355A" w:rsidRPr="00791486">
        <w:rPr>
          <w:rFonts w:ascii="Times New Roman" w:hAnsi="Times New Roman" w:cs="Times New Roman"/>
        </w:rPr>
        <w:t>at 203-565-2049</w:t>
      </w:r>
      <w:r w:rsidR="009C10C4" w:rsidRPr="00791486">
        <w:rPr>
          <w:rFonts w:ascii="Times New Roman" w:hAnsi="Times New Roman" w:cs="Times New Roman"/>
        </w:rPr>
        <w:t xml:space="preserve">.  </w:t>
      </w:r>
      <w:r w:rsidR="00600B78">
        <w:rPr>
          <w:rFonts w:ascii="Times New Roman" w:hAnsi="Times New Roman" w:cs="Times New Roman"/>
        </w:rPr>
        <w:t>Thank you for your consideration.</w:t>
      </w:r>
    </w:p>
    <w:p w14:paraId="4130A47A" w14:textId="77777777" w:rsidR="0051020D" w:rsidRPr="00791486" w:rsidRDefault="0051020D" w:rsidP="00791486">
      <w:pPr>
        <w:rPr>
          <w:rFonts w:ascii="Times New Roman" w:hAnsi="Times New Roman" w:cs="Times New Roman"/>
        </w:rPr>
      </w:pPr>
    </w:p>
    <w:p w14:paraId="6D2132AF" w14:textId="1FF7F52A" w:rsidR="009C10C4" w:rsidRPr="00791486" w:rsidRDefault="009C10C4" w:rsidP="00791486">
      <w:pPr>
        <w:rPr>
          <w:rFonts w:ascii="Times New Roman" w:hAnsi="Times New Roman" w:cs="Times New Roman"/>
        </w:rPr>
      </w:pPr>
      <w:r w:rsidRPr="00791486">
        <w:rPr>
          <w:rFonts w:ascii="Times New Roman" w:hAnsi="Times New Roman" w:cs="Times New Roman"/>
        </w:rPr>
        <w:t>Best Regards,</w:t>
      </w:r>
    </w:p>
    <w:p w14:paraId="2CF38744" w14:textId="6A69FD80" w:rsidR="00C9654F" w:rsidRPr="00791486" w:rsidRDefault="00967776" w:rsidP="00791486">
      <w:pPr>
        <w:rPr>
          <w:rFonts w:ascii="Times New Roman" w:hAnsi="Times New Roman" w:cs="Times New Roman"/>
        </w:rPr>
      </w:pPr>
      <w:r w:rsidRPr="00791486">
        <w:rPr>
          <w:rFonts w:ascii="Times New Roman" w:hAnsi="Times New Roman" w:cs="Times New Roman"/>
          <w:noProof/>
        </w:rPr>
        <w:drawing>
          <wp:inline distT="0" distB="0" distL="0" distR="0" wp14:anchorId="6738F2FB" wp14:editId="6CEA5E89">
            <wp:extent cx="2295525" cy="39273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6145" cy="411665"/>
                    </a:xfrm>
                    <a:prstGeom prst="rect">
                      <a:avLst/>
                    </a:prstGeom>
                    <a:noFill/>
                  </pic:spPr>
                </pic:pic>
              </a:graphicData>
            </a:graphic>
          </wp:inline>
        </w:drawing>
      </w:r>
    </w:p>
    <w:p w14:paraId="607687FA" w14:textId="2EE6C619" w:rsidR="00967776" w:rsidRPr="00791486" w:rsidRDefault="00967776" w:rsidP="00791486">
      <w:pPr>
        <w:rPr>
          <w:rFonts w:ascii="Times New Roman" w:hAnsi="Times New Roman" w:cs="Times New Roman"/>
        </w:rPr>
      </w:pPr>
    </w:p>
    <w:p w14:paraId="2DA2613B" w14:textId="7BBADEEC" w:rsidR="009C10C4" w:rsidRPr="00791486" w:rsidRDefault="009C10C4" w:rsidP="00791486">
      <w:pPr>
        <w:rPr>
          <w:rFonts w:ascii="Times New Roman" w:hAnsi="Times New Roman" w:cs="Times New Roman"/>
        </w:rPr>
      </w:pPr>
      <w:r w:rsidRPr="00791486">
        <w:rPr>
          <w:rFonts w:ascii="Times New Roman" w:hAnsi="Times New Roman" w:cs="Times New Roman"/>
        </w:rPr>
        <w:t>Nathan J. Alves, PhD</w:t>
      </w:r>
    </w:p>
    <w:p w14:paraId="0DB14341" w14:textId="77777777" w:rsidR="00CF6508" w:rsidRDefault="007A355A" w:rsidP="00791486">
      <w:pPr>
        <w:rPr>
          <w:rFonts w:ascii="Times New Roman" w:hAnsi="Times New Roman" w:cs="Times New Roman"/>
        </w:rPr>
      </w:pPr>
      <w:r w:rsidRPr="00791486">
        <w:rPr>
          <w:rFonts w:ascii="Times New Roman" w:hAnsi="Times New Roman" w:cs="Times New Roman"/>
        </w:rPr>
        <w:t xml:space="preserve">Assistant Professor </w:t>
      </w:r>
    </w:p>
    <w:p w14:paraId="43861055" w14:textId="0EAC93DD" w:rsidR="007A355A" w:rsidRPr="00791486" w:rsidRDefault="007A355A" w:rsidP="00791486">
      <w:pPr>
        <w:rPr>
          <w:rFonts w:ascii="Times New Roman" w:hAnsi="Times New Roman" w:cs="Times New Roman"/>
        </w:rPr>
      </w:pPr>
      <w:r w:rsidRPr="00791486">
        <w:rPr>
          <w:rFonts w:ascii="Times New Roman" w:hAnsi="Times New Roman" w:cs="Times New Roman"/>
        </w:rPr>
        <w:t>Department of Emergency Medicine</w:t>
      </w:r>
    </w:p>
    <w:p w14:paraId="4B3C259E" w14:textId="77777777" w:rsidR="007A355A" w:rsidRPr="00791486" w:rsidRDefault="007A355A" w:rsidP="00791486">
      <w:pPr>
        <w:rPr>
          <w:rFonts w:ascii="Times New Roman" w:hAnsi="Times New Roman" w:cs="Times New Roman"/>
        </w:rPr>
      </w:pPr>
      <w:r w:rsidRPr="00791486">
        <w:rPr>
          <w:rFonts w:ascii="Times New Roman" w:hAnsi="Times New Roman" w:cs="Times New Roman"/>
        </w:rPr>
        <w:t>Indiana University School of Medicine</w:t>
      </w:r>
    </w:p>
    <w:p w14:paraId="5D7C0832" w14:textId="77777777" w:rsidR="007A355A" w:rsidRPr="00791486" w:rsidRDefault="007A355A" w:rsidP="00791486">
      <w:pPr>
        <w:rPr>
          <w:rFonts w:ascii="Times New Roman" w:hAnsi="Times New Roman" w:cs="Times New Roman"/>
        </w:rPr>
      </w:pPr>
      <w:r w:rsidRPr="00791486">
        <w:rPr>
          <w:rFonts w:ascii="Times New Roman" w:hAnsi="Times New Roman" w:cs="Times New Roman"/>
        </w:rPr>
        <w:t>635 Barnhill Dr. Rm. 371</w:t>
      </w:r>
    </w:p>
    <w:p w14:paraId="7A535248" w14:textId="77777777" w:rsidR="007A355A" w:rsidRPr="00791486" w:rsidRDefault="007A355A" w:rsidP="00791486">
      <w:pPr>
        <w:rPr>
          <w:rFonts w:ascii="Times New Roman" w:hAnsi="Times New Roman" w:cs="Times New Roman"/>
        </w:rPr>
      </w:pPr>
      <w:r w:rsidRPr="00791486">
        <w:rPr>
          <w:rFonts w:ascii="Times New Roman" w:hAnsi="Times New Roman" w:cs="Times New Roman"/>
        </w:rPr>
        <w:t>Indianapolis, IN 46202</w:t>
      </w:r>
    </w:p>
    <w:p w14:paraId="23CBEBBF" w14:textId="5C76A69C" w:rsidR="007A355A" w:rsidRDefault="004A09FD" w:rsidP="00791486">
      <w:pPr>
        <w:rPr>
          <w:rFonts w:ascii="Times New Roman" w:hAnsi="Times New Roman" w:cs="Times New Roman"/>
        </w:rPr>
      </w:pPr>
      <w:hyperlink r:id="rId9" w:history="1">
        <w:r w:rsidRPr="00E96D84">
          <w:rPr>
            <w:rStyle w:val="Hyperlink"/>
            <w:rFonts w:ascii="Times New Roman" w:hAnsi="Times New Roman" w:cs="Times New Roman"/>
          </w:rPr>
          <w:t>nalves@iu.edu</w:t>
        </w:r>
      </w:hyperlink>
    </w:p>
    <w:p w14:paraId="4A5B1683" w14:textId="78A07500" w:rsidR="004A09FD" w:rsidRDefault="004A09FD" w:rsidP="00791486">
      <w:pPr>
        <w:rPr>
          <w:rFonts w:ascii="Times New Roman" w:hAnsi="Times New Roman" w:cs="Times New Roman"/>
        </w:rPr>
      </w:pPr>
    </w:p>
    <w:p w14:paraId="3EB56A59" w14:textId="50BDC128" w:rsidR="004A09FD" w:rsidRDefault="004A09FD" w:rsidP="00791486">
      <w:pPr>
        <w:rPr>
          <w:rFonts w:ascii="Times New Roman" w:hAnsi="Times New Roman" w:cs="Times New Roman"/>
        </w:rPr>
      </w:pPr>
    </w:p>
    <w:p w14:paraId="1AA7F9CB" w14:textId="3926A78E" w:rsidR="004A09FD" w:rsidRDefault="004A09FD" w:rsidP="00791486">
      <w:pPr>
        <w:rPr>
          <w:rFonts w:ascii="Times New Roman" w:hAnsi="Times New Roman" w:cs="Times New Roman"/>
        </w:rPr>
      </w:pPr>
    </w:p>
    <w:p w14:paraId="1AF6BF04" w14:textId="070ABA6C" w:rsidR="004A09FD" w:rsidRDefault="004A09FD" w:rsidP="00791486">
      <w:pPr>
        <w:rPr>
          <w:rFonts w:ascii="Times New Roman" w:hAnsi="Times New Roman" w:cs="Times New Roman"/>
        </w:rPr>
      </w:pPr>
    </w:p>
    <w:p w14:paraId="419E7D07" w14:textId="782F4D6E" w:rsidR="004A09FD" w:rsidRDefault="004A09FD" w:rsidP="00791486">
      <w:pPr>
        <w:rPr>
          <w:rFonts w:ascii="Times New Roman" w:hAnsi="Times New Roman" w:cs="Times New Roman"/>
        </w:rPr>
      </w:pPr>
    </w:p>
    <w:p w14:paraId="49BA77A3" w14:textId="118C79AA" w:rsidR="004A09FD" w:rsidRDefault="004A09FD" w:rsidP="00791486">
      <w:pPr>
        <w:rPr>
          <w:rFonts w:ascii="Times New Roman" w:hAnsi="Times New Roman" w:cs="Times New Roman"/>
        </w:rPr>
      </w:pPr>
    </w:p>
    <w:p w14:paraId="5524333E" w14:textId="68CEAC1C" w:rsidR="004A09FD" w:rsidRDefault="004A09FD" w:rsidP="00791486">
      <w:pPr>
        <w:rPr>
          <w:rFonts w:ascii="Times New Roman" w:hAnsi="Times New Roman" w:cs="Times New Roman"/>
        </w:rPr>
      </w:pPr>
    </w:p>
    <w:p w14:paraId="5BAD9F2A" w14:textId="2EBFE4CD" w:rsidR="004A09FD" w:rsidRDefault="004A09FD" w:rsidP="00791486">
      <w:pPr>
        <w:rPr>
          <w:rFonts w:ascii="Times New Roman" w:hAnsi="Times New Roman" w:cs="Times New Roman"/>
        </w:rPr>
      </w:pPr>
    </w:p>
    <w:p w14:paraId="12B95E73" w14:textId="6C690A50" w:rsidR="004A09FD" w:rsidRDefault="004A09FD" w:rsidP="00791486">
      <w:pPr>
        <w:rPr>
          <w:rFonts w:ascii="Times New Roman" w:hAnsi="Times New Roman" w:cs="Times New Roman"/>
        </w:rPr>
      </w:pPr>
    </w:p>
    <w:p w14:paraId="14BD832B" w14:textId="455DD5DF" w:rsidR="004A09FD" w:rsidRDefault="004A09FD" w:rsidP="00791486">
      <w:pPr>
        <w:rPr>
          <w:rFonts w:ascii="Times New Roman" w:hAnsi="Times New Roman" w:cs="Times New Roman"/>
        </w:rPr>
      </w:pPr>
    </w:p>
    <w:p w14:paraId="0F1C35D8" w14:textId="77777777" w:rsidR="004A09FD" w:rsidRPr="004A09FD" w:rsidRDefault="004A09FD" w:rsidP="004A09FD">
      <w:pPr>
        <w:rPr>
          <w:rFonts w:ascii="Times New Roman" w:hAnsi="Times New Roman" w:cs="Times New Roman"/>
        </w:rPr>
      </w:pPr>
      <w:r w:rsidRPr="004A09FD">
        <w:rPr>
          <w:rFonts w:ascii="Times New Roman" w:hAnsi="Times New Roman" w:cs="Times New Roman"/>
          <w:b/>
          <w:bCs/>
          <w:color w:val="FF0000"/>
          <w:u w:val="single"/>
        </w:rPr>
        <w:lastRenderedPageBreak/>
        <w:t>Editorial Comments:</w:t>
      </w:r>
      <w:r w:rsidRPr="004A09FD">
        <w:rPr>
          <w:rFonts w:ascii="Times New Roman" w:hAnsi="Times New Roman" w:cs="Times New Roman"/>
        </w:rPr>
        <w:br/>
      </w:r>
      <w:r w:rsidRPr="004A09FD">
        <w:rPr>
          <w:rFonts w:ascii="Times New Roman" w:hAnsi="Times New Roman" w:cs="Times New Roman"/>
        </w:rPr>
        <w:br/>
      </w:r>
      <w:r w:rsidRPr="004A09FD">
        <w:rPr>
          <w:rFonts w:ascii="Times New Roman" w:hAnsi="Times New Roman" w:cs="Times New Roman"/>
          <w:b/>
          <w:bCs/>
        </w:rPr>
        <w:t>• Please take this opportunity to thoroughly proofread the manuscript to ensure that there are no spelling or grammatical errors.</w:t>
      </w:r>
      <w:r w:rsidRPr="004A09FD">
        <w:rPr>
          <w:rFonts w:ascii="Times New Roman" w:hAnsi="Times New Roman" w:cs="Times New Roman"/>
        </w:rPr>
        <w:br/>
      </w:r>
    </w:p>
    <w:p w14:paraId="484A550B"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 xml:space="preserve">The manuscript has been proofread. Spelling and grammatical errors have been corrected.  </w:t>
      </w:r>
    </w:p>
    <w:p w14:paraId="66AD72F7"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br/>
      </w:r>
      <w:r w:rsidRPr="004A09FD">
        <w:rPr>
          <w:rFonts w:ascii="Times New Roman" w:hAnsi="Times New Roman" w:cs="Times New Roman"/>
          <w:b/>
          <w:bCs/>
        </w:rPr>
        <w:t xml:space="preserve">• </w:t>
      </w:r>
      <w:r w:rsidRPr="004A09FD">
        <w:rPr>
          <w:rFonts w:ascii="Times New Roman" w:hAnsi="Times New Roman" w:cs="Times New Roman"/>
          <w:b/>
          <w:bCs/>
          <w:color w:val="FF0000"/>
        </w:rPr>
        <w:t>Protocol Detail:</w:t>
      </w:r>
      <w:r w:rsidRPr="004A09FD">
        <w:rPr>
          <w:rFonts w:ascii="Times New Roman" w:hAnsi="Times New Roman" w:cs="Times New Roman"/>
          <w:b/>
          <w:bCs/>
        </w:rPr>
        <w:t xml:space="preserve"> Please note that your protocol will be used to generate the script for the </w:t>
      </w:r>
      <w:proofErr w:type="gramStart"/>
      <w:r w:rsidRPr="004A09FD">
        <w:rPr>
          <w:rFonts w:ascii="Times New Roman" w:hAnsi="Times New Roman" w:cs="Times New Roman"/>
          <w:b/>
          <w:bCs/>
        </w:rPr>
        <w:t>video, and</w:t>
      </w:r>
      <w:proofErr w:type="gramEnd"/>
      <w:r w:rsidRPr="004A09FD">
        <w:rPr>
          <w:rFonts w:ascii="Times New Roman" w:hAnsi="Times New Roman" w:cs="Times New Roman"/>
          <w:b/>
          <w:bCs/>
        </w:rPr>
        <w:t xml:space="preserve"> must contain everything that you would like shown in the video. Please add more specific details (e.g</w:t>
      </w:r>
      <w:r w:rsidRPr="008B61F9">
        <w:rPr>
          <w:rFonts w:ascii="Times New Roman" w:hAnsi="Times New Roman" w:cs="Times New Roman"/>
          <w:b/>
          <w:bCs/>
        </w:rPr>
        <w:t>. button clicks for software actions, numerical values for settings,</w:t>
      </w:r>
      <w:r w:rsidRPr="004A09FD">
        <w:rPr>
          <w:rFonts w:ascii="Times New Roman" w:hAnsi="Times New Roman" w:cs="Times New Roman"/>
          <w:b/>
          <w:bCs/>
        </w:rPr>
        <w:t xml:space="preserve"> </w:t>
      </w:r>
      <w:proofErr w:type="spellStart"/>
      <w:r w:rsidRPr="004A09FD">
        <w:rPr>
          <w:rFonts w:ascii="Times New Roman" w:hAnsi="Times New Roman" w:cs="Times New Roman"/>
          <w:b/>
          <w:bCs/>
        </w:rPr>
        <w:t>etc</w:t>
      </w:r>
      <w:proofErr w:type="spellEnd"/>
      <w:r w:rsidRPr="004A09FD">
        <w:rPr>
          <w:rFonts w:ascii="Times New Roman" w:hAnsi="Times New Roman" w:cs="Times New Roman"/>
          <w:b/>
          <w:bCs/>
        </w:rPr>
        <w:t>) to your protocol steps. There should be enough detail in each step to supplement the actions seen in the video so that viewers can easily replicate the protocol.</w:t>
      </w:r>
      <w:r w:rsidRPr="004A09FD">
        <w:rPr>
          <w:rFonts w:ascii="Times New Roman" w:hAnsi="Times New Roman" w:cs="Times New Roman"/>
        </w:rPr>
        <w:br/>
      </w:r>
    </w:p>
    <w:p w14:paraId="2720641E"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Authors have checked all procedures and made efforts to include all necessary details in the video script.</w:t>
      </w:r>
    </w:p>
    <w:p w14:paraId="20ADAC71"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rPr>
        <w:br/>
      </w:r>
      <w:r w:rsidRPr="004A09FD">
        <w:rPr>
          <w:rFonts w:ascii="Times New Roman" w:hAnsi="Times New Roman" w:cs="Times New Roman"/>
          <w:b/>
          <w:bCs/>
        </w:rPr>
        <w:t xml:space="preserve">• </w:t>
      </w:r>
      <w:r w:rsidRPr="004A09FD">
        <w:rPr>
          <w:rFonts w:ascii="Times New Roman" w:hAnsi="Times New Roman" w:cs="Times New Roman"/>
          <w:b/>
          <w:bCs/>
          <w:color w:val="FF0000"/>
        </w:rPr>
        <w:t>Protocol Highlight:</w:t>
      </w:r>
      <w:r w:rsidRPr="004A09FD">
        <w:rPr>
          <w:rFonts w:ascii="Times New Roman" w:hAnsi="Times New Roman" w:cs="Times New Roman"/>
          <w:b/>
          <w:bCs/>
        </w:rPr>
        <w:br/>
        <w:t>1) Please focus the title on the highlighted portions.</w:t>
      </w:r>
      <w:r w:rsidRPr="004A09FD">
        <w:rPr>
          <w:rFonts w:ascii="Times New Roman" w:hAnsi="Times New Roman" w:cs="Times New Roman"/>
          <w:b/>
          <w:bCs/>
        </w:rPr>
        <w:br/>
        <w:t>2) Notes cannot be filmed and should be excluded from highlighting.</w:t>
      </w:r>
      <w:r w:rsidRPr="004A09FD">
        <w:rPr>
          <w:rFonts w:ascii="Times New Roman" w:hAnsi="Times New Roman" w:cs="Times New Roman"/>
          <w:b/>
          <w:bCs/>
        </w:rPr>
        <w:br/>
      </w:r>
    </w:p>
    <w:p w14:paraId="41BD20D9"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The manuscript title reflects the highlighted portion. Authors have removed highlighting from notes.</w:t>
      </w:r>
    </w:p>
    <w:p w14:paraId="0FA20EB5"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 xml:space="preserve">• </w:t>
      </w:r>
      <w:r w:rsidRPr="004A09FD">
        <w:rPr>
          <w:rFonts w:ascii="Times New Roman" w:hAnsi="Times New Roman" w:cs="Times New Roman"/>
          <w:b/>
          <w:bCs/>
          <w:color w:val="FF0000"/>
        </w:rPr>
        <w:t>Discussion:</w:t>
      </w:r>
      <w:r w:rsidRPr="004A09FD">
        <w:rPr>
          <w:rFonts w:ascii="Times New Roman" w:hAnsi="Times New Roman" w:cs="Times New Roman"/>
          <w:b/>
          <w:bCs/>
        </w:rPr>
        <w:t xml:space="preserve"> </w:t>
      </w:r>
      <w:proofErr w:type="spellStart"/>
      <w:r w:rsidRPr="004A09FD">
        <w:rPr>
          <w:rFonts w:ascii="Times New Roman" w:hAnsi="Times New Roman" w:cs="Times New Roman"/>
          <w:b/>
          <w:bCs/>
        </w:rPr>
        <w:t>JoVE</w:t>
      </w:r>
      <w:proofErr w:type="spellEnd"/>
      <w:r w:rsidRPr="004A09FD">
        <w:rPr>
          <w:rFonts w:ascii="Times New Roman" w:hAnsi="Times New Roman" w:cs="Times New Roman"/>
          <w:b/>
          <w:bC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4A09FD">
        <w:rPr>
          <w:rFonts w:ascii="Times New Roman" w:hAnsi="Times New Roman" w:cs="Times New Roman"/>
          <w:b/>
          <w:bCs/>
        </w:rPr>
        <w:br/>
      </w:r>
    </w:p>
    <w:p w14:paraId="571B027B" w14:textId="2AA2A40A" w:rsidR="004A09FD" w:rsidRPr="004A09FD" w:rsidRDefault="004A09FD" w:rsidP="004A09FD">
      <w:pPr>
        <w:rPr>
          <w:rFonts w:ascii="Times New Roman" w:hAnsi="Times New Roman" w:cs="Times New Roman"/>
        </w:rPr>
      </w:pPr>
      <w:r w:rsidRPr="004A09FD">
        <w:rPr>
          <w:rFonts w:ascii="Times New Roman" w:hAnsi="Times New Roman" w:cs="Times New Roman"/>
        </w:rPr>
        <w:t>Authors have modified/ added content in the discussion of the manuscript and it should now cover all the details mentioned above:</w:t>
      </w:r>
    </w:p>
    <w:p w14:paraId="423B0286" w14:textId="77777777" w:rsidR="004A09FD" w:rsidRPr="004A09FD" w:rsidRDefault="004A09FD" w:rsidP="004A09FD">
      <w:pPr>
        <w:rPr>
          <w:rFonts w:ascii="Times New Roman" w:hAnsi="Times New Roman" w:cs="Times New Roman"/>
        </w:rPr>
      </w:pPr>
    </w:p>
    <w:p w14:paraId="2F321CF4" w14:textId="781C0642" w:rsidR="004A09FD" w:rsidRPr="004A09FD" w:rsidRDefault="004A09FD" w:rsidP="008B61F9">
      <w:pPr>
        <w:rPr>
          <w:rFonts w:ascii="Times New Roman" w:hAnsi="Times New Roman" w:cs="Times New Roman"/>
        </w:rPr>
      </w:pPr>
      <w:r w:rsidRPr="004A09FD">
        <w:rPr>
          <w:rFonts w:ascii="Times New Roman" w:hAnsi="Times New Roman" w:cs="Times New Roman"/>
        </w:rPr>
        <w:t>“</w:t>
      </w:r>
      <w:bookmarkStart w:id="0" w:name="_Hlk38361662"/>
      <w:r w:rsidR="008B61F9" w:rsidRPr="008B61F9">
        <w:rPr>
          <w:rFonts w:ascii="Times New Roman" w:hAnsi="Times New Roman" w:cs="Times New Roman"/>
        </w:rPr>
        <w:t>However, since phosphate can bind to calcium resulting in precipitation, PBS should be avoided when calcium is used as the clot initiator. When studying platelet rich plasma clot formation, it is important to consider platelet settling as a significant confounder when running clot formation assays under conditions in which clot formation is slow.  Issues regarding platelet sett</w:t>
      </w:r>
      <w:r w:rsidR="00056937">
        <w:rPr>
          <w:rFonts w:ascii="Times New Roman" w:hAnsi="Times New Roman" w:cs="Times New Roman"/>
        </w:rPr>
        <w:t>l</w:t>
      </w:r>
      <w:r w:rsidR="008B61F9" w:rsidRPr="008B61F9">
        <w:rPr>
          <w:rFonts w:ascii="Times New Roman" w:hAnsi="Times New Roman" w:cs="Times New Roman"/>
        </w:rPr>
        <w:t xml:space="preserve">ing are less impactful when clot formation is rapid.  This is particularly important for turbidity assays where the assay accuracy and reproducibility largely </w:t>
      </w:r>
      <w:proofErr w:type="gramStart"/>
      <w:r w:rsidR="008B61F9" w:rsidRPr="008B61F9">
        <w:rPr>
          <w:rFonts w:ascii="Times New Roman" w:hAnsi="Times New Roman" w:cs="Times New Roman"/>
        </w:rPr>
        <w:t>relies</w:t>
      </w:r>
      <w:proofErr w:type="gramEnd"/>
      <w:r w:rsidR="008B61F9" w:rsidRPr="008B61F9">
        <w:rPr>
          <w:rFonts w:ascii="Times New Roman" w:hAnsi="Times New Roman" w:cs="Times New Roman"/>
        </w:rPr>
        <w:t xml:space="preserve"> on the homogeneity of the reagents in the well. If experimental design permits, kaolin (often utilized as a clot initiator </w:t>
      </w:r>
      <w:r w:rsidR="00056937">
        <w:rPr>
          <w:rFonts w:ascii="Times New Roman" w:hAnsi="Times New Roman" w:cs="Times New Roman"/>
        </w:rPr>
        <w:t>for</w:t>
      </w:r>
      <w:r w:rsidR="008B61F9" w:rsidRPr="008B61F9">
        <w:rPr>
          <w:rFonts w:ascii="Times New Roman" w:hAnsi="Times New Roman" w:cs="Times New Roman"/>
        </w:rPr>
        <w:t xml:space="preserve"> TEG) or other negatively charged particle activators can be used to speed up plasma clot initiation by providing additional surface area for faster contact pathway activation of the coagulation cascade. Importantly, activator suspensions should be mixed thoroughly with clotting solutions to avoid settling. When utilizing a surface area or charged particle-based clot activator ensure that the necessary background controls are </w:t>
      </w:r>
      <w:proofErr w:type="gramStart"/>
      <w:r w:rsidR="008B61F9" w:rsidRPr="008B61F9">
        <w:rPr>
          <w:rFonts w:ascii="Times New Roman" w:hAnsi="Times New Roman" w:cs="Times New Roman"/>
        </w:rPr>
        <w:t>taken into account</w:t>
      </w:r>
      <w:proofErr w:type="gramEnd"/>
      <w:r w:rsidR="008B61F9" w:rsidRPr="008B61F9">
        <w:rPr>
          <w:rFonts w:ascii="Times New Roman" w:hAnsi="Times New Roman" w:cs="Times New Roman"/>
        </w:rPr>
        <w:t xml:space="preserve"> as the reagents themselves may contribute to absorptivity in turbidity assays.  Additionally, settling may be an issue with larger particle</w:t>
      </w:r>
      <w:r w:rsidR="00056937">
        <w:rPr>
          <w:rFonts w:ascii="Times New Roman" w:hAnsi="Times New Roman" w:cs="Times New Roman"/>
        </w:rPr>
        <w:t>-</w:t>
      </w:r>
      <w:r w:rsidR="008B61F9" w:rsidRPr="008B61F9">
        <w:rPr>
          <w:rFonts w:ascii="Times New Roman" w:hAnsi="Times New Roman" w:cs="Times New Roman"/>
        </w:rPr>
        <w:t>based additives such as kaolin</w:t>
      </w:r>
      <w:r w:rsidRPr="004A09FD">
        <w:rPr>
          <w:rFonts w:ascii="Times New Roman" w:hAnsi="Times New Roman" w:cs="Times New Roman"/>
        </w:rPr>
        <w:t xml:space="preserve">.” </w:t>
      </w:r>
      <w:bookmarkEnd w:id="0"/>
      <w:r w:rsidRPr="004A09FD">
        <w:rPr>
          <w:rFonts w:ascii="Times New Roman" w:hAnsi="Times New Roman" w:cs="Times New Roman"/>
        </w:rPr>
        <w:t xml:space="preserve">(discussion section)  </w:t>
      </w:r>
    </w:p>
    <w:p w14:paraId="308D7789" w14:textId="77777777" w:rsidR="004A09FD" w:rsidRPr="004A09FD" w:rsidRDefault="004A09FD" w:rsidP="004A09FD">
      <w:pPr>
        <w:rPr>
          <w:rFonts w:ascii="Times New Roman" w:hAnsi="Times New Roman" w:cs="Times New Roman"/>
          <w:b/>
          <w:bCs/>
        </w:rPr>
      </w:pPr>
    </w:p>
    <w:p w14:paraId="3E2F93C4"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lastRenderedPageBreak/>
        <w:br/>
        <w:t xml:space="preserve">• </w:t>
      </w:r>
      <w:r w:rsidRPr="004A09FD">
        <w:rPr>
          <w:rFonts w:ascii="Times New Roman" w:hAnsi="Times New Roman" w:cs="Times New Roman"/>
          <w:b/>
          <w:bCs/>
          <w:color w:val="FF0000"/>
        </w:rPr>
        <w:t>Commercial Language: </w:t>
      </w:r>
      <w:proofErr w:type="spellStart"/>
      <w:r w:rsidRPr="004A09FD">
        <w:rPr>
          <w:rFonts w:ascii="Times New Roman" w:hAnsi="Times New Roman" w:cs="Times New Roman"/>
          <w:b/>
          <w:bCs/>
        </w:rPr>
        <w:t>JoVE</w:t>
      </w:r>
      <w:proofErr w:type="spellEnd"/>
      <w:r w:rsidRPr="004A09FD">
        <w:rPr>
          <w:rFonts w:ascii="Times New Roman" w:hAnsi="Times New Roman" w:cs="Times New Roman"/>
          <w:b/>
          <w:bC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4A09FD">
        <w:rPr>
          <w:rFonts w:ascii="Times New Roman" w:hAnsi="Times New Roman" w:cs="Times New Roman"/>
          <w:b/>
          <w:bCs/>
        </w:rPr>
        <w:t>SpectraMax</w:t>
      </w:r>
      <w:proofErr w:type="spellEnd"/>
      <w:r w:rsidRPr="004A09FD">
        <w:rPr>
          <w:rFonts w:ascii="Times New Roman" w:hAnsi="Times New Roman" w:cs="Times New Roman"/>
          <w:b/>
          <w:bCs/>
        </w:rPr>
        <w:t xml:space="preserve">, </w:t>
      </w:r>
      <w:proofErr w:type="spellStart"/>
      <w:r w:rsidRPr="004A09FD">
        <w:rPr>
          <w:rFonts w:ascii="Times New Roman" w:hAnsi="Times New Roman" w:cs="Times New Roman"/>
          <w:b/>
          <w:bCs/>
        </w:rPr>
        <w:t>Softmax</w:t>
      </w:r>
      <w:proofErr w:type="spellEnd"/>
      <w:r w:rsidRPr="004A09FD">
        <w:rPr>
          <w:rFonts w:ascii="Times New Roman" w:hAnsi="Times New Roman" w:cs="Times New Roman"/>
          <w:b/>
          <w:bCs/>
        </w:rPr>
        <w:t xml:space="preserve"> Pro 7.0, TEG®5000 </w:t>
      </w:r>
      <w:proofErr w:type="spellStart"/>
      <w:r w:rsidRPr="004A09FD">
        <w:rPr>
          <w:rFonts w:ascii="Times New Roman" w:hAnsi="Times New Roman" w:cs="Times New Roman"/>
          <w:b/>
          <w:bCs/>
        </w:rPr>
        <w:t>Thromboelastograph</w:t>
      </w:r>
      <w:proofErr w:type="spellEnd"/>
      <w:r w:rsidRPr="004A09FD">
        <w:rPr>
          <w:rFonts w:ascii="Times New Roman" w:hAnsi="Times New Roman" w:cs="Times New Roman"/>
          <w:b/>
          <w:bCs/>
        </w:rPr>
        <w:t xml:space="preserve"> Hemostasis Analyzer, </w:t>
      </w:r>
      <w:proofErr w:type="spellStart"/>
      <w:r w:rsidRPr="004A09FD">
        <w:rPr>
          <w:rFonts w:ascii="Times New Roman" w:hAnsi="Times New Roman" w:cs="Times New Roman"/>
          <w:b/>
          <w:bCs/>
        </w:rPr>
        <w:t>Haemonetics</w:t>
      </w:r>
      <w:proofErr w:type="spellEnd"/>
      <w:r w:rsidRPr="004A09FD">
        <w:rPr>
          <w:rFonts w:ascii="Times New Roman" w:hAnsi="Times New Roman" w:cs="Times New Roman"/>
          <w:b/>
          <w:bCs/>
        </w:rPr>
        <w:t xml:space="preserve"> Corporation, TEG Analytical Software®</w:t>
      </w:r>
      <w:r w:rsidRPr="004A09FD">
        <w:rPr>
          <w:rFonts w:ascii="Times New Roman" w:hAnsi="Times New Roman" w:cs="Times New Roman"/>
          <w:b/>
          <w:bCs/>
        </w:rPr>
        <w:br/>
        <w:t>1) Please use MS Word’s find function (</w:t>
      </w:r>
      <w:proofErr w:type="spellStart"/>
      <w:r w:rsidRPr="004A09FD">
        <w:rPr>
          <w:rFonts w:ascii="Times New Roman" w:hAnsi="Times New Roman" w:cs="Times New Roman"/>
          <w:b/>
          <w:bCs/>
        </w:rPr>
        <w:t>Ctrl+F</w:t>
      </w:r>
      <w:proofErr w:type="spellEnd"/>
      <w:r w:rsidRPr="004A09FD">
        <w:rPr>
          <w:rFonts w:ascii="Times New Roman" w:hAnsi="Times New Roman" w:cs="Times New Roman"/>
          <w:b/>
          <w:bCs/>
        </w:rPr>
        <w:t xml:space="preserve">), to locate and replace all commercial sounding language in your manuscript with generic names that are not company-specific. All commercial products should be sufficiently referenced in the table of materials/reagents. You </w:t>
      </w:r>
      <w:r w:rsidRPr="008B61F9">
        <w:rPr>
          <w:rFonts w:ascii="Times New Roman" w:hAnsi="Times New Roman" w:cs="Times New Roman"/>
          <w:b/>
          <w:bCs/>
        </w:rPr>
        <w:t>may use the generic term followed by “(see table of materials)”</w:t>
      </w:r>
      <w:r w:rsidRPr="004A09FD">
        <w:rPr>
          <w:rFonts w:ascii="Times New Roman" w:hAnsi="Times New Roman" w:cs="Times New Roman"/>
          <w:b/>
          <w:bCs/>
        </w:rPr>
        <w:t xml:space="preserve"> to draw the readers’ attention to specific commercial names.</w:t>
      </w:r>
      <w:r w:rsidRPr="004A09FD">
        <w:rPr>
          <w:rFonts w:ascii="Times New Roman" w:hAnsi="Times New Roman" w:cs="Times New Roman"/>
          <w:b/>
          <w:bCs/>
        </w:rPr>
        <w:br/>
      </w:r>
    </w:p>
    <w:p w14:paraId="4244AD9B"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Authors have removed or replaced all commercial sounding languages.</w:t>
      </w:r>
    </w:p>
    <w:p w14:paraId="5FC4E042"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A09FD">
        <w:rPr>
          <w:rFonts w:ascii="Times New Roman" w:hAnsi="Times New Roman" w:cs="Times New Roman"/>
          <w:b/>
          <w:bCs/>
        </w:rPr>
        <w:t>JoVE</w:t>
      </w:r>
      <w:proofErr w:type="spellEnd"/>
      <w:r w:rsidRPr="004A09FD">
        <w:rPr>
          <w:rFonts w:ascii="Times New Roman" w:hAnsi="Times New Roman" w:cs="Times New Roman"/>
          <w:b/>
          <w:bCs/>
        </w:rPr>
        <w:t xml:space="preserve">)" section. Please also cite the figure appropriately in the figure legend, i.e. "This figure has been modified from [citation]." </w:t>
      </w:r>
    </w:p>
    <w:p w14:paraId="1EDC32B9" w14:textId="77777777" w:rsidR="004A09FD" w:rsidRPr="004A09FD" w:rsidRDefault="004A09FD" w:rsidP="004A09FD">
      <w:pPr>
        <w:rPr>
          <w:rFonts w:ascii="Times New Roman" w:hAnsi="Times New Roman" w:cs="Times New Roman"/>
        </w:rPr>
      </w:pPr>
    </w:p>
    <w:p w14:paraId="0092A885"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Authors reuse one figure (figure 3) in this manuscript and it is properly cited. A reuse permission has been obtained and the file is saved in a separate word document.</w:t>
      </w:r>
    </w:p>
    <w:p w14:paraId="1557AA78" w14:textId="77777777" w:rsidR="004A09FD" w:rsidRPr="004A09FD" w:rsidRDefault="004A09FD" w:rsidP="004A09FD">
      <w:pPr>
        <w:rPr>
          <w:rFonts w:ascii="Times New Roman" w:hAnsi="Times New Roman" w:cs="Times New Roman"/>
          <w:b/>
          <w:bCs/>
        </w:rPr>
      </w:pPr>
    </w:p>
    <w:p w14:paraId="5F338141" w14:textId="77777777" w:rsidR="004A09FD" w:rsidRPr="004A09FD" w:rsidRDefault="004A09FD" w:rsidP="004A09FD">
      <w:pPr>
        <w:rPr>
          <w:rFonts w:ascii="Times New Roman" w:hAnsi="Times New Roman" w:cs="Times New Roman"/>
          <w:b/>
          <w:bCs/>
        </w:rPr>
      </w:pPr>
    </w:p>
    <w:p w14:paraId="55F280C7" w14:textId="77777777" w:rsidR="004A09FD" w:rsidRPr="004A09FD" w:rsidRDefault="004A09FD" w:rsidP="004A09FD">
      <w:pPr>
        <w:rPr>
          <w:rFonts w:ascii="Times New Roman" w:hAnsi="Times New Roman" w:cs="Times New Roman"/>
        </w:rPr>
      </w:pPr>
      <w:r w:rsidRPr="004A09FD">
        <w:rPr>
          <w:rFonts w:ascii="Times New Roman" w:hAnsi="Times New Roman" w:cs="Times New Roman"/>
          <w:b/>
          <w:bCs/>
        </w:rPr>
        <w:t>Reviewer #1:</w:t>
      </w:r>
      <w:r w:rsidRPr="004A09FD">
        <w:rPr>
          <w:rFonts w:ascii="Times New Roman" w:hAnsi="Times New Roman" w:cs="Times New Roman"/>
        </w:rPr>
        <w:br/>
      </w:r>
      <w:r w:rsidRPr="004A09FD">
        <w:rPr>
          <w:rFonts w:ascii="Times New Roman" w:hAnsi="Times New Roman" w:cs="Times New Roman"/>
          <w:b/>
          <w:bCs/>
        </w:rPr>
        <w:t>Manuscript Summary:</w:t>
      </w:r>
      <w:r w:rsidRPr="004A09FD">
        <w:rPr>
          <w:rFonts w:ascii="Times New Roman" w:hAnsi="Times New Roman" w:cs="Times New Roman"/>
          <w:b/>
          <w:bCs/>
        </w:rPr>
        <w:br/>
        <w:t>The procedure of the tests is really clearly described in the present manuscript However in Zeng et al Thrombosis Research 2020 article all the variables listed as possible changes in the present manuscript: albumin concentration, ionic strength and pH, are very well described there but not is this one. This manuscript seems to be the model and the possibilities of changing the variables are listed, but without details.</w:t>
      </w:r>
      <w:r w:rsidRPr="004A09FD">
        <w:rPr>
          <w:rFonts w:ascii="Times New Roman" w:hAnsi="Times New Roman" w:cs="Times New Roman"/>
        </w:rPr>
        <w:br/>
      </w:r>
    </w:p>
    <w:p w14:paraId="53433280" w14:textId="03B66072" w:rsidR="004A09FD" w:rsidRDefault="004A09FD" w:rsidP="004A09FD">
      <w:pPr>
        <w:rPr>
          <w:rFonts w:ascii="Times New Roman" w:hAnsi="Times New Roman" w:cs="Times New Roman"/>
        </w:rPr>
      </w:pPr>
      <w:r w:rsidRPr="004A09FD">
        <w:rPr>
          <w:rFonts w:ascii="Times New Roman" w:hAnsi="Times New Roman" w:cs="Times New Roman"/>
        </w:rPr>
        <w:t xml:space="preserve">The authors would like to draw the attention of the reviewer to Section 5 in the protocol.  The aim of this manuscript was to introduce experimental procedures and analysis used in basic </w:t>
      </w:r>
      <w:proofErr w:type="spellStart"/>
      <w:r w:rsidRPr="004A09FD">
        <w:rPr>
          <w:rFonts w:ascii="Times New Roman" w:hAnsi="Times New Roman" w:cs="Times New Roman"/>
        </w:rPr>
        <w:t>thromboelastography</w:t>
      </w:r>
      <w:proofErr w:type="spellEnd"/>
      <w:r w:rsidRPr="004A09FD">
        <w:rPr>
          <w:rFonts w:ascii="Times New Roman" w:hAnsi="Times New Roman" w:cs="Times New Roman"/>
        </w:rPr>
        <w:t xml:space="preserve"> and turbidity assays for clot characterization. To maintain the focus on methodology, procedures omitting the complexities that accompany changing of the listed variables was first described in the initial four sections of the protocol. A separate section (section 5) was added to elaborate experimental procedures of how to modify the protocol and change variables, such as fibrinogen, thrombin and albumin concentrations, pH, ionic strength. </w:t>
      </w:r>
    </w:p>
    <w:p w14:paraId="2E622EA3" w14:textId="07A3FD82" w:rsidR="00CC2202" w:rsidRDefault="00CC2202" w:rsidP="004A09FD">
      <w:pPr>
        <w:rPr>
          <w:rFonts w:ascii="Times New Roman" w:hAnsi="Times New Roman" w:cs="Times New Roman"/>
        </w:rPr>
      </w:pPr>
    </w:p>
    <w:p w14:paraId="394112FC" w14:textId="0372920B" w:rsidR="00CC2202" w:rsidRPr="004A09FD" w:rsidRDefault="00CC2202" w:rsidP="004A09FD">
      <w:pPr>
        <w:rPr>
          <w:rFonts w:ascii="Times New Roman" w:hAnsi="Times New Roman" w:cs="Times New Roman"/>
        </w:rPr>
      </w:pPr>
      <w:r>
        <w:rPr>
          <w:rFonts w:ascii="Times New Roman" w:hAnsi="Times New Roman" w:cs="Times New Roman"/>
        </w:rPr>
        <w:t>A sentence has been added to the end of the introduction to guide the reader that details regarding the specific clotting variations that are listed will be discussed following the</w:t>
      </w:r>
      <w:r w:rsidR="00EC0FA9">
        <w:rPr>
          <w:rFonts w:ascii="Times New Roman" w:hAnsi="Times New Roman" w:cs="Times New Roman"/>
        </w:rPr>
        <w:t xml:space="preserve"> </w:t>
      </w:r>
      <w:r w:rsidR="00EC0FA9">
        <w:rPr>
          <w:rFonts w:ascii="Times New Roman" w:hAnsi="Times New Roman" w:cs="Times New Roman"/>
        </w:rPr>
        <w:lastRenderedPageBreak/>
        <w:t>description of the</w:t>
      </w:r>
      <w:r>
        <w:rPr>
          <w:rFonts w:ascii="Times New Roman" w:hAnsi="Times New Roman" w:cs="Times New Roman"/>
        </w:rPr>
        <w:t xml:space="preserve"> techniques. “</w:t>
      </w:r>
      <w:r w:rsidRPr="00CC2202">
        <w:rPr>
          <w:rFonts w:ascii="Times New Roman" w:hAnsi="Times New Roman" w:cs="Times New Roman"/>
        </w:rPr>
        <w:t>Details regarding these variations to the protocol have been included in Section 5.</w:t>
      </w:r>
      <w:r>
        <w:rPr>
          <w:rFonts w:ascii="Times New Roman" w:hAnsi="Times New Roman" w:cs="Times New Roman"/>
        </w:rPr>
        <w:t>”</w:t>
      </w:r>
    </w:p>
    <w:p w14:paraId="53F53B08"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rPr>
        <w:br/>
      </w:r>
      <w:r w:rsidRPr="004A09FD">
        <w:rPr>
          <w:rFonts w:ascii="Times New Roman" w:hAnsi="Times New Roman" w:cs="Times New Roman"/>
          <w:b/>
          <w:bCs/>
        </w:rPr>
        <w:t>Minor Concerns:</w:t>
      </w:r>
      <w:r w:rsidRPr="004A09FD">
        <w:rPr>
          <w:rFonts w:ascii="Times New Roman" w:hAnsi="Times New Roman" w:cs="Times New Roman"/>
          <w:b/>
          <w:bCs/>
        </w:rPr>
        <w:br/>
        <w:t xml:space="preserve">Considering the discussion of the possibility to use these methods for clinical samples, the authors should to be more careful and explained that turbidimetric assay will be very hard to standardize if Platelet reach plasma is used do to the fact that platelets will decant in the well base during the 60 min of Absorbance reading. In the same way Kaolin is a heavy powder that is useful to is not useful in </w:t>
      </w:r>
      <w:proofErr w:type="spellStart"/>
      <w:r w:rsidRPr="004A09FD">
        <w:rPr>
          <w:rFonts w:ascii="Times New Roman" w:hAnsi="Times New Roman" w:cs="Times New Roman"/>
          <w:b/>
          <w:bCs/>
        </w:rPr>
        <w:t>photooptical</w:t>
      </w:r>
      <w:proofErr w:type="spellEnd"/>
      <w:r w:rsidRPr="004A09FD">
        <w:rPr>
          <w:rFonts w:ascii="Times New Roman" w:hAnsi="Times New Roman" w:cs="Times New Roman"/>
          <w:b/>
          <w:bCs/>
        </w:rPr>
        <w:t xml:space="preserve"> coagulometers because of the turbidity and the need to mix all over the time because it decants in well base as well. Perhaps some colloidal silica suspensions or </w:t>
      </w:r>
      <w:proofErr w:type="spellStart"/>
      <w:r w:rsidRPr="004A09FD">
        <w:rPr>
          <w:rFonts w:ascii="Times New Roman" w:hAnsi="Times New Roman" w:cs="Times New Roman"/>
          <w:b/>
          <w:bCs/>
        </w:rPr>
        <w:t>celite</w:t>
      </w:r>
      <w:proofErr w:type="spellEnd"/>
      <w:r w:rsidRPr="004A09FD">
        <w:rPr>
          <w:rFonts w:ascii="Times New Roman" w:hAnsi="Times New Roman" w:cs="Times New Roman"/>
          <w:b/>
          <w:bCs/>
        </w:rPr>
        <w:t xml:space="preserve"> suspension as negatively charged intrinsic coagulation pathway activators could be more adequate for these experiments. So, it is recommended to consider these limitations in the discussion. PRP or whole blood, as well as Kaolin or other negatively charged materials </w:t>
      </w:r>
      <w:proofErr w:type="gramStart"/>
      <w:r w:rsidRPr="004A09FD">
        <w:rPr>
          <w:rFonts w:ascii="Times New Roman" w:hAnsi="Times New Roman" w:cs="Times New Roman"/>
          <w:b/>
          <w:bCs/>
        </w:rPr>
        <w:t>are able to</w:t>
      </w:r>
      <w:proofErr w:type="gramEnd"/>
      <w:r w:rsidRPr="004A09FD">
        <w:rPr>
          <w:rFonts w:ascii="Times New Roman" w:hAnsi="Times New Roman" w:cs="Times New Roman"/>
          <w:b/>
          <w:bCs/>
        </w:rPr>
        <w:t xml:space="preserve"> be processed by TEG instrument without problems.</w:t>
      </w:r>
      <w:r w:rsidRPr="004A09FD">
        <w:rPr>
          <w:rFonts w:ascii="Times New Roman" w:hAnsi="Times New Roman" w:cs="Times New Roman"/>
          <w:b/>
          <w:bCs/>
        </w:rPr>
        <w:br/>
      </w:r>
    </w:p>
    <w:p w14:paraId="01E67648"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To address reviewer’s concerns the following sentences are modified and added in the discussion session of the manuscript:</w:t>
      </w:r>
    </w:p>
    <w:p w14:paraId="01544981" w14:textId="77777777" w:rsidR="004A09FD" w:rsidRPr="004A09FD" w:rsidRDefault="004A09FD" w:rsidP="004A09FD">
      <w:pPr>
        <w:rPr>
          <w:rFonts w:ascii="Times New Roman" w:hAnsi="Times New Roman" w:cs="Times New Roman"/>
        </w:rPr>
      </w:pPr>
    </w:p>
    <w:p w14:paraId="483E0381" w14:textId="66291A92" w:rsidR="004A09FD" w:rsidRPr="004A09FD" w:rsidRDefault="004A09FD" w:rsidP="008A3F4A">
      <w:pPr>
        <w:rPr>
          <w:rFonts w:ascii="Times New Roman" w:hAnsi="Times New Roman" w:cs="Times New Roman"/>
        </w:rPr>
      </w:pPr>
      <w:r w:rsidRPr="004A09FD">
        <w:rPr>
          <w:rFonts w:ascii="Times New Roman" w:hAnsi="Times New Roman" w:cs="Times New Roman"/>
        </w:rPr>
        <w:t>“</w:t>
      </w:r>
      <w:bookmarkStart w:id="1" w:name="_Hlk38109499"/>
      <w:r w:rsidR="00056937" w:rsidRPr="008B61F9">
        <w:rPr>
          <w:rFonts w:ascii="Times New Roman" w:hAnsi="Times New Roman" w:cs="Times New Roman"/>
        </w:rPr>
        <w:t>When studying platelet rich plasma clot formation, it is important to consider platelet settling as a significant confounder when running clot formation assays under conditions in which clot formation is slow.  Issues regarding platelet sett</w:t>
      </w:r>
      <w:r w:rsidR="00056937">
        <w:rPr>
          <w:rFonts w:ascii="Times New Roman" w:hAnsi="Times New Roman" w:cs="Times New Roman"/>
        </w:rPr>
        <w:t>l</w:t>
      </w:r>
      <w:r w:rsidR="00056937" w:rsidRPr="008B61F9">
        <w:rPr>
          <w:rFonts w:ascii="Times New Roman" w:hAnsi="Times New Roman" w:cs="Times New Roman"/>
        </w:rPr>
        <w:t xml:space="preserve">ing are less impactful when clot formation is rapid.  This is particularly important for turbidity assays where the assay accuracy and reproducibility largely </w:t>
      </w:r>
      <w:proofErr w:type="gramStart"/>
      <w:r w:rsidR="00056937" w:rsidRPr="008B61F9">
        <w:rPr>
          <w:rFonts w:ascii="Times New Roman" w:hAnsi="Times New Roman" w:cs="Times New Roman"/>
        </w:rPr>
        <w:t>relies</w:t>
      </w:r>
      <w:proofErr w:type="gramEnd"/>
      <w:r w:rsidR="00056937" w:rsidRPr="008B61F9">
        <w:rPr>
          <w:rFonts w:ascii="Times New Roman" w:hAnsi="Times New Roman" w:cs="Times New Roman"/>
        </w:rPr>
        <w:t xml:space="preserve"> on the homogeneity of the reagents in the well. If experimental design permits, kaolin (often utilized as a clot initiator </w:t>
      </w:r>
      <w:r w:rsidR="00056937">
        <w:rPr>
          <w:rFonts w:ascii="Times New Roman" w:hAnsi="Times New Roman" w:cs="Times New Roman"/>
        </w:rPr>
        <w:t>for</w:t>
      </w:r>
      <w:r w:rsidR="00056937" w:rsidRPr="008B61F9">
        <w:rPr>
          <w:rFonts w:ascii="Times New Roman" w:hAnsi="Times New Roman" w:cs="Times New Roman"/>
        </w:rPr>
        <w:t xml:space="preserve"> TEG) or other negatively charged particle activators can be used to speed up plasma clot initiation by providing additional surface area for faster contact pathway activation of the coagulation cascade. Importantly, activator suspensions should be mixed thoroughly with clotting solutions to avoid settling. When utilizing a surface area or charged particle-based clot activator ensure that the necessary background controls are </w:t>
      </w:r>
      <w:proofErr w:type="gramStart"/>
      <w:r w:rsidR="00056937" w:rsidRPr="008B61F9">
        <w:rPr>
          <w:rFonts w:ascii="Times New Roman" w:hAnsi="Times New Roman" w:cs="Times New Roman"/>
        </w:rPr>
        <w:t>taken into account</w:t>
      </w:r>
      <w:proofErr w:type="gramEnd"/>
      <w:r w:rsidR="00056937" w:rsidRPr="008B61F9">
        <w:rPr>
          <w:rFonts w:ascii="Times New Roman" w:hAnsi="Times New Roman" w:cs="Times New Roman"/>
        </w:rPr>
        <w:t xml:space="preserve"> as the reagents themselves may contribute to absorptivity in turbidity assays.  Additionally, settling may be an issue with larger particle</w:t>
      </w:r>
      <w:r w:rsidR="00056937">
        <w:rPr>
          <w:rFonts w:ascii="Times New Roman" w:hAnsi="Times New Roman" w:cs="Times New Roman"/>
        </w:rPr>
        <w:t>-</w:t>
      </w:r>
      <w:r w:rsidR="00056937" w:rsidRPr="008B61F9">
        <w:rPr>
          <w:rFonts w:ascii="Times New Roman" w:hAnsi="Times New Roman" w:cs="Times New Roman"/>
        </w:rPr>
        <w:t>based additives such as kaolin</w:t>
      </w:r>
      <w:r w:rsidR="008A3F4A" w:rsidRPr="008A3F4A">
        <w:rPr>
          <w:rFonts w:ascii="Times New Roman" w:hAnsi="Times New Roman" w:cs="Times New Roman"/>
        </w:rPr>
        <w:t>.</w:t>
      </w:r>
      <w:r w:rsidRPr="004A09FD">
        <w:rPr>
          <w:rFonts w:ascii="Times New Roman" w:hAnsi="Times New Roman" w:cs="Times New Roman"/>
          <w:color w:val="000000" w:themeColor="text1"/>
        </w:rPr>
        <w:t>”</w:t>
      </w:r>
    </w:p>
    <w:bookmarkEnd w:id="1"/>
    <w:p w14:paraId="0E193C6A"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br/>
      </w:r>
      <w:r w:rsidRPr="004A09FD">
        <w:rPr>
          <w:rFonts w:ascii="Times New Roman" w:hAnsi="Times New Roman" w:cs="Times New Roman"/>
        </w:rPr>
        <w:br/>
      </w:r>
      <w:r w:rsidRPr="004A09FD">
        <w:rPr>
          <w:rFonts w:ascii="Times New Roman" w:hAnsi="Times New Roman" w:cs="Times New Roman"/>
          <w:b/>
          <w:bCs/>
        </w:rPr>
        <w:t>Reviewer #2:</w:t>
      </w:r>
      <w:r w:rsidRPr="004A09FD">
        <w:rPr>
          <w:rFonts w:ascii="Times New Roman" w:hAnsi="Times New Roman" w:cs="Times New Roman"/>
        </w:rPr>
        <w:br/>
      </w:r>
      <w:r w:rsidRPr="004A09FD">
        <w:rPr>
          <w:rFonts w:ascii="Times New Roman" w:hAnsi="Times New Roman" w:cs="Times New Roman"/>
          <w:b/>
          <w:bCs/>
        </w:rPr>
        <w:t>Manuscript Summary:</w:t>
      </w:r>
      <w:r w:rsidRPr="004A09FD">
        <w:rPr>
          <w:rFonts w:ascii="Times New Roman" w:hAnsi="Times New Roman" w:cs="Times New Roman"/>
          <w:b/>
          <w:bCs/>
        </w:rPr>
        <w:br/>
        <w:t xml:space="preserve">The authors describe the use of two techniques to investigate clot structure, namely turbidity and </w:t>
      </w:r>
      <w:proofErr w:type="spellStart"/>
      <w:r w:rsidRPr="004A09FD">
        <w:rPr>
          <w:rFonts w:ascii="Times New Roman" w:hAnsi="Times New Roman" w:cs="Times New Roman"/>
          <w:b/>
          <w:bCs/>
        </w:rPr>
        <w:t>thromboelastography</w:t>
      </w:r>
      <w:proofErr w:type="spellEnd"/>
      <w:r w:rsidRPr="004A09FD">
        <w:rPr>
          <w:rFonts w:ascii="Times New Roman" w:hAnsi="Times New Roman" w:cs="Times New Roman"/>
          <w:b/>
          <w:bCs/>
        </w:rPr>
        <w:t xml:space="preserve">. The methodology described by the authors is sufficiently detailed, leading to the formation of fibrin clots from which the specific </w:t>
      </w:r>
      <w:proofErr w:type="spellStart"/>
      <w:r w:rsidRPr="004A09FD">
        <w:rPr>
          <w:rFonts w:ascii="Times New Roman" w:hAnsi="Times New Roman" w:cs="Times New Roman"/>
          <w:b/>
          <w:bCs/>
        </w:rPr>
        <w:t>polymerisation</w:t>
      </w:r>
      <w:proofErr w:type="spellEnd"/>
      <w:r w:rsidRPr="004A09FD">
        <w:rPr>
          <w:rFonts w:ascii="Times New Roman" w:hAnsi="Times New Roman" w:cs="Times New Roman"/>
          <w:b/>
          <w:bCs/>
        </w:rPr>
        <w:t xml:space="preserve"> and clot formation parameters can be determined. However, the reasoning for how the parameters obtained from each method (maximum absorbance or maximum amplitude, and time to maximum absorbance/amplitude) are complementary when </w:t>
      </w:r>
      <w:proofErr w:type="spellStart"/>
      <w:r w:rsidRPr="004A09FD">
        <w:rPr>
          <w:rFonts w:ascii="Times New Roman" w:hAnsi="Times New Roman" w:cs="Times New Roman"/>
          <w:b/>
          <w:bCs/>
        </w:rPr>
        <w:t>utilised</w:t>
      </w:r>
      <w:proofErr w:type="spellEnd"/>
      <w:r w:rsidRPr="004A09FD">
        <w:rPr>
          <w:rFonts w:ascii="Times New Roman" w:hAnsi="Times New Roman" w:cs="Times New Roman"/>
          <w:b/>
          <w:bCs/>
        </w:rPr>
        <w:t xml:space="preserve"> together are not made clear.</w:t>
      </w:r>
      <w:r w:rsidRPr="004A09FD">
        <w:rPr>
          <w:rFonts w:ascii="Times New Roman" w:hAnsi="Times New Roman" w:cs="Times New Roman"/>
          <w:b/>
          <w:bCs/>
        </w:rPr>
        <w:br/>
      </w:r>
    </w:p>
    <w:p w14:paraId="792F6C19" w14:textId="11FBA63C" w:rsidR="004A09FD" w:rsidRDefault="008A3F4A" w:rsidP="004A09FD">
      <w:pPr>
        <w:rPr>
          <w:rFonts w:ascii="Times New Roman" w:hAnsi="Times New Roman" w:cs="Times New Roman"/>
        </w:rPr>
      </w:pPr>
      <w:r>
        <w:rPr>
          <w:rFonts w:ascii="Times New Roman" w:hAnsi="Times New Roman" w:cs="Times New Roman"/>
        </w:rPr>
        <w:t xml:space="preserve">Additional sentences have been added throughout the manuscript to detail how TEG can be used to assess clot strength and turbidity can be utilized a surrogate to fibrin fiber thickness and fibrin fiber density.  When taken together the two techniques provide synergistic clot characterization.  </w:t>
      </w:r>
    </w:p>
    <w:p w14:paraId="15B0C2A4" w14:textId="3927D0A4" w:rsidR="005A65E5" w:rsidRDefault="005A65E5" w:rsidP="004A09FD">
      <w:pPr>
        <w:rPr>
          <w:rFonts w:ascii="Times New Roman" w:hAnsi="Times New Roman" w:cs="Times New Roman"/>
        </w:rPr>
      </w:pPr>
    </w:p>
    <w:p w14:paraId="5E009409" w14:textId="6AEF034A" w:rsidR="00171F80" w:rsidRDefault="00171F80" w:rsidP="004A09FD">
      <w:pPr>
        <w:rPr>
          <w:rFonts w:ascii="Times New Roman" w:hAnsi="Times New Roman" w:cs="Times New Roman"/>
        </w:rPr>
      </w:pPr>
      <w:proofErr w:type="gramStart"/>
      <w:r>
        <w:rPr>
          <w:rFonts w:ascii="Times New Roman" w:hAnsi="Times New Roman" w:cs="Times New Roman"/>
        </w:rPr>
        <w:t>”</w:t>
      </w:r>
      <w:r w:rsidRPr="00171F80">
        <w:rPr>
          <w:rFonts w:ascii="Times New Roman" w:hAnsi="Times New Roman" w:cs="Times New Roman"/>
        </w:rPr>
        <w:t>Results</w:t>
      </w:r>
      <w:proofErr w:type="gramEnd"/>
      <w:r w:rsidRPr="00171F80">
        <w:rPr>
          <w:rFonts w:ascii="Times New Roman" w:hAnsi="Times New Roman" w:cs="Times New Roman"/>
        </w:rPr>
        <w:t xml:space="preserve"> demonstrate that TEG and turbidity  track clot formation via two distinct methods and when utilized together provide complementary clot strength and fiber structural information across diverse clotting conditions.</w:t>
      </w:r>
      <w:r>
        <w:rPr>
          <w:rFonts w:ascii="Times New Roman" w:hAnsi="Times New Roman" w:cs="Times New Roman"/>
        </w:rPr>
        <w:t>”</w:t>
      </w:r>
    </w:p>
    <w:p w14:paraId="3477E858" w14:textId="77777777" w:rsidR="00171F80" w:rsidRDefault="00171F80" w:rsidP="004A09FD">
      <w:pPr>
        <w:rPr>
          <w:rFonts w:ascii="Times New Roman" w:hAnsi="Times New Roman" w:cs="Times New Roman"/>
        </w:rPr>
      </w:pPr>
    </w:p>
    <w:p w14:paraId="477BECDC" w14:textId="21C85CF3" w:rsidR="005A65E5" w:rsidRDefault="005A65E5" w:rsidP="004A09FD">
      <w:pPr>
        <w:rPr>
          <w:rFonts w:ascii="Times New Roman" w:hAnsi="Times New Roman" w:cs="Times New Roman"/>
        </w:rPr>
      </w:pPr>
      <w:r>
        <w:rPr>
          <w:rFonts w:ascii="Times New Roman" w:hAnsi="Times New Roman" w:cs="Times New Roman"/>
        </w:rPr>
        <w:t>“</w:t>
      </w:r>
      <w:r w:rsidRPr="005A65E5">
        <w:rPr>
          <w:rFonts w:ascii="Times New Roman" w:hAnsi="Times New Roman" w:cs="Times New Roman"/>
        </w:rPr>
        <w:t>When both TEG and Turbidity assays are utilized together it provides complementary clot characterization information as clot strength and kinetics are easy extracted from TEG and fibrin fiber thickness can be accessed by optical turbidity measurements.</w:t>
      </w:r>
      <w:r>
        <w:rPr>
          <w:rFonts w:ascii="Times New Roman" w:hAnsi="Times New Roman" w:cs="Times New Roman"/>
        </w:rPr>
        <w:t>”</w:t>
      </w:r>
    </w:p>
    <w:p w14:paraId="1EA29A64" w14:textId="5F09A613" w:rsidR="00155EB7" w:rsidRDefault="00155EB7" w:rsidP="004A09FD">
      <w:pPr>
        <w:rPr>
          <w:rFonts w:ascii="Times New Roman" w:hAnsi="Times New Roman" w:cs="Times New Roman"/>
        </w:rPr>
      </w:pPr>
    </w:p>
    <w:p w14:paraId="10350624" w14:textId="6834DC57" w:rsidR="00155EB7" w:rsidRPr="004A09FD" w:rsidRDefault="00155EB7" w:rsidP="004A09FD">
      <w:pPr>
        <w:rPr>
          <w:rFonts w:ascii="Times New Roman" w:hAnsi="Times New Roman" w:cs="Times New Roman"/>
        </w:rPr>
      </w:pPr>
      <w:r>
        <w:rPr>
          <w:rFonts w:ascii="Times New Roman" w:hAnsi="Times New Roman" w:cs="Times New Roman"/>
        </w:rPr>
        <w:t>“</w:t>
      </w:r>
      <w:r w:rsidRPr="00155EB7">
        <w:rPr>
          <w:rFonts w:ascii="Times New Roman" w:hAnsi="Times New Roman" w:cs="Times New Roman"/>
        </w:rPr>
        <w:t xml:space="preserve">In addition, </w:t>
      </w:r>
      <w:proofErr w:type="spellStart"/>
      <w:r w:rsidRPr="00155EB7">
        <w:rPr>
          <w:rFonts w:ascii="Times New Roman" w:hAnsi="Times New Roman" w:cs="Times New Roman"/>
        </w:rPr>
        <w:t>Turb</w:t>
      </w:r>
      <w:r w:rsidRPr="00155EB7">
        <w:rPr>
          <w:rFonts w:ascii="Times New Roman" w:hAnsi="Times New Roman" w:cs="Times New Roman"/>
          <w:vertAlign w:val="superscript"/>
        </w:rPr>
        <w:t>Max</w:t>
      </w:r>
      <w:proofErr w:type="spellEnd"/>
      <w:r w:rsidRPr="00155EB7">
        <w:rPr>
          <w:rFonts w:ascii="Times New Roman" w:hAnsi="Times New Roman" w:cs="Times New Roman"/>
        </w:rPr>
        <w:t xml:space="preserve"> is an optical measure of clot structure which is indicative of fibrin fiber thickness</w:t>
      </w:r>
      <w:r w:rsidR="003C3AEA">
        <w:rPr>
          <w:rFonts w:ascii="Times New Roman" w:hAnsi="Times New Roman" w:cs="Times New Roman"/>
        </w:rPr>
        <w:t xml:space="preserve"> and fibrin network density</w:t>
      </w:r>
      <w:r w:rsidRPr="00155EB7">
        <w:rPr>
          <w:rFonts w:ascii="Times New Roman" w:hAnsi="Times New Roman" w:cs="Times New Roman"/>
        </w:rPr>
        <w:t xml:space="preserve">. </w:t>
      </w:r>
      <w:proofErr w:type="spellStart"/>
      <w:r w:rsidRPr="00155EB7">
        <w:rPr>
          <w:rFonts w:ascii="Times New Roman" w:hAnsi="Times New Roman" w:cs="Times New Roman"/>
        </w:rPr>
        <w:t>TEG</w:t>
      </w:r>
      <w:r w:rsidRPr="00155EB7">
        <w:rPr>
          <w:rFonts w:ascii="Times New Roman" w:hAnsi="Times New Roman" w:cs="Times New Roman"/>
          <w:vertAlign w:val="superscript"/>
        </w:rPr>
        <w:t>Max</w:t>
      </w:r>
      <w:proofErr w:type="spellEnd"/>
      <w:r w:rsidRPr="00155EB7">
        <w:rPr>
          <w:rFonts w:ascii="Times New Roman" w:hAnsi="Times New Roman" w:cs="Times New Roman"/>
        </w:rPr>
        <w:t xml:space="preserve"> is a mechanical measure that reflects absolute clot strength. They represent different aspects of a clot that can change independent of each other based on our previous findings</w:t>
      </w:r>
      <w:r w:rsidRPr="00155EB7">
        <w:rPr>
          <w:rFonts w:ascii="Times New Roman" w:hAnsi="Times New Roman" w:cs="Times New Roman"/>
          <w:vertAlign w:val="superscript"/>
        </w:rPr>
        <w:t>14</w:t>
      </w:r>
      <w:r w:rsidRPr="00155EB7">
        <w:rPr>
          <w:rFonts w:ascii="Times New Roman" w:hAnsi="Times New Roman" w:cs="Times New Roman"/>
        </w:rPr>
        <w:t>. Taken together, the two values provide complementary insight about the clot microstructures, such as how dense the fibers are packed in the fibrin network.</w:t>
      </w:r>
      <w:r>
        <w:rPr>
          <w:rFonts w:ascii="Times New Roman" w:hAnsi="Times New Roman" w:cs="Times New Roman"/>
        </w:rPr>
        <w:t>”</w:t>
      </w:r>
    </w:p>
    <w:p w14:paraId="2B52E0C3"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rPr>
        <w:br/>
      </w:r>
      <w:r w:rsidRPr="004A09FD">
        <w:rPr>
          <w:rFonts w:ascii="Times New Roman" w:hAnsi="Times New Roman" w:cs="Times New Roman"/>
          <w:b/>
          <w:bCs/>
        </w:rPr>
        <w:t>General comments:</w:t>
      </w:r>
      <w:r w:rsidRPr="004A09FD">
        <w:rPr>
          <w:rFonts w:ascii="Times New Roman" w:hAnsi="Times New Roman" w:cs="Times New Roman"/>
          <w:b/>
          <w:bCs/>
        </w:rPr>
        <w:br/>
        <w:t xml:space="preserve">1) As mentioned above, the way in which the parameters calculated from turbidity and TEG are complementary are not obvious. The authors might consider updating the tittle of the manuscript. Alternatively, a designated section describing what fibrin clot characteristic the chosen parameters are used to measure (e.g., maximum absorbance in turbidity is indicative of </w:t>
      </w:r>
      <w:proofErr w:type="spellStart"/>
      <w:r w:rsidRPr="004A09FD">
        <w:rPr>
          <w:rFonts w:ascii="Times New Roman" w:hAnsi="Times New Roman" w:cs="Times New Roman"/>
          <w:b/>
          <w:bCs/>
        </w:rPr>
        <w:t>fibre</w:t>
      </w:r>
      <w:proofErr w:type="spellEnd"/>
      <w:r w:rsidRPr="004A09FD">
        <w:rPr>
          <w:rFonts w:ascii="Times New Roman" w:hAnsi="Times New Roman" w:cs="Times New Roman"/>
          <w:b/>
          <w:bCs/>
        </w:rPr>
        <w:t xml:space="preserve"> thickness, and maximum amplitude in TEG reflects absolute clot strength), and how these parameters complementary, can be included in the manuscript.</w:t>
      </w:r>
    </w:p>
    <w:p w14:paraId="25855F0D" w14:textId="77777777" w:rsidR="004A09FD" w:rsidRPr="004A09FD" w:rsidRDefault="004A09FD" w:rsidP="004A09FD">
      <w:pPr>
        <w:rPr>
          <w:rFonts w:ascii="Times New Roman" w:hAnsi="Times New Roman" w:cs="Times New Roman"/>
          <w:b/>
          <w:bCs/>
        </w:rPr>
      </w:pPr>
    </w:p>
    <w:p w14:paraId="6B07AE23" w14:textId="3F1C13FC" w:rsidR="004A09FD" w:rsidRPr="004A09FD" w:rsidRDefault="00155EB7" w:rsidP="004A09FD">
      <w:pPr>
        <w:rPr>
          <w:rFonts w:ascii="Times New Roman" w:hAnsi="Times New Roman" w:cs="Times New Roman"/>
          <w:color w:val="000000" w:themeColor="text1"/>
        </w:rPr>
      </w:pPr>
      <w:r>
        <w:rPr>
          <w:rFonts w:ascii="Times New Roman" w:hAnsi="Times New Roman" w:cs="Times New Roman"/>
        </w:rPr>
        <w:t xml:space="preserve">See above added statements to strengthen the complementary claim of the two unique clot characterization techniques. </w:t>
      </w:r>
    </w:p>
    <w:p w14:paraId="20B053E0" w14:textId="77777777" w:rsidR="004A09FD" w:rsidRPr="004A09FD" w:rsidRDefault="004A09FD" w:rsidP="004A09FD">
      <w:pPr>
        <w:rPr>
          <w:rFonts w:ascii="Times New Roman" w:hAnsi="Times New Roman" w:cs="Times New Roman"/>
        </w:rPr>
      </w:pPr>
    </w:p>
    <w:p w14:paraId="278E863A"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2) The use of 'turbidity' and/or 'turbidimetry' is not continuous throughout the manuscript. For instance, 'turbidimetry' is used in the abstract and 'turbidity' in the introduction. The authors do mention that mass/length ratio can be calculated from turbidity data, which justifies the term 'turbidimetry'. However, the actual method described in the manuscript is for turbidity analysis, and with that I would suggest the authors use 'turbidity' throughout the manuscript.</w:t>
      </w:r>
      <w:r w:rsidRPr="004A09FD">
        <w:rPr>
          <w:rFonts w:ascii="Times New Roman" w:hAnsi="Times New Roman" w:cs="Times New Roman"/>
          <w:b/>
          <w:bCs/>
        </w:rPr>
        <w:br/>
      </w:r>
    </w:p>
    <w:p w14:paraId="21C02E59"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 xml:space="preserve">To maintain uniformity, the word “turbidimetry” has been replaced with “turbidity” throughout the manuscript. </w:t>
      </w:r>
    </w:p>
    <w:p w14:paraId="64BEC68D"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Specific comments:</w:t>
      </w:r>
      <w:r w:rsidRPr="004A09FD">
        <w:rPr>
          <w:rFonts w:ascii="Times New Roman" w:hAnsi="Times New Roman" w:cs="Times New Roman"/>
          <w:b/>
          <w:bCs/>
        </w:rPr>
        <w:br/>
        <w:t>3) In the abstract and first paragraph of the introduction the authors refer to fibrin as the primary protein responsible for clot formation. This should be updated to fibrinogen or fibrin(</w:t>
      </w:r>
      <w:proofErr w:type="spellStart"/>
      <w:r w:rsidRPr="004A09FD">
        <w:rPr>
          <w:rFonts w:ascii="Times New Roman" w:hAnsi="Times New Roman" w:cs="Times New Roman"/>
          <w:b/>
          <w:bCs/>
        </w:rPr>
        <w:t>ogen</w:t>
      </w:r>
      <w:proofErr w:type="spellEnd"/>
      <w:r w:rsidRPr="004A09FD">
        <w:rPr>
          <w:rFonts w:ascii="Times New Roman" w:hAnsi="Times New Roman" w:cs="Times New Roman"/>
          <w:b/>
          <w:bCs/>
        </w:rPr>
        <w:t>) for a more accurate description.</w:t>
      </w:r>
    </w:p>
    <w:p w14:paraId="05D3EE3C" w14:textId="77777777" w:rsidR="004A09FD" w:rsidRPr="004A09FD" w:rsidRDefault="004A09FD" w:rsidP="004A09FD">
      <w:pPr>
        <w:rPr>
          <w:rFonts w:ascii="Times New Roman" w:hAnsi="Times New Roman" w:cs="Times New Roman"/>
          <w:b/>
          <w:bCs/>
        </w:rPr>
      </w:pPr>
    </w:p>
    <w:p w14:paraId="2E673390" w14:textId="6827092B" w:rsidR="004A09FD" w:rsidRPr="004A09FD" w:rsidRDefault="004A09FD" w:rsidP="004A09FD">
      <w:pPr>
        <w:rPr>
          <w:rFonts w:ascii="Times New Roman" w:hAnsi="Times New Roman" w:cs="Times New Roman"/>
        </w:rPr>
      </w:pPr>
      <w:r w:rsidRPr="004A09FD">
        <w:rPr>
          <w:rFonts w:ascii="Times New Roman" w:hAnsi="Times New Roman" w:cs="Times New Roman"/>
        </w:rPr>
        <w:t>In both</w:t>
      </w:r>
      <w:r w:rsidR="009F6FC4">
        <w:rPr>
          <w:rFonts w:ascii="Times New Roman" w:hAnsi="Times New Roman" w:cs="Times New Roman"/>
        </w:rPr>
        <w:t xml:space="preserve"> the</w:t>
      </w:r>
      <w:r w:rsidRPr="004A09FD">
        <w:rPr>
          <w:rFonts w:ascii="Times New Roman" w:hAnsi="Times New Roman" w:cs="Times New Roman"/>
        </w:rPr>
        <w:t xml:space="preserve"> abstract and introduction, the word “fibrin” has been replaced with “fibrin(</w:t>
      </w:r>
      <w:proofErr w:type="spellStart"/>
      <w:r w:rsidRPr="004A09FD">
        <w:rPr>
          <w:rFonts w:ascii="Times New Roman" w:hAnsi="Times New Roman" w:cs="Times New Roman"/>
        </w:rPr>
        <w:t>ogen</w:t>
      </w:r>
      <w:proofErr w:type="spellEnd"/>
      <w:r w:rsidRPr="004A09FD">
        <w:rPr>
          <w:rFonts w:ascii="Times New Roman" w:hAnsi="Times New Roman" w:cs="Times New Roman"/>
        </w:rPr>
        <w:t>).”</w:t>
      </w:r>
      <w:r w:rsidRPr="004A09FD">
        <w:rPr>
          <w:rFonts w:ascii="Times New Roman" w:hAnsi="Times New Roman" w:cs="Times New Roman"/>
        </w:rPr>
        <w:br/>
      </w:r>
    </w:p>
    <w:p w14:paraId="4831E4E4"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t xml:space="preserve">4) Following from the previous comment, on lines 50-51 the authors state 'In the final step of the coagulation cascade, fibrin monomers are cleaved from fibrinogen by thrombin…'. </w:t>
      </w:r>
      <w:r w:rsidRPr="004A09FD">
        <w:rPr>
          <w:rFonts w:ascii="Times New Roman" w:hAnsi="Times New Roman" w:cs="Times New Roman"/>
          <w:b/>
          <w:bCs/>
        </w:rPr>
        <w:lastRenderedPageBreak/>
        <w:t xml:space="preserve">This sentence in incorrect and needs careful revision! Fibrinogen, which is the final product of the coagulation cascade, has its fibrinopeptides cleave by thrombin to form fibrin monomers that </w:t>
      </w:r>
      <w:proofErr w:type="gramStart"/>
      <w:r w:rsidRPr="004A09FD">
        <w:rPr>
          <w:rFonts w:ascii="Times New Roman" w:hAnsi="Times New Roman" w:cs="Times New Roman"/>
          <w:b/>
          <w:bCs/>
        </w:rPr>
        <w:t>are able to</w:t>
      </w:r>
      <w:proofErr w:type="gramEnd"/>
      <w:r w:rsidRPr="004A09FD">
        <w:rPr>
          <w:rFonts w:ascii="Times New Roman" w:hAnsi="Times New Roman" w:cs="Times New Roman"/>
          <w:b/>
          <w:bCs/>
        </w:rPr>
        <w:t xml:space="preserve"> </w:t>
      </w:r>
      <w:proofErr w:type="spellStart"/>
      <w:r w:rsidRPr="004A09FD">
        <w:rPr>
          <w:rFonts w:ascii="Times New Roman" w:hAnsi="Times New Roman" w:cs="Times New Roman"/>
          <w:b/>
          <w:bCs/>
        </w:rPr>
        <w:t>polymerise</w:t>
      </w:r>
      <w:proofErr w:type="spellEnd"/>
      <w:r w:rsidRPr="004A09FD">
        <w:rPr>
          <w:rFonts w:ascii="Times New Roman" w:hAnsi="Times New Roman" w:cs="Times New Roman"/>
          <w:b/>
          <w:bCs/>
        </w:rPr>
        <w:t>.</w:t>
      </w:r>
    </w:p>
    <w:p w14:paraId="3D26E6E7" w14:textId="77777777" w:rsidR="004A09FD" w:rsidRPr="004A09FD" w:rsidRDefault="004A09FD" w:rsidP="004A09FD">
      <w:pPr>
        <w:rPr>
          <w:rFonts w:ascii="Times New Roman" w:hAnsi="Times New Roman" w:cs="Times New Roman"/>
          <w:b/>
          <w:bCs/>
        </w:rPr>
      </w:pPr>
    </w:p>
    <w:p w14:paraId="18751139" w14:textId="02E191EE" w:rsidR="004A09FD" w:rsidRPr="004A09FD" w:rsidRDefault="004A09FD" w:rsidP="004A09FD">
      <w:pPr>
        <w:rPr>
          <w:rFonts w:ascii="Times New Roman" w:hAnsi="Times New Roman" w:cs="Times New Roman"/>
        </w:rPr>
      </w:pPr>
      <w:r w:rsidRPr="004A09FD">
        <w:rPr>
          <w:rFonts w:ascii="Times New Roman" w:hAnsi="Times New Roman" w:cs="Times New Roman"/>
        </w:rPr>
        <w:t xml:space="preserve">This sentence has been modified to </w:t>
      </w:r>
      <w:bookmarkStart w:id="2" w:name="_Hlk38113603"/>
      <w:r w:rsidRPr="004A09FD">
        <w:rPr>
          <w:rFonts w:ascii="Times New Roman" w:hAnsi="Times New Roman" w:cs="Times New Roman"/>
        </w:rPr>
        <w:t>“</w:t>
      </w:r>
      <w:r w:rsidR="008621BB" w:rsidRPr="008621BB">
        <w:rPr>
          <w:rFonts w:ascii="Times New Roman" w:hAnsi="Times New Roman" w:cs="Times New Roman"/>
        </w:rPr>
        <w:t>In the final steps of the coagulation cascade, fibrinopeptides are cleaved from fibrinogen by thrombin initiating the polymerization of insoluble fibrin monomers as the clot develops</w:t>
      </w:r>
      <w:r w:rsidRPr="004A09FD">
        <w:rPr>
          <w:rFonts w:ascii="Times New Roman" w:hAnsi="Times New Roman" w:cs="Times New Roman"/>
        </w:rPr>
        <w:t>.”</w:t>
      </w:r>
      <w:bookmarkEnd w:id="2"/>
    </w:p>
    <w:p w14:paraId="5E22815C"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5) Section 1: Why did the authors decide the use PBS? This buffer choice could become problematic with the addition of calcium, as it would cause it to precipitate. In the sections where the authors mention the potential addition of calcium or use of citrated plasma this issue needs to be highlighted! (e.g., section 5 and discussion).</w:t>
      </w:r>
    </w:p>
    <w:p w14:paraId="6CC99577" w14:textId="77777777" w:rsidR="004A09FD" w:rsidRPr="004A09FD" w:rsidRDefault="004A09FD" w:rsidP="004A09FD">
      <w:pPr>
        <w:rPr>
          <w:rFonts w:ascii="Times New Roman" w:hAnsi="Times New Roman" w:cs="Times New Roman"/>
          <w:b/>
          <w:bCs/>
        </w:rPr>
      </w:pPr>
    </w:p>
    <w:p w14:paraId="0C77D76A" w14:textId="463138A5" w:rsidR="004A09FD" w:rsidRPr="004A09FD" w:rsidRDefault="004A09FD" w:rsidP="004A09FD">
      <w:pPr>
        <w:rPr>
          <w:rFonts w:ascii="Times New Roman" w:hAnsi="Times New Roman" w:cs="Times New Roman"/>
        </w:rPr>
      </w:pPr>
      <w:r w:rsidRPr="004A09FD">
        <w:rPr>
          <w:rFonts w:ascii="Times New Roman" w:hAnsi="Times New Roman" w:cs="Times New Roman"/>
        </w:rPr>
        <w:t xml:space="preserve">Since the experiments in this manuscript do not involve the addition of calcium, PBS was used as it can operate at physiological pH and can provide a large pH range to study the effect of pH on clot formation. However, we agree that PBS can cause </w:t>
      </w:r>
      <w:r w:rsidR="009F6FC4" w:rsidRPr="004A09FD">
        <w:rPr>
          <w:rFonts w:ascii="Times New Roman" w:hAnsi="Times New Roman" w:cs="Times New Roman"/>
        </w:rPr>
        <w:t xml:space="preserve">calcium </w:t>
      </w:r>
      <w:r w:rsidRPr="004A09FD">
        <w:rPr>
          <w:rFonts w:ascii="Times New Roman" w:hAnsi="Times New Roman" w:cs="Times New Roman"/>
        </w:rPr>
        <w:t xml:space="preserve">precipitation and therefore, included the following sentences to highlight this issue with PBS. </w:t>
      </w:r>
    </w:p>
    <w:p w14:paraId="6C8FC79C" w14:textId="77777777" w:rsidR="004A09FD" w:rsidRPr="004A09FD" w:rsidRDefault="004A09FD" w:rsidP="004A09FD">
      <w:pPr>
        <w:rPr>
          <w:rFonts w:ascii="Times New Roman" w:hAnsi="Times New Roman" w:cs="Times New Roman"/>
        </w:rPr>
      </w:pPr>
    </w:p>
    <w:p w14:paraId="62E99E29" w14:textId="551D8A50" w:rsidR="004A09FD" w:rsidRPr="004A09FD" w:rsidRDefault="004A09FD" w:rsidP="004A09FD">
      <w:pPr>
        <w:rPr>
          <w:rFonts w:ascii="Times New Roman" w:hAnsi="Times New Roman" w:cs="Times New Roman"/>
        </w:rPr>
      </w:pPr>
      <w:r w:rsidRPr="004A09FD">
        <w:rPr>
          <w:rFonts w:ascii="Times New Roman" w:hAnsi="Times New Roman" w:cs="Times New Roman"/>
        </w:rPr>
        <w:t>“</w:t>
      </w:r>
      <w:r w:rsidR="0033281B" w:rsidRPr="0033281B">
        <w:rPr>
          <w:rFonts w:ascii="Times New Roman" w:hAnsi="Times New Roman" w:cs="Times New Roman"/>
        </w:rPr>
        <w:t xml:space="preserve">Note: PBS was used throughout this study as the described assays did not require the addition of calcium. </w:t>
      </w:r>
      <w:bookmarkStart w:id="3" w:name="_Hlk38527001"/>
      <w:r w:rsidR="0033281B" w:rsidRPr="0033281B">
        <w:rPr>
          <w:rFonts w:ascii="Times New Roman" w:hAnsi="Times New Roman" w:cs="Times New Roman"/>
        </w:rPr>
        <w:t xml:space="preserve">It is important to note that </w:t>
      </w:r>
      <w:r w:rsidR="006A396E">
        <w:rPr>
          <w:rFonts w:ascii="Times New Roman" w:hAnsi="Times New Roman" w:cs="Times New Roman"/>
        </w:rPr>
        <w:t>when adding</w:t>
      </w:r>
      <w:r w:rsidR="0033281B" w:rsidRPr="0033281B">
        <w:rPr>
          <w:rFonts w:ascii="Times New Roman" w:hAnsi="Times New Roman" w:cs="Times New Roman"/>
        </w:rPr>
        <w:t xml:space="preserve"> calcium, often utilized to re-calcify citrated blood products, PBS should be avoided as calcium is known to precipitate in phosphate </w:t>
      </w:r>
      <w:proofErr w:type="gramStart"/>
      <w:r w:rsidR="0033281B" w:rsidRPr="0033281B">
        <w:rPr>
          <w:rFonts w:ascii="Times New Roman" w:hAnsi="Times New Roman" w:cs="Times New Roman"/>
        </w:rPr>
        <w:t>buffers.</w:t>
      </w:r>
      <w:bookmarkEnd w:id="3"/>
      <w:r w:rsidRPr="004A09FD">
        <w:rPr>
          <w:rFonts w:ascii="Times New Roman" w:hAnsi="Times New Roman" w:cs="Times New Roman"/>
        </w:rPr>
        <w:t>“</w:t>
      </w:r>
      <w:proofErr w:type="gramEnd"/>
      <w:r w:rsidRPr="004A09FD">
        <w:rPr>
          <w:rFonts w:ascii="Times New Roman" w:hAnsi="Times New Roman" w:cs="Times New Roman"/>
        </w:rPr>
        <w:t>(In section 1.)</w:t>
      </w:r>
    </w:p>
    <w:p w14:paraId="376579B7" w14:textId="77777777" w:rsidR="004A09FD" w:rsidRPr="004A09FD" w:rsidRDefault="004A09FD" w:rsidP="004A09FD">
      <w:pPr>
        <w:rPr>
          <w:rFonts w:ascii="Times New Roman" w:hAnsi="Times New Roman" w:cs="Times New Roman"/>
        </w:rPr>
      </w:pPr>
    </w:p>
    <w:p w14:paraId="4AFB2DC2" w14:textId="75CAC641" w:rsidR="004A09FD" w:rsidRPr="004A09FD" w:rsidRDefault="004A09FD" w:rsidP="004A09FD">
      <w:pPr>
        <w:rPr>
          <w:rFonts w:ascii="Times New Roman" w:hAnsi="Times New Roman" w:cs="Times New Roman"/>
        </w:rPr>
      </w:pPr>
      <w:r w:rsidRPr="004A09FD">
        <w:rPr>
          <w:rFonts w:ascii="Times New Roman" w:hAnsi="Times New Roman" w:cs="Times New Roman"/>
        </w:rPr>
        <w:t>“</w:t>
      </w:r>
      <w:r w:rsidR="00387110" w:rsidRPr="00387110">
        <w:rPr>
          <w:rFonts w:ascii="Times New Roman" w:hAnsi="Times New Roman" w:cs="Times New Roman"/>
        </w:rPr>
        <w:t>A suitable buffer system should be carefully selected taking into consideration each unique assay requirements</w:t>
      </w:r>
      <w:r w:rsidRPr="004A09FD">
        <w:rPr>
          <w:rFonts w:ascii="Times New Roman" w:hAnsi="Times New Roman" w:cs="Times New Roman"/>
        </w:rPr>
        <w:t>.” (In the note of section 5)</w:t>
      </w:r>
    </w:p>
    <w:p w14:paraId="211741DF" w14:textId="77777777" w:rsidR="004A09FD" w:rsidRPr="004A09FD" w:rsidRDefault="004A09FD" w:rsidP="004A09FD">
      <w:pPr>
        <w:rPr>
          <w:rFonts w:ascii="Times New Roman" w:hAnsi="Times New Roman" w:cs="Times New Roman"/>
        </w:rPr>
      </w:pPr>
    </w:p>
    <w:p w14:paraId="1446CC0D"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w:t>
      </w:r>
      <w:bookmarkStart w:id="4" w:name="_Hlk38116741"/>
      <w:r w:rsidRPr="004A09FD">
        <w:rPr>
          <w:rFonts w:ascii="Times New Roman" w:hAnsi="Times New Roman" w:cs="Times New Roman"/>
        </w:rPr>
        <w:t xml:space="preserve">However, since phosphate can bind to calcium, PBS should be avoided when calcium is used as the clot initiator.” </w:t>
      </w:r>
      <w:bookmarkEnd w:id="4"/>
      <w:r w:rsidRPr="004A09FD">
        <w:rPr>
          <w:rFonts w:ascii="Times New Roman" w:hAnsi="Times New Roman" w:cs="Times New Roman"/>
        </w:rPr>
        <w:t>(discussion section)</w:t>
      </w:r>
    </w:p>
    <w:p w14:paraId="7B0EBF7F"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6) Section 1.3: a degree symbol is missing in between 37 C.</w:t>
      </w:r>
    </w:p>
    <w:p w14:paraId="7FD574DA" w14:textId="77777777" w:rsidR="004A09FD" w:rsidRPr="004A09FD" w:rsidRDefault="004A09FD" w:rsidP="004A09FD">
      <w:pPr>
        <w:rPr>
          <w:rFonts w:ascii="Times New Roman" w:hAnsi="Times New Roman" w:cs="Times New Roman"/>
        </w:rPr>
      </w:pPr>
    </w:p>
    <w:p w14:paraId="3AF0CA01"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This error has been corrected.</w:t>
      </w:r>
    </w:p>
    <w:p w14:paraId="4282571D"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7) Section 2.1.4: was the extinction coefficient used in the concentration calculation provided by the supplier? This is very dissimilar to the extinction coefficient for human plasma purified fibrinogen from Sigma.</w:t>
      </w:r>
    </w:p>
    <w:p w14:paraId="1D54C9B5" w14:textId="77777777" w:rsidR="004A09FD" w:rsidRPr="004A09FD" w:rsidRDefault="004A09FD" w:rsidP="004A09FD">
      <w:pPr>
        <w:rPr>
          <w:rFonts w:ascii="Times New Roman" w:hAnsi="Times New Roman" w:cs="Times New Roman"/>
          <w:b/>
          <w:bCs/>
        </w:rPr>
      </w:pPr>
    </w:p>
    <w:p w14:paraId="58CAD3E2" w14:textId="77777777" w:rsidR="004A09FD" w:rsidRPr="004A09FD" w:rsidRDefault="004A09FD" w:rsidP="004A09FD">
      <w:pPr>
        <w:rPr>
          <w:rFonts w:ascii="Times New Roman" w:hAnsi="Times New Roman" w:cs="Times New Roman"/>
          <w:color w:val="212529"/>
          <w:shd w:val="clear" w:color="auto" w:fill="FFFFFF"/>
        </w:rPr>
      </w:pPr>
      <w:r w:rsidRPr="004A09FD">
        <w:rPr>
          <w:rFonts w:ascii="Times New Roman" w:hAnsi="Times New Roman" w:cs="Times New Roman"/>
          <w:color w:val="212529"/>
          <w:shd w:val="clear" w:color="auto" w:fill="FFFFFF"/>
        </w:rPr>
        <w:t>Yes, the extinction coefficient was provided by the supplier. However, it was converted to molar extinction coefficient to determine concentration using Beer’s law. For better understanding, “Extinction coefficient” has been replaced with “Molar extinction coefficient” throughout the manuscript. The following statement has also been added in section 2.1.4 note to clarify the difference between molar extinction coefficient and extinction coefficient:</w:t>
      </w:r>
    </w:p>
    <w:p w14:paraId="782F689A" w14:textId="77777777" w:rsidR="004A09FD" w:rsidRPr="004A09FD" w:rsidRDefault="004A09FD" w:rsidP="004A09FD">
      <w:pPr>
        <w:rPr>
          <w:rFonts w:ascii="Times New Roman" w:hAnsi="Times New Roman" w:cs="Times New Roman"/>
          <w:color w:val="212529"/>
          <w:shd w:val="clear" w:color="auto" w:fill="FFFFFF"/>
        </w:rPr>
      </w:pPr>
    </w:p>
    <w:p w14:paraId="4DCCE48A" w14:textId="77777777" w:rsidR="004A09FD" w:rsidRPr="004A09FD" w:rsidRDefault="004A09FD" w:rsidP="004A09FD">
      <w:pPr>
        <w:rPr>
          <w:rFonts w:ascii="Times New Roman" w:hAnsi="Times New Roman" w:cs="Times New Roman"/>
          <w:color w:val="212529"/>
          <w:shd w:val="clear" w:color="auto" w:fill="FFFFFF"/>
        </w:rPr>
      </w:pPr>
      <w:r w:rsidRPr="004A09FD">
        <w:rPr>
          <w:rFonts w:ascii="Times New Roman" w:hAnsi="Times New Roman" w:cs="Times New Roman"/>
          <w:color w:val="212529"/>
          <w:shd w:val="clear" w:color="auto" w:fill="FFFFFF"/>
        </w:rPr>
        <w:t>“ɛ</w:t>
      </w:r>
      <w:r w:rsidRPr="004A09FD">
        <w:rPr>
          <w:rFonts w:ascii="Times New Roman" w:hAnsi="Times New Roman" w:cs="Times New Roman"/>
        </w:rPr>
        <w:t xml:space="preserve"> is derived by multiplying E</w:t>
      </w:r>
      <w:r w:rsidRPr="004A09FD">
        <w:rPr>
          <w:rFonts w:ascii="Times New Roman" w:hAnsi="Times New Roman" w:cs="Times New Roman"/>
          <w:vertAlign w:val="superscript"/>
        </w:rPr>
        <w:t xml:space="preserve">1% </w:t>
      </w:r>
      <w:r w:rsidRPr="004A09FD">
        <w:rPr>
          <w:rFonts w:ascii="Times New Roman" w:hAnsi="Times New Roman" w:cs="Times New Roman"/>
          <w:color w:val="212529"/>
          <w:shd w:val="clear" w:color="auto" w:fill="FFFFFF"/>
        </w:rPr>
        <w:t>= 15.1 (280 nm) (extinction coefficient, given by the supplier) with MW.”</w:t>
      </w:r>
    </w:p>
    <w:p w14:paraId="48686111" w14:textId="77777777" w:rsidR="004A09FD" w:rsidRPr="004A09FD" w:rsidRDefault="004A09FD" w:rsidP="004A09FD">
      <w:pPr>
        <w:rPr>
          <w:rFonts w:ascii="Times New Roman" w:hAnsi="Times New Roman" w:cs="Times New Roman"/>
          <w:color w:val="000000" w:themeColor="text1"/>
        </w:rPr>
      </w:pPr>
      <w:r w:rsidRPr="004A09FD">
        <w:rPr>
          <w:rFonts w:ascii="Times New Roman" w:hAnsi="Times New Roman" w:cs="Times New Roman"/>
          <w:b/>
          <w:bCs/>
        </w:rPr>
        <w:br/>
        <w:t xml:space="preserve">8) Section 2.2: Why is thrombin thawed at RT? This is likely drastically decreasing its </w:t>
      </w:r>
      <w:r w:rsidRPr="004A09FD">
        <w:rPr>
          <w:rFonts w:ascii="Times New Roman" w:hAnsi="Times New Roman" w:cs="Times New Roman"/>
          <w:b/>
          <w:bCs/>
        </w:rPr>
        <w:lastRenderedPageBreak/>
        <w:t>activity! I would suggest it be thawed as quickly as possible and be kept on ice. Keeping this enzyme on ice in order to keep high levels of activity should be highlighted in the protocol</w:t>
      </w:r>
      <w:r w:rsidRPr="004A09FD">
        <w:rPr>
          <w:rFonts w:ascii="Times New Roman" w:hAnsi="Times New Roman" w:cs="Times New Roman"/>
          <w:b/>
          <w:bCs/>
        </w:rPr>
        <w:br/>
      </w:r>
    </w:p>
    <w:p w14:paraId="6760A855" w14:textId="77777777" w:rsidR="004A09FD" w:rsidRPr="004A09FD" w:rsidRDefault="004A09FD" w:rsidP="004A09FD">
      <w:pPr>
        <w:rPr>
          <w:rFonts w:ascii="Times New Roman" w:hAnsi="Times New Roman" w:cs="Times New Roman"/>
          <w:color w:val="000000" w:themeColor="text1"/>
        </w:rPr>
      </w:pPr>
      <w:r w:rsidRPr="004A09FD">
        <w:rPr>
          <w:rFonts w:ascii="Times New Roman" w:hAnsi="Times New Roman" w:cs="Times New Roman"/>
          <w:color w:val="000000" w:themeColor="text1"/>
        </w:rPr>
        <w:t>We agree that measures to retain thrombin activity should be taken. A statement to address this issue has been added in the note of section 2.2.3</w:t>
      </w:r>
    </w:p>
    <w:p w14:paraId="0226B8F2" w14:textId="77777777" w:rsidR="004A09FD" w:rsidRPr="004A09FD" w:rsidRDefault="004A09FD" w:rsidP="004A09FD">
      <w:pPr>
        <w:rPr>
          <w:rFonts w:ascii="Times New Roman" w:hAnsi="Times New Roman" w:cs="Times New Roman"/>
          <w:color w:val="000000" w:themeColor="text1"/>
        </w:rPr>
      </w:pPr>
    </w:p>
    <w:p w14:paraId="2291DD41" w14:textId="6BB24578" w:rsidR="004A09FD" w:rsidRPr="004A09FD" w:rsidRDefault="004A09FD" w:rsidP="004A09FD">
      <w:pPr>
        <w:rPr>
          <w:rFonts w:ascii="Times New Roman" w:hAnsi="Times New Roman" w:cs="Times New Roman"/>
          <w:b/>
          <w:bCs/>
        </w:rPr>
      </w:pPr>
      <w:r w:rsidRPr="004A09FD">
        <w:rPr>
          <w:rFonts w:ascii="Times New Roman" w:hAnsi="Times New Roman" w:cs="Times New Roman"/>
          <w:color w:val="000000" w:themeColor="text1"/>
        </w:rPr>
        <w:t>“</w:t>
      </w:r>
      <w:bookmarkStart w:id="5" w:name="_Hlk38285170"/>
      <w:r w:rsidR="004F527E" w:rsidRPr="004F527E">
        <w:rPr>
          <w:rFonts w:ascii="Times New Roman" w:hAnsi="Times New Roman" w:cs="Times New Roman"/>
          <w:color w:val="000000" w:themeColor="text1"/>
        </w:rPr>
        <w:t>Note: Precautions should be taken to maintain enzyme activity which can be accomplished by maintaining enzymes on ice during thawing and use; however, no reduction in thrombin activity was observed when utilized directly after thawing at RT</w:t>
      </w:r>
      <w:r w:rsidRPr="004A09FD">
        <w:rPr>
          <w:rFonts w:ascii="Times New Roman" w:hAnsi="Times New Roman" w:cs="Times New Roman"/>
          <w:color w:val="000000" w:themeColor="text1"/>
        </w:rPr>
        <w:t>.</w:t>
      </w:r>
      <w:bookmarkEnd w:id="5"/>
      <w:r w:rsidRPr="004A09FD">
        <w:rPr>
          <w:rFonts w:ascii="Times New Roman" w:hAnsi="Times New Roman" w:cs="Times New Roman"/>
          <w:color w:val="000000" w:themeColor="text1"/>
        </w:rPr>
        <w:t>”</w:t>
      </w:r>
    </w:p>
    <w:p w14:paraId="50E1C914" w14:textId="77777777" w:rsidR="004A09FD" w:rsidRPr="004A09FD" w:rsidRDefault="004A09FD" w:rsidP="004A09FD">
      <w:pPr>
        <w:rPr>
          <w:rFonts w:ascii="Times New Roman" w:hAnsi="Times New Roman" w:cs="Times New Roman"/>
          <w:b/>
          <w:bCs/>
        </w:rPr>
      </w:pPr>
    </w:p>
    <w:p w14:paraId="00EBD32B"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t>9) Section 3.4: If compatible with the instruments I would suggest an interval and short as possible, which allows for more accurate overall data to be obtained.</w:t>
      </w:r>
    </w:p>
    <w:p w14:paraId="7210D65C" w14:textId="77777777" w:rsidR="004A09FD" w:rsidRPr="004A09FD" w:rsidRDefault="004A09FD" w:rsidP="004A09FD">
      <w:pPr>
        <w:rPr>
          <w:rFonts w:ascii="Times New Roman" w:hAnsi="Times New Roman" w:cs="Times New Roman"/>
          <w:b/>
          <w:bCs/>
        </w:rPr>
      </w:pPr>
    </w:p>
    <w:p w14:paraId="0AFC7B0A"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To address this concern, the following sentence has been added to the note of section 3.4:</w:t>
      </w:r>
    </w:p>
    <w:p w14:paraId="1308F824" w14:textId="0B07B9F0" w:rsidR="004A09FD" w:rsidRPr="004A09FD" w:rsidRDefault="004A09FD" w:rsidP="004A09FD">
      <w:pPr>
        <w:rPr>
          <w:rFonts w:ascii="Times New Roman" w:hAnsi="Times New Roman" w:cs="Times New Roman"/>
        </w:rPr>
      </w:pPr>
      <w:r w:rsidRPr="004A09FD">
        <w:rPr>
          <w:rFonts w:ascii="Times New Roman" w:hAnsi="Times New Roman" w:cs="Times New Roman"/>
        </w:rPr>
        <w:t>“</w:t>
      </w:r>
      <w:r w:rsidR="00DC2AA3" w:rsidRPr="00DC2AA3">
        <w:rPr>
          <w:rFonts w:ascii="Times New Roman" w:hAnsi="Times New Roman" w:cs="Times New Roman"/>
        </w:rPr>
        <w:t>The selected reading interval should be as short as possible to achieve the highest level of assay sensitivity.  This will depend upon the spectrometer and number of wells being read during a given assay</w:t>
      </w:r>
      <w:r w:rsidRPr="004A09FD">
        <w:rPr>
          <w:rFonts w:ascii="Times New Roman" w:hAnsi="Times New Roman" w:cs="Times New Roman"/>
        </w:rPr>
        <w:t>.”</w:t>
      </w:r>
    </w:p>
    <w:p w14:paraId="5A2437D2" w14:textId="77777777" w:rsidR="004A09FD" w:rsidRPr="004A09FD" w:rsidRDefault="004A09FD" w:rsidP="004A09FD">
      <w:pPr>
        <w:rPr>
          <w:rFonts w:ascii="Times New Roman" w:hAnsi="Times New Roman" w:cs="Times New Roman"/>
          <w:b/>
          <w:bCs/>
        </w:rPr>
      </w:pPr>
    </w:p>
    <w:p w14:paraId="3A7E5CB7" w14:textId="320BCC52" w:rsidR="004A09FD" w:rsidRPr="004A09FD" w:rsidRDefault="004A09FD" w:rsidP="004A09FD">
      <w:pPr>
        <w:rPr>
          <w:rFonts w:ascii="Times New Roman" w:hAnsi="Times New Roman" w:cs="Times New Roman"/>
          <w:b/>
          <w:bCs/>
        </w:rPr>
      </w:pPr>
      <w:r w:rsidRPr="004A09FD">
        <w:rPr>
          <w:rFonts w:ascii="Times New Roman" w:hAnsi="Times New Roman" w:cs="Times New Roman"/>
          <w:b/>
          <w:bCs/>
        </w:rPr>
        <w:t xml:space="preserve">10) Section 3.6: Was a multichannel pipette used for this step to ensure the measurements can start as soon as fibrinogen is mixed in? In other words, is the time taken between mixing the 1st to the last well </w:t>
      </w:r>
      <w:proofErr w:type="gramStart"/>
      <w:r w:rsidRPr="004A09FD">
        <w:rPr>
          <w:rFonts w:ascii="Times New Roman" w:hAnsi="Times New Roman" w:cs="Times New Roman"/>
          <w:b/>
          <w:bCs/>
        </w:rPr>
        <w:t>taken into account</w:t>
      </w:r>
      <w:proofErr w:type="gramEnd"/>
      <w:r w:rsidRPr="004A09FD">
        <w:rPr>
          <w:rFonts w:ascii="Times New Roman" w:hAnsi="Times New Roman" w:cs="Times New Roman"/>
          <w:b/>
          <w:bCs/>
        </w:rPr>
        <w:t xml:space="preserve"> when obtaining the parameters once the run is complete?</w:t>
      </w:r>
    </w:p>
    <w:p w14:paraId="1CB7A1C3" w14:textId="77777777" w:rsidR="004A09FD" w:rsidRPr="004A09FD" w:rsidRDefault="004A09FD" w:rsidP="004A09FD">
      <w:pPr>
        <w:rPr>
          <w:rFonts w:ascii="Times New Roman" w:hAnsi="Times New Roman" w:cs="Times New Roman"/>
          <w:b/>
          <w:bCs/>
        </w:rPr>
      </w:pPr>
    </w:p>
    <w:p w14:paraId="4BC5820B"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 xml:space="preserve">Yes, a multichannel pipette was used. We also </w:t>
      </w:r>
      <w:proofErr w:type="gramStart"/>
      <w:r w:rsidRPr="004A09FD">
        <w:rPr>
          <w:rFonts w:ascii="Times New Roman" w:hAnsi="Times New Roman" w:cs="Times New Roman"/>
        </w:rPr>
        <w:t>took into account</w:t>
      </w:r>
      <w:proofErr w:type="gramEnd"/>
      <w:r w:rsidRPr="004A09FD">
        <w:rPr>
          <w:rFonts w:ascii="Times New Roman" w:hAnsi="Times New Roman" w:cs="Times New Roman"/>
        </w:rPr>
        <w:t xml:space="preserve"> the time difference across wells (if there was any) as well as the time period prior to the first read by the instrument in the analysis. To address this concern, a sentence has been added in the note of section 3.6:</w:t>
      </w:r>
    </w:p>
    <w:p w14:paraId="731AAF6B" w14:textId="74C3EB94" w:rsidR="004A09FD" w:rsidRPr="004A09FD" w:rsidRDefault="004A09FD" w:rsidP="004A09FD">
      <w:pPr>
        <w:rPr>
          <w:rFonts w:ascii="Times New Roman" w:hAnsi="Times New Roman" w:cs="Times New Roman"/>
        </w:rPr>
      </w:pPr>
      <w:r w:rsidRPr="004A09FD">
        <w:rPr>
          <w:rFonts w:ascii="Times New Roman" w:hAnsi="Times New Roman" w:cs="Times New Roman"/>
        </w:rPr>
        <w:br/>
      </w:r>
      <w:bookmarkStart w:id="6" w:name="_Hlk38304549"/>
      <w:r w:rsidRPr="004A09FD">
        <w:rPr>
          <w:rFonts w:ascii="Times New Roman" w:hAnsi="Times New Roman" w:cs="Times New Roman"/>
        </w:rPr>
        <w:t>“</w:t>
      </w:r>
      <w:r w:rsidR="008C6A56" w:rsidRPr="008C6A56">
        <w:rPr>
          <w:rFonts w:ascii="Times New Roman" w:hAnsi="Times New Roman" w:cs="Times New Roman"/>
        </w:rPr>
        <w:t>Note: Use a multichannel pipette when running multiple clot samples on the same plate at the same time. Record time differences across wells and the time period prior to the first read by the instrument to offset clotting times</w:t>
      </w:r>
      <w:r w:rsidRPr="004A09FD">
        <w:rPr>
          <w:rFonts w:ascii="Times New Roman" w:hAnsi="Times New Roman" w:cs="Times New Roman"/>
        </w:rPr>
        <w:t xml:space="preserve">.” </w:t>
      </w:r>
      <w:bookmarkEnd w:id="6"/>
    </w:p>
    <w:p w14:paraId="61C88A63"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 xml:space="preserve">11) Section 4.5: is this mixed at all prior to the start of the run? This would be particularly important when other agents added (such as </w:t>
      </w:r>
      <w:proofErr w:type="spellStart"/>
      <w:r w:rsidRPr="004A09FD">
        <w:rPr>
          <w:rFonts w:ascii="Times New Roman" w:hAnsi="Times New Roman" w:cs="Times New Roman"/>
          <w:b/>
          <w:bCs/>
        </w:rPr>
        <w:t>tPA</w:t>
      </w:r>
      <w:proofErr w:type="spellEnd"/>
      <w:r w:rsidRPr="004A09FD">
        <w:rPr>
          <w:rFonts w:ascii="Times New Roman" w:hAnsi="Times New Roman" w:cs="Times New Roman"/>
          <w:b/>
          <w:bCs/>
        </w:rPr>
        <w:t>, calcium, etc.)</w:t>
      </w:r>
    </w:p>
    <w:p w14:paraId="6571F52B" w14:textId="77777777" w:rsidR="004A09FD" w:rsidRPr="004A09FD" w:rsidRDefault="004A09FD" w:rsidP="004A09FD">
      <w:pPr>
        <w:rPr>
          <w:rFonts w:ascii="Times New Roman" w:hAnsi="Times New Roman" w:cs="Times New Roman"/>
          <w:b/>
          <w:bCs/>
        </w:rPr>
      </w:pPr>
    </w:p>
    <w:p w14:paraId="5FD76077"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Yes, the contents were mixed prior to the start of the run. A sentence has been added at the end of section 4.5 to address this:</w:t>
      </w:r>
    </w:p>
    <w:p w14:paraId="649C9A02"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“Mix the contents by pipetting up and down five times.”</w:t>
      </w:r>
    </w:p>
    <w:p w14:paraId="66CD2454"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12) For both methods a buffer only control (i.e., no fibrinogen) should be included. This is particularly important when other proteins, such as albumin, are added to the clotting mixture.</w:t>
      </w:r>
    </w:p>
    <w:p w14:paraId="66F7900B" w14:textId="77777777" w:rsidR="004A09FD" w:rsidRPr="004A09FD" w:rsidRDefault="004A09FD" w:rsidP="004A09FD">
      <w:pPr>
        <w:tabs>
          <w:tab w:val="left" w:pos="840"/>
        </w:tabs>
        <w:rPr>
          <w:rFonts w:ascii="Times New Roman" w:hAnsi="Times New Roman" w:cs="Times New Roman"/>
          <w:b/>
          <w:bCs/>
        </w:rPr>
      </w:pPr>
    </w:p>
    <w:p w14:paraId="425DD48E" w14:textId="77777777" w:rsidR="004A09FD" w:rsidRPr="004A09FD" w:rsidRDefault="004A09FD" w:rsidP="004A09FD">
      <w:pPr>
        <w:tabs>
          <w:tab w:val="left" w:pos="840"/>
        </w:tabs>
        <w:rPr>
          <w:rFonts w:ascii="Times New Roman" w:hAnsi="Times New Roman" w:cs="Times New Roman"/>
        </w:rPr>
      </w:pPr>
      <w:r w:rsidRPr="004A09FD">
        <w:rPr>
          <w:rFonts w:ascii="Times New Roman" w:hAnsi="Times New Roman" w:cs="Times New Roman"/>
        </w:rPr>
        <w:t xml:space="preserve">To address this concern, a sentence has been added to the note of section 5: </w:t>
      </w:r>
    </w:p>
    <w:p w14:paraId="24B02E45" w14:textId="3BF76D39" w:rsidR="004A09FD" w:rsidRPr="004A09FD" w:rsidRDefault="004A09FD" w:rsidP="004A09FD">
      <w:pPr>
        <w:tabs>
          <w:tab w:val="left" w:pos="840"/>
        </w:tabs>
        <w:rPr>
          <w:rFonts w:ascii="Times New Roman" w:hAnsi="Times New Roman" w:cs="Times New Roman"/>
        </w:rPr>
      </w:pPr>
      <w:r w:rsidRPr="004A09FD">
        <w:rPr>
          <w:rFonts w:ascii="Times New Roman" w:hAnsi="Times New Roman" w:cs="Times New Roman"/>
        </w:rPr>
        <w:t>“</w:t>
      </w:r>
      <w:bookmarkStart w:id="7" w:name="_Hlk38304648"/>
      <w:r w:rsidR="00387110" w:rsidRPr="00387110">
        <w:rPr>
          <w:rFonts w:ascii="Times New Roman" w:hAnsi="Times New Roman" w:cs="Times New Roman"/>
        </w:rPr>
        <w:t>For turbidity and TEG assays, a buffer only control should also be included to ensure an accurate background subtraction while analyzing the effect of these variables</w:t>
      </w:r>
      <w:r w:rsidRPr="004A09FD">
        <w:rPr>
          <w:rFonts w:ascii="Times New Roman" w:hAnsi="Times New Roman" w:cs="Times New Roman"/>
        </w:rPr>
        <w:t>.”</w:t>
      </w:r>
      <w:bookmarkEnd w:id="7"/>
    </w:p>
    <w:p w14:paraId="15EBC903" w14:textId="77777777" w:rsidR="004A09FD" w:rsidRPr="004A09FD" w:rsidRDefault="004A09FD" w:rsidP="004A09FD">
      <w:pPr>
        <w:tabs>
          <w:tab w:val="left" w:pos="840"/>
        </w:tabs>
        <w:rPr>
          <w:rFonts w:ascii="Times New Roman" w:hAnsi="Times New Roman" w:cs="Times New Roman"/>
        </w:rPr>
      </w:pPr>
      <w:r w:rsidRPr="004A09FD">
        <w:rPr>
          <w:rFonts w:ascii="Times New Roman" w:hAnsi="Times New Roman" w:cs="Times New Roman"/>
        </w:rPr>
        <w:lastRenderedPageBreak/>
        <w:tab/>
      </w:r>
      <w:r w:rsidRPr="004A09FD">
        <w:rPr>
          <w:rFonts w:ascii="Times New Roman" w:hAnsi="Times New Roman" w:cs="Times New Roman"/>
          <w:b/>
          <w:bCs/>
        </w:rPr>
        <w:br/>
        <w:t>13) Section 5.5.2: A clear distinction between extinction coefficient and molar extinction coefficient would be helpful.</w:t>
      </w:r>
    </w:p>
    <w:p w14:paraId="118B378F" w14:textId="77777777" w:rsidR="004A09FD" w:rsidRPr="004A09FD" w:rsidRDefault="004A09FD" w:rsidP="004A09FD">
      <w:pPr>
        <w:rPr>
          <w:rFonts w:ascii="Times New Roman" w:hAnsi="Times New Roman" w:cs="Times New Roman"/>
          <w:b/>
          <w:bCs/>
        </w:rPr>
      </w:pPr>
    </w:p>
    <w:p w14:paraId="24DF16A8"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“Extinction coefficient” has been replaced with “molar extinction coefficient” throughout the manuscript.</w:t>
      </w:r>
    </w:p>
    <w:p w14:paraId="1D74FD3B"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14) Figure 1 legend: The legend should read '…examples of clot turbidity tracing curve', as per the remaining legend.</w:t>
      </w:r>
    </w:p>
    <w:p w14:paraId="2C237DE0" w14:textId="77777777" w:rsidR="004A09FD" w:rsidRPr="004A09FD" w:rsidRDefault="004A09FD" w:rsidP="004A09FD">
      <w:pPr>
        <w:rPr>
          <w:rFonts w:ascii="Times New Roman" w:hAnsi="Times New Roman" w:cs="Times New Roman"/>
          <w:b/>
          <w:bCs/>
        </w:rPr>
      </w:pPr>
    </w:p>
    <w:p w14:paraId="68A0D21D" w14:textId="45635957" w:rsidR="004A09FD" w:rsidRPr="004A09FD" w:rsidRDefault="004A09FD" w:rsidP="004A09FD">
      <w:pPr>
        <w:rPr>
          <w:rFonts w:ascii="Times New Roman" w:hAnsi="Times New Roman" w:cs="Times New Roman"/>
        </w:rPr>
      </w:pPr>
      <w:r w:rsidRPr="004A09FD">
        <w:rPr>
          <w:rFonts w:ascii="Times New Roman" w:hAnsi="Times New Roman" w:cs="Times New Roman"/>
        </w:rPr>
        <w:t>Turbidimetry has been replaced with turbidity in</w:t>
      </w:r>
      <w:r w:rsidR="00187482">
        <w:rPr>
          <w:rFonts w:ascii="Times New Roman" w:hAnsi="Times New Roman" w:cs="Times New Roman"/>
        </w:rPr>
        <w:t xml:space="preserve"> the</w:t>
      </w:r>
      <w:r w:rsidRPr="004A09FD">
        <w:rPr>
          <w:rFonts w:ascii="Times New Roman" w:hAnsi="Times New Roman" w:cs="Times New Roman"/>
        </w:rPr>
        <w:t xml:space="preserve"> Figure 1 legend.</w:t>
      </w:r>
    </w:p>
    <w:p w14:paraId="7CA99745" w14:textId="77777777" w:rsidR="004A09FD" w:rsidRPr="004A09FD" w:rsidRDefault="004A09FD" w:rsidP="004A09FD">
      <w:pPr>
        <w:rPr>
          <w:rFonts w:ascii="Times New Roman" w:hAnsi="Times New Roman" w:cs="Times New Roman"/>
          <w:b/>
          <w:bCs/>
        </w:rPr>
      </w:pPr>
    </w:p>
    <w:p w14:paraId="111D321F" w14:textId="77777777" w:rsidR="004A09FD" w:rsidRPr="004A09FD" w:rsidRDefault="004A09FD" w:rsidP="004A09FD">
      <w:pPr>
        <w:rPr>
          <w:rFonts w:ascii="Times New Roman" w:hAnsi="Times New Roman" w:cs="Times New Roman"/>
          <w:b/>
          <w:bCs/>
        </w:rPr>
      </w:pPr>
      <w:r w:rsidRPr="004A09FD">
        <w:rPr>
          <w:rFonts w:ascii="Times New Roman" w:hAnsi="Times New Roman" w:cs="Times New Roman"/>
          <w:b/>
          <w:bCs/>
        </w:rPr>
        <w:br/>
        <w:t xml:space="preserve">15) Table 1: In trend results of increased albumin level an 'x' is missing from </w:t>
      </w:r>
      <w:proofErr w:type="spellStart"/>
      <w:r w:rsidRPr="004A09FD">
        <w:rPr>
          <w:rFonts w:ascii="Times New Roman" w:hAnsi="Times New Roman" w:cs="Times New Roman"/>
          <w:b/>
          <w:bCs/>
        </w:rPr>
        <w:t>TEGMax</w:t>
      </w:r>
      <w:proofErr w:type="spellEnd"/>
      <w:r w:rsidRPr="004A09FD">
        <w:rPr>
          <w:rFonts w:ascii="Times New Roman" w:hAnsi="Times New Roman" w:cs="Times New Roman"/>
          <w:b/>
          <w:bCs/>
        </w:rPr>
        <w:t>.</w:t>
      </w:r>
    </w:p>
    <w:p w14:paraId="28189313" w14:textId="77777777" w:rsidR="004A09FD" w:rsidRPr="004A09FD" w:rsidRDefault="004A09FD" w:rsidP="004A09FD">
      <w:pPr>
        <w:rPr>
          <w:rFonts w:ascii="Times New Roman" w:hAnsi="Times New Roman" w:cs="Times New Roman"/>
          <w:b/>
          <w:bCs/>
        </w:rPr>
      </w:pPr>
    </w:p>
    <w:p w14:paraId="51CF0223" w14:textId="77777777" w:rsidR="004A09FD" w:rsidRPr="004A09FD" w:rsidRDefault="004A09FD" w:rsidP="004A09FD">
      <w:pPr>
        <w:rPr>
          <w:rFonts w:ascii="Times New Roman" w:hAnsi="Times New Roman" w:cs="Times New Roman"/>
        </w:rPr>
      </w:pPr>
      <w:r w:rsidRPr="004A09FD">
        <w:rPr>
          <w:rFonts w:ascii="Times New Roman" w:hAnsi="Times New Roman" w:cs="Times New Roman"/>
        </w:rPr>
        <w:t>The word has been corrected in the table file.</w:t>
      </w:r>
    </w:p>
    <w:p w14:paraId="0D91E870" w14:textId="77777777" w:rsidR="004A09FD" w:rsidRDefault="004A09FD" w:rsidP="004A09FD">
      <w:pPr>
        <w:rPr>
          <w:rFonts w:ascii="Arial" w:hAnsi="Arial" w:cs="Arial"/>
        </w:rPr>
      </w:pPr>
    </w:p>
    <w:p w14:paraId="318EBD7F" w14:textId="77777777" w:rsidR="004A09FD" w:rsidRDefault="004A09FD" w:rsidP="004A09FD">
      <w:pPr>
        <w:rPr>
          <w:rFonts w:ascii="Arial" w:hAnsi="Arial" w:cs="Arial"/>
          <w:b/>
          <w:bCs/>
        </w:rPr>
      </w:pPr>
    </w:p>
    <w:p w14:paraId="3BE2B044" w14:textId="77777777" w:rsidR="004A09FD" w:rsidRPr="00791486" w:rsidRDefault="004A09FD" w:rsidP="00791486">
      <w:pPr>
        <w:rPr>
          <w:rFonts w:ascii="Times New Roman" w:hAnsi="Times New Roman" w:cs="Times New Roman"/>
        </w:rPr>
      </w:pPr>
    </w:p>
    <w:sectPr w:rsidR="004A09FD" w:rsidRPr="00791486" w:rsidSect="004D2ADA">
      <w:headerReference w:type="first" r:id="rId10"/>
      <w:footerReference w:type="first" r:id="rId11"/>
      <w:pgSz w:w="12240" w:h="15840" w:code="1"/>
      <w:pgMar w:top="12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FEA89" w14:textId="77777777" w:rsidR="005C3FFB" w:rsidRDefault="005C3FFB" w:rsidP="00F96D1F">
      <w:r>
        <w:separator/>
      </w:r>
    </w:p>
  </w:endnote>
  <w:endnote w:type="continuationSeparator" w:id="0">
    <w:p w14:paraId="3B39C2DD" w14:textId="77777777" w:rsidR="005C3FFB" w:rsidRDefault="005C3FFB" w:rsidP="00F9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89F6" w14:textId="6E98F4A9" w:rsidR="00372D04" w:rsidRPr="0051020D" w:rsidRDefault="00372D04" w:rsidP="0051020D">
    <w:pPr>
      <w:pStyle w:val="Footer"/>
      <w:tabs>
        <w:tab w:val="clear" w:pos="4320"/>
        <w:tab w:val="clear" w:pos="8640"/>
      </w:tabs>
      <w:spacing w:before="120"/>
      <w:ind w:right="90"/>
      <w:jc w:val="center"/>
      <w:rPr>
        <w:rFonts w:ascii="Arial" w:hAnsi="Arial" w:cs="Arial"/>
        <w:sz w:val="15"/>
        <w:szCs w:val="18"/>
      </w:rPr>
    </w:pPr>
    <w:r w:rsidRPr="0051020D">
      <w:rPr>
        <w:rFonts w:ascii="Arial" w:hAnsi="Arial" w:cs="Arial"/>
        <w:sz w:val="15"/>
        <w:szCs w:val="18"/>
      </w:rPr>
      <w:t xml:space="preserve">Administration Offices: 720 </w:t>
    </w:r>
    <w:proofErr w:type="spellStart"/>
    <w:r w:rsidRPr="0051020D">
      <w:rPr>
        <w:rFonts w:ascii="Arial" w:hAnsi="Arial" w:cs="Arial"/>
        <w:sz w:val="15"/>
        <w:szCs w:val="18"/>
      </w:rPr>
      <w:t>Eskenazi</w:t>
    </w:r>
    <w:proofErr w:type="spellEnd"/>
    <w:r w:rsidRPr="0051020D">
      <w:rPr>
        <w:rFonts w:ascii="Arial" w:hAnsi="Arial" w:cs="Arial"/>
        <w:sz w:val="15"/>
        <w:szCs w:val="18"/>
      </w:rPr>
      <w:t xml:space="preserve"> Ave, </w:t>
    </w:r>
    <w:r>
      <w:rPr>
        <w:rFonts w:ascii="Arial" w:hAnsi="Arial" w:cs="Arial"/>
        <w:sz w:val="15"/>
        <w:szCs w:val="18"/>
      </w:rPr>
      <w:t>FT 3</w:t>
    </w:r>
    <w:r w:rsidRPr="00DC543E">
      <w:rPr>
        <w:rFonts w:ascii="Arial" w:hAnsi="Arial" w:cs="Arial"/>
        <w:sz w:val="15"/>
        <w:szCs w:val="18"/>
        <w:vertAlign w:val="superscript"/>
      </w:rPr>
      <w:t>rd</w:t>
    </w:r>
    <w:r>
      <w:rPr>
        <w:rFonts w:ascii="Arial" w:hAnsi="Arial" w:cs="Arial"/>
        <w:sz w:val="15"/>
        <w:szCs w:val="18"/>
      </w:rPr>
      <w:t xml:space="preserve"> Fl. FOB, Indianapolis, IN 46202 </w:t>
    </w:r>
    <w:r>
      <w:rPr>
        <w:rFonts w:ascii="Arial" w:hAnsi="Arial" w:cs="Arial"/>
        <w:sz w:val="15"/>
        <w:szCs w:val="18"/>
      </w:rPr>
      <w:sym w:font="Symbol" w:char="F0B7"/>
    </w:r>
    <w:r>
      <w:rPr>
        <w:rFonts w:ascii="Arial" w:hAnsi="Arial" w:cs="Arial"/>
        <w:sz w:val="15"/>
        <w:szCs w:val="18"/>
      </w:rPr>
      <w:t xml:space="preserve"> Phone: (317) 880-3900 </w:t>
    </w:r>
    <w:r>
      <w:rPr>
        <w:rFonts w:ascii="Arial" w:hAnsi="Arial" w:cs="Arial"/>
        <w:sz w:val="15"/>
        <w:szCs w:val="18"/>
      </w:rPr>
      <w:sym w:font="Symbol" w:char="F0B7"/>
    </w:r>
    <w:r>
      <w:rPr>
        <w:rFonts w:ascii="Arial" w:hAnsi="Arial" w:cs="Arial"/>
        <w:sz w:val="15"/>
        <w:szCs w:val="18"/>
      </w:rPr>
      <w:t xml:space="preserve"> Fax: (317) 880-0545</w:t>
    </w:r>
    <w:r>
      <w:rPr>
        <w:rFonts w:ascii="Arial" w:hAnsi="Arial" w:cs="Arial"/>
        <w:sz w:val="15"/>
        <w:szCs w:val="18"/>
      </w:rPr>
      <w:br/>
    </w:r>
    <w:r w:rsidRPr="0051020D">
      <w:rPr>
        <w:rFonts w:ascii="Arial" w:hAnsi="Arial" w:cs="Arial"/>
        <w:sz w:val="15"/>
        <w:szCs w:val="18"/>
      </w:rPr>
      <w:t>Education Offices: 1701 N. Senate Ave</w:t>
    </w:r>
    <w:r>
      <w:rPr>
        <w:rFonts w:ascii="Arial" w:hAnsi="Arial" w:cs="Arial"/>
        <w:sz w:val="15"/>
        <w:szCs w:val="18"/>
      </w:rPr>
      <w:t xml:space="preserve">, AG012, Indianapolis, IN 46202 </w:t>
    </w:r>
    <w:r>
      <w:rPr>
        <w:rFonts w:ascii="Arial" w:hAnsi="Arial" w:cs="Arial"/>
        <w:sz w:val="15"/>
        <w:szCs w:val="18"/>
      </w:rPr>
      <w:sym w:font="Symbol" w:char="F0B7"/>
    </w:r>
    <w:r>
      <w:rPr>
        <w:rFonts w:ascii="Arial" w:hAnsi="Arial" w:cs="Arial"/>
        <w:sz w:val="15"/>
        <w:szCs w:val="18"/>
      </w:rPr>
      <w:t xml:space="preserve"> Phone: (317) 962-5975 </w:t>
    </w:r>
    <w:r>
      <w:rPr>
        <w:rFonts w:ascii="Arial" w:hAnsi="Arial" w:cs="Arial"/>
        <w:sz w:val="15"/>
        <w:szCs w:val="18"/>
      </w:rPr>
      <w:sym w:font="Symbol" w:char="F0B7"/>
    </w:r>
    <w:r>
      <w:rPr>
        <w:rFonts w:ascii="Arial" w:hAnsi="Arial" w:cs="Arial"/>
        <w:sz w:val="15"/>
        <w:szCs w:val="18"/>
      </w:rPr>
      <w:t xml:space="preserve"> Fax: (317) 963-5394</w:t>
    </w:r>
  </w:p>
  <w:p w14:paraId="6BA42D00" w14:textId="52B080FD" w:rsidR="00372D04" w:rsidRPr="0051020D" w:rsidRDefault="00372D04" w:rsidP="0051020D">
    <w:pPr>
      <w:pStyle w:val="Footer"/>
      <w:tabs>
        <w:tab w:val="clear" w:pos="4320"/>
        <w:tab w:val="clear" w:pos="8640"/>
      </w:tabs>
      <w:spacing w:before="120"/>
      <w:jc w:val="center"/>
      <w:rPr>
        <w:rFonts w:ascii="Arial" w:hAnsi="Arial" w:cs="Arial"/>
        <w:sz w:val="15"/>
        <w:szCs w:val="18"/>
      </w:rPr>
    </w:pPr>
    <w:r>
      <w:rPr>
        <w:rFonts w:ascii="Arial" w:hAnsi="Arial" w:cs="Arial"/>
        <w:sz w:val="15"/>
        <w:szCs w:val="18"/>
      </w:rPr>
      <w:t xml:space="preserve">Department of Emergency Medicine  </w:t>
    </w:r>
    <w:r>
      <w:rPr>
        <w:rFonts w:ascii="Arial" w:hAnsi="Arial" w:cs="Arial"/>
        <w:sz w:val="15"/>
        <w:szCs w:val="18"/>
      </w:rPr>
      <w:sym w:font="Symbol" w:char="F0B7"/>
    </w:r>
    <w:r>
      <w:rPr>
        <w:rFonts w:ascii="Arial" w:hAnsi="Arial" w:cs="Arial"/>
        <w:sz w:val="15"/>
        <w:szCs w:val="18"/>
      </w:rPr>
      <w:t xml:space="preserve">  </w:t>
    </w:r>
    <w:r w:rsidRPr="0051020D">
      <w:rPr>
        <w:rFonts w:ascii="Arial" w:hAnsi="Arial" w:cs="Arial"/>
        <w:sz w:val="15"/>
        <w:szCs w:val="18"/>
      </w:rPr>
      <w:t>Indiana University</w:t>
    </w:r>
    <w:r>
      <w:rPr>
        <w:rFonts w:ascii="Arial" w:hAnsi="Arial" w:cs="Arial"/>
        <w:sz w:val="15"/>
        <w:szCs w:val="18"/>
      </w:rPr>
      <w:t xml:space="preserve"> School of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44B9" w14:textId="77777777" w:rsidR="005C3FFB" w:rsidRDefault="005C3FFB" w:rsidP="00F96D1F">
      <w:r>
        <w:separator/>
      </w:r>
    </w:p>
  </w:footnote>
  <w:footnote w:type="continuationSeparator" w:id="0">
    <w:p w14:paraId="63F7E02E" w14:textId="77777777" w:rsidR="005C3FFB" w:rsidRDefault="005C3FFB" w:rsidP="00F9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92BB" w14:textId="524FEBBF" w:rsidR="00372D04" w:rsidRDefault="00372D04" w:rsidP="00870AA6">
    <w:pPr>
      <w:pStyle w:val="Header"/>
      <w:tabs>
        <w:tab w:val="clear" w:pos="8640"/>
      </w:tabs>
      <w:jc w:val="center"/>
    </w:pPr>
    <w:r>
      <w:rPr>
        <w:noProof/>
      </w:rPr>
      <w:drawing>
        <wp:inline distT="0" distB="0" distL="0" distR="0" wp14:anchorId="5F13CD96" wp14:editId="7CC2595A">
          <wp:extent cx="1848095" cy="9169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U.SOM.Emerg-Medicine.V.CMYK.png"/>
                  <pic:cNvPicPr/>
                </pic:nvPicPr>
                <pic:blipFill>
                  <a:blip r:embed="rId1">
                    <a:extLst>
                      <a:ext uri="{28A0092B-C50C-407E-A947-70E740481C1C}">
                        <a14:useLocalDpi xmlns:a14="http://schemas.microsoft.com/office/drawing/2010/main" val="0"/>
                      </a:ext>
                    </a:extLst>
                  </a:blip>
                  <a:stretch>
                    <a:fillRect/>
                  </a:stretch>
                </pic:blipFill>
                <pic:spPr>
                  <a:xfrm>
                    <a:off x="0" y="0"/>
                    <a:ext cx="1862019" cy="923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38C"/>
    <w:multiLevelType w:val="multilevel"/>
    <w:tmpl w:val="1AA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5175B"/>
    <w:multiLevelType w:val="hybridMultilevel"/>
    <w:tmpl w:val="704CA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F2307"/>
    <w:multiLevelType w:val="hybridMultilevel"/>
    <w:tmpl w:val="79B0C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1F"/>
    <w:rsid w:val="00005C1A"/>
    <w:rsid w:val="00014F21"/>
    <w:rsid w:val="00045100"/>
    <w:rsid w:val="00056937"/>
    <w:rsid w:val="00111D55"/>
    <w:rsid w:val="00147B9A"/>
    <w:rsid w:val="00155EB7"/>
    <w:rsid w:val="00161361"/>
    <w:rsid w:val="00171F80"/>
    <w:rsid w:val="00187482"/>
    <w:rsid w:val="001F580B"/>
    <w:rsid w:val="00246DC8"/>
    <w:rsid w:val="002716F9"/>
    <w:rsid w:val="00281E9A"/>
    <w:rsid w:val="0033281B"/>
    <w:rsid w:val="003677D8"/>
    <w:rsid w:val="00372D04"/>
    <w:rsid w:val="00383010"/>
    <w:rsid w:val="00387110"/>
    <w:rsid w:val="0038760E"/>
    <w:rsid w:val="003C29D4"/>
    <w:rsid w:val="003C3AEA"/>
    <w:rsid w:val="003F29A8"/>
    <w:rsid w:val="0041512E"/>
    <w:rsid w:val="004326CC"/>
    <w:rsid w:val="00433C29"/>
    <w:rsid w:val="00453056"/>
    <w:rsid w:val="00455C6F"/>
    <w:rsid w:val="00462AFC"/>
    <w:rsid w:val="004A09FD"/>
    <w:rsid w:val="004A543C"/>
    <w:rsid w:val="004B0B88"/>
    <w:rsid w:val="004B1B06"/>
    <w:rsid w:val="004D282B"/>
    <w:rsid w:val="004D2ADA"/>
    <w:rsid w:val="004D69E4"/>
    <w:rsid w:val="004F527E"/>
    <w:rsid w:val="0051020D"/>
    <w:rsid w:val="005A65E5"/>
    <w:rsid w:val="005C009F"/>
    <w:rsid w:val="005C3FFB"/>
    <w:rsid w:val="00600B78"/>
    <w:rsid w:val="006053F3"/>
    <w:rsid w:val="00671F48"/>
    <w:rsid w:val="006A396E"/>
    <w:rsid w:val="006D469F"/>
    <w:rsid w:val="00706C46"/>
    <w:rsid w:val="007106CA"/>
    <w:rsid w:val="00791486"/>
    <w:rsid w:val="007A355A"/>
    <w:rsid w:val="008404BB"/>
    <w:rsid w:val="008621BB"/>
    <w:rsid w:val="00870AA6"/>
    <w:rsid w:val="008A3F4A"/>
    <w:rsid w:val="008B61F9"/>
    <w:rsid w:val="008C090C"/>
    <w:rsid w:val="008C6A56"/>
    <w:rsid w:val="008D43A4"/>
    <w:rsid w:val="008E774A"/>
    <w:rsid w:val="009230E7"/>
    <w:rsid w:val="009266BD"/>
    <w:rsid w:val="00967776"/>
    <w:rsid w:val="00971627"/>
    <w:rsid w:val="009C10C4"/>
    <w:rsid w:val="009F6FC4"/>
    <w:rsid w:val="00A0001A"/>
    <w:rsid w:val="00A00A67"/>
    <w:rsid w:val="00A37F03"/>
    <w:rsid w:val="00A46D1A"/>
    <w:rsid w:val="00A63488"/>
    <w:rsid w:val="00AC645C"/>
    <w:rsid w:val="00AF77A1"/>
    <w:rsid w:val="00C01769"/>
    <w:rsid w:val="00C9480E"/>
    <w:rsid w:val="00C9654F"/>
    <w:rsid w:val="00CA410B"/>
    <w:rsid w:val="00CB58DA"/>
    <w:rsid w:val="00CC2202"/>
    <w:rsid w:val="00CF6508"/>
    <w:rsid w:val="00D120B8"/>
    <w:rsid w:val="00D65B40"/>
    <w:rsid w:val="00DA1C3A"/>
    <w:rsid w:val="00DB59C8"/>
    <w:rsid w:val="00DC2AA3"/>
    <w:rsid w:val="00DC4D98"/>
    <w:rsid w:val="00DC543E"/>
    <w:rsid w:val="00DE17BA"/>
    <w:rsid w:val="00E35173"/>
    <w:rsid w:val="00E40BF8"/>
    <w:rsid w:val="00E54A95"/>
    <w:rsid w:val="00E64AC4"/>
    <w:rsid w:val="00EC0FA9"/>
    <w:rsid w:val="00EF700B"/>
    <w:rsid w:val="00F64115"/>
    <w:rsid w:val="00F83FF3"/>
    <w:rsid w:val="00F86F72"/>
    <w:rsid w:val="00F95EAD"/>
    <w:rsid w:val="00F96D1F"/>
    <w:rsid w:val="00FC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79FFD"/>
  <w14:defaultImageDpi w14:val="300"/>
  <w15:docId w15:val="{75DA0E1E-B468-46AC-8ABB-7467A2C2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D1F"/>
    <w:pPr>
      <w:tabs>
        <w:tab w:val="center" w:pos="4320"/>
        <w:tab w:val="right" w:pos="8640"/>
      </w:tabs>
    </w:pPr>
  </w:style>
  <w:style w:type="character" w:customStyle="1" w:styleId="HeaderChar">
    <w:name w:val="Header Char"/>
    <w:basedOn w:val="DefaultParagraphFont"/>
    <w:link w:val="Header"/>
    <w:uiPriority w:val="99"/>
    <w:rsid w:val="00F96D1F"/>
  </w:style>
  <w:style w:type="paragraph" w:styleId="Footer">
    <w:name w:val="footer"/>
    <w:basedOn w:val="Normal"/>
    <w:link w:val="FooterChar"/>
    <w:uiPriority w:val="99"/>
    <w:unhideWhenUsed/>
    <w:rsid w:val="00F96D1F"/>
    <w:pPr>
      <w:tabs>
        <w:tab w:val="center" w:pos="4320"/>
        <w:tab w:val="right" w:pos="8640"/>
      </w:tabs>
    </w:pPr>
  </w:style>
  <w:style w:type="character" w:customStyle="1" w:styleId="FooterChar">
    <w:name w:val="Footer Char"/>
    <w:basedOn w:val="DefaultParagraphFont"/>
    <w:link w:val="Footer"/>
    <w:uiPriority w:val="99"/>
    <w:rsid w:val="00F96D1F"/>
  </w:style>
  <w:style w:type="paragraph" w:styleId="BalloonText">
    <w:name w:val="Balloon Text"/>
    <w:basedOn w:val="Normal"/>
    <w:link w:val="BalloonTextChar"/>
    <w:uiPriority w:val="99"/>
    <w:semiHidden/>
    <w:unhideWhenUsed/>
    <w:rsid w:val="00F96D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D1F"/>
    <w:rPr>
      <w:rFonts w:ascii="Lucida Grande" w:hAnsi="Lucida Grande" w:cs="Lucida Grande"/>
      <w:sz w:val="18"/>
      <w:szCs w:val="18"/>
    </w:rPr>
  </w:style>
  <w:style w:type="paragraph" w:styleId="NormalWeb">
    <w:name w:val="Normal (Web)"/>
    <w:basedOn w:val="Normal"/>
    <w:uiPriority w:val="99"/>
    <w:semiHidden/>
    <w:unhideWhenUsed/>
    <w:rsid w:val="00DB59C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B59C8"/>
    <w:rPr>
      <w:color w:val="0000FF"/>
      <w:u w:val="single"/>
    </w:rPr>
  </w:style>
  <w:style w:type="paragraph" w:styleId="ListParagraph">
    <w:name w:val="List Paragraph"/>
    <w:basedOn w:val="Normal"/>
    <w:uiPriority w:val="34"/>
    <w:qFormat/>
    <w:rsid w:val="004D2ADA"/>
    <w:pPr>
      <w:ind w:left="720"/>
      <w:contextualSpacing/>
    </w:pPr>
    <w:rPr>
      <w:lang w:eastAsia="zh-CN"/>
    </w:rPr>
  </w:style>
  <w:style w:type="character" w:styleId="CommentReference">
    <w:name w:val="annotation reference"/>
    <w:basedOn w:val="DefaultParagraphFont"/>
    <w:uiPriority w:val="99"/>
    <w:semiHidden/>
    <w:unhideWhenUsed/>
    <w:rsid w:val="004D2ADA"/>
    <w:rPr>
      <w:sz w:val="16"/>
      <w:szCs w:val="16"/>
    </w:rPr>
  </w:style>
  <w:style w:type="paragraph" w:styleId="CommentText">
    <w:name w:val="annotation text"/>
    <w:basedOn w:val="Normal"/>
    <w:link w:val="CommentTextChar"/>
    <w:uiPriority w:val="99"/>
    <w:semiHidden/>
    <w:unhideWhenUsed/>
    <w:rsid w:val="004D2ADA"/>
    <w:rPr>
      <w:sz w:val="20"/>
      <w:szCs w:val="20"/>
      <w:lang w:eastAsia="zh-CN"/>
    </w:rPr>
  </w:style>
  <w:style w:type="character" w:customStyle="1" w:styleId="CommentTextChar">
    <w:name w:val="Comment Text Char"/>
    <w:basedOn w:val="DefaultParagraphFont"/>
    <w:link w:val="CommentText"/>
    <w:uiPriority w:val="99"/>
    <w:semiHidden/>
    <w:rsid w:val="004D2ADA"/>
    <w:rPr>
      <w:sz w:val="20"/>
      <w:szCs w:val="20"/>
      <w:lang w:eastAsia="zh-CN"/>
    </w:rPr>
  </w:style>
  <w:style w:type="character" w:styleId="UnresolvedMention">
    <w:name w:val="Unresolved Mention"/>
    <w:basedOn w:val="DefaultParagraphFont"/>
    <w:uiPriority w:val="99"/>
    <w:semiHidden/>
    <w:unhideWhenUsed/>
    <w:rsid w:val="004A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93789">
      <w:bodyDiv w:val="1"/>
      <w:marLeft w:val="0"/>
      <w:marRight w:val="0"/>
      <w:marTop w:val="0"/>
      <w:marBottom w:val="0"/>
      <w:divBdr>
        <w:top w:val="none" w:sz="0" w:space="0" w:color="auto"/>
        <w:left w:val="none" w:sz="0" w:space="0" w:color="auto"/>
        <w:bottom w:val="none" w:sz="0" w:space="0" w:color="auto"/>
        <w:right w:val="none" w:sz="0" w:space="0" w:color="auto"/>
      </w:divBdr>
    </w:div>
    <w:div w:id="1679387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lves@i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3C25-8603-48C8-B375-AA66C9A5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IUEM</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Hernandez</dc:creator>
  <cp:lastModifiedBy>Nathan Alves</cp:lastModifiedBy>
  <cp:revision>29</cp:revision>
  <cp:lastPrinted>2017-04-05T15:01:00Z</cp:lastPrinted>
  <dcterms:created xsi:type="dcterms:W3CDTF">2020-04-22T18:00:00Z</dcterms:created>
  <dcterms:modified xsi:type="dcterms:W3CDTF">2020-04-23T14:12:00Z</dcterms:modified>
</cp:coreProperties>
</file>