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B3632" w14:textId="77777777" w:rsidR="006B1B14" w:rsidRPr="00F76890" w:rsidRDefault="006B1B14" w:rsidP="00F012D5">
      <w:pPr>
        <w:pStyle w:val="NormalWeb"/>
        <w:spacing w:before="0" w:beforeAutospacing="0" w:after="0" w:afterAutospacing="0"/>
        <w:contextualSpacing/>
        <w:rPr>
          <w:rFonts w:asciiTheme="minorHAnsi" w:hAnsiTheme="minorHAnsi" w:cstheme="minorHAnsi"/>
          <w:color w:val="auto"/>
        </w:rPr>
      </w:pPr>
      <w:r w:rsidRPr="00F76890">
        <w:rPr>
          <w:rFonts w:asciiTheme="minorHAnsi" w:hAnsiTheme="minorHAnsi" w:cstheme="minorHAnsi"/>
          <w:b/>
          <w:bCs/>
          <w:color w:val="auto"/>
        </w:rPr>
        <w:t>TITLE:</w:t>
      </w:r>
      <w:r w:rsidRPr="00F76890">
        <w:rPr>
          <w:rFonts w:asciiTheme="minorHAnsi" w:hAnsiTheme="minorHAnsi" w:cstheme="minorHAnsi"/>
          <w:color w:val="auto"/>
        </w:rPr>
        <w:t xml:space="preserve"> </w:t>
      </w:r>
    </w:p>
    <w:p w14:paraId="210B1DDE" w14:textId="77777777" w:rsidR="006B1B14" w:rsidRPr="00F76890" w:rsidRDefault="006B1B14" w:rsidP="00F012D5">
      <w:pPr>
        <w:contextualSpacing/>
        <w:rPr>
          <w:b/>
          <w:bCs/>
          <w:color w:val="auto"/>
        </w:rPr>
      </w:pPr>
      <w:r w:rsidRPr="00F76890">
        <w:rPr>
          <w:color w:val="auto"/>
        </w:rPr>
        <w:t>Accessing the Cytotoxicity and Cell Response to Biomaterials</w:t>
      </w:r>
      <w:r w:rsidRPr="00F76890" w:rsidDel="007522F6">
        <w:rPr>
          <w:b/>
          <w:bCs/>
          <w:color w:val="auto"/>
        </w:rPr>
        <w:t xml:space="preserve"> </w:t>
      </w:r>
    </w:p>
    <w:p w14:paraId="4285914F" w14:textId="77777777" w:rsidR="006B1B14" w:rsidRPr="00F76890" w:rsidRDefault="006B1B14" w:rsidP="00F012D5">
      <w:pPr>
        <w:contextualSpacing/>
        <w:rPr>
          <w:rFonts w:asciiTheme="minorHAnsi" w:hAnsiTheme="minorHAnsi" w:cstheme="minorHAnsi"/>
          <w:b/>
          <w:bCs/>
          <w:color w:val="auto"/>
        </w:rPr>
      </w:pPr>
    </w:p>
    <w:p w14:paraId="19245E5D" w14:textId="77777777" w:rsidR="006B1B14" w:rsidRPr="00F76890" w:rsidRDefault="006B1B14" w:rsidP="00F012D5">
      <w:pPr>
        <w:contextualSpacing/>
        <w:rPr>
          <w:rFonts w:asciiTheme="minorHAnsi" w:hAnsiTheme="minorHAnsi" w:cstheme="minorHAnsi"/>
          <w:b/>
          <w:bCs/>
          <w:color w:val="auto"/>
          <w:lang w:val="pt-PT"/>
        </w:rPr>
      </w:pPr>
      <w:r w:rsidRPr="00F76890">
        <w:rPr>
          <w:rFonts w:asciiTheme="minorHAnsi" w:hAnsiTheme="minorHAnsi" w:cstheme="minorHAnsi"/>
          <w:b/>
          <w:bCs/>
          <w:color w:val="auto"/>
          <w:lang w:val="pt-PT"/>
        </w:rPr>
        <w:t>AUTHORS AND AFFILIATIONS</w:t>
      </w:r>
    </w:p>
    <w:p w14:paraId="2344E762" w14:textId="7F06DA2C" w:rsidR="006B1B14" w:rsidRPr="00F76890" w:rsidRDefault="006B1B14" w:rsidP="00F012D5">
      <w:pPr>
        <w:contextualSpacing/>
        <w:rPr>
          <w:color w:val="auto"/>
          <w:kern w:val="24"/>
          <w:vertAlign w:val="superscript"/>
          <w:lang w:val="pt-PT" w:eastAsia="pt-PT"/>
        </w:rPr>
      </w:pPr>
      <w:r w:rsidRPr="00F76890">
        <w:rPr>
          <w:color w:val="auto"/>
          <w:kern w:val="24"/>
          <w:lang w:val="pt-PT" w:eastAsia="pt-PT"/>
        </w:rPr>
        <w:t>Anabela Baptista Paula*</w:t>
      </w:r>
      <w:r w:rsidRPr="00F76890">
        <w:rPr>
          <w:color w:val="auto"/>
          <w:kern w:val="24"/>
          <w:vertAlign w:val="superscript"/>
          <w:lang w:val="pt-PT" w:eastAsia="pt-PT"/>
        </w:rPr>
        <w:t>1-4</w:t>
      </w:r>
      <w:r w:rsidRPr="00F76890">
        <w:rPr>
          <w:color w:val="auto"/>
          <w:kern w:val="24"/>
          <w:lang w:val="pt-PT" w:eastAsia="pt-PT"/>
        </w:rPr>
        <w:t>, Mafalda Laranjo</w:t>
      </w:r>
      <w:bookmarkStart w:id="0" w:name="_Hlk19796013"/>
      <w:r w:rsidRPr="00F76890">
        <w:rPr>
          <w:color w:val="auto"/>
          <w:kern w:val="24"/>
          <w:lang w:val="pt-PT" w:eastAsia="pt-PT"/>
        </w:rPr>
        <w:t>*</w:t>
      </w:r>
      <w:r w:rsidRPr="00F76890">
        <w:rPr>
          <w:color w:val="auto"/>
          <w:kern w:val="24"/>
          <w:vertAlign w:val="superscript"/>
          <w:lang w:val="pt-PT" w:eastAsia="pt-PT"/>
        </w:rPr>
        <w:t>2-</w:t>
      </w:r>
      <w:bookmarkEnd w:id="0"/>
      <w:r w:rsidRPr="00F76890">
        <w:rPr>
          <w:color w:val="auto"/>
          <w:kern w:val="24"/>
          <w:vertAlign w:val="superscript"/>
          <w:lang w:val="pt-PT" w:eastAsia="pt-PT"/>
        </w:rPr>
        <w:t>5</w:t>
      </w:r>
      <w:r w:rsidRPr="00F76890">
        <w:rPr>
          <w:color w:val="auto"/>
          <w:kern w:val="24"/>
          <w:lang w:val="pt-PT" w:eastAsia="pt-PT"/>
        </w:rPr>
        <w:t>, Ana Sofia Coelho</w:t>
      </w:r>
      <w:bookmarkStart w:id="1" w:name="_Hlk19796062"/>
      <w:r w:rsidRPr="00F76890">
        <w:rPr>
          <w:color w:val="auto"/>
          <w:kern w:val="24"/>
          <w:vertAlign w:val="superscript"/>
          <w:lang w:val="pt-PT" w:eastAsia="pt-PT"/>
        </w:rPr>
        <w:t>1-4</w:t>
      </w:r>
      <w:bookmarkEnd w:id="1"/>
      <w:r w:rsidRPr="00F76890">
        <w:rPr>
          <w:color w:val="auto"/>
          <w:kern w:val="24"/>
          <w:lang w:val="pt-PT" w:eastAsia="pt-PT"/>
        </w:rPr>
        <w:t>, Ana Margarida Abrantes</w:t>
      </w:r>
      <w:r w:rsidRPr="00F76890">
        <w:rPr>
          <w:color w:val="auto"/>
          <w:kern w:val="24"/>
          <w:vertAlign w:val="superscript"/>
          <w:lang w:val="pt-PT" w:eastAsia="pt-PT"/>
        </w:rPr>
        <w:t>2-5</w:t>
      </w:r>
      <w:r w:rsidRPr="00F76890">
        <w:rPr>
          <w:color w:val="auto"/>
          <w:kern w:val="24"/>
          <w:lang w:val="pt-PT" w:eastAsia="pt-PT"/>
        </w:rPr>
        <w:t>, Ana Cristina Gonçalves</w:t>
      </w:r>
      <w:r w:rsidRPr="00F76890">
        <w:rPr>
          <w:color w:val="auto"/>
          <w:kern w:val="24"/>
          <w:vertAlign w:val="superscript"/>
          <w:lang w:val="pt-PT" w:eastAsia="pt-PT"/>
        </w:rPr>
        <w:t>2-4,6</w:t>
      </w:r>
      <w:r w:rsidRPr="00F76890">
        <w:rPr>
          <w:color w:val="auto"/>
          <w:kern w:val="24"/>
          <w:lang w:val="pt-PT" w:eastAsia="pt-PT"/>
        </w:rPr>
        <w:t>, Ana Bela Sarmento-Ribeiro</w:t>
      </w:r>
      <w:r w:rsidRPr="00F76890">
        <w:rPr>
          <w:color w:val="auto"/>
          <w:kern w:val="24"/>
          <w:vertAlign w:val="superscript"/>
          <w:lang w:val="pt-PT" w:eastAsia="pt-PT"/>
        </w:rPr>
        <w:t>2-4,6</w:t>
      </w:r>
      <w:r w:rsidRPr="00F76890">
        <w:rPr>
          <w:color w:val="auto"/>
          <w:kern w:val="24"/>
          <w:lang w:val="pt-PT" w:eastAsia="pt-PT"/>
        </w:rPr>
        <w:t>, Manuel Marques Ferreira</w:t>
      </w:r>
      <w:r w:rsidRPr="00F76890">
        <w:rPr>
          <w:color w:val="auto"/>
          <w:kern w:val="24"/>
          <w:vertAlign w:val="superscript"/>
          <w:lang w:val="pt-PT" w:eastAsia="pt-PT"/>
        </w:rPr>
        <w:t>2-4,7</w:t>
      </w:r>
      <w:r w:rsidRPr="00F76890">
        <w:rPr>
          <w:color w:val="auto"/>
          <w:kern w:val="24"/>
          <w:lang w:val="pt-PT" w:eastAsia="pt-PT"/>
        </w:rPr>
        <w:t>, Maria Filomena Botelho</w:t>
      </w:r>
      <w:r w:rsidRPr="00F76890">
        <w:rPr>
          <w:color w:val="auto"/>
          <w:kern w:val="24"/>
          <w:vertAlign w:val="superscript"/>
          <w:lang w:val="pt-PT" w:eastAsia="pt-PT"/>
        </w:rPr>
        <w:t>2-5</w:t>
      </w:r>
      <w:r w:rsidRPr="00F76890">
        <w:rPr>
          <w:color w:val="auto"/>
          <w:kern w:val="24"/>
          <w:lang w:val="pt-PT" w:eastAsia="pt-PT"/>
        </w:rPr>
        <w:t>, Carlos Miguel Marto</w:t>
      </w:r>
      <w:r w:rsidRPr="00F76890">
        <w:rPr>
          <w:color w:val="auto"/>
          <w:kern w:val="24"/>
          <w:vertAlign w:val="superscript"/>
          <w:lang w:val="pt-PT" w:eastAsia="pt-PT"/>
        </w:rPr>
        <w:t>1-4,8</w:t>
      </w:r>
      <w:r w:rsidRPr="00F76890">
        <w:rPr>
          <w:color w:val="auto"/>
          <w:kern w:val="24"/>
          <w:lang w:val="pt-PT" w:eastAsia="pt-PT"/>
        </w:rPr>
        <w:t>, Eunice Carrilho</w:t>
      </w:r>
      <w:r w:rsidRPr="00F76890">
        <w:rPr>
          <w:color w:val="auto"/>
          <w:kern w:val="24"/>
          <w:vertAlign w:val="superscript"/>
          <w:lang w:val="pt-PT" w:eastAsia="pt-PT"/>
        </w:rPr>
        <w:t>1-4</w:t>
      </w:r>
    </w:p>
    <w:p w14:paraId="5BC376E1" w14:textId="77777777" w:rsidR="00F012D5" w:rsidRPr="00F76890" w:rsidRDefault="00F012D5" w:rsidP="00F012D5">
      <w:pPr>
        <w:contextualSpacing/>
        <w:rPr>
          <w:rFonts w:eastAsiaTheme="minorHAnsi"/>
          <w:color w:val="auto"/>
          <w:vertAlign w:val="superscript"/>
          <w:lang w:val="en-GB"/>
        </w:rPr>
      </w:pPr>
    </w:p>
    <w:p w14:paraId="71FC5186" w14:textId="4709BDCF" w:rsidR="006B1B14" w:rsidRPr="00F76890" w:rsidRDefault="006B1B14" w:rsidP="00F012D5">
      <w:pPr>
        <w:contextualSpacing/>
        <w:rPr>
          <w:rFonts w:eastAsiaTheme="minorHAnsi"/>
          <w:color w:val="auto"/>
          <w:lang w:val="en-GB"/>
        </w:rPr>
      </w:pPr>
      <w:r w:rsidRPr="00F76890">
        <w:rPr>
          <w:rFonts w:eastAsiaTheme="minorHAnsi"/>
          <w:color w:val="auto"/>
          <w:vertAlign w:val="superscript"/>
          <w:lang w:val="en-GB"/>
        </w:rPr>
        <w:t xml:space="preserve">1 </w:t>
      </w:r>
      <w:r w:rsidRPr="00F76890">
        <w:rPr>
          <w:rFonts w:eastAsiaTheme="minorHAnsi"/>
          <w:color w:val="auto"/>
          <w:lang w:val="en-GB"/>
        </w:rPr>
        <w:t>University of Coimbra, Institute of Integrated Clinical Practice, Faculty of Medicine, Coimbra, Portugal</w:t>
      </w:r>
    </w:p>
    <w:p w14:paraId="77D0736B" w14:textId="77777777" w:rsidR="006B1B14" w:rsidRPr="00F76890" w:rsidRDefault="006B1B14" w:rsidP="00F012D5">
      <w:pPr>
        <w:contextualSpacing/>
        <w:rPr>
          <w:rFonts w:eastAsiaTheme="minorHAnsi"/>
          <w:color w:val="auto"/>
          <w:lang w:val="en-GB"/>
        </w:rPr>
      </w:pPr>
      <w:r w:rsidRPr="00F76890">
        <w:rPr>
          <w:rFonts w:asciiTheme="minorHAnsi" w:eastAsiaTheme="minorHAnsi" w:hAnsiTheme="minorHAnsi" w:cstheme="minorHAnsi"/>
          <w:color w:val="auto"/>
          <w:vertAlign w:val="superscript"/>
          <w:lang w:val="en-GB"/>
        </w:rPr>
        <w:t>2</w:t>
      </w:r>
      <w:r w:rsidRPr="00F76890">
        <w:rPr>
          <w:rFonts w:asciiTheme="minorHAnsi" w:eastAsiaTheme="minorHAnsi" w:hAnsiTheme="minorHAnsi" w:cstheme="minorHAnsi"/>
          <w:color w:val="auto"/>
          <w:lang w:val="en-GB"/>
        </w:rPr>
        <w:t xml:space="preserve"> University of Coimbra, Coimbra Institute for Clinical and Biomedical Research (</w:t>
      </w:r>
      <w:proofErr w:type="spellStart"/>
      <w:r w:rsidRPr="00F76890">
        <w:rPr>
          <w:rFonts w:asciiTheme="minorHAnsi" w:eastAsiaTheme="minorHAnsi" w:hAnsiTheme="minorHAnsi" w:cstheme="minorHAnsi"/>
          <w:color w:val="auto"/>
          <w:lang w:val="en-GB"/>
        </w:rPr>
        <w:t>iCBR</w:t>
      </w:r>
      <w:proofErr w:type="spellEnd"/>
      <w:r w:rsidRPr="00F76890">
        <w:rPr>
          <w:rFonts w:asciiTheme="minorHAnsi" w:eastAsiaTheme="minorHAnsi" w:hAnsiTheme="minorHAnsi" w:cstheme="minorHAnsi"/>
          <w:color w:val="auto"/>
          <w:lang w:val="en-GB"/>
        </w:rPr>
        <w:t xml:space="preserve">) area of Environment Genetics and </w:t>
      </w:r>
      <w:proofErr w:type="spellStart"/>
      <w:r w:rsidRPr="00F76890">
        <w:rPr>
          <w:rFonts w:asciiTheme="minorHAnsi" w:eastAsiaTheme="minorHAnsi" w:hAnsiTheme="minorHAnsi" w:cstheme="minorHAnsi"/>
          <w:color w:val="auto"/>
          <w:lang w:val="en-GB"/>
        </w:rPr>
        <w:t>Oncobiology</w:t>
      </w:r>
      <w:proofErr w:type="spellEnd"/>
      <w:r w:rsidRPr="00F76890">
        <w:rPr>
          <w:rFonts w:asciiTheme="minorHAnsi" w:eastAsiaTheme="minorHAnsi" w:hAnsiTheme="minorHAnsi" w:cstheme="minorHAnsi"/>
          <w:color w:val="auto"/>
          <w:lang w:val="en-GB"/>
        </w:rPr>
        <w:t xml:space="preserve"> (CIMAGO), Coimbra, </w:t>
      </w:r>
      <w:r w:rsidRPr="00F76890">
        <w:rPr>
          <w:rFonts w:eastAsiaTheme="minorHAnsi"/>
          <w:color w:val="auto"/>
          <w:lang w:val="en-GB"/>
        </w:rPr>
        <w:t>Portugal</w:t>
      </w:r>
    </w:p>
    <w:p w14:paraId="12E8C5E3" w14:textId="77777777" w:rsidR="006B1B14" w:rsidRPr="00F76890" w:rsidRDefault="006B1B14" w:rsidP="00F012D5">
      <w:pPr>
        <w:contextualSpacing/>
        <w:rPr>
          <w:rFonts w:eastAsiaTheme="minorHAnsi"/>
          <w:color w:val="auto"/>
          <w:lang w:val="en-GB"/>
        </w:rPr>
      </w:pPr>
      <w:r w:rsidRPr="00F76890">
        <w:rPr>
          <w:rFonts w:asciiTheme="minorHAnsi" w:eastAsiaTheme="minorHAnsi" w:hAnsiTheme="minorHAnsi" w:cstheme="minorHAnsi"/>
          <w:color w:val="auto"/>
          <w:vertAlign w:val="superscript"/>
          <w:lang w:val="en-GB"/>
        </w:rPr>
        <w:t>3</w:t>
      </w:r>
      <w:r w:rsidRPr="00F76890">
        <w:rPr>
          <w:rFonts w:asciiTheme="minorHAnsi" w:eastAsiaTheme="minorHAnsi" w:hAnsiTheme="minorHAnsi" w:cstheme="minorHAnsi"/>
          <w:color w:val="auto"/>
          <w:lang w:val="en-GB"/>
        </w:rPr>
        <w:t xml:space="preserve"> University of Coimbra, Center for Innovative Biomedicine and Biotechnology (CIBB), Coimbra, </w:t>
      </w:r>
      <w:r w:rsidRPr="00F76890">
        <w:rPr>
          <w:rFonts w:eastAsiaTheme="minorHAnsi"/>
          <w:color w:val="auto"/>
          <w:lang w:val="en-GB"/>
        </w:rPr>
        <w:t>Portugal</w:t>
      </w:r>
    </w:p>
    <w:p w14:paraId="06FC4C3E" w14:textId="77777777" w:rsidR="006B1B14" w:rsidRPr="00F76890" w:rsidRDefault="006B1B14" w:rsidP="00F012D5">
      <w:pPr>
        <w:contextualSpacing/>
        <w:rPr>
          <w:rFonts w:eastAsiaTheme="minorHAnsi"/>
          <w:color w:val="auto"/>
          <w:lang w:val="pt-PT"/>
        </w:rPr>
      </w:pPr>
      <w:r w:rsidRPr="00F76890">
        <w:rPr>
          <w:rFonts w:asciiTheme="minorHAnsi" w:hAnsiTheme="minorHAnsi" w:cstheme="minorHAnsi"/>
          <w:color w:val="auto"/>
          <w:vertAlign w:val="superscript"/>
          <w:lang w:val="pt-PT" w:eastAsia="pt-PT"/>
        </w:rPr>
        <w:t>4</w:t>
      </w:r>
      <w:r w:rsidRPr="00F76890">
        <w:rPr>
          <w:rFonts w:asciiTheme="minorHAnsi" w:hAnsiTheme="minorHAnsi" w:cstheme="minorHAnsi"/>
          <w:color w:val="auto"/>
          <w:shd w:val="clear" w:color="auto" w:fill="FFFFFF"/>
          <w:lang w:val="pt-PT" w:eastAsia="pt-PT"/>
        </w:rPr>
        <w:t xml:space="preserve"> Clinical Academic Center of Coimbra, CACC, </w:t>
      </w:r>
      <w:r w:rsidRPr="00F76890">
        <w:rPr>
          <w:rFonts w:eastAsiaTheme="minorHAnsi"/>
          <w:color w:val="auto"/>
          <w:lang w:val="pt-PT"/>
        </w:rPr>
        <w:t>Portugal</w:t>
      </w:r>
    </w:p>
    <w:p w14:paraId="18059189" w14:textId="77777777" w:rsidR="006B1B14" w:rsidRPr="00F76890" w:rsidRDefault="006B1B14" w:rsidP="00F012D5">
      <w:pPr>
        <w:contextualSpacing/>
        <w:rPr>
          <w:rFonts w:asciiTheme="minorHAnsi" w:eastAsiaTheme="minorHAnsi" w:hAnsiTheme="minorHAnsi" w:cstheme="minorHAnsi"/>
          <w:color w:val="auto"/>
          <w:lang w:val="en-GB"/>
        </w:rPr>
      </w:pPr>
      <w:r w:rsidRPr="00F76890">
        <w:rPr>
          <w:rFonts w:asciiTheme="minorHAnsi" w:eastAsiaTheme="minorHAnsi" w:hAnsiTheme="minorHAnsi" w:cstheme="minorHAnsi"/>
          <w:color w:val="auto"/>
          <w:vertAlign w:val="superscript"/>
          <w:lang w:val="en-GB"/>
        </w:rPr>
        <w:t xml:space="preserve">5 </w:t>
      </w:r>
      <w:r w:rsidRPr="00F76890">
        <w:rPr>
          <w:rFonts w:asciiTheme="minorHAnsi" w:eastAsiaTheme="minorHAnsi" w:hAnsiTheme="minorHAnsi" w:cstheme="minorHAnsi"/>
          <w:color w:val="auto"/>
          <w:lang w:val="en-GB"/>
        </w:rPr>
        <w:t xml:space="preserve">University of Coimbra, Institute of Biophysics, Faculty of Medicine, Coimbra, </w:t>
      </w:r>
      <w:r w:rsidRPr="00F76890">
        <w:rPr>
          <w:rFonts w:eastAsiaTheme="minorHAnsi"/>
          <w:color w:val="auto"/>
          <w:lang w:val="en-GB"/>
        </w:rPr>
        <w:t>Portugal</w:t>
      </w:r>
    </w:p>
    <w:p w14:paraId="28ACF24A" w14:textId="77777777" w:rsidR="006B1B14" w:rsidRPr="00F76890" w:rsidRDefault="006B1B14" w:rsidP="00F012D5">
      <w:pPr>
        <w:contextualSpacing/>
        <w:rPr>
          <w:rFonts w:asciiTheme="minorHAnsi" w:hAnsiTheme="minorHAnsi" w:cstheme="minorHAnsi"/>
          <w:color w:val="auto"/>
          <w:lang w:eastAsia="pt-PT"/>
        </w:rPr>
      </w:pPr>
      <w:r w:rsidRPr="00F76890">
        <w:rPr>
          <w:rFonts w:asciiTheme="minorHAnsi" w:eastAsiaTheme="minorHAnsi" w:hAnsiTheme="minorHAnsi" w:cstheme="minorHAnsi"/>
          <w:color w:val="auto"/>
          <w:vertAlign w:val="superscript"/>
          <w:lang w:val="en-GB"/>
        </w:rPr>
        <w:t xml:space="preserve">6 </w:t>
      </w:r>
      <w:r w:rsidRPr="00F76890">
        <w:rPr>
          <w:rFonts w:asciiTheme="minorHAnsi" w:hAnsiTheme="minorHAnsi" w:cstheme="minorHAnsi"/>
          <w:color w:val="auto"/>
          <w:lang w:eastAsia="pt-PT"/>
        </w:rPr>
        <w:t xml:space="preserve">University of Coimbra, Laboratory of </w:t>
      </w:r>
      <w:proofErr w:type="spellStart"/>
      <w:r w:rsidRPr="00F76890">
        <w:rPr>
          <w:rFonts w:asciiTheme="minorHAnsi" w:hAnsiTheme="minorHAnsi" w:cstheme="minorHAnsi"/>
          <w:color w:val="auto"/>
          <w:lang w:eastAsia="pt-PT"/>
        </w:rPr>
        <w:t>Oncobiology</w:t>
      </w:r>
      <w:proofErr w:type="spellEnd"/>
      <w:r w:rsidRPr="00F76890">
        <w:rPr>
          <w:rFonts w:asciiTheme="minorHAnsi" w:hAnsiTheme="minorHAnsi" w:cstheme="minorHAnsi"/>
          <w:color w:val="auto"/>
          <w:lang w:eastAsia="pt-PT"/>
        </w:rPr>
        <w:t xml:space="preserve"> and Hematology, Faculty of Medicine, Coimbra, </w:t>
      </w:r>
      <w:r w:rsidRPr="00F76890">
        <w:rPr>
          <w:rFonts w:eastAsiaTheme="minorHAnsi"/>
          <w:color w:val="auto"/>
          <w:lang w:val="en-GB"/>
        </w:rPr>
        <w:t>Portugal</w:t>
      </w:r>
    </w:p>
    <w:p w14:paraId="0DD7B93B" w14:textId="77777777" w:rsidR="006B1B14" w:rsidRPr="00F76890" w:rsidRDefault="006B1B14" w:rsidP="00F012D5">
      <w:pPr>
        <w:contextualSpacing/>
        <w:rPr>
          <w:rFonts w:eastAsiaTheme="minorHAnsi"/>
          <w:color w:val="auto"/>
          <w:lang w:val="en-GB"/>
        </w:rPr>
      </w:pPr>
      <w:r w:rsidRPr="00F76890">
        <w:rPr>
          <w:rFonts w:asciiTheme="minorHAnsi" w:hAnsiTheme="minorHAnsi" w:cstheme="minorHAnsi"/>
          <w:color w:val="auto"/>
          <w:shd w:val="clear" w:color="auto" w:fill="FFFFFF"/>
          <w:vertAlign w:val="superscript"/>
          <w:lang w:val="en-GB" w:eastAsia="pt-PT"/>
        </w:rPr>
        <w:t xml:space="preserve">7 </w:t>
      </w:r>
      <w:r w:rsidRPr="00F76890">
        <w:rPr>
          <w:rFonts w:asciiTheme="minorHAnsi" w:eastAsiaTheme="minorHAnsi" w:hAnsiTheme="minorHAnsi" w:cstheme="minorHAnsi"/>
          <w:color w:val="auto"/>
          <w:lang w:val="en-GB"/>
        </w:rPr>
        <w:t xml:space="preserve">University of Coimbra, Institute of Endodontics, Faculty of Medicine, Coimbra, </w:t>
      </w:r>
      <w:r w:rsidRPr="00F76890">
        <w:rPr>
          <w:rFonts w:eastAsiaTheme="minorHAnsi"/>
          <w:color w:val="auto"/>
          <w:lang w:val="en-GB"/>
        </w:rPr>
        <w:t>Portugal</w:t>
      </w:r>
    </w:p>
    <w:p w14:paraId="27E9D6B0" w14:textId="77777777" w:rsidR="006B1B14" w:rsidRPr="00F76890" w:rsidRDefault="006B1B14" w:rsidP="00F012D5">
      <w:pPr>
        <w:contextualSpacing/>
        <w:rPr>
          <w:rFonts w:asciiTheme="minorHAnsi" w:eastAsiaTheme="minorHAnsi" w:hAnsiTheme="minorHAnsi" w:cstheme="minorHAnsi"/>
          <w:color w:val="auto"/>
          <w:lang w:val="en-GB"/>
        </w:rPr>
      </w:pPr>
      <w:r w:rsidRPr="00F76890">
        <w:rPr>
          <w:rFonts w:asciiTheme="minorHAnsi" w:eastAsiaTheme="minorHAnsi" w:hAnsiTheme="minorHAnsi" w:cstheme="minorHAnsi"/>
          <w:color w:val="auto"/>
          <w:vertAlign w:val="superscript"/>
          <w:lang w:val="en-GB"/>
        </w:rPr>
        <w:t xml:space="preserve">8 </w:t>
      </w:r>
      <w:r w:rsidRPr="00F76890">
        <w:rPr>
          <w:rFonts w:asciiTheme="minorHAnsi" w:eastAsiaTheme="minorHAnsi" w:hAnsiTheme="minorHAnsi" w:cstheme="minorHAnsi"/>
          <w:color w:val="auto"/>
          <w:lang w:val="en-GB"/>
        </w:rPr>
        <w:t xml:space="preserve">University of Coimbra, Institute of Experimental Pathology, Faculty of Medicine, Coimbra, </w:t>
      </w:r>
      <w:r w:rsidRPr="00F76890">
        <w:rPr>
          <w:rFonts w:eastAsiaTheme="minorHAnsi"/>
          <w:color w:val="auto"/>
          <w:lang w:val="en-GB"/>
        </w:rPr>
        <w:t>Portugal</w:t>
      </w:r>
    </w:p>
    <w:p w14:paraId="50DDF800" w14:textId="77777777" w:rsidR="006B1B14" w:rsidRPr="00F76890" w:rsidRDefault="006B1B14" w:rsidP="00F012D5">
      <w:pPr>
        <w:contextualSpacing/>
        <w:rPr>
          <w:rFonts w:asciiTheme="minorHAnsi" w:eastAsiaTheme="minorHAnsi" w:hAnsiTheme="minorHAnsi" w:cstheme="minorHAnsi"/>
          <w:color w:val="auto"/>
          <w:lang w:val="en-GB"/>
        </w:rPr>
      </w:pPr>
    </w:p>
    <w:p w14:paraId="6E7FFE93" w14:textId="77777777"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color w:val="auto"/>
        </w:rPr>
        <w:t>*These authors contributed equally.</w:t>
      </w:r>
    </w:p>
    <w:p w14:paraId="3F5640CB" w14:textId="77777777" w:rsidR="006B1B14" w:rsidRPr="00F76890" w:rsidRDefault="006B1B14" w:rsidP="00F012D5">
      <w:pPr>
        <w:contextualSpacing/>
        <w:rPr>
          <w:rFonts w:asciiTheme="minorHAnsi" w:hAnsiTheme="minorHAnsi" w:cstheme="minorHAnsi"/>
          <w:b/>
          <w:color w:val="auto"/>
        </w:rPr>
      </w:pPr>
    </w:p>
    <w:p w14:paraId="6B007B18" w14:textId="77777777"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 xml:space="preserve">Corresponding Author: </w:t>
      </w:r>
    </w:p>
    <w:p w14:paraId="0C7F2F46" w14:textId="77777777" w:rsidR="006B1B14" w:rsidRPr="00F76890" w:rsidRDefault="006B1B14" w:rsidP="00F012D5">
      <w:pPr>
        <w:contextualSpacing/>
        <w:rPr>
          <w:rFonts w:asciiTheme="minorHAnsi" w:hAnsiTheme="minorHAnsi" w:cstheme="minorHAnsi"/>
          <w:bCs/>
          <w:color w:val="auto"/>
          <w:lang w:val="pt-PT"/>
        </w:rPr>
      </w:pPr>
      <w:r w:rsidRPr="00F76890">
        <w:rPr>
          <w:rFonts w:asciiTheme="minorHAnsi" w:hAnsiTheme="minorHAnsi" w:cstheme="minorHAnsi"/>
          <w:bCs/>
          <w:color w:val="auto"/>
          <w:lang w:val="pt-PT"/>
        </w:rPr>
        <w:t xml:space="preserve">Anabela Baptista Paula </w:t>
      </w:r>
      <w:r w:rsidRPr="00F76890">
        <w:rPr>
          <w:rFonts w:asciiTheme="minorHAnsi" w:hAnsiTheme="minorHAnsi" w:cstheme="minorHAnsi"/>
          <w:bCs/>
          <w:color w:val="auto"/>
          <w:lang w:val="pt-PT"/>
        </w:rPr>
        <w:tab/>
        <w:t>(anabelabppaula@sapo.pt</w:t>
      </w:r>
      <w:r w:rsidRPr="00F76890">
        <w:rPr>
          <w:rStyle w:val="Hyperlink"/>
          <w:rFonts w:asciiTheme="minorHAnsi" w:hAnsiTheme="minorHAnsi" w:cstheme="minorHAnsi"/>
          <w:color w:val="auto"/>
          <w:lang w:val="pt-PT"/>
        </w:rPr>
        <w:t>)</w:t>
      </w:r>
    </w:p>
    <w:p w14:paraId="0645451C" w14:textId="77777777" w:rsidR="006B1B14" w:rsidRPr="00F76890" w:rsidRDefault="006B1B14" w:rsidP="00F012D5">
      <w:pPr>
        <w:contextualSpacing/>
        <w:rPr>
          <w:rFonts w:asciiTheme="minorHAnsi" w:hAnsiTheme="minorHAnsi" w:cstheme="minorHAnsi"/>
          <w:bCs/>
          <w:color w:val="auto"/>
          <w:lang w:val="pt-PT"/>
        </w:rPr>
      </w:pPr>
    </w:p>
    <w:p w14:paraId="2A78EAE3" w14:textId="77777777"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Email addresses of co-authors:</w:t>
      </w:r>
    </w:p>
    <w:p w14:paraId="7BD7C447" w14:textId="77777777" w:rsidR="006B1B14" w:rsidRPr="00F76890" w:rsidRDefault="006B1B14" w:rsidP="00F012D5">
      <w:pPr>
        <w:contextualSpacing/>
        <w:rPr>
          <w:rFonts w:asciiTheme="minorHAnsi" w:hAnsiTheme="minorHAnsi" w:cstheme="minorHAnsi"/>
          <w:bCs/>
          <w:color w:val="auto"/>
          <w:lang w:val="pt-PT"/>
        </w:rPr>
      </w:pPr>
      <w:r w:rsidRPr="00F76890">
        <w:rPr>
          <w:rFonts w:asciiTheme="minorHAnsi" w:hAnsiTheme="minorHAnsi" w:cstheme="minorHAnsi"/>
          <w:bCs/>
          <w:color w:val="auto"/>
          <w:lang w:val="pt-PT"/>
        </w:rPr>
        <w:t xml:space="preserve">Mafalda Laranjo </w:t>
      </w:r>
      <w:r w:rsidRPr="00F76890">
        <w:rPr>
          <w:rFonts w:asciiTheme="minorHAnsi" w:hAnsiTheme="minorHAnsi" w:cstheme="minorHAnsi"/>
          <w:bCs/>
          <w:color w:val="auto"/>
          <w:lang w:val="pt-PT"/>
        </w:rPr>
        <w:tab/>
      </w:r>
      <w:r w:rsidRPr="00F76890">
        <w:rPr>
          <w:rFonts w:asciiTheme="minorHAnsi" w:hAnsiTheme="minorHAnsi" w:cstheme="minorHAnsi"/>
          <w:bCs/>
          <w:color w:val="auto"/>
          <w:lang w:val="pt-PT"/>
        </w:rPr>
        <w:tab/>
        <w:t>(mafaldalaranjo@gmail.com)</w:t>
      </w:r>
    </w:p>
    <w:p w14:paraId="1F91D261" w14:textId="77777777" w:rsidR="006B1B14" w:rsidRPr="00F76890" w:rsidRDefault="006B1B14" w:rsidP="00F012D5">
      <w:pPr>
        <w:contextualSpacing/>
        <w:rPr>
          <w:rFonts w:asciiTheme="minorHAnsi" w:hAnsiTheme="minorHAnsi" w:cstheme="minorHAnsi"/>
          <w:bCs/>
          <w:color w:val="auto"/>
          <w:lang w:val="pt-PT"/>
        </w:rPr>
      </w:pPr>
      <w:r w:rsidRPr="00F76890">
        <w:rPr>
          <w:rFonts w:asciiTheme="minorHAnsi" w:hAnsiTheme="minorHAnsi" w:cstheme="minorHAnsi"/>
          <w:bCs/>
          <w:color w:val="auto"/>
          <w:lang w:val="pt-PT"/>
        </w:rPr>
        <w:t xml:space="preserve">Ana Sofia Coelho </w:t>
      </w:r>
      <w:r w:rsidRPr="00F76890">
        <w:rPr>
          <w:rFonts w:asciiTheme="minorHAnsi" w:hAnsiTheme="minorHAnsi" w:cstheme="minorHAnsi"/>
          <w:bCs/>
          <w:color w:val="auto"/>
          <w:lang w:val="pt-PT"/>
        </w:rPr>
        <w:tab/>
      </w:r>
      <w:r w:rsidRPr="00F76890">
        <w:rPr>
          <w:rFonts w:asciiTheme="minorHAnsi" w:hAnsiTheme="minorHAnsi" w:cstheme="minorHAnsi"/>
          <w:bCs/>
          <w:color w:val="auto"/>
          <w:lang w:val="pt-PT"/>
        </w:rPr>
        <w:tab/>
        <w:t>(</w:t>
      </w:r>
      <w:r w:rsidRPr="00F76890">
        <w:rPr>
          <w:rStyle w:val="Hyperlink"/>
          <w:rFonts w:asciiTheme="minorHAnsi" w:hAnsiTheme="minorHAnsi" w:cstheme="minorHAnsi"/>
          <w:bCs/>
          <w:color w:val="auto"/>
          <w:lang w:val="pt-PT"/>
        </w:rPr>
        <w:t>anasofiacoelho@gmail.com)</w:t>
      </w:r>
    </w:p>
    <w:p w14:paraId="38408D02" w14:textId="77777777" w:rsidR="006B1B14" w:rsidRPr="00F76890" w:rsidRDefault="006B1B14" w:rsidP="00F012D5">
      <w:pPr>
        <w:contextualSpacing/>
        <w:rPr>
          <w:rStyle w:val="Hyperlink"/>
          <w:rFonts w:asciiTheme="minorHAnsi" w:hAnsiTheme="minorHAnsi" w:cstheme="minorHAnsi"/>
          <w:bCs/>
          <w:color w:val="auto"/>
          <w:lang w:val="pt-PT"/>
        </w:rPr>
      </w:pPr>
      <w:r w:rsidRPr="00F76890">
        <w:rPr>
          <w:rFonts w:asciiTheme="minorHAnsi" w:hAnsiTheme="minorHAnsi" w:cstheme="minorHAnsi"/>
          <w:bCs/>
          <w:color w:val="auto"/>
          <w:lang w:val="pt-PT"/>
        </w:rPr>
        <w:t xml:space="preserve">Ana Margarida Abrantes </w:t>
      </w:r>
      <w:r w:rsidRPr="00F76890">
        <w:rPr>
          <w:rFonts w:asciiTheme="minorHAnsi" w:hAnsiTheme="minorHAnsi" w:cstheme="minorHAnsi"/>
          <w:bCs/>
          <w:color w:val="auto"/>
          <w:lang w:val="pt-PT"/>
        </w:rPr>
        <w:tab/>
        <w:t>(mabrantes@fmed.uc.pt)</w:t>
      </w:r>
    </w:p>
    <w:p w14:paraId="1F6E614B" w14:textId="77777777" w:rsidR="006B1B14" w:rsidRPr="00F76890" w:rsidRDefault="006B1B14" w:rsidP="00F012D5">
      <w:pPr>
        <w:contextualSpacing/>
        <w:rPr>
          <w:rStyle w:val="Hyperlink"/>
          <w:rFonts w:asciiTheme="minorHAnsi" w:hAnsiTheme="minorHAnsi" w:cstheme="minorHAnsi"/>
          <w:bCs/>
          <w:color w:val="auto"/>
          <w:lang w:val="pt-PT"/>
        </w:rPr>
      </w:pPr>
      <w:r w:rsidRPr="00F76890">
        <w:rPr>
          <w:rStyle w:val="Hyperlink"/>
          <w:rFonts w:asciiTheme="minorHAnsi" w:hAnsiTheme="minorHAnsi" w:cstheme="minorHAnsi"/>
          <w:bCs/>
          <w:color w:val="auto"/>
          <w:lang w:val="pt-PT"/>
        </w:rPr>
        <w:t xml:space="preserve">Ana Cristina Gonçalves </w:t>
      </w:r>
      <w:r w:rsidRPr="00F76890">
        <w:rPr>
          <w:rStyle w:val="Hyperlink"/>
          <w:rFonts w:asciiTheme="minorHAnsi" w:hAnsiTheme="minorHAnsi" w:cstheme="minorHAnsi"/>
          <w:bCs/>
          <w:color w:val="auto"/>
          <w:lang w:val="pt-PT"/>
        </w:rPr>
        <w:tab/>
        <w:t>(</w:t>
      </w:r>
      <w:r w:rsidRPr="00F76890">
        <w:rPr>
          <w:rFonts w:asciiTheme="minorHAnsi" w:hAnsiTheme="minorHAnsi" w:cstheme="minorHAnsi"/>
          <w:bCs/>
          <w:color w:val="auto"/>
          <w:lang w:val="pt-PT"/>
        </w:rPr>
        <w:t>acc.goncalves@gmail.com</w:t>
      </w:r>
      <w:r w:rsidRPr="00F76890">
        <w:rPr>
          <w:rStyle w:val="Hyperlink"/>
          <w:rFonts w:asciiTheme="minorHAnsi" w:hAnsiTheme="minorHAnsi" w:cstheme="minorHAnsi"/>
          <w:bCs/>
          <w:color w:val="auto"/>
          <w:lang w:val="pt-PT"/>
        </w:rPr>
        <w:t>)</w:t>
      </w:r>
    </w:p>
    <w:p w14:paraId="68972C5F" w14:textId="77777777" w:rsidR="006B1B14" w:rsidRPr="00F76890" w:rsidRDefault="006B1B14" w:rsidP="00F012D5">
      <w:pPr>
        <w:contextualSpacing/>
        <w:rPr>
          <w:rFonts w:asciiTheme="minorHAnsi" w:hAnsiTheme="minorHAnsi" w:cstheme="minorHAnsi"/>
          <w:bCs/>
          <w:color w:val="auto"/>
          <w:lang w:val="pt-PT"/>
        </w:rPr>
      </w:pPr>
      <w:r w:rsidRPr="00F76890">
        <w:rPr>
          <w:rStyle w:val="Hyperlink"/>
          <w:rFonts w:asciiTheme="minorHAnsi" w:hAnsiTheme="minorHAnsi" w:cstheme="minorHAnsi"/>
          <w:bCs/>
          <w:color w:val="auto"/>
          <w:lang w:val="pt-PT"/>
        </w:rPr>
        <w:t xml:space="preserve">Ana Bela Sarmento-Ribeiro </w:t>
      </w:r>
      <w:r w:rsidRPr="00F76890">
        <w:rPr>
          <w:rStyle w:val="Hyperlink"/>
          <w:rFonts w:asciiTheme="minorHAnsi" w:hAnsiTheme="minorHAnsi" w:cstheme="minorHAnsi"/>
          <w:bCs/>
          <w:color w:val="auto"/>
          <w:lang w:val="pt-PT"/>
        </w:rPr>
        <w:tab/>
        <w:t>(absarmento@fmed.uc.pt)</w:t>
      </w:r>
    </w:p>
    <w:p w14:paraId="0A8E2636" w14:textId="77777777" w:rsidR="006B1B14" w:rsidRPr="00F76890" w:rsidRDefault="006B1B14" w:rsidP="00F012D5">
      <w:pPr>
        <w:contextualSpacing/>
        <w:rPr>
          <w:rFonts w:asciiTheme="minorHAnsi" w:hAnsiTheme="minorHAnsi" w:cstheme="minorHAnsi"/>
          <w:bCs/>
          <w:color w:val="auto"/>
          <w:lang w:val="pt-PT"/>
        </w:rPr>
      </w:pPr>
      <w:r w:rsidRPr="00F76890">
        <w:rPr>
          <w:rFonts w:asciiTheme="minorHAnsi" w:hAnsiTheme="minorHAnsi" w:cstheme="minorHAnsi"/>
          <w:bCs/>
          <w:color w:val="auto"/>
          <w:lang w:val="pt-PT"/>
        </w:rPr>
        <w:t xml:space="preserve">Manuel Marques Ferreira </w:t>
      </w:r>
      <w:r w:rsidRPr="00F76890">
        <w:rPr>
          <w:rFonts w:asciiTheme="minorHAnsi" w:hAnsiTheme="minorHAnsi" w:cstheme="minorHAnsi"/>
          <w:bCs/>
          <w:color w:val="auto"/>
          <w:lang w:val="pt-PT"/>
        </w:rPr>
        <w:tab/>
        <w:t>(m.mferreira@netcabo.pt)</w:t>
      </w:r>
    </w:p>
    <w:p w14:paraId="0A5C9619" w14:textId="77777777" w:rsidR="006B1B14" w:rsidRPr="00F76890" w:rsidRDefault="006B1B14" w:rsidP="00F012D5">
      <w:pPr>
        <w:contextualSpacing/>
        <w:rPr>
          <w:rFonts w:asciiTheme="minorHAnsi" w:hAnsiTheme="minorHAnsi" w:cstheme="minorHAnsi"/>
          <w:bCs/>
          <w:color w:val="auto"/>
          <w:lang w:val="pt-PT"/>
        </w:rPr>
      </w:pPr>
      <w:r w:rsidRPr="00F76890">
        <w:rPr>
          <w:rFonts w:asciiTheme="minorHAnsi" w:hAnsiTheme="minorHAnsi" w:cstheme="minorHAnsi"/>
          <w:bCs/>
          <w:color w:val="auto"/>
          <w:lang w:val="pt-PT"/>
        </w:rPr>
        <w:t xml:space="preserve">Maria Filomena Botelho </w:t>
      </w:r>
      <w:r w:rsidRPr="00F76890">
        <w:rPr>
          <w:rFonts w:asciiTheme="minorHAnsi" w:hAnsiTheme="minorHAnsi" w:cstheme="minorHAnsi"/>
          <w:bCs/>
          <w:color w:val="auto"/>
          <w:lang w:val="pt-PT"/>
        </w:rPr>
        <w:tab/>
        <w:t>(mfbotelho@fmed.uc.pt)</w:t>
      </w:r>
    </w:p>
    <w:p w14:paraId="1CF70491" w14:textId="77777777" w:rsidR="006B1B14" w:rsidRPr="00F76890" w:rsidRDefault="006B1B14" w:rsidP="00F012D5">
      <w:pPr>
        <w:contextualSpacing/>
        <w:rPr>
          <w:rFonts w:asciiTheme="minorHAnsi" w:hAnsiTheme="minorHAnsi" w:cstheme="minorHAnsi"/>
          <w:bCs/>
          <w:color w:val="auto"/>
          <w:lang w:val="pt-PT"/>
        </w:rPr>
      </w:pPr>
      <w:r w:rsidRPr="00F76890">
        <w:rPr>
          <w:rFonts w:asciiTheme="minorHAnsi" w:hAnsiTheme="minorHAnsi" w:cstheme="minorHAnsi"/>
          <w:bCs/>
          <w:color w:val="auto"/>
          <w:lang w:val="pt-PT"/>
        </w:rPr>
        <w:t xml:space="preserve">Carlos Miguel Marto </w:t>
      </w:r>
      <w:r w:rsidRPr="00F76890">
        <w:rPr>
          <w:rFonts w:asciiTheme="minorHAnsi" w:hAnsiTheme="minorHAnsi" w:cstheme="minorHAnsi"/>
          <w:bCs/>
          <w:color w:val="auto"/>
          <w:lang w:val="pt-PT"/>
        </w:rPr>
        <w:tab/>
      </w:r>
      <w:r w:rsidRPr="00F76890">
        <w:rPr>
          <w:rFonts w:asciiTheme="minorHAnsi" w:hAnsiTheme="minorHAnsi" w:cstheme="minorHAnsi"/>
          <w:bCs/>
          <w:color w:val="auto"/>
          <w:lang w:val="pt-PT"/>
        </w:rPr>
        <w:tab/>
        <w:t>(cmiguel.marto@uc.pt)</w:t>
      </w:r>
    </w:p>
    <w:p w14:paraId="4B76ED17" w14:textId="77777777" w:rsidR="006B1B14" w:rsidRPr="00F76890" w:rsidRDefault="006B1B14" w:rsidP="00F012D5">
      <w:pPr>
        <w:contextualSpacing/>
        <w:rPr>
          <w:rFonts w:asciiTheme="minorHAnsi" w:hAnsiTheme="minorHAnsi" w:cstheme="minorHAnsi"/>
          <w:bCs/>
          <w:color w:val="auto"/>
          <w:lang w:val="pt-PT"/>
        </w:rPr>
      </w:pPr>
      <w:r w:rsidRPr="00F76890">
        <w:rPr>
          <w:rFonts w:asciiTheme="minorHAnsi" w:hAnsiTheme="minorHAnsi" w:cstheme="minorHAnsi"/>
          <w:bCs/>
          <w:color w:val="auto"/>
          <w:lang w:val="pt-PT"/>
        </w:rPr>
        <w:t xml:space="preserve">Eunice Carrilho </w:t>
      </w:r>
      <w:r w:rsidRPr="00F76890">
        <w:rPr>
          <w:rFonts w:asciiTheme="minorHAnsi" w:hAnsiTheme="minorHAnsi" w:cstheme="minorHAnsi"/>
          <w:bCs/>
          <w:color w:val="auto"/>
          <w:lang w:val="pt-PT"/>
        </w:rPr>
        <w:tab/>
      </w:r>
      <w:r w:rsidRPr="00F76890">
        <w:rPr>
          <w:rFonts w:asciiTheme="minorHAnsi" w:hAnsiTheme="minorHAnsi" w:cstheme="minorHAnsi"/>
          <w:bCs/>
          <w:color w:val="auto"/>
          <w:lang w:val="pt-PT"/>
        </w:rPr>
        <w:tab/>
        <w:t>(eunicecarrilho@gmail.com)</w:t>
      </w:r>
    </w:p>
    <w:p w14:paraId="2C7270F6" w14:textId="77777777" w:rsidR="006B1B14" w:rsidRPr="00F76890" w:rsidRDefault="006B1B14" w:rsidP="00F012D5">
      <w:pPr>
        <w:contextualSpacing/>
        <w:rPr>
          <w:rFonts w:asciiTheme="minorHAnsi" w:hAnsiTheme="minorHAnsi" w:cstheme="minorHAnsi"/>
          <w:bCs/>
          <w:color w:val="auto"/>
          <w:lang w:val="pt-PT"/>
        </w:rPr>
      </w:pPr>
    </w:p>
    <w:p w14:paraId="3D644C88" w14:textId="77777777" w:rsidR="006B1B14" w:rsidRPr="00F76890" w:rsidRDefault="006B1B14" w:rsidP="00F012D5">
      <w:pPr>
        <w:pStyle w:val="NormalWeb"/>
        <w:spacing w:before="0" w:beforeAutospacing="0" w:after="0" w:afterAutospacing="0"/>
        <w:contextualSpacing/>
        <w:rPr>
          <w:rFonts w:asciiTheme="minorHAnsi" w:hAnsiTheme="minorHAnsi" w:cstheme="minorHAnsi"/>
          <w:color w:val="auto"/>
        </w:rPr>
      </w:pPr>
      <w:r w:rsidRPr="00F76890">
        <w:rPr>
          <w:rFonts w:asciiTheme="minorHAnsi" w:hAnsiTheme="minorHAnsi" w:cstheme="minorHAnsi"/>
          <w:b/>
          <w:bCs/>
          <w:color w:val="auto"/>
        </w:rPr>
        <w:t>KEYWORDS:</w:t>
      </w:r>
      <w:r w:rsidRPr="00F76890">
        <w:rPr>
          <w:rFonts w:asciiTheme="minorHAnsi" w:hAnsiTheme="minorHAnsi" w:cstheme="minorHAnsi"/>
          <w:color w:val="auto"/>
        </w:rPr>
        <w:t xml:space="preserve"> </w:t>
      </w:r>
    </w:p>
    <w:p w14:paraId="4BD8DBF7" w14:textId="77777777"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color w:val="auto"/>
          <w:shd w:val="clear" w:color="auto" w:fill="FFFFFF"/>
        </w:rPr>
        <w:t xml:space="preserve">biocompatibility, biomaterials, cell culture, cytotoxicity, conditioned medium, extracts. </w:t>
      </w:r>
    </w:p>
    <w:p w14:paraId="597B7569" w14:textId="77777777" w:rsidR="006B1B14" w:rsidRPr="00F76890" w:rsidRDefault="006B1B14" w:rsidP="00F012D5">
      <w:pPr>
        <w:contextualSpacing/>
        <w:rPr>
          <w:rFonts w:asciiTheme="minorHAnsi" w:hAnsiTheme="minorHAnsi" w:cstheme="minorHAnsi"/>
          <w:color w:val="auto"/>
          <w:lang w:eastAsia="pt-PT"/>
        </w:rPr>
      </w:pPr>
    </w:p>
    <w:p w14:paraId="70541F73" w14:textId="77777777"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b/>
          <w:bCs/>
          <w:color w:val="auto"/>
        </w:rPr>
        <w:t>SUMMARY:</w:t>
      </w:r>
      <w:r w:rsidRPr="00F76890">
        <w:rPr>
          <w:rFonts w:asciiTheme="minorHAnsi" w:hAnsiTheme="minorHAnsi" w:cstheme="minorHAnsi"/>
          <w:color w:val="auto"/>
        </w:rPr>
        <w:t xml:space="preserve"> </w:t>
      </w:r>
    </w:p>
    <w:p w14:paraId="6647649A" w14:textId="0EF588D8"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color w:val="auto"/>
        </w:rPr>
        <w:t>This methodology aims to evaluate biomaterial</w:t>
      </w:r>
      <w:r w:rsidR="00B92F3E" w:rsidRPr="00F76890">
        <w:rPr>
          <w:rFonts w:asciiTheme="minorHAnsi" w:hAnsiTheme="minorHAnsi" w:cstheme="minorHAnsi"/>
          <w:color w:val="auto"/>
        </w:rPr>
        <w:t xml:space="preserve"> </w:t>
      </w:r>
      <w:r w:rsidRPr="00F76890">
        <w:rPr>
          <w:rFonts w:asciiTheme="minorHAnsi" w:hAnsiTheme="minorHAnsi" w:cstheme="minorHAnsi"/>
          <w:color w:val="auto"/>
        </w:rPr>
        <w:t xml:space="preserve">cytotoxicity through the preparation of soluble extracts, </w:t>
      </w:r>
      <w:r w:rsidRPr="00F76890">
        <w:rPr>
          <w:color w:val="auto"/>
        </w:rPr>
        <w:t>using viability assays and phenotypic analysis, including flow cytometry, RT-PCR, immunocytochemistry, and other cellular and molecular biology techniques.</w:t>
      </w:r>
    </w:p>
    <w:p w14:paraId="5BEB6274" w14:textId="77777777" w:rsidR="006B1B14" w:rsidRPr="00F76890" w:rsidRDefault="006B1B14" w:rsidP="00F012D5">
      <w:pPr>
        <w:contextualSpacing/>
        <w:rPr>
          <w:rFonts w:asciiTheme="minorHAnsi" w:hAnsiTheme="minorHAnsi" w:cstheme="minorHAnsi"/>
          <w:color w:val="auto"/>
        </w:rPr>
      </w:pPr>
    </w:p>
    <w:p w14:paraId="702CD54D" w14:textId="77777777"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b/>
          <w:bCs/>
          <w:color w:val="auto"/>
        </w:rPr>
        <w:t>ABSTRACT:</w:t>
      </w:r>
      <w:r w:rsidRPr="00F76890">
        <w:rPr>
          <w:rFonts w:asciiTheme="minorHAnsi" w:hAnsiTheme="minorHAnsi" w:cstheme="minorHAnsi"/>
          <w:color w:val="auto"/>
        </w:rPr>
        <w:t xml:space="preserve"> </w:t>
      </w:r>
    </w:p>
    <w:p w14:paraId="02FFF106" w14:textId="6DA9FCD1" w:rsidR="006B1B14" w:rsidRPr="00F76890" w:rsidRDefault="006B1B14" w:rsidP="0064588C">
      <w:pPr>
        <w:contextualSpacing/>
        <w:rPr>
          <w:rFonts w:asciiTheme="minorHAnsi" w:hAnsiTheme="minorHAnsi" w:cstheme="minorHAnsi"/>
          <w:color w:val="auto"/>
        </w:rPr>
      </w:pPr>
      <w:r w:rsidRPr="00F76890">
        <w:rPr>
          <w:rFonts w:asciiTheme="minorHAnsi" w:hAnsiTheme="minorHAnsi" w:cstheme="minorHAnsi"/>
          <w:color w:val="auto"/>
        </w:rPr>
        <w:lastRenderedPageBreak/>
        <w:t>Biomaterials contact directly or indirectly with the human tissues, making it important to evaluate its cytotoxicity. This evaluation can be performed by several methods, but a high discrepancy exists between the approaches used, compromising the reproducibility and the comparison among the obtained results. In this paper, we propose a protocol to evaluate biomaterial</w:t>
      </w:r>
      <w:r w:rsidR="00B92F3E" w:rsidRPr="00F76890">
        <w:rPr>
          <w:rFonts w:asciiTheme="minorHAnsi" w:hAnsiTheme="minorHAnsi" w:cstheme="minorHAnsi"/>
          <w:color w:val="auto"/>
        </w:rPr>
        <w:t xml:space="preserve"> </w:t>
      </w:r>
      <w:r w:rsidRPr="00F76890">
        <w:rPr>
          <w:rFonts w:asciiTheme="minorHAnsi" w:hAnsiTheme="minorHAnsi" w:cstheme="minorHAnsi"/>
          <w:color w:val="auto"/>
        </w:rPr>
        <w:t>cytotoxicity using soluble extracts, which we use for dental biomaterials. The extract</w:t>
      </w:r>
      <w:r w:rsidR="00B92F3E" w:rsidRPr="00F76890">
        <w:rPr>
          <w:rFonts w:asciiTheme="minorHAnsi" w:hAnsiTheme="minorHAnsi" w:cstheme="minorHAnsi"/>
          <w:color w:val="auto"/>
        </w:rPr>
        <w:t xml:space="preserve"> </w:t>
      </w:r>
      <w:r w:rsidRPr="00F76890">
        <w:rPr>
          <w:rFonts w:asciiTheme="minorHAnsi" w:hAnsiTheme="minorHAnsi" w:cstheme="minorHAnsi"/>
          <w:color w:val="auto"/>
        </w:rPr>
        <w:t>preparation is detailed, from pellet</w:t>
      </w:r>
      <w:r w:rsidR="00B92F3E" w:rsidRPr="00F76890">
        <w:rPr>
          <w:rFonts w:asciiTheme="minorHAnsi" w:hAnsiTheme="minorHAnsi" w:cstheme="minorHAnsi"/>
          <w:color w:val="auto"/>
        </w:rPr>
        <w:t xml:space="preserve"> </w:t>
      </w:r>
      <w:r w:rsidRPr="00F76890">
        <w:rPr>
          <w:rFonts w:asciiTheme="minorHAnsi" w:hAnsiTheme="minorHAnsi" w:cstheme="minorHAnsi"/>
          <w:color w:val="auto"/>
        </w:rPr>
        <w:t>production to its extraction in a culture medium. The biomaterial</w:t>
      </w:r>
      <w:r w:rsidR="00B92F3E" w:rsidRPr="00F76890">
        <w:rPr>
          <w:rFonts w:asciiTheme="minorHAnsi" w:hAnsiTheme="minorHAnsi" w:cstheme="minorHAnsi"/>
          <w:color w:val="auto"/>
        </w:rPr>
        <w:t xml:space="preserve"> </w:t>
      </w:r>
      <w:r w:rsidRPr="00F76890">
        <w:rPr>
          <w:rFonts w:asciiTheme="minorHAnsi" w:hAnsiTheme="minorHAnsi" w:cstheme="minorHAnsi"/>
          <w:color w:val="auto"/>
        </w:rPr>
        <w:t xml:space="preserve">cytotoxicity evaluation is based </w:t>
      </w:r>
      <w:r w:rsidR="00B92F3E" w:rsidRPr="00F76890">
        <w:rPr>
          <w:rFonts w:asciiTheme="minorHAnsi" w:hAnsiTheme="minorHAnsi" w:cstheme="minorHAnsi"/>
          <w:color w:val="auto"/>
        </w:rPr>
        <w:t>the following:</w:t>
      </w:r>
      <w:r w:rsidRPr="00F76890">
        <w:rPr>
          <w:rFonts w:asciiTheme="minorHAnsi" w:hAnsiTheme="minorHAnsi" w:cstheme="minorHAnsi"/>
          <w:color w:val="auto"/>
        </w:rPr>
        <w:t xml:space="preserve"> metabolic activity using the MTT assay, cell viability using the </w:t>
      </w:r>
      <w:proofErr w:type="spellStart"/>
      <w:r w:rsidRPr="00F76890">
        <w:rPr>
          <w:rFonts w:asciiTheme="minorHAnsi" w:hAnsiTheme="minorHAnsi" w:cstheme="minorHAnsi"/>
          <w:color w:val="auto"/>
        </w:rPr>
        <w:t>Sulphorhodamine</w:t>
      </w:r>
      <w:proofErr w:type="spellEnd"/>
      <w:r w:rsidRPr="00F76890">
        <w:rPr>
          <w:rFonts w:asciiTheme="minorHAnsi" w:hAnsiTheme="minorHAnsi" w:cstheme="minorHAnsi"/>
          <w:color w:val="auto"/>
        </w:rPr>
        <w:t xml:space="preserve"> B (SBR) assay, cell death profile by flow cytometry, and cell morphology using May-</w:t>
      </w:r>
      <w:proofErr w:type="spellStart"/>
      <w:r w:rsidRPr="00F76890">
        <w:rPr>
          <w:rFonts w:asciiTheme="minorHAnsi" w:hAnsiTheme="minorHAnsi" w:cstheme="minorHAnsi"/>
          <w:color w:val="auto"/>
        </w:rPr>
        <w:t>Grünwald</w:t>
      </w:r>
      <w:proofErr w:type="spellEnd"/>
      <w:r w:rsidRPr="00F76890">
        <w:rPr>
          <w:rFonts w:asciiTheme="minorHAnsi" w:hAnsiTheme="minorHAnsi" w:cstheme="minorHAnsi"/>
          <w:color w:val="auto"/>
        </w:rPr>
        <w:t xml:space="preserve"> Giemsa. Additional to cytotoxicity evaluation, a protocol to evaluate cell function is described based on the expression of specific markers assessed by immunocytochemistry and PCR. This protocol provides a comprehensive guide for biomaterials cytotoxicity and cellular effects evaluation, using the extracts methodology, in a reproducible and robust manner. </w:t>
      </w:r>
    </w:p>
    <w:p w14:paraId="2FCE2502" w14:textId="77777777" w:rsidR="006B1B14" w:rsidRPr="00F76890" w:rsidRDefault="006B1B14" w:rsidP="00F012D5">
      <w:pPr>
        <w:contextualSpacing/>
        <w:rPr>
          <w:rFonts w:asciiTheme="minorHAnsi" w:hAnsiTheme="minorHAnsi" w:cstheme="minorHAnsi"/>
          <w:color w:val="auto"/>
        </w:rPr>
      </w:pPr>
    </w:p>
    <w:p w14:paraId="126E8F8E" w14:textId="77777777"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b/>
          <w:color w:val="auto"/>
        </w:rPr>
        <w:t>INTRODUCTION</w:t>
      </w:r>
      <w:r w:rsidRPr="00F76890">
        <w:rPr>
          <w:rFonts w:asciiTheme="minorHAnsi" w:hAnsiTheme="minorHAnsi" w:cstheme="minorHAnsi"/>
          <w:b/>
          <w:bCs/>
          <w:color w:val="auto"/>
        </w:rPr>
        <w:t>:</w:t>
      </w:r>
    </w:p>
    <w:p w14:paraId="3685EC30" w14:textId="77777777"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color w:val="auto"/>
        </w:rPr>
        <w:t>Biocompatibility can be defined as the capacity of a material to integrate tissue and induce a favorable therapeutic response, free of local and systemic damages</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{"citationItems":[{"id":"ITEM-1","itemData":{"DOI":"10.1016/j.biomaterials.2008.04.023","ISSN":"01429612","abstract":"The manner in which a mutually acceptable co-existence of biomaterials and tissues is developed and sustained has been the focus of attention in biomaterials science for many years, and forms the foundation of the subject of biocompatibility. There are many ways in which materials and tissues can be brought into contact such that this co-existence may be compromised, and the search for biomaterials that are able to provide for the best performance in devices has been based upon the understanding of all the interactions within biocompatibility phenomena. Our understanding of the mechanisms of biocompatibility has been restricted whilst the focus of attention has been long-term implantable devices. In this paper, over 50 years of experience with such devices is analysed and it is shown that, in the vast majority of circumstances, the sole requirement for biocompatibility in a medical device intended for long-term contact with the tissues of the human body is that the material shall do no harm to those tissues, achieved through chemical and biological inertness. Rarely has an attempt to introduce biological activity into a biomaterial been clinically successful in these applications. This essay then turns its attention to the use of biomaterials in tissue engineering, sophisticated cell, drug and gene delivery systems and applications in biotechnology, and shows that here the need for specific and direct interactions between biomaterials and tissue components has become necessary, and with this a new paradigm for biocompatibility has emerged. It is believed that once the need for this change is recognised, so our understanding of the mechanisms of biocompatibility will markedly improve. © 2008 Elsevier Ltd. All rights reserved.","author":[{"dropping-particle":"","family":"Williams","given":"David F.","non-dropping-particle":"","parse-names":false,"suffix":""}],"container-title":"Biomaterials","id":"ITEM-1","issue":"20","issued":{"date-parts":[["2008","7"]]},"page":"2941-2953","title":"On the mechanisms of biocompatibility","type":"article-journal","volume":"29"},"uris":["http://www.mendeley.com/documents/?uuid=1e2e3f3f-26b5-3eac-8718-2f3a1602052a","http://www.mendeley.com/documents/?uuid=dc9eb817-c569-4f4a-9204-0d5602b34071"]},{"id":"ITEM-2","itemData":{"DOI":"10.1007/10_2011_111","ISSN":"07246145","abstract":"The in vitro biocompatibility of novel materials has to be proven before a material can be used as component of a medical device. This must be done in cell culture tests according to internationally recognized standard protocols. Subsequently, preclinical and clinical tests must be performed to verify the safety of the new material and device. The present chapter focuses on the first step, the in vitro testing according to ISO 10993-5, and critically discusses its limited significance. Alternative strategies and a brief overview of activities to improve the current in vitro tests are presented in the concluding section.","author":[{"dropping-particle":"","family":"Bruinink","given":"Arie","non-dropping-particle":"","parse-names":false,"suffix":""},{"dropping-particle":"","family":"Luginbuehl","given":"Reto","non-dropping-particle":"","parse-names":false,"suffix":""}],"container-title":"Advances in biochemical engineering/biotechnology","id":"ITEM-2","issued":{"date-parts":[["2012"]]},"page":"117-152","title":"Evaluation of biocompatibility using in vitro methods: interpretation and limitations.","type":"article-journal","volume":"126"},"uris":["http://www.mendeley.com/documents/?uuid=4eab78b0-320f-3544-865e-6fb791645db7","http://www.mendeley.com/documents/?uuid=82bfd796-2a85-4100-b935-6eff62b56126"]},{"id":"ITEM-3","itemData":{"DOI":"10.1067/mpr.2001.117056","ISSN":"0022-3913","PMID":"11514810","abstract":"This article is an evidence-based tutorial on the principles of biocompatibility. Although the technical issues of biocompatibility may seem beyond the scope of most practicing dentists, knowledge of these issues is fundamentally important to ensure the health of patients, dental staff members (including laboratory personnel), and practitioners themselves. Furthermore, the legal liability of dentists is often linked to biocompatibility issues. The biocompatibility of a material is not absolute; it must be measured with regard to the way the material is used. Measuring biocompatibility is a complex process that involves in vitro and in vivo tests. These tests contribute to understanding biologic responses to a material but cannot define the material's biocompatibility with 100% certainty. Practitioners should understand enough about biocompatibility testing methods to critically judge advertising claims and ask relevant questions of manufacturers. Because there is no infallible way to assess biologic response to a material, decisions about the clinical use of a material ultimately must weigh the biologic risks of a material against its potential benefits.","author":[{"dropping-particle":"","family":"Wataha","given":"J C","non-dropping-particle":"","parse-names":false,"suffix":""}],"container-title":"The Journal of prosthetic dentistry","id":"ITEM-3","issue":"2","issued":{"date-parts":[["2001","8"]]},"page":"203-9","title":"Principles of biocompatibility for dental practitioners.","type":"article-journal","volume":"86"},"uris":["http://www.mendeley.com/documents/?uuid=ac7db215-f800-4364-a808-db96b4c77d0a","http://www.mendeley.com/documents/?uuid=c4d79440-4511-4147-9fcc-6124ebb4d378"]}],"mendeley":{"formattedCitation":"&lt;sup&gt;1–3&lt;/sup&gt;","plainTextFormattedCitation":"1–3","previouslyFormattedCitation":"&lt;sup&gt;1–3&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bCs/>
          <w:noProof/>
          <w:color w:val="auto"/>
          <w:vertAlign w:val="superscript"/>
        </w:rPr>
        <w:t>1–3</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 Biocompatibility evaluation is crucial for the development of any material intended for medical use. Therefore, this protocol provides a systematic and comprehensive approach for every researcher aiming to develop new biomaterials or studying new applications for existing biomaterials.</w:t>
      </w:r>
    </w:p>
    <w:p w14:paraId="4AC2D0B8" w14:textId="77777777" w:rsidR="006B1B14" w:rsidRPr="00F76890" w:rsidRDefault="006B1B14" w:rsidP="00F012D5">
      <w:pPr>
        <w:contextualSpacing/>
        <w:rPr>
          <w:rFonts w:asciiTheme="minorHAnsi" w:hAnsiTheme="minorHAnsi" w:cstheme="minorHAnsi"/>
          <w:color w:val="auto"/>
        </w:rPr>
      </w:pPr>
    </w:p>
    <w:p w14:paraId="2ECDF02C" w14:textId="0AADD9B4" w:rsidR="006B1B14" w:rsidRPr="00F76890" w:rsidRDefault="006B1B14" w:rsidP="00F012D5">
      <w:pPr>
        <w:contextualSpacing/>
        <w:rPr>
          <w:rFonts w:asciiTheme="minorHAnsi" w:hAnsiTheme="minorHAnsi" w:cstheme="minorHAnsi"/>
          <w:color w:val="auto"/>
          <w:shd w:val="clear" w:color="auto" w:fill="FFFFFF"/>
        </w:rPr>
      </w:pPr>
      <w:r w:rsidRPr="00F76890">
        <w:rPr>
          <w:rFonts w:asciiTheme="minorHAnsi" w:hAnsiTheme="minorHAnsi" w:cstheme="minorHAnsi"/>
          <w:color w:val="auto"/>
        </w:rPr>
        <w:t xml:space="preserve">In vitro cytotoxicity tests are widely used as the first phase for biocompatibility evaluation, using primary cell cultures or cell lines. The results constitute a first indicator of potential clinical application. Besides </w:t>
      </w:r>
      <w:r w:rsidR="0064588C" w:rsidRPr="00F76890">
        <w:rPr>
          <w:rFonts w:asciiTheme="minorHAnsi" w:hAnsiTheme="minorHAnsi" w:cstheme="minorHAnsi"/>
          <w:color w:val="auto"/>
        </w:rPr>
        <w:t xml:space="preserve">being </w:t>
      </w:r>
      <w:r w:rsidRPr="00F76890">
        <w:rPr>
          <w:rFonts w:asciiTheme="minorHAnsi" w:hAnsiTheme="minorHAnsi" w:cstheme="minorHAnsi"/>
          <w:color w:val="auto"/>
        </w:rPr>
        <w:t xml:space="preserve">vital for the biomaterial development, this testing is mandatory to comply with current regulations for market introduction, from EUA and EU regulators </w:t>
      </w:r>
      <w:r w:rsidRPr="00F76890">
        <w:rPr>
          <w:color w:val="auto"/>
        </w:rPr>
        <w:t>(FDA and CE certification)</w:t>
      </w:r>
      <w:r w:rsidRPr="00F76890">
        <w:rPr>
          <w:color w:val="auto"/>
        </w:rPr>
        <w:fldChar w:fldCharType="begin" w:fldLock="1"/>
      </w:r>
      <w:r w:rsidRPr="00F76890">
        <w:rPr>
          <w:color w:val="auto"/>
        </w:rPr>
        <w:instrText>ADDIN CSL_CITATION {"citationItems":[{"id":"ITEM-1","itemData":{"DOI":"10.1016/j.ihj.2016.11.327","ISSN":"2213-3763","PMID":"28228288","abstract":"There is a robust debate going on among the Medical Device stake-holders whether FDA is better or CE mark or something else. Currently process of obtaining an FDA approval is bogged down by ever-increasing unpredictability, inconsistency, prolonged time, and huge expense but CE mark has its own problems. Historically, the Japanese review process has tended to be the slowest among the big three but recently with the introduction of accelerated review process there has been a significant progress. While the goal of an innovator/manufacturer is to develop, manufacture and market a medical device that addresses an unmet clinical need, the requisite regulatory approval process can be very confusing. Not only there is a whole lot of jargon tossed around by regulatory affair professionals: \"substantial equivalence,\" \"PMDA,\" \"CE mark,\" \"Notified body,\" \"510K\" and \"PMA\" but the actual approval process can also be very tardy, inconsistent and expensive.","author":[{"dropping-particle":"","family":"Mishra","given":"Sundeep","non-dropping-particle":"","parse-names":false,"suffix":""}],"container-title":"Indian heart journal","id":"ITEM-1","issue":"1","issued":{"date-parts":[["0"]]},"page":"1-5","title":"FDA, CE mark or something else?-Thinking fast and slow.","type":"article-journal","volume":"69"},"uris":["http://www.mendeley.com/documents/?uuid=9ebe0388-f128-4de3-9b75-d12b99e7e06d"]}],"mendeley":{"formattedCitation":"&lt;sup&gt;4&lt;/sup&gt;","plainTextFormattedCitation":"4","previouslyFormattedCitation":"&lt;sup&gt;4&lt;/sup&gt;"},"properties":{"noteIndex":0},"schema":"https://github.com/citation-style-language/schema/raw/master/csl-citation.json"}</w:instrText>
      </w:r>
      <w:r w:rsidRPr="00F76890">
        <w:rPr>
          <w:color w:val="auto"/>
        </w:rPr>
        <w:fldChar w:fldCharType="separate"/>
      </w:r>
      <w:r w:rsidRPr="00F76890">
        <w:rPr>
          <w:noProof/>
          <w:color w:val="auto"/>
          <w:vertAlign w:val="superscript"/>
        </w:rPr>
        <w:t>4</w:t>
      </w:r>
      <w:r w:rsidRPr="00F76890">
        <w:rPr>
          <w:color w:val="auto"/>
        </w:rPr>
        <w:fldChar w:fldCharType="end"/>
      </w:r>
      <w:r w:rsidR="0064588C" w:rsidRPr="00F76890">
        <w:rPr>
          <w:color w:val="auto"/>
          <w:vertAlign w:val="superscript"/>
        </w:rPr>
        <w:t>,</w:t>
      </w:r>
      <w:r w:rsidRPr="00F76890">
        <w:rPr>
          <w:rStyle w:val="FootnoteReference"/>
          <w:rFonts w:asciiTheme="minorHAnsi" w:hAnsiTheme="minorHAnsi" w:cstheme="minorHAnsi"/>
          <w:color w:val="auto"/>
          <w:shd w:val="clear" w:color="auto" w:fill="FFFFFF"/>
        </w:rPr>
        <w:fldChar w:fldCharType="begin" w:fldLock="1"/>
      </w:r>
      <w:r w:rsidRPr="00F76890">
        <w:rPr>
          <w:rFonts w:asciiTheme="minorHAnsi" w:hAnsiTheme="minorHAnsi" w:cstheme="minorHAnsi"/>
          <w:color w:val="auto"/>
          <w:shd w:val="clear" w:color="auto" w:fill="FFFFFF"/>
        </w:rPr>
        <w:instrText>ADDIN CSL_CITATION {"citationItems":[{"id":"ITEM-1","itemData":{"DOI":"10.3390/ma12193234","ISSN":"1996-1944","PMID":"31581651","abstract":"&lt;p&gt;The present publication reports the purification effort of two natural bone blocks, that is, an allogeneic bone block (maxgraft®, botiss biomaterials GmbH, Zossen, Germany) and a xenogeneic block (SMARTBONE®, IBI S.A., Mezzovico-Vira, Switzerland) in addition to previously published results based on histology. Furthermore, specialized scanning electron microscopy (SEM) and in vitro analyses (XTT, BrdU, LDH) for testing of the cytocompatibility based on ISO 10993-5/-12 have been conducted. The microscopic analyses showed that both bone blocks possess a trabecular structure with a lamellar subarrangement. In the case of the xenogeneic bone block, only minor remnants of collagenous structures were found, while in contrast high amounts of collagen were found associated with the allogeneic bone matrix. Furthermore, only island-like remnants of the polymer coating in case of the xenogeneic bone substitute seemed to be detectable. Finally, no remaining cells or cellular remnants were found in both bone blocks. The in vitro analyses showed that both bone blocks are biocompatible. Altogether, the purification level of both bone blocks seems to be favorable for bone tissue regeneration without the risk for inflammatory responses or graft rejection. Moreover, the analysis of the maxgraft® bone block showed that the underlying purification process allows for preserving not only the calcified bone matrix but also high amounts of the intertrabecular collagen matrix.&lt;/p&gt;","author":[{"dropping-particle":"","family":"Barbeck","given":"Mike","non-dropping-particle":"","parse-names":false,"suffix":""},{"dropping-particle":"","family":"Jung","given":"Ole","non-dropping-particle":"","parse-names":false,"suffix":""},{"dropping-particle":"","family":"Xiong","given":"Xin","non-dropping-particle":"","parse-names":false,"suffix":""},{"dropping-particle":"","family":"Krastev","given":"Rumen","non-dropping-particle":"","parse-names":false,"suffix":""},{"dropping-particle":"","family":"Korzinskas","given":"Tadas","non-dropping-particle":"","parse-names":false,"suffix":""},{"dropping-particle":"","family":"Najman","given":"Stevo","non-dropping-particle":"","parse-names":false,"suffix":""},{"dropping-particle":"","family":"Radenković","given":"Milena","non-dropping-particle":"","parse-names":false,"suffix":""},{"dropping-particle":"","family":"Wegner","given":"Nils","non-dropping-particle":"","parse-names":false,"suffix":""},{"dropping-particle":"","family":"Knyazeva","given":"Marina","non-dropping-particle":"","parse-names":false,"suffix":""},{"dropping-particle":"","family":"Walther","given":"Frank","non-dropping-particle":"","parse-names":false,"suffix":""}],"container-title":"Materials","id":"ITEM-1","issue":"19","issued":{"date-parts":[["2019","10","2"]]},"page":"3234","title":"Balancing Purification and Ultrastructure of Naturally Derived Bone Blocks for Bone Regeneration: Report of the Purification Effort of Two Bone Blocks","type":"article-journal","volume":"12"},"uris":["http://www.mendeley.com/documents/?uuid=b6c05249-f2c8-32d5-89b3-d5e9a31fefa3","http://www.mendeley.com/documents/?uuid=7c1b9753-96a5-4493-85f7-cf8f7d34839e"]},{"id":"ITEM-2","itemData":{"DOI":"10.1021/acsomega.9b01793","ISSN":"2470-1343","PMID":"31460477","abstract":"In recent years, cases of retinal toxicity occurred in some European, Middle Eastern, and South American countries following the use of perfluorocarbon liquids (PFCLs) on vitreoretinal surgeries owing to impurities in the product. Moreover, Spanish ophthalmologists reported several toxic cases on the use of perfluoro-n-octane Ala Octa (Alamedics, Dornstadt, Germany), raising the necessity of reviewing the current validated methods used for assessing the safety of PFCLs. We proved that in samples of PFCLs contaminated on purpose with impurities previously detected in Ala Octa devices, the determination of the so-called H-content using a 1H NMR quantitative assay implemented with the electronic reference to access in vivo concentrations 2 technology failed to demonstrate a correlation between the H-content and in vitro cytotoxicity test in ARPE-19 and BALB 3T3 cell lines. Therefore, direct information on the safety of PFCLs was provided only by the cytotoxicity test in vitro validated according to ISO 10993-5, and the H-content was not predictive of perfluorocarbon ocular endotamponade cytotoxicity in vitro.","author":[{"dropping-particle":"","family":"Ruzza","given":"Paolo","non-dropping-particle":"","parse-names":false,"suffix":""},{"dropping-particle":"","family":"Gatto","given":"Claudio","non-dropping-particle":"","parse-names":false,"suffix":""},{"dropping-particle":"","family":"Ragazzi","given":"Eugenio","non-dropping-particle":"","parse-names":false,"suffix":""},{"dropping-particle":"","family":"Romano","given":"Mario R.","non-dropping-particle":"","parse-names":false,"suffix":""},{"dropping-particle":"","family":"Honisch","given":"Claudia","non-dropping-particle":"","parse-names":false,"suffix":""},{"dropping-particle":"","family":"Tóthová","given":"Jana D’Amato","non-dropping-particle":"","parse-names":false,"suffix":""}],"container-title":"ACS Omega","id":"ITEM-2","issue":"8","issued":{"date-parts":[["2019","8","20"]]},"page":"13481-13487","title":"H-Content Is Not Predictive of Perfluorocarbon Ocular Endotamponade Cytotoxicity in Vitro","type":"article-journal","volume":"4"},"uris":["http://www.mendeley.com/documents/?uuid=2d098b14-0912-37be-b15a-79e77765de16","http://www.mendeley.com/documents/?uuid=cc7968b4-e3f9-42da-aa1b-720771c47b20"]},{"id":"ITEM-3","itemData":{"DOI":"10.1016/j.msec.2018.12.059","ISSN":"09284931","PMID":"30678939","abstract":"Bone substitutes market is growing due to the great demand for bone regenerative therapies. However, most of the actual products available in the market are incapable of inhibiting bacterial colonization, which can lead to tissue infection and possible implant failure. Some bone substitutes are combined with antibiotics to avoid the development of implant-associated infections, but the growing bacterial resistance to antibiotics often makes these products ineffective. Therefore, it is mandatory to develop new and alternative approaches. In the present work, a granular bone substitute of hydroxyapatite was produced, where different percentages of magnesium oxide were introduced. The antibacterial activity and biofilm formation was evaluated towards Staphylococcus aureus and Escherichia coli. The inclusion of magnesium oxide particles reduced bacterial growth and biofilm formation in a concentration-dependent manner, when compared with pure hydroxyapatite materials. Superior antibacterial activity and inhibition of biofilm formation was observed for Staphylococcus aureus with complete eradication when magnesium oxide percentages were equal or above 3 wt%. The materials cytotoxicity was assessed under ISO 10993-5:2009 guidance and through Live/Dead cell marking and none of the produced granules was cytotoxic. In addition, reactive oxygen species production was also evaluated and the results revealed that the exposure to the materials extracts did not induce the formation of reactive oxygen species by cells.","author":[{"dropping-particle":"","family":"Coelho","given":"Catarina C.","non-dropping-particle":"","parse-names":false,"suffix":""},{"dropping-particle":"","family":"Araújo","given":"Rita","non-dropping-particle":"","parse-names":false,"suffix":""},{"dropping-particle":"","family":"Quadros","given":"Paulo A.","non-dropping-particle":"","parse-names":false,"suffix":""},{"dropping-particle":"","family":"Sousa","given":"Susana R.","non-dropping-particle":"","parse-names":false,"suffix":""},{"dropping-particle":"","family":"Monteiro","given":"Fernando J.","non-dropping-particle":"","parse-names":false,"suffix":""}],"container-title":"Materials Science and Engineering: C","id":"ITEM-3","issued":{"date-parts":[["2019","4"]]},"page":"529-538","title":"Antibacterial bone substitute of hydroxyapatite and magnesium oxide to prevent dental and orthopaedic infections","type":"article-journal","volume":"97"},"uris":["http://www.mendeley.com/documents/?uuid=e47824f6-6176-3cfa-b199-3cb0c1f0e0c4","http://www.mendeley.com/documents/?uuid=90203606-7a49-4369-a4a7-c20100e20ddd"]},{"id":"ITEM-4","itemData":{"DOI":"10.3390/ijms20020255","ISSN":"1422-0067","PMID":"30634646","abstract":"&lt;p&gt;Magnesium (Mg)-based biomaterials are promising candidates for bone and tissue regeneration. Alloying and surface modifications provide effective strategies for optimizing and tailoring their degradation kinetics. Nevertheless, biocompatibility analyses of Mg-based materials are challenging due to its special degradation mechanism with continuous hydrogen release. In this context, the hydrogen release and the related (micro-) milieu conditions pretend to strictly follow in vitro standards based on ISO 10993-5/-12. Thus, special adaptions for the testing of Mg materials are necessary, which have been described in a previous study from our group. Based on these adaptions, further developments of a test procedure allowing rapid and effective in vitro cytocompatibility analyses of Mg-based materials based on ISO 10993-5/-12 are necessary. The following study introduces a new two-step test scheme for rapid and effective testing of Mg. Specimens with different surface characteristics were produced by means of plasma electrolytic oxidation (PEO) using silicate-based and phosphate-based electrolytes. The test samples were evaluated for corrosion behavior, cytocompatibility and their mechanical and osteogenic properties. Thereby, two PEO ceramics could be identified for further in vivo evaluations.&lt;/p&gt;","author":[{"dropping-particle":"","family":"Jung","given":"Ole","non-dropping-particle":"","parse-names":false,"suffix":""},{"dropping-particle":"","family":"Smeets","given":"Ralf","non-dropping-particle":"","parse-names":false,"suffix":""},{"dropping-particle":"","family":"Hartjen","given":"Philip","non-dropping-particle":"","parse-names":false,"suffix":""},{"dropping-particle":"","family":"Schnettler","given":"Reinhard","non-dropping-particle":"","parse-names":false,"suffix":""},{"dropping-particle":"","family":"Feyerabend","given":"Frank","non-dropping-particle":"","parse-names":false,"suffix":""},{"dropping-particle":"","family":"Klein","given":"Martin","non-dropping-particle":"","parse-names":false,"suffix":""},{"dropping-particle":"","family":"Wegner","given":"Nils","non-dropping-particle":"","parse-names":false,"suffix":""},{"dropping-particle":"","family":"Walther","given":"Frank","non-dropping-particle":"","parse-names":false,"suffix":""},{"dropping-particle":"","family":"Stangier","given":"Dominic","non-dropping-particle":"","parse-names":false,"suffix":""},{"dropping-particle":"","family":"Henningsen","given":"Anders","non-dropping-particle":"","parse-names":false,"suffix":""},{"dropping-particle":"","family":"Rendenbach","given":"Carsten","non-dropping-particle":"","parse-names":false,"suffix":""},{"dropping-particle":"","family":"Heiland","given":"Max","non-dropping-particle":"","parse-names":false,"suffix":""},{"dropping-particle":"","family":"Barbeck","given":"Mike","non-dropping-particle":"","parse-names":false,"suffix":""},{"dropping-particle":"","family":"Kopp","given":"Alexander","non-dropping-particle":"","parse-names":false,"suffix":""}],"container-title":"International Journal of Molecular Sciences","id":"ITEM-4","issue":"2","issued":{"date-parts":[["2019","1","10"]]},"page":"255","title":"Improved In Vitro Test Procedure for Full Assessment of the Cytocompatibility of Degradable Magnesium Based on ISO 10993-5/-12","type":"article-journal","volume":"20"},"uris":["http://www.mendeley.com/documents/?uuid=8d326444-15c8-3f40-b7a0-4e8e226b03b8","http://www.mendeley.com/documents/?uuid=e70b2c1d-4e0d-4719-9432-a80c662b80d7"]}],"mendeley":{"formattedCitation":"&lt;sup&gt;5–8&lt;/sup&gt;","plainTextFormattedCitation":"5–8","previouslyFormattedCitation":"&lt;sup&gt;5–8&lt;/sup&gt;"},"properties":{"noteIndex":0},"schema":"https://github.com/citation-style-language/schema/raw/master/csl-citation.json"}</w:instrText>
      </w:r>
      <w:r w:rsidRPr="00F76890">
        <w:rPr>
          <w:rStyle w:val="FootnoteReference"/>
          <w:rFonts w:asciiTheme="minorHAnsi" w:hAnsiTheme="minorHAnsi" w:cstheme="minorHAnsi"/>
          <w:color w:val="auto"/>
          <w:shd w:val="clear" w:color="auto" w:fill="FFFFFF"/>
        </w:rPr>
        <w:fldChar w:fldCharType="separate"/>
      </w:r>
      <w:r w:rsidRPr="00F76890">
        <w:rPr>
          <w:rFonts w:asciiTheme="minorHAnsi" w:hAnsiTheme="minorHAnsi" w:cstheme="minorHAnsi"/>
          <w:bCs/>
          <w:noProof/>
          <w:color w:val="auto"/>
          <w:shd w:val="clear" w:color="auto" w:fill="FFFFFF"/>
          <w:vertAlign w:val="superscript"/>
        </w:rPr>
        <w:t>5–8</w:t>
      </w:r>
      <w:r w:rsidRPr="00F76890">
        <w:rPr>
          <w:rStyle w:val="FootnoteReference"/>
          <w:rFonts w:asciiTheme="minorHAnsi" w:hAnsiTheme="minorHAnsi" w:cstheme="minorHAnsi"/>
          <w:color w:val="auto"/>
          <w:shd w:val="clear" w:color="auto" w:fill="FFFFFF"/>
        </w:rPr>
        <w:fldChar w:fldCharType="end"/>
      </w:r>
      <w:r w:rsidRPr="00F76890">
        <w:rPr>
          <w:rFonts w:asciiTheme="minorHAnsi" w:hAnsiTheme="minorHAnsi" w:cstheme="minorHAnsi"/>
          <w:color w:val="auto"/>
          <w:shd w:val="clear" w:color="auto" w:fill="FFFFFF"/>
        </w:rPr>
        <w:t xml:space="preserve">. Moreover, standardized testing in </w:t>
      </w:r>
      <w:r w:rsidRPr="00F76890">
        <w:rPr>
          <w:rFonts w:asciiTheme="minorHAnsi" w:hAnsiTheme="minorHAnsi" w:cstheme="minorHAnsi"/>
          <w:color w:val="auto"/>
        </w:rPr>
        <w:t>biomedical research provides a significant advantage in terms of reproducibility and comparison of results from different studies on similar biomaterials or devices</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{"citationItems":[{"id":"ITEM-1","itemData":{"DOI":"10.1021/acsomega.9b01793","ISSN":"2470-1343","PMID":"31460477","abstract":"In recent years, cases of retinal toxicity occurred in some European, Middle Eastern, and South American countries following the use of perfluorocarbon liquids (PFCLs) on vitreoretinal surgeries owing to impurities in the product. Moreover, Spanish ophthalmologists reported several toxic cases on the use of perfluoro-n-octane Ala Octa (Alamedics, Dornstadt, Germany), raising the necessity of reviewing the current validated methods used for assessing the safety of PFCLs. We proved that in samples of PFCLs contaminated on purpose with impurities previously detected in Ala Octa devices, the determination of the so-called H-content using a 1H NMR quantitative assay implemented with the electronic reference to access in vivo concentrations 2 technology failed to demonstrate a correlation between the H-content and in vitro cytotoxicity test in ARPE-19 and BALB 3T3 cell lines. Therefore, direct information on the safety of PFCLs was provided only by the cytotoxicity test in vitro validated according to ISO 10993-5, and the H-content was not predictive of perfluorocarbon ocular endotamponade cytotoxicity in vitro.","author":[{"dropping-particle":"","family":"Ruzza","given":"Paolo","non-dropping-particle":"","parse-names":false,"suffix":""},{"dropping-particle":"","family":"Gatto","given":"Claudio","non-dropping-particle":"","parse-names":false,"suffix":""},{"dropping-particle":"","family":"Ragazzi","given":"Eugenio","non-dropping-particle":"","parse-names":false,"suffix":""},{"dropping-particle":"","family":"Romano","given":"Mario R","non-dropping-particle":"","parse-names":false,"suffix":""},{"dropping-particle":"","family":"Honisch","given":"Claudia","non-dropping-particle":"","parse-names":false,"suffix":""},{"dropping-particle":"","family":"Tóthová","given":"Jana D'Amato","non-dropping-particle":"","parse-names":false,"suffix":""}],"container-title":"ACS omega","id":"ITEM-1","issue":"8","issued":{"date-parts":[["2019","8","20"]]},"page":"13481-13487","title":"H-Content Is Not Predictive of Perfluorocarbon Ocular Endotamponade Cytotoxicity in Vitro.","type":"article-journal","volume":"4"},"uris":["http://www.mendeley.com/documents/?uuid=1b59ecd0-ce0e-32ba-8ce2-52bc8429948a","http://www.mendeley.com/documents/?uuid=7d9637b0-18a3-4c8e-bfca-5418b0473255"]}],"mendeley":{"formattedCitation":"&lt;sup&gt;9&lt;/sup&gt;","plainTextFormattedCitation":"9","previouslyFormattedCitation":"&lt;sup&gt;9&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bCs/>
          <w:noProof/>
          <w:color w:val="auto"/>
          <w:vertAlign w:val="superscript"/>
        </w:rPr>
        <w:t>9</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w:t>
      </w:r>
    </w:p>
    <w:p w14:paraId="2D838CD8" w14:textId="77777777" w:rsidR="006B1B14" w:rsidRPr="00F76890" w:rsidRDefault="006B1B14" w:rsidP="00F012D5">
      <w:pPr>
        <w:contextualSpacing/>
        <w:rPr>
          <w:rFonts w:asciiTheme="minorHAnsi" w:hAnsiTheme="minorHAnsi" w:cstheme="minorHAnsi"/>
          <w:color w:val="auto"/>
          <w:shd w:val="clear" w:color="auto" w:fill="FFFFFF"/>
        </w:rPr>
      </w:pPr>
    </w:p>
    <w:p w14:paraId="2ABF1189" w14:textId="7F431E8B"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color w:val="auto"/>
          <w:shd w:val="clear" w:color="auto" w:fill="FFFFFF"/>
        </w:rPr>
        <w:t xml:space="preserve">International Organization for Standardization (ISO) guidelines are widely used by multiple independent commercial, regulatory, and academic laboratories for testing materials in an accurate and reproducible manner. </w:t>
      </w:r>
      <w:r w:rsidRPr="00F76890">
        <w:rPr>
          <w:rFonts w:asciiTheme="minorHAnsi" w:hAnsiTheme="minorHAnsi" w:cstheme="minorHAnsi"/>
          <w:color w:val="auto"/>
        </w:rPr>
        <w:t>The ISO 10993-5 refers to the in vitro cytotoxicity assessment</w:t>
      </w:r>
      <w:r w:rsidR="0064588C" w:rsidRPr="00F76890">
        <w:rPr>
          <w:rFonts w:asciiTheme="minorHAnsi" w:hAnsiTheme="minorHAnsi" w:cstheme="minorHAnsi"/>
          <w:color w:val="auto"/>
        </w:rPr>
        <w:t xml:space="preserve"> </w:t>
      </w:r>
      <w:r w:rsidRPr="00F76890">
        <w:rPr>
          <w:rFonts w:asciiTheme="minorHAnsi" w:hAnsiTheme="minorHAnsi" w:cstheme="minorHAnsi"/>
          <w:color w:val="auto"/>
        </w:rPr>
        <w:t>and the ISO 10993-12 reports to sampling preparation</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{"citationItems":[{"id":"ITEM-1","itemData":{"author":[{"dropping-particle":"","family":"ISO","given":"International Organization for Standardization","non-dropping-particle":"","parse-names":false,"suffix":""}],"id":"ITEM-1","issued":{"date-parts":[["2012"]]},"title":"ISO 10993-12:2012 - part 12: Sample preparation and reference materials","type":"article"},"uris":["http://www.mendeley.com/documents/?uuid=bc63f757-9d4e-4b31-8aa9-2b382a740526","http://www.mendeley.com/documents/?uuid=86ed5bad-1395-469c-8eb9-5eb3b2927f55"]},{"id":"ITEM-2","itemData":{"author":[{"dropping-particle":"","family":"ISO","given":"International Organization for Standardization","non-dropping-particle":"","parse-names":false,"suffix":""}],"id":"ITEM-2","issued":{"date-parts":[["2009"]]},"publisher":"third edition","title":"ISO 10993-5:2009 Biological evaluation of medical devices - part 5: Tests for in vitro cytotoxicity.","type":"article"},"uris":["http://www.mendeley.com/documents/?uuid=6fbe98a2-7bee-482a-b6fd-41d70d1f495f","http://www.mendeley.com/documents/?uuid=3030d3ea-853a-468b-89b9-2247da79c177"]}],"mendeley":{"formattedCitation":"&lt;sup&gt;10, 11&lt;/sup&gt;","plainTextFormattedCitation":"10, 11","previouslyFormattedCitation":"&lt;sup&gt;10, 11&lt;/sup&gt;"},"properties":{"noteIndex":0},"schema":"https://github.com/citation-style-language/schema/raw/master/csl-citation.json"}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bCs/>
          <w:noProof/>
          <w:color w:val="auto"/>
          <w:vertAlign w:val="superscript"/>
        </w:rPr>
        <w:t>10, 11</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 For biomaterial testing, three categories are provided, to be selected according to the material type, contacting tissues, and the treatment goal: extracts, direct contact, and indirect contact</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{"citationItems":[{"id":"ITEM-1","itemData":{"DOI":"10.1038/s41598-018-19428-5","ISSN":"2045-2322","PMID":"29362382","abstract":"A series of recent acute blindness cases following non-complicated retinal detachment surgery caused the release of several health alerts in Spain. The blindness was attributed to certain lots of perfluoro-octane (PFO; a volatile and transient medical device). Similar cases have been reported in other countries. This has raised questions regarding the validity of cytotoxicity test methods currently used to certify the safety of PFO lots. The tests were performed according to the International Organization for Standardization (ISO) norms, using the extract dilution method or the indirect contact method as applied to L929 cells, a line derived from mouse fibroblasts. The limitations of those methods have been resolved in this study by proposing a new cytotoxicity test method for volatile substances. The new method requires direct contact of the tested substance with cells that are similar to those exposed to the substance in the clinical setting. This approach includes a few new technical steps that are crucial for detecting cytotoxicity. Our new method detected toxic PFO lots that corresponded to the lots producing clinical blindness, which previous methods failed to detect. The study suggests applying this new method to avoid occurrence of such cases of blindness.","author":[{"dropping-particle":"","family":"Srivastava","given":"Girish K","non-dropping-particle":"","parse-names":false,"suffix":""},{"dropping-particle":"","family":"Alonso-Alonso","given":"Maria L","non-dropping-particle":"","parse-names":false,"suffix":""},{"dropping-particle":"","family":"Fernandez-Bueno","given":"Ivan","non-dropping-particle":"","parse-names":false,"suffix":""},{"dropping-particle":"","family":"Garcia-Gutierrez","given":"Maria T","non-dropping-particle":"","parse-names":false,"suffix":""},{"dropping-particle":"","family":"Rull","given":"Fernando","non-dropping-particle":"","parse-names":false,"suffix":""},{"dropping-particle":"","family":"Medina","given":"Jesús","non-dropping-particle":"","parse-names":false,"suffix":""},{"dropping-particle":"","family":"Coco","given":"Rosa M","non-dropping-particle":"","parse-names":false,"suffix":""},{"dropping-particle":"","family":"Pastor","given":"J Carlos","non-dropping-particle":"","parse-names":false,"suffix":""}],"container-title":"Scientific reports","id":"ITEM-1","issue":"1","issued":{"date-parts":[["2018"]]},"page":"1425","title":"Comparison between direct contact and extract exposure methods for PFO cytotoxicity evaluation.","type":"article-journal","volume":"8"},"uris":["http://www.mendeley.com/documents/?uuid=c724a0c0-7f52-3685-8b92-f78665fb3d1f","http://www.mendeley.com/documents/?uuid=a216e78b-f01b-4dc3-bf97-bcb0ab441035"]},{"id":"ITEM-2","itemData":{"DOI":"10.1038/srep20854","ISSN":"2045-2322","PMID":"26861591","abstract":"A profound in vitro evaluation not only of the cytotoxic but also of bioactive potential of a given compound or material is crucial for predicting potential effects in the in vivo situation. However, most of the current methods have weaknesses in either the quantitative or qualitative assessment of cytotoxicity and/or bioactivity of the test compound. Here we describe a novel assay combining the ISO 10993-5 agar diffusion test and the scratch also termed wound healing assay. In contrast to these original tests this assay is able to detect and distinguish between cytotoxic, cell migration modifying and cytotoxic plus cell migration modifying compounds, and this at higher sensitivity and in a quantitative way.","author":[{"dropping-particle":"","family":"Pusnik","given":"Mascha","non-dropping-particle":"","parse-names":false,"suffix":""},{"dropping-particle":"","family":"Imeri","given":"Minire","non-dropping-particle":"","parse-names":false,"suffix":""},{"dropping-particle":"","family":"Deppierraz","given":"Grégoire","non-dropping-particle":"","parse-names":false,"suffix":""},{"dropping-particle":"","family":"Bruinink","given":"Arie","non-dropping-particle":"","parse-names":false,"suffix":""},{"dropping-particle":"","family":"Zinn","given":"Manfred","non-dropping-particle":"","parse-names":false,"suffix":""}],"container-title":"Scientific reports","id":"ITEM-2","issued":{"date-parts":[["2016","2","10"]]},"page":"20854","title":"The agar diffusion scratch assay--A novel method to assess the bioactive and cytotoxic potential of new materials and compounds.","type":"article-journal","volume":"6"},"uris":["http://www.mendeley.com/documents/?uuid=669da639-bc93-3bff-9b81-b456c5cb9285","http://www.mendeley.com/documents/?uuid=37c9d9c5-e455-4aae-84ca-17f122ebe5fd"]},{"id":"ITEM-3","itemData":{"author":[{"dropping-particle":"","family":"ISO","given":"International Organization for Standardization","non-dropping-particle":"","parse-names":false,"suffix":""}],"id":"ITEM-3","issued":{"date-parts":[["2009"]]},"publisher":"third edition","title":"ISO 10993-5:2009 Biological evaluation of medical devices - part 5: Tests for in vitro cytotoxicity.","type":"article"},"uris":["http://www.mendeley.com/documents/?uuid=3030d3ea-853a-468b-89b9-2247da79c177","http://www.mendeley.com/documents/?uuid=6fbe98a2-7bee-482a-b6fd-41d70d1f495f"]},{"id":"ITEM-4","itemData":{"DOI":"10.3390/ijms20020255","ISSN":"1422-0067","PMID":"30634646","abstract":"&lt;p&gt;Magnesium (Mg)-based biomaterials are promising candidates for bone and tissue regeneration. Alloying and surface modifications provide effective strategies for optimizing and tailoring their degradation kinetics. Nevertheless, biocompatibility analyses of Mg-based materials are challenging due to its special degradation mechanism with continuous hydrogen release. In this context, the hydrogen release and the related (micro-) milieu conditions pretend to strictly follow in vitro standards based on ISO 10993-5/-12. Thus, special adaptions for the testing of Mg materials are necessary, which have been described in a previous study from our group. Based on these adaptions, further developments of a test procedure allowing rapid and effective in vitro cytocompatibility analyses of Mg-based materials based on ISO 10993-5/-12 are necessary. The following study introduces a new two-step test scheme for rapid and effective testing of Mg. Specimens with different surface characteristics were produced by means of plasma electrolytic oxidation (PEO) using silicate-based and phosphate-based electrolytes. The test samples were evaluated for corrosion behavior, cytocompatibility and their mechanical and osteogenic properties. Thereby, two PEO ceramics could be identified for further in vivo evaluations.&lt;/p&gt;","author":[{"dropping-particle":"","family":"Jung","given":"Ole","non-dropping-particle":"","parse-names":false,"suffix":""},{"dropping-particle":"","family":"Smeets","given":"Ralf","non-dropping-particle":"","parse-names":false,"suffix":""},{"dropping-particle":"","family":"Hartjen","given":"Philip","non-dropping-particle":"","parse-names":false,"suffix":""},{"dropping-particle":"","family":"Schnettler","given":"Reinhard","non-dropping-particle":"","parse-names":false,"suffix":""},{"dropping-particle":"","family":"Feyerabend","given":"Frank","non-dropping-particle":"","parse-names":false,"suffix":""},{"dropping-particle":"","family":"Klein","given":"Martin","non-dropping-particle":"","parse-names":false,"suffix":""},{"dropping-particle":"","family":"Wegner","given":"Nils","non-dropping-particle":"","parse-names":false,"suffix":""},{"dropping-particle":"","family":"Walther","given":"Frank","non-dropping-particle":"","parse-names":false,"suffix":""},{"dropping-particle":"","family":"Stangier","given":"Dominic","non-dropping-particle":"","parse-names":false,"suffix":""},{"dropping-particle":"","family":"Henningsen","given":"Anders","non-dropping-particle":"","parse-names":false,"suffix":""},{"dropping-particle":"","family":"Rendenbach","given":"Carsten","non-dropping-particle":"","parse-names":false,"suffix":""},{"dropping-particle":"","family":"Heiland","given":"Max","non-dropping-particle":"","parse-names":false,"suffix":""},{"dropping-particle":"","family":"Barbeck","given":"Mike","non-dropping-particle":"","parse-names":false,"suffix":""},{"dropping-particle":"","family":"Kopp","given":"Alexander","non-dropping-particle":"","parse-names":false,"suffix":""}],"container-title":"International Journal of Molecular Sciences","id":"ITEM-4","issue":"2","issued":{"date-parts":[["2019","1","10"]]},"page":"255","title":"Improved In Vitro Test Procedure for Full Assessment of the Cytocompatibility of Degradable Magnesium Based on ISO 10993-5/-12","type":"article-journal","volume":"20"},"uris":["http://www.mendeley.com/documents/?uuid=e70b2c1d-4e0d-4719-9432-a80c662b80d7","http://www.mendeley.com/documents/?uuid=8d326444-15c8-3f40-b7a0-4e8e226b03b8","http://www.mendeley.com/documents/?uuid=8f995ca6-ae68-45af-897f-716c4595bb3f"]}],"mendeley":{"formattedCitation":"&lt;sup&gt;8, 11–13&lt;/sup&gt;","plainTextFormattedCitation":"8, 11–13","previouslyFormattedCitation":"&lt;sup&gt;8, 11–13&lt;/sup&gt;"},"properties":{"noteIndex":0},"schema":"https://github.com/citation-style-language/schema/raw/master/csl-citation.json"}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bCs/>
          <w:noProof/>
          <w:color w:val="auto"/>
          <w:vertAlign w:val="superscript"/>
        </w:rPr>
        <w:t>8, 11–13</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 Extracts are obtained by enriching a cell culture medium with the biomaterial. For the direct contact tests, the biomaterial is placed directly on the cell cultures, and, in indirect contact, incubation with the cells is performed separated by a barrier, such as an agarose gel</w:t>
      </w:r>
      <w:r w:rsidRPr="00F76890">
        <w:rPr>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{"citationItems":[{"id":"ITEM-1","itemData":{"author":[{"dropping-particle":"","family":"ISO","given":"International Organization for Standardization","non-dropping-particle":"","parse-names":false,"suffix":""}],"id":"ITEM-1","issued":{"date-parts":[["2009"]]},"publisher":"third edition","title":"ISO 10993-5:2009 Biological evaluation of medical devices - part 5: Tests for in vitro cytotoxicity.","type":"article"},"uris":["http://www.mendeley.com/documents/?uuid=3030d3ea-853a-468b-89b9-2247da79c177","http://www.mendeley.com/documents/?uuid=6fbe98a2-7bee-482a-b6fd-41d70d1f495f"]}],"mendeley":{"formattedCitation":"&lt;sup&gt;11&lt;/sup&gt;","plainTextFormattedCitation":"11","previouslyFormattedCitation":"&lt;sup&gt;11&lt;/sup&gt;"},"properties":{"noteIndex":0},"schema":"https://github.com/citation-style-language/schema/raw/master/csl-citation.json"}</w:instrText>
      </w:r>
      <w:r w:rsidRPr="00F76890">
        <w:rPr>
          <w:rFonts w:asciiTheme="minorHAnsi" w:hAnsiTheme="minorHAnsi" w:cstheme="minorHAnsi"/>
          <w:color w:val="auto"/>
        </w:rPr>
        <w:fldChar w:fldCharType="separate"/>
      </w:r>
      <w:r w:rsidRPr="00F76890">
        <w:rPr>
          <w:rFonts w:asciiTheme="minorHAnsi" w:hAnsiTheme="minorHAnsi" w:cstheme="minorHAnsi"/>
          <w:noProof/>
          <w:color w:val="auto"/>
          <w:vertAlign w:val="superscript"/>
        </w:rPr>
        <w:t>11</w:t>
      </w:r>
      <w:r w:rsidRPr="00F76890">
        <w:rPr>
          <w:rFonts w:asciiTheme="minorHAnsi" w:hAnsiTheme="minorHAnsi" w:cstheme="minorHAnsi"/>
          <w:color w:val="auto"/>
        </w:rPr>
        <w:fldChar w:fldCharType="end"/>
      </w:r>
      <w:r w:rsidRPr="00F76890">
        <w:rPr>
          <w:rFonts w:asciiTheme="minorHAnsi" w:hAnsiTheme="minorHAnsi" w:cstheme="minorHAnsi"/>
          <w:color w:val="auto"/>
        </w:rPr>
        <w:t>. Appropriate controls are mandatory,</w:t>
      </w:r>
      <w:r w:rsidR="0064588C" w:rsidRPr="00F76890">
        <w:rPr>
          <w:rFonts w:asciiTheme="minorHAnsi" w:hAnsiTheme="minorHAnsi" w:cstheme="minorHAnsi"/>
          <w:color w:val="auto"/>
        </w:rPr>
        <w:t xml:space="preserve"> </w:t>
      </w:r>
      <w:r w:rsidRPr="00F76890">
        <w:rPr>
          <w:rFonts w:asciiTheme="minorHAnsi" w:hAnsiTheme="minorHAnsi" w:cstheme="minorHAnsi"/>
          <w:color w:val="auto"/>
        </w:rPr>
        <w:t>and a minimum of three independent experiments should be performed</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{"citationItems":[{"id":"ITEM-1","itemData":{"DOI":"10.1016/j.biomaterials.2014.02.012","ISSN":"1878-5905","PMID":"24589361","abstract":"Angiogenesis is crucial for the success of most tissue engineering strategies. The natural inflammatory response is a major regulator of vascularization, through the activity of different types of macrophages and the cytokines they secrete. Macrophages exist on a spectrum of diverse phenotypes, from \"classically activated\" M1 to \"alternatively activated\" M2 macrophages. M2 macrophages, including the subsets M2a and M2c, are typically considered to promote angiogenesis and tissue regeneration, while M1 macrophages are considered to be anti-angiogenic, although these classifications are controversial. Here we show that in contrast to this traditional paradigm, primary human M1 macrophages secrete the highest levels of potent angiogenic stimulators including VEGF; M2a macrophages secrete the highest levels of PDGF-BB, a chemoattractant for stabilizing pericytes, and also promote anastomosis of sprouting endothelial cells in vitro; and M2c macrophages secrete the highest levels of MMP9, an important protease involved in vascular remodeling. In a murine subcutaneous implantation model, porous collagen scaffolds were surrounded by a fibrous capsule, coincident with high expression of M2 macrophage markers, while scaffolds coated with the bacterial lipopolysaccharide were degraded by inflammatory macrophages, and glutaraldehyde-crosslinked scaffolds were infiltrated by substantial numbers of blood vessels, accompanied by high levels of M1 and M2 macrophages. These results suggest that coordinated efforts by both M1 and M2 macrophages are required for angiogenesis and scaffold vascularization, which may explain some of the controversy over which phenotype is the angiogenic phenotype.","author":[{"dropping-particle":"","family":"Spiller","given":"Kara L","non-dropping-particle":"","parse-names":false,"suffix":""},{"dropping-particle":"","family":"Anfang","given":"Rachel R","non-dropping-particle":"","parse-names":false,"suffix":""},{"dropping-particle":"","family":"Spiller","given":"Krista J","non-dropping-particle":"","parse-names":false,"suffix":""},{"dropping-particle":"","family":"Ng","given":"Johnathan","non-dropping-particle":"","parse-names":false,"suffix":""},{"dropping-particle":"","family":"Nakazawa","given":"Kenneth R","non-dropping-particle":"","parse-names":false,"suffix":""},{"dropping-particle":"","family":"Daulton","given":"Jeffrey W","non-dropping-particle":"","parse-names":false,"suffix":""},{"dropping-particle":"","family":"Vunjak-Novakovic","given":"Gordana","non-dropping-particle":"","parse-names":false,"suffix":""}],"container-title":"Biomaterials","id":"ITEM-1","issue":"15","issued":{"date-parts":[["2014","5"]]},"page":"4477-88","title":"The role of macrophage phenotype in vascularization of tissue engineering scaffolds.","type":"article-journal","volume":"35"},"uris":["http://www.mendeley.com/documents/?uuid=b594dc64-9680-381b-aef4-2fe34b27624e","http://www.mendeley.com/documents/?uuid=8a2d9f06-9c71-4a60-85d9-e9f6f8848221"]},{"id":"ITEM-2","itemData":{"author":[{"dropping-particle":"","family":"ISO","given":"International Organization for Standardization","non-dropping-particle":"","parse-names":false,"suffix":""}],"id":"ITEM-2","issued":{"date-parts":[["2009"]]},"publisher":"third edition","title":"ISO 10993-5:2009 Biological evaluation of medical devices - part 5: Tests for in vitro cytotoxicity.","type":"article"},"uris":["http://www.mendeley.com/documents/?uuid=3030d3ea-853a-468b-89b9-2247da79c177","http://www.mendeley.com/documents/?uuid=6fbe98a2-7bee-482a-b6fd-41d70d1f495f"]},{"id":"ITEM-3","itemData":{"author":[{"dropping-particle":"","family":"ISO","given":"International Organization for Standardization","non-dropping-particle":"","parse-names":false,"suffix":""}],"id":"ITEM-3","issued":{"date-parts":[["2012"]]},"title":"ISO 10993-12:2012 - part 12: Sample preparation and reference materials","type":"article"},"uris":["http://www.mendeley.com/documents/?uuid=86ed5bad-1395-469c-8eb9-5eb3b2927f55","http://www.mendeley.com/documents/?uuid=bc63f757-9d4e-4b31-8aa9-2b382a740526","http://www.mendeley.com/documents/?uuid=f6cf5a0a-13bc-4fc5-98a8-ba7917519e76"]},{"id":"ITEM-4","itemData":{"DOI":"10.3390/ma12193234","ISSN":"1996-1944","PMID":"31581651","abstract":"&lt;p&gt;The present publication reports the purification effort of two natural bone blocks, that is, an allogeneic bone block (maxgraft®, botiss biomaterials GmbH, Zossen, Germany) and a xenogeneic block (SMARTBONE®, IBI S.A., Mezzovico-Vira, Switzerland) in addition to previously published results based on histology. Furthermore, specialized scanning electron microscopy (SEM) and in vitro analyses (XTT, BrdU, LDH) for testing of the cytocompatibility based on ISO 10993-5/-12 have been conducted. The microscopic analyses showed that both bone blocks possess a trabecular structure with a lamellar subarrangement. In the case of the xenogeneic bone block, only minor remnants of collagenous structures were found, while in contrast high amounts of collagen were found associated with the allogeneic bone matrix. Furthermore, only island-like remnants of the polymer coating in case of the xenogeneic bone substitute seemed to be detectable. Finally, no remaining cells or cellular remnants were found in both bone blocks. The in vitro analyses showed that both bone blocks are biocompatible. Altogether, the purification level of both bone blocks seems to be favorable for bone tissue regeneration without the risk for inflammatory responses or graft rejection. Moreover, the analysis of the maxgraft® bone block showed that the underlying purification process allows for preserving not only the calcified bone matrix but also high amounts of the intertrabecular collagen matrix.&lt;/p&gt;","author":[{"dropping-particle":"","family":"Barbeck","given":"Mike","non-dropping-particle":"","parse-names":false,"suffix":""},{"dropping-particle":"","family":"Jung","given":"Ole","non-dropping-particle":"","parse-names":false,"suffix":""},{"dropping-particle":"","family":"Xiong","given":"Xin","non-dropping-particle":"","parse-names":false,"suffix":""},{"dropping-particle":"","family":"Krastev","given":"Rumen","non-dropping-particle":"","parse-names":false,"suffix":""},{"dropping-particle":"","family":"Korzinskas","given":"Tadas","non-dropping-particle":"","parse-names":false,"suffix":""},{"dropping-particle":"","family":"Najman","given":"Stevo","non-dropping-particle":"","parse-names":false,"suffix":""},{"dropping-particle":"","family":"Radenković","given":"Milena","non-dropping-particle":"","parse-names":false,"suffix":""},{"dropping-particle":"","family":"Wegner","given":"Nils","non-dropping-particle":"","parse-names":false,"suffix":""},{"dropping-particle":"","family":"Knyazeva","given":"Marina","non-dropping-particle":"","parse-names":false,"suffix":""},{"dropping-particle":"","family":"Walther","given":"Frank","non-dropping-particle":"","parse-names":false,"suffix":""}],"container-title":"Materials","id":"ITEM-4","issue":"19","issued":{"date-parts":[["2019","10","2"]]},"page":"3234","title":"Balancing Purification and Ultrastructure of Naturally Derived Bone Blocks for Bone Regeneration: Report of the Purification Effort of Two Bone Blocks","type":"article-journal","volume":"12"},"uris":["http://www.mendeley.com/documents/?uuid=7c1b9753-96a5-4493-85f7-cf8f7d34839e","http://www.mendeley.com/documents/?uuid=b6c05249-f2c8-32d5-89b3-d5e9a31fefa3","http://www.mendeley.com/documents/?uuid=1c804337-528c-4e31-8e31-e0b3be2e1542"]},{"id":"ITEM-5","itemData":{"DOI":"10.3390/ijms20020255","ISSN":"1422-0067","PMID":"30634646","abstract":"&lt;p&gt;Magnesium (Mg)-based biomaterials are promising candidates for bone and tissue regeneration. Alloying and surface modifications provide effective strategies for optimizing and tailoring their degradation kinetics. Nevertheless, biocompatibility analyses of Mg-based materials are challenging due to its special degradation mechanism with continuous hydrogen release. In this context, the hydrogen release and the related (micro-) milieu conditions pretend to strictly follow in vitro standards based on ISO 10993-5/-12. Thus, special adaptions for the testing of Mg materials are necessary, which have been described in a previous study from our group. Based on these adaptions, further developments of a test procedure allowing rapid and effective in vitro cytocompatibility analyses of Mg-based materials based on ISO 10993-5/-12 are necessary. The following study introduces a new two-step test scheme for rapid and effective testing of Mg. Specimens with different surface characteristics were produced by means of plasma electrolytic oxidation (PEO) using silicate-based and phosphate-based electrolytes. The test samples were evaluated for corrosion behavior, cytocompatibility and their mechanical and osteogenic properties. Thereby, two PEO ceramics could be identified for further in vivo evaluations.&lt;/p&gt;","author":[{"dropping-particle":"","family":"Jung","given":"Ole","non-dropping-particle":"","parse-names":false,"suffix":""},{"dropping-particle":"","family":"Smeets","given":"Ralf","non-dropping-particle":"","parse-names":false,"suffix":""},{"dropping-particle":"","family":"Hartjen","given":"Philip","non-dropping-particle":"","parse-names":false,"suffix":""},{"dropping-particle":"","family":"Schnettler","given":"Reinhard","non-dropping-particle":"","parse-names":false,"suffix":""},{"dropping-particle":"","family":"Feyerabend","given":"Frank","non-dropping-particle":"","parse-names":false,"suffix":""},{"dropping-particle":"","family":"Klein","given":"Martin","non-dropping-particle":"","parse-names":false,"suffix":""},{"dropping-particle":"","family":"Wegner","given":"Nils","non-dropping-particle":"","parse-names":false,"suffix":""},{"dropping-particle":"","family":"Walther","given":"Frank","non-dropping-particle":"","parse-names":false,"suffix":""},{"dropping-particle":"","family":"Stangier","given":"Dominic","non-dropping-particle":"","parse-names":false,"suffix":""},{"dropping-particle":"","family":"Henningsen","given":"Anders","non-dropping-particle":"","parse-names":false,"suffix":""},{"dropping-particle":"","family":"Rendenbach","given":"Carsten","non-dropping-particle":"","parse-names":false,"suffix":""},{"dropping-particle":"","family":"Heiland","given":"Max","non-dropping-particle":"","parse-names":false,"suffix":""},{"dropping-particle":"","family":"Barbeck","given":"Mike","non-dropping-particle":"","parse-names":false,"suffix":""},{"dropping-particle":"","family":"Kopp","given":"Alexander","non-dropping-particle":"","parse-names":false,"suffix":""}],"container-title":"International Journal of Molecular Sciences","id":"ITEM-5","issue":"2","issued":{"date-parts":[["2019","1","10"]]},"page":"255","title":"Improved In Vitro Test Procedure for Full Assessment of the Cytocompatibility of Degradable Magnesium Based on ISO 10993-5/-12","type":"article-journal","volume":"20"},"uris":["http://www.mendeley.com/documents/?uuid=e70b2c1d-4e0d-4719-9432-a80c662b80d7","http://www.mendeley.com/documents/?uuid=8d326444-15c8-3f40-b7a0-4e8e226b03b8","http://www.mendeley.com/documents/?uuid=dc2e316a-e35f-41ae-9a37-c6c73463deae"]}],"mendeley":{"formattedCitation":"&lt;sup&gt;5, 8, 10, 11, 14&lt;/sup&gt;","plainTextFormattedCitation":"5, 8, 10, 11, 14","previouslyFormattedCitation":"&lt;sup&gt;5, 8, 10, 11, 14&lt;/sup&gt;"},"properties":{"noteIndex":0},"schema":"https://github.com/citation-style-language/schema/raw/master/csl-citation.json"}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bCs/>
          <w:noProof/>
          <w:color w:val="auto"/>
          <w:vertAlign w:val="superscript"/>
        </w:rPr>
        <w:t>5, 8, 10, 11, 14</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 xml:space="preserve">. </w:t>
      </w:r>
    </w:p>
    <w:p w14:paraId="7F109127" w14:textId="77777777" w:rsidR="006B1B14" w:rsidRPr="00F76890" w:rsidRDefault="006B1B14" w:rsidP="00F012D5">
      <w:pPr>
        <w:contextualSpacing/>
        <w:rPr>
          <w:rFonts w:asciiTheme="minorHAnsi" w:hAnsiTheme="minorHAnsi" w:cstheme="minorHAnsi"/>
          <w:color w:val="auto"/>
        </w:rPr>
      </w:pPr>
    </w:p>
    <w:p w14:paraId="399D83F3" w14:textId="3A62C54C"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color w:val="auto"/>
        </w:rPr>
        <w:t xml:space="preserve">It is critical to simulate or exaggerate clinical conditions to determine the cytotoxic potential. </w:t>
      </w:r>
      <w:r w:rsidR="0064588C" w:rsidRPr="00F76890">
        <w:rPr>
          <w:rFonts w:asciiTheme="minorHAnsi" w:hAnsiTheme="minorHAnsi" w:cstheme="minorHAnsi"/>
          <w:color w:val="auto"/>
        </w:rPr>
        <w:t>For</w:t>
      </w:r>
      <w:r w:rsidRPr="00F76890">
        <w:rPr>
          <w:rFonts w:asciiTheme="minorHAnsi" w:hAnsiTheme="minorHAnsi" w:cstheme="minorHAnsi"/>
          <w:color w:val="auto"/>
        </w:rPr>
        <w:t xml:space="preserve"> extract</w:t>
      </w:r>
      <w:r w:rsidR="0064588C" w:rsidRPr="00F76890">
        <w:rPr>
          <w:rFonts w:asciiTheme="minorHAnsi" w:hAnsiTheme="minorHAnsi" w:cstheme="minorHAnsi"/>
          <w:color w:val="auto"/>
        </w:rPr>
        <w:t xml:space="preserve"> </w:t>
      </w:r>
      <w:r w:rsidRPr="00F76890">
        <w:rPr>
          <w:rFonts w:asciiTheme="minorHAnsi" w:hAnsiTheme="minorHAnsi" w:cstheme="minorHAnsi"/>
          <w:color w:val="auto"/>
        </w:rPr>
        <w:t xml:space="preserve">testing, </w:t>
      </w:r>
      <w:r w:rsidR="0064588C" w:rsidRPr="00F76890">
        <w:rPr>
          <w:rFonts w:asciiTheme="minorHAnsi" w:hAnsiTheme="minorHAnsi" w:cstheme="minorHAnsi"/>
          <w:color w:val="auto"/>
        </w:rPr>
        <w:t xml:space="preserve">test the following: </w:t>
      </w:r>
      <w:r w:rsidRPr="00F76890">
        <w:rPr>
          <w:rFonts w:asciiTheme="minorHAnsi" w:hAnsiTheme="minorHAnsi" w:cstheme="minorHAnsi"/>
          <w:color w:val="auto"/>
        </w:rPr>
        <w:t>the material's surface area;</w:t>
      </w:r>
      <w:r w:rsidR="0064588C" w:rsidRPr="00F76890">
        <w:rPr>
          <w:rFonts w:asciiTheme="minorHAnsi" w:hAnsiTheme="minorHAnsi" w:cstheme="minorHAnsi"/>
          <w:color w:val="auto"/>
        </w:rPr>
        <w:t xml:space="preserve"> </w:t>
      </w:r>
      <w:r w:rsidRPr="00F76890">
        <w:rPr>
          <w:rFonts w:asciiTheme="minorHAnsi" w:hAnsiTheme="minorHAnsi" w:cstheme="minorHAnsi"/>
          <w:color w:val="auto"/>
        </w:rPr>
        <w:t xml:space="preserve">the medium volume; the medium and the material pH; the material solubility, osmolarity and diffusion ratio; and the extraction conditions such as agitation, temperature, and time </w:t>
      </w:r>
      <w:r w:rsidRPr="00F76890">
        <w:rPr>
          <w:rFonts w:asciiTheme="minorHAnsi" w:hAnsiTheme="minorHAnsi" w:cstheme="minorHAnsi"/>
          <w:color w:val="auto"/>
        </w:rPr>
        <w:lastRenderedPageBreak/>
        <w:t>influence media enrichment</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{"citationItems":[{"id":"ITEM-1","itemData":{"author":[{"dropping-particle":"","family":"ISO","given":"International Organization for Standardization","non-dropping-particle":"","parse-names":false,"suffix":""}],"id":"ITEM-1","issued":{"date-parts":[["2009"]]},"publisher":"third edition","title":"ISO 10993-5:2009 Biological evaluation of medical devices - part 5: Tests for in vitro cytotoxicity.","type":"article"},"uris":["http://www.mendeley.com/documents/?uuid=3030d3ea-853a-468b-89b9-2247da79c177","http://www.mendeley.com/documents/?uuid=6fbe98a2-7bee-482a-b6fd-41d70d1f495f"]}],"mendeley":{"formattedCitation":"&lt;sup&gt;11&lt;/sup&gt;","plainTextFormattedCitation":"11","previouslyFormattedCitation":"&lt;sup&gt;11&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bCs/>
          <w:noProof/>
          <w:color w:val="auto"/>
          <w:vertAlign w:val="superscript"/>
        </w:rPr>
        <w:t>11</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w:t>
      </w:r>
    </w:p>
    <w:p w14:paraId="6ADBC1A3" w14:textId="77777777" w:rsidR="006B1B14" w:rsidRPr="00F76890" w:rsidRDefault="006B1B14" w:rsidP="00F012D5">
      <w:pPr>
        <w:contextualSpacing/>
        <w:rPr>
          <w:rFonts w:asciiTheme="minorHAnsi" w:hAnsiTheme="minorHAnsi" w:cstheme="minorHAnsi"/>
          <w:color w:val="auto"/>
        </w:rPr>
      </w:pPr>
    </w:p>
    <w:p w14:paraId="0BA08B8B" w14:textId="77777777"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color w:val="auto"/>
        </w:rPr>
        <w:t>The methodology allows the quantitative and qualitative evaluation of cytotoxicity of several pharmaceutical formulations, both solid and liquid. Several assays can be performed, such as neutral red uptake test, colony formation test, MTT assay, and XTT assay</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{"citationItems":[{"id":"ITEM-1","itemData":{"author":[{"dropping-particle":"","family":"ISO","given":"International Organization for Standardization","non-dropping-particle":"","parse-names":false,"suffix":""}],"id":"ITEM-1","issued":{"date-parts":[["2012"]]},"title":"ISO 10993-12:2012 - part 12: Sample preparation and reference materials","type":"article"},"uris":["http://www.mendeley.com/documents/?uuid=86ed5bad-1395-469c-8eb9-5eb3b2927f55","http://www.mendeley.com/documents/?uuid=bc63f757-9d4e-4b31-8aa9-2b382a740526"]},{"id":"ITEM-2","itemData":{"DOI":"10.3390/ma12193234","ISSN":"1996-1944","PMID":"31581651","abstract":"&lt;p&gt;The present publication reports the purification effort of two natural bone blocks, that is, an allogeneic bone block (maxgraft®, botiss biomaterials GmbH, Zossen, Germany) and a xenogeneic block (SMARTBONE®, IBI S.A., Mezzovico-Vira, Switzerland) in addition to previously published results based on histology. Furthermore, specialized scanning electron microscopy (SEM) and in vitro analyses (XTT, BrdU, LDH) for testing of the cytocompatibility based on ISO 10993-5/-12 have been conducted. The microscopic analyses showed that both bone blocks possess a trabecular structure with a lamellar subarrangement. In the case of the xenogeneic bone block, only minor remnants of collagenous structures were found, while in contrast high amounts of collagen were found associated with the allogeneic bone matrix. Furthermore, only island-like remnants of the polymer coating in case of the xenogeneic bone substitute seemed to be detectable. Finally, no remaining cells or cellular remnants were found in both bone blocks. The in vitro analyses showed that both bone blocks are biocompatible. Altogether, the purification level of both bone blocks seems to be favorable for bone tissue regeneration without the risk for inflammatory responses or graft rejection. Moreover, the analysis of the maxgraft® bone block showed that the underlying purification process allows for preserving not only the calcified bone matrix but also high amounts of the intertrabecular collagen matrix.&lt;/p&gt;","author":[{"dropping-particle":"","family":"Barbeck","given":"Mike","non-dropping-particle":"","parse-names":false,"suffix":""},{"dropping-particle":"","family":"Jung","given":"Ole","non-dropping-particle":"","parse-names":false,"suffix":""},{"dropping-particle":"","family":"Xiong","given":"Xin","non-dropping-particle":"","parse-names":false,"suffix":""},{"dropping-particle":"","family":"Krastev","given":"Rumen","non-dropping-particle":"","parse-names":false,"suffix":""},{"dropping-particle":"","family":"Korzinskas","given":"Tadas","non-dropping-particle":"","parse-names":false,"suffix":""},{"dropping-particle":"","family":"Najman","given":"Stevo","non-dropping-particle":"","parse-names":false,"suffix":""},{"dropping-particle":"","family":"Radenković","given":"Milena","non-dropping-particle":"","parse-names":false,"suffix":""},{"dropping-particle":"","family":"Wegner","given":"Nils","non-dropping-particle":"","parse-names":false,"suffix":""},{"dropping-particle":"","family":"Knyazeva","given":"Marina","non-dropping-particle":"","parse-names":false,"suffix":""},{"dropping-particle":"","family":"Walther","given":"Frank","non-dropping-particle":"","parse-names":false,"suffix":""}],"container-title":"Materials","id":"ITEM-2","issue":"19","issued":{"date-parts":[["2019","10","2"]]},"page":"3234","title":"Balancing Purification and Ultrastructure of Naturally Derived Bone Blocks for Bone Regeneration: Report of the Purification Effort of Two Bone Blocks","type":"article-journal","volume":"12"},"uris":["http://www.mendeley.com/documents/?uuid=7c1b9753-96a5-4493-85f7-cf8f7d34839e","http://www.mendeley.com/documents/?uuid=b6c05249-f2c8-32d5-89b3-d5e9a31fefa3","http://www.mendeley.com/documents/?uuid=22bb80ca-02f9-41a9-a1ab-d6229874bf3b"]},{"id":"ITEM-3","itemData":{"DOI":"10.1016/j.biomaterials.2014.02.012","ISSN":"1878-5905","PMID":"24589361","abstract":"Angiogenesis is crucial for the success of most tissue engineering strategies. The natural inflammatory response is a major regulator of vascularization, through the activity of different types of macrophages and the cytokines they secrete. Macrophages exist on a spectrum of diverse phenotypes, from \"classically activated\" M1 to \"alternatively activated\" M2 macrophages. M2 macrophages, including the subsets M2a and M2c, are typically considered to promote angiogenesis and tissue regeneration, while M1 macrophages are considered to be anti-angiogenic, although these classifications are controversial. Here we show that in contrast to this traditional paradigm, primary human M1 macrophages secrete the highest levels of potent angiogenic stimulators including VEGF; M2a macrophages secrete the highest levels of PDGF-BB, a chemoattractant for stabilizing pericytes, and also promote anastomosis of sprouting endothelial cells in vitro; and M2c macrophages secrete the highest levels of MMP9, an important protease involved in vascular remodeling. In a murine subcutaneous implantation model, porous collagen scaffolds were surrounded by a fibrous capsule, coincident with high expression of M2 macrophage markers, while scaffolds coated with the bacterial lipopolysaccharide were degraded by inflammatory macrophages, and glutaraldehyde-crosslinked scaffolds were infiltrated by substantial numbers of blood vessels, accompanied by high levels of M1 and M2 macrophages. These results suggest that coordinated efforts by both M1 and M2 macrophages are required for angiogenesis and scaffold vascularization, which may explain some of the controversy over which phenotype is the angiogenic phenotype.","author":[{"dropping-particle":"","family":"Spiller","given":"Kara L","non-dropping-particle":"","parse-names":false,"suffix":""},{"dropping-particle":"","family":"Anfang","given":"Rachel R","non-dropping-particle":"","parse-names":false,"suffix":""},{"dropping-particle":"","family":"Spiller","given":"Krista J","non-dropping-particle":"","parse-names":false,"suffix":""},{"dropping-particle":"","family":"Ng","given":"Johnathan","non-dropping-particle":"","parse-names":false,"suffix":""},{"dropping-particle":"","family":"Nakazawa","given":"Kenneth R","non-dropping-particle":"","parse-names":false,"suffix":""},{"dropping-particle":"","family":"Daulton","given":"Jeffrey W","non-dropping-particle":"","parse-names":false,"suffix":""},{"dropping-particle":"","family":"Vunjak-Novakovic","given":"Gordana","non-dropping-particle":"","parse-names":false,"suffix":""}],"container-title":"Biomaterials","id":"ITEM-3","issue":"15","issued":{"date-parts":[["2014","5"]]},"page":"4477-88","title":"The role of macrophage phenotype in vascularization of tissue engineering scaffolds.","type":"article-journal","volume":"35"},"uris":["http://www.mendeley.com/documents/?uuid=8a2d9f06-9c71-4a60-85d9-e9f6f8848221","http://www.mendeley.com/documents/?uuid=b594dc64-9680-381b-aef4-2fe34b27624e","http://www.mendeley.com/documents/?uuid=5c0f1620-1102-417c-8349-2df34c931731"]}],"mendeley":{"formattedCitation":"&lt;sup&gt;5, 10, 14&lt;/sup&gt;","plainTextFormattedCitation":"5, 10, 14","previouslyFormattedCitation":"&lt;sup&gt;5, 10, 14&lt;/sup&gt;"},"properties":{"noteIndex":0},"schema":"https://github.com/citation-style-language/schema/raw/master/csl-citation.json"}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bCs/>
          <w:noProof/>
          <w:color w:val="auto"/>
          <w:vertAlign w:val="superscript"/>
        </w:rPr>
        <w:t>5, 10, 14</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 xml:space="preserve">. </w:t>
      </w:r>
    </w:p>
    <w:p w14:paraId="29161AC1" w14:textId="77777777" w:rsidR="006B1B14" w:rsidRPr="00F76890" w:rsidRDefault="006B1B14" w:rsidP="00F012D5">
      <w:pPr>
        <w:contextualSpacing/>
        <w:rPr>
          <w:rFonts w:asciiTheme="minorHAnsi" w:hAnsiTheme="minorHAnsi" w:cstheme="minorHAnsi"/>
          <w:color w:val="auto"/>
        </w:rPr>
      </w:pPr>
    </w:p>
    <w:p w14:paraId="500D2DFC" w14:textId="2F9DCFEA"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color w:val="auto"/>
        </w:rPr>
        <w:t xml:space="preserve">Most cytotoxicity assessment studies published use simpler assays, namely MTT and XTT, which provide limited information. </w:t>
      </w:r>
      <w:r w:rsidRPr="00F76890">
        <w:rPr>
          <w:color w:val="auto"/>
          <w:shd w:val="clear" w:color="auto" w:fill="FFFFFF"/>
        </w:rPr>
        <w:t>Evaluating biocompatibility should not only involve the assessment of cytotoxicity but also bioactivity of a given test material</w:t>
      </w:r>
      <w:r w:rsidRPr="00F76890">
        <w:rPr>
          <w:rStyle w:val="FootnoteReference"/>
          <w:color w:val="auto"/>
          <w:shd w:val="clear" w:color="auto" w:fill="FFFFFF"/>
        </w:rPr>
        <w:fldChar w:fldCharType="begin" w:fldLock="1"/>
      </w:r>
      <w:r w:rsidRPr="00F76890">
        <w:rPr>
          <w:color w:val="auto"/>
          <w:shd w:val="clear" w:color="auto" w:fill="FFFFFF"/>
        </w:rPr>
        <w:instrText>ADDIN CSL_CITATION {"citationItems":[{"id":"ITEM-1","itemData":{"DOI":"10.1007/10_2011_111","ISSN":"07246145","abstract":"The in vitro biocompatibility of novel materials has to be proven before a material can be used as component of a medical device. This must be done in cell culture tests according to internationally recognized standard protocols. Subsequently, preclinical and clinical tests must be performed to verify the safety of the new material and device. The present chapter focuses on the first step, the in vitro testing according to ISO 10993-5, and critically discusses its limited significance. Alternative strategies and a brief overview of activities to improve the current in vitro tests are presented in the concluding section.","author":[{"dropping-particle":"","family":"Bruinink","given":"Arie","non-dropping-particle":"","parse-names":false,"suffix":""},{"dropping-particle":"","family":"Luginbuehl","given":"Reto","non-dropping-particle":"","parse-names":false,"suffix":""}],"container-title":"Advances in biochemical engineering/biotechnology","id":"ITEM-1","issued":{"date-parts":[["2012"]]},"page":"117-152","title":"Evaluation of biocompatibility using in vitro methods: interpretation and limitations.","type":"article-journal","volume":"126"},"uris":["http://www.mendeley.com/documents/?uuid=82bfd796-2a85-4100-b935-6eff62b56126","http://www.mendeley.com/documents/?uuid=4eab78b0-320f-3544-865e-6fb791645db7"]}],"mendeley":{"formattedCitation":"&lt;sup&gt;2&lt;/sup&gt;","plainTextFormattedCitation":"2","previouslyFormattedCitation":"&lt;sup&gt;2&lt;/sup&gt;"},"properties":{"noteIndex":0},"schema":"https://github.com/citation-style-language/schema/raw/master/csl-citation.json"}</w:instrText>
      </w:r>
      <w:r w:rsidRPr="00F76890">
        <w:rPr>
          <w:rStyle w:val="FootnoteReference"/>
          <w:color w:val="auto"/>
          <w:shd w:val="clear" w:color="auto" w:fill="FFFFFF"/>
        </w:rPr>
        <w:fldChar w:fldCharType="separate"/>
      </w:r>
      <w:r w:rsidRPr="00F76890">
        <w:rPr>
          <w:noProof/>
          <w:color w:val="auto"/>
          <w:shd w:val="clear" w:color="auto" w:fill="FFFFFF"/>
          <w:vertAlign w:val="superscript"/>
        </w:rPr>
        <w:t>2</w:t>
      </w:r>
      <w:r w:rsidRPr="00F76890">
        <w:rPr>
          <w:rStyle w:val="FootnoteReference"/>
          <w:color w:val="auto"/>
          <w:shd w:val="clear" w:color="auto" w:fill="FFFFFF"/>
        </w:rPr>
        <w:fldChar w:fldCharType="end"/>
      </w:r>
      <w:r w:rsidRPr="00F76890">
        <w:rPr>
          <w:color w:val="auto"/>
          <w:shd w:val="clear" w:color="auto" w:fill="FFFFFF"/>
        </w:rPr>
        <w:t>, as this protocol endorses.</w:t>
      </w:r>
      <w:r w:rsidRPr="00F76890">
        <w:rPr>
          <w:rFonts w:asciiTheme="minorHAnsi" w:hAnsiTheme="minorHAnsi" w:cstheme="minorHAnsi"/>
          <w:color w:val="auto"/>
          <w:shd w:val="clear" w:color="auto" w:fill="FFFFFF"/>
        </w:rPr>
        <w:t xml:space="preserve"> Additional evaluation criteria should be used when justified and documented. </w:t>
      </w:r>
      <w:r w:rsidRPr="00F76890">
        <w:rPr>
          <w:rFonts w:asciiTheme="minorHAnsi" w:hAnsiTheme="minorHAnsi" w:cstheme="minorHAnsi"/>
          <w:color w:val="auto"/>
        </w:rPr>
        <w:t>Thus, this protocol aims to provide a comprehensive guide, detailing a set of methods for the biomaterial</w:t>
      </w:r>
      <w:r w:rsidR="0064588C" w:rsidRPr="00F76890">
        <w:rPr>
          <w:rFonts w:asciiTheme="minorHAnsi" w:hAnsiTheme="minorHAnsi" w:cstheme="minorHAnsi"/>
          <w:color w:val="auto"/>
        </w:rPr>
        <w:t xml:space="preserve"> </w:t>
      </w:r>
      <w:r w:rsidRPr="00F76890">
        <w:rPr>
          <w:rFonts w:asciiTheme="minorHAnsi" w:hAnsiTheme="minorHAnsi" w:cstheme="minorHAnsi"/>
          <w:color w:val="auto"/>
        </w:rPr>
        <w:t>cytotoxicity evaluation. Besides, the evaluation of different cellular processes, namely the type of cell death, cell morphology, cell function in the synthesis of specific proteins, and specific tissue production, are described.</w:t>
      </w:r>
    </w:p>
    <w:p w14:paraId="2AFB9BFF" w14:textId="77777777" w:rsidR="006B1B14" w:rsidRPr="00F76890" w:rsidRDefault="006B1B14" w:rsidP="00F012D5">
      <w:pPr>
        <w:contextualSpacing/>
        <w:rPr>
          <w:rFonts w:asciiTheme="minorHAnsi" w:hAnsiTheme="minorHAnsi" w:cstheme="minorHAnsi"/>
          <w:b/>
          <w:color w:val="auto"/>
        </w:rPr>
      </w:pPr>
    </w:p>
    <w:p w14:paraId="119C4867" w14:textId="77777777" w:rsidR="006B1B14" w:rsidRPr="00F76890" w:rsidRDefault="006B1B14" w:rsidP="00F012D5">
      <w:pPr>
        <w:contextualSpacing/>
        <w:rPr>
          <w:rFonts w:asciiTheme="minorHAnsi" w:hAnsiTheme="minorHAnsi" w:cstheme="minorHAnsi"/>
          <w:color w:val="auto"/>
        </w:rPr>
      </w:pPr>
      <w:bookmarkStart w:id="2" w:name="_Hlk49943220"/>
      <w:r w:rsidRPr="00F76890">
        <w:rPr>
          <w:rFonts w:asciiTheme="minorHAnsi" w:hAnsiTheme="minorHAnsi" w:cstheme="minorHAnsi"/>
          <w:b/>
          <w:color w:val="auto"/>
        </w:rPr>
        <w:t>PROTOCOL:</w:t>
      </w:r>
    </w:p>
    <w:p w14:paraId="339244D3" w14:textId="77777777" w:rsidR="006B1B14" w:rsidRPr="00F76890" w:rsidRDefault="006B1B14" w:rsidP="00F012D5">
      <w:pPr>
        <w:pStyle w:val="NormalWeb"/>
        <w:spacing w:before="0" w:beforeAutospacing="0" w:after="0" w:afterAutospacing="0"/>
        <w:contextualSpacing/>
        <w:rPr>
          <w:rFonts w:asciiTheme="minorHAnsi" w:hAnsiTheme="minorHAnsi" w:cstheme="minorHAnsi"/>
          <w:b/>
          <w:color w:val="auto"/>
        </w:rPr>
      </w:pPr>
    </w:p>
    <w:p w14:paraId="0D672F58" w14:textId="3B1D3A04" w:rsidR="006B1B14" w:rsidRPr="00F76890" w:rsidRDefault="006B1B14" w:rsidP="00F012D5">
      <w:pPr>
        <w:pStyle w:val="ListParagraph"/>
        <w:widowControl/>
        <w:numPr>
          <w:ilvl w:val="0"/>
          <w:numId w:val="1"/>
        </w:numPr>
        <w:autoSpaceDE/>
        <w:autoSpaceDN/>
        <w:adjustRightInd/>
        <w:ind w:left="0" w:firstLine="0"/>
        <w:jc w:val="left"/>
        <w:rPr>
          <w:b/>
          <w:color w:val="auto"/>
        </w:rPr>
      </w:pPr>
      <w:r w:rsidRPr="00F76890">
        <w:rPr>
          <w:b/>
          <w:color w:val="auto"/>
        </w:rPr>
        <w:t>Pellet</w:t>
      </w:r>
      <w:r w:rsidR="0064588C" w:rsidRPr="00F76890">
        <w:rPr>
          <w:b/>
          <w:color w:val="auto"/>
        </w:rPr>
        <w:t xml:space="preserve"> </w:t>
      </w:r>
      <w:r w:rsidRPr="00F76890">
        <w:rPr>
          <w:b/>
          <w:color w:val="auto"/>
        </w:rPr>
        <w:t>preparation</w:t>
      </w:r>
    </w:p>
    <w:p w14:paraId="4A8FEA88" w14:textId="77777777" w:rsidR="006B1B14" w:rsidRPr="00F76890" w:rsidRDefault="006B1B14" w:rsidP="00F012D5">
      <w:pPr>
        <w:pStyle w:val="ListParagraph"/>
        <w:widowControl/>
        <w:autoSpaceDE/>
        <w:autoSpaceDN/>
        <w:adjustRightInd/>
        <w:ind w:left="0"/>
        <w:jc w:val="left"/>
        <w:rPr>
          <w:b/>
          <w:color w:val="auto"/>
        </w:rPr>
      </w:pPr>
    </w:p>
    <w:p w14:paraId="0E2539A7" w14:textId="77777777" w:rsidR="006B1B14" w:rsidRPr="00F76890" w:rsidRDefault="006B1B14" w:rsidP="00F012D5">
      <w:pPr>
        <w:pStyle w:val="ListParagraph"/>
        <w:widowControl/>
        <w:numPr>
          <w:ilvl w:val="1"/>
          <w:numId w:val="1"/>
        </w:numPr>
        <w:autoSpaceDE/>
        <w:autoSpaceDN/>
        <w:adjustRightInd/>
        <w:ind w:left="0" w:firstLine="0"/>
        <w:rPr>
          <w:bCs/>
          <w:color w:val="auto"/>
        </w:rPr>
      </w:pPr>
      <w:r w:rsidRPr="00F76890">
        <w:rPr>
          <w:bCs/>
          <w:color w:val="auto"/>
        </w:rPr>
        <w:t xml:space="preserve">Prepare the molds of polyvinyl chloride (PVC) by using PVC plates with circular-shaped holes of known dimensions. </w:t>
      </w:r>
    </w:p>
    <w:p w14:paraId="452171C4" w14:textId="77777777" w:rsidR="006B1B14" w:rsidRPr="00F76890" w:rsidRDefault="006B1B14" w:rsidP="00F012D5">
      <w:pPr>
        <w:pStyle w:val="ListParagraph"/>
        <w:widowControl/>
        <w:autoSpaceDE/>
        <w:autoSpaceDN/>
        <w:adjustRightInd/>
        <w:ind w:left="0"/>
        <w:rPr>
          <w:bCs/>
          <w:color w:val="auto"/>
        </w:rPr>
      </w:pPr>
    </w:p>
    <w:p w14:paraId="2F164B97" w14:textId="55D30954" w:rsidR="006B1B14" w:rsidRPr="00F76890" w:rsidRDefault="0064588C" w:rsidP="00F012D5">
      <w:pPr>
        <w:widowControl/>
        <w:autoSpaceDE/>
        <w:autoSpaceDN/>
        <w:adjustRightInd/>
        <w:contextualSpacing/>
        <w:rPr>
          <w:rFonts w:asciiTheme="minorHAnsi" w:hAnsiTheme="minorHAnsi" w:cstheme="minorHAnsi"/>
          <w:bCs/>
          <w:color w:val="auto"/>
        </w:rPr>
      </w:pPr>
      <w:r w:rsidRPr="00F76890">
        <w:rPr>
          <w:bCs/>
          <w:color w:val="auto"/>
        </w:rPr>
        <w:t>NOTE:</w:t>
      </w:r>
      <w:r w:rsidR="006B1B14" w:rsidRPr="00F76890">
        <w:rPr>
          <w:bCs/>
          <w:color w:val="auto"/>
        </w:rPr>
        <w:t xml:space="preserve"> PVC moldings can be made of different sizes. Calculate the contact surface of PVC molds, using the formula</w:t>
      </w:r>
      <w:r w:rsidR="006B1B14" w:rsidRPr="00F76890" w:rsidDel="004E096C">
        <w:rPr>
          <w:bCs/>
          <w:color w:val="auto"/>
        </w:rPr>
        <w:t xml:space="preserve"> </w:t>
      </w:r>
      <w:r w:rsidR="006B1B14" w:rsidRPr="00F76890">
        <w:rPr>
          <w:bCs/>
          <w:color w:val="auto"/>
        </w:rPr>
        <w:t>A= 2πr(</w:t>
      </w:r>
      <w:proofErr w:type="spellStart"/>
      <w:r w:rsidR="006B1B14" w:rsidRPr="00F76890">
        <w:rPr>
          <w:bCs/>
          <w:color w:val="auto"/>
        </w:rPr>
        <w:t>r+h</w:t>
      </w:r>
      <w:proofErr w:type="spellEnd"/>
      <w:r w:rsidR="006B1B14" w:rsidRPr="00F76890">
        <w:rPr>
          <w:rFonts w:asciiTheme="minorHAnsi" w:hAnsiTheme="minorHAnsi" w:cstheme="minorHAnsi"/>
          <w:bCs/>
          <w:color w:val="auto"/>
        </w:rPr>
        <w:t xml:space="preserve">) (r: </w:t>
      </w:r>
      <w:r w:rsidR="006B1B14" w:rsidRPr="00F76890">
        <w:rPr>
          <w:rFonts w:asciiTheme="minorHAnsi" w:hAnsiTheme="minorHAnsi" w:cstheme="minorHAnsi"/>
          <w:color w:val="auto"/>
          <w:shd w:val="clear" w:color="auto" w:fill="FFFFFF"/>
        </w:rPr>
        <w:t>radius of the cylinder; h: height of the cylinder)</w:t>
      </w:r>
      <w:r w:rsidR="006B1B14" w:rsidRPr="00F76890">
        <w:rPr>
          <w:rFonts w:asciiTheme="minorHAnsi" w:hAnsiTheme="minorHAnsi" w:cstheme="minorHAnsi"/>
          <w:bCs/>
          <w:color w:val="auto"/>
        </w:rPr>
        <w:t>.</w:t>
      </w:r>
    </w:p>
    <w:p w14:paraId="055E9C1A" w14:textId="77777777" w:rsidR="006B1B14" w:rsidRPr="00F76890" w:rsidRDefault="006B1B14" w:rsidP="00F012D5">
      <w:pPr>
        <w:widowControl/>
        <w:autoSpaceDE/>
        <w:autoSpaceDN/>
        <w:adjustRightInd/>
        <w:contextualSpacing/>
        <w:rPr>
          <w:bCs/>
          <w:color w:val="auto"/>
          <w:highlight w:val="yellow"/>
        </w:rPr>
      </w:pPr>
    </w:p>
    <w:p w14:paraId="1997466C"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bookmarkStart w:id="3" w:name="_Hlk53390112"/>
      <w:r w:rsidRPr="00F76890">
        <w:rPr>
          <w:bCs/>
          <w:color w:val="auto"/>
          <w:highlight w:val="yellow"/>
        </w:rPr>
        <w:t>Prepare the biomaterial to be tested according to the manufacturer's instructions and</w:t>
      </w:r>
      <w:r w:rsidRPr="00F76890">
        <w:rPr>
          <w:color w:val="auto"/>
          <w:highlight w:val="yellow"/>
        </w:rPr>
        <w:t xml:space="preserve"> </w:t>
      </w:r>
      <w:r w:rsidRPr="00F76890">
        <w:rPr>
          <w:bCs/>
          <w:color w:val="auto"/>
          <w:highlight w:val="yellow"/>
        </w:rPr>
        <w:t xml:space="preserve">as close as possible to the beginning of the experiment. </w:t>
      </w:r>
    </w:p>
    <w:p w14:paraId="5B7560D1" w14:textId="77777777" w:rsidR="006B1B14" w:rsidRPr="00F76890" w:rsidRDefault="006B1B14" w:rsidP="00F012D5">
      <w:pPr>
        <w:pStyle w:val="ListParagraph"/>
        <w:widowControl/>
        <w:autoSpaceDE/>
        <w:autoSpaceDN/>
        <w:adjustRightInd/>
        <w:ind w:left="0"/>
        <w:rPr>
          <w:bCs/>
          <w:color w:val="auto"/>
          <w:highlight w:val="yellow"/>
        </w:rPr>
      </w:pPr>
    </w:p>
    <w:p w14:paraId="41102BFC" w14:textId="6BB8D432" w:rsidR="006B1B14" w:rsidRPr="00F76890" w:rsidRDefault="0064588C" w:rsidP="00F012D5">
      <w:pPr>
        <w:widowControl/>
        <w:autoSpaceDE/>
        <w:autoSpaceDN/>
        <w:adjustRightInd/>
        <w:contextualSpacing/>
        <w:rPr>
          <w:bCs/>
          <w:color w:val="auto"/>
        </w:rPr>
      </w:pPr>
      <w:r w:rsidRPr="00F76890">
        <w:rPr>
          <w:bCs/>
          <w:color w:val="auto"/>
        </w:rPr>
        <w:t>NOTE:</w:t>
      </w:r>
      <w:r w:rsidR="006B1B14" w:rsidRPr="00F76890">
        <w:rPr>
          <w:bCs/>
          <w:color w:val="auto"/>
        </w:rPr>
        <w:t xml:space="preserve"> For the preparation of biomaterials paste/paste formulation, an adequate amount of base paste and catalyst are mixed manually with a mixing spatula. For other materials with liquid and powder formulations, manual spatulation or mechanical mixing with vibration should be performed, following the manufacturer's instructions or the adequate for new materials. For liquid materials</w:t>
      </w:r>
      <w:r w:rsidR="00F76890" w:rsidRPr="00F76890">
        <w:rPr>
          <w:bCs/>
          <w:color w:val="auto"/>
        </w:rPr>
        <w:t>,</w:t>
      </w:r>
      <w:r w:rsidR="006B1B14" w:rsidRPr="00F76890">
        <w:rPr>
          <w:bCs/>
          <w:color w:val="auto"/>
        </w:rPr>
        <w:t xml:space="preserve"> this step is not necessary. Start the protocol in step 2.</w:t>
      </w:r>
    </w:p>
    <w:p w14:paraId="24743844" w14:textId="77777777" w:rsidR="006B1B14" w:rsidRPr="00F76890" w:rsidRDefault="006B1B14" w:rsidP="00F012D5">
      <w:pPr>
        <w:pStyle w:val="ListParagraph"/>
        <w:widowControl/>
        <w:autoSpaceDE/>
        <w:autoSpaceDN/>
        <w:adjustRightInd/>
        <w:ind w:left="0"/>
        <w:rPr>
          <w:bCs/>
          <w:color w:val="auto"/>
          <w:highlight w:val="yellow"/>
        </w:rPr>
      </w:pPr>
    </w:p>
    <w:p w14:paraId="199F5AC1"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 xml:space="preserve">Place the biomaterial on the molds with a spatula and let them set for the appropriate time. </w:t>
      </w:r>
    </w:p>
    <w:p w14:paraId="11694D9F" w14:textId="77777777" w:rsidR="006B1B14" w:rsidRPr="00F76890" w:rsidRDefault="006B1B14" w:rsidP="00F012D5">
      <w:pPr>
        <w:pStyle w:val="ListParagraph"/>
        <w:widowControl/>
        <w:autoSpaceDE/>
        <w:autoSpaceDN/>
        <w:adjustRightInd/>
        <w:ind w:left="0"/>
        <w:rPr>
          <w:bCs/>
          <w:color w:val="auto"/>
          <w:highlight w:val="yellow"/>
        </w:rPr>
      </w:pPr>
    </w:p>
    <w:p w14:paraId="0FD38663" w14:textId="7713B29D" w:rsidR="006B1B14" w:rsidRPr="00F76890" w:rsidRDefault="0064588C" w:rsidP="00F012D5">
      <w:pPr>
        <w:widowControl/>
        <w:autoSpaceDE/>
        <w:autoSpaceDN/>
        <w:adjustRightInd/>
        <w:contextualSpacing/>
        <w:rPr>
          <w:bCs/>
          <w:color w:val="auto"/>
        </w:rPr>
      </w:pPr>
      <w:r w:rsidRPr="00F76890">
        <w:rPr>
          <w:bCs/>
          <w:color w:val="auto"/>
        </w:rPr>
        <w:t>NOTE:</w:t>
      </w:r>
      <w:r w:rsidR="006B1B14" w:rsidRPr="00F76890">
        <w:rPr>
          <w:bCs/>
          <w:color w:val="auto"/>
        </w:rPr>
        <w:t xml:space="preserve"> The setting time and setting conditions of the biomaterials must follow the manufacturer's instructions or the adequate for new materials.</w:t>
      </w:r>
      <w:r w:rsidRPr="00F76890">
        <w:rPr>
          <w:bCs/>
          <w:color w:val="auto"/>
        </w:rPr>
        <w:t xml:space="preserve"> </w:t>
      </w:r>
    </w:p>
    <w:p w14:paraId="40D72B3A" w14:textId="77777777" w:rsidR="006B1B14" w:rsidRPr="00F76890" w:rsidRDefault="006B1B14" w:rsidP="00F012D5">
      <w:pPr>
        <w:widowControl/>
        <w:autoSpaceDE/>
        <w:autoSpaceDN/>
        <w:adjustRightInd/>
        <w:contextualSpacing/>
        <w:rPr>
          <w:bCs/>
          <w:color w:val="auto"/>
          <w:highlight w:val="yellow"/>
        </w:rPr>
      </w:pPr>
    </w:p>
    <w:p w14:paraId="19A230CE"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After setting, remove the biomaterial’ pellets from the PVC molds and place them in a container (a 6 well plate or a Petri dish can be used).</w:t>
      </w:r>
    </w:p>
    <w:p w14:paraId="7E37156A" w14:textId="77777777" w:rsidR="006B1B14" w:rsidRPr="00F76890" w:rsidRDefault="006B1B14" w:rsidP="00F012D5">
      <w:pPr>
        <w:pStyle w:val="ListParagraph"/>
        <w:widowControl/>
        <w:autoSpaceDE/>
        <w:autoSpaceDN/>
        <w:adjustRightInd/>
        <w:ind w:left="0"/>
        <w:rPr>
          <w:bCs/>
          <w:color w:val="auto"/>
          <w:highlight w:val="yellow"/>
        </w:rPr>
      </w:pPr>
    </w:p>
    <w:p w14:paraId="223D87C2" w14:textId="77777777" w:rsidR="006B1B14" w:rsidRPr="00F76890" w:rsidRDefault="006B1B14" w:rsidP="00F012D5">
      <w:pPr>
        <w:pStyle w:val="ListParagraph"/>
        <w:widowControl/>
        <w:numPr>
          <w:ilvl w:val="1"/>
          <w:numId w:val="1"/>
        </w:numPr>
        <w:autoSpaceDE/>
        <w:autoSpaceDN/>
        <w:adjustRightInd/>
        <w:ind w:left="0" w:firstLine="0"/>
        <w:rPr>
          <w:bCs/>
          <w:color w:val="auto"/>
        </w:rPr>
      </w:pPr>
      <w:r w:rsidRPr="00F76890">
        <w:rPr>
          <w:bCs/>
          <w:color w:val="auto"/>
          <w:highlight w:val="yellow"/>
        </w:rPr>
        <w:t>Sterilize the pellets by placing them under an ultraviolet light (UV) lamp for 20 minutes for each side.</w:t>
      </w:r>
    </w:p>
    <w:p w14:paraId="2D8DE7E2" w14:textId="77777777" w:rsidR="006B1B14" w:rsidRPr="00F76890" w:rsidRDefault="006B1B14" w:rsidP="00F012D5">
      <w:pPr>
        <w:widowControl/>
        <w:autoSpaceDE/>
        <w:autoSpaceDN/>
        <w:adjustRightInd/>
        <w:contextualSpacing/>
        <w:jc w:val="left"/>
        <w:rPr>
          <w:bCs/>
          <w:color w:val="auto"/>
        </w:rPr>
      </w:pPr>
    </w:p>
    <w:p w14:paraId="38058ABD" w14:textId="4B74C725" w:rsidR="006B1B14" w:rsidRPr="00F76890" w:rsidRDefault="006B1B14" w:rsidP="00F012D5">
      <w:pPr>
        <w:pStyle w:val="ListParagraph"/>
        <w:widowControl/>
        <w:numPr>
          <w:ilvl w:val="0"/>
          <w:numId w:val="1"/>
        </w:numPr>
        <w:autoSpaceDE/>
        <w:autoSpaceDN/>
        <w:adjustRightInd/>
        <w:ind w:left="0" w:firstLine="0"/>
        <w:jc w:val="left"/>
        <w:rPr>
          <w:b/>
          <w:bCs/>
          <w:color w:val="auto"/>
        </w:rPr>
      </w:pPr>
      <w:r w:rsidRPr="00F76890">
        <w:rPr>
          <w:b/>
          <w:bCs/>
          <w:color w:val="auto"/>
        </w:rPr>
        <w:t xml:space="preserve">Obtaining soluble extracts of </w:t>
      </w:r>
      <w:r w:rsidR="00F76890">
        <w:rPr>
          <w:b/>
          <w:bCs/>
          <w:color w:val="auto"/>
        </w:rPr>
        <w:t>b</w:t>
      </w:r>
      <w:r w:rsidRPr="00F76890">
        <w:rPr>
          <w:b/>
          <w:bCs/>
          <w:color w:val="auto"/>
        </w:rPr>
        <w:t>iomaterials</w:t>
      </w:r>
    </w:p>
    <w:p w14:paraId="47A852FF" w14:textId="77777777" w:rsidR="006B1B14" w:rsidRPr="00F76890" w:rsidRDefault="006B1B14" w:rsidP="00F012D5">
      <w:pPr>
        <w:pStyle w:val="ListParagraph"/>
        <w:widowControl/>
        <w:autoSpaceDE/>
        <w:autoSpaceDN/>
        <w:adjustRightInd/>
        <w:ind w:left="0"/>
        <w:jc w:val="left"/>
        <w:rPr>
          <w:b/>
          <w:bCs/>
          <w:color w:val="auto"/>
        </w:rPr>
      </w:pPr>
    </w:p>
    <w:p w14:paraId="1F84CE6A" w14:textId="3A0C457E" w:rsidR="006B1B14" w:rsidRPr="00F76890" w:rsidRDefault="0064588C" w:rsidP="00F012D5">
      <w:pPr>
        <w:contextualSpacing/>
        <w:rPr>
          <w:rFonts w:asciiTheme="minorHAnsi" w:hAnsiTheme="minorHAnsi" w:cstheme="minorHAnsi"/>
          <w:color w:val="auto"/>
        </w:rPr>
      </w:pPr>
      <w:r w:rsidRPr="00F76890">
        <w:rPr>
          <w:rFonts w:asciiTheme="minorHAnsi" w:hAnsiTheme="minorHAnsi" w:cstheme="minorHAnsi"/>
          <w:color w:val="auto"/>
        </w:rPr>
        <w:t>NOTE:</w:t>
      </w:r>
      <w:r w:rsidR="006B1B14" w:rsidRPr="00F76890">
        <w:rPr>
          <w:rFonts w:asciiTheme="minorHAnsi" w:hAnsiTheme="minorHAnsi" w:cstheme="minorHAnsi"/>
          <w:color w:val="auto"/>
        </w:rPr>
        <w:t xml:space="preserve"> All procedures should be performed under strict sterile conditions.</w:t>
      </w:r>
    </w:p>
    <w:p w14:paraId="44EF80D0" w14:textId="77777777" w:rsidR="006B1B14" w:rsidRPr="00F76890" w:rsidRDefault="006B1B14" w:rsidP="00F012D5">
      <w:pPr>
        <w:contextualSpacing/>
        <w:rPr>
          <w:rFonts w:asciiTheme="minorHAnsi" w:hAnsiTheme="minorHAnsi" w:cstheme="minorHAnsi"/>
          <w:color w:val="auto"/>
        </w:rPr>
      </w:pPr>
    </w:p>
    <w:p w14:paraId="332D9044"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 xml:space="preserve">Determine the necessary number of pellets by calculating the pellet surface area based on the formula described in 1.1. </w:t>
      </w:r>
    </w:p>
    <w:p w14:paraId="76045F56" w14:textId="77777777" w:rsidR="006B1B14" w:rsidRPr="00F76890" w:rsidRDefault="006B1B14" w:rsidP="00F012D5">
      <w:pPr>
        <w:pStyle w:val="ListParagraph"/>
        <w:widowControl/>
        <w:autoSpaceDE/>
        <w:autoSpaceDN/>
        <w:adjustRightInd/>
        <w:ind w:left="0"/>
        <w:rPr>
          <w:color w:val="auto"/>
        </w:rPr>
      </w:pPr>
    </w:p>
    <w:p w14:paraId="20CA4FE5" w14:textId="22300FEB" w:rsidR="006B1B14" w:rsidRPr="00F76890" w:rsidRDefault="0064588C" w:rsidP="00F012D5">
      <w:pPr>
        <w:widowControl/>
        <w:autoSpaceDE/>
        <w:autoSpaceDN/>
        <w:adjustRightInd/>
        <w:contextualSpacing/>
        <w:rPr>
          <w:color w:val="auto"/>
        </w:rPr>
      </w:pPr>
      <w:r w:rsidRPr="00F76890">
        <w:rPr>
          <w:color w:val="auto"/>
        </w:rPr>
        <w:t>NOTE:</w:t>
      </w:r>
      <w:r w:rsidR="006B1B14" w:rsidRPr="00F76890">
        <w:rPr>
          <w:color w:val="auto"/>
        </w:rPr>
        <w:t xml:space="preserve"> As a reference value, the contact surface area of 250 mm</w:t>
      </w:r>
      <w:r w:rsidR="006B1B14" w:rsidRPr="00F76890">
        <w:rPr>
          <w:color w:val="auto"/>
          <w:vertAlign w:val="superscript"/>
        </w:rPr>
        <w:t>2</w:t>
      </w:r>
      <w:r w:rsidR="006B1B14" w:rsidRPr="00F76890">
        <w:rPr>
          <w:color w:val="auto"/>
        </w:rPr>
        <w:t>/mL</w:t>
      </w:r>
      <w:r w:rsidR="006B1B14" w:rsidRPr="00F76890">
        <w:rPr>
          <w:rStyle w:val="FootnoteReference"/>
          <w:color w:val="auto"/>
        </w:rPr>
        <w:fldChar w:fldCharType="begin" w:fldLock="1"/>
      </w:r>
      <w:r w:rsidR="006B1B14" w:rsidRPr="00F76890">
        <w:rPr>
          <w:color w:val="auto"/>
        </w:rPr>
        <w:instrText>ADDIN CSL_CITATION {"citationItems":[{"id":"ITEM-1","itemData":{"DOI":"10.1016/j.joen.2012.11.026","ISSN":"00992399","author":[{"dropping-particle":"","family":"Zhou","given":"Hui-min","non-dropping-particle":"","parse-names":false,"suffix":""},{"dropping-particle":"","family":"Shen","given":"Ya","non-dropping-particle":"","parse-names":false,"suffix":""},{"dropping-particle":"","family":"Wang","given":"Zhe-jun","non-dropping-particle":"","parse-names":false,"suffix":""},{"dropping-particle":"","family":"Li","given":"Li","non-dropping-particle":"","parse-names":false,"suffix":""},{"dropping-particle":"","family":"Zheng","given":"Yu-feng","non-dropping-particle":"","parse-names":false,"suffix":""},{"dropping-particle":"","family":"Häkkinen","given":"Lari","non-dropping-particle":"","parse-names":false,"suffix":""},{"dropping-particle":"","family":"Haapasalo","given":"Markus","non-dropping-particle":"","parse-names":false,"suffix":""}],"container-title":"Journal of Endodontics","id":"ITEM-1","issue":"4","issued":{"date-parts":[["2013","4"]]},"page":"478-483","title":"In Vitro Cytotoxicity Evaluation of a Novel Root Repair Material","type":"article-journal","volume":"39"},"uris":["http://www.mendeley.com/documents/?uuid=1025ca2a-419a-4f11-b5f1-8c95b55c31b9","http://www.mendeley.com/documents/?uuid=9a3cec09-39a3-4c1d-861c-2a17bba2fa83"]},{"id":"ITEM-2","itemData":{"author":[{"dropping-particle":"","family":"ISO","given":"International Organization for Standardization","non-dropping-particle":"","parse-names":false,"suffix":""}],"id":"ITEM-2","issued":{"date-parts":[["2009"]]},"publisher":"third edition","title":"ISO 10993-5:2009 Biological evaluation of medical devices - part 5: Tests for in vitro cytotoxicity.","type":"article"},"uris":["http://www.mendeley.com/documents/?uuid=3030d3ea-853a-468b-89b9-2247da79c177","http://www.mendeley.com/documents/?uuid=6fbe98a2-7bee-482a-b6fd-41d70d1f495f"]}],"mendeley":{"formattedCitation":"&lt;sup&gt;11, 15&lt;/sup&gt;","plainTextFormattedCitation":"11, 15","previouslyFormattedCitation":"&lt;sup&gt;11, 15&lt;/sup&gt;"},"properties":{"noteIndex":0},"schema":"https://github.com/citation-style-language/schema/raw/master/csl-citation.json"}</w:instrText>
      </w:r>
      <w:r w:rsidR="006B1B14" w:rsidRPr="00F76890">
        <w:rPr>
          <w:rStyle w:val="FootnoteReference"/>
          <w:color w:val="auto"/>
        </w:rPr>
        <w:fldChar w:fldCharType="separate"/>
      </w:r>
      <w:r w:rsidR="006B1B14" w:rsidRPr="00F76890">
        <w:rPr>
          <w:bCs/>
          <w:noProof/>
          <w:color w:val="auto"/>
          <w:vertAlign w:val="superscript"/>
        </w:rPr>
        <w:t>11, 15</w:t>
      </w:r>
      <w:r w:rsidR="006B1B14" w:rsidRPr="00F76890">
        <w:rPr>
          <w:rStyle w:val="FootnoteReference"/>
          <w:color w:val="auto"/>
        </w:rPr>
        <w:fldChar w:fldCharType="end"/>
      </w:r>
      <w:r w:rsidR="006B1B14" w:rsidRPr="00F76890">
        <w:rPr>
          <w:color w:val="auto"/>
        </w:rPr>
        <w:t xml:space="preserve"> is achieved by adding 9 pellets (r</w:t>
      </w:r>
      <w:r w:rsidR="00F76890">
        <w:rPr>
          <w:color w:val="auto"/>
        </w:rPr>
        <w:t xml:space="preserve"> </w:t>
      </w:r>
      <w:r w:rsidR="006B1B14" w:rsidRPr="00F76890">
        <w:rPr>
          <w:color w:val="auto"/>
        </w:rPr>
        <w:t>3</w:t>
      </w:r>
      <w:r w:rsidR="00F76890">
        <w:rPr>
          <w:color w:val="auto"/>
        </w:rPr>
        <w:t xml:space="preserve"> </w:t>
      </w:r>
      <w:r w:rsidR="006B1B14" w:rsidRPr="00F76890">
        <w:rPr>
          <w:color w:val="auto"/>
        </w:rPr>
        <w:t>mm</w:t>
      </w:r>
      <w:r w:rsidR="00F76890">
        <w:rPr>
          <w:color w:val="auto"/>
        </w:rPr>
        <w:t xml:space="preserve"> </w:t>
      </w:r>
      <w:r w:rsidR="006B1B14" w:rsidRPr="00F76890">
        <w:rPr>
          <w:color w:val="auto"/>
        </w:rPr>
        <w:t>x</w:t>
      </w:r>
      <w:r w:rsidR="00F76890">
        <w:rPr>
          <w:color w:val="auto"/>
        </w:rPr>
        <w:t xml:space="preserve"> </w:t>
      </w:r>
      <w:r w:rsidR="006B1B14" w:rsidRPr="00F76890">
        <w:rPr>
          <w:color w:val="auto"/>
        </w:rPr>
        <w:t>h</w:t>
      </w:r>
      <w:r w:rsidR="00F76890">
        <w:rPr>
          <w:color w:val="auto"/>
        </w:rPr>
        <w:t xml:space="preserve"> </w:t>
      </w:r>
      <w:r w:rsidR="006B1B14" w:rsidRPr="00F76890">
        <w:rPr>
          <w:color w:val="auto"/>
        </w:rPr>
        <w:t>1.5</w:t>
      </w:r>
      <w:r w:rsidR="00F76890">
        <w:rPr>
          <w:color w:val="auto"/>
        </w:rPr>
        <w:t xml:space="preserve"> </w:t>
      </w:r>
      <w:r w:rsidR="006B1B14" w:rsidRPr="00F76890">
        <w:rPr>
          <w:color w:val="auto"/>
        </w:rPr>
        <w:t xml:space="preserve">mm) </w:t>
      </w:r>
      <w:r w:rsidR="006B1B14" w:rsidRPr="00F76890">
        <w:rPr>
          <w:i/>
          <w:iCs/>
          <w:color w:val="auto"/>
        </w:rPr>
        <w:t>per</w:t>
      </w:r>
      <w:r w:rsidR="006B1B14" w:rsidRPr="00F76890">
        <w:rPr>
          <w:color w:val="auto"/>
        </w:rPr>
        <w:t xml:space="preserve"> mL of the medium. </w:t>
      </w:r>
    </w:p>
    <w:p w14:paraId="0C67BC2B" w14:textId="77777777" w:rsidR="006B1B14" w:rsidRPr="00F76890" w:rsidRDefault="006B1B14" w:rsidP="00F012D5">
      <w:pPr>
        <w:pStyle w:val="ListParagraph"/>
        <w:widowControl/>
        <w:autoSpaceDE/>
        <w:autoSpaceDN/>
        <w:adjustRightInd/>
        <w:ind w:left="0"/>
        <w:rPr>
          <w:color w:val="auto"/>
        </w:rPr>
      </w:pPr>
    </w:p>
    <w:p w14:paraId="02AA650A" w14:textId="77777777"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t>Prepare the soluble extracts (extract enriched with the biomaterial).</w:t>
      </w:r>
    </w:p>
    <w:p w14:paraId="5DF2D293" w14:textId="77777777" w:rsidR="006B1B14" w:rsidRPr="00F76890" w:rsidRDefault="006B1B14" w:rsidP="00F012D5">
      <w:pPr>
        <w:pStyle w:val="ListParagraph"/>
        <w:widowControl/>
        <w:autoSpaceDE/>
        <w:autoSpaceDN/>
        <w:adjustRightInd/>
        <w:ind w:left="0"/>
        <w:rPr>
          <w:color w:val="auto"/>
          <w:highlight w:val="yellow"/>
        </w:rPr>
      </w:pPr>
    </w:p>
    <w:p w14:paraId="4785361C" w14:textId="77777777" w:rsidR="006B1B14" w:rsidRPr="00F76890" w:rsidRDefault="006B1B14" w:rsidP="00F012D5">
      <w:pPr>
        <w:pStyle w:val="ListParagraph"/>
        <w:widowControl/>
        <w:numPr>
          <w:ilvl w:val="2"/>
          <w:numId w:val="1"/>
        </w:numPr>
        <w:autoSpaceDE/>
        <w:autoSpaceDN/>
        <w:adjustRightInd/>
        <w:ind w:left="0" w:firstLine="0"/>
        <w:rPr>
          <w:color w:val="auto"/>
          <w:highlight w:val="yellow"/>
        </w:rPr>
      </w:pPr>
      <w:r w:rsidRPr="00F76890">
        <w:rPr>
          <w:color w:val="auto"/>
          <w:highlight w:val="yellow"/>
        </w:rPr>
        <w:t xml:space="preserve"> Place the pellets in a 50 mL tube and add the corresponding of the cell culture medium, appropriate for the cell cultures to be used. Place the tubes for 24 hours in the incubator at 37</w:t>
      </w:r>
      <w:r w:rsidRPr="00F76890">
        <w:rPr>
          <w:color w:val="auto"/>
          <w:highlight w:val="yellow"/>
          <w:vertAlign w:val="superscript"/>
        </w:rPr>
        <w:t>◦</w:t>
      </w:r>
      <w:r w:rsidRPr="00F76890">
        <w:rPr>
          <w:color w:val="auto"/>
          <w:highlight w:val="yellow"/>
        </w:rPr>
        <w:t>, in constant rotation.</w:t>
      </w:r>
    </w:p>
    <w:p w14:paraId="5C799F72" w14:textId="77777777" w:rsidR="006B1B14" w:rsidRPr="00F76890" w:rsidRDefault="006B1B14" w:rsidP="00F012D5">
      <w:pPr>
        <w:pStyle w:val="ListParagraph"/>
        <w:widowControl/>
        <w:autoSpaceDE/>
        <w:autoSpaceDN/>
        <w:adjustRightInd/>
        <w:ind w:left="0"/>
        <w:rPr>
          <w:color w:val="auto"/>
          <w:highlight w:val="yellow"/>
        </w:rPr>
      </w:pPr>
    </w:p>
    <w:p w14:paraId="40E6B8FF" w14:textId="3423F3B8" w:rsidR="006B1B14" w:rsidRPr="00F76890" w:rsidRDefault="0064588C" w:rsidP="00F012D5">
      <w:pPr>
        <w:pStyle w:val="ListParagraph"/>
        <w:widowControl/>
        <w:autoSpaceDE/>
        <w:autoSpaceDN/>
        <w:adjustRightInd/>
        <w:ind w:left="0"/>
        <w:rPr>
          <w:color w:val="auto"/>
          <w:highlight w:val="yellow"/>
        </w:rPr>
      </w:pPr>
      <w:r w:rsidRPr="00F76890">
        <w:rPr>
          <w:color w:val="auto"/>
          <w:highlight w:val="yellow"/>
        </w:rPr>
        <w:t>NOTE:</w:t>
      </w:r>
      <w:r w:rsidR="006B1B14" w:rsidRPr="00F76890">
        <w:rPr>
          <w:color w:val="auto"/>
          <w:highlight w:val="yellow"/>
        </w:rPr>
        <w:t xml:space="preserve"> Use the cell culture medium appropriate for the cell cultures. </w:t>
      </w:r>
    </w:p>
    <w:p w14:paraId="6E53EDA5" w14:textId="77777777" w:rsidR="006B1B14" w:rsidRPr="00F76890" w:rsidRDefault="006B1B14" w:rsidP="00F012D5">
      <w:pPr>
        <w:pStyle w:val="ListParagraph"/>
        <w:widowControl/>
        <w:autoSpaceDE/>
        <w:autoSpaceDN/>
        <w:adjustRightInd/>
        <w:ind w:left="0"/>
        <w:rPr>
          <w:color w:val="auto"/>
          <w:highlight w:val="yellow"/>
        </w:rPr>
      </w:pPr>
    </w:p>
    <w:p w14:paraId="24D0B912" w14:textId="77777777" w:rsidR="006B1B14" w:rsidRPr="00F76890" w:rsidRDefault="006B1B14" w:rsidP="00F012D5">
      <w:pPr>
        <w:pStyle w:val="ListParagraph"/>
        <w:widowControl/>
        <w:numPr>
          <w:ilvl w:val="2"/>
          <w:numId w:val="1"/>
        </w:numPr>
        <w:autoSpaceDE/>
        <w:autoSpaceDN/>
        <w:adjustRightInd/>
        <w:ind w:left="0" w:firstLine="0"/>
        <w:rPr>
          <w:color w:val="auto"/>
        </w:rPr>
      </w:pPr>
      <w:r w:rsidRPr="00F76890">
        <w:rPr>
          <w:color w:val="auto"/>
          <w:highlight w:val="yellow"/>
        </w:rPr>
        <w:t xml:space="preserve"> After 24 hours, remove the tubes from the incubator. At this point, the extracts correspond to a concentration of 1/1 or 100%. </w:t>
      </w:r>
    </w:p>
    <w:p w14:paraId="7658B131" w14:textId="77777777" w:rsidR="006B1B14" w:rsidRPr="00F76890" w:rsidRDefault="006B1B14" w:rsidP="00F012D5">
      <w:pPr>
        <w:widowControl/>
        <w:autoSpaceDE/>
        <w:autoSpaceDN/>
        <w:adjustRightInd/>
        <w:contextualSpacing/>
        <w:rPr>
          <w:color w:val="auto"/>
        </w:rPr>
      </w:pPr>
    </w:p>
    <w:p w14:paraId="439293D8" w14:textId="77777777" w:rsidR="006B1B14" w:rsidRPr="00F76890" w:rsidRDefault="006B1B14" w:rsidP="00F012D5">
      <w:pPr>
        <w:pStyle w:val="ListParagraph"/>
        <w:widowControl/>
        <w:numPr>
          <w:ilvl w:val="2"/>
          <w:numId w:val="1"/>
        </w:numPr>
        <w:autoSpaceDE/>
        <w:autoSpaceDN/>
        <w:adjustRightInd/>
        <w:ind w:left="0" w:firstLine="0"/>
        <w:rPr>
          <w:color w:val="auto"/>
        </w:rPr>
      </w:pPr>
      <w:r w:rsidRPr="00F76890">
        <w:rPr>
          <w:color w:val="auto"/>
          <w:highlight w:val="yellow"/>
        </w:rPr>
        <w:t>Make dilutions of the extract by sequential addition of the cell culture medium in a 1:2 ratio.</w:t>
      </w:r>
    </w:p>
    <w:p w14:paraId="27F35FCB" w14:textId="77777777" w:rsidR="00F76890" w:rsidRDefault="00F76890" w:rsidP="00F76890">
      <w:pPr>
        <w:widowControl/>
        <w:autoSpaceDE/>
        <w:autoSpaceDN/>
        <w:adjustRightInd/>
        <w:rPr>
          <w:color w:val="auto"/>
        </w:rPr>
      </w:pPr>
    </w:p>
    <w:p w14:paraId="693EA6CC" w14:textId="1A1EBADD" w:rsidR="006B1B14" w:rsidRPr="00F76890" w:rsidRDefault="0064588C" w:rsidP="00F76890">
      <w:pPr>
        <w:widowControl/>
        <w:autoSpaceDE/>
        <w:autoSpaceDN/>
        <w:adjustRightInd/>
        <w:rPr>
          <w:color w:val="auto"/>
        </w:rPr>
      </w:pPr>
      <w:r w:rsidRPr="00F76890">
        <w:rPr>
          <w:color w:val="auto"/>
        </w:rPr>
        <w:t>NOTE:</w:t>
      </w:r>
      <w:r w:rsidR="006B1B14" w:rsidRPr="00F76890">
        <w:rPr>
          <w:color w:val="auto"/>
        </w:rPr>
        <w:t xml:space="preserve"> No pH adjustment should be made to the media. </w:t>
      </w:r>
    </w:p>
    <w:p w14:paraId="2391DE71" w14:textId="77777777" w:rsidR="006B1B14" w:rsidRPr="00F76890" w:rsidRDefault="006B1B14" w:rsidP="00F012D5">
      <w:pPr>
        <w:pStyle w:val="ListParagraph"/>
        <w:widowControl/>
        <w:autoSpaceDE/>
        <w:autoSpaceDN/>
        <w:adjustRightInd/>
        <w:ind w:left="0"/>
        <w:rPr>
          <w:color w:val="auto"/>
        </w:rPr>
      </w:pPr>
    </w:p>
    <w:p w14:paraId="2E0F51F8" w14:textId="4A885E31" w:rsidR="006B1B14" w:rsidRPr="00F76890" w:rsidRDefault="006B1B14" w:rsidP="00F012D5">
      <w:pPr>
        <w:pStyle w:val="ListParagraph"/>
        <w:widowControl/>
        <w:numPr>
          <w:ilvl w:val="3"/>
          <w:numId w:val="1"/>
        </w:numPr>
        <w:autoSpaceDE/>
        <w:autoSpaceDN/>
        <w:adjustRightInd/>
        <w:ind w:left="0" w:firstLine="0"/>
        <w:rPr>
          <w:color w:val="auto"/>
          <w:highlight w:val="yellow"/>
        </w:rPr>
      </w:pPr>
      <w:r w:rsidRPr="00F76890">
        <w:rPr>
          <w:color w:val="auto"/>
          <w:highlight w:val="yellow"/>
        </w:rPr>
        <w:t xml:space="preserve">Add 1 mL of culture media to 1 mL </w:t>
      </w:r>
      <w:r w:rsidR="00F76890">
        <w:rPr>
          <w:color w:val="auto"/>
          <w:highlight w:val="yellow"/>
        </w:rPr>
        <w:t xml:space="preserve">of </w:t>
      </w:r>
      <w:r w:rsidRPr="00F76890">
        <w:rPr>
          <w:color w:val="auto"/>
          <w:highlight w:val="yellow"/>
        </w:rPr>
        <w:t>100% extract to obtain a 50% extract. Add 1 mL of culture media to 1 mL of 50% extract to obtain a 25% extract, and so on</w:t>
      </w:r>
      <w:r w:rsidRPr="00F76890" w:rsidDel="00471FC5">
        <w:rPr>
          <w:color w:val="auto"/>
          <w:highlight w:val="yellow"/>
        </w:rPr>
        <w:t xml:space="preserve"> </w:t>
      </w:r>
      <w:r w:rsidRPr="00F76890">
        <w:rPr>
          <w:color w:val="auto"/>
          <w:highlight w:val="yellow"/>
        </w:rPr>
        <w:t>(</w:t>
      </w:r>
      <w:r w:rsidR="00F76890" w:rsidRPr="00F76890">
        <w:rPr>
          <w:b/>
          <w:bCs/>
          <w:color w:val="auto"/>
          <w:highlight w:val="yellow"/>
        </w:rPr>
        <w:t>F</w:t>
      </w:r>
      <w:r w:rsidRPr="00F76890">
        <w:rPr>
          <w:b/>
          <w:bCs/>
          <w:color w:val="auto"/>
          <w:highlight w:val="yellow"/>
        </w:rPr>
        <w:t>igure 1</w:t>
      </w:r>
      <w:r w:rsidRPr="00F76890">
        <w:rPr>
          <w:color w:val="auto"/>
          <w:highlight w:val="yellow"/>
        </w:rPr>
        <w:t>).</w:t>
      </w:r>
      <w:r w:rsidR="0064588C" w:rsidRPr="00F76890">
        <w:rPr>
          <w:color w:val="auto"/>
          <w:highlight w:val="yellow"/>
        </w:rPr>
        <w:t xml:space="preserve"> </w:t>
      </w:r>
    </w:p>
    <w:p w14:paraId="1CC8646C" w14:textId="77777777" w:rsidR="006B1B14" w:rsidRPr="00F76890" w:rsidRDefault="006B1B14" w:rsidP="00F012D5">
      <w:pPr>
        <w:pStyle w:val="ListParagraph"/>
        <w:widowControl/>
        <w:autoSpaceDE/>
        <w:autoSpaceDN/>
        <w:adjustRightInd/>
        <w:ind w:left="0"/>
        <w:rPr>
          <w:color w:val="auto"/>
          <w:highlight w:val="yellow"/>
        </w:rPr>
      </w:pPr>
    </w:p>
    <w:p w14:paraId="4EC14818" w14:textId="75DA83BF" w:rsidR="006B1B14" w:rsidRPr="00F76890" w:rsidRDefault="0064588C" w:rsidP="00F012D5">
      <w:pPr>
        <w:pStyle w:val="ListParagraph"/>
        <w:widowControl/>
        <w:autoSpaceDE/>
        <w:autoSpaceDN/>
        <w:adjustRightInd/>
        <w:ind w:left="0"/>
        <w:rPr>
          <w:color w:val="auto"/>
        </w:rPr>
      </w:pPr>
      <w:r w:rsidRPr="00F76890">
        <w:rPr>
          <w:color w:val="auto"/>
        </w:rPr>
        <w:t>NOTE:</w:t>
      </w:r>
      <w:r w:rsidR="006B1B14" w:rsidRPr="00F76890">
        <w:rPr>
          <w:color w:val="auto"/>
        </w:rPr>
        <w:t xml:space="preserve"> Use the concentrations found relevant for each compound. </w:t>
      </w:r>
    </w:p>
    <w:p w14:paraId="67F797C9" w14:textId="77777777" w:rsidR="006B1B14" w:rsidRPr="00F76890" w:rsidRDefault="006B1B14" w:rsidP="00F012D5">
      <w:pPr>
        <w:pStyle w:val="ListParagraph"/>
        <w:widowControl/>
        <w:autoSpaceDE/>
        <w:autoSpaceDN/>
        <w:adjustRightInd/>
        <w:ind w:left="0"/>
        <w:rPr>
          <w:color w:val="auto"/>
          <w:sz w:val="22"/>
          <w:szCs w:val="22"/>
        </w:rPr>
      </w:pPr>
    </w:p>
    <w:p w14:paraId="2086D669" w14:textId="3F945209" w:rsidR="006B1B14" w:rsidRPr="00F76890" w:rsidRDefault="00F76890" w:rsidP="00F012D5">
      <w:pPr>
        <w:pStyle w:val="ListParagraph"/>
        <w:widowControl/>
        <w:autoSpaceDE/>
        <w:autoSpaceDN/>
        <w:adjustRightInd/>
        <w:ind w:left="0"/>
        <w:jc w:val="center"/>
        <w:rPr>
          <w:color w:val="auto"/>
          <w:sz w:val="22"/>
          <w:szCs w:val="22"/>
        </w:rPr>
      </w:pPr>
      <w:r>
        <w:rPr>
          <w:color w:val="auto"/>
          <w:sz w:val="22"/>
          <w:szCs w:val="22"/>
        </w:rPr>
        <w:t>[</w:t>
      </w:r>
      <w:r w:rsidR="006B1B14" w:rsidRPr="00F76890">
        <w:rPr>
          <w:color w:val="auto"/>
          <w:sz w:val="22"/>
          <w:szCs w:val="22"/>
        </w:rPr>
        <w:t xml:space="preserve">Please place </w:t>
      </w:r>
      <w:r w:rsidR="00DD3B58">
        <w:rPr>
          <w:color w:val="auto"/>
          <w:sz w:val="22"/>
          <w:szCs w:val="22"/>
        </w:rPr>
        <w:t>Figure</w:t>
      </w:r>
      <w:r w:rsidR="006B1B14" w:rsidRPr="00F76890">
        <w:rPr>
          <w:color w:val="auto"/>
          <w:sz w:val="22"/>
          <w:szCs w:val="22"/>
        </w:rPr>
        <w:t xml:space="preserve"> 1 here.</w:t>
      </w:r>
      <w:r>
        <w:rPr>
          <w:color w:val="auto"/>
          <w:sz w:val="22"/>
          <w:szCs w:val="22"/>
        </w:rPr>
        <w:t>]</w:t>
      </w:r>
    </w:p>
    <w:p w14:paraId="6FDC2C32" w14:textId="77777777" w:rsidR="006B1B14" w:rsidRPr="00F76890" w:rsidRDefault="006B1B14" w:rsidP="00F012D5">
      <w:pPr>
        <w:pStyle w:val="ListParagraph"/>
        <w:widowControl/>
        <w:autoSpaceDE/>
        <w:autoSpaceDN/>
        <w:adjustRightInd/>
        <w:ind w:left="0"/>
        <w:rPr>
          <w:color w:val="auto"/>
        </w:rPr>
      </w:pPr>
    </w:p>
    <w:p w14:paraId="6C9860E3" w14:textId="46CD0BDB" w:rsidR="006B1B14" w:rsidRPr="00F76890" w:rsidRDefault="006B1B14" w:rsidP="00F012D5">
      <w:pPr>
        <w:pStyle w:val="ListParagraph"/>
        <w:widowControl/>
        <w:numPr>
          <w:ilvl w:val="0"/>
          <w:numId w:val="1"/>
        </w:numPr>
        <w:autoSpaceDE/>
        <w:autoSpaceDN/>
        <w:adjustRightInd/>
        <w:ind w:left="0" w:firstLine="0"/>
        <w:jc w:val="left"/>
        <w:rPr>
          <w:b/>
          <w:bCs/>
          <w:color w:val="auto"/>
        </w:rPr>
      </w:pPr>
      <w:r w:rsidRPr="00F76890">
        <w:rPr>
          <w:b/>
          <w:bCs/>
          <w:color w:val="auto"/>
        </w:rPr>
        <w:t>Cell culture preparation</w:t>
      </w:r>
    </w:p>
    <w:p w14:paraId="2CC9E5DE" w14:textId="77777777" w:rsidR="006B1B14" w:rsidRPr="00F76890" w:rsidRDefault="006B1B14" w:rsidP="00F012D5">
      <w:pPr>
        <w:pStyle w:val="ListParagraph"/>
        <w:widowControl/>
        <w:autoSpaceDE/>
        <w:autoSpaceDN/>
        <w:adjustRightInd/>
        <w:ind w:left="0"/>
        <w:rPr>
          <w:color w:val="auto"/>
        </w:rPr>
      </w:pPr>
      <w:r w:rsidRPr="00F76890">
        <w:rPr>
          <w:color w:val="auto"/>
        </w:rPr>
        <w:t xml:space="preserve"> </w:t>
      </w:r>
    </w:p>
    <w:p w14:paraId="588443CC"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 xml:space="preserve">Prepare a cellular suspension and plate it in an adequate cell container, such as a </w:t>
      </w:r>
      <w:proofErr w:type="spellStart"/>
      <w:r w:rsidRPr="00F76890">
        <w:rPr>
          <w:color w:val="auto"/>
        </w:rPr>
        <w:t>multiwell</w:t>
      </w:r>
      <w:proofErr w:type="spellEnd"/>
      <w:r w:rsidRPr="00F76890">
        <w:rPr>
          <w:color w:val="auto"/>
        </w:rPr>
        <w:t xml:space="preserve"> plate, according to the number of cells needed for the experiments. </w:t>
      </w:r>
    </w:p>
    <w:p w14:paraId="6529D441" w14:textId="77777777" w:rsidR="006B1B14" w:rsidRPr="00F76890" w:rsidRDefault="006B1B14" w:rsidP="00F012D5">
      <w:pPr>
        <w:pStyle w:val="ListParagraph"/>
        <w:widowControl/>
        <w:autoSpaceDE/>
        <w:autoSpaceDN/>
        <w:adjustRightInd/>
        <w:ind w:left="0"/>
        <w:rPr>
          <w:color w:val="auto"/>
        </w:rPr>
      </w:pPr>
    </w:p>
    <w:p w14:paraId="10C0B814" w14:textId="77777777" w:rsidR="006B1B14" w:rsidRPr="00F76890" w:rsidRDefault="006B1B14" w:rsidP="00F012D5">
      <w:pPr>
        <w:pStyle w:val="ListParagraph"/>
        <w:widowControl/>
        <w:numPr>
          <w:ilvl w:val="2"/>
          <w:numId w:val="1"/>
        </w:numPr>
        <w:autoSpaceDE/>
        <w:autoSpaceDN/>
        <w:adjustRightInd/>
        <w:ind w:left="0" w:firstLine="0"/>
        <w:rPr>
          <w:color w:val="auto"/>
        </w:rPr>
      </w:pPr>
      <w:r w:rsidRPr="00F76890">
        <w:rPr>
          <w:color w:val="auto"/>
        </w:rPr>
        <w:t xml:space="preserve">Start with a flask of the desired cells with 80% to 90% confluence. </w:t>
      </w:r>
    </w:p>
    <w:p w14:paraId="4C629169" w14:textId="77777777" w:rsidR="006B1B14" w:rsidRPr="00F76890" w:rsidRDefault="006B1B14" w:rsidP="00F012D5">
      <w:pPr>
        <w:pStyle w:val="ListParagraph"/>
        <w:widowControl/>
        <w:autoSpaceDE/>
        <w:autoSpaceDN/>
        <w:adjustRightInd/>
        <w:ind w:left="0"/>
        <w:rPr>
          <w:color w:val="auto"/>
        </w:rPr>
      </w:pPr>
    </w:p>
    <w:p w14:paraId="7C71412F" w14:textId="77777777" w:rsidR="006B1B14" w:rsidRPr="00F76890" w:rsidRDefault="006B1B14" w:rsidP="00F012D5">
      <w:pPr>
        <w:pStyle w:val="ListParagraph"/>
        <w:widowControl/>
        <w:numPr>
          <w:ilvl w:val="2"/>
          <w:numId w:val="1"/>
        </w:numPr>
        <w:autoSpaceDE/>
        <w:autoSpaceDN/>
        <w:adjustRightInd/>
        <w:ind w:left="0" w:firstLine="0"/>
        <w:rPr>
          <w:color w:val="auto"/>
        </w:rPr>
      </w:pPr>
      <w:r w:rsidRPr="00F76890">
        <w:rPr>
          <w:color w:val="auto"/>
        </w:rPr>
        <w:t>Discard the cell culture media, wash with phosphate-buffered saline solution (PBS) and detach the cells with trypsin-EDTA (1 to 2 mL for a 75 cm</w:t>
      </w:r>
      <w:r w:rsidRPr="00F76890">
        <w:rPr>
          <w:color w:val="auto"/>
          <w:vertAlign w:val="superscript"/>
        </w:rPr>
        <w:t>2</w:t>
      </w:r>
      <w:r w:rsidRPr="00F76890">
        <w:rPr>
          <w:color w:val="auto"/>
        </w:rPr>
        <w:t xml:space="preserve"> cell culture flask). </w:t>
      </w:r>
    </w:p>
    <w:p w14:paraId="1FDE9253" w14:textId="77777777" w:rsidR="006B1B14" w:rsidRPr="00F76890" w:rsidRDefault="006B1B14" w:rsidP="00F012D5">
      <w:pPr>
        <w:widowControl/>
        <w:autoSpaceDE/>
        <w:autoSpaceDN/>
        <w:adjustRightInd/>
        <w:contextualSpacing/>
        <w:rPr>
          <w:color w:val="auto"/>
        </w:rPr>
      </w:pPr>
    </w:p>
    <w:p w14:paraId="38A04382" w14:textId="13AF7913" w:rsidR="006B1B14" w:rsidRPr="00F76890" w:rsidRDefault="006B1B14" w:rsidP="00F012D5">
      <w:pPr>
        <w:pStyle w:val="ListParagraph"/>
        <w:widowControl/>
        <w:numPr>
          <w:ilvl w:val="2"/>
          <w:numId w:val="1"/>
        </w:numPr>
        <w:autoSpaceDE/>
        <w:autoSpaceDN/>
        <w:adjustRightInd/>
        <w:ind w:left="0" w:firstLine="0"/>
        <w:rPr>
          <w:color w:val="auto"/>
        </w:rPr>
      </w:pPr>
      <w:r w:rsidRPr="00F76890">
        <w:rPr>
          <w:color w:val="auto"/>
        </w:rPr>
        <w:t>Add the cell culture media</w:t>
      </w:r>
      <w:r w:rsidR="00F76890">
        <w:rPr>
          <w:color w:val="auto"/>
        </w:rPr>
        <w:t xml:space="preserve"> </w:t>
      </w:r>
      <w:r w:rsidRPr="00F76890">
        <w:rPr>
          <w:color w:val="auto"/>
        </w:rPr>
        <w:t>(2 to 4 mL for a 75 cm</w:t>
      </w:r>
      <w:r w:rsidRPr="00F76890">
        <w:rPr>
          <w:color w:val="auto"/>
          <w:vertAlign w:val="superscript"/>
        </w:rPr>
        <w:t>2</w:t>
      </w:r>
      <w:r w:rsidRPr="00F76890">
        <w:rPr>
          <w:color w:val="auto"/>
        </w:rPr>
        <w:t xml:space="preserve"> cell culture flask) and centrifuge at 200 x </w:t>
      </w:r>
      <w:r w:rsidRPr="00F76890">
        <w:rPr>
          <w:i/>
          <w:iCs/>
          <w:color w:val="auto"/>
        </w:rPr>
        <w:t>g</w:t>
      </w:r>
      <w:r w:rsidRPr="00F76890">
        <w:rPr>
          <w:color w:val="auto"/>
        </w:rPr>
        <w:t xml:space="preserve"> for 5 min. </w:t>
      </w:r>
    </w:p>
    <w:p w14:paraId="774AA565" w14:textId="77777777" w:rsidR="006B1B14" w:rsidRPr="00F76890" w:rsidRDefault="006B1B14" w:rsidP="00F012D5">
      <w:pPr>
        <w:pStyle w:val="ListParagraph"/>
        <w:rPr>
          <w:color w:val="auto"/>
        </w:rPr>
      </w:pPr>
    </w:p>
    <w:p w14:paraId="05B8055D" w14:textId="77777777" w:rsidR="006B1B14" w:rsidRPr="00F76890" w:rsidRDefault="006B1B14" w:rsidP="00F012D5">
      <w:pPr>
        <w:pStyle w:val="ListParagraph"/>
        <w:widowControl/>
        <w:numPr>
          <w:ilvl w:val="2"/>
          <w:numId w:val="1"/>
        </w:numPr>
        <w:autoSpaceDE/>
        <w:autoSpaceDN/>
        <w:adjustRightInd/>
        <w:ind w:left="0" w:firstLine="0"/>
        <w:rPr>
          <w:color w:val="auto"/>
        </w:rPr>
      </w:pPr>
      <w:r w:rsidRPr="00F76890">
        <w:rPr>
          <w:color w:val="auto"/>
        </w:rPr>
        <w:t xml:space="preserve">Suspend the pellet in a known volume of cell culture media. </w:t>
      </w:r>
    </w:p>
    <w:p w14:paraId="7FB26306" w14:textId="77777777" w:rsidR="006B1B14" w:rsidRPr="00F76890" w:rsidRDefault="006B1B14" w:rsidP="00F012D5">
      <w:pPr>
        <w:widowControl/>
        <w:autoSpaceDE/>
        <w:autoSpaceDN/>
        <w:adjustRightInd/>
        <w:contextualSpacing/>
        <w:rPr>
          <w:color w:val="auto"/>
        </w:rPr>
      </w:pPr>
    </w:p>
    <w:p w14:paraId="798DDDC1" w14:textId="3FFBA6FA" w:rsidR="006B1B14" w:rsidRPr="00F76890" w:rsidRDefault="0064588C" w:rsidP="00F012D5">
      <w:pPr>
        <w:widowControl/>
        <w:autoSpaceDE/>
        <w:autoSpaceDN/>
        <w:adjustRightInd/>
        <w:contextualSpacing/>
        <w:rPr>
          <w:color w:val="auto"/>
        </w:rPr>
      </w:pPr>
      <w:r w:rsidRPr="00F76890">
        <w:rPr>
          <w:color w:val="auto"/>
        </w:rPr>
        <w:t>NOTE:</w:t>
      </w:r>
      <w:r w:rsidR="006B1B14" w:rsidRPr="00F76890">
        <w:rPr>
          <w:color w:val="auto"/>
        </w:rPr>
        <w:t xml:space="preserve"> This protocol is designed for the use of adherent cell cultures; however, simple adaptations can be made to work with suspension cell cultures. </w:t>
      </w:r>
    </w:p>
    <w:p w14:paraId="528129A0" w14:textId="77777777" w:rsidR="006B1B14" w:rsidRPr="00F76890" w:rsidRDefault="006B1B14" w:rsidP="00F012D5">
      <w:pPr>
        <w:widowControl/>
        <w:autoSpaceDE/>
        <w:autoSpaceDN/>
        <w:adjustRightInd/>
        <w:contextualSpacing/>
        <w:rPr>
          <w:color w:val="auto"/>
        </w:rPr>
      </w:pPr>
    </w:p>
    <w:p w14:paraId="4026CA59" w14:textId="77777777" w:rsidR="006B1B14" w:rsidRPr="00F76890" w:rsidRDefault="006B1B14" w:rsidP="00F012D5">
      <w:pPr>
        <w:pStyle w:val="ListParagraph"/>
        <w:widowControl/>
        <w:numPr>
          <w:ilvl w:val="2"/>
          <w:numId w:val="1"/>
        </w:numPr>
        <w:autoSpaceDE/>
        <w:autoSpaceDN/>
        <w:adjustRightInd/>
        <w:ind w:left="0" w:firstLine="0"/>
        <w:rPr>
          <w:color w:val="auto"/>
        </w:rPr>
      </w:pPr>
      <w:r w:rsidRPr="00F76890">
        <w:rPr>
          <w:color w:val="auto"/>
        </w:rPr>
        <w:t xml:space="preserve">Count the cells in the hemocytometer and calculate the cell concentration of the cell suspension. </w:t>
      </w:r>
    </w:p>
    <w:p w14:paraId="2B2D8F66" w14:textId="77777777" w:rsidR="006B1B14" w:rsidRPr="00F76890" w:rsidRDefault="006B1B14" w:rsidP="00F012D5">
      <w:pPr>
        <w:pStyle w:val="ListParagraph"/>
        <w:widowControl/>
        <w:autoSpaceDE/>
        <w:autoSpaceDN/>
        <w:adjustRightInd/>
        <w:ind w:left="0"/>
        <w:rPr>
          <w:color w:val="auto"/>
        </w:rPr>
      </w:pPr>
    </w:p>
    <w:p w14:paraId="0DE31872" w14:textId="77777777" w:rsidR="006B1B14" w:rsidRPr="00F76890" w:rsidRDefault="006B1B14" w:rsidP="00F012D5">
      <w:pPr>
        <w:pStyle w:val="ListParagraph"/>
        <w:widowControl/>
        <w:numPr>
          <w:ilvl w:val="2"/>
          <w:numId w:val="1"/>
        </w:numPr>
        <w:autoSpaceDE/>
        <w:autoSpaceDN/>
        <w:adjustRightInd/>
        <w:ind w:left="0" w:firstLine="0"/>
        <w:rPr>
          <w:color w:val="auto"/>
        </w:rPr>
      </w:pPr>
      <w:r w:rsidRPr="00F76890">
        <w:rPr>
          <w:color w:val="auto"/>
        </w:rPr>
        <w:t xml:space="preserve">Suspend the determined amount of cell suspension in culture medium and transfer to </w:t>
      </w:r>
      <w:proofErr w:type="spellStart"/>
      <w:r w:rsidRPr="00F76890">
        <w:rPr>
          <w:color w:val="auto"/>
        </w:rPr>
        <w:t>multiwell</w:t>
      </w:r>
      <w:proofErr w:type="spellEnd"/>
      <w:r w:rsidRPr="00F76890">
        <w:rPr>
          <w:color w:val="auto"/>
        </w:rPr>
        <w:t xml:space="preserve"> dishes. As a reference value for seeding density, consider 5 – 20 x 10</w:t>
      </w:r>
      <w:r w:rsidRPr="00F76890">
        <w:rPr>
          <w:color w:val="auto"/>
          <w:vertAlign w:val="superscript"/>
        </w:rPr>
        <w:t>5</w:t>
      </w:r>
      <w:r w:rsidRPr="00F76890">
        <w:rPr>
          <w:color w:val="auto"/>
        </w:rPr>
        <w:t xml:space="preserve"> cells/cm</w:t>
      </w:r>
      <w:r w:rsidRPr="00F76890">
        <w:rPr>
          <w:color w:val="auto"/>
          <w:vertAlign w:val="superscript"/>
        </w:rPr>
        <w:t>2</w:t>
      </w:r>
      <w:r w:rsidRPr="00F76890">
        <w:rPr>
          <w:color w:val="auto"/>
        </w:rPr>
        <w:t xml:space="preserve">. </w:t>
      </w:r>
    </w:p>
    <w:p w14:paraId="5C2D7F77" w14:textId="77777777" w:rsidR="006B1B14" w:rsidRPr="00F76890" w:rsidRDefault="006B1B14" w:rsidP="00F012D5">
      <w:pPr>
        <w:widowControl/>
        <w:autoSpaceDE/>
        <w:autoSpaceDN/>
        <w:adjustRightInd/>
        <w:contextualSpacing/>
        <w:rPr>
          <w:color w:val="auto"/>
        </w:rPr>
      </w:pPr>
    </w:p>
    <w:p w14:paraId="587FDEF5" w14:textId="5622978A" w:rsidR="006B1B14" w:rsidRPr="00F76890" w:rsidRDefault="0064588C" w:rsidP="00F012D5">
      <w:pPr>
        <w:widowControl/>
        <w:autoSpaceDE/>
        <w:autoSpaceDN/>
        <w:adjustRightInd/>
        <w:contextualSpacing/>
        <w:rPr>
          <w:color w:val="auto"/>
        </w:rPr>
      </w:pPr>
      <w:r w:rsidRPr="00F76890">
        <w:rPr>
          <w:color w:val="auto"/>
        </w:rPr>
        <w:t>NOTE:</w:t>
      </w:r>
      <w:r w:rsidR="006B1B14" w:rsidRPr="00F76890">
        <w:rPr>
          <w:color w:val="auto"/>
        </w:rPr>
        <w:t xml:space="preserve"> The appropriated number of cells must be calculated according to the cell type and cell characteristics, namely cell doubling time.</w:t>
      </w:r>
    </w:p>
    <w:p w14:paraId="3C9937F8" w14:textId="77777777" w:rsidR="006B1B14" w:rsidRPr="00F76890" w:rsidRDefault="006B1B14" w:rsidP="00F012D5">
      <w:pPr>
        <w:widowControl/>
        <w:autoSpaceDE/>
        <w:autoSpaceDN/>
        <w:adjustRightInd/>
        <w:contextualSpacing/>
        <w:rPr>
          <w:color w:val="auto"/>
        </w:rPr>
      </w:pPr>
    </w:p>
    <w:p w14:paraId="5D04EC33"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Incubate the cells for 24 hours to allow cell adhesion.</w:t>
      </w:r>
    </w:p>
    <w:p w14:paraId="20E648D4" w14:textId="77777777" w:rsidR="006B1B14" w:rsidRPr="00F76890" w:rsidRDefault="006B1B14" w:rsidP="00F012D5">
      <w:pPr>
        <w:pStyle w:val="ListParagraph"/>
        <w:widowControl/>
        <w:autoSpaceDE/>
        <w:autoSpaceDN/>
        <w:adjustRightInd/>
        <w:ind w:left="0"/>
        <w:rPr>
          <w:color w:val="auto"/>
        </w:rPr>
      </w:pPr>
    </w:p>
    <w:p w14:paraId="3D84C0DC"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After this period, administer the soluble extracts into the culture plates.</w:t>
      </w:r>
    </w:p>
    <w:p w14:paraId="28E79B94" w14:textId="77777777" w:rsidR="006B1B14" w:rsidRPr="00F76890" w:rsidRDefault="006B1B14" w:rsidP="00F012D5">
      <w:pPr>
        <w:widowControl/>
        <w:autoSpaceDE/>
        <w:autoSpaceDN/>
        <w:adjustRightInd/>
        <w:contextualSpacing/>
        <w:rPr>
          <w:color w:val="auto"/>
        </w:rPr>
      </w:pPr>
    </w:p>
    <w:p w14:paraId="58484692" w14:textId="3C7E3664" w:rsidR="006B1B14" w:rsidRPr="00F76890" w:rsidRDefault="006B1B14" w:rsidP="00F012D5">
      <w:pPr>
        <w:pStyle w:val="ListParagraph"/>
        <w:widowControl/>
        <w:numPr>
          <w:ilvl w:val="2"/>
          <w:numId w:val="1"/>
        </w:numPr>
        <w:autoSpaceDE/>
        <w:autoSpaceDN/>
        <w:adjustRightInd/>
        <w:ind w:left="0" w:firstLine="0"/>
        <w:rPr>
          <w:color w:val="auto"/>
          <w:highlight w:val="yellow"/>
        </w:rPr>
      </w:pPr>
      <w:r w:rsidRPr="00F76890">
        <w:rPr>
          <w:color w:val="auto"/>
          <w:highlight w:val="yellow"/>
        </w:rPr>
        <w:t>Aspirate the cell culture medium.</w:t>
      </w:r>
    </w:p>
    <w:p w14:paraId="67C825A7" w14:textId="77777777" w:rsidR="006B1B14" w:rsidRPr="00F76890" w:rsidRDefault="006B1B14" w:rsidP="00F012D5">
      <w:pPr>
        <w:pStyle w:val="ListParagraph"/>
        <w:widowControl/>
        <w:autoSpaceDE/>
        <w:autoSpaceDN/>
        <w:adjustRightInd/>
        <w:ind w:left="0"/>
        <w:rPr>
          <w:color w:val="auto"/>
          <w:highlight w:val="yellow"/>
        </w:rPr>
      </w:pPr>
    </w:p>
    <w:p w14:paraId="045976FA" w14:textId="77777777" w:rsidR="006B1B14" w:rsidRPr="00F76890" w:rsidRDefault="006B1B14" w:rsidP="00F012D5">
      <w:pPr>
        <w:pStyle w:val="ListParagraph"/>
        <w:widowControl/>
        <w:numPr>
          <w:ilvl w:val="2"/>
          <w:numId w:val="1"/>
        </w:numPr>
        <w:autoSpaceDE/>
        <w:autoSpaceDN/>
        <w:adjustRightInd/>
        <w:ind w:left="0" w:firstLine="0"/>
        <w:rPr>
          <w:color w:val="auto"/>
          <w:highlight w:val="yellow"/>
        </w:rPr>
      </w:pPr>
      <w:r w:rsidRPr="00F76890">
        <w:rPr>
          <w:color w:val="auto"/>
          <w:highlight w:val="yellow"/>
        </w:rPr>
        <w:t xml:space="preserve"> Add the biomaterials’ extracts to each well, according to the sequence of concentrations, as described previously. Add fresh cell culture medium to the control wells.</w:t>
      </w:r>
    </w:p>
    <w:p w14:paraId="7735F93C" w14:textId="77777777" w:rsidR="006B1B14" w:rsidRPr="00F76890" w:rsidRDefault="006B1B14" w:rsidP="00F012D5">
      <w:pPr>
        <w:widowControl/>
        <w:autoSpaceDE/>
        <w:autoSpaceDN/>
        <w:adjustRightInd/>
        <w:contextualSpacing/>
        <w:rPr>
          <w:color w:val="auto"/>
          <w:highlight w:val="yellow"/>
        </w:rPr>
      </w:pPr>
    </w:p>
    <w:p w14:paraId="6CA75746" w14:textId="725CB341" w:rsidR="006B1B14" w:rsidRPr="00F76890" w:rsidRDefault="006B1B14" w:rsidP="00F012D5">
      <w:pPr>
        <w:pStyle w:val="ListParagraph"/>
        <w:widowControl/>
        <w:numPr>
          <w:ilvl w:val="2"/>
          <w:numId w:val="1"/>
        </w:numPr>
        <w:autoSpaceDE/>
        <w:autoSpaceDN/>
        <w:adjustRightInd/>
        <w:ind w:left="0" w:firstLine="0"/>
        <w:rPr>
          <w:color w:val="auto"/>
          <w:highlight w:val="yellow"/>
        </w:rPr>
      </w:pPr>
      <w:r w:rsidRPr="00F76890">
        <w:rPr>
          <w:color w:val="auto"/>
          <w:highlight w:val="yellow"/>
        </w:rPr>
        <w:t xml:space="preserve"> Incubate the plates for 24 h or longer.</w:t>
      </w:r>
    </w:p>
    <w:p w14:paraId="6ACC0898" w14:textId="77777777" w:rsidR="006B1B14" w:rsidRPr="00F76890" w:rsidRDefault="006B1B14" w:rsidP="00F012D5">
      <w:pPr>
        <w:widowControl/>
        <w:autoSpaceDE/>
        <w:autoSpaceDN/>
        <w:adjustRightInd/>
        <w:contextualSpacing/>
        <w:rPr>
          <w:color w:val="auto"/>
          <w:highlight w:val="yellow"/>
        </w:rPr>
      </w:pPr>
    </w:p>
    <w:p w14:paraId="3072AC46" w14:textId="42B7AB85" w:rsidR="006B1B14" w:rsidRPr="00F76890" w:rsidRDefault="0064588C" w:rsidP="00F012D5">
      <w:pPr>
        <w:widowControl/>
        <w:autoSpaceDE/>
        <w:autoSpaceDN/>
        <w:adjustRightInd/>
        <w:contextualSpacing/>
        <w:rPr>
          <w:color w:val="auto"/>
        </w:rPr>
      </w:pPr>
      <w:r w:rsidRPr="00F76890">
        <w:rPr>
          <w:color w:val="auto"/>
        </w:rPr>
        <w:t>NOTE:</w:t>
      </w:r>
      <w:r w:rsidR="006B1B14" w:rsidRPr="00F76890">
        <w:rPr>
          <w:color w:val="auto"/>
        </w:rPr>
        <w:t xml:space="preserve"> Negative controls must be performed in each assay, corresponding to untreated cells, maintained in the culture medium. The incubation times can be selected accordingly to the study goals.</w:t>
      </w:r>
    </w:p>
    <w:p w14:paraId="3A47D96A" w14:textId="77777777" w:rsidR="006B1B14" w:rsidRPr="00F76890" w:rsidRDefault="006B1B14" w:rsidP="00F012D5">
      <w:pPr>
        <w:widowControl/>
        <w:autoSpaceDE/>
        <w:autoSpaceDN/>
        <w:adjustRightInd/>
        <w:contextualSpacing/>
        <w:rPr>
          <w:color w:val="auto"/>
        </w:rPr>
      </w:pPr>
    </w:p>
    <w:p w14:paraId="716C8521" w14:textId="77777777" w:rsidR="006B1B14" w:rsidRPr="00F76890" w:rsidRDefault="006B1B14" w:rsidP="00F012D5">
      <w:pPr>
        <w:pStyle w:val="ListParagraph"/>
        <w:widowControl/>
        <w:numPr>
          <w:ilvl w:val="0"/>
          <w:numId w:val="1"/>
        </w:numPr>
        <w:autoSpaceDE/>
        <w:autoSpaceDN/>
        <w:adjustRightInd/>
        <w:ind w:left="0" w:firstLine="0"/>
        <w:jc w:val="left"/>
        <w:rPr>
          <w:b/>
          <w:bCs/>
          <w:color w:val="auto"/>
        </w:rPr>
      </w:pPr>
      <w:r w:rsidRPr="00F76890">
        <w:rPr>
          <w:b/>
          <w:bCs/>
          <w:color w:val="auto"/>
        </w:rPr>
        <w:t>Evaluation of the metabolic activity</w:t>
      </w:r>
    </w:p>
    <w:p w14:paraId="6B3C4A15" w14:textId="77777777" w:rsidR="006B1B14" w:rsidRPr="00F76890" w:rsidRDefault="006B1B14" w:rsidP="00F012D5">
      <w:pPr>
        <w:pStyle w:val="ListParagraph"/>
        <w:widowControl/>
        <w:autoSpaceDE/>
        <w:autoSpaceDN/>
        <w:adjustRightInd/>
        <w:ind w:left="0"/>
        <w:jc w:val="left"/>
        <w:rPr>
          <w:b/>
          <w:bCs/>
          <w:color w:val="auto"/>
        </w:rPr>
      </w:pPr>
    </w:p>
    <w:p w14:paraId="02F2F4A7"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After the step 3.3.3, aspirate the medium from the plates and wash each well PBS.</w:t>
      </w:r>
    </w:p>
    <w:p w14:paraId="3DA0693C" w14:textId="77777777" w:rsidR="006B1B14" w:rsidRPr="00F76890" w:rsidRDefault="006B1B14" w:rsidP="00F012D5">
      <w:pPr>
        <w:pStyle w:val="ListParagraph"/>
        <w:widowControl/>
        <w:autoSpaceDE/>
        <w:autoSpaceDN/>
        <w:adjustRightInd/>
        <w:ind w:left="0"/>
        <w:rPr>
          <w:color w:val="auto"/>
        </w:rPr>
      </w:pPr>
    </w:p>
    <w:p w14:paraId="4DF1EFFA" w14:textId="77AC7545"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 xml:space="preserve">Place, in each well, the adequate volume of </w:t>
      </w:r>
      <w:r w:rsidR="00F76890" w:rsidRPr="00F76890">
        <w:rPr>
          <w:color w:val="auto"/>
        </w:rPr>
        <w:t xml:space="preserve">0.5 mg/mL </w:t>
      </w:r>
      <w:r w:rsidRPr="00F76890">
        <w:rPr>
          <w:color w:val="auto"/>
        </w:rPr>
        <w:t>3-(4,5-dimethylthiazol-2-yl)-2,5-diphenyltetrazole bromide (MTT) prepared in PBS, pH 7.4.</w:t>
      </w:r>
    </w:p>
    <w:p w14:paraId="559017BF" w14:textId="77777777" w:rsidR="006B1B14" w:rsidRPr="00F76890" w:rsidRDefault="006B1B14" w:rsidP="00F012D5">
      <w:pPr>
        <w:widowControl/>
        <w:autoSpaceDE/>
        <w:autoSpaceDN/>
        <w:adjustRightInd/>
        <w:contextualSpacing/>
        <w:rPr>
          <w:color w:val="auto"/>
        </w:rPr>
      </w:pPr>
    </w:p>
    <w:p w14:paraId="58AF8CF3" w14:textId="3CBE2CAD" w:rsidR="006B1B14" w:rsidRPr="00F76890" w:rsidRDefault="006B1B14" w:rsidP="00F76890">
      <w:pPr>
        <w:pStyle w:val="ListParagraph"/>
        <w:widowControl/>
        <w:numPr>
          <w:ilvl w:val="1"/>
          <w:numId w:val="1"/>
        </w:numPr>
        <w:autoSpaceDE/>
        <w:autoSpaceDN/>
        <w:adjustRightInd/>
        <w:ind w:left="0" w:firstLine="0"/>
        <w:rPr>
          <w:color w:val="auto"/>
        </w:rPr>
      </w:pPr>
      <w:r w:rsidRPr="00F76890">
        <w:rPr>
          <w:color w:val="auto"/>
        </w:rPr>
        <w:t>Incubate the plates for 4 h or overnight in the dark at 37 ° C.</w:t>
      </w:r>
    </w:p>
    <w:p w14:paraId="61BF25A9" w14:textId="77777777" w:rsidR="006B1B14" w:rsidRPr="00F76890" w:rsidRDefault="006B1B14" w:rsidP="00F012D5">
      <w:pPr>
        <w:widowControl/>
        <w:autoSpaceDE/>
        <w:autoSpaceDN/>
        <w:adjustRightInd/>
        <w:contextualSpacing/>
        <w:rPr>
          <w:color w:val="auto"/>
        </w:rPr>
      </w:pPr>
    </w:p>
    <w:p w14:paraId="7D14A6FF"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To solubilize the obtained formazan crystals, add the adequate volume of 0.04 M solution of hydrochloric acid in isopropanol to each well and stir plates for 30 minutes.</w:t>
      </w:r>
    </w:p>
    <w:p w14:paraId="1C578657" w14:textId="77777777" w:rsidR="006B1B14" w:rsidRPr="00F76890" w:rsidRDefault="006B1B14" w:rsidP="00F012D5">
      <w:pPr>
        <w:widowControl/>
        <w:autoSpaceDE/>
        <w:autoSpaceDN/>
        <w:adjustRightInd/>
        <w:contextualSpacing/>
        <w:rPr>
          <w:color w:val="auto"/>
        </w:rPr>
      </w:pPr>
    </w:p>
    <w:p w14:paraId="64C97B44" w14:textId="62CF6A55" w:rsidR="006B1B14" w:rsidRPr="00F76890" w:rsidRDefault="0064588C" w:rsidP="00F012D5">
      <w:pPr>
        <w:widowControl/>
        <w:autoSpaceDE/>
        <w:autoSpaceDN/>
        <w:adjustRightInd/>
        <w:contextualSpacing/>
        <w:rPr>
          <w:color w:val="auto"/>
        </w:rPr>
      </w:pPr>
      <w:r w:rsidRPr="00F76890">
        <w:rPr>
          <w:color w:val="auto"/>
        </w:rPr>
        <w:t>NOTE:</w:t>
      </w:r>
      <w:r w:rsidR="006B1B14" w:rsidRPr="00F76890">
        <w:rPr>
          <w:color w:val="auto"/>
        </w:rPr>
        <w:t xml:space="preserve"> Adjust the amount of MTT and isopropanol according to the size of the wells.</w:t>
      </w:r>
    </w:p>
    <w:p w14:paraId="208ABA5E" w14:textId="77777777" w:rsidR="006B1B14" w:rsidRPr="00F76890" w:rsidRDefault="006B1B14" w:rsidP="00F012D5">
      <w:pPr>
        <w:widowControl/>
        <w:autoSpaceDE/>
        <w:autoSpaceDN/>
        <w:adjustRightInd/>
        <w:contextualSpacing/>
        <w:rPr>
          <w:color w:val="auto"/>
        </w:rPr>
      </w:pPr>
    </w:p>
    <w:p w14:paraId="051C79C0"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lastRenderedPageBreak/>
        <w:t>Stir and homogenize the contents of each well, if necessary, by pipetting up and down until no crystals are seen.</w:t>
      </w:r>
    </w:p>
    <w:p w14:paraId="307766CF" w14:textId="77777777" w:rsidR="006B1B14" w:rsidRPr="00F76890" w:rsidRDefault="006B1B14" w:rsidP="00F012D5">
      <w:pPr>
        <w:pStyle w:val="ListParagraph"/>
        <w:widowControl/>
        <w:autoSpaceDE/>
        <w:autoSpaceDN/>
        <w:adjustRightInd/>
        <w:ind w:left="0"/>
        <w:rPr>
          <w:color w:val="auto"/>
        </w:rPr>
      </w:pPr>
    </w:p>
    <w:p w14:paraId="6FAFE58B"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Quantify the absorbance at a wavelength of 570 nm with a 620 nm reference filter, in the spectrophotometer.</w:t>
      </w:r>
    </w:p>
    <w:p w14:paraId="4A05F73D" w14:textId="77777777" w:rsidR="006B1B14" w:rsidRPr="00F76890" w:rsidRDefault="006B1B14" w:rsidP="00F012D5">
      <w:pPr>
        <w:widowControl/>
        <w:autoSpaceDE/>
        <w:autoSpaceDN/>
        <w:adjustRightInd/>
        <w:contextualSpacing/>
        <w:rPr>
          <w:color w:val="auto"/>
        </w:rPr>
      </w:pPr>
    </w:p>
    <w:p w14:paraId="03411844" w14:textId="5C000D66"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 xml:space="preserve">To calculate the metabolic activity, divide the absorbance of the treated cells by the absorbance of the control cultures. To obtain percentage values multiply by 100. </w:t>
      </w:r>
    </w:p>
    <w:p w14:paraId="734C8CBE" w14:textId="77777777" w:rsidR="006B1B14" w:rsidRPr="00F76890" w:rsidRDefault="006B1B14" w:rsidP="00F012D5">
      <w:pPr>
        <w:widowControl/>
        <w:autoSpaceDE/>
        <w:autoSpaceDN/>
        <w:adjustRightInd/>
        <w:contextualSpacing/>
        <w:rPr>
          <w:color w:val="auto"/>
        </w:rPr>
      </w:pPr>
    </w:p>
    <w:p w14:paraId="5AC03D06" w14:textId="77777777" w:rsidR="006B1B14" w:rsidRPr="00F76890" w:rsidRDefault="006B1B14" w:rsidP="00F012D5">
      <w:pPr>
        <w:pStyle w:val="ListParagraph"/>
        <w:widowControl/>
        <w:numPr>
          <w:ilvl w:val="0"/>
          <w:numId w:val="1"/>
        </w:numPr>
        <w:autoSpaceDE/>
        <w:autoSpaceDN/>
        <w:adjustRightInd/>
        <w:ind w:left="0" w:firstLine="0"/>
        <w:jc w:val="left"/>
        <w:rPr>
          <w:b/>
          <w:bCs/>
          <w:color w:val="auto"/>
        </w:rPr>
      </w:pPr>
      <w:r w:rsidRPr="00F76890">
        <w:rPr>
          <w:b/>
          <w:bCs/>
          <w:color w:val="auto"/>
        </w:rPr>
        <w:t xml:space="preserve">Cell death evaluation </w:t>
      </w:r>
    </w:p>
    <w:p w14:paraId="1BF20498" w14:textId="77777777" w:rsidR="006B1B14" w:rsidRPr="00F76890" w:rsidRDefault="006B1B14" w:rsidP="00F012D5">
      <w:pPr>
        <w:pStyle w:val="ListParagraph"/>
        <w:widowControl/>
        <w:autoSpaceDE/>
        <w:autoSpaceDN/>
        <w:adjustRightInd/>
        <w:ind w:left="0"/>
        <w:jc w:val="left"/>
        <w:rPr>
          <w:b/>
          <w:bCs/>
          <w:color w:val="auto"/>
        </w:rPr>
      </w:pPr>
    </w:p>
    <w:p w14:paraId="2EA706E6" w14:textId="03907224" w:rsidR="006B1B14" w:rsidRPr="00F76890" w:rsidRDefault="0064588C" w:rsidP="00F012D5">
      <w:pPr>
        <w:pStyle w:val="ListParagraph"/>
        <w:widowControl/>
        <w:autoSpaceDE/>
        <w:autoSpaceDN/>
        <w:adjustRightInd/>
        <w:ind w:left="0"/>
        <w:jc w:val="left"/>
        <w:rPr>
          <w:color w:val="auto"/>
        </w:rPr>
      </w:pPr>
      <w:r w:rsidRPr="00F76890">
        <w:rPr>
          <w:color w:val="auto"/>
        </w:rPr>
        <w:t>NOTE:</w:t>
      </w:r>
      <w:r w:rsidR="006B1B14" w:rsidRPr="00F76890">
        <w:rPr>
          <w:color w:val="auto"/>
        </w:rPr>
        <w:t xml:space="preserve"> </w:t>
      </w:r>
      <w:r w:rsidR="00F76890">
        <w:rPr>
          <w:color w:val="auto"/>
        </w:rPr>
        <w:t>T</w:t>
      </w:r>
      <w:r w:rsidR="006B1B14" w:rsidRPr="00F76890">
        <w:rPr>
          <w:color w:val="auto"/>
        </w:rPr>
        <w:t>o perform this evaluation a minimum of 10</w:t>
      </w:r>
      <w:r w:rsidR="006B1B14" w:rsidRPr="00F76890">
        <w:rPr>
          <w:color w:val="auto"/>
          <w:vertAlign w:val="superscript"/>
        </w:rPr>
        <w:t>6</w:t>
      </w:r>
      <w:r w:rsidR="006B1B14" w:rsidRPr="00F76890">
        <w:rPr>
          <w:color w:val="auto"/>
        </w:rPr>
        <w:t xml:space="preserve"> cells per condition should be used.</w:t>
      </w:r>
    </w:p>
    <w:p w14:paraId="58C06A90" w14:textId="77777777" w:rsidR="006B1B14" w:rsidRPr="00F76890" w:rsidRDefault="006B1B14" w:rsidP="00F012D5">
      <w:pPr>
        <w:pStyle w:val="ListParagraph"/>
        <w:widowControl/>
        <w:autoSpaceDE/>
        <w:autoSpaceDN/>
        <w:adjustRightInd/>
        <w:ind w:left="0"/>
        <w:jc w:val="left"/>
        <w:rPr>
          <w:b/>
          <w:bCs/>
          <w:color w:val="auto"/>
        </w:rPr>
      </w:pPr>
    </w:p>
    <w:p w14:paraId="68C4FB50"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Use centrifuge tubes properly identified.</w:t>
      </w:r>
    </w:p>
    <w:p w14:paraId="67EA2691" w14:textId="77777777" w:rsidR="006B1B14" w:rsidRPr="00F76890" w:rsidRDefault="006B1B14" w:rsidP="00F012D5">
      <w:pPr>
        <w:pStyle w:val="ListParagraph"/>
        <w:widowControl/>
        <w:autoSpaceDE/>
        <w:autoSpaceDN/>
        <w:adjustRightInd/>
        <w:ind w:left="0"/>
        <w:rPr>
          <w:color w:val="auto"/>
        </w:rPr>
      </w:pPr>
    </w:p>
    <w:p w14:paraId="1CD68835"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After soluble extracts incubation, described in step 3.3.3, collect the culture media to the respective tube.</w:t>
      </w:r>
    </w:p>
    <w:p w14:paraId="6D341292" w14:textId="77777777" w:rsidR="006B1B14" w:rsidRPr="00F76890" w:rsidRDefault="006B1B14" w:rsidP="00F012D5">
      <w:pPr>
        <w:widowControl/>
        <w:autoSpaceDE/>
        <w:autoSpaceDN/>
        <w:adjustRightInd/>
        <w:contextualSpacing/>
        <w:rPr>
          <w:color w:val="auto"/>
        </w:rPr>
      </w:pPr>
    </w:p>
    <w:p w14:paraId="01B96986"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 xml:space="preserve">Detach the cells and add the suspension to the respective tubes. </w:t>
      </w:r>
    </w:p>
    <w:p w14:paraId="4111DE2C" w14:textId="77777777" w:rsidR="006B1B14" w:rsidRPr="00F76890" w:rsidRDefault="006B1B14" w:rsidP="00F012D5">
      <w:pPr>
        <w:widowControl/>
        <w:autoSpaceDE/>
        <w:autoSpaceDN/>
        <w:adjustRightInd/>
        <w:contextualSpacing/>
        <w:rPr>
          <w:color w:val="auto"/>
        </w:rPr>
      </w:pPr>
    </w:p>
    <w:p w14:paraId="65850312"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 xml:space="preserve">Concentrate the suspensions by centrifugation at 120 x </w:t>
      </w:r>
      <w:r w:rsidRPr="00F76890">
        <w:rPr>
          <w:i/>
          <w:iCs/>
          <w:color w:val="auto"/>
        </w:rPr>
        <w:t>g</w:t>
      </w:r>
      <w:r w:rsidRPr="00F76890">
        <w:rPr>
          <w:color w:val="auto"/>
        </w:rPr>
        <w:t xml:space="preserve"> for 5 minutes.</w:t>
      </w:r>
    </w:p>
    <w:p w14:paraId="3AD3A627" w14:textId="77777777" w:rsidR="006B1B14" w:rsidRPr="00F76890" w:rsidRDefault="006B1B14" w:rsidP="00F012D5">
      <w:pPr>
        <w:widowControl/>
        <w:autoSpaceDE/>
        <w:autoSpaceDN/>
        <w:adjustRightInd/>
        <w:contextualSpacing/>
        <w:rPr>
          <w:color w:val="auto"/>
        </w:rPr>
      </w:pPr>
    </w:p>
    <w:p w14:paraId="6499ED20" w14:textId="3F4B65B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Wash the pellets with PBS. Remove the PBS by centrifugation at 1</w:t>
      </w:r>
      <w:r w:rsidR="00F76890">
        <w:rPr>
          <w:color w:val="auto"/>
        </w:rPr>
        <w:t>,</w:t>
      </w:r>
      <w:r w:rsidRPr="00F76890">
        <w:rPr>
          <w:color w:val="auto"/>
        </w:rPr>
        <w:t xml:space="preserve">000 x </w:t>
      </w:r>
      <w:r w:rsidRPr="00F76890">
        <w:rPr>
          <w:i/>
          <w:iCs/>
          <w:color w:val="auto"/>
        </w:rPr>
        <w:t>g</w:t>
      </w:r>
      <w:r w:rsidRPr="00F76890">
        <w:rPr>
          <w:color w:val="auto"/>
        </w:rPr>
        <w:t xml:space="preserve"> for 5 minutes.</w:t>
      </w:r>
    </w:p>
    <w:p w14:paraId="002ABEFE" w14:textId="77777777" w:rsidR="006B1B14" w:rsidRPr="00F76890" w:rsidRDefault="006B1B14" w:rsidP="00F012D5">
      <w:pPr>
        <w:widowControl/>
        <w:autoSpaceDE/>
        <w:autoSpaceDN/>
        <w:adjustRightInd/>
        <w:contextualSpacing/>
        <w:rPr>
          <w:color w:val="auto"/>
        </w:rPr>
      </w:pPr>
    </w:p>
    <w:p w14:paraId="02EDCC00"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Add 1 mL of PBS and transfer the cell pellets to identified cytometry tubes.</w:t>
      </w:r>
    </w:p>
    <w:p w14:paraId="77B7D88A" w14:textId="77777777" w:rsidR="006B1B14" w:rsidRPr="00F76890" w:rsidRDefault="006B1B14" w:rsidP="00F012D5">
      <w:pPr>
        <w:widowControl/>
        <w:autoSpaceDE/>
        <w:autoSpaceDN/>
        <w:adjustRightInd/>
        <w:contextualSpacing/>
        <w:rPr>
          <w:color w:val="auto"/>
        </w:rPr>
      </w:pPr>
    </w:p>
    <w:p w14:paraId="62FB2BB7" w14:textId="1B9D66A2"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Remove the PBS by centrifugation at 1</w:t>
      </w:r>
      <w:r w:rsidR="00F76890">
        <w:rPr>
          <w:color w:val="auto"/>
        </w:rPr>
        <w:t>,</w:t>
      </w:r>
      <w:r w:rsidRPr="00F76890">
        <w:rPr>
          <w:color w:val="auto"/>
        </w:rPr>
        <w:t xml:space="preserve">000 x </w:t>
      </w:r>
      <w:r w:rsidRPr="00F76890">
        <w:rPr>
          <w:i/>
          <w:iCs/>
          <w:color w:val="auto"/>
        </w:rPr>
        <w:t>g</w:t>
      </w:r>
      <w:r w:rsidRPr="00F76890">
        <w:rPr>
          <w:color w:val="auto"/>
        </w:rPr>
        <w:t xml:space="preserve"> for 5 minutes.</w:t>
      </w:r>
    </w:p>
    <w:p w14:paraId="58C906BC" w14:textId="77777777" w:rsidR="006B1B14" w:rsidRPr="00F76890" w:rsidRDefault="006B1B14" w:rsidP="00F012D5">
      <w:pPr>
        <w:pStyle w:val="ListParagraph"/>
        <w:widowControl/>
        <w:autoSpaceDE/>
        <w:autoSpaceDN/>
        <w:adjustRightInd/>
        <w:ind w:left="0"/>
        <w:rPr>
          <w:color w:val="auto"/>
        </w:rPr>
      </w:pPr>
      <w:r w:rsidRPr="00F76890">
        <w:rPr>
          <w:color w:val="auto"/>
        </w:rPr>
        <w:t xml:space="preserve"> </w:t>
      </w:r>
    </w:p>
    <w:p w14:paraId="331452C8" w14:textId="36325185"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 xml:space="preserve">Incubate with 100 µL </w:t>
      </w:r>
      <w:r w:rsidR="00F76890">
        <w:rPr>
          <w:color w:val="auto"/>
        </w:rPr>
        <w:t xml:space="preserve">of </w:t>
      </w:r>
      <w:r w:rsidRPr="00F76890">
        <w:rPr>
          <w:color w:val="auto"/>
        </w:rPr>
        <w:t xml:space="preserve">binding buffer (0.01 M </w:t>
      </w:r>
      <w:r w:rsidR="00F76890">
        <w:rPr>
          <w:color w:val="auto"/>
        </w:rPr>
        <w:t>HEPES</w:t>
      </w:r>
      <w:r w:rsidRPr="00F76890">
        <w:rPr>
          <w:color w:val="auto"/>
        </w:rPr>
        <w:t>, 0.14 mM NaCl and 0.25 mM CaCl</w:t>
      </w:r>
      <w:r w:rsidRPr="00F76890">
        <w:rPr>
          <w:color w:val="auto"/>
          <w:vertAlign w:val="subscript"/>
        </w:rPr>
        <w:t>2</w:t>
      </w:r>
      <w:r w:rsidRPr="00F76890">
        <w:rPr>
          <w:color w:val="auto"/>
        </w:rPr>
        <w:t>)</w:t>
      </w:r>
      <w:r w:rsidRPr="00F76890">
        <w:rPr>
          <w:rStyle w:val="FootnoteReference"/>
          <w:color w:val="auto"/>
        </w:rPr>
        <w:fldChar w:fldCharType="begin" w:fldLock="1"/>
      </w:r>
      <w:r w:rsidRPr="00F76890">
        <w:rPr>
          <w:color w:val="auto"/>
        </w:rPr>
        <w:instrText>ADDIN CSL_CITATION {"citationItems":[{"id":"ITEM-1","itemData":{"DOI":"10.1172/JCI2261","ISSN":"0021-9738","author":[{"dropping-particle":"","family":"Bordron","given":"A","non-dropping-particle":"","parse-names":false,"suffix":""},{"dropping-particle":"","family":"Dueymes","given":"M","non-dropping-particle":"","parse-names":false,"suffix":""},{"dropping-particle":"","family":"Levy","given":"Y","non-dropping-particle":"","parse-names":false,"suffix":""},{"dropping-particle":"","family":"Jamin","given":"C","non-dropping-particle":"","parse-names":false,"suffix":""},{"dropping-particle":"","family":"Leroy","given":"J P","non-dropping-particle":"","parse-names":false,"suffix":""},{"dropping-particle":"","family":"Piette","given":"J C","non-dropping-particle":"","parse-names":false,"suffix":""},{"dropping-particle":"","family":"Shoenfeld","given":"Y","non-dropping-particle":"","parse-names":false,"suffix":""},{"dropping-particle":"","family":"Youinou","given":"P Y","non-dropping-particle":"","parse-names":false,"suffix":""}],"container-title":"Journal of Clinical Investigation","id":"ITEM-1","issue":"10","issued":{"date-parts":[["1998","5","15"]]},"page":"2029-2035","title":"The binding of some human antiendothelial cell antibodies induces endothelial cell apoptosis.","type":"article-journal","volume":"101"},"uris":["http://www.mendeley.com/documents/?uuid=06a8cd8c-2b95-48ea-bdb0-4428260d4728","http://www.mendeley.com/documents/?uuid=b702798d-e8c4-4717-b686-564ac8f715d7"]}],"mendeley":{"formattedCitation":"&lt;sup&gt;16&lt;/sup&gt;","plainTextFormattedCitation":"16","previouslyFormattedCitation":"&lt;sup&gt;16&lt;/sup&gt;"},"properties":{"noteIndex":0},"schema":"https://github.com/citation-style-language/schema/raw/master/csl-citation.json"}</w:instrText>
      </w:r>
      <w:r w:rsidRPr="00F76890">
        <w:rPr>
          <w:rStyle w:val="FootnoteReference"/>
          <w:color w:val="auto"/>
        </w:rPr>
        <w:fldChar w:fldCharType="separate"/>
      </w:r>
      <w:r w:rsidRPr="00F76890">
        <w:rPr>
          <w:noProof/>
          <w:color w:val="auto"/>
          <w:vertAlign w:val="superscript"/>
        </w:rPr>
        <w:t>16</w:t>
      </w:r>
      <w:r w:rsidRPr="00F76890">
        <w:rPr>
          <w:rStyle w:val="FootnoteReference"/>
          <w:color w:val="auto"/>
        </w:rPr>
        <w:fldChar w:fldCharType="end"/>
      </w:r>
      <w:r w:rsidRPr="00F76890">
        <w:rPr>
          <w:color w:val="auto"/>
        </w:rPr>
        <w:t>, and allow the cells to rest for about 15 minutes for cell membrane recovery.</w:t>
      </w:r>
    </w:p>
    <w:p w14:paraId="2DB89F7E" w14:textId="77777777" w:rsidR="006B1B14" w:rsidRPr="00F76890" w:rsidRDefault="006B1B14" w:rsidP="00F012D5">
      <w:pPr>
        <w:pStyle w:val="ListParagraph"/>
        <w:widowControl/>
        <w:autoSpaceDE/>
        <w:autoSpaceDN/>
        <w:adjustRightInd/>
        <w:ind w:left="0"/>
        <w:rPr>
          <w:color w:val="auto"/>
        </w:rPr>
      </w:pPr>
    </w:p>
    <w:p w14:paraId="1ECB80A3" w14:textId="2ED0E02B"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 xml:space="preserve">Add 2.5 μL </w:t>
      </w:r>
      <w:r w:rsidR="00F76890">
        <w:rPr>
          <w:color w:val="auto"/>
        </w:rPr>
        <w:t xml:space="preserve">of </w:t>
      </w:r>
      <w:r w:rsidRPr="00F76890">
        <w:rPr>
          <w:color w:val="auto"/>
        </w:rPr>
        <w:t xml:space="preserve">Annexin-V </w:t>
      </w:r>
      <w:r w:rsidRPr="00F76890">
        <w:rPr>
          <w:rFonts w:asciiTheme="minorHAnsi" w:hAnsiTheme="minorHAnsi" w:cstheme="minorHAnsi"/>
          <w:color w:val="auto"/>
          <w:shd w:val="clear" w:color="auto" w:fill="FFFFFF"/>
        </w:rPr>
        <w:t>Fluorescein isothiocyanate</w:t>
      </w:r>
      <w:r w:rsidRPr="00F76890">
        <w:rPr>
          <w:rFonts w:ascii="Arial" w:hAnsi="Arial" w:cs="Arial"/>
          <w:color w:val="auto"/>
          <w:shd w:val="clear" w:color="auto" w:fill="FFFFFF"/>
        </w:rPr>
        <w:t xml:space="preserve"> (</w:t>
      </w:r>
      <w:r w:rsidRPr="00F76890">
        <w:rPr>
          <w:color w:val="auto"/>
        </w:rPr>
        <w:t xml:space="preserve">FITC) and 1 μL </w:t>
      </w:r>
      <w:r w:rsidR="00F76890">
        <w:rPr>
          <w:color w:val="auto"/>
        </w:rPr>
        <w:t xml:space="preserve">of </w:t>
      </w:r>
      <w:r w:rsidRPr="00F76890">
        <w:rPr>
          <w:color w:val="auto"/>
        </w:rPr>
        <w:t>IP for 15 minutes at room temperature in the dark.</w:t>
      </w:r>
    </w:p>
    <w:p w14:paraId="0012BB38" w14:textId="77777777" w:rsidR="006B1B14" w:rsidRPr="00F76890" w:rsidRDefault="006B1B14" w:rsidP="00F012D5">
      <w:pPr>
        <w:widowControl/>
        <w:autoSpaceDE/>
        <w:autoSpaceDN/>
        <w:adjustRightInd/>
        <w:contextualSpacing/>
        <w:rPr>
          <w:color w:val="auto"/>
        </w:rPr>
      </w:pPr>
    </w:p>
    <w:p w14:paraId="69A50A30"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After incubation, add 400 μL of PBS and analyze it on the cytometer. For the analysis and quantification of the information use appropriate software.</w:t>
      </w:r>
    </w:p>
    <w:p w14:paraId="7B84D224" w14:textId="77777777" w:rsidR="006B1B14" w:rsidRPr="00F76890" w:rsidRDefault="006B1B14" w:rsidP="00F012D5">
      <w:pPr>
        <w:widowControl/>
        <w:autoSpaceDE/>
        <w:autoSpaceDN/>
        <w:adjustRightInd/>
        <w:contextualSpacing/>
        <w:rPr>
          <w:color w:val="auto"/>
        </w:rPr>
      </w:pPr>
    </w:p>
    <w:p w14:paraId="317E9C7A" w14:textId="40E88B90"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Present results as a percentage of living cells, apoptosis, late apoptosis</w:t>
      </w:r>
      <w:r w:rsidR="00F76890">
        <w:rPr>
          <w:color w:val="auto"/>
        </w:rPr>
        <w:t>/</w:t>
      </w:r>
      <w:r w:rsidRPr="00F76890">
        <w:rPr>
          <w:color w:val="auto"/>
        </w:rPr>
        <w:t xml:space="preserve">necrosis, and necrosis. </w:t>
      </w:r>
    </w:p>
    <w:p w14:paraId="6145AF4A" w14:textId="77777777" w:rsidR="006B1B14" w:rsidRPr="00F76890" w:rsidRDefault="006B1B14" w:rsidP="00F012D5">
      <w:pPr>
        <w:widowControl/>
        <w:autoSpaceDE/>
        <w:autoSpaceDN/>
        <w:adjustRightInd/>
        <w:contextualSpacing/>
        <w:rPr>
          <w:color w:val="auto"/>
        </w:rPr>
      </w:pPr>
    </w:p>
    <w:p w14:paraId="496281D9" w14:textId="77777777" w:rsidR="006B1B14" w:rsidRPr="00F76890" w:rsidRDefault="006B1B14" w:rsidP="00F012D5">
      <w:pPr>
        <w:pStyle w:val="ListParagraph"/>
        <w:widowControl/>
        <w:numPr>
          <w:ilvl w:val="0"/>
          <w:numId w:val="1"/>
        </w:numPr>
        <w:autoSpaceDE/>
        <w:autoSpaceDN/>
        <w:adjustRightInd/>
        <w:ind w:left="0" w:firstLine="0"/>
        <w:jc w:val="left"/>
        <w:rPr>
          <w:b/>
          <w:bCs/>
          <w:color w:val="auto"/>
          <w:highlight w:val="yellow"/>
        </w:rPr>
      </w:pPr>
      <w:r w:rsidRPr="00F76890">
        <w:rPr>
          <w:b/>
          <w:bCs/>
          <w:color w:val="auto"/>
          <w:highlight w:val="yellow"/>
        </w:rPr>
        <w:t>Morphology evaluation</w:t>
      </w:r>
    </w:p>
    <w:p w14:paraId="631C451C" w14:textId="77777777" w:rsidR="006B1B14" w:rsidRPr="00F76890" w:rsidRDefault="006B1B14" w:rsidP="00F012D5">
      <w:pPr>
        <w:pStyle w:val="ListParagraph"/>
        <w:widowControl/>
        <w:autoSpaceDE/>
        <w:autoSpaceDN/>
        <w:adjustRightInd/>
        <w:ind w:left="0"/>
        <w:jc w:val="left"/>
        <w:rPr>
          <w:b/>
          <w:bCs/>
          <w:color w:val="auto"/>
        </w:rPr>
      </w:pPr>
    </w:p>
    <w:p w14:paraId="4E9436DC" w14:textId="77777777" w:rsidR="006B1B14" w:rsidRPr="00F76890" w:rsidRDefault="006B1B14" w:rsidP="00F012D5">
      <w:pPr>
        <w:pStyle w:val="ListParagraph"/>
        <w:widowControl/>
        <w:numPr>
          <w:ilvl w:val="1"/>
          <w:numId w:val="1"/>
        </w:numPr>
        <w:autoSpaceDE/>
        <w:autoSpaceDN/>
        <w:adjustRightInd/>
        <w:ind w:left="0" w:firstLine="0"/>
        <w:jc w:val="left"/>
        <w:rPr>
          <w:color w:val="auto"/>
          <w:highlight w:val="yellow"/>
        </w:rPr>
      </w:pPr>
      <w:bookmarkStart w:id="4" w:name="_Hlk30405119"/>
      <w:r w:rsidRPr="00F76890">
        <w:rPr>
          <w:color w:val="auto"/>
          <w:highlight w:val="yellow"/>
        </w:rPr>
        <w:t xml:space="preserve">Select the appropriate size of sterilized glass coverslips that fit inside the </w:t>
      </w:r>
      <w:proofErr w:type="spellStart"/>
      <w:r w:rsidRPr="00F76890">
        <w:rPr>
          <w:color w:val="auto"/>
          <w:highlight w:val="yellow"/>
        </w:rPr>
        <w:t>multiwell</w:t>
      </w:r>
      <w:proofErr w:type="spellEnd"/>
      <w:r w:rsidRPr="00F76890">
        <w:rPr>
          <w:color w:val="auto"/>
          <w:highlight w:val="yellow"/>
        </w:rPr>
        <w:t xml:space="preserve"> plate.</w:t>
      </w:r>
    </w:p>
    <w:p w14:paraId="27098125" w14:textId="77777777" w:rsidR="006B1B14" w:rsidRPr="00F76890" w:rsidRDefault="006B1B14" w:rsidP="00F012D5">
      <w:pPr>
        <w:pStyle w:val="ListParagraph"/>
        <w:widowControl/>
        <w:autoSpaceDE/>
        <w:autoSpaceDN/>
        <w:adjustRightInd/>
        <w:ind w:left="0"/>
        <w:jc w:val="left"/>
        <w:rPr>
          <w:color w:val="auto"/>
          <w:highlight w:val="yellow"/>
        </w:rPr>
      </w:pPr>
    </w:p>
    <w:p w14:paraId="32AC3F82" w14:textId="77777777"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lastRenderedPageBreak/>
        <w:t>Place each slide in a well using sterile tweezers.</w:t>
      </w:r>
    </w:p>
    <w:p w14:paraId="150D3A9E" w14:textId="77777777" w:rsidR="006B1B14" w:rsidRPr="00F76890" w:rsidRDefault="006B1B14" w:rsidP="00F012D5">
      <w:pPr>
        <w:widowControl/>
        <w:autoSpaceDE/>
        <w:autoSpaceDN/>
        <w:adjustRightInd/>
        <w:contextualSpacing/>
        <w:rPr>
          <w:color w:val="auto"/>
          <w:highlight w:val="yellow"/>
        </w:rPr>
      </w:pPr>
    </w:p>
    <w:p w14:paraId="378E7174" w14:textId="533E289A"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t>Distribute a cellular suspension at an adequate concentration into the wells and let overnight in an incubator at 37</w:t>
      </w:r>
      <w:r w:rsidR="00F76890">
        <w:rPr>
          <w:color w:val="auto"/>
          <w:highlight w:val="yellow"/>
        </w:rPr>
        <w:t xml:space="preserve"> °</w:t>
      </w:r>
      <w:r w:rsidRPr="00F76890">
        <w:rPr>
          <w:color w:val="auto"/>
          <w:highlight w:val="yellow"/>
        </w:rPr>
        <w:t>C in a humidified atmosphere with 95% air and 5% CO</w:t>
      </w:r>
      <w:r w:rsidRPr="00F76890">
        <w:rPr>
          <w:color w:val="auto"/>
          <w:highlight w:val="yellow"/>
          <w:vertAlign w:val="subscript"/>
        </w:rPr>
        <w:t>2.</w:t>
      </w:r>
    </w:p>
    <w:p w14:paraId="6EA32F80" w14:textId="77777777" w:rsidR="006B1B14" w:rsidRPr="00F76890" w:rsidRDefault="006B1B14" w:rsidP="00F012D5">
      <w:pPr>
        <w:widowControl/>
        <w:autoSpaceDE/>
        <w:autoSpaceDN/>
        <w:adjustRightInd/>
        <w:contextualSpacing/>
        <w:rPr>
          <w:color w:val="auto"/>
          <w:highlight w:val="yellow"/>
        </w:rPr>
      </w:pPr>
    </w:p>
    <w:p w14:paraId="056242D5" w14:textId="77777777"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t>Expose the cell cultures to the extracts, as described in step 3.3.</w:t>
      </w:r>
    </w:p>
    <w:p w14:paraId="25AA8646" w14:textId="77777777" w:rsidR="006B1B14" w:rsidRPr="00F76890" w:rsidRDefault="006B1B14" w:rsidP="00F012D5">
      <w:pPr>
        <w:pStyle w:val="ListParagraph"/>
        <w:widowControl/>
        <w:autoSpaceDE/>
        <w:autoSpaceDN/>
        <w:adjustRightInd/>
        <w:ind w:left="0"/>
        <w:rPr>
          <w:color w:val="auto"/>
          <w:highlight w:val="yellow"/>
        </w:rPr>
      </w:pPr>
    </w:p>
    <w:p w14:paraId="19EDFB4E" w14:textId="77777777"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t>Aspirate the extracts.</w:t>
      </w:r>
    </w:p>
    <w:p w14:paraId="59CEAAF0" w14:textId="77777777" w:rsidR="006B1B14" w:rsidRPr="00F76890" w:rsidRDefault="006B1B14" w:rsidP="00F012D5">
      <w:pPr>
        <w:pStyle w:val="ListParagraph"/>
        <w:widowControl/>
        <w:autoSpaceDE/>
        <w:autoSpaceDN/>
        <w:adjustRightInd/>
        <w:ind w:left="0"/>
        <w:rPr>
          <w:color w:val="auto"/>
          <w:highlight w:val="yellow"/>
        </w:rPr>
      </w:pPr>
    </w:p>
    <w:bookmarkEnd w:id="4"/>
    <w:p w14:paraId="68809D97" w14:textId="16791A28"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t>Let the coverslips dry at room temperature and then add a sufficient volume of</w:t>
      </w:r>
      <w:r w:rsidR="0064588C" w:rsidRPr="00F76890">
        <w:rPr>
          <w:color w:val="auto"/>
          <w:highlight w:val="yellow"/>
        </w:rPr>
        <w:t xml:space="preserve"> </w:t>
      </w:r>
      <w:r w:rsidRPr="00F76890">
        <w:rPr>
          <w:color w:val="auto"/>
          <w:highlight w:val="yellow"/>
        </w:rPr>
        <w:t>May-</w:t>
      </w:r>
      <w:proofErr w:type="spellStart"/>
      <w:r w:rsidRPr="00F76890">
        <w:rPr>
          <w:color w:val="auto"/>
          <w:highlight w:val="yellow"/>
        </w:rPr>
        <w:t>Grünwald</w:t>
      </w:r>
      <w:proofErr w:type="spellEnd"/>
      <w:r w:rsidRPr="00F76890">
        <w:rPr>
          <w:color w:val="auto"/>
          <w:highlight w:val="yellow"/>
        </w:rPr>
        <w:t xml:space="preserve"> solution to cover the coverslips; incubate for 3 minutes.</w:t>
      </w:r>
    </w:p>
    <w:p w14:paraId="292A92FB" w14:textId="77777777" w:rsidR="006B1B14" w:rsidRPr="00F76890" w:rsidRDefault="006B1B14" w:rsidP="00F012D5">
      <w:pPr>
        <w:widowControl/>
        <w:autoSpaceDE/>
        <w:autoSpaceDN/>
        <w:adjustRightInd/>
        <w:contextualSpacing/>
        <w:rPr>
          <w:color w:val="auto"/>
          <w:highlight w:val="yellow"/>
        </w:rPr>
      </w:pPr>
    </w:p>
    <w:p w14:paraId="61557AF4" w14:textId="77777777"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t>Remove the dye and wash with distilled water for 1 minute.</w:t>
      </w:r>
    </w:p>
    <w:p w14:paraId="275ABF54" w14:textId="77777777" w:rsidR="006B1B14" w:rsidRPr="00F76890" w:rsidRDefault="006B1B14" w:rsidP="00F012D5">
      <w:pPr>
        <w:widowControl/>
        <w:autoSpaceDE/>
        <w:autoSpaceDN/>
        <w:adjustRightInd/>
        <w:contextualSpacing/>
        <w:rPr>
          <w:color w:val="auto"/>
          <w:highlight w:val="yellow"/>
        </w:rPr>
      </w:pPr>
    </w:p>
    <w:p w14:paraId="5F6AC771" w14:textId="77777777"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t>Remove the water and add a sufficient volume of Giemsa solution to cover the coverslips for 15 minutes.</w:t>
      </w:r>
    </w:p>
    <w:p w14:paraId="1E72104C" w14:textId="77777777" w:rsidR="006B1B14" w:rsidRPr="00F76890" w:rsidRDefault="006B1B14" w:rsidP="00F012D5">
      <w:pPr>
        <w:widowControl/>
        <w:autoSpaceDE/>
        <w:autoSpaceDN/>
        <w:adjustRightInd/>
        <w:contextualSpacing/>
        <w:rPr>
          <w:color w:val="auto"/>
          <w:highlight w:val="yellow"/>
        </w:rPr>
      </w:pPr>
    </w:p>
    <w:p w14:paraId="18E7E9B6" w14:textId="77777777"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t>Wash the coverslips in running water.</w:t>
      </w:r>
    </w:p>
    <w:p w14:paraId="13FDA424" w14:textId="77777777" w:rsidR="006B1B14" w:rsidRPr="00F76890" w:rsidRDefault="006B1B14" w:rsidP="00F012D5">
      <w:pPr>
        <w:widowControl/>
        <w:autoSpaceDE/>
        <w:autoSpaceDN/>
        <w:adjustRightInd/>
        <w:contextualSpacing/>
        <w:rPr>
          <w:color w:val="auto"/>
          <w:highlight w:val="yellow"/>
        </w:rPr>
      </w:pPr>
    </w:p>
    <w:p w14:paraId="048EB553" w14:textId="77777777"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rPr>
        <w:t>Transfer the coverslips to a slide with forceps.</w:t>
      </w:r>
    </w:p>
    <w:p w14:paraId="71CEE620" w14:textId="77777777" w:rsidR="006B1B14" w:rsidRPr="00F76890" w:rsidRDefault="006B1B14" w:rsidP="00F012D5">
      <w:pPr>
        <w:widowControl/>
        <w:autoSpaceDE/>
        <w:autoSpaceDN/>
        <w:adjustRightInd/>
        <w:contextualSpacing/>
        <w:rPr>
          <w:color w:val="auto"/>
          <w:highlight w:val="yellow"/>
        </w:rPr>
      </w:pPr>
    </w:p>
    <w:p w14:paraId="295F4393"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highlight w:val="yellow"/>
        </w:rPr>
        <w:t xml:space="preserve">Look under a microscope. Take the photographs with the chosen magnification. </w:t>
      </w:r>
    </w:p>
    <w:p w14:paraId="46B0323F" w14:textId="77777777" w:rsidR="006B1B14" w:rsidRPr="00F76890" w:rsidRDefault="006B1B14" w:rsidP="00F012D5">
      <w:pPr>
        <w:widowControl/>
        <w:autoSpaceDE/>
        <w:autoSpaceDN/>
        <w:adjustRightInd/>
        <w:contextualSpacing/>
        <w:rPr>
          <w:color w:val="auto"/>
        </w:rPr>
      </w:pPr>
    </w:p>
    <w:p w14:paraId="70847E8A" w14:textId="6E47084A" w:rsidR="006B1B14" w:rsidRPr="00F76890" w:rsidRDefault="006B1B14" w:rsidP="00F012D5">
      <w:pPr>
        <w:pStyle w:val="ListParagraph"/>
        <w:widowControl/>
        <w:numPr>
          <w:ilvl w:val="0"/>
          <w:numId w:val="1"/>
        </w:numPr>
        <w:autoSpaceDE/>
        <w:autoSpaceDN/>
        <w:adjustRightInd/>
        <w:ind w:left="0" w:firstLine="0"/>
        <w:rPr>
          <w:b/>
          <w:bCs/>
          <w:color w:val="auto"/>
        </w:rPr>
      </w:pPr>
      <w:r w:rsidRPr="00F76890">
        <w:rPr>
          <w:b/>
          <w:bCs/>
          <w:color w:val="auto"/>
        </w:rPr>
        <w:t>Cell function assessment through reverse transcription polymerase chain reaction (</w:t>
      </w:r>
      <w:r w:rsidR="00F76890">
        <w:rPr>
          <w:b/>
          <w:bCs/>
          <w:color w:val="auto"/>
        </w:rPr>
        <w:t>RT</w:t>
      </w:r>
      <w:r w:rsidRPr="00F76890">
        <w:rPr>
          <w:b/>
          <w:bCs/>
          <w:color w:val="auto"/>
        </w:rPr>
        <w:t>-</w:t>
      </w:r>
      <w:r w:rsidR="00F76890">
        <w:rPr>
          <w:b/>
          <w:bCs/>
          <w:color w:val="auto"/>
        </w:rPr>
        <w:t>PCR</w:t>
      </w:r>
      <w:r w:rsidRPr="00F76890">
        <w:rPr>
          <w:b/>
          <w:bCs/>
          <w:color w:val="auto"/>
        </w:rPr>
        <w:t>)</w:t>
      </w:r>
    </w:p>
    <w:p w14:paraId="25F7644D" w14:textId="77777777" w:rsidR="006B1B14" w:rsidRPr="00F76890" w:rsidRDefault="006B1B14" w:rsidP="00F012D5">
      <w:pPr>
        <w:pStyle w:val="ListParagraph"/>
        <w:widowControl/>
        <w:autoSpaceDE/>
        <w:autoSpaceDN/>
        <w:adjustRightInd/>
        <w:ind w:left="0"/>
        <w:rPr>
          <w:color w:val="auto"/>
        </w:rPr>
      </w:pPr>
    </w:p>
    <w:p w14:paraId="1ECFB4AB" w14:textId="55A208BF" w:rsidR="006B1B14" w:rsidRPr="00F76890" w:rsidRDefault="0064588C" w:rsidP="00F012D5">
      <w:pPr>
        <w:pStyle w:val="ListParagraph"/>
        <w:widowControl/>
        <w:autoSpaceDE/>
        <w:autoSpaceDN/>
        <w:adjustRightInd/>
        <w:ind w:left="0"/>
        <w:rPr>
          <w:color w:val="auto"/>
        </w:rPr>
      </w:pPr>
      <w:bookmarkStart w:id="5" w:name="_Hlk30269464"/>
      <w:r w:rsidRPr="00F76890">
        <w:rPr>
          <w:color w:val="auto"/>
        </w:rPr>
        <w:t>NOTE:</w:t>
      </w:r>
      <w:r w:rsidR="006B1B14" w:rsidRPr="00F76890">
        <w:rPr>
          <w:color w:val="auto"/>
        </w:rPr>
        <w:t xml:space="preserve"> Accordingly, to the study goal, select the specific markers to be evaluated. As an example, </w:t>
      </w:r>
      <w:r w:rsidR="00F76890" w:rsidRPr="00F76890">
        <w:rPr>
          <w:color w:val="auto"/>
        </w:rPr>
        <w:t xml:space="preserve">alkaline phosphatase </w:t>
      </w:r>
      <w:r w:rsidR="006B1B14" w:rsidRPr="00F76890">
        <w:rPr>
          <w:color w:val="auto"/>
        </w:rPr>
        <w:t xml:space="preserve">is presented as a gene of interest for odontoblasts activity evaluation. Other genes of interest can be seen in </w:t>
      </w:r>
      <w:r w:rsidR="00F76890" w:rsidRPr="00F76890">
        <w:rPr>
          <w:b/>
          <w:bCs/>
          <w:color w:val="auto"/>
        </w:rPr>
        <w:t>T</w:t>
      </w:r>
      <w:r w:rsidR="006B1B14" w:rsidRPr="00F76890">
        <w:rPr>
          <w:b/>
          <w:bCs/>
          <w:color w:val="auto"/>
        </w:rPr>
        <w:t>able 1</w:t>
      </w:r>
      <w:r w:rsidR="006B1B14" w:rsidRPr="00F76890">
        <w:rPr>
          <w:color w:val="auto"/>
        </w:rPr>
        <w:t xml:space="preserve">. </w:t>
      </w:r>
      <w:bookmarkEnd w:id="5"/>
    </w:p>
    <w:p w14:paraId="2152BDAB" w14:textId="77777777" w:rsidR="006B1B14" w:rsidRPr="00F76890" w:rsidRDefault="006B1B14" w:rsidP="00F012D5">
      <w:pPr>
        <w:pStyle w:val="ListParagraph"/>
        <w:widowControl/>
        <w:autoSpaceDE/>
        <w:autoSpaceDN/>
        <w:adjustRightInd/>
        <w:ind w:left="0"/>
        <w:rPr>
          <w:color w:val="auto"/>
        </w:rPr>
      </w:pPr>
    </w:p>
    <w:p w14:paraId="7E430FC6"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Distribute 20,000 cells/cm</w:t>
      </w:r>
      <w:r w:rsidRPr="00F76890">
        <w:rPr>
          <w:color w:val="auto"/>
          <w:vertAlign w:val="superscript"/>
        </w:rPr>
        <w:t>2</w:t>
      </w:r>
      <w:r w:rsidRPr="00F76890">
        <w:rPr>
          <w:color w:val="auto"/>
        </w:rPr>
        <w:t xml:space="preserve"> of control medium, 30,000 cells/cm</w:t>
      </w:r>
      <w:r w:rsidRPr="00F76890">
        <w:rPr>
          <w:color w:val="auto"/>
          <w:vertAlign w:val="superscript"/>
        </w:rPr>
        <w:t>2</w:t>
      </w:r>
      <w:r w:rsidRPr="00F76890">
        <w:rPr>
          <w:color w:val="auto"/>
        </w:rPr>
        <w:t xml:space="preserve"> of biomaterials groups that slightly affect cell viability, and 50,000 to 100,000 cells/cm</w:t>
      </w:r>
      <w:r w:rsidRPr="00F76890">
        <w:rPr>
          <w:color w:val="auto"/>
          <w:vertAlign w:val="superscript"/>
        </w:rPr>
        <w:t>2</w:t>
      </w:r>
      <w:r w:rsidRPr="00F76890">
        <w:rPr>
          <w:color w:val="auto"/>
        </w:rPr>
        <w:t xml:space="preserve"> to biomaterials that drastically affect cell viability into cell culture flasks. </w:t>
      </w:r>
    </w:p>
    <w:p w14:paraId="6DC12A25" w14:textId="77777777" w:rsidR="006B1B14" w:rsidRPr="00F76890" w:rsidRDefault="006B1B14" w:rsidP="00F012D5">
      <w:pPr>
        <w:pStyle w:val="ListParagraph"/>
        <w:widowControl/>
        <w:autoSpaceDE/>
        <w:autoSpaceDN/>
        <w:adjustRightInd/>
        <w:ind w:left="0"/>
        <w:rPr>
          <w:color w:val="auto"/>
        </w:rPr>
      </w:pPr>
    </w:p>
    <w:p w14:paraId="267ABA2A" w14:textId="5B654A03" w:rsidR="006B1B14" w:rsidRPr="00F76890" w:rsidRDefault="0064588C" w:rsidP="00F012D5">
      <w:pPr>
        <w:widowControl/>
        <w:autoSpaceDE/>
        <w:autoSpaceDN/>
        <w:adjustRightInd/>
        <w:contextualSpacing/>
        <w:rPr>
          <w:color w:val="auto"/>
        </w:rPr>
      </w:pPr>
      <w:r w:rsidRPr="00F76890">
        <w:rPr>
          <w:color w:val="auto"/>
        </w:rPr>
        <w:t>NOTE:</w:t>
      </w:r>
      <w:r w:rsidR="006B1B14" w:rsidRPr="00F76890">
        <w:rPr>
          <w:color w:val="auto"/>
        </w:rPr>
        <w:t xml:space="preserve"> The adjustment of cell number depends on the cell type.</w:t>
      </w:r>
    </w:p>
    <w:p w14:paraId="4D44A650" w14:textId="77777777" w:rsidR="006B1B14" w:rsidRPr="00F76890" w:rsidRDefault="006B1B14" w:rsidP="00F012D5">
      <w:pPr>
        <w:widowControl/>
        <w:autoSpaceDE/>
        <w:autoSpaceDN/>
        <w:adjustRightInd/>
        <w:contextualSpacing/>
        <w:rPr>
          <w:color w:val="auto"/>
        </w:rPr>
      </w:pPr>
    </w:p>
    <w:p w14:paraId="5DAD28B9" w14:textId="77777777" w:rsidR="006B1B14" w:rsidRPr="00F76890" w:rsidRDefault="006B1B14" w:rsidP="00F012D5">
      <w:pPr>
        <w:pStyle w:val="ListParagraph"/>
        <w:widowControl/>
        <w:numPr>
          <w:ilvl w:val="1"/>
          <w:numId w:val="1"/>
        </w:numPr>
        <w:autoSpaceDE/>
        <w:autoSpaceDN/>
        <w:adjustRightInd/>
        <w:ind w:left="0" w:firstLine="0"/>
        <w:rPr>
          <w:color w:val="auto"/>
        </w:rPr>
      </w:pPr>
      <w:bookmarkStart w:id="6" w:name="_Hlk30270897"/>
      <w:r w:rsidRPr="00F76890">
        <w:rPr>
          <w:color w:val="auto"/>
        </w:rPr>
        <w:t xml:space="preserve">Incubate with soluble extracts, as described in 3.3. </w:t>
      </w:r>
    </w:p>
    <w:p w14:paraId="57001CFE" w14:textId="77777777" w:rsidR="006B1B14" w:rsidRPr="00F76890" w:rsidRDefault="006B1B14" w:rsidP="00F012D5">
      <w:pPr>
        <w:pStyle w:val="ListParagraph"/>
        <w:widowControl/>
        <w:autoSpaceDE/>
        <w:autoSpaceDN/>
        <w:adjustRightInd/>
        <w:ind w:left="0"/>
        <w:rPr>
          <w:color w:val="auto"/>
        </w:rPr>
      </w:pPr>
    </w:p>
    <w:p w14:paraId="3A6529AB"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Detach the cells to obtain a suspension as described in 3.1.2, 3.1.3, and 3.2.4.</w:t>
      </w:r>
    </w:p>
    <w:p w14:paraId="55FC6674" w14:textId="77777777" w:rsidR="006B1B14" w:rsidRPr="00F76890" w:rsidRDefault="006B1B14" w:rsidP="00F012D5">
      <w:pPr>
        <w:widowControl/>
        <w:autoSpaceDE/>
        <w:autoSpaceDN/>
        <w:adjustRightInd/>
        <w:contextualSpacing/>
        <w:rPr>
          <w:color w:val="auto"/>
        </w:rPr>
      </w:pPr>
    </w:p>
    <w:bookmarkEnd w:id="6"/>
    <w:p w14:paraId="4EF3481B"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 xml:space="preserve">Wash approximately 2 million cells with PBS </w:t>
      </w:r>
      <w:proofErr w:type="gramStart"/>
      <w:r w:rsidRPr="00F76890">
        <w:rPr>
          <w:color w:val="auto"/>
        </w:rPr>
        <w:t>twice;</w:t>
      </w:r>
      <w:proofErr w:type="gramEnd"/>
      <w:r w:rsidRPr="00F76890">
        <w:rPr>
          <w:color w:val="auto"/>
        </w:rPr>
        <w:t xml:space="preserve"> for this centrifuge at 200 x g for 5 minutes at room temperature.</w:t>
      </w:r>
    </w:p>
    <w:p w14:paraId="66221716" w14:textId="77777777" w:rsidR="006B1B14" w:rsidRPr="00F76890" w:rsidRDefault="006B1B14" w:rsidP="00F012D5">
      <w:pPr>
        <w:widowControl/>
        <w:autoSpaceDE/>
        <w:autoSpaceDN/>
        <w:adjustRightInd/>
        <w:contextualSpacing/>
        <w:rPr>
          <w:color w:val="auto"/>
        </w:rPr>
      </w:pPr>
    </w:p>
    <w:p w14:paraId="44DC9AAE" w14:textId="1C5181D1"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 xml:space="preserve">Lyse the cells by suspending the pellet in 1 mL </w:t>
      </w:r>
      <w:r w:rsidR="00F76890">
        <w:rPr>
          <w:color w:val="auto"/>
        </w:rPr>
        <w:t xml:space="preserve">of RNA purification solution (e.g., </w:t>
      </w:r>
      <w:proofErr w:type="spellStart"/>
      <w:r w:rsidR="00F76890">
        <w:rPr>
          <w:color w:val="auto"/>
        </w:rPr>
        <w:t>NZYol</w:t>
      </w:r>
      <w:proofErr w:type="spellEnd"/>
      <w:r w:rsidR="00F76890">
        <w:rPr>
          <w:color w:val="auto"/>
        </w:rPr>
        <w:t>)</w:t>
      </w:r>
      <w:r w:rsidRPr="00F76890">
        <w:rPr>
          <w:color w:val="auto"/>
        </w:rPr>
        <w:t>, intense stirring, and successive pipetting.</w:t>
      </w:r>
    </w:p>
    <w:p w14:paraId="5E26F06F" w14:textId="77777777" w:rsidR="006B1B14" w:rsidRPr="00F76890" w:rsidRDefault="006B1B14" w:rsidP="00F012D5">
      <w:pPr>
        <w:widowControl/>
        <w:autoSpaceDE/>
        <w:autoSpaceDN/>
        <w:adjustRightInd/>
        <w:contextualSpacing/>
        <w:rPr>
          <w:color w:val="auto"/>
        </w:rPr>
      </w:pPr>
    </w:p>
    <w:p w14:paraId="16E2A965"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lastRenderedPageBreak/>
        <w:t>Incubate the samples for 5 minutes at room temperature.</w:t>
      </w:r>
    </w:p>
    <w:p w14:paraId="10893DB8" w14:textId="77777777" w:rsidR="006B1B14" w:rsidRPr="00F76890" w:rsidRDefault="006B1B14" w:rsidP="00F012D5">
      <w:pPr>
        <w:widowControl/>
        <w:autoSpaceDE/>
        <w:autoSpaceDN/>
        <w:adjustRightInd/>
        <w:contextualSpacing/>
        <w:rPr>
          <w:color w:val="auto"/>
        </w:rPr>
      </w:pPr>
    </w:p>
    <w:p w14:paraId="7C116DE4" w14:textId="2AEB787F"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Add 200 µL</w:t>
      </w:r>
      <w:r w:rsidR="00F76890">
        <w:rPr>
          <w:color w:val="auto"/>
        </w:rPr>
        <w:t xml:space="preserve"> of</w:t>
      </w:r>
      <w:r w:rsidRPr="00F76890">
        <w:rPr>
          <w:color w:val="auto"/>
        </w:rPr>
        <w:t xml:space="preserve"> chloroform and shake the tubes by hand for 15 seconds.</w:t>
      </w:r>
    </w:p>
    <w:p w14:paraId="43B1D0EB" w14:textId="77777777" w:rsidR="006B1B14" w:rsidRPr="00F76890" w:rsidRDefault="006B1B14" w:rsidP="00F012D5">
      <w:pPr>
        <w:widowControl/>
        <w:autoSpaceDE/>
        <w:autoSpaceDN/>
        <w:adjustRightInd/>
        <w:contextualSpacing/>
        <w:rPr>
          <w:color w:val="auto"/>
        </w:rPr>
      </w:pPr>
    </w:p>
    <w:p w14:paraId="17A8A269"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Incubate for 3 minutes at room temperature.</w:t>
      </w:r>
    </w:p>
    <w:p w14:paraId="3B6B6438" w14:textId="77777777" w:rsidR="006B1B14" w:rsidRPr="00F76890" w:rsidRDefault="006B1B14" w:rsidP="00F012D5">
      <w:pPr>
        <w:widowControl/>
        <w:autoSpaceDE/>
        <w:autoSpaceDN/>
        <w:adjustRightInd/>
        <w:contextualSpacing/>
        <w:rPr>
          <w:color w:val="auto"/>
        </w:rPr>
      </w:pPr>
    </w:p>
    <w:p w14:paraId="21F09C86"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 xml:space="preserve">Centrifuge lysates at 4 ° C for 15 min at 12,000 x </w:t>
      </w:r>
      <w:r w:rsidRPr="006A2A58">
        <w:rPr>
          <w:i/>
          <w:iCs/>
          <w:color w:val="auto"/>
        </w:rPr>
        <w:t>g</w:t>
      </w:r>
      <w:r w:rsidRPr="00F76890">
        <w:rPr>
          <w:color w:val="auto"/>
        </w:rPr>
        <w:t>. During this centrifugation, two phases originate in the sample, leaving the RNA in the aqueous (upper) phase.</w:t>
      </w:r>
    </w:p>
    <w:p w14:paraId="26B194E7" w14:textId="77777777" w:rsidR="006B1B14" w:rsidRPr="00F76890" w:rsidRDefault="006B1B14" w:rsidP="00F012D5">
      <w:pPr>
        <w:widowControl/>
        <w:autoSpaceDE/>
        <w:autoSpaceDN/>
        <w:adjustRightInd/>
        <w:contextualSpacing/>
        <w:rPr>
          <w:color w:val="auto"/>
        </w:rPr>
      </w:pPr>
    </w:p>
    <w:p w14:paraId="05AA1BB1"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Remove the aqueous phase to a new tube and add 500 µL of cold isopropanol to precipitate RNA.</w:t>
      </w:r>
    </w:p>
    <w:p w14:paraId="69F50A7F" w14:textId="77777777" w:rsidR="006B1B14" w:rsidRPr="00F76890" w:rsidRDefault="006B1B14" w:rsidP="00F012D5">
      <w:pPr>
        <w:widowControl/>
        <w:autoSpaceDE/>
        <w:autoSpaceDN/>
        <w:adjustRightInd/>
        <w:contextualSpacing/>
        <w:rPr>
          <w:color w:val="auto"/>
        </w:rPr>
      </w:pPr>
    </w:p>
    <w:p w14:paraId="78A0A8FD"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 xml:space="preserve">Incubate samples at room temperature for 10 minutes and centrifuge at 12,000 x </w:t>
      </w:r>
      <w:r w:rsidRPr="006A2A58">
        <w:rPr>
          <w:i/>
          <w:iCs/>
          <w:color w:val="auto"/>
        </w:rPr>
        <w:t>g</w:t>
      </w:r>
      <w:r w:rsidRPr="00F76890">
        <w:rPr>
          <w:color w:val="auto"/>
        </w:rPr>
        <w:t xml:space="preserve"> for 10 minutes at 4 ° C.</w:t>
      </w:r>
    </w:p>
    <w:p w14:paraId="467FDF9B" w14:textId="77777777" w:rsidR="006B1B14" w:rsidRPr="00F76890" w:rsidRDefault="006B1B14" w:rsidP="00F012D5">
      <w:pPr>
        <w:widowControl/>
        <w:autoSpaceDE/>
        <w:autoSpaceDN/>
        <w:adjustRightInd/>
        <w:contextualSpacing/>
        <w:rPr>
          <w:color w:val="auto"/>
        </w:rPr>
      </w:pPr>
    </w:p>
    <w:p w14:paraId="32B21427"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 xml:space="preserve">Remove the supernatant and wash the pellet with 1 mL of 75% ethanol by centrifugation at 7,500 x </w:t>
      </w:r>
      <w:r w:rsidRPr="006A2A58">
        <w:rPr>
          <w:i/>
          <w:iCs/>
          <w:color w:val="auto"/>
        </w:rPr>
        <w:t>g</w:t>
      </w:r>
      <w:r w:rsidRPr="00F76890">
        <w:rPr>
          <w:color w:val="auto"/>
        </w:rPr>
        <w:t xml:space="preserve"> for 5 minutes at 4 ° C. </w:t>
      </w:r>
    </w:p>
    <w:p w14:paraId="74BBE3A6" w14:textId="77777777" w:rsidR="006B1B14" w:rsidRPr="00F76890" w:rsidRDefault="006B1B14" w:rsidP="00F012D5">
      <w:pPr>
        <w:widowControl/>
        <w:autoSpaceDE/>
        <w:autoSpaceDN/>
        <w:adjustRightInd/>
        <w:contextualSpacing/>
        <w:rPr>
          <w:color w:val="auto"/>
        </w:rPr>
      </w:pPr>
    </w:p>
    <w:p w14:paraId="67193C15"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Dry the pellet at room temperature until ethanol evaporation.</w:t>
      </w:r>
    </w:p>
    <w:p w14:paraId="4E22D74E" w14:textId="77777777" w:rsidR="006B1B14" w:rsidRPr="00F76890" w:rsidRDefault="006B1B14" w:rsidP="00F012D5">
      <w:pPr>
        <w:widowControl/>
        <w:autoSpaceDE/>
        <w:autoSpaceDN/>
        <w:adjustRightInd/>
        <w:contextualSpacing/>
        <w:rPr>
          <w:color w:val="auto"/>
        </w:rPr>
      </w:pPr>
    </w:p>
    <w:p w14:paraId="29AAB7D5"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Suspend in RNase-free water.</w:t>
      </w:r>
    </w:p>
    <w:p w14:paraId="155B40D2" w14:textId="77777777" w:rsidR="006B1B14" w:rsidRPr="00F76890" w:rsidRDefault="006B1B14" w:rsidP="00F012D5">
      <w:pPr>
        <w:widowControl/>
        <w:autoSpaceDE/>
        <w:autoSpaceDN/>
        <w:adjustRightInd/>
        <w:contextualSpacing/>
        <w:rPr>
          <w:color w:val="auto"/>
        </w:rPr>
      </w:pPr>
    </w:p>
    <w:p w14:paraId="68D274FB" w14:textId="1FEEB03B"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Quantify and determine the degree of purity of the samples using absorption spectrophotometry. Determine the purity of the RNA by the ratio of the results obtain with the wavelength 260 nm and 280 nm and use only samples with a purity ratio (A260/280)</w:t>
      </w:r>
      <w:r w:rsidR="0064588C" w:rsidRPr="00F76890">
        <w:rPr>
          <w:color w:val="auto"/>
        </w:rPr>
        <w:t xml:space="preserve"> </w:t>
      </w:r>
      <w:r w:rsidRPr="00F76890">
        <w:rPr>
          <w:color w:val="auto"/>
        </w:rPr>
        <w:t>around 2.0.</w:t>
      </w:r>
      <w:r w:rsidR="0064588C" w:rsidRPr="00F76890">
        <w:rPr>
          <w:color w:val="auto"/>
        </w:rPr>
        <w:t xml:space="preserve"> </w:t>
      </w:r>
    </w:p>
    <w:p w14:paraId="6CDE9FF7" w14:textId="77777777" w:rsidR="006B1B14" w:rsidRPr="00F76890" w:rsidRDefault="006B1B14" w:rsidP="00F012D5">
      <w:pPr>
        <w:widowControl/>
        <w:autoSpaceDE/>
        <w:autoSpaceDN/>
        <w:adjustRightInd/>
        <w:contextualSpacing/>
        <w:rPr>
          <w:color w:val="auto"/>
        </w:rPr>
      </w:pPr>
    </w:p>
    <w:p w14:paraId="33ABBE51"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Store samples at -80 ° C.</w:t>
      </w:r>
    </w:p>
    <w:p w14:paraId="5EB0FF5E" w14:textId="77777777" w:rsidR="006B1B14" w:rsidRPr="00F76890" w:rsidRDefault="006B1B14" w:rsidP="00F012D5">
      <w:pPr>
        <w:widowControl/>
        <w:autoSpaceDE/>
        <w:autoSpaceDN/>
        <w:adjustRightInd/>
        <w:contextualSpacing/>
        <w:rPr>
          <w:color w:val="auto"/>
        </w:rPr>
      </w:pPr>
    </w:p>
    <w:p w14:paraId="4741A01A" w14:textId="4257E5F8"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shd w:val="clear" w:color="auto" w:fill="FFFFFF"/>
        </w:rPr>
        <w:t>Proceed to perform RT-PCR</w:t>
      </w:r>
      <w:r w:rsidR="0064588C" w:rsidRPr="00F76890">
        <w:rPr>
          <w:color w:val="auto"/>
          <w:shd w:val="clear" w:color="auto" w:fill="FFFFFF"/>
        </w:rPr>
        <w:t xml:space="preserve"> </w:t>
      </w:r>
      <w:r w:rsidRPr="00F76890">
        <w:rPr>
          <w:color w:val="auto"/>
          <w:shd w:val="clear" w:color="auto" w:fill="FFFFFF"/>
        </w:rPr>
        <w:t>following manufacturer's protocol</w:t>
      </w:r>
      <w:r w:rsidRPr="00F76890">
        <w:rPr>
          <w:rStyle w:val="FootnoteReference"/>
          <w:color w:val="auto"/>
          <w:shd w:val="clear" w:color="auto" w:fill="FFFFFF"/>
        </w:rPr>
        <w:fldChar w:fldCharType="begin" w:fldLock="1"/>
      </w:r>
      <w:r w:rsidRPr="00F76890">
        <w:rPr>
          <w:color w:val="auto"/>
          <w:shd w:val="clear" w:color="auto" w:fill="FFFFFF"/>
        </w:rPr>
        <w:instrText>ADDIN CSL_CITATION {"citationItems":[{"id":"ITEM-1","itemData":{"DOI":"10.3791/53884","ISSN":"1940-087X","author":[{"dropping-particle":"","family":"Palmini","given":"Gaia","non-dropping-particle":"","parse-names":false,"suffix":""},{"dropping-particle":"","family":"Zonefrati","given":"Roberto","non-dropping-particle":"","parse-names":false,"suffix":""},{"dropping-particle":"","family":"Mavilia","given":"Carmelo","non-dropping-particle":"","parse-names":false,"suffix":""},{"dropping-particle":"","family":"Aldinucci","given":"Alessandra","non-dropping-particle":"","parse-names":false,"suffix":""},{"dropping-particle":"","family":"Luzi","given":"Ettore","non-dropping-particle":"","parse-names":false,"suffix":""},{"dropping-particle":"","family":"Marini","given":"Francesca","non-dropping-particle":"","parse-names":false,"suffix":""},{"dropping-particle":"","family":"Franchi","given":"Alessandro","non-dropping-particle":"","parse-names":false,"suffix":""},{"dropping-particle":"","family":"Capanna","given":"Rodolfo","non-dropping-particle":"","parse-names":false,"suffix":""},{"dropping-particle":"","family":"Tanini","given":"Annalisa","non-dropping-particle":"","parse-names":false,"suffix":""},{"dropping-particle":"","family":"Brandi","given":"Maria Luisa","non-dropping-particle":"","parse-names":false,"suffix":""}],"container-title":"Journal of Visualized Experiments","id":"ITEM-1","issue":"116","issued":{"date-parts":[["2016","10","14"]]},"title":"Establishment of Cancer Stem Cell Cultures from Human Conventional Osteosarcoma","type":"article-journal"},"uris":["http://www.mendeley.com/documents/?uuid=c7988715-1576-4730-b633-1900d5bc3418","http://www.mendeley.com/documents/?uuid=b09a55d3-21fc-4bd0-93b0-8aa6d326356e"]}],"mendeley":{"formattedCitation":"&lt;sup&gt;17&lt;/sup&gt;","plainTextFormattedCitation":"17","previouslyFormattedCitation":"&lt;sup&gt;17&lt;/sup&gt;"},"properties":{"noteIndex":0},"schema":"https://github.com/citation-style-language/schema/raw/master/csl-citation.json"}</w:instrText>
      </w:r>
      <w:r w:rsidRPr="00F76890">
        <w:rPr>
          <w:rStyle w:val="FootnoteReference"/>
          <w:color w:val="auto"/>
          <w:shd w:val="clear" w:color="auto" w:fill="FFFFFF"/>
        </w:rPr>
        <w:fldChar w:fldCharType="separate"/>
      </w:r>
      <w:r w:rsidRPr="00F76890">
        <w:rPr>
          <w:noProof/>
          <w:color w:val="auto"/>
          <w:shd w:val="clear" w:color="auto" w:fill="FFFFFF"/>
          <w:vertAlign w:val="superscript"/>
        </w:rPr>
        <w:t>17</w:t>
      </w:r>
      <w:r w:rsidRPr="00F76890">
        <w:rPr>
          <w:rStyle w:val="FootnoteReference"/>
          <w:color w:val="auto"/>
          <w:shd w:val="clear" w:color="auto" w:fill="FFFFFF"/>
        </w:rPr>
        <w:fldChar w:fldCharType="end"/>
      </w:r>
      <w:r w:rsidRPr="00F76890">
        <w:rPr>
          <w:color w:val="auto"/>
          <w:shd w:val="clear" w:color="auto" w:fill="FFFFFF"/>
        </w:rPr>
        <w:t>.</w:t>
      </w:r>
    </w:p>
    <w:p w14:paraId="3BA7CEF3" w14:textId="77777777" w:rsidR="006B1B14" w:rsidRPr="00F76890" w:rsidRDefault="006B1B14" w:rsidP="00F012D5">
      <w:pPr>
        <w:widowControl/>
        <w:autoSpaceDE/>
        <w:autoSpaceDN/>
        <w:adjustRightInd/>
        <w:contextualSpacing/>
        <w:rPr>
          <w:b/>
          <w:bCs/>
          <w:color w:val="auto"/>
        </w:rPr>
      </w:pPr>
    </w:p>
    <w:p w14:paraId="2FBB2163" w14:textId="77777777" w:rsidR="006B1B14" w:rsidRPr="00F76890" w:rsidRDefault="006B1B14" w:rsidP="00F012D5">
      <w:pPr>
        <w:pStyle w:val="ListParagraph"/>
        <w:widowControl/>
        <w:numPr>
          <w:ilvl w:val="0"/>
          <w:numId w:val="1"/>
        </w:numPr>
        <w:autoSpaceDE/>
        <w:autoSpaceDN/>
        <w:adjustRightInd/>
        <w:ind w:left="0" w:firstLine="0"/>
        <w:jc w:val="left"/>
        <w:rPr>
          <w:b/>
          <w:bCs/>
          <w:color w:val="auto"/>
          <w:highlight w:val="yellow"/>
        </w:rPr>
      </w:pPr>
      <w:r w:rsidRPr="00F76890">
        <w:rPr>
          <w:b/>
          <w:bCs/>
          <w:color w:val="auto"/>
          <w:highlight w:val="yellow"/>
        </w:rPr>
        <w:t>Cell function assessment through protein identification</w:t>
      </w:r>
    </w:p>
    <w:p w14:paraId="38FC9607" w14:textId="77777777" w:rsidR="006B1B14" w:rsidRPr="00F76890" w:rsidRDefault="006B1B14" w:rsidP="00F012D5">
      <w:pPr>
        <w:pStyle w:val="ListParagraph"/>
        <w:widowControl/>
        <w:autoSpaceDE/>
        <w:autoSpaceDN/>
        <w:adjustRightInd/>
        <w:ind w:left="0"/>
        <w:rPr>
          <w:b/>
          <w:bCs/>
          <w:color w:val="auto"/>
          <w:highlight w:val="yellow"/>
        </w:rPr>
      </w:pPr>
    </w:p>
    <w:p w14:paraId="4D1453D3" w14:textId="6219C3F3" w:rsidR="006B1B14" w:rsidRPr="00F76890" w:rsidRDefault="0064588C" w:rsidP="00F012D5">
      <w:pPr>
        <w:pStyle w:val="ListParagraph"/>
        <w:widowControl/>
        <w:autoSpaceDE/>
        <w:autoSpaceDN/>
        <w:adjustRightInd/>
        <w:ind w:left="0"/>
        <w:rPr>
          <w:color w:val="auto"/>
        </w:rPr>
      </w:pPr>
      <w:r w:rsidRPr="00F76890">
        <w:rPr>
          <w:color w:val="auto"/>
          <w:highlight w:val="yellow"/>
        </w:rPr>
        <w:t>NOTE:</w:t>
      </w:r>
      <w:r w:rsidR="006B1B14" w:rsidRPr="00F76890">
        <w:rPr>
          <w:color w:val="auto"/>
          <w:highlight w:val="yellow"/>
        </w:rPr>
        <w:t xml:space="preserve"> According</w:t>
      </w:r>
      <w:r w:rsidR="006A2A58">
        <w:rPr>
          <w:color w:val="auto"/>
          <w:highlight w:val="yellow"/>
        </w:rPr>
        <w:t xml:space="preserve"> </w:t>
      </w:r>
      <w:r w:rsidR="006B1B14" w:rsidRPr="00F76890">
        <w:rPr>
          <w:color w:val="auto"/>
          <w:highlight w:val="yellow"/>
        </w:rPr>
        <w:t xml:space="preserve">to the study goal, select the specific proteins to be evaluated. As an example, dentin sialoprotein (DSP) is presented as a protein of interest for odontoblasts activity evaluation. Other proteins of interest can be seen in </w:t>
      </w:r>
      <w:r w:rsidR="006A2A58" w:rsidRPr="006A2A58">
        <w:rPr>
          <w:b/>
          <w:bCs/>
          <w:color w:val="auto"/>
          <w:highlight w:val="yellow"/>
        </w:rPr>
        <w:t>T</w:t>
      </w:r>
      <w:r w:rsidR="006B1B14" w:rsidRPr="006A2A58">
        <w:rPr>
          <w:b/>
          <w:bCs/>
          <w:color w:val="auto"/>
          <w:highlight w:val="yellow"/>
        </w:rPr>
        <w:t>able 1</w:t>
      </w:r>
      <w:r w:rsidR="006B1B14" w:rsidRPr="00F76890">
        <w:rPr>
          <w:color w:val="auto"/>
          <w:highlight w:val="yellow"/>
        </w:rPr>
        <w:t>.</w:t>
      </w:r>
      <w:r w:rsidR="006B1B14" w:rsidRPr="00F76890">
        <w:rPr>
          <w:color w:val="auto"/>
        </w:rPr>
        <w:t xml:space="preserve"> </w:t>
      </w:r>
    </w:p>
    <w:p w14:paraId="1FE091DB" w14:textId="77777777" w:rsidR="006B1B14" w:rsidRPr="00F76890" w:rsidRDefault="006B1B14" w:rsidP="00F012D5">
      <w:pPr>
        <w:pStyle w:val="ListParagraph"/>
        <w:widowControl/>
        <w:autoSpaceDE/>
        <w:autoSpaceDN/>
        <w:adjustRightInd/>
        <w:ind w:left="0"/>
        <w:rPr>
          <w:b/>
          <w:bCs/>
          <w:color w:val="auto"/>
          <w:highlight w:val="magenta"/>
        </w:rPr>
      </w:pPr>
    </w:p>
    <w:p w14:paraId="05484DFD" w14:textId="77777777" w:rsidR="006B1B14" w:rsidRPr="00F76890" w:rsidRDefault="006B1B14" w:rsidP="00F012D5">
      <w:pPr>
        <w:pStyle w:val="ListParagraph"/>
        <w:widowControl/>
        <w:numPr>
          <w:ilvl w:val="1"/>
          <w:numId w:val="1"/>
        </w:numPr>
        <w:autoSpaceDE/>
        <w:autoSpaceDN/>
        <w:adjustRightInd/>
        <w:ind w:left="0" w:firstLine="0"/>
        <w:rPr>
          <w:bCs/>
          <w:color w:val="auto"/>
        </w:rPr>
      </w:pPr>
      <w:r w:rsidRPr="00F76890">
        <w:rPr>
          <w:bCs/>
          <w:color w:val="auto"/>
        </w:rPr>
        <w:t>Culture cells in coverslips and expose to the extracts; for this, repeat step 6.1 to 6.5.</w:t>
      </w:r>
    </w:p>
    <w:p w14:paraId="41E484B4" w14:textId="77777777" w:rsidR="006B1B14" w:rsidRPr="00F76890" w:rsidRDefault="006B1B14" w:rsidP="00F012D5">
      <w:pPr>
        <w:pStyle w:val="ListParagraph"/>
        <w:widowControl/>
        <w:autoSpaceDE/>
        <w:autoSpaceDN/>
        <w:adjustRightInd/>
        <w:ind w:left="0"/>
        <w:rPr>
          <w:bCs/>
          <w:color w:val="auto"/>
        </w:rPr>
      </w:pPr>
    </w:p>
    <w:p w14:paraId="76C3C428"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Wash the cell cultures with PBS.</w:t>
      </w:r>
    </w:p>
    <w:p w14:paraId="4F491968" w14:textId="77777777" w:rsidR="006B1B14" w:rsidRPr="00F76890" w:rsidRDefault="006B1B14" w:rsidP="00F012D5">
      <w:pPr>
        <w:widowControl/>
        <w:autoSpaceDE/>
        <w:autoSpaceDN/>
        <w:adjustRightInd/>
        <w:contextualSpacing/>
        <w:rPr>
          <w:bCs/>
          <w:color w:val="auto"/>
          <w:highlight w:val="yellow"/>
        </w:rPr>
      </w:pPr>
    </w:p>
    <w:p w14:paraId="426093C2"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Fix with 3.7% paraformaldehyde for 30 minutes at room temperature.</w:t>
      </w:r>
    </w:p>
    <w:p w14:paraId="0E113F50" w14:textId="77777777" w:rsidR="006B1B14" w:rsidRPr="00F76890" w:rsidRDefault="006B1B14" w:rsidP="00F012D5">
      <w:pPr>
        <w:widowControl/>
        <w:autoSpaceDE/>
        <w:autoSpaceDN/>
        <w:adjustRightInd/>
        <w:contextualSpacing/>
        <w:rPr>
          <w:bCs/>
          <w:color w:val="auto"/>
          <w:highlight w:val="yellow"/>
        </w:rPr>
      </w:pPr>
    </w:p>
    <w:p w14:paraId="46B69EA1"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Wash twice with PBS.</w:t>
      </w:r>
    </w:p>
    <w:p w14:paraId="66F053AA" w14:textId="77777777" w:rsidR="006B1B14" w:rsidRPr="00F76890" w:rsidRDefault="006B1B14" w:rsidP="00F012D5">
      <w:pPr>
        <w:widowControl/>
        <w:autoSpaceDE/>
        <w:autoSpaceDN/>
        <w:adjustRightInd/>
        <w:contextualSpacing/>
        <w:rPr>
          <w:bCs/>
          <w:color w:val="auto"/>
          <w:highlight w:val="yellow"/>
        </w:rPr>
      </w:pPr>
    </w:p>
    <w:p w14:paraId="2CC67E0C"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Permeabilize with 0.5% Triton in PBS for 15 minutes.</w:t>
      </w:r>
    </w:p>
    <w:p w14:paraId="55DE4B4E" w14:textId="77777777" w:rsidR="006B1B14" w:rsidRPr="00F76890" w:rsidRDefault="006B1B14" w:rsidP="00F012D5">
      <w:pPr>
        <w:widowControl/>
        <w:autoSpaceDE/>
        <w:autoSpaceDN/>
        <w:adjustRightInd/>
        <w:contextualSpacing/>
        <w:rPr>
          <w:bCs/>
          <w:color w:val="auto"/>
          <w:highlight w:val="yellow"/>
        </w:rPr>
      </w:pPr>
    </w:p>
    <w:p w14:paraId="4BFBCAF9"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Block the peroxidase with 0.3% hydrogen peroxide in PBS for 5 minutes.</w:t>
      </w:r>
    </w:p>
    <w:p w14:paraId="15A691EB" w14:textId="77777777" w:rsidR="006B1B14" w:rsidRPr="00F76890" w:rsidRDefault="006B1B14" w:rsidP="00F012D5">
      <w:pPr>
        <w:widowControl/>
        <w:autoSpaceDE/>
        <w:autoSpaceDN/>
        <w:adjustRightInd/>
        <w:contextualSpacing/>
        <w:rPr>
          <w:bCs/>
          <w:color w:val="auto"/>
          <w:highlight w:val="yellow"/>
        </w:rPr>
      </w:pPr>
    </w:p>
    <w:p w14:paraId="3238A795" w14:textId="0F6A2188"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Wash twice with PBS.</w:t>
      </w:r>
    </w:p>
    <w:p w14:paraId="4281D658" w14:textId="77777777" w:rsidR="006B1B14" w:rsidRPr="00F76890" w:rsidRDefault="006B1B14" w:rsidP="00F012D5">
      <w:pPr>
        <w:widowControl/>
        <w:autoSpaceDE/>
        <w:autoSpaceDN/>
        <w:adjustRightInd/>
        <w:contextualSpacing/>
        <w:rPr>
          <w:bCs/>
          <w:color w:val="auto"/>
          <w:highlight w:val="yellow"/>
        </w:rPr>
      </w:pPr>
    </w:p>
    <w:p w14:paraId="0A08D84C"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Wash twice with 0.5% bovine serum albumin (BSA).</w:t>
      </w:r>
    </w:p>
    <w:p w14:paraId="105E856C" w14:textId="77777777" w:rsidR="006B1B14" w:rsidRPr="00F76890" w:rsidRDefault="006B1B14" w:rsidP="00F012D5">
      <w:pPr>
        <w:widowControl/>
        <w:autoSpaceDE/>
        <w:autoSpaceDN/>
        <w:adjustRightInd/>
        <w:contextualSpacing/>
        <w:rPr>
          <w:bCs/>
          <w:color w:val="auto"/>
          <w:highlight w:val="yellow"/>
        </w:rPr>
      </w:pPr>
      <w:r w:rsidRPr="00F76890">
        <w:rPr>
          <w:bCs/>
          <w:color w:val="auto"/>
          <w:highlight w:val="yellow"/>
        </w:rPr>
        <w:t xml:space="preserve"> </w:t>
      </w:r>
    </w:p>
    <w:p w14:paraId="1531415A"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Block cell cultures with 2% BSA for 45 minutes.</w:t>
      </w:r>
    </w:p>
    <w:p w14:paraId="1DA4C741" w14:textId="77777777" w:rsidR="006B1B14" w:rsidRPr="00F76890" w:rsidRDefault="006B1B14" w:rsidP="00F012D5">
      <w:pPr>
        <w:widowControl/>
        <w:autoSpaceDE/>
        <w:autoSpaceDN/>
        <w:adjustRightInd/>
        <w:contextualSpacing/>
        <w:rPr>
          <w:bCs/>
          <w:color w:val="auto"/>
          <w:highlight w:val="yellow"/>
        </w:rPr>
      </w:pPr>
    </w:p>
    <w:p w14:paraId="557CCCDF"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Wash with 0.5% BSA in PBS.</w:t>
      </w:r>
    </w:p>
    <w:p w14:paraId="2FCC730F" w14:textId="77777777" w:rsidR="006B1B14" w:rsidRPr="00F76890" w:rsidRDefault="006B1B14" w:rsidP="00F012D5">
      <w:pPr>
        <w:widowControl/>
        <w:autoSpaceDE/>
        <w:autoSpaceDN/>
        <w:adjustRightInd/>
        <w:contextualSpacing/>
        <w:rPr>
          <w:bCs/>
          <w:color w:val="auto"/>
          <w:highlight w:val="yellow"/>
        </w:rPr>
      </w:pPr>
    </w:p>
    <w:p w14:paraId="5166DD71"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Incubate cultures with the primary antibody according to the select protein for 60 minutes at room temperature.</w:t>
      </w:r>
    </w:p>
    <w:p w14:paraId="724A0D77" w14:textId="77777777" w:rsidR="006B1B14" w:rsidRPr="00F76890" w:rsidRDefault="006B1B14" w:rsidP="00F012D5">
      <w:pPr>
        <w:pStyle w:val="ListParagraph"/>
        <w:rPr>
          <w:bCs/>
          <w:color w:val="auto"/>
          <w:highlight w:val="yellow"/>
        </w:rPr>
      </w:pPr>
    </w:p>
    <w:p w14:paraId="1DF39122" w14:textId="3C619E71" w:rsidR="006B1B14" w:rsidRPr="00F76890" w:rsidRDefault="0064588C" w:rsidP="00F012D5">
      <w:pPr>
        <w:pStyle w:val="ListParagraph"/>
        <w:widowControl/>
        <w:autoSpaceDE/>
        <w:autoSpaceDN/>
        <w:adjustRightInd/>
        <w:ind w:left="0"/>
        <w:rPr>
          <w:bCs/>
          <w:color w:val="auto"/>
          <w:highlight w:val="yellow"/>
        </w:rPr>
      </w:pPr>
      <w:r w:rsidRPr="006A2A58">
        <w:rPr>
          <w:bCs/>
          <w:color w:val="auto"/>
        </w:rPr>
        <w:t>NOTE:</w:t>
      </w:r>
      <w:r w:rsidR="006B1B14" w:rsidRPr="006A2A58">
        <w:rPr>
          <w:bCs/>
          <w:color w:val="auto"/>
        </w:rPr>
        <w:t xml:space="preserve"> </w:t>
      </w:r>
      <w:r w:rsidR="006B1B14" w:rsidRPr="00F76890">
        <w:rPr>
          <w:bCs/>
          <w:color w:val="auto"/>
        </w:rPr>
        <w:t>This protocol uses t</w:t>
      </w:r>
      <w:r w:rsidR="006B1B14" w:rsidRPr="00F76890">
        <w:rPr>
          <w:color w:val="auto"/>
        </w:rPr>
        <w:t>he primary antibody DSP(M20) Antibody (1:100) and the secondary antibody Polyclonal Rabbit Anti-goat immunoglobulins/HRP (1:100).</w:t>
      </w:r>
    </w:p>
    <w:p w14:paraId="2413856B" w14:textId="77777777" w:rsidR="006B1B14" w:rsidRPr="00F76890" w:rsidRDefault="006B1B14" w:rsidP="00F012D5">
      <w:pPr>
        <w:widowControl/>
        <w:autoSpaceDE/>
        <w:autoSpaceDN/>
        <w:adjustRightInd/>
        <w:contextualSpacing/>
        <w:rPr>
          <w:bCs/>
          <w:color w:val="auto"/>
          <w:highlight w:val="yellow"/>
        </w:rPr>
      </w:pPr>
    </w:p>
    <w:p w14:paraId="1BF218F7"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Wash five times with 0.5% BSA in PBS.</w:t>
      </w:r>
    </w:p>
    <w:p w14:paraId="31B46CF6" w14:textId="77777777" w:rsidR="006B1B14" w:rsidRPr="00F76890" w:rsidRDefault="006B1B14" w:rsidP="00F012D5">
      <w:pPr>
        <w:widowControl/>
        <w:autoSpaceDE/>
        <w:autoSpaceDN/>
        <w:adjustRightInd/>
        <w:contextualSpacing/>
        <w:rPr>
          <w:bCs/>
          <w:color w:val="auto"/>
          <w:highlight w:val="yellow"/>
        </w:rPr>
      </w:pPr>
    </w:p>
    <w:p w14:paraId="71C4D9CE"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Incubate with secondary antibody for 90 minutes at room temperature.</w:t>
      </w:r>
    </w:p>
    <w:p w14:paraId="27E495C5" w14:textId="77777777" w:rsidR="006B1B14" w:rsidRPr="00F76890" w:rsidRDefault="006B1B14" w:rsidP="00F012D5">
      <w:pPr>
        <w:widowControl/>
        <w:autoSpaceDE/>
        <w:autoSpaceDN/>
        <w:adjustRightInd/>
        <w:contextualSpacing/>
        <w:rPr>
          <w:bCs/>
          <w:color w:val="auto"/>
          <w:highlight w:val="yellow"/>
        </w:rPr>
      </w:pPr>
    </w:p>
    <w:p w14:paraId="075269A2" w14:textId="7DF6A6AD" w:rsidR="006B1B14" w:rsidRPr="00F76890" w:rsidRDefault="0064588C" w:rsidP="00F012D5">
      <w:pPr>
        <w:widowControl/>
        <w:autoSpaceDE/>
        <w:autoSpaceDN/>
        <w:adjustRightInd/>
        <w:contextualSpacing/>
        <w:rPr>
          <w:bCs/>
          <w:color w:val="auto"/>
          <w:highlight w:val="yellow"/>
        </w:rPr>
      </w:pPr>
      <w:r w:rsidRPr="00F76890">
        <w:rPr>
          <w:bCs/>
          <w:color w:val="auto"/>
          <w:highlight w:val="yellow"/>
        </w:rPr>
        <w:t>NOTE:</w:t>
      </w:r>
      <w:r w:rsidR="006B1B14" w:rsidRPr="00F76890">
        <w:rPr>
          <w:bCs/>
          <w:color w:val="auto"/>
          <w:highlight w:val="yellow"/>
        </w:rPr>
        <w:t xml:space="preserve"> Make the antibody dilutions using 0.5% PBS in BSA.</w:t>
      </w:r>
    </w:p>
    <w:p w14:paraId="7FAB0EC4" w14:textId="77777777" w:rsidR="006B1B14" w:rsidRPr="00F76890" w:rsidRDefault="006B1B14" w:rsidP="00F012D5">
      <w:pPr>
        <w:widowControl/>
        <w:autoSpaceDE/>
        <w:autoSpaceDN/>
        <w:adjustRightInd/>
        <w:contextualSpacing/>
        <w:rPr>
          <w:bCs/>
          <w:color w:val="auto"/>
          <w:highlight w:val="yellow"/>
        </w:rPr>
      </w:pPr>
    </w:p>
    <w:p w14:paraId="606267C4"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Wash five times with 0.5% BSA in PBS for 1 minute in each wash.</w:t>
      </w:r>
    </w:p>
    <w:p w14:paraId="3A33C011" w14:textId="77777777" w:rsidR="006B1B14" w:rsidRPr="00F76890" w:rsidRDefault="006B1B14" w:rsidP="00F012D5">
      <w:pPr>
        <w:pStyle w:val="ListParagraph"/>
        <w:widowControl/>
        <w:autoSpaceDE/>
        <w:autoSpaceDN/>
        <w:adjustRightInd/>
        <w:ind w:left="0"/>
        <w:rPr>
          <w:bCs/>
          <w:color w:val="auto"/>
          <w:highlight w:val="yellow"/>
        </w:rPr>
      </w:pPr>
    </w:p>
    <w:p w14:paraId="6E5C1B4C" w14:textId="6EDA4ECB"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Incubate cultures with a substrate and chromogen mixture at a concentration of 20 µL chromogen</w:t>
      </w:r>
      <w:r w:rsidR="00F76890">
        <w:rPr>
          <w:bCs/>
          <w:color w:val="auto"/>
          <w:highlight w:val="yellow"/>
        </w:rPr>
        <w:t>/</w:t>
      </w:r>
      <w:r w:rsidRPr="00F76890">
        <w:rPr>
          <w:bCs/>
          <w:color w:val="auto"/>
          <w:highlight w:val="yellow"/>
        </w:rPr>
        <w:t>mL substrate for 25 minutes.</w:t>
      </w:r>
    </w:p>
    <w:p w14:paraId="5E902B9E" w14:textId="77777777" w:rsidR="006B1B14" w:rsidRPr="00F76890" w:rsidRDefault="006B1B14" w:rsidP="00F012D5">
      <w:pPr>
        <w:widowControl/>
        <w:autoSpaceDE/>
        <w:autoSpaceDN/>
        <w:adjustRightInd/>
        <w:contextualSpacing/>
        <w:rPr>
          <w:bCs/>
          <w:color w:val="auto"/>
          <w:highlight w:val="yellow"/>
        </w:rPr>
      </w:pPr>
    </w:p>
    <w:p w14:paraId="5BE633B9"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Wash twice with 0.5% BSA in PBS.</w:t>
      </w:r>
    </w:p>
    <w:p w14:paraId="295B2C8E" w14:textId="77777777" w:rsidR="006B1B14" w:rsidRPr="00F76890" w:rsidRDefault="006B1B14" w:rsidP="00F012D5">
      <w:pPr>
        <w:widowControl/>
        <w:autoSpaceDE/>
        <w:autoSpaceDN/>
        <w:adjustRightInd/>
        <w:contextualSpacing/>
        <w:rPr>
          <w:bCs/>
          <w:color w:val="auto"/>
          <w:highlight w:val="yellow"/>
        </w:rPr>
      </w:pPr>
    </w:p>
    <w:p w14:paraId="29C91017"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Counterstain with Hematoxylin for 15 minutes.</w:t>
      </w:r>
    </w:p>
    <w:p w14:paraId="217B074B" w14:textId="77777777" w:rsidR="006B1B14" w:rsidRPr="00F76890" w:rsidRDefault="006B1B14" w:rsidP="00F012D5">
      <w:pPr>
        <w:widowControl/>
        <w:autoSpaceDE/>
        <w:autoSpaceDN/>
        <w:adjustRightInd/>
        <w:contextualSpacing/>
        <w:rPr>
          <w:bCs/>
          <w:color w:val="auto"/>
          <w:highlight w:val="yellow"/>
        </w:rPr>
      </w:pPr>
    </w:p>
    <w:p w14:paraId="07D37FEC" w14:textId="4F07E4CA"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Wash with a sequence of</w:t>
      </w:r>
      <w:r w:rsidR="0064588C" w:rsidRPr="00F76890">
        <w:rPr>
          <w:bCs/>
          <w:color w:val="auto"/>
          <w:highlight w:val="yellow"/>
        </w:rPr>
        <w:t xml:space="preserve"> </w:t>
      </w:r>
      <w:r w:rsidRPr="00F76890">
        <w:rPr>
          <w:bCs/>
          <w:color w:val="auto"/>
          <w:highlight w:val="yellow"/>
        </w:rPr>
        <w:t>0.037 mol</w:t>
      </w:r>
      <w:r w:rsidR="00F76890">
        <w:rPr>
          <w:bCs/>
          <w:color w:val="auto"/>
          <w:highlight w:val="yellow"/>
        </w:rPr>
        <w:t>/</w:t>
      </w:r>
      <w:r w:rsidRPr="00F76890">
        <w:rPr>
          <w:bCs/>
          <w:color w:val="auto"/>
          <w:highlight w:val="yellow"/>
        </w:rPr>
        <w:t>L ammonia and distilled water for 5 minutes to remove excess dye.</w:t>
      </w:r>
    </w:p>
    <w:p w14:paraId="57DF32A3" w14:textId="77777777" w:rsidR="006B1B14" w:rsidRPr="00F76890" w:rsidRDefault="006B1B14" w:rsidP="00F012D5">
      <w:pPr>
        <w:widowControl/>
        <w:autoSpaceDE/>
        <w:autoSpaceDN/>
        <w:adjustRightInd/>
        <w:contextualSpacing/>
        <w:rPr>
          <w:bCs/>
          <w:color w:val="auto"/>
          <w:highlight w:val="yellow"/>
        </w:rPr>
      </w:pPr>
    </w:p>
    <w:p w14:paraId="28A67002" w14:textId="77777777" w:rsidR="006B1B14" w:rsidRPr="00F76890" w:rsidRDefault="006B1B14" w:rsidP="00F012D5">
      <w:pPr>
        <w:pStyle w:val="ListParagraph"/>
        <w:widowControl/>
        <w:numPr>
          <w:ilvl w:val="1"/>
          <w:numId w:val="1"/>
        </w:numPr>
        <w:autoSpaceDE/>
        <w:autoSpaceDN/>
        <w:adjustRightInd/>
        <w:ind w:left="0" w:firstLine="0"/>
        <w:rPr>
          <w:bCs/>
          <w:color w:val="auto"/>
          <w:highlight w:val="yellow"/>
        </w:rPr>
      </w:pPr>
      <w:r w:rsidRPr="00F76890">
        <w:rPr>
          <w:bCs/>
          <w:color w:val="auto"/>
          <w:highlight w:val="yellow"/>
        </w:rPr>
        <w:t>Mount the coverslips on the slides. Use glycerol as the mounting medium.</w:t>
      </w:r>
    </w:p>
    <w:p w14:paraId="1423B992" w14:textId="77777777" w:rsidR="006B1B14" w:rsidRPr="00F76890" w:rsidRDefault="006B1B14" w:rsidP="00F012D5">
      <w:pPr>
        <w:widowControl/>
        <w:autoSpaceDE/>
        <w:autoSpaceDN/>
        <w:adjustRightInd/>
        <w:contextualSpacing/>
        <w:rPr>
          <w:bCs/>
          <w:color w:val="auto"/>
          <w:highlight w:val="yellow"/>
        </w:rPr>
      </w:pPr>
    </w:p>
    <w:p w14:paraId="3992DC66" w14:textId="77777777" w:rsidR="006B1B14" w:rsidRPr="00F76890" w:rsidRDefault="006B1B14" w:rsidP="00F012D5">
      <w:pPr>
        <w:pStyle w:val="ListParagraph"/>
        <w:widowControl/>
        <w:numPr>
          <w:ilvl w:val="1"/>
          <w:numId w:val="1"/>
        </w:numPr>
        <w:autoSpaceDE/>
        <w:autoSpaceDN/>
        <w:adjustRightInd/>
        <w:ind w:left="0" w:firstLine="0"/>
        <w:rPr>
          <w:bCs/>
          <w:color w:val="auto"/>
        </w:rPr>
      </w:pPr>
      <w:r w:rsidRPr="00F76890">
        <w:rPr>
          <w:bCs/>
          <w:color w:val="auto"/>
        </w:rPr>
        <w:t>Allow drying overnight.</w:t>
      </w:r>
    </w:p>
    <w:p w14:paraId="521DFE09" w14:textId="77777777" w:rsidR="006B1B14" w:rsidRPr="00F76890" w:rsidRDefault="006B1B14" w:rsidP="00F012D5">
      <w:pPr>
        <w:pStyle w:val="ListParagraph"/>
        <w:ind w:left="0"/>
        <w:rPr>
          <w:color w:val="auto"/>
          <w:highlight w:val="yellow"/>
        </w:rPr>
      </w:pPr>
    </w:p>
    <w:p w14:paraId="63A775F6" w14:textId="77777777" w:rsidR="006B1B14" w:rsidRPr="00F76890" w:rsidRDefault="006B1B14" w:rsidP="00F012D5">
      <w:pPr>
        <w:pStyle w:val="ListParagraph"/>
        <w:widowControl/>
        <w:numPr>
          <w:ilvl w:val="1"/>
          <w:numId w:val="1"/>
        </w:numPr>
        <w:autoSpaceDE/>
        <w:autoSpaceDN/>
        <w:adjustRightInd/>
        <w:ind w:left="0" w:firstLine="0"/>
        <w:rPr>
          <w:bCs/>
          <w:color w:val="auto"/>
        </w:rPr>
      </w:pPr>
      <w:r w:rsidRPr="00F76890">
        <w:rPr>
          <w:color w:val="auto"/>
          <w:highlight w:val="yellow"/>
        </w:rPr>
        <w:t>Look under a microscope. Take the photographs with the chosen magnification.</w:t>
      </w:r>
    </w:p>
    <w:p w14:paraId="2A653E47" w14:textId="77777777" w:rsidR="006B1B14" w:rsidRPr="00F76890" w:rsidRDefault="006B1B14" w:rsidP="00F012D5">
      <w:pPr>
        <w:pStyle w:val="ListParagraph"/>
        <w:widowControl/>
        <w:autoSpaceDE/>
        <w:autoSpaceDN/>
        <w:adjustRightInd/>
        <w:ind w:left="0"/>
        <w:rPr>
          <w:bCs/>
          <w:color w:val="auto"/>
        </w:rPr>
      </w:pPr>
      <w:r w:rsidRPr="00F76890">
        <w:rPr>
          <w:color w:val="auto"/>
          <w:highlight w:val="yellow"/>
        </w:rPr>
        <w:t xml:space="preserve"> </w:t>
      </w:r>
    </w:p>
    <w:p w14:paraId="0912F074" w14:textId="77777777" w:rsidR="006B1B14" w:rsidRPr="00F76890" w:rsidRDefault="006B1B14" w:rsidP="00F012D5">
      <w:pPr>
        <w:pStyle w:val="ListParagraph"/>
        <w:widowControl/>
        <w:numPr>
          <w:ilvl w:val="0"/>
          <w:numId w:val="1"/>
        </w:numPr>
        <w:autoSpaceDE/>
        <w:autoSpaceDN/>
        <w:adjustRightInd/>
        <w:ind w:left="0" w:firstLine="0"/>
        <w:jc w:val="left"/>
        <w:rPr>
          <w:b/>
          <w:bCs/>
          <w:color w:val="auto"/>
        </w:rPr>
      </w:pPr>
      <w:r w:rsidRPr="00F76890">
        <w:rPr>
          <w:rFonts w:cstheme="minorHAnsi"/>
          <w:b/>
          <w:bCs/>
          <w:color w:val="auto"/>
          <w:shd w:val="clear" w:color="auto" w:fill="FFFFFF"/>
        </w:rPr>
        <w:t xml:space="preserve">Mineralized formation assessment through </w:t>
      </w:r>
      <w:r w:rsidRPr="00F76890">
        <w:rPr>
          <w:b/>
          <w:bCs/>
          <w:color w:val="auto"/>
        </w:rPr>
        <w:t>alizarin red s assay</w:t>
      </w:r>
    </w:p>
    <w:p w14:paraId="369F50A2" w14:textId="77777777" w:rsidR="006B1B14" w:rsidRPr="00F76890" w:rsidRDefault="006B1B14" w:rsidP="00F012D5">
      <w:pPr>
        <w:pStyle w:val="ListParagraph"/>
        <w:widowControl/>
        <w:autoSpaceDE/>
        <w:autoSpaceDN/>
        <w:adjustRightInd/>
        <w:ind w:left="0"/>
        <w:jc w:val="left"/>
        <w:rPr>
          <w:b/>
          <w:bCs/>
          <w:color w:val="auto"/>
        </w:rPr>
      </w:pPr>
    </w:p>
    <w:p w14:paraId="18E51D10" w14:textId="77777777" w:rsidR="006B1B14" w:rsidRPr="00F76890" w:rsidRDefault="006B1B14" w:rsidP="00F012D5">
      <w:pPr>
        <w:pStyle w:val="ListParagraph"/>
        <w:widowControl/>
        <w:numPr>
          <w:ilvl w:val="1"/>
          <w:numId w:val="1"/>
        </w:numPr>
        <w:autoSpaceDE/>
        <w:autoSpaceDN/>
        <w:adjustRightInd/>
        <w:ind w:left="0" w:firstLine="0"/>
        <w:rPr>
          <w:color w:val="auto"/>
        </w:rPr>
      </w:pPr>
      <w:r w:rsidRPr="00F76890">
        <w:rPr>
          <w:color w:val="auto"/>
        </w:rPr>
        <w:t>Prepare an Alizarin Red S solution at a concentration of 40 mM</w:t>
      </w:r>
      <w:r w:rsidRPr="00F76890">
        <w:rPr>
          <w:rStyle w:val="FootnoteReference"/>
          <w:color w:val="auto"/>
        </w:rPr>
        <w:fldChar w:fldCharType="begin" w:fldLock="1"/>
      </w:r>
      <w:r w:rsidRPr="00F76890">
        <w:rPr>
          <w:color w:val="auto"/>
        </w:rPr>
        <w:instrText>ADDIN CSL_CITATION {"citationItems":[{"id":"ITEM-1","itemData":{"DOI":"10.1016/j.ab.2004.02.002","ISSN":"00032697","author":[{"dropping-particle":"","family":"Gregory","given":"Carl A","non-dropping-particle":"","parse-names":false,"suffix":""},{"dropping-particle":"","family":"Grady Gunn","given":"W","non-dropping-particle":"","parse-names":false,"suffix":""},{"dropping-particle":"","family":"Peister","given":"Alexandra","non-dropping-particle":"","parse-names":false,"suffix":""},{"dropping-particle":"","family":"Prockop","given":"Darwin J","non-dropping-particle":"","parse-names":false,"suffix":""}],"container-title":"Analytical Biochemistry","id":"ITEM-1","issue":"1","issued":{"date-parts":[["2004","6"]]},"page":"77-84","title":"An Alizarin red-based assay of mineralization by adherent cells in culture: comparison with cetylpyridinium chloride extraction","type":"article-journal","volume":"329"},"uris":["http://www.mendeley.com/documents/?uuid=ec178b7f-920b-4ce4-b53a-9077630bf659","http://www.mendeley.com/documents/?uuid=fc550fac-940e-43cd-bbb5-c73917f55a7f"]}],"mendeley":{"formattedCitation":"&lt;sup&gt;18&lt;/sup&gt;","plainTextFormattedCitation":"18","previouslyFormattedCitation":"&lt;sup&gt;18&lt;/sup&gt;"},"properties":{"noteIndex":0},"schema":"https://github.com/citation-style-language/schema/raw/master/csl-citation.json"}</w:instrText>
      </w:r>
      <w:r w:rsidRPr="00F76890">
        <w:rPr>
          <w:rStyle w:val="FootnoteReference"/>
          <w:color w:val="auto"/>
        </w:rPr>
        <w:fldChar w:fldCharType="separate"/>
      </w:r>
      <w:r w:rsidRPr="00F76890">
        <w:rPr>
          <w:bCs/>
          <w:noProof/>
          <w:color w:val="auto"/>
          <w:vertAlign w:val="superscript"/>
        </w:rPr>
        <w:t>18</w:t>
      </w:r>
      <w:r w:rsidRPr="00F76890">
        <w:rPr>
          <w:rStyle w:val="FootnoteReference"/>
          <w:color w:val="auto"/>
        </w:rPr>
        <w:fldChar w:fldCharType="end"/>
      </w:r>
      <w:r w:rsidRPr="00F76890">
        <w:rPr>
          <w:color w:val="auto"/>
        </w:rPr>
        <w:t xml:space="preserve"> Stir the solution for homogenization for 12 hours in the dark. </w:t>
      </w:r>
    </w:p>
    <w:p w14:paraId="2898A9DC" w14:textId="77777777" w:rsidR="006B1B14" w:rsidRPr="00F76890" w:rsidRDefault="006B1B14" w:rsidP="00F012D5">
      <w:pPr>
        <w:pStyle w:val="ListParagraph"/>
        <w:widowControl/>
        <w:autoSpaceDE/>
        <w:autoSpaceDN/>
        <w:adjustRightInd/>
        <w:ind w:left="0"/>
        <w:rPr>
          <w:color w:val="auto"/>
        </w:rPr>
      </w:pPr>
    </w:p>
    <w:p w14:paraId="03B9157F" w14:textId="3B7918B4" w:rsidR="006B1B14" w:rsidRPr="00F76890" w:rsidRDefault="0064588C" w:rsidP="00F012D5">
      <w:pPr>
        <w:pStyle w:val="ListParagraph"/>
        <w:widowControl/>
        <w:autoSpaceDE/>
        <w:autoSpaceDN/>
        <w:adjustRightInd/>
        <w:ind w:left="0"/>
        <w:rPr>
          <w:color w:val="auto"/>
        </w:rPr>
      </w:pPr>
      <w:r w:rsidRPr="00F76890">
        <w:rPr>
          <w:color w:val="auto"/>
        </w:rPr>
        <w:lastRenderedPageBreak/>
        <w:t>NOTE:</w:t>
      </w:r>
      <w:r w:rsidR="006B1B14" w:rsidRPr="00F76890">
        <w:rPr>
          <w:color w:val="auto"/>
        </w:rPr>
        <w:t xml:space="preserve"> To prepare 100 mL of Alizarin Red S solution, solubilize 14</w:t>
      </w:r>
      <w:r w:rsidR="006A2A58">
        <w:rPr>
          <w:color w:val="auto"/>
        </w:rPr>
        <w:t>.</w:t>
      </w:r>
      <w:r w:rsidR="006B1B14" w:rsidRPr="00F76890">
        <w:rPr>
          <w:color w:val="auto"/>
        </w:rPr>
        <w:t>4 g of alizarin powder (Molecular weight: 360 g/mol) in ultrapure water, protected from light. For this solution, the pH value is critical and should be between 4.1 and 4.3.</w:t>
      </w:r>
    </w:p>
    <w:p w14:paraId="6E7A61EE" w14:textId="77777777" w:rsidR="006B1B14" w:rsidRPr="00F76890" w:rsidRDefault="006B1B14" w:rsidP="00F012D5">
      <w:pPr>
        <w:pStyle w:val="ListParagraph"/>
        <w:widowControl/>
        <w:autoSpaceDE/>
        <w:autoSpaceDN/>
        <w:adjustRightInd/>
        <w:ind w:left="0"/>
        <w:rPr>
          <w:color w:val="auto"/>
        </w:rPr>
      </w:pPr>
    </w:p>
    <w:p w14:paraId="680BDB86" w14:textId="77777777" w:rsidR="006B1B14" w:rsidRPr="00F76890" w:rsidRDefault="006B1B14" w:rsidP="00F012D5">
      <w:pPr>
        <w:pStyle w:val="ListParagraph"/>
        <w:numPr>
          <w:ilvl w:val="1"/>
          <w:numId w:val="1"/>
        </w:numPr>
        <w:ind w:left="0" w:firstLine="0"/>
        <w:rPr>
          <w:color w:val="auto"/>
        </w:rPr>
      </w:pPr>
      <w:r w:rsidRPr="00F76890">
        <w:rPr>
          <w:color w:val="auto"/>
        </w:rPr>
        <w:t xml:space="preserve">Incubate cell culture with soluble extracts, as described in 3.3. </w:t>
      </w:r>
    </w:p>
    <w:p w14:paraId="29F18B75" w14:textId="77777777" w:rsidR="006B1B14" w:rsidRPr="00F76890" w:rsidRDefault="006B1B14" w:rsidP="00F012D5">
      <w:pPr>
        <w:pStyle w:val="ListParagraph"/>
        <w:ind w:left="0"/>
        <w:rPr>
          <w:color w:val="auto"/>
        </w:rPr>
      </w:pPr>
    </w:p>
    <w:p w14:paraId="327FD0EF" w14:textId="77777777"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t>Wash cell cultures with PBS three times.</w:t>
      </w:r>
    </w:p>
    <w:p w14:paraId="6C7F3AF6" w14:textId="77777777" w:rsidR="006B1B14" w:rsidRPr="00F76890" w:rsidRDefault="006B1B14" w:rsidP="00F012D5">
      <w:pPr>
        <w:widowControl/>
        <w:autoSpaceDE/>
        <w:autoSpaceDN/>
        <w:adjustRightInd/>
        <w:contextualSpacing/>
        <w:rPr>
          <w:color w:val="auto"/>
          <w:highlight w:val="yellow"/>
        </w:rPr>
      </w:pPr>
    </w:p>
    <w:p w14:paraId="6805DCE9" w14:textId="77777777"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t>Fix with 4% paraformaldehyde for 15 minutes at room temperature.</w:t>
      </w:r>
    </w:p>
    <w:p w14:paraId="43F8C610" w14:textId="77777777" w:rsidR="006B1B14" w:rsidRPr="00F76890" w:rsidRDefault="006B1B14" w:rsidP="00F012D5">
      <w:pPr>
        <w:widowControl/>
        <w:autoSpaceDE/>
        <w:autoSpaceDN/>
        <w:adjustRightInd/>
        <w:contextualSpacing/>
        <w:rPr>
          <w:color w:val="auto"/>
          <w:highlight w:val="yellow"/>
        </w:rPr>
      </w:pPr>
    </w:p>
    <w:p w14:paraId="39D33179" w14:textId="77777777"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t>Wash three times with PBS.</w:t>
      </w:r>
    </w:p>
    <w:p w14:paraId="761DCABE" w14:textId="77777777" w:rsidR="006B1B14" w:rsidRPr="00F76890" w:rsidRDefault="006B1B14" w:rsidP="00F012D5">
      <w:pPr>
        <w:widowControl/>
        <w:autoSpaceDE/>
        <w:autoSpaceDN/>
        <w:adjustRightInd/>
        <w:contextualSpacing/>
        <w:rPr>
          <w:color w:val="auto"/>
          <w:highlight w:val="yellow"/>
        </w:rPr>
      </w:pPr>
    </w:p>
    <w:p w14:paraId="6FF7C86B" w14:textId="20CCD8A6"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t>Stain with Alizarin Red Staining solution for 20 minutes at 37 °C in the dark.</w:t>
      </w:r>
    </w:p>
    <w:p w14:paraId="0FD09235" w14:textId="77777777" w:rsidR="006B1B14" w:rsidRPr="00F76890" w:rsidRDefault="006B1B14" w:rsidP="00F012D5">
      <w:pPr>
        <w:widowControl/>
        <w:autoSpaceDE/>
        <w:autoSpaceDN/>
        <w:adjustRightInd/>
        <w:contextualSpacing/>
        <w:rPr>
          <w:color w:val="auto"/>
          <w:highlight w:val="yellow"/>
        </w:rPr>
      </w:pPr>
    </w:p>
    <w:p w14:paraId="4F85ACEE" w14:textId="77777777"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t>After staining, wash the plates with PBS until complete dye removal.</w:t>
      </w:r>
    </w:p>
    <w:p w14:paraId="564810B5" w14:textId="77777777" w:rsidR="006B1B14" w:rsidRPr="00F76890" w:rsidRDefault="006B1B14" w:rsidP="00F012D5">
      <w:pPr>
        <w:widowControl/>
        <w:autoSpaceDE/>
        <w:autoSpaceDN/>
        <w:adjustRightInd/>
        <w:contextualSpacing/>
        <w:rPr>
          <w:color w:val="auto"/>
          <w:highlight w:val="yellow"/>
        </w:rPr>
      </w:pPr>
    </w:p>
    <w:p w14:paraId="25B5DF53" w14:textId="77777777"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t>Look under a microscope. Take the photographs with the chosen magnification.</w:t>
      </w:r>
    </w:p>
    <w:p w14:paraId="4D453863" w14:textId="77777777" w:rsidR="006B1B14" w:rsidRPr="00F76890" w:rsidRDefault="006B1B14" w:rsidP="00F012D5">
      <w:pPr>
        <w:widowControl/>
        <w:autoSpaceDE/>
        <w:autoSpaceDN/>
        <w:adjustRightInd/>
        <w:contextualSpacing/>
        <w:rPr>
          <w:color w:val="auto"/>
          <w:highlight w:val="yellow"/>
        </w:rPr>
      </w:pPr>
    </w:p>
    <w:p w14:paraId="73910182" w14:textId="77777777"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t>Add an extraction solution, composed by 10% (w/v) acetic acid and 20% (w/v) methanol, to each well, and let stirring for 40 minutes at room temperature.</w:t>
      </w:r>
    </w:p>
    <w:p w14:paraId="1CF3C660" w14:textId="77777777" w:rsidR="006B1B14" w:rsidRPr="00F76890" w:rsidRDefault="006B1B14" w:rsidP="00F012D5">
      <w:pPr>
        <w:widowControl/>
        <w:autoSpaceDE/>
        <w:autoSpaceDN/>
        <w:adjustRightInd/>
        <w:contextualSpacing/>
        <w:rPr>
          <w:color w:val="auto"/>
          <w:highlight w:val="yellow"/>
        </w:rPr>
      </w:pPr>
      <w:r w:rsidRPr="00F76890">
        <w:rPr>
          <w:color w:val="auto"/>
          <w:highlight w:val="yellow"/>
        </w:rPr>
        <w:t xml:space="preserve"> </w:t>
      </w:r>
    </w:p>
    <w:p w14:paraId="4F0E04F3" w14:textId="77777777" w:rsidR="006B1B14" w:rsidRPr="00F76890" w:rsidRDefault="006B1B14" w:rsidP="00F012D5">
      <w:pPr>
        <w:pStyle w:val="ListParagraph"/>
        <w:widowControl/>
        <w:numPr>
          <w:ilvl w:val="1"/>
          <w:numId w:val="1"/>
        </w:numPr>
        <w:autoSpaceDE/>
        <w:autoSpaceDN/>
        <w:adjustRightInd/>
        <w:ind w:left="0" w:firstLine="0"/>
        <w:rPr>
          <w:color w:val="auto"/>
          <w:highlight w:val="yellow"/>
        </w:rPr>
      </w:pPr>
      <w:r w:rsidRPr="00F76890">
        <w:rPr>
          <w:color w:val="auto"/>
          <w:highlight w:val="yellow"/>
        </w:rPr>
        <w:t>Measure the absorbance at 490 nm wavelength on a spectrophotometer</w:t>
      </w:r>
      <w:r w:rsidRPr="00F76890">
        <w:rPr>
          <w:rStyle w:val="FootnoteReference"/>
          <w:color w:val="auto"/>
          <w:highlight w:val="yellow"/>
        </w:rPr>
        <w:fldChar w:fldCharType="begin" w:fldLock="1"/>
      </w:r>
      <w:r w:rsidRPr="00F76890">
        <w:rPr>
          <w:color w:val="auto"/>
          <w:highlight w:val="yellow"/>
        </w:rPr>
        <w:instrText>ADDIN CSL_CITATION {"citationItems":[{"id":"ITEM-1","itemData":{"DOI":"10.1186/s12903-016-0307-8","ISSN":"1472-6831","author":[{"dropping-particle":"","family":"Cai","given":"Shiwei","non-dropping-particle":"","parse-names":false,"suffix":""},{"dropping-particle":"","family":"Zhang","given":"Wenjian","non-dropping-particle":"","parse-names":false,"suffix":""},{"dropping-particle":"","family":"Chen","given":"Wei","non-dropping-particle":"","parse-names":false,"suffix":""}],"container-title":"BMC Oral Health","id":"ITEM-1","issue":"1","issued":{"date-parts":[["2016","12","28"]]},"page":"113","title":"PDGFRβ+/c-kit+ pulp cells are odontoblastic progenitors capable of producing dentin-like structure in vitro and in vivo","type":"article-journal","volume":"16"},"uris":["http://www.mendeley.com/documents/?uuid=cb98e2d3-ae86-462c-9a0d-a1ec0febcbc9","http://www.mendeley.com/documents/?uuid=f9ea65bf-02e0-4b52-a77b-d25e80119065"]}],"mendeley":{"formattedCitation":"&lt;sup&gt;19&lt;/sup&gt;","plainTextFormattedCitation":"19","previouslyFormattedCitation":"&lt;sup&gt;19&lt;/sup&gt;"},"properties":{"noteIndex":0},"schema":"https://github.com/citation-style-language/schema/raw/master/csl-citation.json"}</w:instrText>
      </w:r>
      <w:r w:rsidRPr="00F76890">
        <w:rPr>
          <w:rStyle w:val="FootnoteReference"/>
          <w:color w:val="auto"/>
          <w:highlight w:val="yellow"/>
        </w:rPr>
        <w:fldChar w:fldCharType="separate"/>
      </w:r>
      <w:r w:rsidRPr="00F76890">
        <w:rPr>
          <w:bCs/>
          <w:noProof/>
          <w:color w:val="auto"/>
          <w:highlight w:val="yellow"/>
          <w:vertAlign w:val="superscript"/>
        </w:rPr>
        <w:t>19</w:t>
      </w:r>
      <w:r w:rsidRPr="00F76890">
        <w:rPr>
          <w:rStyle w:val="FootnoteReference"/>
          <w:color w:val="auto"/>
          <w:highlight w:val="yellow"/>
        </w:rPr>
        <w:fldChar w:fldCharType="end"/>
      </w:r>
      <w:r w:rsidRPr="00F76890">
        <w:rPr>
          <w:color w:val="auto"/>
          <w:highlight w:val="yellow"/>
        </w:rPr>
        <w:t>.</w:t>
      </w:r>
    </w:p>
    <w:bookmarkEnd w:id="2"/>
    <w:bookmarkEnd w:id="3"/>
    <w:p w14:paraId="67E0C155" w14:textId="77777777" w:rsidR="006B1B14" w:rsidRPr="00F76890" w:rsidRDefault="006B1B14" w:rsidP="00F012D5">
      <w:pPr>
        <w:pStyle w:val="ListParagraph"/>
        <w:widowControl/>
        <w:autoSpaceDE/>
        <w:autoSpaceDN/>
        <w:adjustRightInd/>
        <w:ind w:left="0"/>
        <w:rPr>
          <w:color w:val="auto"/>
          <w:highlight w:val="yellow"/>
        </w:rPr>
      </w:pPr>
    </w:p>
    <w:p w14:paraId="3D6A22FB" w14:textId="5A39920B" w:rsidR="006B1B14" w:rsidRPr="006A2A58" w:rsidRDefault="006B1B14" w:rsidP="00F012D5">
      <w:pPr>
        <w:pStyle w:val="NormalWeb"/>
        <w:spacing w:before="0" w:beforeAutospacing="0" w:after="0" w:afterAutospacing="0"/>
        <w:contextualSpacing/>
        <w:rPr>
          <w:rFonts w:asciiTheme="minorHAnsi" w:hAnsiTheme="minorHAnsi" w:cstheme="minorHAnsi"/>
          <w:b/>
          <w:color w:val="auto"/>
        </w:rPr>
      </w:pPr>
      <w:r w:rsidRPr="00F76890">
        <w:rPr>
          <w:rFonts w:asciiTheme="minorHAnsi" w:hAnsiTheme="minorHAnsi" w:cstheme="minorHAnsi"/>
          <w:b/>
          <w:color w:val="auto"/>
        </w:rPr>
        <w:t xml:space="preserve">REPRESENTATIVE RESULTS: </w:t>
      </w:r>
    </w:p>
    <w:p w14:paraId="2BCCCD21" w14:textId="116F8C08" w:rsidR="006B1B14" w:rsidRPr="00F76890" w:rsidRDefault="00DD3B58" w:rsidP="00F012D5">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The r</w:t>
      </w:r>
      <w:r w:rsidR="006B1B14" w:rsidRPr="00F76890">
        <w:rPr>
          <w:rFonts w:asciiTheme="minorHAnsi" w:hAnsiTheme="minorHAnsi" w:cstheme="minorHAnsi"/>
          <w:color w:val="auto"/>
        </w:rPr>
        <w:t xml:space="preserve">epresentative results </w:t>
      </w:r>
      <w:r>
        <w:rPr>
          <w:rFonts w:asciiTheme="minorHAnsi" w:hAnsiTheme="minorHAnsi" w:cstheme="minorHAnsi"/>
          <w:color w:val="auto"/>
        </w:rPr>
        <w:t>here</w:t>
      </w:r>
      <w:r w:rsidR="006B1B14" w:rsidRPr="00F76890">
        <w:rPr>
          <w:rFonts w:asciiTheme="minorHAnsi" w:hAnsiTheme="minorHAnsi" w:cstheme="minorHAnsi"/>
          <w:color w:val="auto"/>
        </w:rPr>
        <w:t xml:space="preserve"> refer to the study of dental biomaterials. The extract</w:t>
      </w:r>
      <w:r>
        <w:rPr>
          <w:rFonts w:asciiTheme="minorHAnsi" w:hAnsiTheme="minorHAnsi" w:cstheme="minorHAnsi"/>
          <w:color w:val="auto"/>
        </w:rPr>
        <w:t xml:space="preserve"> </w:t>
      </w:r>
      <w:r w:rsidR="006B1B14" w:rsidRPr="00F76890">
        <w:rPr>
          <w:rFonts w:asciiTheme="minorHAnsi" w:hAnsiTheme="minorHAnsi" w:cstheme="minorHAnsi"/>
          <w:color w:val="auto"/>
        </w:rPr>
        <w:t>methodology allows to obtain a cytotoxicity profile and cell function after exposition to the dental materials, regarding effects on metabolic activity (</w:t>
      </w:r>
      <w:r w:rsidRPr="00DD3B58">
        <w:rPr>
          <w:rFonts w:asciiTheme="minorHAnsi" w:hAnsiTheme="minorHAnsi" w:cstheme="minorHAnsi"/>
          <w:b/>
          <w:bCs/>
          <w:color w:val="auto"/>
        </w:rPr>
        <w:t>Figure</w:t>
      </w:r>
      <w:r w:rsidR="006B1B14" w:rsidRPr="00DD3B58">
        <w:rPr>
          <w:rFonts w:asciiTheme="minorHAnsi" w:hAnsiTheme="minorHAnsi" w:cstheme="minorHAnsi"/>
          <w:b/>
          <w:bCs/>
          <w:color w:val="auto"/>
        </w:rPr>
        <w:t xml:space="preserve"> 2</w:t>
      </w:r>
      <w:r w:rsidR="006B1B14" w:rsidRPr="00F76890">
        <w:rPr>
          <w:rFonts w:asciiTheme="minorHAnsi" w:hAnsiTheme="minorHAnsi" w:cstheme="minorHAnsi"/>
          <w:color w:val="auto"/>
        </w:rPr>
        <w:t>), cell viability, cell death profile and cell morphology (</w:t>
      </w:r>
      <w:r w:rsidRPr="00DD3B58">
        <w:rPr>
          <w:rFonts w:asciiTheme="minorHAnsi" w:hAnsiTheme="minorHAnsi" w:cstheme="minorHAnsi"/>
          <w:b/>
          <w:bCs/>
          <w:color w:val="auto"/>
        </w:rPr>
        <w:t>Figure</w:t>
      </w:r>
      <w:r w:rsidR="006B1B14" w:rsidRPr="00DD3B58">
        <w:rPr>
          <w:rFonts w:asciiTheme="minorHAnsi" w:hAnsiTheme="minorHAnsi" w:cstheme="minorHAnsi"/>
          <w:b/>
          <w:bCs/>
          <w:color w:val="auto"/>
        </w:rPr>
        <w:t xml:space="preserve"> 3</w:t>
      </w:r>
      <w:r w:rsidR="006B1B14" w:rsidRPr="00F76890">
        <w:rPr>
          <w:rFonts w:asciiTheme="minorHAnsi" w:hAnsiTheme="minorHAnsi" w:cstheme="minorHAnsi"/>
          <w:color w:val="auto"/>
        </w:rPr>
        <w:t>), and specific proteins expression (</w:t>
      </w:r>
      <w:r w:rsidRPr="00DD3B58">
        <w:rPr>
          <w:rFonts w:asciiTheme="minorHAnsi" w:hAnsiTheme="minorHAnsi" w:cstheme="minorHAnsi"/>
          <w:b/>
          <w:bCs/>
          <w:color w:val="auto"/>
        </w:rPr>
        <w:t>Figure</w:t>
      </w:r>
      <w:r w:rsidR="006B1B14" w:rsidRPr="00DD3B58">
        <w:rPr>
          <w:rFonts w:asciiTheme="minorHAnsi" w:hAnsiTheme="minorHAnsi" w:cstheme="minorHAnsi"/>
          <w:b/>
          <w:bCs/>
          <w:color w:val="auto"/>
        </w:rPr>
        <w:t xml:space="preserve"> 4</w:t>
      </w:r>
      <w:r w:rsidR="006B1B14" w:rsidRPr="00F76890">
        <w:rPr>
          <w:rFonts w:asciiTheme="minorHAnsi" w:hAnsiTheme="minorHAnsi" w:cstheme="minorHAnsi"/>
          <w:color w:val="auto"/>
        </w:rPr>
        <w:t xml:space="preserve">). </w:t>
      </w:r>
    </w:p>
    <w:p w14:paraId="6AE62B93" w14:textId="77777777" w:rsidR="006B1B14" w:rsidRPr="00F76890" w:rsidRDefault="006B1B14" w:rsidP="00F012D5">
      <w:pPr>
        <w:contextualSpacing/>
        <w:rPr>
          <w:rFonts w:asciiTheme="minorHAnsi" w:eastAsia="Calibri" w:hAnsiTheme="minorHAnsi" w:cstheme="minorHAnsi"/>
          <w:color w:val="auto"/>
        </w:rPr>
      </w:pPr>
    </w:p>
    <w:p w14:paraId="1B229646" w14:textId="6054AF4C" w:rsidR="006B1B14" w:rsidRPr="00F76890" w:rsidRDefault="006B1B14" w:rsidP="00F012D5">
      <w:pPr>
        <w:contextualSpacing/>
        <w:rPr>
          <w:rFonts w:asciiTheme="minorHAnsi" w:eastAsia="Calibri" w:hAnsiTheme="minorHAnsi" w:cstheme="minorHAnsi"/>
          <w:color w:val="auto"/>
        </w:rPr>
      </w:pPr>
      <w:r w:rsidRPr="00F76890">
        <w:rPr>
          <w:rFonts w:asciiTheme="minorHAnsi" w:eastAsia="Calibri" w:hAnsiTheme="minorHAnsi" w:cstheme="minorHAnsi"/>
          <w:color w:val="auto"/>
        </w:rPr>
        <w:t>The MTT assay is used to obtain a quick overview of the cytotoxicity of the materials in a quick and straightforward way. A comparison between two or more materials can be made (</w:t>
      </w:r>
      <w:r w:rsidR="00DD3B58" w:rsidRPr="00DD3B58">
        <w:rPr>
          <w:rFonts w:asciiTheme="minorHAnsi" w:eastAsia="Calibri" w:hAnsiTheme="minorHAnsi" w:cstheme="minorHAnsi"/>
          <w:b/>
          <w:bCs/>
          <w:color w:val="auto"/>
        </w:rPr>
        <w:t>Figure</w:t>
      </w:r>
      <w:r w:rsidRPr="00DD3B58">
        <w:rPr>
          <w:rFonts w:asciiTheme="minorHAnsi" w:eastAsia="Calibri" w:hAnsiTheme="minorHAnsi" w:cstheme="minorHAnsi"/>
          <w:b/>
          <w:bCs/>
          <w:color w:val="auto"/>
        </w:rPr>
        <w:t xml:space="preserve"> 2</w:t>
      </w:r>
      <w:r w:rsidRPr="00F76890">
        <w:rPr>
          <w:rFonts w:asciiTheme="minorHAnsi" w:eastAsia="Calibri" w:hAnsiTheme="minorHAnsi" w:cstheme="minorHAnsi"/>
          <w:color w:val="auto"/>
        </w:rPr>
        <w:t>), where a severe reduction of the metabolic activity, even when low (6.25%) and medium concentrations (50%), indicates higher toxicity (</w:t>
      </w:r>
      <w:r w:rsidR="00DD3B58" w:rsidRPr="00DD3B58">
        <w:rPr>
          <w:rFonts w:asciiTheme="minorHAnsi" w:eastAsia="Calibri" w:hAnsiTheme="minorHAnsi" w:cstheme="minorHAnsi"/>
          <w:b/>
          <w:bCs/>
          <w:color w:val="auto"/>
        </w:rPr>
        <w:t>Figure</w:t>
      </w:r>
      <w:r w:rsidRPr="00DD3B58">
        <w:rPr>
          <w:rFonts w:asciiTheme="minorHAnsi" w:eastAsia="Calibri" w:hAnsiTheme="minorHAnsi" w:cstheme="minorHAnsi"/>
          <w:b/>
          <w:bCs/>
          <w:color w:val="auto"/>
        </w:rPr>
        <w:t xml:space="preserve"> 2</w:t>
      </w:r>
      <w:r w:rsidR="00C44FA0">
        <w:rPr>
          <w:rFonts w:asciiTheme="minorHAnsi" w:eastAsia="Calibri" w:hAnsiTheme="minorHAnsi" w:cstheme="minorHAnsi"/>
          <w:b/>
          <w:bCs/>
          <w:color w:val="auto"/>
        </w:rPr>
        <w:t>a</w:t>
      </w:r>
      <w:r w:rsidRPr="00F76890">
        <w:rPr>
          <w:rFonts w:asciiTheme="minorHAnsi" w:eastAsia="Calibri" w:hAnsiTheme="minorHAnsi" w:cstheme="minorHAnsi"/>
          <w:color w:val="auto"/>
        </w:rPr>
        <w:t>). At the same time, less cytotoxic materials present only lighter or no reduction (</w:t>
      </w:r>
      <w:r w:rsidR="00DD3B58" w:rsidRPr="00DD3B58">
        <w:rPr>
          <w:rFonts w:asciiTheme="minorHAnsi" w:eastAsia="Calibri" w:hAnsiTheme="minorHAnsi" w:cstheme="minorHAnsi"/>
          <w:b/>
          <w:bCs/>
          <w:color w:val="auto"/>
        </w:rPr>
        <w:t>Figure</w:t>
      </w:r>
      <w:r w:rsidRPr="00DD3B58">
        <w:rPr>
          <w:rFonts w:asciiTheme="minorHAnsi" w:eastAsia="Calibri" w:hAnsiTheme="minorHAnsi" w:cstheme="minorHAnsi"/>
          <w:b/>
          <w:bCs/>
          <w:color w:val="auto"/>
        </w:rPr>
        <w:t xml:space="preserve"> 2</w:t>
      </w:r>
      <w:r w:rsidR="00C44FA0">
        <w:rPr>
          <w:rFonts w:asciiTheme="minorHAnsi" w:eastAsia="Calibri" w:hAnsiTheme="minorHAnsi" w:cstheme="minorHAnsi"/>
          <w:b/>
          <w:bCs/>
          <w:color w:val="auto"/>
        </w:rPr>
        <w:t>b</w:t>
      </w:r>
      <w:r w:rsidRPr="00F76890">
        <w:rPr>
          <w:rFonts w:asciiTheme="minorHAnsi" w:eastAsia="Calibri" w:hAnsiTheme="minorHAnsi" w:cstheme="minorHAnsi"/>
          <w:color w:val="auto"/>
        </w:rPr>
        <w:t xml:space="preserve">). Comparisons between different time points allow determining more immediate cytotoxic effects or at later stages. </w:t>
      </w:r>
    </w:p>
    <w:p w14:paraId="18EBB640" w14:textId="77777777" w:rsidR="006B1B14" w:rsidRPr="00F76890" w:rsidRDefault="006B1B14" w:rsidP="00F012D5">
      <w:pPr>
        <w:contextualSpacing/>
        <w:rPr>
          <w:rFonts w:asciiTheme="minorHAnsi" w:eastAsia="Calibri" w:hAnsiTheme="minorHAnsi" w:cstheme="minorHAnsi"/>
          <w:color w:val="auto"/>
        </w:rPr>
      </w:pPr>
    </w:p>
    <w:p w14:paraId="25BB7F48" w14:textId="2A40F973" w:rsidR="006B1B14" w:rsidRPr="00F76890" w:rsidRDefault="006B1B14" w:rsidP="00F012D5">
      <w:pPr>
        <w:contextualSpacing/>
        <w:rPr>
          <w:rFonts w:asciiTheme="minorHAnsi" w:eastAsia="Calibri" w:hAnsiTheme="minorHAnsi" w:cstheme="minorHAnsi"/>
          <w:color w:val="auto"/>
        </w:rPr>
      </w:pPr>
      <w:r w:rsidRPr="00F76890">
        <w:rPr>
          <w:rFonts w:asciiTheme="minorHAnsi" w:eastAsia="Calibri" w:hAnsiTheme="minorHAnsi" w:cstheme="minorHAnsi"/>
          <w:color w:val="auto"/>
        </w:rPr>
        <w:t>Effects on cell viability provide important information about viable cell reduction, which can compromise the tissues' capacity to recover after a damaging effect. The determination of the percentage of viable cells allows comparing material</w:t>
      </w:r>
      <w:r w:rsidR="00DD3B58">
        <w:rPr>
          <w:rFonts w:asciiTheme="minorHAnsi" w:eastAsia="Calibri" w:hAnsiTheme="minorHAnsi" w:cstheme="minorHAnsi"/>
          <w:color w:val="auto"/>
        </w:rPr>
        <w:t xml:space="preserve"> </w:t>
      </w:r>
      <w:r w:rsidRPr="00F76890">
        <w:rPr>
          <w:rFonts w:asciiTheme="minorHAnsi" w:eastAsia="Calibri" w:hAnsiTheme="minorHAnsi" w:cstheme="minorHAnsi"/>
          <w:color w:val="auto"/>
        </w:rPr>
        <w:t>cytotoxicity; more cytotoxic materials induce higher cell death for the same concentration (</w:t>
      </w:r>
      <w:r w:rsidR="00DD3B58" w:rsidRPr="00DD3B58">
        <w:rPr>
          <w:rFonts w:asciiTheme="minorHAnsi" w:eastAsia="Calibri" w:hAnsiTheme="minorHAnsi" w:cstheme="minorHAnsi"/>
          <w:b/>
          <w:bCs/>
          <w:color w:val="auto"/>
        </w:rPr>
        <w:t>Figure</w:t>
      </w:r>
      <w:r w:rsidRPr="00DD3B58">
        <w:rPr>
          <w:rFonts w:asciiTheme="minorHAnsi" w:eastAsia="Calibri" w:hAnsiTheme="minorHAnsi" w:cstheme="minorHAnsi"/>
          <w:b/>
          <w:bCs/>
          <w:color w:val="auto"/>
        </w:rPr>
        <w:t xml:space="preserve"> 3</w:t>
      </w:r>
      <w:r w:rsidR="00C44FA0">
        <w:rPr>
          <w:rFonts w:asciiTheme="minorHAnsi" w:eastAsia="Calibri" w:hAnsiTheme="minorHAnsi" w:cstheme="minorHAnsi"/>
          <w:b/>
          <w:bCs/>
          <w:color w:val="auto"/>
        </w:rPr>
        <w:t xml:space="preserve">a </w:t>
      </w:r>
      <w:r w:rsidRPr="00DD3B58">
        <w:rPr>
          <w:rFonts w:asciiTheme="minorHAnsi" w:eastAsia="Calibri" w:hAnsiTheme="minorHAnsi" w:cstheme="minorHAnsi"/>
          <w:b/>
          <w:bCs/>
          <w:color w:val="auto"/>
        </w:rPr>
        <w:t>and 3</w:t>
      </w:r>
      <w:r w:rsidR="00C44FA0">
        <w:rPr>
          <w:rFonts w:asciiTheme="minorHAnsi" w:eastAsia="Calibri" w:hAnsiTheme="minorHAnsi" w:cstheme="minorHAnsi"/>
          <w:b/>
          <w:bCs/>
          <w:color w:val="auto"/>
        </w:rPr>
        <w:t>b</w:t>
      </w:r>
      <w:r w:rsidRPr="00F76890">
        <w:rPr>
          <w:rFonts w:asciiTheme="minorHAnsi" w:eastAsia="Calibri" w:hAnsiTheme="minorHAnsi" w:cstheme="minorHAnsi"/>
          <w:color w:val="auto"/>
        </w:rPr>
        <w:t>). Reductions superior to 30% are critical and define materials at risk of low biocompatibility (</w:t>
      </w:r>
      <w:r w:rsidR="00DD3B58" w:rsidRPr="00DD3B58">
        <w:rPr>
          <w:rFonts w:asciiTheme="minorHAnsi" w:eastAsia="Calibri" w:hAnsiTheme="minorHAnsi" w:cstheme="minorHAnsi"/>
          <w:b/>
          <w:bCs/>
          <w:color w:val="auto"/>
        </w:rPr>
        <w:t>Figure</w:t>
      </w:r>
      <w:r w:rsidRPr="00DD3B58">
        <w:rPr>
          <w:rFonts w:asciiTheme="minorHAnsi" w:eastAsia="Calibri" w:hAnsiTheme="minorHAnsi" w:cstheme="minorHAnsi"/>
          <w:b/>
          <w:bCs/>
          <w:color w:val="auto"/>
        </w:rPr>
        <w:t xml:space="preserve"> 3</w:t>
      </w:r>
      <w:r w:rsidR="00C44FA0">
        <w:rPr>
          <w:rFonts w:asciiTheme="minorHAnsi" w:eastAsia="Calibri" w:hAnsiTheme="minorHAnsi" w:cstheme="minorHAnsi"/>
          <w:b/>
          <w:bCs/>
          <w:color w:val="auto"/>
        </w:rPr>
        <w:t>a</w:t>
      </w:r>
      <w:r w:rsidRPr="00F76890">
        <w:rPr>
          <w:rFonts w:asciiTheme="minorHAnsi" w:eastAsia="Calibri" w:hAnsiTheme="minorHAnsi" w:cstheme="minorHAnsi"/>
          <w:color w:val="auto"/>
        </w:rPr>
        <w:t>). This information is completed with the cell death profile (</w:t>
      </w:r>
      <w:r w:rsidR="00DD3B58" w:rsidRPr="00DD3B58">
        <w:rPr>
          <w:rFonts w:asciiTheme="minorHAnsi" w:eastAsia="Calibri" w:hAnsiTheme="minorHAnsi" w:cstheme="minorHAnsi"/>
          <w:b/>
          <w:bCs/>
          <w:color w:val="auto"/>
        </w:rPr>
        <w:t>Figure</w:t>
      </w:r>
      <w:r w:rsidRPr="00DD3B58">
        <w:rPr>
          <w:rFonts w:asciiTheme="minorHAnsi" w:eastAsia="Calibri" w:hAnsiTheme="minorHAnsi" w:cstheme="minorHAnsi"/>
          <w:b/>
          <w:bCs/>
          <w:color w:val="auto"/>
        </w:rPr>
        <w:t>s 3</w:t>
      </w:r>
      <w:r w:rsidR="00C44FA0">
        <w:rPr>
          <w:rFonts w:asciiTheme="minorHAnsi" w:eastAsia="Calibri" w:hAnsiTheme="minorHAnsi" w:cstheme="minorHAnsi"/>
          <w:b/>
          <w:bCs/>
          <w:color w:val="auto"/>
        </w:rPr>
        <w:t>a</w:t>
      </w:r>
      <w:r w:rsidRPr="00DD3B58">
        <w:rPr>
          <w:rFonts w:asciiTheme="minorHAnsi" w:eastAsia="Calibri" w:hAnsiTheme="minorHAnsi" w:cstheme="minorHAnsi"/>
          <w:b/>
          <w:bCs/>
          <w:color w:val="auto"/>
        </w:rPr>
        <w:t xml:space="preserve"> and 3</w:t>
      </w:r>
      <w:r w:rsidR="00C44FA0">
        <w:rPr>
          <w:rFonts w:asciiTheme="minorHAnsi" w:eastAsia="Calibri" w:hAnsiTheme="minorHAnsi" w:cstheme="minorHAnsi"/>
          <w:b/>
          <w:bCs/>
          <w:color w:val="auto"/>
        </w:rPr>
        <w:t>b</w:t>
      </w:r>
      <w:r w:rsidRPr="00F76890">
        <w:rPr>
          <w:rFonts w:asciiTheme="minorHAnsi" w:eastAsia="Calibri" w:hAnsiTheme="minorHAnsi" w:cstheme="minorHAnsi"/>
          <w:color w:val="auto"/>
        </w:rPr>
        <w:t>). In the representative results, more cytotoxic materials are characterized by an accentuated decrease in cell viability and for a late apoptosis and necrosis cell death profile (</w:t>
      </w:r>
      <w:r w:rsidR="00DD3B58" w:rsidRPr="00DD3B58">
        <w:rPr>
          <w:rFonts w:asciiTheme="minorHAnsi" w:eastAsia="Calibri" w:hAnsiTheme="minorHAnsi" w:cstheme="minorHAnsi"/>
          <w:b/>
          <w:bCs/>
          <w:color w:val="auto"/>
        </w:rPr>
        <w:t>Figure</w:t>
      </w:r>
      <w:r w:rsidRPr="00DD3B58">
        <w:rPr>
          <w:rFonts w:asciiTheme="minorHAnsi" w:eastAsia="Calibri" w:hAnsiTheme="minorHAnsi" w:cstheme="minorHAnsi"/>
          <w:b/>
          <w:bCs/>
          <w:color w:val="auto"/>
        </w:rPr>
        <w:t xml:space="preserve"> 3</w:t>
      </w:r>
      <w:r w:rsidR="00C44FA0">
        <w:rPr>
          <w:rFonts w:asciiTheme="minorHAnsi" w:eastAsia="Calibri" w:hAnsiTheme="minorHAnsi" w:cstheme="minorHAnsi"/>
          <w:b/>
          <w:bCs/>
          <w:color w:val="auto"/>
        </w:rPr>
        <w:t>a</w:t>
      </w:r>
      <w:r w:rsidRPr="00F76890">
        <w:rPr>
          <w:rFonts w:asciiTheme="minorHAnsi" w:eastAsia="Calibri" w:hAnsiTheme="minorHAnsi" w:cstheme="minorHAnsi"/>
          <w:color w:val="auto"/>
        </w:rPr>
        <w:t>), while less cytotoxic ones present less cell death and a more apoptotic and late apoptotic profile (</w:t>
      </w:r>
      <w:r w:rsidR="00DD3B58" w:rsidRPr="00DD3B58">
        <w:rPr>
          <w:rFonts w:asciiTheme="minorHAnsi" w:eastAsia="Calibri" w:hAnsiTheme="minorHAnsi" w:cstheme="minorHAnsi"/>
          <w:b/>
          <w:bCs/>
          <w:color w:val="auto"/>
        </w:rPr>
        <w:t>Figure</w:t>
      </w:r>
      <w:r w:rsidRPr="00DD3B58">
        <w:rPr>
          <w:rFonts w:asciiTheme="minorHAnsi" w:eastAsia="Calibri" w:hAnsiTheme="minorHAnsi" w:cstheme="minorHAnsi"/>
          <w:b/>
          <w:bCs/>
          <w:color w:val="auto"/>
        </w:rPr>
        <w:t xml:space="preserve"> 3</w:t>
      </w:r>
      <w:r w:rsidR="00C44FA0">
        <w:rPr>
          <w:rFonts w:asciiTheme="minorHAnsi" w:eastAsia="Calibri" w:hAnsiTheme="minorHAnsi" w:cstheme="minorHAnsi"/>
          <w:b/>
          <w:bCs/>
          <w:color w:val="auto"/>
        </w:rPr>
        <w:t>b</w:t>
      </w:r>
      <w:r w:rsidRPr="00F76890">
        <w:rPr>
          <w:rFonts w:asciiTheme="minorHAnsi" w:eastAsia="Calibri" w:hAnsiTheme="minorHAnsi" w:cstheme="minorHAnsi"/>
          <w:color w:val="auto"/>
        </w:rPr>
        <w:t xml:space="preserve">). </w:t>
      </w:r>
    </w:p>
    <w:p w14:paraId="250EB251" w14:textId="77777777" w:rsidR="006B1B14" w:rsidRPr="00F76890" w:rsidRDefault="006B1B14" w:rsidP="00F012D5">
      <w:pPr>
        <w:contextualSpacing/>
        <w:rPr>
          <w:rFonts w:asciiTheme="minorHAnsi" w:eastAsia="Calibri" w:hAnsiTheme="minorHAnsi" w:cstheme="minorHAnsi"/>
          <w:color w:val="auto"/>
        </w:rPr>
      </w:pPr>
    </w:p>
    <w:p w14:paraId="3FDB9A01" w14:textId="58996297" w:rsidR="006B1B14" w:rsidRPr="00F76890" w:rsidRDefault="006B1B14" w:rsidP="00F012D5">
      <w:pPr>
        <w:contextualSpacing/>
        <w:rPr>
          <w:rFonts w:asciiTheme="minorHAnsi" w:eastAsia="Calibri" w:hAnsiTheme="minorHAnsi" w:cstheme="minorHAnsi"/>
          <w:color w:val="auto"/>
        </w:rPr>
      </w:pPr>
      <w:r w:rsidRPr="00F76890">
        <w:rPr>
          <w:rFonts w:asciiTheme="minorHAnsi" w:eastAsia="Calibri" w:hAnsiTheme="minorHAnsi" w:cstheme="minorHAnsi"/>
          <w:color w:val="auto"/>
        </w:rPr>
        <w:t>The information obtained from the cellular morphology evaluation (</w:t>
      </w:r>
      <w:r w:rsidR="00DD3B58" w:rsidRPr="00DD3B58">
        <w:rPr>
          <w:rFonts w:asciiTheme="minorHAnsi" w:eastAsia="Calibri" w:hAnsiTheme="minorHAnsi" w:cstheme="minorHAnsi"/>
          <w:b/>
          <w:bCs/>
          <w:color w:val="auto"/>
        </w:rPr>
        <w:t>Figure</w:t>
      </w:r>
      <w:r w:rsidRPr="00DD3B58">
        <w:rPr>
          <w:rFonts w:asciiTheme="minorHAnsi" w:eastAsia="Calibri" w:hAnsiTheme="minorHAnsi" w:cstheme="minorHAnsi"/>
          <w:b/>
          <w:bCs/>
          <w:color w:val="auto"/>
        </w:rPr>
        <w:t xml:space="preserve"> 3</w:t>
      </w:r>
      <w:r w:rsidR="00C44FA0">
        <w:rPr>
          <w:rFonts w:asciiTheme="minorHAnsi" w:eastAsia="Calibri" w:hAnsiTheme="minorHAnsi" w:cstheme="minorHAnsi"/>
          <w:b/>
          <w:bCs/>
          <w:color w:val="auto"/>
        </w:rPr>
        <w:t>c</w:t>
      </w:r>
      <w:r w:rsidRPr="00F76890">
        <w:rPr>
          <w:rFonts w:asciiTheme="minorHAnsi" w:eastAsia="Calibri" w:hAnsiTheme="minorHAnsi" w:cstheme="minorHAnsi"/>
          <w:color w:val="auto"/>
        </w:rPr>
        <w:t>) complements the cell viability evaluation. Changes from the cell´s typical morphology can indicate an apoptotic or necrotic profile</w:t>
      </w:r>
      <w:r w:rsidRPr="00F76890">
        <w:rPr>
          <w:rFonts w:asciiTheme="minorHAnsi" w:eastAsia="Calibri" w:hAnsiTheme="minorHAnsi" w:cstheme="minorHAnsi"/>
          <w:color w:val="auto"/>
        </w:rPr>
        <w:fldChar w:fldCharType="begin" w:fldLock="1"/>
      </w:r>
      <w:r w:rsidRPr="00F76890">
        <w:rPr>
          <w:rFonts w:asciiTheme="minorHAnsi" w:eastAsia="Calibri" w:hAnsiTheme="minorHAnsi" w:cstheme="minorHAnsi"/>
          <w:color w:val="auto"/>
        </w:rPr>
        <w:instrText>ADDIN CSL_CITATION {"citationItems":[{"id":"ITEM-1","itemData":{"DOI":"10.1172/JCI2261","ISSN":"0021-9738","author":[{"dropping-particle":"","family":"Bordron","given":"A","non-dropping-particle":"","parse-names":false,"suffix":""},{"dropping-particle":"","family":"Dueymes","given":"M","non-dropping-particle":"","parse-names":false,"suffix":""},{"dropping-particle":"","family":"Levy","given":"Y","non-dropping-particle":"","parse-names":false,"suffix":""},{"dropping-particle":"","family":"Jamin","given":"C","non-dropping-particle":"","parse-names":false,"suffix":""},{"dropping-particle":"","family":"Leroy","given":"J P","non-dropping-particle":"","parse-names":false,"suffix":""},{"dropping-particle":"","family":"Piette","given":"J C","non-dropping-particle":"","parse-names":false,"suffix":""},{"dropping-particle":"","family":"Shoenfeld","given":"Y","non-dropping-particle":"","parse-names":false,"suffix":""},{"dropping-particle":"","family":"Youinou","given":"P Y","non-dropping-particle":"","parse-names":false,"suffix":""}],"container-title":"Journal of Clinical Investigation","id":"ITEM-1","issue":"10","issued":{"date-parts":[["1998","5","15"]]},"page":"2029-2035","title":"The binding of some human antiendothelial cell antibodies induces endothelial cell apoptosis.","type":"article-journal","volume":"101"},"uris":["http://www.mendeley.com/documents/?uuid=b702798d-e8c4-4717-b686-564ac8f715d7","http://www.mendeley.com/documents/?uuid=06a8cd8c-2b95-48ea-bdb0-4428260d4728"]}],"mendeley":{"formattedCitation":"&lt;sup&gt;16&lt;/sup&gt;","plainTextFormattedCitation":"16","previouslyFormattedCitation":"&lt;sup&gt;16&lt;/sup&gt;"},"properties":{"noteIndex":0},"schema":"https://github.com/citation-style-language/schema/raw/master/csl-citation.json"}</w:instrText>
      </w:r>
      <w:r w:rsidRPr="00F76890">
        <w:rPr>
          <w:rFonts w:asciiTheme="minorHAnsi" w:eastAsia="Calibri" w:hAnsiTheme="minorHAnsi" w:cstheme="minorHAnsi"/>
          <w:color w:val="auto"/>
        </w:rPr>
        <w:fldChar w:fldCharType="separate"/>
      </w:r>
      <w:r w:rsidRPr="00F76890">
        <w:rPr>
          <w:rFonts w:asciiTheme="minorHAnsi" w:eastAsia="Calibri" w:hAnsiTheme="minorHAnsi" w:cstheme="minorHAnsi"/>
          <w:noProof/>
          <w:color w:val="auto"/>
          <w:vertAlign w:val="superscript"/>
        </w:rPr>
        <w:t>16</w:t>
      </w:r>
      <w:r w:rsidRPr="00F76890">
        <w:rPr>
          <w:rFonts w:asciiTheme="minorHAnsi" w:eastAsia="Calibri" w:hAnsiTheme="minorHAnsi" w:cstheme="minorHAnsi"/>
          <w:color w:val="auto"/>
        </w:rPr>
        <w:fldChar w:fldCharType="end"/>
      </w:r>
      <w:r w:rsidRPr="00F76890">
        <w:rPr>
          <w:rFonts w:asciiTheme="minorHAnsi" w:eastAsia="Calibri" w:hAnsiTheme="minorHAnsi" w:cstheme="minorHAnsi"/>
          <w:color w:val="auto"/>
        </w:rPr>
        <w:t xml:space="preserve">. Also, additional information can be obtained from this protocol, like the observation of material particles (red arrows, </w:t>
      </w:r>
      <w:r w:rsidR="00DD3B58" w:rsidRPr="00DD3B58">
        <w:rPr>
          <w:rFonts w:asciiTheme="minorHAnsi" w:eastAsia="Calibri" w:hAnsiTheme="minorHAnsi" w:cstheme="minorHAnsi"/>
          <w:b/>
          <w:bCs/>
          <w:color w:val="auto"/>
        </w:rPr>
        <w:t>Figure</w:t>
      </w:r>
      <w:r w:rsidRPr="00DD3B58">
        <w:rPr>
          <w:rFonts w:asciiTheme="minorHAnsi" w:eastAsia="Calibri" w:hAnsiTheme="minorHAnsi" w:cstheme="minorHAnsi"/>
          <w:b/>
          <w:bCs/>
          <w:color w:val="auto"/>
        </w:rPr>
        <w:t xml:space="preserve"> 3C</w:t>
      </w:r>
      <w:r w:rsidRPr="00F76890">
        <w:rPr>
          <w:rFonts w:asciiTheme="minorHAnsi" w:eastAsia="Calibri" w:hAnsiTheme="minorHAnsi" w:cstheme="minorHAnsi"/>
          <w:color w:val="auto"/>
        </w:rPr>
        <w:t>).</w:t>
      </w:r>
    </w:p>
    <w:p w14:paraId="66AFE443" w14:textId="77777777" w:rsidR="006B1B14" w:rsidRPr="00F76890" w:rsidRDefault="006B1B14" w:rsidP="00F012D5">
      <w:pPr>
        <w:contextualSpacing/>
        <w:rPr>
          <w:rFonts w:asciiTheme="minorHAnsi" w:eastAsia="Calibri" w:hAnsiTheme="minorHAnsi" w:cstheme="minorHAnsi"/>
          <w:color w:val="auto"/>
        </w:rPr>
      </w:pPr>
    </w:p>
    <w:p w14:paraId="04D4DE9F" w14:textId="62ECF185" w:rsidR="006B1B14" w:rsidRPr="00F76890" w:rsidRDefault="006B1B14" w:rsidP="00F012D5">
      <w:pPr>
        <w:contextualSpacing/>
        <w:rPr>
          <w:rFonts w:asciiTheme="minorHAnsi" w:eastAsia="Calibri" w:hAnsiTheme="minorHAnsi" w:cstheme="minorHAnsi"/>
          <w:color w:val="auto"/>
        </w:rPr>
      </w:pPr>
      <w:r w:rsidRPr="00F76890">
        <w:rPr>
          <w:rFonts w:asciiTheme="minorHAnsi" w:eastAsia="Calibri" w:hAnsiTheme="minorHAnsi" w:cstheme="minorHAnsi"/>
          <w:color w:val="auto"/>
        </w:rPr>
        <w:t>Specific markers, fundamental to cell function, affected by the extract</w:t>
      </w:r>
      <w:r w:rsidR="00C44FA0">
        <w:rPr>
          <w:rFonts w:asciiTheme="minorHAnsi" w:eastAsia="Calibri" w:hAnsiTheme="minorHAnsi" w:cstheme="minorHAnsi"/>
          <w:color w:val="auto"/>
        </w:rPr>
        <w:t xml:space="preserve"> </w:t>
      </w:r>
      <w:r w:rsidRPr="00F76890">
        <w:rPr>
          <w:rFonts w:asciiTheme="minorHAnsi" w:eastAsia="Calibri" w:hAnsiTheme="minorHAnsi" w:cstheme="minorHAnsi"/>
          <w:color w:val="auto"/>
        </w:rPr>
        <w:t>exposure can be evaluated by several techniques, as immunohistochemistry, PCR, flow cytometry, blotting, or colorimetric assays (</w:t>
      </w:r>
      <w:r w:rsidR="00DD3B58">
        <w:rPr>
          <w:rFonts w:asciiTheme="minorHAnsi" w:eastAsia="Calibri" w:hAnsiTheme="minorHAnsi" w:cstheme="minorHAnsi"/>
          <w:b/>
          <w:bCs/>
          <w:color w:val="auto"/>
        </w:rPr>
        <w:t>T</w:t>
      </w:r>
      <w:r w:rsidRPr="00DD3B58">
        <w:rPr>
          <w:rFonts w:asciiTheme="minorHAnsi" w:eastAsia="Calibri" w:hAnsiTheme="minorHAnsi" w:cstheme="minorHAnsi"/>
          <w:b/>
          <w:bCs/>
          <w:color w:val="auto"/>
        </w:rPr>
        <w:t>able 1</w:t>
      </w:r>
      <w:r w:rsidRPr="00F76890">
        <w:rPr>
          <w:rFonts w:asciiTheme="minorHAnsi" w:eastAsia="Calibri" w:hAnsiTheme="minorHAnsi" w:cstheme="minorHAnsi"/>
          <w:color w:val="auto"/>
        </w:rPr>
        <w:t xml:space="preserve">). Representative results of the DSP expression after exposure to extracts are shown in </w:t>
      </w:r>
      <w:r w:rsidR="00DD3B58" w:rsidRPr="00DD3B58">
        <w:rPr>
          <w:rFonts w:asciiTheme="minorHAnsi" w:eastAsia="Calibri" w:hAnsiTheme="minorHAnsi" w:cstheme="minorHAnsi"/>
          <w:b/>
          <w:bCs/>
          <w:color w:val="auto"/>
        </w:rPr>
        <w:t>Figure</w:t>
      </w:r>
      <w:r w:rsidRPr="00DD3B58">
        <w:rPr>
          <w:rFonts w:asciiTheme="minorHAnsi" w:eastAsia="Calibri" w:hAnsiTheme="minorHAnsi" w:cstheme="minorHAnsi"/>
          <w:b/>
          <w:bCs/>
          <w:color w:val="auto"/>
        </w:rPr>
        <w:t xml:space="preserve"> 4</w:t>
      </w:r>
      <w:r w:rsidR="00C44FA0">
        <w:rPr>
          <w:rFonts w:asciiTheme="minorHAnsi" w:eastAsia="Calibri" w:hAnsiTheme="minorHAnsi" w:cstheme="minorHAnsi"/>
          <w:b/>
          <w:bCs/>
          <w:color w:val="auto"/>
        </w:rPr>
        <w:t>a</w:t>
      </w:r>
      <w:r w:rsidRPr="00F76890">
        <w:rPr>
          <w:rFonts w:asciiTheme="minorHAnsi" w:eastAsia="Calibri" w:hAnsiTheme="minorHAnsi" w:cstheme="minorHAnsi"/>
          <w:color w:val="auto"/>
        </w:rPr>
        <w:t xml:space="preserve">, and </w:t>
      </w:r>
      <w:proofErr w:type="gramStart"/>
      <w:r w:rsidRPr="00F76890">
        <w:rPr>
          <w:rFonts w:asciiTheme="minorHAnsi" w:eastAsia="Calibri" w:hAnsiTheme="minorHAnsi" w:cstheme="minorHAnsi"/>
          <w:color w:val="auto"/>
        </w:rPr>
        <w:t>it can be seen that some</w:t>
      </w:r>
      <w:proofErr w:type="gramEnd"/>
      <w:r w:rsidRPr="00F76890">
        <w:rPr>
          <w:rFonts w:asciiTheme="minorHAnsi" w:eastAsia="Calibri" w:hAnsiTheme="minorHAnsi" w:cstheme="minorHAnsi"/>
          <w:color w:val="auto"/>
        </w:rPr>
        <w:t xml:space="preserve"> materials (tricalcium silicates cements) stimulate the cells to increase protein expression. In contrast, others (calcium hydroxide cements) promote a significant decrease in protein expression, independently of viability loss. In both cases, the concentration of the extracts directly influences the protein expression.</w:t>
      </w:r>
    </w:p>
    <w:p w14:paraId="756D2C09" w14:textId="77777777" w:rsidR="006B1B14" w:rsidRPr="00F76890" w:rsidRDefault="006B1B14" w:rsidP="00F012D5">
      <w:pPr>
        <w:contextualSpacing/>
        <w:rPr>
          <w:rFonts w:asciiTheme="minorHAnsi" w:eastAsia="Calibri" w:hAnsiTheme="minorHAnsi" w:cstheme="minorHAnsi"/>
          <w:color w:val="auto"/>
        </w:rPr>
      </w:pPr>
    </w:p>
    <w:p w14:paraId="783F50E6" w14:textId="2FA811A6" w:rsidR="006B1B14" w:rsidRPr="00F76890" w:rsidRDefault="006B1B14" w:rsidP="00F012D5">
      <w:pPr>
        <w:contextualSpacing/>
        <w:rPr>
          <w:rFonts w:asciiTheme="minorHAnsi" w:eastAsia="Calibri" w:hAnsiTheme="minorHAnsi" w:cstheme="minorHAnsi"/>
          <w:color w:val="auto"/>
        </w:rPr>
      </w:pPr>
      <w:r w:rsidRPr="00F76890">
        <w:rPr>
          <w:rFonts w:asciiTheme="minorHAnsi" w:eastAsia="Calibri" w:hAnsiTheme="minorHAnsi" w:cstheme="minorHAnsi"/>
          <w:color w:val="auto"/>
        </w:rPr>
        <w:t xml:space="preserve">In the MDPC-23 cell line of the odontoblast phenotype, the formation of mineralization deposits is characteristic. The protocol for the mineralized deposits identification and quantification allows evaluating the specific function of this type of specialized cells. In the presented case, it was observed that besides being less cytotoxic, tricalcium silicates cement stimulates the cell </w:t>
      </w:r>
      <w:proofErr w:type="gramStart"/>
      <w:r w:rsidRPr="00F76890">
        <w:rPr>
          <w:rFonts w:asciiTheme="minorHAnsi" w:eastAsia="Calibri" w:hAnsiTheme="minorHAnsi" w:cstheme="minorHAnsi"/>
          <w:color w:val="auto"/>
        </w:rPr>
        <w:t>function, once</w:t>
      </w:r>
      <w:proofErr w:type="gramEnd"/>
      <w:r w:rsidRPr="00F76890">
        <w:rPr>
          <w:rFonts w:asciiTheme="minorHAnsi" w:eastAsia="Calibri" w:hAnsiTheme="minorHAnsi" w:cstheme="minorHAnsi"/>
          <w:color w:val="auto"/>
        </w:rPr>
        <w:t xml:space="preserve"> an increase in mineralized deposits was observed (</w:t>
      </w:r>
      <w:r w:rsidRPr="00C44FA0">
        <w:rPr>
          <w:rFonts w:asciiTheme="minorHAnsi" w:eastAsia="Calibri" w:hAnsiTheme="minorHAnsi" w:cstheme="minorHAnsi"/>
          <w:b/>
          <w:bCs/>
          <w:color w:val="auto"/>
        </w:rPr>
        <w:t>Figure 4</w:t>
      </w:r>
      <w:r w:rsidR="00C44FA0">
        <w:rPr>
          <w:rFonts w:asciiTheme="minorHAnsi" w:eastAsia="Calibri" w:hAnsiTheme="minorHAnsi" w:cstheme="minorHAnsi"/>
          <w:b/>
          <w:bCs/>
          <w:color w:val="auto"/>
        </w:rPr>
        <w:t>b</w:t>
      </w:r>
      <w:r w:rsidRPr="00F76890">
        <w:rPr>
          <w:rFonts w:asciiTheme="minorHAnsi" w:eastAsia="Calibri" w:hAnsiTheme="minorHAnsi" w:cstheme="minorHAnsi"/>
          <w:color w:val="auto"/>
        </w:rPr>
        <w:t>). On the opposite, the more cytotoxic calcium hydroxide cement led to reduced mineral deposition due to cell impairment and death (</w:t>
      </w:r>
      <w:r w:rsidR="00DD3B58" w:rsidRPr="00C44FA0">
        <w:rPr>
          <w:rFonts w:asciiTheme="minorHAnsi" w:eastAsia="Calibri" w:hAnsiTheme="minorHAnsi" w:cstheme="minorHAnsi"/>
          <w:b/>
          <w:bCs/>
          <w:color w:val="auto"/>
        </w:rPr>
        <w:t>Figure</w:t>
      </w:r>
      <w:r w:rsidRPr="00C44FA0">
        <w:rPr>
          <w:rFonts w:asciiTheme="minorHAnsi" w:eastAsia="Calibri" w:hAnsiTheme="minorHAnsi" w:cstheme="minorHAnsi"/>
          <w:b/>
          <w:bCs/>
          <w:color w:val="auto"/>
        </w:rPr>
        <w:t xml:space="preserve"> 4</w:t>
      </w:r>
      <w:r w:rsidR="00C44FA0">
        <w:rPr>
          <w:rFonts w:asciiTheme="minorHAnsi" w:eastAsia="Calibri" w:hAnsiTheme="minorHAnsi" w:cstheme="minorHAnsi"/>
          <w:b/>
          <w:bCs/>
          <w:color w:val="auto"/>
        </w:rPr>
        <w:t>b</w:t>
      </w:r>
      <w:r w:rsidRPr="00F76890">
        <w:rPr>
          <w:rFonts w:asciiTheme="minorHAnsi" w:eastAsia="Calibri" w:hAnsiTheme="minorHAnsi" w:cstheme="minorHAnsi"/>
          <w:color w:val="auto"/>
        </w:rPr>
        <w:t>). Additional to a qualitative evaluation, a quantitative determination can be performed (</w:t>
      </w:r>
      <w:r w:rsidR="00DD3B58" w:rsidRPr="00C44FA0">
        <w:rPr>
          <w:rFonts w:asciiTheme="minorHAnsi" w:eastAsia="Calibri" w:hAnsiTheme="minorHAnsi" w:cstheme="minorHAnsi"/>
          <w:b/>
          <w:bCs/>
          <w:color w:val="auto"/>
        </w:rPr>
        <w:t>Figure</w:t>
      </w:r>
      <w:r w:rsidRPr="00C44FA0">
        <w:rPr>
          <w:rFonts w:asciiTheme="minorHAnsi" w:eastAsia="Calibri" w:hAnsiTheme="minorHAnsi" w:cstheme="minorHAnsi"/>
          <w:b/>
          <w:bCs/>
          <w:color w:val="auto"/>
        </w:rPr>
        <w:t xml:space="preserve"> 4</w:t>
      </w:r>
      <w:r w:rsidR="00C44FA0">
        <w:rPr>
          <w:rFonts w:asciiTheme="minorHAnsi" w:eastAsia="Calibri" w:hAnsiTheme="minorHAnsi" w:cstheme="minorHAnsi"/>
          <w:b/>
          <w:bCs/>
          <w:color w:val="auto"/>
        </w:rPr>
        <w:t>c</w:t>
      </w:r>
      <w:r w:rsidRPr="00F76890">
        <w:rPr>
          <w:rFonts w:asciiTheme="minorHAnsi" w:eastAsia="Calibri" w:hAnsiTheme="minorHAnsi" w:cstheme="minorHAnsi"/>
          <w:color w:val="auto"/>
        </w:rPr>
        <w:t>).</w:t>
      </w:r>
    </w:p>
    <w:p w14:paraId="300F7CAB" w14:textId="77777777" w:rsidR="006B1B14" w:rsidRPr="00F76890" w:rsidRDefault="006B1B14" w:rsidP="00F012D5">
      <w:pPr>
        <w:contextualSpacing/>
        <w:rPr>
          <w:rFonts w:asciiTheme="minorHAnsi" w:hAnsiTheme="minorHAnsi" w:cstheme="minorHAnsi"/>
          <w:color w:val="auto"/>
        </w:rPr>
      </w:pPr>
    </w:p>
    <w:p w14:paraId="5D2E825D" w14:textId="77777777"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b/>
          <w:color w:val="auto"/>
        </w:rPr>
        <w:t>FIGURE AND TABLE LEGENDS:</w:t>
      </w:r>
    </w:p>
    <w:p w14:paraId="5C4C063F" w14:textId="77777777" w:rsidR="006B1B14" w:rsidRPr="00F76890" w:rsidRDefault="006B1B14" w:rsidP="00F012D5">
      <w:pPr>
        <w:contextualSpacing/>
        <w:rPr>
          <w:rFonts w:asciiTheme="minorHAnsi" w:hAnsiTheme="minorHAnsi" w:cstheme="minorHAnsi"/>
          <w:b/>
          <w:bCs/>
          <w:color w:val="auto"/>
        </w:rPr>
      </w:pPr>
    </w:p>
    <w:p w14:paraId="6B987E45" w14:textId="3710B9E2" w:rsidR="006B1B14" w:rsidRPr="00F76890" w:rsidRDefault="006B1B14" w:rsidP="00F012D5">
      <w:pPr>
        <w:widowControl/>
        <w:autoSpaceDE/>
        <w:autoSpaceDN/>
        <w:adjustRightInd/>
        <w:contextualSpacing/>
        <w:rPr>
          <w:b/>
          <w:bCs/>
          <w:color w:val="auto"/>
        </w:rPr>
      </w:pPr>
      <w:r w:rsidRPr="00F76890">
        <w:rPr>
          <w:b/>
          <w:bCs/>
          <w:color w:val="auto"/>
        </w:rPr>
        <w:t>Figure 1:</w:t>
      </w:r>
      <w:r w:rsidR="0064588C" w:rsidRPr="00F76890">
        <w:rPr>
          <w:b/>
          <w:bCs/>
          <w:color w:val="auto"/>
        </w:rPr>
        <w:t xml:space="preserve"> </w:t>
      </w:r>
      <w:r w:rsidRPr="00F76890">
        <w:rPr>
          <w:b/>
          <w:bCs/>
          <w:color w:val="auto"/>
        </w:rPr>
        <w:t xml:space="preserve">Scheme of the preparation and dilutions of soluble extracts. </w:t>
      </w:r>
    </w:p>
    <w:p w14:paraId="5430FFAC" w14:textId="77777777" w:rsidR="006B1B14" w:rsidRPr="00F76890" w:rsidRDefault="006B1B14" w:rsidP="00F012D5">
      <w:pPr>
        <w:contextualSpacing/>
        <w:rPr>
          <w:rFonts w:asciiTheme="minorHAnsi" w:hAnsiTheme="minorHAnsi" w:cstheme="minorHAnsi"/>
          <w:bCs/>
          <w:color w:val="auto"/>
        </w:rPr>
      </w:pPr>
    </w:p>
    <w:p w14:paraId="76CD44D2" w14:textId="631B113F" w:rsidR="006B1B14" w:rsidRPr="00F76890" w:rsidRDefault="006B1B14" w:rsidP="00F012D5">
      <w:pPr>
        <w:contextualSpacing/>
        <w:rPr>
          <w:rFonts w:asciiTheme="minorHAnsi" w:eastAsia="Calibri" w:hAnsiTheme="minorHAnsi" w:cstheme="minorHAnsi"/>
          <w:color w:val="auto"/>
        </w:rPr>
      </w:pPr>
      <w:r w:rsidRPr="00F76890">
        <w:rPr>
          <w:rFonts w:asciiTheme="minorHAnsi" w:hAnsiTheme="minorHAnsi" w:cstheme="minorHAnsi"/>
          <w:b/>
          <w:bCs/>
          <w:color w:val="auto"/>
        </w:rPr>
        <w:t>Figure 2</w:t>
      </w:r>
      <w:bookmarkStart w:id="7" w:name="_Hlk2698173"/>
      <w:r w:rsidRPr="00F76890">
        <w:rPr>
          <w:rFonts w:asciiTheme="minorHAnsi" w:eastAsia="Calibri" w:hAnsiTheme="minorHAnsi" w:cstheme="minorHAnsi"/>
          <w:b/>
          <w:bCs/>
          <w:color w:val="auto"/>
        </w:rPr>
        <w:t>:</w:t>
      </w:r>
      <w:r w:rsidRPr="00F76890">
        <w:rPr>
          <w:rFonts w:asciiTheme="minorHAnsi" w:eastAsia="Calibri" w:hAnsiTheme="minorHAnsi" w:cstheme="minorHAnsi"/>
          <w:color w:val="auto"/>
        </w:rPr>
        <w:t xml:space="preserve"> </w:t>
      </w:r>
      <w:r w:rsidRPr="00F76890">
        <w:rPr>
          <w:rFonts w:asciiTheme="minorHAnsi" w:eastAsia="Calibri" w:hAnsiTheme="minorHAnsi" w:cstheme="minorHAnsi"/>
          <w:b/>
          <w:bCs/>
          <w:color w:val="auto"/>
        </w:rPr>
        <w:t>Metabolic activity.</w:t>
      </w:r>
      <w:r w:rsidRPr="00F76890">
        <w:rPr>
          <w:rFonts w:asciiTheme="minorHAnsi" w:eastAsia="Calibri" w:hAnsiTheme="minorHAnsi" w:cstheme="minorHAnsi"/>
          <w:color w:val="auto"/>
        </w:rPr>
        <w:t xml:space="preserve"> Metabolic activity of MDPC-23 cells treated with calcium hydroxide cement [</w:t>
      </w:r>
      <w:r w:rsidRPr="00C44FA0">
        <w:rPr>
          <w:rFonts w:asciiTheme="minorHAnsi" w:eastAsia="Calibri" w:hAnsiTheme="minorHAnsi" w:cstheme="minorHAnsi"/>
          <w:b/>
          <w:bCs/>
          <w:color w:val="auto"/>
        </w:rPr>
        <w:t>a</w:t>
      </w:r>
      <w:r w:rsidRPr="00F76890">
        <w:rPr>
          <w:rFonts w:asciiTheme="minorHAnsi" w:eastAsia="Calibri" w:hAnsiTheme="minorHAnsi" w:cstheme="minorHAnsi"/>
          <w:color w:val="auto"/>
        </w:rPr>
        <w:t>)] and tricalcium silicate cement [</w:t>
      </w:r>
      <w:r w:rsidRPr="00C44FA0">
        <w:rPr>
          <w:rFonts w:asciiTheme="minorHAnsi" w:eastAsia="Calibri" w:hAnsiTheme="minorHAnsi" w:cstheme="minorHAnsi"/>
          <w:b/>
          <w:bCs/>
          <w:color w:val="auto"/>
        </w:rPr>
        <w:t>b</w:t>
      </w:r>
      <w:r w:rsidRPr="00F76890">
        <w:rPr>
          <w:rFonts w:asciiTheme="minorHAnsi" w:eastAsia="Calibri" w:hAnsiTheme="minorHAnsi" w:cstheme="minorHAnsi"/>
          <w:color w:val="auto"/>
        </w:rPr>
        <w:t xml:space="preserve">)] soluble extracts for 24, 72, and 120 hours. The results are normalized to the control cell cultures, with a value of 100%. Significant differences are represented by *, where * means p&lt;0.05, ** means p&lt;0.01, and *** means p&lt;0.001. </w:t>
      </w:r>
      <w:r w:rsidRPr="00F76890">
        <w:rPr>
          <w:rFonts w:asciiTheme="minorHAnsi" w:hAnsiTheme="minorHAnsi" w:cstheme="minorHAnsi"/>
          <w:iCs/>
          <w:color w:val="auto"/>
        </w:rPr>
        <w:t xml:space="preserve">Part of this </w:t>
      </w:r>
      <w:r w:rsidR="00DD3B58">
        <w:rPr>
          <w:rFonts w:asciiTheme="minorHAnsi" w:hAnsiTheme="minorHAnsi" w:cstheme="minorHAnsi"/>
          <w:iCs/>
          <w:color w:val="auto"/>
        </w:rPr>
        <w:t>Figure</w:t>
      </w:r>
      <w:r w:rsidRPr="00F76890">
        <w:rPr>
          <w:rFonts w:asciiTheme="minorHAnsi" w:hAnsiTheme="minorHAnsi" w:cstheme="minorHAnsi"/>
          <w:iCs/>
          <w:color w:val="auto"/>
        </w:rPr>
        <w:t xml:space="preserve"> has been modified from a previous publication with permission from the publisher</w:t>
      </w:r>
      <w:r w:rsidRPr="00F76890">
        <w:rPr>
          <w:rStyle w:val="FootnoteReference"/>
          <w:rFonts w:asciiTheme="minorHAnsi" w:hAnsiTheme="minorHAnsi" w:cstheme="minorHAnsi"/>
          <w:iCs/>
          <w:color w:val="auto"/>
        </w:rPr>
        <w:fldChar w:fldCharType="begin" w:fldLock="1"/>
      </w:r>
      <w:r w:rsidRPr="00F76890">
        <w:rPr>
          <w:rFonts w:asciiTheme="minorHAnsi" w:hAnsiTheme="minorHAnsi" w:cstheme="minorHAnsi"/>
          <w:iCs/>
          <w:color w:val="auto"/>
        </w:rPr>
        <w:instrText>ADDIN CSL_CITATION {"citationItems":[{"id":"ITEM-1","itemData":{"DOI":"10.3390/ma12071184","ISSN":"1996-1944","abstract":"&lt;p&gt;(1) Background: When pulp exposure occurs, reparative dentinogenesis can be induced by direct pulp capping to maintain the vitality and function of the tissue. The aim of this work was to assess the cytotoxicity and bioactivity of three different direct pulp capping materials, calcium hydroxide (Life®), mineral trioxide aggregate (WhiteProRoot®MTA) and calcium silicate (Biodentine™), in an odontoblast-like mouse cell line (MDPC-23). (2) Methods: Metabolic activity was assessed by the 3-(4,5-dimethylthiazol-2-yl)-2,5-diphenyltetrazolium bromide test (MTT)assay, viability by the sulforhodamine B (SRB) assay, and the type of death and cell cycle analysis by flow cytometry. Alkaline phosphatase was evaluated by polymerase chain reaction (PCR), and dentin sialoprotein expression was assessed by immunocytochemistry. Mineralization was determined by the Alizarin Red S colorimetric assay and quantified by spectrophotometry. (3) Results: Life® induced a decrease in metabolic activity and viability, which is associated with an increase cell death. WhiteProRoot®MTA and Biodentine™ induced similar effects in cytotoxicity assays, with an increase in the expression of dentin sialoprotein (DSP) and formation of mineralized deposits, especially with Biodentine™. (4) Conclusions: The results of WhiteProRoot®MTA confirm its indication for these therapies, justifying its recognition as the “gold standard”. Biodentine™ may be an alternative, since they promote the same cellular response that mineral trioxide aggregate (MTA) does.&lt;/p&gt;","author":[{"dropping-particle":"","family":"Paula","given":"Anabela","non-dropping-particle":"","parse-names":false,"suffix":""},{"dropping-particle":"","family":"Laranjo","given":"Mafalda","non-dropping-particle":"","parse-names":false,"suffix":""},{"dropping-particle":"","family":"Marto","given":"Carlos Miguel","non-dropping-particle":"","parse-names":false,"suffix":""},{"dropping-particle":"","family":"Abrantes","given":"Ana Margarida","non-dropping-particle":"","parse-names":false,"suffix":""},{"dropping-particle":"","family":"Casalta-Lopes","given":"João","non-dropping-particle":"","parse-names":false,"suffix":""},{"dropping-particle":"","family":"Gonçalves","given":"Ana Cristina","non-dropping-particle":"","parse-names":false,"suffix":""},{"dropping-particle":"","family":"Sarmento-Ribeiro","given":"Ana Bela","non-dropping-particle":"","parse-names":false,"suffix":""},{"dropping-particle":"","family":"Ferreira","given":"Manuel M.","non-dropping-particle":"","parse-names":false,"suffix":""},{"dropping-particle":"","family":"Botelho","given":"Maria Filomena","non-dropping-particle":"","parse-names":false,"suffix":""},{"dropping-particle":"","family":"Carrilho","given":"Eunice","non-dropping-particle":"","parse-names":false,"suffix":""}],"container-title":"Materials","id":"ITEM-1","issue":"7","issued":{"date-parts":[["2019","4","11"]]},"page":"1184","title":"Biodentine™ Boosts, WhiteProRoot®MTA Increases and Life® Suppresses Odontoblast Activity","type":"article-journal","volume":"12"},"uris":["http://www.mendeley.com/documents/?uuid=1ae23a33-c1d0-3bb4-a811-effd3c59f89b"]}],"mendeley":{"formattedCitation":"&lt;sup&gt;20&lt;/sup&gt;","plainTextFormattedCitation":"20","previouslyFormattedCitation":"&lt;sup&gt;20&lt;/sup&gt;"},"properties":{"noteIndex":0},"schema":"https://github.com/citation-style-language/schema/raw/master/csl-citation.json"}</w:instrText>
      </w:r>
      <w:r w:rsidRPr="00F76890">
        <w:rPr>
          <w:rStyle w:val="FootnoteReference"/>
          <w:rFonts w:asciiTheme="minorHAnsi" w:hAnsiTheme="minorHAnsi" w:cstheme="minorHAnsi"/>
          <w:iCs/>
          <w:color w:val="auto"/>
        </w:rPr>
        <w:fldChar w:fldCharType="separate"/>
      </w:r>
      <w:r w:rsidRPr="00F76890">
        <w:rPr>
          <w:rFonts w:asciiTheme="minorHAnsi" w:hAnsiTheme="minorHAnsi" w:cstheme="minorHAnsi"/>
          <w:bCs/>
          <w:iCs/>
          <w:noProof/>
          <w:color w:val="auto"/>
          <w:vertAlign w:val="superscript"/>
        </w:rPr>
        <w:t>20</w:t>
      </w:r>
      <w:r w:rsidRPr="00F76890">
        <w:rPr>
          <w:rStyle w:val="FootnoteReference"/>
          <w:rFonts w:asciiTheme="minorHAnsi" w:hAnsiTheme="minorHAnsi" w:cstheme="minorHAnsi"/>
          <w:iCs/>
          <w:color w:val="auto"/>
        </w:rPr>
        <w:fldChar w:fldCharType="end"/>
      </w:r>
      <w:r w:rsidRPr="00F76890">
        <w:rPr>
          <w:rFonts w:asciiTheme="minorHAnsi" w:hAnsiTheme="minorHAnsi" w:cstheme="minorHAnsi"/>
          <w:iCs/>
          <w:color w:val="auto"/>
        </w:rPr>
        <w:t>.</w:t>
      </w:r>
    </w:p>
    <w:bookmarkEnd w:id="7"/>
    <w:p w14:paraId="3BD6163D" w14:textId="77777777" w:rsidR="006B1B14" w:rsidRPr="00F76890" w:rsidRDefault="006B1B14" w:rsidP="00F012D5">
      <w:pPr>
        <w:contextualSpacing/>
        <w:rPr>
          <w:rFonts w:asciiTheme="minorHAnsi" w:hAnsiTheme="minorHAnsi" w:cstheme="minorHAnsi"/>
          <w:b/>
          <w:color w:val="auto"/>
        </w:rPr>
      </w:pPr>
    </w:p>
    <w:p w14:paraId="1F1FF602" w14:textId="6BEC06C4" w:rsidR="006B1B14" w:rsidRPr="00F76890" w:rsidRDefault="006B1B14" w:rsidP="00F012D5">
      <w:pPr>
        <w:contextualSpacing/>
        <w:rPr>
          <w:rFonts w:asciiTheme="minorHAnsi" w:eastAsia="Calibri" w:hAnsiTheme="minorHAnsi" w:cstheme="minorHAnsi"/>
          <w:color w:val="auto"/>
        </w:rPr>
      </w:pPr>
      <w:r w:rsidRPr="00F76890">
        <w:rPr>
          <w:rFonts w:asciiTheme="minorHAnsi" w:hAnsiTheme="minorHAnsi" w:cstheme="minorHAnsi"/>
          <w:b/>
          <w:color w:val="auto"/>
        </w:rPr>
        <w:t>Figure 3:</w:t>
      </w:r>
      <w:r w:rsidRPr="00F76890">
        <w:rPr>
          <w:rFonts w:asciiTheme="minorHAnsi" w:hAnsiTheme="minorHAnsi" w:cstheme="minorHAnsi"/>
          <w:bCs/>
          <w:color w:val="auto"/>
        </w:rPr>
        <w:t xml:space="preserve"> </w:t>
      </w:r>
      <w:r w:rsidRPr="00F76890">
        <w:rPr>
          <w:rFonts w:asciiTheme="minorHAnsi" w:hAnsiTheme="minorHAnsi" w:cstheme="minorHAnsi"/>
          <w:b/>
          <w:color w:val="auto"/>
        </w:rPr>
        <w:t xml:space="preserve">Cell viability, death profile, and cell morphology. </w:t>
      </w:r>
      <w:r w:rsidRPr="00F76890">
        <w:rPr>
          <w:rFonts w:asciiTheme="minorHAnsi" w:hAnsiTheme="minorHAnsi" w:cstheme="minorHAnsi"/>
          <w:bCs/>
          <w:color w:val="auto"/>
        </w:rPr>
        <w:t xml:space="preserve">Cell viability, cell death profile, and cell morphology in MDPC-23 cells subjected to treatment with calcium hydroxide and tricalcium silicate biomaterials at 6.25% and 50% concentration, after 120 hours of exposure. </w:t>
      </w:r>
      <w:r w:rsidRPr="00C44FA0">
        <w:rPr>
          <w:rFonts w:asciiTheme="minorHAnsi" w:hAnsiTheme="minorHAnsi" w:cstheme="minorHAnsi"/>
          <w:b/>
          <w:color w:val="auto"/>
        </w:rPr>
        <w:t>a</w:t>
      </w:r>
      <w:r w:rsidRPr="00F76890">
        <w:rPr>
          <w:rFonts w:asciiTheme="minorHAnsi" w:hAnsiTheme="minorHAnsi" w:cstheme="minorHAnsi"/>
          <w:bCs/>
          <w:color w:val="auto"/>
        </w:rPr>
        <w:t xml:space="preserve">) and </w:t>
      </w:r>
      <w:r w:rsidRPr="00C44FA0">
        <w:rPr>
          <w:rFonts w:asciiTheme="minorHAnsi" w:hAnsiTheme="minorHAnsi" w:cstheme="minorHAnsi"/>
          <w:b/>
          <w:color w:val="auto"/>
        </w:rPr>
        <w:t>b</w:t>
      </w:r>
      <w:r w:rsidRPr="00F76890">
        <w:rPr>
          <w:rFonts w:asciiTheme="minorHAnsi" w:hAnsiTheme="minorHAnsi" w:cstheme="minorHAnsi"/>
          <w:bCs/>
          <w:color w:val="auto"/>
        </w:rPr>
        <w:t xml:space="preserve">) Results are plotted as the percentage of living cells in apoptosis, late apoptosis or necrosis, and necrosis. Significant differences with respect to control or between conditions are represented with *, where * means p &lt;0.05, ** means p &lt;0.01, and *** means p &lt;0.001. </w:t>
      </w:r>
      <w:r w:rsidRPr="00C44FA0">
        <w:rPr>
          <w:rFonts w:asciiTheme="minorHAnsi" w:hAnsiTheme="minorHAnsi" w:cstheme="minorHAnsi"/>
          <w:b/>
          <w:color w:val="auto"/>
        </w:rPr>
        <w:t>c</w:t>
      </w:r>
      <w:r w:rsidRPr="00F76890">
        <w:rPr>
          <w:rFonts w:asciiTheme="minorHAnsi" w:hAnsiTheme="minorHAnsi" w:cstheme="minorHAnsi"/>
          <w:bCs/>
          <w:color w:val="auto"/>
        </w:rPr>
        <w:t xml:space="preserve">) </w:t>
      </w:r>
      <w:r w:rsidRPr="00F76890">
        <w:rPr>
          <w:rFonts w:asciiTheme="minorHAnsi" w:eastAsia="Calibri" w:hAnsiTheme="minorHAnsi" w:cstheme="minorHAnsi"/>
          <w:color w:val="auto"/>
        </w:rPr>
        <w:t>Cells stained with May-</w:t>
      </w:r>
      <w:proofErr w:type="spellStart"/>
      <w:r w:rsidRPr="00F76890">
        <w:rPr>
          <w:rFonts w:asciiTheme="minorHAnsi" w:eastAsia="Calibri" w:hAnsiTheme="minorHAnsi" w:cstheme="minorHAnsi"/>
          <w:color w:val="auto"/>
        </w:rPr>
        <w:t>Grünwald</w:t>
      </w:r>
      <w:proofErr w:type="spellEnd"/>
      <w:r w:rsidRPr="00F76890">
        <w:rPr>
          <w:rFonts w:asciiTheme="minorHAnsi" w:eastAsia="Calibri" w:hAnsiTheme="minorHAnsi" w:cstheme="minorHAnsi"/>
          <w:color w:val="auto"/>
        </w:rPr>
        <w:t xml:space="preserve"> Giemsa after treatment with a 50% concentration of biomaterials soluble extracts. The control group represents cells in culture in DMEM with 10% FBS. Images in the left column were obtained with a magnification of 100x, and the images in the column on the right were </w:t>
      </w:r>
      <w:r w:rsidRPr="00F76890">
        <w:rPr>
          <w:rFonts w:asciiTheme="minorHAnsi" w:eastAsia="Calibri" w:hAnsiTheme="minorHAnsi" w:cstheme="minorHAnsi"/>
          <w:color w:val="auto"/>
        </w:rPr>
        <w:lastRenderedPageBreak/>
        <w:t>obtained with a magnification 500x. Figure bars represent 100</w:t>
      </w:r>
      <w:r w:rsidR="00C44FA0">
        <w:rPr>
          <w:rFonts w:asciiTheme="minorHAnsi" w:eastAsia="Calibri" w:hAnsiTheme="minorHAnsi" w:cstheme="minorHAnsi"/>
          <w:color w:val="auto"/>
        </w:rPr>
        <w:t xml:space="preserve"> </w:t>
      </w:r>
      <w:r w:rsidRPr="00F76890">
        <w:rPr>
          <w:rFonts w:asciiTheme="minorHAnsi" w:eastAsia="Calibri" w:hAnsiTheme="minorHAnsi" w:cstheme="minorHAnsi"/>
          <w:color w:val="auto"/>
        </w:rPr>
        <w:t xml:space="preserve">µm. </w:t>
      </w:r>
      <w:r w:rsidRPr="00F76890">
        <w:rPr>
          <w:rFonts w:asciiTheme="minorHAnsi" w:hAnsiTheme="minorHAnsi" w:cstheme="minorHAnsi"/>
          <w:iCs/>
          <w:color w:val="auto"/>
        </w:rPr>
        <w:t xml:space="preserve">Part of this </w:t>
      </w:r>
      <w:r w:rsidR="00DD3B58">
        <w:rPr>
          <w:rFonts w:asciiTheme="minorHAnsi" w:hAnsiTheme="minorHAnsi" w:cstheme="minorHAnsi"/>
          <w:iCs/>
          <w:color w:val="auto"/>
        </w:rPr>
        <w:t>Figure</w:t>
      </w:r>
      <w:r w:rsidRPr="00F76890">
        <w:rPr>
          <w:rFonts w:asciiTheme="minorHAnsi" w:hAnsiTheme="minorHAnsi" w:cstheme="minorHAnsi"/>
          <w:iCs/>
          <w:color w:val="auto"/>
        </w:rPr>
        <w:t xml:space="preserve"> has been modified from a previous publication with permission from the publisher</w:t>
      </w:r>
      <w:r w:rsidRPr="00F76890">
        <w:rPr>
          <w:rStyle w:val="FootnoteReference"/>
          <w:rFonts w:asciiTheme="minorHAnsi" w:hAnsiTheme="minorHAnsi" w:cstheme="minorHAnsi"/>
          <w:iCs/>
          <w:color w:val="auto"/>
        </w:rPr>
        <w:fldChar w:fldCharType="begin" w:fldLock="1"/>
      </w:r>
      <w:r w:rsidRPr="00F76890">
        <w:rPr>
          <w:rFonts w:asciiTheme="minorHAnsi" w:hAnsiTheme="minorHAnsi" w:cstheme="minorHAnsi"/>
          <w:iCs/>
          <w:color w:val="auto"/>
        </w:rPr>
        <w:instrText>ADDIN CSL_CITATION {"citationItems":[{"id":"ITEM-1","itemData":{"DOI":"10.3390/ma12071184","ISSN":"1996-1944","abstract":"&lt;p&gt;(1) Background: When pulp exposure occurs, reparative dentinogenesis can be induced by direct pulp capping to maintain the vitality and function of the tissue. The aim of this work was to assess the cytotoxicity and bioactivity of three different direct pulp capping materials, calcium hydroxide (Life®), mineral trioxide aggregate (WhiteProRoot®MTA) and calcium silicate (Biodentine™), in an odontoblast-like mouse cell line (MDPC-23). (2) Methods: Metabolic activity was assessed by the 3-(4,5-dimethylthiazol-2-yl)-2,5-diphenyltetrazolium bromide test (MTT)assay, viability by the sulforhodamine B (SRB) assay, and the type of death and cell cycle analysis by flow cytometry. Alkaline phosphatase was evaluated by polymerase chain reaction (PCR), and dentin sialoprotein expression was assessed by immunocytochemistry. Mineralization was determined by the Alizarin Red S colorimetric assay and quantified by spectrophotometry. (3) Results: Life® induced a decrease in metabolic activity and viability, which is associated with an increase cell death. WhiteProRoot®MTA and Biodentine™ induced similar effects in cytotoxicity assays, with an increase in the expression of dentin sialoprotein (DSP) and formation of mineralized deposits, especially with Biodentine™. (4) Conclusions: The results of WhiteProRoot®MTA confirm its indication for these therapies, justifying its recognition as the “gold standard”. Biodentine™ may be an alternative, since they promote the same cellular response that mineral trioxide aggregate (MTA) does.&lt;/p&gt;","author":[{"dropping-particle":"","family":"Paula","given":"Anabela","non-dropping-particle":"","parse-names":false,"suffix":""},{"dropping-particle":"","family":"Laranjo","given":"Mafalda","non-dropping-particle":"","parse-names":false,"suffix":""},{"dropping-particle":"","family":"Marto","given":"Carlos Miguel","non-dropping-particle":"","parse-names":false,"suffix":""},{"dropping-particle":"","family":"Abrantes","given":"Ana Margarida","non-dropping-particle":"","parse-names":false,"suffix":""},{"dropping-particle":"","family":"Casalta-Lopes","given":"João","non-dropping-particle":"","parse-names":false,"suffix":""},{"dropping-particle":"","family":"Gonçalves","given":"Ana Cristina","non-dropping-particle":"","parse-names":false,"suffix":""},{"dropping-particle":"","family":"Sarmento-Ribeiro","given":"Ana Bela","non-dropping-particle":"","parse-names":false,"suffix":""},{"dropping-particle":"","family":"Ferreira","given":"Manuel M.","non-dropping-particle":"","parse-names":false,"suffix":""},{"dropping-particle":"","family":"Botelho","given":"Maria Filomena","non-dropping-particle":"","parse-names":false,"suffix":""},{"dropping-particle":"","family":"Carrilho","given":"Eunice","non-dropping-particle":"","parse-names":false,"suffix":""}],"container-title":"Materials","id":"ITEM-1","issue":"7","issued":{"date-parts":[["2019","4","11"]]},"page":"1184","title":"Biodentine™ Boosts, WhiteProRoot®MTA Increases and Life® Suppresses Odontoblast Activity","type":"article-journal","volume":"12"},"uris":["http://www.mendeley.com/documents/?uuid=1ae23a33-c1d0-3bb4-a811-effd3c59f89b"]}],"mendeley":{"formattedCitation":"&lt;sup&gt;20&lt;/sup&gt;","plainTextFormattedCitation":"20","previouslyFormattedCitation":"&lt;sup&gt;20&lt;/sup&gt;"},"properties":{"noteIndex":0},"schema":"https://github.com/citation-style-language/schema/raw/master/csl-citation.json"}</w:instrText>
      </w:r>
      <w:r w:rsidRPr="00F76890">
        <w:rPr>
          <w:rStyle w:val="FootnoteReference"/>
          <w:rFonts w:asciiTheme="minorHAnsi" w:hAnsiTheme="minorHAnsi" w:cstheme="minorHAnsi"/>
          <w:iCs/>
          <w:color w:val="auto"/>
        </w:rPr>
        <w:fldChar w:fldCharType="separate"/>
      </w:r>
      <w:r w:rsidRPr="00F76890">
        <w:rPr>
          <w:rFonts w:asciiTheme="minorHAnsi" w:hAnsiTheme="minorHAnsi" w:cstheme="minorHAnsi"/>
          <w:iCs/>
          <w:noProof/>
          <w:color w:val="auto"/>
          <w:vertAlign w:val="superscript"/>
        </w:rPr>
        <w:t>20</w:t>
      </w:r>
      <w:r w:rsidRPr="00F76890">
        <w:rPr>
          <w:rStyle w:val="FootnoteReference"/>
          <w:rFonts w:asciiTheme="minorHAnsi" w:hAnsiTheme="minorHAnsi" w:cstheme="minorHAnsi"/>
          <w:iCs/>
          <w:color w:val="auto"/>
        </w:rPr>
        <w:fldChar w:fldCharType="end"/>
      </w:r>
      <w:r w:rsidRPr="00F76890">
        <w:rPr>
          <w:rFonts w:asciiTheme="minorHAnsi" w:hAnsiTheme="minorHAnsi" w:cstheme="minorHAnsi"/>
          <w:iCs/>
          <w:color w:val="auto"/>
        </w:rPr>
        <w:t>.</w:t>
      </w:r>
    </w:p>
    <w:p w14:paraId="282D6805" w14:textId="77777777" w:rsidR="006B1B14" w:rsidRPr="00F76890" w:rsidRDefault="006B1B14" w:rsidP="00F012D5">
      <w:pPr>
        <w:contextualSpacing/>
        <w:rPr>
          <w:rFonts w:asciiTheme="minorHAnsi" w:hAnsiTheme="minorHAnsi" w:cstheme="minorHAnsi"/>
          <w:bCs/>
          <w:color w:val="auto"/>
        </w:rPr>
      </w:pPr>
    </w:p>
    <w:p w14:paraId="70FC519E" w14:textId="17A72206" w:rsidR="006B1B14" w:rsidRPr="00F76890" w:rsidRDefault="006B1B14" w:rsidP="00F012D5">
      <w:pPr>
        <w:contextualSpacing/>
        <w:rPr>
          <w:rFonts w:asciiTheme="minorHAnsi" w:eastAsia="Calibri" w:hAnsiTheme="minorHAnsi" w:cstheme="minorHAnsi"/>
          <w:color w:val="auto"/>
        </w:rPr>
      </w:pPr>
      <w:r w:rsidRPr="00F76890">
        <w:rPr>
          <w:rFonts w:asciiTheme="minorHAnsi" w:hAnsiTheme="minorHAnsi" w:cstheme="minorHAnsi"/>
          <w:b/>
          <w:color w:val="auto"/>
        </w:rPr>
        <w:t xml:space="preserve">Figure 4: DSP expression and mineralized nodule formation. </w:t>
      </w:r>
      <w:r w:rsidRPr="00C44FA0">
        <w:rPr>
          <w:rFonts w:asciiTheme="minorHAnsi" w:eastAsia="Calibri" w:hAnsiTheme="minorHAnsi" w:cstheme="minorHAnsi"/>
          <w:b/>
          <w:bCs/>
          <w:color w:val="auto"/>
        </w:rPr>
        <w:t>a</w:t>
      </w:r>
      <w:r w:rsidRPr="00F76890">
        <w:rPr>
          <w:rFonts w:asciiTheme="minorHAnsi" w:eastAsia="Calibri" w:hAnsiTheme="minorHAnsi" w:cstheme="minorHAnsi"/>
          <w:color w:val="auto"/>
        </w:rPr>
        <w:t xml:space="preserve">) MDPC-23 cells labeled by immunocytochemistry for the detection of DSP expression when subjected to treatment with calcium hydroxide and tricalcium silicate at concentrations of 50% and 6.25% after 96 hours of incubation. </w:t>
      </w:r>
      <w:r w:rsidRPr="00C44FA0">
        <w:rPr>
          <w:rFonts w:asciiTheme="minorHAnsi" w:eastAsia="Calibri" w:hAnsiTheme="minorHAnsi" w:cstheme="minorHAnsi"/>
          <w:b/>
          <w:bCs/>
          <w:color w:val="auto"/>
        </w:rPr>
        <w:t>b</w:t>
      </w:r>
      <w:r w:rsidRPr="00F76890">
        <w:rPr>
          <w:rFonts w:asciiTheme="minorHAnsi" w:eastAsia="Calibri" w:hAnsiTheme="minorHAnsi" w:cstheme="minorHAnsi"/>
          <w:color w:val="auto"/>
        </w:rPr>
        <w:t xml:space="preserve">) Images from cultured MDPC-23 cells stained with Alizarin Red S stain when treated with </w:t>
      </w:r>
      <w:bookmarkStart w:id="8" w:name="_Hlk48232415"/>
      <w:r w:rsidRPr="00F76890">
        <w:rPr>
          <w:rFonts w:asciiTheme="minorHAnsi" w:eastAsia="Calibri" w:hAnsiTheme="minorHAnsi" w:cstheme="minorHAnsi"/>
          <w:color w:val="auto"/>
        </w:rPr>
        <w:t>calcium hydroxide and tricalcium silicate</w:t>
      </w:r>
      <w:bookmarkEnd w:id="8"/>
      <w:r w:rsidRPr="00F76890">
        <w:rPr>
          <w:rFonts w:asciiTheme="minorHAnsi" w:eastAsia="Calibri" w:hAnsiTheme="minorHAnsi" w:cstheme="minorHAnsi"/>
          <w:color w:val="auto"/>
        </w:rPr>
        <w:t xml:space="preserve"> biomaterials at concentrations of 50% and 6.25% after 120 hours of incubation. All the photographs were obtained with a magnification of 100x. Both </w:t>
      </w:r>
      <w:r w:rsidR="00DD3B58">
        <w:rPr>
          <w:rFonts w:asciiTheme="minorHAnsi" w:eastAsia="Calibri" w:hAnsiTheme="minorHAnsi" w:cstheme="minorHAnsi"/>
          <w:color w:val="auto"/>
        </w:rPr>
        <w:t>Figure</w:t>
      </w:r>
      <w:r w:rsidRPr="00F76890">
        <w:rPr>
          <w:rFonts w:asciiTheme="minorHAnsi" w:eastAsia="Calibri" w:hAnsiTheme="minorHAnsi" w:cstheme="minorHAnsi"/>
          <w:color w:val="auto"/>
        </w:rPr>
        <w:t xml:space="preserve"> bars represent 150µm. </w:t>
      </w:r>
      <w:r w:rsidRPr="00C44FA0">
        <w:rPr>
          <w:rFonts w:asciiTheme="minorHAnsi" w:eastAsia="Calibri" w:hAnsiTheme="minorHAnsi" w:cstheme="minorHAnsi"/>
          <w:b/>
          <w:bCs/>
          <w:color w:val="auto"/>
        </w:rPr>
        <w:t>c</w:t>
      </w:r>
      <w:r w:rsidRPr="00F76890">
        <w:rPr>
          <w:rFonts w:asciiTheme="minorHAnsi" w:eastAsia="Calibri" w:hAnsiTheme="minorHAnsi" w:cstheme="minorHAnsi"/>
          <w:color w:val="auto"/>
        </w:rPr>
        <w:t>) Formation of calcium deposits from MDPC-23 cells treated with calcium hydroxide and tricalcium silicate</w:t>
      </w:r>
      <w:r w:rsidRPr="00F76890" w:rsidDel="00783D5D">
        <w:rPr>
          <w:rFonts w:asciiTheme="minorHAnsi" w:eastAsia="Calibri" w:hAnsiTheme="minorHAnsi" w:cstheme="minorHAnsi"/>
          <w:color w:val="auto"/>
        </w:rPr>
        <w:t xml:space="preserve"> </w:t>
      </w:r>
      <w:r w:rsidRPr="00F76890">
        <w:rPr>
          <w:rFonts w:asciiTheme="minorHAnsi" w:eastAsia="Calibri" w:hAnsiTheme="minorHAnsi" w:cstheme="minorHAnsi"/>
          <w:color w:val="auto"/>
        </w:rPr>
        <w:t xml:space="preserve">after 120 hours of exposure. The results are the relationship between the absorbances obtained between the study condition and the control. Significant differences are represented by *, where * means p&lt;0.05, ** means p&lt;0.01, and *** means p&lt;0.001. </w:t>
      </w:r>
      <w:r w:rsidRPr="00F76890">
        <w:rPr>
          <w:rFonts w:asciiTheme="minorHAnsi" w:hAnsiTheme="minorHAnsi" w:cstheme="minorHAnsi"/>
          <w:iCs/>
          <w:color w:val="auto"/>
        </w:rPr>
        <w:t xml:space="preserve">Part of this </w:t>
      </w:r>
      <w:r w:rsidR="00DD3B58">
        <w:rPr>
          <w:rFonts w:asciiTheme="minorHAnsi" w:hAnsiTheme="minorHAnsi" w:cstheme="minorHAnsi"/>
          <w:iCs/>
          <w:color w:val="auto"/>
        </w:rPr>
        <w:t>Figure</w:t>
      </w:r>
      <w:r w:rsidRPr="00F76890">
        <w:rPr>
          <w:rFonts w:asciiTheme="minorHAnsi" w:hAnsiTheme="minorHAnsi" w:cstheme="minorHAnsi"/>
          <w:iCs/>
          <w:color w:val="auto"/>
        </w:rPr>
        <w:t xml:space="preserve"> has been modified from a previous publication with permission from the publisher</w:t>
      </w:r>
      <w:r w:rsidRPr="00F76890">
        <w:rPr>
          <w:rStyle w:val="FootnoteReference"/>
          <w:rFonts w:asciiTheme="minorHAnsi" w:hAnsiTheme="minorHAnsi" w:cstheme="minorHAnsi"/>
          <w:iCs/>
          <w:color w:val="auto"/>
        </w:rPr>
        <w:fldChar w:fldCharType="begin" w:fldLock="1"/>
      </w:r>
      <w:r w:rsidRPr="00F76890">
        <w:rPr>
          <w:rFonts w:asciiTheme="minorHAnsi" w:hAnsiTheme="minorHAnsi" w:cstheme="minorHAnsi"/>
          <w:iCs/>
          <w:color w:val="auto"/>
        </w:rPr>
        <w:instrText>ADDIN CSL_CITATION {"citationItems":[{"id":"ITEM-1","itemData":{"DOI":"10.3390/ma12071184","ISSN":"1996-1944","abstract":"&lt;p&gt;(1) Background: When pulp exposure occurs, reparative dentinogenesis can be induced by direct pulp capping to maintain the vitality and function of the tissue. The aim of this work was to assess the cytotoxicity and bioactivity of three different direct pulp capping materials, calcium hydroxide (Life®), mineral trioxide aggregate (WhiteProRoot®MTA) and calcium silicate (Biodentine™), in an odontoblast-like mouse cell line (MDPC-23). (2) Methods: Metabolic activity was assessed by the 3-(4,5-dimethylthiazol-2-yl)-2,5-diphenyltetrazolium bromide test (MTT)assay, viability by the sulforhodamine B (SRB) assay, and the type of death and cell cycle analysis by flow cytometry. Alkaline phosphatase was evaluated by polymerase chain reaction (PCR), and dentin sialoprotein expression was assessed by immunocytochemistry. Mineralization was determined by the Alizarin Red S colorimetric assay and quantified by spectrophotometry. (3) Results: Life® induced a decrease in metabolic activity and viability, which is associated with an increase cell death. WhiteProRoot®MTA and Biodentine™ induced similar effects in cytotoxicity assays, with an increase in the expression of dentin sialoprotein (DSP) and formation of mineralized deposits, especially with Biodentine™. (4) Conclusions: The results of WhiteProRoot®MTA confirm its indication for these therapies, justifying its recognition as the “gold standard”. Biodentine™ may be an alternative, since they promote the same cellular response that mineral trioxide aggregate (MTA) does.&lt;/p&gt;","author":[{"dropping-particle":"","family":"Paula","given":"Anabela","non-dropping-particle":"","parse-names":false,"suffix":""},{"dropping-particle":"","family":"Laranjo","given":"Mafalda","non-dropping-particle":"","parse-names":false,"suffix":""},{"dropping-particle":"","family":"Marto","given":"Carlos Miguel","non-dropping-particle":"","parse-names":false,"suffix":""},{"dropping-particle":"","family":"Abrantes","given":"Ana Margarida","non-dropping-particle":"","parse-names":false,"suffix":""},{"dropping-particle":"","family":"Casalta-Lopes","given":"João","non-dropping-particle":"","parse-names":false,"suffix":""},{"dropping-particle":"","family":"Gonçalves","given":"Ana Cristina","non-dropping-particle":"","parse-names":false,"suffix":""},{"dropping-particle":"","family":"Sarmento-Ribeiro","given":"Ana Bela","non-dropping-particle":"","parse-names":false,"suffix":""},{"dropping-particle":"","family":"Ferreira","given":"Manuel M.","non-dropping-particle":"","parse-names":false,"suffix":""},{"dropping-particle":"","family":"Botelho","given":"Maria Filomena","non-dropping-particle":"","parse-names":false,"suffix":""},{"dropping-particle":"","family":"Carrilho","given":"Eunice","non-dropping-particle":"","parse-names":false,"suffix":""}],"container-title":"Materials","id":"ITEM-1","issue":"7","issued":{"date-parts":[["2019","4","11"]]},"page":"1184","title":"Biodentine™ Boosts, WhiteProRoot®MTA Increases and Life® Suppresses Odontoblast Activity","type":"article-journal","volume":"12"},"uris":["http://www.mendeley.com/documents/?uuid=1ae23a33-c1d0-3bb4-a811-effd3c59f89b"]}],"mendeley":{"formattedCitation":"&lt;sup&gt;20&lt;/sup&gt;","plainTextFormattedCitation":"20","previouslyFormattedCitation":"&lt;sup&gt;20&lt;/sup&gt;"},"properties":{"noteIndex":0},"schema":"https://github.com/citation-style-language/schema/raw/master/csl-citation.json"}</w:instrText>
      </w:r>
      <w:r w:rsidRPr="00F76890">
        <w:rPr>
          <w:rStyle w:val="FootnoteReference"/>
          <w:rFonts w:asciiTheme="minorHAnsi" w:hAnsiTheme="minorHAnsi" w:cstheme="minorHAnsi"/>
          <w:iCs/>
          <w:color w:val="auto"/>
        </w:rPr>
        <w:fldChar w:fldCharType="separate"/>
      </w:r>
      <w:r w:rsidRPr="00F76890">
        <w:rPr>
          <w:rFonts w:asciiTheme="minorHAnsi" w:hAnsiTheme="minorHAnsi" w:cstheme="minorHAnsi"/>
          <w:iCs/>
          <w:noProof/>
          <w:color w:val="auto"/>
          <w:vertAlign w:val="superscript"/>
        </w:rPr>
        <w:t>20</w:t>
      </w:r>
      <w:r w:rsidRPr="00F76890">
        <w:rPr>
          <w:rStyle w:val="FootnoteReference"/>
          <w:rFonts w:asciiTheme="minorHAnsi" w:hAnsiTheme="minorHAnsi" w:cstheme="minorHAnsi"/>
          <w:iCs/>
          <w:color w:val="auto"/>
        </w:rPr>
        <w:fldChar w:fldCharType="end"/>
      </w:r>
      <w:r w:rsidRPr="00F76890">
        <w:rPr>
          <w:rFonts w:asciiTheme="minorHAnsi" w:hAnsiTheme="minorHAnsi" w:cstheme="minorHAnsi"/>
          <w:iCs/>
          <w:color w:val="auto"/>
        </w:rPr>
        <w:t>.</w:t>
      </w:r>
    </w:p>
    <w:p w14:paraId="1AD41762" w14:textId="77777777" w:rsidR="006B1B14" w:rsidRPr="00F76890" w:rsidRDefault="006B1B14" w:rsidP="00F012D5">
      <w:pPr>
        <w:contextualSpacing/>
        <w:rPr>
          <w:rFonts w:asciiTheme="minorHAnsi" w:hAnsiTheme="minorHAnsi" w:cstheme="minorHAnsi"/>
          <w:bCs/>
          <w:color w:val="auto"/>
          <w:sz w:val="22"/>
          <w:szCs w:val="22"/>
        </w:rPr>
      </w:pPr>
      <w:r w:rsidRPr="00F76890">
        <w:rPr>
          <w:rFonts w:asciiTheme="minorHAnsi" w:hAnsiTheme="minorHAnsi" w:cstheme="minorHAnsi"/>
          <w:bCs/>
          <w:color w:val="auto"/>
          <w:sz w:val="22"/>
          <w:szCs w:val="22"/>
        </w:rPr>
        <w:t xml:space="preserve"> </w:t>
      </w:r>
    </w:p>
    <w:p w14:paraId="6EFD9763" w14:textId="77777777" w:rsidR="00E155AC" w:rsidRPr="00F76890" w:rsidRDefault="00E155AC" w:rsidP="00F012D5">
      <w:pPr>
        <w:contextualSpacing/>
        <w:rPr>
          <w:color w:val="auto"/>
        </w:rPr>
      </w:pPr>
      <w:r w:rsidRPr="00F76890">
        <w:rPr>
          <w:rFonts w:asciiTheme="minorHAnsi" w:hAnsiTheme="minorHAnsi" w:cstheme="minorHAnsi"/>
          <w:b/>
          <w:bCs/>
          <w:iCs/>
          <w:color w:val="auto"/>
        </w:rPr>
        <w:t xml:space="preserve">Table 1: </w:t>
      </w:r>
      <w:r w:rsidRPr="00F76890">
        <w:rPr>
          <w:b/>
          <w:bCs/>
          <w:color w:val="auto"/>
        </w:rPr>
        <w:t>List of odontoblastic differentiation/function markers</w:t>
      </w:r>
      <w:r w:rsidRPr="00F76890">
        <w:rPr>
          <w:color w:val="auto"/>
        </w:rPr>
        <w:t xml:space="preserve"> </w:t>
      </w:r>
      <w:r w:rsidRPr="00F76890">
        <w:rPr>
          <w:color w:val="auto"/>
          <w:vertAlign w:val="superscript"/>
        </w:rPr>
        <w:t>47-79</w:t>
      </w:r>
      <w:r w:rsidRPr="00F76890">
        <w:rPr>
          <w:rFonts w:asciiTheme="minorHAnsi" w:hAnsiTheme="minorHAnsi" w:cstheme="minorHAnsi"/>
          <w:b/>
          <w:bCs/>
          <w:iCs/>
          <w:color w:val="auto"/>
        </w:rPr>
        <w:t>.</w:t>
      </w:r>
      <w:r w:rsidRPr="00F76890">
        <w:rPr>
          <w:color w:val="auto"/>
        </w:rPr>
        <w:t xml:space="preserve"> This table provides a list of odontoblastic markers and detection methods; some of these markers are also expressed by other tissues.</w:t>
      </w:r>
    </w:p>
    <w:p w14:paraId="5313587D" w14:textId="77777777" w:rsidR="006B1B14" w:rsidRPr="00F76890" w:rsidRDefault="006B1B14" w:rsidP="00F012D5">
      <w:pPr>
        <w:contextualSpacing/>
        <w:rPr>
          <w:rFonts w:asciiTheme="minorHAnsi" w:hAnsiTheme="minorHAnsi" w:cstheme="minorHAnsi"/>
          <w:bCs/>
          <w:color w:val="auto"/>
        </w:rPr>
      </w:pPr>
    </w:p>
    <w:p w14:paraId="283697E4" w14:textId="77777777"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
          <w:color w:val="auto"/>
        </w:rPr>
        <w:t>DISCUSSION</w:t>
      </w:r>
      <w:r w:rsidRPr="00F76890">
        <w:rPr>
          <w:rFonts w:asciiTheme="minorHAnsi" w:hAnsiTheme="minorHAnsi" w:cstheme="minorHAnsi"/>
          <w:b/>
          <w:bCs/>
          <w:color w:val="auto"/>
        </w:rPr>
        <w:t>:</w:t>
      </w:r>
    </w:p>
    <w:p w14:paraId="516DCF8F" w14:textId="77777777"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color w:val="auto"/>
        </w:rPr>
        <w:t xml:space="preserve">This protocol was designed taking into consideration the ISO 10993-5, which refers to the evaluation of </w:t>
      </w:r>
      <w:r w:rsidRPr="00C44FA0">
        <w:rPr>
          <w:rFonts w:asciiTheme="minorHAnsi" w:hAnsiTheme="minorHAnsi" w:cstheme="minorHAnsi"/>
          <w:color w:val="auto"/>
        </w:rPr>
        <w:t>in vitro</w:t>
      </w:r>
      <w:r w:rsidRPr="00F76890">
        <w:rPr>
          <w:rFonts w:asciiTheme="minorHAnsi" w:hAnsiTheme="minorHAnsi" w:cstheme="minorHAnsi"/>
          <w:color w:val="auto"/>
        </w:rPr>
        <w:t xml:space="preserve"> cytotoxicity of biomaterials that contact with the tissues, to evaluate the biocompatibility and to contribute to studies reproducibility</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{"citationItems":[{"id":"ITEM-1","itemData":{"DOI":"10.4103/0972-4052.186399","ISSN":"0972-4052","PMID":"27621539","author":[{"dropping-particle":"","family":"Chander","given":"N Gopi","non-dropping-particle":"","parse-names":false,"suffix":""}],"container-title":"Journal of Indian Prosthodontic Society","id":"ITEM-1","issue":"3","issued":{"date-parts":[["2016"]]},"page":"227-8","title":"Standardization of in vitro studies.","type":"article-journal","volume":"16"},"uris":["http://www.mendeley.com/documents/?uuid=068e0f09-a12c-4970-8ae7-fd9dae8311f4","http://www.mendeley.com/documents/?uuid=5016e3be-1eec-4031-abe2-70c0538a1adc"]}],"mendeley":{"formattedCitation":"&lt;sup&gt;21&lt;/sup&gt;","plainTextFormattedCitation":"21","previouslyFormattedCitation":"&lt;sup&gt;21&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bCs/>
          <w:noProof/>
          <w:color w:val="auto"/>
          <w:vertAlign w:val="superscript"/>
        </w:rPr>
        <w:t>21</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 This is a growing concern in science, and many authors are already following these recommendations in the experimental design of their in</w:t>
      </w:r>
      <w:r w:rsidRPr="00F76890">
        <w:rPr>
          <w:rFonts w:asciiTheme="minorHAnsi" w:hAnsiTheme="minorHAnsi" w:cstheme="minorHAnsi"/>
          <w:i/>
          <w:iCs/>
          <w:color w:val="auto"/>
        </w:rPr>
        <w:t xml:space="preserve"> vitro</w:t>
      </w:r>
      <w:r w:rsidRPr="00F76890">
        <w:rPr>
          <w:rFonts w:asciiTheme="minorHAnsi" w:hAnsiTheme="minorHAnsi" w:cstheme="minorHAnsi"/>
          <w:color w:val="auto"/>
        </w:rPr>
        <w:t xml:space="preserve"> studies</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{"citationItems":[{"id":"ITEM-1","itemData":{"ISSN":"1807-3107","PMID":"21359446","abstract":"Pulp repair is a complex process whose mechanisms are not yet fully understood. The first immune cells to reach the damaged pulp are neutrophils that play an important role in releasing cytokines and in phagocytosis. The objective of this study was to analyze the effect of different pulp-capping materials on the secretion of interleukin-1 beta (IL-1β) and interleukin-8 (IL-8) by migrating human neutrophils. Neutrophils were obtained from the blood of three healthy donors. The experimental groups were calcium hydroxide [Ca(OH)(2)], an adhesive system (Single Bond), and mineral trioxide aggregate (MTA). Untreated cells were used as control. Transwell chambers were used in performing the assays to mimic an in vivo situation of neutrophil chemotaxis. The pulp-capping materials were placed in the lower chamber and the human neutrophils, in the upper chamber. The cells were counted and the culture medium was assayed using ELISA kits for detecting and quantifying IL-1β and IL8. The data were compared by ANOVA followed by Tukey's test (p &lt; 0.05). The secretion of IL-8 was significantly higher in all groups in comparison to the control group (p &lt; 0.05). The adhesive system group showed higher IL-8 than the MTA group (p &lt; 0.05). The secretion of IL-1β was significantly greater only in the MTA group (p &lt; 0.001). It was concluded that only MTA is able to improve the secretion of IL-1β, and all materials tested increased IL-8 secretion. These results combined with all the other biological advantages of MTA indicate that it could be considered the material of choice for dental pulp capping.","author":[{"dropping-particle":"","family":"Cavalcanti","given":"Bruno Neves","non-dropping-particle":"","parse-names":false,"suffix":""},{"dropping-particle":"","family":"Rode","given":"Sigmar de Mello","non-dropping-particle":"","parse-names":false,"suffix":""},{"dropping-particle":"","family":"França","given":"Cristiane Miranda","non-dropping-particle":"","parse-names":false,"suffix":""},{"dropping-particle":"","family":"Marques","given":"Márcia Martins","non-dropping-particle":"","parse-names":false,"suffix":""}],"container-title":"Brazilian oral research","id":"ITEM-1","issue":"1","issued":{"date-parts":[["2011"]]},"page":"13-8","title":"Pulp capping materials exert an effect on the secretion of IL-1β and IL-8 by migrating human neutrophils.","type":"article-journal","volume":"25"},"uris":["http://www.mendeley.com/documents/?uuid=d2c45f6f-6ca0-4b47-82f2-30b280e9b694","http://www.mendeley.com/documents/?uuid=57b85efd-6e99-40ff-9c8a-15a268f4505f"]},{"id":"ITEM-2","itemData":{"DOI":"10.1016/j.joen.2014.01.001","ISBN":"0099-2399","ISSN":"1878-3554","PMID":"25069932","abstract":"INTRODUCTION The objective of this study was to evaluate the biocompatibility, inflammatory response, and odontoblastic potential of Biodentine (Septodont, Saint Maur des Fosses, France), Ortho-MTA (OMTA; BioMTA, Seoul, Korea), Angelus-MTA (AMTA; Angelus, Londrina, Brazil), and IRM (Dentsply Tulsa Dental, Tulsa, OK) in human dental pulp cells. The underlying signaling mechanisms were also investigated. METHODS Biocompatibilities were examined by the 3-(4,5-dimethylthiazolyl-2-yl)-2,5-diphenyltetrazolium bromide assay. Differentiation was assessed by alkaline phosphatase activity, alizarin red S staining, and reverse-transcription polymerase chain reaction for marker genes. The levels of inflammatory mediators and cytokines were measured by reverse-transcription polymerase chain reaction and enzyme-linked immunosorbent assay. Signal transduction analysis was performed by Western blotting. RESULTS Biodentine, OMTA, and AMTA showed favorable cell proliferation, alkaline phosphatase activity, formation of mineralized nodules, and expression of odontoblastic marker genes that were similar to those of IRM. The levels of proinflammatory mediators including nitric oxide, prostaglandin E2, inducible nitric oxide synthase, and cyclooxygenase-2 were lower for Biodentine, OMTA, and AMTA compared with the IRM group. All test materials induced reactive oxygen species production and the expression of hemeoxygenase-1, nuclear factor-E2-related factor-2, and mitogen-activated protein kinases. CONCLUSIONS These data indicate for the first time that the biocompatibility, inflammatory response, and odontoblastic differentiation of Biodentine were similar to that of OMTA and AMTA in HDPCs, which suggests that Biodentine could be good alternative pulp capping agent.","author":[{"dropping-particle":"","family":"Chang","given":"S","non-dropping-particle":"","parse-names":false,"suffix":""},{"dropping-particle":"","family":"Lee","given":"So-Youn","non-dropping-particle":"","parse-names":false,"suffix":""},{"dropping-particle":"","family":"Ann","given":"Hyo-Jung","non-dropping-particle":"","parse-names":false,"suffix":""},{"dropping-particle":"","family":"Kum","given":"Kee-Yeon","non-dropping-particle":"","parse-names":false,"suffix":""},{"dropping-particle":"","family":"Kim","given":"Eun-Cheol","non-dropping-particle":"","parse-names":false,"suffix":""}],"container-title":"Journal of endodontics","id":"ITEM-2","issue":"8","issued":{"date-parts":[["2014","8"]]},"page":"1194-200","publisher":"Elsevier Ltd","title":"Effects of calcium silicate endodontic cements on biocompatibility and mineralization-inducing potentials in human dental pulp cells.","type":"article-journal","volume":"40"},"uris":["http://www.mendeley.com/documents/?uuid=dbfddb7e-6004-4104-988b-cc0be14f9156","http://www.mendeley.com/documents/?uuid=97635a59-154d-4423-972a-9617fa173c88"]},{"id":"ITEM-3","itemData":{"DOI":"10.1016/j.joen.2015.12.018","ISSN":"1878-3554","PMID":"26925520","abstract":"INTRODUCTION The purpose of this study was to compare the cell viability of dental pulp cells treated with Biodentine (Septodont, Saint-Maur, France) and mineral trioxide aggregate (MTA) and the in vitro and in vivo expression of mineralization markers induced by the 2 materials. METHODS Human dental pulp cells isolated from 6 permanent teeth were stimulated with Biodentine and MTA extracts. Cell viability was determined using the 3-(4,5-dimethylthiazol-2-yl)-2,5-diphenyl tetrazolium bromide assay, and quantitative reverse-transcriptase polymerase chain reaction was used to determine the expression of mineralization markers. Specimens of teeth from dogs treated with Biodentine and MTA after pulpotomy were used to determine the presence of osteopontin and alkaline phosphatase by immunohistochemistry and runt-related transcription factor 2 by immunofluorescence. RESULTS No significant differences in cell viability were found between MTA and Biodentine extracts and controls after 24 and 48 hours (P &gt; .05). After 48 hours, osteopontin (SPP1), alkaline phosphatase (ALP), and runt-related transcription factor 2 (RUNX2) expression was higher in MTA and Biodentine than in controls (P &lt; .05). Osteopontin staining was more intense and spread over a greater number of areas in Biodentine than in MTA samples (P &lt; .0001). Alkaline phosphatase staining of a mineralized tissue bridge was significantly different between materials (P &lt; .0001), but no difference in alkaline phosphatase staining of pulp tissue was found between MTA and Biodentine (P = .2). Also, no significant difference in the number of cells labeled for runt-related transcription factor 2 by immunofluorescence was observed between materials (P &gt; .05). CONCLUSIONS Biodentine stimulated similar markers as MTA, but staining was more intense and spread over a larger area of the pulp tissue.","author":[{"dropping-particle":"","family":"Daltoé","given":"Mariana O.","non-dropping-particle":"","parse-names":false,"suffix":""},{"dropping-particle":"","family":"Paula-Silva","given":"Francisco Wanderley G.","non-dropping-particle":"","parse-names":false,"suffix":""},{"dropping-particle":"","family":"Faccioli","given":"Lúcia H.","non-dropping-particle":"","parse-names":false,"suffix":""},{"dropping-particle":"","family":"Gatón-Hernández","given":"Patrícia M.","non-dropping-particle":"","parse-names":false,"suffix":""},{"dropping-particle":"","family":"Rossi","given":"Andiara","non-dropping-particle":"De","parse-names":false,"suffix":""},{"dropping-particle":"","family":"Bezerra Silva","given":"Léa Assed","non-dropping-particle":"","parse-names":false,"suffix":""}],"container-title":"Journal of endodontics","id":"ITEM-3","issue":"4","issued":{"date-parts":[["2016","4"]]},"page":"596-603","title":"Expression of Mineralization Markers during Pulp Response to Biodentine and Mineral Trioxide Aggregate.","type":"article-journal","volume":"42"},"uris":["http://www.mendeley.com/documents/?uuid=33d25543-ee57-41ba-8c76-959e9115f2a2","http://www.mendeley.com/documents/?uuid=0a1c649f-badd-46a9-9e79-91c3b6e08fd3"]},{"id":"ITEM-4","itemData":{"ISSN":"0033-6572","PMID":"17510716","abstract":"OBJECTIVE To evaluate the pulp response to direct capping with self-etching adhesive systems using sodium hypochlorite as a hemostatic agent. METHOD AND MATERIALS Twenty-six human third molars scheduled for extraction were selected from undergraduate students of dentistry. Class I cavities with pulp exposures were performed. To control bleeding, 2.5% sodium hypochlorite was used for 20 seconds, followed by washing with saline solution. The pulp exposures were capped with calcium hydroxide (n = 10) or adhesive system (n = 16). All cavities were restored with adhesive system and composite resin. Half of the samples of each capping material were extracted after 30 days and the remaining after 90 days. The samples were prepared for histological analysis (hematoxylin-eosin) and bacterial detection (Brown &amp; Hopps) and evaluated according to standard ranking. Data were submitted to statistical analysis (Mann-Whitney test). RESULTS There was a significant difference (P &lt;.05) only in relation to dentin barrier formation. Pulps dressed with calcium hydroxide showed dentin barrier formation in all specimens, obliterating the exposure site. No inflammatory response was associated with material. In the experimental group, after 30 days, there was an attempt for healing with reparative dentin deposition, presenting a mild to moderate inflammatory infiltrate. Similar findings were found after 90 days, decreasing the inflammatory response. Bacteria were not detected in any specimen evaluated. Sodium hypochlorite was effective for hemostatic control. CONCLUSION Calcium hydroxide produced better biological performance than the self-etching adhesive, and sodium hypochlorite did not interfere with the pulp repair.","author":[{"dropping-particle":"V","family":"Elias","given":"Raquel","non-dropping-particle":"","parse-names":false,"suffix":""},{"dropping-particle":"","family":"Demarco","given":"Flavio F","non-dropping-particle":"","parse-names":false,"suffix":""},{"dropping-particle":"","family":"Tarquinio","given":"Sandra B C","non-dropping-particle":"","parse-names":false,"suffix":""},{"dropping-particle":"","family":"Piva","given":"Evandro","non-dropping-particle":"","parse-names":false,"suffix":""}],"container-title":"Quintessence international","id":"ITEM-4","issue":"2","issued":{"date-parts":[["2007","2"]]},"page":"e67-77","title":"Pulp responses to the application of a self-etching adhesive in human pulps after controlling bleeding with sodium hypochlorite.","type":"article-journal","volume":"38"},"uris":["http://www.mendeley.com/documents/?uuid=b0951cb8-e7f8-48d1-9347-848a2e73c26e","http://www.mendeley.com/documents/?uuid=6afa8f2c-4ca9-439d-a2e7-8ad29e46323d"]},{"id":"ITEM-5","itemData":{"DOI":"10.1016/j.joen.2006.05.009","ISSN":"0099-2399","PMID":"17055908","abstract":"Recent characterization of human dental pulp stem cells has shed new light on the understanding of the odontoblastic lineage. The purpose of the study was to characterize human adult dental pulp cells isolated and cultured in vitro and to examine the cell differentiation potential grown on dentin. We observed that some pulp cells isolated with an enzyme-digestion approach proliferated at a similar rate as the immortal cell line NIH 3T3. Population doubling time (PDt) for pulp cells at passage 3 was 22.6 +/- 0.5 hours and for NIH 3T3 was 23.1 +/- 2.3 hours. The pulp cells formed mineral nodules stimulated with dexamethasone or dexamethasone plus 1,25-dihydroxyvitamin D3. Pulp cells, after being seeded onto mechanically and chemically treated dentin surface, appeared to establish an odontoblast-like morphology with a cytoplasmic process extending into a dentinal tubule revealed by scanning electron microscopy analysis. Our data demonstrated the formation of cells with odontoblastic morphologies on existing dentin, suggesting that isolated human pulp stem cells may differentiate into odontoblasts on dentin in vitro.","author":[{"dropping-particle":"","family":"Huang","given":"George T-J","non-dropping-particle":"","parse-names":false,"suffix":""},{"dropping-particle":"","family":"Shagramanova","given":"Kristina","non-dropping-particle":"","parse-names":false,"suffix":""},{"dropping-particle":"","family":"Chan","given":"Selina W","non-dropping-particle":"","parse-names":false,"suffix":""}],"container-title":"Journal of endodontics","id":"ITEM-5","issue":"11","issued":{"date-parts":[["2006","11"]]},"page":"1066-73","title":"Formation of odontoblast-like cells from cultured human dental pulp cells on dentin in vitro.","type":"article-journal","volume":"32"},"uris":["http://www.mendeley.com/documents/?uuid=b0243e91-a26f-4df9-aba0-b6aabf9209fa","http://www.mendeley.com/documents/?uuid=a91e94e8-2602-4351-b768-6681b2096bb6"]},{"id":"ITEM-6","itemData":{"DOI":"10.1016/j.tripleo.2009.01.009","ISSN":"10792104","author":[{"dropping-particle":"","family":"Jafarnia","given":"Behnam","non-dropping-particle":"","parse-names":false,"suffix":""},{"dropping-particle":"","family":"Jiang","given":"Jin","non-dropping-particle":"","parse-names":false,"suffix":""},{"dropping-particle":"","family":"He","given":"Jianing","non-dropping-particle":"","parse-names":false,"suffix":""},{"dropping-particle":"","family":"Wang","given":"Yu-Hsiung","non-dropping-particle":"","parse-names":false,"suffix":""},{"dropping-particle":"","family":"Safavi","given":"Kamran E.","non-dropping-particle":"","parse-names":false,"suffix":""},{"dropping-particle":"","family":"Zhu","given":"Qiang","non-dropping-particle":"","parse-names":false,"suffix":""}],"container-title":"Oral Surgery, Oral Medicine, Oral Pathology, Oral Radiology, and Endodontology","id":"ITEM-6","issue":"5","issued":{"date-parts":[["2009","5"]]},"page":"739-744","title":"Evaluation of cytotoxicity of MTA employing various additives","type":"article-journal","volume":"107"},"uris":["http://www.mendeley.com/documents/?uuid=16b77df1-7497-4351-8ebf-bc1e50187f25","http://www.mendeley.com/documents/?uuid=f2390806-9c79-4719-b2b3-4423566d9f95"]},{"id":"ITEM-7","itemData":{"DOI":"10.1016/j.joen.2011.09.012","ISSN":"00992399","PMID":"22099907","abstract":"Introduction: Mineral trioxide aggregate (MTA) is routinely used for pulp-capping procedures. However, little is known about its direct interaction with the cells or whether MTA is capable of releasing soluble factors that could help in differentiating cells. There have been no previous studies showing this aspect of MTA. Hence, the aim of this study was to determine whether direct contact of the cells with MTA was necessary to help differentiate the pulp cells into odontoblast-like cells. Methods: Human dental pulp cells were cultured on gray MTA, either in direct contact or away from the cells on a cell culture insert, and the levels of gene expression, secretion of vascular endothelial growth factor (VEGF), and the rates of cell proliferation were analyzed. Results: MTA when placed in direct contact with the cells promoted up-regulated the expression of important odontoblastic genes like osteocalcin and dentin sialoprotein, thereby showing that direct contact of the cells with the MTA is necessary to promote differentiation of the pulp cells into odontoblast-like cells, which in turn are responsible for dentin bridge formation. MTA also induced an increase in the secretion of VEGF when placed in direct contact with the cells. Conclusions: Overall, our study supports the fact that direct contact of the cells with the MTA is necessary to help differentiate them into odontoblast-like cells, which in turn will lead to a successful treatment outcome. ?? 2011 American Association of Endodontists.","author":[{"dropping-particle":"","family":"Paranjpe","given":"Avina","non-dropping-particle":"","parse-names":false,"suffix":""},{"dropping-particle":"","family":"Smoot","given":"Tyler","non-dropping-particle":"","parse-names":false,"suffix":""},{"dropping-particle":"","family":"Zhang","given":"Hai","non-dropping-particle":"","parse-names":false,"suffix":""},{"dropping-particle":"","family":"Johnson","given":"James D.","non-dropping-particle":"","parse-names":false,"suffix":""}],"container-title":"Journal of Endodontics","id":"ITEM-7","issue":"12","issued":{"date-parts":[["2011"]]},"page":"1691-1695","publisher":"Elsevier Ltd","title":"Direct contact with mineral trioxide aggregate activates and differentiates human dental pulp cells","type":"article-journal","volume":"37"},"uris":["http://www.mendeley.com/documents/?uuid=4e35df7a-efa6-4d78-8ea2-9beae64f0009","http://www.mendeley.com/documents/?uuid=6f54be29-fec3-4350-8aa7-3b85d66db5f8"]},{"id":"ITEM-8","itemData":{"DOI":"10.1016/j.joen.2012.11.026","ISSN":"00992399","author":[{"dropping-particle":"","family":"Zhou","given":"Hui-min","non-dropping-particle":"","parse-names":false,"suffix":""},{"dropping-particle":"","family":"Shen","given":"Ya","non-dropping-particle":"","parse-names":false,"suffix":""},{"dropping-particle":"","family":"Wang","given":"Zhe-jun","non-dropping-particle":"","parse-names":false,"suffix":""},{"dropping-particle":"","family":"Li","given":"Li","non-dropping-particle":"","parse-names":false,"suffix":""},{"dropping-particle":"","family":"Zheng","given":"Yu-feng","non-dropping-particle":"","parse-names":false,"suffix":""},{"dropping-particle":"","family":"Häkkinen","given":"Lari","non-dropping-particle":"","parse-names":false,"suffix":""},{"dropping-particle":"","family":"Haapasalo","given":"Markus","non-dropping-particle":"","parse-names":false,"suffix":""}],"container-title":"Journal of Endodontics","id":"ITEM-8","issue":"4","issued":{"date-parts":[["2013","4"]]},"page":"478-483","title":"In Vitro Cytotoxicity Evaluation of a Novel Root Repair Material","type":"article-journal","volume":"39"},"uris":["http://www.mendeley.com/documents/?uuid=9a3cec09-39a3-4c1d-861c-2a17bba2fa83","http://www.mendeley.com/documents/?uuid=1025ca2a-419a-4f11-b5f1-8c95b55c31b9"]}],"mendeley":{"formattedCitation":"&lt;sup&gt;15, 22–28&lt;/sup&gt;","plainTextFormattedCitation":"15, 22–28","previouslyFormattedCitation":"&lt;sup&gt;15, 22–28&lt;/sup&gt;"},"properties":{"noteIndex":0},"schema":"https://github.com/citation-style-language/schema/raw/master/csl-citation.json"}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bCs/>
          <w:noProof/>
          <w:color w:val="auto"/>
          <w:vertAlign w:val="superscript"/>
        </w:rPr>
        <w:t>15, 22–28</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w:t>
      </w:r>
    </w:p>
    <w:p w14:paraId="7CC07098" w14:textId="77777777" w:rsidR="006B1B14" w:rsidRPr="00F76890" w:rsidRDefault="006B1B14" w:rsidP="00F012D5">
      <w:pPr>
        <w:contextualSpacing/>
        <w:rPr>
          <w:rFonts w:asciiTheme="minorHAnsi" w:hAnsiTheme="minorHAnsi" w:cstheme="minorHAnsi"/>
          <w:color w:val="auto"/>
        </w:rPr>
      </w:pPr>
    </w:p>
    <w:p w14:paraId="7DAC7AA4" w14:textId="77777777"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color w:val="auto"/>
        </w:rPr>
        <w:t xml:space="preserve">The methodology proposed was selected to screen the most relevant aspects of cell biology. Thus, this protocol goes beyond the recommendations, once it provides a complete approach to evaluate cytotoxicity using common assays and a complementary evaluation, including several cell parameters from phenotype to function. This complementary evaluation is important to truly assess the biomaterials effect, once viability may not translate alterations at the level of gene and protein expression, cell cycle, or </w:t>
      </w:r>
      <w:proofErr w:type="spellStart"/>
      <w:r w:rsidRPr="00F76890">
        <w:rPr>
          <w:rFonts w:asciiTheme="minorHAnsi" w:hAnsiTheme="minorHAnsi" w:cstheme="minorHAnsi"/>
          <w:color w:val="auto"/>
        </w:rPr>
        <w:t>secretome</w:t>
      </w:r>
      <w:proofErr w:type="spellEnd"/>
      <w:r w:rsidRPr="00F76890">
        <w:rPr>
          <w:rFonts w:asciiTheme="minorHAnsi" w:hAnsiTheme="minorHAnsi" w:cstheme="minorHAnsi"/>
          <w:color w:val="auto"/>
        </w:rPr>
        <w:t>.</w:t>
      </w:r>
    </w:p>
    <w:p w14:paraId="5CE9D67E" w14:textId="77777777" w:rsidR="006B1B14" w:rsidRPr="00F76890" w:rsidRDefault="006B1B14" w:rsidP="00F012D5">
      <w:pPr>
        <w:contextualSpacing/>
        <w:rPr>
          <w:rFonts w:asciiTheme="minorHAnsi" w:hAnsiTheme="minorHAnsi" w:cstheme="minorHAnsi"/>
          <w:color w:val="auto"/>
        </w:rPr>
      </w:pPr>
    </w:p>
    <w:p w14:paraId="11D695CA" w14:textId="399BAEEB" w:rsidR="006B1B14" w:rsidRDefault="006B1B14" w:rsidP="00F012D5">
      <w:pPr>
        <w:contextualSpacing/>
        <w:rPr>
          <w:rFonts w:asciiTheme="minorHAnsi" w:hAnsiTheme="minorHAnsi" w:cstheme="minorHAnsi"/>
          <w:color w:val="auto"/>
        </w:rPr>
      </w:pPr>
      <w:r w:rsidRPr="00F76890">
        <w:rPr>
          <w:rFonts w:asciiTheme="minorHAnsi" w:hAnsiTheme="minorHAnsi" w:cstheme="minorHAnsi"/>
          <w:color w:val="auto"/>
        </w:rPr>
        <w:t>The extracts are advantageous, particularly in adherent cell lines, because there is no interference with cell attachment to the substrate and optimal culture conditions, in opposition to some direct contact approaches where materials are placed on the surface of the culture plate</w:t>
      </w:r>
      <w:r w:rsidR="00C44FA0" w:rsidRPr="00F76890">
        <w:rPr>
          <w:rStyle w:val="FootnoteReference"/>
          <w:rFonts w:asciiTheme="minorHAnsi" w:hAnsiTheme="minorHAnsi" w:cstheme="minorHAnsi"/>
          <w:color w:val="auto"/>
        </w:rPr>
        <w:fldChar w:fldCharType="begin" w:fldLock="1"/>
      </w:r>
      <w:r w:rsidR="00C44FA0" w:rsidRPr="00F76890">
        <w:rPr>
          <w:rFonts w:asciiTheme="minorHAnsi" w:hAnsiTheme="minorHAnsi" w:cstheme="minorHAnsi"/>
          <w:color w:val="auto"/>
        </w:rPr>
        <w:instrText>ADDIN CSL_CITATION {"citationItems":[{"id":"ITEM-1","itemData":{"ISSN":"1807-3107","PMID":"21359446","abstract":"Pulp repair is a complex process whose mechanisms are not yet fully understood. The first immune cells to reach the damaged pulp are neutrophils that play an important role in releasing cytokines and in phagocytosis. The objective of this study was to analyze the effect of different pulp-capping materials on the secretion of interleukin-1 beta (IL-1β) and interleukin-8 (IL-8) by migrating human neutrophils. Neutrophils were obtained from the blood of three healthy donors. The experimental groups were calcium hydroxide [Ca(OH)(2)], an adhesive system (Single Bond), and mineral trioxide aggregate (MTA). Untreated cells were used as control. Transwell chambers were used in performing the assays to mimic an in vivo situation of neutrophil chemotaxis. The pulp-capping materials were placed in the lower chamber and the human neutrophils, in the upper chamber. The cells were counted and the culture medium was assayed using ELISA kits for detecting and quantifying IL-1β and IL8. The data were compared by ANOVA followed by Tukey's test (p &lt; 0.05). The secretion of IL-8 was significantly higher in all groups in comparison to the control group (p &lt; 0.05). The adhesive system group showed higher IL-8 than the MTA group (p &lt; 0.05). The secretion of IL-1β was significantly greater only in the MTA group (p &lt; 0.001). It was concluded that only MTA is able to improve the secretion of IL-1β, and all materials tested increased IL-8 secretion. These results combined with all the other biological advantages of MTA indicate that it could be considered the material of choice for dental pulp capping.","author":[{"dropping-particle":"","family":"Cavalcanti","given":"Bruno Neves","non-dropping-particle":"","parse-names":false,"suffix":""},{"dropping-particle":"","family":"Rode","given":"Sigmar de Mello","non-dropping-particle":"","parse-names":false,"suffix":""},{"dropping-particle":"","family":"França","given":"Cristiane Miranda","non-dropping-particle":"","parse-names":false,"suffix":""},{"dropping-particle":"","family":"Marques","given":"Márcia Martins","non-dropping-particle":"","parse-names":false,"suffix":""}],"container-title":"Brazilian oral research","id":"ITEM-1","issue":"1","issued":{"date-parts":[["2011"]]},"page":"13-8","title":"Pulp capping materials exert an effect on the secretion of IL-1β and IL-8 by migrating human neutrophils.","type":"article-journal","volume":"25"},"uris":["http://www.mendeley.com/documents/?uuid=57b85efd-6e99-40ff-9c8a-15a268f4505f","http://www.mendeley.com/documents/?uuid=d2c45f6f-6ca0-4b47-82f2-30b280e9b694"]},{"id":"ITEM-2","itemData":{"DOI":"10.1016/j.joen.2011.09.012","ISSN":"00992399","PMID":"22099907","abstract":"Introduction: Mineral trioxide aggregate (MTA) is routinely used for pulp-capping procedures. However, little is known about its direct interaction with the cells or whether MTA is capable of releasing soluble factors that could help in differentiating cells. There have been no previous studies showing this aspect of MTA. Hence, the aim of this study was to determine whether direct contact of the cells with MTA was necessary to help differentiate the pulp cells into odontoblast-like cells. Methods: Human dental pulp cells were cultured on gray MTA, either in direct contact or away from the cells on a cell culture insert, and the levels of gene expression, secretion of vascular endothelial growth factor (VEGF), and the rates of cell proliferation were analyzed. Results: MTA when placed in direct contact with the cells promoted up-regulated the expression of important odontoblastic genes like osteocalcin and dentin sialoprotein, thereby showing that direct contact of the cells with the MTA is necessary to promote differentiation of the pulp cells into odontoblast-like cells, which in turn are responsible for dentin bridge formation. MTA also induced an increase in the secretion of VEGF when placed in direct contact with the cells. Conclusions: Overall, our study supports the fact that direct contact of the cells with the MTA is necessary to help differentiate them into odontoblast-like cells, which in turn will lead to a successful treatment outcome. ?? 2011 American Association of Endodontists.","author":[{"dropping-particle":"","family":"Paranjpe","given":"Avina","non-dropping-particle":"","parse-names":false,"suffix":""},{"dropping-particle":"","family":"Smoot","given":"Tyler","non-dropping-particle":"","parse-names":false,"suffix":""},{"dropping-particle":"","family":"Zhang","given":"Hai","non-dropping-particle":"","parse-names":false,"suffix":""},{"dropping-particle":"","family":"Johnson","given":"James D.","non-dropping-particle":"","parse-names":false,"suffix":""}],"container-title":"Journal of Endodontics","id":"ITEM-2","issue":"12","issued":{"date-parts":[["2011"]]},"page":"1691-1695","publisher":"Elsevier Ltd","title":"Direct contact with mineral trioxide aggregate activates and differentiates human dental pulp cells","type":"article-journal","volume":"37"},"uris":["http://www.mendeley.com/documents/?uuid=6f54be29-fec3-4350-8aa7-3b85d66db5f8","http://www.mendeley.com/documents/?uuid=4e35df7a-efa6-4d78-8ea2-9beae64f0009","http://www.mendeley.com/documents/?uuid=373cc050-c9ba-475a-a379-aad1810780fd"]}],"mendeley":{"formattedCitation":"&lt;sup&gt;22, 28&lt;/sup&gt;","plainTextFormattedCitation":"22, 28","previouslyFormattedCitation":"&lt;sup&gt;22, 28&lt;/sup&gt;"},"properties":{"noteIndex":0},"schema":"https://github.com/citation-style-language/schema/raw/master/csl-citation.json"}</w:instrText>
      </w:r>
      <w:r w:rsidR="00C44FA0" w:rsidRPr="00F76890">
        <w:rPr>
          <w:rStyle w:val="FootnoteReference"/>
          <w:rFonts w:asciiTheme="minorHAnsi" w:hAnsiTheme="minorHAnsi" w:cstheme="minorHAnsi"/>
          <w:color w:val="auto"/>
        </w:rPr>
        <w:fldChar w:fldCharType="separate"/>
      </w:r>
      <w:r w:rsidR="00C44FA0" w:rsidRPr="00F76890">
        <w:rPr>
          <w:rFonts w:asciiTheme="minorHAnsi" w:hAnsiTheme="minorHAnsi" w:cstheme="minorHAnsi"/>
          <w:noProof/>
          <w:color w:val="auto"/>
          <w:vertAlign w:val="superscript"/>
        </w:rPr>
        <w:t>22, 28</w:t>
      </w:r>
      <w:r w:rsidR="00C44FA0"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w:t>
      </w:r>
      <w:r w:rsidR="00C44FA0" w:rsidRPr="00F76890">
        <w:rPr>
          <w:rFonts w:asciiTheme="minorHAnsi" w:hAnsiTheme="minorHAnsi" w:cstheme="minorHAnsi"/>
          <w:color w:val="auto"/>
        </w:rPr>
        <w:t xml:space="preserve"> </w:t>
      </w:r>
    </w:p>
    <w:p w14:paraId="24923B39" w14:textId="77777777" w:rsidR="00C44FA0" w:rsidRPr="00F76890" w:rsidRDefault="00C44FA0" w:rsidP="00F012D5">
      <w:pPr>
        <w:contextualSpacing/>
        <w:rPr>
          <w:rFonts w:asciiTheme="minorHAnsi" w:hAnsiTheme="minorHAnsi" w:cstheme="minorHAnsi"/>
          <w:color w:val="auto"/>
        </w:rPr>
      </w:pPr>
    </w:p>
    <w:p w14:paraId="703D1D14" w14:textId="04231965" w:rsidR="006B1B14" w:rsidRDefault="006B1B14" w:rsidP="00F012D5">
      <w:pPr>
        <w:contextualSpacing/>
        <w:rPr>
          <w:rFonts w:asciiTheme="minorHAnsi" w:hAnsiTheme="minorHAnsi" w:cstheme="minorHAnsi"/>
          <w:color w:val="auto"/>
        </w:rPr>
      </w:pPr>
      <w:r w:rsidRPr="00F76890">
        <w:rPr>
          <w:rFonts w:asciiTheme="minorHAnsi" w:hAnsiTheme="minorHAnsi" w:cstheme="minorHAnsi"/>
          <w:color w:val="auto"/>
        </w:rPr>
        <w:t>Moreover, extracts allow cell exposure to different concentrations</w:t>
      </w:r>
      <w:r w:rsidRPr="00F76890">
        <w:rPr>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{"citationItems":[{"id":"ITEM-1","itemData":{"DOI":"10.1016/j.dental.2013.04.023","ISSN":"01095641","PMID":"23764026","abstract":"Objective Various protective effects of N-acetylcysteine (NAC) against triethylene glycol dimethacrylate (TEGDMA)-induced cell damage have been demonstrated, but so far there is no evidence on NAC direct monomer detoxification mechanism. Here, we hypothesized that NAC might reduce TEGDMA cytotoxicity due to direct NAC adduct formation. Methods We measured the cytotoxic effects of TEGDMA in presence and in absence of NAC by MTT test. Then we analyzed the presence of TEGDMA-NAC adduct formation in extracellular and intracellular compartments by capillary electrophoresis-UV detection (CE-UV) and capillary electrophoresis-mass spectrometry (CE-MS) analytical techniques. Moreover, we quantified the effective intracellular and extracellular TEGDMA concentrations through HPLC in the presence and absence of 10 mmol/L NAC. Results TEGDMA reduced 3T3 cell vitality in a dose- and time-dependent manner, while NAC decreased monomer cytotoxicity and extracellular monomer concentrations by a direct reaction with TEGDMA. The adducts between the two molecules were detected both in the presence and absence of cell. Moreover a signal ascribed to the methacrylic acid was present in the CE-UV electropherogram of cellular lysates obtained after incubation with TEGDMA. Significance Our results suggest that in vitro detoxification capability of NAC against TEGDMA-induced cell damage might occur also through the formation of NAC-TEGDMA adduct. © 2013 Academy of Dental Materials.","author":[{"dropping-particle":"","family":"Spagnuolo","given":"Gianrico","non-dropping-particle":"","parse-names":false,"suffix":""},{"dropping-particle":"","family":"Desiderio","given":"Claudia","non-dropping-particle":"","parse-names":false,"suffix":""},{"dropping-particle":"","family":"Rivieccio","given":"Virginia","non-dropping-particle":"","parse-names":false,"suffix":""},{"dropping-particle":"","family":"Amato","given":"Massimo","non-dropping-particle":"","parse-names":false,"suffix":""},{"dropping-particle":"","family":"Rossetti","given":"Diana Valeria","non-dropping-particle":"","parse-names":false,"suffix":""},{"dropping-particle":"","family":"D'Antò","given":"Vincenzo","non-dropping-particle":"","parse-names":false,"suffix":""},{"dropping-particle":"","family":"Schweikl","given":"Helmut","non-dropping-particle":"","parse-names":false,"suffix":""},{"dropping-particle":"","family":"Lupi","given":"Alessandro","non-dropping-particle":"","parse-names":false,"suffix":""},{"dropping-particle":"","family":"Rengo","given":"Sandro","non-dropping-particle":"","parse-names":false,"suffix":""},{"dropping-particle":"","family":"Nocca","given":"Giuseppina","non-dropping-particle":"","parse-names":false,"suffix":""}],"container-title":"Dental Materials","id":"ITEM-1","issue":"8","issued":{"date-parts":[["2013","8"]]},"page":"e153-e160","publisher":"Elsevier","title":"In vitro cellular detoxification of triethylene glycol dimethacrylate by adduct formation with N-acetylcysteine","type":"article-journal","volume":"29"},"uris":["http://www.mendeley.com/documents/?uuid=18d83943-14de-418d-ab1f-a3b1fea54c00"]}],"mendeley":{"formattedCitation":"&lt;sup&gt;29&lt;/sup&gt;","plainTextFormattedCitation":"29","previouslyFormattedCitation":"&lt;sup&gt;29&lt;/sup&gt;"},"properties":{"noteIndex":0},"schema":"https://github.com/citation-style-language/schema/raw/master/csl-citation.json"}</w:instrText>
      </w:r>
      <w:r w:rsidRPr="00F76890">
        <w:rPr>
          <w:rFonts w:asciiTheme="minorHAnsi" w:hAnsiTheme="minorHAnsi" w:cstheme="minorHAnsi"/>
          <w:color w:val="auto"/>
        </w:rPr>
        <w:fldChar w:fldCharType="separate"/>
      </w:r>
      <w:r w:rsidRPr="00F76890">
        <w:rPr>
          <w:rFonts w:asciiTheme="minorHAnsi" w:hAnsiTheme="minorHAnsi" w:cstheme="minorHAnsi"/>
          <w:noProof/>
          <w:color w:val="auto"/>
          <w:vertAlign w:val="superscript"/>
        </w:rPr>
        <w:t>29</w:t>
      </w:r>
      <w:r w:rsidRPr="00F76890">
        <w:rPr>
          <w:rFonts w:asciiTheme="minorHAnsi" w:hAnsiTheme="minorHAnsi" w:cstheme="minorHAnsi"/>
          <w:color w:val="auto"/>
        </w:rPr>
        <w:fldChar w:fldCharType="end"/>
      </w:r>
      <w:r w:rsidRPr="00F76890">
        <w:rPr>
          <w:rFonts w:asciiTheme="minorHAnsi" w:hAnsiTheme="minorHAnsi" w:cstheme="minorHAnsi"/>
          <w:color w:val="auto"/>
        </w:rPr>
        <w:t>, mimicking diffusion of substances in tissues, which simulates the clearance they undergo in vivo, particularly when they are applied in contact with extremely irrigated tissues. Direct contact tests may not accurately assess different concentrations, and indirect contact tests demonstrated potential difficulties with non-diffusion, incomplete diffusion through membranes, or reaction with agar.</w:t>
      </w:r>
    </w:p>
    <w:p w14:paraId="5191F714" w14:textId="77777777" w:rsidR="00C44FA0" w:rsidRPr="00F76890" w:rsidRDefault="00C44FA0" w:rsidP="00F012D5">
      <w:pPr>
        <w:contextualSpacing/>
        <w:rPr>
          <w:rFonts w:asciiTheme="minorHAnsi" w:hAnsiTheme="minorHAnsi" w:cstheme="minorHAnsi"/>
          <w:color w:val="auto"/>
        </w:rPr>
      </w:pPr>
    </w:p>
    <w:p w14:paraId="73917908" w14:textId="77777777" w:rsidR="006B1B14" w:rsidRPr="00C44FA0" w:rsidRDefault="006B1B14" w:rsidP="00F012D5">
      <w:pPr>
        <w:contextualSpacing/>
        <w:rPr>
          <w:rFonts w:asciiTheme="minorHAnsi" w:hAnsiTheme="minorHAnsi" w:cstheme="minorHAnsi"/>
          <w:color w:val="auto"/>
        </w:rPr>
      </w:pPr>
      <w:r w:rsidRPr="00F76890">
        <w:rPr>
          <w:rFonts w:asciiTheme="minorHAnsi" w:hAnsiTheme="minorHAnsi" w:cstheme="minorHAnsi"/>
          <w:color w:val="auto"/>
        </w:rPr>
        <w:t>Tests providing a quantitative assessment are preferred, with cell viability reduction by more than 30% being considered cytotoxic</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{"citationItems":[{"id":"ITEM-1","itemData":{"ISSN":"1698-6946","PMID":"17468726","abstract":"All biomaterials used in dentistry must be evaluated for biocompatibility using screening assays to protect patient health and safety. The purpose of this review is to explain the international biocompatibility guidelines, and to explain the structure of a test program. The test program requires the structured assessment of materials into four phases; general toxicity, local tissue irritation, pre-clinical, and clinical evaluation. Different types of screening assays are available, and it is important to understand the advantages and limitations of the various types of assays that are available, so that they can be selected for appropriateness and interpreted accurately. New scientific advances in terms of the chemical properties of dental materials, tissue engineering, stem cell, genetic transfer, biomaterial, and growth factor therapies are under development. These new therapies create improved opportunities to restore and regenerate oral tissues, but they can also present new hazards to patients. Prior to their clinical use, these new technologies must be proven to be safe, and not hazardous to human health. A structured biocompatibility assessment and advice on the selection of assays are outlined to evaluate these new therapies.","author":[{"dropping-particle":"","family":"Murray","given":"Peter E","non-dropping-particle":"","parse-names":false,"suffix":""},{"dropping-particle":"","family":"García Godoy","given":"Cristina","non-dropping-particle":"","parse-names":false,"suffix":""},{"dropping-particle":"","family":"García Godoy","given":"Franklin","non-dropping-particle":"","parse-names":false,"suffix":""}],"container-title":"Medicina oral, patologia oral y cirugia bucal","id":"ITEM-1","issue":"3","issued":{"date-parts":[["2007","5","1"]]},"page":"E258-66","title":"How is the biocompatibilty of dental biomaterials evaluated?","type":"article-journal","volume":"12"},"uris":["http://www.mendeley.com/documents/?uuid=889eaf51-726e-40df-8ff7-8d7b1907273a","http://www.mendeley.com/documents/?uuid=355879eb-bc67-47d3-9331-0ca61f4fc490"]},{"id":"ITEM-2","itemData":{"author":[{"dropping-particle":"","family":"ISO","given":"International Organization for Standardization","non-dropping-particle":"","parse-names":false,"suffix":""}],"id":"ITEM-2","issued":{"date-parts":[["2009"]]},"publisher":"third edition","title":"ISO 10993-5:2009 Biological evaluation of medical devices - part 5: Tests for in vitro cytotoxicity.","type":"article"},"uris":["http://www.mendeley.com/documents/?uuid=3030d3ea-853a-468b-89b9-2247da79c177","http://www.mendeley.com/documents/?uuid=6fbe98a2-7bee-482a-b6fd-41d70d1f495f"]}],"mendeley":{"formattedCitation":"&lt;sup&gt;11, 30&lt;/sup&gt;","plainTextFormattedCitation":"11, 30","previouslyFormattedCitation":"&lt;sup&gt;11, 30&lt;/sup&gt;"},"properties":{"noteIndex":0},"schema":"https://github.com/citation-style-language/schema/raw/master/csl-citation.json"}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bCs/>
          <w:noProof/>
          <w:color w:val="auto"/>
          <w:vertAlign w:val="superscript"/>
        </w:rPr>
        <w:t>11, 30</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 xml:space="preserve">. In the development of new biomaterials, if such </w:t>
      </w:r>
      <w:r w:rsidRPr="00C44FA0">
        <w:rPr>
          <w:rFonts w:asciiTheme="minorHAnsi" w:hAnsiTheme="minorHAnsi" w:cstheme="minorHAnsi"/>
          <w:color w:val="auto"/>
        </w:rPr>
        <w:t>reduction occurs, it determines the need for reformulation or abandonment. If encouraging results are achieved, further studies should be performed envisioning in vivo evaluation</w:t>
      </w:r>
      <w:r w:rsidRPr="00C44FA0">
        <w:rPr>
          <w:rStyle w:val="FootnoteReference"/>
          <w:rFonts w:asciiTheme="minorHAnsi" w:hAnsiTheme="minorHAnsi" w:cstheme="minorHAnsi"/>
          <w:color w:val="auto"/>
        </w:rPr>
        <w:fldChar w:fldCharType="begin" w:fldLock="1"/>
      </w:r>
      <w:r w:rsidRPr="00C44FA0">
        <w:rPr>
          <w:rFonts w:asciiTheme="minorHAnsi" w:hAnsiTheme="minorHAnsi" w:cstheme="minorHAnsi"/>
          <w:color w:val="auto"/>
        </w:rPr>
        <w:instrText>ADDIN CSL_CITATION {"citationItems":[{"id":"ITEM-1","itemData":{"DOI":"10.1016/s0109-5641(96)80020-0","ISSN":"0109-5641","PMID":"9002862","abstract":"The objectives of this paper were to define in vitro biocompatibility of materials, to discuss some of the issues concerning why conclusions from tissue culture are sometimes different from in vivo biocompatibility, to give highlights of the sequence of the development of these in vitro assays from the early 1950s to their present state of development, and to discuss possible future trends for in vitro testing. In vitro biocompatibility tests were developed to simulate and predict biological reactions to materials when placed into or on tissues in the body. Traditional assays have measured cytotoxicity by means of either an end-stage event, (i.e., permeability of cytoplasmic membranes of dead and dying cells, or some metabolic parameter such as cell division or an enzymatic reaction). In vitro assays for initiation of inflammatory and immune reactions to materials have also begun to appear in the literature. More recently, the concept of dentin barrier tests has been introduced for dental restorative materials. Four models which measure both permeability and biological effects of materials are compared and discussed. Future efforts may be directed toward development of materials which will allow or promote function and differentiation of tissues associated with materials. New analytical procedures and understanding of optimal characteristics of materials should improve our ability to develop more biocompatible materials. Both molecular biology techniques, and altered design of material surfaces may make the materials either more or less reactive to the biological milieu. These trends suggest a greater future role of the biological sciences in the development of biomaterials.","author":[{"dropping-particle":"","family":"Hanks","given":"C T","non-dropping-particle":"","parse-names":false,"suffix":""},{"dropping-particle":"","family":"Wataha","given":"J C","non-dropping-particle":"","parse-names":false,"suffix":""},{"dropping-particle":"","family":"Sun","given":"Z","non-dropping-particle":"","parse-names":false,"suffix":""}],"container-title":"Dental materials : official publication of the Academy of Dental Materials","id":"ITEM-1","issue":"3","issued":{"date-parts":[["1996","5"]]},"page":"186-93","title":"In vitro models of biocompatibility: a review.","type":"article-journal","volume":"12"},"uris":["http://www.mendeley.com/documents/?uuid=84f10ee5-4193-3742-895f-ea221b9a0dab","http://www.mendeley.com/documents/?uuid=2b4c8a8f-1014-444a-a658-bd01eefddea6"]},{"id":"ITEM-2","itemData":{"DOI":"10.1016/j.dental.2013.04.023","ISSN":"01095641","PMID":"23764026","abstract":"Objective Various protective effects of N-acetylcysteine (NAC) against triethylene glycol dimethacrylate (TEGDMA)-induced cell damage have been demonstrated, but so far there is no evidence on NAC direct monomer detoxification mechanism. Here, we hypothesized that NAC might reduce TEGDMA cytotoxicity due to direct NAC adduct formation. Methods We measured the cytotoxic effects of TEGDMA in presence and in absence of NAC by MTT test. Then we analyzed the presence of TEGDMA-NAC adduct formation in extracellular and intracellular compartments by capillary electrophoresis-UV detection (CE-UV) and capillary electrophoresis-mass spectrometry (CE-MS) analytical techniques. Moreover, we quantified the effective intracellular and extracellular TEGDMA concentrations through HPLC in the presence and absence of 10 mmol/L NAC. Results TEGDMA reduced 3T3 cell vitality in a dose- and time-dependent manner, while NAC decreased monomer cytotoxicity and extracellular monomer concentrations by a direct reaction with TEGDMA. The adducts between the two molecules were detected both in the presence and absence of cell. Moreover a signal ascribed to the methacrylic acid was present in the CE-UV electropherogram of cellular lysates obtained after incubation with TEGDMA. Significance Our results suggest that in vitro detoxification capability of NAC against TEGDMA-induced cell damage might occur also through the formation of NAC-TEGDMA adduct. © 2013 Academy of Dental Materials.","author":[{"dropping-particle":"","family":"Spagnuolo","given":"Gianrico","non-dropping-particle":"","parse-names":false,"suffix":""},{"dropping-particle":"","family":"Desiderio","given":"Claudia","non-dropping-particle":"","parse-names":false,"suffix":""},{"dropping-particle":"","family":"Rivieccio","given":"Virginia","non-dropping-particle":"","parse-names":false,"suffix":""},{"dropping-particle":"","family":"Amato","given":"Massimo","non-dropping-particle":"","parse-names":false,"suffix":""},{"dropping-particle":"","family":"Rossetti","given":"Diana Valeria","non-dropping-particle":"","parse-names":false,"suffix":""},{"dropping-particle":"","family":"D'Antò","given":"Vincenzo","non-dropping-particle":"","parse-names":false,"suffix":""},{"dropping-particle":"","family":"Schweikl","given":"Helmut","non-dropping-particle":"","parse-names":false,"suffix":""},{"dropping-particle":"","family":"Lupi","given":"Alessandro","non-dropping-particle":"","parse-names":false,"suffix":""},{"dropping-particle":"","family":"Rengo","given":"Sandro","non-dropping-particle":"","parse-names":false,"suffix":""},{"dropping-particle":"","family":"Nocca","given":"Giuseppina","non-dropping-particle":"","parse-names":false,"suffix":""}],"container-title":"Dental Materials","id":"ITEM-2","issue":"8","issued":{"date-parts":[["2013","8"]]},"page":"e153-e160","publisher":"Elsevier","title":"In vitro cellular detoxification of triethylene glycol dimethacrylate by adduct formation with N-acetylcysteine","type":"article-journal","volume":"29"},"uris":["http://www.mendeley.com/documents/?uuid=9fbe9b76-0b98-39d3-a31f-1df8cf6abacb","http://www.mendeley.com/documents/?uuid=18d83943-14de-418d-ab1f-a3b1fea54c00"]}],"mendeley":{"formattedCitation":"&lt;sup&gt;29, 31&lt;/sup&gt;","plainTextFormattedCitation":"29, 31","previouslyFormattedCitation":"&lt;sup&gt;29, 31&lt;/sup&gt;"},"properties":{"noteIndex":0},"schema":"https://github.com/citation-style-language/schema/raw/master/csl-citation.json"}</w:instrText>
      </w:r>
      <w:r w:rsidRPr="00C44FA0">
        <w:rPr>
          <w:rStyle w:val="FootnoteReference"/>
          <w:rFonts w:asciiTheme="minorHAnsi" w:hAnsiTheme="minorHAnsi" w:cstheme="minorHAnsi"/>
          <w:color w:val="auto"/>
        </w:rPr>
        <w:fldChar w:fldCharType="separate"/>
      </w:r>
      <w:r w:rsidRPr="00C44FA0">
        <w:rPr>
          <w:rFonts w:asciiTheme="minorHAnsi" w:hAnsiTheme="minorHAnsi" w:cstheme="minorHAnsi"/>
          <w:noProof/>
          <w:color w:val="auto"/>
          <w:vertAlign w:val="superscript"/>
        </w:rPr>
        <w:t>29, 31</w:t>
      </w:r>
      <w:r w:rsidRPr="00C44FA0">
        <w:rPr>
          <w:rStyle w:val="FootnoteReference"/>
          <w:rFonts w:asciiTheme="minorHAnsi" w:hAnsiTheme="minorHAnsi" w:cstheme="minorHAnsi"/>
          <w:color w:val="auto"/>
        </w:rPr>
        <w:fldChar w:fldCharType="end"/>
      </w:r>
      <w:r w:rsidRPr="00C44FA0">
        <w:rPr>
          <w:rFonts w:asciiTheme="minorHAnsi" w:hAnsiTheme="minorHAnsi" w:cstheme="minorHAnsi"/>
          <w:color w:val="auto"/>
        </w:rPr>
        <w:t>.</w:t>
      </w:r>
      <w:r w:rsidRPr="00C44FA0">
        <w:rPr>
          <w:rStyle w:val="FootnoteReference"/>
          <w:rFonts w:asciiTheme="minorHAnsi" w:hAnsiTheme="minorHAnsi" w:cstheme="minorHAnsi"/>
          <w:color w:val="auto"/>
          <w:highlight w:val="yellow"/>
        </w:rPr>
        <w:t xml:space="preserve"> </w:t>
      </w:r>
    </w:p>
    <w:p w14:paraId="2EDD0FFC" w14:textId="77777777" w:rsidR="006B1B14" w:rsidRPr="00C44FA0" w:rsidRDefault="006B1B14" w:rsidP="00F012D5">
      <w:pPr>
        <w:pBdr>
          <w:top w:val="nil"/>
          <w:left w:val="nil"/>
          <w:bottom w:val="nil"/>
          <w:right w:val="nil"/>
          <w:between w:val="nil"/>
        </w:pBdr>
        <w:autoSpaceDE/>
        <w:autoSpaceDN/>
        <w:adjustRightInd/>
        <w:contextualSpacing/>
        <w:rPr>
          <w:rFonts w:eastAsia="Calibri"/>
          <w:color w:val="auto"/>
        </w:rPr>
      </w:pPr>
    </w:p>
    <w:p w14:paraId="71BAF58F" w14:textId="77777777" w:rsidR="006B1B14" w:rsidRPr="00F76890" w:rsidRDefault="006B1B14" w:rsidP="00F012D5">
      <w:pPr>
        <w:contextualSpacing/>
        <w:rPr>
          <w:rFonts w:asciiTheme="minorHAnsi" w:hAnsiTheme="minorHAnsi" w:cstheme="minorHAnsi"/>
          <w:color w:val="auto"/>
        </w:rPr>
      </w:pPr>
      <w:r w:rsidRPr="00C44FA0">
        <w:rPr>
          <w:rFonts w:asciiTheme="minorHAnsi" w:hAnsiTheme="minorHAnsi" w:cstheme="minorHAnsi"/>
          <w:color w:val="auto"/>
        </w:rPr>
        <w:t>In vitro tests should simulate</w:t>
      </w:r>
      <w:r w:rsidRPr="00F76890">
        <w:rPr>
          <w:rFonts w:asciiTheme="minorHAnsi" w:hAnsiTheme="minorHAnsi" w:cstheme="minorHAnsi"/>
          <w:color w:val="auto"/>
        </w:rPr>
        <w:t xml:space="preserve"> or exaggerate the clinical conditions. Thus, the determination of appropriate surface volume ratios for extract preparation is critical. Surface to volume ratios of 1.25–6 cm</w:t>
      </w:r>
      <w:r w:rsidRPr="00F76890">
        <w:rPr>
          <w:rFonts w:asciiTheme="minorHAnsi" w:hAnsiTheme="minorHAnsi" w:cstheme="minorHAnsi"/>
          <w:color w:val="auto"/>
          <w:vertAlign w:val="superscript"/>
        </w:rPr>
        <w:t>2</w:t>
      </w:r>
      <w:r w:rsidRPr="00F76890">
        <w:rPr>
          <w:rFonts w:asciiTheme="minorHAnsi" w:hAnsiTheme="minorHAnsi" w:cstheme="minorHAnsi"/>
          <w:color w:val="auto"/>
        </w:rPr>
        <w:t>/mL were suggested. In the case of materials with surface irregularities like foams 0.1–0.2 g/mL or 6 cm</w:t>
      </w:r>
      <w:r w:rsidRPr="00F76890">
        <w:rPr>
          <w:rFonts w:asciiTheme="minorHAnsi" w:hAnsiTheme="minorHAnsi" w:cstheme="minorHAnsi"/>
          <w:color w:val="auto"/>
          <w:vertAlign w:val="superscript"/>
        </w:rPr>
        <w:t>2</w:t>
      </w:r>
      <w:r w:rsidRPr="00F76890">
        <w:rPr>
          <w:rFonts w:asciiTheme="minorHAnsi" w:hAnsiTheme="minorHAnsi" w:cstheme="minorHAnsi"/>
          <w:color w:val="auto"/>
        </w:rPr>
        <w:t xml:space="preserve">/mL are a starting point </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DOI":"10.1016/j.joen.2012.11.026","ISSN":"00992399","author":[{"dropping-particle":"","family":"Zhou","given":"Hui-min","non-dropping-particle":"","parse-names":false,"suffix":""},{"dropping-particle":"","family":"Shen","given":"Ya","non-dropping-particle":"","parse-names":false,"suffix":""},{"dropping-particle":"","family":"Wang","given":"Zhe-jun","non-dropping-particle":"","parse-names":false,"suffix":""},{"dropping-particle":"","family":"Li","given":"Li","non-dropping-particle":"","parse-names":false,"suffix":""},{"dropping-particle":"","family":"Zheng","given":"Yu-feng","non-dropping-particle":"","parse-names":false,"suffix":""},{"dropping-particle":"","family":"Häkkinen","given":"Lari","non-dropping-particle":"","parse-names":false,"suffix":""},{"dropping-particle":"","family":"Haapasalo","given":"Markus","non-dropping-particle":"","parse-names":false,"suffix":""}],"container-title":"Journal of Endodontics","id":"ITEM-1","issue":"4","issued":{"date-parts":[["2013","4"]]},"page":"478-483","title":"In Vitro Cytotoxicity Evaluation of a Novel Root Repair Material","type":"article-journal","volume":"39"},"uris":["http://www.mendeley.com/documents/?uuid=9a3cec09-39a3-4c1d-861c-2a17bba2fa83","http://www.mendeley.com/documents/?uuid=1025ca2a-419a-4f11-b5f1-8c95b55c31b9"]},{"id":"ITEM-2","itemData":{"DOI":"10.3390/ma12071184","ISSN":"1996-1944","abstract":"&lt;p&gt;(1) Background: When pulp exposure occurs, reparative dentinogenesis can be induced by direct pulp capping to maintain the vitality and function of the tissue. The aim of this work was to assess the cytotoxicity and bioactivity of three different direct pulp capping materials, calcium hydroxide (Life®), mineral trioxide aggregate (WhiteProRoot®MTA) and calcium silicate (Biodentine™), in an odontoblast-like mouse cell line (MDPC-23). (2) Methods: Metabolic activity was assessed by the 3-(4,5-dimethylthiazol-2-yl)-2,5-diphenyltetrazolium bromide test (MTT)assay, viability by the sulforhodamine B (SRB) assay, and the type of death and cell cycle analysis by flow cytometry. Alkaline phosphatase was evaluated by polymerase chain reaction (PCR), and dentin sialoprotein expression was assessed by immunocytochemistry. Mineralization was determined by the Alizarin Red S colorimetric assay and quantified by spectrophotometry. (3) Results: Life® induced a decrease in metabolic activity and viability, which is associated with an increase cell death. WhiteProRoot®MTA and Biodentine™ induced similar effects in cytotoxicity assays, with an increase in the expression of dentin sialoprotein (DSP) and formation of mineralized deposits, especially with Biodentine™. (4) Conclusions: The results of WhiteProRoot®MTA confirm its indication for these therapies, justifying its recognition as the “gold standard”. Biodentine™ may be an alternative, since they promote the same cellular response that mineral trioxide aggregate (MTA) does.&lt;/p&gt;","author":[{"dropping-particle":"","family":"Paula","given":"Anabela","non-dropping-particle":"","parse-names":false,"suffix":""},{"dropping-particle":"","family":"Laranjo","given":"Mafalda","non-dropping-particle":"","parse-names":false,"suffix":""},{"dropping-particle":"","family":"Marto","given":"Carlos Miguel","non-dropping-particle":"","parse-names":false,"suffix":""},{"dropping-particle":"","family":"Abrantes","given":"Ana Margarida","non-dropping-particle":"","parse-names":false,"suffix":""},{"dropping-particle":"","family":"Casalta-Lopes","given":"João","non-dropping-particle":"","parse-names":false,"suffix":""},{"dropping-particle":"","family":"Gonçalves","given":"Ana Cristina","non-dropping-particle":"","parse-names":false,"suffix":""},{"dropping-particle":"","family":"Sarmento-Ribeiro","given":"Ana Bela","non-dropping-particle":"","parse-names":false,"suffix":""},{"dropping-particle":"","family":"Ferreira","given":"Manuel M.","non-dropping-particle":"","parse-names":false,"suffix":""},{"dropping-particle":"","family":"Botelho","given":"Maria Filomena","non-dropping-particle":"","parse-names":false,"suffix":""},{"dropping-particle":"","family":"Carrilho","given":"Eunice","non-dropping-particle":"","parse-names":false,"suffix":""}],"container-title":"Materials","id":"ITEM-2","issue":"7","issued":{"date-parts":[["2019","4","11"]]},"page":"1184","title":"Biodentine™ Boosts, WhiteProRoot®MTA Increases and Life® Suppresses Odontoblast Activity","type":"article-journal","volume":"12"},"uris":["http://www.mendeley.com/documents/?uuid=1ae23a33-c1d0-3bb4-a811-effd3c59f89b"]}],"mendeley":{"formattedCitation":"&lt;sup&gt;15, 20&lt;/sup&gt;","plainTextFormattedCitation":"15, 20","previouslyFormattedCitation":"&lt;sup&gt;15, 20&lt;/sup&gt;"},"properties":{"noteIndex":0},"schema":"https://github.com/citation-style-language/schema/raw/master/csl-citation.json"}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noProof/>
          <w:color w:val="auto"/>
          <w:vertAlign w:val="superscript"/>
        </w:rPr>
        <w:t>15, 20</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 xml:space="preserve"> </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{"citationItems":[{"id":"ITEM-1","itemData":{"DOI":"10.1007/10_2011_111","ISSN":"07246145","abstract":"The in vitro biocompatibility of novel materials has to be proven before a material can be used as component of a medical device. This must be done in cell culture tests according to internationally recognized standard protocols. Subsequently, preclinical and clinical tests must be performed to verify the safety of the new material and device. The present chapter focuses on the first step, the in vitro testing according to ISO 10993-5, and critically discusses its limited significance. Alternative strategies and a brief overview of activities to improve the current in vitro tests are presented in the concluding section.","author":[{"dropping-particle":"","family":"Bruinink","given":"Arie","non-dropping-particle":"","parse-names":false,"suffix":""},{"dropping-particle":"","family":"Luginbuehl","given":"Reto","non-dropping-particle":"","parse-names":false,"suffix":""}],"container-title":"Advances in biochemical engineering/biotechnology","id":"ITEM-1","issued":{"date-parts":[["2012"]]},"page":"117-152","title":"Evaluation of biocompatibility using in vitro methods: interpretation and limitations.","type":"article-journal","volume":"126"},"uris":["http://www.mendeley.com/documents/?uuid=82bfd796-2a85-4100-b935-6eff62b56126","http://www.mendeley.com/documents/?uuid=4eab78b0-320f-3544-865e-6fb791645db7"]}],"mendeley":{"formattedCitation":"&lt;sup&gt;2&lt;/sup&gt;","plainTextFormattedCitation":"2","previouslyFormattedCitation":"&lt;sup&gt;2&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noProof/>
          <w:color w:val="auto"/>
          <w:vertAlign w:val="superscript"/>
        </w:rPr>
        <w:t>2</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 xml:space="preserve">. The </w:t>
      </w:r>
      <w:r w:rsidRPr="00F76890">
        <w:rPr>
          <w:rFonts w:asciiTheme="minorHAnsi" w:hAnsiTheme="minorHAnsi" w:cstheme="minorHAnsi"/>
          <w:i/>
          <w:iCs/>
          <w:color w:val="auto"/>
        </w:rPr>
        <w:t>ratio</w:t>
      </w:r>
      <w:r w:rsidRPr="00F76890">
        <w:rPr>
          <w:rFonts w:asciiTheme="minorHAnsi" w:hAnsiTheme="minorHAnsi" w:cstheme="minorHAnsi"/>
          <w:color w:val="auto"/>
        </w:rPr>
        <w:t xml:space="preserve"> of 250 mm</w:t>
      </w:r>
      <w:r w:rsidRPr="00F76890">
        <w:rPr>
          <w:rFonts w:asciiTheme="minorHAnsi" w:hAnsiTheme="minorHAnsi" w:cstheme="minorHAnsi"/>
          <w:color w:val="auto"/>
          <w:vertAlign w:val="superscript"/>
        </w:rPr>
        <w:t>2</w:t>
      </w:r>
      <w:r w:rsidRPr="00F76890">
        <w:rPr>
          <w:rFonts w:asciiTheme="minorHAnsi" w:hAnsiTheme="minorHAnsi" w:cstheme="minorHAnsi"/>
          <w:color w:val="auto"/>
        </w:rPr>
        <w:t xml:space="preserve"> </w:t>
      </w:r>
      <w:r w:rsidRPr="00F76890">
        <w:rPr>
          <w:rFonts w:asciiTheme="minorHAnsi" w:hAnsiTheme="minorHAnsi" w:cstheme="minorHAnsi"/>
          <w:i/>
          <w:iCs/>
          <w:color w:val="auto"/>
        </w:rPr>
        <w:t>per</w:t>
      </w:r>
      <w:r w:rsidRPr="00F76890">
        <w:rPr>
          <w:rFonts w:asciiTheme="minorHAnsi" w:hAnsiTheme="minorHAnsi" w:cstheme="minorHAnsi"/>
          <w:color w:val="auto"/>
        </w:rPr>
        <w:t xml:space="preserve"> mL of medium was used in representative results used in this protocol and other studies</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DOI":"10.1016/j.joen.2012.11.026","ISSN":"00992399","author":[{"dropping-particle":"","family":"Zhou","given":"Hui-min","non-dropping-particle":"","parse-names":false,"suffix":""},{"dropping-particle":"","family":"Shen","given":"Ya","non-dropping-particle":"","parse-names":false,"suffix":""},{"dropping-particle":"","family":"Wang","given":"Zhe-jun","non-dropping-particle":"","parse-names":false,"suffix":""},{"dropping-particle":"","family":"Li","given":"Li","non-dropping-particle":"","parse-names":false,"suffix":""},{"dropping-particle":"","family":"Zheng","given":"Yu-feng","non-dropping-particle":"","parse-names":false,"suffix":""},{"dropping-particle":"","family":"Häkkinen","given":"Lari","non-dropping-particle":"","parse-names":false,"suffix":""},{"dropping-particle":"","family":"Haapasalo","given":"Markus","non-dropping-particle":"","parse-names":false,"suffix":""}],"container-title":"Journal of Endodontics","id":"ITEM-1","issue":"4","issued":{"date-parts":[["2013","4"]]},"page":"478-483","title":"In Vitro Cytotoxicity Evaluation of a Novel Root Repair Material","type":"article-journal","volume":"39"},"uris":["http://www.mendeley.com/documents/?uuid=9a3cec09-39a3-4c1d-861c-2a17bba2fa83","http://www.mendeley.com/documents/?uuid=1025ca2a-419a-4f11-b5f1-8c95b55c31b9"]},{"id":"ITEM-2","itemData":{"DOI":"10.3390/ma12071184","ISSN":"1996-1944","abstract":"&lt;p&gt;(1) Background: When pulp exposure occurs, reparative dentinogenesis can be induced by direct pulp capping to maintain the vitality and function of the tissue. The aim of this work was to assess the cytotoxicity and bioactivity of three different direct pulp capping materials, calcium hydroxide (Life®), mineral trioxide aggregate (WhiteProRoot®MTA) and calcium silicate (Biodentine™), in an odontoblast-like mouse cell line (MDPC-23). (2) Methods: Metabolic activity was assessed by the 3-(4,5-dimethylthiazol-2-yl)-2,5-diphenyltetrazolium bromide test (MTT)assay, viability by the sulforhodamine B (SRB) assay, and the type of death and cell cycle analysis by flow cytometry. Alkaline phosphatase was evaluated by polymerase chain reaction (PCR), and dentin sialoprotein expression was assessed by immunocytochemistry. Mineralization was determined by the Alizarin Red S colorimetric assay and quantified by spectrophotometry. (3) Results: Life® induced a decrease in metabolic activity and viability, which is associated with an increase cell death. WhiteProRoot®MTA and Biodentine™ induced similar effects in cytotoxicity assays, with an increase in the expression of dentin sialoprotein (DSP) and formation of mineralized deposits, especially with Biodentine™. (4) Conclusions: The results of WhiteProRoot®MTA confirm its indication for these therapies, justifying its recognition as the “gold standard”. Biodentine™ may be an alternative, since they promote the same cellular response that mineral trioxide aggregate (MTA) does.&lt;/p&gt;","author":[{"dropping-particle":"","family":"Paula","given":"Anabela","non-dropping-particle":"","parse-names":false,"suffix":""},{"dropping-particle":"","family":"Laranjo","given":"Mafalda","non-dropping-particle":"","parse-names":false,"suffix":""},{"dropping-particle":"","family":"Marto","given":"Carlos Miguel","non-dropping-particle":"","parse-names":false,"suffix":""},{"dropping-particle":"","family":"Abrantes","given":"Ana Margarida","non-dropping-particle":"","parse-names":false,"suffix":""},{"dropping-particle":"","family":"Casalta-Lopes","given":"João","non-dropping-particle":"","parse-names":false,"suffix":""},{"dropping-particle":"","family":"Gonçalves","given":"Ana Cristina","non-dropping-particle":"","parse-names":false,"suffix":""},{"dropping-particle":"","family":"Sarmento-Ribeiro","given":"Ana Bela","non-dropping-particle":"","parse-names":false,"suffix":""},{"dropping-particle":"","family":"Ferreira","given":"Manuel M.","non-dropping-particle":"","parse-names":false,"suffix":""},{"dropping-particle":"","family":"Botelho","given":"Maria Filomena","non-dropping-particle":"","parse-names":false,"suffix":""},{"dropping-particle":"","family":"Carrilho","given":"Eunice","non-dropping-particle":"","parse-names":false,"suffix":""}],"container-title":"Materials","id":"ITEM-2","issue":"7","issued":{"date-parts":[["2019","4","11"]]},"page":"1184","title":"Biodentine™ Boosts, WhiteProRoot®MTA Increases and Life® Suppresses Odontoblast Activity","type":"article-journal","volume":"12"},"uris":["http://www.mendeley.com/documents/?uuid=1ae23a33-c1d0-3bb4-a811-effd3c59f89b"]}],"mendeley":{"formattedCitation":"&lt;sup&gt;15, 20&lt;/sup&gt;","plainTextFormattedCitation":"15, 20","previouslyFormattedCitation":"&lt;sup&gt;15, 20&lt;/sup&gt;"},"properties":{"noteIndex":0},"schema":"https://github.com/citation-style-language/schema/raw/master/csl-citation.json"}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noProof/>
          <w:color w:val="auto"/>
          <w:vertAlign w:val="superscript"/>
        </w:rPr>
        <w:t>15, 20</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w:t>
      </w:r>
    </w:p>
    <w:p w14:paraId="2C6B65F0" w14:textId="77777777" w:rsidR="006B1B14" w:rsidRPr="00F76890" w:rsidRDefault="006B1B14" w:rsidP="00F012D5">
      <w:pPr>
        <w:contextualSpacing/>
        <w:rPr>
          <w:rFonts w:asciiTheme="minorHAnsi" w:hAnsiTheme="minorHAnsi" w:cstheme="minorHAnsi"/>
          <w:color w:val="auto"/>
        </w:rPr>
      </w:pPr>
    </w:p>
    <w:p w14:paraId="2F326CC0" w14:textId="77777777"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color w:val="auto"/>
        </w:rPr>
        <w:t>Even if not used in this way in the clinics, the samples must be sterilized by methods that do not alter their properties. UV irradiation is frequently a good choice. This is of paramount importance to prevent microbial contamination of cell cultures</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{"citationItems":[{"id":"ITEM-1","itemData":{"DOI":"10.1016/j.joen.2013.07.009","ISSN":"00992399","author":[{"dropping-particle":"","family":"Eid","given":"Ashraf A.","non-dropping-particle":"","parse-names":false,"suffix":""},{"dropping-particle":"","family":"Gosier","given":"Johnny L.","non-dropping-particle":"","parse-names":false,"suffix":""},{"dropping-particle":"","family":"Primus","given":"Carolyn M.","non-dropping-particle":"","parse-names":false,"suffix":""},{"dropping-particle":"","family":"Hammond","given":"Barry D.","non-dropping-particle":"","parse-names":false,"suffix":""},{"dropping-particle":"","family":"Susin","given":"Lisiane F.","non-dropping-particle":"","parse-names":false,"suffix":""},{"dropping-particle":"","family":"Pashley","given":"David H.","non-dropping-particle":"","parse-names":false,"suffix":""},{"dropping-particle":"","family":"Tay","given":"Franklin R.","non-dropping-particle":"","parse-names":false,"suffix":""}],"container-title":"Journal of Endodontics","id":"ITEM-1","issue":"2","issued":{"date-parts":[["2014","2"]]},"page":"255-260","title":"In Vitro Biocompatibility and Oxidative Stress Profiles of Different Hydraulic Calcium Silicate Cements","type":"article-journal","volume":"40"},"uris":["http://www.mendeley.com/documents/?uuid=54b68c35-8967-416c-9cb9-af2824ba710a","http://www.mendeley.com/documents/?uuid=f4aa4f0f-6c98-4f0f-887e-953122209764"]},{"id":"ITEM-2","itemData":{"DOI":"10.1016/j.joen.2015.12.018","ISSN":"1878-3554","PMID":"26925520","abstract":"INTRODUCTION The purpose of this study was to compare the cell viability of dental pulp cells treated with Biodentine (Septodont, Saint-Maur, France) and mineral trioxide aggregate (MTA) and the in vitro and in vivo expression of mineralization markers induced by the 2 materials. METHODS Human dental pulp cells isolated from 6 permanent teeth were stimulated with Biodentine and MTA extracts. Cell viability was determined using the 3-(4,5-dimethylthiazol-2-yl)-2,5-diphenyl tetrazolium bromide assay, and quantitative reverse-transcriptase polymerase chain reaction was used to determine the expression of mineralization markers. Specimens of teeth from dogs treated with Biodentine and MTA after pulpotomy were used to determine the presence of osteopontin and alkaline phosphatase by immunohistochemistry and runt-related transcription factor 2 by immunofluorescence. RESULTS No significant differences in cell viability were found between MTA and Biodentine extracts and controls after 24 and 48 hours (P &gt; .05). After 48 hours, osteopontin (SPP1), alkaline phosphatase (ALP), and runt-related transcription factor 2 (RUNX2) expression was higher in MTA and Biodentine than in controls (P &lt; .05). Osteopontin staining was more intense and spread over a greater number of areas in Biodentine than in MTA samples (P &lt; .0001). Alkaline phosphatase staining of a mineralized tissue bridge was significantly different between materials (P &lt; .0001), but no difference in alkaline phosphatase staining of pulp tissue was found between MTA and Biodentine (P = .2). Also, no significant difference in the number of cells labeled for runt-related transcription factor 2 by immunofluorescence was observed between materials (P &gt; .05). CONCLUSIONS Biodentine stimulated similar markers as MTA, but staining was more intense and spread over a larger area of the pulp tissue.","author":[{"dropping-particle":"","family":"Daltoé","given":"Mariana O.","non-dropping-particle":"","parse-names":false,"suffix":""},{"dropping-particle":"","family":"Paula-Silva","given":"Francisco Wanderley G.","non-dropping-particle":"","parse-names":false,"suffix":""},{"dropping-particle":"","family":"Faccioli","given":"Lúcia H.","non-dropping-particle":"","parse-names":false,"suffix":""},{"dropping-particle":"","family":"Gatón-Hernández","given":"Patrícia M.","non-dropping-particle":"","parse-names":false,"suffix":""},{"dropping-particle":"","family":"Rossi","given":"Andiara","non-dropping-particle":"De","parse-names":false,"suffix":""},{"dropping-particle":"","family":"Bezerra Silva","given":"Léa Assed","non-dropping-particle":"","parse-names":false,"suffix":""}],"container-title":"Journal of endodontics","id":"ITEM-2","issue":"4","issued":{"date-parts":[["2016","4"]]},"page":"596-603","title":"Expression of Mineralization Markers during Pulp Response to Biodentine and Mineral Trioxide Aggregate.","type":"article-journal","volume":"42"},"uris":["http://www.mendeley.com/documents/?uuid=0a1c649f-badd-46a9-9e79-91c3b6e08fd3","http://www.mendeley.com/documents/?uuid=33d25543-ee57-41ba-8c76-959e9115f2a2"]},{"id":"ITEM-3","itemData":{"author":[{"dropping-particle":"","family":"ISO","given":"International Organization for Standardization","non-dropping-particle":"","parse-names":false,"suffix":""}],"id":"ITEM-3","issued":{"date-parts":[["2009"]]},"publisher":"third edition","title":"ISO 10993-5:2009 Biological evaluation of medical devices - part 5: Tests for in vitro cytotoxicity.","type":"article"},"uris":["http://www.mendeley.com/documents/?uuid=3030d3ea-853a-468b-89b9-2247da79c177","http://www.mendeley.com/documents/?uuid=6fbe98a2-7bee-482a-b6fd-41d70d1f495f","http://www.mendeley.com/documents/?uuid=c4a3f92c-6da0-4f57-9825-9eacb2dcd129"]}],"mendeley":{"formattedCitation":"&lt;sup&gt;11, 24, 32&lt;/sup&gt;","plainTextFormattedCitation":"11, 24, 32","previouslyFormattedCitation":"&lt;sup&gt;11, 24, 32&lt;/sup&gt;"},"properties":{"noteIndex":0},"schema":"https://github.com/citation-style-language/schema/raw/master/csl-citation.json"}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bCs/>
          <w:noProof/>
          <w:color w:val="auto"/>
          <w:vertAlign w:val="superscript"/>
        </w:rPr>
        <w:t>11, 24, 32</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w:t>
      </w:r>
    </w:p>
    <w:p w14:paraId="3C82BCF2" w14:textId="77777777" w:rsidR="006B1B14" w:rsidRPr="00F76890" w:rsidRDefault="006B1B14" w:rsidP="00F012D5">
      <w:pPr>
        <w:contextualSpacing/>
        <w:rPr>
          <w:rFonts w:asciiTheme="minorHAnsi" w:hAnsiTheme="minorHAnsi" w:cstheme="minorHAnsi"/>
          <w:color w:val="auto"/>
        </w:rPr>
      </w:pPr>
    </w:p>
    <w:p w14:paraId="7E97566B" w14:textId="2DC616A6"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color w:val="auto"/>
        </w:rPr>
        <w:t xml:space="preserve">Extraction media include cell culture medium with or without serum, physiological saline solution, </w:t>
      </w:r>
      <w:proofErr w:type="spellStart"/>
      <w:r w:rsidRPr="00F76890">
        <w:rPr>
          <w:rFonts w:asciiTheme="minorHAnsi" w:hAnsiTheme="minorHAnsi" w:cstheme="minorHAnsi"/>
          <w:color w:val="auto"/>
        </w:rPr>
        <w:t>dimethylsulfoxide</w:t>
      </w:r>
      <w:proofErr w:type="spellEnd"/>
      <w:r w:rsidRPr="00F76890">
        <w:rPr>
          <w:rFonts w:asciiTheme="minorHAnsi" w:hAnsiTheme="minorHAnsi" w:cstheme="minorHAnsi"/>
          <w:color w:val="auto"/>
        </w:rPr>
        <w:t>, or purified water, selected according to the biomaterials chemical characteristics</w:t>
      </w:r>
      <w:r w:rsidRPr="00F76890">
        <w:rPr>
          <w:rStyle w:val="FootnoteReference"/>
          <w:rFonts w:asciiTheme="minorHAnsi" w:hAnsiTheme="minorHAnsi" w:cstheme="minorHAnsi"/>
          <w:color w:val="auto"/>
        </w:rPr>
        <w:t xml:space="preserve"> </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{"citationItems":[{"id":"ITEM-1","itemData":{"author":[{"dropping-particle":"","family":"ISO","given":"International Organization for Standardization","non-dropping-particle":"","parse-names":false,"suffix":""}],"id":"ITEM-1","issued":{"date-parts":[["2009"]]},"publisher":"third edition","title":"ISO 10993-5:2009 Biological evaluation of medical devices - part 5: Tests for in vitro cytotoxicity.","type":"article"},"uris":["http://www.mendeley.com/documents/?uuid=3030d3ea-853a-468b-89b9-2247da79c177","http://www.mendeley.com/documents/?uuid=6fbe98a2-7bee-482a-b6fd-41d70d1f495f"]},{"id":"ITEM-2","itemData":{"DOI":"10.1002/jbm.b.32718","ISSN":"15524973","abstract":"Several in vitro studies have reported contrasting values for triethylene glycol-dimethacrylate (TEGDMA) concentrations shown to induce cytotoxic effects. The aim of this study was to evaluate the effective concentrations of TEGDMA reached under the routine experimental conditions used in biocompatibility in vitro tests and determines changes in cytotoxicity and the associated production of reactive oxygen species (ROS) based on different TEGDMA solutions. TEGDMA was added to cell culture medium either directly or previously dissolved in dimethyl sulfoxide (DMSO) or ethanol (EtOH), both in the presence and absence of cells. Intracellular and extracellular TEGDMA concentrations were determined by high performance liquid chromatography (HPLC). The cytotoxicity effects of TEGDMA preparations were determined in 3T3-fibroblasts by 3-(4,5 dimethyiazol-2-1)-2-5-diphenyl tetrazolium bromide assay. The production of ROS was measured by flow cytometry. In the absence of cells the effective final TEGDMA concentrations obtained in Dulbecco's Modified Eagle Medium were significantly lower than the nominal one. When 2 mmol/L TEGDMA was first solubilized in DMSO or EtOH, a significant decrease in cell viability, and an increase in ROS production-compared to pure TEGDMA-was observed. After 2 h of incubation, TEGDMA previously dissolved in DMSO or ETOH was reduced by 15% and 20%, respectively, whereas otherwise it remained unaffected. Our results demonstrate that the effective concentration of TEGDMA dissolved in culture medium (in the presence or absence of solvents) does not concur with the nominal one. Therefore, the presence of the utilized solvents does not substantially alter the monomer solubility but eases its entrance into the cells thus improving its cytotoxic potency. © 2012 Wiley Periodicals, Inc.","author":[{"dropping-particle":"","family":"Nocca","given":"Giuseppina","non-dropping-particle":"","parse-names":false,"suffix":""},{"dropping-particle":"","family":"D'Antò","given":"Vincenzo","non-dropping-particle":"","parse-names":false,"suffix":""},{"dropping-particle":"","family":"Rivieccio","given":"Virginia","non-dropping-particle":"","parse-names":false,"suffix":""},{"dropping-particle":"","family":"Schweikl","given":"Helmut","non-dropping-particle":"","parse-names":false,"suffix":""},{"dropping-particle":"","family":"Amato","given":"Massimo","non-dropping-particle":"","parse-names":false,"suffix":""},{"dropping-particle":"","family":"Rengo","given":"Sandro","non-dropping-particle":"","parse-names":false,"suffix":""},{"dropping-particle":"","family":"Lupi","given":"Alessandro","non-dropping-particle":"","parse-names":false,"suffix":""},{"dropping-particle":"","family":"Spagnuolo","given":"Gianrico","non-dropping-particle":"","parse-names":false,"suffix":""}],"container-title":"Journal of Biomedical Materials Research Part B: Applied Biomaterials","id":"ITEM-2","issue":"6","issued":{"date-parts":[["2012","8"]]},"page":"1500-1506","publisher":"John Wiley &amp; Sons, Ltd","title":"Effects of ethanol and dimethyl sulfoxide on solubility and cytotoxicity of the resin monomer triethylene glycol dimethacrylate","type":"article-journal","volume":"100B"},"uris":["http://www.mendeley.com/documents/?uuid=bc5e8025-b971-31de-acd5-3b6aaad1bd25","http://www.mendeley.com/documents/?uuid=1e4fed5e-869c-45c8-ae4e-8b9f9e22f32f"]}],"mendeley":{"formattedCitation":"&lt;sup&gt;11, 33&lt;/sup&gt;","plainTextFormattedCitation":"11, 33","previouslyFormattedCitation":"&lt;sup&gt;11, 33&lt;/sup&gt;"},"properties":{"noteIndex":0},"schema":"https://github.com/citation-style-language/schema/raw/master/csl-citation.json"}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noProof/>
          <w:color w:val="auto"/>
          <w:vertAlign w:val="superscript"/>
        </w:rPr>
        <w:t>11, 33</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 Aiming for cell culture studies, the use of the cell culture medium is preferred since it avoids further processing steps. The conditions for extraction should be adjusted to the experimental model. In the representative results shown in this protocol, the DMEM culture medium supplemented with FBS was used for 24 ± 2 hours at 37 ± 1</w:t>
      </w:r>
      <w:r w:rsidR="00C44FA0">
        <w:rPr>
          <w:rFonts w:asciiTheme="minorHAnsi" w:hAnsiTheme="minorHAnsi" w:cstheme="minorHAnsi"/>
          <w:color w:val="auto"/>
        </w:rPr>
        <w:t xml:space="preserve"> °</w:t>
      </w:r>
      <w:r w:rsidRPr="00F76890">
        <w:rPr>
          <w:rFonts w:asciiTheme="minorHAnsi" w:hAnsiTheme="minorHAnsi" w:cstheme="minorHAnsi"/>
          <w:color w:val="auto"/>
        </w:rPr>
        <w:t>C.</w:t>
      </w:r>
    </w:p>
    <w:p w14:paraId="0EDB4428" w14:textId="77777777" w:rsidR="006B1B14" w:rsidRPr="00F76890" w:rsidRDefault="006B1B14" w:rsidP="00F012D5">
      <w:pPr>
        <w:contextualSpacing/>
        <w:rPr>
          <w:rFonts w:asciiTheme="minorHAnsi" w:hAnsiTheme="minorHAnsi" w:cstheme="minorHAnsi"/>
          <w:color w:val="auto"/>
        </w:rPr>
      </w:pPr>
    </w:p>
    <w:p w14:paraId="0CD25A9F" w14:textId="77777777"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color w:val="auto"/>
        </w:rPr>
        <w:t xml:space="preserve">Some biomaterials may leave residues in the extraction media, which may negatively affect the cell cultures. While filtration and centrifugations should be avoided, a possibility is to allow the particles to sediment before using. Another issue is the pH that may suffer alteration after extraction. Since it is not recommended to perform further adjustments </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rPr>
        <w:instrText>ADDIN CSL_CITATION {"citationItems":[{"id":"ITEM-1","itemData":{"author":[{"dropping-particle":"","family":"ISO","given":"International Organization for Standardization","non-dropping-particle":"","parse-names":false,"suffix":""}],"id":"ITEM-1","issued":{"date-parts":[["2009"]]},"publisher":"third edition","title":"ISO 10993-5:2009 Biological evaluation of medical devices - part 5: Tests for in vitro cytotoxicity.","type":"article"},"uris":["http://www.mendeley.com/documents/?uuid=3030d3ea-853a-468b-89b9-2247da79c177","http://www.mendeley.com/documents/?uuid=6fbe98a2-7bee-482a-b6fd-41d70d1f495f"]}],"mendeley":{"formattedCitation":"&lt;sup&gt;11&lt;/sup&gt;","plainTextFormattedCitation":"11","previouslyFormattedCitation":"&lt;sup&gt;11&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bCs/>
          <w:noProof/>
          <w:color w:val="auto"/>
          <w:vertAlign w:val="superscript"/>
        </w:rPr>
        <w:t>11</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 the pH of the extracts must be measured, registered, and additional controls to isolate the pH effect must be included in the experimental design if necessary.</w:t>
      </w:r>
    </w:p>
    <w:p w14:paraId="7CEB400D" w14:textId="77777777" w:rsidR="006B1B14" w:rsidRPr="00F76890" w:rsidRDefault="006B1B14" w:rsidP="00F012D5">
      <w:pPr>
        <w:pBdr>
          <w:top w:val="nil"/>
          <w:left w:val="nil"/>
          <w:bottom w:val="nil"/>
          <w:right w:val="nil"/>
          <w:between w:val="nil"/>
        </w:pBdr>
        <w:autoSpaceDE/>
        <w:autoSpaceDN/>
        <w:adjustRightInd/>
        <w:contextualSpacing/>
        <w:rPr>
          <w:rFonts w:eastAsia="Calibri"/>
          <w:color w:val="auto"/>
          <w:lang w:val="en-GB"/>
        </w:rPr>
      </w:pPr>
    </w:p>
    <w:p w14:paraId="68053F10" w14:textId="38E999C7" w:rsidR="006B1B14" w:rsidRDefault="006B1B14" w:rsidP="00F012D5">
      <w:pPr>
        <w:pBdr>
          <w:top w:val="nil"/>
          <w:left w:val="nil"/>
          <w:bottom w:val="nil"/>
          <w:right w:val="nil"/>
          <w:between w:val="nil"/>
        </w:pBdr>
        <w:autoSpaceDE/>
        <w:autoSpaceDN/>
        <w:adjustRightInd/>
        <w:contextualSpacing/>
        <w:rPr>
          <w:color w:val="auto"/>
          <w:lang w:val="en-GB"/>
        </w:rPr>
      </w:pPr>
      <w:r w:rsidRPr="00F76890">
        <w:rPr>
          <w:color w:val="auto"/>
          <w:lang w:val="en-GB"/>
        </w:rPr>
        <w:t xml:space="preserve">While this protocol was described for adherent cell cultures, simple modifications can be performed to use suspension cultures. Similarly, besides using solid biomaterials, it is possible to adapt the procedure, essentially the extraction steps, to study liquids, gels, or foams </w:t>
      </w:r>
      <w:r w:rsidRPr="00F76890">
        <w:rPr>
          <w:color w:val="auto"/>
          <w:lang w:val="en-GB"/>
        </w:rPr>
        <w:fldChar w:fldCharType="begin" w:fldLock="1"/>
      </w:r>
      <w:r w:rsidRPr="00F76890">
        <w:rPr>
          <w:color w:val="auto"/>
          <w:lang w:val="en-GB"/>
        </w:rPr>
        <w:instrText>ADDIN CSL_CITATION {"citationItems":[{"id":"ITEM-1","itemData":{"DOI":"10.3390/dj8010017","ISSN":"2304-6767","abstract":"Biodentine™ is a tricalcium silicate-based cement material that has a great impact on different biological processes of dental stem cells, compared to other biomaterials. Therefore, we aimed to investigate the optimum biocompatible concentration of Biodentine™ with stem cells derived from periodontal ligament (hPDLSCs) by determining cell proliferation, cytotoxicity, migration, adhesion and mineralization potential. hPDLSCs were treated with Biodentine™ extract at different concentrations; 20, 2, 0.2 and 0.02 mg/mL. Cells cultured without Biodentine™ were used as a blank control. The proliferation potential of hPDLSCs was evaluated by MTT viability analysis for 6 days. Cytotoxicity assay was performed after 3 days by using AnnexinV/7AAD. Migration potential was investigated by wound healing and transwell migration assays at both cellular and molecular levels. The expression levels of chemokines CXCR4, MCP-1 and adhesion molecules FGF-2, FN, VCAM and ICAM-1 were measured by qPCR. The communication potentials of these cells were determined by adhesion assay. In addition, mineralization potential was evaluated by measuring the expression levels of osteogenic markers; ALP, OCN, OPN and Collagen type1 by qPCR. Our results showed significant increase in the proliferation of hPDLSCs at low concentrations of Biodentine™ (2, 0.2 and 0.02 mg/mL) while higher concentration (20 mg/mL) exhibited cytotoxic effect on the cells. Moreover, 2 mg/mL Biodentine™ showed a significant increase in the migration, adhesion and mineralization potentials of the derived cells among all concentrations and when compared to the blank control. Our findings suggest that 2 mg/mL of Biodentine™ is the most biocompatible concentration with hPDLSCs, showing a high stimulatory effect on the biological processes.","author":[{"dropping-particle":"","family":"Abuarqoub","given":"Duaa","non-dropping-particle":"","parse-names":false,"suffix":""},{"dropping-particle":"","family":"Aslam","given":"Nazneen","non-dropping-particle":"","parse-names":false,"suffix":""},{"dropping-particle":"","family":"Jafar","given":"Hanan","non-dropping-particle":"","parse-names":false,"suffix":""},{"dropping-particle":"","family":"Abu Harfil","given":"Zakariya","non-dropping-particle":"","parse-names":false,"suffix":""},{"dropping-particle":"","family":"Awidi","given":"Abdalla","non-dropping-particle":"","parse-names":false,"suffix":""}],"container-title":"Dentistry Journal","id":"ITEM-1","issue":"1","issued":{"date-parts":[["2020","2","8"]]},"page":"17","title":"Biocompatibility of Biodentine™ ® with Periodontal Ligament Stem Cells: In Vitro Study","type":"article-journal","volume":"8"},"uris":["http://www.mendeley.com/documents/?uuid=6593fc31-6926-478b-a5da-f45741384ab5"]},{"id":"ITEM-2","itemData":{"DOI":"10.1007/s10266-019-00465-z","ISSN":"1618-1247","author":[{"dropping-particle":"","family":"Coelho","given":"Ana Sofia","non-dropping-particle":"","parse-names":false,"suffix":""},{"dropping-particle":"","family":"Laranjo","given":"Mafalda","non-dropping-particle":"","parse-names":false,"suffix":""},{"dropping-particle":"","family":"Gonçalves","given":"Ana Cristina","non-dropping-particle":"","parse-names":false,"suffix":""},{"dropping-particle":"","family":"Paula","given":"Anabela","non-dropping-particle":"","parse-names":false,"suffix":""},{"dropping-particle":"","family":"Paulo","given":"Siri","non-dropping-particle":"","parse-names":false,"suffix":""},{"dropping-particle":"","family":"Abrantes","given":"Ana Margarida","non-dropping-particle":"","parse-names":false,"suffix":""},{"dropping-particle":"","family":"Caramelo","given":"Francisco","non-dropping-particle":"","parse-names":false,"suffix":""},{"dropping-particle":"","family":"Ferreira","given":"Manuel Marques","non-dropping-particle":"","parse-names":false,"suffix":""},{"dropping-particle":"","family":"Silva","given":"Mário Jorge","non-dropping-particle":"","parse-names":false,"suffix":""},{"dropping-particle":"","family":"Carrilho","given":"Eunice","non-dropping-particle":"","parse-names":false,"suffix":""},{"dropping-particle":"","family":"Botelho","given":"Maria Filomena","non-dropping-particle":"","parse-names":false,"suffix":""}],"container-title":"Odontology","id":"ITEM-2","issue":"2","issued":{"date-parts":[["2020","4","17"]]},"page":"260-270","title":"Cytotoxic effects of a chlorhexidine mouthwash and of an enzymatic mouthwash on human gingival fibroblasts","type":"article-journal","volume":"108"},"uris":["http://www.mendeley.com/documents/?uuid=319d5a17-7063-49ff-8e85-120f2dd38a64"]},{"id":"ITEM-3","itemData":{"DOI":"10.1021/bm301962f","ISSN":"1525-7797","author":[{"dropping-particle":"","family":"Wang","given":"Martha O.","non-dropping-particle":"","parse-names":false,"suffix":""},{"dropping-particle":"","family":"Etheridge","given":"Julie M.","non-dropping-particle":"","parse-names":false,"suffix":""},{"dropping-particle":"","family":"Thompson","given":"Joshua A.","non-dropping-particle":"","parse-names":false,"suffix":""},{"dropping-particle":"","family":"Vorwald","given":"Charlotte E.","non-dropping-particle":"","parse-names":false,"suffix":""},{"dropping-particle":"","family":"Dean","given":"David","non-dropping-particle":"","parse-names":false,"suffix":""},{"dropping-particle":"","family":"Fisher","given":"John P.","non-dropping-particle":"","parse-names":false,"suffix":""}],"container-title":"Biomacromolecules","id":"ITEM-3","issue":"5","issued":{"date-parts":[["2013","5","13"]]},"page":"1321-1329","title":"Evaluation of the In Vitro Cytotoxicity of Cross-Linked Biomaterials","type":"article-journal","volume":"14"},"uris":["http://www.mendeley.com/documents/?uuid=561f4ee2-4027-456a-9ea4-3fb1376391c1"]},{"id":"ITEM-4","itemData":{"DOI":"10.1007/s10965-017-1315-3","ISSN":"1022-9760","author":[{"dropping-particle":"","family":"Tyliszczak","given":"Bożena","non-dropping-particle":"","parse-names":false,"suffix":""},{"dropping-particle":"","family":"Drabczyk","given":"Anna","non-dropping-particle":"","parse-names":false,"suffix":""},{"dropping-particle":"","family":"Kudłacik-Kramarczyk","given":"Sonia","non-dropping-particle":"","parse-names":false,"suffix":""},{"dropping-particle":"","family":"Bialik-Wąs","given":"Katarzyna","non-dropping-particle":"","parse-names":false,"suffix":""},{"dropping-particle":"","family":"Sobczak-Kupiec","given":"Agnieszka","non-dropping-particle":"","parse-names":false,"suffix":""}],"container-title":"Journal of Polymer Research","id":"ITEM-4","issue":"10","issued":{"date-parts":[["2017","10","1"]]},"page":"153","title":"In vitro cytotoxicity of hydrogels based on chitosan and modified with gold nanoparticles","type":"article-journal","volume":"24"},"uris":["http://www.mendeley.com/documents/?uuid=b2ce1e7a-6c86-46e8-93ba-cc2a92873410"]}],"mendeley":{"formattedCitation":"&lt;sup&gt;34–37&lt;/sup&gt;","plainTextFormattedCitation":"34–37","previouslyFormattedCitation":"&lt;sup&gt;34–37&lt;/sup&gt;"},"properties":{"noteIndex":0},"schema":"https://github.com/citation-style-language/schema/raw/master/csl-citation.json"}</w:instrText>
      </w:r>
      <w:r w:rsidRPr="00F76890">
        <w:rPr>
          <w:color w:val="auto"/>
          <w:lang w:val="en-GB"/>
        </w:rPr>
        <w:fldChar w:fldCharType="separate"/>
      </w:r>
      <w:r w:rsidRPr="00F76890">
        <w:rPr>
          <w:noProof/>
          <w:color w:val="auto"/>
          <w:vertAlign w:val="superscript"/>
          <w:lang w:val="en-GB"/>
        </w:rPr>
        <w:t>34–37</w:t>
      </w:r>
      <w:r w:rsidRPr="00F76890">
        <w:rPr>
          <w:color w:val="auto"/>
          <w:lang w:val="en-GB"/>
        </w:rPr>
        <w:fldChar w:fldCharType="end"/>
      </w:r>
      <w:r w:rsidRPr="00F76890">
        <w:rPr>
          <w:color w:val="auto"/>
          <w:lang w:val="en-GB"/>
        </w:rPr>
        <w:t xml:space="preserve">. </w:t>
      </w:r>
    </w:p>
    <w:p w14:paraId="74BD47F3" w14:textId="77777777" w:rsidR="00C44FA0" w:rsidRPr="00F76890" w:rsidRDefault="00C44FA0" w:rsidP="00F012D5">
      <w:pPr>
        <w:pBdr>
          <w:top w:val="nil"/>
          <w:left w:val="nil"/>
          <w:bottom w:val="nil"/>
          <w:right w:val="nil"/>
          <w:between w:val="nil"/>
        </w:pBdr>
        <w:autoSpaceDE/>
        <w:autoSpaceDN/>
        <w:adjustRightInd/>
        <w:contextualSpacing/>
        <w:rPr>
          <w:color w:val="auto"/>
          <w:lang w:val="en-GB"/>
        </w:rPr>
      </w:pPr>
    </w:p>
    <w:p w14:paraId="2C512AE5" w14:textId="77777777" w:rsidR="006B1B14" w:rsidRPr="00F76890" w:rsidRDefault="006B1B14" w:rsidP="00F012D5">
      <w:pPr>
        <w:pBdr>
          <w:top w:val="nil"/>
          <w:left w:val="nil"/>
          <w:bottom w:val="nil"/>
          <w:right w:val="nil"/>
          <w:between w:val="nil"/>
        </w:pBdr>
        <w:autoSpaceDE/>
        <w:autoSpaceDN/>
        <w:adjustRightInd/>
        <w:contextualSpacing/>
        <w:rPr>
          <w:color w:val="auto"/>
          <w:lang w:val="en-GB"/>
        </w:rPr>
      </w:pPr>
      <w:r w:rsidRPr="00F76890">
        <w:rPr>
          <w:color w:val="auto"/>
          <w:lang w:val="en-GB"/>
        </w:rPr>
        <w:t>The preparation of cell cultures with appropriate density is critical, especially on cell cultures with high duplication rate</w:t>
      </w:r>
      <w:r w:rsidRPr="00F76890">
        <w:rPr>
          <w:color w:val="auto"/>
          <w:lang w:val="en-GB"/>
        </w:rPr>
        <w:fldChar w:fldCharType="begin" w:fldLock="1"/>
      </w:r>
      <w:r w:rsidRPr="00F76890">
        <w:rPr>
          <w:color w:val="auto"/>
          <w:lang w:val="en-GB"/>
        </w:rPr>
        <w:instrText>ADDIN CSL_CITATION {"citationItems":[{"id":"ITEM-1","itemData":{"DOI":"10.1016/s0109-5641(96)80020-0","ISSN":"0109-5641","PMID":"9002862","abstract":"The objectives of this paper were to define in vitro biocompatibility of materials, to discuss some of the issues concerning why conclusions from tissue culture are sometimes different from in vivo biocompatibility, to give highlights of the sequence of the development of these in vitro assays from the early 1950s to their present state of development, and to discuss possible future trends for in vitro testing. In vitro biocompatibility tests were developed to simulate and predict biological reactions to materials when placed into or on tissues in the body. Traditional assays have measured cytotoxicity by means of either an end-stage event, (i.e., permeability of cytoplasmic membranes of dead and dying cells, or some metabolic parameter such as cell division or an enzymatic reaction). In vitro assays for initiation of inflammatory and immune reactions to materials have also begun to appear in the literature. More recently, the concept of dentin barrier tests has been introduced for dental restorative materials. Four models which measure both permeability and biological effects of materials are compared and discussed. Future efforts may be directed toward development of materials which will allow or promote function and differentiation of tissues associated with materials. New analytical procedures and understanding of optimal characteristics of materials should improve our ability to develop more biocompatible materials. Both molecular biology techniques, and altered design of material surfaces may make the materials either more or less reactive to the biological milieu. These trends suggest a greater future role of the biological sciences in the development of biomaterials.","author":[{"dropping-particle":"","family":"Hanks","given":"C T","non-dropping-particle":"","parse-names":false,"suffix":""},{"dropping-particle":"","family":"Wataha","given":"J C","non-dropping-particle":"","parse-names":false,"suffix":""},{"dropping-particle":"","family":"Sun","given":"Z","non-dropping-particle":"","parse-names":false,"suffix":""}],"container-title":"Dental materials : official publication of the Academy of Dental Materials","id":"ITEM-1","issue":"3","issued":{"date-parts":[["1996","5"]]},"page":"186-93","title":"In vitro models of biocompatibility: a review.","type":"article-journal","volume":"12"},"uris":["http://www.mendeley.com/documents/?uuid=84f10ee5-4193-3742-895f-ea221b9a0dab"]}],"mendeley":{"formattedCitation":"&lt;sup&gt;31&lt;/sup&gt;","plainTextFormattedCitation":"31","previouslyFormattedCitation":"&lt;sup&gt;31&lt;/sup&gt;"},"properties":{"noteIndex":0},"schema":"https://github.com/citation-style-language/schema/raw/master/csl-citation.json"}</w:instrText>
      </w:r>
      <w:r w:rsidRPr="00F76890">
        <w:rPr>
          <w:color w:val="auto"/>
          <w:lang w:val="en-GB"/>
        </w:rPr>
        <w:fldChar w:fldCharType="separate"/>
      </w:r>
      <w:r w:rsidRPr="00F76890">
        <w:rPr>
          <w:noProof/>
          <w:color w:val="auto"/>
          <w:vertAlign w:val="superscript"/>
          <w:lang w:val="en-GB"/>
        </w:rPr>
        <w:t>31</w:t>
      </w:r>
      <w:r w:rsidRPr="00F76890">
        <w:rPr>
          <w:color w:val="auto"/>
          <w:lang w:val="en-GB"/>
        </w:rPr>
        <w:fldChar w:fldCharType="end"/>
      </w:r>
      <w:r w:rsidRPr="00F76890">
        <w:rPr>
          <w:color w:val="auto"/>
          <w:lang w:val="en-GB"/>
        </w:rPr>
        <w:t xml:space="preserve"> . According to the recommended seeding density range of the cells used, if long-time incubations are planned, the reduction of the initial seeding density must be performed to avoid the problems associated with excessive confluence. In addition, highly cytotoxic materials may require higher initial seeding densities.</w:t>
      </w:r>
    </w:p>
    <w:p w14:paraId="40E7641D" w14:textId="77777777" w:rsidR="006B1B14" w:rsidRPr="00F76890" w:rsidRDefault="006B1B14" w:rsidP="00F012D5">
      <w:pPr>
        <w:pBdr>
          <w:top w:val="nil"/>
          <w:left w:val="nil"/>
          <w:bottom w:val="nil"/>
          <w:right w:val="nil"/>
          <w:between w:val="nil"/>
        </w:pBdr>
        <w:autoSpaceDE/>
        <w:autoSpaceDN/>
        <w:adjustRightInd/>
        <w:contextualSpacing/>
        <w:rPr>
          <w:color w:val="auto"/>
          <w:lang w:val="en-GB"/>
        </w:rPr>
      </w:pPr>
    </w:p>
    <w:p w14:paraId="07F88CF9" w14:textId="77777777" w:rsidR="006B1B14" w:rsidRPr="00F76890" w:rsidRDefault="006B1B14" w:rsidP="00F012D5">
      <w:pPr>
        <w:contextualSpacing/>
        <w:rPr>
          <w:rFonts w:asciiTheme="minorHAnsi" w:hAnsiTheme="minorHAnsi" w:cstheme="minorHAnsi"/>
          <w:color w:val="auto"/>
          <w:lang w:val="en-GB"/>
        </w:rPr>
      </w:pPr>
      <w:r w:rsidRPr="00F76890">
        <w:rPr>
          <w:rFonts w:asciiTheme="minorHAnsi" w:hAnsiTheme="minorHAnsi" w:cstheme="minorHAnsi"/>
          <w:color w:val="auto"/>
          <w:lang w:val="en-GB"/>
        </w:rPr>
        <w:t xml:space="preserve">Besides the advantages of the extract methodology, it is not the best choice for materials </w:t>
      </w:r>
      <w:r w:rsidRPr="00F76890">
        <w:rPr>
          <w:rFonts w:asciiTheme="minorHAnsi" w:hAnsiTheme="minorHAnsi" w:cstheme="minorHAnsi"/>
          <w:color w:val="auto"/>
          <w:lang w:val="en-GB"/>
        </w:rPr>
        <w:lastRenderedPageBreak/>
        <w:t xml:space="preserve">where the evaluation of cell adherence is relevant. In this case, the direct contact studies must be performed </w:t>
      </w:r>
      <w:r w:rsidRPr="00F76890">
        <w:rPr>
          <w:rFonts w:asciiTheme="minorHAnsi" w:hAnsiTheme="minorHAnsi" w:cstheme="minorHAnsi"/>
          <w:color w:val="auto"/>
          <w:lang w:val="en-GB"/>
        </w:rPr>
        <w:fldChar w:fldCharType="begin" w:fldLock="1"/>
      </w:r>
      <w:r w:rsidRPr="00F76890">
        <w:rPr>
          <w:rFonts w:asciiTheme="minorHAnsi" w:hAnsiTheme="minorHAnsi" w:cstheme="minorHAnsi"/>
          <w:color w:val="auto"/>
          <w:lang w:val="en-GB"/>
        </w:rPr>
        <w:instrText>ADDIN CSL_CITATION {"citationItems":[{"id":"ITEM-1","itemData":{"DOI":"10.1007/s00784-015-1515-3","ISSN":"1436-3771","PMID":"26121971","abstract":"OBJECTIVES Calcium silicate cements are biocompatible dental materials applicable in contact with vital tissue. The novel tricalcium silicate cement Biodentine™ offers properties superior to commonly used mineral trioxide aggregate (MTA). Objective of this study was to evaluate its cytocompatibility and ability to induce differentiation and mineralization in three-dimensional cultures of dental pulp stem cells after direct contact with the material. MATERIALS AND METHODS Test materials included a new tricalcium silicate (Biodentine™, Septodont, Saint-Maur-des-Fossés, France), MTA (ProRoot® MTA, DENSPLY Tulsa Dental Specialities, Johnson City, TN, USA), glass ionomer (Ketac™ Molar Aplicap™, 3M ESPE, Seefeld, Germany), human dentin disks and polystyrene. Magnetic activated cell sorting for to the surface antigen STRO-1 was performed to gain a fraction enriched with mesenchymal stem cells. Samples were allowed to set and dental pulp stem cells in collagen carriers were placed on top. Scanning electron microscopy of tricalcium silicate cement surfaces with and without cells was conducted. Cell viability was measured for 14 days by MTT assay. Alkaline phosphatase activity was evaluated (days 3, 7, and 14) and expression of mineralization-associated genes (COL1A1, ALP, DSPP, and RUNX2) was quantified by real-time quantitative PCR. Nonparametric statistical analysis for cell viability and alkaline phosphatase data was performed to compare different materials as well as time points (Mann-Whitney U test, α = 0.05). RESULTS Cell viability was highest on tricalcium silicate cement, followed by MTA. Viability on glass ionomer cement and dentin disks was significantly lower. Alkaline phosphatase activity was lower in cells on new tricalcium silicate cement compared to MTA, whereas expression patterns of marker genes were alike. CONCLUSIONS Increased cell viability and similar levels of mineralization-associated gene expression in three-dimensional cell cultures on the novel tricalcium silicate cement and mineral trioxide aggregate indicate that the material is cytocompatible and bioactive. CLINICAL RELEVANCE The tested new tricalcium silicate cement confirms its suitability as an alternative to MTA in vital pulp therapy.","author":[{"dropping-particle":"","family":"Widbiller","given":"M","non-dropping-particle":"","parse-names":false,"suffix":""},{"dropping-particle":"","family":"Lindner","given":"S R","non-dropping-particle":"","parse-names":false,"suffix":""},{"dropping-particle":"","family":"Buchalla","given":"W","non-dropping-particle":"","parse-names":false,"suffix":""},{"dropping-particle":"","family":"Eidt","given":"A","non-dropping-particle":"","parse-names":false,"suffix":""},{"dropping-particle":"","family":"Hiller","given":"K-A","non-dropping-particle":"","parse-names":false,"suffix":""},{"dropping-particle":"","family":"Schmalz","given":"G","non-dropping-particle":"","parse-names":false,"suffix":""},{"dropping-particle":"","family":"Galler","given":"K M","non-dropping-particle":"","parse-names":false,"suffix":""}],"container-title":"Clinical oral investigations","id":"ITEM-1","issue":"2","issued":{"date-parts":[["2016","3"]]},"page":"237-46","title":"Three-dimensional culture of dental pulp stem cells in direct contact to tricalcium silicate cements.","type":"article-journal","volume":"20"},"uris":["http://www.mendeley.com/documents/?uuid=455fc732-1479-4bcc-a61b-7fb95c037f92"]},{"id":"ITEM-2","itemData":{"DOI":"10.1590/0103-6440201802017","ISSN":"1806-4760","abstract":"Article This study evaluated comparatively two configurations (powder and putty) of a composite biomaterial based on PLGA (Poly(lactide-co-glycolide)/nanoescale hydroxyapatite (ReOss®, Intra-Lock International) through microscopic morphology, in vitro cytotoxicity, biocompatibility and in vivo response as a bone substitute. SEM and EDS characterized the biomaterials before/after grafting. Cytocompatibility was assessed with murine pre-osteoblasts. Osteoconductivity and biocompatibility were evaluated in White New Zealand rabbits. Both configurations were implanted in the calvaria of eighteen animals in non-critical size defects, with blood clot as the control group. After 30, 60 and 90 days, the animals were euthanized and the fragments containing the biomaterials and controls were harvested. Bone blocks were embedded in paraffin (n=15) aiming at histological and histomorphometric analysis, and in resin (n=3) aiming at SEM and EDS. Before implantation, the putty configuration showed both a porous and a fibrous morphological phase. Powder revealed porous particles with variable granulometry. EDS showed calcium, carbon, and oxygen in putty configuration, while powder also showed phosphorus. After implantation EDS revealed calcium, carbon, and oxygen in both configurations. The materials were considered cytotoxic by the XTT test. Histological analysis showed new bone formation and no inflammatory reaction at implant sites. However, the histomorphometric analysis indicated that the amount of newly formed bone was not statistically different between experimental groups. Although both materials presented in vitro cytotoxicity, they were biocompatible and osteoconductive. The configuration of ReOss® affected morphological characteristics and the in vitro cytocompatibility but did not impact on the in vivo biological response, as measured by the present model.","author":[{"dropping-particle":"","family":"Pintor","given":"Andréa Vaz Braga","non-dropping-particle":"","parse-names":false,"suffix":""},{"dropping-particle":"","family":"Resende","given":"Rodrigo Figueiredo de Brito","non-dropping-particle":"","parse-names":false,"suffix":""},{"dropping-particle":"","family":"Neves","given":"Adriana Terezinha Novelino","non-dropping-particle":"","parse-names":false,"suffix":""},{"dropping-particle":"","family":"Alves","given":"Gutemberg Gomes","non-dropping-particle":"","parse-names":false,"suffix":""},{"dropping-particle":"","family":"Coelho","given":"Paulo G.","non-dropping-particle":"","parse-names":false,"suffix":""},{"dropping-particle":"","family":"Granjeiro","given":"José Mauro","non-dropping-particle":"","parse-names":false,"suffix":""},{"dropping-particle":"","family":"Calasans-Maia","given":"Monica Diuana","non-dropping-particle":"","parse-names":false,"suffix":""}],"container-title":"Brazilian Dental Journal","id":"ITEM-2","issue":"2","issued":{"date-parts":[["2018","3"]]},"page":"117-127","title":"In Vitro and In Vivo Biocompatibility Of ReOss® in Powder and Putty Configurations","type":"article-journal","volume":"29"},"uris":["http://www.mendeley.com/documents/?uuid=03dd8486-2181-4b98-bd6c-306977991833"]},{"id":"ITEM-3","itemData":{"DOI":"10.1155/2020/2971827","ISSN":"1687-4110","abstract":"Purpose . This study evaluated the cytotoxicity of antimicrobial silver tungstate (Ag 2 WO 4 ) or silver molybdate (Ag 2 MoO 4 ) microcrystals coating biomaterials. Materials and Methods . The coating procedure was performed onto titanium, zirconia, and acrylic resin specimens. Eluates of the coated specimens were obtained, which were used for cytotoxicity analyses, including Alamar Blue, MTT, and CytoTox-ONE tests. Data were analyzed using two-way ANOVA, followed by the Tukey test ( α = 0.05). The results of each experimental group were also compared to those of the control of living cells, taken as 100% cell viability. Results . In general, it was observed that the percentage of living cells from all biomaterials coated with both microcrystals was statistically different compared to the ones from the uncoated sample groups, except for the results from MTT of specimens of Ti coated with α -Ag 2 MoO 4 . All uncoated biomaterials were classified as noncytotoxic by the three assays used in the present study. It was observed that the microcrystals in solution were strongly cytotoxic, with death of almost 100% of cells, from the analysis of the results of the Alamar Blue assay. Conclusion . The most biomaterials coated with both microcrystals showed some degree of cytotoxicity in the different assays. The results described herein should be seen as an alert to the use of microcrystals, which can expose patients to health risks.","author":[{"dropping-particle":"","family":"Pellissari","given":"Claudia Viviane Guimarães","non-dropping-particle":"","parse-names":false,"suffix":""},{"dropping-particle":"","family":"Vergani","given":"Carlos Eduardo","non-dropping-particle":"","parse-names":false,"suffix":""},{"dropping-particle":"","family":"Longo","given":"Elson","non-dropping-particle":"","parse-names":false,"suffix":""},{"dropping-particle":"","family":"Pavarina","given":"Ana Claudia","non-dropping-particle":"","parse-names":false,"suffix":""},{"dropping-particle":"","family":"Sanitá","given":"Paula Volpato","non-dropping-particle":"","parse-names":false,"suffix":""},{"dropping-particle":"","family":"Siqueira","given":"Walter Luiz","non-dropping-particle":"","parse-names":false,"suffix":""},{"dropping-particle":"","family":"Jorge","given":"Janaina Habib","non-dropping-particle":"","parse-names":false,"suffix":""}],"container-title":"Journal of Nanomaterials","id":"ITEM-3","issued":{"date-parts":[["2020","1","28"]]},"page":"1-9","title":"In Vitro Toxic Effect of Biomaterials Coated with Silver Tungstate or Silver Molybdate Microcrystals","type":"article-journal","volume":"2020"},"uris":["http://www.mendeley.com/documents/?uuid=13a634ff-6c0b-4385-8988-5c04d8e5139f"]},{"id":"ITEM-4","itemData":{"DOI":"10.1111/iej.12751","ISSN":"01432885","author":[{"dropping-particle":"","family":"Collado-González","given":"M.","non-dropping-particle":"","parse-names":false,"suffix":""},{"dropping-particle":"","family":"García-Bernal","given":"D.","non-dropping-particle":"","parse-names":false,"suffix":""},{"dropping-particle":"","family":"Oñate-Sánchez","given":"R. E.","non-dropping-particle":"","parse-names":false,"suffix":""},{"dropping-particle":"","family":"Ortolani-Seltenerich","given":"P. S.","non-dropping-particle":"","parse-names":false,"suffix":""},{"dropping-particle":"","family":"Álvarez-Muro","given":"T.","non-dropping-particle":"","parse-names":false,"suffix":""},{"dropping-particle":"","family":"Lozano","given":"A.","non-dropping-particle":"","parse-names":false,"suffix":""},{"dropping-particle":"","family":"Forner","given":"L.","non-dropping-particle":"","parse-names":false,"suffix":""},{"dropping-particle":"","family":"Llena","given":"C.","non-dropping-particle":"","parse-names":false,"suffix":""},{"dropping-particle":"","family":"Moraleda","given":"J. M.","non-dropping-particle":"","parse-names":false,"suffix":""},{"dropping-particle":"","family":"Rodríguez-Lozano","given":"F. J.","non-dropping-particle":"","parse-names":false,"suffix":""}],"container-title":"International Endodontic Journal","id":"ITEM-4","issued":{"date-parts":[["2017","12"]]},"page":"e19-e30","title":"Cytotoxicity and bioactivity of various pulpotomy materials on stem cells from human exfoliated primary teeth","type":"article-journal","volume":"50"},"uris":["http://www.mendeley.com/documents/?uuid=bc53f7db-9ba2-4a4e-9cb7-f653189076a2"]}],"mendeley":{"formattedCitation":"&lt;sup&gt;38–41&lt;/sup&gt;","plainTextFormattedCitation":"38–41","previouslyFormattedCitation":"&lt;sup&gt;38–41&lt;/sup&gt;"},"properties":{"noteIndex":0},"schema":"https://github.com/citation-style-language/schema/raw/master/csl-citation.json"}</w:instrText>
      </w:r>
      <w:r w:rsidRPr="00F76890">
        <w:rPr>
          <w:rFonts w:asciiTheme="minorHAnsi" w:hAnsiTheme="minorHAnsi" w:cstheme="minorHAnsi"/>
          <w:color w:val="auto"/>
          <w:lang w:val="en-GB"/>
        </w:rPr>
        <w:fldChar w:fldCharType="separate"/>
      </w:r>
      <w:r w:rsidRPr="00F76890">
        <w:rPr>
          <w:rFonts w:asciiTheme="minorHAnsi" w:hAnsiTheme="minorHAnsi" w:cstheme="minorHAnsi"/>
          <w:noProof/>
          <w:color w:val="auto"/>
          <w:vertAlign w:val="superscript"/>
          <w:lang w:val="en-GB"/>
        </w:rPr>
        <w:t>38–41</w:t>
      </w:r>
      <w:r w:rsidRPr="00F76890">
        <w:rPr>
          <w:rFonts w:asciiTheme="minorHAnsi" w:hAnsiTheme="minorHAnsi" w:cstheme="minorHAnsi"/>
          <w:color w:val="auto"/>
          <w:lang w:val="en-GB"/>
        </w:rPr>
        <w:fldChar w:fldCharType="end"/>
      </w:r>
      <w:r w:rsidRPr="00F76890">
        <w:rPr>
          <w:rFonts w:asciiTheme="minorHAnsi" w:hAnsiTheme="minorHAnsi" w:cstheme="minorHAnsi"/>
          <w:color w:val="auto"/>
          <w:lang w:val="en-GB"/>
        </w:rPr>
        <w:t>. Although this is a comprehensive approach, it is important to keep in mind it is an in vitro assessment, which does not totally reflect the in vivo conditions</w:t>
      </w:r>
      <w:r w:rsidRPr="00F76890">
        <w:rPr>
          <w:rFonts w:asciiTheme="minorHAnsi" w:hAnsiTheme="minorHAnsi" w:cstheme="minorHAnsi"/>
          <w:color w:val="auto"/>
          <w:lang w:val="en-GB"/>
        </w:rPr>
        <w:fldChar w:fldCharType="begin" w:fldLock="1"/>
      </w:r>
      <w:r w:rsidRPr="00F76890">
        <w:rPr>
          <w:rFonts w:asciiTheme="minorHAnsi" w:hAnsiTheme="minorHAnsi" w:cstheme="minorHAnsi"/>
          <w:color w:val="auto"/>
          <w:lang w:val="en-GB"/>
        </w:rPr>
        <w:instrText>ADDIN CSL_CITATION {"citationItems":[{"id":"ITEM-1","itemData":{"DOI":"10.3390/ma12203382","ISSN":"1996-1944","abstract":"(1) Background: Recently, tricalcium silicate cements, such as Biodentine™, have emerged. This biomaterial has a calcium hydroxide base and characteristics like mineral aggregate trioxide cements, but has tightening times that are substantially more suitable for their application and other clinical advantages. (2) Methods: A retrospective clinical study was conducted with 20 patients, which included a clinical evaluation of the presence or absence of pulp inflammation compatible symptoms, radiographic evaluation of the periapical tissues, and structural alterations of the coronary restoration that supports pulp capping therapies with Biodentine™ and WhiteProRoot®MTA. (3) Results: This clinical study revealed similar success rates between mineral trioxide cement and tricalcium silicates cements at 6 months, with 100% and 95% success rates, respectively. There were no statistically significant differences between both biomaterials and between these and the various clinical circumstances, namely the absolute isolation of the operating field, exposure size, the aetiology of exposure, and even the type of restorative material used. (4) Conclusions: Biodentine™ demonstrated a therapeutic effect on the formation of a dentin bridge accompanied by slight inflammatory signs, with a high clinical success rate, indicating the possibility of its effective and safe use in dental pulp direct capping in humans, similar to the gold standard material.","author":[{"dropping-particle":"","family":"Paula","given":"Anabela","non-dropping-particle":"","parse-names":false,"suffix":""},{"dropping-particle":"","family":"Carrilho","given":"Eunice","non-dropping-particle":"","parse-names":false,"suffix":""},{"dropping-particle":"","family":"Laranjo","given":"Mafalda","non-dropping-particle":"","parse-names":false,"suffix":""},{"dropping-particle":"","family":"Abrantes","given":"Ana M.","non-dropping-particle":"","parse-names":false,"suffix":""},{"dropping-particle":"","family":"Casalta-Lopes","given":"João","non-dropping-particle":"","parse-names":false,"suffix":""},{"dropping-particle":"","family":"Botelho","given":"Maria Filomena","non-dropping-particle":"","parse-names":false,"suffix":""},{"dropping-particle":"","family":"Marto","given":"Carlos Miguel","non-dropping-particle":"","parse-names":false,"suffix":""},{"dropping-particle":"","family":"Ferreira","given":"Manuel M.","non-dropping-particle":"","parse-names":false,"suffix":""}],"container-title":"Materials","id":"ITEM-1","issue":"20","issued":{"date-parts":[["2019","10","16"]]},"page":"3382","title":"Direct Pulp Capping: Which is the Most Effective Biomaterial? A Retrospective Clinical Study","type":"article-journal","volume":"12"},"uris":["http://www.mendeley.com/documents/?uuid=c6d9fe15-4d15-44c7-ae5c-666509bbdcf5"]}],"mendeley":{"formattedCitation":"&lt;sup&gt;42&lt;/sup&gt;","plainTextFormattedCitation":"42","previouslyFormattedCitation":"&lt;sup&gt;42&lt;/sup&gt;"},"properties":{"noteIndex":0},"schema":"https://github.com/citation-style-language/schema/raw/master/csl-citation.json"}</w:instrText>
      </w:r>
      <w:r w:rsidRPr="00F76890">
        <w:rPr>
          <w:rFonts w:asciiTheme="minorHAnsi" w:hAnsiTheme="minorHAnsi" w:cstheme="minorHAnsi"/>
          <w:color w:val="auto"/>
          <w:lang w:val="en-GB"/>
        </w:rPr>
        <w:fldChar w:fldCharType="separate"/>
      </w:r>
      <w:r w:rsidRPr="00F76890">
        <w:rPr>
          <w:rFonts w:asciiTheme="minorHAnsi" w:hAnsiTheme="minorHAnsi" w:cstheme="minorHAnsi"/>
          <w:noProof/>
          <w:color w:val="auto"/>
          <w:vertAlign w:val="superscript"/>
          <w:lang w:val="en-GB"/>
        </w:rPr>
        <w:t>42</w:t>
      </w:r>
      <w:r w:rsidRPr="00F76890">
        <w:rPr>
          <w:rFonts w:asciiTheme="minorHAnsi" w:hAnsiTheme="minorHAnsi" w:cstheme="minorHAnsi"/>
          <w:color w:val="auto"/>
          <w:lang w:val="en-GB"/>
        </w:rPr>
        <w:fldChar w:fldCharType="end"/>
      </w:r>
      <w:r w:rsidRPr="00F76890">
        <w:rPr>
          <w:rFonts w:asciiTheme="minorHAnsi" w:hAnsiTheme="minorHAnsi" w:cstheme="minorHAnsi"/>
          <w:color w:val="auto"/>
          <w:lang w:val="en-GB"/>
        </w:rPr>
        <w:t xml:space="preserve">. </w:t>
      </w:r>
    </w:p>
    <w:p w14:paraId="6544D72A" w14:textId="77777777" w:rsidR="006B1B14" w:rsidRPr="00F76890" w:rsidRDefault="006B1B14" w:rsidP="00F012D5">
      <w:pPr>
        <w:contextualSpacing/>
        <w:rPr>
          <w:rFonts w:asciiTheme="minorHAnsi" w:hAnsiTheme="minorHAnsi" w:cstheme="minorHAnsi"/>
          <w:color w:val="auto"/>
          <w:lang w:val="en-GB"/>
        </w:rPr>
      </w:pPr>
    </w:p>
    <w:p w14:paraId="1CFF54A1" w14:textId="77777777"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color w:val="auto"/>
          <w:lang w:val="en-GB"/>
        </w:rPr>
        <w:t>A biomaterial should only not cause damage to the tissue but stimulate some of the anti-inflammatory and immunomodulant processes</w:t>
      </w:r>
      <w:r w:rsidRPr="00F76890">
        <w:rPr>
          <w:rStyle w:val="FootnoteReference"/>
          <w:rFonts w:asciiTheme="minorHAnsi" w:hAnsiTheme="minorHAnsi" w:cstheme="minorHAnsi"/>
          <w:color w:val="auto"/>
        </w:rPr>
        <w:fldChar w:fldCharType="begin" w:fldLock="1"/>
      </w:r>
      <w:r w:rsidRPr="00F76890">
        <w:rPr>
          <w:rFonts w:asciiTheme="minorHAnsi" w:hAnsiTheme="minorHAnsi" w:cstheme="minorHAnsi"/>
          <w:color w:val="auto"/>
          <w:lang w:val="en-GB"/>
        </w:rPr>
        <w:instrText>ADDIN CSL_CITATION {"citationItems":[{"id":"ITEM-1","itemData":{"DOI":"10.1016/j.biomaterials.2014.08.035","ISSN":"18785905","abstract":"This Leading Opinion Paper discusses a very important matter concerning the use of a single word in biomaterials science. This might be considered as being solely concerned with semantics, but it has implications for the scientific rationale for biomaterials selection and the understanding of their performance. That word is the adjective 'biocompatible', which is often used to characterize a material property. It is argued here that biocompatibility is a perfectly acceptable term, but that it subsumes a variety of mechanisms of interaction between biomaterials and tissues or tissue components and can only be considered in the context of the characteristics of both the material and the biological host within which it placed. De facto it is a property of a system and not of a material. It follows that there can be no such thing as a biocompatible material. It is further argued that in those situations where it is considered important, or necessary, to use a descriptor of biocompatibility, as in a scientific paper, a regulatory submission or in a legal argument, the phrase 'intrinsically biocompatible system' would be the most appropriate. The rationale for this linguistic restraint is that far too often it has been assumed that some materials are 'universally biocompatible' on the basis of acceptable clinical performance in one situation, only for entirely unacceptable performance to ensue in quite different clinical circumstances.","author":[{"dropping-particle":"","family":"Williams","given":"David F.","non-dropping-particle":"","parse-names":false,"suffix":""}],"container-title":"Biomaterials","id":"ITEM-1","issue":"38","issued":{"date-parts":[["2014","12","1"]]},"page":"10009-10014","publisher":"Elsevier Ltd","title":"There is no such thing as a biocompatible material","type":"article-journal","volume":"35"},"uris":["http://www.mendeley.com/documents/?uuid=487eb5f8-209e-39f8-a2eb-694475e83ed2","http://www.mendeley.com/documents/?uuid=c6ea0760-fe1d-495e-b326-48295181e573"]},{"id":"ITEM-2","itemData":{"DOI":"10.1177/0192623307309926","ISSN":"1533-1601","PMID":"18337222","abstract":"Awareness of the regulatory environment is fundamental to understanding the biological assessment of biomaterials and medical devices. Medical devices are a diverse and heterogeneous group of medical products and technologies defined by the lack of chemical action or requirement for metabolism. Regional activity and the Global Harmonization Task Force are now working on harmonizing the categorization and testing of medical devices. The International Organization for Standardization (ISO) has published 19 standards for biological evaluation. ISO 10993 standards are generally accepted outright or as an alternative to most national regulatory directives or acts, although Japan and the United States require more stringency in some tests. Type of materials, intended use, and risk are the basis for drafting testing programs for biomaterials and medical devices. With growth of the medical device industry and advent of new biomaterials and technologies, the need for toxicologic pathologists in safety (biocompatibility) and efficacy (conditions of use) evaluation of moderate- to high-risk devices is expanding. Preclinical evaluation of biomaterials and medical devices increasingly requires a basic understanding of materials science and bioengineering to facilitate interpretation of complex interface reactions between biomaterials, cellular and secretory factors, and vascular and tissue responses that modulate success or failure of medical devices.","author":[{"dropping-particle":"","family":"Schuh","given":"Joann C L","non-dropping-particle":"","parse-names":false,"suffix":""}],"container-title":"Toxicologic pathology","id":"ITEM-2","issue":"1","issued":{"date-parts":[["2008","1"]]},"page":"63-9","title":"Medical device regulations and testing for toxicologic pathologists.","type":"article-journal","volume":"36"},"uris":["http://www.mendeley.com/documents/?uuid=25ddfd5c-c615-3950-97c1-ce2f48efccbb","http://www.mendeley.com/documents/?uuid=0f09d1b3-509d-42d8-b774-0dc26fbfdc5f"]},{"id":"ITEM-3","itemData":{"DOI":"10.1016/0267-6605(94)90081-7","ISSN":"02676605","abstract":"Cell culture systems may be of value in testing the biocompatibility of prosthetic materials before they are introduced into clinical use. In recent years, in vitro methods for assaying biomaterials have gained in importance owing to the growing concern over the use of animals for biomaterials testing. Significant effort is therefore being focused toward developing predictive and quantitative, but also simple and reliable, methods of testing using cultured cells. At present, a number of methods for measuring both the cytotoxicity and the specific cytocompatibility of different materials are available. The usefulness of these systems is no longer confined to screening new materials; they can be used to study the mechanisms of action of various materials during tissue/material interaction. This paper reviews the published literature on the use of cell culture models in evaluating biocompatibility and reports on the personal experience of the authors, who have been using cell culture systems for many years and for different purposes. © 1994.","author":[{"dropping-particle":"","family":"Pizzoferrato","given":"Arturo","non-dropping-particle":"","parse-names":false,"suffix":""},{"dropping-particle":"","family":"Ciapetti","given":"Gabriela","non-dropping-particle":"","parse-names":false,"suffix":""},{"dropping-particle":"","family":"Stea","given":"Susanna","non-dropping-particle":"","parse-names":false,"suffix":""},{"dropping-particle":"","family":"Cenni","given":"Elisabetta","non-dropping-particle":"","parse-names":false,"suffix":""},{"dropping-particle":"","family":"Arciola","given":"Carla Renata","non-dropping-particle":"","parse-names":false,"suffix":""},{"dropping-particle":"","family":"Granchi","given":"Donatella","non-dropping-particle":"","parse-names":false,"suffix":""},{"dropping-particle":"","family":"Lucia","given":"","non-dropping-particle":"","parse-names":false,"suffix":""}],"container-title":"Clinical Materials","id":"ITEM-3","issue":"3","issued":{"date-parts":[["1994"]]},"title":"Cell culture methods for testing Biocompatibility","type":"article","volume":"15"},"uris":["http://www.mendeley.com/documents/?uuid=04f3dd89-af8a-3b2d-ae79-d9de887c1426","http://www.mendeley.com/documents/?uuid=9a9753b9-c5f3-4f0b-acfe-2d083697c724"]},{"id":"ITEM-4","itemData":{"DOI":"10.1016/j.jebdp.2018.02.002","ISSN":"15323382","author":[{"dropping-particle":"","family":"Pereira Paula","given":"Anabela Baptista","non-dropping-particle":"","parse-names":false,"suffix":""},{"dropping-particle":"","family":"Laranjo","given":"Mafalda","non-dropping-particle":"","parse-names":false,"suffix":""},{"dropping-particle":"","family":"Marto","given":"Carlos-Miguel","non-dropping-particle":"","parse-names":false,"suffix":""},{"dropping-particle":"","family":"Paulo","given":"Siri","non-dropping-particle":"","parse-names":false,"suffix":""},{"dropping-particle":"","family":"Abrantes","given":"Ana","non-dropping-particle":"","parse-names":false,"suffix":""},{"dropping-particle":"","family":"Casalta-Lopes","given":"João","non-dropping-particle":"","parse-names":false,"suffix":""},{"dropping-particle":"","family":"Marques-Ferreira","given":"Manuel","non-dropping-particle":"","parse-names":false,"suffix":""},{"dropping-particle":"","family":"Botelho","given":"Maria Filomena","non-dropping-particle":"","parse-names":false,"suffix":""},{"dropping-particle":"","family":"Carrilho","given":"Eunice","non-dropping-particle":"","parse-names":false,"suffix":""}],"container-title":"Journal of Evidence Based Dental Practice","id":"ITEM-4","issued":{"date-parts":[["2018","2"]]},"title":"Direct pulp capping: what is the most effective therapy? – systematic review and meta-analysis","type":"article-journal"},"uris":["http://www.mendeley.com/documents/?uuid=17e3a5c2-c0f6-4e6e-a184-6012a20bb8da"]}],"mendeley":{"formattedCitation":"&lt;sup&gt;43–46&lt;/sup&gt;","plainTextFormattedCitation":"43–46","previouslyFormattedCitation":"&lt;sup&gt;43–46&lt;/sup&gt;"},"properties":{"noteIndex":0},"schema":"https://github.com/citation-style-language/schema/raw/master/csl-citation.json"}</w:instrText>
      </w:r>
      <w:r w:rsidRPr="00F76890">
        <w:rPr>
          <w:rStyle w:val="FootnoteReference"/>
          <w:rFonts w:asciiTheme="minorHAnsi" w:hAnsiTheme="minorHAnsi" w:cstheme="minorHAnsi"/>
          <w:color w:val="auto"/>
        </w:rPr>
        <w:fldChar w:fldCharType="separate"/>
      </w:r>
      <w:r w:rsidRPr="00F76890">
        <w:rPr>
          <w:rFonts w:asciiTheme="minorHAnsi" w:hAnsiTheme="minorHAnsi" w:cstheme="minorHAnsi"/>
          <w:bCs/>
          <w:noProof/>
          <w:color w:val="auto"/>
          <w:vertAlign w:val="superscript"/>
        </w:rPr>
        <w:t>43–46</w:t>
      </w:r>
      <w:r w:rsidRPr="00F76890">
        <w:rPr>
          <w:rStyle w:val="FootnoteReference"/>
          <w:rFonts w:asciiTheme="minorHAnsi" w:hAnsiTheme="minorHAnsi" w:cstheme="minorHAnsi"/>
          <w:color w:val="auto"/>
        </w:rPr>
        <w:fldChar w:fldCharType="end"/>
      </w:r>
      <w:r w:rsidRPr="00F76890">
        <w:rPr>
          <w:rFonts w:asciiTheme="minorHAnsi" w:hAnsiTheme="minorHAnsi" w:cstheme="minorHAnsi"/>
          <w:color w:val="auto"/>
        </w:rPr>
        <w:t>. Thus, this protocol goes further, with the evaluation of cellular mechanisms, including cell viability and cell death profile, as well as other mechanisms of protein synthesis. The evaluation performed should allow concluding on the biomaterial bioactivity in living tissues, besides cytotoxicity.</w:t>
      </w:r>
    </w:p>
    <w:p w14:paraId="0A5E6D52" w14:textId="77777777" w:rsidR="006B1B14" w:rsidRPr="00F76890" w:rsidRDefault="006B1B14" w:rsidP="00F012D5">
      <w:pPr>
        <w:contextualSpacing/>
        <w:rPr>
          <w:rFonts w:asciiTheme="minorHAnsi" w:hAnsiTheme="minorHAnsi" w:cstheme="minorHAnsi"/>
          <w:color w:val="auto"/>
        </w:rPr>
      </w:pPr>
    </w:p>
    <w:p w14:paraId="6394AB8B" w14:textId="2A3A298D" w:rsidR="006B1B14" w:rsidRPr="00F76890" w:rsidRDefault="006B1B14" w:rsidP="00F012D5">
      <w:pPr>
        <w:contextualSpacing/>
        <w:rPr>
          <w:rFonts w:asciiTheme="minorHAnsi" w:hAnsiTheme="minorHAnsi" w:cstheme="minorHAnsi"/>
          <w:color w:val="auto"/>
          <w:lang w:val="en-GB"/>
        </w:rPr>
      </w:pPr>
      <w:r w:rsidRPr="00F76890">
        <w:rPr>
          <w:rFonts w:asciiTheme="minorHAnsi" w:hAnsiTheme="minorHAnsi" w:cstheme="minorHAnsi"/>
          <w:color w:val="auto"/>
          <w:lang w:val="en-GB"/>
        </w:rPr>
        <w:t xml:space="preserve">With the explosion of new materials for medical applications, not only for dentistry but also for </w:t>
      </w:r>
      <w:proofErr w:type="spellStart"/>
      <w:r w:rsidRPr="00F76890">
        <w:rPr>
          <w:rFonts w:asciiTheme="minorHAnsi" w:hAnsiTheme="minorHAnsi" w:cstheme="minorHAnsi"/>
          <w:color w:val="auto"/>
          <w:lang w:val="en-GB"/>
        </w:rPr>
        <w:t>orthopedics</w:t>
      </w:r>
      <w:proofErr w:type="spellEnd"/>
      <w:r w:rsidRPr="00F76890">
        <w:rPr>
          <w:rFonts w:asciiTheme="minorHAnsi" w:hAnsiTheme="minorHAnsi" w:cstheme="minorHAnsi"/>
          <w:color w:val="auto"/>
          <w:lang w:val="en-GB"/>
        </w:rPr>
        <w:t>, surgery, ophthalmology, cardiology, etc., the initial screenings should be made systematically. This protocol might be an important tool for researchers aiming to develop and characterize novel biomaterials.</w:t>
      </w:r>
    </w:p>
    <w:p w14:paraId="5985DBA5" w14:textId="77777777" w:rsidR="006B1B14" w:rsidRPr="00F76890" w:rsidRDefault="006B1B14" w:rsidP="00F012D5">
      <w:pPr>
        <w:contextualSpacing/>
        <w:rPr>
          <w:rFonts w:asciiTheme="minorHAnsi" w:hAnsiTheme="minorHAnsi" w:cstheme="minorHAnsi"/>
          <w:color w:val="auto"/>
        </w:rPr>
      </w:pPr>
    </w:p>
    <w:p w14:paraId="7F483536" w14:textId="77777777" w:rsidR="006B1B14" w:rsidRPr="00F76890" w:rsidRDefault="006B1B14" w:rsidP="00F012D5">
      <w:pPr>
        <w:pStyle w:val="NormalWeb"/>
        <w:spacing w:before="0" w:beforeAutospacing="0" w:after="0" w:afterAutospacing="0"/>
        <w:contextualSpacing/>
        <w:rPr>
          <w:rFonts w:asciiTheme="minorHAnsi" w:hAnsiTheme="minorHAnsi" w:cstheme="minorHAnsi"/>
          <w:color w:val="auto"/>
          <w:lang w:val="pt-PT"/>
        </w:rPr>
      </w:pPr>
      <w:r w:rsidRPr="00F76890">
        <w:rPr>
          <w:rFonts w:asciiTheme="minorHAnsi" w:hAnsiTheme="minorHAnsi" w:cstheme="minorHAnsi"/>
          <w:b/>
          <w:bCs/>
          <w:color w:val="auto"/>
          <w:lang w:val="pt-PT"/>
        </w:rPr>
        <w:t>ACKNOWLEDGMENTS:</w:t>
      </w:r>
    </w:p>
    <w:p w14:paraId="63EF3B63" w14:textId="408F9C4C" w:rsidR="006B1B14" w:rsidRPr="00F76890" w:rsidRDefault="00C44FA0" w:rsidP="00C44FA0">
      <w:pPr>
        <w:widowControl/>
        <w:autoSpaceDE/>
        <w:autoSpaceDN/>
        <w:adjustRightInd/>
        <w:contextualSpacing/>
        <w:jc w:val="left"/>
        <w:rPr>
          <w:rFonts w:asciiTheme="minorHAnsi" w:hAnsiTheme="minorHAnsi" w:cstheme="minorHAnsi"/>
          <w:color w:val="auto"/>
        </w:rPr>
      </w:pPr>
      <w:r>
        <w:rPr>
          <w:color w:val="auto"/>
          <w:lang w:val="pt-PT"/>
        </w:rPr>
        <w:t xml:space="preserve">We thank the following for support: </w:t>
      </w:r>
      <w:r w:rsidR="006B1B14" w:rsidRPr="00F76890">
        <w:rPr>
          <w:color w:val="auto"/>
          <w:lang w:val="pt-PT"/>
        </w:rPr>
        <w:t xml:space="preserve">GAI 2013 (Faculdade de Medicina da Universidade de Coimbra); </w:t>
      </w:r>
      <w:r w:rsidR="006B1B14" w:rsidRPr="00F76890">
        <w:rPr>
          <w:color w:val="auto"/>
          <w:lang w:eastAsia="pt-PT"/>
        </w:rPr>
        <w:t>CIBB is funded by National Funds via FCT (Foundation for Science and Technology) through the Strategic Project UIDB/04539/2020 and UIDP/04539/2020 (CIBB).</w:t>
      </w:r>
      <w:r>
        <w:rPr>
          <w:color w:val="auto"/>
          <w:lang w:eastAsia="pt-PT"/>
        </w:rPr>
        <w:t xml:space="preserve"> t</w:t>
      </w:r>
      <w:r w:rsidR="006B1B14" w:rsidRPr="00F76890">
        <w:rPr>
          <w:color w:val="auto"/>
        </w:rPr>
        <w:t xml:space="preserve">o Jacques </w:t>
      </w:r>
      <w:proofErr w:type="spellStart"/>
      <w:r w:rsidR="006B1B14" w:rsidRPr="00F76890">
        <w:rPr>
          <w:color w:val="auto"/>
        </w:rPr>
        <w:t>Nör</w:t>
      </w:r>
      <w:proofErr w:type="spellEnd"/>
      <w:r w:rsidR="006B1B14" w:rsidRPr="00F76890">
        <w:rPr>
          <w:color w:val="auto"/>
        </w:rPr>
        <w:t>, University of Michigan Dental School, for providing the cell line MDPC-23.</w:t>
      </w:r>
    </w:p>
    <w:p w14:paraId="6BC620C0" w14:textId="77777777" w:rsidR="006B1B14" w:rsidRPr="00F76890" w:rsidRDefault="006B1B14" w:rsidP="00F012D5">
      <w:pPr>
        <w:contextualSpacing/>
        <w:rPr>
          <w:rFonts w:asciiTheme="minorHAnsi" w:hAnsiTheme="minorHAnsi" w:cstheme="minorHAnsi"/>
          <w:b/>
          <w:bCs/>
          <w:color w:val="auto"/>
        </w:rPr>
      </w:pPr>
    </w:p>
    <w:p w14:paraId="2AE35326" w14:textId="77777777" w:rsidR="006B1B14" w:rsidRPr="00F76890" w:rsidRDefault="006B1B14" w:rsidP="00F012D5">
      <w:pPr>
        <w:pStyle w:val="NormalWeb"/>
        <w:spacing w:before="0" w:beforeAutospacing="0" w:after="0" w:afterAutospacing="0"/>
        <w:contextualSpacing/>
        <w:rPr>
          <w:rFonts w:asciiTheme="minorHAnsi" w:hAnsiTheme="minorHAnsi" w:cstheme="minorHAnsi"/>
          <w:color w:val="auto"/>
        </w:rPr>
      </w:pPr>
      <w:r w:rsidRPr="00F76890">
        <w:rPr>
          <w:rFonts w:asciiTheme="minorHAnsi" w:hAnsiTheme="minorHAnsi" w:cstheme="minorHAnsi"/>
          <w:b/>
          <w:color w:val="auto"/>
        </w:rPr>
        <w:t>DISCLOSURES</w:t>
      </w:r>
      <w:r w:rsidRPr="00F76890">
        <w:rPr>
          <w:rFonts w:asciiTheme="minorHAnsi" w:hAnsiTheme="minorHAnsi" w:cstheme="minorHAnsi"/>
          <w:b/>
          <w:bCs/>
          <w:color w:val="auto"/>
        </w:rPr>
        <w:t>:</w:t>
      </w:r>
    </w:p>
    <w:p w14:paraId="6DF993C5" w14:textId="77777777" w:rsidR="006B1B14" w:rsidRPr="00F76890" w:rsidRDefault="006B1B14" w:rsidP="00F012D5">
      <w:pPr>
        <w:contextualSpacing/>
        <w:rPr>
          <w:rFonts w:asciiTheme="minorHAnsi" w:hAnsiTheme="minorHAnsi" w:cstheme="minorHAnsi"/>
          <w:color w:val="auto"/>
        </w:rPr>
      </w:pPr>
      <w:r w:rsidRPr="00F76890">
        <w:rPr>
          <w:rFonts w:asciiTheme="minorHAnsi" w:hAnsiTheme="minorHAnsi" w:cstheme="minorHAnsi"/>
          <w:color w:val="auto"/>
        </w:rPr>
        <w:t>The authors have no competing financial interests or other conflicts of interest.</w:t>
      </w:r>
    </w:p>
    <w:p w14:paraId="1AA6EAE6" w14:textId="77777777" w:rsidR="006B1B14" w:rsidRPr="00F76890" w:rsidRDefault="006B1B14" w:rsidP="00F012D5">
      <w:pPr>
        <w:contextualSpacing/>
        <w:rPr>
          <w:rFonts w:asciiTheme="minorHAnsi" w:hAnsiTheme="minorHAnsi" w:cstheme="minorHAnsi"/>
          <w:color w:val="auto"/>
        </w:rPr>
      </w:pPr>
    </w:p>
    <w:p w14:paraId="108E36A0" w14:textId="77777777" w:rsidR="006B1B14" w:rsidRPr="00F76890" w:rsidRDefault="006B1B14" w:rsidP="00F012D5">
      <w:pPr>
        <w:contextualSpacing/>
        <w:rPr>
          <w:rFonts w:asciiTheme="minorHAnsi" w:hAnsiTheme="minorHAnsi" w:cstheme="minorHAnsi"/>
          <w:b/>
          <w:color w:val="auto"/>
        </w:rPr>
      </w:pPr>
      <w:r w:rsidRPr="00F76890">
        <w:rPr>
          <w:rFonts w:asciiTheme="minorHAnsi" w:hAnsiTheme="minorHAnsi" w:cstheme="minorHAnsi"/>
          <w:b/>
          <w:color w:val="auto"/>
        </w:rPr>
        <w:t>REFERENCES:</w:t>
      </w:r>
    </w:p>
    <w:p w14:paraId="3AD24D06" w14:textId="1B17B8A1"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1.</w:t>
      </w:r>
      <w:r w:rsidRPr="00F76890">
        <w:rPr>
          <w:rFonts w:asciiTheme="minorHAnsi" w:hAnsiTheme="minorHAnsi" w:cstheme="minorHAnsi"/>
          <w:bCs/>
          <w:color w:val="auto"/>
        </w:rPr>
        <w:tab/>
        <w:t xml:space="preserve">Williams, D.F. On the mechanisms of biocompatibility. </w:t>
      </w:r>
      <w:r w:rsidRPr="00C44FA0">
        <w:rPr>
          <w:rFonts w:asciiTheme="minorHAnsi" w:hAnsiTheme="minorHAnsi" w:cstheme="minorHAnsi"/>
          <w:bCs/>
          <w:i/>
          <w:iCs/>
          <w:color w:val="auto"/>
        </w:rPr>
        <w:t>Biomaterials</w:t>
      </w:r>
      <w:r w:rsidRPr="00F76890">
        <w:rPr>
          <w:rFonts w:asciiTheme="minorHAnsi" w:hAnsiTheme="minorHAnsi" w:cstheme="minorHAnsi"/>
          <w:bCs/>
          <w:color w:val="auto"/>
        </w:rPr>
        <w:t xml:space="preserve">. </w:t>
      </w:r>
      <w:r w:rsidRPr="00A60BA5">
        <w:rPr>
          <w:rFonts w:asciiTheme="minorHAnsi" w:hAnsiTheme="minorHAnsi" w:cstheme="minorHAnsi"/>
          <w:b/>
          <w:color w:val="auto"/>
        </w:rPr>
        <w:t>29</w:t>
      </w:r>
      <w:r w:rsidRPr="00F76890">
        <w:rPr>
          <w:rFonts w:asciiTheme="minorHAnsi" w:hAnsiTheme="minorHAnsi" w:cstheme="minorHAnsi"/>
          <w:bCs/>
          <w:color w:val="auto"/>
        </w:rPr>
        <w:t xml:space="preserve"> (20), 2941–2953 (2008).</w:t>
      </w:r>
    </w:p>
    <w:p w14:paraId="30E1C229" w14:textId="60BCBB43"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2.</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Bruinink</w:t>
      </w:r>
      <w:proofErr w:type="spellEnd"/>
      <w:r w:rsidRPr="00F76890">
        <w:rPr>
          <w:rFonts w:asciiTheme="minorHAnsi" w:hAnsiTheme="minorHAnsi" w:cstheme="minorHAnsi"/>
          <w:bCs/>
          <w:color w:val="auto"/>
        </w:rPr>
        <w:t xml:space="preserve">, A., </w:t>
      </w:r>
      <w:proofErr w:type="spellStart"/>
      <w:r w:rsidRPr="00F76890">
        <w:rPr>
          <w:rFonts w:asciiTheme="minorHAnsi" w:hAnsiTheme="minorHAnsi" w:cstheme="minorHAnsi"/>
          <w:bCs/>
          <w:color w:val="auto"/>
        </w:rPr>
        <w:t>Luginbuehl</w:t>
      </w:r>
      <w:proofErr w:type="spellEnd"/>
      <w:r w:rsidRPr="00F76890">
        <w:rPr>
          <w:rFonts w:asciiTheme="minorHAnsi" w:hAnsiTheme="minorHAnsi" w:cstheme="minorHAnsi"/>
          <w:bCs/>
          <w:color w:val="auto"/>
        </w:rPr>
        <w:t xml:space="preserve">, R. Evaluation of biocompatibility using in vitro methods: interpretation and limitations. </w:t>
      </w:r>
      <w:r w:rsidRPr="00C44FA0">
        <w:rPr>
          <w:rFonts w:asciiTheme="minorHAnsi" w:hAnsiTheme="minorHAnsi" w:cstheme="minorHAnsi"/>
          <w:bCs/>
          <w:i/>
          <w:iCs/>
          <w:color w:val="auto"/>
        </w:rPr>
        <w:t xml:space="preserve">Advances in </w:t>
      </w:r>
      <w:r w:rsidR="00A60BA5" w:rsidRPr="00C44FA0">
        <w:rPr>
          <w:rFonts w:asciiTheme="minorHAnsi" w:hAnsiTheme="minorHAnsi" w:cstheme="minorHAnsi"/>
          <w:bCs/>
          <w:i/>
          <w:iCs/>
          <w:color w:val="auto"/>
        </w:rPr>
        <w:t>Biochemical Engineering/Biotechnology</w:t>
      </w:r>
      <w:r w:rsidRPr="00F76890">
        <w:rPr>
          <w:rFonts w:asciiTheme="minorHAnsi" w:hAnsiTheme="minorHAnsi" w:cstheme="minorHAnsi"/>
          <w:bCs/>
          <w:color w:val="auto"/>
        </w:rPr>
        <w:t xml:space="preserve">. </w:t>
      </w:r>
      <w:r w:rsidRPr="00A60BA5">
        <w:rPr>
          <w:rFonts w:asciiTheme="minorHAnsi" w:hAnsiTheme="minorHAnsi" w:cstheme="minorHAnsi"/>
          <w:b/>
          <w:color w:val="auto"/>
        </w:rPr>
        <w:t>126</w:t>
      </w:r>
      <w:r w:rsidRPr="00F76890">
        <w:rPr>
          <w:rFonts w:asciiTheme="minorHAnsi" w:hAnsiTheme="minorHAnsi" w:cstheme="minorHAnsi"/>
          <w:bCs/>
          <w:color w:val="auto"/>
        </w:rPr>
        <w:t>, 117–152 (2012).</w:t>
      </w:r>
    </w:p>
    <w:p w14:paraId="5FE276B5" w14:textId="74981ED7"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3.</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Wataha</w:t>
      </w:r>
      <w:proofErr w:type="spellEnd"/>
      <w:r w:rsidRPr="00F76890">
        <w:rPr>
          <w:rFonts w:asciiTheme="minorHAnsi" w:hAnsiTheme="minorHAnsi" w:cstheme="minorHAnsi"/>
          <w:bCs/>
          <w:color w:val="auto"/>
        </w:rPr>
        <w:t xml:space="preserve">, J.C. Principles of biocompatibility for dental practitioners. </w:t>
      </w:r>
      <w:r w:rsidRPr="00C44FA0">
        <w:rPr>
          <w:rFonts w:asciiTheme="minorHAnsi" w:hAnsiTheme="minorHAnsi" w:cstheme="minorHAnsi"/>
          <w:bCs/>
          <w:i/>
          <w:iCs/>
          <w:color w:val="auto"/>
        </w:rPr>
        <w:t xml:space="preserve">The Journal of </w:t>
      </w:r>
      <w:r w:rsidR="00A60BA5" w:rsidRPr="00C44FA0">
        <w:rPr>
          <w:rFonts w:asciiTheme="minorHAnsi" w:hAnsiTheme="minorHAnsi" w:cstheme="minorHAnsi"/>
          <w:bCs/>
          <w:i/>
          <w:iCs/>
          <w:color w:val="auto"/>
        </w:rPr>
        <w:t>Prosthetic Dentistry</w:t>
      </w:r>
      <w:r w:rsidRPr="00F76890">
        <w:rPr>
          <w:rFonts w:asciiTheme="minorHAnsi" w:hAnsiTheme="minorHAnsi" w:cstheme="minorHAnsi"/>
          <w:bCs/>
          <w:color w:val="auto"/>
        </w:rPr>
        <w:t xml:space="preserve">. </w:t>
      </w:r>
      <w:r w:rsidRPr="00A60BA5">
        <w:rPr>
          <w:rFonts w:asciiTheme="minorHAnsi" w:hAnsiTheme="minorHAnsi" w:cstheme="minorHAnsi"/>
          <w:b/>
          <w:color w:val="auto"/>
        </w:rPr>
        <w:t>86</w:t>
      </w:r>
      <w:r w:rsidRPr="00F76890">
        <w:rPr>
          <w:rFonts w:asciiTheme="minorHAnsi" w:hAnsiTheme="minorHAnsi" w:cstheme="minorHAnsi"/>
          <w:bCs/>
          <w:color w:val="auto"/>
        </w:rPr>
        <w:t xml:space="preserve"> (2), 203–9, </w:t>
      </w:r>
      <w:proofErr w:type="spellStart"/>
      <w:r w:rsidRPr="00F76890">
        <w:rPr>
          <w:rFonts w:asciiTheme="minorHAnsi" w:hAnsiTheme="minorHAnsi" w:cstheme="minorHAnsi"/>
          <w:bCs/>
          <w:color w:val="auto"/>
        </w:rPr>
        <w:t>doi</w:t>
      </w:r>
      <w:proofErr w:type="spellEnd"/>
      <w:r w:rsidRPr="00F76890">
        <w:rPr>
          <w:rFonts w:asciiTheme="minorHAnsi" w:hAnsiTheme="minorHAnsi" w:cstheme="minorHAnsi"/>
          <w:bCs/>
          <w:color w:val="auto"/>
        </w:rPr>
        <w:t>: 10.1067/mpr.2001.117056 (2001).</w:t>
      </w:r>
    </w:p>
    <w:p w14:paraId="0DF0F977" w14:textId="6ABA305B"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4.</w:t>
      </w:r>
      <w:r w:rsidRPr="00F76890">
        <w:rPr>
          <w:rFonts w:asciiTheme="minorHAnsi" w:hAnsiTheme="minorHAnsi" w:cstheme="minorHAnsi"/>
          <w:bCs/>
          <w:color w:val="auto"/>
        </w:rPr>
        <w:tab/>
        <w:t xml:space="preserve">Mishra, S. FDA, CE mark or something </w:t>
      </w:r>
      <w:proofErr w:type="gramStart"/>
      <w:r w:rsidRPr="00F76890">
        <w:rPr>
          <w:rFonts w:asciiTheme="minorHAnsi" w:hAnsiTheme="minorHAnsi" w:cstheme="minorHAnsi"/>
          <w:bCs/>
          <w:color w:val="auto"/>
        </w:rPr>
        <w:t>else?-</w:t>
      </w:r>
      <w:proofErr w:type="gramEnd"/>
      <w:r w:rsidRPr="00F76890">
        <w:rPr>
          <w:rFonts w:asciiTheme="minorHAnsi" w:hAnsiTheme="minorHAnsi" w:cstheme="minorHAnsi"/>
          <w:bCs/>
          <w:color w:val="auto"/>
        </w:rPr>
        <w:t xml:space="preserve">Thinking fast and slow. </w:t>
      </w:r>
      <w:r w:rsidRPr="00C44FA0">
        <w:rPr>
          <w:rFonts w:asciiTheme="minorHAnsi" w:hAnsiTheme="minorHAnsi" w:cstheme="minorHAnsi"/>
          <w:bCs/>
          <w:i/>
          <w:iCs/>
          <w:color w:val="auto"/>
        </w:rPr>
        <w:t xml:space="preserve">Indian </w:t>
      </w:r>
      <w:r w:rsidR="00A60BA5" w:rsidRPr="00C44FA0">
        <w:rPr>
          <w:rFonts w:asciiTheme="minorHAnsi" w:hAnsiTheme="minorHAnsi" w:cstheme="minorHAnsi"/>
          <w:bCs/>
          <w:i/>
          <w:iCs/>
          <w:color w:val="auto"/>
        </w:rPr>
        <w:t>Heart Journal</w:t>
      </w:r>
      <w:r w:rsidRPr="00F76890">
        <w:rPr>
          <w:rFonts w:asciiTheme="minorHAnsi" w:hAnsiTheme="minorHAnsi" w:cstheme="minorHAnsi"/>
          <w:bCs/>
          <w:color w:val="auto"/>
        </w:rPr>
        <w:t xml:space="preserve">. </w:t>
      </w:r>
      <w:r w:rsidRPr="00A60BA5">
        <w:rPr>
          <w:rFonts w:asciiTheme="minorHAnsi" w:hAnsiTheme="minorHAnsi" w:cstheme="minorHAnsi"/>
          <w:b/>
          <w:color w:val="auto"/>
        </w:rPr>
        <w:t>69</w:t>
      </w:r>
      <w:r w:rsidRPr="00F76890">
        <w:rPr>
          <w:rFonts w:asciiTheme="minorHAnsi" w:hAnsiTheme="minorHAnsi" w:cstheme="minorHAnsi"/>
          <w:bCs/>
          <w:color w:val="auto"/>
        </w:rPr>
        <w:t xml:space="preserve"> (1), 1–5</w:t>
      </w:r>
      <w:r w:rsidR="00A60BA5">
        <w:rPr>
          <w:rFonts w:asciiTheme="minorHAnsi" w:hAnsiTheme="minorHAnsi" w:cstheme="minorHAnsi"/>
          <w:bCs/>
          <w:color w:val="auto"/>
        </w:rPr>
        <w:t xml:space="preserve"> (2016).</w:t>
      </w:r>
    </w:p>
    <w:p w14:paraId="709EF96F" w14:textId="64F7E21C"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5.</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Barbeck</w:t>
      </w:r>
      <w:proofErr w:type="spellEnd"/>
      <w:r w:rsidRPr="00F76890">
        <w:rPr>
          <w:rFonts w:asciiTheme="minorHAnsi" w:hAnsiTheme="minorHAnsi" w:cstheme="minorHAnsi"/>
          <w:bCs/>
          <w:color w:val="auto"/>
        </w:rPr>
        <w:t xml:space="preserve">, M. et al. Balancing Purification and Ultrastructure of Naturally Derived Bone Blocks for Bone Regeneration: Report of the Purification Effort of Two Bone Blocks. </w:t>
      </w:r>
      <w:r w:rsidRPr="00C44FA0">
        <w:rPr>
          <w:rFonts w:asciiTheme="minorHAnsi" w:hAnsiTheme="minorHAnsi" w:cstheme="minorHAnsi"/>
          <w:bCs/>
          <w:i/>
          <w:iCs/>
          <w:color w:val="auto"/>
        </w:rPr>
        <w:t>Materials</w:t>
      </w:r>
      <w:r w:rsidRPr="00F76890">
        <w:rPr>
          <w:rFonts w:asciiTheme="minorHAnsi" w:hAnsiTheme="minorHAnsi" w:cstheme="minorHAnsi"/>
          <w:bCs/>
          <w:color w:val="auto"/>
        </w:rPr>
        <w:t xml:space="preserve">. </w:t>
      </w:r>
      <w:r w:rsidRPr="00A60BA5">
        <w:rPr>
          <w:rFonts w:asciiTheme="minorHAnsi" w:hAnsiTheme="minorHAnsi" w:cstheme="minorHAnsi"/>
          <w:b/>
          <w:color w:val="auto"/>
        </w:rPr>
        <w:t>12</w:t>
      </w:r>
      <w:r w:rsidRPr="00F76890">
        <w:rPr>
          <w:rFonts w:asciiTheme="minorHAnsi" w:hAnsiTheme="minorHAnsi" w:cstheme="minorHAnsi"/>
          <w:bCs/>
          <w:color w:val="auto"/>
        </w:rPr>
        <w:t xml:space="preserve"> (19), 3234 (2019).</w:t>
      </w:r>
    </w:p>
    <w:p w14:paraId="1DD401CD" w14:textId="4D354428"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6.</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Ruzza</w:t>
      </w:r>
      <w:proofErr w:type="spellEnd"/>
      <w:r w:rsidRPr="00F76890">
        <w:rPr>
          <w:rFonts w:asciiTheme="minorHAnsi" w:hAnsiTheme="minorHAnsi" w:cstheme="minorHAnsi"/>
          <w:bCs/>
          <w:color w:val="auto"/>
        </w:rPr>
        <w:t>, P</w:t>
      </w:r>
      <w:r w:rsidR="00A60BA5">
        <w:rPr>
          <w:rFonts w:asciiTheme="minorHAnsi" w:hAnsiTheme="minorHAnsi" w:cstheme="minorHAnsi"/>
          <w:bCs/>
          <w:color w:val="auto"/>
        </w:rPr>
        <w:t xml:space="preserve">. et al. </w:t>
      </w:r>
      <w:r w:rsidRPr="00F76890">
        <w:rPr>
          <w:rFonts w:asciiTheme="minorHAnsi" w:hAnsiTheme="minorHAnsi" w:cstheme="minorHAnsi"/>
          <w:bCs/>
          <w:color w:val="auto"/>
        </w:rPr>
        <w:t xml:space="preserve">H-Content Is Not Predictive of Perfluorocarbon Ocular </w:t>
      </w:r>
      <w:proofErr w:type="spellStart"/>
      <w:r w:rsidRPr="00F76890">
        <w:rPr>
          <w:rFonts w:asciiTheme="minorHAnsi" w:hAnsiTheme="minorHAnsi" w:cstheme="minorHAnsi"/>
          <w:bCs/>
          <w:color w:val="auto"/>
        </w:rPr>
        <w:t>Endotamponade</w:t>
      </w:r>
      <w:proofErr w:type="spellEnd"/>
      <w:r w:rsidRPr="00F76890">
        <w:rPr>
          <w:rFonts w:asciiTheme="minorHAnsi" w:hAnsiTheme="minorHAnsi" w:cstheme="minorHAnsi"/>
          <w:bCs/>
          <w:color w:val="auto"/>
        </w:rPr>
        <w:t xml:space="preserve"> Cytotoxicity in Vitro. </w:t>
      </w:r>
      <w:r w:rsidRPr="00C44FA0">
        <w:rPr>
          <w:rFonts w:asciiTheme="minorHAnsi" w:hAnsiTheme="minorHAnsi" w:cstheme="minorHAnsi"/>
          <w:bCs/>
          <w:i/>
          <w:iCs/>
          <w:color w:val="auto"/>
        </w:rPr>
        <w:t>ACS</w:t>
      </w:r>
      <w:r w:rsidRPr="00F76890">
        <w:rPr>
          <w:rFonts w:asciiTheme="minorHAnsi" w:hAnsiTheme="minorHAnsi" w:cstheme="minorHAnsi"/>
          <w:bCs/>
          <w:color w:val="auto"/>
        </w:rPr>
        <w:t xml:space="preserve"> </w:t>
      </w:r>
      <w:r w:rsidRPr="00C44FA0">
        <w:rPr>
          <w:rFonts w:asciiTheme="minorHAnsi" w:hAnsiTheme="minorHAnsi" w:cstheme="minorHAnsi"/>
          <w:bCs/>
          <w:i/>
          <w:iCs/>
          <w:color w:val="auto"/>
        </w:rPr>
        <w:t>Omega</w:t>
      </w:r>
      <w:r w:rsidRPr="00F76890">
        <w:rPr>
          <w:rFonts w:asciiTheme="minorHAnsi" w:hAnsiTheme="minorHAnsi" w:cstheme="minorHAnsi"/>
          <w:bCs/>
          <w:color w:val="auto"/>
        </w:rPr>
        <w:t xml:space="preserve">. </w:t>
      </w:r>
      <w:r w:rsidRPr="00A60BA5">
        <w:rPr>
          <w:rFonts w:asciiTheme="minorHAnsi" w:hAnsiTheme="minorHAnsi" w:cstheme="minorHAnsi"/>
          <w:b/>
          <w:color w:val="auto"/>
        </w:rPr>
        <w:t>4</w:t>
      </w:r>
      <w:r w:rsidRPr="00F76890">
        <w:rPr>
          <w:rFonts w:asciiTheme="minorHAnsi" w:hAnsiTheme="minorHAnsi" w:cstheme="minorHAnsi"/>
          <w:bCs/>
          <w:color w:val="auto"/>
        </w:rPr>
        <w:t xml:space="preserve"> (8), 13481–13487 (2019).</w:t>
      </w:r>
    </w:p>
    <w:p w14:paraId="6955CD4B" w14:textId="3B7DCA18"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7.</w:t>
      </w:r>
      <w:r w:rsidRPr="00F76890">
        <w:rPr>
          <w:rFonts w:asciiTheme="minorHAnsi" w:hAnsiTheme="minorHAnsi" w:cstheme="minorHAnsi"/>
          <w:bCs/>
          <w:color w:val="auto"/>
        </w:rPr>
        <w:tab/>
        <w:t xml:space="preserve">Coelho, C.C., Araújo, R., </w:t>
      </w:r>
      <w:proofErr w:type="spellStart"/>
      <w:r w:rsidRPr="00F76890">
        <w:rPr>
          <w:rFonts w:asciiTheme="minorHAnsi" w:hAnsiTheme="minorHAnsi" w:cstheme="minorHAnsi"/>
          <w:bCs/>
          <w:color w:val="auto"/>
        </w:rPr>
        <w:t>Quadros</w:t>
      </w:r>
      <w:proofErr w:type="spellEnd"/>
      <w:r w:rsidRPr="00F76890">
        <w:rPr>
          <w:rFonts w:asciiTheme="minorHAnsi" w:hAnsiTheme="minorHAnsi" w:cstheme="minorHAnsi"/>
          <w:bCs/>
          <w:color w:val="auto"/>
        </w:rPr>
        <w:t xml:space="preserve">, P.A., Sousa, S.R., Monteiro, F.J. Antibacterial bone substitute of hydroxyapatite and magnesium oxide to prevent dental and </w:t>
      </w:r>
      <w:proofErr w:type="spellStart"/>
      <w:r w:rsidRPr="00F76890">
        <w:rPr>
          <w:rFonts w:asciiTheme="minorHAnsi" w:hAnsiTheme="minorHAnsi" w:cstheme="minorHAnsi"/>
          <w:bCs/>
          <w:color w:val="auto"/>
        </w:rPr>
        <w:t>orthopaedic</w:t>
      </w:r>
      <w:proofErr w:type="spellEnd"/>
      <w:r w:rsidRPr="00F76890">
        <w:rPr>
          <w:rFonts w:asciiTheme="minorHAnsi" w:hAnsiTheme="minorHAnsi" w:cstheme="minorHAnsi"/>
          <w:bCs/>
          <w:color w:val="auto"/>
        </w:rPr>
        <w:t xml:space="preserve"> infections. </w:t>
      </w:r>
      <w:r w:rsidRPr="00C44FA0">
        <w:rPr>
          <w:rFonts w:asciiTheme="minorHAnsi" w:hAnsiTheme="minorHAnsi" w:cstheme="minorHAnsi"/>
          <w:bCs/>
          <w:i/>
          <w:iCs/>
          <w:color w:val="auto"/>
        </w:rPr>
        <w:t>Materials Science and Engineering: C</w:t>
      </w:r>
      <w:r w:rsidRPr="00F76890">
        <w:rPr>
          <w:rFonts w:asciiTheme="minorHAnsi" w:hAnsiTheme="minorHAnsi" w:cstheme="minorHAnsi"/>
          <w:bCs/>
          <w:color w:val="auto"/>
        </w:rPr>
        <w:t xml:space="preserve">. </w:t>
      </w:r>
      <w:r w:rsidRPr="00A60BA5">
        <w:rPr>
          <w:rFonts w:asciiTheme="minorHAnsi" w:hAnsiTheme="minorHAnsi" w:cstheme="minorHAnsi"/>
          <w:b/>
          <w:color w:val="auto"/>
        </w:rPr>
        <w:t>97</w:t>
      </w:r>
      <w:r w:rsidRPr="00F76890">
        <w:rPr>
          <w:rFonts w:asciiTheme="minorHAnsi" w:hAnsiTheme="minorHAnsi" w:cstheme="minorHAnsi"/>
          <w:bCs/>
          <w:color w:val="auto"/>
        </w:rPr>
        <w:t>, 529–538 (2019).</w:t>
      </w:r>
    </w:p>
    <w:p w14:paraId="1BB19C73" w14:textId="72928EE9"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8.</w:t>
      </w:r>
      <w:r w:rsidRPr="00F76890">
        <w:rPr>
          <w:rFonts w:asciiTheme="minorHAnsi" w:hAnsiTheme="minorHAnsi" w:cstheme="minorHAnsi"/>
          <w:bCs/>
          <w:color w:val="auto"/>
        </w:rPr>
        <w:tab/>
        <w:t xml:space="preserve">Jung, O. et al. Improved In Vitro Test Procedure for Full Assessment of the Cytocompatibility of Degradable Magnesium Based on ISO 10993-5/-12. International </w:t>
      </w:r>
      <w:r w:rsidRPr="00C44FA0">
        <w:rPr>
          <w:rFonts w:asciiTheme="minorHAnsi" w:hAnsiTheme="minorHAnsi" w:cstheme="minorHAnsi"/>
          <w:bCs/>
          <w:i/>
          <w:iCs/>
          <w:color w:val="auto"/>
        </w:rPr>
        <w:t>Journal of Molecular Sciences</w:t>
      </w:r>
      <w:r w:rsidRPr="00F76890">
        <w:rPr>
          <w:rFonts w:asciiTheme="minorHAnsi" w:hAnsiTheme="minorHAnsi" w:cstheme="minorHAnsi"/>
          <w:bCs/>
          <w:color w:val="auto"/>
        </w:rPr>
        <w:t xml:space="preserve">. </w:t>
      </w:r>
      <w:r w:rsidRPr="00A60BA5">
        <w:rPr>
          <w:rFonts w:asciiTheme="minorHAnsi" w:hAnsiTheme="minorHAnsi" w:cstheme="minorHAnsi"/>
          <w:b/>
          <w:color w:val="auto"/>
        </w:rPr>
        <w:t>20</w:t>
      </w:r>
      <w:r w:rsidRPr="00F76890">
        <w:rPr>
          <w:rFonts w:asciiTheme="minorHAnsi" w:hAnsiTheme="minorHAnsi" w:cstheme="minorHAnsi"/>
          <w:bCs/>
          <w:color w:val="auto"/>
        </w:rPr>
        <w:t xml:space="preserve"> (2), 255 (2019).</w:t>
      </w:r>
    </w:p>
    <w:p w14:paraId="07CBB854" w14:textId="730FBE3F"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lastRenderedPageBreak/>
        <w:t>9.</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Ruzza</w:t>
      </w:r>
      <w:proofErr w:type="spellEnd"/>
      <w:r w:rsidRPr="00F76890">
        <w:rPr>
          <w:rFonts w:asciiTheme="minorHAnsi" w:hAnsiTheme="minorHAnsi" w:cstheme="minorHAnsi"/>
          <w:bCs/>
          <w:color w:val="auto"/>
        </w:rPr>
        <w:t>, P</w:t>
      </w:r>
      <w:r w:rsidR="003823E0">
        <w:rPr>
          <w:rFonts w:asciiTheme="minorHAnsi" w:hAnsiTheme="minorHAnsi" w:cstheme="minorHAnsi"/>
          <w:bCs/>
          <w:color w:val="auto"/>
        </w:rPr>
        <w:t>. et al.</w:t>
      </w:r>
      <w:r w:rsidRPr="00F76890">
        <w:rPr>
          <w:rFonts w:asciiTheme="minorHAnsi" w:hAnsiTheme="minorHAnsi" w:cstheme="minorHAnsi"/>
          <w:bCs/>
          <w:color w:val="auto"/>
        </w:rPr>
        <w:t xml:space="preserve"> H-Content Is Not Predictive of Perfluorocarbon Ocular </w:t>
      </w:r>
      <w:proofErr w:type="spellStart"/>
      <w:r w:rsidRPr="00F76890">
        <w:rPr>
          <w:rFonts w:asciiTheme="minorHAnsi" w:hAnsiTheme="minorHAnsi" w:cstheme="minorHAnsi"/>
          <w:bCs/>
          <w:color w:val="auto"/>
        </w:rPr>
        <w:t>Endotamponade</w:t>
      </w:r>
      <w:proofErr w:type="spellEnd"/>
      <w:r w:rsidRPr="00F76890">
        <w:rPr>
          <w:rFonts w:asciiTheme="minorHAnsi" w:hAnsiTheme="minorHAnsi" w:cstheme="minorHAnsi"/>
          <w:bCs/>
          <w:color w:val="auto"/>
        </w:rPr>
        <w:t xml:space="preserve"> Cytotoxicity in Vitro. </w:t>
      </w:r>
      <w:r w:rsidRPr="00C44FA0">
        <w:rPr>
          <w:rFonts w:asciiTheme="minorHAnsi" w:hAnsiTheme="minorHAnsi" w:cstheme="minorHAnsi"/>
          <w:bCs/>
          <w:i/>
          <w:iCs/>
          <w:color w:val="auto"/>
        </w:rPr>
        <w:t xml:space="preserve">ACS </w:t>
      </w:r>
      <w:r w:rsidR="003823E0">
        <w:rPr>
          <w:rFonts w:asciiTheme="minorHAnsi" w:hAnsiTheme="minorHAnsi" w:cstheme="minorHAnsi"/>
          <w:bCs/>
          <w:i/>
          <w:iCs/>
          <w:color w:val="auto"/>
        </w:rPr>
        <w:t>O</w:t>
      </w:r>
      <w:r w:rsidRPr="00C44FA0">
        <w:rPr>
          <w:rFonts w:asciiTheme="minorHAnsi" w:hAnsiTheme="minorHAnsi" w:cstheme="minorHAnsi"/>
          <w:bCs/>
          <w:i/>
          <w:iCs/>
          <w:color w:val="auto"/>
        </w:rPr>
        <w:t>mega</w:t>
      </w:r>
      <w:r w:rsidRPr="00F76890">
        <w:rPr>
          <w:rFonts w:asciiTheme="minorHAnsi" w:hAnsiTheme="minorHAnsi" w:cstheme="minorHAnsi"/>
          <w:bCs/>
          <w:color w:val="auto"/>
        </w:rPr>
        <w:t xml:space="preserve">. </w:t>
      </w:r>
      <w:r w:rsidRPr="00A60BA5">
        <w:rPr>
          <w:rFonts w:asciiTheme="minorHAnsi" w:hAnsiTheme="minorHAnsi" w:cstheme="minorHAnsi"/>
          <w:b/>
          <w:color w:val="auto"/>
        </w:rPr>
        <w:t>4</w:t>
      </w:r>
      <w:r w:rsidRPr="00F76890">
        <w:rPr>
          <w:rFonts w:asciiTheme="minorHAnsi" w:hAnsiTheme="minorHAnsi" w:cstheme="minorHAnsi"/>
          <w:bCs/>
          <w:color w:val="auto"/>
        </w:rPr>
        <w:t xml:space="preserve"> (8), 13481–13487 (2019).</w:t>
      </w:r>
    </w:p>
    <w:p w14:paraId="2D6B2C1C" w14:textId="77777777"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10.</w:t>
      </w:r>
      <w:r w:rsidRPr="00F76890">
        <w:rPr>
          <w:rFonts w:asciiTheme="minorHAnsi" w:hAnsiTheme="minorHAnsi" w:cstheme="minorHAnsi"/>
          <w:bCs/>
          <w:color w:val="auto"/>
        </w:rPr>
        <w:tab/>
        <w:t>ISO, I.O. for S. ISO 10993-12:2012 - part 12: Sample preparation and reference materials (2012).</w:t>
      </w:r>
    </w:p>
    <w:p w14:paraId="0387ED7E" w14:textId="77777777"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11.</w:t>
      </w:r>
      <w:r w:rsidRPr="00F76890">
        <w:rPr>
          <w:rFonts w:asciiTheme="minorHAnsi" w:hAnsiTheme="minorHAnsi" w:cstheme="minorHAnsi"/>
          <w:bCs/>
          <w:color w:val="auto"/>
        </w:rPr>
        <w:tab/>
        <w:t>ISO, I.O. for S. ISO 10993-5:2009 Biological evaluation of medical devices - part 5: Tests for in vitro cytotoxicity. (2009).</w:t>
      </w:r>
    </w:p>
    <w:p w14:paraId="10AE9A8C" w14:textId="571CFF30"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12.</w:t>
      </w:r>
      <w:r w:rsidRPr="00F76890">
        <w:rPr>
          <w:rFonts w:asciiTheme="minorHAnsi" w:hAnsiTheme="minorHAnsi" w:cstheme="minorHAnsi"/>
          <w:bCs/>
          <w:color w:val="auto"/>
        </w:rPr>
        <w:tab/>
        <w:t xml:space="preserve">Srivastava, G.K. et al. Comparison between direct contact and extract exposure methods for PFO cytotoxicity evaluation. </w:t>
      </w:r>
      <w:r w:rsidRPr="00C44FA0">
        <w:rPr>
          <w:rFonts w:asciiTheme="minorHAnsi" w:hAnsiTheme="minorHAnsi" w:cstheme="minorHAnsi"/>
          <w:bCs/>
          <w:i/>
          <w:iCs/>
          <w:color w:val="auto"/>
        </w:rPr>
        <w:t xml:space="preserve">Scientific </w:t>
      </w:r>
      <w:r w:rsidR="003823E0">
        <w:rPr>
          <w:rFonts w:asciiTheme="minorHAnsi" w:hAnsiTheme="minorHAnsi" w:cstheme="minorHAnsi"/>
          <w:bCs/>
          <w:i/>
          <w:iCs/>
          <w:color w:val="auto"/>
        </w:rPr>
        <w:t>R</w:t>
      </w:r>
      <w:r w:rsidRPr="00C44FA0">
        <w:rPr>
          <w:rFonts w:asciiTheme="minorHAnsi" w:hAnsiTheme="minorHAnsi" w:cstheme="minorHAnsi"/>
          <w:bCs/>
          <w:i/>
          <w:iCs/>
          <w:color w:val="auto"/>
        </w:rPr>
        <w:t>eports</w:t>
      </w:r>
      <w:r w:rsidRPr="00F76890">
        <w:rPr>
          <w:rFonts w:asciiTheme="minorHAnsi" w:hAnsiTheme="minorHAnsi" w:cstheme="minorHAnsi"/>
          <w:bCs/>
          <w:color w:val="auto"/>
        </w:rPr>
        <w:t xml:space="preserve">. </w:t>
      </w:r>
      <w:r w:rsidRPr="00A60BA5">
        <w:rPr>
          <w:rFonts w:asciiTheme="minorHAnsi" w:hAnsiTheme="minorHAnsi" w:cstheme="minorHAnsi"/>
          <w:b/>
          <w:color w:val="auto"/>
        </w:rPr>
        <w:t>8</w:t>
      </w:r>
      <w:r w:rsidRPr="00F76890">
        <w:rPr>
          <w:rFonts w:asciiTheme="minorHAnsi" w:hAnsiTheme="minorHAnsi" w:cstheme="minorHAnsi"/>
          <w:bCs/>
          <w:color w:val="auto"/>
        </w:rPr>
        <w:t xml:space="preserve"> (1), 1425 (2018).</w:t>
      </w:r>
    </w:p>
    <w:p w14:paraId="156BA0F0" w14:textId="3F2FF0C2"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13.</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Pusnik</w:t>
      </w:r>
      <w:proofErr w:type="spellEnd"/>
      <w:r w:rsidRPr="00F76890">
        <w:rPr>
          <w:rFonts w:asciiTheme="minorHAnsi" w:hAnsiTheme="minorHAnsi" w:cstheme="minorHAnsi"/>
          <w:bCs/>
          <w:color w:val="auto"/>
        </w:rPr>
        <w:t xml:space="preserve">, M., </w:t>
      </w:r>
      <w:proofErr w:type="spellStart"/>
      <w:r w:rsidRPr="00F76890">
        <w:rPr>
          <w:rFonts w:asciiTheme="minorHAnsi" w:hAnsiTheme="minorHAnsi" w:cstheme="minorHAnsi"/>
          <w:bCs/>
          <w:color w:val="auto"/>
        </w:rPr>
        <w:t>Imeri</w:t>
      </w:r>
      <w:proofErr w:type="spellEnd"/>
      <w:r w:rsidRPr="00F76890">
        <w:rPr>
          <w:rFonts w:asciiTheme="minorHAnsi" w:hAnsiTheme="minorHAnsi" w:cstheme="minorHAnsi"/>
          <w:bCs/>
          <w:color w:val="auto"/>
        </w:rPr>
        <w:t xml:space="preserve">, M., </w:t>
      </w:r>
      <w:proofErr w:type="spellStart"/>
      <w:r w:rsidRPr="00F76890">
        <w:rPr>
          <w:rFonts w:asciiTheme="minorHAnsi" w:hAnsiTheme="minorHAnsi" w:cstheme="minorHAnsi"/>
          <w:bCs/>
          <w:color w:val="auto"/>
        </w:rPr>
        <w:t>Deppierraz</w:t>
      </w:r>
      <w:proofErr w:type="spellEnd"/>
      <w:r w:rsidRPr="00F76890">
        <w:rPr>
          <w:rFonts w:asciiTheme="minorHAnsi" w:hAnsiTheme="minorHAnsi" w:cstheme="minorHAnsi"/>
          <w:bCs/>
          <w:color w:val="auto"/>
        </w:rPr>
        <w:t xml:space="preserve">, G., </w:t>
      </w:r>
      <w:proofErr w:type="spellStart"/>
      <w:r w:rsidRPr="00F76890">
        <w:rPr>
          <w:rFonts w:asciiTheme="minorHAnsi" w:hAnsiTheme="minorHAnsi" w:cstheme="minorHAnsi"/>
          <w:bCs/>
          <w:color w:val="auto"/>
        </w:rPr>
        <w:t>Bruinink</w:t>
      </w:r>
      <w:proofErr w:type="spellEnd"/>
      <w:r w:rsidRPr="00F76890">
        <w:rPr>
          <w:rFonts w:asciiTheme="minorHAnsi" w:hAnsiTheme="minorHAnsi" w:cstheme="minorHAnsi"/>
          <w:bCs/>
          <w:color w:val="auto"/>
        </w:rPr>
        <w:t xml:space="preserve">, A., Zinn, M. The agar diffusion scratch assay--A novel method to assess the bioactive and cytotoxic potential of new materials and compounds. </w:t>
      </w:r>
      <w:r w:rsidRPr="00C44FA0">
        <w:rPr>
          <w:rFonts w:asciiTheme="minorHAnsi" w:hAnsiTheme="minorHAnsi" w:cstheme="minorHAnsi"/>
          <w:bCs/>
          <w:i/>
          <w:iCs/>
          <w:color w:val="auto"/>
        </w:rPr>
        <w:t xml:space="preserve">Scientific </w:t>
      </w:r>
      <w:r w:rsidR="003823E0">
        <w:rPr>
          <w:rFonts w:asciiTheme="minorHAnsi" w:hAnsiTheme="minorHAnsi" w:cstheme="minorHAnsi"/>
          <w:bCs/>
          <w:i/>
          <w:iCs/>
          <w:color w:val="auto"/>
        </w:rPr>
        <w:t>R</w:t>
      </w:r>
      <w:r w:rsidRPr="00C44FA0">
        <w:rPr>
          <w:rFonts w:asciiTheme="minorHAnsi" w:hAnsiTheme="minorHAnsi" w:cstheme="minorHAnsi"/>
          <w:bCs/>
          <w:i/>
          <w:iCs/>
          <w:color w:val="auto"/>
        </w:rPr>
        <w:t>eports</w:t>
      </w:r>
      <w:r w:rsidRPr="00F76890">
        <w:rPr>
          <w:rFonts w:asciiTheme="minorHAnsi" w:hAnsiTheme="minorHAnsi" w:cstheme="minorHAnsi"/>
          <w:bCs/>
          <w:color w:val="auto"/>
        </w:rPr>
        <w:t xml:space="preserve">. </w:t>
      </w:r>
      <w:r w:rsidRPr="00A60BA5">
        <w:rPr>
          <w:rFonts w:asciiTheme="minorHAnsi" w:hAnsiTheme="minorHAnsi" w:cstheme="minorHAnsi"/>
          <w:b/>
          <w:color w:val="auto"/>
        </w:rPr>
        <w:t>6</w:t>
      </w:r>
      <w:r w:rsidRPr="00F76890">
        <w:rPr>
          <w:rFonts w:asciiTheme="minorHAnsi" w:hAnsiTheme="minorHAnsi" w:cstheme="minorHAnsi"/>
          <w:bCs/>
          <w:color w:val="auto"/>
        </w:rPr>
        <w:t>, 20854 (2016).</w:t>
      </w:r>
    </w:p>
    <w:p w14:paraId="5D09D3E1" w14:textId="07BFC2C8"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14.</w:t>
      </w:r>
      <w:r w:rsidRPr="00F76890">
        <w:rPr>
          <w:rFonts w:asciiTheme="minorHAnsi" w:hAnsiTheme="minorHAnsi" w:cstheme="minorHAnsi"/>
          <w:bCs/>
          <w:color w:val="auto"/>
        </w:rPr>
        <w:tab/>
        <w:t xml:space="preserve">Spiller, K.L. et al. The role of macrophage phenotype in vascularization of tissue engineering scaffolds. </w:t>
      </w:r>
      <w:r w:rsidRPr="00C44FA0">
        <w:rPr>
          <w:rFonts w:asciiTheme="minorHAnsi" w:hAnsiTheme="minorHAnsi" w:cstheme="minorHAnsi"/>
          <w:bCs/>
          <w:i/>
          <w:iCs/>
          <w:color w:val="auto"/>
        </w:rPr>
        <w:t>Biomaterials</w:t>
      </w:r>
      <w:r w:rsidRPr="00F76890">
        <w:rPr>
          <w:rFonts w:asciiTheme="minorHAnsi" w:hAnsiTheme="minorHAnsi" w:cstheme="minorHAnsi"/>
          <w:bCs/>
          <w:color w:val="auto"/>
        </w:rPr>
        <w:t xml:space="preserve">. </w:t>
      </w:r>
      <w:r w:rsidRPr="00A60BA5">
        <w:rPr>
          <w:rFonts w:asciiTheme="minorHAnsi" w:hAnsiTheme="minorHAnsi" w:cstheme="minorHAnsi"/>
          <w:b/>
          <w:color w:val="auto"/>
        </w:rPr>
        <w:t>35</w:t>
      </w:r>
      <w:r w:rsidRPr="00F76890">
        <w:rPr>
          <w:rFonts w:asciiTheme="minorHAnsi" w:hAnsiTheme="minorHAnsi" w:cstheme="minorHAnsi"/>
          <w:bCs/>
          <w:color w:val="auto"/>
        </w:rPr>
        <w:t xml:space="preserve"> (15), 4477–88 (2014).</w:t>
      </w:r>
    </w:p>
    <w:p w14:paraId="5D123D85" w14:textId="2AC0B3C6"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15.</w:t>
      </w:r>
      <w:r w:rsidRPr="00F76890">
        <w:rPr>
          <w:rFonts w:asciiTheme="minorHAnsi" w:hAnsiTheme="minorHAnsi" w:cstheme="minorHAnsi"/>
          <w:bCs/>
          <w:color w:val="auto"/>
        </w:rPr>
        <w:tab/>
        <w:t xml:space="preserve">Zhou, H. et al. In Vitro Cytotoxicity Evaluation of a Novel Root Repair Material. </w:t>
      </w:r>
      <w:r w:rsidRPr="00C44FA0">
        <w:rPr>
          <w:rFonts w:asciiTheme="minorHAnsi" w:hAnsiTheme="minorHAnsi" w:cstheme="minorHAnsi"/>
          <w:bCs/>
          <w:i/>
          <w:iCs/>
          <w:color w:val="auto"/>
        </w:rPr>
        <w:t>Journal of Endodontics</w:t>
      </w:r>
      <w:r w:rsidRPr="00F76890">
        <w:rPr>
          <w:rFonts w:asciiTheme="minorHAnsi" w:hAnsiTheme="minorHAnsi" w:cstheme="minorHAnsi"/>
          <w:bCs/>
          <w:color w:val="auto"/>
        </w:rPr>
        <w:t xml:space="preserve">. </w:t>
      </w:r>
      <w:r w:rsidRPr="00A60BA5">
        <w:rPr>
          <w:rFonts w:asciiTheme="minorHAnsi" w:hAnsiTheme="minorHAnsi" w:cstheme="minorHAnsi"/>
          <w:b/>
          <w:color w:val="auto"/>
        </w:rPr>
        <w:t>39</w:t>
      </w:r>
      <w:r w:rsidRPr="00F76890">
        <w:rPr>
          <w:rFonts w:asciiTheme="minorHAnsi" w:hAnsiTheme="minorHAnsi" w:cstheme="minorHAnsi"/>
          <w:bCs/>
          <w:color w:val="auto"/>
        </w:rPr>
        <w:t xml:space="preserve"> (4), 478–483 (2013).</w:t>
      </w:r>
    </w:p>
    <w:p w14:paraId="1FCF0EE7" w14:textId="1FBF8BD9"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16.</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Bordron</w:t>
      </w:r>
      <w:proofErr w:type="spellEnd"/>
      <w:r w:rsidRPr="00F76890">
        <w:rPr>
          <w:rFonts w:asciiTheme="minorHAnsi" w:hAnsiTheme="minorHAnsi" w:cstheme="minorHAnsi"/>
          <w:bCs/>
          <w:color w:val="auto"/>
        </w:rPr>
        <w:t xml:space="preserve">, A. et al. The binding of some human </w:t>
      </w:r>
      <w:proofErr w:type="spellStart"/>
      <w:r w:rsidRPr="00F76890">
        <w:rPr>
          <w:rFonts w:asciiTheme="minorHAnsi" w:hAnsiTheme="minorHAnsi" w:cstheme="minorHAnsi"/>
          <w:bCs/>
          <w:color w:val="auto"/>
        </w:rPr>
        <w:t>antiendothelial</w:t>
      </w:r>
      <w:proofErr w:type="spellEnd"/>
      <w:r w:rsidRPr="00F76890">
        <w:rPr>
          <w:rFonts w:asciiTheme="minorHAnsi" w:hAnsiTheme="minorHAnsi" w:cstheme="minorHAnsi"/>
          <w:bCs/>
          <w:color w:val="auto"/>
        </w:rPr>
        <w:t xml:space="preserve"> cell antibodies induces endothelial cell apoptosis. </w:t>
      </w:r>
      <w:r w:rsidRPr="00C44FA0">
        <w:rPr>
          <w:rFonts w:asciiTheme="minorHAnsi" w:hAnsiTheme="minorHAnsi" w:cstheme="minorHAnsi"/>
          <w:bCs/>
          <w:i/>
          <w:iCs/>
          <w:color w:val="auto"/>
        </w:rPr>
        <w:t>Journal of Clinical Investigation</w:t>
      </w:r>
      <w:r w:rsidRPr="00F76890">
        <w:rPr>
          <w:rFonts w:asciiTheme="minorHAnsi" w:hAnsiTheme="minorHAnsi" w:cstheme="minorHAnsi"/>
          <w:bCs/>
          <w:color w:val="auto"/>
        </w:rPr>
        <w:t xml:space="preserve">. </w:t>
      </w:r>
      <w:r w:rsidRPr="00A60BA5">
        <w:rPr>
          <w:rFonts w:asciiTheme="minorHAnsi" w:hAnsiTheme="minorHAnsi" w:cstheme="minorHAnsi"/>
          <w:b/>
          <w:color w:val="auto"/>
        </w:rPr>
        <w:t>101</w:t>
      </w:r>
      <w:r w:rsidRPr="00F76890">
        <w:rPr>
          <w:rFonts w:asciiTheme="minorHAnsi" w:hAnsiTheme="minorHAnsi" w:cstheme="minorHAnsi"/>
          <w:bCs/>
          <w:color w:val="auto"/>
        </w:rPr>
        <w:t xml:space="preserve"> (10), 2029–2035</w:t>
      </w:r>
      <w:r w:rsidR="003823E0">
        <w:rPr>
          <w:rFonts w:asciiTheme="minorHAnsi" w:hAnsiTheme="minorHAnsi" w:cstheme="minorHAnsi"/>
          <w:bCs/>
          <w:color w:val="auto"/>
        </w:rPr>
        <w:t xml:space="preserve"> </w:t>
      </w:r>
      <w:r w:rsidRPr="00F76890">
        <w:rPr>
          <w:rFonts w:asciiTheme="minorHAnsi" w:hAnsiTheme="minorHAnsi" w:cstheme="minorHAnsi"/>
          <w:bCs/>
          <w:color w:val="auto"/>
        </w:rPr>
        <w:t>(1998).</w:t>
      </w:r>
    </w:p>
    <w:p w14:paraId="657B89DC" w14:textId="77777777"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17.</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Palmini</w:t>
      </w:r>
      <w:proofErr w:type="spellEnd"/>
      <w:r w:rsidRPr="00F76890">
        <w:rPr>
          <w:rFonts w:asciiTheme="minorHAnsi" w:hAnsiTheme="minorHAnsi" w:cstheme="minorHAnsi"/>
          <w:bCs/>
          <w:color w:val="auto"/>
        </w:rPr>
        <w:t xml:space="preserve">, G. et al. Establishment of Cancer Stem Cell Cultures from Human Conventional Osteosarcoma. </w:t>
      </w:r>
      <w:r w:rsidRPr="00C44FA0">
        <w:rPr>
          <w:rFonts w:asciiTheme="minorHAnsi" w:hAnsiTheme="minorHAnsi" w:cstheme="minorHAnsi"/>
          <w:bCs/>
          <w:i/>
          <w:iCs/>
          <w:color w:val="auto"/>
        </w:rPr>
        <w:t>Journal of Visualized Experiments</w:t>
      </w:r>
      <w:r w:rsidRPr="00F76890">
        <w:rPr>
          <w:rFonts w:asciiTheme="minorHAnsi" w:hAnsiTheme="minorHAnsi" w:cstheme="minorHAnsi"/>
          <w:bCs/>
          <w:color w:val="auto"/>
        </w:rPr>
        <w:t xml:space="preserve">. (116), </w:t>
      </w:r>
      <w:proofErr w:type="spellStart"/>
      <w:r w:rsidRPr="00F76890">
        <w:rPr>
          <w:rFonts w:asciiTheme="minorHAnsi" w:hAnsiTheme="minorHAnsi" w:cstheme="minorHAnsi"/>
          <w:bCs/>
          <w:color w:val="auto"/>
        </w:rPr>
        <w:t>doi</w:t>
      </w:r>
      <w:proofErr w:type="spellEnd"/>
      <w:r w:rsidRPr="00F76890">
        <w:rPr>
          <w:rFonts w:asciiTheme="minorHAnsi" w:hAnsiTheme="minorHAnsi" w:cstheme="minorHAnsi"/>
          <w:bCs/>
          <w:color w:val="auto"/>
        </w:rPr>
        <w:t>: 10.3791/53884 (2016).</w:t>
      </w:r>
    </w:p>
    <w:p w14:paraId="4F64A3DF" w14:textId="231BD3BE"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18.</w:t>
      </w:r>
      <w:r w:rsidRPr="00F76890">
        <w:rPr>
          <w:rFonts w:asciiTheme="minorHAnsi" w:hAnsiTheme="minorHAnsi" w:cstheme="minorHAnsi"/>
          <w:bCs/>
          <w:color w:val="auto"/>
        </w:rPr>
        <w:tab/>
        <w:t xml:space="preserve">Gregory, C.A., Grady Gunn, W., </w:t>
      </w:r>
      <w:proofErr w:type="spellStart"/>
      <w:r w:rsidRPr="00F76890">
        <w:rPr>
          <w:rFonts w:asciiTheme="minorHAnsi" w:hAnsiTheme="minorHAnsi" w:cstheme="minorHAnsi"/>
          <w:bCs/>
          <w:color w:val="auto"/>
        </w:rPr>
        <w:t>Peister</w:t>
      </w:r>
      <w:proofErr w:type="spellEnd"/>
      <w:r w:rsidRPr="00F76890">
        <w:rPr>
          <w:rFonts w:asciiTheme="minorHAnsi" w:hAnsiTheme="minorHAnsi" w:cstheme="minorHAnsi"/>
          <w:bCs/>
          <w:color w:val="auto"/>
        </w:rPr>
        <w:t xml:space="preserve">, A., </w:t>
      </w:r>
      <w:proofErr w:type="spellStart"/>
      <w:r w:rsidRPr="00F76890">
        <w:rPr>
          <w:rFonts w:asciiTheme="minorHAnsi" w:hAnsiTheme="minorHAnsi" w:cstheme="minorHAnsi"/>
          <w:bCs/>
          <w:color w:val="auto"/>
        </w:rPr>
        <w:t>Prockop</w:t>
      </w:r>
      <w:proofErr w:type="spellEnd"/>
      <w:r w:rsidRPr="00F76890">
        <w:rPr>
          <w:rFonts w:asciiTheme="minorHAnsi" w:hAnsiTheme="minorHAnsi" w:cstheme="minorHAnsi"/>
          <w:bCs/>
          <w:color w:val="auto"/>
        </w:rPr>
        <w:t xml:space="preserve">, D.J. An Alizarin red-based assay of mineralization by adherent cells in culture: comparison with </w:t>
      </w:r>
      <w:proofErr w:type="spellStart"/>
      <w:r w:rsidRPr="00F76890">
        <w:rPr>
          <w:rFonts w:asciiTheme="minorHAnsi" w:hAnsiTheme="minorHAnsi" w:cstheme="minorHAnsi"/>
          <w:bCs/>
          <w:color w:val="auto"/>
        </w:rPr>
        <w:t>cetylpyridinium</w:t>
      </w:r>
      <w:proofErr w:type="spellEnd"/>
      <w:r w:rsidRPr="00F76890">
        <w:rPr>
          <w:rFonts w:asciiTheme="minorHAnsi" w:hAnsiTheme="minorHAnsi" w:cstheme="minorHAnsi"/>
          <w:bCs/>
          <w:color w:val="auto"/>
        </w:rPr>
        <w:t xml:space="preserve"> chloride extraction. </w:t>
      </w:r>
      <w:r w:rsidRPr="00C44FA0">
        <w:rPr>
          <w:rFonts w:asciiTheme="minorHAnsi" w:hAnsiTheme="minorHAnsi" w:cstheme="minorHAnsi"/>
          <w:bCs/>
          <w:i/>
          <w:iCs/>
          <w:color w:val="auto"/>
        </w:rPr>
        <w:t>Analytical Biochemistry</w:t>
      </w:r>
      <w:r w:rsidRPr="00F76890">
        <w:rPr>
          <w:rFonts w:asciiTheme="minorHAnsi" w:hAnsiTheme="minorHAnsi" w:cstheme="minorHAnsi"/>
          <w:bCs/>
          <w:color w:val="auto"/>
        </w:rPr>
        <w:t xml:space="preserve">. </w:t>
      </w:r>
      <w:r w:rsidRPr="00A60BA5">
        <w:rPr>
          <w:rFonts w:asciiTheme="minorHAnsi" w:hAnsiTheme="minorHAnsi" w:cstheme="minorHAnsi"/>
          <w:b/>
          <w:color w:val="auto"/>
        </w:rPr>
        <w:t>329</w:t>
      </w:r>
      <w:r w:rsidRPr="00F76890">
        <w:rPr>
          <w:rFonts w:asciiTheme="minorHAnsi" w:hAnsiTheme="minorHAnsi" w:cstheme="minorHAnsi"/>
          <w:bCs/>
          <w:color w:val="auto"/>
        </w:rPr>
        <w:t xml:space="preserve"> (1), 77–84 (2004).</w:t>
      </w:r>
    </w:p>
    <w:p w14:paraId="62EF91E1" w14:textId="494B37CA"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19.</w:t>
      </w:r>
      <w:r w:rsidRPr="00F76890">
        <w:rPr>
          <w:rFonts w:asciiTheme="minorHAnsi" w:hAnsiTheme="minorHAnsi" w:cstheme="minorHAnsi"/>
          <w:bCs/>
          <w:color w:val="auto"/>
        </w:rPr>
        <w:tab/>
        <w:t xml:space="preserve">Cai, S., Zhang, W., Chen, W. PDGFRβ+/c-kit+ pulp cells are odontoblastic progenitors capable of producing dentin-like structure in vitro and in vivo. </w:t>
      </w:r>
      <w:r w:rsidRPr="00C44FA0">
        <w:rPr>
          <w:rFonts w:asciiTheme="minorHAnsi" w:hAnsiTheme="minorHAnsi" w:cstheme="minorHAnsi"/>
          <w:bCs/>
          <w:i/>
          <w:iCs/>
          <w:color w:val="auto"/>
        </w:rPr>
        <w:t>BMC Oral Health</w:t>
      </w:r>
      <w:r w:rsidRPr="00F76890">
        <w:rPr>
          <w:rFonts w:asciiTheme="minorHAnsi" w:hAnsiTheme="minorHAnsi" w:cstheme="minorHAnsi"/>
          <w:bCs/>
          <w:color w:val="auto"/>
        </w:rPr>
        <w:t xml:space="preserve">. </w:t>
      </w:r>
      <w:r w:rsidRPr="00A60BA5">
        <w:rPr>
          <w:rFonts w:asciiTheme="minorHAnsi" w:hAnsiTheme="minorHAnsi" w:cstheme="minorHAnsi"/>
          <w:b/>
          <w:color w:val="auto"/>
        </w:rPr>
        <w:t>16</w:t>
      </w:r>
      <w:r w:rsidRPr="00F76890">
        <w:rPr>
          <w:rFonts w:asciiTheme="minorHAnsi" w:hAnsiTheme="minorHAnsi" w:cstheme="minorHAnsi"/>
          <w:bCs/>
          <w:color w:val="auto"/>
        </w:rPr>
        <w:t xml:space="preserve"> (1), 113 (2016).</w:t>
      </w:r>
    </w:p>
    <w:p w14:paraId="1BBC45D9" w14:textId="16EEBC00"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20.</w:t>
      </w:r>
      <w:r w:rsidRPr="00F76890">
        <w:rPr>
          <w:rFonts w:asciiTheme="minorHAnsi" w:hAnsiTheme="minorHAnsi" w:cstheme="minorHAnsi"/>
          <w:bCs/>
          <w:color w:val="auto"/>
        </w:rPr>
        <w:tab/>
        <w:t xml:space="preserve">Paula, A. et al. </w:t>
      </w:r>
      <w:proofErr w:type="spellStart"/>
      <w:r w:rsidRPr="00F76890">
        <w:rPr>
          <w:rFonts w:asciiTheme="minorHAnsi" w:hAnsiTheme="minorHAnsi" w:cstheme="minorHAnsi"/>
          <w:bCs/>
          <w:color w:val="auto"/>
        </w:rPr>
        <w:t>Biodentine</w:t>
      </w:r>
      <w:proofErr w:type="spellEnd"/>
      <w:r w:rsidRPr="00F76890">
        <w:rPr>
          <w:rFonts w:asciiTheme="minorHAnsi" w:hAnsiTheme="minorHAnsi" w:cstheme="minorHAnsi"/>
          <w:bCs/>
          <w:color w:val="auto"/>
        </w:rPr>
        <w:t xml:space="preserve"> Boosts, </w:t>
      </w:r>
      <w:proofErr w:type="spellStart"/>
      <w:r w:rsidRPr="00F76890">
        <w:rPr>
          <w:rFonts w:asciiTheme="minorHAnsi" w:hAnsiTheme="minorHAnsi" w:cstheme="minorHAnsi"/>
          <w:bCs/>
          <w:color w:val="auto"/>
        </w:rPr>
        <w:t>WhiteProRoot</w:t>
      </w:r>
      <w:proofErr w:type="spellEnd"/>
      <w:r w:rsidR="003823E0">
        <w:rPr>
          <w:rFonts w:asciiTheme="minorHAnsi" w:hAnsiTheme="minorHAnsi" w:cstheme="minorHAnsi"/>
          <w:bCs/>
          <w:color w:val="auto"/>
        </w:rPr>
        <w:t xml:space="preserve"> </w:t>
      </w:r>
      <w:r w:rsidRPr="00F76890">
        <w:rPr>
          <w:rFonts w:asciiTheme="minorHAnsi" w:hAnsiTheme="minorHAnsi" w:cstheme="minorHAnsi"/>
          <w:bCs/>
          <w:color w:val="auto"/>
        </w:rPr>
        <w:t>MTA Increases and Life</w:t>
      </w:r>
      <w:r w:rsidR="003823E0">
        <w:rPr>
          <w:rFonts w:asciiTheme="minorHAnsi" w:hAnsiTheme="minorHAnsi" w:cstheme="minorHAnsi"/>
          <w:bCs/>
          <w:color w:val="auto"/>
        </w:rPr>
        <w:t xml:space="preserve"> </w:t>
      </w:r>
      <w:r w:rsidRPr="00F76890">
        <w:rPr>
          <w:rFonts w:asciiTheme="minorHAnsi" w:hAnsiTheme="minorHAnsi" w:cstheme="minorHAnsi"/>
          <w:bCs/>
          <w:color w:val="auto"/>
        </w:rPr>
        <w:t xml:space="preserve">Suppresses Odontoblast Activity. </w:t>
      </w:r>
      <w:r w:rsidRPr="00C44FA0">
        <w:rPr>
          <w:rFonts w:asciiTheme="minorHAnsi" w:hAnsiTheme="minorHAnsi" w:cstheme="minorHAnsi"/>
          <w:bCs/>
          <w:i/>
          <w:iCs/>
          <w:color w:val="auto"/>
        </w:rPr>
        <w:t>Materials</w:t>
      </w:r>
      <w:r w:rsidRPr="00F76890">
        <w:rPr>
          <w:rFonts w:asciiTheme="minorHAnsi" w:hAnsiTheme="minorHAnsi" w:cstheme="minorHAnsi"/>
          <w:bCs/>
          <w:color w:val="auto"/>
        </w:rPr>
        <w:t xml:space="preserve">. </w:t>
      </w:r>
      <w:r w:rsidRPr="00A60BA5">
        <w:rPr>
          <w:rFonts w:asciiTheme="minorHAnsi" w:hAnsiTheme="minorHAnsi" w:cstheme="minorHAnsi"/>
          <w:b/>
          <w:color w:val="auto"/>
        </w:rPr>
        <w:t>12</w:t>
      </w:r>
      <w:r w:rsidRPr="00F76890">
        <w:rPr>
          <w:rFonts w:asciiTheme="minorHAnsi" w:hAnsiTheme="minorHAnsi" w:cstheme="minorHAnsi"/>
          <w:bCs/>
          <w:color w:val="auto"/>
        </w:rPr>
        <w:t xml:space="preserve"> (7), 1184 (2019).</w:t>
      </w:r>
    </w:p>
    <w:p w14:paraId="20D058E5" w14:textId="2603D748"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21.</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Chander</w:t>
      </w:r>
      <w:proofErr w:type="spellEnd"/>
      <w:r w:rsidRPr="00F76890">
        <w:rPr>
          <w:rFonts w:asciiTheme="minorHAnsi" w:hAnsiTheme="minorHAnsi" w:cstheme="minorHAnsi"/>
          <w:bCs/>
          <w:color w:val="auto"/>
        </w:rPr>
        <w:t xml:space="preserve">, N.G. Standardization of in vitro studies. </w:t>
      </w:r>
      <w:r w:rsidRPr="00C44FA0">
        <w:rPr>
          <w:rFonts w:asciiTheme="minorHAnsi" w:hAnsiTheme="minorHAnsi" w:cstheme="minorHAnsi"/>
          <w:bCs/>
          <w:i/>
          <w:iCs/>
          <w:color w:val="auto"/>
        </w:rPr>
        <w:t>Journal of Indian Prosthodontic</w:t>
      </w:r>
      <w:r w:rsidRPr="00F76890">
        <w:rPr>
          <w:rFonts w:asciiTheme="minorHAnsi" w:hAnsiTheme="minorHAnsi" w:cstheme="minorHAnsi"/>
          <w:bCs/>
          <w:color w:val="auto"/>
        </w:rPr>
        <w:t xml:space="preserve"> </w:t>
      </w:r>
      <w:r w:rsidRPr="00C44FA0">
        <w:rPr>
          <w:rFonts w:asciiTheme="minorHAnsi" w:hAnsiTheme="minorHAnsi" w:cstheme="minorHAnsi"/>
          <w:bCs/>
          <w:i/>
          <w:iCs/>
          <w:color w:val="auto"/>
        </w:rPr>
        <w:t>Society</w:t>
      </w:r>
      <w:r w:rsidRPr="00F76890">
        <w:rPr>
          <w:rFonts w:asciiTheme="minorHAnsi" w:hAnsiTheme="minorHAnsi" w:cstheme="minorHAnsi"/>
          <w:bCs/>
          <w:color w:val="auto"/>
        </w:rPr>
        <w:t xml:space="preserve">. </w:t>
      </w:r>
      <w:r w:rsidRPr="00A60BA5">
        <w:rPr>
          <w:rFonts w:asciiTheme="minorHAnsi" w:hAnsiTheme="minorHAnsi" w:cstheme="minorHAnsi"/>
          <w:b/>
          <w:color w:val="auto"/>
        </w:rPr>
        <w:t>16</w:t>
      </w:r>
      <w:r w:rsidRPr="00F76890">
        <w:rPr>
          <w:rFonts w:asciiTheme="minorHAnsi" w:hAnsiTheme="minorHAnsi" w:cstheme="minorHAnsi"/>
          <w:bCs/>
          <w:color w:val="auto"/>
        </w:rPr>
        <w:t xml:space="preserve"> (3), 227–8 (2016).</w:t>
      </w:r>
    </w:p>
    <w:p w14:paraId="73EF1278" w14:textId="7DBAD29B"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22.</w:t>
      </w:r>
      <w:r w:rsidRPr="00F76890">
        <w:rPr>
          <w:rFonts w:asciiTheme="minorHAnsi" w:hAnsiTheme="minorHAnsi" w:cstheme="minorHAnsi"/>
          <w:bCs/>
          <w:color w:val="auto"/>
        </w:rPr>
        <w:tab/>
        <w:t xml:space="preserve">Cavalcanti, B.N., Rode, S. de M., </w:t>
      </w:r>
      <w:proofErr w:type="spellStart"/>
      <w:r w:rsidRPr="00F76890">
        <w:rPr>
          <w:rFonts w:asciiTheme="minorHAnsi" w:hAnsiTheme="minorHAnsi" w:cstheme="minorHAnsi"/>
          <w:bCs/>
          <w:color w:val="auto"/>
        </w:rPr>
        <w:t>França</w:t>
      </w:r>
      <w:proofErr w:type="spellEnd"/>
      <w:r w:rsidRPr="00F76890">
        <w:rPr>
          <w:rFonts w:asciiTheme="minorHAnsi" w:hAnsiTheme="minorHAnsi" w:cstheme="minorHAnsi"/>
          <w:bCs/>
          <w:color w:val="auto"/>
        </w:rPr>
        <w:t xml:space="preserve">, C.M., Marques, M.M. Pulp capping materials exert an effect on the secretion of IL-1β and IL-8 by migrating human neutrophils. </w:t>
      </w:r>
      <w:r w:rsidRPr="00C44FA0">
        <w:rPr>
          <w:rFonts w:asciiTheme="minorHAnsi" w:hAnsiTheme="minorHAnsi" w:cstheme="minorHAnsi"/>
          <w:bCs/>
          <w:i/>
          <w:iCs/>
          <w:color w:val="auto"/>
        </w:rPr>
        <w:t xml:space="preserve">Brazilian </w:t>
      </w:r>
      <w:r w:rsidR="003823E0" w:rsidRPr="00C44FA0">
        <w:rPr>
          <w:rFonts w:asciiTheme="minorHAnsi" w:hAnsiTheme="minorHAnsi" w:cstheme="minorHAnsi"/>
          <w:bCs/>
          <w:i/>
          <w:iCs/>
          <w:color w:val="auto"/>
        </w:rPr>
        <w:t>Oral Research</w:t>
      </w:r>
      <w:r w:rsidRPr="00F76890">
        <w:rPr>
          <w:rFonts w:asciiTheme="minorHAnsi" w:hAnsiTheme="minorHAnsi" w:cstheme="minorHAnsi"/>
          <w:bCs/>
          <w:color w:val="auto"/>
        </w:rPr>
        <w:t xml:space="preserve">. </w:t>
      </w:r>
      <w:r w:rsidRPr="00A60BA5">
        <w:rPr>
          <w:rFonts w:asciiTheme="minorHAnsi" w:hAnsiTheme="minorHAnsi" w:cstheme="minorHAnsi"/>
          <w:b/>
          <w:color w:val="auto"/>
        </w:rPr>
        <w:t>25</w:t>
      </w:r>
      <w:r w:rsidRPr="00F76890">
        <w:rPr>
          <w:rFonts w:asciiTheme="minorHAnsi" w:hAnsiTheme="minorHAnsi" w:cstheme="minorHAnsi"/>
          <w:bCs/>
          <w:color w:val="auto"/>
        </w:rPr>
        <w:t xml:space="preserve"> (1), 13–8 (2011).</w:t>
      </w:r>
    </w:p>
    <w:p w14:paraId="35A47829" w14:textId="6476E014"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23.</w:t>
      </w:r>
      <w:r w:rsidRPr="00F76890">
        <w:rPr>
          <w:rFonts w:asciiTheme="minorHAnsi" w:hAnsiTheme="minorHAnsi" w:cstheme="minorHAnsi"/>
          <w:bCs/>
          <w:color w:val="auto"/>
        </w:rPr>
        <w:tab/>
        <w:t xml:space="preserve">Chang, S., Lee, S.-Y., Ann, H.-J., Kum, K.-Y., Kim, E.-C. Effects of calcium silicate endodontic cements on biocompatibility and mineralization-inducing potentials in human dental pulp cells. </w:t>
      </w:r>
      <w:r w:rsidRPr="00C44FA0">
        <w:rPr>
          <w:rFonts w:asciiTheme="minorHAnsi" w:hAnsiTheme="minorHAnsi" w:cstheme="minorHAnsi"/>
          <w:bCs/>
          <w:i/>
          <w:iCs/>
          <w:color w:val="auto"/>
        </w:rPr>
        <w:t xml:space="preserve">Journal of </w:t>
      </w:r>
      <w:r w:rsidR="003823E0">
        <w:rPr>
          <w:rFonts w:asciiTheme="minorHAnsi" w:hAnsiTheme="minorHAnsi" w:cstheme="minorHAnsi"/>
          <w:bCs/>
          <w:i/>
          <w:iCs/>
          <w:color w:val="auto"/>
        </w:rPr>
        <w:t>E</w:t>
      </w:r>
      <w:r w:rsidRPr="00C44FA0">
        <w:rPr>
          <w:rFonts w:asciiTheme="minorHAnsi" w:hAnsiTheme="minorHAnsi" w:cstheme="minorHAnsi"/>
          <w:bCs/>
          <w:i/>
          <w:iCs/>
          <w:color w:val="auto"/>
        </w:rPr>
        <w:t>ndodontics</w:t>
      </w:r>
      <w:r w:rsidRPr="00F76890">
        <w:rPr>
          <w:rFonts w:asciiTheme="minorHAnsi" w:hAnsiTheme="minorHAnsi" w:cstheme="minorHAnsi"/>
          <w:bCs/>
          <w:color w:val="auto"/>
        </w:rPr>
        <w:t xml:space="preserve">. </w:t>
      </w:r>
      <w:r w:rsidRPr="00A60BA5">
        <w:rPr>
          <w:rFonts w:asciiTheme="minorHAnsi" w:hAnsiTheme="minorHAnsi" w:cstheme="minorHAnsi"/>
          <w:b/>
          <w:color w:val="auto"/>
        </w:rPr>
        <w:t>40</w:t>
      </w:r>
      <w:r w:rsidRPr="00F76890">
        <w:rPr>
          <w:rFonts w:asciiTheme="minorHAnsi" w:hAnsiTheme="minorHAnsi" w:cstheme="minorHAnsi"/>
          <w:bCs/>
          <w:color w:val="auto"/>
        </w:rPr>
        <w:t xml:space="preserve"> (8), 1194–200 (2014).</w:t>
      </w:r>
    </w:p>
    <w:p w14:paraId="01A28C66" w14:textId="11167D18"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24.</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Daltoé</w:t>
      </w:r>
      <w:proofErr w:type="spellEnd"/>
      <w:r w:rsidRPr="00F76890">
        <w:rPr>
          <w:rFonts w:asciiTheme="minorHAnsi" w:hAnsiTheme="minorHAnsi" w:cstheme="minorHAnsi"/>
          <w:bCs/>
          <w:color w:val="auto"/>
        </w:rPr>
        <w:t xml:space="preserve">, M.O., Paula-Silva, F.W.G., </w:t>
      </w:r>
      <w:proofErr w:type="spellStart"/>
      <w:r w:rsidRPr="00F76890">
        <w:rPr>
          <w:rFonts w:asciiTheme="minorHAnsi" w:hAnsiTheme="minorHAnsi" w:cstheme="minorHAnsi"/>
          <w:bCs/>
          <w:color w:val="auto"/>
        </w:rPr>
        <w:t>Faccioli</w:t>
      </w:r>
      <w:proofErr w:type="spellEnd"/>
      <w:r w:rsidRPr="00F76890">
        <w:rPr>
          <w:rFonts w:asciiTheme="minorHAnsi" w:hAnsiTheme="minorHAnsi" w:cstheme="minorHAnsi"/>
          <w:bCs/>
          <w:color w:val="auto"/>
        </w:rPr>
        <w:t xml:space="preserve">, L.H., </w:t>
      </w:r>
      <w:proofErr w:type="spellStart"/>
      <w:r w:rsidRPr="00F76890">
        <w:rPr>
          <w:rFonts w:asciiTheme="minorHAnsi" w:hAnsiTheme="minorHAnsi" w:cstheme="minorHAnsi"/>
          <w:bCs/>
          <w:color w:val="auto"/>
        </w:rPr>
        <w:t>Gatón</w:t>
      </w:r>
      <w:proofErr w:type="spellEnd"/>
      <w:r w:rsidRPr="00F76890">
        <w:rPr>
          <w:rFonts w:asciiTheme="minorHAnsi" w:hAnsiTheme="minorHAnsi" w:cstheme="minorHAnsi"/>
          <w:bCs/>
          <w:color w:val="auto"/>
        </w:rPr>
        <w:t xml:space="preserve">-Hernández, P.M., De Rossi, A., </w:t>
      </w:r>
      <w:proofErr w:type="spellStart"/>
      <w:r w:rsidRPr="00F76890">
        <w:rPr>
          <w:rFonts w:asciiTheme="minorHAnsi" w:hAnsiTheme="minorHAnsi" w:cstheme="minorHAnsi"/>
          <w:bCs/>
          <w:color w:val="auto"/>
        </w:rPr>
        <w:t>Bezerra</w:t>
      </w:r>
      <w:proofErr w:type="spellEnd"/>
      <w:r w:rsidRPr="00F76890">
        <w:rPr>
          <w:rFonts w:asciiTheme="minorHAnsi" w:hAnsiTheme="minorHAnsi" w:cstheme="minorHAnsi"/>
          <w:bCs/>
          <w:color w:val="auto"/>
        </w:rPr>
        <w:t xml:space="preserve"> Silva, L.A. Expression of Mineralization Markers during Pulp Response to </w:t>
      </w:r>
      <w:proofErr w:type="spellStart"/>
      <w:r w:rsidRPr="00F76890">
        <w:rPr>
          <w:rFonts w:asciiTheme="minorHAnsi" w:hAnsiTheme="minorHAnsi" w:cstheme="minorHAnsi"/>
          <w:bCs/>
          <w:color w:val="auto"/>
        </w:rPr>
        <w:t>Biodentine</w:t>
      </w:r>
      <w:proofErr w:type="spellEnd"/>
      <w:r w:rsidRPr="00F76890">
        <w:rPr>
          <w:rFonts w:asciiTheme="minorHAnsi" w:hAnsiTheme="minorHAnsi" w:cstheme="minorHAnsi"/>
          <w:bCs/>
          <w:color w:val="auto"/>
        </w:rPr>
        <w:t xml:space="preserve"> and Mineral Trioxide Aggregate. </w:t>
      </w:r>
      <w:r w:rsidRPr="00C44FA0">
        <w:rPr>
          <w:rFonts w:asciiTheme="minorHAnsi" w:hAnsiTheme="minorHAnsi" w:cstheme="minorHAnsi"/>
          <w:bCs/>
          <w:i/>
          <w:iCs/>
          <w:color w:val="auto"/>
        </w:rPr>
        <w:t xml:space="preserve">Journal of </w:t>
      </w:r>
      <w:r w:rsidR="003823E0">
        <w:rPr>
          <w:rFonts w:asciiTheme="minorHAnsi" w:hAnsiTheme="minorHAnsi" w:cstheme="minorHAnsi"/>
          <w:bCs/>
          <w:i/>
          <w:iCs/>
          <w:color w:val="auto"/>
        </w:rPr>
        <w:t>E</w:t>
      </w:r>
      <w:r w:rsidRPr="00C44FA0">
        <w:rPr>
          <w:rFonts w:asciiTheme="minorHAnsi" w:hAnsiTheme="minorHAnsi" w:cstheme="minorHAnsi"/>
          <w:bCs/>
          <w:i/>
          <w:iCs/>
          <w:color w:val="auto"/>
        </w:rPr>
        <w:t>ndodontics</w:t>
      </w:r>
      <w:r w:rsidRPr="00F76890">
        <w:rPr>
          <w:rFonts w:asciiTheme="minorHAnsi" w:hAnsiTheme="minorHAnsi" w:cstheme="minorHAnsi"/>
          <w:bCs/>
          <w:color w:val="auto"/>
        </w:rPr>
        <w:t xml:space="preserve">. </w:t>
      </w:r>
      <w:r w:rsidRPr="00A60BA5">
        <w:rPr>
          <w:rFonts w:asciiTheme="minorHAnsi" w:hAnsiTheme="minorHAnsi" w:cstheme="minorHAnsi"/>
          <w:b/>
          <w:color w:val="auto"/>
        </w:rPr>
        <w:t>42</w:t>
      </w:r>
      <w:r w:rsidRPr="00F76890">
        <w:rPr>
          <w:rFonts w:asciiTheme="minorHAnsi" w:hAnsiTheme="minorHAnsi" w:cstheme="minorHAnsi"/>
          <w:bCs/>
          <w:color w:val="auto"/>
        </w:rPr>
        <w:t xml:space="preserve"> (4), 596–603 (2016).</w:t>
      </w:r>
    </w:p>
    <w:p w14:paraId="53F0CDD1" w14:textId="097F3925"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25.</w:t>
      </w:r>
      <w:r w:rsidRPr="00F76890">
        <w:rPr>
          <w:rFonts w:asciiTheme="minorHAnsi" w:hAnsiTheme="minorHAnsi" w:cstheme="minorHAnsi"/>
          <w:bCs/>
          <w:color w:val="auto"/>
        </w:rPr>
        <w:tab/>
        <w:t xml:space="preserve">Elias, R. V, Demarco, F.F., </w:t>
      </w:r>
      <w:proofErr w:type="spellStart"/>
      <w:r w:rsidRPr="00F76890">
        <w:rPr>
          <w:rFonts w:asciiTheme="minorHAnsi" w:hAnsiTheme="minorHAnsi" w:cstheme="minorHAnsi"/>
          <w:bCs/>
          <w:color w:val="auto"/>
        </w:rPr>
        <w:t>Tarquinio</w:t>
      </w:r>
      <w:proofErr w:type="spellEnd"/>
      <w:r w:rsidRPr="00F76890">
        <w:rPr>
          <w:rFonts w:asciiTheme="minorHAnsi" w:hAnsiTheme="minorHAnsi" w:cstheme="minorHAnsi"/>
          <w:bCs/>
          <w:color w:val="auto"/>
        </w:rPr>
        <w:t xml:space="preserve">, S.B.C., </w:t>
      </w:r>
      <w:proofErr w:type="spellStart"/>
      <w:r w:rsidRPr="00F76890">
        <w:rPr>
          <w:rFonts w:asciiTheme="minorHAnsi" w:hAnsiTheme="minorHAnsi" w:cstheme="minorHAnsi"/>
          <w:bCs/>
          <w:color w:val="auto"/>
        </w:rPr>
        <w:t>Piva</w:t>
      </w:r>
      <w:proofErr w:type="spellEnd"/>
      <w:r w:rsidRPr="00F76890">
        <w:rPr>
          <w:rFonts w:asciiTheme="minorHAnsi" w:hAnsiTheme="minorHAnsi" w:cstheme="minorHAnsi"/>
          <w:bCs/>
          <w:color w:val="auto"/>
        </w:rPr>
        <w:t xml:space="preserve">, E. Pulp responses to the application of a self-etching adhesive in human pulps after controlling bleeding with sodium hypochlorite. </w:t>
      </w:r>
      <w:r w:rsidRPr="00C44FA0">
        <w:rPr>
          <w:rFonts w:asciiTheme="minorHAnsi" w:hAnsiTheme="minorHAnsi" w:cstheme="minorHAnsi"/>
          <w:bCs/>
          <w:i/>
          <w:iCs/>
          <w:color w:val="auto"/>
        </w:rPr>
        <w:t xml:space="preserve">Quintessence </w:t>
      </w:r>
      <w:r w:rsidR="003823E0">
        <w:rPr>
          <w:rFonts w:asciiTheme="minorHAnsi" w:hAnsiTheme="minorHAnsi" w:cstheme="minorHAnsi"/>
          <w:bCs/>
          <w:i/>
          <w:iCs/>
          <w:color w:val="auto"/>
        </w:rPr>
        <w:t>I</w:t>
      </w:r>
      <w:r w:rsidRPr="00C44FA0">
        <w:rPr>
          <w:rFonts w:asciiTheme="minorHAnsi" w:hAnsiTheme="minorHAnsi" w:cstheme="minorHAnsi"/>
          <w:bCs/>
          <w:i/>
          <w:iCs/>
          <w:color w:val="auto"/>
        </w:rPr>
        <w:t>nternational</w:t>
      </w:r>
      <w:r w:rsidRPr="00F76890">
        <w:rPr>
          <w:rFonts w:asciiTheme="minorHAnsi" w:hAnsiTheme="minorHAnsi" w:cstheme="minorHAnsi"/>
          <w:bCs/>
          <w:color w:val="auto"/>
        </w:rPr>
        <w:t xml:space="preserve">. </w:t>
      </w:r>
      <w:r w:rsidRPr="00A60BA5">
        <w:rPr>
          <w:rFonts w:asciiTheme="minorHAnsi" w:hAnsiTheme="minorHAnsi" w:cstheme="minorHAnsi"/>
          <w:b/>
          <w:color w:val="auto"/>
        </w:rPr>
        <w:t>38</w:t>
      </w:r>
      <w:r w:rsidRPr="00F76890">
        <w:rPr>
          <w:rFonts w:asciiTheme="minorHAnsi" w:hAnsiTheme="minorHAnsi" w:cstheme="minorHAnsi"/>
          <w:bCs/>
          <w:color w:val="auto"/>
        </w:rPr>
        <w:t xml:space="preserve"> (2), e67-77 (2007).</w:t>
      </w:r>
    </w:p>
    <w:p w14:paraId="58149D92" w14:textId="60514BC6"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26.</w:t>
      </w:r>
      <w:r w:rsidRPr="00F76890">
        <w:rPr>
          <w:rFonts w:asciiTheme="minorHAnsi" w:hAnsiTheme="minorHAnsi" w:cstheme="minorHAnsi"/>
          <w:bCs/>
          <w:color w:val="auto"/>
        </w:rPr>
        <w:tab/>
        <w:t xml:space="preserve">Huang, G.T.-J., </w:t>
      </w:r>
      <w:proofErr w:type="spellStart"/>
      <w:r w:rsidRPr="00F76890">
        <w:rPr>
          <w:rFonts w:asciiTheme="minorHAnsi" w:hAnsiTheme="minorHAnsi" w:cstheme="minorHAnsi"/>
          <w:bCs/>
          <w:color w:val="auto"/>
        </w:rPr>
        <w:t>Shagramanova</w:t>
      </w:r>
      <w:proofErr w:type="spellEnd"/>
      <w:r w:rsidRPr="00F76890">
        <w:rPr>
          <w:rFonts w:asciiTheme="minorHAnsi" w:hAnsiTheme="minorHAnsi" w:cstheme="minorHAnsi"/>
          <w:bCs/>
          <w:color w:val="auto"/>
        </w:rPr>
        <w:t xml:space="preserve">, K., Chan, S.W. Formation of odontoblast-like cells from cultured human dental pulp cells on dentin in vitro. </w:t>
      </w:r>
      <w:r w:rsidRPr="00C44FA0">
        <w:rPr>
          <w:rFonts w:asciiTheme="minorHAnsi" w:hAnsiTheme="minorHAnsi" w:cstheme="minorHAnsi"/>
          <w:bCs/>
          <w:i/>
          <w:iCs/>
          <w:color w:val="auto"/>
        </w:rPr>
        <w:t>Journal of endodontics</w:t>
      </w:r>
      <w:r w:rsidRPr="00F76890">
        <w:rPr>
          <w:rFonts w:asciiTheme="minorHAnsi" w:hAnsiTheme="minorHAnsi" w:cstheme="minorHAnsi"/>
          <w:bCs/>
          <w:color w:val="auto"/>
        </w:rPr>
        <w:t xml:space="preserve">. </w:t>
      </w:r>
      <w:r w:rsidRPr="00A60BA5">
        <w:rPr>
          <w:rFonts w:asciiTheme="minorHAnsi" w:hAnsiTheme="minorHAnsi" w:cstheme="minorHAnsi"/>
          <w:b/>
          <w:color w:val="auto"/>
        </w:rPr>
        <w:t>32</w:t>
      </w:r>
      <w:r w:rsidRPr="00F76890">
        <w:rPr>
          <w:rFonts w:asciiTheme="minorHAnsi" w:hAnsiTheme="minorHAnsi" w:cstheme="minorHAnsi"/>
          <w:bCs/>
          <w:color w:val="auto"/>
        </w:rPr>
        <w:t xml:space="preserve"> (11), 1066–73 (2006).</w:t>
      </w:r>
    </w:p>
    <w:p w14:paraId="29EDDCC2" w14:textId="6DF98154"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lastRenderedPageBreak/>
        <w:t>27.</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Jafarnia</w:t>
      </w:r>
      <w:proofErr w:type="spellEnd"/>
      <w:r w:rsidRPr="00F76890">
        <w:rPr>
          <w:rFonts w:asciiTheme="minorHAnsi" w:hAnsiTheme="minorHAnsi" w:cstheme="minorHAnsi"/>
          <w:bCs/>
          <w:color w:val="auto"/>
        </w:rPr>
        <w:t>, B</w:t>
      </w:r>
      <w:r w:rsidR="003823E0">
        <w:rPr>
          <w:rFonts w:asciiTheme="minorHAnsi" w:hAnsiTheme="minorHAnsi" w:cstheme="minorHAnsi"/>
          <w:bCs/>
          <w:color w:val="auto"/>
        </w:rPr>
        <w:t xml:space="preserve">. et al. </w:t>
      </w:r>
      <w:r w:rsidRPr="00F76890">
        <w:rPr>
          <w:rFonts w:asciiTheme="minorHAnsi" w:hAnsiTheme="minorHAnsi" w:cstheme="minorHAnsi"/>
          <w:bCs/>
          <w:color w:val="auto"/>
        </w:rPr>
        <w:t xml:space="preserve">Evaluation of cytotoxicity of MTA employing various additives. </w:t>
      </w:r>
      <w:r w:rsidRPr="00C44FA0">
        <w:rPr>
          <w:rFonts w:asciiTheme="minorHAnsi" w:hAnsiTheme="minorHAnsi" w:cstheme="minorHAnsi"/>
          <w:bCs/>
          <w:i/>
          <w:iCs/>
          <w:color w:val="auto"/>
        </w:rPr>
        <w:t>Oral Surgery, Oral Medicine, Oral Pathology, Oral Radiology, and Endodontology</w:t>
      </w:r>
      <w:r w:rsidRPr="00F76890">
        <w:rPr>
          <w:rFonts w:asciiTheme="minorHAnsi" w:hAnsiTheme="minorHAnsi" w:cstheme="minorHAnsi"/>
          <w:bCs/>
          <w:color w:val="auto"/>
        </w:rPr>
        <w:t xml:space="preserve">. </w:t>
      </w:r>
      <w:r w:rsidRPr="00A60BA5">
        <w:rPr>
          <w:rFonts w:asciiTheme="minorHAnsi" w:hAnsiTheme="minorHAnsi" w:cstheme="minorHAnsi"/>
          <w:b/>
          <w:color w:val="auto"/>
        </w:rPr>
        <w:t>107</w:t>
      </w:r>
      <w:r w:rsidRPr="00F76890">
        <w:rPr>
          <w:rFonts w:asciiTheme="minorHAnsi" w:hAnsiTheme="minorHAnsi" w:cstheme="minorHAnsi"/>
          <w:bCs/>
          <w:color w:val="auto"/>
        </w:rPr>
        <w:t xml:space="preserve"> (5), 739–744 (2009).</w:t>
      </w:r>
    </w:p>
    <w:p w14:paraId="253AB57A" w14:textId="58E24917"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28.</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Paranjpe</w:t>
      </w:r>
      <w:proofErr w:type="spellEnd"/>
      <w:r w:rsidRPr="00F76890">
        <w:rPr>
          <w:rFonts w:asciiTheme="minorHAnsi" w:hAnsiTheme="minorHAnsi" w:cstheme="minorHAnsi"/>
          <w:bCs/>
          <w:color w:val="auto"/>
        </w:rPr>
        <w:t xml:space="preserve">, A., Smoot, T., Zhang, H., Johnson, J.D. Direct contact with mineral trioxide aggregate activates and differentiates human dental pulp cells. </w:t>
      </w:r>
      <w:r w:rsidRPr="00C44FA0">
        <w:rPr>
          <w:rFonts w:asciiTheme="minorHAnsi" w:hAnsiTheme="minorHAnsi" w:cstheme="minorHAnsi"/>
          <w:bCs/>
          <w:i/>
          <w:iCs/>
          <w:color w:val="auto"/>
        </w:rPr>
        <w:t>Journal of</w:t>
      </w:r>
      <w:r w:rsidRPr="00F76890">
        <w:rPr>
          <w:rFonts w:asciiTheme="minorHAnsi" w:hAnsiTheme="minorHAnsi" w:cstheme="minorHAnsi"/>
          <w:bCs/>
          <w:color w:val="auto"/>
        </w:rPr>
        <w:t xml:space="preserve"> </w:t>
      </w:r>
      <w:r w:rsidRPr="00C44FA0">
        <w:rPr>
          <w:rFonts w:asciiTheme="minorHAnsi" w:hAnsiTheme="minorHAnsi" w:cstheme="minorHAnsi"/>
          <w:bCs/>
          <w:i/>
          <w:iCs/>
          <w:color w:val="auto"/>
        </w:rPr>
        <w:t>Endodontics</w:t>
      </w:r>
      <w:r w:rsidRPr="00F76890">
        <w:rPr>
          <w:rFonts w:asciiTheme="minorHAnsi" w:hAnsiTheme="minorHAnsi" w:cstheme="minorHAnsi"/>
          <w:bCs/>
          <w:color w:val="auto"/>
        </w:rPr>
        <w:t xml:space="preserve">. </w:t>
      </w:r>
      <w:r w:rsidRPr="00A60BA5">
        <w:rPr>
          <w:rFonts w:asciiTheme="minorHAnsi" w:hAnsiTheme="minorHAnsi" w:cstheme="minorHAnsi"/>
          <w:b/>
          <w:color w:val="auto"/>
        </w:rPr>
        <w:t>37</w:t>
      </w:r>
      <w:r w:rsidRPr="00F76890">
        <w:rPr>
          <w:rFonts w:asciiTheme="minorHAnsi" w:hAnsiTheme="minorHAnsi" w:cstheme="minorHAnsi"/>
          <w:bCs/>
          <w:color w:val="auto"/>
        </w:rPr>
        <w:t xml:space="preserve"> (12), 1691–1695 (2011).</w:t>
      </w:r>
    </w:p>
    <w:p w14:paraId="5850C93C" w14:textId="4423C919"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29.</w:t>
      </w:r>
      <w:r w:rsidRPr="00F76890">
        <w:rPr>
          <w:rFonts w:asciiTheme="minorHAnsi" w:hAnsiTheme="minorHAnsi" w:cstheme="minorHAnsi"/>
          <w:bCs/>
          <w:color w:val="auto"/>
        </w:rPr>
        <w:tab/>
        <w:t xml:space="preserve">Spagnuolo, G. et al. In vitro cellular detoxification of </w:t>
      </w:r>
      <w:proofErr w:type="spellStart"/>
      <w:r w:rsidRPr="00F76890">
        <w:rPr>
          <w:rFonts w:asciiTheme="minorHAnsi" w:hAnsiTheme="minorHAnsi" w:cstheme="minorHAnsi"/>
          <w:bCs/>
          <w:color w:val="auto"/>
        </w:rPr>
        <w:t>triethylene</w:t>
      </w:r>
      <w:proofErr w:type="spellEnd"/>
      <w:r w:rsidRPr="00F76890">
        <w:rPr>
          <w:rFonts w:asciiTheme="minorHAnsi" w:hAnsiTheme="minorHAnsi" w:cstheme="minorHAnsi"/>
          <w:bCs/>
          <w:color w:val="auto"/>
        </w:rPr>
        <w:t xml:space="preserve"> glycol </w:t>
      </w:r>
      <w:proofErr w:type="spellStart"/>
      <w:r w:rsidRPr="00F76890">
        <w:rPr>
          <w:rFonts w:asciiTheme="minorHAnsi" w:hAnsiTheme="minorHAnsi" w:cstheme="minorHAnsi"/>
          <w:bCs/>
          <w:color w:val="auto"/>
        </w:rPr>
        <w:t>dimethacrylate</w:t>
      </w:r>
      <w:proofErr w:type="spellEnd"/>
      <w:r w:rsidRPr="00F76890">
        <w:rPr>
          <w:rFonts w:asciiTheme="minorHAnsi" w:hAnsiTheme="minorHAnsi" w:cstheme="minorHAnsi"/>
          <w:bCs/>
          <w:color w:val="auto"/>
        </w:rPr>
        <w:t xml:space="preserve"> by adduct formation with N-acetylcysteine. </w:t>
      </w:r>
      <w:r w:rsidRPr="00C44FA0">
        <w:rPr>
          <w:rFonts w:asciiTheme="minorHAnsi" w:hAnsiTheme="minorHAnsi" w:cstheme="minorHAnsi"/>
          <w:bCs/>
          <w:i/>
          <w:iCs/>
          <w:color w:val="auto"/>
        </w:rPr>
        <w:t>Dental Materials</w:t>
      </w:r>
      <w:r w:rsidRPr="00F76890">
        <w:rPr>
          <w:rFonts w:asciiTheme="minorHAnsi" w:hAnsiTheme="minorHAnsi" w:cstheme="minorHAnsi"/>
          <w:bCs/>
          <w:color w:val="auto"/>
        </w:rPr>
        <w:t xml:space="preserve">. </w:t>
      </w:r>
      <w:r w:rsidRPr="00A60BA5">
        <w:rPr>
          <w:rFonts w:asciiTheme="minorHAnsi" w:hAnsiTheme="minorHAnsi" w:cstheme="minorHAnsi"/>
          <w:b/>
          <w:color w:val="auto"/>
        </w:rPr>
        <w:t>29</w:t>
      </w:r>
      <w:r w:rsidRPr="00F76890">
        <w:rPr>
          <w:rFonts w:asciiTheme="minorHAnsi" w:hAnsiTheme="minorHAnsi" w:cstheme="minorHAnsi"/>
          <w:bCs/>
          <w:color w:val="auto"/>
        </w:rPr>
        <w:t xml:space="preserve"> (8), e153–e160 (2013).</w:t>
      </w:r>
    </w:p>
    <w:p w14:paraId="2E44DA51" w14:textId="50482063" w:rsidR="006B1B14" w:rsidRPr="00F76890" w:rsidRDefault="006B1B14" w:rsidP="00F012D5">
      <w:pPr>
        <w:contextualSpacing/>
        <w:rPr>
          <w:rFonts w:asciiTheme="minorHAnsi" w:hAnsiTheme="minorHAnsi" w:cstheme="minorHAnsi"/>
          <w:bCs/>
          <w:color w:val="auto"/>
          <w:lang w:val="pt-PT"/>
        </w:rPr>
      </w:pPr>
      <w:r w:rsidRPr="00F76890">
        <w:rPr>
          <w:rFonts w:asciiTheme="minorHAnsi" w:hAnsiTheme="minorHAnsi" w:cstheme="minorHAnsi"/>
          <w:bCs/>
          <w:color w:val="auto"/>
        </w:rPr>
        <w:t>30.</w:t>
      </w:r>
      <w:r w:rsidRPr="00F76890">
        <w:rPr>
          <w:rFonts w:asciiTheme="minorHAnsi" w:hAnsiTheme="minorHAnsi" w:cstheme="minorHAnsi"/>
          <w:bCs/>
          <w:color w:val="auto"/>
        </w:rPr>
        <w:tab/>
        <w:t xml:space="preserve">Murray, P.E., García Godoy, C., García Godoy, F. How is the </w:t>
      </w:r>
      <w:proofErr w:type="spellStart"/>
      <w:r w:rsidRPr="00F76890">
        <w:rPr>
          <w:rFonts w:asciiTheme="minorHAnsi" w:hAnsiTheme="minorHAnsi" w:cstheme="minorHAnsi"/>
          <w:bCs/>
          <w:color w:val="auto"/>
        </w:rPr>
        <w:t>biocompatibilty</w:t>
      </w:r>
      <w:proofErr w:type="spellEnd"/>
      <w:r w:rsidRPr="00F76890">
        <w:rPr>
          <w:rFonts w:asciiTheme="minorHAnsi" w:hAnsiTheme="minorHAnsi" w:cstheme="minorHAnsi"/>
          <w:bCs/>
          <w:color w:val="auto"/>
        </w:rPr>
        <w:t xml:space="preserve"> of dental biomaterials evaluated? </w:t>
      </w:r>
      <w:proofErr w:type="spellStart"/>
      <w:r w:rsidRPr="00C44FA0">
        <w:rPr>
          <w:rFonts w:asciiTheme="minorHAnsi" w:hAnsiTheme="minorHAnsi" w:cstheme="minorHAnsi"/>
          <w:bCs/>
          <w:i/>
          <w:iCs/>
          <w:color w:val="auto"/>
        </w:rPr>
        <w:t>Medicina</w:t>
      </w:r>
      <w:proofErr w:type="spellEnd"/>
      <w:r w:rsidRPr="00C44FA0">
        <w:rPr>
          <w:rFonts w:asciiTheme="minorHAnsi" w:hAnsiTheme="minorHAnsi" w:cstheme="minorHAnsi"/>
          <w:bCs/>
          <w:i/>
          <w:iCs/>
          <w:color w:val="auto"/>
        </w:rPr>
        <w:t xml:space="preserve"> </w:t>
      </w:r>
      <w:r w:rsidR="003823E0">
        <w:rPr>
          <w:rFonts w:asciiTheme="minorHAnsi" w:hAnsiTheme="minorHAnsi" w:cstheme="minorHAnsi"/>
          <w:bCs/>
          <w:i/>
          <w:iCs/>
          <w:color w:val="auto"/>
        </w:rPr>
        <w:t>O</w:t>
      </w:r>
      <w:r w:rsidR="003823E0" w:rsidRPr="00C44FA0">
        <w:rPr>
          <w:rFonts w:asciiTheme="minorHAnsi" w:hAnsiTheme="minorHAnsi" w:cstheme="minorHAnsi"/>
          <w:bCs/>
          <w:i/>
          <w:iCs/>
          <w:color w:val="auto"/>
        </w:rPr>
        <w:t xml:space="preserve">ral, </w:t>
      </w:r>
      <w:proofErr w:type="spellStart"/>
      <w:r w:rsidR="003823E0" w:rsidRPr="00C44FA0">
        <w:rPr>
          <w:rFonts w:asciiTheme="minorHAnsi" w:hAnsiTheme="minorHAnsi" w:cstheme="minorHAnsi"/>
          <w:bCs/>
          <w:i/>
          <w:iCs/>
          <w:color w:val="auto"/>
        </w:rPr>
        <w:t>Patologia</w:t>
      </w:r>
      <w:proofErr w:type="spellEnd"/>
      <w:r w:rsidR="003823E0" w:rsidRPr="00C44FA0">
        <w:rPr>
          <w:rFonts w:asciiTheme="minorHAnsi" w:hAnsiTheme="minorHAnsi" w:cstheme="minorHAnsi"/>
          <w:bCs/>
          <w:i/>
          <w:iCs/>
          <w:color w:val="auto"/>
        </w:rPr>
        <w:t xml:space="preserve"> Oral </w:t>
      </w:r>
      <w:r w:rsidR="003823E0">
        <w:rPr>
          <w:rFonts w:asciiTheme="minorHAnsi" w:hAnsiTheme="minorHAnsi" w:cstheme="minorHAnsi"/>
          <w:bCs/>
          <w:i/>
          <w:iCs/>
          <w:color w:val="auto"/>
        </w:rPr>
        <w:t>y</w:t>
      </w:r>
      <w:r w:rsidR="003823E0" w:rsidRPr="00C44FA0">
        <w:rPr>
          <w:rFonts w:asciiTheme="minorHAnsi" w:hAnsiTheme="minorHAnsi" w:cstheme="minorHAnsi"/>
          <w:bCs/>
          <w:i/>
          <w:iCs/>
          <w:color w:val="auto"/>
        </w:rPr>
        <w:t xml:space="preserve"> </w:t>
      </w:r>
      <w:proofErr w:type="spellStart"/>
      <w:r w:rsidR="003823E0" w:rsidRPr="00C44FA0">
        <w:rPr>
          <w:rFonts w:asciiTheme="minorHAnsi" w:hAnsiTheme="minorHAnsi" w:cstheme="minorHAnsi"/>
          <w:bCs/>
          <w:i/>
          <w:iCs/>
          <w:color w:val="auto"/>
        </w:rPr>
        <w:t>Cirugia</w:t>
      </w:r>
      <w:proofErr w:type="spellEnd"/>
      <w:r w:rsidR="003823E0" w:rsidRPr="00C44FA0">
        <w:rPr>
          <w:rFonts w:asciiTheme="minorHAnsi" w:hAnsiTheme="minorHAnsi" w:cstheme="minorHAnsi"/>
          <w:bCs/>
          <w:i/>
          <w:iCs/>
          <w:color w:val="auto"/>
        </w:rPr>
        <w:t xml:space="preserve"> </w:t>
      </w:r>
      <w:proofErr w:type="spellStart"/>
      <w:r w:rsidR="003823E0" w:rsidRPr="00C44FA0">
        <w:rPr>
          <w:rFonts w:asciiTheme="minorHAnsi" w:hAnsiTheme="minorHAnsi" w:cstheme="minorHAnsi"/>
          <w:bCs/>
          <w:i/>
          <w:iCs/>
          <w:color w:val="auto"/>
        </w:rPr>
        <w:t>Bucal</w:t>
      </w:r>
      <w:proofErr w:type="spellEnd"/>
      <w:r w:rsidRPr="00F76890">
        <w:rPr>
          <w:rFonts w:asciiTheme="minorHAnsi" w:hAnsiTheme="minorHAnsi" w:cstheme="minorHAnsi"/>
          <w:bCs/>
          <w:color w:val="auto"/>
          <w:lang w:val="pt-PT"/>
        </w:rPr>
        <w:t xml:space="preserve">. </w:t>
      </w:r>
      <w:r w:rsidRPr="00A60BA5">
        <w:rPr>
          <w:rFonts w:asciiTheme="minorHAnsi" w:hAnsiTheme="minorHAnsi" w:cstheme="minorHAnsi"/>
          <w:b/>
          <w:color w:val="auto"/>
        </w:rPr>
        <w:t>12</w:t>
      </w:r>
      <w:r w:rsidRPr="00F76890">
        <w:rPr>
          <w:rFonts w:asciiTheme="minorHAnsi" w:hAnsiTheme="minorHAnsi" w:cstheme="minorHAnsi"/>
          <w:bCs/>
          <w:color w:val="auto"/>
          <w:lang w:val="pt-PT"/>
        </w:rPr>
        <w:t xml:space="preserve"> (3), E258-66 (2007).</w:t>
      </w:r>
    </w:p>
    <w:p w14:paraId="22780EE6" w14:textId="00F848EB"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31.</w:t>
      </w:r>
      <w:r w:rsidRPr="00F76890">
        <w:rPr>
          <w:rFonts w:asciiTheme="minorHAnsi" w:hAnsiTheme="minorHAnsi" w:cstheme="minorHAnsi"/>
          <w:bCs/>
          <w:color w:val="auto"/>
        </w:rPr>
        <w:tab/>
        <w:t xml:space="preserve">Hanks, C.T., </w:t>
      </w:r>
      <w:proofErr w:type="spellStart"/>
      <w:r w:rsidRPr="00F76890">
        <w:rPr>
          <w:rFonts w:asciiTheme="minorHAnsi" w:hAnsiTheme="minorHAnsi" w:cstheme="minorHAnsi"/>
          <w:bCs/>
          <w:color w:val="auto"/>
        </w:rPr>
        <w:t>Wataha</w:t>
      </w:r>
      <w:proofErr w:type="spellEnd"/>
      <w:r w:rsidRPr="00F76890">
        <w:rPr>
          <w:rFonts w:asciiTheme="minorHAnsi" w:hAnsiTheme="minorHAnsi" w:cstheme="minorHAnsi"/>
          <w:bCs/>
          <w:color w:val="auto"/>
        </w:rPr>
        <w:t xml:space="preserve">, J.C., Sun, Z. In vitro models of biocompatibility: a review. </w:t>
      </w:r>
      <w:r w:rsidRPr="00C44FA0">
        <w:rPr>
          <w:rFonts w:asciiTheme="minorHAnsi" w:hAnsiTheme="minorHAnsi" w:cstheme="minorHAnsi"/>
          <w:bCs/>
          <w:i/>
          <w:iCs/>
          <w:color w:val="auto"/>
        </w:rPr>
        <w:t xml:space="preserve">Dental </w:t>
      </w:r>
      <w:r w:rsidR="003823E0">
        <w:rPr>
          <w:rFonts w:asciiTheme="minorHAnsi" w:hAnsiTheme="minorHAnsi" w:cstheme="minorHAnsi"/>
          <w:bCs/>
          <w:i/>
          <w:iCs/>
          <w:color w:val="auto"/>
        </w:rPr>
        <w:t>M</w:t>
      </w:r>
      <w:r w:rsidRPr="00C44FA0">
        <w:rPr>
          <w:rFonts w:asciiTheme="minorHAnsi" w:hAnsiTheme="minorHAnsi" w:cstheme="minorHAnsi"/>
          <w:bCs/>
          <w:i/>
          <w:iCs/>
          <w:color w:val="auto"/>
        </w:rPr>
        <w:t>aterials</w:t>
      </w:r>
      <w:r w:rsidRPr="00F76890">
        <w:rPr>
          <w:rFonts w:asciiTheme="minorHAnsi" w:hAnsiTheme="minorHAnsi" w:cstheme="minorHAnsi"/>
          <w:bCs/>
          <w:color w:val="auto"/>
        </w:rPr>
        <w:t xml:space="preserve">. </w:t>
      </w:r>
      <w:r w:rsidRPr="00A60BA5">
        <w:rPr>
          <w:rFonts w:asciiTheme="minorHAnsi" w:hAnsiTheme="minorHAnsi" w:cstheme="minorHAnsi"/>
          <w:b/>
          <w:color w:val="auto"/>
        </w:rPr>
        <w:t>12</w:t>
      </w:r>
      <w:r w:rsidRPr="00F76890">
        <w:rPr>
          <w:rFonts w:asciiTheme="minorHAnsi" w:hAnsiTheme="minorHAnsi" w:cstheme="minorHAnsi"/>
          <w:bCs/>
          <w:color w:val="auto"/>
        </w:rPr>
        <w:t xml:space="preserve"> (3), 186–93 (1996).</w:t>
      </w:r>
    </w:p>
    <w:p w14:paraId="72E04D3E" w14:textId="11099CF9"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32.</w:t>
      </w:r>
      <w:r w:rsidRPr="00F76890">
        <w:rPr>
          <w:rFonts w:asciiTheme="minorHAnsi" w:hAnsiTheme="minorHAnsi" w:cstheme="minorHAnsi"/>
          <w:bCs/>
          <w:color w:val="auto"/>
        </w:rPr>
        <w:tab/>
        <w:t xml:space="preserve">Eid, A.A. et al. In Vitro Biocompatibility and Oxidative Stress Profiles of Different Hydraulic Calcium Silicate Cements. </w:t>
      </w:r>
      <w:r w:rsidRPr="00C44FA0">
        <w:rPr>
          <w:rFonts w:asciiTheme="minorHAnsi" w:hAnsiTheme="minorHAnsi" w:cstheme="minorHAnsi"/>
          <w:bCs/>
          <w:i/>
          <w:iCs/>
          <w:color w:val="auto"/>
        </w:rPr>
        <w:t>Journal of Endodontics</w:t>
      </w:r>
      <w:r w:rsidRPr="00F76890">
        <w:rPr>
          <w:rFonts w:asciiTheme="minorHAnsi" w:hAnsiTheme="minorHAnsi" w:cstheme="minorHAnsi"/>
          <w:bCs/>
          <w:color w:val="auto"/>
        </w:rPr>
        <w:t xml:space="preserve">. </w:t>
      </w:r>
      <w:r w:rsidRPr="00A60BA5">
        <w:rPr>
          <w:rFonts w:asciiTheme="minorHAnsi" w:hAnsiTheme="minorHAnsi" w:cstheme="minorHAnsi"/>
          <w:b/>
          <w:color w:val="auto"/>
        </w:rPr>
        <w:t>40</w:t>
      </w:r>
      <w:r w:rsidRPr="00F76890">
        <w:rPr>
          <w:rFonts w:asciiTheme="minorHAnsi" w:hAnsiTheme="minorHAnsi" w:cstheme="minorHAnsi"/>
          <w:bCs/>
          <w:color w:val="auto"/>
        </w:rPr>
        <w:t xml:space="preserve"> (2), 255–260 (2014).</w:t>
      </w:r>
    </w:p>
    <w:p w14:paraId="22002C80" w14:textId="4656BEDC"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33.</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Nocca</w:t>
      </w:r>
      <w:proofErr w:type="spellEnd"/>
      <w:r w:rsidRPr="00F76890">
        <w:rPr>
          <w:rFonts w:asciiTheme="minorHAnsi" w:hAnsiTheme="minorHAnsi" w:cstheme="minorHAnsi"/>
          <w:bCs/>
          <w:color w:val="auto"/>
        </w:rPr>
        <w:t xml:space="preserve">, G. et al. Effects of ethanol and dimethyl sulfoxide on solubility and cytotoxicity of the resin monomer </w:t>
      </w:r>
      <w:proofErr w:type="spellStart"/>
      <w:r w:rsidRPr="00F76890">
        <w:rPr>
          <w:rFonts w:asciiTheme="minorHAnsi" w:hAnsiTheme="minorHAnsi" w:cstheme="minorHAnsi"/>
          <w:bCs/>
          <w:color w:val="auto"/>
        </w:rPr>
        <w:t>triethylene</w:t>
      </w:r>
      <w:proofErr w:type="spellEnd"/>
      <w:r w:rsidRPr="00F76890">
        <w:rPr>
          <w:rFonts w:asciiTheme="minorHAnsi" w:hAnsiTheme="minorHAnsi" w:cstheme="minorHAnsi"/>
          <w:bCs/>
          <w:color w:val="auto"/>
        </w:rPr>
        <w:t xml:space="preserve"> glycol </w:t>
      </w:r>
      <w:proofErr w:type="spellStart"/>
      <w:r w:rsidRPr="00F76890">
        <w:rPr>
          <w:rFonts w:asciiTheme="minorHAnsi" w:hAnsiTheme="minorHAnsi" w:cstheme="minorHAnsi"/>
          <w:bCs/>
          <w:color w:val="auto"/>
        </w:rPr>
        <w:t>dimethacrylate</w:t>
      </w:r>
      <w:proofErr w:type="spellEnd"/>
      <w:r w:rsidRPr="00F76890">
        <w:rPr>
          <w:rFonts w:asciiTheme="minorHAnsi" w:hAnsiTheme="minorHAnsi" w:cstheme="minorHAnsi"/>
          <w:bCs/>
          <w:color w:val="auto"/>
        </w:rPr>
        <w:t xml:space="preserve">. </w:t>
      </w:r>
      <w:r w:rsidRPr="00C44FA0">
        <w:rPr>
          <w:rFonts w:asciiTheme="minorHAnsi" w:hAnsiTheme="minorHAnsi" w:cstheme="minorHAnsi"/>
          <w:bCs/>
          <w:i/>
          <w:iCs/>
          <w:color w:val="auto"/>
        </w:rPr>
        <w:t>Journal of Biomedical Materials Research Part B: Applied Biomaterials</w:t>
      </w:r>
      <w:r w:rsidRPr="00F76890">
        <w:rPr>
          <w:rFonts w:asciiTheme="minorHAnsi" w:hAnsiTheme="minorHAnsi" w:cstheme="minorHAnsi"/>
          <w:bCs/>
          <w:color w:val="auto"/>
        </w:rPr>
        <w:t xml:space="preserve">. </w:t>
      </w:r>
      <w:r w:rsidRPr="00A60BA5">
        <w:rPr>
          <w:rFonts w:asciiTheme="minorHAnsi" w:hAnsiTheme="minorHAnsi" w:cstheme="minorHAnsi"/>
          <w:b/>
          <w:color w:val="auto"/>
        </w:rPr>
        <w:t>100B</w:t>
      </w:r>
      <w:r w:rsidRPr="00F76890">
        <w:rPr>
          <w:rFonts w:asciiTheme="minorHAnsi" w:hAnsiTheme="minorHAnsi" w:cstheme="minorHAnsi"/>
          <w:bCs/>
          <w:color w:val="auto"/>
        </w:rPr>
        <w:t xml:space="preserve"> (6), 1500–1506 (2012).</w:t>
      </w:r>
    </w:p>
    <w:p w14:paraId="7BB7F068" w14:textId="41B347E6"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34.</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Abuarqoub</w:t>
      </w:r>
      <w:proofErr w:type="spellEnd"/>
      <w:r w:rsidRPr="00F76890">
        <w:rPr>
          <w:rFonts w:asciiTheme="minorHAnsi" w:hAnsiTheme="minorHAnsi" w:cstheme="minorHAnsi"/>
          <w:bCs/>
          <w:color w:val="auto"/>
        </w:rPr>
        <w:t xml:space="preserve">, D., Aslam, N., </w:t>
      </w:r>
      <w:proofErr w:type="spellStart"/>
      <w:r w:rsidRPr="00F76890">
        <w:rPr>
          <w:rFonts w:asciiTheme="minorHAnsi" w:hAnsiTheme="minorHAnsi" w:cstheme="minorHAnsi"/>
          <w:bCs/>
          <w:color w:val="auto"/>
        </w:rPr>
        <w:t>Jafar</w:t>
      </w:r>
      <w:proofErr w:type="spellEnd"/>
      <w:r w:rsidRPr="00F76890">
        <w:rPr>
          <w:rFonts w:asciiTheme="minorHAnsi" w:hAnsiTheme="minorHAnsi" w:cstheme="minorHAnsi"/>
          <w:bCs/>
          <w:color w:val="auto"/>
        </w:rPr>
        <w:t xml:space="preserve">, H., Abu </w:t>
      </w:r>
      <w:proofErr w:type="spellStart"/>
      <w:r w:rsidRPr="00F76890">
        <w:rPr>
          <w:rFonts w:asciiTheme="minorHAnsi" w:hAnsiTheme="minorHAnsi" w:cstheme="minorHAnsi"/>
          <w:bCs/>
          <w:color w:val="auto"/>
        </w:rPr>
        <w:t>Harfil</w:t>
      </w:r>
      <w:proofErr w:type="spellEnd"/>
      <w:r w:rsidRPr="00F76890">
        <w:rPr>
          <w:rFonts w:asciiTheme="minorHAnsi" w:hAnsiTheme="minorHAnsi" w:cstheme="minorHAnsi"/>
          <w:bCs/>
          <w:color w:val="auto"/>
        </w:rPr>
        <w:t xml:space="preserve">, Z., </w:t>
      </w:r>
      <w:proofErr w:type="spellStart"/>
      <w:r w:rsidRPr="00F76890">
        <w:rPr>
          <w:rFonts w:asciiTheme="minorHAnsi" w:hAnsiTheme="minorHAnsi" w:cstheme="minorHAnsi"/>
          <w:bCs/>
          <w:color w:val="auto"/>
        </w:rPr>
        <w:t>Awidi</w:t>
      </w:r>
      <w:proofErr w:type="spellEnd"/>
      <w:r w:rsidRPr="00F76890">
        <w:rPr>
          <w:rFonts w:asciiTheme="minorHAnsi" w:hAnsiTheme="minorHAnsi" w:cstheme="minorHAnsi"/>
          <w:bCs/>
          <w:color w:val="auto"/>
        </w:rPr>
        <w:t xml:space="preserve">, A. Biocompatibility of </w:t>
      </w:r>
      <w:proofErr w:type="spellStart"/>
      <w:r w:rsidRPr="00F76890">
        <w:rPr>
          <w:rFonts w:asciiTheme="minorHAnsi" w:hAnsiTheme="minorHAnsi" w:cstheme="minorHAnsi"/>
          <w:bCs/>
          <w:color w:val="auto"/>
        </w:rPr>
        <w:t>Biodentine</w:t>
      </w:r>
      <w:proofErr w:type="spellEnd"/>
      <w:r w:rsidRPr="00F76890">
        <w:rPr>
          <w:rFonts w:asciiTheme="minorHAnsi" w:hAnsiTheme="minorHAnsi" w:cstheme="minorHAnsi"/>
          <w:bCs/>
          <w:color w:val="auto"/>
        </w:rPr>
        <w:t xml:space="preserve"> with Periodontal Ligament Stem Cells: In Vitro Study. </w:t>
      </w:r>
      <w:r w:rsidRPr="00C44FA0">
        <w:rPr>
          <w:rFonts w:asciiTheme="minorHAnsi" w:hAnsiTheme="minorHAnsi" w:cstheme="minorHAnsi"/>
          <w:bCs/>
          <w:i/>
          <w:iCs/>
          <w:color w:val="auto"/>
        </w:rPr>
        <w:t>Dentistry Journal</w:t>
      </w:r>
      <w:r w:rsidRPr="00F76890">
        <w:rPr>
          <w:rFonts w:asciiTheme="minorHAnsi" w:hAnsiTheme="minorHAnsi" w:cstheme="minorHAnsi"/>
          <w:bCs/>
          <w:color w:val="auto"/>
        </w:rPr>
        <w:t xml:space="preserve">. </w:t>
      </w:r>
      <w:r w:rsidRPr="00A60BA5">
        <w:rPr>
          <w:rFonts w:asciiTheme="minorHAnsi" w:hAnsiTheme="minorHAnsi" w:cstheme="minorHAnsi"/>
          <w:b/>
          <w:color w:val="auto"/>
        </w:rPr>
        <w:t>8</w:t>
      </w:r>
      <w:r w:rsidRPr="00F76890">
        <w:rPr>
          <w:rFonts w:asciiTheme="minorHAnsi" w:hAnsiTheme="minorHAnsi" w:cstheme="minorHAnsi"/>
          <w:bCs/>
          <w:color w:val="auto"/>
        </w:rPr>
        <w:t xml:space="preserve"> (1), 17 (2020).</w:t>
      </w:r>
    </w:p>
    <w:p w14:paraId="5A8EB1AD" w14:textId="4DA5862C"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35.</w:t>
      </w:r>
      <w:r w:rsidRPr="00F76890">
        <w:rPr>
          <w:rFonts w:asciiTheme="minorHAnsi" w:hAnsiTheme="minorHAnsi" w:cstheme="minorHAnsi"/>
          <w:bCs/>
          <w:color w:val="auto"/>
        </w:rPr>
        <w:tab/>
        <w:t xml:space="preserve">Coelho, A.S. et al. Cytotoxic effects of a chlorhexidine mouthwash and of an enzymatic mouthwash on human gingival fibroblasts. </w:t>
      </w:r>
      <w:r w:rsidRPr="00C44FA0">
        <w:rPr>
          <w:rFonts w:asciiTheme="minorHAnsi" w:hAnsiTheme="minorHAnsi" w:cstheme="minorHAnsi"/>
          <w:bCs/>
          <w:i/>
          <w:iCs/>
          <w:color w:val="auto"/>
        </w:rPr>
        <w:t>Odontology</w:t>
      </w:r>
      <w:r w:rsidRPr="00F76890">
        <w:rPr>
          <w:rFonts w:asciiTheme="minorHAnsi" w:hAnsiTheme="minorHAnsi" w:cstheme="minorHAnsi"/>
          <w:bCs/>
          <w:color w:val="auto"/>
        </w:rPr>
        <w:t xml:space="preserve">. </w:t>
      </w:r>
      <w:r w:rsidRPr="00A60BA5">
        <w:rPr>
          <w:rFonts w:asciiTheme="minorHAnsi" w:hAnsiTheme="minorHAnsi" w:cstheme="minorHAnsi"/>
          <w:b/>
          <w:color w:val="auto"/>
        </w:rPr>
        <w:t>108</w:t>
      </w:r>
      <w:r w:rsidRPr="00F76890">
        <w:rPr>
          <w:rFonts w:asciiTheme="minorHAnsi" w:hAnsiTheme="minorHAnsi" w:cstheme="minorHAnsi"/>
          <w:bCs/>
          <w:color w:val="auto"/>
        </w:rPr>
        <w:t xml:space="preserve"> (2), 260–270 (2020).</w:t>
      </w:r>
    </w:p>
    <w:p w14:paraId="2F432944" w14:textId="04CEFD17"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36.</w:t>
      </w:r>
      <w:r w:rsidRPr="00F76890">
        <w:rPr>
          <w:rFonts w:asciiTheme="minorHAnsi" w:hAnsiTheme="minorHAnsi" w:cstheme="minorHAnsi"/>
          <w:bCs/>
          <w:color w:val="auto"/>
        </w:rPr>
        <w:tab/>
        <w:t>Wang, M.O</w:t>
      </w:r>
      <w:r w:rsidR="003823E0">
        <w:rPr>
          <w:rFonts w:asciiTheme="minorHAnsi" w:hAnsiTheme="minorHAnsi" w:cstheme="minorHAnsi"/>
          <w:bCs/>
          <w:color w:val="auto"/>
        </w:rPr>
        <w:t>. et al.</w:t>
      </w:r>
      <w:r w:rsidRPr="00F76890">
        <w:rPr>
          <w:rFonts w:asciiTheme="minorHAnsi" w:hAnsiTheme="minorHAnsi" w:cstheme="minorHAnsi"/>
          <w:bCs/>
          <w:color w:val="auto"/>
        </w:rPr>
        <w:t xml:space="preserve"> Evaluation of the In Vitro Cytotoxicity of Cross-Linked Biomaterials. </w:t>
      </w:r>
      <w:r w:rsidRPr="00C44FA0">
        <w:rPr>
          <w:rFonts w:asciiTheme="minorHAnsi" w:hAnsiTheme="minorHAnsi" w:cstheme="minorHAnsi"/>
          <w:bCs/>
          <w:i/>
          <w:iCs/>
          <w:color w:val="auto"/>
        </w:rPr>
        <w:t>Biomacromolecules</w:t>
      </w:r>
      <w:r w:rsidRPr="00F76890">
        <w:rPr>
          <w:rFonts w:asciiTheme="minorHAnsi" w:hAnsiTheme="minorHAnsi" w:cstheme="minorHAnsi"/>
          <w:bCs/>
          <w:color w:val="auto"/>
        </w:rPr>
        <w:t xml:space="preserve">. </w:t>
      </w:r>
      <w:r w:rsidRPr="00A60BA5">
        <w:rPr>
          <w:rFonts w:asciiTheme="minorHAnsi" w:hAnsiTheme="minorHAnsi" w:cstheme="minorHAnsi"/>
          <w:b/>
          <w:color w:val="auto"/>
        </w:rPr>
        <w:t>14</w:t>
      </w:r>
      <w:r w:rsidRPr="00F76890">
        <w:rPr>
          <w:rFonts w:asciiTheme="minorHAnsi" w:hAnsiTheme="minorHAnsi" w:cstheme="minorHAnsi"/>
          <w:bCs/>
          <w:color w:val="auto"/>
        </w:rPr>
        <w:t xml:space="preserve"> (5), 1321–1329 (2013).</w:t>
      </w:r>
    </w:p>
    <w:p w14:paraId="3E92F35D" w14:textId="503428F8"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37.</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Tyliszczak</w:t>
      </w:r>
      <w:proofErr w:type="spellEnd"/>
      <w:r w:rsidRPr="00F76890">
        <w:rPr>
          <w:rFonts w:asciiTheme="minorHAnsi" w:hAnsiTheme="minorHAnsi" w:cstheme="minorHAnsi"/>
          <w:bCs/>
          <w:color w:val="auto"/>
        </w:rPr>
        <w:t xml:space="preserve">, B., </w:t>
      </w:r>
      <w:proofErr w:type="spellStart"/>
      <w:r w:rsidRPr="00F76890">
        <w:rPr>
          <w:rFonts w:asciiTheme="minorHAnsi" w:hAnsiTheme="minorHAnsi" w:cstheme="minorHAnsi"/>
          <w:bCs/>
          <w:color w:val="auto"/>
        </w:rPr>
        <w:t>Drabczyk</w:t>
      </w:r>
      <w:proofErr w:type="spellEnd"/>
      <w:r w:rsidRPr="00F76890">
        <w:rPr>
          <w:rFonts w:asciiTheme="minorHAnsi" w:hAnsiTheme="minorHAnsi" w:cstheme="minorHAnsi"/>
          <w:bCs/>
          <w:color w:val="auto"/>
        </w:rPr>
        <w:t xml:space="preserve">, A., </w:t>
      </w:r>
      <w:proofErr w:type="spellStart"/>
      <w:r w:rsidRPr="00F76890">
        <w:rPr>
          <w:rFonts w:asciiTheme="minorHAnsi" w:hAnsiTheme="minorHAnsi" w:cstheme="minorHAnsi"/>
          <w:bCs/>
          <w:color w:val="auto"/>
        </w:rPr>
        <w:t>Kudłacik-Kramarczyk</w:t>
      </w:r>
      <w:proofErr w:type="spellEnd"/>
      <w:r w:rsidRPr="00F76890">
        <w:rPr>
          <w:rFonts w:asciiTheme="minorHAnsi" w:hAnsiTheme="minorHAnsi" w:cstheme="minorHAnsi"/>
          <w:bCs/>
          <w:color w:val="auto"/>
        </w:rPr>
        <w:t>, S., Bialik-</w:t>
      </w:r>
      <w:proofErr w:type="spellStart"/>
      <w:r w:rsidRPr="00F76890">
        <w:rPr>
          <w:rFonts w:asciiTheme="minorHAnsi" w:hAnsiTheme="minorHAnsi" w:cstheme="minorHAnsi"/>
          <w:bCs/>
          <w:color w:val="auto"/>
        </w:rPr>
        <w:t>Wąs</w:t>
      </w:r>
      <w:proofErr w:type="spellEnd"/>
      <w:r w:rsidRPr="00F76890">
        <w:rPr>
          <w:rFonts w:asciiTheme="minorHAnsi" w:hAnsiTheme="minorHAnsi" w:cstheme="minorHAnsi"/>
          <w:bCs/>
          <w:color w:val="auto"/>
        </w:rPr>
        <w:t xml:space="preserve">, K., </w:t>
      </w:r>
      <w:proofErr w:type="spellStart"/>
      <w:r w:rsidRPr="00F76890">
        <w:rPr>
          <w:rFonts w:asciiTheme="minorHAnsi" w:hAnsiTheme="minorHAnsi" w:cstheme="minorHAnsi"/>
          <w:bCs/>
          <w:color w:val="auto"/>
        </w:rPr>
        <w:t>Sobczak-Kupiec</w:t>
      </w:r>
      <w:proofErr w:type="spellEnd"/>
      <w:r w:rsidRPr="00F76890">
        <w:rPr>
          <w:rFonts w:asciiTheme="minorHAnsi" w:hAnsiTheme="minorHAnsi" w:cstheme="minorHAnsi"/>
          <w:bCs/>
          <w:color w:val="auto"/>
        </w:rPr>
        <w:t xml:space="preserve">, A. In vitro cytotoxicity of hydrogels based on chitosan and modified with gold nanoparticles. </w:t>
      </w:r>
      <w:r w:rsidRPr="00C44FA0">
        <w:rPr>
          <w:rFonts w:asciiTheme="minorHAnsi" w:hAnsiTheme="minorHAnsi" w:cstheme="minorHAnsi"/>
          <w:bCs/>
          <w:i/>
          <w:iCs/>
          <w:color w:val="auto"/>
        </w:rPr>
        <w:t>Journal of Polymer Research</w:t>
      </w:r>
      <w:r w:rsidRPr="00F76890">
        <w:rPr>
          <w:rFonts w:asciiTheme="minorHAnsi" w:hAnsiTheme="minorHAnsi" w:cstheme="minorHAnsi"/>
          <w:bCs/>
          <w:color w:val="auto"/>
        </w:rPr>
        <w:t xml:space="preserve">. </w:t>
      </w:r>
      <w:r w:rsidRPr="00A60BA5">
        <w:rPr>
          <w:rFonts w:asciiTheme="minorHAnsi" w:hAnsiTheme="minorHAnsi" w:cstheme="minorHAnsi"/>
          <w:b/>
          <w:color w:val="auto"/>
        </w:rPr>
        <w:t>24</w:t>
      </w:r>
      <w:r w:rsidRPr="00F76890">
        <w:rPr>
          <w:rFonts w:asciiTheme="minorHAnsi" w:hAnsiTheme="minorHAnsi" w:cstheme="minorHAnsi"/>
          <w:bCs/>
          <w:color w:val="auto"/>
        </w:rPr>
        <w:t xml:space="preserve"> (10), 153 (2017).</w:t>
      </w:r>
    </w:p>
    <w:p w14:paraId="268F1293" w14:textId="66A7DF34"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38.</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Widbiller</w:t>
      </w:r>
      <w:proofErr w:type="spellEnd"/>
      <w:r w:rsidRPr="00F76890">
        <w:rPr>
          <w:rFonts w:asciiTheme="minorHAnsi" w:hAnsiTheme="minorHAnsi" w:cstheme="minorHAnsi"/>
          <w:bCs/>
          <w:color w:val="auto"/>
        </w:rPr>
        <w:t xml:space="preserve">, M. et al. Three-dimensional culture of dental pulp stem cells in direct contact to tricalcium silicate cements. </w:t>
      </w:r>
      <w:r w:rsidRPr="00C44FA0">
        <w:rPr>
          <w:rFonts w:asciiTheme="minorHAnsi" w:hAnsiTheme="minorHAnsi" w:cstheme="minorHAnsi"/>
          <w:bCs/>
          <w:i/>
          <w:iCs/>
          <w:color w:val="auto"/>
        </w:rPr>
        <w:t xml:space="preserve">Clinical </w:t>
      </w:r>
      <w:r w:rsidR="003823E0" w:rsidRPr="00C44FA0">
        <w:rPr>
          <w:rFonts w:asciiTheme="minorHAnsi" w:hAnsiTheme="minorHAnsi" w:cstheme="minorHAnsi"/>
          <w:bCs/>
          <w:i/>
          <w:iCs/>
          <w:color w:val="auto"/>
        </w:rPr>
        <w:t>Oral Investigations</w:t>
      </w:r>
      <w:r w:rsidRPr="00F76890">
        <w:rPr>
          <w:rFonts w:asciiTheme="minorHAnsi" w:hAnsiTheme="minorHAnsi" w:cstheme="minorHAnsi"/>
          <w:bCs/>
          <w:color w:val="auto"/>
        </w:rPr>
        <w:t xml:space="preserve">. </w:t>
      </w:r>
      <w:r w:rsidRPr="00A60BA5">
        <w:rPr>
          <w:rFonts w:asciiTheme="minorHAnsi" w:hAnsiTheme="minorHAnsi" w:cstheme="minorHAnsi"/>
          <w:b/>
          <w:color w:val="auto"/>
        </w:rPr>
        <w:t>20</w:t>
      </w:r>
      <w:r w:rsidRPr="00F76890">
        <w:rPr>
          <w:rFonts w:asciiTheme="minorHAnsi" w:hAnsiTheme="minorHAnsi" w:cstheme="minorHAnsi"/>
          <w:bCs/>
          <w:color w:val="auto"/>
        </w:rPr>
        <w:t xml:space="preserve"> (2), 237–46 (2016).</w:t>
      </w:r>
    </w:p>
    <w:p w14:paraId="59C8586F" w14:textId="6E915BD2"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39.</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Pintor</w:t>
      </w:r>
      <w:proofErr w:type="spellEnd"/>
      <w:r w:rsidRPr="00F76890">
        <w:rPr>
          <w:rFonts w:asciiTheme="minorHAnsi" w:hAnsiTheme="minorHAnsi" w:cstheme="minorHAnsi"/>
          <w:bCs/>
          <w:color w:val="auto"/>
        </w:rPr>
        <w:t xml:space="preserve">, A.V.B. et al. In Vitro and In Vivo Biocompatibility </w:t>
      </w:r>
      <w:r w:rsidR="003823E0">
        <w:rPr>
          <w:rFonts w:asciiTheme="minorHAnsi" w:hAnsiTheme="minorHAnsi" w:cstheme="minorHAnsi"/>
          <w:bCs/>
          <w:color w:val="auto"/>
        </w:rPr>
        <w:t>o</w:t>
      </w:r>
      <w:r w:rsidRPr="00F76890">
        <w:rPr>
          <w:rFonts w:asciiTheme="minorHAnsi" w:hAnsiTheme="minorHAnsi" w:cstheme="minorHAnsi"/>
          <w:bCs/>
          <w:color w:val="auto"/>
        </w:rPr>
        <w:t xml:space="preserve">f </w:t>
      </w:r>
      <w:proofErr w:type="spellStart"/>
      <w:r w:rsidRPr="00F76890">
        <w:rPr>
          <w:rFonts w:asciiTheme="minorHAnsi" w:hAnsiTheme="minorHAnsi" w:cstheme="minorHAnsi"/>
          <w:bCs/>
          <w:color w:val="auto"/>
        </w:rPr>
        <w:t>ReOss</w:t>
      </w:r>
      <w:proofErr w:type="spellEnd"/>
      <w:r w:rsidRPr="00F76890">
        <w:rPr>
          <w:rFonts w:asciiTheme="minorHAnsi" w:hAnsiTheme="minorHAnsi" w:cstheme="minorHAnsi"/>
          <w:bCs/>
          <w:color w:val="auto"/>
        </w:rPr>
        <w:t xml:space="preserve"> in Powder and Putty Configurations. </w:t>
      </w:r>
      <w:r w:rsidRPr="00C44FA0">
        <w:rPr>
          <w:rFonts w:asciiTheme="minorHAnsi" w:hAnsiTheme="minorHAnsi" w:cstheme="minorHAnsi"/>
          <w:bCs/>
          <w:i/>
          <w:iCs/>
          <w:color w:val="auto"/>
        </w:rPr>
        <w:t>Brazilian Dental Journal</w:t>
      </w:r>
      <w:r w:rsidRPr="00F76890">
        <w:rPr>
          <w:rFonts w:asciiTheme="minorHAnsi" w:hAnsiTheme="minorHAnsi" w:cstheme="minorHAnsi"/>
          <w:bCs/>
          <w:color w:val="auto"/>
        </w:rPr>
        <w:t xml:space="preserve">. </w:t>
      </w:r>
      <w:r w:rsidRPr="00A60BA5">
        <w:rPr>
          <w:rFonts w:asciiTheme="minorHAnsi" w:hAnsiTheme="minorHAnsi" w:cstheme="minorHAnsi"/>
          <w:b/>
          <w:color w:val="auto"/>
        </w:rPr>
        <w:t>29</w:t>
      </w:r>
      <w:r w:rsidRPr="00F76890">
        <w:rPr>
          <w:rFonts w:asciiTheme="minorHAnsi" w:hAnsiTheme="minorHAnsi" w:cstheme="minorHAnsi"/>
          <w:bCs/>
          <w:color w:val="auto"/>
        </w:rPr>
        <w:t xml:space="preserve"> (2), 117–127 (2018).</w:t>
      </w:r>
    </w:p>
    <w:p w14:paraId="75F57BA7" w14:textId="0058F25D"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40.</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Pellissari</w:t>
      </w:r>
      <w:proofErr w:type="spellEnd"/>
      <w:r w:rsidRPr="00F76890">
        <w:rPr>
          <w:rFonts w:asciiTheme="minorHAnsi" w:hAnsiTheme="minorHAnsi" w:cstheme="minorHAnsi"/>
          <w:bCs/>
          <w:color w:val="auto"/>
        </w:rPr>
        <w:t xml:space="preserve">, C.V.G. et al. In Vitro Toxic Effect of Biomaterials Coated with Silver Tungstate or Silver Molybdate Microcrystals. </w:t>
      </w:r>
      <w:r w:rsidRPr="00C44FA0">
        <w:rPr>
          <w:rFonts w:asciiTheme="minorHAnsi" w:hAnsiTheme="minorHAnsi" w:cstheme="minorHAnsi"/>
          <w:bCs/>
          <w:i/>
          <w:iCs/>
          <w:color w:val="auto"/>
        </w:rPr>
        <w:t>Journal of Nanomaterials</w:t>
      </w:r>
      <w:r w:rsidRPr="00F76890">
        <w:rPr>
          <w:rFonts w:asciiTheme="minorHAnsi" w:hAnsiTheme="minorHAnsi" w:cstheme="minorHAnsi"/>
          <w:bCs/>
          <w:color w:val="auto"/>
        </w:rPr>
        <w:t xml:space="preserve">. </w:t>
      </w:r>
      <w:r w:rsidRPr="00A60BA5">
        <w:rPr>
          <w:rFonts w:asciiTheme="minorHAnsi" w:hAnsiTheme="minorHAnsi" w:cstheme="minorHAnsi"/>
          <w:b/>
          <w:color w:val="auto"/>
        </w:rPr>
        <w:t>2020</w:t>
      </w:r>
      <w:r w:rsidRPr="00F76890">
        <w:rPr>
          <w:rFonts w:asciiTheme="minorHAnsi" w:hAnsiTheme="minorHAnsi" w:cstheme="minorHAnsi"/>
          <w:bCs/>
          <w:color w:val="auto"/>
        </w:rPr>
        <w:t>, 1–9 (2020).</w:t>
      </w:r>
    </w:p>
    <w:p w14:paraId="6595B3FF" w14:textId="03D43D60" w:rsidR="006B1B14" w:rsidRPr="00F76890" w:rsidRDefault="006B1B14" w:rsidP="00F012D5">
      <w:pPr>
        <w:contextualSpacing/>
        <w:rPr>
          <w:rFonts w:asciiTheme="minorHAnsi" w:hAnsiTheme="minorHAnsi" w:cstheme="minorHAnsi"/>
          <w:bCs/>
          <w:color w:val="auto"/>
          <w:lang w:val="pt-PT"/>
        </w:rPr>
      </w:pPr>
      <w:r w:rsidRPr="00F76890">
        <w:rPr>
          <w:rFonts w:asciiTheme="minorHAnsi" w:hAnsiTheme="minorHAnsi" w:cstheme="minorHAnsi"/>
          <w:bCs/>
          <w:color w:val="auto"/>
        </w:rPr>
        <w:t>41.</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Collado</w:t>
      </w:r>
      <w:proofErr w:type="spellEnd"/>
      <w:r w:rsidRPr="00F76890">
        <w:rPr>
          <w:rFonts w:asciiTheme="minorHAnsi" w:hAnsiTheme="minorHAnsi" w:cstheme="minorHAnsi"/>
          <w:bCs/>
          <w:color w:val="auto"/>
        </w:rPr>
        <w:t xml:space="preserve">-González, M. et al. Cytotoxicity and bioactivity of various pulpotomy materials on stem cells from human exfoliated primary teeth. </w:t>
      </w:r>
      <w:r w:rsidRPr="00C44FA0">
        <w:rPr>
          <w:rFonts w:asciiTheme="minorHAnsi" w:hAnsiTheme="minorHAnsi" w:cstheme="minorHAnsi"/>
          <w:bCs/>
          <w:i/>
          <w:iCs/>
          <w:color w:val="auto"/>
        </w:rPr>
        <w:t>International Endodontic Journal</w:t>
      </w:r>
      <w:r w:rsidRPr="00F76890">
        <w:rPr>
          <w:rFonts w:asciiTheme="minorHAnsi" w:hAnsiTheme="minorHAnsi" w:cstheme="minorHAnsi"/>
          <w:bCs/>
          <w:color w:val="auto"/>
          <w:lang w:val="pt-PT"/>
        </w:rPr>
        <w:t xml:space="preserve">. </w:t>
      </w:r>
      <w:r w:rsidRPr="00A60BA5">
        <w:rPr>
          <w:rFonts w:asciiTheme="minorHAnsi" w:hAnsiTheme="minorHAnsi" w:cstheme="minorHAnsi"/>
          <w:b/>
          <w:color w:val="auto"/>
        </w:rPr>
        <w:t>50</w:t>
      </w:r>
      <w:r w:rsidRPr="00F76890">
        <w:rPr>
          <w:rFonts w:asciiTheme="minorHAnsi" w:hAnsiTheme="minorHAnsi" w:cstheme="minorHAnsi"/>
          <w:bCs/>
          <w:color w:val="auto"/>
          <w:lang w:val="pt-PT"/>
        </w:rPr>
        <w:t>, e19–e30 (2017).</w:t>
      </w:r>
    </w:p>
    <w:p w14:paraId="3B272111" w14:textId="4EFE6246"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lang w:val="pt-PT"/>
        </w:rPr>
        <w:t>42.</w:t>
      </w:r>
      <w:r w:rsidRPr="00F76890">
        <w:rPr>
          <w:rFonts w:asciiTheme="minorHAnsi" w:hAnsiTheme="minorHAnsi" w:cstheme="minorHAnsi"/>
          <w:bCs/>
          <w:color w:val="auto"/>
          <w:lang w:val="pt-PT"/>
        </w:rPr>
        <w:tab/>
        <w:t xml:space="preserve">Paula, A. et al. </w:t>
      </w:r>
      <w:r w:rsidRPr="00F76890">
        <w:rPr>
          <w:rFonts w:asciiTheme="minorHAnsi" w:hAnsiTheme="minorHAnsi" w:cstheme="minorHAnsi"/>
          <w:bCs/>
          <w:color w:val="auto"/>
        </w:rPr>
        <w:t xml:space="preserve">Direct Pulp Capping: Which is the Most Effective Biomaterial? A Retrospective Clinical Study. </w:t>
      </w:r>
      <w:r w:rsidRPr="00C44FA0">
        <w:rPr>
          <w:rFonts w:asciiTheme="minorHAnsi" w:hAnsiTheme="minorHAnsi" w:cstheme="minorHAnsi"/>
          <w:bCs/>
          <w:i/>
          <w:iCs/>
          <w:color w:val="auto"/>
        </w:rPr>
        <w:t>Materials</w:t>
      </w:r>
      <w:r w:rsidRPr="00F76890">
        <w:rPr>
          <w:rFonts w:asciiTheme="minorHAnsi" w:hAnsiTheme="minorHAnsi" w:cstheme="minorHAnsi"/>
          <w:bCs/>
          <w:color w:val="auto"/>
        </w:rPr>
        <w:t xml:space="preserve">. </w:t>
      </w:r>
      <w:r w:rsidRPr="00A60BA5">
        <w:rPr>
          <w:rFonts w:asciiTheme="minorHAnsi" w:hAnsiTheme="minorHAnsi" w:cstheme="minorHAnsi"/>
          <w:b/>
          <w:color w:val="auto"/>
        </w:rPr>
        <w:t>12</w:t>
      </w:r>
      <w:r w:rsidRPr="00F76890">
        <w:rPr>
          <w:rFonts w:asciiTheme="minorHAnsi" w:hAnsiTheme="minorHAnsi" w:cstheme="minorHAnsi"/>
          <w:bCs/>
          <w:color w:val="auto"/>
        </w:rPr>
        <w:t xml:space="preserve"> (20), 3382 (2019).</w:t>
      </w:r>
    </w:p>
    <w:p w14:paraId="672C6470" w14:textId="32F192FB"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43.</w:t>
      </w:r>
      <w:r w:rsidRPr="00F76890">
        <w:rPr>
          <w:rFonts w:asciiTheme="minorHAnsi" w:hAnsiTheme="minorHAnsi" w:cstheme="minorHAnsi"/>
          <w:bCs/>
          <w:color w:val="auto"/>
        </w:rPr>
        <w:tab/>
        <w:t xml:space="preserve">Williams, D.F. There is no such thing as a biocompatible material. </w:t>
      </w:r>
      <w:r w:rsidRPr="00C44FA0">
        <w:rPr>
          <w:rFonts w:asciiTheme="minorHAnsi" w:hAnsiTheme="minorHAnsi" w:cstheme="minorHAnsi"/>
          <w:bCs/>
          <w:i/>
          <w:iCs/>
          <w:color w:val="auto"/>
        </w:rPr>
        <w:t>Biomaterials</w:t>
      </w:r>
      <w:r w:rsidRPr="00F76890">
        <w:rPr>
          <w:rFonts w:asciiTheme="minorHAnsi" w:hAnsiTheme="minorHAnsi" w:cstheme="minorHAnsi"/>
          <w:bCs/>
          <w:color w:val="auto"/>
        </w:rPr>
        <w:t xml:space="preserve">. </w:t>
      </w:r>
      <w:r w:rsidRPr="00A60BA5">
        <w:rPr>
          <w:rFonts w:asciiTheme="minorHAnsi" w:hAnsiTheme="minorHAnsi" w:cstheme="minorHAnsi"/>
          <w:b/>
          <w:color w:val="auto"/>
        </w:rPr>
        <w:t>35</w:t>
      </w:r>
      <w:r w:rsidRPr="00F76890">
        <w:rPr>
          <w:rFonts w:asciiTheme="minorHAnsi" w:hAnsiTheme="minorHAnsi" w:cstheme="minorHAnsi"/>
          <w:bCs/>
          <w:color w:val="auto"/>
        </w:rPr>
        <w:t xml:space="preserve"> (38), 10009–10014 (2014).</w:t>
      </w:r>
    </w:p>
    <w:p w14:paraId="2D15FFAB" w14:textId="33CD4462"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44.</w:t>
      </w:r>
      <w:r w:rsidRPr="00F76890">
        <w:rPr>
          <w:rFonts w:asciiTheme="minorHAnsi" w:hAnsiTheme="minorHAnsi" w:cstheme="minorHAnsi"/>
          <w:bCs/>
          <w:color w:val="auto"/>
        </w:rPr>
        <w:tab/>
        <w:t xml:space="preserve">Schuh, J.C.L. Medical device regulations and testing for toxicologic pathologists. </w:t>
      </w:r>
      <w:r w:rsidRPr="00C44FA0">
        <w:rPr>
          <w:rFonts w:asciiTheme="minorHAnsi" w:hAnsiTheme="minorHAnsi" w:cstheme="minorHAnsi"/>
          <w:bCs/>
          <w:i/>
          <w:iCs/>
          <w:color w:val="auto"/>
        </w:rPr>
        <w:t xml:space="preserve">Toxicologic </w:t>
      </w:r>
      <w:r w:rsidR="003823E0">
        <w:rPr>
          <w:rFonts w:asciiTheme="minorHAnsi" w:hAnsiTheme="minorHAnsi" w:cstheme="minorHAnsi"/>
          <w:bCs/>
          <w:i/>
          <w:iCs/>
          <w:color w:val="auto"/>
        </w:rPr>
        <w:t>P</w:t>
      </w:r>
      <w:r w:rsidRPr="00C44FA0">
        <w:rPr>
          <w:rFonts w:asciiTheme="minorHAnsi" w:hAnsiTheme="minorHAnsi" w:cstheme="minorHAnsi"/>
          <w:bCs/>
          <w:i/>
          <w:iCs/>
          <w:color w:val="auto"/>
        </w:rPr>
        <w:t>athology</w:t>
      </w:r>
      <w:r w:rsidRPr="00F76890">
        <w:rPr>
          <w:rFonts w:asciiTheme="minorHAnsi" w:hAnsiTheme="minorHAnsi" w:cstheme="minorHAnsi"/>
          <w:bCs/>
          <w:color w:val="auto"/>
        </w:rPr>
        <w:t xml:space="preserve">. </w:t>
      </w:r>
      <w:r w:rsidRPr="00A60BA5">
        <w:rPr>
          <w:rFonts w:asciiTheme="minorHAnsi" w:hAnsiTheme="minorHAnsi" w:cstheme="minorHAnsi"/>
          <w:b/>
          <w:color w:val="auto"/>
        </w:rPr>
        <w:t>36</w:t>
      </w:r>
      <w:r w:rsidRPr="00F76890">
        <w:rPr>
          <w:rFonts w:asciiTheme="minorHAnsi" w:hAnsiTheme="minorHAnsi" w:cstheme="minorHAnsi"/>
          <w:bCs/>
          <w:color w:val="auto"/>
        </w:rPr>
        <w:t xml:space="preserve"> (1), 63–9 (2008).</w:t>
      </w:r>
    </w:p>
    <w:p w14:paraId="3FFE1AF0" w14:textId="43CB8D0F"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lastRenderedPageBreak/>
        <w:t>45.</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Pizzoferrato</w:t>
      </w:r>
      <w:proofErr w:type="spellEnd"/>
      <w:r w:rsidRPr="00F76890">
        <w:rPr>
          <w:rFonts w:asciiTheme="minorHAnsi" w:hAnsiTheme="minorHAnsi" w:cstheme="minorHAnsi"/>
          <w:bCs/>
          <w:color w:val="auto"/>
        </w:rPr>
        <w:t xml:space="preserve">, A. et al. Cell culture methods for testing Biocompatibility. </w:t>
      </w:r>
      <w:r w:rsidRPr="00C44FA0">
        <w:rPr>
          <w:rFonts w:asciiTheme="minorHAnsi" w:hAnsiTheme="minorHAnsi" w:cstheme="minorHAnsi"/>
          <w:bCs/>
          <w:i/>
          <w:iCs/>
          <w:color w:val="auto"/>
        </w:rPr>
        <w:t>Clinical</w:t>
      </w:r>
      <w:r w:rsidRPr="00F76890">
        <w:rPr>
          <w:rFonts w:asciiTheme="minorHAnsi" w:hAnsiTheme="minorHAnsi" w:cstheme="minorHAnsi"/>
          <w:bCs/>
          <w:color w:val="auto"/>
        </w:rPr>
        <w:t xml:space="preserve"> </w:t>
      </w:r>
      <w:r w:rsidRPr="00C44FA0">
        <w:rPr>
          <w:rFonts w:asciiTheme="minorHAnsi" w:hAnsiTheme="minorHAnsi" w:cstheme="minorHAnsi"/>
          <w:bCs/>
          <w:i/>
          <w:iCs/>
          <w:color w:val="auto"/>
        </w:rPr>
        <w:t>Materials</w:t>
      </w:r>
      <w:r w:rsidRPr="00F76890">
        <w:rPr>
          <w:rFonts w:asciiTheme="minorHAnsi" w:hAnsiTheme="minorHAnsi" w:cstheme="minorHAnsi"/>
          <w:bCs/>
          <w:color w:val="auto"/>
        </w:rPr>
        <w:t xml:space="preserve">. </w:t>
      </w:r>
      <w:r w:rsidRPr="00A60BA5">
        <w:rPr>
          <w:rFonts w:asciiTheme="minorHAnsi" w:hAnsiTheme="minorHAnsi" w:cstheme="minorHAnsi"/>
          <w:b/>
          <w:color w:val="auto"/>
        </w:rPr>
        <w:t>15</w:t>
      </w:r>
      <w:r w:rsidRPr="00F76890">
        <w:rPr>
          <w:rFonts w:asciiTheme="minorHAnsi" w:hAnsiTheme="minorHAnsi" w:cstheme="minorHAnsi"/>
          <w:bCs/>
          <w:color w:val="auto"/>
        </w:rPr>
        <w:t xml:space="preserve"> (3</w:t>
      </w:r>
      <w:r w:rsidR="003823E0">
        <w:rPr>
          <w:rFonts w:asciiTheme="minorHAnsi" w:hAnsiTheme="minorHAnsi" w:cstheme="minorHAnsi"/>
          <w:bCs/>
          <w:color w:val="auto"/>
        </w:rPr>
        <w:t>)</w:t>
      </w:r>
      <w:r w:rsidRPr="00F76890">
        <w:rPr>
          <w:rFonts w:asciiTheme="minorHAnsi" w:hAnsiTheme="minorHAnsi" w:cstheme="minorHAnsi"/>
          <w:bCs/>
          <w:color w:val="auto"/>
        </w:rPr>
        <w:t xml:space="preserve"> (1994).</w:t>
      </w:r>
    </w:p>
    <w:p w14:paraId="125C3E89" w14:textId="77777777"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46.</w:t>
      </w:r>
      <w:r w:rsidRPr="00F76890">
        <w:rPr>
          <w:rFonts w:asciiTheme="minorHAnsi" w:hAnsiTheme="minorHAnsi" w:cstheme="minorHAnsi"/>
          <w:bCs/>
          <w:color w:val="auto"/>
        </w:rPr>
        <w:tab/>
        <w:t xml:space="preserve">Pereira Paula, A.B. et al. Direct pulp capping: what is the most effective therapy? – systematic review and meta-analysis. </w:t>
      </w:r>
      <w:r w:rsidRPr="00C44FA0">
        <w:rPr>
          <w:rFonts w:asciiTheme="minorHAnsi" w:hAnsiTheme="minorHAnsi" w:cstheme="minorHAnsi"/>
          <w:bCs/>
          <w:i/>
          <w:iCs/>
          <w:color w:val="auto"/>
        </w:rPr>
        <w:t>Journal of Evidence Based Dental Practice</w:t>
      </w:r>
      <w:r w:rsidRPr="00F76890">
        <w:rPr>
          <w:rFonts w:asciiTheme="minorHAnsi" w:hAnsiTheme="minorHAnsi" w:cstheme="minorHAnsi"/>
          <w:bCs/>
          <w:color w:val="auto"/>
        </w:rPr>
        <w:t xml:space="preserve">. </w:t>
      </w:r>
      <w:proofErr w:type="spellStart"/>
      <w:r w:rsidRPr="00F76890">
        <w:rPr>
          <w:rFonts w:asciiTheme="minorHAnsi" w:hAnsiTheme="minorHAnsi" w:cstheme="minorHAnsi"/>
          <w:bCs/>
          <w:color w:val="auto"/>
        </w:rPr>
        <w:t>doi</w:t>
      </w:r>
      <w:proofErr w:type="spellEnd"/>
      <w:r w:rsidRPr="00F76890">
        <w:rPr>
          <w:rFonts w:asciiTheme="minorHAnsi" w:hAnsiTheme="minorHAnsi" w:cstheme="minorHAnsi"/>
          <w:bCs/>
          <w:color w:val="auto"/>
        </w:rPr>
        <w:t>: 10.1016/j.jebdp.2018.02.002 (2018).</w:t>
      </w:r>
    </w:p>
    <w:p w14:paraId="77D7BCF9" w14:textId="52DA9C97"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47.</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Caiaffa</w:t>
      </w:r>
      <w:proofErr w:type="spellEnd"/>
      <w:r w:rsidRPr="00F76890">
        <w:rPr>
          <w:rFonts w:asciiTheme="minorHAnsi" w:hAnsiTheme="minorHAnsi" w:cstheme="minorHAnsi"/>
          <w:bCs/>
          <w:color w:val="auto"/>
        </w:rPr>
        <w:t xml:space="preserve">, K.S. et al. Effect of analogues of cationic peptides on dentin mineralization markers in odontoblast-like cells. </w:t>
      </w:r>
      <w:r w:rsidRPr="00C44FA0">
        <w:rPr>
          <w:rFonts w:asciiTheme="minorHAnsi" w:hAnsiTheme="minorHAnsi" w:cstheme="minorHAnsi"/>
          <w:bCs/>
          <w:i/>
          <w:iCs/>
          <w:color w:val="auto"/>
        </w:rPr>
        <w:t>Archives of Oral</w:t>
      </w:r>
      <w:r w:rsidRPr="00F76890">
        <w:rPr>
          <w:rFonts w:asciiTheme="minorHAnsi" w:hAnsiTheme="minorHAnsi" w:cstheme="minorHAnsi"/>
          <w:bCs/>
          <w:color w:val="auto"/>
        </w:rPr>
        <w:t xml:space="preserve"> </w:t>
      </w:r>
      <w:r w:rsidRPr="00C44FA0">
        <w:rPr>
          <w:rFonts w:asciiTheme="minorHAnsi" w:hAnsiTheme="minorHAnsi" w:cstheme="minorHAnsi"/>
          <w:bCs/>
          <w:i/>
          <w:iCs/>
          <w:color w:val="auto"/>
        </w:rPr>
        <w:t>Biology</w:t>
      </w:r>
      <w:r w:rsidRPr="00F76890">
        <w:rPr>
          <w:rFonts w:asciiTheme="minorHAnsi" w:hAnsiTheme="minorHAnsi" w:cstheme="minorHAnsi"/>
          <w:bCs/>
          <w:color w:val="auto"/>
        </w:rPr>
        <w:t xml:space="preserve">. </w:t>
      </w:r>
      <w:r w:rsidRPr="00A60BA5">
        <w:rPr>
          <w:rFonts w:asciiTheme="minorHAnsi" w:hAnsiTheme="minorHAnsi" w:cstheme="minorHAnsi"/>
          <w:b/>
          <w:color w:val="auto"/>
        </w:rPr>
        <w:t>103</w:t>
      </w:r>
      <w:r w:rsidRPr="00F76890">
        <w:rPr>
          <w:rFonts w:asciiTheme="minorHAnsi" w:hAnsiTheme="minorHAnsi" w:cstheme="minorHAnsi"/>
          <w:bCs/>
          <w:color w:val="auto"/>
        </w:rPr>
        <w:t>, 19–25</w:t>
      </w:r>
      <w:r w:rsidR="003823E0">
        <w:rPr>
          <w:rFonts w:asciiTheme="minorHAnsi" w:hAnsiTheme="minorHAnsi" w:cstheme="minorHAnsi"/>
          <w:bCs/>
          <w:color w:val="auto"/>
        </w:rPr>
        <w:t xml:space="preserve"> </w:t>
      </w:r>
      <w:r w:rsidRPr="00F76890">
        <w:rPr>
          <w:rFonts w:asciiTheme="minorHAnsi" w:hAnsiTheme="minorHAnsi" w:cstheme="minorHAnsi"/>
          <w:bCs/>
          <w:color w:val="auto"/>
        </w:rPr>
        <w:t>(2019).</w:t>
      </w:r>
    </w:p>
    <w:p w14:paraId="2A7986EF" w14:textId="53CFC3C7" w:rsidR="006B1B14" w:rsidRPr="00F76890" w:rsidRDefault="006B1B14" w:rsidP="00F012D5">
      <w:pPr>
        <w:contextualSpacing/>
        <w:rPr>
          <w:rFonts w:asciiTheme="minorHAnsi" w:hAnsiTheme="minorHAnsi" w:cstheme="minorHAnsi"/>
          <w:bCs/>
          <w:color w:val="auto"/>
          <w:lang w:val="pt-PT"/>
        </w:rPr>
      </w:pPr>
      <w:r w:rsidRPr="00F76890">
        <w:rPr>
          <w:rFonts w:asciiTheme="minorHAnsi" w:hAnsiTheme="minorHAnsi" w:cstheme="minorHAnsi"/>
          <w:bCs/>
          <w:color w:val="auto"/>
        </w:rPr>
        <w:t>48.</w:t>
      </w:r>
      <w:r w:rsidRPr="00F76890">
        <w:rPr>
          <w:rFonts w:asciiTheme="minorHAnsi" w:hAnsiTheme="minorHAnsi" w:cstheme="minorHAnsi"/>
          <w:bCs/>
          <w:color w:val="auto"/>
        </w:rPr>
        <w:tab/>
        <w:t xml:space="preserve">Fujiwara, S., </w:t>
      </w:r>
      <w:proofErr w:type="spellStart"/>
      <w:r w:rsidRPr="00F76890">
        <w:rPr>
          <w:rFonts w:asciiTheme="minorHAnsi" w:hAnsiTheme="minorHAnsi" w:cstheme="minorHAnsi"/>
          <w:bCs/>
          <w:color w:val="auto"/>
        </w:rPr>
        <w:t>Kumabe</w:t>
      </w:r>
      <w:proofErr w:type="spellEnd"/>
      <w:r w:rsidRPr="00F76890">
        <w:rPr>
          <w:rFonts w:asciiTheme="minorHAnsi" w:hAnsiTheme="minorHAnsi" w:cstheme="minorHAnsi"/>
          <w:bCs/>
          <w:color w:val="auto"/>
        </w:rPr>
        <w:t xml:space="preserve">, S., Iwai, Y. Isolated rat dental pulp cell culture and transplantation with an alginate scaffold. </w:t>
      </w:r>
      <w:r w:rsidRPr="00C44FA0">
        <w:rPr>
          <w:rFonts w:asciiTheme="minorHAnsi" w:hAnsiTheme="minorHAnsi" w:cstheme="minorHAnsi"/>
          <w:bCs/>
          <w:i/>
          <w:iCs/>
          <w:color w:val="auto"/>
        </w:rPr>
        <w:t>Okajimas Folia Anatomica Japonica</w:t>
      </w:r>
      <w:r w:rsidRPr="00F76890">
        <w:rPr>
          <w:rFonts w:asciiTheme="minorHAnsi" w:hAnsiTheme="minorHAnsi" w:cstheme="minorHAnsi"/>
          <w:bCs/>
          <w:color w:val="auto"/>
          <w:lang w:val="pt-PT"/>
        </w:rPr>
        <w:t xml:space="preserve">. </w:t>
      </w:r>
      <w:r w:rsidRPr="00A60BA5">
        <w:rPr>
          <w:rFonts w:asciiTheme="minorHAnsi" w:hAnsiTheme="minorHAnsi" w:cstheme="minorHAnsi"/>
          <w:b/>
          <w:color w:val="auto"/>
        </w:rPr>
        <w:t>83</w:t>
      </w:r>
      <w:r w:rsidRPr="00F76890">
        <w:rPr>
          <w:rFonts w:asciiTheme="minorHAnsi" w:hAnsiTheme="minorHAnsi" w:cstheme="minorHAnsi"/>
          <w:bCs/>
          <w:color w:val="auto"/>
          <w:lang w:val="pt-PT"/>
        </w:rPr>
        <w:t xml:space="preserve"> (1), 15–24 (2006).</w:t>
      </w:r>
    </w:p>
    <w:p w14:paraId="133A36A6" w14:textId="24EAFD51"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lang w:val="pt-PT"/>
        </w:rPr>
        <w:t>49.</w:t>
      </w:r>
      <w:r w:rsidRPr="00F76890">
        <w:rPr>
          <w:rFonts w:asciiTheme="minorHAnsi" w:hAnsiTheme="minorHAnsi" w:cstheme="minorHAnsi"/>
          <w:bCs/>
          <w:color w:val="auto"/>
          <w:lang w:val="pt-PT"/>
        </w:rPr>
        <w:tab/>
        <w:t xml:space="preserve">Nakashima, M. et al. </w:t>
      </w:r>
      <w:r w:rsidRPr="00F76890">
        <w:rPr>
          <w:rFonts w:asciiTheme="minorHAnsi" w:hAnsiTheme="minorHAnsi" w:cstheme="minorHAnsi"/>
          <w:bCs/>
          <w:color w:val="auto"/>
        </w:rPr>
        <w:t xml:space="preserve">Stimulation of Reparative Dentin Formation by Ex Vivo Gene Therapy Using Dental Pulp Stem Cells </w:t>
      </w:r>
      <w:proofErr w:type="spellStart"/>
      <w:r w:rsidRPr="00F76890">
        <w:rPr>
          <w:rFonts w:asciiTheme="minorHAnsi" w:hAnsiTheme="minorHAnsi" w:cstheme="minorHAnsi"/>
          <w:bCs/>
          <w:color w:val="auto"/>
        </w:rPr>
        <w:t>Electrotransfected</w:t>
      </w:r>
      <w:proofErr w:type="spellEnd"/>
      <w:r w:rsidRPr="00F76890">
        <w:rPr>
          <w:rFonts w:asciiTheme="minorHAnsi" w:hAnsiTheme="minorHAnsi" w:cstheme="minorHAnsi"/>
          <w:bCs/>
          <w:color w:val="auto"/>
        </w:rPr>
        <w:t xml:space="preserve"> with Growth/differentiation factor 11 (Gdf11). </w:t>
      </w:r>
      <w:r w:rsidRPr="00C44FA0">
        <w:rPr>
          <w:rFonts w:asciiTheme="minorHAnsi" w:hAnsiTheme="minorHAnsi" w:cstheme="minorHAnsi"/>
          <w:bCs/>
          <w:i/>
          <w:iCs/>
          <w:color w:val="auto"/>
        </w:rPr>
        <w:t>Human Gene Therapy</w:t>
      </w:r>
      <w:r w:rsidRPr="00F76890">
        <w:rPr>
          <w:rFonts w:asciiTheme="minorHAnsi" w:hAnsiTheme="minorHAnsi" w:cstheme="minorHAnsi"/>
          <w:bCs/>
          <w:color w:val="auto"/>
        </w:rPr>
        <w:t xml:space="preserve">. </w:t>
      </w:r>
      <w:r w:rsidRPr="00A60BA5">
        <w:rPr>
          <w:rFonts w:asciiTheme="minorHAnsi" w:hAnsiTheme="minorHAnsi" w:cstheme="minorHAnsi"/>
          <w:b/>
          <w:color w:val="auto"/>
        </w:rPr>
        <w:t>15</w:t>
      </w:r>
      <w:r w:rsidRPr="00F76890">
        <w:rPr>
          <w:rFonts w:asciiTheme="minorHAnsi" w:hAnsiTheme="minorHAnsi" w:cstheme="minorHAnsi"/>
          <w:bCs/>
          <w:color w:val="auto"/>
        </w:rPr>
        <w:t xml:space="preserve"> (11), 1045–1053 (2004).</w:t>
      </w:r>
    </w:p>
    <w:p w14:paraId="3B4F3E25" w14:textId="7BBE55A6"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50.</w:t>
      </w:r>
      <w:r w:rsidRPr="00F76890">
        <w:rPr>
          <w:rFonts w:asciiTheme="minorHAnsi" w:hAnsiTheme="minorHAnsi" w:cstheme="minorHAnsi"/>
          <w:bCs/>
          <w:color w:val="auto"/>
        </w:rPr>
        <w:tab/>
        <w:t>Narayanan, K</w:t>
      </w:r>
      <w:r w:rsidR="003823E0">
        <w:rPr>
          <w:rFonts w:asciiTheme="minorHAnsi" w:hAnsiTheme="minorHAnsi" w:cstheme="minorHAnsi"/>
          <w:bCs/>
          <w:color w:val="auto"/>
        </w:rPr>
        <w:t>. et al.</w:t>
      </w:r>
      <w:r w:rsidRPr="00F76890">
        <w:rPr>
          <w:rFonts w:asciiTheme="minorHAnsi" w:hAnsiTheme="minorHAnsi" w:cstheme="minorHAnsi"/>
          <w:bCs/>
          <w:color w:val="auto"/>
        </w:rPr>
        <w:t xml:space="preserve"> Differentiation of embryonic mesenchymal cells to odontoblast-like cells by overexpression of dentin matrix protein 1. </w:t>
      </w:r>
      <w:r w:rsidRPr="00C44FA0">
        <w:rPr>
          <w:rFonts w:asciiTheme="minorHAnsi" w:hAnsiTheme="minorHAnsi" w:cstheme="minorHAnsi"/>
          <w:bCs/>
          <w:i/>
          <w:iCs/>
          <w:color w:val="auto"/>
        </w:rPr>
        <w:t>Proceedings of the National Academy of Sciences of the United States of America</w:t>
      </w:r>
      <w:r w:rsidRPr="00F76890">
        <w:rPr>
          <w:rFonts w:asciiTheme="minorHAnsi" w:hAnsiTheme="minorHAnsi" w:cstheme="minorHAnsi"/>
          <w:bCs/>
          <w:color w:val="auto"/>
        </w:rPr>
        <w:t xml:space="preserve">. </w:t>
      </w:r>
      <w:r w:rsidRPr="00A60BA5">
        <w:rPr>
          <w:rFonts w:asciiTheme="minorHAnsi" w:hAnsiTheme="minorHAnsi" w:cstheme="minorHAnsi"/>
          <w:b/>
          <w:color w:val="auto"/>
        </w:rPr>
        <w:t>98</w:t>
      </w:r>
      <w:r w:rsidRPr="00F76890">
        <w:rPr>
          <w:rFonts w:asciiTheme="minorHAnsi" w:hAnsiTheme="minorHAnsi" w:cstheme="minorHAnsi"/>
          <w:bCs/>
          <w:color w:val="auto"/>
        </w:rPr>
        <w:t xml:space="preserve"> (8), 4516–4521 (2001).</w:t>
      </w:r>
    </w:p>
    <w:p w14:paraId="6A0FE1FD" w14:textId="775908DB"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51.</w:t>
      </w:r>
      <w:r w:rsidRPr="00F76890">
        <w:rPr>
          <w:rFonts w:asciiTheme="minorHAnsi" w:hAnsiTheme="minorHAnsi" w:cstheme="minorHAnsi"/>
          <w:bCs/>
          <w:color w:val="auto"/>
        </w:rPr>
        <w:tab/>
        <w:t xml:space="preserve">Kim, H.-J., </w:t>
      </w:r>
      <w:proofErr w:type="spellStart"/>
      <w:r w:rsidRPr="00F76890">
        <w:rPr>
          <w:rFonts w:asciiTheme="minorHAnsi" w:hAnsiTheme="minorHAnsi" w:cstheme="minorHAnsi"/>
          <w:bCs/>
          <w:color w:val="auto"/>
        </w:rPr>
        <w:t>Yoo</w:t>
      </w:r>
      <w:proofErr w:type="spellEnd"/>
      <w:r w:rsidRPr="00F76890">
        <w:rPr>
          <w:rFonts w:asciiTheme="minorHAnsi" w:hAnsiTheme="minorHAnsi" w:cstheme="minorHAnsi"/>
          <w:bCs/>
          <w:color w:val="auto"/>
        </w:rPr>
        <w:t xml:space="preserve">, J.H., Choi, Y., </w:t>
      </w:r>
      <w:proofErr w:type="spellStart"/>
      <w:r w:rsidRPr="00F76890">
        <w:rPr>
          <w:rFonts w:asciiTheme="minorHAnsi" w:hAnsiTheme="minorHAnsi" w:cstheme="minorHAnsi"/>
          <w:bCs/>
          <w:color w:val="auto"/>
        </w:rPr>
        <w:t>Joo</w:t>
      </w:r>
      <w:proofErr w:type="spellEnd"/>
      <w:r w:rsidRPr="00F76890">
        <w:rPr>
          <w:rFonts w:asciiTheme="minorHAnsi" w:hAnsiTheme="minorHAnsi" w:cstheme="minorHAnsi"/>
          <w:bCs/>
          <w:color w:val="auto"/>
        </w:rPr>
        <w:t xml:space="preserve">, J.-Y., Lee, J.-Y., Kim, H.J. Assessing the effects of cyclosporine A on the </w:t>
      </w:r>
      <w:proofErr w:type="spellStart"/>
      <w:r w:rsidRPr="00F76890">
        <w:rPr>
          <w:rFonts w:asciiTheme="minorHAnsi" w:hAnsiTheme="minorHAnsi" w:cstheme="minorHAnsi"/>
          <w:bCs/>
          <w:color w:val="auto"/>
        </w:rPr>
        <w:t>osteoblastogenesis</w:t>
      </w:r>
      <w:proofErr w:type="spellEnd"/>
      <w:r w:rsidRPr="00F76890">
        <w:rPr>
          <w:rFonts w:asciiTheme="minorHAnsi" w:hAnsiTheme="minorHAnsi" w:cstheme="minorHAnsi"/>
          <w:bCs/>
          <w:color w:val="auto"/>
        </w:rPr>
        <w:t xml:space="preserve">, </w:t>
      </w:r>
      <w:proofErr w:type="spellStart"/>
      <w:r w:rsidRPr="00F76890">
        <w:rPr>
          <w:rFonts w:asciiTheme="minorHAnsi" w:hAnsiTheme="minorHAnsi" w:cstheme="minorHAnsi"/>
          <w:bCs/>
          <w:color w:val="auto"/>
        </w:rPr>
        <w:t>osteoclastogenesis</w:t>
      </w:r>
      <w:proofErr w:type="spellEnd"/>
      <w:r w:rsidRPr="00F76890">
        <w:rPr>
          <w:rFonts w:asciiTheme="minorHAnsi" w:hAnsiTheme="minorHAnsi" w:cstheme="minorHAnsi"/>
          <w:bCs/>
          <w:color w:val="auto"/>
        </w:rPr>
        <w:t xml:space="preserve">, and angiogenesis mediated by the human periodontal ligament stem cells. </w:t>
      </w:r>
      <w:r w:rsidRPr="00C44FA0">
        <w:rPr>
          <w:rFonts w:asciiTheme="minorHAnsi" w:hAnsiTheme="minorHAnsi" w:cstheme="minorHAnsi"/>
          <w:bCs/>
          <w:i/>
          <w:iCs/>
          <w:color w:val="auto"/>
        </w:rPr>
        <w:t xml:space="preserve">Journal of </w:t>
      </w:r>
      <w:r w:rsidR="003823E0">
        <w:rPr>
          <w:rFonts w:asciiTheme="minorHAnsi" w:hAnsiTheme="minorHAnsi" w:cstheme="minorHAnsi"/>
          <w:bCs/>
          <w:i/>
          <w:iCs/>
          <w:color w:val="auto"/>
        </w:rPr>
        <w:t>P</w:t>
      </w:r>
      <w:r w:rsidRPr="00C44FA0">
        <w:rPr>
          <w:rFonts w:asciiTheme="minorHAnsi" w:hAnsiTheme="minorHAnsi" w:cstheme="minorHAnsi"/>
          <w:bCs/>
          <w:i/>
          <w:iCs/>
          <w:color w:val="auto"/>
        </w:rPr>
        <w:t>eriodontology</w:t>
      </w:r>
      <w:r w:rsidRPr="00F76890">
        <w:rPr>
          <w:rFonts w:asciiTheme="minorHAnsi" w:hAnsiTheme="minorHAnsi" w:cstheme="minorHAnsi"/>
          <w:bCs/>
          <w:color w:val="auto"/>
        </w:rPr>
        <w:t xml:space="preserve">. </w:t>
      </w:r>
      <w:proofErr w:type="spellStart"/>
      <w:r w:rsidRPr="00F76890">
        <w:rPr>
          <w:rFonts w:asciiTheme="minorHAnsi" w:hAnsiTheme="minorHAnsi" w:cstheme="minorHAnsi"/>
          <w:bCs/>
          <w:color w:val="auto"/>
        </w:rPr>
        <w:t>doi</w:t>
      </w:r>
      <w:proofErr w:type="spellEnd"/>
      <w:r w:rsidRPr="00F76890">
        <w:rPr>
          <w:rFonts w:asciiTheme="minorHAnsi" w:hAnsiTheme="minorHAnsi" w:cstheme="minorHAnsi"/>
          <w:bCs/>
          <w:color w:val="auto"/>
        </w:rPr>
        <w:t>: 10.1002/JPER.19-0168 (2019).</w:t>
      </w:r>
    </w:p>
    <w:p w14:paraId="7E5D8ADC" w14:textId="35441C9B"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52.</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Bou</w:t>
      </w:r>
      <w:proofErr w:type="spellEnd"/>
      <w:r w:rsidRPr="00F76890">
        <w:rPr>
          <w:rFonts w:asciiTheme="minorHAnsi" w:hAnsiTheme="minorHAnsi" w:cstheme="minorHAnsi"/>
          <w:bCs/>
          <w:color w:val="auto"/>
        </w:rPr>
        <w:t xml:space="preserve"> Assaf, R. et al. Healing of Bone Defects in Pig’s Femur Using Mesenchymal Cells Originated from the Sinus Membrane with Different Scaffolds. </w:t>
      </w:r>
      <w:r w:rsidRPr="00C44FA0">
        <w:rPr>
          <w:rFonts w:asciiTheme="minorHAnsi" w:hAnsiTheme="minorHAnsi" w:cstheme="minorHAnsi"/>
          <w:bCs/>
          <w:i/>
          <w:iCs/>
          <w:color w:val="auto"/>
        </w:rPr>
        <w:t>Stem Cells International</w:t>
      </w:r>
      <w:r w:rsidRPr="00F76890">
        <w:rPr>
          <w:rFonts w:asciiTheme="minorHAnsi" w:hAnsiTheme="minorHAnsi" w:cstheme="minorHAnsi"/>
          <w:bCs/>
          <w:color w:val="auto"/>
        </w:rPr>
        <w:t>. 2019 (2019).</w:t>
      </w:r>
    </w:p>
    <w:p w14:paraId="65A525F6" w14:textId="0E80BBE8"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53.</w:t>
      </w:r>
      <w:r w:rsidRPr="00F76890">
        <w:rPr>
          <w:rFonts w:asciiTheme="minorHAnsi" w:hAnsiTheme="minorHAnsi" w:cstheme="minorHAnsi"/>
          <w:bCs/>
          <w:color w:val="auto"/>
        </w:rPr>
        <w:tab/>
        <w:t xml:space="preserve">He, W. et al. Lipopolysaccharide enhances </w:t>
      </w:r>
      <w:proofErr w:type="spellStart"/>
      <w:r w:rsidRPr="00F76890">
        <w:rPr>
          <w:rFonts w:asciiTheme="minorHAnsi" w:hAnsiTheme="minorHAnsi" w:cstheme="minorHAnsi"/>
          <w:bCs/>
          <w:color w:val="auto"/>
        </w:rPr>
        <w:t>decorin</w:t>
      </w:r>
      <w:proofErr w:type="spellEnd"/>
      <w:r w:rsidRPr="00F76890">
        <w:rPr>
          <w:rFonts w:asciiTheme="minorHAnsi" w:hAnsiTheme="minorHAnsi" w:cstheme="minorHAnsi"/>
          <w:bCs/>
          <w:color w:val="auto"/>
        </w:rPr>
        <w:t xml:space="preserve"> expression through the toll-like receptor 4, myeloid differentiating factor 88, nuclear factor-kappa B, and mitogen-activated protein kinase pathways in odontoblast cells. </w:t>
      </w:r>
      <w:r w:rsidRPr="00C44FA0">
        <w:rPr>
          <w:rFonts w:asciiTheme="minorHAnsi" w:hAnsiTheme="minorHAnsi" w:cstheme="minorHAnsi"/>
          <w:bCs/>
          <w:i/>
          <w:iCs/>
          <w:color w:val="auto"/>
        </w:rPr>
        <w:t>Journal of Endodontics</w:t>
      </w:r>
      <w:r w:rsidRPr="00F76890">
        <w:rPr>
          <w:rFonts w:asciiTheme="minorHAnsi" w:hAnsiTheme="minorHAnsi" w:cstheme="minorHAnsi"/>
          <w:bCs/>
          <w:color w:val="auto"/>
        </w:rPr>
        <w:t xml:space="preserve">. </w:t>
      </w:r>
      <w:r w:rsidRPr="00A60BA5">
        <w:rPr>
          <w:rFonts w:asciiTheme="minorHAnsi" w:hAnsiTheme="minorHAnsi" w:cstheme="minorHAnsi"/>
          <w:b/>
          <w:color w:val="auto"/>
        </w:rPr>
        <w:t>38</w:t>
      </w:r>
      <w:r w:rsidRPr="00F76890">
        <w:rPr>
          <w:rFonts w:asciiTheme="minorHAnsi" w:hAnsiTheme="minorHAnsi" w:cstheme="minorHAnsi"/>
          <w:bCs/>
          <w:color w:val="auto"/>
        </w:rPr>
        <w:t xml:space="preserve"> (4), 464–469 (2012).</w:t>
      </w:r>
    </w:p>
    <w:p w14:paraId="0BAE3AF1" w14:textId="4A5B1171"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54.</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Xiong</w:t>
      </w:r>
      <w:proofErr w:type="spellEnd"/>
      <w:r w:rsidRPr="00F76890">
        <w:rPr>
          <w:rFonts w:asciiTheme="minorHAnsi" w:hAnsiTheme="minorHAnsi" w:cstheme="minorHAnsi"/>
          <w:bCs/>
          <w:color w:val="auto"/>
        </w:rPr>
        <w:t xml:space="preserve">, Y. et al. </w:t>
      </w:r>
      <w:proofErr w:type="spellStart"/>
      <w:r w:rsidRPr="00F76890">
        <w:rPr>
          <w:rFonts w:asciiTheme="minorHAnsi" w:hAnsiTheme="minorHAnsi" w:cstheme="minorHAnsi"/>
          <w:bCs/>
          <w:color w:val="auto"/>
        </w:rPr>
        <w:t>Wnt</w:t>
      </w:r>
      <w:proofErr w:type="spellEnd"/>
      <w:r w:rsidRPr="00F76890">
        <w:rPr>
          <w:rFonts w:asciiTheme="minorHAnsi" w:hAnsiTheme="minorHAnsi" w:cstheme="minorHAnsi"/>
          <w:bCs/>
          <w:color w:val="auto"/>
        </w:rPr>
        <w:t xml:space="preserve"> Production in Dental Epithelium Is Crucial for Tooth Differentiation. </w:t>
      </w:r>
      <w:r w:rsidRPr="00C44FA0">
        <w:rPr>
          <w:rFonts w:asciiTheme="minorHAnsi" w:hAnsiTheme="minorHAnsi" w:cstheme="minorHAnsi"/>
          <w:bCs/>
          <w:i/>
          <w:iCs/>
          <w:color w:val="auto"/>
        </w:rPr>
        <w:t>Journal of Dental Research</w:t>
      </w:r>
      <w:r w:rsidRPr="00F76890">
        <w:rPr>
          <w:rFonts w:asciiTheme="minorHAnsi" w:hAnsiTheme="minorHAnsi" w:cstheme="minorHAnsi"/>
          <w:bCs/>
          <w:color w:val="auto"/>
        </w:rPr>
        <w:t xml:space="preserve">. </w:t>
      </w:r>
      <w:r w:rsidRPr="00A60BA5">
        <w:rPr>
          <w:rFonts w:asciiTheme="minorHAnsi" w:hAnsiTheme="minorHAnsi" w:cstheme="minorHAnsi"/>
          <w:b/>
          <w:color w:val="auto"/>
        </w:rPr>
        <w:t>98</w:t>
      </w:r>
      <w:r w:rsidRPr="00F76890">
        <w:rPr>
          <w:rFonts w:asciiTheme="minorHAnsi" w:hAnsiTheme="minorHAnsi" w:cstheme="minorHAnsi"/>
          <w:bCs/>
          <w:color w:val="auto"/>
        </w:rPr>
        <w:t xml:space="preserve"> (5), 580–588 (2019).</w:t>
      </w:r>
    </w:p>
    <w:p w14:paraId="3617EA98" w14:textId="00E0F78A"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55.</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Haruyama</w:t>
      </w:r>
      <w:proofErr w:type="spellEnd"/>
      <w:r w:rsidRPr="00F76890">
        <w:rPr>
          <w:rFonts w:asciiTheme="minorHAnsi" w:hAnsiTheme="minorHAnsi" w:cstheme="minorHAnsi"/>
          <w:bCs/>
          <w:color w:val="auto"/>
        </w:rPr>
        <w:t xml:space="preserve">, N. et al. Genetic evidence for key roles of </w:t>
      </w:r>
      <w:proofErr w:type="spellStart"/>
      <w:r w:rsidRPr="00F76890">
        <w:rPr>
          <w:rFonts w:asciiTheme="minorHAnsi" w:hAnsiTheme="minorHAnsi" w:cstheme="minorHAnsi"/>
          <w:bCs/>
          <w:color w:val="auto"/>
        </w:rPr>
        <w:t>decorin</w:t>
      </w:r>
      <w:proofErr w:type="spellEnd"/>
      <w:r w:rsidRPr="00F76890">
        <w:rPr>
          <w:rFonts w:asciiTheme="minorHAnsi" w:hAnsiTheme="minorHAnsi" w:cstheme="minorHAnsi"/>
          <w:bCs/>
          <w:color w:val="auto"/>
        </w:rPr>
        <w:t xml:space="preserve"> and </w:t>
      </w:r>
      <w:proofErr w:type="spellStart"/>
      <w:r w:rsidRPr="00F76890">
        <w:rPr>
          <w:rFonts w:asciiTheme="minorHAnsi" w:hAnsiTheme="minorHAnsi" w:cstheme="minorHAnsi"/>
          <w:bCs/>
          <w:color w:val="auto"/>
        </w:rPr>
        <w:t>biglycan</w:t>
      </w:r>
      <w:proofErr w:type="spellEnd"/>
      <w:r w:rsidRPr="00F76890">
        <w:rPr>
          <w:rFonts w:asciiTheme="minorHAnsi" w:hAnsiTheme="minorHAnsi" w:cstheme="minorHAnsi"/>
          <w:bCs/>
          <w:color w:val="auto"/>
        </w:rPr>
        <w:t xml:space="preserve"> in dentin mineralization. </w:t>
      </w:r>
      <w:r w:rsidRPr="00C44FA0">
        <w:rPr>
          <w:rFonts w:asciiTheme="minorHAnsi" w:hAnsiTheme="minorHAnsi" w:cstheme="minorHAnsi"/>
          <w:bCs/>
          <w:i/>
          <w:iCs/>
          <w:color w:val="auto"/>
        </w:rPr>
        <w:t>Matrix Biology</w:t>
      </w:r>
      <w:r w:rsidRPr="00F76890">
        <w:rPr>
          <w:rFonts w:asciiTheme="minorHAnsi" w:hAnsiTheme="minorHAnsi" w:cstheme="minorHAnsi"/>
          <w:bCs/>
          <w:color w:val="auto"/>
        </w:rPr>
        <w:t xml:space="preserve">. </w:t>
      </w:r>
      <w:r w:rsidRPr="00A60BA5">
        <w:rPr>
          <w:rFonts w:asciiTheme="minorHAnsi" w:hAnsiTheme="minorHAnsi" w:cstheme="minorHAnsi"/>
          <w:b/>
          <w:color w:val="auto"/>
        </w:rPr>
        <w:t>28</w:t>
      </w:r>
      <w:r w:rsidRPr="00F76890">
        <w:rPr>
          <w:rFonts w:asciiTheme="minorHAnsi" w:hAnsiTheme="minorHAnsi" w:cstheme="minorHAnsi"/>
          <w:bCs/>
          <w:color w:val="auto"/>
        </w:rPr>
        <w:t xml:space="preserve"> (3), 129–136 (2009).</w:t>
      </w:r>
    </w:p>
    <w:p w14:paraId="4E8FA827" w14:textId="63533660"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56.</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Sreenath</w:t>
      </w:r>
      <w:proofErr w:type="spellEnd"/>
      <w:r w:rsidRPr="00F76890">
        <w:rPr>
          <w:rFonts w:asciiTheme="minorHAnsi" w:hAnsiTheme="minorHAnsi" w:cstheme="minorHAnsi"/>
          <w:bCs/>
          <w:color w:val="auto"/>
        </w:rPr>
        <w:t xml:space="preserve">, T. et al. Dentin </w:t>
      </w:r>
      <w:proofErr w:type="spellStart"/>
      <w:r w:rsidRPr="00F76890">
        <w:rPr>
          <w:rFonts w:asciiTheme="minorHAnsi" w:hAnsiTheme="minorHAnsi" w:cstheme="minorHAnsi"/>
          <w:bCs/>
          <w:color w:val="auto"/>
        </w:rPr>
        <w:t>Sialophosphoprotein</w:t>
      </w:r>
      <w:proofErr w:type="spellEnd"/>
      <w:r w:rsidRPr="00F76890">
        <w:rPr>
          <w:rFonts w:asciiTheme="minorHAnsi" w:hAnsiTheme="minorHAnsi" w:cstheme="minorHAnsi"/>
          <w:bCs/>
          <w:color w:val="auto"/>
        </w:rPr>
        <w:t xml:space="preserve"> Knockout Mouse Teeth Display Widened </w:t>
      </w:r>
      <w:proofErr w:type="spellStart"/>
      <w:r w:rsidRPr="00F76890">
        <w:rPr>
          <w:rFonts w:asciiTheme="minorHAnsi" w:hAnsiTheme="minorHAnsi" w:cstheme="minorHAnsi"/>
          <w:bCs/>
          <w:color w:val="auto"/>
        </w:rPr>
        <w:t>Predentin</w:t>
      </w:r>
      <w:proofErr w:type="spellEnd"/>
      <w:r w:rsidRPr="00F76890">
        <w:rPr>
          <w:rFonts w:asciiTheme="minorHAnsi" w:hAnsiTheme="minorHAnsi" w:cstheme="minorHAnsi"/>
          <w:bCs/>
          <w:color w:val="auto"/>
        </w:rPr>
        <w:t xml:space="preserve"> Zone and Develop Defective Dentin Mineralization Similar to Human </w:t>
      </w:r>
      <w:proofErr w:type="spellStart"/>
      <w:r w:rsidRPr="00F76890">
        <w:rPr>
          <w:rFonts w:asciiTheme="minorHAnsi" w:hAnsiTheme="minorHAnsi" w:cstheme="minorHAnsi"/>
          <w:bCs/>
          <w:color w:val="auto"/>
        </w:rPr>
        <w:t>Dentinogenesis</w:t>
      </w:r>
      <w:proofErr w:type="spellEnd"/>
      <w:r w:rsidRPr="00F76890">
        <w:rPr>
          <w:rFonts w:asciiTheme="minorHAnsi" w:hAnsiTheme="minorHAnsi" w:cstheme="minorHAnsi"/>
          <w:bCs/>
          <w:color w:val="auto"/>
        </w:rPr>
        <w:t xml:space="preserve"> Imperfecta Type III. </w:t>
      </w:r>
      <w:r w:rsidRPr="00C44FA0">
        <w:rPr>
          <w:rFonts w:asciiTheme="minorHAnsi" w:hAnsiTheme="minorHAnsi" w:cstheme="minorHAnsi"/>
          <w:bCs/>
          <w:i/>
          <w:iCs/>
          <w:color w:val="auto"/>
        </w:rPr>
        <w:t>Journal of Biological Chemistry</w:t>
      </w:r>
      <w:r w:rsidRPr="00F76890">
        <w:rPr>
          <w:rFonts w:asciiTheme="minorHAnsi" w:hAnsiTheme="minorHAnsi" w:cstheme="minorHAnsi"/>
          <w:bCs/>
          <w:color w:val="auto"/>
        </w:rPr>
        <w:t xml:space="preserve">. </w:t>
      </w:r>
      <w:r w:rsidRPr="00A60BA5">
        <w:rPr>
          <w:rFonts w:asciiTheme="minorHAnsi" w:hAnsiTheme="minorHAnsi" w:cstheme="minorHAnsi"/>
          <w:b/>
          <w:color w:val="auto"/>
        </w:rPr>
        <w:t>278</w:t>
      </w:r>
      <w:r w:rsidRPr="00F76890">
        <w:rPr>
          <w:rFonts w:asciiTheme="minorHAnsi" w:hAnsiTheme="minorHAnsi" w:cstheme="minorHAnsi"/>
          <w:bCs/>
          <w:color w:val="auto"/>
        </w:rPr>
        <w:t xml:space="preserve"> (27), 24874–24880 (2003).</w:t>
      </w:r>
    </w:p>
    <w:p w14:paraId="7832BF53" w14:textId="57527BE1"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57.</w:t>
      </w:r>
      <w:r w:rsidRPr="00F76890">
        <w:rPr>
          <w:rFonts w:asciiTheme="minorHAnsi" w:hAnsiTheme="minorHAnsi" w:cstheme="minorHAnsi"/>
          <w:bCs/>
          <w:color w:val="auto"/>
        </w:rPr>
        <w:tab/>
        <w:t xml:space="preserve">Yang, Y., Zhao, Y., Liu, X., Chen, Y., Liu, P., Zhao, L. Effect of SOX2 on odontoblast differentiation of dental pulp stem cells. </w:t>
      </w:r>
      <w:r w:rsidRPr="00C44FA0">
        <w:rPr>
          <w:rFonts w:asciiTheme="minorHAnsi" w:hAnsiTheme="minorHAnsi" w:cstheme="minorHAnsi"/>
          <w:bCs/>
          <w:i/>
          <w:iCs/>
          <w:color w:val="auto"/>
        </w:rPr>
        <w:t>Molecular Medicine Reports</w:t>
      </w:r>
      <w:r w:rsidRPr="00F76890">
        <w:rPr>
          <w:rFonts w:asciiTheme="minorHAnsi" w:hAnsiTheme="minorHAnsi" w:cstheme="minorHAnsi"/>
          <w:bCs/>
          <w:color w:val="auto"/>
        </w:rPr>
        <w:t xml:space="preserve">. </w:t>
      </w:r>
      <w:r w:rsidRPr="00A60BA5">
        <w:rPr>
          <w:rFonts w:asciiTheme="minorHAnsi" w:hAnsiTheme="minorHAnsi" w:cstheme="minorHAnsi"/>
          <w:b/>
          <w:color w:val="auto"/>
        </w:rPr>
        <w:t>16</w:t>
      </w:r>
      <w:r w:rsidRPr="00F76890">
        <w:rPr>
          <w:rFonts w:asciiTheme="minorHAnsi" w:hAnsiTheme="minorHAnsi" w:cstheme="minorHAnsi"/>
          <w:bCs/>
          <w:color w:val="auto"/>
        </w:rPr>
        <w:t xml:space="preserve"> (6), 9659–9663 (2017).</w:t>
      </w:r>
    </w:p>
    <w:p w14:paraId="4DE2C737" w14:textId="6949365D"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58.</w:t>
      </w:r>
      <w:r w:rsidRPr="00F76890">
        <w:rPr>
          <w:rFonts w:asciiTheme="minorHAnsi" w:hAnsiTheme="minorHAnsi" w:cstheme="minorHAnsi"/>
          <w:bCs/>
          <w:color w:val="auto"/>
        </w:rPr>
        <w:tab/>
        <w:t xml:space="preserve">Tao, H. et al. Klf4 Promotes </w:t>
      </w:r>
      <w:proofErr w:type="spellStart"/>
      <w:r w:rsidRPr="00F76890">
        <w:rPr>
          <w:rFonts w:asciiTheme="minorHAnsi" w:hAnsiTheme="minorHAnsi" w:cstheme="minorHAnsi"/>
          <w:bCs/>
          <w:color w:val="auto"/>
        </w:rPr>
        <w:t>Dentinogenesis</w:t>
      </w:r>
      <w:proofErr w:type="spellEnd"/>
      <w:r w:rsidRPr="00F76890">
        <w:rPr>
          <w:rFonts w:asciiTheme="minorHAnsi" w:hAnsiTheme="minorHAnsi" w:cstheme="minorHAnsi"/>
          <w:bCs/>
          <w:color w:val="auto"/>
        </w:rPr>
        <w:t xml:space="preserve"> and Odontoblastic Differentiation via Modulation of TGF-β Signaling Pathway and Interaction </w:t>
      </w:r>
      <w:proofErr w:type="gramStart"/>
      <w:r w:rsidRPr="00F76890">
        <w:rPr>
          <w:rFonts w:asciiTheme="minorHAnsi" w:hAnsiTheme="minorHAnsi" w:cstheme="minorHAnsi"/>
          <w:bCs/>
          <w:color w:val="auto"/>
        </w:rPr>
        <w:t>With</w:t>
      </w:r>
      <w:proofErr w:type="gramEnd"/>
      <w:r w:rsidRPr="00F76890">
        <w:rPr>
          <w:rFonts w:asciiTheme="minorHAnsi" w:hAnsiTheme="minorHAnsi" w:cstheme="minorHAnsi"/>
          <w:bCs/>
          <w:color w:val="auto"/>
        </w:rPr>
        <w:t xml:space="preserve"> Histone Acetylation. </w:t>
      </w:r>
      <w:r w:rsidRPr="00C44FA0">
        <w:rPr>
          <w:rFonts w:asciiTheme="minorHAnsi" w:hAnsiTheme="minorHAnsi" w:cstheme="minorHAnsi"/>
          <w:bCs/>
          <w:i/>
          <w:iCs/>
          <w:color w:val="auto"/>
        </w:rPr>
        <w:t>Journal of Bone and Mineral Research</w:t>
      </w:r>
      <w:r w:rsidRPr="00F76890">
        <w:rPr>
          <w:rFonts w:asciiTheme="minorHAnsi" w:hAnsiTheme="minorHAnsi" w:cstheme="minorHAnsi"/>
          <w:bCs/>
          <w:color w:val="auto"/>
        </w:rPr>
        <w:t xml:space="preserve">. </w:t>
      </w:r>
      <w:r w:rsidRPr="00A60BA5">
        <w:rPr>
          <w:rFonts w:asciiTheme="minorHAnsi" w:hAnsiTheme="minorHAnsi" w:cstheme="minorHAnsi"/>
          <w:b/>
          <w:color w:val="auto"/>
        </w:rPr>
        <w:t>34</w:t>
      </w:r>
      <w:r w:rsidRPr="00F76890">
        <w:rPr>
          <w:rFonts w:asciiTheme="minorHAnsi" w:hAnsiTheme="minorHAnsi" w:cstheme="minorHAnsi"/>
          <w:bCs/>
          <w:color w:val="auto"/>
        </w:rPr>
        <w:t xml:space="preserve"> (8), 1502–1516 (2019).</w:t>
      </w:r>
    </w:p>
    <w:p w14:paraId="100170C2" w14:textId="13AD84EE"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59.</w:t>
      </w:r>
      <w:r w:rsidRPr="00F76890">
        <w:rPr>
          <w:rFonts w:asciiTheme="minorHAnsi" w:hAnsiTheme="minorHAnsi" w:cstheme="minorHAnsi"/>
          <w:bCs/>
          <w:color w:val="auto"/>
        </w:rPr>
        <w:tab/>
        <w:t xml:space="preserve">Massa, L.F., Ramachandran, A., George, A., Arana-Chavez, V.E. Developmental appearance of dentin matrix protein 1 during the early </w:t>
      </w:r>
      <w:proofErr w:type="spellStart"/>
      <w:r w:rsidRPr="00F76890">
        <w:rPr>
          <w:rFonts w:asciiTheme="minorHAnsi" w:hAnsiTheme="minorHAnsi" w:cstheme="minorHAnsi"/>
          <w:bCs/>
          <w:color w:val="auto"/>
        </w:rPr>
        <w:t>dentinogenesis</w:t>
      </w:r>
      <w:proofErr w:type="spellEnd"/>
      <w:r w:rsidRPr="00F76890">
        <w:rPr>
          <w:rFonts w:asciiTheme="minorHAnsi" w:hAnsiTheme="minorHAnsi" w:cstheme="minorHAnsi"/>
          <w:bCs/>
          <w:color w:val="auto"/>
        </w:rPr>
        <w:t xml:space="preserve"> in rat molars as identified by high-resolution immunocytochemistry. </w:t>
      </w:r>
      <w:r w:rsidRPr="00C44FA0">
        <w:rPr>
          <w:rFonts w:asciiTheme="minorHAnsi" w:hAnsiTheme="minorHAnsi" w:cstheme="minorHAnsi"/>
          <w:bCs/>
          <w:i/>
          <w:iCs/>
          <w:color w:val="auto"/>
        </w:rPr>
        <w:t>Histochemistry and Cell Biology</w:t>
      </w:r>
      <w:r w:rsidRPr="00F76890">
        <w:rPr>
          <w:rFonts w:asciiTheme="minorHAnsi" w:hAnsiTheme="minorHAnsi" w:cstheme="minorHAnsi"/>
          <w:bCs/>
          <w:color w:val="auto"/>
        </w:rPr>
        <w:t xml:space="preserve">. </w:t>
      </w:r>
      <w:r w:rsidRPr="00A60BA5">
        <w:rPr>
          <w:rFonts w:asciiTheme="minorHAnsi" w:hAnsiTheme="minorHAnsi" w:cstheme="minorHAnsi"/>
          <w:b/>
          <w:color w:val="auto"/>
        </w:rPr>
        <w:t>124</w:t>
      </w:r>
      <w:r w:rsidRPr="00F76890">
        <w:rPr>
          <w:rFonts w:asciiTheme="minorHAnsi" w:hAnsiTheme="minorHAnsi" w:cstheme="minorHAnsi"/>
          <w:bCs/>
          <w:color w:val="auto"/>
        </w:rPr>
        <w:t xml:space="preserve"> (3–4), 197–205 (2005).</w:t>
      </w:r>
    </w:p>
    <w:p w14:paraId="224F8BE9" w14:textId="5C45618F"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60.</w:t>
      </w:r>
      <w:r w:rsidRPr="00F76890">
        <w:rPr>
          <w:rFonts w:asciiTheme="minorHAnsi" w:hAnsiTheme="minorHAnsi" w:cstheme="minorHAnsi"/>
          <w:bCs/>
          <w:color w:val="auto"/>
        </w:rPr>
        <w:tab/>
        <w:t xml:space="preserve">Hao, J., Zou, B., Narayanan, K., George, A. Differential expression patterns of the </w:t>
      </w:r>
      <w:r w:rsidRPr="00F76890">
        <w:rPr>
          <w:rFonts w:asciiTheme="minorHAnsi" w:hAnsiTheme="minorHAnsi" w:cstheme="minorHAnsi"/>
          <w:bCs/>
          <w:color w:val="auto"/>
        </w:rPr>
        <w:lastRenderedPageBreak/>
        <w:t xml:space="preserve">dentin matrix proteins during mineralized tissue formation. </w:t>
      </w:r>
      <w:r w:rsidRPr="00C44FA0">
        <w:rPr>
          <w:rFonts w:asciiTheme="minorHAnsi" w:hAnsiTheme="minorHAnsi" w:cstheme="minorHAnsi"/>
          <w:bCs/>
          <w:i/>
          <w:iCs/>
          <w:color w:val="auto"/>
        </w:rPr>
        <w:t>Bone</w:t>
      </w:r>
      <w:r w:rsidRPr="00F76890">
        <w:rPr>
          <w:rFonts w:asciiTheme="minorHAnsi" w:hAnsiTheme="minorHAnsi" w:cstheme="minorHAnsi"/>
          <w:bCs/>
          <w:color w:val="auto"/>
        </w:rPr>
        <w:t xml:space="preserve">. </w:t>
      </w:r>
      <w:r w:rsidRPr="00A60BA5">
        <w:rPr>
          <w:rFonts w:asciiTheme="minorHAnsi" w:hAnsiTheme="minorHAnsi" w:cstheme="minorHAnsi"/>
          <w:b/>
          <w:color w:val="auto"/>
        </w:rPr>
        <w:t>34</w:t>
      </w:r>
      <w:r w:rsidRPr="00F76890">
        <w:rPr>
          <w:rFonts w:asciiTheme="minorHAnsi" w:hAnsiTheme="minorHAnsi" w:cstheme="minorHAnsi"/>
          <w:bCs/>
          <w:color w:val="auto"/>
        </w:rPr>
        <w:t xml:space="preserve"> (6), 921–932 (2004).</w:t>
      </w:r>
    </w:p>
    <w:p w14:paraId="60B71D6B" w14:textId="1E7581ED"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61.</w:t>
      </w:r>
      <w:r w:rsidRPr="00F76890">
        <w:rPr>
          <w:rFonts w:asciiTheme="minorHAnsi" w:hAnsiTheme="minorHAnsi" w:cstheme="minorHAnsi"/>
          <w:bCs/>
          <w:color w:val="auto"/>
        </w:rPr>
        <w:tab/>
        <w:t xml:space="preserve">Tompkins, K., </w:t>
      </w:r>
      <w:proofErr w:type="spellStart"/>
      <w:r w:rsidRPr="00F76890">
        <w:rPr>
          <w:rFonts w:asciiTheme="minorHAnsi" w:hAnsiTheme="minorHAnsi" w:cstheme="minorHAnsi"/>
          <w:bCs/>
          <w:color w:val="auto"/>
        </w:rPr>
        <w:t>Alvares</w:t>
      </w:r>
      <w:proofErr w:type="spellEnd"/>
      <w:r w:rsidRPr="00F76890">
        <w:rPr>
          <w:rFonts w:asciiTheme="minorHAnsi" w:hAnsiTheme="minorHAnsi" w:cstheme="minorHAnsi"/>
          <w:bCs/>
          <w:color w:val="auto"/>
        </w:rPr>
        <w:t xml:space="preserve">, K., George, A., Veis, A. Two related low molecular mass polypeptide isoforms of </w:t>
      </w:r>
      <w:proofErr w:type="spellStart"/>
      <w:r w:rsidRPr="00F76890">
        <w:rPr>
          <w:rFonts w:asciiTheme="minorHAnsi" w:hAnsiTheme="minorHAnsi" w:cstheme="minorHAnsi"/>
          <w:bCs/>
          <w:color w:val="auto"/>
        </w:rPr>
        <w:t>amelogenin</w:t>
      </w:r>
      <w:proofErr w:type="spellEnd"/>
      <w:r w:rsidRPr="00F76890">
        <w:rPr>
          <w:rFonts w:asciiTheme="minorHAnsi" w:hAnsiTheme="minorHAnsi" w:cstheme="minorHAnsi"/>
          <w:bCs/>
          <w:color w:val="auto"/>
        </w:rPr>
        <w:t xml:space="preserve"> have distinct activities in mouse tooth germ differentiation in vitro. </w:t>
      </w:r>
      <w:r w:rsidRPr="00C44FA0">
        <w:rPr>
          <w:rFonts w:asciiTheme="minorHAnsi" w:hAnsiTheme="minorHAnsi" w:cstheme="minorHAnsi"/>
          <w:bCs/>
          <w:i/>
          <w:iCs/>
          <w:color w:val="auto"/>
        </w:rPr>
        <w:t>Journal of Bone and Mineral Research</w:t>
      </w:r>
      <w:r w:rsidRPr="00F76890">
        <w:rPr>
          <w:rFonts w:asciiTheme="minorHAnsi" w:hAnsiTheme="minorHAnsi" w:cstheme="minorHAnsi"/>
          <w:bCs/>
          <w:color w:val="auto"/>
        </w:rPr>
        <w:t xml:space="preserve">. </w:t>
      </w:r>
      <w:r w:rsidRPr="00A60BA5">
        <w:rPr>
          <w:rFonts w:asciiTheme="minorHAnsi" w:hAnsiTheme="minorHAnsi" w:cstheme="minorHAnsi"/>
          <w:b/>
          <w:color w:val="auto"/>
        </w:rPr>
        <w:t>20</w:t>
      </w:r>
      <w:r w:rsidRPr="00F76890">
        <w:rPr>
          <w:rFonts w:asciiTheme="minorHAnsi" w:hAnsiTheme="minorHAnsi" w:cstheme="minorHAnsi"/>
          <w:bCs/>
          <w:color w:val="auto"/>
        </w:rPr>
        <w:t xml:space="preserve"> (2), 341–349 (2005).</w:t>
      </w:r>
    </w:p>
    <w:p w14:paraId="6BF07F6A" w14:textId="56F7DA67"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62.</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Zhai</w:t>
      </w:r>
      <w:proofErr w:type="spellEnd"/>
      <w:r w:rsidRPr="00F76890">
        <w:rPr>
          <w:rFonts w:asciiTheme="minorHAnsi" w:hAnsiTheme="minorHAnsi" w:cstheme="minorHAnsi"/>
          <w:bCs/>
          <w:color w:val="auto"/>
        </w:rPr>
        <w:t xml:space="preserve">, Y. et al. Activation and Biological Properties of Human β Defensin 4 in Stem Cells Derived </w:t>
      </w:r>
      <w:proofErr w:type="gramStart"/>
      <w:r w:rsidRPr="00F76890">
        <w:rPr>
          <w:rFonts w:asciiTheme="minorHAnsi" w:hAnsiTheme="minorHAnsi" w:cstheme="minorHAnsi"/>
          <w:bCs/>
          <w:color w:val="auto"/>
        </w:rPr>
        <w:t>From</w:t>
      </w:r>
      <w:proofErr w:type="gramEnd"/>
      <w:r w:rsidRPr="00F76890">
        <w:rPr>
          <w:rFonts w:asciiTheme="minorHAnsi" w:hAnsiTheme="minorHAnsi" w:cstheme="minorHAnsi"/>
          <w:bCs/>
          <w:color w:val="auto"/>
        </w:rPr>
        <w:t xml:space="preserve"> Human Exfoliated Deciduous Teeth. </w:t>
      </w:r>
      <w:r w:rsidRPr="00C44FA0">
        <w:rPr>
          <w:rFonts w:asciiTheme="minorHAnsi" w:hAnsiTheme="minorHAnsi" w:cstheme="minorHAnsi"/>
          <w:bCs/>
          <w:i/>
          <w:iCs/>
          <w:color w:val="auto"/>
        </w:rPr>
        <w:t>Frontiers in Physiology</w:t>
      </w:r>
      <w:r w:rsidRPr="00F76890">
        <w:rPr>
          <w:rFonts w:asciiTheme="minorHAnsi" w:hAnsiTheme="minorHAnsi" w:cstheme="minorHAnsi"/>
          <w:bCs/>
          <w:color w:val="auto"/>
        </w:rPr>
        <w:t xml:space="preserve">. </w:t>
      </w:r>
      <w:r w:rsidRPr="00A60BA5">
        <w:rPr>
          <w:rFonts w:asciiTheme="minorHAnsi" w:hAnsiTheme="minorHAnsi" w:cstheme="minorHAnsi"/>
          <w:b/>
          <w:color w:val="auto"/>
        </w:rPr>
        <w:t>10</w:t>
      </w:r>
      <w:r w:rsidRPr="00F76890">
        <w:rPr>
          <w:rFonts w:asciiTheme="minorHAnsi" w:hAnsiTheme="minorHAnsi" w:cstheme="minorHAnsi"/>
          <w:bCs/>
          <w:color w:val="auto"/>
        </w:rPr>
        <w:t xml:space="preserve"> (2019).</w:t>
      </w:r>
    </w:p>
    <w:p w14:paraId="0454F4C8" w14:textId="7B82FCE6"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63.</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Bègue-Kirn</w:t>
      </w:r>
      <w:proofErr w:type="spellEnd"/>
      <w:r w:rsidRPr="00F76890">
        <w:rPr>
          <w:rFonts w:asciiTheme="minorHAnsi" w:hAnsiTheme="minorHAnsi" w:cstheme="minorHAnsi"/>
          <w:bCs/>
          <w:color w:val="auto"/>
        </w:rPr>
        <w:t xml:space="preserve">, C., Ruch, J.-V., </w:t>
      </w:r>
      <w:proofErr w:type="spellStart"/>
      <w:r w:rsidRPr="00F76890">
        <w:rPr>
          <w:rFonts w:asciiTheme="minorHAnsi" w:hAnsiTheme="minorHAnsi" w:cstheme="minorHAnsi"/>
          <w:bCs/>
          <w:color w:val="auto"/>
        </w:rPr>
        <w:t>Ridall</w:t>
      </w:r>
      <w:proofErr w:type="spellEnd"/>
      <w:r w:rsidRPr="00F76890">
        <w:rPr>
          <w:rFonts w:asciiTheme="minorHAnsi" w:hAnsiTheme="minorHAnsi" w:cstheme="minorHAnsi"/>
          <w:bCs/>
          <w:color w:val="auto"/>
        </w:rPr>
        <w:t xml:space="preserve">, A.L., Butler, W.T. Comparative analysis of mouse DSP and DPP expression in odontoblasts, </w:t>
      </w:r>
      <w:proofErr w:type="spellStart"/>
      <w:r w:rsidRPr="00F76890">
        <w:rPr>
          <w:rFonts w:asciiTheme="minorHAnsi" w:hAnsiTheme="minorHAnsi" w:cstheme="minorHAnsi"/>
          <w:bCs/>
          <w:color w:val="auto"/>
        </w:rPr>
        <w:t>preameloblasts</w:t>
      </w:r>
      <w:proofErr w:type="spellEnd"/>
      <w:r w:rsidRPr="00F76890">
        <w:rPr>
          <w:rFonts w:asciiTheme="minorHAnsi" w:hAnsiTheme="minorHAnsi" w:cstheme="minorHAnsi"/>
          <w:bCs/>
          <w:color w:val="auto"/>
        </w:rPr>
        <w:t xml:space="preserve">, and experimentally induced odontoblast-like cells. </w:t>
      </w:r>
      <w:r w:rsidRPr="00C44FA0">
        <w:rPr>
          <w:rFonts w:asciiTheme="minorHAnsi" w:hAnsiTheme="minorHAnsi" w:cstheme="minorHAnsi"/>
          <w:bCs/>
          <w:i/>
          <w:iCs/>
          <w:color w:val="auto"/>
        </w:rPr>
        <w:t>European Journal of Oral Sciences</w:t>
      </w:r>
      <w:r w:rsidRPr="00F76890">
        <w:rPr>
          <w:rFonts w:asciiTheme="minorHAnsi" w:hAnsiTheme="minorHAnsi" w:cstheme="minorHAnsi"/>
          <w:bCs/>
          <w:color w:val="auto"/>
        </w:rPr>
        <w:t xml:space="preserve">. </w:t>
      </w:r>
      <w:r w:rsidRPr="00A60BA5">
        <w:rPr>
          <w:rFonts w:asciiTheme="minorHAnsi" w:hAnsiTheme="minorHAnsi" w:cstheme="minorHAnsi"/>
          <w:b/>
          <w:color w:val="auto"/>
        </w:rPr>
        <w:t>106</w:t>
      </w:r>
      <w:r w:rsidRPr="00F76890">
        <w:rPr>
          <w:rFonts w:asciiTheme="minorHAnsi" w:hAnsiTheme="minorHAnsi" w:cstheme="minorHAnsi"/>
          <w:bCs/>
          <w:color w:val="auto"/>
        </w:rPr>
        <w:t xml:space="preserve"> (S1), 254–259 (1998).</w:t>
      </w:r>
    </w:p>
    <w:p w14:paraId="4A3F4617" w14:textId="26947513"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64.</w:t>
      </w:r>
      <w:r w:rsidRPr="00F76890">
        <w:rPr>
          <w:rFonts w:asciiTheme="minorHAnsi" w:hAnsiTheme="minorHAnsi" w:cstheme="minorHAnsi"/>
          <w:bCs/>
          <w:color w:val="auto"/>
        </w:rPr>
        <w:tab/>
        <w:t xml:space="preserve">Kikuchi, H., Suzuki, K., Sakai, N., Yamada, S. Odontoblasts induced from mesenchymal cells of murine dental papillae in three-dimensional cell culture. </w:t>
      </w:r>
      <w:r w:rsidRPr="00C44FA0">
        <w:rPr>
          <w:rFonts w:asciiTheme="minorHAnsi" w:hAnsiTheme="minorHAnsi" w:cstheme="minorHAnsi"/>
          <w:bCs/>
          <w:i/>
          <w:iCs/>
          <w:color w:val="auto"/>
        </w:rPr>
        <w:t>Cell and Tissue Research</w:t>
      </w:r>
      <w:r w:rsidRPr="00F76890">
        <w:rPr>
          <w:rFonts w:asciiTheme="minorHAnsi" w:hAnsiTheme="minorHAnsi" w:cstheme="minorHAnsi"/>
          <w:bCs/>
          <w:color w:val="auto"/>
        </w:rPr>
        <w:t xml:space="preserve">. </w:t>
      </w:r>
      <w:r w:rsidRPr="00A60BA5">
        <w:rPr>
          <w:rFonts w:asciiTheme="minorHAnsi" w:hAnsiTheme="minorHAnsi" w:cstheme="minorHAnsi"/>
          <w:b/>
          <w:color w:val="auto"/>
        </w:rPr>
        <w:t>317</w:t>
      </w:r>
      <w:r w:rsidRPr="00F76890">
        <w:rPr>
          <w:rFonts w:asciiTheme="minorHAnsi" w:hAnsiTheme="minorHAnsi" w:cstheme="minorHAnsi"/>
          <w:bCs/>
          <w:color w:val="auto"/>
        </w:rPr>
        <w:t xml:space="preserve"> (2), 173–185 (2004).</w:t>
      </w:r>
    </w:p>
    <w:p w14:paraId="7870CB5A" w14:textId="469438E0"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65.</w:t>
      </w:r>
      <w:r w:rsidRPr="00F76890">
        <w:rPr>
          <w:rFonts w:asciiTheme="minorHAnsi" w:hAnsiTheme="minorHAnsi" w:cstheme="minorHAnsi"/>
          <w:bCs/>
          <w:color w:val="auto"/>
        </w:rPr>
        <w:tab/>
        <w:t xml:space="preserve">Li, X., Yang, G., Fan, M. Effects of homeobox gene distal-less 3 on proliferation and odontoblastic differentiation of human dental pulp cells. </w:t>
      </w:r>
      <w:r w:rsidRPr="00C44FA0">
        <w:rPr>
          <w:rFonts w:asciiTheme="minorHAnsi" w:hAnsiTheme="minorHAnsi" w:cstheme="minorHAnsi"/>
          <w:bCs/>
          <w:i/>
          <w:iCs/>
          <w:color w:val="auto"/>
        </w:rPr>
        <w:t xml:space="preserve">Journal of </w:t>
      </w:r>
      <w:r w:rsidR="003823E0">
        <w:rPr>
          <w:rFonts w:asciiTheme="minorHAnsi" w:hAnsiTheme="minorHAnsi" w:cstheme="minorHAnsi"/>
          <w:bCs/>
          <w:i/>
          <w:iCs/>
          <w:color w:val="auto"/>
        </w:rPr>
        <w:t>E</w:t>
      </w:r>
      <w:r w:rsidRPr="00C44FA0">
        <w:rPr>
          <w:rFonts w:asciiTheme="minorHAnsi" w:hAnsiTheme="minorHAnsi" w:cstheme="minorHAnsi"/>
          <w:bCs/>
          <w:i/>
          <w:iCs/>
          <w:color w:val="auto"/>
        </w:rPr>
        <w:t>ndodontics</w:t>
      </w:r>
      <w:r w:rsidRPr="00F76890">
        <w:rPr>
          <w:rFonts w:asciiTheme="minorHAnsi" w:hAnsiTheme="minorHAnsi" w:cstheme="minorHAnsi"/>
          <w:bCs/>
          <w:color w:val="auto"/>
        </w:rPr>
        <w:t xml:space="preserve">. </w:t>
      </w:r>
      <w:r w:rsidRPr="00A60BA5">
        <w:rPr>
          <w:rFonts w:asciiTheme="minorHAnsi" w:hAnsiTheme="minorHAnsi" w:cstheme="minorHAnsi"/>
          <w:b/>
          <w:color w:val="auto"/>
        </w:rPr>
        <w:t>38</w:t>
      </w:r>
      <w:r w:rsidRPr="00F76890">
        <w:rPr>
          <w:rFonts w:asciiTheme="minorHAnsi" w:hAnsiTheme="minorHAnsi" w:cstheme="minorHAnsi"/>
          <w:bCs/>
          <w:color w:val="auto"/>
        </w:rPr>
        <w:t xml:space="preserve"> (11), 1504–10 (2012).</w:t>
      </w:r>
    </w:p>
    <w:p w14:paraId="1A362439" w14:textId="18D8DDCD"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66.</w:t>
      </w:r>
      <w:r w:rsidRPr="00F76890">
        <w:rPr>
          <w:rFonts w:asciiTheme="minorHAnsi" w:hAnsiTheme="minorHAnsi" w:cstheme="minorHAnsi"/>
          <w:bCs/>
          <w:color w:val="auto"/>
        </w:rPr>
        <w:tab/>
        <w:t xml:space="preserve">Chen, S. et al. Differential regulation of dentin </w:t>
      </w:r>
      <w:proofErr w:type="spellStart"/>
      <w:r w:rsidRPr="00F76890">
        <w:rPr>
          <w:rFonts w:asciiTheme="minorHAnsi" w:hAnsiTheme="minorHAnsi" w:cstheme="minorHAnsi"/>
          <w:bCs/>
          <w:color w:val="auto"/>
        </w:rPr>
        <w:t>sialophosphoprotein</w:t>
      </w:r>
      <w:proofErr w:type="spellEnd"/>
      <w:r w:rsidRPr="00F76890">
        <w:rPr>
          <w:rFonts w:asciiTheme="minorHAnsi" w:hAnsiTheme="minorHAnsi" w:cstheme="minorHAnsi"/>
          <w:bCs/>
          <w:color w:val="auto"/>
        </w:rPr>
        <w:t xml:space="preserve"> expression by Runx2 during odontoblast cytodifferentiation. </w:t>
      </w:r>
      <w:r w:rsidRPr="00C44FA0">
        <w:rPr>
          <w:rFonts w:asciiTheme="minorHAnsi" w:hAnsiTheme="minorHAnsi" w:cstheme="minorHAnsi"/>
          <w:bCs/>
          <w:i/>
          <w:iCs/>
          <w:color w:val="auto"/>
        </w:rPr>
        <w:t>Journal of Biological Chemistry</w:t>
      </w:r>
      <w:r w:rsidRPr="00F76890">
        <w:rPr>
          <w:rFonts w:asciiTheme="minorHAnsi" w:hAnsiTheme="minorHAnsi" w:cstheme="minorHAnsi"/>
          <w:bCs/>
          <w:color w:val="auto"/>
        </w:rPr>
        <w:t xml:space="preserve">. </w:t>
      </w:r>
      <w:r w:rsidRPr="00A60BA5">
        <w:rPr>
          <w:rFonts w:asciiTheme="minorHAnsi" w:hAnsiTheme="minorHAnsi" w:cstheme="minorHAnsi"/>
          <w:b/>
          <w:color w:val="auto"/>
        </w:rPr>
        <w:t>280</w:t>
      </w:r>
      <w:r w:rsidRPr="00F76890">
        <w:rPr>
          <w:rFonts w:asciiTheme="minorHAnsi" w:hAnsiTheme="minorHAnsi" w:cstheme="minorHAnsi"/>
          <w:bCs/>
          <w:color w:val="auto"/>
        </w:rPr>
        <w:t xml:space="preserve"> (33), 29717–29727 (2005).</w:t>
      </w:r>
    </w:p>
    <w:p w14:paraId="2A18612C" w14:textId="02BA8FF1"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67.</w:t>
      </w:r>
      <w:r w:rsidRPr="00F76890">
        <w:rPr>
          <w:rFonts w:asciiTheme="minorHAnsi" w:hAnsiTheme="minorHAnsi" w:cstheme="minorHAnsi"/>
          <w:bCs/>
          <w:color w:val="auto"/>
        </w:rPr>
        <w:tab/>
        <w:t xml:space="preserve">Narayanan, K., </w:t>
      </w:r>
      <w:proofErr w:type="spellStart"/>
      <w:r w:rsidRPr="00F76890">
        <w:rPr>
          <w:rFonts w:asciiTheme="minorHAnsi" w:hAnsiTheme="minorHAnsi" w:cstheme="minorHAnsi"/>
          <w:bCs/>
          <w:color w:val="auto"/>
        </w:rPr>
        <w:t>Gajjeraman</w:t>
      </w:r>
      <w:proofErr w:type="spellEnd"/>
      <w:r w:rsidRPr="00F76890">
        <w:rPr>
          <w:rFonts w:asciiTheme="minorHAnsi" w:hAnsiTheme="minorHAnsi" w:cstheme="minorHAnsi"/>
          <w:bCs/>
          <w:color w:val="auto"/>
        </w:rPr>
        <w:t xml:space="preserve">, S., Ramachandran, A., Hao, J., George, A. Dentin matrix protein 1 regulates dentin </w:t>
      </w:r>
      <w:proofErr w:type="spellStart"/>
      <w:r w:rsidRPr="00F76890">
        <w:rPr>
          <w:rFonts w:asciiTheme="minorHAnsi" w:hAnsiTheme="minorHAnsi" w:cstheme="minorHAnsi"/>
          <w:bCs/>
          <w:color w:val="auto"/>
        </w:rPr>
        <w:t>sialophosphoprotein</w:t>
      </w:r>
      <w:proofErr w:type="spellEnd"/>
      <w:r w:rsidRPr="00F76890">
        <w:rPr>
          <w:rFonts w:asciiTheme="minorHAnsi" w:hAnsiTheme="minorHAnsi" w:cstheme="minorHAnsi"/>
          <w:bCs/>
          <w:color w:val="auto"/>
        </w:rPr>
        <w:t xml:space="preserve"> gene transcription during early odontoblast differentiation. </w:t>
      </w:r>
      <w:r w:rsidRPr="00C44FA0">
        <w:rPr>
          <w:rFonts w:asciiTheme="minorHAnsi" w:hAnsiTheme="minorHAnsi" w:cstheme="minorHAnsi"/>
          <w:bCs/>
          <w:i/>
          <w:iCs/>
          <w:color w:val="auto"/>
        </w:rPr>
        <w:t>Journal of Biological Chemistry</w:t>
      </w:r>
      <w:r w:rsidRPr="00F76890">
        <w:rPr>
          <w:rFonts w:asciiTheme="minorHAnsi" w:hAnsiTheme="minorHAnsi" w:cstheme="minorHAnsi"/>
          <w:bCs/>
          <w:color w:val="auto"/>
        </w:rPr>
        <w:t xml:space="preserve">. </w:t>
      </w:r>
      <w:r w:rsidRPr="00A60BA5">
        <w:rPr>
          <w:rFonts w:asciiTheme="minorHAnsi" w:hAnsiTheme="minorHAnsi" w:cstheme="minorHAnsi"/>
          <w:b/>
          <w:color w:val="auto"/>
        </w:rPr>
        <w:t>281</w:t>
      </w:r>
      <w:r w:rsidRPr="00F76890">
        <w:rPr>
          <w:rFonts w:asciiTheme="minorHAnsi" w:hAnsiTheme="minorHAnsi" w:cstheme="minorHAnsi"/>
          <w:bCs/>
          <w:color w:val="auto"/>
        </w:rPr>
        <w:t xml:space="preserve"> (28), 19064–19071 (2006).</w:t>
      </w:r>
    </w:p>
    <w:p w14:paraId="04548CE3" w14:textId="24EB545D"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68.</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Buchaille</w:t>
      </w:r>
      <w:proofErr w:type="spellEnd"/>
      <w:r w:rsidRPr="00F76890">
        <w:rPr>
          <w:rFonts w:asciiTheme="minorHAnsi" w:hAnsiTheme="minorHAnsi" w:cstheme="minorHAnsi"/>
          <w:bCs/>
          <w:color w:val="auto"/>
        </w:rPr>
        <w:t xml:space="preserve">, R., </w:t>
      </w:r>
      <w:proofErr w:type="spellStart"/>
      <w:r w:rsidRPr="00F76890">
        <w:rPr>
          <w:rFonts w:asciiTheme="minorHAnsi" w:hAnsiTheme="minorHAnsi" w:cstheme="minorHAnsi"/>
          <w:bCs/>
          <w:color w:val="auto"/>
        </w:rPr>
        <w:t>Couble</w:t>
      </w:r>
      <w:proofErr w:type="spellEnd"/>
      <w:r w:rsidRPr="00F76890">
        <w:rPr>
          <w:rFonts w:asciiTheme="minorHAnsi" w:hAnsiTheme="minorHAnsi" w:cstheme="minorHAnsi"/>
          <w:bCs/>
          <w:color w:val="auto"/>
        </w:rPr>
        <w:t xml:space="preserve">, M.L., Magloire, H., </w:t>
      </w:r>
      <w:proofErr w:type="spellStart"/>
      <w:r w:rsidRPr="00F76890">
        <w:rPr>
          <w:rFonts w:asciiTheme="minorHAnsi" w:hAnsiTheme="minorHAnsi" w:cstheme="minorHAnsi"/>
          <w:bCs/>
          <w:color w:val="auto"/>
        </w:rPr>
        <w:t>Bleicher</w:t>
      </w:r>
      <w:proofErr w:type="spellEnd"/>
      <w:r w:rsidRPr="00F76890">
        <w:rPr>
          <w:rFonts w:asciiTheme="minorHAnsi" w:hAnsiTheme="minorHAnsi" w:cstheme="minorHAnsi"/>
          <w:bCs/>
          <w:color w:val="auto"/>
        </w:rPr>
        <w:t xml:space="preserve">, F. A </w:t>
      </w:r>
      <w:proofErr w:type="spellStart"/>
      <w:r w:rsidRPr="00F76890">
        <w:rPr>
          <w:rFonts w:asciiTheme="minorHAnsi" w:hAnsiTheme="minorHAnsi" w:cstheme="minorHAnsi"/>
          <w:bCs/>
          <w:color w:val="auto"/>
        </w:rPr>
        <w:t>substractive</w:t>
      </w:r>
      <w:proofErr w:type="spellEnd"/>
      <w:r w:rsidRPr="00F76890">
        <w:rPr>
          <w:rFonts w:asciiTheme="minorHAnsi" w:hAnsiTheme="minorHAnsi" w:cstheme="minorHAnsi"/>
          <w:bCs/>
          <w:color w:val="auto"/>
        </w:rPr>
        <w:t xml:space="preserve"> PCR-based cDNA library from human odontoblast cells: identification of novel genes expressed in tooth forming cells. </w:t>
      </w:r>
      <w:r w:rsidRPr="00C44FA0">
        <w:rPr>
          <w:rFonts w:asciiTheme="minorHAnsi" w:hAnsiTheme="minorHAnsi" w:cstheme="minorHAnsi"/>
          <w:bCs/>
          <w:i/>
          <w:iCs/>
          <w:color w:val="auto"/>
        </w:rPr>
        <w:t xml:space="preserve">Matrix </w:t>
      </w:r>
      <w:r w:rsidR="003823E0">
        <w:rPr>
          <w:rFonts w:asciiTheme="minorHAnsi" w:hAnsiTheme="minorHAnsi" w:cstheme="minorHAnsi"/>
          <w:bCs/>
          <w:i/>
          <w:iCs/>
          <w:color w:val="auto"/>
        </w:rPr>
        <w:t>B</w:t>
      </w:r>
      <w:r w:rsidRPr="00C44FA0">
        <w:rPr>
          <w:rFonts w:asciiTheme="minorHAnsi" w:hAnsiTheme="minorHAnsi" w:cstheme="minorHAnsi"/>
          <w:bCs/>
          <w:i/>
          <w:iCs/>
          <w:color w:val="auto"/>
        </w:rPr>
        <w:t>iology</w:t>
      </w:r>
      <w:r w:rsidRPr="00F76890">
        <w:rPr>
          <w:rFonts w:asciiTheme="minorHAnsi" w:hAnsiTheme="minorHAnsi" w:cstheme="minorHAnsi"/>
          <w:bCs/>
          <w:color w:val="auto"/>
        </w:rPr>
        <w:t xml:space="preserve">. </w:t>
      </w:r>
      <w:r w:rsidRPr="003823E0">
        <w:rPr>
          <w:rFonts w:asciiTheme="minorHAnsi" w:hAnsiTheme="minorHAnsi" w:cstheme="minorHAnsi"/>
          <w:b/>
          <w:color w:val="auto"/>
        </w:rPr>
        <w:t>19</w:t>
      </w:r>
      <w:r w:rsidRPr="00F76890">
        <w:rPr>
          <w:rFonts w:asciiTheme="minorHAnsi" w:hAnsiTheme="minorHAnsi" w:cstheme="minorHAnsi"/>
          <w:bCs/>
          <w:color w:val="auto"/>
        </w:rPr>
        <w:t xml:space="preserve"> (5), 421–30 (2000).</w:t>
      </w:r>
    </w:p>
    <w:p w14:paraId="3AAD80E9" w14:textId="7FFD10DA"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69.</w:t>
      </w:r>
      <w:r w:rsidRPr="00F76890">
        <w:rPr>
          <w:rFonts w:asciiTheme="minorHAnsi" w:hAnsiTheme="minorHAnsi" w:cstheme="minorHAnsi"/>
          <w:bCs/>
          <w:color w:val="auto"/>
        </w:rPr>
        <w:tab/>
        <w:t xml:space="preserve">Miyazaki, T., T Baba, T., Mori, M., Komori, T. </w:t>
      </w:r>
      <w:proofErr w:type="spellStart"/>
      <w:r w:rsidRPr="00F76890">
        <w:rPr>
          <w:rFonts w:asciiTheme="minorHAnsi" w:hAnsiTheme="minorHAnsi" w:cstheme="minorHAnsi"/>
          <w:bCs/>
          <w:color w:val="auto"/>
        </w:rPr>
        <w:t>Collapsin</w:t>
      </w:r>
      <w:proofErr w:type="spellEnd"/>
      <w:r w:rsidRPr="00F76890">
        <w:rPr>
          <w:rFonts w:asciiTheme="minorHAnsi" w:hAnsiTheme="minorHAnsi" w:cstheme="minorHAnsi"/>
          <w:bCs/>
          <w:color w:val="auto"/>
        </w:rPr>
        <w:t xml:space="preserve"> Response Mediator Protein 1, a Novel Marker Protein for Differentiated Odontoblasts. </w:t>
      </w:r>
      <w:r w:rsidRPr="00C44FA0">
        <w:rPr>
          <w:rFonts w:asciiTheme="minorHAnsi" w:hAnsiTheme="minorHAnsi" w:cstheme="minorHAnsi"/>
          <w:bCs/>
          <w:i/>
          <w:iCs/>
          <w:color w:val="auto"/>
        </w:rPr>
        <w:t xml:space="preserve">Acta </w:t>
      </w:r>
      <w:proofErr w:type="spellStart"/>
      <w:r w:rsidR="003823E0">
        <w:rPr>
          <w:rFonts w:asciiTheme="minorHAnsi" w:hAnsiTheme="minorHAnsi" w:cstheme="minorHAnsi"/>
          <w:bCs/>
          <w:i/>
          <w:iCs/>
          <w:color w:val="auto"/>
        </w:rPr>
        <w:t>H</w:t>
      </w:r>
      <w:r w:rsidRPr="00C44FA0">
        <w:rPr>
          <w:rFonts w:asciiTheme="minorHAnsi" w:hAnsiTheme="minorHAnsi" w:cstheme="minorHAnsi"/>
          <w:bCs/>
          <w:i/>
          <w:iCs/>
          <w:color w:val="auto"/>
        </w:rPr>
        <w:t>istochemica</w:t>
      </w:r>
      <w:proofErr w:type="spellEnd"/>
      <w:r w:rsidRPr="00C44FA0">
        <w:rPr>
          <w:rFonts w:asciiTheme="minorHAnsi" w:hAnsiTheme="minorHAnsi" w:cstheme="minorHAnsi"/>
          <w:bCs/>
          <w:i/>
          <w:iCs/>
          <w:color w:val="auto"/>
        </w:rPr>
        <w:t xml:space="preserve"> et </w:t>
      </w:r>
      <w:proofErr w:type="spellStart"/>
      <w:r w:rsidR="003823E0">
        <w:rPr>
          <w:rFonts w:asciiTheme="minorHAnsi" w:hAnsiTheme="minorHAnsi" w:cstheme="minorHAnsi"/>
          <w:bCs/>
          <w:i/>
          <w:iCs/>
          <w:color w:val="auto"/>
        </w:rPr>
        <w:t>C</w:t>
      </w:r>
      <w:r w:rsidRPr="00C44FA0">
        <w:rPr>
          <w:rFonts w:asciiTheme="minorHAnsi" w:hAnsiTheme="minorHAnsi" w:cstheme="minorHAnsi"/>
          <w:bCs/>
          <w:i/>
          <w:iCs/>
          <w:color w:val="auto"/>
        </w:rPr>
        <w:t>ytochemica</w:t>
      </w:r>
      <w:proofErr w:type="spellEnd"/>
      <w:r w:rsidRPr="00F76890">
        <w:rPr>
          <w:rFonts w:asciiTheme="minorHAnsi" w:hAnsiTheme="minorHAnsi" w:cstheme="minorHAnsi"/>
          <w:bCs/>
          <w:color w:val="auto"/>
        </w:rPr>
        <w:t xml:space="preserve">. </w:t>
      </w:r>
      <w:r w:rsidRPr="00A60BA5">
        <w:rPr>
          <w:rFonts w:asciiTheme="minorHAnsi" w:hAnsiTheme="minorHAnsi" w:cstheme="minorHAnsi"/>
          <w:b/>
          <w:color w:val="auto"/>
        </w:rPr>
        <w:t>51</w:t>
      </w:r>
      <w:r w:rsidRPr="00F76890">
        <w:rPr>
          <w:rFonts w:asciiTheme="minorHAnsi" w:hAnsiTheme="minorHAnsi" w:cstheme="minorHAnsi"/>
          <w:bCs/>
          <w:color w:val="auto"/>
        </w:rPr>
        <w:t xml:space="preserve"> (6), 185–190 (2018).</w:t>
      </w:r>
    </w:p>
    <w:p w14:paraId="2D373713" w14:textId="1991B7AF"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70.</w:t>
      </w:r>
      <w:r w:rsidRPr="00F76890">
        <w:rPr>
          <w:rFonts w:asciiTheme="minorHAnsi" w:hAnsiTheme="minorHAnsi" w:cstheme="minorHAnsi"/>
          <w:bCs/>
          <w:color w:val="auto"/>
        </w:rPr>
        <w:tab/>
        <w:t xml:space="preserve">Yokoi, M., </w:t>
      </w:r>
      <w:proofErr w:type="spellStart"/>
      <w:r w:rsidRPr="00F76890">
        <w:rPr>
          <w:rFonts w:asciiTheme="minorHAnsi" w:hAnsiTheme="minorHAnsi" w:cstheme="minorHAnsi"/>
          <w:bCs/>
          <w:color w:val="auto"/>
        </w:rPr>
        <w:t>Kuremoto</w:t>
      </w:r>
      <w:proofErr w:type="spellEnd"/>
      <w:r w:rsidRPr="00F76890">
        <w:rPr>
          <w:rFonts w:asciiTheme="minorHAnsi" w:hAnsiTheme="minorHAnsi" w:cstheme="minorHAnsi"/>
          <w:bCs/>
          <w:color w:val="auto"/>
        </w:rPr>
        <w:t xml:space="preserve">, K. </w:t>
      </w:r>
      <w:proofErr w:type="spellStart"/>
      <w:r w:rsidRPr="00F76890">
        <w:rPr>
          <w:rFonts w:asciiTheme="minorHAnsi" w:hAnsiTheme="minorHAnsi" w:cstheme="minorHAnsi"/>
          <w:bCs/>
          <w:color w:val="auto"/>
        </w:rPr>
        <w:t>ichi</w:t>
      </w:r>
      <w:proofErr w:type="spellEnd"/>
      <w:r w:rsidRPr="00F76890">
        <w:rPr>
          <w:rFonts w:asciiTheme="minorHAnsi" w:hAnsiTheme="minorHAnsi" w:cstheme="minorHAnsi"/>
          <w:bCs/>
          <w:color w:val="auto"/>
        </w:rPr>
        <w:t xml:space="preserve">, Okada, S., Sasaki, M., Tsuga, K. Effect of attenuation of fibroblast growth factor receptor 2b signaling on odontoblast differentiation and dentin formation. </w:t>
      </w:r>
      <w:r w:rsidRPr="00C44FA0">
        <w:rPr>
          <w:rFonts w:asciiTheme="minorHAnsi" w:hAnsiTheme="minorHAnsi" w:cstheme="minorHAnsi"/>
          <w:bCs/>
          <w:i/>
          <w:iCs/>
          <w:color w:val="auto"/>
        </w:rPr>
        <w:t>In Vitro Cellular and Developmental Biology - Animal</w:t>
      </w:r>
      <w:r w:rsidRPr="00F76890">
        <w:rPr>
          <w:rFonts w:asciiTheme="minorHAnsi" w:hAnsiTheme="minorHAnsi" w:cstheme="minorHAnsi"/>
          <w:bCs/>
          <w:color w:val="auto"/>
        </w:rPr>
        <w:t xml:space="preserve">. </w:t>
      </w:r>
      <w:r w:rsidRPr="00A60BA5">
        <w:rPr>
          <w:rFonts w:asciiTheme="minorHAnsi" w:hAnsiTheme="minorHAnsi" w:cstheme="minorHAnsi"/>
          <w:b/>
          <w:color w:val="auto"/>
        </w:rPr>
        <w:t>55</w:t>
      </w:r>
      <w:r w:rsidRPr="00F76890">
        <w:rPr>
          <w:rFonts w:asciiTheme="minorHAnsi" w:hAnsiTheme="minorHAnsi" w:cstheme="minorHAnsi"/>
          <w:bCs/>
          <w:color w:val="auto"/>
        </w:rPr>
        <w:t xml:space="preserve"> (3), 211–219 (2019).</w:t>
      </w:r>
    </w:p>
    <w:p w14:paraId="3A4891DE" w14:textId="77777777"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71.</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Tohma</w:t>
      </w:r>
      <w:proofErr w:type="spellEnd"/>
      <w:r w:rsidRPr="00F76890">
        <w:rPr>
          <w:rFonts w:asciiTheme="minorHAnsi" w:hAnsiTheme="minorHAnsi" w:cstheme="minorHAnsi"/>
          <w:bCs/>
          <w:color w:val="auto"/>
        </w:rPr>
        <w:t xml:space="preserve">, A. et al. Glucose Transporter 2 and 4 Are Involved in Glucose Supply during Pulpal Wound Healing after Pulpotomy with Mineral Trioxide Aggregate in Rat Molars. </w:t>
      </w:r>
      <w:r w:rsidRPr="00C44FA0">
        <w:rPr>
          <w:rFonts w:asciiTheme="minorHAnsi" w:hAnsiTheme="minorHAnsi" w:cstheme="minorHAnsi"/>
          <w:bCs/>
          <w:i/>
          <w:iCs/>
          <w:color w:val="auto"/>
        </w:rPr>
        <w:t>Journal of Endodontics</w:t>
      </w:r>
      <w:r w:rsidRPr="00F76890">
        <w:rPr>
          <w:rFonts w:asciiTheme="minorHAnsi" w:hAnsiTheme="minorHAnsi" w:cstheme="minorHAnsi"/>
          <w:bCs/>
          <w:color w:val="auto"/>
        </w:rPr>
        <w:t xml:space="preserve">. </w:t>
      </w:r>
      <w:proofErr w:type="spellStart"/>
      <w:r w:rsidRPr="00F76890">
        <w:rPr>
          <w:rFonts w:asciiTheme="minorHAnsi" w:hAnsiTheme="minorHAnsi" w:cstheme="minorHAnsi"/>
          <w:bCs/>
          <w:color w:val="auto"/>
        </w:rPr>
        <w:t>doi</w:t>
      </w:r>
      <w:proofErr w:type="spellEnd"/>
      <w:r w:rsidRPr="00F76890">
        <w:rPr>
          <w:rFonts w:asciiTheme="minorHAnsi" w:hAnsiTheme="minorHAnsi" w:cstheme="minorHAnsi"/>
          <w:bCs/>
          <w:color w:val="auto"/>
        </w:rPr>
        <w:t>: 10.1016/j.joen.2019.10.003 (2019).</w:t>
      </w:r>
    </w:p>
    <w:p w14:paraId="0D10D3CF" w14:textId="39F3A481"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72.</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Sueyama</w:t>
      </w:r>
      <w:proofErr w:type="spellEnd"/>
      <w:r w:rsidRPr="00F76890">
        <w:rPr>
          <w:rFonts w:asciiTheme="minorHAnsi" w:hAnsiTheme="minorHAnsi" w:cstheme="minorHAnsi"/>
          <w:bCs/>
          <w:color w:val="auto"/>
        </w:rPr>
        <w:t xml:space="preserve">, Y., Kaneko, T., Ito, T., Kaneko, R., </w:t>
      </w:r>
      <w:proofErr w:type="spellStart"/>
      <w:r w:rsidRPr="00F76890">
        <w:rPr>
          <w:rFonts w:asciiTheme="minorHAnsi" w:hAnsiTheme="minorHAnsi" w:cstheme="minorHAnsi"/>
          <w:bCs/>
          <w:color w:val="auto"/>
        </w:rPr>
        <w:t>Okiji</w:t>
      </w:r>
      <w:proofErr w:type="spellEnd"/>
      <w:r w:rsidRPr="00F76890">
        <w:rPr>
          <w:rFonts w:asciiTheme="minorHAnsi" w:hAnsiTheme="minorHAnsi" w:cstheme="minorHAnsi"/>
          <w:bCs/>
          <w:color w:val="auto"/>
        </w:rPr>
        <w:t xml:space="preserve">, T. Implantation of Endothelial Cells with Mesenchymal Stem Cells Accelerates Dental Pulp Tissue Regeneration/Healing in </w:t>
      </w:r>
      <w:proofErr w:type="spellStart"/>
      <w:r w:rsidRPr="00F76890">
        <w:rPr>
          <w:rFonts w:asciiTheme="minorHAnsi" w:hAnsiTheme="minorHAnsi" w:cstheme="minorHAnsi"/>
          <w:bCs/>
          <w:color w:val="auto"/>
        </w:rPr>
        <w:t>Pulpotomized</w:t>
      </w:r>
      <w:proofErr w:type="spellEnd"/>
      <w:r w:rsidRPr="00F76890">
        <w:rPr>
          <w:rFonts w:asciiTheme="minorHAnsi" w:hAnsiTheme="minorHAnsi" w:cstheme="minorHAnsi"/>
          <w:bCs/>
          <w:color w:val="auto"/>
        </w:rPr>
        <w:t xml:space="preserve"> Rat Molars. </w:t>
      </w:r>
      <w:r w:rsidRPr="00C44FA0">
        <w:rPr>
          <w:rFonts w:asciiTheme="minorHAnsi" w:hAnsiTheme="minorHAnsi" w:cstheme="minorHAnsi"/>
          <w:bCs/>
          <w:i/>
          <w:iCs/>
          <w:color w:val="auto"/>
        </w:rPr>
        <w:t>Journal of Endodontics</w:t>
      </w:r>
      <w:r w:rsidRPr="00F76890">
        <w:rPr>
          <w:rFonts w:asciiTheme="minorHAnsi" w:hAnsiTheme="minorHAnsi" w:cstheme="minorHAnsi"/>
          <w:bCs/>
          <w:color w:val="auto"/>
        </w:rPr>
        <w:t xml:space="preserve">. </w:t>
      </w:r>
      <w:r w:rsidRPr="00A60BA5">
        <w:rPr>
          <w:rFonts w:asciiTheme="minorHAnsi" w:hAnsiTheme="minorHAnsi" w:cstheme="minorHAnsi"/>
          <w:b/>
          <w:color w:val="auto"/>
        </w:rPr>
        <w:t>43</w:t>
      </w:r>
      <w:r w:rsidRPr="00F76890">
        <w:rPr>
          <w:rFonts w:asciiTheme="minorHAnsi" w:hAnsiTheme="minorHAnsi" w:cstheme="minorHAnsi"/>
          <w:bCs/>
          <w:color w:val="auto"/>
        </w:rPr>
        <w:t xml:space="preserve"> (6), 943–948 (2017).</w:t>
      </w:r>
    </w:p>
    <w:p w14:paraId="599A5DBA" w14:textId="2FBF5C98"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73.</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Petersson</w:t>
      </w:r>
      <w:proofErr w:type="spellEnd"/>
      <w:r w:rsidRPr="00F76890">
        <w:rPr>
          <w:rFonts w:asciiTheme="minorHAnsi" w:hAnsiTheme="minorHAnsi" w:cstheme="minorHAnsi"/>
          <w:bCs/>
          <w:color w:val="auto"/>
        </w:rPr>
        <w:t xml:space="preserve">, U., </w:t>
      </w:r>
      <w:proofErr w:type="spellStart"/>
      <w:r w:rsidRPr="00F76890">
        <w:rPr>
          <w:rFonts w:asciiTheme="minorHAnsi" w:hAnsiTheme="minorHAnsi" w:cstheme="minorHAnsi"/>
          <w:bCs/>
          <w:color w:val="auto"/>
        </w:rPr>
        <w:t>Hultenby</w:t>
      </w:r>
      <w:proofErr w:type="spellEnd"/>
      <w:r w:rsidRPr="00F76890">
        <w:rPr>
          <w:rFonts w:asciiTheme="minorHAnsi" w:hAnsiTheme="minorHAnsi" w:cstheme="minorHAnsi"/>
          <w:bCs/>
          <w:color w:val="auto"/>
        </w:rPr>
        <w:t xml:space="preserve">, K., Wendel, M. Identification, </w:t>
      </w:r>
      <w:proofErr w:type="gramStart"/>
      <w:r w:rsidRPr="00F76890">
        <w:rPr>
          <w:rFonts w:asciiTheme="minorHAnsi" w:hAnsiTheme="minorHAnsi" w:cstheme="minorHAnsi"/>
          <w:bCs/>
          <w:color w:val="auto"/>
        </w:rPr>
        <w:t>distribution</w:t>
      </w:r>
      <w:proofErr w:type="gramEnd"/>
      <w:r w:rsidRPr="00F76890">
        <w:rPr>
          <w:rFonts w:asciiTheme="minorHAnsi" w:hAnsiTheme="minorHAnsi" w:cstheme="minorHAnsi"/>
          <w:bCs/>
          <w:color w:val="auto"/>
        </w:rPr>
        <w:t xml:space="preserve"> and expression of osteoadherin during tooth formation. </w:t>
      </w:r>
      <w:r w:rsidRPr="00C44FA0">
        <w:rPr>
          <w:rFonts w:asciiTheme="minorHAnsi" w:hAnsiTheme="minorHAnsi" w:cstheme="minorHAnsi"/>
          <w:bCs/>
          <w:i/>
          <w:iCs/>
          <w:color w:val="auto"/>
        </w:rPr>
        <w:t>European Journal of Oral Sciences</w:t>
      </w:r>
      <w:r w:rsidRPr="00F76890">
        <w:rPr>
          <w:rFonts w:asciiTheme="minorHAnsi" w:hAnsiTheme="minorHAnsi" w:cstheme="minorHAnsi"/>
          <w:bCs/>
          <w:color w:val="auto"/>
        </w:rPr>
        <w:t xml:space="preserve">. </w:t>
      </w:r>
      <w:r w:rsidRPr="00A60BA5">
        <w:rPr>
          <w:rFonts w:asciiTheme="minorHAnsi" w:hAnsiTheme="minorHAnsi" w:cstheme="minorHAnsi"/>
          <w:b/>
          <w:color w:val="auto"/>
        </w:rPr>
        <w:t>111</w:t>
      </w:r>
      <w:r w:rsidRPr="00F76890">
        <w:rPr>
          <w:rFonts w:asciiTheme="minorHAnsi" w:hAnsiTheme="minorHAnsi" w:cstheme="minorHAnsi"/>
          <w:bCs/>
          <w:color w:val="auto"/>
        </w:rPr>
        <w:t xml:space="preserve"> (2), 128–136 (2003).</w:t>
      </w:r>
    </w:p>
    <w:p w14:paraId="120A84E3" w14:textId="3FFE6B8F"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74.</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Couble</w:t>
      </w:r>
      <w:proofErr w:type="spellEnd"/>
      <w:r w:rsidRPr="00F76890">
        <w:rPr>
          <w:rFonts w:asciiTheme="minorHAnsi" w:hAnsiTheme="minorHAnsi" w:cstheme="minorHAnsi"/>
          <w:bCs/>
          <w:color w:val="auto"/>
        </w:rPr>
        <w:t xml:space="preserve">, M.L. et al. Immunodetection of osteoadherin in murine tooth extracellular matrices. </w:t>
      </w:r>
      <w:r w:rsidRPr="00C44FA0">
        <w:rPr>
          <w:rFonts w:asciiTheme="minorHAnsi" w:hAnsiTheme="minorHAnsi" w:cstheme="minorHAnsi"/>
          <w:bCs/>
          <w:i/>
          <w:iCs/>
          <w:color w:val="auto"/>
        </w:rPr>
        <w:t>Histochemistry and Cell Biology</w:t>
      </w:r>
      <w:r w:rsidRPr="00F76890">
        <w:rPr>
          <w:rFonts w:asciiTheme="minorHAnsi" w:hAnsiTheme="minorHAnsi" w:cstheme="minorHAnsi"/>
          <w:bCs/>
          <w:color w:val="auto"/>
        </w:rPr>
        <w:t xml:space="preserve">. </w:t>
      </w:r>
      <w:r w:rsidRPr="00A60BA5">
        <w:rPr>
          <w:rFonts w:asciiTheme="minorHAnsi" w:hAnsiTheme="minorHAnsi" w:cstheme="minorHAnsi"/>
          <w:b/>
          <w:color w:val="auto"/>
        </w:rPr>
        <w:t>121</w:t>
      </w:r>
      <w:r w:rsidRPr="00F76890">
        <w:rPr>
          <w:rFonts w:asciiTheme="minorHAnsi" w:hAnsiTheme="minorHAnsi" w:cstheme="minorHAnsi"/>
          <w:bCs/>
          <w:color w:val="auto"/>
        </w:rPr>
        <w:t xml:space="preserve"> (1), 47–53 (2004).</w:t>
      </w:r>
    </w:p>
    <w:p w14:paraId="3898A38D" w14:textId="6BFB46B6"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lastRenderedPageBreak/>
        <w:t>75.</w:t>
      </w:r>
      <w:r w:rsidRPr="00F76890">
        <w:rPr>
          <w:rFonts w:asciiTheme="minorHAnsi" w:hAnsiTheme="minorHAnsi" w:cstheme="minorHAnsi"/>
          <w:bCs/>
          <w:color w:val="auto"/>
        </w:rPr>
        <w:tab/>
      </w:r>
      <w:proofErr w:type="spellStart"/>
      <w:r w:rsidRPr="00F76890">
        <w:rPr>
          <w:rFonts w:asciiTheme="minorHAnsi" w:hAnsiTheme="minorHAnsi" w:cstheme="minorHAnsi"/>
          <w:bCs/>
          <w:color w:val="auto"/>
        </w:rPr>
        <w:t>Buchaille</w:t>
      </w:r>
      <w:proofErr w:type="spellEnd"/>
      <w:r w:rsidRPr="00F76890">
        <w:rPr>
          <w:rFonts w:asciiTheme="minorHAnsi" w:hAnsiTheme="minorHAnsi" w:cstheme="minorHAnsi"/>
          <w:bCs/>
          <w:color w:val="auto"/>
        </w:rPr>
        <w:t xml:space="preserve">, R., </w:t>
      </w:r>
      <w:proofErr w:type="spellStart"/>
      <w:r w:rsidRPr="00F76890">
        <w:rPr>
          <w:rFonts w:asciiTheme="minorHAnsi" w:hAnsiTheme="minorHAnsi" w:cstheme="minorHAnsi"/>
          <w:bCs/>
          <w:color w:val="auto"/>
        </w:rPr>
        <w:t>Couble</w:t>
      </w:r>
      <w:proofErr w:type="spellEnd"/>
      <w:r w:rsidRPr="00F76890">
        <w:rPr>
          <w:rFonts w:asciiTheme="minorHAnsi" w:hAnsiTheme="minorHAnsi" w:cstheme="minorHAnsi"/>
          <w:bCs/>
          <w:color w:val="auto"/>
        </w:rPr>
        <w:t xml:space="preserve">, M.L., Magloire, H., </w:t>
      </w:r>
      <w:proofErr w:type="spellStart"/>
      <w:r w:rsidRPr="00F76890">
        <w:rPr>
          <w:rFonts w:asciiTheme="minorHAnsi" w:hAnsiTheme="minorHAnsi" w:cstheme="minorHAnsi"/>
          <w:bCs/>
          <w:color w:val="auto"/>
        </w:rPr>
        <w:t>Bleicher</w:t>
      </w:r>
      <w:proofErr w:type="spellEnd"/>
      <w:r w:rsidRPr="00F76890">
        <w:rPr>
          <w:rFonts w:asciiTheme="minorHAnsi" w:hAnsiTheme="minorHAnsi" w:cstheme="minorHAnsi"/>
          <w:bCs/>
          <w:color w:val="auto"/>
        </w:rPr>
        <w:t>, F. Expression of the small leucine-rich proteoglycan osteoadherin/</w:t>
      </w:r>
      <w:proofErr w:type="spellStart"/>
      <w:r w:rsidRPr="00F76890">
        <w:rPr>
          <w:rFonts w:asciiTheme="minorHAnsi" w:hAnsiTheme="minorHAnsi" w:cstheme="minorHAnsi"/>
          <w:bCs/>
          <w:color w:val="auto"/>
        </w:rPr>
        <w:t>osteomodulin</w:t>
      </w:r>
      <w:proofErr w:type="spellEnd"/>
      <w:r w:rsidRPr="00F76890">
        <w:rPr>
          <w:rFonts w:asciiTheme="minorHAnsi" w:hAnsiTheme="minorHAnsi" w:cstheme="minorHAnsi"/>
          <w:bCs/>
          <w:color w:val="auto"/>
        </w:rPr>
        <w:t xml:space="preserve"> in human dental pulp and developing rat teeth. </w:t>
      </w:r>
      <w:r w:rsidRPr="00C44FA0">
        <w:rPr>
          <w:rFonts w:asciiTheme="minorHAnsi" w:hAnsiTheme="minorHAnsi" w:cstheme="minorHAnsi"/>
          <w:bCs/>
          <w:i/>
          <w:iCs/>
          <w:color w:val="auto"/>
        </w:rPr>
        <w:t>Bone</w:t>
      </w:r>
      <w:r w:rsidRPr="00F76890">
        <w:rPr>
          <w:rFonts w:asciiTheme="minorHAnsi" w:hAnsiTheme="minorHAnsi" w:cstheme="minorHAnsi"/>
          <w:bCs/>
          <w:color w:val="auto"/>
        </w:rPr>
        <w:t xml:space="preserve">. </w:t>
      </w:r>
      <w:r w:rsidRPr="00A60BA5">
        <w:rPr>
          <w:rFonts w:asciiTheme="minorHAnsi" w:hAnsiTheme="minorHAnsi" w:cstheme="minorHAnsi"/>
          <w:b/>
          <w:color w:val="auto"/>
        </w:rPr>
        <w:t>27</w:t>
      </w:r>
      <w:r w:rsidRPr="00F76890">
        <w:rPr>
          <w:rFonts w:asciiTheme="minorHAnsi" w:hAnsiTheme="minorHAnsi" w:cstheme="minorHAnsi"/>
          <w:bCs/>
          <w:color w:val="auto"/>
        </w:rPr>
        <w:t xml:space="preserve"> (2), 265–70 (2000).</w:t>
      </w:r>
    </w:p>
    <w:p w14:paraId="52C71CB5" w14:textId="3ED0F0FE"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76.</w:t>
      </w:r>
      <w:r w:rsidRPr="00F76890">
        <w:rPr>
          <w:rFonts w:asciiTheme="minorHAnsi" w:hAnsiTheme="minorHAnsi" w:cstheme="minorHAnsi"/>
          <w:bCs/>
          <w:color w:val="auto"/>
        </w:rPr>
        <w:tab/>
        <w:t xml:space="preserve">Salmon, B. et al. Abnormal </w:t>
      </w:r>
      <w:proofErr w:type="spellStart"/>
      <w:r w:rsidRPr="00F76890">
        <w:rPr>
          <w:rFonts w:asciiTheme="minorHAnsi" w:hAnsiTheme="minorHAnsi" w:cstheme="minorHAnsi"/>
          <w:bCs/>
          <w:color w:val="auto"/>
        </w:rPr>
        <w:t>osteopontin</w:t>
      </w:r>
      <w:proofErr w:type="spellEnd"/>
      <w:r w:rsidRPr="00F76890">
        <w:rPr>
          <w:rFonts w:asciiTheme="minorHAnsi" w:hAnsiTheme="minorHAnsi" w:cstheme="minorHAnsi"/>
          <w:bCs/>
          <w:color w:val="auto"/>
        </w:rPr>
        <w:t xml:space="preserve"> and matrix extracellular </w:t>
      </w:r>
      <w:proofErr w:type="spellStart"/>
      <w:r w:rsidRPr="00F76890">
        <w:rPr>
          <w:rFonts w:asciiTheme="minorHAnsi" w:hAnsiTheme="minorHAnsi" w:cstheme="minorHAnsi"/>
          <w:bCs/>
          <w:color w:val="auto"/>
        </w:rPr>
        <w:t>phosphoglycoprotein</w:t>
      </w:r>
      <w:proofErr w:type="spellEnd"/>
      <w:r w:rsidRPr="00F76890">
        <w:rPr>
          <w:rFonts w:asciiTheme="minorHAnsi" w:hAnsiTheme="minorHAnsi" w:cstheme="minorHAnsi"/>
          <w:bCs/>
          <w:color w:val="auto"/>
        </w:rPr>
        <w:t xml:space="preserve"> localization, and odontoblast differentiation, in X-linked </w:t>
      </w:r>
      <w:proofErr w:type="spellStart"/>
      <w:r w:rsidRPr="00F76890">
        <w:rPr>
          <w:rFonts w:asciiTheme="minorHAnsi" w:hAnsiTheme="minorHAnsi" w:cstheme="minorHAnsi"/>
          <w:bCs/>
          <w:color w:val="auto"/>
        </w:rPr>
        <w:t>hypophosphatemic</w:t>
      </w:r>
      <w:proofErr w:type="spellEnd"/>
      <w:r w:rsidRPr="00F76890">
        <w:rPr>
          <w:rFonts w:asciiTheme="minorHAnsi" w:hAnsiTheme="minorHAnsi" w:cstheme="minorHAnsi"/>
          <w:bCs/>
          <w:color w:val="auto"/>
        </w:rPr>
        <w:t xml:space="preserve"> teeth. </w:t>
      </w:r>
      <w:r w:rsidRPr="00C44FA0">
        <w:rPr>
          <w:rFonts w:asciiTheme="minorHAnsi" w:hAnsiTheme="minorHAnsi" w:cstheme="minorHAnsi"/>
          <w:bCs/>
          <w:i/>
          <w:iCs/>
          <w:color w:val="auto"/>
        </w:rPr>
        <w:t>Connective Tissue Research</w:t>
      </w:r>
      <w:r w:rsidRPr="00F76890">
        <w:rPr>
          <w:rFonts w:asciiTheme="minorHAnsi" w:hAnsiTheme="minorHAnsi" w:cstheme="minorHAnsi"/>
          <w:bCs/>
          <w:color w:val="auto"/>
        </w:rPr>
        <w:t xml:space="preserve">. </w:t>
      </w:r>
      <w:r w:rsidRPr="00A60BA5">
        <w:rPr>
          <w:rFonts w:asciiTheme="minorHAnsi" w:hAnsiTheme="minorHAnsi" w:cstheme="minorHAnsi"/>
          <w:b/>
          <w:color w:val="auto"/>
        </w:rPr>
        <w:t>55</w:t>
      </w:r>
      <w:r w:rsidRPr="00F76890">
        <w:rPr>
          <w:rFonts w:asciiTheme="minorHAnsi" w:hAnsiTheme="minorHAnsi" w:cstheme="minorHAnsi"/>
          <w:bCs/>
          <w:color w:val="auto"/>
        </w:rPr>
        <w:t xml:space="preserve"> (SUPPL. 1), 79–82 (2014).</w:t>
      </w:r>
    </w:p>
    <w:p w14:paraId="3BA52658" w14:textId="495AFCC6"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77.</w:t>
      </w:r>
      <w:r w:rsidRPr="00F76890">
        <w:rPr>
          <w:rFonts w:asciiTheme="minorHAnsi" w:hAnsiTheme="minorHAnsi" w:cstheme="minorHAnsi"/>
          <w:bCs/>
          <w:color w:val="auto"/>
        </w:rPr>
        <w:tab/>
        <w:t xml:space="preserve">Liao, C., </w:t>
      </w:r>
      <w:proofErr w:type="spellStart"/>
      <w:r w:rsidRPr="00F76890">
        <w:rPr>
          <w:rFonts w:asciiTheme="minorHAnsi" w:hAnsiTheme="minorHAnsi" w:cstheme="minorHAnsi"/>
          <w:bCs/>
          <w:color w:val="auto"/>
        </w:rPr>
        <w:t>Ou</w:t>
      </w:r>
      <w:proofErr w:type="spellEnd"/>
      <w:r w:rsidRPr="00F76890">
        <w:rPr>
          <w:rFonts w:asciiTheme="minorHAnsi" w:hAnsiTheme="minorHAnsi" w:cstheme="minorHAnsi"/>
          <w:bCs/>
          <w:color w:val="auto"/>
        </w:rPr>
        <w:t xml:space="preserve">, Y., Wu, Y., Zhou, Y., Liang, S., Wang, Y. Sclerostin inhibits odontogenic differentiation of human pulp-derived odontoblast-like cells under mechanical stress. </w:t>
      </w:r>
      <w:r w:rsidRPr="00C44FA0">
        <w:rPr>
          <w:rFonts w:asciiTheme="minorHAnsi" w:hAnsiTheme="minorHAnsi" w:cstheme="minorHAnsi"/>
          <w:bCs/>
          <w:i/>
          <w:iCs/>
          <w:color w:val="auto"/>
        </w:rPr>
        <w:t>Journal of Cellular Physiology</w:t>
      </w:r>
      <w:r w:rsidRPr="00F76890">
        <w:rPr>
          <w:rFonts w:asciiTheme="minorHAnsi" w:hAnsiTheme="minorHAnsi" w:cstheme="minorHAnsi"/>
          <w:bCs/>
          <w:color w:val="auto"/>
        </w:rPr>
        <w:t xml:space="preserve">. </w:t>
      </w:r>
      <w:r w:rsidRPr="00A60BA5">
        <w:rPr>
          <w:rFonts w:asciiTheme="minorHAnsi" w:hAnsiTheme="minorHAnsi" w:cstheme="minorHAnsi"/>
          <w:b/>
          <w:color w:val="auto"/>
        </w:rPr>
        <w:t>234</w:t>
      </w:r>
      <w:r w:rsidRPr="00F76890">
        <w:rPr>
          <w:rFonts w:asciiTheme="minorHAnsi" w:hAnsiTheme="minorHAnsi" w:cstheme="minorHAnsi"/>
          <w:bCs/>
          <w:color w:val="auto"/>
        </w:rPr>
        <w:t xml:space="preserve"> (11), 20779–20789 (2019).</w:t>
      </w:r>
    </w:p>
    <w:p w14:paraId="49BCC899" w14:textId="37B6B926"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78.</w:t>
      </w:r>
      <w:r w:rsidRPr="00F76890">
        <w:rPr>
          <w:rFonts w:asciiTheme="minorHAnsi" w:hAnsiTheme="minorHAnsi" w:cstheme="minorHAnsi"/>
          <w:bCs/>
          <w:color w:val="auto"/>
        </w:rPr>
        <w:tab/>
        <w:t xml:space="preserve">Deng, X. et al. The combined effect of </w:t>
      </w:r>
      <w:proofErr w:type="spellStart"/>
      <w:r w:rsidRPr="00F76890">
        <w:rPr>
          <w:rFonts w:asciiTheme="minorHAnsi" w:hAnsiTheme="minorHAnsi" w:cstheme="minorHAnsi"/>
          <w:bCs/>
          <w:color w:val="auto"/>
        </w:rPr>
        <w:t>oleonuezhenide</w:t>
      </w:r>
      <w:proofErr w:type="spellEnd"/>
      <w:r w:rsidRPr="00F76890">
        <w:rPr>
          <w:rFonts w:asciiTheme="minorHAnsi" w:hAnsiTheme="minorHAnsi" w:cstheme="minorHAnsi"/>
          <w:bCs/>
          <w:color w:val="auto"/>
        </w:rPr>
        <w:t xml:space="preserve"> and wedelolactone on proliferation and </w:t>
      </w:r>
      <w:proofErr w:type="spellStart"/>
      <w:r w:rsidRPr="00F76890">
        <w:rPr>
          <w:rFonts w:asciiTheme="minorHAnsi" w:hAnsiTheme="minorHAnsi" w:cstheme="minorHAnsi"/>
          <w:bCs/>
          <w:color w:val="auto"/>
        </w:rPr>
        <w:t>osteoblastogenesis</w:t>
      </w:r>
      <w:proofErr w:type="spellEnd"/>
      <w:r w:rsidRPr="00F76890">
        <w:rPr>
          <w:rFonts w:asciiTheme="minorHAnsi" w:hAnsiTheme="minorHAnsi" w:cstheme="minorHAnsi"/>
          <w:bCs/>
          <w:color w:val="auto"/>
        </w:rPr>
        <w:t xml:space="preserve"> of bone marrow mesenchymal stem cells. </w:t>
      </w:r>
      <w:r w:rsidRPr="00C44FA0">
        <w:rPr>
          <w:rFonts w:asciiTheme="minorHAnsi" w:hAnsiTheme="minorHAnsi" w:cstheme="minorHAnsi"/>
          <w:bCs/>
          <w:i/>
          <w:iCs/>
          <w:color w:val="auto"/>
        </w:rPr>
        <w:t>Phytomedicine</w:t>
      </w:r>
      <w:r w:rsidRPr="00F76890">
        <w:rPr>
          <w:rFonts w:asciiTheme="minorHAnsi" w:hAnsiTheme="minorHAnsi" w:cstheme="minorHAnsi"/>
          <w:bCs/>
          <w:color w:val="auto"/>
        </w:rPr>
        <w:t xml:space="preserve">. </w:t>
      </w:r>
      <w:r w:rsidRPr="00A60BA5">
        <w:rPr>
          <w:rFonts w:asciiTheme="minorHAnsi" w:hAnsiTheme="minorHAnsi" w:cstheme="minorHAnsi"/>
          <w:b/>
          <w:color w:val="auto"/>
        </w:rPr>
        <w:t>153103</w:t>
      </w:r>
      <w:r w:rsidRPr="00F76890">
        <w:rPr>
          <w:rFonts w:asciiTheme="minorHAnsi" w:hAnsiTheme="minorHAnsi" w:cstheme="minorHAnsi"/>
          <w:bCs/>
          <w:color w:val="auto"/>
        </w:rPr>
        <w:t xml:space="preserve"> (2019).</w:t>
      </w:r>
    </w:p>
    <w:p w14:paraId="6A686C1F" w14:textId="444F08D7" w:rsidR="006B1B14" w:rsidRPr="00F76890" w:rsidRDefault="006B1B14" w:rsidP="00F012D5">
      <w:pPr>
        <w:contextualSpacing/>
        <w:rPr>
          <w:rFonts w:asciiTheme="minorHAnsi" w:hAnsiTheme="minorHAnsi" w:cstheme="minorHAnsi"/>
          <w:bCs/>
          <w:color w:val="auto"/>
        </w:rPr>
      </w:pPr>
      <w:r w:rsidRPr="00F76890">
        <w:rPr>
          <w:rFonts w:asciiTheme="minorHAnsi" w:hAnsiTheme="minorHAnsi" w:cstheme="minorHAnsi"/>
          <w:bCs/>
          <w:color w:val="auto"/>
        </w:rPr>
        <w:t>79.</w:t>
      </w:r>
      <w:r w:rsidRPr="00F76890">
        <w:rPr>
          <w:rFonts w:asciiTheme="minorHAnsi" w:hAnsiTheme="minorHAnsi" w:cstheme="minorHAnsi"/>
          <w:bCs/>
          <w:color w:val="auto"/>
        </w:rPr>
        <w:tab/>
        <w:t xml:space="preserve">Choi, H., Kim, T.H., Yun, C.Y., Kim, J.W., Cho, E.S. Testicular acid phosphatase induces odontoblast differentiation and mineralization. </w:t>
      </w:r>
      <w:r w:rsidRPr="00C44FA0">
        <w:rPr>
          <w:rFonts w:asciiTheme="minorHAnsi" w:hAnsiTheme="minorHAnsi" w:cstheme="minorHAnsi"/>
          <w:bCs/>
          <w:i/>
          <w:iCs/>
          <w:color w:val="auto"/>
        </w:rPr>
        <w:t>Cell and Tissue Research</w:t>
      </w:r>
      <w:r w:rsidRPr="00F76890">
        <w:rPr>
          <w:rFonts w:asciiTheme="minorHAnsi" w:hAnsiTheme="minorHAnsi" w:cstheme="minorHAnsi"/>
          <w:bCs/>
          <w:color w:val="auto"/>
        </w:rPr>
        <w:t xml:space="preserve">. </w:t>
      </w:r>
      <w:r w:rsidRPr="00A60BA5">
        <w:rPr>
          <w:rFonts w:asciiTheme="minorHAnsi" w:hAnsiTheme="minorHAnsi" w:cstheme="minorHAnsi"/>
          <w:b/>
          <w:color w:val="auto"/>
        </w:rPr>
        <w:t>364</w:t>
      </w:r>
      <w:r w:rsidRPr="00F76890">
        <w:rPr>
          <w:rFonts w:asciiTheme="minorHAnsi" w:hAnsiTheme="minorHAnsi" w:cstheme="minorHAnsi"/>
          <w:bCs/>
          <w:color w:val="auto"/>
        </w:rPr>
        <w:t xml:space="preserve"> (1), 95–103 (2016).</w:t>
      </w:r>
    </w:p>
    <w:p w14:paraId="765AB865" w14:textId="77777777" w:rsidR="00FE0FFC" w:rsidRPr="00F76890" w:rsidRDefault="00FE0FFC" w:rsidP="00F012D5">
      <w:pPr>
        <w:contextualSpacing/>
        <w:rPr>
          <w:color w:val="auto"/>
        </w:rPr>
      </w:pPr>
    </w:p>
    <w:sectPr w:rsidR="00FE0FFC" w:rsidRPr="00F76890" w:rsidSect="00E155AC">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710B4"/>
    <w:multiLevelType w:val="multilevel"/>
    <w:tmpl w:val="E3943A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2B2FD4"/>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doNotDisplayPageBoundaries/>
  <w:proofState w:spelling="clean" w:grammar="clean"/>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14"/>
    <w:rsid w:val="00010D03"/>
    <w:rsid w:val="003823E0"/>
    <w:rsid w:val="00517466"/>
    <w:rsid w:val="0064588C"/>
    <w:rsid w:val="006A2A58"/>
    <w:rsid w:val="006B1B14"/>
    <w:rsid w:val="00A60BA5"/>
    <w:rsid w:val="00B92F3E"/>
    <w:rsid w:val="00C44FA0"/>
    <w:rsid w:val="00DD3B58"/>
    <w:rsid w:val="00E155AC"/>
    <w:rsid w:val="00F012D5"/>
    <w:rsid w:val="00F76890"/>
    <w:rsid w:val="00FE0FF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160C"/>
  <w15:chartTrackingRefBased/>
  <w15:docId w15:val="{70C44817-50BE-4E9E-A9E4-55F63375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B14"/>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6B1B14"/>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6B1B14"/>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6B1B1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1B14"/>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6B1B14"/>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6B1B14"/>
    <w:rPr>
      <w:rFonts w:asciiTheme="majorHAnsi" w:eastAsiaTheme="majorEastAsia" w:hAnsiTheme="majorHAnsi" w:cstheme="majorBidi"/>
      <w:b/>
      <w:bCs/>
      <w:color w:val="4472C4" w:themeColor="accent1"/>
      <w:sz w:val="24"/>
      <w:szCs w:val="24"/>
      <w:lang w:val="en-US"/>
    </w:rPr>
  </w:style>
  <w:style w:type="paragraph" w:styleId="NormalWeb">
    <w:name w:val="Normal (Web)"/>
    <w:basedOn w:val="Normal"/>
    <w:rsid w:val="006B1B14"/>
    <w:pPr>
      <w:spacing w:before="100" w:beforeAutospacing="1" w:after="100" w:afterAutospacing="1"/>
    </w:pPr>
  </w:style>
  <w:style w:type="character" w:styleId="Hyperlink">
    <w:name w:val="Hyperlink"/>
    <w:uiPriority w:val="99"/>
    <w:rsid w:val="006B1B14"/>
    <w:rPr>
      <w:color w:val="0000FF"/>
      <w:u w:val="single"/>
    </w:rPr>
  </w:style>
  <w:style w:type="paragraph" w:styleId="Header">
    <w:name w:val="header"/>
    <w:basedOn w:val="Normal"/>
    <w:link w:val="HeaderChar"/>
    <w:rsid w:val="006B1B14"/>
    <w:pPr>
      <w:tabs>
        <w:tab w:val="center" w:pos="4680"/>
        <w:tab w:val="right" w:pos="9360"/>
      </w:tabs>
    </w:pPr>
  </w:style>
  <w:style w:type="character" w:customStyle="1" w:styleId="HeaderChar">
    <w:name w:val="Header Char"/>
    <w:basedOn w:val="DefaultParagraphFont"/>
    <w:link w:val="Header"/>
    <w:rsid w:val="006B1B14"/>
    <w:rPr>
      <w:rFonts w:ascii="Calibri" w:eastAsia="Times New Roman" w:hAnsi="Calibri" w:cs="Calibri"/>
      <w:color w:val="000000"/>
      <w:sz w:val="24"/>
      <w:szCs w:val="24"/>
      <w:lang w:val="en-US"/>
    </w:rPr>
  </w:style>
  <w:style w:type="paragraph" w:styleId="Footer">
    <w:name w:val="footer"/>
    <w:basedOn w:val="Normal"/>
    <w:link w:val="FooterChar"/>
    <w:uiPriority w:val="99"/>
    <w:rsid w:val="006B1B14"/>
    <w:pPr>
      <w:tabs>
        <w:tab w:val="center" w:pos="4680"/>
        <w:tab w:val="right" w:pos="9360"/>
      </w:tabs>
    </w:pPr>
  </w:style>
  <w:style w:type="character" w:customStyle="1" w:styleId="FooterChar">
    <w:name w:val="Footer Char"/>
    <w:basedOn w:val="DefaultParagraphFont"/>
    <w:link w:val="Footer"/>
    <w:uiPriority w:val="99"/>
    <w:rsid w:val="006B1B14"/>
    <w:rPr>
      <w:rFonts w:ascii="Calibri" w:eastAsia="Times New Roman" w:hAnsi="Calibri" w:cs="Calibri"/>
      <w:color w:val="000000"/>
      <w:sz w:val="24"/>
      <w:szCs w:val="24"/>
      <w:lang w:val="en-US"/>
    </w:rPr>
  </w:style>
  <w:style w:type="character" w:styleId="CommentReference">
    <w:name w:val="annotation reference"/>
    <w:rsid w:val="006B1B14"/>
    <w:rPr>
      <w:sz w:val="18"/>
      <w:szCs w:val="18"/>
    </w:rPr>
  </w:style>
  <w:style w:type="paragraph" w:styleId="CommentText">
    <w:name w:val="annotation text"/>
    <w:basedOn w:val="Normal"/>
    <w:link w:val="CommentTextChar"/>
    <w:rsid w:val="006B1B14"/>
  </w:style>
  <w:style w:type="character" w:customStyle="1" w:styleId="CommentTextChar">
    <w:name w:val="Comment Text Char"/>
    <w:basedOn w:val="DefaultParagraphFont"/>
    <w:link w:val="CommentText"/>
    <w:rsid w:val="006B1B14"/>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6B1B14"/>
    <w:rPr>
      <w:b/>
      <w:bCs/>
      <w:sz w:val="20"/>
      <w:szCs w:val="20"/>
    </w:rPr>
  </w:style>
  <w:style w:type="character" w:customStyle="1" w:styleId="CommentSubjectChar">
    <w:name w:val="Comment Subject Char"/>
    <w:basedOn w:val="CommentTextChar"/>
    <w:link w:val="CommentSubject"/>
    <w:rsid w:val="006B1B14"/>
    <w:rPr>
      <w:rFonts w:ascii="Calibri" w:eastAsia="Times New Roman" w:hAnsi="Calibri" w:cs="Calibri"/>
      <w:b/>
      <w:bCs/>
      <w:color w:val="000000"/>
      <w:sz w:val="20"/>
      <w:szCs w:val="20"/>
      <w:lang w:val="en-US"/>
    </w:rPr>
  </w:style>
  <w:style w:type="paragraph" w:styleId="BalloonText">
    <w:name w:val="Balloon Text"/>
    <w:basedOn w:val="Normal"/>
    <w:link w:val="BalloonTextChar"/>
    <w:rsid w:val="006B1B14"/>
    <w:rPr>
      <w:rFonts w:ascii="Lucida Grande" w:hAnsi="Lucida Grande"/>
      <w:sz w:val="18"/>
      <w:szCs w:val="18"/>
    </w:rPr>
  </w:style>
  <w:style w:type="character" w:customStyle="1" w:styleId="BalloonTextChar">
    <w:name w:val="Balloon Text Char"/>
    <w:basedOn w:val="DefaultParagraphFont"/>
    <w:link w:val="BalloonText"/>
    <w:rsid w:val="006B1B14"/>
    <w:rPr>
      <w:rFonts w:ascii="Lucida Grande" w:eastAsia="Times New Roman" w:hAnsi="Lucida Grande" w:cs="Calibri"/>
      <w:color w:val="000000"/>
      <w:sz w:val="18"/>
      <w:szCs w:val="18"/>
      <w:lang w:val="en-US"/>
    </w:rPr>
  </w:style>
  <w:style w:type="character" w:styleId="PageNumber">
    <w:name w:val="page number"/>
    <w:basedOn w:val="DefaultParagraphFont"/>
    <w:rsid w:val="006B1B14"/>
  </w:style>
  <w:style w:type="character" w:styleId="FollowedHyperlink">
    <w:name w:val="FollowedHyperlink"/>
    <w:rsid w:val="006B1B14"/>
    <w:rPr>
      <w:color w:val="800080"/>
      <w:u w:val="single"/>
    </w:rPr>
  </w:style>
  <w:style w:type="character" w:customStyle="1" w:styleId="apple-converted-space">
    <w:name w:val="apple-converted-space"/>
    <w:basedOn w:val="DefaultParagraphFont"/>
    <w:rsid w:val="006B1B14"/>
  </w:style>
  <w:style w:type="character" w:styleId="IntenseEmphasis">
    <w:name w:val="Intense Emphasis"/>
    <w:qFormat/>
    <w:rsid w:val="006B1B14"/>
    <w:rPr>
      <w:b/>
      <w:bCs/>
      <w:i/>
      <w:iCs/>
      <w:color w:val="4F81BD"/>
    </w:rPr>
  </w:style>
  <w:style w:type="paragraph" w:customStyle="1" w:styleId="Exampletext">
    <w:name w:val="Example text"/>
    <w:basedOn w:val="Normal"/>
    <w:link w:val="ExampletextChar"/>
    <w:qFormat/>
    <w:rsid w:val="006B1B14"/>
    <w:pPr>
      <w:spacing w:after="240"/>
    </w:pPr>
    <w:rPr>
      <w:color w:val="7F7F7F"/>
    </w:rPr>
  </w:style>
  <w:style w:type="character" w:customStyle="1" w:styleId="ExampletextChar">
    <w:name w:val="Example text Char"/>
    <w:link w:val="Exampletext"/>
    <w:rsid w:val="006B1B14"/>
    <w:rPr>
      <w:rFonts w:ascii="Calibri" w:eastAsia="Times New Roman" w:hAnsi="Calibri" w:cs="Calibri"/>
      <w:color w:val="7F7F7F"/>
      <w:sz w:val="24"/>
      <w:szCs w:val="24"/>
      <w:lang w:val="en-US"/>
    </w:rPr>
  </w:style>
  <w:style w:type="paragraph" w:styleId="ListParagraph">
    <w:name w:val="List Paragraph"/>
    <w:basedOn w:val="Normal"/>
    <w:uiPriority w:val="34"/>
    <w:qFormat/>
    <w:rsid w:val="006B1B14"/>
    <w:pPr>
      <w:ind w:left="720"/>
      <w:contextualSpacing/>
    </w:pPr>
  </w:style>
  <w:style w:type="paragraph" w:styleId="Revision">
    <w:name w:val="Revision"/>
    <w:hidden/>
    <w:uiPriority w:val="99"/>
    <w:semiHidden/>
    <w:rsid w:val="006B1B14"/>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6B1B14"/>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6B1B14"/>
    <w:rPr>
      <w:rFonts w:ascii="Calibri" w:eastAsia="Calibri" w:hAnsi="Calibri" w:cs="Calibri"/>
      <w:sz w:val="24"/>
      <w:szCs w:val="24"/>
      <w:lang w:val="en-US"/>
    </w:rPr>
  </w:style>
  <w:style w:type="character" w:styleId="Strong">
    <w:name w:val="Strong"/>
    <w:basedOn w:val="DefaultParagraphFont"/>
    <w:uiPriority w:val="22"/>
    <w:qFormat/>
    <w:rsid w:val="006B1B14"/>
    <w:rPr>
      <w:b/>
      <w:bCs/>
    </w:rPr>
  </w:style>
  <w:style w:type="character" w:styleId="Emphasis">
    <w:name w:val="Emphasis"/>
    <w:basedOn w:val="DefaultParagraphFont"/>
    <w:uiPriority w:val="20"/>
    <w:qFormat/>
    <w:rsid w:val="006B1B14"/>
    <w:rPr>
      <w:i/>
      <w:iCs/>
    </w:rPr>
  </w:style>
  <w:style w:type="character" w:styleId="LineNumber">
    <w:name w:val="line number"/>
    <w:basedOn w:val="DefaultParagraphFont"/>
    <w:uiPriority w:val="99"/>
    <w:semiHidden/>
    <w:unhideWhenUsed/>
    <w:rsid w:val="006B1B14"/>
  </w:style>
  <w:style w:type="character" w:customStyle="1" w:styleId="MenoNoResolvida1">
    <w:name w:val="Menção Não Resolvida1"/>
    <w:basedOn w:val="DefaultParagraphFont"/>
    <w:uiPriority w:val="99"/>
    <w:semiHidden/>
    <w:unhideWhenUsed/>
    <w:rsid w:val="006B1B14"/>
    <w:rPr>
      <w:color w:val="808080"/>
      <w:shd w:val="clear" w:color="auto" w:fill="E6E6E6"/>
    </w:rPr>
  </w:style>
  <w:style w:type="character" w:customStyle="1" w:styleId="MenoPendente1">
    <w:name w:val="Menção Pendente1"/>
    <w:basedOn w:val="DefaultParagraphFont"/>
    <w:uiPriority w:val="99"/>
    <w:semiHidden/>
    <w:unhideWhenUsed/>
    <w:rsid w:val="006B1B14"/>
    <w:rPr>
      <w:color w:val="605E5C"/>
      <w:shd w:val="clear" w:color="auto" w:fill="E1DFDD"/>
    </w:rPr>
  </w:style>
  <w:style w:type="paragraph" w:styleId="FootnoteText">
    <w:name w:val="footnote text"/>
    <w:basedOn w:val="Normal"/>
    <w:link w:val="FootnoteTextChar"/>
    <w:uiPriority w:val="99"/>
    <w:semiHidden/>
    <w:unhideWhenUsed/>
    <w:rsid w:val="006B1B14"/>
    <w:rPr>
      <w:sz w:val="20"/>
      <w:szCs w:val="20"/>
    </w:rPr>
  </w:style>
  <w:style w:type="character" w:customStyle="1" w:styleId="FootnoteTextChar">
    <w:name w:val="Footnote Text Char"/>
    <w:basedOn w:val="DefaultParagraphFont"/>
    <w:link w:val="FootnoteText"/>
    <w:uiPriority w:val="99"/>
    <w:semiHidden/>
    <w:rsid w:val="006B1B14"/>
    <w:rPr>
      <w:rFonts w:ascii="Calibri" w:eastAsia="Times New Roman" w:hAnsi="Calibri" w:cs="Calibri"/>
      <w:color w:val="000000"/>
      <w:sz w:val="20"/>
      <w:szCs w:val="20"/>
      <w:lang w:val="en-US"/>
    </w:rPr>
  </w:style>
  <w:style w:type="character" w:styleId="FootnoteReference">
    <w:name w:val="footnote reference"/>
    <w:basedOn w:val="DefaultParagraphFont"/>
    <w:uiPriority w:val="99"/>
    <w:semiHidden/>
    <w:unhideWhenUsed/>
    <w:rsid w:val="006B1B14"/>
    <w:rPr>
      <w:vertAlign w:val="superscript"/>
    </w:rPr>
  </w:style>
  <w:style w:type="table" w:styleId="TableGrid">
    <w:name w:val="Table Grid"/>
    <w:basedOn w:val="TableNormal"/>
    <w:uiPriority w:val="39"/>
    <w:rsid w:val="006B1B1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DefaultParagraphFont"/>
    <w:uiPriority w:val="99"/>
    <w:semiHidden/>
    <w:unhideWhenUsed/>
    <w:rsid w:val="006B1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C0D8A-1EEA-438C-952C-15DA95EC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19</Pages>
  <Words>32421</Words>
  <Characters>184803</Characters>
  <Application>Microsoft Office Word</Application>
  <DocSecurity>0</DocSecurity>
  <Lines>1540</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Anabela Paula</dc:creator>
  <cp:keywords/>
  <dc:description/>
  <cp:lastModifiedBy>Nam Nguyen</cp:lastModifiedBy>
  <cp:revision>7</cp:revision>
  <dcterms:created xsi:type="dcterms:W3CDTF">2020-10-10T17:09:00Z</dcterms:created>
  <dcterms:modified xsi:type="dcterms:W3CDTF">2020-10-12T15:24:00Z</dcterms:modified>
</cp:coreProperties>
</file>