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B58B7F" w14:textId="40710210" w:rsidR="006305D7" w:rsidRPr="00677B47" w:rsidRDefault="006305D7" w:rsidP="009B5312">
      <w:pPr>
        <w:pStyle w:val="NormalWeb"/>
        <w:spacing w:before="0" w:beforeAutospacing="0" w:after="0" w:afterAutospacing="0"/>
        <w:contextualSpacing/>
      </w:pPr>
      <w:r w:rsidRPr="00677B47">
        <w:rPr>
          <w:b/>
          <w:bCs/>
        </w:rPr>
        <w:t>TITLE:</w:t>
      </w:r>
      <w:r w:rsidRPr="00677B47">
        <w:t xml:space="preserve"> </w:t>
      </w:r>
    </w:p>
    <w:p w14:paraId="78B54BC5" w14:textId="69F14B9E" w:rsidR="007A4DD6" w:rsidRPr="00677B47" w:rsidRDefault="0035507E" w:rsidP="009B5312">
      <w:pPr>
        <w:contextualSpacing/>
        <w:rPr>
          <w:rFonts w:ascii="Calibri" w:hAnsi="Calibri" w:cs="Calibri"/>
        </w:rPr>
      </w:pPr>
      <w:r w:rsidRPr="00677B47">
        <w:rPr>
          <w:rFonts w:ascii="Calibri" w:hAnsi="Calibri" w:cs="Calibri"/>
        </w:rPr>
        <w:t xml:space="preserve">Systems </w:t>
      </w:r>
      <w:r w:rsidR="00981AEE" w:rsidRPr="00677B47">
        <w:rPr>
          <w:rFonts w:ascii="Calibri" w:hAnsi="Calibri" w:cs="Calibri"/>
        </w:rPr>
        <w:t xml:space="preserve">Analysis of the Neuroinflammatory and Hemodynamic </w:t>
      </w:r>
      <w:r w:rsidR="00981AEE" w:rsidRPr="00677B47">
        <w:rPr>
          <w:rStyle w:val="CommentReference"/>
          <w:rFonts w:ascii="Calibri" w:hAnsi="Calibri" w:cs="Calibri"/>
          <w:sz w:val="24"/>
          <w:szCs w:val="24"/>
        </w:rPr>
        <w:t>R</w:t>
      </w:r>
      <w:r w:rsidR="00981AEE" w:rsidRPr="00677B47">
        <w:rPr>
          <w:rFonts w:ascii="Calibri" w:hAnsi="Calibri" w:cs="Calibri"/>
        </w:rPr>
        <w:t>esponse to</w:t>
      </w:r>
      <w:r w:rsidR="00981AEE" w:rsidRPr="00677B47" w:rsidDel="00F01E16">
        <w:rPr>
          <w:rFonts w:ascii="Calibri" w:hAnsi="Calibri" w:cs="Calibri"/>
        </w:rPr>
        <w:t xml:space="preserve"> </w:t>
      </w:r>
      <w:r w:rsidR="00981AEE" w:rsidRPr="00677B47">
        <w:rPr>
          <w:rFonts w:ascii="Calibri" w:hAnsi="Calibri" w:cs="Calibri"/>
        </w:rPr>
        <w:t>Traumatic Brain Injury</w:t>
      </w:r>
    </w:p>
    <w:p w14:paraId="5E28C418" w14:textId="77777777" w:rsidR="0035507E" w:rsidRPr="00677B47" w:rsidRDefault="0035507E" w:rsidP="009B5312">
      <w:pPr>
        <w:contextualSpacing/>
        <w:rPr>
          <w:rFonts w:ascii="Calibri" w:hAnsi="Calibri" w:cs="Calibri"/>
          <w:b/>
          <w:bCs/>
        </w:rPr>
      </w:pPr>
    </w:p>
    <w:p w14:paraId="5CF7AC8D" w14:textId="44B28880" w:rsidR="006305D7" w:rsidRPr="00677B47" w:rsidRDefault="006305D7" w:rsidP="009B5312">
      <w:pPr>
        <w:contextualSpacing/>
        <w:rPr>
          <w:rFonts w:ascii="Calibri" w:hAnsi="Calibri" w:cs="Calibri"/>
          <w:color w:val="808080" w:themeColor="background1" w:themeShade="80"/>
        </w:rPr>
      </w:pPr>
      <w:r w:rsidRPr="00677B47">
        <w:rPr>
          <w:rFonts w:ascii="Calibri" w:hAnsi="Calibri" w:cs="Calibri"/>
          <w:b/>
          <w:bCs/>
        </w:rPr>
        <w:t>AUTHORS</w:t>
      </w:r>
      <w:r w:rsidR="000B662E" w:rsidRPr="00677B47">
        <w:rPr>
          <w:rFonts w:ascii="Calibri" w:hAnsi="Calibri" w:cs="Calibri"/>
          <w:b/>
          <w:bCs/>
        </w:rPr>
        <w:t xml:space="preserve"> </w:t>
      </w:r>
      <w:r w:rsidR="00086FF5" w:rsidRPr="00677B47">
        <w:rPr>
          <w:rFonts w:ascii="Calibri" w:hAnsi="Calibri" w:cs="Calibri"/>
          <w:b/>
          <w:bCs/>
        </w:rPr>
        <w:t xml:space="preserve">AND </w:t>
      </w:r>
      <w:r w:rsidR="000B662E" w:rsidRPr="00677B47">
        <w:rPr>
          <w:rFonts w:ascii="Calibri" w:hAnsi="Calibri" w:cs="Calibri"/>
          <w:b/>
          <w:bCs/>
        </w:rPr>
        <w:t>AFFILIATIONS</w:t>
      </w:r>
      <w:r w:rsidRPr="00677B47">
        <w:rPr>
          <w:rFonts w:ascii="Calibri" w:hAnsi="Calibri" w:cs="Calibri"/>
          <w:b/>
          <w:bCs/>
        </w:rPr>
        <w:t xml:space="preserve">: </w:t>
      </w:r>
    </w:p>
    <w:p w14:paraId="24A38347" w14:textId="77777777" w:rsidR="009E3EBA" w:rsidRPr="00677B47" w:rsidRDefault="009E3EBA" w:rsidP="009B5312">
      <w:pPr>
        <w:contextualSpacing/>
        <w:rPr>
          <w:rFonts w:ascii="Calibri" w:hAnsi="Calibri" w:cs="Calibri"/>
        </w:rPr>
      </w:pPr>
      <w:r w:rsidRPr="00677B47">
        <w:rPr>
          <w:rFonts w:ascii="Calibri" w:hAnsi="Calibri" w:cs="Calibri"/>
        </w:rPr>
        <w:t>Rowan O. Brothers</w:t>
      </w:r>
      <w:proofErr w:type="gramStart"/>
      <w:r w:rsidRPr="00677B47">
        <w:rPr>
          <w:rFonts w:ascii="Calibri" w:hAnsi="Calibri" w:cs="Calibri"/>
          <w:vertAlign w:val="superscript"/>
        </w:rPr>
        <w:t>1,*</w:t>
      </w:r>
      <w:proofErr w:type="gramEnd"/>
      <w:r w:rsidRPr="00677B47">
        <w:rPr>
          <w:rFonts w:ascii="Calibri" w:hAnsi="Calibri" w:cs="Calibri"/>
        </w:rPr>
        <w:t>, Sara Bitarafan</w:t>
      </w:r>
      <w:r w:rsidRPr="00677B47">
        <w:rPr>
          <w:rFonts w:ascii="Calibri" w:hAnsi="Calibri" w:cs="Calibri"/>
          <w:vertAlign w:val="superscript"/>
        </w:rPr>
        <w:t>2,3,*</w:t>
      </w:r>
      <w:r w:rsidRPr="00677B47">
        <w:rPr>
          <w:rFonts w:ascii="Calibri" w:hAnsi="Calibri" w:cs="Calibri"/>
        </w:rPr>
        <w:t>, Alyssa F. Pybus</w:t>
      </w:r>
      <w:r w:rsidRPr="00677B47">
        <w:rPr>
          <w:rFonts w:ascii="Calibri" w:hAnsi="Calibri" w:cs="Calibri"/>
          <w:vertAlign w:val="superscript"/>
        </w:rPr>
        <w:t>1,3</w:t>
      </w:r>
      <w:r w:rsidRPr="00677B47">
        <w:rPr>
          <w:rFonts w:ascii="Calibri" w:hAnsi="Calibri" w:cs="Calibri"/>
        </w:rPr>
        <w:t>, Levi B. Wood</w:t>
      </w:r>
      <w:r w:rsidRPr="00677B47">
        <w:rPr>
          <w:rFonts w:ascii="Calibri" w:hAnsi="Calibri" w:cs="Calibri"/>
          <w:vertAlign w:val="superscript"/>
        </w:rPr>
        <w:t>1,2,3,</w:t>
      </w:r>
      <w:r w:rsidR="00F01E16" w:rsidRPr="00677B47">
        <w:rPr>
          <w:rFonts w:ascii="Calibri" w:hAnsi="Calibri" w:cs="Calibri"/>
          <w:vertAlign w:val="superscript"/>
        </w:rPr>
        <w:t>¥,</w:t>
      </w:r>
      <w:r w:rsidRPr="00677B47">
        <w:rPr>
          <w:rFonts w:ascii="Calibri" w:hAnsi="Calibri" w:cs="Calibri"/>
          <w:vertAlign w:val="superscript"/>
        </w:rPr>
        <w:t>^</w:t>
      </w:r>
      <w:r w:rsidRPr="00677B47">
        <w:rPr>
          <w:rFonts w:ascii="Calibri" w:hAnsi="Calibri" w:cs="Calibri"/>
        </w:rPr>
        <w:t>, Erin M. Buckley</w:t>
      </w:r>
      <w:r w:rsidRPr="00677B47">
        <w:rPr>
          <w:rFonts w:ascii="Calibri" w:hAnsi="Calibri" w:cs="Calibri"/>
          <w:vertAlign w:val="superscript"/>
        </w:rPr>
        <w:t>1,4</w:t>
      </w:r>
      <w:r w:rsidR="00F01E16" w:rsidRPr="00677B47">
        <w:rPr>
          <w:rFonts w:ascii="Calibri" w:hAnsi="Calibri" w:cs="Calibri"/>
          <w:vertAlign w:val="superscript"/>
        </w:rPr>
        <w:t>,</w:t>
      </w:r>
      <w:r w:rsidR="00553706" w:rsidRPr="00677B47">
        <w:rPr>
          <w:rFonts w:ascii="Calibri" w:hAnsi="Calibri" w:cs="Calibri"/>
          <w:vertAlign w:val="superscript"/>
        </w:rPr>
        <w:t>5,</w:t>
      </w:r>
      <w:r w:rsidR="00F01E16" w:rsidRPr="00677B47">
        <w:rPr>
          <w:rFonts w:ascii="Calibri" w:hAnsi="Calibri" w:cs="Calibri"/>
          <w:vertAlign w:val="superscript"/>
        </w:rPr>
        <w:t>¥</w:t>
      </w:r>
      <w:r w:rsidRPr="00677B47">
        <w:rPr>
          <w:rFonts w:ascii="Calibri" w:hAnsi="Calibri" w:cs="Calibri"/>
          <w:vertAlign w:val="superscript"/>
        </w:rPr>
        <w:t>,^</w:t>
      </w:r>
      <w:r w:rsidRPr="00677B47">
        <w:rPr>
          <w:rFonts w:ascii="Calibri" w:hAnsi="Calibri" w:cs="Calibri"/>
        </w:rPr>
        <w:t xml:space="preserve"> </w:t>
      </w:r>
    </w:p>
    <w:p w14:paraId="2FEFFD68" w14:textId="77777777" w:rsidR="009E3EBA" w:rsidRPr="00677B47" w:rsidRDefault="009E3EBA" w:rsidP="009B5312">
      <w:pPr>
        <w:contextualSpacing/>
        <w:rPr>
          <w:rFonts w:ascii="Calibri" w:hAnsi="Calibri" w:cs="Calibri"/>
        </w:rPr>
      </w:pPr>
    </w:p>
    <w:p w14:paraId="24D9449E" w14:textId="77777777" w:rsidR="009E3EBA" w:rsidRPr="00677B47" w:rsidRDefault="009E3EBA" w:rsidP="009B5312">
      <w:pPr>
        <w:pStyle w:val="ListParagraph"/>
        <w:ind w:left="0"/>
        <w:rPr>
          <w:color w:val="auto"/>
        </w:rPr>
      </w:pPr>
      <w:r w:rsidRPr="00677B47">
        <w:rPr>
          <w:color w:val="auto"/>
          <w:vertAlign w:val="superscript"/>
        </w:rPr>
        <w:t>1</w:t>
      </w:r>
      <w:r w:rsidRPr="00677B47">
        <w:rPr>
          <w:color w:val="auto"/>
        </w:rPr>
        <w:t>Wallace H. Coulter Department of Biomedical Engineering, Georgia Institute of Technology and Emory University, USA</w:t>
      </w:r>
    </w:p>
    <w:p w14:paraId="3E2A1FF7" w14:textId="77777777" w:rsidR="009E3EBA" w:rsidRPr="00677B47" w:rsidRDefault="009E3EBA" w:rsidP="009B5312">
      <w:pPr>
        <w:pStyle w:val="ListParagraph"/>
        <w:ind w:left="0"/>
        <w:rPr>
          <w:color w:val="auto"/>
        </w:rPr>
      </w:pPr>
      <w:r w:rsidRPr="00677B47">
        <w:rPr>
          <w:color w:val="auto"/>
          <w:vertAlign w:val="superscript"/>
        </w:rPr>
        <w:t>2</w:t>
      </w:r>
      <w:r w:rsidRPr="00677B47">
        <w:rPr>
          <w:color w:val="auto"/>
        </w:rPr>
        <w:t>George W. Woodruff School of Mechanical Engineering, Georgia Institute of Technology, USA</w:t>
      </w:r>
    </w:p>
    <w:p w14:paraId="711913E7" w14:textId="77777777" w:rsidR="009E3EBA" w:rsidRPr="00677B47" w:rsidRDefault="009E3EBA" w:rsidP="009B5312">
      <w:pPr>
        <w:pStyle w:val="ListParagraph"/>
        <w:ind w:left="0"/>
        <w:rPr>
          <w:color w:val="auto"/>
        </w:rPr>
      </w:pPr>
      <w:r w:rsidRPr="00677B47">
        <w:rPr>
          <w:color w:val="auto"/>
          <w:vertAlign w:val="superscript"/>
        </w:rPr>
        <w:t>3</w:t>
      </w:r>
      <w:r w:rsidRPr="00677B47">
        <w:rPr>
          <w:color w:val="auto"/>
        </w:rPr>
        <w:t>Parker H. Petit Institute for Bioengineering and Bioscience, Georgia Institute of Technology, USA</w:t>
      </w:r>
    </w:p>
    <w:p w14:paraId="6A1D8891" w14:textId="77777777" w:rsidR="009E3EBA" w:rsidRPr="00677B47" w:rsidRDefault="009E3EBA" w:rsidP="009B5312">
      <w:pPr>
        <w:pStyle w:val="ListParagraph"/>
        <w:ind w:left="0"/>
        <w:rPr>
          <w:color w:val="auto"/>
        </w:rPr>
      </w:pPr>
      <w:r w:rsidRPr="00677B47">
        <w:rPr>
          <w:color w:val="auto"/>
          <w:vertAlign w:val="superscript"/>
        </w:rPr>
        <w:t>4</w:t>
      </w:r>
      <w:r w:rsidRPr="00677B47">
        <w:rPr>
          <w:color w:val="auto"/>
        </w:rPr>
        <w:t>Department of Pediatrics, Emory University</w:t>
      </w:r>
      <w:r w:rsidR="00791564" w:rsidRPr="00677B47">
        <w:rPr>
          <w:color w:val="auto"/>
        </w:rPr>
        <w:t xml:space="preserve"> School of Medicine</w:t>
      </w:r>
      <w:r w:rsidRPr="00677B47">
        <w:rPr>
          <w:color w:val="auto"/>
        </w:rPr>
        <w:t>, USA</w:t>
      </w:r>
    </w:p>
    <w:p w14:paraId="0A0D0210" w14:textId="77777777" w:rsidR="009E3EBA" w:rsidRPr="00677B47" w:rsidRDefault="00553706" w:rsidP="009B5312">
      <w:pPr>
        <w:contextualSpacing/>
        <w:rPr>
          <w:rFonts w:ascii="Calibri" w:hAnsi="Calibri" w:cs="Calibri"/>
        </w:rPr>
      </w:pPr>
      <w:r w:rsidRPr="00677B47">
        <w:rPr>
          <w:rFonts w:ascii="Calibri" w:hAnsi="Calibri" w:cs="Calibri"/>
          <w:vertAlign w:val="superscript"/>
        </w:rPr>
        <w:t>5</w:t>
      </w:r>
      <w:r w:rsidR="00791564" w:rsidRPr="00677B47">
        <w:rPr>
          <w:rFonts w:ascii="Calibri" w:hAnsi="Calibri" w:cs="Calibri"/>
        </w:rPr>
        <w:t>Children’s Healthcare of Atlanta, Children’s Research Scholar, USA</w:t>
      </w:r>
    </w:p>
    <w:p w14:paraId="3014DC0E" w14:textId="77777777" w:rsidR="009E3EBA" w:rsidRPr="00677B47" w:rsidRDefault="009E3EBA" w:rsidP="009B5312">
      <w:pPr>
        <w:pStyle w:val="ListParagraph"/>
        <w:ind w:left="0"/>
        <w:rPr>
          <w:bCs/>
          <w:color w:val="auto"/>
        </w:rPr>
      </w:pPr>
      <w:r w:rsidRPr="00677B47">
        <w:rPr>
          <w:bCs/>
          <w:color w:val="auto"/>
        </w:rPr>
        <w:t>*These authors contributed equally.</w:t>
      </w:r>
    </w:p>
    <w:p w14:paraId="2B4AE06D" w14:textId="77777777" w:rsidR="009E3EBA" w:rsidRPr="00677B47" w:rsidRDefault="009E3EBA" w:rsidP="009B5312">
      <w:pPr>
        <w:pStyle w:val="ListParagraph"/>
        <w:ind w:left="0"/>
        <w:rPr>
          <w:bCs/>
          <w:color w:val="auto"/>
        </w:rPr>
      </w:pPr>
      <w:r w:rsidRPr="00677B47">
        <w:rPr>
          <w:bCs/>
          <w:color w:val="auto"/>
        </w:rPr>
        <w:t>^Corresponding author.</w:t>
      </w:r>
    </w:p>
    <w:p w14:paraId="7290792E" w14:textId="77777777" w:rsidR="00F01E16" w:rsidRPr="00677B47" w:rsidRDefault="00F01E16" w:rsidP="009B5312">
      <w:pPr>
        <w:pStyle w:val="ListParagraph"/>
        <w:ind w:left="0"/>
        <w:rPr>
          <w:bCs/>
          <w:color w:val="auto"/>
        </w:rPr>
      </w:pPr>
      <w:r w:rsidRPr="00677B47">
        <w:rPr>
          <w:color w:val="auto"/>
          <w:vertAlign w:val="superscript"/>
        </w:rPr>
        <w:t>¥</w:t>
      </w:r>
      <w:r w:rsidRPr="00677B47">
        <w:rPr>
          <w:color w:val="auto"/>
        </w:rPr>
        <w:t>Equally contributing senior authors</w:t>
      </w:r>
    </w:p>
    <w:p w14:paraId="2B85D3C5" w14:textId="77777777" w:rsidR="009E3EBA" w:rsidRPr="00677B47" w:rsidRDefault="009E3EBA" w:rsidP="009B5312">
      <w:pPr>
        <w:contextualSpacing/>
        <w:rPr>
          <w:rFonts w:ascii="Calibri" w:hAnsi="Calibri" w:cs="Calibri"/>
          <w:bCs/>
        </w:rPr>
      </w:pPr>
    </w:p>
    <w:p w14:paraId="481A025C" w14:textId="77777777" w:rsidR="009E3EBA" w:rsidRPr="00677B47" w:rsidRDefault="009E3EBA" w:rsidP="009B5312">
      <w:pPr>
        <w:contextualSpacing/>
        <w:rPr>
          <w:rFonts w:ascii="Calibri" w:hAnsi="Calibri" w:cs="Calibri"/>
          <w:bCs/>
        </w:rPr>
      </w:pPr>
      <w:r w:rsidRPr="00677B47">
        <w:rPr>
          <w:rFonts w:ascii="Calibri" w:hAnsi="Calibri" w:cs="Calibri"/>
          <w:bCs/>
        </w:rPr>
        <w:t>Email addresses of co-authors:</w:t>
      </w:r>
    </w:p>
    <w:p w14:paraId="28D95C70" w14:textId="152CBB19" w:rsidR="009E3EBA" w:rsidRPr="00677B47" w:rsidRDefault="009E3EBA" w:rsidP="009B5312">
      <w:pPr>
        <w:pStyle w:val="NormalWeb"/>
        <w:spacing w:before="0" w:beforeAutospacing="0" w:after="0" w:afterAutospacing="0"/>
        <w:contextualSpacing/>
        <w:rPr>
          <w:bCs/>
          <w:color w:val="auto"/>
        </w:rPr>
      </w:pPr>
      <w:r w:rsidRPr="00677B47">
        <w:rPr>
          <w:bCs/>
          <w:color w:val="auto"/>
        </w:rPr>
        <w:t>Rowan O. Brothers</w:t>
      </w:r>
      <w:r w:rsidRPr="00677B47">
        <w:rPr>
          <w:bCs/>
          <w:color w:val="auto"/>
        </w:rPr>
        <w:tab/>
      </w:r>
      <w:r w:rsidRPr="00677B47">
        <w:rPr>
          <w:bCs/>
          <w:color w:val="auto"/>
        </w:rPr>
        <w:tab/>
      </w:r>
      <w:r w:rsidR="007B1948" w:rsidRPr="007B1948">
        <w:rPr>
          <w:color w:val="auto"/>
        </w:rPr>
        <w:t>(</w:t>
      </w:r>
      <w:r w:rsidRPr="00677B47">
        <w:rPr>
          <w:color w:val="auto"/>
        </w:rPr>
        <w:t>ro</w:t>
      </w:r>
      <w:r w:rsidR="006933C6" w:rsidRPr="00677B47">
        <w:rPr>
          <w:color w:val="auto"/>
        </w:rPr>
        <w:t>broth</w:t>
      </w:r>
      <w:r w:rsidRPr="00677B47">
        <w:rPr>
          <w:color w:val="auto"/>
        </w:rPr>
        <w:t>@emory.edu</w:t>
      </w:r>
      <w:r w:rsidR="007B1948" w:rsidRPr="007B1948">
        <w:rPr>
          <w:color w:val="auto"/>
        </w:rPr>
        <w:t>)</w:t>
      </w:r>
    </w:p>
    <w:p w14:paraId="35BC066F" w14:textId="0E158707" w:rsidR="009E3EBA" w:rsidRPr="00677B47" w:rsidRDefault="009E3EBA" w:rsidP="009B5312">
      <w:pPr>
        <w:pStyle w:val="NormalWeb"/>
        <w:spacing w:before="0" w:beforeAutospacing="0" w:after="0" w:afterAutospacing="0"/>
        <w:contextualSpacing/>
        <w:rPr>
          <w:bCs/>
          <w:color w:val="auto"/>
        </w:rPr>
      </w:pPr>
      <w:r w:rsidRPr="00677B47">
        <w:rPr>
          <w:bCs/>
          <w:color w:val="auto"/>
        </w:rPr>
        <w:t>Sara Bitarafan</w:t>
      </w:r>
      <w:r w:rsidRPr="00677B47">
        <w:rPr>
          <w:bCs/>
          <w:color w:val="auto"/>
        </w:rPr>
        <w:tab/>
      </w:r>
      <w:r w:rsidRPr="00677B47">
        <w:rPr>
          <w:bCs/>
          <w:color w:val="auto"/>
        </w:rPr>
        <w:tab/>
      </w:r>
      <w:r w:rsidR="007B1948" w:rsidRPr="007B1948">
        <w:rPr>
          <w:color w:val="auto"/>
        </w:rPr>
        <w:t>(</w:t>
      </w:r>
      <w:r w:rsidRPr="00677B47">
        <w:rPr>
          <w:color w:val="auto"/>
        </w:rPr>
        <w:t>sbitarafan74@gatech.edu</w:t>
      </w:r>
      <w:r w:rsidR="007B1948" w:rsidRPr="007B1948">
        <w:rPr>
          <w:color w:val="auto"/>
        </w:rPr>
        <w:t>)</w:t>
      </w:r>
    </w:p>
    <w:p w14:paraId="094FB0B0" w14:textId="26690D21" w:rsidR="009E3EBA" w:rsidRPr="00677B47" w:rsidRDefault="009E3EBA" w:rsidP="009B5312">
      <w:pPr>
        <w:pStyle w:val="NormalWeb"/>
        <w:spacing w:before="0" w:beforeAutospacing="0" w:after="0" w:afterAutospacing="0"/>
        <w:contextualSpacing/>
        <w:rPr>
          <w:bCs/>
          <w:color w:val="auto"/>
        </w:rPr>
      </w:pPr>
      <w:r w:rsidRPr="00677B47">
        <w:rPr>
          <w:bCs/>
          <w:color w:val="auto"/>
        </w:rPr>
        <w:t xml:space="preserve">Alyssa F. Pybus </w:t>
      </w:r>
      <w:r w:rsidRPr="00677B47">
        <w:rPr>
          <w:bCs/>
          <w:color w:val="auto"/>
        </w:rPr>
        <w:tab/>
      </w:r>
      <w:r w:rsidRPr="00677B47">
        <w:rPr>
          <w:bCs/>
          <w:color w:val="auto"/>
        </w:rPr>
        <w:tab/>
      </w:r>
      <w:r w:rsidR="007B1948" w:rsidRPr="007B1948">
        <w:rPr>
          <w:color w:val="auto"/>
        </w:rPr>
        <w:t>(</w:t>
      </w:r>
      <w:r w:rsidRPr="00677B47">
        <w:rPr>
          <w:color w:val="auto"/>
        </w:rPr>
        <w:t>afpybus@gatech.edu</w:t>
      </w:r>
      <w:r w:rsidR="007B1948" w:rsidRPr="007B1948">
        <w:rPr>
          <w:color w:val="auto"/>
        </w:rPr>
        <w:t>)</w:t>
      </w:r>
    </w:p>
    <w:p w14:paraId="5139F3AD" w14:textId="77777777" w:rsidR="009E3EBA" w:rsidRPr="00677B47" w:rsidRDefault="009E3EBA" w:rsidP="009B5312">
      <w:pPr>
        <w:contextualSpacing/>
        <w:rPr>
          <w:rFonts w:ascii="Calibri" w:hAnsi="Calibri" w:cs="Calibri"/>
          <w:bCs/>
        </w:rPr>
      </w:pPr>
    </w:p>
    <w:p w14:paraId="37462657" w14:textId="77777777" w:rsidR="009E3EBA" w:rsidRPr="00677B47" w:rsidRDefault="009E3EBA" w:rsidP="009B5312">
      <w:pPr>
        <w:contextualSpacing/>
        <w:rPr>
          <w:rFonts w:ascii="Calibri" w:hAnsi="Calibri" w:cs="Calibri"/>
          <w:bCs/>
        </w:rPr>
      </w:pPr>
      <w:r w:rsidRPr="00677B47">
        <w:rPr>
          <w:rFonts w:ascii="Calibri" w:hAnsi="Calibri" w:cs="Calibri"/>
          <w:bCs/>
        </w:rPr>
        <w:t xml:space="preserve">Corresponding authors: </w:t>
      </w:r>
    </w:p>
    <w:p w14:paraId="1939A010" w14:textId="7A393FF7" w:rsidR="009E3EBA" w:rsidRPr="00677B47" w:rsidRDefault="009E3EBA" w:rsidP="009B5312">
      <w:pPr>
        <w:contextualSpacing/>
        <w:rPr>
          <w:rFonts w:ascii="Calibri" w:hAnsi="Calibri" w:cs="Calibri"/>
          <w:bCs/>
        </w:rPr>
      </w:pPr>
      <w:r w:rsidRPr="00677B47">
        <w:rPr>
          <w:rFonts w:ascii="Calibri" w:hAnsi="Calibri" w:cs="Calibri"/>
          <w:bCs/>
        </w:rPr>
        <w:t>Erin M. Buckley</w:t>
      </w:r>
      <w:r w:rsidRPr="00677B47">
        <w:rPr>
          <w:rFonts w:ascii="Calibri" w:hAnsi="Calibri" w:cs="Calibri"/>
          <w:bCs/>
        </w:rPr>
        <w:tab/>
      </w:r>
      <w:r w:rsidRPr="00677B47">
        <w:rPr>
          <w:rFonts w:ascii="Calibri" w:hAnsi="Calibri" w:cs="Calibri"/>
          <w:bCs/>
        </w:rPr>
        <w:tab/>
      </w:r>
      <w:r w:rsidR="007B1948" w:rsidRPr="007B1948">
        <w:rPr>
          <w:rFonts w:ascii="Calibri" w:hAnsi="Calibri" w:cs="Calibri"/>
        </w:rPr>
        <w:t>(</w:t>
      </w:r>
      <w:r w:rsidRPr="00677B47">
        <w:rPr>
          <w:rFonts w:ascii="Calibri" w:hAnsi="Calibri" w:cs="Calibri"/>
        </w:rPr>
        <w:t>erin.buckley@emory.edu</w:t>
      </w:r>
      <w:r w:rsidR="007B1948" w:rsidRPr="007B1948">
        <w:rPr>
          <w:rFonts w:ascii="Calibri" w:hAnsi="Calibri" w:cs="Calibri"/>
        </w:rPr>
        <w:t>)</w:t>
      </w:r>
    </w:p>
    <w:p w14:paraId="52BE5217" w14:textId="25AD6047" w:rsidR="009E3EBA" w:rsidRPr="00677B47" w:rsidRDefault="009E3EBA" w:rsidP="009B5312">
      <w:pPr>
        <w:contextualSpacing/>
        <w:rPr>
          <w:rFonts w:ascii="Calibri" w:hAnsi="Calibri" w:cs="Calibri"/>
          <w:bCs/>
        </w:rPr>
      </w:pPr>
      <w:r w:rsidRPr="00677B47">
        <w:rPr>
          <w:rFonts w:ascii="Calibri" w:hAnsi="Calibri" w:cs="Calibri"/>
          <w:bCs/>
        </w:rPr>
        <w:t>Levi B. Wood</w:t>
      </w:r>
      <w:r w:rsidRPr="00677B47">
        <w:rPr>
          <w:rFonts w:ascii="Calibri" w:hAnsi="Calibri" w:cs="Calibri"/>
          <w:bCs/>
        </w:rPr>
        <w:tab/>
      </w:r>
      <w:r w:rsidRPr="00677B47">
        <w:rPr>
          <w:rFonts w:ascii="Calibri" w:hAnsi="Calibri" w:cs="Calibri"/>
          <w:bCs/>
        </w:rPr>
        <w:tab/>
      </w:r>
      <w:r w:rsidR="00975467" w:rsidRPr="00677B47" w:rsidDel="00975467">
        <w:rPr>
          <w:rFonts w:ascii="Calibri" w:hAnsi="Calibri" w:cs="Calibri"/>
          <w:bCs/>
        </w:rPr>
        <w:t xml:space="preserve"> </w:t>
      </w:r>
      <w:r w:rsidR="007B1948" w:rsidRPr="007B1948">
        <w:rPr>
          <w:rFonts w:ascii="Calibri" w:hAnsi="Calibri" w:cs="Calibri"/>
        </w:rPr>
        <w:t>(</w:t>
      </w:r>
      <w:r w:rsidRPr="00677B47">
        <w:rPr>
          <w:rFonts w:ascii="Calibri" w:hAnsi="Calibri" w:cs="Calibri"/>
        </w:rPr>
        <w:t>levi.wood@me.gatech.edu</w:t>
      </w:r>
      <w:r w:rsidR="007B1948" w:rsidRPr="007B1948">
        <w:rPr>
          <w:rFonts w:ascii="Calibri" w:hAnsi="Calibri" w:cs="Calibri"/>
        </w:rPr>
        <w:t>)</w:t>
      </w:r>
    </w:p>
    <w:p w14:paraId="6A6012BF" w14:textId="77777777" w:rsidR="00D04A95" w:rsidRPr="00677B47" w:rsidRDefault="00D04A95" w:rsidP="009B5312">
      <w:pPr>
        <w:contextualSpacing/>
        <w:jc w:val="center"/>
        <w:rPr>
          <w:rFonts w:ascii="Calibri" w:hAnsi="Calibri" w:cs="Calibri"/>
          <w:bCs/>
          <w:color w:val="808080" w:themeColor="background1" w:themeShade="80"/>
        </w:rPr>
      </w:pPr>
    </w:p>
    <w:p w14:paraId="02BC13CA" w14:textId="3382F22B" w:rsidR="006305D7" w:rsidRPr="00677B47" w:rsidRDefault="006305D7" w:rsidP="009B5312">
      <w:pPr>
        <w:pStyle w:val="NormalWeb"/>
        <w:spacing w:before="0" w:beforeAutospacing="0" w:after="0" w:afterAutospacing="0"/>
        <w:contextualSpacing/>
      </w:pPr>
      <w:r w:rsidRPr="00677B47">
        <w:rPr>
          <w:b/>
          <w:bCs/>
        </w:rPr>
        <w:t>KEYWORDS:</w:t>
      </w:r>
      <w:r w:rsidRPr="00677B47">
        <w:t xml:space="preserve"> </w:t>
      </w:r>
    </w:p>
    <w:p w14:paraId="044FDD2A" w14:textId="77777777" w:rsidR="009E3EBA" w:rsidRPr="00677B47" w:rsidRDefault="009E3EBA" w:rsidP="009B5312">
      <w:pPr>
        <w:contextualSpacing/>
        <w:rPr>
          <w:rFonts w:ascii="Calibri" w:hAnsi="Calibri" w:cs="Calibri"/>
          <w:color w:val="808080" w:themeColor="background1" w:themeShade="80"/>
        </w:rPr>
      </w:pPr>
      <w:r w:rsidRPr="00677B47">
        <w:rPr>
          <w:rFonts w:ascii="Calibri" w:hAnsi="Calibri" w:cs="Calibri"/>
        </w:rPr>
        <w:t>Mild traumatic brain injury, cerebral blood flow, neuroinflammation, multiplexed ELISA, partial least squares regression</w:t>
      </w:r>
      <w:r w:rsidR="00F01E16" w:rsidRPr="00677B47">
        <w:rPr>
          <w:rFonts w:ascii="Calibri" w:hAnsi="Calibri" w:cs="Calibri"/>
        </w:rPr>
        <w:t>, cytokines</w:t>
      </w:r>
      <w:r w:rsidR="00064D07" w:rsidRPr="00677B47">
        <w:rPr>
          <w:rFonts w:ascii="Calibri" w:hAnsi="Calibri" w:cs="Calibri"/>
        </w:rPr>
        <w:t>, phospho-proteins</w:t>
      </w:r>
    </w:p>
    <w:p w14:paraId="06E45141" w14:textId="77777777" w:rsidR="006305D7" w:rsidRPr="00677B47" w:rsidRDefault="006305D7" w:rsidP="009B5312">
      <w:pPr>
        <w:pStyle w:val="NormalWeb"/>
        <w:spacing w:before="0" w:beforeAutospacing="0" w:after="0" w:afterAutospacing="0"/>
        <w:contextualSpacing/>
      </w:pPr>
    </w:p>
    <w:p w14:paraId="000DEF8B" w14:textId="6D4C0B4F" w:rsidR="006305D7" w:rsidRPr="00677B47" w:rsidRDefault="00086FF5" w:rsidP="009B5312">
      <w:pPr>
        <w:contextualSpacing/>
        <w:rPr>
          <w:rFonts w:ascii="Calibri" w:hAnsi="Calibri" w:cs="Calibri"/>
        </w:rPr>
      </w:pPr>
      <w:r w:rsidRPr="00677B47">
        <w:rPr>
          <w:rFonts w:ascii="Calibri" w:hAnsi="Calibri" w:cs="Calibri"/>
          <w:b/>
          <w:bCs/>
        </w:rPr>
        <w:t>SUMMARY</w:t>
      </w:r>
      <w:r w:rsidR="006305D7" w:rsidRPr="00677B47">
        <w:rPr>
          <w:rFonts w:ascii="Calibri" w:hAnsi="Calibri" w:cs="Calibri"/>
          <w:b/>
          <w:bCs/>
        </w:rPr>
        <w:t>:</w:t>
      </w:r>
    </w:p>
    <w:p w14:paraId="31AB4FE9" w14:textId="79437389" w:rsidR="007A7D8D" w:rsidRPr="00677B47" w:rsidRDefault="00284231" w:rsidP="009B5312">
      <w:pPr>
        <w:contextualSpacing/>
        <w:rPr>
          <w:rFonts w:ascii="Calibri" w:hAnsi="Calibri" w:cs="Calibri"/>
          <w:color w:val="808080" w:themeColor="background1" w:themeShade="80"/>
        </w:rPr>
      </w:pPr>
      <w:r w:rsidRPr="00677B47">
        <w:rPr>
          <w:rFonts w:ascii="Calibri" w:hAnsi="Calibri" w:cs="Calibri"/>
        </w:rPr>
        <w:t>This protocol</w:t>
      </w:r>
      <w:r w:rsidR="007A7D8D" w:rsidRPr="00677B47">
        <w:rPr>
          <w:rFonts w:ascii="Calibri" w:hAnsi="Calibri" w:cs="Calibri"/>
        </w:rPr>
        <w:t xml:space="preserve"> present</w:t>
      </w:r>
      <w:r w:rsidRPr="00677B47">
        <w:rPr>
          <w:rFonts w:ascii="Calibri" w:hAnsi="Calibri" w:cs="Calibri"/>
        </w:rPr>
        <w:t>s</w:t>
      </w:r>
      <w:r w:rsidR="007A7D8D" w:rsidRPr="00677B47">
        <w:rPr>
          <w:rFonts w:ascii="Calibri" w:hAnsi="Calibri" w:cs="Calibri"/>
        </w:rPr>
        <w:t xml:space="preserve"> methods to characterize the neuroinflammatory and hemodynamic </w:t>
      </w:r>
      <w:r w:rsidR="009045AF" w:rsidRPr="00677B47">
        <w:rPr>
          <w:rFonts w:ascii="Calibri" w:hAnsi="Calibri" w:cs="Calibri"/>
        </w:rPr>
        <w:t>response to</w:t>
      </w:r>
      <w:r w:rsidR="007A7D8D" w:rsidRPr="00677B47">
        <w:rPr>
          <w:rFonts w:ascii="Calibri" w:hAnsi="Calibri" w:cs="Calibri"/>
        </w:rPr>
        <w:t xml:space="preserve"> mil</w:t>
      </w:r>
      <w:r w:rsidR="008340DE" w:rsidRPr="00677B47">
        <w:rPr>
          <w:rFonts w:ascii="Calibri" w:hAnsi="Calibri" w:cs="Calibri"/>
        </w:rPr>
        <w:t>d traumatic brain injury and to integrate</w:t>
      </w:r>
      <w:r w:rsidR="007A7D8D" w:rsidRPr="00677B47">
        <w:rPr>
          <w:rFonts w:ascii="Calibri" w:hAnsi="Calibri" w:cs="Calibri"/>
        </w:rPr>
        <w:t xml:space="preserve"> these data as part of a multivariate systems analysis using partial least squares regression.</w:t>
      </w:r>
    </w:p>
    <w:p w14:paraId="2F5A7CB1" w14:textId="77777777" w:rsidR="00606327" w:rsidRPr="00677B47" w:rsidRDefault="00606327" w:rsidP="009B5312">
      <w:pPr>
        <w:contextualSpacing/>
        <w:rPr>
          <w:rFonts w:ascii="Calibri" w:hAnsi="Calibri" w:cs="Calibri"/>
        </w:rPr>
      </w:pPr>
    </w:p>
    <w:p w14:paraId="7CF50CE9" w14:textId="3D70ABFE" w:rsidR="006305D7" w:rsidRPr="00677B47" w:rsidRDefault="006305D7" w:rsidP="009B5312">
      <w:pPr>
        <w:contextualSpacing/>
        <w:rPr>
          <w:rFonts w:ascii="Calibri" w:hAnsi="Calibri" w:cs="Calibri"/>
          <w:color w:val="808080"/>
        </w:rPr>
      </w:pPr>
      <w:r w:rsidRPr="00677B47">
        <w:rPr>
          <w:rFonts w:ascii="Calibri" w:hAnsi="Calibri" w:cs="Calibri"/>
          <w:b/>
          <w:bCs/>
        </w:rPr>
        <w:t>ABSTRACT:</w:t>
      </w:r>
      <w:r w:rsidRPr="00677B47">
        <w:rPr>
          <w:rFonts w:ascii="Calibri" w:hAnsi="Calibri" w:cs="Calibri"/>
        </w:rPr>
        <w:t xml:space="preserve"> </w:t>
      </w:r>
    </w:p>
    <w:p w14:paraId="4324F006" w14:textId="16F48811" w:rsidR="00606327" w:rsidRPr="00677B47" w:rsidRDefault="0035507E" w:rsidP="009B5312">
      <w:pPr>
        <w:contextualSpacing/>
        <w:rPr>
          <w:rFonts w:ascii="Calibri" w:hAnsi="Calibri" w:cs="Calibri"/>
        </w:rPr>
      </w:pPr>
      <w:r w:rsidRPr="00677B47">
        <w:rPr>
          <w:rFonts w:ascii="Calibri" w:hAnsi="Calibri" w:cs="Calibri"/>
        </w:rPr>
        <w:t xml:space="preserve">Mild traumatic brain injuries </w:t>
      </w:r>
      <w:r w:rsidR="007B1948" w:rsidRPr="007B1948">
        <w:rPr>
          <w:rFonts w:ascii="Calibri" w:hAnsi="Calibri" w:cs="Calibri"/>
        </w:rPr>
        <w:t>(</w:t>
      </w:r>
      <w:r w:rsidRPr="00677B47">
        <w:rPr>
          <w:rFonts w:ascii="Calibri" w:hAnsi="Calibri" w:cs="Calibri"/>
        </w:rPr>
        <w:t>mTBIs</w:t>
      </w:r>
      <w:r w:rsidR="007B1948" w:rsidRPr="007B1948">
        <w:rPr>
          <w:rFonts w:ascii="Calibri" w:hAnsi="Calibri" w:cs="Calibri"/>
        </w:rPr>
        <w:t>)</w:t>
      </w:r>
      <w:r w:rsidRPr="00677B47">
        <w:rPr>
          <w:rFonts w:ascii="Calibri" w:hAnsi="Calibri" w:cs="Calibri"/>
        </w:rPr>
        <w:t xml:space="preserve"> are a significant public health p</w:t>
      </w:r>
      <w:r w:rsidR="008340DE" w:rsidRPr="00677B47">
        <w:rPr>
          <w:rFonts w:ascii="Calibri" w:hAnsi="Calibri" w:cs="Calibri"/>
        </w:rPr>
        <w:t>roblem</w:t>
      </w:r>
      <w:r w:rsidRPr="00677B47">
        <w:rPr>
          <w:rFonts w:ascii="Calibri" w:hAnsi="Calibri" w:cs="Calibri"/>
        </w:rPr>
        <w:t xml:space="preserve">. Repeated exposure to mTBI can lead to cumulative, long-lasting </w:t>
      </w:r>
      <w:r w:rsidR="008340DE" w:rsidRPr="00677B47">
        <w:rPr>
          <w:rFonts w:ascii="Calibri" w:hAnsi="Calibri" w:cs="Calibri"/>
        </w:rPr>
        <w:t>functional</w:t>
      </w:r>
      <w:r w:rsidR="00284231" w:rsidRPr="00677B47">
        <w:rPr>
          <w:rFonts w:ascii="Calibri" w:hAnsi="Calibri" w:cs="Calibri"/>
        </w:rPr>
        <w:t xml:space="preserve"> </w:t>
      </w:r>
      <w:r w:rsidRPr="00677B47">
        <w:rPr>
          <w:rFonts w:ascii="Calibri" w:hAnsi="Calibri" w:cs="Calibri"/>
        </w:rPr>
        <w:t xml:space="preserve">deficits. Numerous studies by our group and others </w:t>
      </w:r>
      <w:r w:rsidR="00F01E16" w:rsidRPr="00677B47">
        <w:rPr>
          <w:rFonts w:ascii="Calibri" w:hAnsi="Calibri" w:cs="Calibri"/>
        </w:rPr>
        <w:t xml:space="preserve">have shown </w:t>
      </w:r>
      <w:r w:rsidRPr="00677B47">
        <w:rPr>
          <w:rFonts w:ascii="Calibri" w:hAnsi="Calibri" w:cs="Calibri"/>
        </w:rPr>
        <w:t xml:space="preserve">that mTBI </w:t>
      </w:r>
      <w:r w:rsidR="00EE6350" w:rsidRPr="00677B47">
        <w:rPr>
          <w:rFonts w:ascii="Calibri" w:hAnsi="Calibri" w:cs="Calibri"/>
        </w:rPr>
        <w:t xml:space="preserve">stimulates cytokine </w:t>
      </w:r>
      <w:r w:rsidR="00D85287" w:rsidRPr="00677B47">
        <w:rPr>
          <w:rFonts w:ascii="Calibri" w:hAnsi="Calibri" w:cs="Calibri"/>
        </w:rPr>
        <w:t xml:space="preserve">expression </w:t>
      </w:r>
      <w:r w:rsidR="00EE6350" w:rsidRPr="00677B47">
        <w:rPr>
          <w:rFonts w:ascii="Calibri" w:hAnsi="Calibri" w:cs="Calibri"/>
        </w:rPr>
        <w:t xml:space="preserve">and </w:t>
      </w:r>
      <w:r w:rsidR="00D85287" w:rsidRPr="00677B47">
        <w:rPr>
          <w:rFonts w:ascii="Calibri" w:hAnsi="Calibri" w:cs="Calibri"/>
        </w:rPr>
        <w:t xml:space="preserve">activates </w:t>
      </w:r>
      <w:r w:rsidR="00EE6350" w:rsidRPr="00677B47">
        <w:rPr>
          <w:rFonts w:ascii="Calibri" w:hAnsi="Calibri" w:cs="Calibri"/>
        </w:rPr>
        <w:t>microglia</w:t>
      </w:r>
      <w:r w:rsidRPr="00677B47">
        <w:rPr>
          <w:rFonts w:ascii="Calibri" w:hAnsi="Calibri" w:cs="Calibri"/>
        </w:rPr>
        <w:t xml:space="preserve">, decreases cerebral blood flow and metabolism, and impairs cerebrovascular reactivity. Moreover, several works have reported an association between derangements in </w:t>
      </w:r>
      <w:r w:rsidR="009045AF" w:rsidRPr="00677B47">
        <w:rPr>
          <w:rFonts w:ascii="Calibri" w:hAnsi="Calibri" w:cs="Calibri"/>
        </w:rPr>
        <w:t xml:space="preserve">these </w:t>
      </w:r>
      <w:r w:rsidRPr="00677B47">
        <w:rPr>
          <w:rFonts w:ascii="Calibri" w:hAnsi="Calibri" w:cs="Calibri"/>
        </w:rPr>
        <w:t>neuroinflammatory and hemodynamic markers</w:t>
      </w:r>
      <w:r w:rsidR="00780C39" w:rsidRPr="00677B47">
        <w:rPr>
          <w:rFonts w:ascii="Calibri" w:hAnsi="Calibri" w:cs="Calibri"/>
        </w:rPr>
        <w:t xml:space="preserve"> and cognitive impairments</w:t>
      </w:r>
      <w:r w:rsidRPr="00677B47">
        <w:rPr>
          <w:rFonts w:ascii="Calibri" w:hAnsi="Calibri" w:cs="Calibri"/>
        </w:rPr>
        <w:t xml:space="preserve">. Herein we detail methods to characterize the neuroinflammatory and hemodynamic </w:t>
      </w:r>
      <w:r w:rsidR="00292BB6" w:rsidRPr="00677B47">
        <w:rPr>
          <w:rFonts w:ascii="Calibri" w:hAnsi="Calibri" w:cs="Calibri"/>
        </w:rPr>
        <w:t>tissue response to</w:t>
      </w:r>
      <w:r w:rsidRPr="00677B47">
        <w:rPr>
          <w:rFonts w:ascii="Calibri" w:hAnsi="Calibri" w:cs="Calibri"/>
        </w:rPr>
        <w:t xml:space="preserve"> </w:t>
      </w:r>
      <w:r w:rsidRPr="00677B47">
        <w:rPr>
          <w:rFonts w:ascii="Calibri" w:hAnsi="Calibri" w:cs="Calibri"/>
        </w:rPr>
        <w:lastRenderedPageBreak/>
        <w:t xml:space="preserve">mTBI in mice. </w:t>
      </w:r>
      <w:r w:rsidR="00292BB6" w:rsidRPr="00677B47">
        <w:rPr>
          <w:rFonts w:ascii="Calibri" w:hAnsi="Calibri" w:cs="Calibri"/>
        </w:rPr>
        <w:t xml:space="preserve">Specifically, </w:t>
      </w:r>
      <w:r w:rsidR="00413A61" w:rsidRPr="00677B47">
        <w:rPr>
          <w:rFonts w:ascii="Calibri" w:hAnsi="Calibri" w:cs="Calibri"/>
        </w:rPr>
        <w:t xml:space="preserve">we </w:t>
      </w:r>
      <w:r w:rsidR="00292BB6" w:rsidRPr="00677B47">
        <w:rPr>
          <w:rFonts w:ascii="Calibri" w:hAnsi="Calibri" w:cs="Calibri"/>
        </w:rPr>
        <w:t xml:space="preserve">describe </w:t>
      </w:r>
      <w:r w:rsidRPr="00677B47">
        <w:rPr>
          <w:rFonts w:ascii="Calibri" w:hAnsi="Calibri" w:cs="Calibri"/>
        </w:rPr>
        <w:t>how to perform a weight-drop model of mild traumatic brain injury, how to longitudinally measure cerebral blood flow using a</w:t>
      </w:r>
      <w:r w:rsidR="00413A61" w:rsidRPr="00677B47">
        <w:rPr>
          <w:rFonts w:ascii="Calibri" w:hAnsi="Calibri" w:cs="Calibri"/>
        </w:rPr>
        <w:t xml:space="preserve"> non-invasive optical</w:t>
      </w:r>
      <w:r w:rsidRPr="00677B47">
        <w:rPr>
          <w:rFonts w:ascii="Calibri" w:hAnsi="Calibri" w:cs="Calibri"/>
        </w:rPr>
        <w:t xml:space="preserve"> technique </w:t>
      </w:r>
      <w:r w:rsidR="00E6296A" w:rsidRPr="00677B47">
        <w:rPr>
          <w:rFonts w:ascii="Calibri" w:hAnsi="Calibri" w:cs="Calibri"/>
        </w:rPr>
        <w:t>called diffuse correlation spectroscopy</w:t>
      </w:r>
      <w:r w:rsidRPr="00677B47">
        <w:rPr>
          <w:rFonts w:ascii="Calibri" w:hAnsi="Calibri" w:cs="Calibri"/>
        </w:rPr>
        <w:t xml:space="preserve">, and how to perform a </w:t>
      </w:r>
      <w:r w:rsidR="00284231" w:rsidRPr="00677B47">
        <w:rPr>
          <w:rFonts w:ascii="Calibri" w:hAnsi="Calibri" w:cs="Calibri"/>
        </w:rPr>
        <w:t xml:space="preserve">Luminex </w:t>
      </w:r>
      <w:r w:rsidRPr="00677B47">
        <w:rPr>
          <w:rFonts w:ascii="Calibri" w:hAnsi="Calibri" w:cs="Calibri"/>
        </w:rPr>
        <w:t xml:space="preserve">multiplexed immunoassay on brain tissue samples to </w:t>
      </w:r>
      <w:r w:rsidR="00284231" w:rsidRPr="00677B47">
        <w:rPr>
          <w:rFonts w:ascii="Calibri" w:hAnsi="Calibri" w:cs="Calibri"/>
        </w:rPr>
        <w:t xml:space="preserve">quantify </w:t>
      </w:r>
      <w:r w:rsidRPr="00677B47">
        <w:rPr>
          <w:rFonts w:ascii="Calibri" w:hAnsi="Calibri" w:cs="Calibri"/>
        </w:rPr>
        <w:t>cytokines</w:t>
      </w:r>
      <w:r w:rsidR="00CB6267" w:rsidRPr="00677B47">
        <w:rPr>
          <w:rFonts w:ascii="Calibri" w:hAnsi="Calibri" w:cs="Calibri"/>
        </w:rPr>
        <w:t xml:space="preserve"> and immunomodulatory phospho-proteins </w:t>
      </w:r>
      <w:r w:rsidR="007B1948" w:rsidRPr="007B1948">
        <w:rPr>
          <w:rFonts w:ascii="Calibri" w:hAnsi="Calibri" w:cs="Calibri"/>
        </w:rPr>
        <w:t>(</w:t>
      </w:r>
      <w:r w:rsidR="00CB6267" w:rsidRPr="00677B47">
        <w:rPr>
          <w:rFonts w:ascii="Calibri" w:hAnsi="Calibri" w:cs="Calibri"/>
        </w:rPr>
        <w:t>e.g., within the MAPK and N</w:t>
      </w:r>
      <w:r w:rsidR="008A7B88" w:rsidRPr="00677B47">
        <w:rPr>
          <w:rFonts w:ascii="Calibri" w:hAnsi="Calibri" w:cs="Calibri"/>
        </w:rPr>
        <w:t>F</w:t>
      </w:r>
      <w:r w:rsidR="00CB6267" w:rsidRPr="00677B47">
        <w:rPr>
          <w:rFonts w:ascii="Calibri" w:hAnsi="Calibri" w:cs="Calibri"/>
        </w:rPr>
        <w:sym w:font="Symbol" w:char="F06B"/>
      </w:r>
      <w:r w:rsidR="00CB6267" w:rsidRPr="00677B47">
        <w:rPr>
          <w:rFonts w:ascii="Calibri" w:hAnsi="Calibri" w:cs="Calibri"/>
        </w:rPr>
        <w:t>B pathway</w:t>
      </w:r>
      <w:r w:rsidR="008A7B88" w:rsidRPr="00677B47">
        <w:rPr>
          <w:rFonts w:ascii="Calibri" w:hAnsi="Calibri" w:cs="Calibri"/>
        </w:rPr>
        <w:t>s</w:t>
      </w:r>
      <w:r w:rsidR="007B1948" w:rsidRPr="007B1948">
        <w:rPr>
          <w:rFonts w:ascii="Calibri" w:hAnsi="Calibri" w:cs="Calibri"/>
        </w:rPr>
        <w:t>)</w:t>
      </w:r>
      <w:r w:rsidRPr="00677B47">
        <w:rPr>
          <w:rFonts w:ascii="Calibri" w:hAnsi="Calibri" w:cs="Calibri"/>
        </w:rPr>
        <w:t xml:space="preserve"> that </w:t>
      </w:r>
      <w:r w:rsidR="00292BB6" w:rsidRPr="00677B47">
        <w:rPr>
          <w:rFonts w:ascii="Calibri" w:hAnsi="Calibri" w:cs="Calibri"/>
        </w:rPr>
        <w:t xml:space="preserve">respond to and </w:t>
      </w:r>
      <w:r w:rsidRPr="00677B47">
        <w:rPr>
          <w:rFonts w:ascii="Calibri" w:hAnsi="Calibri" w:cs="Calibri"/>
        </w:rPr>
        <w:t xml:space="preserve">regulate </w:t>
      </w:r>
      <w:r w:rsidR="00EE6350" w:rsidRPr="00677B47">
        <w:rPr>
          <w:rFonts w:ascii="Calibri" w:hAnsi="Calibri" w:cs="Calibri"/>
        </w:rPr>
        <w:t>activity of microglia and other neural immune cells</w:t>
      </w:r>
      <w:r w:rsidRPr="00677B47">
        <w:rPr>
          <w:rFonts w:ascii="Calibri" w:hAnsi="Calibri" w:cs="Calibri"/>
        </w:rPr>
        <w:t xml:space="preserve">. Finally, we detail how to integrate these data </w:t>
      </w:r>
      <w:r w:rsidR="009045AF" w:rsidRPr="00677B47">
        <w:rPr>
          <w:rFonts w:ascii="Calibri" w:hAnsi="Calibri" w:cs="Calibri"/>
        </w:rPr>
        <w:t>using</w:t>
      </w:r>
      <w:r w:rsidR="00284231" w:rsidRPr="00677B47">
        <w:rPr>
          <w:rFonts w:ascii="Calibri" w:hAnsi="Calibri" w:cs="Calibri"/>
        </w:rPr>
        <w:t xml:space="preserve"> a</w:t>
      </w:r>
      <w:r w:rsidRPr="00677B47">
        <w:rPr>
          <w:rFonts w:ascii="Calibri" w:hAnsi="Calibri" w:cs="Calibri"/>
        </w:rPr>
        <w:t xml:space="preserve"> multivariate systems </w:t>
      </w:r>
      <w:r w:rsidR="00284231" w:rsidRPr="00677B47">
        <w:rPr>
          <w:rFonts w:ascii="Calibri" w:hAnsi="Calibri" w:cs="Calibri"/>
        </w:rPr>
        <w:t xml:space="preserve">analysis </w:t>
      </w:r>
      <w:r w:rsidR="009045AF" w:rsidRPr="00677B47">
        <w:rPr>
          <w:rFonts w:ascii="Calibri" w:hAnsi="Calibri" w:cs="Calibri"/>
        </w:rPr>
        <w:t xml:space="preserve">approach </w:t>
      </w:r>
      <w:r w:rsidR="00292BB6" w:rsidRPr="00677B47">
        <w:rPr>
          <w:rFonts w:ascii="Calibri" w:hAnsi="Calibri" w:cs="Calibri"/>
        </w:rPr>
        <w:t xml:space="preserve">to </w:t>
      </w:r>
      <w:r w:rsidR="00284231" w:rsidRPr="00677B47">
        <w:rPr>
          <w:rFonts w:ascii="Calibri" w:hAnsi="Calibri" w:cs="Calibri"/>
        </w:rPr>
        <w:t>understand the relationships between all these variables</w:t>
      </w:r>
      <w:r w:rsidR="00606327" w:rsidRPr="00677B47">
        <w:rPr>
          <w:rFonts w:ascii="Calibri" w:hAnsi="Calibri" w:cs="Calibri"/>
        </w:rPr>
        <w:t xml:space="preserve">. </w:t>
      </w:r>
      <w:r w:rsidR="008F4285" w:rsidRPr="00677B47">
        <w:rPr>
          <w:rFonts w:ascii="Calibri" w:hAnsi="Calibri" w:cs="Calibri"/>
        </w:rPr>
        <w:t>Understanding the relationships between these physiologic and molecular variables will ultimately enable us to identify mechanisms responsible for mTBI.</w:t>
      </w:r>
      <w:r w:rsidR="00981AEE" w:rsidRPr="00677B47">
        <w:rPr>
          <w:rFonts w:ascii="Calibri" w:hAnsi="Calibri" w:cs="Calibri"/>
        </w:rPr>
        <w:t xml:space="preserve"> </w:t>
      </w:r>
    </w:p>
    <w:p w14:paraId="13CBA683" w14:textId="77777777" w:rsidR="006305D7" w:rsidRPr="00677B47" w:rsidRDefault="006305D7" w:rsidP="009B5312">
      <w:pPr>
        <w:contextualSpacing/>
        <w:rPr>
          <w:rFonts w:ascii="Calibri" w:hAnsi="Calibri" w:cs="Calibri"/>
        </w:rPr>
      </w:pPr>
    </w:p>
    <w:p w14:paraId="06BFB354" w14:textId="53782DF6" w:rsidR="006305D7" w:rsidRPr="00677B47" w:rsidRDefault="006305D7" w:rsidP="009B5312">
      <w:pPr>
        <w:contextualSpacing/>
        <w:rPr>
          <w:rFonts w:ascii="Calibri" w:hAnsi="Calibri" w:cs="Calibri"/>
          <w:b/>
          <w:bCs/>
        </w:rPr>
      </w:pPr>
      <w:r w:rsidRPr="00677B47">
        <w:rPr>
          <w:rFonts w:ascii="Calibri" w:hAnsi="Calibri" w:cs="Calibri"/>
          <w:b/>
        </w:rPr>
        <w:t>INTRODUCTION</w:t>
      </w:r>
      <w:r w:rsidRPr="00677B47">
        <w:rPr>
          <w:rFonts w:ascii="Calibri" w:hAnsi="Calibri" w:cs="Calibri"/>
          <w:b/>
          <w:bCs/>
        </w:rPr>
        <w:t>:</w:t>
      </w:r>
    </w:p>
    <w:p w14:paraId="44880CE9" w14:textId="6CA7D1C2" w:rsidR="00481A32" w:rsidRPr="00677B47" w:rsidRDefault="00481A32" w:rsidP="009B5312">
      <w:pPr>
        <w:contextualSpacing/>
        <w:rPr>
          <w:rFonts w:ascii="Calibri" w:hAnsi="Calibri" w:cs="Calibri"/>
          <w:color w:val="808080"/>
        </w:rPr>
      </w:pPr>
      <w:r w:rsidRPr="00677B47">
        <w:rPr>
          <w:rFonts w:ascii="Calibri" w:hAnsi="Calibri" w:cs="Calibri"/>
          <w:b/>
          <w:bCs/>
        </w:rPr>
        <w:t>Overview</w:t>
      </w:r>
    </w:p>
    <w:p w14:paraId="160DE480" w14:textId="3EACD1F2" w:rsidR="00AA2153" w:rsidRPr="00677B47" w:rsidRDefault="004E47A4" w:rsidP="009B5312">
      <w:pPr>
        <w:contextualSpacing/>
        <w:rPr>
          <w:rFonts w:ascii="Calibri" w:hAnsi="Calibri" w:cs="Calibri"/>
          <w:i/>
        </w:rPr>
      </w:pPr>
      <w:r w:rsidRPr="00677B47">
        <w:rPr>
          <w:rFonts w:ascii="Calibri" w:hAnsi="Calibri" w:cs="Calibri"/>
        </w:rPr>
        <w:t xml:space="preserve">Mild traumatic brain injuries </w:t>
      </w:r>
      <w:r w:rsidR="007B1948" w:rsidRPr="007B1948">
        <w:rPr>
          <w:rFonts w:ascii="Calibri" w:hAnsi="Calibri" w:cs="Calibri"/>
        </w:rPr>
        <w:t>(</w:t>
      </w:r>
      <w:r w:rsidRPr="00677B47">
        <w:rPr>
          <w:rFonts w:ascii="Calibri" w:hAnsi="Calibri" w:cs="Calibri"/>
        </w:rPr>
        <w:t>mTBI</w:t>
      </w:r>
      <w:r w:rsidR="008F4285" w:rsidRPr="00677B47">
        <w:rPr>
          <w:rFonts w:ascii="Calibri" w:hAnsi="Calibri" w:cs="Calibri"/>
        </w:rPr>
        <w:t>s</w:t>
      </w:r>
      <w:r w:rsidR="007B1948" w:rsidRPr="007B1948">
        <w:rPr>
          <w:rFonts w:ascii="Calibri" w:hAnsi="Calibri" w:cs="Calibri"/>
        </w:rPr>
        <w:t>)</w:t>
      </w:r>
      <w:r w:rsidRPr="00677B47">
        <w:rPr>
          <w:rFonts w:ascii="Calibri" w:hAnsi="Calibri" w:cs="Calibri"/>
        </w:rPr>
        <w:t xml:space="preserve"> </w:t>
      </w:r>
      <w:r w:rsidR="00DE5ADC" w:rsidRPr="00677B47">
        <w:rPr>
          <w:rFonts w:ascii="Calibri" w:hAnsi="Calibri" w:cs="Calibri"/>
        </w:rPr>
        <w:t>impact</w:t>
      </w:r>
      <w:r w:rsidR="00EE6350" w:rsidRPr="00677B47">
        <w:rPr>
          <w:rFonts w:ascii="Calibri" w:hAnsi="Calibri" w:cs="Calibri"/>
        </w:rPr>
        <w:t xml:space="preserve"> </w:t>
      </w:r>
      <w:r w:rsidRPr="00677B47">
        <w:rPr>
          <w:rFonts w:ascii="Calibri" w:hAnsi="Calibri" w:cs="Calibri"/>
        </w:rPr>
        <w:t>~1.6-3.8 million athletes annually</w:t>
      </w:r>
      <w:r w:rsidRPr="00677B47">
        <w:rPr>
          <w:rFonts w:ascii="Calibri" w:hAnsi="Calibri" w:cs="Calibri"/>
        </w:rPr>
        <w:fldChar w:fldCharType="begin"/>
      </w:r>
      <w:r w:rsidR="00845D95" w:rsidRPr="00677B47">
        <w:rPr>
          <w:rFonts w:ascii="Calibri" w:hAnsi="Calibri" w:cs="Calibri"/>
        </w:rPr>
        <w:instrText xml:space="preserve"> ADDIN ZOTERO_ITEM CSL_CITATION {"citationID":"a1fcs4h5s91","properties":{"formattedCitation":"\\super 1\\nosupersub{}","plainCitation":"1","noteIndex":0},"citationItems":[{"id":"ZyThaQRL/HU6KbNWp","uris":["http://zotero.org/users/local/br6jUFz5/items/9RDAVNH6"],"uri":["http://zotero.org/users/local/br6jUFz5/items/9RDAVNH6"],"itemData":{"id":738,"type":"article-journal","title":"The epidemiology and impact of traumatic brain injury: a brief overview","container-title":"J Head Trauma Rehabil","page":"375-8","volume":"21","issue":"5","source":"NLM","archive_location":"16983222","abstract":"Traumatic brain injury (TBI) is an important public health problem in the United States and worldwide. The estimated 5.3 million Americans living with TBI-related disability face numerous challenges in their efforts to return to a full and productive life. This article presents an overview of the epidemiology and impact of TBI.","ISSN":"0885-9701 (Print) 0885-9701","note":"PMID: 16983222","title-short":"The epidemiology and impact of traumatic brain injury: a brief overview","journalAbbreviation":"The Journal of head trauma rehabilitation","language":"eng","author":[{"family":"Langlois","given":"J. A."},{"family":"Rutland-Brown","given":"W."},{"family":"Wald","given":"M. M."}],"issued":{"date-parts":[["2006",9]]}}}],"schema":"https://github.com/citation-style-language/schema/raw/master/csl-citation.json"} </w:instrText>
      </w:r>
      <w:r w:rsidRPr="00677B47">
        <w:rPr>
          <w:rFonts w:ascii="Calibri" w:hAnsi="Calibri" w:cs="Calibri"/>
        </w:rPr>
        <w:fldChar w:fldCharType="separate"/>
      </w:r>
      <w:r w:rsidRPr="00677B47">
        <w:rPr>
          <w:rFonts w:ascii="Calibri" w:hAnsi="Calibri" w:cs="Calibri"/>
          <w:vertAlign w:val="superscript"/>
        </w:rPr>
        <w:t>1</w:t>
      </w:r>
      <w:r w:rsidRPr="00677B47">
        <w:rPr>
          <w:rFonts w:ascii="Calibri" w:hAnsi="Calibri" w:cs="Calibri"/>
        </w:rPr>
        <w:fldChar w:fldCharType="end"/>
      </w:r>
      <w:r w:rsidRPr="00677B47">
        <w:rPr>
          <w:rFonts w:ascii="Calibri" w:hAnsi="Calibri" w:cs="Calibri"/>
        </w:rPr>
        <w:t xml:space="preserve">. </w:t>
      </w:r>
      <w:r w:rsidR="00C973CA" w:rsidRPr="00677B47">
        <w:rPr>
          <w:rFonts w:ascii="Calibri" w:hAnsi="Calibri" w:cs="Calibri"/>
        </w:rPr>
        <w:t>These injuries</w:t>
      </w:r>
      <w:r w:rsidRPr="00677B47">
        <w:rPr>
          <w:rFonts w:ascii="Calibri" w:hAnsi="Calibri" w:cs="Calibri"/>
        </w:rPr>
        <w:t>, including sub-concussive and concussive injuries, can leave patients with transient physical, emotional, psychological and cognitive symptoms</w:t>
      </w:r>
      <w:r w:rsidRPr="00677B47">
        <w:rPr>
          <w:rFonts w:ascii="Calibri" w:hAnsi="Calibri" w:cs="Calibri"/>
        </w:rPr>
        <w:fldChar w:fldCharType="begin"/>
      </w:r>
      <w:r w:rsidR="00845D95" w:rsidRPr="00677B47">
        <w:rPr>
          <w:rFonts w:ascii="Calibri" w:hAnsi="Calibri" w:cs="Calibri"/>
        </w:rPr>
        <w:instrText xml:space="preserve"> ADDIN ZOTERO_ITEM CSL_CITATION {"citationID":"a1q713e8tt5","properties":{"formattedCitation":"\\super 2\\nosupersub{}","plainCitation":"2","noteIndex":0},"citationItems":[{"id":"ZyThaQRL/pDRcUAss","uris":["http://zotero.org/users/local/br6jUFz5/items/V5LQ5S7C"],"uri":["http://zotero.org/users/local/br6jUFz5/items/V5LQ5S7C"],"itemData":{"id":625,"type":"article-journal","title":"Resting State Functional Connectivity in Mild Traumatic Brain Injury at the Acute Stage: Independent Component and Seed-Based Analyses","container-title":"J Neurotrauma","page":"1031-45","volume":"32","issue":"14","source":"NLM","archive_location":"25285363","abstract":"Mild traumatic brain injury (mTBI) accounts for more than 1 million emergency visits each year. Most of the injured stay in the emergency department for a few hours and are discharged home without a specific follow-up plan because of their negative clinical structural imaging. Advanced magnetic resonance imaging (MRI), particularly functional MRI (fMRI), has been reported as being sensitive to functional disturbances after brain injury. In this study, a cohort of 12 patients with mTBI were prospectively recruited from the emergency department of our local Level-1 trauma center for an advanced MRI scan at the acute stage. Sixteen age- and sex-matched controls were also recruited for comparison. Both group-based and individual-based independent component analysis of resting-state fMRI (rsfMRI) demonstrated reduced functional connectivity in both posterior cingulate cortex (PCC) and precuneus regions in comparison with controls, which is part of the default mode network (DMN). Further seed-based analysis confirmed reduced functional connectivity in these two regions and also demonstrated increased connectivity between these regions and other regions of the brain in mTBI. Seed-based analysis using the thalamus, hippocampus, and amygdala regions further demonstrated increased functional connectivity between these regions and other regions of the brain, particularly in the frontal lobe, in mTBI. Our data demonstrate alterations of multiple brain networks at the resting state, particularly increased functional connectivity in the frontal lobe, in response to brain concussion at the acute stage. Resting-state functional connectivity of the DMN could serve as a potential biomarker for improved detection of mTBI in the acute setting.","DOI":"10.1089/neu.2014.3610","ISSN":"0897-7151","note":"PMID: 25285363","title-short":"Resting State Functional Connectivity in Mild Traumatic Brain Injury at the Acute Stage: Independent Component and Seed-Based Analyses","journalAbbreviation":"Journal of neurotrauma","language":"eng","author":[{"family":"Iraji","given":"A."},{"family":"Benson","given":"R. R."},{"family":"Welch","given":"R. D."},{"family":"O'Neil","given":"B. J."},{"family":"Woodard","given":"J. L."},{"family":"Ayaz","given":"S. I."},{"family":"Kulek","given":"A."},{"family":"Mika","given":"V."},{"family":"Medado","given":"P."},{"family":"Soltanian-Zadeh","given":"H."},{"family":"Liu","given":"T."},{"family":"Haacke","given":"E. M."},{"family":"Kou","given":"Z."}],"issued":{"date-parts":[["2015",7,15]]}}}],"schema":"https://github.com/citation-style-language/schema/raw/master/csl-citation.json"} </w:instrText>
      </w:r>
      <w:r w:rsidRPr="00677B47">
        <w:rPr>
          <w:rFonts w:ascii="Calibri" w:hAnsi="Calibri" w:cs="Calibri"/>
        </w:rPr>
        <w:fldChar w:fldCharType="separate"/>
      </w:r>
      <w:r w:rsidR="001D3A98" w:rsidRPr="00677B47">
        <w:rPr>
          <w:rFonts w:ascii="Calibri" w:hAnsi="Calibri" w:cs="Calibri"/>
          <w:vertAlign w:val="superscript"/>
        </w:rPr>
        <w:t>2</w:t>
      </w:r>
      <w:r w:rsidRPr="00677B47">
        <w:rPr>
          <w:rFonts w:ascii="Calibri" w:hAnsi="Calibri" w:cs="Calibri"/>
        </w:rPr>
        <w:fldChar w:fldCharType="end"/>
      </w:r>
      <w:r w:rsidRPr="00677B47">
        <w:rPr>
          <w:rFonts w:ascii="Calibri" w:hAnsi="Calibri" w:cs="Calibri"/>
        </w:rPr>
        <w:t xml:space="preserve">. Moreover, </w:t>
      </w:r>
      <w:r w:rsidRPr="00677B47">
        <w:rPr>
          <w:rFonts w:ascii="Calibri" w:hAnsi="Calibri" w:cs="Calibri"/>
          <w:i/>
        </w:rPr>
        <w:t>repetitive</w:t>
      </w:r>
      <w:r w:rsidRPr="00677B47">
        <w:rPr>
          <w:rFonts w:ascii="Calibri" w:hAnsi="Calibri" w:cs="Calibri"/>
        </w:rPr>
        <w:t xml:space="preserve"> mTBI </w:t>
      </w:r>
      <w:r w:rsidR="007B1948" w:rsidRPr="007B1948">
        <w:rPr>
          <w:rFonts w:ascii="Calibri" w:hAnsi="Calibri" w:cs="Calibri"/>
        </w:rPr>
        <w:t>(</w:t>
      </w:r>
      <w:r w:rsidRPr="00677B47">
        <w:rPr>
          <w:rFonts w:ascii="Calibri" w:hAnsi="Calibri" w:cs="Calibri"/>
        </w:rPr>
        <w:t>rmTBI</w:t>
      </w:r>
      <w:r w:rsidR="007B1948" w:rsidRPr="007B1948">
        <w:rPr>
          <w:rFonts w:ascii="Calibri" w:hAnsi="Calibri" w:cs="Calibri"/>
        </w:rPr>
        <w:t>)</w:t>
      </w:r>
      <w:r w:rsidRPr="00677B47">
        <w:rPr>
          <w:rFonts w:ascii="Calibri" w:hAnsi="Calibri" w:cs="Calibri"/>
        </w:rPr>
        <w:t xml:space="preserve"> sustained within a “window of vulnerability” can lead to cumulative severity</w:t>
      </w:r>
      <w:r w:rsidR="00284231" w:rsidRPr="00677B47">
        <w:rPr>
          <w:rFonts w:ascii="Calibri" w:hAnsi="Calibri" w:cs="Calibri"/>
        </w:rPr>
        <w:t xml:space="preserve"> and </w:t>
      </w:r>
      <w:r w:rsidRPr="00677B47">
        <w:rPr>
          <w:rFonts w:ascii="Calibri" w:hAnsi="Calibri" w:cs="Calibri"/>
        </w:rPr>
        <w:t>duration of cognitive consequences</w:t>
      </w:r>
      <w:r w:rsidRPr="00677B47">
        <w:rPr>
          <w:rFonts w:ascii="Calibri" w:hAnsi="Calibri" w:cs="Calibri"/>
          <w:b/>
        </w:rPr>
        <w:t xml:space="preserve"> </w:t>
      </w:r>
      <w:r w:rsidRPr="00677B47">
        <w:rPr>
          <w:rFonts w:ascii="Calibri" w:hAnsi="Calibri" w:cs="Calibri"/>
          <w:bCs/>
        </w:rPr>
        <w:t>that</w:t>
      </w:r>
      <w:r w:rsidRPr="00677B47">
        <w:rPr>
          <w:rFonts w:ascii="Calibri" w:hAnsi="Calibri" w:cs="Calibri"/>
          <w:b/>
        </w:rPr>
        <w:t xml:space="preserve"> </w:t>
      </w:r>
      <w:r w:rsidRPr="00677B47">
        <w:rPr>
          <w:rFonts w:ascii="Calibri" w:hAnsi="Calibri" w:cs="Calibri"/>
        </w:rPr>
        <w:t>last longer than the effects of a single mTBI alone</w:t>
      </w:r>
      <w:r w:rsidRPr="00677B47">
        <w:rPr>
          <w:rFonts w:ascii="Calibri" w:hAnsi="Calibri" w:cs="Calibri"/>
        </w:rPr>
        <w:fldChar w:fldCharType="begin"/>
      </w:r>
      <w:r w:rsidR="00845D95" w:rsidRPr="00677B47">
        <w:rPr>
          <w:rFonts w:ascii="Calibri" w:hAnsi="Calibri" w:cs="Calibri"/>
        </w:rPr>
        <w:instrText xml:space="preserve"> ADDIN ZOTERO_ITEM CSL_CITATION {"citationID":"qerEgLvb","properties":{"formattedCitation":"\\super 3\\nosupersub{}","plainCitation":"3","noteIndex":0},"citationItems":[{"id":"ZyThaQRL/SzLjqCzU","uris":["http://zotero.org/users/local/br6jUFz5/items/GSSXA98N"],"uri":["http://zotero.org/users/local/br6jUFz5/items/GSSXA98N"],"itemData":{"id":550,"type":"article-journal","title":"Cumulative effects associated with recurrent concussion in collegiate football players: the NCAA Concussion Study","container-title":"Jama","page":"2549-55","volume":"290","issue":"19","archive_location":"14625331","ISSN":"1538-3598 (Electronic)","note":"PMID: 14625331","title-short":"Cumulative effects associated with recurrent concussion in collegiate football players: the NCAA Concussion Study","language":"eng","author":[{"family":"Guskiewicz","given":"K. M."},{"family":"McCrea","given":"M."},{"family":"Marshall","given":"S. W."},{"family":"Cantu","given":"R. C."},{"family":"Randolph","given":"C."},{"family":"Barr","given":"W."},{"family":"Onate","given":"J. A."},{"family":"Kelly","given":"J. P."}],"issued":{"date-parts":[["2003",11,19]]}}}],"schema":"https://github.com/citation-style-language/schema/raw/master/csl-citation.json"} </w:instrText>
      </w:r>
      <w:r w:rsidRPr="00677B47">
        <w:rPr>
          <w:rFonts w:ascii="Calibri" w:hAnsi="Calibri" w:cs="Calibri"/>
        </w:rPr>
        <w:fldChar w:fldCharType="separate"/>
      </w:r>
      <w:r w:rsidR="001D3A98" w:rsidRPr="00677B47">
        <w:rPr>
          <w:rFonts w:ascii="Calibri" w:hAnsi="Calibri" w:cs="Calibri"/>
          <w:vertAlign w:val="superscript"/>
        </w:rPr>
        <w:t>3</w:t>
      </w:r>
      <w:r w:rsidRPr="00677B47">
        <w:rPr>
          <w:rFonts w:ascii="Calibri" w:hAnsi="Calibri" w:cs="Calibri"/>
        </w:rPr>
        <w:fldChar w:fldCharType="end"/>
      </w:r>
      <w:r w:rsidRPr="00677B47">
        <w:rPr>
          <w:rFonts w:ascii="Calibri" w:hAnsi="Calibri" w:cs="Calibri"/>
        </w:rPr>
        <w:t>, and ultimately even to permanent loss of function</w:t>
      </w:r>
      <w:r w:rsidRPr="00677B47">
        <w:rPr>
          <w:rFonts w:ascii="Calibri" w:hAnsi="Calibri" w:cs="Calibri"/>
          <w:u w:val="single"/>
        </w:rPr>
        <w:fldChar w:fldCharType="begin"/>
      </w:r>
      <w:r w:rsidR="00845D95" w:rsidRPr="00677B47">
        <w:rPr>
          <w:rFonts w:ascii="Calibri" w:hAnsi="Calibri" w:cs="Calibri"/>
          <w:u w:val="single"/>
        </w:rPr>
        <w:instrText xml:space="preserve"> ADDIN ZOTERO_ITEM CSL_CITATION {"citationID":"a2702f70amb","properties":{"formattedCitation":"\\super 4\\uc0\\u8211{}6\\nosupersub{}","plainCitation":"4–6","noteIndex":0},"citationItems":[{"id":"ZyThaQRL/g5DSP988","uris":["http://zotero.org/users/local/br6jUFz5/items/C552VZDE"],"uri":["http://zotero.org/users/local/br6jUFz5/items/C552VZDE"],"itemData":{"id":789,"type":"article-journal","title":"Temporal window of vulnerability to repetitive experimental concussive brain injury","container-title":"Neurosurgery","page":"364-74","volume":"56","issue":"2","archive_location":"15670384","ISSN":"1524-4040 (Electronic) 0148-396X (Linking)","note":"PMID: 15670384","title-short":"Temporal window of vulnerability to repetitive experimental concussive brain injury","language":"eng","author":[{"family":"Longhi","given":"L."},{"family":"Saatman","given":"K. E."},{"family":"Fujimoto","given":"S."},{"family":"Raghupathi","given":"R."},{"family":"Meaney","given":"D. F."},{"family":"Davis","given":"J."},{"family":"McMillan","given":"B. S. A."},{"family":"Conte","given":"V."},{"family":"Laurer","given":"H. L."},{"family":"Stein","given":"S."},{"family":"Stocchetti","given":"N."},{"family":"McIntosh","given":"T. K."}],"issued":{"date-parts":[["2005",2]]}}},{"id":"ZyThaQRL/tqUW2xYv","uris":["http://zotero.org/users/6419092/items/7SK86MDK"],"uri":["http://zotero.org/users/6419092/items/7SK86MDK"],"itemData":{"id":128,"type":"book","abstract":"In the past decade, few subjects at the intersection of medicine and sports have generated as much public interest as sports-related concussions - especially among youth. Despite growing awareness of sports-related concussions and campaigns to educate athletes, coaches, physicians, and parents of young athletes about concussion recognition and management, confusion and controversy persist in many areas. Currently, diagnosis is based primarily on the symptoms reported by the individual rather than on objective diagnostic markers, and there is little empirical evidence for the optimal degree and duration of physical rest needed to promote recovery or the best timing and approach for returning to full physical activity. Sports-Related Concussions in Youth: Improving the Science, Changing the Culture reviews the science of sports-related concussions in youth from elementary school through young adulthood, as well as in military personnel and their dependents. This report recommends actions that can be taken by a range of audiences - including research funding agencies, legislatures, state and school superintendents and athletic directors, military organizations, and equipment manufacturers, as well as youth who participate in sports and their parents - to improve what is known about concussions and to reduce their occurrence. Sports-Related Concussions in Youth finds that while some studies provide useful information, much remains unknown about the extent of concussions in youth; how to diagnose, manage, and prevent concussions; and the short- and long-term consequences of concussions as well as repetitive head impacts that do not result in concussion symptoms. The culture of sports negatively influences athletes' self-reporting of concussion symptoms and their adherence to return-to-play guidance. Athletes, their teammates, and, in some cases, coaches and parents may not fully appreciate the health threats posed by concussions. Similarly, military recruits are immersed in a culture that includes devotion to duty and service before self, and the critical nature of concussions may often go unheeded. According to Sports-Related Concussions in Youth, if the youth sports community can adopt the belief that concussions are serious injuries and emphasize care for players with concussions until they are fully recovered, then the culture in which these athletes perform and compete will become much safer. Improving understanding of the extent, causes, effects, and prevention of sports-related concussions is vitally important for the health and well-being of youth athletes. The findings and recommendations in this report set a direction for research to reach this goal.","call-number":"NBK169016","collection-title":"The National Academies Collection: Reports funded by National Institutes of Health","event-place":"Washington (DC)","ISBN":"978-0-309-28800-2","language":"eng","note":"PMID: 24199265","publisher":"National Academies Press (US)","publisher-place":"Washington (DC)","source":"PubMed","title":"Sports-Related Concussions in Youth: Improving the Science, Changing the Culture","title-short":"Sports-Related Concussions in Youth","URL":"http://www.ncbi.nlm.nih.gov/books/NBK169016/","author":[{"literal":"Committee on Sports-Related Concussions in Youth"},{"literal":"Board on Children, Youth, and Families"},{"literal":"Institute of Medicine"},{"literal":"National Research Council"}],"editor":[{"family":"Graham","given":"Robert"},{"family":"Rivara","given":"Frederick P."},{"family":"Ford","given":"Morgan A."},{"family":"Spicer","given":"Carol Mason"}],"accessed":{"date-parts":[["2020",3,2]]},"issued":{"date-parts":[["2014"]]}}},{"id":"ZyThaQRL/0gSS9Pua","uris":["http://zotero.org/users/local/br6jUFz5/items/BTX6C8JY"],"uri":["http://zotero.org/users/local/br6jUFz5/items/BTX6C8JY"],"itemData":{"id":80,"type":"article-journal","title":"The Molecular Pathophysiology of Concussive Brain Injury - an Update","container-title":"Phys Med Rehabil Clin N Am","page":"373-93","volume":"27","issue":"2","source":"NLM","archive_location":"27154851","abstract":"Concussion, or mild traumatic brain injury (TBI), affects millions of patients worldwide. Understanding the pathophysiology of TBI can help manage its repercussions. The brain is significantly altered immediately following mild TBI because of metabolic, hemodynamic, structural, and electrophysiologic changes. This process affects cognition and behavior and can leave the brain vulnerable for worse injury in the setting of repeat insult. This article is an update of our previously published review, reporting relevant and current studies from the bench to the bedside of mild TBI. Understanding the pathobiology can help prevent and treat mild TBI.","DOI":"10.1016/j.pmr.2016.01.003","ISSN":"1047-9651","note":"PMID: 27154851","title-short":"The Molecular Pathophysiology of Concussive Brain Injury - an Update","journalAbbreviation":"Physical medicine and rehabilitation clinics of North America","language":"eng","author":[{"family":"Barkhoudarian","given":"G."},{"family":"Hovda","given":"D. A."},{"family":"Giza","given":"C. C."}],"issued":{"date-parts":[["2016",5]]}}}],"schema":"https://github.com/citation-style-language/schema/raw/master/csl-citation.json"} </w:instrText>
      </w:r>
      <w:r w:rsidRPr="00677B47">
        <w:rPr>
          <w:rFonts w:ascii="Calibri" w:hAnsi="Calibri" w:cs="Calibri"/>
          <w:u w:val="single"/>
        </w:rPr>
        <w:fldChar w:fldCharType="separate"/>
      </w:r>
      <w:r w:rsidR="001D3A98" w:rsidRPr="00677B47">
        <w:rPr>
          <w:rFonts w:ascii="Calibri" w:hAnsi="Calibri" w:cs="Calibri"/>
          <w:vertAlign w:val="superscript"/>
        </w:rPr>
        <w:t>4–6</w:t>
      </w:r>
      <w:r w:rsidRPr="00677B47">
        <w:rPr>
          <w:rFonts w:ascii="Calibri" w:hAnsi="Calibri" w:cs="Calibri"/>
          <w:u w:val="single"/>
        </w:rPr>
        <w:fldChar w:fldCharType="end"/>
      </w:r>
      <w:r w:rsidRPr="00677B47">
        <w:rPr>
          <w:rFonts w:ascii="Calibri" w:hAnsi="Calibri" w:cs="Calibri"/>
        </w:rPr>
        <w:t xml:space="preserve">. Although many patients recover within a relatively short time frame </w:t>
      </w:r>
      <w:r w:rsidR="007B1948" w:rsidRPr="007B1948">
        <w:rPr>
          <w:rFonts w:ascii="Calibri" w:hAnsi="Calibri" w:cs="Calibri"/>
        </w:rPr>
        <w:t>(</w:t>
      </w:r>
      <w:r w:rsidRPr="00677B47">
        <w:rPr>
          <w:rFonts w:ascii="Calibri" w:hAnsi="Calibri" w:cs="Calibri"/>
        </w:rPr>
        <w:t>&lt;1 week</w:t>
      </w:r>
      <w:r w:rsidR="007B1948" w:rsidRPr="007B1948">
        <w:rPr>
          <w:rFonts w:ascii="Calibri" w:hAnsi="Calibri" w:cs="Calibri"/>
        </w:rPr>
        <w:t>)</w:t>
      </w:r>
      <w:r w:rsidRPr="00677B47">
        <w:rPr>
          <w:rFonts w:ascii="Calibri" w:hAnsi="Calibri" w:cs="Calibri"/>
        </w:rPr>
        <w:t>, 10-40% of patients suffer longer lasting effects of mTBI for &gt; 1 month, with some lasting up to 1 year</w:t>
      </w:r>
      <w:r w:rsidRPr="00677B47">
        <w:rPr>
          <w:rFonts w:ascii="Calibri" w:hAnsi="Calibri" w:cs="Calibri"/>
        </w:rPr>
        <w:fldChar w:fldCharType="begin"/>
      </w:r>
      <w:r w:rsidR="00845D95" w:rsidRPr="00677B47">
        <w:rPr>
          <w:rFonts w:ascii="Calibri" w:hAnsi="Calibri" w:cs="Calibri"/>
        </w:rPr>
        <w:instrText xml:space="preserve"> ADDIN ZOTERO_ITEM CSL_CITATION {"citationID":"y8Jomp5N","properties":{"formattedCitation":"\\super 3, 7\\uc0\\u8211{}9\\nosupersub{}","plainCitation":"3, 7–9","noteIndex":0},"citationItems":[{"id":"ZyThaQRL/SzLjqCzU","uris":["http://zotero.org/users/local/br6jUFz5/items/GSSXA98N"],"uri":["http://zotero.org/users/local/br6jUFz5/items/GSSXA98N"],"itemData":{"id":550,"type":"article-journal","title":"Cumulative effects associated with recurrent concussion in collegiate football players: the NCAA Concussion Study","container-title":"Jama","page":"2549-55","volume":"290","issue":"19","archive_location":"14625331","ISSN":"1538-3598 (Electronic)","note":"PMID: 14625331","title-short":"Cumulative effects associated with recurrent concussion in collegiate football players: the NCAA Concussion Study","language":"eng","author":[{"family":"Guskiewicz","given":"K. M."},{"family":"McCrea","given":"M."},{"family":"Marshall","given":"S. W."},{"family":"Cantu","given":"R. C."},{"family":"Randolph","given":"C."},{"family":"Barr","given":"W."},{"family":"Onate","given":"J. A."},{"family":"Kelly","given":"J. P."}],"issued":{"date-parts":[["2003",11,19]]}}},{"id":"ZyThaQRL/hYLrwtx4","uris":["http://zotero.org/users/local/br6jUFz5/items/YS3ILD9P"],"uri":["http://zotero.org/users/local/br6jUFz5/items/YS3ILD9P"],"itemData":{"id":840,"type":"article-journal","title":"Consensus statement on concussion in sport--the 4th International Conference on Concussion in Sport held in Zurich, November 2012","container-title":"Clin J Sport Med","page":"89-117","volume":"23","issue":"2","archive_location":"23478784","DOI":"10.1097/JSM.0b013e31828b67cf","ISSN":"1536-3724 (Electronic) 1050-642X (Linking)","note":"PMID: 23478784","title-short":"Consensus statement on concussion in sport--the 4th International Conference on Concussion in Sport held in Zurich, November 2012","journalAbbreviation":"Clinical journal of sport medicine : official journal of the Canadian Academy of Sport Medicine","author":[{"family":"McCrory","given":"P."},{"family":"Meeuwisse","given":"W."},{"family":"Aubry","given":"M."},{"family":"Cantu","given":"B."},{"family":"Dvorak","given":"J."},{"family":"Echemendia","given":"R. J."},{"family":"Engebretsen","given":"L."},{"family":"Johnston","given":"K."},{"family":"Kutcher","given":"J. S."},{"family":"Raftery","given":"M."},{"family":"Sills","given":"A."},{"family":"Kathryn Schneider","given":"P. T. PhD Charles H. Tator M. D. P. H. D."},{"family":"Benson","given":"B. W."},{"family":"Davis","given":"G. A."},{"family":"Ellenbogen","given":"R. G."},{"family":"Guskiewicz","given":"K. M."},{"family":"Herring","given":"S. A."},{"family":"Iverson","given":"G."},{"family":"Jordan","given":"B. D."},{"family":"Kissick","given":"J."},{"family":"McCrea","given":"M."},{"family":"McIntosh","given":"A. S."},{"family":"Maddocks","given":"D. L."},{"family":"Makdissi","given":"M."},{"family":"Purcell","given":"L."},{"family":"Putukian","given":"M."},{"family":"Turner","given":"M."},{"family":"Schneider","given":"K."},{"family":"Tator","given":"C. H."}],"issued":{"date-parts":[["2013",3]]}}},{"id":"ZyThaQRL/LflrMetp","uris":["http://zotero.org/users/local/br6jUFz5/items/DR9SW7U7"],"uri":["http://zotero.org/users/local/br6jUFz5/items/DR9SW7U7"],"itemData":{"id":96,"type":"article-journal","title":"Recent neuroimaging techniques in mild traumatic brain injury","container-title":"J Neuropsychiatry Clin Neurosci","page":"5-20","volume":"19","issue":"1","source":"NLM","archive_location":"17308222","abstract":"Mild traumatic brain injury (TBI) is characterized by acute physiological changes that result in at least some acute cognitive difficulties and typically resolve by 3 months postinjury. Because the majority of mild TBI patients have normal structural magnetic resonance imaging (MRI)/computed tomography (CT) scans, there is increasing attention directed at finding objective physiological correlates of persistent cognitive and neuropsychiatric symptoms through experimental neuroimaging techniques. The authors review studies utilizing these techniques in patients with mild TBI; these techniques may provide more sensitive assessment of structural and functional abnormalities following mild TBI. Particular promise is evident with fMRI, PET, and SPECT scanning, as demonstrated by associations between brain activation and clinical outcomes.","DOI":"10.1176/appi.neuropsych.19.1.5","ISSN":"0895-0172 (Print) 0895-0172","note":"PMID: 17308222","title-short":"Recent neuroimaging techniques in mild traumatic brain injury","journalAbbreviation":"The Journal of neuropsychiatry and clinical neurosciences","language":"eng","author":[{"family":"Belanger","given":"H. G."},{"family":"Vanderploeg","given":"R. D."},{"family":"Curtiss","given":"G."},{"family":"Warden","given":"D. L."}],"issued":{"date-parts":[["2007"]],"season":"Winter"}}},{"id":"ZyThaQRL/6aQNt4CO","uris":["http://zotero.org/users/local/br6jUFz5/items/4XWBTBIQ"],"uri":["http://zotero.org/users/local/br6jUFz5/items/4XWBTBIQ"],"itemData":{"id":1121,"type":"article-journal","title":"Disruptions in Resting State Functional Connectivity and Cerebral Blood Flow in Mild Traumatic Brain Injury Patients","container-title":"PLoS ONE","page":"e0134019","volume":"10","issue":"8","archive":"PMC","archive_location":"PMC4524606","abstract":"Mild traumatic brain injury (mTBI) is often occult to conventional imaging techniques. However, there is growing evidence that mTBI patients who lack evidence of structural intracranial injury may develop post-concussive syndrome (PCS). We investigated longitudinal alterations in resting state functional connectivity (rs-FC) in brain networks in a population of 28 patients compared to 28 matched control participants. Rs-FC and cerebral blood flow (CBF) within the nodes of the Default Mode Network (DMN) and Task Positive Network (TPN) were assessed at three time points including acute, sub-acute, and chronic stages following mTBI. Participants received the Automated Neuropsychological Assessment Metrics (ANAM) to assess cognitive performance. Main findings indicate that despite normalized cognitive performance, chronic mTBI patients demonstrate increased rs-FC between the DMN and regions associated with the salience network (SN) and TPN compared to the control populations, as well as reduced strength of rs-FC within the DMN at the acute stage of injury. In addition, chronic mTBI patients demonstrate an imbalance in the ratio of CBF between nodes of the DMN and TPN. Furthermore, preliminary exploratory analysis suggests that compared to those without chronic PCS, patients with chronic PCS reveal an imbalance in the ratio of CBF between the DMN nodes and TPN nodes across multiple stages of recovery. Findings suggest that the altered network perfusion with the associated changes in rs-FC may be a possible predictor of which mTBI patients will develop chronic PCS.","DOI":"10.1371/journal.pone.0134019","ISSN":"1932-6203","note":"PMCID: PMC4524606","title-short":"Disruptions in Resting State Functional Connectivity and Cerebral Blood Flow in Mild Traumatic Brain Injury Patients","author":[{"family":"Sours","given":"Chandler"},{"family":"Zhuo","given":"Jiachen"},{"family":"Roys","given":"Steven"},{"family":"Shanmuganathan","given":"Kathirkamanthan"},{"family":"Gullapalli","given":"Rao P."}],"issued":{"date-parts":[["2015"]],"season":"received"}}}],"schema":"https://github.com/citation-style-language/schema/raw/master/csl-citation.json"} </w:instrText>
      </w:r>
      <w:r w:rsidRPr="00677B47">
        <w:rPr>
          <w:rFonts w:ascii="Calibri" w:hAnsi="Calibri" w:cs="Calibri"/>
        </w:rPr>
        <w:fldChar w:fldCharType="separate"/>
      </w:r>
      <w:r w:rsidR="001D3A98" w:rsidRPr="00677B47">
        <w:rPr>
          <w:rFonts w:ascii="Calibri" w:hAnsi="Calibri" w:cs="Calibri"/>
          <w:vertAlign w:val="superscript"/>
        </w:rPr>
        <w:t>3,7–9</w:t>
      </w:r>
      <w:r w:rsidRPr="00677B47">
        <w:rPr>
          <w:rFonts w:ascii="Calibri" w:hAnsi="Calibri" w:cs="Calibri"/>
        </w:rPr>
        <w:fldChar w:fldCharType="end"/>
      </w:r>
      <w:r w:rsidRPr="00677B47">
        <w:rPr>
          <w:rFonts w:ascii="Calibri" w:hAnsi="Calibri" w:cs="Calibri"/>
        </w:rPr>
        <w:t xml:space="preserve">. </w:t>
      </w:r>
      <w:r w:rsidR="00C973CA" w:rsidRPr="00677B47">
        <w:rPr>
          <w:rFonts w:ascii="Calibri" w:hAnsi="Calibri" w:cs="Calibri"/>
          <w:iCs/>
          <w:noProof/>
        </w:rPr>
        <w:t>Despite the high prevalence and lasting consequences of these injuries,</w:t>
      </w:r>
      <w:r w:rsidRPr="00677B47">
        <w:rPr>
          <w:rFonts w:ascii="Calibri" w:hAnsi="Calibri" w:cs="Calibri"/>
          <w:noProof/>
        </w:rPr>
        <w:t xml:space="preserve"> </w:t>
      </w:r>
      <w:r w:rsidR="00C973CA" w:rsidRPr="00677B47">
        <w:rPr>
          <w:rFonts w:ascii="Calibri" w:hAnsi="Calibri" w:cs="Calibri"/>
          <w:noProof/>
        </w:rPr>
        <w:t xml:space="preserve">injury mechanisms </w:t>
      </w:r>
      <w:r w:rsidR="009F2B0C" w:rsidRPr="00677B47">
        <w:rPr>
          <w:rFonts w:ascii="Calibri" w:hAnsi="Calibri" w:cs="Calibri"/>
          <w:noProof/>
        </w:rPr>
        <w:t xml:space="preserve">are poorly understood and </w:t>
      </w:r>
      <w:r w:rsidRPr="00677B47">
        <w:rPr>
          <w:rFonts w:ascii="Calibri" w:hAnsi="Calibri" w:cs="Calibri"/>
          <w:noProof/>
        </w:rPr>
        <w:t xml:space="preserve">no effective treatment strategies exist. </w:t>
      </w:r>
    </w:p>
    <w:p w14:paraId="2A93D671" w14:textId="77777777" w:rsidR="00E6296A" w:rsidRPr="00677B47" w:rsidRDefault="00E6296A" w:rsidP="009B5312">
      <w:pPr>
        <w:contextualSpacing/>
        <w:rPr>
          <w:rFonts w:ascii="Calibri" w:hAnsi="Calibri" w:cs="Calibri"/>
        </w:rPr>
      </w:pPr>
    </w:p>
    <w:p w14:paraId="2E03AEF0" w14:textId="77DC8F72" w:rsidR="005F5504" w:rsidRPr="00677B47" w:rsidRDefault="005F5504" w:rsidP="009B5312">
      <w:pPr>
        <w:contextualSpacing/>
        <w:rPr>
          <w:rFonts w:ascii="Calibri" w:hAnsi="Calibri" w:cs="Calibri"/>
        </w:rPr>
      </w:pPr>
      <w:r w:rsidRPr="00677B47">
        <w:rPr>
          <w:rFonts w:ascii="Calibri" w:hAnsi="Calibri" w:cs="Calibri"/>
        </w:rPr>
        <w:t xml:space="preserve">Given the high variability in outcomes after </w:t>
      </w:r>
      <w:r w:rsidR="007E5319" w:rsidRPr="00677B47">
        <w:rPr>
          <w:rFonts w:ascii="Calibri" w:hAnsi="Calibri" w:cs="Calibri"/>
        </w:rPr>
        <w:t>mTBI/</w:t>
      </w:r>
      <w:r w:rsidRPr="00677B47">
        <w:rPr>
          <w:rFonts w:ascii="Calibri" w:hAnsi="Calibri" w:cs="Calibri"/>
        </w:rPr>
        <w:t xml:space="preserve">rmTBI, one challenge in identifying early-stage molecular triggers from tissue obtained in terminal </w:t>
      </w:r>
      <w:r w:rsidR="007E5319" w:rsidRPr="00677B47">
        <w:rPr>
          <w:rFonts w:ascii="Calibri" w:hAnsi="Calibri" w:cs="Calibri"/>
        </w:rPr>
        <w:t>mTBI/</w:t>
      </w:r>
      <w:r w:rsidRPr="00677B47">
        <w:rPr>
          <w:rFonts w:ascii="Calibri" w:hAnsi="Calibri" w:cs="Calibri"/>
        </w:rPr>
        <w:t>rmTBI studies is the lack of longitudinal data demonstrating definitive acute links to longer-term outcomes. To overcome this challenge, our group has discovered</w:t>
      </w:r>
      <w:r w:rsidR="00CA1BD1" w:rsidRPr="00677B47">
        <w:rPr>
          <w:rFonts w:ascii="Calibri" w:hAnsi="Calibri" w:cs="Calibri"/>
        </w:rPr>
        <w:t xml:space="preserve"> </w:t>
      </w:r>
      <w:r w:rsidRPr="00677B47">
        <w:rPr>
          <w:rFonts w:ascii="Calibri" w:hAnsi="Calibri" w:cs="Calibri"/>
        </w:rPr>
        <w:t xml:space="preserve">that </w:t>
      </w:r>
      <w:r w:rsidRPr="00677B47">
        <w:rPr>
          <w:rFonts w:ascii="Calibri" w:hAnsi="Calibri" w:cs="Calibri"/>
          <w:iCs/>
        </w:rPr>
        <w:t>acutely reduced cerebral blood flow</w:t>
      </w:r>
      <w:r w:rsidRPr="00677B47">
        <w:rPr>
          <w:rFonts w:ascii="Calibri" w:hAnsi="Calibri" w:cs="Calibri"/>
          <w:i/>
          <w:iCs/>
        </w:rPr>
        <w:t xml:space="preserve"> </w:t>
      </w:r>
      <w:r w:rsidRPr="00677B47">
        <w:rPr>
          <w:rFonts w:ascii="Calibri" w:hAnsi="Calibri" w:cs="Calibri"/>
          <w:iCs/>
        </w:rPr>
        <w:t xml:space="preserve">strongly correlates with </w:t>
      </w:r>
      <w:r w:rsidR="00780C39" w:rsidRPr="00677B47">
        <w:rPr>
          <w:rFonts w:ascii="Calibri" w:hAnsi="Calibri" w:cs="Calibri"/>
          <w:iCs/>
        </w:rPr>
        <w:t xml:space="preserve">longer-term </w:t>
      </w:r>
      <w:r w:rsidRPr="00677B47">
        <w:rPr>
          <w:rFonts w:ascii="Calibri" w:hAnsi="Calibri" w:cs="Calibri"/>
          <w:iCs/>
        </w:rPr>
        <w:t>cognitive outcome</w:t>
      </w:r>
      <w:r w:rsidR="00677B47" w:rsidRPr="00677B47">
        <w:rPr>
          <w:rFonts w:ascii="Calibri" w:hAnsi="Calibri" w:cs="Calibri"/>
          <w:iCs/>
        </w:rPr>
        <w:t>s</w:t>
      </w:r>
      <w:r w:rsidRPr="00677B47">
        <w:rPr>
          <w:rFonts w:ascii="Calibri" w:hAnsi="Calibri" w:cs="Calibri"/>
          <w:iCs/>
        </w:rPr>
        <w:t xml:space="preserve"> </w:t>
      </w:r>
      <w:r w:rsidR="00780C39" w:rsidRPr="00677B47">
        <w:rPr>
          <w:rFonts w:ascii="Calibri" w:hAnsi="Calibri" w:cs="Calibri"/>
          <w:iCs/>
        </w:rPr>
        <w:t xml:space="preserve">in a mouse model of </w:t>
      </w:r>
      <w:r w:rsidRPr="00677B47">
        <w:rPr>
          <w:rFonts w:ascii="Calibri" w:hAnsi="Calibri" w:cs="Calibri"/>
        </w:rPr>
        <w:t>rmTBI</w:t>
      </w:r>
      <w:r w:rsidR="00577524" w:rsidRPr="00677B47">
        <w:rPr>
          <w:rFonts w:ascii="Calibri" w:hAnsi="Calibri" w:cs="Calibri"/>
        </w:rPr>
        <w:fldChar w:fldCharType="begin"/>
      </w:r>
      <w:r w:rsidR="00845D95" w:rsidRPr="00677B47">
        <w:rPr>
          <w:rFonts w:ascii="Calibri" w:hAnsi="Calibri" w:cs="Calibri"/>
        </w:rPr>
        <w:instrText xml:space="preserve"> ADDIN ZOTERO_ITEM CSL_CITATION {"citationID":"jJWuN3lJ","properties":{"formattedCitation":"\\super 10\\nosupersub{}","plainCitation":"10","noteIndex":0},"citationItems":[{"id":52,"uris":["http://zotero.org/users/5036325/items/UCRA8S79"],"uri":["http://zotero.org/users/5036325/items/UCRA8S79"],"itemData":{"id":52,"type":"article-journal","container-title":"Journal of Cerebral Blood Flow &amp; Metabolism","DOI":"10.1038/jcbfm.2015.161","ISSN":"0271-678X, 1559-7016","issue":"12","language":"en","page":"1995-2000","source":"Crossref","title":"Decreased Microvascular Cerebral Blood Flow Assessed by Diffuse Correlation Spectroscopy after Repetitive Concussions in Mice","volume":"35","author":[{"family":"Buckley","given":"Erin M"},{"family":"Miller","given":"Benjamin F"},{"family":"Golinski","given":"Julianne M"},{"family":"Sadeghian","given":"Homa"},{"family":"McAllister","given":"Lauren M"},{"family":"Vangel","given":"Mark"},{"family":"Ayata","given":"Cenk"},{"family":"Meehan","given":"William P"},{"family":"Franceschini","given":"Maria Angela"},{"family":"Whalen","given":"Michael J"}],"issued":{"date-parts":[["2015",12]]}}}],"schema":"https://github.com/citation-style-language/schema/raw/master/csl-citation.json"} </w:instrText>
      </w:r>
      <w:r w:rsidR="00577524" w:rsidRPr="00677B47">
        <w:rPr>
          <w:rFonts w:ascii="Calibri" w:hAnsi="Calibri" w:cs="Calibri"/>
        </w:rPr>
        <w:fldChar w:fldCharType="separate"/>
      </w:r>
      <w:r w:rsidR="00577524" w:rsidRPr="00677B47">
        <w:rPr>
          <w:rFonts w:ascii="Calibri" w:hAnsi="Calibri" w:cs="Calibri"/>
          <w:vertAlign w:val="superscript"/>
        </w:rPr>
        <w:t>10</w:t>
      </w:r>
      <w:r w:rsidR="00577524" w:rsidRPr="00677B47">
        <w:rPr>
          <w:rFonts w:ascii="Calibri" w:hAnsi="Calibri" w:cs="Calibri"/>
        </w:rPr>
        <w:fldChar w:fldCharType="end"/>
      </w:r>
      <w:r w:rsidRPr="00677B47">
        <w:rPr>
          <w:rFonts w:ascii="Calibri" w:hAnsi="Calibri" w:cs="Calibri"/>
        </w:rPr>
        <w:t xml:space="preserve">. Using this </w:t>
      </w:r>
      <w:r w:rsidR="00776BD6" w:rsidRPr="00677B47">
        <w:rPr>
          <w:rFonts w:ascii="Calibri" w:hAnsi="Calibri" w:cs="Calibri"/>
        </w:rPr>
        <w:t xml:space="preserve">hemodynamic </w:t>
      </w:r>
      <w:r w:rsidRPr="00677B47">
        <w:rPr>
          <w:rFonts w:ascii="Calibri" w:hAnsi="Calibri" w:cs="Calibri"/>
        </w:rPr>
        <w:t xml:space="preserve">biomarker, we showed that mice with </w:t>
      </w:r>
      <w:r w:rsidR="00780C39" w:rsidRPr="00677B47">
        <w:rPr>
          <w:rFonts w:ascii="Calibri" w:hAnsi="Calibri" w:cs="Calibri"/>
        </w:rPr>
        <w:t xml:space="preserve">acutely </w:t>
      </w:r>
      <w:r w:rsidRPr="00677B47">
        <w:rPr>
          <w:rFonts w:ascii="Calibri" w:hAnsi="Calibri" w:cs="Calibri"/>
        </w:rPr>
        <w:t>low</w:t>
      </w:r>
      <w:r w:rsidR="00AB7C0E" w:rsidRPr="00677B47">
        <w:rPr>
          <w:rFonts w:ascii="Calibri" w:hAnsi="Calibri" w:cs="Calibri"/>
        </w:rPr>
        <w:t xml:space="preserve"> cerebral</w:t>
      </w:r>
      <w:r w:rsidRPr="00677B47">
        <w:rPr>
          <w:rFonts w:ascii="Calibri" w:hAnsi="Calibri" w:cs="Calibri"/>
        </w:rPr>
        <w:t xml:space="preserve"> </w:t>
      </w:r>
      <w:r w:rsidRPr="00677B47">
        <w:rPr>
          <w:rFonts w:ascii="Calibri" w:hAnsi="Calibri" w:cs="Calibri"/>
          <w:iCs/>
        </w:rPr>
        <w:t xml:space="preserve">blood flow </w:t>
      </w:r>
      <w:r w:rsidR="007B1948" w:rsidRPr="007B1948">
        <w:rPr>
          <w:rFonts w:ascii="Calibri" w:hAnsi="Calibri" w:cs="Calibri"/>
          <w:iCs/>
        </w:rPr>
        <w:t>(</w:t>
      </w:r>
      <w:r w:rsidRPr="00677B47">
        <w:rPr>
          <w:rFonts w:ascii="Calibri" w:hAnsi="Calibri" w:cs="Calibri"/>
          <w:iCs/>
        </w:rPr>
        <w:t xml:space="preserve">and, by extension, worse predicted </w:t>
      </w:r>
      <w:r w:rsidR="00780C39" w:rsidRPr="00677B47">
        <w:rPr>
          <w:rFonts w:ascii="Calibri" w:hAnsi="Calibri" w:cs="Calibri"/>
          <w:iCs/>
        </w:rPr>
        <w:t xml:space="preserve">long-term </w:t>
      </w:r>
      <w:r w:rsidRPr="00677B47">
        <w:rPr>
          <w:rFonts w:ascii="Calibri" w:hAnsi="Calibri" w:cs="Calibri"/>
          <w:iCs/>
        </w:rPr>
        <w:t>outcome</w:t>
      </w:r>
      <w:r w:rsidR="007B1948" w:rsidRPr="007B1948">
        <w:rPr>
          <w:rFonts w:ascii="Calibri" w:hAnsi="Calibri" w:cs="Calibri"/>
          <w:iCs/>
        </w:rPr>
        <w:t>)</w:t>
      </w:r>
      <w:r w:rsidRPr="00677B47">
        <w:rPr>
          <w:rFonts w:ascii="Calibri" w:hAnsi="Calibri" w:cs="Calibri"/>
          <w:iCs/>
        </w:rPr>
        <w:t xml:space="preserve"> have concomitant</w:t>
      </w:r>
      <w:r w:rsidR="00F864E7" w:rsidRPr="00677B47">
        <w:rPr>
          <w:rFonts w:ascii="Calibri" w:hAnsi="Calibri" w:cs="Calibri"/>
          <w:iCs/>
        </w:rPr>
        <w:t xml:space="preserve"> acute</w:t>
      </w:r>
      <w:r w:rsidRPr="00677B47">
        <w:rPr>
          <w:rFonts w:ascii="Calibri" w:hAnsi="Calibri" w:cs="Calibri"/>
          <w:iCs/>
        </w:rPr>
        <w:t xml:space="preserve"> increases in neuronal phospho-signaling within both MAPK and NF</w:t>
      </w:r>
      <w:r w:rsidR="00C973CA" w:rsidRPr="00677B47">
        <w:rPr>
          <w:rFonts w:ascii="Calibri" w:hAnsi="Calibri" w:cs="Calibri"/>
          <w:iCs/>
        </w:rPr>
        <w:sym w:font="Symbol" w:char="F06B"/>
      </w:r>
      <w:r w:rsidRPr="00677B47">
        <w:rPr>
          <w:rFonts w:ascii="Calibri" w:hAnsi="Calibri" w:cs="Calibri"/>
          <w:iCs/>
        </w:rPr>
        <w:t xml:space="preserve">B pathways, </w:t>
      </w:r>
      <w:r w:rsidR="00DE5ADC" w:rsidRPr="00677B47">
        <w:rPr>
          <w:rFonts w:ascii="Calibri" w:hAnsi="Calibri" w:cs="Calibri"/>
          <w:iCs/>
        </w:rPr>
        <w:t xml:space="preserve">increases in </w:t>
      </w:r>
      <w:r w:rsidRPr="00677B47">
        <w:rPr>
          <w:rFonts w:ascii="Calibri" w:hAnsi="Calibri" w:cs="Calibri"/>
          <w:iCs/>
        </w:rPr>
        <w:t xml:space="preserve">neuronal expression of pro-inflammatory cytokines, and </w:t>
      </w:r>
      <w:r w:rsidR="00DE5ADC" w:rsidRPr="00677B47">
        <w:rPr>
          <w:rFonts w:ascii="Calibri" w:hAnsi="Calibri" w:cs="Calibri"/>
          <w:iCs/>
        </w:rPr>
        <w:t xml:space="preserve">increases in </w:t>
      </w:r>
      <w:r w:rsidRPr="00677B47">
        <w:rPr>
          <w:rFonts w:ascii="Calibri" w:hAnsi="Calibri" w:cs="Calibri"/>
          <w:iCs/>
        </w:rPr>
        <w:t xml:space="preserve">expression of the </w:t>
      </w:r>
      <w:r w:rsidR="00CA1BD1" w:rsidRPr="00677B47">
        <w:rPr>
          <w:rFonts w:ascii="Calibri" w:hAnsi="Calibri" w:cs="Calibri"/>
          <w:iCs/>
        </w:rPr>
        <w:t>phagocyte/microglial</w:t>
      </w:r>
      <w:r w:rsidRPr="00677B47">
        <w:rPr>
          <w:rFonts w:ascii="Calibri" w:hAnsi="Calibri" w:cs="Calibri"/>
          <w:iCs/>
        </w:rPr>
        <w:t xml:space="preserve"> marker Iba1</w:t>
      </w:r>
      <w:r w:rsidR="00577524" w:rsidRPr="00677B47">
        <w:rPr>
          <w:rFonts w:ascii="Calibri" w:hAnsi="Calibri" w:cs="Calibri"/>
          <w:iCs/>
        </w:rPr>
        <w:fldChar w:fldCharType="begin"/>
      </w:r>
      <w:r w:rsidR="00845D95" w:rsidRPr="00677B47">
        <w:rPr>
          <w:rFonts w:ascii="Calibri" w:hAnsi="Calibri" w:cs="Calibri"/>
          <w:iCs/>
        </w:rPr>
        <w:instrText xml:space="preserve"> ADDIN ZOTERO_ITEM CSL_CITATION {"citationID":"8sxM2lRV","properties":{"formattedCitation":"\\super 11\\nosupersub{}","plainCitation":"11","noteIndex":0},"citationItems":[{"id":"ZyThaQRL/XHzSGOyR","uris":["http://zotero.org/users/local/Eoql7WGj/items/LHUWVLU3"],"uri":["http://zotero.org/users/local/Eoql7WGj/items/LHUWVLU3"],"itemData":{"id":20,"type":"article-journal","abstract":"Previous work has shown that non-invasive optical measurement of low cerebral blood flow (CBF) is an acute biomarker of poor long-term cognitive outcome after repetitive mild traumatic brain injury (rmTBI). Herein, we explore the relationship between acute cerebral blood flow and underlying neuroinflammation. Specifically, because neuroinflammation is a driver of secondary injury after TBI, we hypothesized that both glial activation and inflammatory signaling are associated with acute CBF and, by extension, with long-term cognitive outcome after rmTBI. To test this hypothesis, cortical CBF was non-invasively measured in anesthetized mice 4 h after 3 repetitive closed head injuries spaced once-daily, at which time brains were collected. Right hemispheres were fixed for immunohistochemical staining for glial activation markers Iba1 and GFAP while left hemispheres were used to quantify Iba1 and GFAP expression via Western blot as well as 32 cytokines and 21 phospho-proteins in the MAPK, PI3K/Akt, and NF-κB pathways using a Luminex multiplexed immunoassay. N = 8/7 injured/sham C57/black-6 adult male mice were studied. Within the injured group, CBF inversely correlated with Iba1 expression (R = -0.86, p &lt; .01). Further, partial least squares regression analysis revealed significant correlations between CBF and expression of multiple pro-inflammatory cytokines, including RANTES and IL-17. Finally, within the injured group, phosphorylation of specific signals in the MAPK and NF-κB intracellular signaling pathways (e.g., p38 MAPK and NF-κB) were significantly positively correlated with Iba1. In total, our data indicate that acute cerebral blood flow after rmTBI is a biomarker of underlying neuroinflammatory pathology.","container-title":"Neurobiology of Disease","DOI":"10.1016/j.nbd.2018.12.018","ISSN":"1095-953X","journalAbbreviation":"Neurobiol. Dis.","language":"eng","note":"PMID: 30592976\nPMCID: PMC6528169","page":"544-554","source":"PubMed","title":"Low cerebral blood flow is a non-invasive biomarker of neuroinflammation after repetitive mild traumatic brain injury","volume":"124","author":[{"family":"Sankar","given":"Sitara B."},{"family":"Pybus","given":"Alyssa F."},{"family":"Liew","given":"Amanda"},{"family":"Sanders","given":"Bharat"},{"family":"Shah","given":"Kajol J."},{"family":"Wood","given":"Levi B."},{"family":"Buckley","given":"Erin M."}],"issued":{"date-parts":[["2019"]]}}}],"schema":"https://github.com/citation-style-language/schema/raw/master/csl-citation.json"} </w:instrText>
      </w:r>
      <w:r w:rsidR="00577524" w:rsidRPr="00677B47">
        <w:rPr>
          <w:rFonts w:ascii="Calibri" w:hAnsi="Calibri" w:cs="Calibri"/>
          <w:iCs/>
        </w:rPr>
        <w:fldChar w:fldCharType="separate"/>
      </w:r>
      <w:r w:rsidR="00577524" w:rsidRPr="00677B47">
        <w:rPr>
          <w:rFonts w:ascii="Calibri" w:hAnsi="Calibri" w:cs="Calibri"/>
          <w:vertAlign w:val="superscript"/>
        </w:rPr>
        <w:t>11</w:t>
      </w:r>
      <w:r w:rsidR="00577524" w:rsidRPr="00677B47">
        <w:rPr>
          <w:rFonts w:ascii="Calibri" w:hAnsi="Calibri" w:cs="Calibri"/>
          <w:iCs/>
        </w:rPr>
        <w:fldChar w:fldCharType="end"/>
      </w:r>
      <w:r w:rsidRPr="00677B47">
        <w:rPr>
          <w:rFonts w:ascii="Calibri" w:hAnsi="Calibri" w:cs="Calibri"/>
          <w:iCs/>
        </w:rPr>
        <w:t>.</w:t>
      </w:r>
      <w:r w:rsidR="00C3057A" w:rsidRPr="00677B47">
        <w:rPr>
          <w:rFonts w:ascii="Calibri" w:hAnsi="Calibri" w:cs="Calibri"/>
          <w:iCs/>
        </w:rPr>
        <w:t xml:space="preserve"> These data suggest </w:t>
      </w:r>
      <w:r w:rsidRPr="00677B47">
        <w:rPr>
          <w:rFonts w:ascii="Calibri" w:hAnsi="Calibri" w:cs="Calibri"/>
          <w:iCs/>
        </w:rPr>
        <w:t>a</w:t>
      </w:r>
      <w:r w:rsidR="00D92B88" w:rsidRPr="00677B47">
        <w:rPr>
          <w:rFonts w:ascii="Calibri" w:hAnsi="Calibri" w:cs="Calibri"/>
          <w:iCs/>
        </w:rPr>
        <w:t xml:space="preserve"> possible</w:t>
      </w:r>
      <w:r w:rsidRPr="00677B47">
        <w:rPr>
          <w:rFonts w:ascii="Calibri" w:hAnsi="Calibri" w:cs="Calibri"/>
          <w:iCs/>
        </w:rPr>
        <w:t xml:space="preserve"> role for neuronal </w:t>
      </w:r>
      <w:r w:rsidR="007E5319" w:rsidRPr="00677B47">
        <w:rPr>
          <w:rFonts w:ascii="Calibri" w:hAnsi="Calibri" w:cs="Calibri"/>
          <w:iCs/>
        </w:rPr>
        <w:t>phospho-</w:t>
      </w:r>
      <w:r w:rsidRPr="00677B47">
        <w:rPr>
          <w:rFonts w:ascii="Calibri" w:hAnsi="Calibri" w:cs="Calibri"/>
          <w:iCs/>
        </w:rPr>
        <w:t>signaling</w:t>
      </w:r>
      <w:r w:rsidR="007E5319" w:rsidRPr="00677B47">
        <w:rPr>
          <w:rFonts w:ascii="Calibri" w:hAnsi="Calibri" w:cs="Calibri"/>
          <w:iCs/>
        </w:rPr>
        <w:t>, cytokine expression,</w:t>
      </w:r>
      <w:r w:rsidRPr="00677B47">
        <w:rPr>
          <w:rFonts w:ascii="Calibri" w:hAnsi="Calibri" w:cs="Calibri"/>
          <w:iCs/>
        </w:rPr>
        <w:t xml:space="preserve"> and microglial activation in both the </w:t>
      </w:r>
      <w:r w:rsidR="007E5319" w:rsidRPr="00677B47">
        <w:rPr>
          <w:rFonts w:ascii="Calibri" w:hAnsi="Calibri" w:cs="Calibri"/>
          <w:iCs/>
        </w:rPr>
        <w:t xml:space="preserve">acute </w:t>
      </w:r>
      <w:r w:rsidRPr="00677B47">
        <w:rPr>
          <w:rFonts w:ascii="Calibri" w:hAnsi="Calibri" w:cs="Calibri"/>
          <w:iCs/>
        </w:rPr>
        <w:t xml:space="preserve">regulation of </w:t>
      </w:r>
      <w:r w:rsidR="00F864E7" w:rsidRPr="00677B47">
        <w:rPr>
          <w:rFonts w:ascii="Calibri" w:hAnsi="Calibri" w:cs="Calibri"/>
          <w:iCs/>
        </w:rPr>
        <w:t>cerebral blood flow</w:t>
      </w:r>
      <w:r w:rsidR="00C3057A" w:rsidRPr="00677B47">
        <w:rPr>
          <w:rFonts w:ascii="Calibri" w:hAnsi="Calibri" w:cs="Calibri"/>
          <w:iCs/>
        </w:rPr>
        <w:t xml:space="preserve"> </w:t>
      </w:r>
      <w:r w:rsidRPr="00677B47">
        <w:rPr>
          <w:rFonts w:ascii="Calibri" w:hAnsi="Calibri" w:cs="Calibri"/>
          <w:iCs/>
        </w:rPr>
        <w:t xml:space="preserve">post injury as well as in </w:t>
      </w:r>
      <w:r w:rsidR="00780C39" w:rsidRPr="00677B47">
        <w:rPr>
          <w:rFonts w:ascii="Calibri" w:hAnsi="Calibri" w:cs="Calibri"/>
          <w:iCs/>
        </w:rPr>
        <w:t>triggering</w:t>
      </w:r>
      <w:r w:rsidR="00183AA9" w:rsidRPr="00677B47">
        <w:rPr>
          <w:rFonts w:ascii="Calibri" w:hAnsi="Calibri" w:cs="Calibri"/>
          <w:iCs/>
        </w:rPr>
        <w:t xml:space="preserve"> a signaling cascade that leads to neuronal dysfunction and </w:t>
      </w:r>
      <w:r w:rsidR="00780C39" w:rsidRPr="00677B47">
        <w:rPr>
          <w:rFonts w:ascii="Calibri" w:hAnsi="Calibri" w:cs="Calibri"/>
          <w:iCs/>
        </w:rPr>
        <w:t xml:space="preserve">worse </w:t>
      </w:r>
      <w:r w:rsidRPr="00677B47">
        <w:rPr>
          <w:rFonts w:ascii="Calibri" w:hAnsi="Calibri" w:cs="Calibri"/>
          <w:iCs/>
        </w:rPr>
        <w:t>cognitive outcome.</w:t>
      </w:r>
      <w:r w:rsidR="00C3057A" w:rsidRPr="00677B47">
        <w:rPr>
          <w:rFonts w:ascii="Calibri" w:hAnsi="Calibri" w:cs="Calibri"/>
          <w:iCs/>
        </w:rPr>
        <w:t xml:space="preserve"> </w:t>
      </w:r>
      <w:r w:rsidR="00B81A4F" w:rsidRPr="00677B47">
        <w:rPr>
          <w:rFonts w:ascii="Calibri" w:hAnsi="Calibri" w:cs="Calibri"/>
          <w:iCs/>
        </w:rPr>
        <w:t xml:space="preserve">Herein, we detail </w:t>
      </w:r>
      <w:r w:rsidR="00677B47" w:rsidRPr="00677B47">
        <w:rPr>
          <w:rFonts w:ascii="Calibri" w:hAnsi="Calibri" w:cs="Calibri"/>
          <w:iCs/>
        </w:rPr>
        <w:t>an</w:t>
      </w:r>
      <w:r w:rsidR="00B81A4F" w:rsidRPr="00677B47">
        <w:rPr>
          <w:rFonts w:ascii="Calibri" w:hAnsi="Calibri" w:cs="Calibri"/>
          <w:iCs/>
        </w:rPr>
        <w:t xml:space="preserve"> </w:t>
      </w:r>
      <w:r w:rsidR="00A81B48" w:rsidRPr="00677B47">
        <w:rPr>
          <w:rFonts w:ascii="Calibri" w:hAnsi="Calibri" w:cs="Calibri"/>
          <w:iCs/>
        </w:rPr>
        <w:t>approach</w:t>
      </w:r>
      <w:r w:rsidR="00B81A4F" w:rsidRPr="00677B47">
        <w:rPr>
          <w:rFonts w:ascii="Calibri" w:hAnsi="Calibri" w:cs="Calibri"/>
          <w:iCs/>
        </w:rPr>
        <w:t xml:space="preserve"> to simultaneously probe both the hemodynamic and neuroinflammatory environment after rmTBI</w:t>
      </w:r>
      <w:r w:rsidR="00A81B48" w:rsidRPr="00677B47">
        <w:rPr>
          <w:rFonts w:ascii="Calibri" w:hAnsi="Calibri" w:cs="Calibri"/>
          <w:iCs/>
        </w:rPr>
        <w:t xml:space="preserve"> and </w:t>
      </w:r>
      <w:r w:rsidR="00B81A4F" w:rsidRPr="00677B47">
        <w:rPr>
          <w:rFonts w:ascii="Calibri" w:hAnsi="Calibri" w:cs="Calibri"/>
          <w:iCs/>
        </w:rPr>
        <w:t xml:space="preserve">how to integrate these complex datasets. Specifically, we outline procedures for four key steps </w:t>
      </w:r>
      <w:r w:rsidR="00B60E9F" w:rsidRPr="00677B47">
        <w:rPr>
          <w:rFonts w:ascii="Calibri" w:hAnsi="Calibri" w:cs="Calibri"/>
          <w:iCs/>
        </w:rPr>
        <w:t>to</w:t>
      </w:r>
      <w:r w:rsidR="00B81A4F" w:rsidRPr="00677B47">
        <w:rPr>
          <w:rFonts w:ascii="Calibri" w:hAnsi="Calibri" w:cs="Calibri"/>
          <w:iCs/>
        </w:rPr>
        <w:t xml:space="preserve"> this </w:t>
      </w:r>
      <w:r w:rsidR="00B60E9F" w:rsidRPr="00677B47">
        <w:rPr>
          <w:rFonts w:ascii="Calibri" w:hAnsi="Calibri" w:cs="Calibri"/>
          <w:iCs/>
        </w:rPr>
        <w:t xml:space="preserve">comprehensive </w:t>
      </w:r>
      <w:r w:rsidR="00B81A4F" w:rsidRPr="00677B47">
        <w:rPr>
          <w:rFonts w:ascii="Calibri" w:hAnsi="Calibri" w:cs="Calibri"/>
          <w:iCs/>
        </w:rPr>
        <w:t xml:space="preserve">approach: </w:t>
      </w:r>
      <w:r w:rsidR="007B1948" w:rsidRPr="007B1948">
        <w:rPr>
          <w:rFonts w:ascii="Calibri" w:hAnsi="Calibri" w:cs="Calibri"/>
          <w:iCs/>
        </w:rPr>
        <w:t>(</w:t>
      </w:r>
      <w:r w:rsidR="00B81A4F" w:rsidRPr="00677B47">
        <w:rPr>
          <w:rFonts w:ascii="Calibri" w:hAnsi="Calibri" w:cs="Calibri"/>
          <w:iCs/>
        </w:rPr>
        <w:t>1</w:t>
      </w:r>
      <w:r w:rsidR="007B1948" w:rsidRPr="007B1948">
        <w:rPr>
          <w:rFonts w:ascii="Calibri" w:hAnsi="Calibri" w:cs="Calibri"/>
          <w:iCs/>
        </w:rPr>
        <w:t>)</w:t>
      </w:r>
      <w:r w:rsidR="00B81A4F" w:rsidRPr="00677B47">
        <w:rPr>
          <w:rFonts w:ascii="Calibri" w:hAnsi="Calibri" w:cs="Calibri"/>
          <w:iCs/>
        </w:rPr>
        <w:t xml:space="preserve"> </w:t>
      </w:r>
      <w:r w:rsidR="00677B47" w:rsidRPr="00677B47">
        <w:rPr>
          <w:rFonts w:ascii="Calibri" w:hAnsi="Calibri" w:cs="Calibri"/>
          <w:iCs/>
        </w:rPr>
        <w:t>a</w:t>
      </w:r>
      <w:r w:rsidR="00B81A4F" w:rsidRPr="00677B47">
        <w:rPr>
          <w:rFonts w:ascii="Calibri" w:hAnsi="Calibri" w:cs="Calibri"/>
          <w:iCs/>
        </w:rPr>
        <w:t xml:space="preserve"> weight-drop model of mild traumatic brain injury, </w:t>
      </w:r>
      <w:r w:rsidR="007B1948" w:rsidRPr="007B1948">
        <w:rPr>
          <w:rFonts w:ascii="Calibri" w:hAnsi="Calibri" w:cs="Calibri"/>
          <w:iCs/>
        </w:rPr>
        <w:t>(</w:t>
      </w:r>
      <w:r w:rsidR="00B81A4F" w:rsidRPr="00677B47">
        <w:rPr>
          <w:rFonts w:ascii="Calibri" w:hAnsi="Calibri" w:cs="Calibri"/>
          <w:iCs/>
        </w:rPr>
        <w:t>2</w:t>
      </w:r>
      <w:r w:rsidR="007B1948" w:rsidRPr="007B1948">
        <w:rPr>
          <w:rFonts w:ascii="Calibri" w:hAnsi="Calibri" w:cs="Calibri"/>
          <w:iCs/>
        </w:rPr>
        <w:t>)</w:t>
      </w:r>
      <w:r w:rsidR="00B81A4F" w:rsidRPr="00677B47">
        <w:rPr>
          <w:rFonts w:ascii="Calibri" w:hAnsi="Calibri" w:cs="Calibri"/>
          <w:iCs/>
        </w:rPr>
        <w:t xml:space="preserve"> </w:t>
      </w:r>
      <w:r w:rsidR="00677B47" w:rsidRPr="00677B47">
        <w:rPr>
          <w:rFonts w:ascii="Calibri" w:hAnsi="Calibri" w:cs="Calibri"/>
          <w:iCs/>
        </w:rPr>
        <w:t>a</w:t>
      </w:r>
      <w:r w:rsidR="00B81A4F" w:rsidRPr="00677B47">
        <w:rPr>
          <w:rFonts w:ascii="Calibri" w:hAnsi="Calibri" w:cs="Calibri"/>
          <w:iCs/>
        </w:rPr>
        <w:t xml:space="preserve">ssessment of cerebral blood flow with </w:t>
      </w:r>
      <w:r w:rsidR="00677B47" w:rsidRPr="00677B47">
        <w:rPr>
          <w:rFonts w:ascii="Calibri" w:hAnsi="Calibri" w:cs="Calibri"/>
          <w:iCs/>
        </w:rPr>
        <w:t xml:space="preserve">diffuse correlation spectroscopy, </w:t>
      </w:r>
      <w:r w:rsidR="007B1948" w:rsidRPr="007B1948">
        <w:rPr>
          <w:rFonts w:ascii="Calibri" w:hAnsi="Calibri" w:cs="Calibri"/>
          <w:iCs/>
        </w:rPr>
        <w:t>(</w:t>
      </w:r>
      <w:r w:rsidR="00677B47" w:rsidRPr="00677B47">
        <w:rPr>
          <w:rFonts w:ascii="Calibri" w:hAnsi="Calibri" w:cs="Calibri"/>
          <w:iCs/>
        </w:rPr>
        <w:t>3</w:t>
      </w:r>
      <w:r w:rsidR="007B1948" w:rsidRPr="007B1948">
        <w:rPr>
          <w:rFonts w:ascii="Calibri" w:hAnsi="Calibri" w:cs="Calibri"/>
          <w:iCs/>
        </w:rPr>
        <w:t>)</w:t>
      </w:r>
      <w:r w:rsidR="00677B47" w:rsidRPr="00677B47">
        <w:rPr>
          <w:rFonts w:ascii="Calibri" w:hAnsi="Calibri" w:cs="Calibri"/>
          <w:iCs/>
        </w:rPr>
        <w:t xml:space="preserve"> quantification of the neuroinflammatory environment, and </w:t>
      </w:r>
      <w:r w:rsidR="007B1948" w:rsidRPr="007B1948">
        <w:rPr>
          <w:rFonts w:ascii="Calibri" w:hAnsi="Calibri" w:cs="Calibri"/>
          <w:iCs/>
        </w:rPr>
        <w:t>(</w:t>
      </w:r>
      <w:r w:rsidR="00677B47" w:rsidRPr="00677B47">
        <w:rPr>
          <w:rFonts w:ascii="Calibri" w:hAnsi="Calibri" w:cs="Calibri"/>
          <w:iCs/>
        </w:rPr>
        <w:t>4</w:t>
      </w:r>
      <w:r w:rsidR="007B1948" w:rsidRPr="007B1948">
        <w:rPr>
          <w:rFonts w:ascii="Calibri" w:hAnsi="Calibri" w:cs="Calibri"/>
          <w:iCs/>
        </w:rPr>
        <w:t>)</w:t>
      </w:r>
      <w:r w:rsidR="00677B47" w:rsidRPr="00677B47">
        <w:rPr>
          <w:rFonts w:ascii="Calibri" w:hAnsi="Calibri" w:cs="Calibri"/>
          <w:iCs/>
        </w:rPr>
        <w:t xml:space="preserve"> data integration </w:t>
      </w:r>
      <w:r w:rsidR="007B1948" w:rsidRPr="007B1948">
        <w:rPr>
          <w:rFonts w:ascii="Calibri" w:hAnsi="Calibri" w:cs="Calibri"/>
          <w:iCs/>
        </w:rPr>
        <w:t>(</w:t>
      </w:r>
      <w:r w:rsidR="00677B47" w:rsidRPr="00677B47">
        <w:rPr>
          <w:rFonts w:ascii="Calibri" w:hAnsi="Calibri" w:cs="Calibri"/>
          <w:b/>
          <w:iCs/>
        </w:rPr>
        <w:t>Figure</w:t>
      </w:r>
      <w:r w:rsidR="0067464C" w:rsidRPr="00677B47">
        <w:rPr>
          <w:rFonts w:ascii="Calibri" w:hAnsi="Calibri" w:cs="Calibri"/>
          <w:b/>
          <w:iCs/>
        </w:rPr>
        <w:t xml:space="preserve"> 1</w:t>
      </w:r>
      <w:r w:rsidR="007B1948" w:rsidRPr="007B1948">
        <w:rPr>
          <w:rFonts w:ascii="Calibri" w:hAnsi="Calibri" w:cs="Calibri"/>
          <w:iCs/>
        </w:rPr>
        <w:t>)</w:t>
      </w:r>
      <w:r w:rsidR="00B81A4F" w:rsidRPr="00677B47">
        <w:rPr>
          <w:rFonts w:ascii="Calibri" w:hAnsi="Calibri" w:cs="Calibri"/>
          <w:iCs/>
        </w:rPr>
        <w:t>. Below</w:t>
      </w:r>
      <w:r w:rsidR="00677B47" w:rsidRPr="00677B47">
        <w:rPr>
          <w:rFonts w:ascii="Calibri" w:hAnsi="Calibri" w:cs="Calibri"/>
          <w:iCs/>
        </w:rPr>
        <w:t>,</w:t>
      </w:r>
      <w:r w:rsidR="00B81A4F" w:rsidRPr="00677B47">
        <w:rPr>
          <w:rFonts w:ascii="Calibri" w:hAnsi="Calibri" w:cs="Calibri"/>
          <w:iCs/>
        </w:rPr>
        <w:t xml:space="preserve"> </w:t>
      </w:r>
      <w:r w:rsidRPr="00677B47">
        <w:rPr>
          <w:rFonts w:ascii="Calibri" w:hAnsi="Calibri" w:cs="Calibri"/>
          <w:iCs/>
        </w:rPr>
        <w:t>we</w:t>
      </w:r>
      <w:r w:rsidR="00F11002" w:rsidRPr="00677B47">
        <w:rPr>
          <w:rFonts w:ascii="Calibri" w:hAnsi="Calibri" w:cs="Calibri"/>
          <w:iCs/>
        </w:rPr>
        <w:t xml:space="preserve"> provide a brief introduction to </w:t>
      </w:r>
      <w:r w:rsidR="002D3AED" w:rsidRPr="00677B47">
        <w:rPr>
          <w:rFonts w:ascii="Calibri" w:hAnsi="Calibri" w:cs="Calibri"/>
          <w:iCs/>
        </w:rPr>
        <w:t xml:space="preserve">each </w:t>
      </w:r>
      <w:r w:rsidR="00B60E9F" w:rsidRPr="00677B47">
        <w:rPr>
          <w:rFonts w:ascii="Calibri" w:hAnsi="Calibri" w:cs="Calibri"/>
          <w:iCs/>
        </w:rPr>
        <w:t xml:space="preserve">of these key </w:t>
      </w:r>
      <w:r w:rsidR="002D3AED" w:rsidRPr="00677B47">
        <w:rPr>
          <w:rFonts w:ascii="Calibri" w:hAnsi="Calibri" w:cs="Calibri"/>
          <w:iCs/>
        </w:rPr>
        <w:t>step</w:t>
      </w:r>
      <w:r w:rsidR="00B60E9F" w:rsidRPr="00677B47">
        <w:rPr>
          <w:rFonts w:ascii="Calibri" w:hAnsi="Calibri" w:cs="Calibri"/>
          <w:iCs/>
        </w:rPr>
        <w:t>s</w:t>
      </w:r>
      <w:r w:rsidR="002D3AED" w:rsidRPr="00677B47">
        <w:rPr>
          <w:rFonts w:ascii="Calibri" w:hAnsi="Calibri" w:cs="Calibri"/>
          <w:iCs/>
        </w:rPr>
        <w:t xml:space="preserve"> to </w:t>
      </w:r>
      <w:r w:rsidR="00F11002" w:rsidRPr="00677B47">
        <w:rPr>
          <w:rFonts w:ascii="Calibri" w:hAnsi="Calibri" w:cs="Calibri"/>
          <w:iCs/>
        </w:rPr>
        <w:t xml:space="preserve">help guide readers through the </w:t>
      </w:r>
      <w:r w:rsidR="007A320B" w:rsidRPr="00677B47">
        <w:rPr>
          <w:rFonts w:ascii="Calibri" w:hAnsi="Calibri" w:cs="Calibri"/>
          <w:iCs/>
        </w:rPr>
        <w:t xml:space="preserve">rationale behind </w:t>
      </w:r>
      <w:r w:rsidR="00677B47" w:rsidRPr="00677B47">
        <w:rPr>
          <w:rFonts w:ascii="Calibri" w:hAnsi="Calibri" w:cs="Calibri"/>
          <w:iCs/>
        </w:rPr>
        <w:t>the</w:t>
      </w:r>
      <w:r w:rsidRPr="00677B47">
        <w:rPr>
          <w:rFonts w:ascii="Calibri" w:hAnsi="Calibri" w:cs="Calibri"/>
          <w:iCs/>
        </w:rPr>
        <w:t xml:space="preserve"> methods. </w:t>
      </w:r>
      <w:r w:rsidR="00B60E9F" w:rsidRPr="00677B47">
        <w:rPr>
          <w:rFonts w:ascii="Calibri" w:hAnsi="Calibri" w:cs="Calibri"/>
          <w:iCs/>
        </w:rPr>
        <w:t>The remainder of the manuscript provides a detailed protocol for each of these key steps.</w:t>
      </w:r>
    </w:p>
    <w:p w14:paraId="5FE4A2DB" w14:textId="24547554" w:rsidR="00AC35EE" w:rsidRPr="00677B47" w:rsidRDefault="00AC35EE" w:rsidP="009B5312">
      <w:pPr>
        <w:contextualSpacing/>
        <w:rPr>
          <w:rFonts w:ascii="Calibri" w:hAnsi="Calibri" w:cs="Calibri"/>
          <w:b/>
        </w:rPr>
      </w:pPr>
    </w:p>
    <w:p w14:paraId="5725EB36" w14:textId="1564A568" w:rsidR="00F11002" w:rsidRPr="00677B47" w:rsidRDefault="00B81A4F" w:rsidP="009B5312">
      <w:pPr>
        <w:contextualSpacing/>
        <w:rPr>
          <w:rFonts w:ascii="Calibri" w:hAnsi="Calibri" w:cs="Calibri"/>
        </w:rPr>
      </w:pPr>
      <w:r w:rsidRPr="00677B47">
        <w:rPr>
          <w:rFonts w:ascii="Calibri" w:hAnsi="Calibri" w:cs="Calibri"/>
          <w:b/>
        </w:rPr>
        <w:lastRenderedPageBreak/>
        <w:t>Weight-</w:t>
      </w:r>
      <w:r w:rsidR="00677B47" w:rsidRPr="00677B47">
        <w:rPr>
          <w:rFonts w:ascii="Calibri" w:hAnsi="Calibri" w:cs="Calibri"/>
          <w:b/>
        </w:rPr>
        <w:t>drop model of</w:t>
      </w:r>
      <w:r w:rsidR="00677B47" w:rsidRPr="00677B47">
        <w:rPr>
          <w:rFonts w:ascii="Calibri" w:hAnsi="Calibri" w:cs="Calibri"/>
        </w:rPr>
        <w:t xml:space="preserve"> </w:t>
      </w:r>
      <w:r w:rsidR="00677B47" w:rsidRPr="00677B47">
        <w:rPr>
          <w:rFonts w:ascii="Calibri" w:hAnsi="Calibri" w:cs="Calibri"/>
          <w:b/>
        </w:rPr>
        <w:t xml:space="preserve">mild traumatic brain injury </w:t>
      </w:r>
    </w:p>
    <w:p w14:paraId="0CD96BDB" w14:textId="7F26C0FF" w:rsidR="00F11002" w:rsidRPr="00677B47" w:rsidRDefault="00F11002" w:rsidP="009B5312">
      <w:pPr>
        <w:pStyle w:val="NormalWeb"/>
        <w:spacing w:before="0" w:beforeAutospacing="0" w:after="0" w:afterAutospacing="0"/>
        <w:contextualSpacing/>
      </w:pPr>
      <w:r w:rsidRPr="00677B47" w:rsidDel="008A3517">
        <w:t>Although many excellent preclinical models of repetitive mild TBI exist</w:t>
      </w:r>
      <w:r w:rsidRPr="00677B47" w:rsidDel="008A3517">
        <w:fldChar w:fldCharType="begin"/>
      </w:r>
      <w:r w:rsidR="00845D95" w:rsidRPr="00677B47">
        <w:instrText xml:space="preserve"> ADDIN ZOTERO_ITEM CSL_CITATION {"citationID":"jEVokywO","properties":{"formattedCitation":"\\super 12\\uc0\\u8211{}18\\nosupersub{}","plainCitation":"12–18","noteIndex":0},"citationItems":[{"id":"ZyThaQRL/KVwWwpCa","uris":["http://zotero.org/users/1518222/items/5RWB2X89"],"uri":["http://zotero.org/users/1518222/items/5RWB2X89"],"itemData":{"id":10678,"type":"article-journal","title":"Temporal window of metabolic brain vulnerability to concussions: mitochondrial-related impairment--part I","container-title":"Neurosurgery","page":"379-88; discussion 388-9","volume":"61","DOI":"10.1227/01.neu.0000280002.41696.d8","ISSN":"0148-396x","journalAbbreviation":"Neurosurgery","language":"eng","author":[{"family":"Vagnozzi","given":"R."},{"family":"Tavazzi","given":"B."},{"family":"Signoretti","given":"S."},{"family":"Amorini","given":"A. M."},{"family":"Belli","given":"A."},{"family":"Cimatti","given":"M."},{"family":"Delfini","given":"R."},{"family":"Di Pietro","given":"V."},{"family":"Finocchiaro","given":"A."},{"family":"Lazzarino","given":"G."}],"issued":{"date-parts":[["2007",8]]}}},{"id":"ZyThaQRL/rDuj75ce","uris":["http://zotero.org/users/1518222/items/FBDJKEZX"],"uri":["http://zotero.org/users/1518222/items/FBDJKEZX"],"itemData":{"id":10618,"type":"article-journal","title":"Temporal window of vulnerability to repetitive experimental concussive brain injury","container-title":"Neurosurgery","page":"364-74","volume":"56","ISSN":"1524-4040 (Electronic) 0148-396X (Linking)","journalAbbreviation":"Neurosurgery","language":"eng","author":[{"family":"Longhi","given":"L."},{"family":"Saatman","given":"K. E."},{"family":"Fujimoto","given":"S."},{"family":"Raghupathi","given":"R."},{"family":"Meaney","given":"D. F."},{"family":"Davis","given":"J."},{"family":"McMillan","given":"B. S. A."},{"family":"Conte","given":"V."},{"family":"Laurer","given":"H. L."},{"family":"Stein","given":"S."},{"family":"Stocchetti","given":"N."},{"family":"McIntosh","given":"T. K."}],"issued":{"date-parts":[["2005",2]]}}},{"id":"ZyThaQRL/pXNEBym3","uris":["http://zotero.org/users/1518222/items/XQH4JH2G"],"uri":["http://zotero.org/users/1518222/items/XQH4JH2G"],"itemData":{"id":10568,"type":"article-journal","title":"Intensity- and interval-specific repetitive traumatic brain injury can evoke both axonal and microvascular damage","container-title":"J Neurotrauma","page":"2172-80","volume":"29","DOI":"10.1089/neu.2012.2357","ISSN":"0897-7151","note":"PMCID: PMC3419839","language":"eng","author":[{"family":"Fujita","given":"M."},{"family":"Wei","given":"E. P."},{"family":"Povlishock","given":"J. T."}],"issued":{"date-parts":[["2012",8,10]]},"PMCID":"PMC3419839"}},{"id":"ZyThaQRL/vVTOJcNf","uris":["http://zotero.org/users/1518222/items/2NNK78TM"],"uri":["http://zotero.org/users/1518222/items/2NNK78TM"],"itemData":{"id":10514,"type":"article-journal","title":"Animal models of sports-related head injury: bridging the gap between preclinical research and clinical reality","container-title":"J Neurochem","page":"916-31","volume":"129","DOI":"10.1111/jnc.12690","ISSN":"1471-4159 (Electronic) 0022-3042 (Linking)","journalAbbreviation":"Journal of neurochemistry","author":[{"family":"Angoa-Perez","given":"M."},{"family":"Kane","given":"M. J."},{"family":"Briggs","given":"D. I."},{"family":"Herrera-Mundo","given":"N."},{"family":"Viano","given":"D. C."},{"family":"Kuhn","given":"D. M."}],"issued":{"date-parts":[["2014",2,19]]}}},{"id":"ZyThaQRL/RMH2qGsM","uris":["http://zotero.org/users/1518222/items/79MXX6DH"],"uri":["http://zotero.org/users/1518222/items/79MXX6DH"],"itemData":{"id":10650,"type":"article-journal","title":"Repeat traumatic brain injury in the juvenile rat is associated with increased axonal injury and cognitive impairments","container-title":"Developmental Neuroscience","page":"510-8","volume":"32","DOI":"10.1159/000316800","ISSN":"0378-5866","note":"PMCID: Pmc3215244","language":"eng","author":[{"family":"Prins","given":"M. L."},{"family":"Hales","given":"A."},{"family":"Reger","given":"M."},{"family":"Giza","given":"C. C."},{"family":"Hovda","given":"D. A."}],"issued":{"date-parts":[["2010"]]}}},{"id":"ZyThaQRL/kOv2ZtCc","uris":["http://zotero.org/users/1518222/items/VB5VV5AS"],"uri":["http://zotero.org/users/1518222/items/VB5VV5AS"],"itemData":{"id":10680,"type":"article-journal","title":"Concussion in professional football: animal model of brain injury--part 15","container-title":"Neurosurgery","page":"1162-73; discussion 1173","volume":"64","DOI":"10.1227/01.neu.0000345863.99099.c7","ISSN":"0148-396x","journalAbbreviation":"Neurosurgery","language":"eng","author":[{"family":"Viano","given":"D. C."},{"family":"Hamberger","given":"A."},{"family":"Bolouri","given":"H."},{"family":"Saljo","given":"A."}],"issued":{"date-parts":[["2009",6]]}}},{"id":"ZyThaQRL/jAg7FNfS","uris":["http://zotero.org/users/1518222/items/6IZKQWFS"],"uri":["http://zotero.org/users/1518222/items/6IZKQWFS"],"itemData":{"id":10603,"type":"article-journal","title":"A mouse model of human repetitive mild traumatic brain injury","container-title":"J Neurosci Methods","page":"41-9","volume":"203","DOI":"10.1016/j.jneumeth.2011.09.003","ISSN":"0165-0270","note":"PMCID: PMC3221913","journalAbbreviation":"Journal of neuroscience methods","language":"eng","author":[{"family":"Kane","given":"M. J."},{"family":"Angoa-Perez","given":"M."},{"family":"Briggs","given":"D. I."},{"family":"Viano","given":"D. C."},{"family":"Kreipke","given":"C. W."},{"family":"Kuhn","given":"D. M."}],"issued":{"date-parts":[["2012",1,15]]},"PMCID":"PMC3221913"}}],"schema":"https://github.com/citation-style-language/schema/raw/master/csl-citation.json"} </w:instrText>
      </w:r>
      <w:r w:rsidRPr="00677B47" w:rsidDel="008A3517">
        <w:fldChar w:fldCharType="separate"/>
      </w:r>
      <w:r w:rsidRPr="00677B47" w:rsidDel="008A3517">
        <w:rPr>
          <w:vertAlign w:val="superscript"/>
        </w:rPr>
        <w:t>12–18</w:t>
      </w:r>
      <w:r w:rsidRPr="00677B47" w:rsidDel="008A3517">
        <w:fldChar w:fldCharType="end"/>
      </w:r>
      <w:r w:rsidRPr="00677B47" w:rsidDel="008A3517">
        <w:t>, we employ a well-established and clinically relevant weight-drop closed head injury model. Key features of this model include</w:t>
      </w:r>
      <w:r w:rsidRPr="00677B47" w:rsidDel="008A3517">
        <w:rPr>
          <w:rFonts w:eastAsia="Calibri"/>
        </w:rPr>
        <w:t xml:space="preserve"> </w:t>
      </w:r>
      <w:r w:rsidR="007B1948" w:rsidRPr="007B1948">
        <w:rPr>
          <w:rFonts w:eastAsia="Calibri"/>
        </w:rPr>
        <w:t>(</w:t>
      </w:r>
      <w:r w:rsidRPr="00677B47" w:rsidDel="008A3517">
        <w:rPr>
          <w:rFonts w:eastAsia="Calibri"/>
        </w:rPr>
        <w:t>1</w:t>
      </w:r>
      <w:r w:rsidR="007B1948" w:rsidRPr="007B1948">
        <w:rPr>
          <w:rFonts w:eastAsia="Calibri"/>
        </w:rPr>
        <w:t>)</w:t>
      </w:r>
      <w:r w:rsidRPr="00677B47" w:rsidDel="008A3517">
        <w:rPr>
          <w:rFonts w:eastAsia="Calibri"/>
        </w:rPr>
        <w:t xml:space="preserve"> </w:t>
      </w:r>
      <w:r w:rsidRPr="00677B47" w:rsidDel="008A3517">
        <w:t>blunt impact of the intact skull/scalp followed by unrestricted rotation of the head about the neck</w:t>
      </w:r>
      <w:r w:rsidRPr="00677B47" w:rsidDel="008A3517">
        <w:rPr>
          <w:rFonts w:eastAsia="Calibri"/>
        </w:rPr>
        <w:t xml:space="preserve">, </w:t>
      </w:r>
      <w:r w:rsidR="007B1948" w:rsidRPr="007B1948">
        <w:rPr>
          <w:rFonts w:eastAsia="Calibri"/>
        </w:rPr>
        <w:t>(</w:t>
      </w:r>
      <w:r w:rsidRPr="00677B47" w:rsidDel="008A3517">
        <w:rPr>
          <w:rFonts w:eastAsia="Calibri"/>
        </w:rPr>
        <w:t>2</w:t>
      </w:r>
      <w:r w:rsidR="007B1948" w:rsidRPr="007B1948">
        <w:rPr>
          <w:rFonts w:eastAsia="Calibri"/>
        </w:rPr>
        <w:t>)</w:t>
      </w:r>
      <w:r w:rsidRPr="00677B47" w:rsidDel="008A3517">
        <w:rPr>
          <w:rFonts w:eastAsia="Calibri"/>
        </w:rPr>
        <w:t xml:space="preserve"> no</w:t>
      </w:r>
      <w:r w:rsidRPr="00677B47" w:rsidDel="008A3517">
        <w:t xml:space="preserve"> </w:t>
      </w:r>
      <w:r w:rsidRPr="00677B47" w:rsidDel="008A3517">
        <w:rPr>
          <w:rFonts w:eastAsia="Calibri"/>
        </w:rPr>
        <w:t>overt</w:t>
      </w:r>
      <w:r w:rsidRPr="00677B47" w:rsidDel="008A3517">
        <w:t xml:space="preserve"> </w:t>
      </w:r>
      <w:r w:rsidRPr="00677B47" w:rsidDel="008A3517">
        <w:rPr>
          <w:rFonts w:eastAsia="Calibri"/>
        </w:rPr>
        <w:t>structural</w:t>
      </w:r>
      <w:r w:rsidRPr="00677B47" w:rsidDel="008A3517">
        <w:t xml:space="preserve"> </w:t>
      </w:r>
      <w:r w:rsidRPr="00677B47" w:rsidDel="008A3517">
        <w:rPr>
          <w:rFonts w:eastAsia="Calibri"/>
        </w:rPr>
        <w:t>brain</w:t>
      </w:r>
      <w:r w:rsidRPr="00677B47" w:rsidDel="008A3517">
        <w:t xml:space="preserve"> </w:t>
      </w:r>
      <w:r w:rsidRPr="00677B47" w:rsidDel="008A3517">
        <w:rPr>
          <w:rFonts w:eastAsia="Calibri"/>
        </w:rPr>
        <w:t>injury</w:t>
      </w:r>
      <w:r w:rsidRPr="00677B47" w:rsidDel="008A3517">
        <w:t xml:space="preserve">, </w:t>
      </w:r>
      <w:r w:rsidRPr="00677B47" w:rsidDel="008A3517">
        <w:rPr>
          <w:rFonts w:eastAsia="Calibri"/>
        </w:rPr>
        <w:t>edema</w:t>
      </w:r>
      <w:r w:rsidRPr="00677B47" w:rsidDel="008A3517">
        <w:t xml:space="preserve">, </w:t>
      </w:r>
      <w:r w:rsidRPr="00677B47" w:rsidDel="008A3517">
        <w:rPr>
          <w:rFonts w:eastAsia="Calibri"/>
        </w:rPr>
        <w:t>blood</w:t>
      </w:r>
      <w:r w:rsidRPr="00677B47" w:rsidDel="008A3517">
        <w:t>–</w:t>
      </w:r>
      <w:r w:rsidRPr="00677B47" w:rsidDel="008A3517">
        <w:rPr>
          <w:rFonts w:eastAsia="Calibri"/>
        </w:rPr>
        <w:t>brain</w:t>
      </w:r>
      <w:r w:rsidRPr="00677B47" w:rsidDel="008A3517">
        <w:t xml:space="preserve"> </w:t>
      </w:r>
      <w:r w:rsidRPr="00677B47" w:rsidDel="008A3517">
        <w:rPr>
          <w:rFonts w:eastAsia="Calibri"/>
        </w:rPr>
        <w:t>barrier</w:t>
      </w:r>
      <w:r w:rsidRPr="00677B47" w:rsidDel="008A3517">
        <w:t xml:space="preserve"> </w:t>
      </w:r>
      <w:r w:rsidRPr="00677B47" w:rsidDel="008A3517">
        <w:rPr>
          <w:rFonts w:eastAsia="Calibri"/>
        </w:rPr>
        <w:t>damage</w:t>
      </w:r>
      <w:r w:rsidRPr="00677B47" w:rsidDel="008A3517">
        <w:t xml:space="preserve">, </w:t>
      </w:r>
      <w:r w:rsidRPr="00677B47" w:rsidDel="008A3517">
        <w:rPr>
          <w:rFonts w:eastAsia="Calibri"/>
        </w:rPr>
        <w:t>acute</w:t>
      </w:r>
      <w:r w:rsidRPr="00677B47" w:rsidDel="008A3517">
        <w:t xml:space="preserve"> </w:t>
      </w:r>
      <w:r w:rsidRPr="00677B47" w:rsidDel="008A3517">
        <w:rPr>
          <w:rFonts w:eastAsia="Calibri"/>
        </w:rPr>
        <w:t>cell</w:t>
      </w:r>
      <w:r w:rsidRPr="00677B47" w:rsidDel="008A3517">
        <w:t xml:space="preserve"> </w:t>
      </w:r>
      <w:r w:rsidRPr="00677B47" w:rsidDel="008A3517">
        <w:rPr>
          <w:rFonts w:eastAsia="Calibri"/>
        </w:rPr>
        <w:t>death</w:t>
      </w:r>
      <w:r w:rsidRPr="00677B47" w:rsidDel="008A3517">
        <w:t xml:space="preserve">, </w:t>
      </w:r>
      <w:r w:rsidRPr="00677B47" w:rsidDel="008A3517">
        <w:rPr>
          <w:rFonts w:eastAsia="Calibri"/>
        </w:rPr>
        <w:t>or</w:t>
      </w:r>
      <w:r w:rsidRPr="00677B47" w:rsidDel="008A3517">
        <w:t xml:space="preserve"> </w:t>
      </w:r>
      <w:r w:rsidRPr="00677B47" w:rsidDel="008A3517">
        <w:rPr>
          <w:rFonts w:eastAsia="Calibri"/>
        </w:rPr>
        <w:t>chronic</w:t>
      </w:r>
      <w:r w:rsidRPr="00677B47" w:rsidDel="008A3517">
        <w:t xml:space="preserve"> </w:t>
      </w:r>
      <w:r w:rsidRPr="00677B47" w:rsidDel="008A3517">
        <w:rPr>
          <w:rFonts w:eastAsia="Calibri"/>
        </w:rPr>
        <w:t>brain</w:t>
      </w:r>
      <w:r w:rsidRPr="00677B47" w:rsidDel="008A3517">
        <w:t xml:space="preserve"> </w:t>
      </w:r>
      <w:r w:rsidRPr="00677B47" w:rsidDel="008A3517">
        <w:rPr>
          <w:rFonts w:eastAsia="Calibri"/>
        </w:rPr>
        <w:t>tissue</w:t>
      </w:r>
      <w:r w:rsidRPr="00677B47" w:rsidDel="008A3517">
        <w:t xml:space="preserve"> </w:t>
      </w:r>
      <w:r w:rsidRPr="00677B47" w:rsidDel="008A3517">
        <w:rPr>
          <w:rFonts w:eastAsia="Calibri"/>
        </w:rPr>
        <w:t>loss</w:t>
      </w:r>
      <w:r w:rsidRPr="00677B47" w:rsidDel="008A3517">
        <w:t xml:space="preserve">, </w:t>
      </w:r>
      <w:r w:rsidRPr="00677B47" w:rsidDel="008A3517">
        <w:rPr>
          <w:rFonts w:eastAsia="Calibri"/>
        </w:rPr>
        <w:t>and</w:t>
      </w:r>
      <w:r w:rsidRPr="00677B47" w:rsidDel="008A3517">
        <w:t xml:space="preserve"> </w:t>
      </w:r>
      <w:r w:rsidR="007B1948" w:rsidRPr="007B1948">
        <w:t>(</w:t>
      </w:r>
      <w:r w:rsidRPr="00677B47" w:rsidDel="008A3517">
        <w:t>3</w:t>
      </w:r>
      <w:r w:rsidR="007B1948" w:rsidRPr="007B1948">
        <w:t>)</w:t>
      </w:r>
      <w:r w:rsidRPr="00677B47" w:rsidDel="008A3517">
        <w:t xml:space="preserve"> persistent </w:t>
      </w:r>
      <w:r w:rsidR="007B1948" w:rsidRPr="007B1948">
        <w:t>(</w:t>
      </w:r>
      <w:r w:rsidRPr="00677B47" w:rsidDel="008A3517">
        <w:t>up to 1 year</w:t>
      </w:r>
      <w:r w:rsidR="007B1948" w:rsidRPr="007B1948">
        <w:t>)</w:t>
      </w:r>
      <w:r w:rsidRPr="00677B47" w:rsidDel="008A3517">
        <w:t xml:space="preserve"> </w:t>
      </w:r>
      <w:r w:rsidRPr="00677B47" w:rsidDel="008A3517">
        <w:rPr>
          <w:rFonts w:eastAsia="Calibri"/>
        </w:rPr>
        <w:t>cognitive</w:t>
      </w:r>
      <w:r w:rsidRPr="00677B47" w:rsidDel="008A3517">
        <w:t xml:space="preserve"> </w:t>
      </w:r>
      <w:r w:rsidRPr="00677B47" w:rsidDel="008A3517">
        <w:rPr>
          <w:rFonts w:eastAsia="Calibri"/>
        </w:rPr>
        <w:t>deficits</w:t>
      </w:r>
      <w:r w:rsidRPr="00677B47" w:rsidDel="008A3517">
        <w:t xml:space="preserve"> that </w:t>
      </w:r>
      <w:r w:rsidRPr="00677B47" w:rsidDel="008A3517">
        <w:rPr>
          <w:rFonts w:eastAsia="Calibri"/>
        </w:rPr>
        <w:t>emerge</w:t>
      </w:r>
      <w:r w:rsidRPr="00677B47" w:rsidDel="008A3517">
        <w:t xml:space="preserve"> </w:t>
      </w:r>
      <w:r w:rsidRPr="00677B47" w:rsidDel="008A3517">
        <w:rPr>
          <w:rFonts w:eastAsia="Calibri"/>
        </w:rPr>
        <w:t>only</w:t>
      </w:r>
      <w:r w:rsidRPr="00677B47" w:rsidDel="008A3517">
        <w:t xml:space="preserve"> </w:t>
      </w:r>
      <w:r w:rsidRPr="00677B47" w:rsidDel="008A3517">
        <w:rPr>
          <w:rFonts w:eastAsia="Calibri"/>
        </w:rPr>
        <w:t>after</w:t>
      </w:r>
      <w:r w:rsidRPr="00677B47" w:rsidDel="008A3517">
        <w:t xml:space="preserve"> </w:t>
      </w:r>
      <w:r w:rsidRPr="00677B47" w:rsidDel="008A3517">
        <w:rPr>
          <w:rFonts w:eastAsia="Calibri"/>
        </w:rPr>
        <w:t>multiple</w:t>
      </w:r>
      <w:r w:rsidRPr="00677B47" w:rsidDel="008A3517">
        <w:t xml:space="preserve"> </w:t>
      </w:r>
      <w:r w:rsidRPr="00677B47" w:rsidDel="008A3517">
        <w:rPr>
          <w:rFonts w:eastAsia="Calibri"/>
        </w:rPr>
        <w:t>hits</w:t>
      </w:r>
      <w:r w:rsidRPr="00677B47" w:rsidDel="008A3517">
        <w:rPr>
          <w:b/>
        </w:rPr>
        <w:fldChar w:fldCharType="begin"/>
      </w:r>
      <w:r w:rsidR="00845D95" w:rsidRPr="00677B47">
        <w:rPr>
          <w:b/>
        </w:rPr>
        <w:instrText xml:space="preserve"> ADDIN ZOTERO_ITEM CSL_CITATION {"citationID":"T28wrsFV","properties":{"formattedCitation":"\\super 19\\nosupersub{}","plainCitation":"19","noteIndex":0},"citationItems":[{"id":147,"uris":["http://zotero.org/users/5036325/items/MYNJSNYL"],"uri":["http://zotero.org/users/5036325/items/MYNJSNYL"],"itemData":{"id":147,"type":"article-journal","container-title":"Neurosurgery","DOI":"10.1227/NEU.0b013e318265a439","ISSN":"0148-396X","issue":"4","language":"en","page":"885-892","source":"Crossref","title":"Increasing Recovery Time Between Injuries Improves Cognitive Outcome After Repetitive Mild Concussive Brain Injuries in Mice:","title-short":"Increasing Recovery Time Between Injuries Improves Cognitive Outcome After Repetitive Mild Concussive Brain Injuries in Mice","volume":"71","author":[{"family":"Meehan","given":"William P."},{"family":"Zhang","given":"Jimmy"},{"family":"Mannix","given":"Rebekah"},{"family":"Whalen","given":"Michael J."}],"issued":{"date-parts":[["2012",10]]}}}],"schema":"https://github.com/citation-style-language/schema/raw/master/csl-citation.json"} </w:instrText>
      </w:r>
      <w:r w:rsidRPr="00677B47" w:rsidDel="008A3517">
        <w:rPr>
          <w:b/>
        </w:rPr>
        <w:fldChar w:fldCharType="separate"/>
      </w:r>
      <w:r w:rsidRPr="00677B47" w:rsidDel="008A3517">
        <w:rPr>
          <w:vertAlign w:val="superscript"/>
        </w:rPr>
        <w:t>19</w:t>
      </w:r>
      <w:r w:rsidRPr="00677B47" w:rsidDel="008A3517">
        <w:rPr>
          <w:b/>
        </w:rPr>
        <w:fldChar w:fldCharType="end"/>
      </w:r>
      <w:r w:rsidR="0067464C" w:rsidRPr="00677B47">
        <w:rPr>
          <w:b/>
        </w:rPr>
        <w:t xml:space="preserve"> </w:t>
      </w:r>
      <w:r w:rsidR="007B1948" w:rsidRPr="007B1948">
        <w:t>(</w:t>
      </w:r>
      <w:r w:rsidR="00677B47" w:rsidRPr="00677B47">
        <w:rPr>
          <w:b/>
        </w:rPr>
        <w:t>Figure</w:t>
      </w:r>
      <w:r w:rsidR="0067464C" w:rsidRPr="00677B47">
        <w:rPr>
          <w:b/>
        </w:rPr>
        <w:t xml:space="preserve"> 2</w:t>
      </w:r>
      <w:r w:rsidR="007B1948" w:rsidRPr="007B1948">
        <w:t>)</w:t>
      </w:r>
      <w:r w:rsidRPr="00677B47">
        <w:rPr>
          <w:b/>
        </w:rPr>
        <w:t>.</w:t>
      </w:r>
    </w:p>
    <w:p w14:paraId="79BB0A52" w14:textId="462C6AD4" w:rsidR="00F11002" w:rsidRPr="00677B47" w:rsidRDefault="00F11002" w:rsidP="009B5312">
      <w:pPr>
        <w:contextualSpacing/>
        <w:rPr>
          <w:rFonts w:ascii="Calibri" w:hAnsi="Calibri" w:cs="Calibri"/>
          <w:b/>
        </w:rPr>
      </w:pPr>
    </w:p>
    <w:p w14:paraId="310B0E20" w14:textId="6BB700D0" w:rsidR="00F11002" w:rsidRPr="00677B47" w:rsidRDefault="00F11002" w:rsidP="009B5312">
      <w:pPr>
        <w:contextualSpacing/>
        <w:rPr>
          <w:rFonts w:ascii="Calibri" w:hAnsi="Calibri" w:cs="Calibri"/>
        </w:rPr>
      </w:pPr>
      <w:r w:rsidRPr="00677B47">
        <w:rPr>
          <w:rFonts w:ascii="Calibri" w:hAnsi="Calibri" w:cs="Calibri"/>
          <w:b/>
        </w:rPr>
        <w:t xml:space="preserve">Assessment of </w:t>
      </w:r>
      <w:r w:rsidR="00677B47" w:rsidRPr="00677B47">
        <w:rPr>
          <w:rFonts w:ascii="Calibri" w:hAnsi="Calibri" w:cs="Calibri"/>
          <w:b/>
        </w:rPr>
        <w:t>cerebral blood flow with diffuse correlation spectroscopy</w:t>
      </w:r>
    </w:p>
    <w:p w14:paraId="3974F0D9" w14:textId="22B0D5F4" w:rsidR="00F11002" w:rsidRPr="00677B47" w:rsidRDefault="00F11002" w:rsidP="009B5312">
      <w:pPr>
        <w:pStyle w:val="NormalWeb"/>
        <w:spacing w:before="0" w:beforeAutospacing="0" w:after="0" w:afterAutospacing="0"/>
        <w:contextualSpacing/>
      </w:pPr>
      <w:r w:rsidRPr="00677B47">
        <w:t xml:space="preserve">Diffuse correlation spectroscopy </w:t>
      </w:r>
      <w:r w:rsidR="007B1948" w:rsidRPr="007B1948">
        <w:t>(</w:t>
      </w:r>
      <w:r w:rsidRPr="00677B47">
        <w:t>DCS</w:t>
      </w:r>
      <w:r w:rsidR="007B1948" w:rsidRPr="007B1948">
        <w:t>)</w:t>
      </w:r>
      <w:r w:rsidRPr="00677B47">
        <w:t xml:space="preserve"> is a noninvasive optical technique that measures blood flow </w:t>
      </w:r>
      <w:r w:rsidRPr="00677B47">
        <w:fldChar w:fldCharType="begin"/>
      </w:r>
      <w:r w:rsidR="00845D95" w:rsidRPr="00677B47">
        <w:instrText xml:space="preserve"> ADDIN ZOTERO_ITEM CSL_CITATION {"citationID":"6EjpXwsQ","properties":{"formattedCitation":"\\super 5, 20, 21\\nosupersub{}","plainCitation":"5, 20, 21","noteIndex":0},"citationItems":[{"id":"ZyThaQRL/tqUW2xYv","uris":["http://zotero.org/users/6419092/items/7SK86MDK"],"uri":["http://zotero.org/users/6419092/items/7SK86MDK"],"itemData":{"id":128,"type":"book","abstract":"In the past decade, few subjects at the intersection of medicine and sports have generated as much public interest as sports-related concussions - especially among youth. Despite growing awareness of sports-related concussions and campaigns to educate athletes, coaches, physicians, and parents of young athletes about concussion recognition and management, confusion and controversy persist in many areas. Currently, diagnosis is based primarily on the symptoms reported by the individual rather than on objective diagnostic markers, and there is little empirical evidence for the optimal degree and duration of physical rest needed to promote recovery or the best timing and approach for returning to full physical activity. Sports-Related Concussions in Youth: Improving the Science, Changing the Culture reviews the science of sports-related concussions in youth from elementary school through young adulthood, as well as in military personnel and their dependents. This report recommends actions that can be taken by a range of audiences - including research funding agencies, legislatures, state and school superintendents and athletic directors, military organizations, and equipment manufacturers, as well as youth who participate in sports and their parents - to improve what is known about concussions and to reduce their occurrence. Sports-Related Concussions in Youth finds that while some studies provide useful information, much remains unknown about the extent of concussions in youth; how to diagnose, manage, and prevent concussions; and the short- and long-term consequences of concussions as well as repetitive head impacts that do not result in concussion symptoms. The culture of sports negatively influences athletes' self-reporting of concussion symptoms and their adherence to return-to-play guidance. Athletes, their teammates, and, in some cases, coaches and parents may not fully appreciate the health threats posed by concussions. Similarly, military recruits are immersed in a culture that includes devotion to duty and service before self, and the critical nature of concussions may often go unheeded. According to Sports-Related Concussions in Youth, if the youth sports community can adopt the belief that concussions are serious injuries and emphasize care for players with concussions until they are fully recovered, then the culture in which these athletes perform and compete will become much safer. Improving understanding of the extent, causes, effects, and prevention of sports-related concussions is vitally important for the health and well-being of youth athletes. The findings and recommendations in this report set a direction for research to reach this goal.","call-number":"NBK169016","collection-title":"The National Academies Collection: Reports funded by National Institutes of Health","event-place":"Washington (DC)","ISBN":"978-0-309-28800-2","language":"eng","note":"PMID: 24199265","publisher":"National Academies Press (US)","publisher-place":"Washington (DC)","source":"PubMed","title":"Sports-Related Concussions in Youth: Improving the Science, Changing the Culture","title-short":"Sports-Related Concussions in Youth","URL":"http://www.ncbi.nlm.nih.gov/books/NBK169016/","author":[{"literal":"Committee on Sports-Related Concussions in Youth"},{"literal":"Board on Children, Youth, and Families"},{"literal":"Institute of Medicine"},{"literal":"National Research Council"}],"editor":[{"family":"Graham","given":"Robert"},{"family":"Rivara","given":"Frederick P."},{"family":"Ford","given":"Morgan A."},{"family":"Spicer","given":"Carol Mason"}],"accessed":{"date-parts":[["2020",3,2]]},"issued":{"date-parts":[["2014"]]}}},{"id":155,"uris":["http://zotero.org/users/5036325/items/6BN7QWP4"],"uri":["http://zotero.org/users/5036325/items/6BN7QWP4"],"itemData":{"id":155,"type":"article-journal","container-title":"NeuroImage","DOI":"10.1016/j.neuroimage.2013.06.017","ISSN":"10538119","language":"en","page":"51-63","source":"Crossref","title":"Diffuse correlation spectroscopy for non-invasive, micro-vascular cerebral blood flow measurement","volume":"85","author":[{"family":"Durduran","given":"Turgut"},{"family":"Yodh","given":"Arjun G."}],"issued":{"date-parts":[["2014",1]]}}},{"id":216,"uris":["http://zotero.org/users/5036325/items/NBXMVDC3"],"uri":["http://zotero.org/users/5036325/items/NBXMVDC3"],"itemData":{"id":216,"type":"article-journal","container-title":"Biomedical Optics Express","DOI":"10.1364/BOE.9.005719","ISSN":"2156-7085, 2156-7085","issue":"11","language":"en","page":"5719","source":"Crossref","title":"Small separation diffuse correlation spectroscopy for measurement of cerebral blood flow in rodents","volume":"9","author":[{"family":"Sathialingam","given":"Eashani"},{"family":"Lee","given":"Seung Yup"},{"family":"Sanders","given":"Bharat"},{"family":"Park","given":"Jaekeun"},{"family":"McCracken","given":"Courtney E."},{"family":"Bryan","given":"Leah"},{"family":"Buckley","given":"Erin M."}],"issued":{"date-parts":[["2018",11,1]]}}}],"schema":"https://github.com/citation-style-language/schema/raw/master/csl-citation.json"} </w:instrText>
      </w:r>
      <w:r w:rsidRPr="00677B47">
        <w:fldChar w:fldCharType="separate"/>
      </w:r>
      <w:r w:rsidRPr="00677B47">
        <w:rPr>
          <w:vertAlign w:val="superscript"/>
        </w:rPr>
        <w:t>5,20,21</w:t>
      </w:r>
      <w:r w:rsidRPr="00677B47">
        <w:fldChar w:fldCharType="end"/>
      </w:r>
      <w:r w:rsidRPr="00677B47">
        <w:t xml:space="preserve">. In DCS, a near-infrared light source is placed on the tissue surface. A detector is placed at a fixed distance from the source on the tissue surface to detect light that has </w:t>
      </w:r>
      <w:r w:rsidR="00677B47" w:rsidRPr="00677B47">
        <w:t>multiply scattered</w:t>
      </w:r>
      <w:r w:rsidRPr="00677B47">
        <w:t xml:space="preserve"> through the tissue</w:t>
      </w:r>
      <w:r w:rsidR="0067464C" w:rsidRPr="00677B47">
        <w:t xml:space="preserve"> </w:t>
      </w:r>
      <w:r w:rsidR="007B1948" w:rsidRPr="007B1948">
        <w:t>(</w:t>
      </w:r>
      <w:r w:rsidR="00677B47" w:rsidRPr="00677B47">
        <w:rPr>
          <w:b/>
        </w:rPr>
        <w:t>Figure</w:t>
      </w:r>
      <w:r w:rsidR="0067464C" w:rsidRPr="00677B47">
        <w:rPr>
          <w:b/>
        </w:rPr>
        <w:t xml:space="preserve"> 3</w:t>
      </w:r>
      <w:r w:rsidR="007B1948" w:rsidRPr="007B1948">
        <w:t>)</w:t>
      </w:r>
      <w:r w:rsidRPr="00677B47">
        <w:t xml:space="preserve">. Scattering off moving red blood cells causes the detected light intensity to fluctuate with time. </w:t>
      </w:r>
      <w:r w:rsidRPr="00677B47">
        <w:rPr>
          <w:color w:val="auto"/>
        </w:rPr>
        <w:t xml:space="preserve">A simple analytical model known as correlation diffusion theory is used to relate these </w:t>
      </w:r>
      <w:r w:rsidRPr="00677B47">
        <w:t>intensity</w:t>
      </w:r>
      <w:r w:rsidRPr="00677B47">
        <w:rPr>
          <w:color w:val="auto"/>
        </w:rPr>
        <w:t xml:space="preserve"> fluctuations to an index of blood flow </w:t>
      </w:r>
      <w:r w:rsidR="007B1948" w:rsidRPr="007B1948">
        <w:rPr>
          <w:color w:val="auto"/>
        </w:rPr>
        <w:t>(</w:t>
      </w:r>
      <w:r w:rsidRPr="00677B47">
        <w:rPr>
          <w:color w:val="auto"/>
        </w:rPr>
        <w:t>CBF</w:t>
      </w:r>
      <w:r w:rsidRPr="00677B47">
        <w:rPr>
          <w:color w:val="auto"/>
          <w:vertAlign w:val="subscript"/>
        </w:rPr>
        <w:t>i</w:t>
      </w:r>
      <w:r w:rsidR="0067464C" w:rsidRPr="00677B47">
        <w:rPr>
          <w:color w:val="auto"/>
        </w:rPr>
        <w:t xml:space="preserve">, </w:t>
      </w:r>
      <w:r w:rsidR="00677B47" w:rsidRPr="00677B47">
        <w:rPr>
          <w:b/>
          <w:color w:val="auto"/>
        </w:rPr>
        <w:t>Figure</w:t>
      </w:r>
      <w:r w:rsidR="0067464C" w:rsidRPr="00677B47">
        <w:rPr>
          <w:b/>
          <w:color w:val="auto"/>
        </w:rPr>
        <w:t xml:space="preserve"> 4</w:t>
      </w:r>
      <w:r w:rsidR="007B1948" w:rsidRPr="007B1948">
        <w:rPr>
          <w:color w:val="auto"/>
        </w:rPr>
        <w:t>)</w:t>
      </w:r>
      <w:r w:rsidRPr="00677B47">
        <w:rPr>
          <w:color w:val="auto"/>
        </w:rPr>
        <w:t xml:space="preserve">. </w:t>
      </w:r>
      <w:r w:rsidRPr="00677B47">
        <w:t>Although the units of CBF</w:t>
      </w:r>
      <w:r w:rsidRPr="00677B47">
        <w:rPr>
          <w:vertAlign w:val="subscript"/>
        </w:rPr>
        <w:t>i</w:t>
      </w:r>
      <w:r w:rsidRPr="00677B47">
        <w:t xml:space="preserve"> </w:t>
      </w:r>
      <w:r w:rsidR="007B1948" w:rsidRPr="007B1948">
        <w:t>(</w:t>
      </w:r>
      <w:r w:rsidRPr="00677B47">
        <w:t>cm</w:t>
      </w:r>
      <w:r w:rsidRPr="00677B47">
        <w:rPr>
          <w:vertAlign w:val="superscript"/>
        </w:rPr>
        <w:t>2</w:t>
      </w:r>
      <w:r w:rsidRPr="00677B47">
        <w:t>/s</w:t>
      </w:r>
      <w:r w:rsidR="007B1948" w:rsidRPr="007B1948">
        <w:t>)</w:t>
      </w:r>
      <w:r w:rsidRPr="00677B47">
        <w:t xml:space="preserve"> are not the traditional units of flow </w:t>
      </w:r>
      <w:r w:rsidR="007B1948" w:rsidRPr="007B1948">
        <w:t>(</w:t>
      </w:r>
      <w:r w:rsidRPr="00677B47">
        <w:t>mL/min/100 g</w:t>
      </w:r>
      <w:r w:rsidR="007B1948" w:rsidRPr="007B1948">
        <w:t>)</w:t>
      </w:r>
      <w:r w:rsidRPr="00677B47">
        <w:t>, a previous study in mice has shown that CBF</w:t>
      </w:r>
      <w:r w:rsidRPr="00677B47">
        <w:rPr>
          <w:vertAlign w:val="subscript"/>
        </w:rPr>
        <w:t>i</w:t>
      </w:r>
      <w:r w:rsidRPr="00677B47">
        <w:t xml:space="preserve"> </w:t>
      </w:r>
      <w:r w:rsidR="00F74B6D" w:rsidRPr="00677B47">
        <w:t>strongl</w:t>
      </w:r>
      <w:r w:rsidRPr="00677B47">
        <w:t>y correlates with cerebral blood flow measured by arterial spin labeled MRI</w:t>
      </w:r>
      <w:r w:rsidRPr="00677B47">
        <w:fldChar w:fldCharType="begin"/>
      </w:r>
      <w:r w:rsidR="00845D95" w:rsidRPr="00677B47">
        <w:instrText xml:space="preserve"> ADDIN ZOTERO_ITEM CSL_CITATION {"citationID":"mgPJdT9a","properties":{"formattedCitation":"\\super 21\\nosupersub{}","plainCitation":"21","noteIndex":0},"citationItems":[{"id":216,"uris":["http://zotero.org/users/5036325/items/NBXMVDC3"],"uri":["http://zotero.org/users/5036325/items/NBXMVDC3"],"itemData":{"id":216,"type":"article-journal","container-title":"Biomedical Optics Express","DOI":"10.1364/BOE.9.005719","ISSN":"2156-7085, 2156-7085","issue":"11","language":"en","page":"5719","source":"Crossref","title":"Small separation diffuse correlation spectroscopy for measurement of cerebral blood flow in rodents","volume":"9","author":[{"family":"Sathialingam","given":"Eashani"},{"family":"Lee","given":"Seung Yup"},{"family":"Sanders","given":"Bharat"},{"family":"Park","given":"Jaekeun"},{"family":"McCracken","given":"Courtney E."},{"family":"Bryan","given":"Leah"},{"family":"Buckley","given":"Erin M."}],"issued":{"date-parts":[["2018",11,1]]}}}],"schema":"https://github.com/citation-style-language/schema/raw/master/csl-citation.json"} </w:instrText>
      </w:r>
      <w:r w:rsidRPr="00677B47">
        <w:fldChar w:fldCharType="separate"/>
      </w:r>
      <w:r w:rsidRPr="00677B47">
        <w:rPr>
          <w:vertAlign w:val="superscript"/>
        </w:rPr>
        <w:t>21</w:t>
      </w:r>
      <w:r w:rsidRPr="00677B47">
        <w:fldChar w:fldCharType="end"/>
      </w:r>
      <w:r w:rsidRPr="00677B47">
        <w:t>.</w:t>
      </w:r>
    </w:p>
    <w:p w14:paraId="4E2780D6" w14:textId="77777777" w:rsidR="00677B47" w:rsidRPr="00677B47" w:rsidRDefault="00677B47" w:rsidP="009B5312">
      <w:pPr>
        <w:pStyle w:val="NormalWeb"/>
        <w:spacing w:before="0" w:beforeAutospacing="0" w:after="0" w:afterAutospacing="0"/>
        <w:contextualSpacing/>
      </w:pPr>
    </w:p>
    <w:p w14:paraId="56489989" w14:textId="24BFD730" w:rsidR="00F11002" w:rsidRPr="00677B47" w:rsidRDefault="00D757BB" w:rsidP="009B5312">
      <w:pPr>
        <w:pStyle w:val="NormalWeb"/>
        <w:spacing w:before="0" w:beforeAutospacing="0" w:after="0" w:afterAutospacing="0"/>
        <w:contextualSpacing/>
        <w:rPr>
          <w:highlight w:val="yellow"/>
        </w:rPr>
      </w:pPr>
      <w:r w:rsidRPr="00677B47">
        <w:t xml:space="preserve">For reference, </w:t>
      </w:r>
      <w:r w:rsidR="00677B47" w:rsidRPr="00677B47">
        <w:t>the</w:t>
      </w:r>
      <w:r w:rsidR="00F11002" w:rsidRPr="00677B47">
        <w:t xml:space="preserve"> DCS instrument </w:t>
      </w:r>
      <w:r w:rsidR="00677B47" w:rsidRPr="00677B47">
        <w:t xml:space="preserve">used here </w:t>
      </w:r>
      <w:r w:rsidR="00F11002" w:rsidRPr="00677B47">
        <w:t xml:space="preserve">was built in-house and is comprised of an 852 nm long coherence-length laser, an array of 4 photon counting avalanche photodiodes, and a hardware autocorrelator board </w:t>
      </w:r>
      <w:r w:rsidR="007B1948" w:rsidRPr="007B1948">
        <w:t>(</w:t>
      </w:r>
      <w:r w:rsidR="00F11002" w:rsidRPr="00677B47">
        <w:t>single tau, 8 channel, 100 ns minimum sample time</w:t>
      </w:r>
      <w:r w:rsidR="007B1948" w:rsidRPr="007B1948">
        <w:t>)</w:t>
      </w:r>
      <w:r w:rsidR="00F11002" w:rsidRPr="00677B47">
        <w:fldChar w:fldCharType="begin"/>
      </w:r>
      <w:r w:rsidR="00845D95" w:rsidRPr="00677B47">
        <w:instrText xml:space="preserve"> ADDIN ZOTERO_ITEM CSL_CITATION {"citationID":"1tL7oqrM","properties":{"formattedCitation":"\\super 21, 22\\nosupersub{}","plainCitation":"21, 22","noteIndex":0},"citationItems":[{"id":214,"uris":["http://zotero.org/users/5036325/items/4KWCAKHF"],"uri":["http://zotero.org/users/5036325/items/4KWCAKHF"],"itemData":{"id":214,"type":"article-journal","container-title":"Neurophotonics","DOI":"10.1117/1.NPh.6.3.035006","ISSN":"2329-423X","issue":"03","page":"1","source":"Crossref","title":"Noninvasive optical assessment of resting-state cerebral blood flow in children with sickle cell disease","volume":"6","author":[{"family":"Lee","given":"Seung Yup"},{"family":"Cowdrick","given":"Kyle R."},{"family":"Sanders","given":"Bharat"},{"family":"Sathialingam","given":"Eashani"},{"family":"McCracken","given":"Courtney E."},{"family":"Lam","given":"Wilbur A."},{"family":"Joiner","given":"Clinton H."},{"family":"Buckley","given":"Erin M."}],"issued":{"date-parts":[["2019",8,19]]}}},{"id":216,"uris":["http://zotero.org/users/5036325/items/NBXMVDC3"],"uri":["http://zotero.org/users/5036325/items/NBXMVDC3"],"itemData":{"id":216,"type":"article-journal","container-title":"Biomedical Optics Express","DOI":"10.1364/BOE.9.005719","ISSN":"2156-7085, 2156-7085","issue":"11","language":"en","page":"5719","source":"Crossref","title":"Small separation diffuse correlation spectroscopy for measurement of cerebral blood flow in rodents","volume":"9","author":[{"family":"Sathialingam","given":"Eashani"},{"family":"Lee","given":"Seung Yup"},{"family":"Sanders","given":"Bharat"},{"family":"Park","given":"Jaekeun"},{"family":"McCracken","given":"Courtney E."},{"family":"Bryan","given":"Leah"},{"family":"Buckley","given":"Erin M."}],"issued":{"date-parts":[["2018",11,1]]}}}],"schema":"https://github.com/citation-style-language/schema/raw/master/csl-citation.json"} </w:instrText>
      </w:r>
      <w:r w:rsidR="00F11002" w:rsidRPr="00677B47">
        <w:fldChar w:fldCharType="separate"/>
      </w:r>
      <w:r w:rsidR="00F11002" w:rsidRPr="00677B47">
        <w:rPr>
          <w:vertAlign w:val="superscript"/>
        </w:rPr>
        <w:t>21,22</w:t>
      </w:r>
      <w:r w:rsidR="00F11002" w:rsidRPr="00677B47">
        <w:fldChar w:fldCharType="end"/>
      </w:r>
      <w:r w:rsidR="00F11002" w:rsidRPr="00677B47">
        <w:t xml:space="preserve">. Data is acquired with homemade software written in LabView. The animal interface for the device consists of a 3 m long </w:t>
      </w:r>
      <w:r w:rsidR="00F11002" w:rsidRPr="00677B47">
        <w:rPr>
          <w:color w:val="auto"/>
        </w:rPr>
        <w:t>400 μm</w:t>
      </w:r>
      <w:r w:rsidR="00F11002" w:rsidRPr="00677B47">
        <w:t xml:space="preserve"> multimode source fiber </w:t>
      </w:r>
      <w:r w:rsidR="007B1948" w:rsidRPr="007B1948">
        <w:t>(</w:t>
      </w:r>
      <w:r w:rsidR="00F11002" w:rsidRPr="00677B47">
        <w:t>400-2200 nm wavelength range, pure silica core, TECS Hard Cladding</w:t>
      </w:r>
      <w:r w:rsidR="007B1948" w:rsidRPr="007B1948">
        <w:t>)</w:t>
      </w:r>
      <w:r w:rsidR="00F11002" w:rsidRPr="00677B47">
        <w:t xml:space="preserve"> and a 3 m long </w:t>
      </w:r>
      <w:r w:rsidR="00F11002" w:rsidRPr="00677B47">
        <w:rPr>
          <w:color w:val="auto"/>
        </w:rPr>
        <w:t xml:space="preserve">780 nm single mode </w:t>
      </w:r>
      <w:r w:rsidR="00F11002" w:rsidRPr="00677B47">
        <w:t xml:space="preserve">detector fiber </w:t>
      </w:r>
      <w:r w:rsidR="007B1948" w:rsidRPr="007B1948">
        <w:t>(</w:t>
      </w:r>
      <w:r w:rsidR="00F11002" w:rsidRPr="00677B47">
        <w:t xml:space="preserve">780-970 nm wavelength range, pure silica core, TECS Hard Cladding, 730 </w:t>
      </w:r>
      <w:r w:rsidR="00677B47" w:rsidRPr="00677B47">
        <w:t xml:space="preserve">± </w:t>
      </w:r>
      <w:r w:rsidR="00F11002" w:rsidRPr="00677B47">
        <w:t>30 nm second mode cut-off</w:t>
      </w:r>
      <w:r w:rsidR="007B1948" w:rsidRPr="007B1948">
        <w:t>)</w:t>
      </w:r>
      <w:r w:rsidR="00F11002" w:rsidRPr="00677B47">
        <w:t xml:space="preserve"> spaced 6 mm apart and embedded in a black 3D-printed sensor </w:t>
      </w:r>
      <w:r w:rsidR="007B1948" w:rsidRPr="007B1948">
        <w:t>(</w:t>
      </w:r>
      <w:r w:rsidR="00F11002" w:rsidRPr="00677B47">
        <w:t xml:space="preserve">4 mm x 8 mm, </w:t>
      </w:r>
      <w:r w:rsidR="00677B47" w:rsidRPr="00677B47">
        <w:rPr>
          <w:b/>
        </w:rPr>
        <w:t>Figure</w:t>
      </w:r>
      <w:r w:rsidR="00F11002" w:rsidRPr="00677B47">
        <w:rPr>
          <w:b/>
        </w:rPr>
        <w:t xml:space="preserve"> 3</w:t>
      </w:r>
      <w:r w:rsidR="007B1948" w:rsidRPr="007B1948">
        <w:t>)</w:t>
      </w:r>
      <w:r w:rsidR="00F11002" w:rsidRPr="00677B47">
        <w:t xml:space="preserve">. </w:t>
      </w:r>
    </w:p>
    <w:p w14:paraId="7970032E" w14:textId="2FC50A25" w:rsidR="00F11002" w:rsidRPr="00677B47" w:rsidRDefault="00F11002" w:rsidP="009B5312">
      <w:pPr>
        <w:contextualSpacing/>
        <w:rPr>
          <w:rFonts w:ascii="Calibri" w:hAnsi="Calibri" w:cs="Calibri"/>
          <w:b/>
        </w:rPr>
      </w:pPr>
    </w:p>
    <w:p w14:paraId="7F5A37E2" w14:textId="41375376" w:rsidR="00183AA9" w:rsidRPr="00677B47" w:rsidRDefault="00F11002" w:rsidP="009B5312">
      <w:pPr>
        <w:contextualSpacing/>
        <w:rPr>
          <w:rFonts w:ascii="Calibri" w:hAnsi="Calibri" w:cs="Calibri"/>
        </w:rPr>
      </w:pPr>
      <w:r w:rsidRPr="00677B47">
        <w:rPr>
          <w:rFonts w:ascii="Calibri" w:hAnsi="Calibri" w:cs="Calibri"/>
          <w:b/>
        </w:rPr>
        <w:t xml:space="preserve">Quantification of </w:t>
      </w:r>
      <w:r w:rsidR="00043AC4" w:rsidRPr="00677B47">
        <w:rPr>
          <w:rFonts w:ascii="Calibri" w:hAnsi="Calibri" w:cs="Calibri"/>
          <w:b/>
        </w:rPr>
        <w:t xml:space="preserve">the </w:t>
      </w:r>
      <w:r w:rsidR="00677B47" w:rsidRPr="00677B47">
        <w:rPr>
          <w:rFonts w:ascii="Calibri" w:hAnsi="Calibri" w:cs="Calibri"/>
          <w:b/>
        </w:rPr>
        <w:t>neuroinflammatory environment</w:t>
      </w:r>
    </w:p>
    <w:p w14:paraId="6D4A222A" w14:textId="236794A1" w:rsidR="00F11002" w:rsidRPr="00677B47" w:rsidRDefault="00F11002" w:rsidP="009B5312">
      <w:pPr>
        <w:contextualSpacing/>
        <w:rPr>
          <w:rFonts w:ascii="Calibri" w:hAnsi="Calibri" w:cs="Calibri"/>
        </w:rPr>
      </w:pPr>
      <w:r w:rsidRPr="00677B47" w:rsidDel="00651875">
        <w:rPr>
          <w:rFonts w:ascii="Calibri" w:hAnsi="Calibri" w:cs="Calibri"/>
        </w:rPr>
        <w:t>Although neuroinflammation is regulated by diverse cellular processes, two key relevant mechanisms are extracellular signaling by cytokines/chemokines and intracellular signaling by phospho-proteins.</w:t>
      </w:r>
      <w:r w:rsidR="00E05C87" w:rsidRPr="00677B47">
        <w:rPr>
          <w:rFonts w:ascii="Calibri" w:hAnsi="Calibri" w:cs="Calibri"/>
        </w:rPr>
        <w:t xml:space="preserve"> To investigate the neuroinflammatory environment of the brain post-injury, brains are extracted from mice, microdissected, and cytokines/chemokines and phospho-proteins are quantified using Luminex </w:t>
      </w:r>
      <w:r w:rsidR="007B1948" w:rsidRPr="007B1948">
        <w:rPr>
          <w:rFonts w:ascii="Calibri" w:hAnsi="Calibri" w:cs="Calibri"/>
        </w:rPr>
        <w:t>(</w:t>
      </w:r>
      <w:r w:rsidR="00677B47" w:rsidRPr="00677B47">
        <w:rPr>
          <w:rFonts w:ascii="Calibri" w:hAnsi="Calibri" w:cs="Calibri"/>
          <w:b/>
        </w:rPr>
        <w:t>Figure</w:t>
      </w:r>
      <w:r w:rsidR="00E53713" w:rsidRPr="00677B47">
        <w:rPr>
          <w:rFonts w:ascii="Calibri" w:hAnsi="Calibri" w:cs="Calibri"/>
          <w:b/>
        </w:rPr>
        <w:t xml:space="preserve"> 5,</w:t>
      </w:r>
      <w:r w:rsidR="00E05C87" w:rsidRPr="00677B47">
        <w:rPr>
          <w:rFonts w:ascii="Calibri" w:hAnsi="Calibri" w:cs="Calibri"/>
          <w:b/>
        </w:rPr>
        <w:t xml:space="preserve"> </w:t>
      </w:r>
      <w:r w:rsidR="000A47E8" w:rsidRPr="00677B47">
        <w:rPr>
          <w:rFonts w:ascii="Calibri" w:hAnsi="Calibri" w:cs="Calibri"/>
          <w:b/>
        </w:rPr>
        <w:t>6</w:t>
      </w:r>
      <w:r w:rsidR="007B1948" w:rsidRPr="007B1948">
        <w:rPr>
          <w:rFonts w:ascii="Calibri" w:hAnsi="Calibri" w:cs="Calibri"/>
        </w:rPr>
        <w:t>)</w:t>
      </w:r>
      <w:r w:rsidR="00E05C87" w:rsidRPr="00677B47">
        <w:rPr>
          <w:rFonts w:ascii="Calibri" w:hAnsi="Calibri" w:cs="Calibri"/>
        </w:rPr>
        <w:t>.</w:t>
      </w:r>
      <w:r w:rsidRPr="00677B47" w:rsidDel="00651875">
        <w:rPr>
          <w:rFonts w:ascii="Calibri" w:hAnsi="Calibri" w:cs="Calibri"/>
        </w:rPr>
        <w:t xml:space="preserve"> Luminex multiplexed immunoassays enable simultaneous quantification of a diverse collection of these proteins by coupling enzyme-linked immunosorbent assays </w:t>
      </w:r>
      <w:r w:rsidR="007B1948" w:rsidRPr="007B1948">
        <w:rPr>
          <w:rFonts w:ascii="Calibri" w:hAnsi="Calibri" w:cs="Calibri"/>
        </w:rPr>
        <w:t>(</w:t>
      </w:r>
      <w:r w:rsidRPr="00677B47" w:rsidDel="00651875">
        <w:rPr>
          <w:rFonts w:ascii="Calibri" w:hAnsi="Calibri" w:cs="Calibri"/>
        </w:rPr>
        <w:t>ELISAs</w:t>
      </w:r>
      <w:r w:rsidR="007B1948" w:rsidRPr="007B1948">
        <w:rPr>
          <w:rFonts w:ascii="Calibri" w:hAnsi="Calibri" w:cs="Calibri"/>
        </w:rPr>
        <w:t>)</w:t>
      </w:r>
      <w:r w:rsidRPr="00677B47" w:rsidDel="00651875">
        <w:rPr>
          <w:rFonts w:ascii="Calibri" w:hAnsi="Calibri" w:cs="Calibri"/>
        </w:rPr>
        <w:t xml:space="preserve"> to fluorescently tagged magnetic beads. Distinct fluorescent tags are used for each protein of interest, and beads of each tag are functionalized with a capture antibody against that </w:t>
      </w:r>
      <w:proofErr w:type="gramStart"/>
      <w:r w:rsidRPr="00677B47" w:rsidDel="00651875">
        <w:rPr>
          <w:rFonts w:ascii="Calibri" w:hAnsi="Calibri" w:cs="Calibri"/>
        </w:rPr>
        <w:t>particular protein</w:t>
      </w:r>
      <w:proofErr w:type="gramEnd"/>
      <w:r w:rsidRPr="00677B47" w:rsidDel="00651875">
        <w:rPr>
          <w:rFonts w:ascii="Calibri" w:hAnsi="Calibri" w:cs="Calibri"/>
        </w:rPr>
        <w:t xml:space="preserve">. Hundreds of beads for capturing each protein are </w:t>
      </w:r>
      <w:proofErr w:type="gramStart"/>
      <w:r w:rsidRPr="00677B47" w:rsidDel="00651875">
        <w:rPr>
          <w:rFonts w:ascii="Calibri" w:hAnsi="Calibri" w:cs="Calibri"/>
        </w:rPr>
        <w:t>mixed together</w:t>
      </w:r>
      <w:proofErr w:type="gramEnd"/>
      <w:r w:rsidRPr="00677B47" w:rsidDel="00651875">
        <w:rPr>
          <w:rFonts w:ascii="Calibri" w:hAnsi="Calibri" w:cs="Calibri"/>
        </w:rPr>
        <w:t xml:space="preserve">, placed in a 96 well plate, and incubated with sample. After sample incubation, a magnet is used to trap the beads in the well while the sample is washed out. Next, biotinylated detection antibody binds to the analyte of interest to form an antibody-antigen sandwich </w:t>
      </w:r>
      <w:proofErr w:type="gramStart"/>
      <w:r w:rsidRPr="00677B47" w:rsidDel="00651875">
        <w:rPr>
          <w:rFonts w:ascii="Calibri" w:hAnsi="Calibri" w:cs="Calibri"/>
        </w:rPr>
        <w:t>similar to</w:t>
      </w:r>
      <w:proofErr w:type="gramEnd"/>
      <w:r w:rsidRPr="00677B47" w:rsidDel="00651875">
        <w:rPr>
          <w:rFonts w:ascii="Calibri" w:hAnsi="Calibri" w:cs="Calibri"/>
        </w:rPr>
        <w:t xml:space="preserve"> a traditional ELISA, but with the ELISA for each protein occurring on a different fluorescently tagged bead.</w:t>
      </w:r>
      <w:r w:rsidR="00981AEE" w:rsidRPr="00677B47">
        <w:rPr>
          <w:rFonts w:ascii="Calibri" w:hAnsi="Calibri" w:cs="Calibri"/>
        </w:rPr>
        <w:t xml:space="preserve"> </w:t>
      </w:r>
      <w:r w:rsidRPr="00677B47" w:rsidDel="00651875">
        <w:rPr>
          <w:rFonts w:ascii="Calibri" w:hAnsi="Calibri" w:cs="Calibri"/>
        </w:rPr>
        <w:t xml:space="preserve">Adding phycoerythrin-conjugated streptavidin </w:t>
      </w:r>
      <w:r w:rsidR="007B1948" w:rsidRPr="007B1948">
        <w:rPr>
          <w:rFonts w:ascii="Calibri" w:hAnsi="Calibri" w:cs="Calibri"/>
        </w:rPr>
        <w:t>(</w:t>
      </w:r>
      <w:r w:rsidRPr="00677B47" w:rsidDel="00651875">
        <w:rPr>
          <w:rFonts w:ascii="Calibri" w:hAnsi="Calibri" w:cs="Calibri"/>
        </w:rPr>
        <w:t>SAPE</w:t>
      </w:r>
      <w:r w:rsidR="007B1948" w:rsidRPr="007B1948">
        <w:rPr>
          <w:rFonts w:ascii="Calibri" w:hAnsi="Calibri" w:cs="Calibri"/>
        </w:rPr>
        <w:t>)</w:t>
      </w:r>
      <w:r w:rsidRPr="00677B47" w:rsidDel="00651875">
        <w:rPr>
          <w:rFonts w:ascii="Calibri" w:hAnsi="Calibri" w:cs="Calibri"/>
        </w:rPr>
        <w:t xml:space="preserve"> </w:t>
      </w:r>
      <w:r w:rsidRPr="00677B47" w:rsidDel="00651875">
        <w:rPr>
          <w:rFonts w:ascii="Calibri" w:hAnsi="Calibri" w:cs="Calibri"/>
        </w:rPr>
        <w:lastRenderedPageBreak/>
        <w:t xml:space="preserve">completes each reaction. The Luminex instrument then reads the beads and separates the signal according to each fluorescent tag/protein. </w:t>
      </w:r>
    </w:p>
    <w:p w14:paraId="0AAD885E" w14:textId="07940DF6" w:rsidR="00F11002" w:rsidRPr="00677B47" w:rsidRDefault="00F11002" w:rsidP="009B5312">
      <w:pPr>
        <w:contextualSpacing/>
        <w:rPr>
          <w:rFonts w:ascii="Calibri" w:hAnsi="Calibri" w:cs="Calibri"/>
        </w:rPr>
      </w:pPr>
    </w:p>
    <w:p w14:paraId="55E84845" w14:textId="05FF2F0A" w:rsidR="00F11002" w:rsidRPr="00677B47" w:rsidRDefault="00B81A4F" w:rsidP="009B5312">
      <w:pPr>
        <w:contextualSpacing/>
        <w:rPr>
          <w:rFonts w:ascii="Calibri" w:hAnsi="Calibri" w:cs="Calibri"/>
        </w:rPr>
      </w:pPr>
      <w:r w:rsidRPr="00677B47">
        <w:rPr>
          <w:rFonts w:ascii="Calibri" w:hAnsi="Calibri" w:cs="Calibri"/>
          <w:b/>
        </w:rPr>
        <w:t xml:space="preserve">Data </w:t>
      </w:r>
      <w:r w:rsidR="00677B47" w:rsidRPr="00677B47">
        <w:rPr>
          <w:rFonts w:ascii="Calibri" w:hAnsi="Calibri" w:cs="Calibri"/>
          <w:b/>
        </w:rPr>
        <w:t>i</w:t>
      </w:r>
      <w:r w:rsidRPr="00677B47">
        <w:rPr>
          <w:rFonts w:ascii="Calibri" w:hAnsi="Calibri" w:cs="Calibri"/>
          <w:b/>
        </w:rPr>
        <w:t>ntegration</w:t>
      </w:r>
    </w:p>
    <w:p w14:paraId="41B95F9D" w14:textId="4CE81161" w:rsidR="007A320B" w:rsidRPr="00677B47" w:rsidRDefault="007A320B" w:rsidP="009B5312">
      <w:pPr>
        <w:contextualSpacing/>
        <w:rPr>
          <w:rFonts w:ascii="Calibri" w:hAnsi="Calibri" w:cs="Calibri"/>
          <w:b/>
        </w:rPr>
      </w:pPr>
      <w:r w:rsidRPr="00677B47">
        <w:rPr>
          <w:rFonts w:ascii="Calibri" w:hAnsi="Calibri" w:cs="Calibri"/>
        </w:rPr>
        <w:t xml:space="preserve">Because of the large number of analytes </w:t>
      </w:r>
      <w:r w:rsidR="007B1948" w:rsidRPr="007B1948">
        <w:rPr>
          <w:rFonts w:ascii="Calibri" w:hAnsi="Calibri" w:cs="Calibri"/>
        </w:rPr>
        <w:t>(</w:t>
      </w:r>
      <w:r w:rsidRPr="00677B47">
        <w:rPr>
          <w:rFonts w:ascii="Calibri" w:hAnsi="Calibri" w:cs="Calibri"/>
        </w:rPr>
        <w:t>e.g., cytokines</w:t>
      </w:r>
      <w:r w:rsidR="007B1948" w:rsidRPr="007B1948">
        <w:rPr>
          <w:rFonts w:ascii="Calibri" w:hAnsi="Calibri" w:cs="Calibri"/>
        </w:rPr>
        <w:t>)</w:t>
      </w:r>
      <w:r w:rsidRPr="00677B47">
        <w:rPr>
          <w:rFonts w:ascii="Calibri" w:hAnsi="Calibri" w:cs="Calibri"/>
        </w:rPr>
        <w:t xml:space="preserve"> measured in the Luminex assay, data analysis can be difficult to interpret if each quantified protein is analyzed individually. To simplify analysis and to capture trends observed among analytes, we use a multivariate analysis method called partial least squares regression </w:t>
      </w:r>
      <w:r w:rsidR="007B1948" w:rsidRPr="007B1948">
        <w:rPr>
          <w:rFonts w:ascii="Calibri" w:hAnsi="Calibri" w:cs="Calibri"/>
        </w:rPr>
        <w:t>(</w:t>
      </w:r>
      <w:r w:rsidRPr="00677B47">
        <w:rPr>
          <w:rFonts w:ascii="Calibri" w:hAnsi="Calibri" w:cs="Calibri"/>
        </w:rPr>
        <w:t>PLSR</w:t>
      </w:r>
      <w:r w:rsidR="000A47E8" w:rsidRPr="00677B47">
        <w:rPr>
          <w:rFonts w:ascii="Calibri" w:hAnsi="Calibri" w:cs="Calibri"/>
          <w:bCs/>
        </w:rPr>
        <w:t xml:space="preserve">, </w:t>
      </w:r>
      <w:r w:rsidR="00677B47" w:rsidRPr="00677B47">
        <w:rPr>
          <w:rFonts w:ascii="Calibri" w:hAnsi="Calibri" w:cs="Calibri"/>
          <w:b/>
        </w:rPr>
        <w:t>Figure</w:t>
      </w:r>
      <w:r w:rsidR="000A47E8" w:rsidRPr="00677B47">
        <w:rPr>
          <w:rFonts w:ascii="Calibri" w:hAnsi="Calibri" w:cs="Calibri"/>
          <w:b/>
        </w:rPr>
        <w:t xml:space="preserve"> 7</w:t>
      </w:r>
      <w:r w:rsidR="007B1948" w:rsidRPr="007B1948">
        <w:rPr>
          <w:rFonts w:ascii="Calibri" w:hAnsi="Calibri" w:cs="Calibri"/>
        </w:rPr>
        <w:t>)</w:t>
      </w:r>
      <w:r w:rsidRPr="00677B47">
        <w:rPr>
          <w:rFonts w:ascii="Calibri" w:hAnsi="Calibri" w:cs="Calibri"/>
        </w:rPr>
        <w:fldChar w:fldCharType="begin"/>
      </w:r>
      <w:r w:rsidR="00594BFB" w:rsidRPr="00677B47">
        <w:rPr>
          <w:rFonts w:ascii="Calibri" w:hAnsi="Calibri" w:cs="Calibri"/>
        </w:rPr>
        <w:instrText xml:space="preserve"> ADDIN ZOTERO_ITEM CSL_CITATION {"citationID":"a2a3jvjm39m","properties":{"formattedCitation":"\\super 23\\nosupersub{}","plainCitation":"23","noteIndex":0},"citationItems":[{"id":"ZyThaQRL/uQlov4Qp","uris":["http://zotero.org/users/local/Y0avL5gq/items/2FRHFRJG"],"uri":["http://zotero.org/users/local/Y0avL5gq/items/2FRHFRJG"],"itemData":{"id":"ZyThaQRL/uQlov4Qp","type":"article-journal","abstract":"The VARIMAX rotation for factor analysis is used to orthogonally transform the factor subspace, resulting from partial least-square regression (PLSR). If the factors are nearly orthogonal, the transformation may help to interpret the physical meaning of each factor without altering the results of a PLSR model. A case study shows that after the VARIMAX rotation, the loading matrix satisfies “the simple structure criterion” and improves its explanatory ability.","container-title":"Partial Least Squares","DOI":"10.1016/j.csda.2003.12.005","ISSN":"0167-9473","issue":"1","journalAbbreviation":"Computational Statistics &amp; Data Analysis","page":"207-219","title":"Interpretation of partial least-squares regression models with VARIMAX rotation","volume":"48","author":[{"family":"Wang","given":"Huiwen"},{"family":"Liu","given":"Qiang"},{"family":"Tu","given":"Yongping"}],"issued":{"date-parts":[["2005",1,1]]}}}],"schema":"https://github.com/citation-style-language/schema/raw/master/csl-citation.json"} </w:instrText>
      </w:r>
      <w:r w:rsidRPr="00677B47">
        <w:rPr>
          <w:rFonts w:ascii="Calibri" w:hAnsi="Calibri" w:cs="Calibri"/>
        </w:rPr>
        <w:fldChar w:fldCharType="separate"/>
      </w:r>
      <w:r w:rsidR="00594BFB" w:rsidRPr="00677B47">
        <w:rPr>
          <w:rFonts w:ascii="Calibri" w:hAnsi="Calibri" w:cs="Calibri"/>
          <w:vertAlign w:val="superscript"/>
        </w:rPr>
        <w:t>23</w:t>
      </w:r>
      <w:r w:rsidRPr="00677B47">
        <w:rPr>
          <w:rFonts w:ascii="Calibri" w:hAnsi="Calibri" w:cs="Calibri"/>
        </w:rPr>
        <w:fldChar w:fldCharType="end"/>
      </w:r>
      <w:r w:rsidRPr="00677B47">
        <w:rPr>
          <w:rFonts w:ascii="Calibri" w:hAnsi="Calibri" w:cs="Calibri"/>
        </w:rPr>
        <w:t xml:space="preserve">. PLSR works by identifying an axis of weights corresponding to each measured protein </w:t>
      </w:r>
      <w:r w:rsidR="007B1948" w:rsidRPr="007B1948">
        <w:rPr>
          <w:rFonts w:ascii="Calibri" w:hAnsi="Calibri" w:cs="Calibri"/>
        </w:rPr>
        <w:t>(</w:t>
      </w:r>
      <w:r w:rsidRPr="00677B47">
        <w:rPr>
          <w:rFonts w:ascii="Calibri" w:hAnsi="Calibri" w:cs="Calibri"/>
        </w:rPr>
        <w:t>i.e., cytokines, phospho-proteins, referred to as “predictor variables”</w:t>
      </w:r>
      <w:r w:rsidR="007B1948" w:rsidRPr="007B1948">
        <w:rPr>
          <w:rFonts w:ascii="Calibri" w:hAnsi="Calibri" w:cs="Calibri"/>
        </w:rPr>
        <w:t>)</w:t>
      </w:r>
      <w:r w:rsidRPr="00677B47">
        <w:rPr>
          <w:rFonts w:ascii="Calibri" w:hAnsi="Calibri" w:cs="Calibri"/>
        </w:rPr>
        <w:t xml:space="preserve"> that together optimally explain co-variance of the measured proteins with a response variable </w:t>
      </w:r>
      <w:r w:rsidR="007B1948" w:rsidRPr="007B1948">
        <w:rPr>
          <w:rFonts w:ascii="Calibri" w:hAnsi="Calibri" w:cs="Calibri"/>
        </w:rPr>
        <w:t>(</w:t>
      </w:r>
      <w:r w:rsidRPr="00677B47">
        <w:rPr>
          <w:rFonts w:ascii="Calibri" w:hAnsi="Calibri" w:cs="Calibri"/>
        </w:rPr>
        <w:t>e.g., cerebral blood flow</w:t>
      </w:r>
      <w:r w:rsidR="007B1948" w:rsidRPr="007B1948">
        <w:rPr>
          <w:rFonts w:ascii="Calibri" w:hAnsi="Calibri" w:cs="Calibri"/>
        </w:rPr>
        <w:t>)</w:t>
      </w:r>
      <w:r w:rsidRPr="00677B47">
        <w:rPr>
          <w:rFonts w:ascii="Calibri" w:hAnsi="Calibri" w:cs="Calibri"/>
        </w:rPr>
        <w:t xml:space="preserve">. The weights are referred to as “loadings” and are assembled into a vector known as a latent variable </w:t>
      </w:r>
      <w:r w:rsidR="007B1948" w:rsidRPr="007B1948">
        <w:rPr>
          <w:rFonts w:ascii="Calibri" w:hAnsi="Calibri" w:cs="Calibri"/>
        </w:rPr>
        <w:t>(</w:t>
      </w:r>
      <w:r w:rsidRPr="00677B47">
        <w:rPr>
          <w:rFonts w:ascii="Calibri" w:hAnsi="Calibri" w:cs="Calibri"/>
        </w:rPr>
        <w:t>LV</w:t>
      </w:r>
      <w:r w:rsidR="007B1948" w:rsidRPr="007B1948">
        <w:rPr>
          <w:rFonts w:ascii="Calibri" w:hAnsi="Calibri" w:cs="Calibri"/>
        </w:rPr>
        <w:t>)</w:t>
      </w:r>
      <w:r w:rsidRPr="00677B47">
        <w:rPr>
          <w:rFonts w:ascii="Calibri" w:hAnsi="Calibri" w:cs="Calibri"/>
        </w:rPr>
        <w:t xml:space="preserve">. By projecting </w:t>
      </w:r>
      <w:r w:rsidR="007B1948" w:rsidRPr="007B1948">
        <w:rPr>
          <w:rFonts w:ascii="Calibri" w:hAnsi="Calibri" w:cs="Calibri"/>
        </w:rPr>
        <w:t>(</w:t>
      </w:r>
      <w:r w:rsidRPr="00677B47">
        <w:rPr>
          <w:rFonts w:ascii="Calibri" w:hAnsi="Calibri" w:cs="Calibri"/>
        </w:rPr>
        <w:t>referred to as “scoring”</w:t>
      </w:r>
      <w:r w:rsidR="007B1948" w:rsidRPr="007B1948">
        <w:rPr>
          <w:rFonts w:ascii="Calibri" w:hAnsi="Calibri" w:cs="Calibri"/>
        </w:rPr>
        <w:t>)</w:t>
      </w:r>
      <w:r w:rsidRPr="00677B47">
        <w:rPr>
          <w:rFonts w:ascii="Calibri" w:hAnsi="Calibri" w:cs="Calibri"/>
        </w:rPr>
        <w:t xml:space="preserve"> the measured protein data on each of two LVs, the data can be re-plotted in terms of these LVs. After computing the PLSR, we use a varimax rotation to identify a new LV that maximizes the covariance between the sample projections onto the LV and the</w:t>
      </w:r>
      <w:r w:rsidR="00981AEE" w:rsidRPr="00677B47">
        <w:rPr>
          <w:rFonts w:ascii="Calibri" w:hAnsi="Calibri" w:cs="Calibri"/>
        </w:rPr>
        <w:t xml:space="preserve"> </w:t>
      </w:r>
      <w:r w:rsidRPr="00677B47">
        <w:rPr>
          <w:rFonts w:ascii="Calibri" w:hAnsi="Calibri" w:cs="Calibri"/>
        </w:rPr>
        <w:t>predictor variable</w:t>
      </w:r>
      <w:r w:rsidRPr="00677B47">
        <w:rPr>
          <w:rFonts w:ascii="Calibri" w:hAnsi="Calibri" w:cs="Calibri"/>
        </w:rPr>
        <w:fldChar w:fldCharType="begin"/>
      </w:r>
      <w:r w:rsidR="00594BFB" w:rsidRPr="00677B47">
        <w:rPr>
          <w:rFonts w:ascii="Calibri" w:hAnsi="Calibri" w:cs="Calibri"/>
        </w:rPr>
        <w:instrText xml:space="preserve"> ADDIN ZOTERO_ITEM CSL_CITATION {"citationID":"a1if58ede3","properties":{"formattedCitation":"\\super 24\\nosupersub{}","plainCitation":"24","noteIndex":0},"citationItems":[{"id":"ZyThaQRL/C7bRzR9W","uris":["http://zotero.org/users/local/duY5DgQg/items/L9HDKSLC"],"uri":["http://zotero.org/users/local/duY5DgQg/items/L9HDKSLC"],"itemData":{"id":"ZyThaQRL/C7bRzR9W","type":"book","title":"Multi- and Megavariate Data Analysis Basic Principles and Applications","publisher":"Umetrics Academy","number-of-pages":"509","source":"Google Books","abstract":"To understand the world around us, as well as ourselves, we need to measure many things, many variables, many properties of the systems and processes we investigate. Hence, data collected in science, technology, and almost everywhere else are multivariate, a data table with multiple variables measured on multiple observations (cases, samples, items, process time points, experiments). This book describes a remarkably simple minimalistic and practical approach to the analysis of data tables (multivariate data). The approach is based on projection methods, which are PCA (principal components analysis), and PLS (projection to latent structures) and the book shows how this works in science and technology for a wide variety of applications. In particular, it is shown how the great information content in well collected multivariate data can be expressed in terms of simple but illuminating plots, facilitating the understanding and interpretation of the data. The projection approach applies to a variety of data-analytical objectives, i.e., (i) summarizing and visualizing a data set, (ii) multivariate classification and discriminant analysis, and (iii) finding quantitative relationships among the variables. This works with any shape of data table, with many or few variables (columns), many or few observations (rows), and complete or incomplete data tables (missing data). In particular, projections handle data matrices with more variables than observations very well, and the data can be noisy and highly collinear. Authors: The five authors are all connected to the Umetrics company (www.umetrics.com) which has developed and sold software for multivariate analysis since 1987, as well as supports customers with training and consultations. Umetrics&amp;#39; customers include most large and medium sized companies in the pharmaceutical, biopharm, chemical, and semiconductor sectors.","ISBN":"978-91-973730-5-0","note":"Google-Books-ID: 58qLBQAAQBAJ","language":"en","author":[{"family":"Eriksson","given":"L."},{"family":"Byrne","given":"T."},{"family":"Johansson","given":"E."},{"family":"Trygg","given":"J."},{"family":"Vikström","given":"C."}],"issued":{"date-parts":[["2013",7,1]]}}}],"schema":"https://github.com/citation-style-language/schema/raw/master/csl-citation.json"} </w:instrText>
      </w:r>
      <w:r w:rsidRPr="00677B47">
        <w:rPr>
          <w:rFonts w:ascii="Calibri" w:hAnsi="Calibri" w:cs="Calibri"/>
        </w:rPr>
        <w:fldChar w:fldCharType="end"/>
      </w:r>
      <w:r w:rsidR="00594BFB" w:rsidRPr="00677B47">
        <w:rPr>
          <w:rFonts w:ascii="Calibri" w:hAnsi="Calibri" w:cs="Calibri"/>
          <w:vertAlign w:val="superscript"/>
        </w:rPr>
        <w:t>24</w:t>
      </w:r>
      <w:r w:rsidRPr="00677B47">
        <w:rPr>
          <w:rFonts w:ascii="Calibri" w:hAnsi="Calibri" w:cs="Calibri"/>
        </w:rPr>
        <w:t xml:space="preserve">. This approach allows us to define LV1 as the axis for which the variance of the response variable is best explained. LV2 maximizes co-variance between the response variable and LV1 residual data, which may be associated with biological or technical variability between samples. Lastly, we conduct a Leave One Out Cross Validation </w:t>
      </w:r>
      <w:r w:rsidR="007B1948" w:rsidRPr="007B1948">
        <w:rPr>
          <w:rFonts w:ascii="Calibri" w:hAnsi="Calibri" w:cs="Calibri"/>
        </w:rPr>
        <w:t>(</w:t>
      </w:r>
      <w:r w:rsidRPr="00677B47">
        <w:rPr>
          <w:rFonts w:ascii="Calibri" w:hAnsi="Calibri" w:cs="Calibri"/>
        </w:rPr>
        <w:t>LOOCV</w:t>
      </w:r>
      <w:r w:rsidR="007B1948" w:rsidRPr="007B1948">
        <w:rPr>
          <w:rFonts w:ascii="Calibri" w:hAnsi="Calibri" w:cs="Calibri"/>
        </w:rPr>
        <w:t>)</w:t>
      </w:r>
      <w:r w:rsidRPr="00677B47">
        <w:rPr>
          <w:rFonts w:ascii="Calibri" w:hAnsi="Calibri" w:cs="Calibri"/>
        </w:rPr>
        <w:t xml:space="preserve"> to ensure that the PLSR model is not heavily dependent upon any one sample</w:t>
      </w:r>
      <w:r w:rsidRPr="00677B47">
        <w:rPr>
          <w:rFonts w:ascii="Calibri" w:hAnsi="Calibri" w:cs="Calibri"/>
        </w:rPr>
        <w:fldChar w:fldCharType="begin"/>
      </w:r>
      <w:r w:rsidR="00594BFB" w:rsidRPr="00677B47">
        <w:rPr>
          <w:rFonts w:ascii="Calibri" w:hAnsi="Calibri" w:cs="Calibri"/>
        </w:rPr>
        <w:instrText xml:space="preserve"> ADDIN ZOTERO_ITEM CSL_CITATION {"citationID":"a13cbt6ja5a","properties":{"formattedCitation":"\\super 23\\nosupersub{}","plainCitation":"23","noteIndex":0},"citationItems":[{"id":"ZyThaQRL/uQlov4Qp","uris":["http://zotero.org/users/local/Y0avL5gq/items/2FRHFRJG"],"uri":["http://zotero.org/users/local/Y0avL5gq/items/2FRHFRJG"],"itemData":{"id":"ZyThaQRL/uQlov4Qp","type":"article-journal","abstract":"The VARIMAX rotation for factor analysis is used to orthogonally transform the factor subspace, resulting from partial least-square regression (PLSR). If the factors are nearly orthogonal, the transformation may help to interpret the physical meaning of each factor without altering the results of a PLSR model. A case study shows that after the VARIMAX rotation, the loading matrix satisfies “the simple structure criterion” and improves its explanatory ability.","container-title":"Partial Least Squares","DOI":"10.1016/j.csda.2003.12.005","ISSN":"0167-9473","issue":"1","journalAbbreviation":"Computational Statistics &amp; Data Analysis","page":"207-219","title":"Interpretation of partial least-squares regression models with VARIMAX rotation","volume":"48","author":[{"family":"Wang","given":"Huiwen"},{"family":"Liu","given":"Qiang"},{"family":"Tu","given":"Yongping"}],"issued":{"date-parts":[["2005",1,1]]}}}],"schema":"https://github.com/citation-style-language/schema/raw/master/csl-citation.json"} </w:instrText>
      </w:r>
      <w:r w:rsidRPr="00677B47">
        <w:rPr>
          <w:rFonts w:ascii="Calibri" w:hAnsi="Calibri" w:cs="Calibri"/>
        </w:rPr>
        <w:fldChar w:fldCharType="end"/>
      </w:r>
      <w:r w:rsidR="00594BFB" w:rsidRPr="00677B47">
        <w:rPr>
          <w:rFonts w:ascii="Calibri" w:hAnsi="Calibri" w:cs="Calibri"/>
          <w:vertAlign w:val="superscript"/>
        </w:rPr>
        <w:t>23</w:t>
      </w:r>
      <w:r w:rsidRPr="00677B47">
        <w:rPr>
          <w:rFonts w:ascii="Calibri" w:hAnsi="Calibri" w:cs="Calibri"/>
        </w:rPr>
        <w:t>.</w:t>
      </w:r>
    </w:p>
    <w:p w14:paraId="5EC8E039" w14:textId="77777777" w:rsidR="00677B47" w:rsidRPr="00677B47" w:rsidRDefault="00677B47" w:rsidP="009B5312">
      <w:pPr>
        <w:contextualSpacing/>
        <w:rPr>
          <w:rStyle w:val="Hyperlink"/>
          <w:rFonts w:ascii="Calibri" w:hAnsi="Calibri" w:cs="Calibri"/>
          <w:color w:val="808080" w:themeColor="background1" w:themeShade="80"/>
          <w:u w:val="none"/>
        </w:rPr>
      </w:pPr>
    </w:p>
    <w:p w14:paraId="5B4EC67E" w14:textId="2EAAA17F" w:rsidR="00677B47" w:rsidRPr="00677B47" w:rsidRDefault="00677B47" w:rsidP="009B5312">
      <w:pPr>
        <w:contextualSpacing/>
        <w:rPr>
          <w:rStyle w:val="Hyperlink"/>
          <w:rFonts w:ascii="Calibri" w:hAnsi="Calibri" w:cs="Calibri"/>
          <w:color w:val="000000" w:themeColor="text1"/>
          <w:u w:val="none"/>
        </w:rPr>
      </w:pPr>
      <w:r w:rsidRPr="00677B47">
        <w:rPr>
          <w:rStyle w:val="Hyperlink"/>
          <w:rFonts w:ascii="Calibri" w:hAnsi="Calibri" w:cs="Calibri"/>
          <w:color w:val="000000" w:themeColor="text1"/>
          <w:u w:val="none"/>
        </w:rPr>
        <w:t xml:space="preserve">In this protocol, </w:t>
      </w:r>
      <w:r w:rsidRPr="00677B47">
        <w:rPr>
          <w:rFonts w:ascii="Calibri" w:hAnsi="Calibri" w:cs="Calibri"/>
          <w:color w:val="000000" w:themeColor="text1"/>
        </w:rPr>
        <w:t xml:space="preserve">we detail methods to characterize the neuroinflammatory and hemodynamic tissue response to mTBI. The general workflow is outlined in </w:t>
      </w:r>
      <w:r w:rsidRPr="00677B47">
        <w:rPr>
          <w:rFonts w:ascii="Calibri" w:hAnsi="Calibri" w:cs="Calibri"/>
          <w:b/>
          <w:color w:val="000000" w:themeColor="text1"/>
        </w:rPr>
        <w:t>Figure 1</w:t>
      </w:r>
      <w:r w:rsidRPr="00677B47">
        <w:rPr>
          <w:rFonts w:ascii="Calibri" w:hAnsi="Calibri" w:cs="Calibri"/>
          <w:color w:val="000000" w:themeColor="text1"/>
        </w:rPr>
        <w:t xml:space="preserve">. In this protocol, mice are subject to one or more mTBIs using a weight-drop closed head injury model. Cerebral blood flow is measured longitudinally before and at multiple time points after injury. At the time point of interest for interrogation of neuroinflammatory changes, the animal is euthanized, and the brain is extracted. Brain regions of interest are isolated via microdissection and then lysed to extract protein. Lysates are then used for both Luminex multiplexed immunoassays of cytokine and phospho-protein expression as well as Western blot. Finally, this holistic dataset is integrated using a partial least squares regression analysis. </w:t>
      </w:r>
    </w:p>
    <w:p w14:paraId="3C8849E2" w14:textId="77777777" w:rsidR="00183AA9" w:rsidRPr="00677B47" w:rsidRDefault="00183AA9" w:rsidP="009B5312">
      <w:pPr>
        <w:contextualSpacing/>
        <w:rPr>
          <w:rFonts w:ascii="Calibri" w:hAnsi="Calibri" w:cs="Calibri"/>
          <w:b/>
        </w:rPr>
      </w:pPr>
    </w:p>
    <w:p w14:paraId="61488F5D" w14:textId="0DE772A7" w:rsidR="006305D7" w:rsidRDefault="006305D7" w:rsidP="009B5312">
      <w:pPr>
        <w:contextualSpacing/>
        <w:rPr>
          <w:rFonts w:ascii="Calibri" w:hAnsi="Calibri" w:cs="Calibri"/>
        </w:rPr>
      </w:pPr>
      <w:r w:rsidRPr="00677B47">
        <w:rPr>
          <w:rFonts w:ascii="Calibri" w:hAnsi="Calibri" w:cs="Calibri"/>
          <w:b/>
        </w:rPr>
        <w:t>PROTOCOL:</w:t>
      </w:r>
      <w:r w:rsidRPr="00677B47">
        <w:rPr>
          <w:rFonts w:ascii="Calibri" w:hAnsi="Calibri" w:cs="Calibri"/>
        </w:rPr>
        <w:t xml:space="preserve"> </w:t>
      </w:r>
    </w:p>
    <w:p w14:paraId="032630E3" w14:textId="77777777" w:rsidR="00677B47" w:rsidRDefault="00677B47" w:rsidP="009B5312">
      <w:pPr>
        <w:contextualSpacing/>
        <w:rPr>
          <w:rFonts w:ascii="Calibri" w:hAnsi="Calibri" w:cs="Calibri"/>
        </w:rPr>
      </w:pPr>
    </w:p>
    <w:p w14:paraId="11F09B6C" w14:textId="6DF518B7" w:rsidR="00DE5ADC" w:rsidRDefault="00677B47" w:rsidP="009B5312">
      <w:pPr>
        <w:contextualSpacing/>
        <w:rPr>
          <w:rFonts w:ascii="Calibri" w:hAnsi="Calibri" w:cs="Calibri"/>
          <w:color w:val="000000" w:themeColor="text1"/>
        </w:rPr>
      </w:pPr>
      <w:r w:rsidRPr="00677B47">
        <w:rPr>
          <w:rFonts w:ascii="Calibri" w:hAnsi="Calibri" w:cs="Calibri"/>
          <w:color w:val="000000" w:themeColor="text1"/>
        </w:rPr>
        <w:t xml:space="preserve">All animal procedures are approved by Emory University Institutional Animal Care and Use Committee </w:t>
      </w:r>
      <w:r w:rsidR="007B1948" w:rsidRPr="007B1948">
        <w:rPr>
          <w:rFonts w:ascii="Calibri" w:hAnsi="Calibri" w:cs="Calibri"/>
          <w:color w:val="000000" w:themeColor="text1"/>
        </w:rPr>
        <w:t>(</w:t>
      </w:r>
      <w:r w:rsidRPr="00677B47">
        <w:rPr>
          <w:rFonts w:ascii="Calibri" w:hAnsi="Calibri" w:cs="Calibri"/>
          <w:color w:val="000000" w:themeColor="text1"/>
        </w:rPr>
        <w:t>IACUC</w:t>
      </w:r>
      <w:r w:rsidR="007B1948" w:rsidRPr="007B1948">
        <w:rPr>
          <w:rFonts w:ascii="Calibri" w:hAnsi="Calibri" w:cs="Calibri"/>
          <w:color w:val="000000" w:themeColor="text1"/>
        </w:rPr>
        <w:t>)</w:t>
      </w:r>
      <w:r w:rsidRPr="00677B47">
        <w:rPr>
          <w:rFonts w:ascii="Calibri" w:hAnsi="Calibri" w:cs="Calibri"/>
          <w:color w:val="000000" w:themeColor="text1"/>
        </w:rPr>
        <w:t xml:space="preserve"> and followed the NIH Guidelines for the care and Use of Laboratory Animals.</w:t>
      </w:r>
    </w:p>
    <w:p w14:paraId="7A48F0D7" w14:textId="77777777" w:rsidR="00677B47" w:rsidRPr="00677B47" w:rsidRDefault="00677B47" w:rsidP="009B5312">
      <w:pPr>
        <w:contextualSpacing/>
        <w:rPr>
          <w:rFonts w:ascii="Calibri" w:hAnsi="Calibri" w:cs="Calibri"/>
          <w:color w:val="808080" w:themeColor="background1" w:themeShade="80"/>
        </w:rPr>
      </w:pPr>
    </w:p>
    <w:p w14:paraId="61D7DFC8" w14:textId="75193F88" w:rsidR="00707E2C" w:rsidRDefault="00707E2C" w:rsidP="009B5312">
      <w:pPr>
        <w:pStyle w:val="NormalWeb"/>
        <w:numPr>
          <w:ilvl w:val="0"/>
          <w:numId w:val="1"/>
        </w:numPr>
        <w:spacing w:before="0" w:beforeAutospacing="0" w:after="0" w:afterAutospacing="0"/>
        <w:ind w:left="0" w:firstLine="0"/>
        <w:contextualSpacing/>
        <w:rPr>
          <w:b/>
          <w:highlight w:val="yellow"/>
        </w:rPr>
      </w:pPr>
      <w:bookmarkStart w:id="0" w:name="_Hlk42851934"/>
      <w:r w:rsidRPr="00677B47">
        <w:rPr>
          <w:b/>
          <w:highlight w:val="yellow"/>
        </w:rPr>
        <w:t>Weight-</w:t>
      </w:r>
      <w:r w:rsidR="00677B47" w:rsidRPr="00677B47">
        <w:rPr>
          <w:b/>
          <w:highlight w:val="yellow"/>
        </w:rPr>
        <w:t>drop model of mild traumatic brain injury</w:t>
      </w:r>
    </w:p>
    <w:p w14:paraId="0229698B" w14:textId="77777777" w:rsidR="00707E2C" w:rsidRPr="00677B47" w:rsidRDefault="00707E2C" w:rsidP="009B5312">
      <w:pPr>
        <w:pStyle w:val="NormalWeb"/>
        <w:spacing w:before="0" w:beforeAutospacing="0" w:after="0" w:afterAutospacing="0"/>
        <w:contextualSpacing/>
        <w:rPr>
          <w:b/>
        </w:rPr>
      </w:pPr>
    </w:p>
    <w:p w14:paraId="09C298BF" w14:textId="5C6BA89C" w:rsidR="00707E2C" w:rsidRPr="00677B47" w:rsidRDefault="00707E2C" w:rsidP="009B5312">
      <w:pPr>
        <w:pStyle w:val="NormalWeb"/>
        <w:numPr>
          <w:ilvl w:val="1"/>
          <w:numId w:val="75"/>
        </w:numPr>
        <w:spacing w:before="0" w:beforeAutospacing="0" w:after="0" w:afterAutospacing="0"/>
        <w:ind w:left="0" w:firstLine="0"/>
        <w:contextualSpacing/>
        <w:rPr>
          <w:bCs/>
        </w:rPr>
      </w:pPr>
      <w:r w:rsidRPr="00677B47">
        <w:rPr>
          <w:bCs/>
        </w:rPr>
        <w:t xml:space="preserve">Prepare </w:t>
      </w:r>
      <w:r w:rsidR="00677B47" w:rsidRPr="00677B47">
        <w:rPr>
          <w:bCs/>
        </w:rPr>
        <w:t xml:space="preserve">the </w:t>
      </w:r>
      <w:r w:rsidRPr="00677B47">
        <w:rPr>
          <w:bCs/>
        </w:rPr>
        <w:t>weight-drop setup</w:t>
      </w:r>
      <w:r w:rsidR="00677B47">
        <w:rPr>
          <w:bCs/>
        </w:rPr>
        <w:t>.</w:t>
      </w:r>
      <w:r w:rsidRPr="00677B47">
        <w:rPr>
          <w:bCs/>
        </w:rPr>
        <w:t xml:space="preserve"> Mount a vise on a flat surface with a 1 m guide tube </w:t>
      </w:r>
      <w:r w:rsidR="007B1948" w:rsidRPr="007B1948">
        <w:t>(</w:t>
      </w:r>
      <w:r w:rsidRPr="00677B47">
        <w:rPr>
          <w:bCs/>
        </w:rPr>
        <w:t>2.54 cm inner diameter</w:t>
      </w:r>
      <w:r w:rsidR="007B1948" w:rsidRPr="007B1948">
        <w:t>)</w:t>
      </w:r>
      <w:r w:rsidRPr="00677B47">
        <w:rPr>
          <w:bCs/>
        </w:rPr>
        <w:t xml:space="preserve"> aligned </w:t>
      </w:r>
      <w:r w:rsidR="00C67C56" w:rsidRPr="00677B47">
        <w:rPr>
          <w:bCs/>
        </w:rPr>
        <w:t>vertically</w:t>
      </w:r>
      <w:r w:rsidRPr="00677B47">
        <w:rPr>
          <w:bCs/>
        </w:rPr>
        <w:t xml:space="preserve"> </w:t>
      </w:r>
      <w:r w:rsidR="007B1948" w:rsidRPr="007B1948">
        <w:t>(</w:t>
      </w:r>
      <w:r w:rsidRPr="00677B47">
        <w:rPr>
          <w:bCs/>
        </w:rPr>
        <w:t>check using a level</w:t>
      </w:r>
      <w:r w:rsidR="007B1948" w:rsidRPr="007B1948">
        <w:t>)</w:t>
      </w:r>
      <w:r w:rsidRPr="00677B47">
        <w:rPr>
          <w:bCs/>
        </w:rPr>
        <w:t xml:space="preserve">. </w:t>
      </w:r>
      <w:r w:rsidR="007C7C28" w:rsidRPr="00677B47">
        <w:rPr>
          <w:bCs/>
        </w:rPr>
        <w:t xml:space="preserve">Use a </w:t>
      </w:r>
      <w:r w:rsidRPr="00677B47">
        <w:rPr>
          <w:bCs/>
        </w:rPr>
        <w:t>54</w:t>
      </w:r>
      <w:r w:rsidR="00454F54" w:rsidRPr="00677B47">
        <w:rPr>
          <w:bCs/>
        </w:rPr>
        <w:t xml:space="preserve"> </w:t>
      </w:r>
      <w:r w:rsidRPr="00677B47">
        <w:rPr>
          <w:bCs/>
        </w:rPr>
        <w:t xml:space="preserve">g bolt </w:t>
      </w:r>
      <w:r w:rsidR="007B1948" w:rsidRPr="007B1948">
        <w:t>(</w:t>
      </w:r>
      <w:r w:rsidR="0029421F" w:rsidRPr="00677B47">
        <w:rPr>
          <w:bCs/>
        </w:rPr>
        <w:t>0.95 cm basic body diameter, 2 cm head diameter, 10.2 cm length</w:t>
      </w:r>
      <w:r w:rsidR="007B1948" w:rsidRPr="007B1948">
        <w:t>)</w:t>
      </w:r>
      <w:r w:rsidR="0029421F" w:rsidRPr="00677B47">
        <w:rPr>
          <w:bCs/>
        </w:rPr>
        <w:t xml:space="preserve"> </w:t>
      </w:r>
      <w:r w:rsidRPr="00677B47">
        <w:rPr>
          <w:bCs/>
        </w:rPr>
        <w:t xml:space="preserve">for </w:t>
      </w:r>
      <w:r w:rsidR="007C7C28" w:rsidRPr="00677B47">
        <w:rPr>
          <w:bCs/>
        </w:rPr>
        <w:t xml:space="preserve">the </w:t>
      </w:r>
      <w:r w:rsidRPr="00677B47">
        <w:rPr>
          <w:bCs/>
        </w:rPr>
        <w:t>impact.</w:t>
      </w:r>
      <w:r w:rsidR="00981AEE" w:rsidRPr="00677B47">
        <w:rPr>
          <w:bCs/>
        </w:rPr>
        <w:t xml:space="preserve"> </w:t>
      </w:r>
    </w:p>
    <w:p w14:paraId="69DD7325" w14:textId="77777777" w:rsidR="002C1142" w:rsidRPr="00677B47" w:rsidRDefault="002C1142" w:rsidP="009B5312">
      <w:pPr>
        <w:pStyle w:val="NormalWeb"/>
        <w:spacing w:before="0" w:beforeAutospacing="0" w:after="0" w:afterAutospacing="0"/>
        <w:contextualSpacing/>
        <w:rPr>
          <w:bCs/>
        </w:rPr>
      </w:pPr>
    </w:p>
    <w:p w14:paraId="096A810E" w14:textId="54FFEF86" w:rsidR="00707E2C" w:rsidRPr="00677B47" w:rsidRDefault="00707E2C" w:rsidP="009B5312">
      <w:pPr>
        <w:pStyle w:val="NormalWeb"/>
        <w:numPr>
          <w:ilvl w:val="1"/>
          <w:numId w:val="75"/>
        </w:numPr>
        <w:spacing w:before="0" w:beforeAutospacing="0" w:after="0" w:afterAutospacing="0"/>
        <w:ind w:left="0" w:firstLine="0"/>
        <w:contextualSpacing/>
        <w:rPr>
          <w:bCs/>
        </w:rPr>
      </w:pPr>
      <w:r w:rsidRPr="00677B47">
        <w:rPr>
          <w:bCs/>
        </w:rPr>
        <w:t>Briefly anesthetize mouse</w:t>
      </w:r>
      <w:r w:rsidR="00677B47">
        <w:rPr>
          <w:bCs/>
        </w:rPr>
        <w:t>. I</w:t>
      </w:r>
      <w:r w:rsidRPr="00677B47">
        <w:rPr>
          <w:bCs/>
        </w:rPr>
        <w:t xml:space="preserve">nduce </w:t>
      </w:r>
      <w:r w:rsidR="00677B47">
        <w:rPr>
          <w:bCs/>
        </w:rPr>
        <w:t xml:space="preserve">the </w:t>
      </w:r>
      <w:r w:rsidRPr="00677B47">
        <w:rPr>
          <w:bCs/>
        </w:rPr>
        <w:t xml:space="preserve">mouse with 4.5% isoflurane in 100% oxygen for 45 </w:t>
      </w:r>
      <w:r w:rsidRPr="00677B47">
        <w:rPr>
          <w:bCs/>
        </w:rPr>
        <w:lastRenderedPageBreak/>
        <w:t xml:space="preserve">seconds. Confirm </w:t>
      </w:r>
      <w:r w:rsidR="00677B47">
        <w:rPr>
          <w:bCs/>
        </w:rPr>
        <w:t xml:space="preserve">sufficient depth of anesthesia by the </w:t>
      </w:r>
      <w:r w:rsidRPr="00677B47">
        <w:rPr>
          <w:bCs/>
        </w:rPr>
        <w:t xml:space="preserve">lack of </w:t>
      </w:r>
      <w:r w:rsidR="00677B47">
        <w:rPr>
          <w:bCs/>
        </w:rPr>
        <w:t xml:space="preserve">a </w:t>
      </w:r>
      <w:r w:rsidRPr="00677B47">
        <w:rPr>
          <w:bCs/>
        </w:rPr>
        <w:t xml:space="preserve">toe pinch response. </w:t>
      </w:r>
    </w:p>
    <w:p w14:paraId="432113C9" w14:textId="45A449C7" w:rsidR="002C1142" w:rsidRPr="00677B47" w:rsidRDefault="002C1142" w:rsidP="009B5312">
      <w:pPr>
        <w:pStyle w:val="NormalWeb"/>
        <w:spacing w:before="0" w:beforeAutospacing="0" w:after="0" w:afterAutospacing="0"/>
        <w:contextualSpacing/>
        <w:rPr>
          <w:bCs/>
          <w:highlight w:val="yellow"/>
        </w:rPr>
      </w:pPr>
    </w:p>
    <w:p w14:paraId="262AF62B" w14:textId="2DA9EB9F" w:rsidR="0029421F" w:rsidRPr="00677B47" w:rsidRDefault="00707E2C" w:rsidP="009B5312">
      <w:pPr>
        <w:pStyle w:val="NormalWeb"/>
        <w:numPr>
          <w:ilvl w:val="1"/>
          <w:numId w:val="75"/>
        </w:numPr>
        <w:spacing w:before="0" w:beforeAutospacing="0" w:after="0" w:afterAutospacing="0"/>
        <w:ind w:left="0" w:firstLine="0"/>
        <w:contextualSpacing/>
        <w:rPr>
          <w:bCs/>
          <w:highlight w:val="yellow"/>
        </w:rPr>
      </w:pPr>
      <w:r w:rsidRPr="00677B47">
        <w:rPr>
          <w:bCs/>
          <w:highlight w:val="yellow"/>
        </w:rPr>
        <w:t>Induce injury</w:t>
      </w:r>
      <w:r w:rsidR="00677B47">
        <w:rPr>
          <w:bCs/>
          <w:highlight w:val="yellow"/>
        </w:rPr>
        <w:t>.</w:t>
      </w:r>
    </w:p>
    <w:p w14:paraId="65AC3D34" w14:textId="495DFC55" w:rsidR="00B47594" w:rsidRPr="00677B47" w:rsidRDefault="00B47594" w:rsidP="009B5312">
      <w:pPr>
        <w:pStyle w:val="NormalWeb"/>
        <w:spacing w:before="0" w:beforeAutospacing="0" w:after="0" w:afterAutospacing="0"/>
        <w:contextualSpacing/>
        <w:rPr>
          <w:highlight w:val="yellow"/>
        </w:rPr>
      </w:pPr>
    </w:p>
    <w:p w14:paraId="2694CE78" w14:textId="0894E842" w:rsidR="0029421F" w:rsidRPr="00FE708D" w:rsidRDefault="00707E2C" w:rsidP="009B5312">
      <w:pPr>
        <w:pStyle w:val="NormalWeb"/>
        <w:numPr>
          <w:ilvl w:val="2"/>
          <w:numId w:val="75"/>
        </w:numPr>
        <w:spacing w:before="0" w:beforeAutospacing="0" w:after="0" w:afterAutospacing="0"/>
        <w:ind w:left="0" w:firstLine="0"/>
        <w:contextualSpacing/>
        <w:rPr>
          <w:bCs/>
          <w:highlight w:val="yellow"/>
        </w:rPr>
      </w:pPr>
      <w:r w:rsidRPr="00677B47">
        <w:rPr>
          <w:highlight w:val="yellow"/>
        </w:rPr>
        <w:t xml:space="preserve">Rapidly remove </w:t>
      </w:r>
      <w:r w:rsidR="00677B47">
        <w:rPr>
          <w:highlight w:val="yellow"/>
        </w:rPr>
        <w:t xml:space="preserve">the </w:t>
      </w:r>
      <w:r w:rsidRPr="00677B47">
        <w:rPr>
          <w:highlight w:val="yellow"/>
        </w:rPr>
        <w:t xml:space="preserve">mouse from </w:t>
      </w:r>
      <w:r w:rsidR="00FE708D" w:rsidRPr="00FE708D">
        <w:rPr>
          <w:bCs/>
          <w:highlight w:val="yellow"/>
        </w:rPr>
        <w:t>anesthesia and</w:t>
      </w:r>
      <w:r w:rsidRPr="00FE708D">
        <w:rPr>
          <w:bCs/>
          <w:highlight w:val="yellow"/>
        </w:rPr>
        <w:t xml:space="preserve"> place </w:t>
      </w:r>
      <w:r w:rsidR="00677B47" w:rsidRPr="00FE708D">
        <w:rPr>
          <w:bCs/>
          <w:highlight w:val="yellow"/>
        </w:rPr>
        <w:t xml:space="preserve">the </w:t>
      </w:r>
      <w:r w:rsidRPr="00FE708D">
        <w:rPr>
          <w:bCs/>
          <w:highlight w:val="yellow"/>
        </w:rPr>
        <w:t xml:space="preserve">mouse prone on the center of a </w:t>
      </w:r>
      <w:r w:rsidR="00975467" w:rsidRPr="00FE708D">
        <w:rPr>
          <w:bCs/>
          <w:highlight w:val="yellow"/>
        </w:rPr>
        <w:t xml:space="preserve">thin </w:t>
      </w:r>
      <w:r w:rsidRPr="00FE708D">
        <w:rPr>
          <w:bCs/>
          <w:highlight w:val="yellow"/>
        </w:rPr>
        <w:t xml:space="preserve">membrane </w:t>
      </w:r>
      <w:r w:rsidR="007B1948" w:rsidRPr="00FE708D">
        <w:rPr>
          <w:bCs/>
          <w:highlight w:val="yellow"/>
        </w:rPr>
        <w:t>(</w:t>
      </w:r>
      <w:r w:rsidRPr="00FE708D">
        <w:rPr>
          <w:bCs/>
          <w:highlight w:val="yellow"/>
        </w:rPr>
        <w:t xml:space="preserve">11.2 </w:t>
      </w:r>
      <w:r w:rsidR="00677B47" w:rsidRPr="00FE708D">
        <w:rPr>
          <w:bCs/>
          <w:highlight w:val="yellow"/>
        </w:rPr>
        <w:t xml:space="preserve">cm </w:t>
      </w:r>
      <w:r w:rsidRPr="00FE708D">
        <w:rPr>
          <w:bCs/>
          <w:highlight w:val="yellow"/>
        </w:rPr>
        <w:t xml:space="preserve">x 21.3 cm </w:t>
      </w:r>
      <w:r w:rsidR="00D542C7" w:rsidRPr="00FE708D">
        <w:rPr>
          <w:bCs/>
          <w:highlight w:val="yellow"/>
        </w:rPr>
        <w:t>tissue</w:t>
      </w:r>
      <w:r w:rsidR="007B1948" w:rsidRPr="00FE708D">
        <w:rPr>
          <w:bCs/>
          <w:highlight w:val="yellow"/>
        </w:rPr>
        <w:t>)</w:t>
      </w:r>
      <w:r w:rsidRPr="00FE708D">
        <w:rPr>
          <w:bCs/>
          <w:highlight w:val="yellow"/>
        </w:rPr>
        <w:t xml:space="preserve">. </w:t>
      </w:r>
    </w:p>
    <w:p w14:paraId="0BAFF07B" w14:textId="77777777" w:rsidR="00B47594" w:rsidRPr="00D72C1B" w:rsidRDefault="00B47594" w:rsidP="009B5312">
      <w:pPr>
        <w:pStyle w:val="NormalWeb"/>
        <w:spacing w:before="0" w:beforeAutospacing="0" w:after="0" w:afterAutospacing="0"/>
        <w:contextualSpacing/>
        <w:rPr>
          <w:highlight w:val="yellow"/>
        </w:rPr>
      </w:pPr>
    </w:p>
    <w:p w14:paraId="5D39B819" w14:textId="0026CB1D" w:rsidR="0029421F" w:rsidRPr="00D72C1B" w:rsidRDefault="00F864E7" w:rsidP="009B5312">
      <w:pPr>
        <w:pStyle w:val="NormalWeb"/>
        <w:numPr>
          <w:ilvl w:val="2"/>
          <w:numId w:val="75"/>
        </w:numPr>
        <w:spacing w:before="0" w:beforeAutospacing="0" w:after="0" w:afterAutospacing="0"/>
        <w:ind w:left="0" w:firstLine="0"/>
        <w:contextualSpacing/>
        <w:rPr>
          <w:highlight w:val="yellow"/>
        </w:rPr>
      </w:pPr>
      <w:r w:rsidRPr="00D72C1B">
        <w:rPr>
          <w:highlight w:val="yellow"/>
        </w:rPr>
        <w:t xml:space="preserve">Use both hands to hold the </w:t>
      </w:r>
      <w:r w:rsidR="00D542C7" w:rsidRPr="00D72C1B">
        <w:rPr>
          <w:highlight w:val="yellow"/>
        </w:rPr>
        <w:t xml:space="preserve">tissue </w:t>
      </w:r>
      <w:r w:rsidRPr="00D72C1B">
        <w:rPr>
          <w:highlight w:val="yellow"/>
        </w:rPr>
        <w:t xml:space="preserve">taut with the mouse prone on the center. Secure the mouse’s tail under </w:t>
      </w:r>
      <w:r w:rsidR="00677B47" w:rsidRPr="00D72C1B">
        <w:rPr>
          <w:highlight w:val="yellow"/>
        </w:rPr>
        <w:t>a</w:t>
      </w:r>
      <w:r w:rsidRPr="00D72C1B">
        <w:rPr>
          <w:highlight w:val="yellow"/>
        </w:rPr>
        <w:t xml:space="preserve"> thumb. P</w:t>
      </w:r>
      <w:r w:rsidR="00707E2C" w:rsidRPr="00D72C1B">
        <w:rPr>
          <w:highlight w:val="yellow"/>
        </w:rPr>
        <w:t xml:space="preserve">osition </w:t>
      </w:r>
      <w:r w:rsidR="00677B47" w:rsidRPr="00D72C1B">
        <w:rPr>
          <w:highlight w:val="yellow"/>
        </w:rPr>
        <w:t xml:space="preserve">the </w:t>
      </w:r>
      <w:r w:rsidR="00707E2C" w:rsidRPr="00D72C1B">
        <w:rPr>
          <w:highlight w:val="yellow"/>
        </w:rPr>
        <w:t xml:space="preserve">mouse head under the guide tube </w:t>
      </w:r>
      <w:r w:rsidR="007B1948" w:rsidRPr="00D72C1B">
        <w:rPr>
          <w:highlight w:val="yellow"/>
        </w:rPr>
        <w:t>(</w:t>
      </w:r>
      <w:r w:rsidR="00677B47" w:rsidRPr="00D72C1B">
        <w:rPr>
          <w:b/>
          <w:highlight w:val="yellow"/>
        </w:rPr>
        <w:t>Figure</w:t>
      </w:r>
      <w:r w:rsidR="00707E2C" w:rsidRPr="00D72C1B">
        <w:rPr>
          <w:b/>
          <w:highlight w:val="yellow"/>
        </w:rPr>
        <w:t xml:space="preserve"> 2</w:t>
      </w:r>
      <w:r w:rsidR="007B1948" w:rsidRPr="00D72C1B">
        <w:rPr>
          <w:highlight w:val="yellow"/>
        </w:rPr>
        <w:t>)</w:t>
      </w:r>
      <w:r w:rsidR="00707E2C" w:rsidRPr="00D72C1B">
        <w:rPr>
          <w:highlight w:val="yellow"/>
        </w:rPr>
        <w:t xml:space="preserve">. </w:t>
      </w:r>
    </w:p>
    <w:p w14:paraId="38B6FBFB" w14:textId="77777777" w:rsidR="00B47594" w:rsidRPr="00D72C1B" w:rsidRDefault="00B47594" w:rsidP="009B5312">
      <w:pPr>
        <w:pStyle w:val="NormalWeb"/>
        <w:spacing w:before="0" w:beforeAutospacing="0" w:after="0" w:afterAutospacing="0"/>
        <w:contextualSpacing/>
        <w:rPr>
          <w:highlight w:val="yellow"/>
        </w:rPr>
      </w:pPr>
    </w:p>
    <w:p w14:paraId="55E599E4" w14:textId="2D7DD93C" w:rsidR="00707E2C" w:rsidRPr="00FE708D" w:rsidRDefault="00707E2C" w:rsidP="009B5312">
      <w:pPr>
        <w:pStyle w:val="NormalWeb"/>
        <w:numPr>
          <w:ilvl w:val="2"/>
          <w:numId w:val="75"/>
        </w:numPr>
        <w:spacing w:before="0" w:beforeAutospacing="0" w:after="0" w:afterAutospacing="0"/>
        <w:ind w:left="0" w:firstLine="0"/>
        <w:contextualSpacing/>
        <w:rPr>
          <w:highlight w:val="yellow"/>
        </w:rPr>
      </w:pPr>
      <w:r w:rsidRPr="00D72C1B">
        <w:rPr>
          <w:highlight w:val="yellow"/>
        </w:rPr>
        <w:t xml:space="preserve">Drop the bolt from the top of the guide tube </w:t>
      </w:r>
      <w:r w:rsidRPr="00FE708D">
        <w:rPr>
          <w:highlight w:val="yellow"/>
        </w:rPr>
        <w:t xml:space="preserve">onto the dorsal aspect of the mouse’s head, aiming for impact between the back of the eyes and the front of the ears. Upon impact, the mouse will penetrate the </w:t>
      </w:r>
      <w:r w:rsidR="00D542C7" w:rsidRPr="00FE708D">
        <w:rPr>
          <w:highlight w:val="yellow"/>
        </w:rPr>
        <w:t>tissue</w:t>
      </w:r>
      <w:r w:rsidRPr="00FE708D">
        <w:rPr>
          <w:highlight w:val="yellow"/>
        </w:rPr>
        <w:t xml:space="preserve">, allowing for rapid acceleration of the head about the neck </w:t>
      </w:r>
      <w:r w:rsidR="007B1948" w:rsidRPr="00FE708D">
        <w:rPr>
          <w:highlight w:val="yellow"/>
        </w:rPr>
        <w:t>(</w:t>
      </w:r>
      <w:r w:rsidR="00677B47" w:rsidRPr="00FE708D">
        <w:rPr>
          <w:b/>
          <w:highlight w:val="yellow"/>
        </w:rPr>
        <w:t>Figure</w:t>
      </w:r>
      <w:r w:rsidRPr="00FE708D">
        <w:rPr>
          <w:b/>
          <w:highlight w:val="yellow"/>
        </w:rPr>
        <w:t xml:space="preserve"> 2</w:t>
      </w:r>
      <w:r w:rsidR="007B1948" w:rsidRPr="00FE708D">
        <w:rPr>
          <w:highlight w:val="yellow"/>
        </w:rPr>
        <w:t>)</w:t>
      </w:r>
      <w:r w:rsidRPr="00FE708D">
        <w:rPr>
          <w:highlight w:val="yellow"/>
        </w:rPr>
        <w:t>.</w:t>
      </w:r>
    </w:p>
    <w:p w14:paraId="2905DCFF" w14:textId="77777777" w:rsidR="002C1142" w:rsidRPr="00677B47" w:rsidRDefault="002C1142" w:rsidP="009B5312">
      <w:pPr>
        <w:pStyle w:val="NormalWeb"/>
        <w:spacing w:before="0" w:beforeAutospacing="0" w:after="0" w:afterAutospacing="0"/>
        <w:contextualSpacing/>
        <w:rPr>
          <w:highlight w:val="yellow"/>
        </w:rPr>
      </w:pPr>
    </w:p>
    <w:p w14:paraId="3598B231" w14:textId="26C27150" w:rsidR="00677B47" w:rsidRPr="00677B47" w:rsidRDefault="00707E2C" w:rsidP="009B5312">
      <w:pPr>
        <w:pStyle w:val="NormalWeb"/>
        <w:numPr>
          <w:ilvl w:val="1"/>
          <w:numId w:val="74"/>
        </w:numPr>
        <w:spacing w:before="0" w:beforeAutospacing="0" w:after="0" w:afterAutospacing="0"/>
        <w:ind w:left="0" w:firstLine="0"/>
        <w:contextualSpacing/>
        <w:rPr>
          <w:bCs/>
          <w:highlight w:val="yellow"/>
        </w:rPr>
      </w:pPr>
      <w:r w:rsidRPr="00677B47">
        <w:rPr>
          <w:bCs/>
          <w:highlight w:val="yellow"/>
        </w:rPr>
        <w:t>Recovery</w:t>
      </w:r>
    </w:p>
    <w:p w14:paraId="7CDDE11F" w14:textId="77777777" w:rsidR="00677B47" w:rsidRDefault="00677B47" w:rsidP="009B5312">
      <w:pPr>
        <w:pStyle w:val="NormalWeb"/>
        <w:spacing w:before="0" w:beforeAutospacing="0" w:after="0" w:afterAutospacing="0"/>
        <w:contextualSpacing/>
        <w:rPr>
          <w:b/>
          <w:highlight w:val="yellow"/>
        </w:rPr>
      </w:pPr>
    </w:p>
    <w:p w14:paraId="5D6C566F" w14:textId="6D829DD8" w:rsidR="00F864E7" w:rsidRDefault="00707E2C" w:rsidP="009B5312">
      <w:pPr>
        <w:pStyle w:val="NormalWeb"/>
        <w:numPr>
          <w:ilvl w:val="2"/>
          <w:numId w:val="74"/>
        </w:numPr>
        <w:spacing w:before="0" w:beforeAutospacing="0" w:after="0" w:afterAutospacing="0"/>
        <w:ind w:left="0" w:firstLine="0"/>
        <w:contextualSpacing/>
        <w:rPr>
          <w:highlight w:val="yellow"/>
        </w:rPr>
      </w:pPr>
      <w:r w:rsidRPr="00677B47">
        <w:rPr>
          <w:highlight w:val="yellow"/>
        </w:rPr>
        <w:t xml:space="preserve">After impact, place </w:t>
      </w:r>
      <w:r w:rsidR="00677B47">
        <w:rPr>
          <w:highlight w:val="yellow"/>
        </w:rPr>
        <w:t xml:space="preserve">the </w:t>
      </w:r>
      <w:r w:rsidRPr="00677B47">
        <w:rPr>
          <w:highlight w:val="yellow"/>
        </w:rPr>
        <w:t>mouse supine on a 37</w:t>
      </w:r>
      <w:r w:rsidR="00D74B87" w:rsidRPr="00677B47">
        <w:rPr>
          <w:highlight w:val="yellow"/>
        </w:rPr>
        <w:t xml:space="preserve"> </w:t>
      </w:r>
      <w:r w:rsidRPr="00677B47">
        <w:rPr>
          <w:highlight w:val="yellow"/>
        </w:rPr>
        <w:t>°C warming pad in room air.</w:t>
      </w:r>
      <w:r w:rsidRPr="00677B47">
        <w:t xml:space="preserve"> </w:t>
      </w:r>
      <w:r w:rsidR="00F864E7" w:rsidRPr="00677B47">
        <w:t xml:space="preserve">Monitor recovery for 1 </w:t>
      </w:r>
      <w:r w:rsidR="00677B47">
        <w:t>h</w:t>
      </w:r>
      <w:r w:rsidR="00F864E7" w:rsidRPr="00677B47">
        <w:t xml:space="preserve"> post-injury. Within 1</w:t>
      </w:r>
      <w:r w:rsidR="00677B47">
        <w:t xml:space="preserve"> h</w:t>
      </w:r>
      <w:r w:rsidR="00F864E7" w:rsidRPr="00677B47">
        <w:t>, mice should be able to ambulate normally, find food and water, and not exhibit gross motor deficits.</w:t>
      </w:r>
      <w:r w:rsidR="00F864E7" w:rsidRPr="00677B47">
        <w:rPr>
          <w:highlight w:val="yellow"/>
        </w:rPr>
        <w:t xml:space="preserve"> </w:t>
      </w:r>
    </w:p>
    <w:p w14:paraId="3697226B" w14:textId="77777777" w:rsidR="00677B47" w:rsidRPr="00677B47" w:rsidRDefault="00677B47" w:rsidP="009B5312">
      <w:pPr>
        <w:pStyle w:val="NormalWeb"/>
        <w:spacing w:before="0" w:beforeAutospacing="0" w:after="0" w:afterAutospacing="0"/>
        <w:contextualSpacing/>
        <w:rPr>
          <w:highlight w:val="yellow"/>
        </w:rPr>
      </w:pPr>
    </w:p>
    <w:p w14:paraId="644DAA07" w14:textId="64A6DF3E" w:rsidR="00707E2C" w:rsidRPr="00677B47" w:rsidRDefault="00F864E7" w:rsidP="009B5312">
      <w:pPr>
        <w:pStyle w:val="NormalWeb"/>
        <w:spacing w:before="0" w:beforeAutospacing="0" w:after="0" w:afterAutospacing="0"/>
        <w:contextualSpacing/>
      </w:pPr>
      <w:r w:rsidRPr="00677B47">
        <w:t>NOTE: Loss of consciousness, defined</w:t>
      </w:r>
      <w:r w:rsidR="00707E2C" w:rsidRPr="00677B47">
        <w:t xml:space="preserve"> as the time from removal from anesthesia to the</w:t>
      </w:r>
      <w:r w:rsidRPr="00677B47">
        <w:t xml:space="preserve"> time to regain righting reflex, is expected and typically lasts from 20 s to 3 minutes</w:t>
      </w:r>
      <w:r w:rsidR="001458ED" w:rsidRPr="00677B47">
        <w:t xml:space="preserve"> </w:t>
      </w:r>
      <w:r w:rsidR="007B1948" w:rsidRPr="007B1948">
        <w:t>(</w:t>
      </w:r>
      <w:r w:rsidR="001458ED" w:rsidRPr="00677B47">
        <w:rPr>
          <w:b/>
        </w:rPr>
        <w:t>Supplemental Table 1</w:t>
      </w:r>
      <w:r w:rsidR="007B1948" w:rsidRPr="007B1948">
        <w:t>)</w:t>
      </w:r>
      <w:r w:rsidRPr="00677B47">
        <w:t>.</w:t>
      </w:r>
      <w:r w:rsidR="00707E2C" w:rsidRPr="00677B47">
        <w:t xml:space="preserve"> Brief </w:t>
      </w:r>
      <w:r w:rsidR="007B1948" w:rsidRPr="007B1948">
        <w:t>(</w:t>
      </w:r>
      <w:r w:rsidR="00707E2C" w:rsidRPr="00677B47">
        <w:t>&lt;30</w:t>
      </w:r>
      <w:r w:rsidR="00454F54" w:rsidRPr="00677B47">
        <w:t xml:space="preserve"> </w:t>
      </w:r>
      <w:r w:rsidR="00707E2C" w:rsidRPr="00677B47">
        <w:t>s</w:t>
      </w:r>
      <w:r w:rsidR="007B1948" w:rsidRPr="007B1948">
        <w:t>)</w:t>
      </w:r>
      <w:r w:rsidR="00707E2C" w:rsidRPr="00677B47">
        <w:t xml:space="preserve"> episodes of apnea and/or seizure-like activity may be observed, particularly after repetitive head injuries spaced once-daily. </w:t>
      </w:r>
    </w:p>
    <w:p w14:paraId="624E460E" w14:textId="77777777" w:rsidR="002C1142" w:rsidRPr="00677B47" w:rsidRDefault="002C1142" w:rsidP="009B5312">
      <w:pPr>
        <w:pStyle w:val="NormalWeb"/>
        <w:spacing w:before="0" w:beforeAutospacing="0" w:after="0" w:afterAutospacing="0"/>
        <w:contextualSpacing/>
        <w:rPr>
          <w:bCs/>
        </w:rPr>
      </w:pPr>
    </w:p>
    <w:p w14:paraId="701B62FE" w14:textId="15B3274E" w:rsidR="00707E2C" w:rsidRPr="00677B47" w:rsidRDefault="002C1142" w:rsidP="009B5312">
      <w:pPr>
        <w:pStyle w:val="NormalWeb"/>
        <w:numPr>
          <w:ilvl w:val="1"/>
          <w:numId w:val="74"/>
        </w:numPr>
        <w:spacing w:before="0" w:beforeAutospacing="0" w:after="0" w:afterAutospacing="0"/>
        <w:ind w:left="0" w:firstLine="0"/>
        <w:contextualSpacing/>
      </w:pPr>
      <w:r w:rsidRPr="00677B47">
        <w:rPr>
          <w:bCs/>
        </w:rPr>
        <w:t>Repeat as needed</w:t>
      </w:r>
      <w:r w:rsidR="00677B47">
        <w:rPr>
          <w:bCs/>
        </w:rPr>
        <w:t xml:space="preserve">. </w:t>
      </w:r>
      <w:r w:rsidRPr="00677B47">
        <w:t xml:space="preserve">This injury may be repeated once-daily, weekly, or monthly. The number and spacing of injuries depend on desired injury severity. Typically, </w:t>
      </w:r>
      <w:r w:rsidR="00D72C1B">
        <w:t>we</w:t>
      </w:r>
      <w:r w:rsidRPr="00677B47">
        <w:t xml:space="preserve"> employ</w:t>
      </w:r>
      <w:r w:rsidR="00D72C1B">
        <w:t xml:space="preserve"> </w:t>
      </w:r>
      <w:r w:rsidRPr="00677B47">
        <w:t>five hits spaced once daily to induce robust deficits in spatial learning and memory.</w:t>
      </w:r>
    </w:p>
    <w:p w14:paraId="00CA6F35" w14:textId="093A1EF4" w:rsidR="00B47594" w:rsidRPr="00677B47" w:rsidRDefault="00B47594" w:rsidP="009B5312">
      <w:pPr>
        <w:pStyle w:val="NormalWeb"/>
        <w:spacing w:before="0" w:beforeAutospacing="0" w:after="0" w:afterAutospacing="0"/>
        <w:contextualSpacing/>
      </w:pPr>
    </w:p>
    <w:p w14:paraId="65B18B74" w14:textId="3769365D" w:rsidR="00707E2C" w:rsidRPr="00677B47" w:rsidRDefault="00707E2C" w:rsidP="009B5312">
      <w:pPr>
        <w:pStyle w:val="NormalWeb"/>
        <w:numPr>
          <w:ilvl w:val="0"/>
          <w:numId w:val="1"/>
        </w:numPr>
        <w:spacing w:before="0" w:beforeAutospacing="0" w:after="0" w:afterAutospacing="0"/>
        <w:ind w:left="0" w:firstLine="0"/>
        <w:contextualSpacing/>
        <w:rPr>
          <w:highlight w:val="yellow"/>
        </w:rPr>
      </w:pPr>
      <w:r w:rsidRPr="00677B47">
        <w:rPr>
          <w:b/>
          <w:highlight w:val="yellow"/>
        </w:rPr>
        <w:t xml:space="preserve">Assessment </w:t>
      </w:r>
      <w:r w:rsidR="00677B47" w:rsidRPr="00677B47">
        <w:rPr>
          <w:b/>
          <w:highlight w:val="yellow"/>
        </w:rPr>
        <w:t>of cerebral blood flow with diffuse correlation spectroscopy</w:t>
      </w:r>
    </w:p>
    <w:p w14:paraId="733F95ED" w14:textId="77777777" w:rsidR="00707E2C" w:rsidRPr="00677B47" w:rsidRDefault="00707E2C" w:rsidP="009B5312">
      <w:pPr>
        <w:pStyle w:val="NormalWeb"/>
        <w:spacing w:before="0" w:beforeAutospacing="0" w:after="0" w:afterAutospacing="0"/>
        <w:contextualSpacing/>
      </w:pPr>
    </w:p>
    <w:p w14:paraId="4D6D82B7" w14:textId="2E60D637" w:rsidR="00E35CF9" w:rsidRPr="00677B47" w:rsidRDefault="00707E2C" w:rsidP="009B5312">
      <w:pPr>
        <w:pStyle w:val="NormalWeb"/>
        <w:numPr>
          <w:ilvl w:val="1"/>
          <w:numId w:val="76"/>
        </w:numPr>
        <w:spacing w:before="0" w:beforeAutospacing="0" w:after="0" w:afterAutospacing="0"/>
        <w:ind w:left="0" w:firstLine="0"/>
        <w:contextualSpacing/>
        <w:rPr>
          <w:b/>
          <w:bCs/>
          <w:highlight w:val="yellow"/>
        </w:rPr>
      </w:pPr>
      <w:r w:rsidRPr="00677B47">
        <w:rPr>
          <w:b/>
          <w:bCs/>
          <w:highlight w:val="yellow"/>
        </w:rPr>
        <w:t>DCS data acquisition</w:t>
      </w:r>
    </w:p>
    <w:p w14:paraId="35BA0F29" w14:textId="77777777" w:rsidR="004C52AA" w:rsidRPr="00677B47" w:rsidRDefault="004C52AA" w:rsidP="009B5312">
      <w:pPr>
        <w:pStyle w:val="NormalWeb"/>
        <w:spacing w:before="0" w:beforeAutospacing="0" w:after="0" w:afterAutospacing="0"/>
        <w:contextualSpacing/>
        <w:rPr>
          <w:b/>
          <w:bCs/>
        </w:rPr>
      </w:pPr>
    </w:p>
    <w:p w14:paraId="6E080A6F" w14:textId="18000479" w:rsidR="004C52AA" w:rsidRPr="00677B47" w:rsidRDefault="00707E2C" w:rsidP="009B5312">
      <w:pPr>
        <w:pStyle w:val="NormalWeb"/>
        <w:numPr>
          <w:ilvl w:val="2"/>
          <w:numId w:val="76"/>
        </w:numPr>
        <w:spacing w:before="0" w:beforeAutospacing="0" w:after="0" w:afterAutospacing="0"/>
        <w:ind w:left="0" w:firstLine="0"/>
        <w:contextualSpacing/>
      </w:pPr>
      <w:r w:rsidRPr="00677B47">
        <w:t xml:space="preserve">Remove hair on </w:t>
      </w:r>
      <w:r w:rsidR="00D72C1B">
        <w:t xml:space="preserve">the </w:t>
      </w:r>
      <w:r w:rsidRPr="00677B47">
        <w:t>scalp</w:t>
      </w:r>
      <w:r w:rsidR="00D72C1B">
        <w:t>.</w:t>
      </w:r>
      <w:r w:rsidRPr="00677B47">
        <w:t xml:space="preserve"> Because DCS works best in the absence of hair, it is necessary to remove fur on the head prior to the start of experiments. Typically</w:t>
      </w:r>
      <w:r w:rsidR="00543239" w:rsidRPr="00677B47">
        <w:t>,</w:t>
      </w:r>
      <w:r w:rsidRPr="00677B47">
        <w:t xml:space="preserve"> hair removal is done 1-3 days prior to the start of the study.</w:t>
      </w:r>
      <w:r w:rsidR="004C52AA" w:rsidRPr="00677B47">
        <w:t xml:space="preserve"> </w:t>
      </w:r>
    </w:p>
    <w:p w14:paraId="2A0BF28D" w14:textId="77777777" w:rsidR="00B47594" w:rsidRPr="00677B47" w:rsidRDefault="00B47594" w:rsidP="009B5312">
      <w:pPr>
        <w:pStyle w:val="NormalWeb"/>
        <w:spacing w:before="0" w:beforeAutospacing="0" w:after="0" w:afterAutospacing="0"/>
        <w:contextualSpacing/>
      </w:pPr>
    </w:p>
    <w:p w14:paraId="7AEF10DC" w14:textId="31BEB86A" w:rsidR="00707E2C" w:rsidRPr="00677B47" w:rsidRDefault="00707E2C" w:rsidP="009B5312">
      <w:pPr>
        <w:pStyle w:val="NormalWeb"/>
        <w:numPr>
          <w:ilvl w:val="3"/>
          <w:numId w:val="76"/>
        </w:numPr>
        <w:spacing w:before="0" w:beforeAutospacing="0" w:after="0" w:afterAutospacing="0"/>
        <w:ind w:left="0" w:firstLine="0"/>
        <w:contextualSpacing/>
      </w:pPr>
      <w:r w:rsidRPr="00677B47">
        <w:t>Induce mice with 4.5% isoflurane in 100% oxygen for 45 seconds</w:t>
      </w:r>
      <w:r w:rsidR="00677B47">
        <w:t xml:space="preserve"> </w:t>
      </w:r>
      <w:r w:rsidRPr="00677B47">
        <w:t xml:space="preserve">and maintain with 1-2% isoflurane in 100% oxygen. </w:t>
      </w:r>
    </w:p>
    <w:p w14:paraId="10DCFFD7" w14:textId="77777777" w:rsidR="00B47594" w:rsidRPr="00677B47" w:rsidRDefault="00B47594" w:rsidP="009B5312">
      <w:pPr>
        <w:pStyle w:val="NormalWeb"/>
        <w:spacing w:before="0" w:beforeAutospacing="0" w:after="0" w:afterAutospacing="0"/>
        <w:contextualSpacing/>
      </w:pPr>
    </w:p>
    <w:p w14:paraId="40749841" w14:textId="624B766A" w:rsidR="00707E2C" w:rsidRPr="00677B47" w:rsidRDefault="00707E2C" w:rsidP="009B5312">
      <w:pPr>
        <w:pStyle w:val="NormalWeb"/>
        <w:numPr>
          <w:ilvl w:val="3"/>
          <w:numId w:val="76"/>
        </w:numPr>
        <w:spacing w:before="0" w:beforeAutospacing="0" w:after="0" w:afterAutospacing="0"/>
        <w:ind w:left="0" w:firstLine="0"/>
        <w:contextualSpacing/>
      </w:pPr>
      <w:r w:rsidRPr="00677B47">
        <w:t>Shave the head between the eyes and the ears.</w:t>
      </w:r>
      <w:r w:rsidR="00981AEE" w:rsidRPr="00677B47">
        <w:t xml:space="preserve"> </w:t>
      </w:r>
      <w:r w:rsidRPr="00677B47">
        <w:t xml:space="preserve">Then, use depilatory cream to remove fur on the head as in </w:t>
      </w:r>
      <w:r w:rsidR="00677B47" w:rsidRPr="00677B47">
        <w:rPr>
          <w:b/>
        </w:rPr>
        <w:t>Figure</w:t>
      </w:r>
      <w:r w:rsidRPr="00677B47">
        <w:rPr>
          <w:b/>
        </w:rPr>
        <w:t xml:space="preserve"> 3</w:t>
      </w:r>
      <w:r w:rsidRPr="00677B47">
        <w:t xml:space="preserve">. </w:t>
      </w:r>
    </w:p>
    <w:p w14:paraId="3063F3B9" w14:textId="77777777" w:rsidR="00B47594" w:rsidRPr="00677B47" w:rsidRDefault="00B47594" w:rsidP="009B5312">
      <w:pPr>
        <w:pStyle w:val="NormalWeb"/>
        <w:spacing w:before="0" w:beforeAutospacing="0" w:after="0" w:afterAutospacing="0"/>
        <w:contextualSpacing/>
      </w:pPr>
    </w:p>
    <w:p w14:paraId="5401C9D5" w14:textId="330530C4" w:rsidR="00707E2C" w:rsidRPr="00677B47" w:rsidRDefault="00707E2C" w:rsidP="009B5312">
      <w:pPr>
        <w:pStyle w:val="NormalWeb"/>
        <w:numPr>
          <w:ilvl w:val="3"/>
          <w:numId w:val="76"/>
        </w:numPr>
        <w:spacing w:before="0" w:beforeAutospacing="0" w:after="0" w:afterAutospacing="0"/>
        <w:ind w:left="0" w:firstLine="0"/>
        <w:contextualSpacing/>
      </w:pPr>
      <w:r w:rsidRPr="00677B47">
        <w:lastRenderedPageBreak/>
        <w:t xml:space="preserve">Allow the animal to recover from anesthesia on a warming pad and then return to cage. </w:t>
      </w:r>
    </w:p>
    <w:p w14:paraId="05CB467F" w14:textId="77777777" w:rsidR="00B47594" w:rsidRPr="00677B47" w:rsidRDefault="00B47594" w:rsidP="009B5312">
      <w:pPr>
        <w:pStyle w:val="NormalWeb"/>
        <w:spacing w:before="0" w:beforeAutospacing="0" w:after="0" w:afterAutospacing="0"/>
        <w:contextualSpacing/>
      </w:pPr>
    </w:p>
    <w:p w14:paraId="37DB9AC7" w14:textId="6FA82C4C" w:rsidR="0016223B" w:rsidRDefault="00707E2C" w:rsidP="009B5312">
      <w:pPr>
        <w:pStyle w:val="NormalWeb"/>
        <w:numPr>
          <w:ilvl w:val="2"/>
          <w:numId w:val="76"/>
        </w:numPr>
        <w:spacing w:before="0" w:beforeAutospacing="0" w:after="0" w:afterAutospacing="0"/>
        <w:ind w:left="0" w:firstLine="0"/>
        <w:contextualSpacing/>
      </w:pPr>
      <w:r w:rsidRPr="00677B47">
        <w:t>Measure cerebral blood flow with DCS</w:t>
      </w:r>
      <w:r w:rsidR="00677B47">
        <w:t xml:space="preserve">. </w:t>
      </w:r>
      <w:r w:rsidRPr="00677B47">
        <w:t xml:space="preserve">To minimize motion artifacts during measurement, </w:t>
      </w:r>
      <w:r w:rsidR="00677B47">
        <w:t xml:space="preserve">study </w:t>
      </w:r>
      <w:r w:rsidRPr="00677B47">
        <w:t xml:space="preserve">mice under brief isoflurane anesthesia. </w:t>
      </w:r>
    </w:p>
    <w:p w14:paraId="2D04A790" w14:textId="77777777" w:rsidR="00677B47" w:rsidRPr="00677B47" w:rsidRDefault="00677B47" w:rsidP="009B5312">
      <w:pPr>
        <w:pStyle w:val="NormalWeb"/>
        <w:spacing w:before="0" w:beforeAutospacing="0" w:after="0" w:afterAutospacing="0"/>
        <w:contextualSpacing/>
      </w:pPr>
    </w:p>
    <w:p w14:paraId="63A8D083" w14:textId="532C57A6" w:rsidR="00707E2C" w:rsidRPr="00677B47" w:rsidRDefault="00707E2C" w:rsidP="009B5312">
      <w:pPr>
        <w:pStyle w:val="NormalWeb"/>
        <w:spacing w:before="0" w:beforeAutospacing="0" w:after="0" w:afterAutospacing="0"/>
        <w:contextualSpacing/>
      </w:pPr>
      <w:r w:rsidRPr="00677B47">
        <w:t xml:space="preserve">NOTE: </w:t>
      </w:r>
      <w:r w:rsidR="007C7C28" w:rsidRPr="00677B47">
        <w:t>V</w:t>
      </w:r>
      <w:r w:rsidRPr="00677B47">
        <w:t>isually monitor</w:t>
      </w:r>
      <w:r w:rsidRPr="00677B47" w:rsidDel="001365D9">
        <w:t xml:space="preserve"> </w:t>
      </w:r>
      <w:r w:rsidRPr="00677B47">
        <w:t xml:space="preserve">respiration and toe pinch response </w:t>
      </w:r>
      <w:r w:rsidR="007C7C28" w:rsidRPr="00677B47">
        <w:t xml:space="preserve">throughout measurements and </w:t>
      </w:r>
      <w:r w:rsidRPr="00677B47">
        <w:t>adjust isoflurane concentration as needed to ensure consistent depth of anesthesia. Significant variations in the depth of anesthesia could alter blood flow given the known vasomodulatory effects of isoflurane</w:t>
      </w:r>
      <w:r w:rsidR="000F4C38" w:rsidRPr="00677B47">
        <w:fldChar w:fldCharType="begin"/>
      </w:r>
      <w:r w:rsidR="00594BFB" w:rsidRPr="00677B47">
        <w:instrText xml:space="preserve"> ADDIN ZOTERO_ITEM CSL_CITATION {"citationID":"amlc9fvl70","properties":{"formattedCitation":"\\super 25\\nosupersub{}","plainCitation":"25","noteIndex":0},"citationItems":[{"id":239,"uris":["http://zotero.org/users/5036325/items/KAQ9HXAL"],"uri":["http://zotero.org/users/5036325/items/KAQ9HXAL"],"itemData":{"id":239,"type":"article-journal","abstract":"The authors studied the effects of sevoflurane and isoflurane on systemic hemodynamics and regional blood flow distribution (microsphere technique) in 15 rats during general anesthesia with intravenous chloralose and controlled ventilation. Inhaled anesthetics were applied to reduce mean arterial blood pressure (MAP) to 70 mm Hg (1.66 vol% sevoflurane and 0.96 vol% isoflurane) and 50 mm Hg (MAP 50; 3.95 vol% sevoflurane and 2.43 vol% isoflurane). Control recordings were obtained with intravenous chloralose only. At a MAP of 70 mm Hg, both anesthetics reduced heart rate, cardiac output, and systemic vascular resistance to a similar degree. Isoflurane decreased systemic vascular resistance markedly at a MAP of 50 mm Hg and thereby maintained cardiac output at higher levels than sevoflurane. The left ventricular rate-pressure product decreased comparably with both anesthetics. Cerebral blood flow increased dose-dependently with both inhaled anesthetics but to a greater degree with isoflurane. Total hepatic blood flow remained unchanged from control at a MAP of 70 mm Hg but decreased at a MAP of 50 mm Hg. This was due to reductions of hepatic arterial and portal venous tributaries. Renal blood flow was reduced with only the high concentrations of the anesthetics. Myocardial blood flow was reduced at all concentrations of volatile anesthetic; however, the decrease was less with isoflurane. This would indicate a more pronounced coronary vasodilation by isoflurane as the rate-pressure product, as a measure of the actual left ventricular oxygen demand, decreased by comparable degrees with both anesthetics. Our results indicate that sevoflurane and isoflurane (each approximately 0.7 MAC) have no dissimilar systemic and regional hemodynamic effects at a MAP of 70 mm Hg in this animal model. At higher concentrations (approximately 1.7 MAC), cerebral blood flow was more with isoflurane than with sevoflurane and was associated with a more pronounced vasodilation in the myocardium.","container-title":"Anesthesia and Analgesia","DOI":"10.1213/00000539-199201000-00014","ISSN":"0003-2999","issue":"1","journalAbbreviation":"Anesth. Analg.","language":"eng","note":"PMID: 1734802","page":"79-88","source":"PubMed","title":"Systemic and regional hemodynamics of isoflurane and sevoflurane in rats","volume":"74","author":[{"family":"Conzen","given":"P. F."},{"family":"Vollmar","given":"B."},{"family":"Habazettl","given":"H."},{"family":"Frink","given":"E. J."},{"family":"Peter","given":"K."},{"family":"Messmer","given":"K."}],"issued":{"date-parts":[["1992",1]]}}}],"schema":"https://github.com/citation-style-language/schema/raw/master/csl-citation.json"} </w:instrText>
      </w:r>
      <w:r w:rsidR="000F4C38" w:rsidRPr="00677B47">
        <w:fldChar w:fldCharType="separate"/>
      </w:r>
      <w:r w:rsidR="00594BFB" w:rsidRPr="00677B47">
        <w:rPr>
          <w:vertAlign w:val="superscript"/>
        </w:rPr>
        <w:t>25</w:t>
      </w:r>
      <w:r w:rsidR="000F4C38" w:rsidRPr="00677B47">
        <w:fldChar w:fldCharType="end"/>
      </w:r>
      <w:r w:rsidR="000F4C38" w:rsidRPr="00677B47">
        <w:t>.</w:t>
      </w:r>
    </w:p>
    <w:p w14:paraId="11C701D5" w14:textId="56458AA5" w:rsidR="00B47594" w:rsidRPr="00677B47" w:rsidRDefault="00B47594" w:rsidP="009B5312">
      <w:pPr>
        <w:pStyle w:val="NormalWeb"/>
        <w:spacing w:before="0" w:beforeAutospacing="0" w:after="0" w:afterAutospacing="0"/>
        <w:contextualSpacing/>
      </w:pPr>
    </w:p>
    <w:p w14:paraId="5E540D27" w14:textId="58C0CE74" w:rsidR="00707E2C" w:rsidRPr="00677B47" w:rsidRDefault="00707E2C" w:rsidP="009B5312">
      <w:pPr>
        <w:pStyle w:val="NormalWeb"/>
        <w:numPr>
          <w:ilvl w:val="3"/>
          <w:numId w:val="76"/>
        </w:numPr>
        <w:spacing w:before="0" w:beforeAutospacing="0" w:after="0" w:afterAutospacing="0"/>
        <w:ind w:left="0" w:firstLine="0"/>
        <w:contextualSpacing/>
      </w:pPr>
      <w:r w:rsidRPr="00677B47">
        <w:t>Induce with 4.5% isoflurane in 100% oxygen for 45 seconds, and then maintain with 1.</w:t>
      </w:r>
      <w:r w:rsidR="00295F02" w:rsidRPr="00677B47">
        <w:t>0</w:t>
      </w:r>
      <w:r w:rsidRPr="00677B47">
        <w:t xml:space="preserve">-1.75% isoflurane in 100% oxygen. Confirm sufficient depth of anesthesia by the absence of a toe pinch response and normal respiration </w:t>
      </w:r>
      <w:r w:rsidR="007B1948" w:rsidRPr="007B1948">
        <w:t>(</w:t>
      </w:r>
      <w:r w:rsidRPr="00677B47">
        <w:t>between ~60-80 breaths per minute</w:t>
      </w:r>
      <w:r w:rsidR="007B1948" w:rsidRPr="007B1948">
        <w:t>)</w:t>
      </w:r>
      <w:r w:rsidRPr="00677B47">
        <w:t xml:space="preserve">. </w:t>
      </w:r>
    </w:p>
    <w:p w14:paraId="74CD9344" w14:textId="77777777" w:rsidR="00B47594" w:rsidRPr="00677B47" w:rsidRDefault="00B47594" w:rsidP="009B5312">
      <w:pPr>
        <w:pStyle w:val="NormalWeb"/>
        <w:spacing w:before="0" w:beforeAutospacing="0" w:after="0" w:afterAutospacing="0"/>
        <w:contextualSpacing/>
      </w:pPr>
    </w:p>
    <w:p w14:paraId="598969A8" w14:textId="6F8CB48A" w:rsidR="00707E2C" w:rsidRPr="0091023B" w:rsidRDefault="00707E2C" w:rsidP="009B5312">
      <w:pPr>
        <w:pStyle w:val="NormalWeb"/>
        <w:numPr>
          <w:ilvl w:val="3"/>
          <w:numId w:val="76"/>
        </w:numPr>
        <w:spacing w:before="0" w:beforeAutospacing="0" w:after="0" w:afterAutospacing="0"/>
        <w:ind w:left="0" w:firstLine="0"/>
        <w:contextualSpacing/>
        <w:rPr>
          <w:highlight w:val="yellow"/>
        </w:rPr>
      </w:pPr>
      <w:r w:rsidRPr="00677B47">
        <w:rPr>
          <w:highlight w:val="yellow"/>
        </w:rPr>
        <w:t xml:space="preserve">After a 2 min period of stabilization, gently rest the DCS sensor over the right hemisphere such that the top edge of the optical sensor lines up with the back of the eye and the side of the sensor </w:t>
      </w:r>
      <w:r w:rsidRPr="0091023B">
        <w:rPr>
          <w:highlight w:val="yellow"/>
        </w:rPr>
        <w:t xml:space="preserve">lines up along the midline </w:t>
      </w:r>
      <w:r w:rsidR="007B1948" w:rsidRPr="0091023B">
        <w:rPr>
          <w:highlight w:val="yellow"/>
        </w:rPr>
        <w:t>(</w:t>
      </w:r>
      <w:r w:rsidR="00677B47" w:rsidRPr="0091023B">
        <w:rPr>
          <w:b/>
          <w:highlight w:val="yellow"/>
        </w:rPr>
        <w:t>Figure</w:t>
      </w:r>
      <w:r w:rsidRPr="0091023B">
        <w:rPr>
          <w:b/>
          <w:highlight w:val="yellow"/>
        </w:rPr>
        <w:t xml:space="preserve"> 3</w:t>
      </w:r>
      <w:r w:rsidR="007B1948" w:rsidRPr="0091023B">
        <w:rPr>
          <w:highlight w:val="yellow"/>
        </w:rPr>
        <w:t>)</w:t>
      </w:r>
      <w:r w:rsidRPr="0091023B">
        <w:rPr>
          <w:highlight w:val="yellow"/>
        </w:rPr>
        <w:t xml:space="preserve">. Cup </w:t>
      </w:r>
      <w:r w:rsidR="002870E1" w:rsidRPr="0091023B">
        <w:rPr>
          <w:highlight w:val="yellow"/>
        </w:rPr>
        <w:t>a</w:t>
      </w:r>
      <w:r w:rsidRPr="0091023B">
        <w:rPr>
          <w:highlight w:val="yellow"/>
        </w:rPr>
        <w:t xml:space="preserve"> hand over the sensor to shield from room light. Acquire 5 seconds of data </w:t>
      </w:r>
      <w:r w:rsidR="007B1948" w:rsidRPr="0091023B">
        <w:rPr>
          <w:highlight w:val="yellow"/>
        </w:rPr>
        <w:t>(</w:t>
      </w:r>
      <w:r w:rsidRPr="0091023B">
        <w:rPr>
          <w:highlight w:val="yellow"/>
        </w:rPr>
        <w:t>1</w:t>
      </w:r>
      <w:r w:rsidR="002870E1" w:rsidRPr="0091023B">
        <w:rPr>
          <w:highlight w:val="yellow"/>
        </w:rPr>
        <w:t xml:space="preserve"> </w:t>
      </w:r>
      <w:r w:rsidRPr="0091023B">
        <w:rPr>
          <w:highlight w:val="yellow"/>
        </w:rPr>
        <w:t>Hz acquisition</w:t>
      </w:r>
      <w:r w:rsidR="007B1948" w:rsidRPr="0091023B">
        <w:rPr>
          <w:highlight w:val="yellow"/>
        </w:rPr>
        <w:t>)</w:t>
      </w:r>
      <w:r w:rsidRPr="0091023B">
        <w:rPr>
          <w:highlight w:val="yellow"/>
        </w:rPr>
        <w:t xml:space="preserve">. </w:t>
      </w:r>
    </w:p>
    <w:p w14:paraId="708A050E" w14:textId="77777777" w:rsidR="00B47594" w:rsidRPr="0091023B" w:rsidRDefault="00B47594" w:rsidP="009B5312">
      <w:pPr>
        <w:pStyle w:val="NormalWeb"/>
        <w:spacing w:before="0" w:beforeAutospacing="0" w:after="0" w:afterAutospacing="0"/>
        <w:contextualSpacing/>
        <w:rPr>
          <w:highlight w:val="yellow"/>
        </w:rPr>
      </w:pPr>
    </w:p>
    <w:p w14:paraId="07A73FBB" w14:textId="30B82937" w:rsidR="00707E2C" w:rsidRPr="0091023B" w:rsidRDefault="00707E2C" w:rsidP="009B5312">
      <w:pPr>
        <w:pStyle w:val="NormalWeb"/>
        <w:numPr>
          <w:ilvl w:val="3"/>
          <w:numId w:val="76"/>
        </w:numPr>
        <w:spacing w:before="0" w:beforeAutospacing="0" w:after="0" w:afterAutospacing="0"/>
        <w:ind w:left="0" w:firstLine="0"/>
        <w:contextualSpacing/>
        <w:rPr>
          <w:highlight w:val="yellow"/>
        </w:rPr>
      </w:pPr>
      <w:r w:rsidRPr="0091023B">
        <w:rPr>
          <w:highlight w:val="yellow"/>
        </w:rPr>
        <w:t xml:space="preserve">Reposition </w:t>
      </w:r>
      <w:r w:rsidR="00985EAF">
        <w:rPr>
          <w:highlight w:val="yellow"/>
        </w:rPr>
        <w:t xml:space="preserve">the </w:t>
      </w:r>
      <w:r w:rsidRPr="0091023B">
        <w:rPr>
          <w:highlight w:val="yellow"/>
        </w:rPr>
        <w:t xml:space="preserve">sensor over the left </w:t>
      </w:r>
      <w:proofErr w:type="gramStart"/>
      <w:r w:rsidRPr="0091023B">
        <w:rPr>
          <w:highlight w:val="yellow"/>
        </w:rPr>
        <w:t xml:space="preserve">hemisphere, </w:t>
      </w:r>
      <w:r w:rsidR="00985EAF">
        <w:rPr>
          <w:highlight w:val="yellow"/>
        </w:rPr>
        <w:t>and</w:t>
      </w:r>
      <w:proofErr w:type="gramEnd"/>
      <w:r w:rsidR="00985EAF">
        <w:rPr>
          <w:highlight w:val="yellow"/>
        </w:rPr>
        <w:t xml:space="preserve"> </w:t>
      </w:r>
      <w:r w:rsidRPr="0091023B">
        <w:rPr>
          <w:highlight w:val="yellow"/>
        </w:rPr>
        <w:t>acquire 5 seconds of data.</w:t>
      </w:r>
      <w:r w:rsidR="00981AEE" w:rsidRPr="0091023B">
        <w:rPr>
          <w:highlight w:val="yellow"/>
        </w:rPr>
        <w:t xml:space="preserve"> </w:t>
      </w:r>
    </w:p>
    <w:p w14:paraId="5CD7C4EF" w14:textId="77777777" w:rsidR="00B47594" w:rsidRPr="00677B47" w:rsidRDefault="00B47594" w:rsidP="009B5312">
      <w:pPr>
        <w:pStyle w:val="NormalWeb"/>
        <w:spacing w:before="0" w:beforeAutospacing="0" w:after="0" w:afterAutospacing="0"/>
        <w:contextualSpacing/>
      </w:pPr>
    </w:p>
    <w:p w14:paraId="3644996A" w14:textId="500BFBD1" w:rsidR="00707E2C" w:rsidRPr="002870E1" w:rsidRDefault="00707E2C" w:rsidP="009B5312">
      <w:pPr>
        <w:pStyle w:val="NormalWeb"/>
        <w:numPr>
          <w:ilvl w:val="3"/>
          <w:numId w:val="76"/>
        </w:numPr>
        <w:spacing w:before="0" w:beforeAutospacing="0" w:after="0" w:afterAutospacing="0"/>
        <w:ind w:left="0" w:firstLine="0"/>
        <w:contextualSpacing/>
      </w:pPr>
      <w:r w:rsidRPr="002870E1">
        <w:t xml:space="preserve">Repeat 3 times/hemisphere to account for local heterogeneities under the tissue surface. </w:t>
      </w:r>
    </w:p>
    <w:p w14:paraId="1EAE8247" w14:textId="77777777" w:rsidR="00B47594" w:rsidRPr="00677B47" w:rsidRDefault="00B47594" w:rsidP="009B5312">
      <w:pPr>
        <w:pStyle w:val="NormalWeb"/>
        <w:spacing w:before="0" w:beforeAutospacing="0" w:after="0" w:afterAutospacing="0"/>
        <w:contextualSpacing/>
      </w:pPr>
    </w:p>
    <w:p w14:paraId="5A699AB7" w14:textId="09574259" w:rsidR="004C52AA" w:rsidRPr="00677B47" w:rsidRDefault="00707E2C" w:rsidP="009B5312">
      <w:pPr>
        <w:pStyle w:val="NormalWeb"/>
        <w:numPr>
          <w:ilvl w:val="2"/>
          <w:numId w:val="76"/>
        </w:numPr>
        <w:spacing w:before="0" w:beforeAutospacing="0" w:after="0" w:afterAutospacing="0"/>
        <w:ind w:left="0" w:firstLine="0"/>
        <w:contextualSpacing/>
      </w:pPr>
      <w:r w:rsidRPr="00677B47">
        <w:t>Recovery</w:t>
      </w:r>
    </w:p>
    <w:p w14:paraId="31F86C42" w14:textId="77777777" w:rsidR="00B47594" w:rsidRPr="00677B47" w:rsidRDefault="00B47594" w:rsidP="009B5312">
      <w:pPr>
        <w:pStyle w:val="NormalWeb"/>
        <w:spacing w:before="0" w:beforeAutospacing="0" w:after="0" w:afterAutospacing="0"/>
        <w:contextualSpacing/>
      </w:pPr>
    </w:p>
    <w:p w14:paraId="1D8354B1" w14:textId="0CB59D96" w:rsidR="00707E2C" w:rsidRPr="00677B47" w:rsidRDefault="00707E2C" w:rsidP="009B5312">
      <w:pPr>
        <w:pStyle w:val="NormalWeb"/>
        <w:numPr>
          <w:ilvl w:val="3"/>
          <w:numId w:val="76"/>
        </w:numPr>
        <w:spacing w:before="0" w:beforeAutospacing="0" w:after="0" w:afterAutospacing="0"/>
        <w:ind w:left="0" w:firstLine="0"/>
        <w:contextualSpacing/>
      </w:pPr>
      <w:r w:rsidRPr="00677B47">
        <w:t xml:space="preserve">Remove </w:t>
      </w:r>
      <w:r w:rsidR="00985EAF">
        <w:t xml:space="preserve">the </w:t>
      </w:r>
      <w:r w:rsidRPr="00677B47">
        <w:t xml:space="preserve">mouse from anesthesia and place on a warming pad. </w:t>
      </w:r>
    </w:p>
    <w:p w14:paraId="5B69EB22" w14:textId="77777777" w:rsidR="00B47594" w:rsidRPr="00677B47" w:rsidRDefault="00B47594" w:rsidP="009B5312">
      <w:pPr>
        <w:pStyle w:val="NormalWeb"/>
        <w:spacing w:before="0" w:beforeAutospacing="0" w:after="0" w:afterAutospacing="0"/>
        <w:contextualSpacing/>
      </w:pPr>
    </w:p>
    <w:p w14:paraId="5254C98A" w14:textId="2B0C2B2B" w:rsidR="00707E2C" w:rsidRPr="00677B47" w:rsidRDefault="00707E2C" w:rsidP="009B5312">
      <w:pPr>
        <w:pStyle w:val="NormalWeb"/>
        <w:numPr>
          <w:ilvl w:val="3"/>
          <w:numId w:val="76"/>
        </w:numPr>
        <w:spacing w:before="0" w:beforeAutospacing="0" w:after="0" w:afterAutospacing="0"/>
        <w:ind w:left="0" w:firstLine="0"/>
        <w:contextualSpacing/>
      </w:pPr>
      <w:r w:rsidRPr="00677B47">
        <w:t xml:space="preserve">After the mouse regains </w:t>
      </w:r>
      <w:r w:rsidR="00985EAF">
        <w:t xml:space="preserve">its </w:t>
      </w:r>
      <w:r w:rsidRPr="00677B47">
        <w:t>righting reflex return</w:t>
      </w:r>
      <w:r w:rsidR="00985EAF">
        <w:t xml:space="preserve"> it</w:t>
      </w:r>
      <w:r w:rsidRPr="00677B47">
        <w:t xml:space="preserve"> to the cage.</w:t>
      </w:r>
    </w:p>
    <w:p w14:paraId="19C4A42A" w14:textId="77777777" w:rsidR="00707E2C" w:rsidRPr="00677B47" w:rsidRDefault="00707E2C" w:rsidP="009B5312">
      <w:pPr>
        <w:pStyle w:val="NormalWeb"/>
        <w:spacing w:before="0" w:beforeAutospacing="0" w:after="0" w:afterAutospacing="0"/>
        <w:contextualSpacing/>
      </w:pPr>
    </w:p>
    <w:p w14:paraId="27DAA624" w14:textId="506EDC9C" w:rsidR="00707E2C" w:rsidRPr="00202A3C" w:rsidRDefault="00707E2C" w:rsidP="009B5312">
      <w:pPr>
        <w:pStyle w:val="NormalWeb"/>
        <w:numPr>
          <w:ilvl w:val="1"/>
          <w:numId w:val="76"/>
        </w:numPr>
        <w:spacing w:before="0" w:beforeAutospacing="0" w:after="0" w:afterAutospacing="0"/>
        <w:ind w:left="0" w:firstLine="0"/>
        <w:contextualSpacing/>
      </w:pPr>
      <w:r w:rsidRPr="00202A3C">
        <w:t>DCS data analysis</w:t>
      </w:r>
    </w:p>
    <w:p w14:paraId="481220E4" w14:textId="77777777" w:rsidR="00202A3C" w:rsidRPr="00677B47" w:rsidRDefault="00202A3C" w:rsidP="009B5312">
      <w:pPr>
        <w:pStyle w:val="NormalWeb"/>
        <w:spacing w:before="0" w:beforeAutospacing="0" w:after="0" w:afterAutospacing="0"/>
        <w:contextualSpacing/>
        <w:rPr>
          <w:b/>
          <w:bCs/>
        </w:rPr>
      </w:pPr>
    </w:p>
    <w:p w14:paraId="0A24867A" w14:textId="42C65CEE" w:rsidR="00707E2C" w:rsidRPr="00677B47" w:rsidRDefault="006A7F3C" w:rsidP="009B5312">
      <w:pPr>
        <w:pStyle w:val="NormalWeb"/>
        <w:numPr>
          <w:ilvl w:val="2"/>
          <w:numId w:val="76"/>
        </w:numPr>
        <w:spacing w:before="0" w:beforeAutospacing="0" w:after="0" w:afterAutospacing="0"/>
        <w:ind w:left="0" w:firstLine="0"/>
        <w:contextualSpacing/>
      </w:pPr>
      <w:r>
        <w:t>Perform i</w:t>
      </w:r>
      <w:r w:rsidR="00707E2C" w:rsidRPr="00677B47">
        <w:t>nitial quality control</w:t>
      </w:r>
      <w:r>
        <w:t>.</w:t>
      </w:r>
      <w:r w:rsidR="00707E2C" w:rsidRPr="00677B47">
        <w:t xml:space="preserve"> Each frame of DCS data consists of a measured </w:t>
      </w:r>
      <w:r w:rsidR="00251AFD" w:rsidRPr="00677B47">
        <w:t xml:space="preserve">normalized </w:t>
      </w:r>
      <w:r w:rsidR="00707E2C" w:rsidRPr="00677B47">
        <w:t xml:space="preserve">intensity autocorrelation function, </w:t>
      </w:r>
      <m:oMath>
        <m:sSub>
          <m:sSubPr>
            <m:ctrlPr>
              <w:rPr>
                <w:rFonts w:ascii="Cambria Math" w:hAnsi="Cambria Math"/>
                <w:i/>
              </w:rPr>
            </m:ctrlPr>
          </m:sSubPr>
          <m:e>
            <m:r>
              <w:rPr>
                <w:rFonts w:ascii="Cambria Math" w:hAnsi="Cambria Math"/>
              </w:rPr>
              <m:t>g</m:t>
            </m:r>
          </m:e>
          <m:sub>
            <m:r>
              <w:rPr>
                <w:rFonts w:ascii="Cambria Math" w:hAnsi="Cambria Math"/>
              </w:rPr>
              <m:t>2</m:t>
            </m:r>
          </m:sub>
        </m:sSub>
        <m:d>
          <m:dPr>
            <m:ctrlPr>
              <w:rPr>
                <w:rFonts w:ascii="Cambria Math" w:hAnsi="Cambria Math"/>
                <w:i/>
              </w:rPr>
            </m:ctrlPr>
          </m:dPr>
          <m:e>
            <m:r>
              <w:rPr>
                <w:rFonts w:ascii="Cambria Math" w:hAnsi="Cambria Math"/>
              </w:rPr>
              <m:t>τ</m:t>
            </m:r>
          </m:e>
        </m:d>
      </m:oMath>
      <w:r w:rsidR="00707E2C" w:rsidRPr="00677B47">
        <w:t xml:space="preserve"> </w:t>
      </w:r>
      <w:r w:rsidR="007B1948" w:rsidRPr="007B1948">
        <w:t>(</w:t>
      </w:r>
      <w:r w:rsidR="00677B47" w:rsidRPr="00677B47">
        <w:rPr>
          <w:b/>
        </w:rPr>
        <w:t>Figure</w:t>
      </w:r>
      <w:r w:rsidR="00707E2C" w:rsidRPr="00677B47">
        <w:rPr>
          <w:b/>
        </w:rPr>
        <w:t xml:space="preserve"> 4A</w:t>
      </w:r>
      <w:r w:rsidR="007B1948" w:rsidRPr="007B1948">
        <w:t>)</w:t>
      </w:r>
      <w:r w:rsidR="00DB76BE" w:rsidRPr="00677B47">
        <w:rPr>
          <w:bCs/>
        </w:rPr>
        <w:t xml:space="preserve">, and photon count rate </w:t>
      </w:r>
      <w:r w:rsidR="007B1948" w:rsidRPr="007B1948">
        <w:t>(</w:t>
      </w:r>
      <w:r w:rsidR="00DB76BE" w:rsidRPr="00677B47">
        <w:rPr>
          <w:bCs/>
        </w:rPr>
        <w:t>kHz</w:t>
      </w:r>
      <w:r w:rsidR="007B1948" w:rsidRPr="007B1948">
        <w:t>)</w:t>
      </w:r>
      <w:r w:rsidR="00707E2C" w:rsidRPr="00677B47">
        <w:t xml:space="preserve">. </w:t>
      </w:r>
    </w:p>
    <w:p w14:paraId="2DE8C944" w14:textId="77777777" w:rsidR="00B47594" w:rsidRPr="00677B47" w:rsidRDefault="00B47594" w:rsidP="009B5312">
      <w:pPr>
        <w:pStyle w:val="NormalWeb"/>
        <w:spacing w:before="0" w:beforeAutospacing="0" w:after="0" w:afterAutospacing="0"/>
        <w:contextualSpacing/>
      </w:pPr>
    </w:p>
    <w:p w14:paraId="3647B02A" w14:textId="597F2627" w:rsidR="00707E2C" w:rsidRPr="00677B47" w:rsidRDefault="00707E2C" w:rsidP="009B5312">
      <w:pPr>
        <w:pStyle w:val="NormalWeb"/>
        <w:numPr>
          <w:ilvl w:val="3"/>
          <w:numId w:val="76"/>
        </w:numPr>
        <w:spacing w:before="0" w:beforeAutospacing="0" w:after="0" w:afterAutospacing="0"/>
        <w:ind w:left="0" w:firstLine="0"/>
        <w:contextualSpacing/>
      </w:pPr>
      <w:r w:rsidRPr="00677B47">
        <w:t xml:space="preserve">To remove data frames with significant motion artifact, </w:t>
      </w:r>
      <w:r w:rsidR="003B6E39" w:rsidRPr="00677B47">
        <w:t xml:space="preserve">discard </w:t>
      </w:r>
      <w:r w:rsidRPr="00677B47">
        <w:t xml:space="preserve">data frames for which the mean value of the tail of </w:t>
      </w:r>
      <w:r w:rsidR="000F4C38" w:rsidRPr="00677B47">
        <w:t xml:space="preserve">the </w:t>
      </w:r>
      <m:oMath>
        <m:sSub>
          <m:sSubPr>
            <m:ctrlPr>
              <w:rPr>
                <w:rFonts w:ascii="Cambria Math" w:hAnsi="Cambria Math"/>
                <w:i/>
              </w:rPr>
            </m:ctrlPr>
          </m:sSubPr>
          <m:e>
            <m:r>
              <w:rPr>
                <w:rFonts w:ascii="Cambria Math" w:hAnsi="Cambria Math"/>
              </w:rPr>
              <m:t>g</m:t>
            </m:r>
          </m:e>
          <m:sub>
            <m:r>
              <w:rPr>
                <w:rFonts w:ascii="Cambria Math" w:hAnsi="Cambria Math"/>
              </w:rPr>
              <m:t>2</m:t>
            </m:r>
          </m:sub>
        </m:sSub>
        <m:d>
          <m:dPr>
            <m:ctrlPr>
              <w:rPr>
                <w:rFonts w:ascii="Cambria Math" w:hAnsi="Cambria Math"/>
                <w:i/>
              </w:rPr>
            </m:ctrlPr>
          </m:dPr>
          <m:e>
            <m:r>
              <w:rPr>
                <w:rFonts w:ascii="Cambria Math" w:hAnsi="Cambria Math"/>
              </w:rPr>
              <m:t>τ</m:t>
            </m:r>
          </m:e>
        </m:d>
      </m:oMath>
      <w:r w:rsidRPr="00677B47">
        <w:t xml:space="preserve"> curve </w:t>
      </w:r>
      <w:r w:rsidR="007B1948" w:rsidRPr="007B1948">
        <w:t>(</w:t>
      </w:r>
      <w:r w:rsidRPr="00677B47">
        <w:t>i.e., g</w:t>
      </w:r>
      <w:r w:rsidRPr="00677B47">
        <w:rPr>
          <w:vertAlign w:val="subscript"/>
        </w:rPr>
        <w:t>2</w:t>
      </w:r>
      <w:r w:rsidR="007B1948" w:rsidRPr="007B1948">
        <w:t>(</w:t>
      </w:r>
      <m:oMath>
        <m:r>
          <w:rPr>
            <w:rFonts w:ascii="Cambria Math" w:hAnsi="Cambria Math"/>
          </w:rPr>
          <m:t>τ&gt;</m:t>
        </m:r>
      </m:oMath>
      <w:r w:rsidRPr="00677B47">
        <w:t>.018 s</w:t>
      </w:r>
      <w:r w:rsidR="007B1948" w:rsidRPr="007B1948">
        <w:t>))</w:t>
      </w:r>
      <w:r w:rsidRPr="00677B47">
        <w:t xml:space="preserve"> </w:t>
      </w:r>
      <w:r w:rsidR="005A0F9F" w:rsidRPr="00677B47">
        <w:t>is</w:t>
      </w:r>
      <w:r w:rsidRPr="00677B47">
        <w:t xml:space="preserve"> </w:t>
      </w:r>
      <w:r w:rsidR="005A0F9F" w:rsidRPr="00677B47">
        <w:t>&gt; 1</w:t>
      </w:r>
      <w:r w:rsidRPr="00677B47">
        <w:t xml:space="preserve">.005. </w:t>
      </w:r>
    </w:p>
    <w:p w14:paraId="038C0CC7" w14:textId="77777777" w:rsidR="00B47594" w:rsidRPr="00677B47" w:rsidRDefault="00B47594" w:rsidP="009B5312">
      <w:pPr>
        <w:pStyle w:val="NormalWeb"/>
        <w:spacing w:before="0" w:beforeAutospacing="0" w:after="0" w:afterAutospacing="0"/>
        <w:contextualSpacing/>
      </w:pPr>
    </w:p>
    <w:p w14:paraId="773E1DC9" w14:textId="4673833C" w:rsidR="00707E2C" w:rsidRPr="00677B47" w:rsidRDefault="00707E2C" w:rsidP="009B5312">
      <w:pPr>
        <w:pStyle w:val="NormalWeb"/>
        <w:numPr>
          <w:ilvl w:val="3"/>
          <w:numId w:val="76"/>
        </w:numPr>
        <w:spacing w:before="0" w:beforeAutospacing="0" w:after="0" w:afterAutospacing="0"/>
        <w:ind w:left="0" w:firstLine="0"/>
        <w:contextualSpacing/>
      </w:pPr>
      <w:r w:rsidRPr="00677B47">
        <w:t>To remove</w:t>
      </w:r>
      <w:r w:rsidR="002221E8" w:rsidRPr="00677B47">
        <w:t xml:space="preserve"> data</w:t>
      </w:r>
      <w:r w:rsidRPr="00677B47">
        <w:t xml:space="preserve"> frames with poor signal-to-noise ratio, </w:t>
      </w:r>
      <w:r w:rsidR="003B6E39" w:rsidRPr="00677B47">
        <w:t xml:space="preserve">discard </w:t>
      </w:r>
      <w:r w:rsidRPr="00677B47">
        <w:t xml:space="preserve">data </w:t>
      </w:r>
      <w:r w:rsidR="002221E8" w:rsidRPr="00677B47">
        <w:t xml:space="preserve">frames </w:t>
      </w:r>
      <w:r w:rsidRPr="00677B47">
        <w:t xml:space="preserve">if the detected </w:t>
      </w:r>
      <w:r w:rsidR="00210159" w:rsidRPr="00677B47">
        <w:t xml:space="preserve">photon count rate </w:t>
      </w:r>
      <w:r w:rsidRPr="00677B47">
        <w:t xml:space="preserve">is &lt; 20 kHz. </w:t>
      </w:r>
    </w:p>
    <w:p w14:paraId="14132E18" w14:textId="77777777" w:rsidR="00B47594" w:rsidRPr="00677B47" w:rsidRDefault="00B47594" w:rsidP="009B5312">
      <w:pPr>
        <w:pStyle w:val="NormalWeb"/>
        <w:spacing w:before="0" w:beforeAutospacing="0" w:after="0" w:afterAutospacing="0"/>
        <w:contextualSpacing/>
      </w:pPr>
    </w:p>
    <w:p w14:paraId="38BF7D5C" w14:textId="2C9CA10F" w:rsidR="0016223B" w:rsidRPr="00677B47" w:rsidRDefault="0016223B" w:rsidP="009B5312">
      <w:pPr>
        <w:pStyle w:val="NormalWeb"/>
        <w:numPr>
          <w:ilvl w:val="2"/>
          <w:numId w:val="76"/>
        </w:numPr>
        <w:spacing w:before="0" w:beforeAutospacing="0" w:after="0" w:afterAutospacing="0"/>
        <w:ind w:left="0" w:firstLine="0"/>
        <w:contextualSpacing/>
      </w:pPr>
      <w:r w:rsidRPr="00677B47">
        <w:t>Extract cerebral blood flow index</w:t>
      </w:r>
      <w:r w:rsidR="006A7F3C">
        <w:t>.</w:t>
      </w:r>
      <w:r w:rsidRPr="00677B47">
        <w:t xml:space="preserve"> Using </w:t>
      </w:r>
      <w:r w:rsidRPr="00677B47">
        <w:rPr>
          <w:i/>
        </w:rPr>
        <w:t>fminsearch</w:t>
      </w:r>
      <w:r w:rsidRPr="00677B47">
        <w:t xml:space="preserve"> in Matla</w:t>
      </w:r>
      <w:r w:rsidR="00173D80" w:rsidRPr="00677B47">
        <w:t>b</w:t>
      </w:r>
      <w:r w:rsidRPr="00677B47">
        <w:t>, fit each i</w:t>
      </w:r>
      <w:r w:rsidRPr="00677B47">
        <w:rPr>
          <w:vertAlign w:val="superscript"/>
        </w:rPr>
        <w:t>th</w:t>
      </w:r>
      <w:r w:rsidRPr="00677B47">
        <w:t xml:space="preserve"> measured data frame </w:t>
      </w:r>
      <w:r w:rsidR="007B1948" w:rsidRPr="007B1948">
        <w:t>(</w:t>
      </w:r>
      <m:oMath>
        <m:sSub>
          <m:sSubPr>
            <m:ctrlPr>
              <w:rPr>
                <w:rFonts w:ascii="Cambria Math" w:hAnsi="Cambria Math"/>
                <w:i/>
              </w:rPr>
            </m:ctrlPr>
          </m:sSubPr>
          <m:e>
            <m:r>
              <w:rPr>
                <w:rFonts w:ascii="Cambria Math" w:hAnsi="Cambria Math"/>
              </w:rPr>
              <m:t>g</m:t>
            </m:r>
          </m:e>
          <m:sub>
            <m:r>
              <w:rPr>
                <w:rFonts w:ascii="Cambria Math" w:hAnsi="Cambria Math"/>
              </w:rPr>
              <m:t>2,meas i</m:t>
            </m:r>
          </m:sub>
        </m:sSub>
        <m:d>
          <m:dPr>
            <m:ctrlPr>
              <w:rPr>
                <w:rFonts w:ascii="Cambria Math" w:hAnsi="Cambria Math"/>
                <w:i/>
              </w:rPr>
            </m:ctrlPr>
          </m:dPr>
          <m:e>
            <m:r>
              <w:rPr>
                <w:rFonts w:ascii="Cambria Math" w:hAnsi="Cambria Math"/>
              </w:rPr>
              <m:t>τ</m:t>
            </m:r>
          </m:e>
        </m:d>
      </m:oMath>
      <w:r w:rsidR="007B1948" w:rsidRPr="007B1948">
        <w:t>)</w:t>
      </w:r>
      <w:r w:rsidRPr="00677B47">
        <w:t xml:space="preserve"> for CBF</w:t>
      </w:r>
      <w:r w:rsidRPr="00677B47">
        <w:rPr>
          <w:vertAlign w:val="subscript"/>
        </w:rPr>
        <w:t>i</w:t>
      </w:r>
      <w:r w:rsidR="007B1948" w:rsidRPr="007B1948">
        <w:t>(</w:t>
      </w:r>
      <w:r w:rsidRPr="00677B47">
        <w:t>i</w:t>
      </w:r>
      <w:r w:rsidR="007B1948" w:rsidRPr="007B1948">
        <w:t>)</w:t>
      </w:r>
      <w:r w:rsidRPr="00677B47">
        <w:t xml:space="preserve">. </w:t>
      </w:r>
      <w:r w:rsidR="006A7F3C">
        <w:t>R</w:t>
      </w:r>
      <w:r w:rsidRPr="00677B47">
        <w:t xml:space="preserve">estrict fits to </w:t>
      </w:r>
      <m:oMath>
        <m:sSub>
          <m:sSubPr>
            <m:ctrlPr>
              <w:rPr>
                <w:rFonts w:ascii="Cambria Math" w:hAnsi="Cambria Math"/>
                <w:i/>
              </w:rPr>
            </m:ctrlPr>
          </m:sSubPr>
          <m:e>
            <m:r>
              <w:rPr>
                <w:rFonts w:ascii="Cambria Math" w:hAnsi="Cambria Math"/>
              </w:rPr>
              <m:t>g</m:t>
            </m:r>
          </m:e>
          <m:sub>
            <m:r>
              <w:rPr>
                <w:rFonts w:ascii="Cambria Math" w:hAnsi="Cambria Math"/>
              </w:rPr>
              <m:t>2,meas i</m:t>
            </m:r>
          </m:sub>
        </m:sSub>
        <m:d>
          <m:dPr>
            <m:ctrlPr>
              <w:rPr>
                <w:rFonts w:ascii="Cambria Math" w:hAnsi="Cambria Math"/>
                <w:i/>
              </w:rPr>
            </m:ctrlPr>
          </m:dPr>
          <m:e>
            <m:r>
              <w:rPr>
                <w:rFonts w:ascii="Cambria Math" w:hAnsi="Cambria Math"/>
              </w:rPr>
              <m:t>τ</m:t>
            </m:r>
          </m:e>
        </m:d>
      </m:oMath>
      <w:r w:rsidRPr="00677B47">
        <w:t xml:space="preserve">&gt;1.05, and </w:t>
      </w:r>
      <w:r w:rsidR="00D64A87" w:rsidRPr="00677B47">
        <w:t>find the value of CBF</w:t>
      </w:r>
      <w:r w:rsidR="00D64A87" w:rsidRPr="00677B47">
        <w:rPr>
          <w:vertAlign w:val="subscript"/>
        </w:rPr>
        <w:t>i</w:t>
      </w:r>
      <w:r w:rsidR="00D64A87" w:rsidRPr="00677B47">
        <w:t xml:space="preserve"> that </w:t>
      </w:r>
      <w:r w:rsidRPr="00677B47">
        <w:lastRenderedPageBreak/>
        <w:t>minimize</w:t>
      </w:r>
      <w:r w:rsidR="00D64A87" w:rsidRPr="00677B47">
        <w:t>s</w:t>
      </w:r>
      <w:r w:rsidRPr="00677B47">
        <w:t xml:space="preserve"> the following cost function:</w:t>
      </w:r>
    </w:p>
    <w:p w14:paraId="25390ECF" w14:textId="765AE3F7" w:rsidR="0016223B" w:rsidRPr="00677B47" w:rsidRDefault="00981AEE" w:rsidP="009B5312">
      <w:pPr>
        <w:pStyle w:val="NormalWeb"/>
        <w:spacing w:before="0" w:beforeAutospacing="0" w:after="0" w:afterAutospacing="0"/>
        <w:contextualSpacing/>
      </w:pPr>
      <w:r w:rsidRPr="00677B47">
        <w:t xml:space="preserve"> </w:t>
      </w:r>
      <m:oMath>
        <m:sSup>
          <m:sSupPr>
            <m:ctrlPr>
              <w:rPr>
                <w:rFonts w:ascii="Cambria Math" w:hAnsi="Cambria Math"/>
                <w:i/>
              </w:rPr>
            </m:ctrlPr>
          </m:sSupPr>
          <m:e>
            <m:r>
              <w:rPr>
                <w:rFonts w:ascii="Cambria Math" w:hAnsi="Cambria Math"/>
              </w:rPr>
              <m:t>χ</m:t>
            </m:r>
          </m:e>
          <m:sup>
            <m:r>
              <w:rPr>
                <w:rFonts w:ascii="Cambria Math" w:hAnsi="Cambria Math"/>
              </w:rPr>
              <m:t>2</m:t>
            </m:r>
          </m:sup>
        </m:sSup>
        <m:r>
          <w:rPr>
            <w:rFonts w:ascii="Cambria Math" w:hAnsi="Cambria Math"/>
          </w:rPr>
          <m:t>=</m:t>
        </m:r>
        <m:nary>
          <m:naryPr>
            <m:chr m:val="∑"/>
            <m:limLoc m:val="undOvr"/>
            <m:supHide m:val="1"/>
            <m:ctrlPr>
              <w:rPr>
                <w:rFonts w:ascii="Cambria Math" w:hAnsi="Cambria Math"/>
                <w:i/>
              </w:rPr>
            </m:ctrlPr>
          </m:naryPr>
          <m:sub>
            <m:r>
              <w:rPr>
                <w:rFonts w:ascii="Cambria Math" w:hAnsi="Cambria Math"/>
              </w:rPr>
              <m:t>j</m:t>
            </m:r>
          </m:sub>
          <m:sup/>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2,meas i</m:t>
                        </m:r>
                      </m:sub>
                    </m:sSub>
                    <m:d>
                      <m:dPr>
                        <m:ctrlPr>
                          <w:rPr>
                            <w:rFonts w:ascii="Cambria Math" w:hAnsi="Cambria Math"/>
                            <w:i/>
                          </w:rPr>
                        </m:ctrlPr>
                      </m:dPr>
                      <m:e>
                        <m:sSub>
                          <m:sSubPr>
                            <m:ctrlPr>
                              <w:rPr>
                                <w:rFonts w:ascii="Cambria Math" w:hAnsi="Cambria Math"/>
                                <w:i/>
                              </w:rPr>
                            </m:ctrlPr>
                          </m:sSubPr>
                          <m:e>
                            <m:r>
                              <w:rPr>
                                <w:rFonts w:ascii="Cambria Math" w:hAnsi="Cambria Math"/>
                              </w:rPr>
                              <m:t>τ</m:t>
                            </m:r>
                          </m:e>
                          <m:sub>
                            <m:r>
                              <w:rPr>
                                <w:rFonts w:ascii="Cambria Math" w:hAnsi="Cambria Math"/>
                              </w:rPr>
                              <m:t>j</m:t>
                            </m:r>
                          </m:sub>
                        </m:sSub>
                      </m:e>
                    </m:d>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2</m:t>
                        </m:r>
                      </m:sub>
                    </m:sSub>
                    <m:sSub>
                      <m:sSubPr>
                        <m:ctrlPr>
                          <w:rPr>
                            <w:rFonts w:ascii="Cambria Math" w:hAnsi="Cambria Math"/>
                            <w:i/>
                          </w:rPr>
                        </m:ctrlPr>
                      </m:sSubPr>
                      <m:e>
                        <m:r>
                          <w:rPr>
                            <w:rFonts w:ascii="Cambria Math" w:hAnsi="Cambria Math"/>
                          </w:rPr>
                          <m:t>,</m:t>
                        </m:r>
                      </m:e>
                      <m:sub>
                        <m:r>
                          <w:rPr>
                            <w:rFonts w:ascii="Cambria Math" w:hAnsi="Cambria Math"/>
                          </w:rPr>
                          <m:t>fit</m:t>
                        </m:r>
                      </m:sub>
                    </m:sSub>
                    <m:d>
                      <m:dPr>
                        <m:ctrlPr>
                          <w:rPr>
                            <w:rFonts w:ascii="Cambria Math" w:hAnsi="Cambria Math"/>
                            <w:i/>
                          </w:rPr>
                        </m:ctrlPr>
                      </m:dPr>
                      <m:e>
                        <m:sSub>
                          <m:sSubPr>
                            <m:ctrlPr>
                              <w:rPr>
                                <w:rFonts w:ascii="Cambria Math" w:hAnsi="Cambria Math"/>
                                <w:i/>
                              </w:rPr>
                            </m:ctrlPr>
                          </m:sSubPr>
                          <m:e>
                            <m:r>
                              <w:rPr>
                                <w:rFonts w:ascii="Cambria Math" w:hAnsi="Cambria Math"/>
                              </w:rPr>
                              <m:t>τ</m:t>
                            </m:r>
                          </m:e>
                          <m:sub>
                            <m:r>
                              <w:rPr>
                                <w:rFonts w:ascii="Cambria Math" w:hAnsi="Cambria Math"/>
                              </w:rPr>
                              <m:t>j</m:t>
                            </m:r>
                          </m:sub>
                        </m:sSub>
                      </m:e>
                    </m:d>
                  </m:e>
                </m:d>
              </m:e>
              <m:sup>
                <m:r>
                  <w:rPr>
                    <w:rFonts w:ascii="Cambria Math" w:hAnsi="Cambria Math"/>
                  </w:rPr>
                  <m:t>2</m:t>
                </m:r>
              </m:sup>
            </m:sSup>
          </m:e>
        </m:nary>
        <m:r>
          <w:rPr>
            <w:rFonts w:ascii="Cambria Math" w:hAnsi="Cambria Math"/>
          </w:rPr>
          <m:t xml:space="preserve"> </m:t>
        </m:r>
      </m:oMath>
      <w:r w:rsidR="0016223B" w:rsidRPr="00677B47">
        <w:t>,</w:t>
      </w:r>
      <w:r w:rsidRPr="00677B47">
        <w:t xml:space="preserve"> </w:t>
      </w:r>
      <w:r w:rsidR="007B1948" w:rsidRPr="007B1948">
        <w:t>(</w:t>
      </w:r>
      <w:r w:rsidR="00D4776A" w:rsidRPr="00677B47">
        <w:t>1</w:t>
      </w:r>
      <w:r w:rsidR="007B1948" w:rsidRPr="007B1948">
        <w:t>)</w:t>
      </w:r>
    </w:p>
    <w:p w14:paraId="18F9F39E" w14:textId="54941388" w:rsidR="0016223B" w:rsidRPr="00677B47" w:rsidRDefault="00637FAD" w:rsidP="009B5312">
      <w:pPr>
        <w:pStyle w:val="NormalWeb"/>
        <w:spacing w:before="0" w:beforeAutospacing="0" w:after="0" w:afterAutospacing="0"/>
        <w:contextualSpacing/>
      </w:pPr>
      <w:r w:rsidRPr="00677B47">
        <w:t>W</w:t>
      </w:r>
      <w:r w:rsidR="0016223B" w:rsidRPr="00677B47">
        <w:t>here</w:t>
      </w:r>
      <w:r w:rsidRPr="00677B47">
        <w:t xml:space="preserve"> the sum is over all measured delay times, </w:t>
      </w:r>
      <w:r w:rsidRPr="00677B47">
        <w:sym w:font="Symbol" w:char="F074"/>
      </w:r>
      <w:r w:rsidRPr="00677B47">
        <w:rPr>
          <w:vertAlign w:val="subscript"/>
        </w:rPr>
        <w:t>j</w:t>
      </w:r>
      <w:r w:rsidRPr="00677B47">
        <w:t>, and</w:t>
      </w:r>
      <w:r w:rsidR="0016223B" w:rsidRPr="00677B47">
        <w:t xml:space="preserve"> </w:t>
      </w:r>
      <m:oMath>
        <m:sSub>
          <m:sSubPr>
            <m:ctrlPr>
              <w:rPr>
                <w:rFonts w:ascii="Cambria Math" w:hAnsi="Cambria Math"/>
                <w:i/>
              </w:rPr>
            </m:ctrlPr>
          </m:sSubPr>
          <m:e>
            <m:r>
              <w:rPr>
                <w:rFonts w:ascii="Cambria Math" w:hAnsi="Cambria Math"/>
              </w:rPr>
              <m:t>g</m:t>
            </m:r>
          </m:e>
          <m:sub>
            <m:r>
              <w:rPr>
                <w:rFonts w:ascii="Cambria Math" w:hAnsi="Cambria Math"/>
              </w:rPr>
              <m:t>2,fit</m:t>
            </m:r>
          </m:sub>
        </m:sSub>
        <m:r>
          <w:rPr>
            <w:rFonts w:ascii="Cambria Math" w:hAnsi="Cambria Math"/>
          </w:rPr>
          <m:t>(</m:t>
        </m:r>
        <m:r>
          <w:rPr>
            <w:rFonts w:ascii="Cambria Math" w:hAnsi="Cambria Math"/>
          </w:rPr>
          <m:t>τ</m:t>
        </m:r>
        <m:r>
          <w:rPr>
            <w:rFonts w:ascii="Cambria Math" w:hAnsi="Cambria Math"/>
          </w:rPr>
          <m:t>)</m:t>
        </m:r>
      </m:oMath>
      <w:r w:rsidR="0016223B" w:rsidRPr="00677B47">
        <w:t xml:space="preserve"> is the semi-infinite homogeneous solution of the correlation diffusion equation </w:t>
      </w:r>
      <w:r w:rsidR="007B1948" w:rsidRPr="007B1948">
        <w:t>(</w:t>
      </w:r>
      <w:r w:rsidR="00677B47" w:rsidRPr="00677B47">
        <w:rPr>
          <w:b/>
        </w:rPr>
        <w:t>Figure</w:t>
      </w:r>
      <w:r w:rsidR="0016223B" w:rsidRPr="00677B47">
        <w:rPr>
          <w:b/>
        </w:rPr>
        <w:t xml:space="preserve"> 4B</w:t>
      </w:r>
      <w:r w:rsidR="007B1948" w:rsidRPr="007B1948">
        <w:t>)</w:t>
      </w:r>
      <w:r w:rsidR="0016223B" w:rsidRPr="00677B47">
        <w:t xml:space="preserve">: </w:t>
      </w:r>
    </w:p>
    <w:p w14:paraId="4803B4C3" w14:textId="4D2EB14F" w:rsidR="0016223B" w:rsidRPr="00677B47" w:rsidRDefault="00E6296A" w:rsidP="009B5312">
      <w:pPr>
        <w:pStyle w:val="NormalWeb"/>
        <w:spacing w:before="0" w:beforeAutospacing="0" w:after="0" w:afterAutospacing="0"/>
        <w:contextualSpacing/>
        <w:jc w:val="center"/>
      </w:pPr>
      <m:oMath>
        <m:sSub>
          <m:sSubPr>
            <m:ctrlPr>
              <w:rPr>
                <w:rFonts w:ascii="Cambria Math" w:hAnsi="Cambria Math"/>
                <w:i/>
              </w:rPr>
            </m:ctrlPr>
          </m:sSubPr>
          <m:e>
            <m:r>
              <w:rPr>
                <w:rFonts w:ascii="Cambria Math" w:hAnsi="Cambria Math"/>
              </w:rPr>
              <m:t>g</m:t>
            </m:r>
          </m:e>
          <m:sub>
            <m:r>
              <w:rPr>
                <w:rFonts w:ascii="Cambria Math" w:hAnsi="Cambria Math"/>
              </w:rPr>
              <m:t>2,fit</m:t>
            </m:r>
          </m:sub>
        </m:sSub>
        <m:d>
          <m:dPr>
            <m:ctrlPr>
              <w:rPr>
                <w:rFonts w:ascii="Cambria Math" w:hAnsi="Cambria Math"/>
              </w:rPr>
            </m:ctrlPr>
          </m:dPr>
          <m:e>
            <m:r>
              <w:rPr>
                <w:rFonts w:ascii="Cambria Math" w:hAnsi="Cambria Math"/>
              </w:rPr>
              <m:t>τ</m:t>
            </m:r>
            <m:ctrlPr>
              <w:rPr>
                <w:rFonts w:ascii="Cambria Math" w:hAnsi="Cambria Math"/>
                <w:i/>
              </w:rPr>
            </m:ctrlPr>
          </m:e>
        </m:d>
        <m:r>
          <m:rPr>
            <m:sty m:val="p"/>
          </m:rPr>
          <w:rPr>
            <w:rFonts w:ascii="Cambria Math" w:hAnsi="Cambria Math"/>
          </w:rPr>
          <m:t>= 1+β</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hAnsi="Cambria Math"/>
                              </w:rPr>
                              <m:t>-K</m:t>
                            </m:r>
                            <m:d>
                              <m:dPr>
                                <m:ctrlPr>
                                  <w:rPr>
                                    <w:rFonts w:ascii="Cambria Math" w:hAnsi="Cambria Math"/>
                                    <w:i/>
                                  </w:rPr>
                                </m:ctrlPr>
                              </m:dPr>
                              <m:e>
                                <m:r>
                                  <w:rPr>
                                    <w:rFonts w:ascii="Cambria Math" w:hAnsi="Cambria Math"/>
                                  </w:rPr>
                                  <m:t>τ</m:t>
                                </m:r>
                              </m:e>
                            </m:d>
                            <m:sSub>
                              <m:sSubPr>
                                <m:ctrlPr>
                                  <w:rPr>
                                    <w:rFonts w:ascii="Cambria Math" w:hAnsi="Cambria Math"/>
                                    <w:i/>
                                  </w:rPr>
                                </m:ctrlPr>
                              </m:sSubPr>
                              <m:e>
                                <m:r>
                                  <w:rPr>
                                    <w:rFonts w:ascii="Cambria Math" w:hAnsi="Cambria Math"/>
                                  </w:rPr>
                                  <m:t>r</m:t>
                                </m:r>
                              </m:e>
                              <m:sub>
                                <m:r>
                                  <w:rPr>
                                    <w:rFonts w:ascii="Cambria Math" w:hAnsi="Cambria Math"/>
                                  </w:rPr>
                                  <m:t>1</m:t>
                                </m:r>
                              </m:sub>
                            </m:sSub>
                          </m:sup>
                        </m:sSup>
                      </m:num>
                      <m:den>
                        <m:sSub>
                          <m:sSubPr>
                            <m:ctrlPr>
                              <w:rPr>
                                <w:rFonts w:ascii="Cambria Math" w:hAnsi="Cambria Math"/>
                                <w:i/>
                              </w:rPr>
                            </m:ctrlPr>
                          </m:sSubPr>
                          <m:e>
                            <m:r>
                              <w:rPr>
                                <w:rFonts w:ascii="Cambria Math" w:hAnsi="Cambria Math"/>
                              </w:rPr>
                              <m:t>r</m:t>
                            </m:r>
                          </m:e>
                          <m:sub>
                            <m:r>
                              <w:rPr>
                                <w:rFonts w:ascii="Cambria Math" w:hAnsi="Cambria Math"/>
                              </w:rPr>
                              <m:t>1</m:t>
                            </m:r>
                          </m:sub>
                        </m:sSub>
                      </m:den>
                    </m:f>
                    <m:r>
                      <w:rPr>
                        <w:rFonts w:ascii="Cambria Math" w:hAnsi="Cambria Math"/>
                      </w:rPr>
                      <m:t xml:space="preserve"> - </m:t>
                    </m:r>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hAnsi="Cambria Math"/>
                              </w:rPr>
                              <m:t>-K</m:t>
                            </m:r>
                            <m:d>
                              <m:dPr>
                                <m:ctrlPr>
                                  <w:rPr>
                                    <w:rFonts w:ascii="Cambria Math" w:hAnsi="Cambria Math"/>
                                    <w:i/>
                                  </w:rPr>
                                </m:ctrlPr>
                              </m:dPr>
                              <m:e>
                                <m:r>
                                  <w:rPr>
                                    <w:rFonts w:ascii="Cambria Math" w:hAnsi="Cambria Math"/>
                                  </w:rPr>
                                  <m:t>τ</m:t>
                                </m:r>
                              </m:e>
                            </m:d>
                            <m:sSub>
                              <m:sSubPr>
                                <m:ctrlPr>
                                  <w:rPr>
                                    <w:rFonts w:ascii="Cambria Math" w:hAnsi="Cambria Math"/>
                                    <w:i/>
                                  </w:rPr>
                                </m:ctrlPr>
                              </m:sSubPr>
                              <m:e>
                                <m:r>
                                  <w:rPr>
                                    <w:rFonts w:ascii="Cambria Math" w:hAnsi="Cambria Math"/>
                                  </w:rPr>
                                  <m:t>r</m:t>
                                </m:r>
                              </m:e>
                              <m:sub>
                                <m:r>
                                  <w:rPr>
                                    <w:rFonts w:ascii="Cambria Math" w:hAnsi="Cambria Math"/>
                                  </w:rPr>
                                  <m:t>2</m:t>
                                </m:r>
                              </m:sub>
                            </m:sSub>
                          </m:sup>
                        </m:sSup>
                      </m:num>
                      <m:den>
                        <m:sSub>
                          <m:sSubPr>
                            <m:ctrlPr>
                              <w:rPr>
                                <w:rFonts w:ascii="Cambria Math" w:hAnsi="Cambria Math"/>
                                <w:i/>
                              </w:rPr>
                            </m:ctrlPr>
                          </m:sSubPr>
                          <m:e>
                            <m:r>
                              <w:rPr>
                                <w:rFonts w:ascii="Cambria Math" w:hAnsi="Cambria Math"/>
                              </w:rPr>
                              <m:t>r</m:t>
                            </m:r>
                          </m:e>
                          <m:sub>
                            <m:r>
                              <w:rPr>
                                <w:rFonts w:ascii="Cambria Math" w:hAnsi="Cambria Math"/>
                              </w:rPr>
                              <m:t>2</m:t>
                            </m:r>
                          </m:sub>
                        </m:sSub>
                      </m:den>
                    </m:f>
                    <m:r>
                      <w:rPr>
                        <w:rFonts w:ascii="Cambria Math" w:hAnsi="Cambria Math"/>
                      </w:rPr>
                      <m:t xml:space="preserve"> </m:t>
                    </m:r>
                  </m:num>
                  <m:den>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hAnsi="Cambria Math"/>
                              </w:rPr>
                              <m:t>-K</m:t>
                            </m:r>
                            <m:d>
                              <m:dPr>
                                <m:ctrlPr>
                                  <w:rPr>
                                    <w:rFonts w:ascii="Cambria Math" w:hAnsi="Cambria Math"/>
                                    <w:i/>
                                  </w:rPr>
                                </m:ctrlPr>
                              </m:dPr>
                              <m:e>
                                <m:r>
                                  <w:rPr>
                                    <w:rFonts w:ascii="Cambria Math" w:hAnsi="Cambria Math"/>
                                  </w:rPr>
                                  <m:t>0</m:t>
                                </m:r>
                              </m:e>
                            </m:d>
                            <m:sSub>
                              <m:sSubPr>
                                <m:ctrlPr>
                                  <w:rPr>
                                    <w:rFonts w:ascii="Cambria Math" w:hAnsi="Cambria Math"/>
                                    <w:i/>
                                  </w:rPr>
                                </m:ctrlPr>
                              </m:sSubPr>
                              <m:e>
                                <m:r>
                                  <w:rPr>
                                    <w:rFonts w:ascii="Cambria Math" w:hAnsi="Cambria Math"/>
                                  </w:rPr>
                                  <m:t>r</m:t>
                                </m:r>
                              </m:e>
                              <m:sub>
                                <m:r>
                                  <w:rPr>
                                    <w:rFonts w:ascii="Cambria Math" w:hAnsi="Cambria Math"/>
                                  </w:rPr>
                                  <m:t>1</m:t>
                                </m:r>
                              </m:sub>
                            </m:sSub>
                          </m:sup>
                        </m:sSup>
                      </m:num>
                      <m:den>
                        <m:sSub>
                          <m:sSubPr>
                            <m:ctrlPr>
                              <w:rPr>
                                <w:rFonts w:ascii="Cambria Math" w:hAnsi="Cambria Math"/>
                                <w:i/>
                              </w:rPr>
                            </m:ctrlPr>
                          </m:sSubPr>
                          <m:e>
                            <m:r>
                              <w:rPr>
                                <w:rFonts w:ascii="Cambria Math" w:hAnsi="Cambria Math"/>
                              </w:rPr>
                              <m:t>r</m:t>
                            </m:r>
                          </m:e>
                          <m:sub>
                            <m:r>
                              <w:rPr>
                                <w:rFonts w:ascii="Cambria Math" w:hAnsi="Cambria Math"/>
                              </w:rPr>
                              <m:t>1</m:t>
                            </m:r>
                          </m:sub>
                        </m:sSub>
                      </m:den>
                    </m:f>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hAnsi="Cambria Math"/>
                              </w:rPr>
                              <m:t>-K</m:t>
                            </m:r>
                            <m:d>
                              <m:dPr>
                                <m:ctrlPr>
                                  <w:rPr>
                                    <w:rFonts w:ascii="Cambria Math" w:hAnsi="Cambria Math"/>
                                    <w:i/>
                                  </w:rPr>
                                </m:ctrlPr>
                              </m:dPr>
                              <m:e>
                                <m:r>
                                  <w:rPr>
                                    <w:rFonts w:ascii="Cambria Math" w:hAnsi="Cambria Math"/>
                                  </w:rPr>
                                  <m:t>0</m:t>
                                </m:r>
                              </m:e>
                            </m:d>
                            <m:sSub>
                              <m:sSubPr>
                                <m:ctrlPr>
                                  <w:rPr>
                                    <w:rFonts w:ascii="Cambria Math" w:hAnsi="Cambria Math"/>
                                    <w:i/>
                                  </w:rPr>
                                </m:ctrlPr>
                              </m:sSubPr>
                              <m:e>
                                <m:r>
                                  <w:rPr>
                                    <w:rFonts w:ascii="Cambria Math" w:hAnsi="Cambria Math"/>
                                  </w:rPr>
                                  <m:t>r</m:t>
                                </m:r>
                              </m:e>
                              <m:sub>
                                <m:r>
                                  <w:rPr>
                                    <w:rFonts w:ascii="Cambria Math" w:hAnsi="Cambria Math"/>
                                  </w:rPr>
                                  <m:t>2</m:t>
                                </m:r>
                              </m:sub>
                            </m:sSub>
                          </m:sup>
                        </m:sSup>
                      </m:num>
                      <m:den>
                        <m:sSub>
                          <m:sSubPr>
                            <m:ctrlPr>
                              <w:rPr>
                                <w:rFonts w:ascii="Cambria Math" w:hAnsi="Cambria Math"/>
                                <w:i/>
                              </w:rPr>
                            </m:ctrlPr>
                          </m:sSubPr>
                          <m:e>
                            <m:r>
                              <w:rPr>
                                <w:rFonts w:ascii="Cambria Math" w:hAnsi="Cambria Math"/>
                              </w:rPr>
                              <m:t>r</m:t>
                            </m:r>
                          </m:e>
                          <m:sub>
                            <m:r>
                              <w:rPr>
                                <w:rFonts w:ascii="Cambria Math" w:hAnsi="Cambria Math"/>
                              </w:rPr>
                              <m:t>2</m:t>
                            </m:r>
                          </m:sub>
                        </m:sSub>
                      </m:den>
                    </m:f>
                  </m:den>
                </m:f>
              </m:e>
            </m:d>
          </m:e>
          <m:sup>
            <m:r>
              <w:rPr>
                <w:rFonts w:ascii="Cambria Math" w:hAnsi="Cambria Math"/>
              </w:rPr>
              <m:t>2</m:t>
            </m:r>
          </m:sup>
        </m:sSup>
      </m:oMath>
      <w:r w:rsidR="00637FAD" w:rsidRPr="00677B47">
        <w:t>.</w:t>
      </w:r>
      <w:r w:rsidR="00981AEE" w:rsidRPr="00677B47">
        <w:t xml:space="preserve"> </w:t>
      </w:r>
      <w:r w:rsidR="007B1948" w:rsidRPr="007B1948">
        <w:t>(</w:t>
      </w:r>
      <w:r w:rsidR="00D4776A" w:rsidRPr="00677B47">
        <w:t>2</w:t>
      </w:r>
      <w:r w:rsidR="007B1948" w:rsidRPr="007B1948">
        <w:t>)</w:t>
      </w:r>
    </w:p>
    <w:p w14:paraId="513A77CD" w14:textId="3C816079" w:rsidR="0016223B" w:rsidRDefault="00637FAD" w:rsidP="009B5312">
      <w:pPr>
        <w:pStyle w:val="NormalWeb"/>
        <w:spacing w:before="0" w:beforeAutospacing="0" w:after="0" w:afterAutospacing="0"/>
        <w:contextualSpacing/>
      </w:pPr>
      <w:r w:rsidRPr="00677B47">
        <w:t xml:space="preserve">Here </w:t>
      </w:r>
      <w:r w:rsidR="0016223B" w:rsidRPr="00677B47">
        <w:t xml:space="preserve">β is a coherence factor determined by the experimental set up, </w:t>
      </w:r>
      <m:oMath>
        <m:r>
          <m:rPr>
            <m:sty m:val="p"/>
          </m:rPr>
          <w:rPr>
            <w:rFonts w:ascii="Cambria Math" w:hAnsi="Cambria Math"/>
          </w:rPr>
          <m:t>Κ</m:t>
        </m:r>
        <m:d>
          <m:dPr>
            <m:ctrlPr>
              <w:rPr>
                <w:rFonts w:ascii="Cambria Math" w:hAnsi="Cambria Math"/>
                <w:i/>
              </w:rPr>
            </m:ctrlPr>
          </m:dPr>
          <m:e>
            <m:r>
              <w:rPr>
                <w:rFonts w:ascii="Cambria Math" w:hAnsi="Cambria Math"/>
              </w:rPr>
              <m:t>τ</m:t>
            </m:r>
          </m:e>
        </m:d>
        <m:r>
          <w:rPr>
            <w:rFonts w:ascii="Cambria Math" w:hAnsi="Cambria Math"/>
          </w:rPr>
          <m:t>=</m:t>
        </m:r>
        <m:rad>
          <m:radPr>
            <m:degHide m:val="1"/>
            <m:ctrlPr>
              <w:rPr>
                <w:rFonts w:ascii="Cambria Math" w:hAnsi="Cambria Math"/>
                <w:i/>
              </w:rPr>
            </m:ctrlPr>
          </m:radPr>
          <m:deg/>
          <m:e>
            <m:d>
              <m:dPr>
                <m:ctrlPr>
                  <w:rPr>
                    <w:rFonts w:ascii="Cambria Math" w:hAnsi="Cambria Math"/>
                    <w:i/>
                  </w:rPr>
                </m:ctrlPr>
              </m:dPr>
              <m:e>
                <m:r>
                  <w:rPr>
                    <w:rFonts w:ascii="Cambria Math" w:hAnsi="Cambria Math"/>
                  </w:rPr>
                  <m:t>3</m:t>
                </m:r>
                <m:sSub>
                  <m:sSubPr>
                    <m:ctrlPr>
                      <w:rPr>
                        <w:rFonts w:ascii="Cambria Math" w:hAnsi="Cambria Math"/>
                        <w:i/>
                      </w:rPr>
                    </m:ctrlPr>
                  </m:sSubPr>
                  <m:e>
                    <m:r>
                      <w:rPr>
                        <w:rFonts w:ascii="Cambria Math" w:hAnsi="Cambria Math"/>
                      </w:rPr>
                      <m:t>μ</m:t>
                    </m:r>
                  </m:e>
                  <m:sub>
                    <m:r>
                      <w:rPr>
                        <w:rFonts w:ascii="Cambria Math" w:hAnsi="Cambria Math"/>
                      </w:rPr>
                      <m:t>a</m:t>
                    </m:r>
                  </m:sub>
                </m:sSub>
                <m:sSubSup>
                  <m:sSubSupPr>
                    <m:ctrlPr>
                      <w:rPr>
                        <w:rFonts w:ascii="Cambria Math" w:hAnsi="Cambria Math"/>
                        <w:i/>
                      </w:rPr>
                    </m:ctrlPr>
                  </m:sSubSupPr>
                  <m:e>
                    <m:r>
                      <w:rPr>
                        <w:rFonts w:ascii="Cambria Math" w:hAnsi="Cambria Math"/>
                      </w:rPr>
                      <m:t>μ</m:t>
                    </m:r>
                  </m:e>
                  <m:sub>
                    <m:r>
                      <w:rPr>
                        <w:rFonts w:ascii="Cambria Math" w:hAnsi="Cambria Math"/>
                      </w:rPr>
                      <m:t>s</m:t>
                    </m:r>
                  </m:sub>
                  <m:sup>
                    <m:r>
                      <w:rPr>
                        <w:rFonts w:ascii="Cambria Math" w:hAnsi="Cambria Math"/>
                      </w:rPr>
                      <m:t>'</m:t>
                    </m:r>
                  </m:sup>
                </m:sSubSup>
                <m:r>
                  <m:rPr>
                    <m:sty m:val="p"/>
                  </m:rPr>
                  <w:rPr>
                    <w:rFonts w:ascii="Cambria Math" w:hAnsi="Cambria Math"/>
                  </w:rPr>
                  <m:t>+ 6</m:t>
                </m:r>
                <m:sSubSup>
                  <m:sSubSupPr>
                    <m:ctrlPr>
                      <w:rPr>
                        <w:rFonts w:ascii="Cambria Math" w:hAnsi="Cambria Math"/>
                        <w:i/>
                      </w:rPr>
                    </m:ctrlPr>
                  </m:sSubSupPr>
                  <m:e>
                    <m:r>
                      <w:rPr>
                        <w:rFonts w:ascii="Cambria Math" w:hAnsi="Cambria Math"/>
                      </w:rPr>
                      <m:t>μ</m:t>
                    </m:r>
                  </m:e>
                  <m:sub>
                    <m:r>
                      <w:rPr>
                        <w:rFonts w:ascii="Cambria Math" w:hAnsi="Cambria Math"/>
                      </w:rPr>
                      <m:t>s</m:t>
                    </m:r>
                  </m:sub>
                  <m:sup>
                    <m:r>
                      <w:rPr>
                        <w:rFonts w:ascii="Cambria Math" w:hAnsi="Cambria Math"/>
                      </w:rPr>
                      <m:t>'</m:t>
                    </m:r>
                  </m:sup>
                </m:sSubSup>
                <m:sSubSup>
                  <m:sSubSupPr>
                    <m:ctrlPr>
                      <w:rPr>
                        <w:rFonts w:ascii="Cambria Math" w:hAnsi="Cambria Math"/>
                        <w:i/>
                      </w:rPr>
                    </m:ctrlPr>
                  </m:sSubSupPr>
                  <m:e>
                    <m:r>
                      <w:rPr>
                        <w:rFonts w:ascii="Cambria Math" w:hAnsi="Cambria Math"/>
                      </w:rPr>
                      <m:t>k</m:t>
                    </m:r>
                  </m:e>
                  <m:sub>
                    <m:r>
                      <w:rPr>
                        <w:rFonts w:ascii="Cambria Math" w:hAnsi="Cambria Math"/>
                      </w:rPr>
                      <m:t>0</m:t>
                    </m:r>
                  </m:sub>
                  <m:sup>
                    <m:r>
                      <w:rPr>
                        <w:rFonts w:ascii="Cambria Math" w:hAnsi="Cambria Math"/>
                      </w:rPr>
                      <m:t>2</m:t>
                    </m:r>
                  </m:sup>
                </m:sSubSup>
                <m:r>
                  <w:rPr>
                    <w:rFonts w:ascii="Cambria Math" w:hAnsi="Cambria Math"/>
                  </w:rPr>
                  <m:t>τ</m:t>
                </m:r>
                <m:r>
                  <m:rPr>
                    <m:sty m:val="bi"/>
                  </m:rPr>
                  <w:rPr>
                    <w:rFonts w:ascii="Cambria Math" w:hAnsi="Cambria Math"/>
                  </w:rPr>
                  <m:t>CB</m:t>
                </m:r>
                <m:sSub>
                  <m:sSubPr>
                    <m:ctrlPr>
                      <w:rPr>
                        <w:rFonts w:ascii="Cambria Math" w:hAnsi="Cambria Math"/>
                        <w:b/>
                        <w:i/>
                      </w:rPr>
                    </m:ctrlPr>
                  </m:sSubPr>
                  <m:e>
                    <m:r>
                      <m:rPr>
                        <m:sty m:val="bi"/>
                      </m:rPr>
                      <w:rPr>
                        <w:rFonts w:ascii="Cambria Math" w:hAnsi="Cambria Math"/>
                      </w:rPr>
                      <m:t>F</m:t>
                    </m:r>
                  </m:e>
                  <m:sub>
                    <m:r>
                      <m:rPr>
                        <m:sty m:val="bi"/>
                      </m:rPr>
                      <w:rPr>
                        <w:rFonts w:ascii="Cambria Math" w:hAnsi="Cambria Math"/>
                      </w:rPr>
                      <m:t>i</m:t>
                    </m:r>
                  </m:sub>
                </m:sSub>
              </m:e>
            </m:d>
          </m:e>
        </m:rad>
      </m:oMath>
      <w:r w:rsidR="0016223B" w:rsidRPr="00677B47">
        <w:t xml:space="preserve">, </w:t>
      </w:r>
      <m:oMath>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rad>
          <m:radPr>
            <m:degHide m:val="1"/>
            <m:ctrlPr>
              <w:rPr>
                <w:rFonts w:ascii="Cambria Math" w:hAnsi="Cambria Math"/>
                <w:i/>
              </w:rPr>
            </m:ctrlPr>
          </m:radPr>
          <m:deg/>
          <m:e>
            <m:sSup>
              <m:sSupPr>
                <m:ctrlPr>
                  <w:rPr>
                    <w:rFonts w:ascii="Cambria Math" w:hAnsi="Cambria Math"/>
                    <w:i/>
                  </w:rPr>
                </m:ctrlPr>
              </m:sSupPr>
              <m:e>
                <m:r>
                  <w:rPr>
                    <w:rFonts w:ascii="Cambria Math" w:hAnsi="Cambria Math"/>
                  </w:rPr>
                  <m:t>ρ</m:t>
                </m:r>
              </m:e>
              <m:sup>
                <m:r>
                  <w:rPr>
                    <w:rFonts w:ascii="Cambria Math" w:hAnsi="Cambria Math"/>
                  </w:rPr>
                  <m:t>2</m:t>
                </m:r>
              </m:sup>
            </m:sSup>
            <m:r>
              <w:rPr>
                <w:rFonts w:ascii="Cambria Math" w:hAnsi="Cambria Math"/>
              </w:rPr>
              <m:t>+</m:t>
            </m:r>
            <m:sSubSup>
              <m:sSubSupPr>
                <m:ctrlPr>
                  <w:rPr>
                    <w:rFonts w:ascii="Cambria Math" w:hAnsi="Cambria Math"/>
                    <w:i/>
                  </w:rPr>
                </m:ctrlPr>
              </m:sSubSupPr>
              <m:e>
                <m:r>
                  <w:rPr>
                    <w:rFonts w:ascii="Cambria Math" w:hAnsi="Cambria Math"/>
                  </w:rPr>
                  <m:t>z</m:t>
                </m:r>
              </m:e>
              <m:sub>
                <m:r>
                  <w:rPr>
                    <w:rFonts w:ascii="Cambria Math" w:hAnsi="Cambria Math"/>
                  </w:rPr>
                  <m:t>0</m:t>
                </m:r>
              </m:sub>
              <m:sup>
                <m:r>
                  <w:rPr>
                    <w:rFonts w:ascii="Cambria Math" w:hAnsi="Cambria Math"/>
                  </w:rPr>
                  <m:t>2</m:t>
                </m:r>
              </m:sup>
            </m:sSubSup>
          </m:e>
        </m:rad>
        <m:r>
          <w:rPr>
            <w:rFonts w:ascii="Cambria Math" w:hAnsi="Cambria Math"/>
          </w:rPr>
          <m:t xml:space="preserve"> </m:t>
        </m:r>
      </m:oMath>
      <w:r w:rsidR="0016223B" w:rsidRPr="00677B47">
        <w:t xml:space="preserve">, </w:t>
      </w:r>
      <m:oMath>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m:t>
        </m:r>
        <m:rad>
          <m:radPr>
            <m:degHide m:val="1"/>
            <m:ctrlPr>
              <w:rPr>
                <w:rFonts w:ascii="Cambria Math" w:hAnsi="Cambria Math"/>
                <w:i/>
              </w:rPr>
            </m:ctrlPr>
          </m:radPr>
          <m:deg/>
          <m:e>
            <m:sSup>
              <m:sSupPr>
                <m:ctrlPr>
                  <w:rPr>
                    <w:rFonts w:ascii="Cambria Math" w:hAnsi="Cambria Math"/>
                    <w:i/>
                  </w:rPr>
                </m:ctrlPr>
              </m:sSupPr>
              <m:e>
                <m:r>
                  <w:rPr>
                    <w:rFonts w:ascii="Cambria Math" w:hAnsi="Cambria Math"/>
                  </w:rPr>
                  <m:t>ρ</m:t>
                </m:r>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0</m:t>
                        </m:r>
                      </m:sub>
                    </m:sSub>
                    <m:r>
                      <w:rPr>
                        <w:rFonts w:ascii="Cambria Math" w:hAnsi="Cambria Math"/>
                      </w:rPr>
                      <m:t>+2</m:t>
                    </m:r>
                    <m:sSub>
                      <m:sSubPr>
                        <m:ctrlPr>
                          <w:rPr>
                            <w:rFonts w:ascii="Cambria Math" w:hAnsi="Cambria Math"/>
                            <w:i/>
                          </w:rPr>
                        </m:ctrlPr>
                      </m:sSubPr>
                      <m:e>
                        <m:r>
                          <w:rPr>
                            <w:rFonts w:ascii="Cambria Math" w:hAnsi="Cambria Math"/>
                          </w:rPr>
                          <m:t>z</m:t>
                        </m:r>
                      </m:e>
                      <m:sub>
                        <m:r>
                          <w:rPr>
                            <w:rFonts w:ascii="Cambria Math" w:hAnsi="Cambria Math"/>
                          </w:rPr>
                          <m:t>b</m:t>
                        </m:r>
                      </m:sub>
                    </m:sSub>
                  </m:e>
                </m:d>
              </m:e>
              <m:sup>
                <m:r>
                  <w:rPr>
                    <w:rFonts w:ascii="Cambria Math" w:hAnsi="Cambria Math"/>
                  </w:rPr>
                  <m:t>2</m:t>
                </m:r>
              </m:sup>
            </m:sSup>
          </m:e>
        </m:rad>
      </m:oMath>
      <w:r w:rsidR="0016223B" w:rsidRPr="00677B47">
        <w:t xml:space="preserve">, </w:t>
      </w:r>
      <m:oMath>
        <m:sSub>
          <m:sSubPr>
            <m:ctrlPr>
              <w:rPr>
                <w:rFonts w:ascii="Cambria Math" w:hAnsi="Cambria Math"/>
                <w:i/>
              </w:rPr>
            </m:ctrlPr>
          </m:sSubPr>
          <m:e>
            <m:r>
              <w:rPr>
                <w:rFonts w:ascii="Cambria Math" w:hAnsi="Cambria Math"/>
              </w:rPr>
              <m:t>z</m:t>
            </m:r>
          </m:e>
          <m:sub>
            <m:r>
              <w:rPr>
                <w:rFonts w:ascii="Cambria Math" w:hAnsi="Cambria Math"/>
              </w:rPr>
              <m:t>0</m:t>
            </m:r>
          </m:sub>
        </m:sSub>
        <m:r>
          <w:rPr>
            <w:rFonts w:ascii="Cambria Math" w:hAnsi="Cambria Math"/>
          </w:rPr>
          <m:t>=1/</m:t>
        </m:r>
        <m:sSubSup>
          <m:sSubSupPr>
            <m:ctrlPr>
              <w:rPr>
                <w:rFonts w:ascii="Cambria Math" w:hAnsi="Cambria Math"/>
                <w:i/>
              </w:rPr>
            </m:ctrlPr>
          </m:sSubSupPr>
          <m:e>
            <m:r>
              <w:rPr>
                <w:rFonts w:ascii="Cambria Math" w:hAnsi="Cambria Math"/>
              </w:rPr>
              <m:t>μ</m:t>
            </m:r>
          </m:e>
          <m:sub>
            <m:r>
              <w:rPr>
                <w:rFonts w:ascii="Cambria Math" w:hAnsi="Cambria Math"/>
              </w:rPr>
              <m:t>s</m:t>
            </m:r>
          </m:sub>
          <m:sup>
            <m:r>
              <w:rPr>
                <w:rFonts w:ascii="Cambria Math" w:hAnsi="Cambria Math"/>
              </w:rPr>
              <m:t>'</m:t>
            </m:r>
          </m:sup>
        </m:sSubSup>
      </m:oMath>
      <w:r w:rsidR="0016223B" w:rsidRPr="00677B47">
        <w:t xml:space="preserve">, </w:t>
      </w:r>
      <m:oMath>
        <m:sSub>
          <m:sSubPr>
            <m:ctrlPr>
              <w:rPr>
                <w:rFonts w:ascii="Cambria Math" w:hAnsi="Cambria Math"/>
                <w:i/>
              </w:rPr>
            </m:ctrlPr>
          </m:sSubPr>
          <m:e>
            <m:r>
              <w:rPr>
                <w:rFonts w:ascii="Cambria Math" w:hAnsi="Cambria Math"/>
              </w:rPr>
              <m:t>z</m:t>
            </m:r>
          </m:e>
          <m:sub>
            <m:r>
              <w:rPr>
                <w:rFonts w:ascii="Cambria Math" w:hAnsi="Cambria Math"/>
              </w:rPr>
              <m:t>b</m:t>
            </m:r>
          </m:sub>
        </m:sSub>
        <m:r>
          <w:rPr>
            <w:rFonts w:ascii="Cambria Math" w:hAnsi="Cambria Math"/>
          </w:rPr>
          <m:t>=</m:t>
        </m:r>
        <m:f>
          <m:fPr>
            <m:type m:val="lin"/>
            <m:ctrlPr>
              <w:rPr>
                <w:rFonts w:ascii="Cambria Math" w:hAnsi="Cambria Math"/>
                <w:i/>
              </w:rPr>
            </m:ctrlPr>
          </m:fPr>
          <m:num>
            <m:r>
              <w:rPr>
                <w:rFonts w:ascii="Cambria Math" w:hAnsi="Cambria Math"/>
              </w:rPr>
              <m:t>2</m:t>
            </m:r>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R</m:t>
                    </m:r>
                  </m:e>
                  <m:sub>
                    <m:r>
                      <w:rPr>
                        <w:rFonts w:ascii="Cambria Math" w:hAnsi="Cambria Math"/>
                      </w:rPr>
                      <m:t>eff</m:t>
                    </m:r>
                  </m:sub>
                </m:sSub>
              </m:e>
            </m:d>
          </m:num>
          <m:den>
            <m:r>
              <w:rPr>
                <w:rFonts w:ascii="Cambria Math" w:hAnsi="Cambria Math"/>
              </w:rPr>
              <m:t>3</m:t>
            </m:r>
            <m:sSubSup>
              <m:sSubSupPr>
                <m:ctrlPr>
                  <w:rPr>
                    <w:rFonts w:ascii="Cambria Math" w:hAnsi="Cambria Math"/>
                    <w:i/>
                  </w:rPr>
                </m:ctrlPr>
              </m:sSubSupPr>
              <m:e>
                <m:r>
                  <w:rPr>
                    <w:rFonts w:ascii="Cambria Math" w:hAnsi="Cambria Math"/>
                  </w:rPr>
                  <m:t>μ</m:t>
                </m:r>
              </m:e>
              <m:sub>
                <m:r>
                  <w:rPr>
                    <w:rFonts w:ascii="Cambria Math" w:hAnsi="Cambria Math"/>
                  </w:rPr>
                  <m:t>s</m:t>
                </m:r>
              </m:sub>
              <m:sup>
                <m:r>
                  <w:rPr>
                    <w:rFonts w:ascii="Cambria Math" w:hAnsi="Cambria Math"/>
                  </w:rPr>
                  <m:t>'</m:t>
                </m:r>
              </m:sup>
            </m:sSubSup>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R</m:t>
                    </m:r>
                  </m:e>
                  <m:sub>
                    <m:r>
                      <w:rPr>
                        <w:rFonts w:ascii="Cambria Math" w:hAnsi="Cambria Math"/>
                      </w:rPr>
                      <m:t>eff</m:t>
                    </m:r>
                  </m:sub>
                </m:sSub>
              </m:e>
            </m:d>
          </m:den>
        </m:f>
        <m:r>
          <w:rPr>
            <w:rFonts w:ascii="Cambria Math" w:hAnsi="Cambria Math"/>
          </w:rPr>
          <m:t>,</m:t>
        </m:r>
      </m:oMath>
      <w:r w:rsidR="0016223B" w:rsidRPr="00677B47">
        <w:t xml:space="preserve"> R</w:t>
      </w:r>
      <w:r w:rsidR="0016223B" w:rsidRPr="00677B47">
        <w:rPr>
          <w:vertAlign w:val="subscript"/>
        </w:rPr>
        <w:t>eff</w:t>
      </w:r>
      <w:r w:rsidR="0016223B" w:rsidRPr="00677B47">
        <w:t xml:space="preserve"> =0.493 for an assumed tissue index of refraction of 1.4, </w:t>
      </w:r>
      <m:oMath>
        <m:r>
          <w:rPr>
            <w:rFonts w:ascii="Cambria Math" w:hAnsi="Cambria Math"/>
          </w:rPr>
          <m:t>ρ</m:t>
        </m:r>
      </m:oMath>
      <w:r w:rsidR="0016223B" w:rsidRPr="00677B47">
        <w:t xml:space="preserve"> is 6 mm, and</w:t>
      </w:r>
      <m:oMath>
        <m:r>
          <w:rPr>
            <w:rFonts w:ascii="Cambria Math" w:hAnsi="Cambria Math"/>
          </w:rPr>
          <m:t xml:space="preserve"> </m:t>
        </m:r>
        <m:sSub>
          <m:sSubPr>
            <m:ctrlPr>
              <w:rPr>
                <w:rFonts w:ascii="Cambria Math" w:hAnsi="Cambria Math"/>
                <w:i/>
              </w:rPr>
            </m:ctrlPr>
          </m:sSubPr>
          <m:e>
            <m:r>
              <w:rPr>
                <w:rFonts w:ascii="Cambria Math" w:hAnsi="Cambria Math"/>
              </w:rPr>
              <m:t>μ</m:t>
            </m:r>
          </m:e>
          <m:sub>
            <m:r>
              <w:rPr>
                <w:rFonts w:ascii="Cambria Math" w:hAnsi="Cambria Math"/>
              </w:rPr>
              <m:t>a</m:t>
            </m:r>
          </m:sub>
        </m:sSub>
      </m:oMath>
      <w:r w:rsidR="0016223B" w:rsidRPr="00677B47">
        <w:t xml:space="preserve"> and </w:t>
      </w:r>
      <m:oMath>
        <m:sSubSup>
          <m:sSubSupPr>
            <m:ctrlPr>
              <w:rPr>
                <w:rFonts w:ascii="Cambria Math" w:hAnsi="Cambria Math"/>
                <w:i/>
              </w:rPr>
            </m:ctrlPr>
          </m:sSubSupPr>
          <m:e>
            <m:r>
              <w:rPr>
                <w:rFonts w:ascii="Cambria Math" w:hAnsi="Cambria Math"/>
              </w:rPr>
              <m:t>μ</m:t>
            </m:r>
          </m:e>
          <m:sub>
            <m:r>
              <w:rPr>
                <w:rFonts w:ascii="Cambria Math" w:hAnsi="Cambria Math"/>
              </w:rPr>
              <m:t>s</m:t>
            </m:r>
          </m:sub>
          <m:sup>
            <m:r>
              <w:rPr>
                <w:rFonts w:ascii="Cambria Math" w:hAnsi="Cambria Math"/>
              </w:rPr>
              <m:t>'</m:t>
            </m:r>
          </m:sup>
        </m:sSubSup>
      </m:oMath>
      <w:r w:rsidR="0016223B" w:rsidRPr="00677B47">
        <w:t xml:space="preserve"> are </w:t>
      </w:r>
      <w:r w:rsidR="00887BC8" w:rsidRPr="00677B47">
        <w:t xml:space="preserve">the absorption and reduced scattering coefficient of the tissue </w:t>
      </w:r>
      <w:r w:rsidR="007B1948" w:rsidRPr="007B1948">
        <w:t>(</w:t>
      </w:r>
      <w:r w:rsidR="00887BC8" w:rsidRPr="00677B47">
        <w:t xml:space="preserve">assumed to be </w:t>
      </w:r>
      <w:r w:rsidR="00E63617" w:rsidRPr="00677B47">
        <w:t>0.25 and 9.4</w:t>
      </w:r>
      <w:r w:rsidR="0016223B" w:rsidRPr="00677B47">
        <w:t>/cm, respectively</w:t>
      </w:r>
      <w:r w:rsidR="0016223B" w:rsidRPr="00677B47">
        <w:fldChar w:fldCharType="begin"/>
      </w:r>
      <w:r w:rsidR="00594BFB" w:rsidRPr="00677B47">
        <w:instrText xml:space="preserve"> ADDIN ZOTERO_ITEM CSL_CITATION {"citationID":"a28gaggu7rf","properties":{"formattedCitation":"\\super 10, 26, 27\\nosupersub{}","plainCitation":"10, 26, 27","noteIndex":0},"citationItems":[{"id":52,"uris":["http://zotero.org/users/5036325/items/UCRA8S79"],"uri":["http://zotero.org/users/5036325/items/UCRA8S79"],"itemData":{"id":52,"type":"article-journal","container-title":"Journal of Cerebral Blood Flow &amp; Metabolism","DOI":"10.1038/jcbfm.2015.161","ISSN":"0271-678X, 1559-7016","issue":"12","language":"en","page":"1995-2000","source":"Crossref","title":"Decreased Microvascular Cerebral Blood Flow Assessed by Diffuse Correlation Spectroscopy after Repetitive Concussions in Mice","volume":"35","author":[{"family":"Buckley","given":"Erin M"},{"family":"Miller","given":"Benjamin F"},{"family":"Golinski","given":"Julianne M"},{"family":"Sadeghian","given":"Homa"},{"family":"McAllister","given":"Lauren M"},{"family":"Vangel","given":"Mark"},{"family":"Ayata","given":"Cenk"},{"family":"Meehan","given":"William P"},{"family":"Franceschini","given":"Maria Angela"},{"family":"Whalen","given":"Michael J"}],"issued":{"date-parts":[["2015",12]]}}},{"id":152,"uris":["http://zotero.org/users/5036325/items/S5I7P8UK"],"uri":["http://zotero.org/users/5036325/items/S5I7P8UK"],"itemData":{"id":152,"type":"article-journal","container-title":"Reports on Progress in Physics","DOI":"10.1088/0034-4885/73/7/076701","ISSN":"0034-4885, 1361-6633","issue":"7","page":"076701","source":"Crossref","title":"Diffuse optics for tissue monitoring and tomography","volume":"73","author":[{"family":"Durduran","given":"T"},{"family":"Choe","given":"R"},{"family":"Baker","given":"W B"},{"family":"Yodh","given":"A G"}],"issued":{"date-parts":[["2010",7,1]]}}},{"id":159,"uris":["http://zotero.org/users/5036325/items/NZQKPRTY"],"uri":["http://zotero.org/users/5036325/items/NZQKPRTY"],"itemData":{"id":159,"type":"article-journal","abstract":"Millimeter-depth sensitivity with frequency domain near-infrared spectroscopy has been challenging due to the breakdown of the diffusion equation for source-detection separations &amp;lt; 1cm. To overcome this challenge, we employ a Monte-Carlo lookup table-based inverse algorithm to fit small separation (3-6 mm) frequency-domain near-infrared spectroscopy (FDNIRS) data for absorption and reduced scattering coefficients. We verify this small separation FDNIRS method through a series of in vitro and in vivo studies. In vitro, we observed a root mean squared percent error (RMSE) in estimation of the reduced scattering coefficient and absorption coefficient of 2.8&amp;#x0025; and 7.6&amp;#x0025;, respectively, in liquid phantoms consisting of Intralipid and Indian ink, and a RMSE in estimation of oxygen saturation and total hemoglobin concentrations of 7.8 and 11.2&amp;#x0025;, respectively, in blood-mixed liquid phantoms. Next, we demonstrate one particularly valuable in vivo application of this technique wherein we non-invasively measure the optical properties of the mouse brain (n&amp;#x2009;&amp;#x003D;&amp;#x2009;4). We find that the measured resting state cerebral oxygen saturation and hemoglobin concentration are consistent with literature reported values, and we observe expected trends during a hyper-/hypoxia challenge that qualitatively mimic changes in partial pressure of oxygen (pO2) measured simultaneously with an invasive pO2 sensor. Further, through simulations of the mouse head geometry, we demonstrate that the skull and scalp exert minimal influence on the estimate oxygen saturation, while leading to small but systematic underestimation of total hemoglobin concentration. In total, these results demonstrate the robustness of small separation FDNIRS to assess tissue optical properties at millimeter depth resolution.","container-title":"Biomedical Optics Express","ISSN":"2156-7085","issue":"10","journalAbbreviation":"Biomed. Opt. Express, BOE","language":"EN","page":"5362-5377","source":"www.osapublishing.org","title":"Small separation frequency-domain near-infrared spectroscopy for the recovery of tissue optical properties at millimeter depths","volume":"10","author":[{"family":"Lee","given":"Seung Yup"},{"family":"Zheng","given":"Corey"},{"family":"Brothers","given":"Rowan"},{"family":"Buckley","given":"Erin M."},{"family":"Buckley","given":"Erin M."},{"family":"Buckley","given":"Erin M."}],"issued":{"date-parts":[["2019",10,1]]}}}],"schema":"https://github.com/citation-style-language/schema/raw/master/csl-citation.json"} </w:instrText>
      </w:r>
      <w:r w:rsidR="0016223B" w:rsidRPr="00677B47">
        <w:fldChar w:fldCharType="separate"/>
      </w:r>
      <w:r w:rsidR="00594BFB" w:rsidRPr="00677B47">
        <w:rPr>
          <w:vertAlign w:val="superscript"/>
        </w:rPr>
        <w:t>10, 26, 27</w:t>
      </w:r>
      <w:r w:rsidR="0016223B" w:rsidRPr="00677B47">
        <w:fldChar w:fldCharType="end"/>
      </w:r>
      <w:r w:rsidR="007B1948" w:rsidRPr="007B1948">
        <w:t>)</w:t>
      </w:r>
      <w:r w:rsidR="0016223B" w:rsidRPr="00677B47">
        <w:t xml:space="preserve">. </w:t>
      </w:r>
    </w:p>
    <w:p w14:paraId="0422AE9E" w14:textId="77777777" w:rsidR="006A7F3C" w:rsidRPr="00677B47" w:rsidRDefault="006A7F3C" w:rsidP="009B5312">
      <w:pPr>
        <w:pStyle w:val="NormalWeb"/>
        <w:spacing w:before="0" w:beforeAutospacing="0" w:after="0" w:afterAutospacing="0"/>
        <w:contextualSpacing/>
      </w:pPr>
    </w:p>
    <w:p w14:paraId="4B12E0F1" w14:textId="1027D59B" w:rsidR="0016223B" w:rsidRPr="00677B47" w:rsidRDefault="0016223B" w:rsidP="009B5312">
      <w:pPr>
        <w:pStyle w:val="NormalWeb"/>
        <w:spacing w:before="0" w:beforeAutospacing="0" w:after="0" w:afterAutospacing="0"/>
        <w:contextualSpacing/>
      </w:pPr>
      <w:r w:rsidRPr="00677B47">
        <w:t xml:space="preserve">NOTE: Because β can vary ~10% over time, fit </w:t>
      </w:r>
      <w:r w:rsidR="00D64A87" w:rsidRPr="00677B47">
        <w:t xml:space="preserve">each data frame </w:t>
      </w:r>
      <w:r w:rsidRPr="00677B47">
        <w:t>for β and CBF</w:t>
      </w:r>
      <w:r w:rsidRPr="00677B47">
        <w:rPr>
          <w:vertAlign w:val="subscript"/>
        </w:rPr>
        <w:t>i</w:t>
      </w:r>
      <w:r w:rsidRPr="00677B47">
        <w:t xml:space="preserve"> simultaneously.</w:t>
      </w:r>
    </w:p>
    <w:p w14:paraId="566037E3" w14:textId="77777777" w:rsidR="00E969A7" w:rsidRPr="00677B47" w:rsidRDefault="00E969A7" w:rsidP="009B5312">
      <w:pPr>
        <w:pStyle w:val="NormalWeb"/>
        <w:spacing w:before="0" w:beforeAutospacing="0" w:after="0" w:afterAutospacing="0"/>
        <w:contextualSpacing/>
      </w:pPr>
    </w:p>
    <w:p w14:paraId="664C96C6" w14:textId="321AAA31" w:rsidR="00E969A7" w:rsidRPr="00677B47" w:rsidRDefault="006A7F3C" w:rsidP="009B5312">
      <w:pPr>
        <w:pStyle w:val="NormalWeb"/>
        <w:numPr>
          <w:ilvl w:val="2"/>
          <w:numId w:val="76"/>
        </w:numPr>
        <w:spacing w:before="0" w:beforeAutospacing="0" w:after="0" w:afterAutospacing="0"/>
        <w:ind w:left="0" w:firstLine="0"/>
        <w:contextualSpacing/>
      </w:pPr>
      <w:r>
        <w:t>Perform s</w:t>
      </w:r>
      <w:r w:rsidR="00707E2C" w:rsidRPr="00677B47">
        <w:t>econdary quality control</w:t>
      </w:r>
      <w:r>
        <w:t>.</w:t>
      </w:r>
      <w:r w:rsidR="00707E2C" w:rsidRPr="00677B47">
        <w:t xml:space="preserve"> Within each repetition </w:t>
      </w:r>
      <w:r w:rsidR="007B1948" w:rsidRPr="007B1948">
        <w:t>(</w:t>
      </w:r>
      <w:r w:rsidR="00707E2C" w:rsidRPr="00677B47">
        <w:t>which consists of 5 data frames</w:t>
      </w:r>
      <w:r w:rsidR="007B1948" w:rsidRPr="007B1948">
        <w:t>)</w:t>
      </w:r>
      <w:r w:rsidR="00707E2C" w:rsidRPr="00677B47">
        <w:t>, discard outliers. Outliers are defined as those CBF</w:t>
      </w:r>
      <w:r w:rsidR="00707E2C" w:rsidRPr="00677B47">
        <w:rPr>
          <w:vertAlign w:val="subscript"/>
        </w:rPr>
        <w:t>i</w:t>
      </w:r>
      <w:r w:rsidR="00707E2C" w:rsidRPr="00677B47">
        <w:t xml:space="preserve"> values that fall outside 1.5 standard deviation</w:t>
      </w:r>
      <w:r w:rsidR="00630FEC" w:rsidRPr="00677B47">
        <w:t xml:space="preserve">s </w:t>
      </w:r>
      <w:r w:rsidR="00707E2C" w:rsidRPr="00677B47">
        <w:t>of the mean CBF</w:t>
      </w:r>
      <w:r w:rsidR="00707E2C" w:rsidRPr="00677B47">
        <w:rPr>
          <w:vertAlign w:val="subscript"/>
        </w:rPr>
        <w:t>i</w:t>
      </w:r>
      <w:r w:rsidR="00707E2C" w:rsidRPr="00677B47">
        <w:t xml:space="preserve"> for that repetition. If more than 1 data point is identified as an outlier, discard the entire repetition.</w:t>
      </w:r>
    </w:p>
    <w:p w14:paraId="73D3CA8C" w14:textId="77777777" w:rsidR="00E969A7" w:rsidRPr="00677B47" w:rsidRDefault="00E969A7" w:rsidP="009B5312">
      <w:pPr>
        <w:pStyle w:val="NormalWeb"/>
        <w:spacing w:before="0" w:beforeAutospacing="0" w:after="0" w:afterAutospacing="0"/>
        <w:contextualSpacing/>
      </w:pPr>
    </w:p>
    <w:p w14:paraId="3914445A" w14:textId="49EE31E2" w:rsidR="00707E2C" w:rsidRPr="00677B47" w:rsidRDefault="00707E2C" w:rsidP="009B5312">
      <w:pPr>
        <w:pStyle w:val="NormalWeb"/>
        <w:numPr>
          <w:ilvl w:val="2"/>
          <w:numId w:val="76"/>
        </w:numPr>
        <w:spacing w:before="0" w:beforeAutospacing="0" w:after="0" w:afterAutospacing="0"/>
        <w:ind w:left="0" w:firstLine="0"/>
        <w:contextualSpacing/>
      </w:pPr>
      <w:r w:rsidRPr="00677B47">
        <w:t>Estimate average cerebral blood flow index: Estimate an average CBF</w:t>
      </w:r>
      <w:r w:rsidRPr="00677B47">
        <w:rPr>
          <w:vertAlign w:val="subscript"/>
        </w:rPr>
        <w:t>i</w:t>
      </w:r>
      <w:r w:rsidRPr="00677B47">
        <w:t xml:space="preserve"> per hemisphere by taking the mean across all data frames for all repetitions </w:t>
      </w:r>
      <w:r w:rsidR="007B1948" w:rsidRPr="007B1948">
        <w:t>(</w:t>
      </w:r>
      <w:r w:rsidR="007B1948">
        <w:rPr>
          <w:b/>
        </w:rPr>
        <w:t xml:space="preserve">Figure </w:t>
      </w:r>
      <w:r w:rsidRPr="00677B47">
        <w:rPr>
          <w:b/>
        </w:rPr>
        <w:t>4C</w:t>
      </w:r>
      <w:r w:rsidR="007B1948" w:rsidRPr="007B1948">
        <w:t>)</w:t>
      </w:r>
      <w:r w:rsidRPr="00677B47">
        <w:t>. If no significant hemispheric differences are observed, average across hemispheres to obtain an estimate of average global CBF</w:t>
      </w:r>
      <w:r w:rsidRPr="00677B47">
        <w:rPr>
          <w:vertAlign w:val="subscript"/>
        </w:rPr>
        <w:t>i</w:t>
      </w:r>
      <w:r w:rsidRPr="00677B47">
        <w:t>.</w:t>
      </w:r>
      <w:r w:rsidR="00981AEE" w:rsidRPr="00677B47">
        <w:t xml:space="preserve"> </w:t>
      </w:r>
    </w:p>
    <w:p w14:paraId="598F01D7" w14:textId="77777777" w:rsidR="00707E2C" w:rsidRPr="00677B47" w:rsidRDefault="00707E2C" w:rsidP="009B5312">
      <w:pPr>
        <w:pStyle w:val="NormalWeb"/>
        <w:spacing w:before="0" w:beforeAutospacing="0" w:after="0" w:afterAutospacing="0"/>
        <w:contextualSpacing/>
      </w:pPr>
    </w:p>
    <w:p w14:paraId="3CC45975" w14:textId="368E3BF7" w:rsidR="0075539D" w:rsidRPr="006A7F3C" w:rsidRDefault="00FC7944" w:rsidP="009B5312">
      <w:pPr>
        <w:pStyle w:val="ListParagraph"/>
        <w:numPr>
          <w:ilvl w:val="0"/>
          <w:numId w:val="76"/>
        </w:numPr>
        <w:ind w:left="0" w:firstLine="0"/>
        <w:rPr>
          <w:b/>
          <w:bCs/>
        </w:rPr>
      </w:pPr>
      <w:r w:rsidRPr="006A7F3C">
        <w:rPr>
          <w:b/>
          <w:bCs/>
          <w:highlight w:val="yellow"/>
        </w:rPr>
        <w:t xml:space="preserve">Multiplexed </w:t>
      </w:r>
      <w:r w:rsidR="006A7F3C" w:rsidRPr="006A7F3C">
        <w:rPr>
          <w:b/>
          <w:bCs/>
          <w:highlight w:val="yellow"/>
        </w:rPr>
        <w:t>quantification of cytokines and phospho-proteins using luminex assays</w:t>
      </w:r>
    </w:p>
    <w:p w14:paraId="1F1350E1" w14:textId="77777777" w:rsidR="0075539D" w:rsidRPr="00677B47" w:rsidRDefault="0075539D" w:rsidP="009B5312">
      <w:pPr>
        <w:pStyle w:val="NormalWeb"/>
        <w:spacing w:before="0" w:beforeAutospacing="0" w:after="0" w:afterAutospacing="0"/>
        <w:contextualSpacing/>
      </w:pPr>
    </w:p>
    <w:p w14:paraId="2981507B" w14:textId="5F074A0B" w:rsidR="006A7F3C" w:rsidRPr="0091023B" w:rsidRDefault="00AD32D1" w:rsidP="009B5312">
      <w:pPr>
        <w:pStyle w:val="NormalWeb"/>
        <w:numPr>
          <w:ilvl w:val="1"/>
          <w:numId w:val="76"/>
        </w:numPr>
        <w:spacing w:before="0" w:beforeAutospacing="0" w:after="0" w:afterAutospacing="0"/>
        <w:ind w:left="0" w:firstLine="0"/>
        <w:contextualSpacing/>
        <w:rPr>
          <w:bCs/>
        </w:rPr>
      </w:pPr>
      <w:r w:rsidRPr="0091023B">
        <w:rPr>
          <w:bCs/>
        </w:rPr>
        <w:t>Tissue extraction</w:t>
      </w:r>
    </w:p>
    <w:p w14:paraId="132E99D1" w14:textId="77777777" w:rsidR="006A7F3C" w:rsidRPr="006A7F3C" w:rsidRDefault="006A7F3C" w:rsidP="009B5312">
      <w:pPr>
        <w:pStyle w:val="NormalWeb"/>
        <w:spacing w:before="0" w:beforeAutospacing="0" w:after="0" w:afterAutospacing="0"/>
        <w:contextualSpacing/>
        <w:rPr>
          <w:b/>
        </w:rPr>
      </w:pPr>
    </w:p>
    <w:p w14:paraId="101A4AC4" w14:textId="6548CB97" w:rsidR="00AD32D1" w:rsidRPr="00677B47" w:rsidRDefault="006A7F3C" w:rsidP="009B5312">
      <w:pPr>
        <w:pStyle w:val="NormalWeb"/>
        <w:spacing w:before="0" w:beforeAutospacing="0" w:after="0" w:afterAutospacing="0"/>
        <w:contextualSpacing/>
      </w:pPr>
      <w:r>
        <w:t xml:space="preserve">NOTE: </w:t>
      </w:r>
      <w:r w:rsidR="00AD32D1" w:rsidRPr="00677B47">
        <w:t>Quantification of brain cytokines and phospho-signaling proteins</w:t>
      </w:r>
      <w:r w:rsidR="00DF76EC" w:rsidRPr="00677B47">
        <w:t xml:space="preserve"> using Luminex</w:t>
      </w:r>
      <w:r w:rsidR="00AD32D1" w:rsidRPr="00677B47">
        <w:t xml:space="preserve"> requires tissue extraction. </w:t>
      </w:r>
    </w:p>
    <w:p w14:paraId="5BB2EBE9" w14:textId="77777777" w:rsidR="00AD32D1" w:rsidRPr="00677B47" w:rsidRDefault="00AD32D1" w:rsidP="009B5312">
      <w:pPr>
        <w:pStyle w:val="NormalWeb"/>
        <w:spacing w:before="0" w:beforeAutospacing="0" w:after="0" w:afterAutospacing="0"/>
        <w:contextualSpacing/>
      </w:pPr>
    </w:p>
    <w:p w14:paraId="7A113803" w14:textId="3F37236C" w:rsidR="00AD32D1" w:rsidRPr="00677B47" w:rsidRDefault="00AD32D1" w:rsidP="009B5312">
      <w:pPr>
        <w:pStyle w:val="NormalWeb"/>
        <w:numPr>
          <w:ilvl w:val="2"/>
          <w:numId w:val="76"/>
        </w:numPr>
        <w:spacing w:before="0" w:beforeAutospacing="0" w:after="0" w:afterAutospacing="0"/>
        <w:ind w:left="0" w:firstLine="0"/>
        <w:contextualSpacing/>
      </w:pPr>
      <w:r w:rsidRPr="00677B47">
        <w:t>Anesthetize mouse using 4.5% isoflurane in 100% oxygen for 1-2 min.</w:t>
      </w:r>
      <w:r w:rsidR="006A7F3C">
        <w:t xml:space="preserve"> </w:t>
      </w:r>
      <w:r w:rsidRPr="00677B47">
        <w:t xml:space="preserve">Check </w:t>
      </w:r>
      <w:r w:rsidR="0075539D" w:rsidRPr="00677B47">
        <w:t xml:space="preserve">for deep plane of anesthesia via </w:t>
      </w:r>
      <w:r w:rsidR="006A7F3C">
        <w:t xml:space="preserve">the </w:t>
      </w:r>
      <w:r w:rsidR="002753FF" w:rsidRPr="00677B47">
        <w:t xml:space="preserve">lack of </w:t>
      </w:r>
      <w:r w:rsidR="006A7F3C">
        <w:t xml:space="preserve">a </w:t>
      </w:r>
      <w:r w:rsidR="0075539D" w:rsidRPr="00677B47">
        <w:t>toe pinch</w:t>
      </w:r>
      <w:r w:rsidRPr="00677B47">
        <w:t xml:space="preserve"> </w:t>
      </w:r>
      <w:r w:rsidR="002753FF" w:rsidRPr="00677B47">
        <w:t>response. E</w:t>
      </w:r>
      <w:r w:rsidRPr="00677B47">
        <w:t>uthanize via decapitation.</w:t>
      </w:r>
    </w:p>
    <w:p w14:paraId="1601FBE1" w14:textId="77777777" w:rsidR="00FF63A0" w:rsidRPr="00677B47" w:rsidRDefault="00FF63A0" w:rsidP="009B5312">
      <w:pPr>
        <w:pStyle w:val="NormalWeb"/>
        <w:spacing w:before="0" w:beforeAutospacing="0" w:after="0" w:afterAutospacing="0"/>
        <w:contextualSpacing/>
      </w:pPr>
    </w:p>
    <w:p w14:paraId="7ADA0FD3" w14:textId="282DDBA6" w:rsidR="00FF63A0" w:rsidRPr="00677B47" w:rsidRDefault="00AD32D1" w:rsidP="009B5312">
      <w:pPr>
        <w:pStyle w:val="NormalWeb"/>
        <w:numPr>
          <w:ilvl w:val="2"/>
          <w:numId w:val="76"/>
        </w:numPr>
        <w:spacing w:before="0" w:beforeAutospacing="0" w:after="0" w:afterAutospacing="0"/>
        <w:ind w:left="0" w:firstLine="0"/>
        <w:contextualSpacing/>
      </w:pPr>
      <w:r w:rsidRPr="00677B47">
        <w:t>Harvest t</w:t>
      </w:r>
      <w:r w:rsidR="0091023B">
        <w:t>he t</w:t>
      </w:r>
      <w:r w:rsidRPr="00677B47">
        <w:t>issue</w:t>
      </w:r>
      <w:r w:rsidR="006A7F3C">
        <w:t>.</w:t>
      </w:r>
    </w:p>
    <w:p w14:paraId="541E8CB2" w14:textId="77777777" w:rsidR="00FF63A0" w:rsidRPr="00677B47" w:rsidRDefault="00FF63A0" w:rsidP="009B5312">
      <w:pPr>
        <w:pStyle w:val="NormalWeb"/>
        <w:spacing w:before="0" w:beforeAutospacing="0" w:after="0" w:afterAutospacing="0"/>
        <w:contextualSpacing/>
      </w:pPr>
    </w:p>
    <w:p w14:paraId="5C521C3D" w14:textId="60F1F2CC" w:rsidR="00D50CE2" w:rsidRPr="00677B47" w:rsidRDefault="00F83806" w:rsidP="009B5312">
      <w:pPr>
        <w:pStyle w:val="NormalWeb"/>
        <w:numPr>
          <w:ilvl w:val="3"/>
          <w:numId w:val="76"/>
        </w:numPr>
        <w:spacing w:before="0" w:beforeAutospacing="0" w:after="0" w:afterAutospacing="0"/>
        <w:ind w:left="0" w:firstLine="0"/>
        <w:contextualSpacing/>
      </w:pPr>
      <w:r w:rsidRPr="00677B47">
        <w:t>Remove</w:t>
      </w:r>
      <w:r w:rsidR="00F95372" w:rsidRPr="00677B47">
        <w:t xml:space="preserve"> </w:t>
      </w:r>
      <w:r w:rsidRPr="00677B47">
        <w:t>the brain. Typically, fix the left hemisphere for histology and m</w:t>
      </w:r>
      <w:r w:rsidR="00AD32D1" w:rsidRPr="00677B47">
        <w:t xml:space="preserve">icrodissect </w:t>
      </w:r>
      <w:r w:rsidRPr="00677B47">
        <w:t>several regions from the right hemisphere</w:t>
      </w:r>
      <w:r w:rsidR="00AD32D1" w:rsidRPr="00677B47">
        <w:t xml:space="preserve"> within the cortex and hippocampus </w:t>
      </w:r>
      <w:r w:rsidR="007B1948" w:rsidRPr="007B1948">
        <w:t>(</w:t>
      </w:r>
      <w:r w:rsidR="00677B47" w:rsidRPr="00677B47">
        <w:rPr>
          <w:b/>
        </w:rPr>
        <w:t>Figure</w:t>
      </w:r>
      <w:r w:rsidR="00AD32D1" w:rsidRPr="00677B47">
        <w:rPr>
          <w:b/>
        </w:rPr>
        <w:t xml:space="preserve"> 5</w:t>
      </w:r>
      <w:r w:rsidR="007B1948" w:rsidRPr="007B1948">
        <w:t>)</w:t>
      </w:r>
      <w:r w:rsidR="00AD32D1" w:rsidRPr="00677B47">
        <w:t xml:space="preserve">. </w:t>
      </w:r>
    </w:p>
    <w:p w14:paraId="580D07A5" w14:textId="77777777" w:rsidR="00FF63A0" w:rsidRPr="00677B47" w:rsidRDefault="00FF63A0" w:rsidP="009B5312">
      <w:pPr>
        <w:pStyle w:val="NormalWeb"/>
        <w:spacing w:before="0" w:beforeAutospacing="0" w:after="0" w:afterAutospacing="0"/>
        <w:contextualSpacing/>
        <w:rPr>
          <w:u w:val="single"/>
        </w:rPr>
      </w:pPr>
    </w:p>
    <w:p w14:paraId="019EBA4A" w14:textId="4BBAC40E" w:rsidR="00AD32D1" w:rsidRDefault="00AD32D1" w:rsidP="009B5312">
      <w:pPr>
        <w:pStyle w:val="NormalWeb"/>
        <w:numPr>
          <w:ilvl w:val="3"/>
          <w:numId w:val="76"/>
        </w:numPr>
        <w:spacing w:before="0" w:beforeAutospacing="0" w:after="0" w:afterAutospacing="0"/>
        <w:ind w:left="0" w:firstLine="0"/>
        <w:contextualSpacing/>
      </w:pPr>
      <w:r w:rsidRPr="00677B47">
        <w:t xml:space="preserve">Place </w:t>
      </w:r>
      <w:r w:rsidR="00F95372" w:rsidRPr="00677B47">
        <w:t>dissected</w:t>
      </w:r>
      <w:r w:rsidR="00F83806" w:rsidRPr="00677B47">
        <w:t xml:space="preserve"> </w:t>
      </w:r>
      <w:r w:rsidRPr="00677B47">
        <w:t>samples in microcentrifuge tubes, flash freeze in liquid nitrogen. For analysis of freeze-sensitive proteins, it is optimal to sub-divide tissue sections prior to flash freezing</w:t>
      </w:r>
      <w:r w:rsidR="0075539D" w:rsidRPr="00677B47">
        <w:t xml:space="preserve"> to avoid later freeze-thaw</w:t>
      </w:r>
      <w:r w:rsidRPr="00677B47">
        <w:t>.</w:t>
      </w:r>
    </w:p>
    <w:p w14:paraId="57001876" w14:textId="77777777" w:rsidR="006A7F3C" w:rsidRPr="00677B47" w:rsidRDefault="006A7F3C" w:rsidP="009B5312">
      <w:pPr>
        <w:pStyle w:val="NormalWeb"/>
        <w:spacing w:before="0" w:beforeAutospacing="0" w:after="0" w:afterAutospacing="0"/>
        <w:contextualSpacing/>
      </w:pPr>
    </w:p>
    <w:p w14:paraId="6CC5D0CD" w14:textId="7ADCC0CE" w:rsidR="00FF63A0" w:rsidRPr="00677B47" w:rsidRDefault="00FF63A0" w:rsidP="009B5312">
      <w:pPr>
        <w:pStyle w:val="NormalWeb"/>
        <w:spacing w:before="0" w:beforeAutospacing="0" w:after="0" w:afterAutospacing="0"/>
        <w:contextualSpacing/>
      </w:pPr>
      <w:r w:rsidRPr="00677B47">
        <w:t xml:space="preserve">NOTE: The protocol can be </w:t>
      </w:r>
      <w:r w:rsidR="003C6EDE" w:rsidRPr="00677B47">
        <w:t>paused,</w:t>
      </w:r>
      <w:r w:rsidRPr="00677B47">
        <w:t xml:space="preserve"> and tissue samples can be stored at -</w:t>
      </w:r>
      <w:r w:rsidR="00432BAE" w:rsidRPr="00677B47">
        <w:t>8</w:t>
      </w:r>
      <w:r w:rsidRPr="00677B47">
        <w:t>0</w:t>
      </w:r>
      <w:r w:rsidR="00D74B87" w:rsidRPr="00677B47">
        <w:t xml:space="preserve"> </w:t>
      </w:r>
      <w:r w:rsidRPr="00677B47">
        <w:t>°C until ready to lyse samples.</w:t>
      </w:r>
      <w:r w:rsidR="00432BAE" w:rsidRPr="00677B47">
        <w:t xml:space="preserve"> Alternatively, samples can be lysed</w:t>
      </w:r>
      <w:r w:rsidR="009D2852">
        <w:t>, and then</w:t>
      </w:r>
      <w:r w:rsidR="00432BAE" w:rsidRPr="00677B47">
        <w:t xml:space="preserve"> stored at -80</w:t>
      </w:r>
      <w:r w:rsidR="00D74B87" w:rsidRPr="00677B47">
        <w:t xml:space="preserve"> °C</w:t>
      </w:r>
      <w:r w:rsidR="00432BAE" w:rsidRPr="00677B47">
        <w:t>.</w:t>
      </w:r>
    </w:p>
    <w:p w14:paraId="447EBB6A" w14:textId="77777777" w:rsidR="00FF63A0" w:rsidRPr="00677B47" w:rsidRDefault="00FF63A0" w:rsidP="009B5312">
      <w:pPr>
        <w:pStyle w:val="NormalWeb"/>
        <w:spacing w:before="0" w:beforeAutospacing="0" w:after="0" w:afterAutospacing="0"/>
        <w:contextualSpacing/>
      </w:pPr>
    </w:p>
    <w:p w14:paraId="1B05815B" w14:textId="01FE6650" w:rsidR="00396763" w:rsidRPr="00677B47" w:rsidRDefault="00FB5457" w:rsidP="009B5312">
      <w:pPr>
        <w:pStyle w:val="NormalWeb"/>
        <w:numPr>
          <w:ilvl w:val="2"/>
          <w:numId w:val="76"/>
        </w:numPr>
        <w:spacing w:before="0" w:beforeAutospacing="0" w:after="0" w:afterAutospacing="0"/>
        <w:ind w:left="0" w:firstLine="0"/>
        <w:contextualSpacing/>
        <w:rPr>
          <w:highlight w:val="yellow"/>
        </w:rPr>
      </w:pPr>
      <w:r w:rsidRPr="00677B47">
        <w:rPr>
          <w:highlight w:val="yellow"/>
        </w:rPr>
        <w:t>Lyse samples</w:t>
      </w:r>
      <w:r w:rsidR="006A7F3C">
        <w:rPr>
          <w:highlight w:val="yellow"/>
        </w:rPr>
        <w:t>.</w:t>
      </w:r>
    </w:p>
    <w:p w14:paraId="66CB7E1B" w14:textId="77777777" w:rsidR="00B57C2F" w:rsidRPr="00677B47" w:rsidRDefault="00B57C2F" w:rsidP="009B5312">
      <w:pPr>
        <w:pStyle w:val="NormalWeb"/>
        <w:spacing w:before="0" w:beforeAutospacing="0" w:after="0" w:afterAutospacing="0"/>
        <w:contextualSpacing/>
        <w:rPr>
          <w:highlight w:val="yellow"/>
        </w:rPr>
      </w:pPr>
    </w:p>
    <w:p w14:paraId="48AA9D48" w14:textId="600433BE" w:rsidR="00507353" w:rsidRDefault="001D4203" w:rsidP="009B5312">
      <w:pPr>
        <w:pStyle w:val="NormalWeb"/>
        <w:numPr>
          <w:ilvl w:val="3"/>
          <w:numId w:val="76"/>
        </w:numPr>
        <w:spacing w:before="0" w:beforeAutospacing="0" w:after="0" w:afterAutospacing="0"/>
        <w:ind w:left="0" w:firstLine="0"/>
        <w:contextualSpacing/>
      </w:pPr>
      <w:r w:rsidRPr="00677B47">
        <w:t>Prepare the lysis buffer by adding</w:t>
      </w:r>
      <w:r w:rsidR="00210F80" w:rsidRPr="00677B47">
        <w:t xml:space="preserve"> </w:t>
      </w:r>
      <w:r w:rsidR="00174890" w:rsidRPr="00677B47">
        <w:t>p</w:t>
      </w:r>
      <w:r w:rsidRPr="00677B47">
        <w:t>rotease inhibitor</w:t>
      </w:r>
      <w:r w:rsidR="00293E59" w:rsidRPr="00677B47">
        <w:t xml:space="preserve"> and 2 mM phenylmethylsulfonyl fluoride</w:t>
      </w:r>
      <w:r w:rsidRPr="00677B47">
        <w:t xml:space="preserve"> </w:t>
      </w:r>
      <w:r w:rsidR="00293E59" w:rsidRPr="00677B47">
        <w:t xml:space="preserve">to </w:t>
      </w:r>
      <w:r w:rsidR="006A7F3C">
        <w:t xml:space="preserve">the </w:t>
      </w:r>
      <w:r w:rsidR="00432BAE" w:rsidRPr="00677B47">
        <w:t>lysis buffer</w:t>
      </w:r>
      <w:r w:rsidR="00293E59" w:rsidRPr="00677B47">
        <w:t>.</w:t>
      </w:r>
    </w:p>
    <w:p w14:paraId="7D849984" w14:textId="77777777" w:rsidR="006A7F3C" w:rsidRPr="00677B47" w:rsidRDefault="006A7F3C" w:rsidP="009B5312">
      <w:pPr>
        <w:pStyle w:val="NormalWeb"/>
        <w:spacing w:before="0" w:beforeAutospacing="0" w:after="0" w:afterAutospacing="0"/>
        <w:contextualSpacing/>
      </w:pPr>
    </w:p>
    <w:p w14:paraId="05536F04" w14:textId="32965827" w:rsidR="00507353" w:rsidRPr="0091023B" w:rsidRDefault="001D4203" w:rsidP="009B5312">
      <w:pPr>
        <w:pStyle w:val="NormalWeb"/>
        <w:numPr>
          <w:ilvl w:val="3"/>
          <w:numId w:val="76"/>
        </w:numPr>
        <w:spacing w:before="0" w:beforeAutospacing="0" w:after="0" w:afterAutospacing="0"/>
        <w:ind w:left="0" w:firstLine="0"/>
        <w:contextualSpacing/>
        <w:rPr>
          <w:highlight w:val="yellow"/>
        </w:rPr>
      </w:pPr>
      <w:r w:rsidRPr="0091023B">
        <w:rPr>
          <w:highlight w:val="yellow"/>
        </w:rPr>
        <w:t xml:space="preserve">Add 150 µL of the mixed lysis buffer </w:t>
      </w:r>
      <w:r w:rsidR="00C34C20" w:rsidRPr="0091023B">
        <w:rPr>
          <w:highlight w:val="yellow"/>
        </w:rPr>
        <w:t>per</w:t>
      </w:r>
      <w:r w:rsidRPr="0091023B">
        <w:rPr>
          <w:highlight w:val="yellow"/>
        </w:rPr>
        <w:t xml:space="preserve"> </w:t>
      </w:r>
      <w:r w:rsidR="00432BAE" w:rsidRPr="0091023B">
        <w:rPr>
          <w:highlight w:val="yellow"/>
        </w:rPr>
        <w:t xml:space="preserve">approximately </w:t>
      </w:r>
      <w:r w:rsidRPr="0091023B">
        <w:rPr>
          <w:highlight w:val="yellow"/>
        </w:rPr>
        <w:t>3 µg of animal tissue</w:t>
      </w:r>
      <w:r w:rsidR="006C6AAE" w:rsidRPr="0091023B">
        <w:rPr>
          <w:highlight w:val="yellow"/>
        </w:rPr>
        <w:t xml:space="preserve">. </w:t>
      </w:r>
      <w:r w:rsidR="006C6AAE" w:rsidRPr="0091023B">
        <w:t>For reference,</w:t>
      </w:r>
      <w:r w:rsidRPr="0091023B">
        <w:t xml:space="preserve"> mouse visual cortex tissue </w:t>
      </w:r>
      <w:r w:rsidR="006C6AAE" w:rsidRPr="0091023B">
        <w:t xml:space="preserve">samples are </w:t>
      </w:r>
      <w:r w:rsidR="00C34C20" w:rsidRPr="0091023B">
        <w:t>approximately</w:t>
      </w:r>
      <w:r w:rsidRPr="0091023B">
        <w:t xml:space="preserve"> 3 </w:t>
      </w:r>
      <w:bookmarkStart w:id="1" w:name="OLE_LINK22"/>
      <w:bookmarkStart w:id="2" w:name="OLE_LINK23"/>
      <w:r w:rsidRPr="0091023B">
        <w:t>µg</w:t>
      </w:r>
      <w:bookmarkEnd w:id="1"/>
      <w:bookmarkEnd w:id="2"/>
      <w:r w:rsidRPr="0091023B">
        <w:t xml:space="preserve">. </w:t>
      </w:r>
    </w:p>
    <w:p w14:paraId="6D0D8F5D" w14:textId="77777777" w:rsidR="00507353" w:rsidRPr="0091023B" w:rsidRDefault="00507353" w:rsidP="009B5312">
      <w:pPr>
        <w:pStyle w:val="NormalWeb"/>
        <w:spacing w:before="0" w:beforeAutospacing="0" w:after="0" w:afterAutospacing="0"/>
        <w:contextualSpacing/>
        <w:rPr>
          <w:highlight w:val="yellow"/>
        </w:rPr>
      </w:pPr>
    </w:p>
    <w:p w14:paraId="343E8AAC" w14:textId="10B79699" w:rsidR="00507353" w:rsidRPr="00677B47" w:rsidRDefault="001D4203" w:rsidP="009B5312">
      <w:pPr>
        <w:pStyle w:val="NormalWeb"/>
        <w:numPr>
          <w:ilvl w:val="3"/>
          <w:numId w:val="76"/>
        </w:numPr>
        <w:spacing w:before="0" w:beforeAutospacing="0" w:after="0" w:afterAutospacing="0"/>
        <w:ind w:left="0" w:firstLine="0"/>
        <w:contextualSpacing/>
        <w:rPr>
          <w:highlight w:val="yellow"/>
        </w:rPr>
      </w:pPr>
      <w:r w:rsidRPr="0091023B">
        <w:rPr>
          <w:highlight w:val="yellow"/>
        </w:rPr>
        <w:t xml:space="preserve">To homogenize the tissue, mechanically </w:t>
      </w:r>
      <w:r w:rsidR="00C34C20" w:rsidRPr="0091023B">
        <w:rPr>
          <w:highlight w:val="yellow"/>
        </w:rPr>
        <w:t xml:space="preserve">triturate </w:t>
      </w:r>
      <w:r w:rsidRPr="0091023B">
        <w:rPr>
          <w:highlight w:val="yellow"/>
        </w:rPr>
        <w:t xml:space="preserve">the tissue by pipetting up and down </w:t>
      </w:r>
      <w:r w:rsidR="00A4491B" w:rsidRPr="0091023B">
        <w:rPr>
          <w:highlight w:val="yellow"/>
        </w:rPr>
        <w:t>~</w:t>
      </w:r>
      <w:r w:rsidRPr="0091023B">
        <w:rPr>
          <w:highlight w:val="yellow"/>
        </w:rPr>
        <w:t xml:space="preserve">15-20 times using </w:t>
      </w:r>
      <w:r w:rsidR="007B1948" w:rsidRPr="0091023B">
        <w:rPr>
          <w:highlight w:val="yellow"/>
        </w:rPr>
        <w:t xml:space="preserve">a </w:t>
      </w:r>
      <w:r w:rsidRPr="0091023B">
        <w:rPr>
          <w:highlight w:val="yellow"/>
        </w:rPr>
        <w:t>1000 µL pipette</w:t>
      </w:r>
      <w:r w:rsidR="00C34C20" w:rsidRPr="0091023B">
        <w:rPr>
          <w:highlight w:val="yellow"/>
        </w:rPr>
        <w:t>.</w:t>
      </w:r>
      <w:r w:rsidRPr="00677B47">
        <w:t xml:space="preserve"> For optimal sample </w:t>
      </w:r>
      <w:r w:rsidR="00C34C20" w:rsidRPr="00677B47">
        <w:t>trituration</w:t>
      </w:r>
      <w:r w:rsidRPr="00677B47">
        <w:t>,</w:t>
      </w:r>
      <w:r w:rsidR="00C34C20" w:rsidRPr="00677B47">
        <w:t xml:space="preserve"> a</w:t>
      </w:r>
      <w:r w:rsidRPr="00677B47">
        <w:t xml:space="preserve"> homogenizer pestle can be used.</w:t>
      </w:r>
    </w:p>
    <w:p w14:paraId="5A0504EC" w14:textId="37F26D85" w:rsidR="00507353" w:rsidRPr="0091023B" w:rsidRDefault="00507353" w:rsidP="009B5312">
      <w:pPr>
        <w:pStyle w:val="NormalWeb"/>
        <w:spacing w:before="0" w:beforeAutospacing="0" w:after="0" w:afterAutospacing="0"/>
        <w:contextualSpacing/>
        <w:rPr>
          <w:highlight w:val="yellow"/>
        </w:rPr>
      </w:pPr>
    </w:p>
    <w:p w14:paraId="260E39CA" w14:textId="0689E673" w:rsidR="005254AA" w:rsidRPr="0091023B" w:rsidRDefault="00A4491B" w:rsidP="009B5312">
      <w:pPr>
        <w:pStyle w:val="NormalWeb"/>
        <w:numPr>
          <w:ilvl w:val="3"/>
          <w:numId w:val="76"/>
        </w:numPr>
        <w:spacing w:before="0" w:beforeAutospacing="0" w:after="0" w:afterAutospacing="0"/>
        <w:ind w:left="0" w:firstLine="0"/>
        <w:contextualSpacing/>
        <w:rPr>
          <w:highlight w:val="yellow"/>
        </w:rPr>
      </w:pPr>
      <w:r w:rsidRPr="0091023B">
        <w:rPr>
          <w:highlight w:val="yellow"/>
        </w:rPr>
        <w:t>P</w:t>
      </w:r>
      <w:r w:rsidR="001D4203" w:rsidRPr="0091023B">
        <w:rPr>
          <w:highlight w:val="yellow"/>
        </w:rPr>
        <w:t>lace the sample tubes on</w:t>
      </w:r>
      <w:r w:rsidR="00C34C20" w:rsidRPr="0091023B">
        <w:rPr>
          <w:highlight w:val="yellow"/>
        </w:rPr>
        <w:t xml:space="preserve"> a</w:t>
      </w:r>
      <w:r w:rsidR="001D4203" w:rsidRPr="0091023B">
        <w:rPr>
          <w:highlight w:val="yellow"/>
        </w:rPr>
        <w:t xml:space="preserve"> </w:t>
      </w:r>
      <w:bookmarkStart w:id="3" w:name="OLE_LINK11"/>
      <w:bookmarkStart w:id="4" w:name="OLE_LINK12"/>
      <w:r w:rsidR="001D4203" w:rsidRPr="0091023B">
        <w:rPr>
          <w:highlight w:val="yellow"/>
        </w:rPr>
        <w:t>rotato</w:t>
      </w:r>
      <w:bookmarkEnd w:id="3"/>
      <w:bookmarkEnd w:id="4"/>
      <w:r w:rsidR="001D4203" w:rsidRPr="0091023B">
        <w:rPr>
          <w:highlight w:val="yellow"/>
        </w:rPr>
        <w:t>r for 30 min</w:t>
      </w:r>
      <w:r w:rsidR="00160129" w:rsidRPr="0091023B">
        <w:rPr>
          <w:highlight w:val="yellow"/>
        </w:rPr>
        <w:t xml:space="preserve"> </w:t>
      </w:r>
      <w:r w:rsidR="001D4203" w:rsidRPr="0091023B">
        <w:rPr>
          <w:highlight w:val="yellow"/>
        </w:rPr>
        <w:t>at 4</w:t>
      </w:r>
      <w:r w:rsidR="00D74B87" w:rsidRPr="0091023B">
        <w:rPr>
          <w:highlight w:val="yellow"/>
        </w:rPr>
        <w:t xml:space="preserve"> </w:t>
      </w:r>
      <w:r w:rsidR="001D4203" w:rsidRPr="0091023B">
        <w:rPr>
          <w:highlight w:val="yellow"/>
        </w:rPr>
        <w:t xml:space="preserve">°C. </w:t>
      </w:r>
    </w:p>
    <w:p w14:paraId="735A79C4" w14:textId="7A43C02C" w:rsidR="00507353" w:rsidRPr="0091023B" w:rsidRDefault="00507353" w:rsidP="009B5312">
      <w:pPr>
        <w:pStyle w:val="NormalWeb"/>
        <w:spacing w:before="0" w:beforeAutospacing="0" w:after="0" w:afterAutospacing="0"/>
        <w:contextualSpacing/>
        <w:rPr>
          <w:highlight w:val="yellow"/>
        </w:rPr>
      </w:pPr>
    </w:p>
    <w:p w14:paraId="5B6D3FF7" w14:textId="30086ECB" w:rsidR="00CD54C2" w:rsidRPr="0091023B" w:rsidRDefault="00A4491B" w:rsidP="009B5312">
      <w:pPr>
        <w:pStyle w:val="NormalWeb"/>
        <w:numPr>
          <w:ilvl w:val="3"/>
          <w:numId w:val="76"/>
        </w:numPr>
        <w:spacing w:before="0" w:beforeAutospacing="0" w:after="0" w:afterAutospacing="0"/>
        <w:ind w:left="0" w:firstLine="0"/>
        <w:contextualSpacing/>
        <w:rPr>
          <w:highlight w:val="yellow"/>
        </w:rPr>
      </w:pPr>
      <w:r w:rsidRPr="0091023B">
        <w:rPr>
          <w:highlight w:val="yellow"/>
        </w:rPr>
        <w:t>C</w:t>
      </w:r>
      <w:r w:rsidR="001D4203" w:rsidRPr="0091023B">
        <w:rPr>
          <w:highlight w:val="yellow"/>
        </w:rPr>
        <w:t>entrifuge the samples at 4</w:t>
      </w:r>
      <w:r w:rsidR="00D74B87" w:rsidRPr="0091023B">
        <w:rPr>
          <w:highlight w:val="yellow"/>
        </w:rPr>
        <w:t xml:space="preserve"> °C for 10 min</w:t>
      </w:r>
      <w:r w:rsidR="001D4203" w:rsidRPr="0091023B">
        <w:rPr>
          <w:highlight w:val="yellow"/>
        </w:rPr>
        <w:t xml:space="preserve"> at </w:t>
      </w:r>
      <w:r w:rsidR="00593B00" w:rsidRPr="0091023B">
        <w:rPr>
          <w:highlight w:val="yellow"/>
        </w:rPr>
        <w:t xml:space="preserve">approximately </w:t>
      </w:r>
      <w:r w:rsidR="00D74B87" w:rsidRPr="0091023B">
        <w:rPr>
          <w:color w:val="auto"/>
          <w:highlight w:val="yellow"/>
        </w:rPr>
        <w:t>15</w:t>
      </w:r>
      <w:r w:rsidR="00D74B87" w:rsidRPr="0091023B">
        <w:rPr>
          <w:highlight w:val="yellow"/>
        </w:rPr>
        <w:t>,</w:t>
      </w:r>
      <w:r w:rsidR="00593B00" w:rsidRPr="0091023B">
        <w:rPr>
          <w:highlight w:val="yellow"/>
        </w:rPr>
        <w:t>000</w:t>
      </w:r>
      <w:r w:rsidR="00D74B87" w:rsidRPr="0091023B">
        <w:rPr>
          <w:highlight w:val="yellow"/>
        </w:rPr>
        <w:t xml:space="preserve"> x </w:t>
      </w:r>
      <w:proofErr w:type="gramStart"/>
      <w:r w:rsidR="00D74B87" w:rsidRPr="0091023B">
        <w:rPr>
          <w:i/>
          <w:iCs/>
          <w:highlight w:val="yellow"/>
        </w:rPr>
        <w:t>g</w:t>
      </w:r>
      <w:r w:rsidR="001D4203" w:rsidRPr="0091023B">
        <w:rPr>
          <w:highlight w:val="yellow"/>
        </w:rPr>
        <w:t xml:space="preserve">, </w:t>
      </w:r>
      <w:r w:rsidR="007B1948" w:rsidRPr="0091023B">
        <w:rPr>
          <w:highlight w:val="yellow"/>
        </w:rPr>
        <w:t>and</w:t>
      </w:r>
      <w:proofErr w:type="gramEnd"/>
      <w:r w:rsidR="007B1948" w:rsidRPr="0091023B">
        <w:rPr>
          <w:highlight w:val="yellow"/>
        </w:rPr>
        <w:t xml:space="preserve"> </w:t>
      </w:r>
      <w:r w:rsidR="001D4203" w:rsidRPr="0091023B">
        <w:rPr>
          <w:highlight w:val="yellow"/>
        </w:rPr>
        <w:t>collect the supernatant</w:t>
      </w:r>
      <w:r w:rsidR="00010414" w:rsidRPr="0091023B">
        <w:rPr>
          <w:highlight w:val="yellow"/>
        </w:rPr>
        <w:t>. Samples may be processed immediately or</w:t>
      </w:r>
      <w:r w:rsidR="001D4203" w:rsidRPr="0091023B">
        <w:rPr>
          <w:highlight w:val="yellow"/>
        </w:rPr>
        <w:t xml:space="preserve"> store</w:t>
      </w:r>
      <w:r w:rsidR="00010414" w:rsidRPr="0091023B">
        <w:rPr>
          <w:highlight w:val="yellow"/>
        </w:rPr>
        <w:t>d</w:t>
      </w:r>
      <w:r w:rsidR="001D4203" w:rsidRPr="0091023B">
        <w:rPr>
          <w:highlight w:val="yellow"/>
        </w:rPr>
        <w:t xml:space="preserve"> at -80</w:t>
      </w:r>
      <w:r w:rsidR="00D74B87" w:rsidRPr="0091023B">
        <w:rPr>
          <w:highlight w:val="yellow"/>
        </w:rPr>
        <w:t xml:space="preserve"> </w:t>
      </w:r>
      <w:r w:rsidR="001D4203" w:rsidRPr="0091023B">
        <w:rPr>
          <w:highlight w:val="yellow"/>
        </w:rPr>
        <w:t xml:space="preserve">°C for further analysis. </w:t>
      </w:r>
    </w:p>
    <w:p w14:paraId="62D14855" w14:textId="77777777" w:rsidR="006A7F3C" w:rsidRDefault="006A7F3C" w:rsidP="009B5312">
      <w:pPr>
        <w:pStyle w:val="NormalWeb"/>
        <w:spacing w:before="0" w:beforeAutospacing="0" w:after="0" w:afterAutospacing="0"/>
        <w:contextualSpacing/>
      </w:pPr>
    </w:p>
    <w:p w14:paraId="0E8AAC24" w14:textId="294ECC9C" w:rsidR="001D4203" w:rsidRPr="00677B47" w:rsidRDefault="00A4491B" w:rsidP="009B5312">
      <w:pPr>
        <w:pStyle w:val="NormalWeb"/>
        <w:spacing w:before="0" w:beforeAutospacing="0" w:after="0" w:afterAutospacing="0"/>
        <w:contextualSpacing/>
      </w:pPr>
      <w:r w:rsidRPr="00677B47">
        <w:t xml:space="preserve">NOTE: </w:t>
      </w:r>
      <w:r w:rsidR="001D4203" w:rsidRPr="00677B47">
        <w:t xml:space="preserve">Sample lysates prepared using this protocol are compatible with </w:t>
      </w:r>
      <w:r w:rsidR="00C34C20" w:rsidRPr="00677B47">
        <w:t>W</w:t>
      </w:r>
      <w:r w:rsidR="001D4203" w:rsidRPr="00677B47">
        <w:t xml:space="preserve">estern blot, from which </w:t>
      </w:r>
      <w:r w:rsidR="0083301E" w:rsidRPr="00677B47">
        <w:t xml:space="preserve">the </w:t>
      </w:r>
      <w:r w:rsidR="00210159" w:rsidRPr="00677B47">
        <w:t>phagocyte/</w:t>
      </w:r>
      <w:r w:rsidR="0083301E" w:rsidRPr="00677B47">
        <w:t xml:space="preserve">microglial marker </w:t>
      </w:r>
      <w:r w:rsidR="00C34C20" w:rsidRPr="00677B47">
        <w:t>I</w:t>
      </w:r>
      <w:r w:rsidR="001D4203" w:rsidRPr="00677B47">
        <w:t>ba1 and</w:t>
      </w:r>
      <w:r w:rsidR="0083301E" w:rsidRPr="00677B47">
        <w:t>/or</w:t>
      </w:r>
      <w:r w:rsidR="00432BAE" w:rsidRPr="00677B47">
        <w:t xml:space="preserve"> the astrocyte activation marker</w:t>
      </w:r>
      <w:r w:rsidR="001D4203" w:rsidRPr="00677B47">
        <w:t xml:space="preserve"> GFAP can be analyzed to complement cytokine and phospho-protein</w:t>
      </w:r>
      <w:r w:rsidR="00F47C45" w:rsidRPr="00677B47">
        <w:t xml:space="preserve"> analysis for</w:t>
      </w:r>
      <w:r w:rsidR="001D4203" w:rsidRPr="00677B47">
        <w:t xml:space="preserve"> neuroinflammation studies</w:t>
      </w:r>
      <w:r w:rsidR="00577524" w:rsidRPr="00677B47">
        <w:fldChar w:fldCharType="begin"/>
      </w:r>
      <w:r w:rsidR="00594BFB" w:rsidRPr="00677B47">
        <w:instrText xml:space="preserve"> ADDIN ZOTERO_ITEM CSL_CITATION {"citationID":"kzzap1Wm","properties":{"formattedCitation":"\\super 11\\nosupersub{}","plainCitation":"11","noteIndex":0},"citationItems":[{"id":"ZyThaQRL/XHzSGOyR","uris":["http://zotero.org/users/local/Eoql7WGj/items/LHUWVLU3"],"uri":["http://zotero.org/users/local/Eoql7WGj/items/LHUWVLU3"],"itemData":{"id":20,"type":"article-journal","abstract":"Previous work has shown that non-invasive optical measurement of low cerebral blood flow (CBF) is an acute biomarker of poor long-term cognitive outcome after repetitive mild traumatic brain injury (rmTBI). Herein, we explore the relationship between acute cerebral blood flow and underlying neuroinflammation. Specifically, because neuroinflammation is a driver of secondary injury after TBI, we hypothesized that both glial activation and inflammatory signaling are associated with acute CBF and, by extension, with long-term cognitive outcome after rmTBI. To test this hypothesis, cortical CBF was non-invasively measured in anesthetized mice 4 h after 3 repetitive closed head injuries spaced once-daily, at which time brains were collected. Right hemispheres were fixed for immunohistochemical staining for glial activation markers Iba1 and GFAP while left hemispheres were used to quantify Iba1 and GFAP expression via Western blot as well as 32 cytokines and 21 phospho-proteins in the MAPK, PI3K/Akt, and NF-κB pathways using a Luminex multiplexed immunoassay. N = 8/7 injured/sham C57/black-6 adult male mice were studied. Within the injured group, CBF inversely correlated with Iba1 expression (R = -0.86, p &lt; .01). Further, partial least squares regression analysis revealed significant correlations between CBF and expression of multiple pro-inflammatory cytokines, including RANTES and IL-17. Finally, within the injured group, phosphorylation of specific signals in the MAPK and NF-κB intracellular signaling pathways (e.g., p38 MAPK and NF-κB) were significantly positively correlated with Iba1. In total, our data indicate that acute cerebral blood flow after rmTBI is a biomarker of underlying neuroinflammatory pathology.","container-title":"Neurobiology of Disease","DOI":"10.1016/j.nbd.2018.12.018","ISSN":"1095-953X","journalAbbreviation":"Neurobiol. Dis.","language":"eng","note":"PMID: 30592976\nPMCID: PMC6528169","page":"544-554","source":"PubMed","title":"Low cerebral blood flow is a non-invasive biomarker of neuroinflammation after repetitive mild traumatic brain injury","volume":"124","author":[{"family":"Sankar","given":"Sitara B."},{"family":"Pybus","given":"Alyssa F."},{"family":"Liew","given":"Amanda"},{"family":"Sanders","given":"Bharat"},{"family":"Shah","given":"Kajol J."},{"family":"Wood","given":"Levi B."},{"family":"Buckley","given":"Erin M."}],"issued":{"date-parts":[["2019"]]}}}],"schema":"https://github.com/citation-style-language/schema/raw/master/csl-citation.json"} </w:instrText>
      </w:r>
      <w:r w:rsidR="00577524" w:rsidRPr="00677B47">
        <w:fldChar w:fldCharType="separate"/>
      </w:r>
      <w:r w:rsidR="00577524" w:rsidRPr="00677B47">
        <w:rPr>
          <w:vertAlign w:val="superscript"/>
        </w:rPr>
        <w:t>11</w:t>
      </w:r>
      <w:r w:rsidR="00577524" w:rsidRPr="00677B47">
        <w:fldChar w:fldCharType="end"/>
      </w:r>
      <w:r w:rsidR="001D4203" w:rsidRPr="00677B47">
        <w:t xml:space="preserve">. </w:t>
      </w:r>
    </w:p>
    <w:p w14:paraId="415D4B46" w14:textId="571CA4C0" w:rsidR="00DD5B5C" w:rsidRPr="00677B47" w:rsidRDefault="00DD5B5C" w:rsidP="009B5312">
      <w:pPr>
        <w:pStyle w:val="NormalWeb"/>
        <w:spacing w:before="0" w:beforeAutospacing="0" w:after="0" w:afterAutospacing="0"/>
        <w:contextualSpacing/>
        <w:rPr>
          <w:highlight w:val="yellow"/>
        </w:rPr>
      </w:pPr>
    </w:p>
    <w:p w14:paraId="2310E8EC" w14:textId="23399D4C" w:rsidR="00730D13" w:rsidRPr="007B1948" w:rsidRDefault="00706EDE" w:rsidP="009B5312">
      <w:pPr>
        <w:pStyle w:val="ListParagraph"/>
        <w:numPr>
          <w:ilvl w:val="1"/>
          <w:numId w:val="76"/>
        </w:numPr>
        <w:ind w:left="0" w:firstLine="0"/>
      </w:pPr>
      <w:r w:rsidRPr="007B1948">
        <w:rPr>
          <w:highlight w:val="yellow"/>
        </w:rPr>
        <w:t>Multiplex immuno-</w:t>
      </w:r>
      <w:r w:rsidR="00676E10" w:rsidRPr="007B1948">
        <w:rPr>
          <w:highlight w:val="yellow"/>
        </w:rPr>
        <w:t xml:space="preserve">assay </w:t>
      </w:r>
      <w:r w:rsidR="00730D13" w:rsidRPr="007B1948">
        <w:rPr>
          <w:highlight w:val="yellow"/>
        </w:rPr>
        <w:t>protocol</w:t>
      </w:r>
      <w:r w:rsidR="00676E10" w:rsidRPr="007B1948">
        <w:rPr>
          <w:highlight w:val="yellow"/>
        </w:rPr>
        <w:t xml:space="preserve"> for cytokines and phospho-proteins</w:t>
      </w:r>
    </w:p>
    <w:p w14:paraId="49B23CDA" w14:textId="77777777" w:rsidR="00371C5D" w:rsidRPr="00677B47" w:rsidRDefault="00371C5D" w:rsidP="009B5312">
      <w:pPr>
        <w:pStyle w:val="ListParagraph"/>
        <w:ind w:left="0"/>
        <w:rPr>
          <w:b/>
          <w:bCs/>
        </w:rPr>
      </w:pPr>
    </w:p>
    <w:p w14:paraId="1DCA5C5A" w14:textId="059A4C1C" w:rsidR="00210159" w:rsidRPr="00677B47" w:rsidRDefault="00651875" w:rsidP="009B5312">
      <w:pPr>
        <w:contextualSpacing/>
        <w:rPr>
          <w:rFonts w:ascii="Calibri" w:hAnsi="Calibri" w:cs="Calibri"/>
        </w:rPr>
      </w:pPr>
      <w:r w:rsidRPr="00677B47">
        <w:rPr>
          <w:rFonts w:ascii="Calibri" w:hAnsi="Calibri" w:cs="Calibri"/>
        </w:rPr>
        <w:t xml:space="preserve">NOTE: </w:t>
      </w:r>
      <w:r w:rsidR="00A1341D" w:rsidRPr="00677B47">
        <w:rPr>
          <w:rFonts w:ascii="Calibri" w:hAnsi="Calibri" w:cs="Calibri"/>
        </w:rPr>
        <w:t>Although similar overall, there are some minor differences in the protocols for cytokine and phospho-protein kits. Differences are noted in each step.</w:t>
      </w:r>
      <w:r w:rsidR="00210159" w:rsidRPr="00677B47">
        <w:rPr>
          <w:rFonts w:ascii="Calibri" w:hAnsi="Calibri" w:cs="Calibri"/>
        </w:rPr>
        <w:t xml:space="preserve"> The steps to prepare samples for the Luminex assay are outlined below. </w:t>
      </w:r>
    </w:p>
    <w:p w14:paraId="38458D35" w14:textId="284E0F98" w:rsidR="00E35CF9" w:rsidRPr="00677B47" w:rsidRDefault="00E35CF9" w:rsidP="009B5312">
      <w:pPr>
        <w:contextualSpacing/>
        <w:rPr>
          <w:rFonts w:ascii="Calibri" w:hAnsi="Calibri" w:cs="Calibri"/>
        </w:rPr>
      </w:pPr>
    </w:p>
    <w:p w14:paraId="645D65BE" w14:textId="0ACE6889" w:rsidR="0049649E" w:rsidRPr="00677B47" w:rsidRDefault="00730D13" w:rsidP="009B5312">
      <w:pPr>
        <w:pStyle w:val="ListParagraph"/>
        <w:numPr>
          <w:ilvl w:val="2"/>
          <w:numId w:val="76"/>
        </w:numPr>
        <w:ind w:left="0" w:firstLine="0"/>
      </w:pPr>
      <w:r w:rsidRPr="00677B47">
        <w:rPr>
          <w:bCs/>
        </w:rPr>
        <w:t>Preparation of reagents</w:t>
      </w:r>
      <w:r w:rsidR="00A1341D" w:rsidRPr="00677B47">
        <w:rPr>
          <w:bCs/>
        </w:rPr>
        <w:t xml:space="preserve"> </w:t>
      </w:r>
      <w:r w:rsidR="007B1948" w:rsidRPr="007B1948">
        <w:t>(</w:t>
      </w:r>
      <w:r w:rsidR="00260009" w:rsidRPr="00677B47">
        <w:rPr>
          <w:bCs/>
        </w:rPr>
        <w:t>d</w:t>
      </w:r>
      <w:r w:rsidR="00210159" w:rsidRPr="00677B47">
        <w:rPr>
          <w:bCs/>
        </w:rPr>
        <w:t xml:space="preserve">ay 1, </w:t>
      </w:r>
      <w:r w:rsidR="00167F65" w:rsidRPr="00677B47">
        <w:rPr>
          <w:bCs/>
        </w:rPr>
        <w:t>same for cytokine and phospho-proteins</w:t>
      </w:r>
      <w:r w:rsidR="007B1948" w:rsidRPr="007B1948">
        <w:t>)</w:t>
      </w:r>
    </w:p>
    <w:p w14:paraId="2F4B5765" w14:textId="77777777" w:rsidR="007E1FD8" w:rsidRPr="00677B47" w:rsidRDefault="007E1FD8" w:rsidP="009B5312">
      <w:pPr>
        <w:contextualSpacing/>
        <w:rPr>
          <w:rFonts w:ascii="Calibri" w:hAnsi="Calibri" w:cs="Calibri"/>
        </w:rPr>
      </w:pPr>
    </w:p>
    <w:p w14:paraId="72776FFD" w14:textId="2D4D353D" w:rsidR="00E35CF9" w:rsidRPr="007B1948" w:rsidRDefault="00E35CF9" w:rsidP="009B5312">
      <w:pPr>
        <w:pStyle w:val="ListParagraph"/>
        <w:numPr>
          <w:ilvl w:val="3"/>
          <w:numId w:val="76"/>
        </w:numPr>
        <w:ind w:left="0" w:firstLine="0"/>
        <w:rPr>
          <w:bCs/>
          <w:u w:val="single"/>
        </w:rPr>
      </w:pPr>
      <w:r w:rsidRPr="007B1948">
        <w:t xml:space="preserve">Allow reagents to warm to room temperature </w:t>
      </w:r>
      <w:r w:rsidR="007B1948" w:rsidRPr="007B1948">
        <w:t>(</w:t>
      </w:r>
      <w:r w:rsidRPr="007B1948">
        <w:t>~30</w:t>
      </w:r>
      <w:r w:rsidR="00454F54" w:rsidRPr="007B1948">
        <w:t xml:space="preserve"> min</w:t>
      </w:r>
      <w:r w:rsidR="007B1948" w:rsidRPr="007B1948">
        <w:t>)</w:t>
      </w:r>
      <w:r w:rsidRPr="007B1948">
        <w:t xml:space="preserve">. </w:t>
      </w:r>
    </w:p>
    <w:p w14:paraId="28409200" w14:textId="77777777" w:rsidR="007E1FD8" w:rsidRPr="00677B47" w:rsidRDefault="007E1FD8" w:rsidP="009B5312">
      <w:pPr>
        <w:pStyle w:val="ListParagraph"/>
        <w:ind w:left="0"/>
        <w:rPr>
          <w:bCs/>
          <w:u w:val="single"/>
        </w:rPr>
      </w:pPr>
    </w:p>
    <w:p w14:paraId="6B102715" w14:textId="02F86A59" w:rsidR="00E35CF9" w:rsidRPr="00677B47" w:rsidRDefault="00210F80" w:rsidP="009B5312">
      <w:pPr>
        <w:pStyle w:val="ListParagraph"/>
        <w:numPr>
          <w:ilvl w:val="3"/>
          <w:numId w:val="76"/>
        </w:numPr>
        <w:ind w:left="0" w:firstLine="0"/>
        <w:rPr>
          <w:bCs/>
          <w:u w:val="single"/>
        </w:rPr>
      </w:pPr>
      <w:r w:rsidRPr="00677B47">
        <w:t>Sonicate</w:t>
      </w:r>
      <w:r w:rsidR="00E35CF9" w:rsidRPr="00677B47">
        <w:t xml:space="preserve"> multiplex magnetic beads bottle for 30 seconds followed by 1 mi</w:t>
      </w:r>
      <w:r w:rsidR="00160129" w:rsidRPr="00677B47">
        <w:t>n</w:t>
      </w:r>
      <w:r w:rsidR="00E35CF9" w:rsidRPr="00677B47">
        <w:t xml:space="preserve"> of vortexing. Ensure multiplex magnetic beads are shielded from light with aluminum foil or use provided light protective bottles. </w:t>
      </w:r>
    </w:p>
    <w:p w14:paraId="6D6A4EE6" w14:textId="77777777" w:rsidR="007E1FD8" w:rsidRPr="00677B47" w:rsidRDefault="007E1FD8" w:rsidP="009B5312">
      <w:pPr>
        <w:pStyle w:val="ListParagraph"/>
        <w:ind w:left="0"/>
        <w:rPr>
          <w:bCs/>
          <w:u w:val="single"/>
        </w:rPr>
      </w:pPr>
    </w:p>
    <w:p w14:paraId="52BA57C5" w14:textId="3004302B" w:rsidR="00210F80" w:rsidRPr="00677B47" w:rsidRDefault="00E35CF9" w:rsidP="009B5312">
      <w:pPr>
        <w:pStyle w:val="ListParagraph"/>
        <w:numPr>
          <w:ilvl w:val="3"/>
          <w:numId w:val="76"/>
        </w:numPr>
        <w:ind w:left="0" w:firstLine="0"/>
      </w:pPr>
      <w:r w:rsidRPr="00677B47">
        <w:t>Prepare wash buffer by mixing 0.1% Tween20 in 1xPBS or alternatively use the wash buffer provided in the kit.</w:t>
      </w:r>
      <w:r w:rsidR="00981AEE" w:rsidRPr="00677B47">
        <w:t xml:space="preserve"> </w:t>
      </w:r>
    </w:p>
    <w:p w14:paraId="274E878F" w14:textId="77777777" w:rsidR="00E35CF9" w:rsidRPr="00677B47" w:rsidRDefault="00E35CF9" w:rsidP="009B5312">
      <w:pPr>
        <w:contextualSpacing/>
        <w:rPr>
          <w:rFonts w:ascii="Calibri" w:hAnsi="Calibri" w:cs="Calibri"/>
        </w:rPr>
      </w:pPr>
    </w:p>
    <w:p w14:paraId="76355052" w14:textId="4EF43D69" w:rsidR="00E35CF9" w:rsidRPr="00677B47" w:rsidRDefault="00E35CF9" w:rsidP="009B5312">
      <w:pPr>
        <w:pStyle w:val="ListParagraph"/>
        <w:numPr>
          <w:ilvl w:val="2"/>
          <w:numId w:val="76"/>
        </w:numPr>
        <w:ind w:left="0" w:firstLine="0"/>
      </w:pPr>
      <w:r w:rsidRPr="00677B47">
        <w:rPr>
          <w:highlight w:val="yellow"/>
        </w:rPr>
        <w:t xml:space="preserve">Preparation of lysed tissue samples </w:t>
      </w:r>
      <w:r w:rsidR="007B1948" w:rsidRPr="007B1948">
        <w:t>(</w:t>
      </w:r>
      <w:r w:rsidR="00260009" w:rsidRPr="00677B47">
        <w:rPr>
          <w:bCs/>
          <w:highlight w:val="yellow"/>
        </w:rPr>
        <w:t>d</w:t>
      </w:r>
      <w:r w:rsidR="00210159" w:rsidRPr="00677B47">
        <w:rPr>
          <w:bCs/>
          <w:highlight w:val="yellow"/>
        </w:rPr>
        <w:t xml:space="preserve">ay 1, </w:t>
      </w:r>
      <w:r w:rsidR="00210159" w:rsidRPr="00677B47">
        <w:rPr>
          <w:highlight w:val="yellow"/>
        </w:rPr>
        <w:t>s</w:t>
      </w:r>
      <w:r w:rsidRPr="00677B47">
        <w:rPr>
          <w:highlight w:val="yellow"/>
        </w:rPr>
        <w:t>ame for cytokine and phospho-protein</w:t>
      </w:r>
      <w:r w:rsidR="007B1948" w:rsidRPr="007B1948">
        <w:t>)</w:t>
      </w:r>
    </w:p>
    <w:p w14:paraId="2EE60731" w14:textId="77777777" w:rsidR="007E1FD8" w:rsidRPr="00677B47" w:rsidRDefault="007E1FD8" w:rsidP="009B5312">
      <w:pPr>
        <w:pStyle w:val="ListParagraph"/>
        <w:ind w:left="0"/>
      </w:pPr>
    </w:p>
    <w:p w14:paraId="5A44A748" w14:textId="037FC6BC" w:rsidR="00E769D1" w:rsidRPr="0091023B" w:rsidRDefault="00E769D1" w:rsidP="009B5312">
      <w:pPr>
        <w:pStyle w:val="ListParagraph"/>
        <w:numPr>
          <w:ilvl w:val="3"/>
          <w:numId w:val="76"/>
        </w:numPr>
        <w:ind w:left="0" w:firstLine="0"/>
        <w:rPr>
          <w:highlight w:val="yellow"/>
        </w:rPr>
      </w:pPr>
      <w:r w:rsidRPr="0091023B">
        <w:rPr>
          <w:highlight w:val="yellow"/>
        </w:rPr>
        <w:t xml:space="preserve">If previously frozen, remove lysed tissues samples from freezer and allow to thaw on ice </w:t>
      </w:r>
      <w:r w:rsidR="007B1948" w:rsidRPr="0091023B">
        <w:rPr>
          <w:highlight w:val="yellow"/>
        </w:rPr>
        <w:t>(</w:t>
      </w:r>
      <w:r w:rsidRPr="0091023B">
        <w:rPr>
          <w:highlight w:val="yellow"/>
        </w:rPr>
        <w:t>~20 min</w:t>
      </w:r>
      <w:r w:rsidR="007B1948" w:rsidRPr="0091023B">
        <w:rPr>
          <w:highlight w:val="yellow"/>
        </w:rPr>
        <w:t>)</w:t>
      </w:r>
      <w:r w:rsidRPr="0091023B">
        <w:rPr>
          <w:highlight w:val="yellow"/>
        </w:rPr>
        <w:t xml:space="preserve">. Centrifuge samples for 10 min at </w:t>
      </w:r>
      <w:r w:rsidR="00D74B87" w:rsidRPr="0091023B">
        <w:rPr>
          <w:highlight w:val="yellow"/>
        </w:rPr>
        <w:t xml:space="preserve">9,167 x </w:t>
      </w:r>
      <w:r w:rsidR="00D74B87" w:rsidRPr="0091023B">
        <w:rPr>
          <w:i/>
          <w:iCs/>
          <w:highlight w:val="yellow"/>
        </w:rPr>
        <w:t>g</w:t>
      </w:r>
      <w:r w:rsidRPr="0091023B">
        <w:rPr>
          <w:highlight w:val="yellow"/>
        </w:rPr>
        <w:t xml:space="preserve"> to remove precipitate.</w:t>
      </w:r>
      <w:r w:rsidRPr="0091023B" w:rsidDel="00785E8B">
        <w:rPr>
          <w:highlight w:val="yellow"/>
        </w:rPr>
        <w:t xml:space="preserve"> </w:t>
      </w:r>
    </w:p>
    <w:p w14:paraId="46FD4916" w14:textId="77777777" w:rsidR="007E1FD8" w:rsidRPr="0091023B" w:rsidRDefault="007E1FD8" w:rsidP="009B5312">
      <w:pPr>
        <w:pStyle w:val="ListParagraph"/>
        <w:ind w:left="0"/>
        <w:rPr>
          <w:highlight w:val="yellow"/>
        </w:rPr>
      </w:pPr>
    </w:p>
    <w:p w14:paraId="16D26B9F" w14:textId="5605F47A" w:rsidR="00E769D1" w:rsidRPr="0091023B" w:rsidRDefault="00E769D1" w:rsidP="009B5312">
      <w:pPr>
        <w:pStyle w:val="ListParagraph"/>
        <w:numPr>
          <w:ilvl w:val="3"/>
          <w:numId w:val="76"/>
        </w:numPr>
        <w:ind w:left="0" w:firstLine="0"/>
        <w:rPr>
          <w:highlight w:val="yellow"/>
        </w:rPr>
      </w:pPr>
      <w:r w:rsidRPr="0091023B">
        <w:rPr>
          <w:highlight w:val="yellow"/>
        </w:rPr>
        <w:t xml:space="preserve">Prepare 25 µL of sample at the optimal protein concentration determined by the linear range analysis </w:t>
      </w:r>
      <w:r w:rsidR="007B1948" w:rsidRPr="0091023B">
        <w:rPr>
          <w:highlight w:val="yellow"/>
        </w:rPr>
        <w:t>(</w:t>
      </w:r>
      <w:r w:rsidRPr="0091023B">
        <w:rPr>
          <w:highlight w:val="yellow"/>
        </w:rPr>
        <w:t>see section 3.3</w:t>
      </w:r>
      <w:r w:rsidR="007B1948" w:rsidRPr="0091023B">
        <w:rPr>
          <w:highlight w:val="yellow"/>
        </w:rPr>
        <w:t>)</w:t>
      </w:r>
      <w:r w:rsidRPr="0091023B">
        <w:rPr>
          <w:highlight w:val="yellow"/>
        </w:rPr>
        <w:t xml:space="preserve">. To normalize total volume for all samples, dilute samples in assay buffer provided in the kit. </w:t>
      </w:r>
    </w:p>
    <w:p w14:paraId="218FD7E9" w14:textId="77777777" w:rsidR="00E35CF9" w:rsidRPr="00677B47" w:rsidRDefault="00E35CF9" w:rsidP="009B5312">
      <w:pPr>
        <w:pStyle w:val="ListParagraph"/>
        <w:ind w:left="0"/>
        <w:rPr>
          <w:highlight w:val="yellow"/>
        </w:rPr>
      </w:pPr>
    </w:p>
    <w:p w14:paraId="607192A0" w14:textId="0F1C91A2" w:rsidR="00E769D1" w:rsidRPr="00677B47" w:rsidRDefault="00E35CF9" w:rsidP="009B5312">
      <w:pPr>
        <w:pStyle w:val="ListParagraph"/>
        <w:numPr>
          <w:ilvl w:val="2"/>
          <w:numId w:val="76"/>
        </w:numPr>
        <w:ind w:left="0" w:firstLine="0"/>
        <w:rPr>
          <w:highlight w:val="yellow"/>
        </w:rPr>
      </w:pPr>
      <w:r w:rsidRPr="00677B47">
        <w:rPr>
          <w:highlight w:val="yellow"/>
        </w:rPr>
        <w:t xml:space="preserve">Preparation of 96 well plate </w:t>
      </w:r>
      <w:r w:rsidR="007B1948" w:rsidRPr="007B1948">
        <w:t>(</w:t>
      </w:r>
      <w:r w:rsidR="00260009" w:rsidRPr="00677B47">
        <w:rPr>
          <w:bCs/>
          <w:highlight w:val="yellow"/>
        </w:rPr>
        <w:t>d</w:t>
      </w:r>
      <w:r w:rsidR="00210159" w:rsidRPr="00677B47">
        <w:rPr>
          <w:bCs/>
          <w:highlight w:val="yellow"/>
        </w:rPr>
        <w:t xml:space="preserve">ay 1, </w:t>
      </w:r>
      <w:r w:rsidRPr="00677B47">
        <w:rPr>
          <w:highlight w:val="yellow"/>
        </w:rPr>
        <w:t xml:space="preserve">same for cytokine and </w:t>
      </w:r>
      <w:r w:rsidR="00210159" w:rsidRPr="00677B47">
        <w:rPr>
          <w:highlight w:val="yellow"/>
        </w:rPr>
        <w:t>phospho</w:t>
      </w:r>
      <w:r w:rsidRPr="00677B47">
        <w:rPr>
          <w:highlight w:val="yellow"/>
        </w:rPr>
        <w:t>-proteins</w:t>
      </w:r>
      <w:r w:rsidR="007B1948" w:rsidRPr="007B1948">
        <w:t>)</w:t>
      </w:r>
    </w:p>
    <w:p w14:paraId="2789EE8E" w14:textId="77777777" w:rsidR="0049649E" w:rsidRPr="00677B47" w:rsidRDefault="0049649E" w:rsidP="009B5312">
      <w:pPr>
        <w:pStyle w:val="ListParagraph"/>
        <w:ind w:left="0"/>
        <w:rPr>
          <w:highlight w:val="yellow"/>
          <w:u w:val="single"/>
        </w:rPr>
      </w:pPr>
    </w:p>
    <w:p w14:paraId="511E1053" w14:textId="17307DED" w:rsidR="001607F0" w:rsidRPr="00677B47" w:rsidRDefault="00C051CC" w:rsidP="009B5312">
      <w:pPr>
        <w:pStyle w:val="ListParagraph"/>
        <w:numPr>
          <w:ilvl w:val="3"/>
          <w:numId w:val="76"/>
        </w:numPr>
        <w:ind w:left="0" w:firstLine="0"/>
      </w:pPr>
      <w:r w:rsidRPr="00677B47">
        <w:t>Use the 96 well plate included in the kit or one with a thin bottom</w:t>
      </w:r>
      <w:r w:rsidR="007B1948">
        <w:t xml:space="preserve"> </w:t>
      </w:r>
      <w:r w:rsidR="007B1948" w:rsidRPr="007B1948">
        <w:t>(</w:t>
      </w:r>
      <w:r w:rsidR="007B1948">
        <w:t>e.g.,</w:t>
      </w:r>
      <w:r w:rsidRPr="00677B47">
        <w:t xml:space="preserve"> </w:t>
      </w:r>
      <w:bookmarkStart w:id="5" w:name="OLE_LINK9"/>
      <w:bookmarkStart w:id="6" w:name="OLE_LINK10"/>
      <w:r w:rsidRPr="00677B47">
        <w:t>Brand Tech</w:t>
      </w:r>
      <w:bookmarkEnd w:id="5"/>
      <w:bookmarkEnd w:id="6"/>
      <w:r w:rsidR="007B1948" w:rsidRPr="007B1948">
        <w:t>)</w:t>
      </w:r>
      <w:r w:rsidR="00AA0BA5" w:rsidRPr="00677B47">
        <w:t>.</w:t>
      </w:r>
    </w:p>
    <w:p w14:paraId="388F6DF3" w14:textId="77777777" w:rsidR="007E1FD8" w:rsidRPr="0091023B" w:rsidRDefault="007E1FD8" w:rsidP="009B5312">
      <w:pPr>
        <w:pStyle w:val="ListParagraph"/>
        <w:ind w:left="0"/>
        <w:rPr>
          <w:highlight w:val="yellow"/>
        </w:rPr>
      </w:pPr>
    </w:p>
    <w:p w14:paraId="09651799" w14:textId="679F1F69" w:rsidR="001607F0" w:rsidRPr="0091023B" w:rsidRDefault="00730D13" w:rsidP="009B5312">
      <w:pPr>
        <w:pStyle w:val="ListParagraph"/>
        <w:numPr>
          <w:ilvl w:val="3"/>
          <w:numId w:val="76"/>
        </w:numPr>
        <w:ind w:left="0" w:firstLine="0"/>
        <w:rPr>
          <w:highlight w:val="yellow"/>
        </w:rPr>
      </w:pPr>
      <w:r w:rsidRPr="0091023B">
        <w:rPr>
          <w:highlight w:val="yellow"/>
        </w:rPr>
        <w:t xml:space="preserve">Add 200 </w:t>
      </w:r>
      <w:r w:rsidR="001D4203" w:rsidRPr="0091023B">
        <w:rPr>
          <w:highlight w:val="yellow"/>
        </w:rPr>
        <w:t>µL</w:t>
      </w:r>
      <w:r w:rsidRPr="0091023B">
        <w:rPr>
          <w:highlight w:val="yellow"/>
        </w:rPr>
        <w:t xml:space="preserve"> of wash</w:t>
      </w:r>
      <w:r w:rsidR="00F06E54" w:rsidRPr="0091023B">
        <w:rPr>
          <w:highlight w:val="yellow"/>
        </w:rPr>
        <w:t xml:space="preserve"> </w:t>
      </w:r>
      <w:r w:rsidRPr="0091023B">
        <w:rPr>
          <w:highlight w:val="yellow"/>
        </w:rPr>
        <w:t xml:space="preserve">buffer </w:t>
      </w:r>
      <w:r w:rsidR="007B1948" w:rsidRPr="0091023B">
        <w:rPr>
          <w:highlight w:val="yellow"/>
        </w:rPr>
        <w:t>(</w:t>
      </w:r>
      <w:r w:rsidR="001527D3" w:rsidRPr="0091023B">
        <w:rPr>
          <w:highlight w:val="yellow"/>
        </w:rPr>
        <w:t xml:space="preserve">or </w:t>
      </w:r>
      <w:r w:rsidRPr="0091023B">
        <w:rPr>
          <w:highlight w:val="yellow"/>
        </w:rPr>
        <w:t>1</w:t>
      </w:r>
      <w:r w:rsidR="007B1948" w:rsidRPr="0091023B">
        <w:rPr>
          <w:highlight w:val="yellow"/>
        </w:rPr>
        <w:t>x</w:t>
      </w:r>
      <w:r w:rsidRPr="0091023B">
        <w:rPr>
          <w:highlight w:val="yellow"/>
        </w:rPr>
        <w:t xml:space="preserve"> PBS, 0.1% Tween</w:t>
      </w:r>
      <w:r w:rsidR="007B1948" w:rsidRPr="0091023B">
        <w:rPr>
          <w:highlight w:val="yellow"/>
        </w:rPr>
        <w:t>)</w:t>
      </w:r>
      <w:r w:rsidRPr="0091023B">
        <w:rPr>
          <w:highlight w:val="yellow"/>
        </w:rPr>
        <w:t xml:space="preserve"> into each well and </w:t>
      </w:r>
      <w:r w:rsidR="000851D9" w:rsidRPr="0091023B">
        <w:rPr>
          <w:highlight w:val="yellow"/>
        </w:rPr>
        <w:t>m</w:t>
      </w:r>
      <w:r w:rsidRPr="0091023B">
        <w:rPr>
          <w:highlight w:val="yellow"/>
        </w:rPr>
        <w:t xml:space="preserve">ix on plate shaker for 10 min at </w:t>
      </w:r>
      <w:r w:rsidR="0004695D" w:rsidRPr="0091023B">
        <w:rPr>
          <w:highlight w:val="yellow"/>
        </w:rPr>
        <w:t>750 rpm.</w:t>
      </w:r>
    </w:p>
    <w:p w14:paraId="6FB605A0" w14:textId="77777777" w:rsidR="007E1FD8" w:rsidRPr="0091023B" w:rsidRDefault="007E1FD8" w:rsidP="009B5312">
      <w:pPr>
        <w:pStyle w:val="ListParagraph"/>
        <w:ind w:left="0"/>
        <w:rPr>
          <w:highlight w:val="yellow"/>
        </w:rPr>
      </w:pPr>
    </w:p>
    <w:p w14:paraId="6C1B3ECD" w14:textId="4D4780D1" w:rsidR="00730D13" w:rsidRPr="0091023B" w:rsidRDefault="00730D13" w:rsidP="009B5312">
      <w:pPr>
        <w:pStyle w:val="ListParagraph"/>
        <w:numPr>
          <w:ilvl w:val="3"/>
          <w:numId w:val="76"/>
        </w:numPr>
        <w:ind w:left="0" w:firstLine="0"/>
        <w:rPr>
          <w:highlight w:val="yellow"/>
        </w:rPr>
      </w:pPr>
      <w:r w:rsidRPr="0091023B">
        <w:rPr>
          <w:highlight w:val="yellow"/>
        </w:rPr>
        <w:t>Decant</w:t>
      </w:r>
      <w:r w:rsidR="001527D3" w:rsidRPr="0091023B">
        <w:rPr>
          <w:highlight w:val="yellow"/>
        </w:rPr>
        <w:t xml:space="preserve"> wash b</w:t>
      </w:r>
      <w:r w:rsidRPr="0091023B">
        <w:rPr>
          <w:highlight w:val="yellow"/>
        </w:rPr>
        <w:t>uffer</w:t>
      </w:r>
      <w:r w:rsidR="006C3386" w:rsidRPr="0091023B">
        <w:rPr>
          <w:highlight w:val="yellow"/>
        </w:rPr>
        <w:t xml:space="preserve"> </w:t>
      </w:r>
      <w:r w:rsidR="00C051CC" w:rsidRPr="0091023B">
        <w:rPr>
          <w:highlight w:val="yellow"/>
        </w:rPr>
        <w:t>and t</w:t>
      </w:r>
      <w:r w:rsidRPr="0091023B">
        <w:rPr>
          <w:highlight w:val="yellow"/>
        </w:rPr>
        <w:t>ap the plate onto a paper towel to remove residu</w:t>
      </w:r>
      <w:r w:rsidR="000851D9" w:rsidRPr="0091023B">
        <w:rPr>
          <w:highlight w:val="yellow"/>
        </w:rPr>
        <w:t>e.</w:t>
      </w:r>
    </w:p>
    <w:p w14:paraId="1E473510" w14:textId="77777777" w:rsidR="00B06106" w:rsidRPr="0091023B" w:rsidRDefault="00B06106" w:rsidP="009B5312">
      <w:pPr>
        <w:pStyle w:val="ListParagraph"/>
        <w:ind w:left="0"/>
        <w:rPr>
          <w:highlight w:val="yellow"/>
        </w:rPr>
      </w:pPr>
    </w:p>
    <w:p w14:paraId="0856DD35" w14:textId="2AF7DC8A" w:rsidR="00C051CC" w:rsidRPr="0091023B" w:rsidRDefault="00C051CC" w:rsidP="009B5312">
      <w:pPr>
        <w:pStyle w:val="ListParagraph"/>
        <w:numPr>
          <w:ilvl w:val="2"/>
          <w:numId w:val="76"/>
        </w:numPr>
        <w:ind w:left="0" w:firstLine="0"/>
        <w:rPr>
          <w:highlight w:val="yellow"/>
        </w:rPr>
      </w:pPr>
      <w:r w:rsidRPr="0091023B">
        <w:rPr>
          <w:bCs/>
          <w:highlight w:val="yellow"/>
        </w:rPr>
        <w:t>Immunoassay procedure</w:t>
      </w:r>
      <w:r w:rsidR="002E4AD2" w:rsidRPr="0091023B">
        <w:rPr>
          <w:bCs/>
          <w:highlight w:val="yellow"/>
        </w:rPr>
        <w:t xml:space="preserve"> for Cytokines</w:t>
      </w:r>
      <w:r w:rsidRPr="0091023B">
        <w:rPr>
          <w:bCs/>
          <w:highlight w:val="yellow"/>
        </w:rPr>
        <w:t xml:space="preserve"> </w:t>
      </w:r>
      <w:r w:rsidR="007B1948" w:rsidRPr="0091023B">
        <w:rPr>
          <w:highlight w:val="yellow"/>
        </w:rPr>
        <w:t>(</w:t>
      </w:r>
      <w:r w:rsidR="001B220D" w:rsidRPr="0091023B">
        <w:rPr>
          <w:bCs/>
          <w:highlight w:val="yellow"/>
        </w:rPr>
        <w:t>d</w:t>
      </w:r>
      <w:r w:rsidRPr="0091023B">
        <w:rPr>
          <w:bCs/>
          <w:highlight w:val="yellow"/>
        </w:rPr>
        <w:t>ay 1</w:t>
      </w:r>
      <w:r w:rsidR="007B1948" w:rsidRPr="0091023B">
        <w:rPr>
          <w:highlight w:val="yellow"/>
        </w:rPr>
        <w:t>)</w:t>
      </w:r>
    </w:p>
    <w:p w14:paraId="35B4F2BD" w14:textId="77777777" w:rsidR="00B06106" w:rsidRPr="0091023B" w:rsidRDefault="00B06106" w:rsidP="009B5312">
      <w:pPr>
        <w:pStyle w:val="ListParagraph"/>
        <w:ind w:left="0"/>
        <w:rPr>
          <w:b/>
          <w:i/>
          <w:iCs/>
          <w:highlight w:val="yellow"/>
        </w:rPr>
      </w:pPr>
    </w:p>
    <w:p w14:paraId="6AE73038" w14:textId="081A54DA" w:rsidR="001607F0" w:rsidRPr="0091023B" w:rsidRDefault="00730D13" w:rsidP="009B5312">
      <w:pPr>
        <w:pStyle w:val="ListParagraph"/>
        <w:numPr>
          <w:ilvl w:val="3"/>
          <w:numId w:val="76"/>
        </w:numPr>
        <w:ind w:left="0" w:firstLine="0"/>
        <w:rPr>
          <w:bCs/>
          <w:highlight w:val="yellow"/>
        </w:rPr>
      </w:pPr>
      <w:r w:rsidRPr="0091023B">
        <w:rPr>
          <w:highlight w:val="yellow"/>
        </w:rPr>
        <w:t>Add the following to each well in order</w:t>
      </w:r>
      <w:r w:rsidR="007B1948" w:rsidRPr="0091023B">
        <w:rPr>
          <w:highlight w:val="yellow"/>
        </w:rPr>
        <w:t>.</w:t>
      </w:r>
    </w:p>
    <w:p w14:paraId="10640874" w14:textId="77777777" w:rsidR="007E1FD8" w:rsidRPr="0091023B" w:rsidRDefault="007E1FD8" w:rsidP="009B5312">
      <w:pPr>
        <w:pStyle w:val="ListParagraph"/>
        <w:ind w:left="0"/>
        <w:rPr>
          <w:bCs/>
          <w:highlight w:val="yellow"/>
        </w:rPr>
      </w:pPr>
    </w:p>
    <w:p w14:paraId="4231CCFA" w14:textId="1CFC178A" w:rsidR="001607F0" w:rsidRPr="0091023B" w:rsidRDefault="007B1948" w:rsidP="009B5312">
      <w:pPr>
        <w:pStyle w:val="ListParagraph"/>
        <w:numPr>
          <w:ilvl w:val="4"/>
          <w:numId w:val="76"/>
        </w:numPr>
        <w:ind w:left="0" w:firstLine="0"/>
        <w:rPr>
          <w:highlight w:val="yellow"/>
        </w:rPr>
      </w:pPr>
      <w:r w:rsidRPr="0091023B">
        <w:rPr>
          <w:highlight w:val="yellow"/>
        </w:rPr>
        <w:t xml:space="preserve">Add </w:t>
      </w:r>
      <w:r w:rsidR="001607F0" w:rsidRPr="0091023B">
        <w:rPr>
          <w:highlight w:val="yellow"/>
        </w:rPr>
        <w:t xml:space="preserve">25 </w:t>
      </w:r>
      <w:r w:rsidR="00B75379" w:rsidRPr="0091023B">
        <w:rPr>
          <w:highlight w:val="yellow"/>
        </w:rPr>
        <w:t>µ</w:t>
      </w:r>
      <w:r w:rsidR="001607F0" w:rsidRPr="0091023B">
        <w:rPr>
          <w:highlight w:val="yellow"/>
        </w:rPr>
        <w:t xml:space="preserve">L </w:t>
      </w:r>
      <w:r w:rsidR="00985EAF">
        <w:rPr>
          <w:highlight w:val="yellow"/>
        </w:rPr>
        <w:t xml:space="preserve">of </w:t>
      </w:r>
      <w:r w:rsidR="002D0DBC" w:rsidRPr="0091023B">
        <w:rPr>
          <w:highlight w:val="yellow"/>
        </w:rPr>
        <w:t>a</w:t>
      </w:r>
      <w:r w:rsidR="001607F0" w:rsidRPr="0091023B">
        <w:rPr>
          <w:highlight w:val="yellow"/>
        </w:rPr>
        <w:t xml:space="preserve">ssay </w:t>
      </w:r>
      <w:r w:rsidR="002D0DBC" w:rsidRPr="0091023B">
        <w:rPr>
          <w:highlight w:val="yellow"/>
        </w:rPr>
        <w:t>b</w:t>
      </w:r>
      <w:r w:rsidR="001607F0" w:rsidRPr="0091023B">
        <w:rPr>
          <w:highlight w:val="yellow"/>
        </w:rPr>
        <w:t>uffer to all wells</w:t>
      </w:r>
      <w:r w:rsidR="002D0DBC" w:rsidRPr="0091023B">
        <w:rPr>
          <w:highlight w:val="yellow"/>
        </w:rPr>
        <w:t>.</w:t>
      </w:r>
    </w:p>
    <w:p w14:paraId="07085C65" w14:textId="77777777" w:rsidR="007B1948" w:rsidRPr="00677B47" w:rsidRDefault="007B1948" w:rsidP="009B5312">
      <w:pPr>
        <w:pStyle w:val="ListParagraph"/>
        <w:ind w:left="0"/>
        <w:rPr>
          <w:highlight w:val="yellow"/>
        </w:rPr>
      </w:pPr>
    </w:p>
    <w:p w14:paraId="0B917DBF" w14:textId="68726696" w:rsidR="001607F0" w:rsidRPr="00677B47" w:rsidRDefault="007B1948" w:rsidP="009B5312">
      <w:pPr>
        <w:pStyle w:val="ListParagraph"/>
        <w:numPr>
          <w:ilvl w:val="4"/>
          <w:numId w:val="76"/>
        </w:numPr>
        <w:ind w:left="0" w:firstLine="0"/>
      </w:pPr>
      <w:r>
        <w:rPr>
          <w:highlight w:val="yellow"/>
        </w:rPr>
        <w:t>Add</w:t>
      </w:r>
      <w:r w:rsidR="00981AEE" w:rsidRPr="00677B47">
        <w:rPr>
          <w:highlight w:val="yellow"/>
        </w:rPr>
        <w:t xml:space="preserve"> </w:t>
      </w:r>
      <w:r w:rsidR="001607F0" w:rsidRPr="00677B47">
        <w:rPr>
          <w:highlight w:val="yellow"/>
        </w:rPr>
        <w:t xml:space="preserve">25 </w:t>
      </w:r>
      <w:r w:rsidR="00B75379" w:rsidRPr="00677B47">
        <w:rPr>
          <w:highlight w:val="yellow"/>
        </w:rPr>
        <w:t>µ</w:t>
      </w:r>
      <w:r w:rsidR="001607F0" w:rsidRPr="00677B47">
        <w:rPr>
          <w:highlight w:val="yellow"/>
        </w:rPr>
        <w:t xml:space="preserve">L of additional </w:t>
      </w:r>
      <w:r w:rsidR="002D0DBC" w:rsidRPr="00677B47">
        <w:rPr>
          <w:highlight w:val="yellow"/>
        </w:rPr>
        <w:t>a</w:t>
      </w:r>
      <w:r w:rsidR="001607F0" w:rsidRPr="00677B47">
        <w:rPr>
          <w:highlight w:val="yellow"/>
        </w:rPr>
        <w:t>ssay buffer ONLY to background wells</w:t>
      </w:r>
      <w:r w:rsidR="002D0DBC" w:rsidRPr="00677B47">
        <w:rPr>
          <w:highlight w:val="yellow"/>
        </w:rPr>
        <w:t xml:space="preserve">. </w:t>
      </w:r>
      <w:r w:rsidR="002D0DBC" w:rsidRPr="00677B47">
        <w:t>For every experimental run, have at least two background wells. Background wells have no sample loaded and define the fluorescent intensity read by the instrument without sample.</w:t>
      </w:r>
    </w:p>
    <w:p w14:paraId="73DC0B8C" w14:textId="77777777" w:rsidR="007E1FD8" w:rsidRPr="00677B47" w:rsidRDefault="007E1FD8" w:rsidP="009B5312">
      <w:pPr>
        <w:pStyle w:val="ListParagraph"/>
        <w:widowControl/>
        <w:autoSpaceDE/>
        <w:autoSpaceDN/>
        <w:adjustRightInd/>
        <w:ind w:left="0"/>
        <w:rPr>
          <w:highlight w:val="yellow"/>
        </w:rPr>
      </w:pPr>
    </w:p>
    <w:p w14:paraId="381DA7EE" w14:textId="6119587F" w:rsidR="00C4136F" w:rsidRPr="0091023B" w:rsidRDefault="00875EEA" w:rsidP="009B5312">
      <w:pPr>
        <w:pStyle w:val="ListParagraph"/>
        <w:numPr>
          <w:ilvl w:val="4"/>
          <w:numId w:val="76"/>
        </w:numPr>
        <w:ind w:left="0" w:firstLine="0"/>
        <w:rPr>
          <w:highlight w:val="yellow"/>
        </w:rPr>
      </w:pPr>
      <w:r w:rsidRPr="0091023B">
        <w:rPr>
          <w:highlight w:val="yellow"/>
        </w:rPr>
        <w:t xml:space="preserve"> </w:t>
      </w:r>
      <w:r w:rsidR="007B1948" w:rsidRPr="0091023B">
        <w:rPr>
          <w:highlight w:val="yellow"/>
        </w:rPr>
        <w:t xml:space="preserve">Add </w:t>
      </w:r>
      <w:r w:rsidR="001607F0" w:rsidRPr="0091023B">
        <w:rPr>
          <w:highlight w:val="yellow"/>
        </w:rPr>
        <w:t xml:space="preserve">25 </w:t>
      </w:r>
      <w:r w:rsidR="00B75379" w:rsidRPr="0091023B">
        <w:rPr>
          <w:highlight w:val="yellow"/>
        </w:rPr>
        <w:t>µ</w:t>
      </w:r>
      <w:r w:rsidR="001607F0" w:rsidRPr="0091023B">
        <w:rPr>
          <w:highlight w:val="yellow"/>
        </w:rPr>
        <w:t>L of diluted samples to samples wells</w:t>
      </w:r>
      <w:r w:rsidR="002D0DBC" w:rsidRPr="0091023B">
        <w:rPr>
          <w:highlight w:val="yellow"/>
        </w:rPr>
        <w:t>.</w:t>
      </w:r>
    </w:p>
    <w:p w14:paraId="0F7CD4A5" w14:textId="072D489B" w:rsidR="00AA0BA5" w:rsidRPr="0091023B" w:rsidRDefault="00AA0BA5" w:rsidP="009B5312">
      <w:pPr>
        <w:pStyle w:val="ListParagraph"/>
        <w:ind w:left="0"/>
        <w:rPr>
          <w:highlight w:val="yellow"/>
        </w:rPr>
      </w:pPr>
    </w:p>
    <w:p w14:paraId="5E08F1A3" w14:textId="4972C2AE" w:rsidR="001607F0" w:rsidRPr="0091023B" w:rsidRDefault="007B1948" w:rsidP="009B5312">
      <w:pPr>
        <w:pStyle w:val="ListParagraph"/>
        <w:numPr>
          <w:ilvl w:val="4"/>
          <w:numId w:val="76"/>
        </w:numPr>
        <w:ind w:left="0" w:firstLine="0"/>
        <w:rPr>
          <w:highlight w:val="yellow"/>
        </w:rPr>
      </w:pPr>
      <w:r w:rsidRPr="0091023B">
        <w:rPr>
          <w:highlight w:val="yellow"/>
        </w:rPr>
        <w:t xml:space="preserve">Add </w:t>
      </w:r>
      <w:r w:rsidR="001607F0" w:rsidRPr="0091023B">
        <w:rPr>
          <w:highlight w:val="yellow"/>
        </w:rPr>
        <w:t xml:space="preserve">25 </w:t>
      </w:r>
      <w:r w:rsidR="00B75379" w:rsidRPr="0091023B">
        <w:rPr>
          <w:highlight w:val="yellow"/>
        </w:rPr>
        <w:t>µ</w:t>
      </w:r>
      <w:r w:rsidR="001607F0" w:rsidRPr="0091023B">
        <w:rPr>
          <w:highlight w:val="yellow"/>
        </w:rPr>
        <w:t xml:space="preserve">L of </w:t>
      </w:r>
      <w:r w:rsidR="002D0DBC" w:rsidRPr="0091023B">
        <w:rPr>
          <w:highlight w:val="yellow"/>
        </w:rPr>
        <w:t>1x</w:t>
      </w:r>
      <w:r w:rsidR="001607F0" w:rsidRPr="0091023B">
        <w:rPr>
          <w:highlight w:val="yellow"/>
        </w:rPr>
        <w:t xml:space="preserve"> </w:t>
      </w:r>
      <w:r w:rsidR="00EF1D05" w:rsidRPr="0091023B">
        <w:rPr>
          <w:highlight w:val="yellow"/>
        </w:rPr>
        <w:t xml:space="preserve">multiplex </w:t>
      </w:r>
      <w:r w:rsidR="001607F0" w:rsidRPr="0091023B">
        <w:rPr>
          <w:highlight w:val="yellow"/>
        </w:rPr>
        <w:t xml:space="preserve">magnetic beads to all wells </w:t>
      </w:r>
      <w:r w:rsidRPr="0091023B">
        <w:rPr>
          <w:highlight w:val="yellow"/>
        </w:rPr>
        <w:t>(</w:t>
      </w:r>
      <w:r w:rsidR="00B567DC" w:rsidRPr="0091023B">
        <w:rPr>
          <w:b/>
          <w:highlight w:val="yellow"/>
        </w:rPr>
        <w:t>Fig</w:t>
      </w:r>
      <w:r w:rsidRPr="0091023B">
        <w:rPr>
          <w:b/>
          <w:highlight w:val="yellow"/>
        </w:rPr>
        <w:t>ure</w:t>
      </w:r>
      <w:r w:rsidR="00B567DC" w:rsidRPr="0091023B">
        <w:rPr>
          <w:b/>
          <w:highlight w:val="yellow"/>
        </w:rPr>
        <w:t xml:space="preserve"> </w:t>
      </w:r>
      <w:r w:rsidR="0097204C" w:rsidRPr="0091023B">
        <w:rPr>
          <w:b/>
          <w:highlight w:val="yellow"/>
        </w:rPr>
        <w:t>6</w:t>
      </w:r>
      <w:r w:rsidRPr="0091023B">
        <w:rPr>
          <w:highlight w:val="yellow"/>
        </w:rPr>
        <w:t>)</w:t>
      </w:r>
      <w:r w:rsidR="00B567DC" w:rsidRPr="0091023B">
        <w:rPr>
          <w:highlight w:val="yellow"/>
        </w:rPr>
        <w:t>.</w:t>
      </w:r>
      <w:r w:rsidR="00B567DC" w:rsidRPr="0091023B" w:rsidDel="00B567DC">
        <w:rPr>
          <w:highlight w:val="yellow"/>
        </w:rPr>
        <w:t xml:space="preserve"> </w:t>
      </w:r>
      <w:r w:rsidR="001607F0" w:rsidRPr="0091023B">
        <w:rPr>
          <w:highlight w:val="yellow"/>
        </w:rPr>
        <w:t xml:space="preserve">Be sure to vortex beads for 1 min before adding to wells. </w:t>
      </w:r>
    </w:p>
    <w:p w14:paraId="3918228B" w14:textId="77777777" w:rsidR="007E1FD8" w:rsidRPr="0091023B" w:rsidRDefault="007E1FD8" w:rsidP="009B5312">
      <w:pPr>
        <w:pStyle w:val="ListParagraph"/>
        <w:widowControl/>
        <w:autoSpaceDE/>
        <w:autoSpaceDN/>
        <w:adjustRightInd/>
        <w:ind w:left="0"/>
        <w:rPr>
          <w:highlight w:val="yellow"/>
        </w:rPr>
      </w:pPr>
    </w:p>
    <w:p w14:paraId="182AD122" w14:textId="6081B43C" w:rsidR="001607F0" w:rsidRPr="0091023B" w:rsidRDefault="001607F0" w:rsidP="009B5312">
      <w:pPr>
        <w:pStyle w:val="ListParagraph"/>
        <w:numPr>
          <w:ilvl w:val="3"/>
          <w:numId w:val="76"/>
        </w:numPr>
        <w:ind w:left="0" w:firstLine="0"/>
        <w:rPr>
          <w:highlight w:val="yellow"/>
        </w:rPr>
      </w:pPr>
      <w:r w:rsidRPr="0091023B">
        <w:rPr>
          <w:highlight w:val="yellow"/>
        </w:rPr>
        <w:t>Seal plate with plate sealer</w:t>
      </w:r>
      <w:r w:rsidR="006C3386" w:rsidRPr="0091023B">
        <w:rPr>
          <w:highlight w:val="yellow"/>
        </w:rPr>
        <w:t xml:space="preserve"> </w:t>
      </w:r>
      <w:r w:rsidRPr="0091023B">
        <w:rPr>
          <w:highlight w:val="yellow"/>
        </w:rPr>
        <w:t xml:space="preserve">and cover the plate with aluminum foil. Incubate overnight </w:t>
      </w:r>
      <w:r w:rsidR="007B1948" w:rsidRPr="0091023B">
        <w:rPr>
          <w:highlight w:val="yellow"/>
        </w:rPr>
        <w:t>(</w:t>
      </w:r>
      <w:r w:rsidRPr="0091023B">
        <w:rPr>
          <w:highlight w:val="yellow"/>
        </w:rPr>
        <w:t xml:space="preserve">12-16 </w:t>
      </w:r>
      <w:r w:rsidR="007B1948" w:rsidRPr="0091023B">
        <w:rPr>
          <w:highlight w:val="yellow"/>
        </w:rPr>
        <w:t>h)</w:t>
      </w:r>
      <w:r w:rsidRPr="0091023B">
        <w:rPr>
          <w:highlight w:val="yellow"/>
        </w:rPr>
        <w:t xml:space="preserve"> at 2-8 </w:t>
      </w:r>
      <w:bookmarkStart w:id="7" w:name="OLE_LINK24"/>
      <w:bookmarkStart w:id="8" w:name="OLE_LINK25"/>
      <w:r w:rsidRPr="0091023B">
        <w:rPr>
          <w:highlight w:val="yellow"/>
        </w:rPr>
        <w:t>°C</w:t>
      </w:r>
      <w:bookmarkEnd w:id="7"/>
      <w:bookmarkEnd w:id="8"/>
      <w:r w:rsidRPr="0091023B">
        <w:rPr>
          <w:highlight w:val="yellow"/>
        </w:rPr>
        <w:t>.</w:t>
      </w:r>
    </w:p>
    <w:p w14:paraId="3CA227DA" w14:textId="77777777" w:rsidR="00781D96" w:rsidRPr="0091023B" w:rsidRDefault="00781D96" w:rsidP="009B5312">
      <w:pPr>
        <w:pStyle w:val="ListParagraph"/>
        <w:ind w:left="0"/>
        <w:rPr>
          <w:highlight w:val="yellow"/>
        </w:rPr>
      </w:pPr>
    </w:p>
    <w:p w14:paraId="3D9A2AA8" w14:textId="7295EA4D" w:rsidR="00781D96" w:rsidRPr="0091023B" w:rsidRDefault="00781D96" w:rsidP="009B5312">
      <w:pPr>
        <w:pStyle w:val="ListParagraph"/>
        <w:numPr>
          <w:ilvl w:val="2"/>
          <w:numId w:val="76"/>
        </w:numPr>
        <w:ind w:left="0" w:firstLine="0"/>
        <w:rPr>
          <w:highlight w:val="yellow"/>
        </w:rPr>
      </w:pPr>
      <w:r w:rsidRPr="0091023B">
        <w:rPr>
          <w:bCs/>
          <w:highlight w:val="yellow"/>
        </w:rPr>
        <w:t xml:space="preserve">Immunoassay procedure for </w:t>
      </w:r>
      <w:r w:rsidR="00985EAF">
        <w:rPr>
          <w:bCs/>
          <w:highlight w:val="yellow"/>
        </w:rPr>
        <w:t>c</w:t>
      </w:r>
      <w:r w:rsidRPr="0091023B">
        <w:rPr>
          <w:bCs/>
          <w:highlight w:val="yellow"/>
        </w:rPr>
        <w:t xml:space="preserve">ytokines </w:t>
      </w:r>
      <w:r w:rsidR="007B1948" w:rsidRPr="0091023B">
        <w:rPr>
          <w:highlight w:val="yellow"/>
        </w:rPr>
        <w:t>(</w:t>
      </w:r>
      <w:r w:rsidRPr="0091023B">
        <w:rPr>
          <w:bCs/>
          <w:highlight w:val="yellow"/>
        </w:rPr>
        <w:t>day 2</w:t>
      </w:r>
      <w:r w:rsidR="007B1948" w:rsidRPr="0091023B">
        <w:rPr>
          <w:highlight w:val="yellow"/>
        </w:rPr>
        <w:t>)</w:t>
      </w:r>
    </w:p>
    <w:p w14:paraId="23C6CF7A" w14:textId="65DA8F83" w:rsidR="00781D96" w:rsidRPr="00677B47" w:rsidRDefault="00781D96" w:rsidP="009B5312">
      <w:pPr>
        <w:contextualSpacing/>
        <w:rPr>
          <w:rFonts w:ascii="Calibri" w:hAnsi="Calibri" w:cs="Calibri"/>
          <w:b/>
          <w:bCs/>
          <w:i/>
          <w:iCs/>
          <w:highlight w:val="yellow"/>
        </w:rPr>
      </w:pPr>
    </w:p>
    <w:p w14:paraId="1D123D09" w14:textId="1FEF3439" w:rsidR="00781D96" w:rsidRPr="0091023B" w:rsidRDefault="00781D96" w:rsidP="009B5312">
      <w:pPr>
        <w:pStyle w:val="ListParagraph"/>
        <w:numPr>
          <w:ilvl w:val="3"/>
          <w:numId w:val="76"/>
        </w:numPr>
        <w:ind w:left="0" w:firstLine="0"/>
        <w:rPr>
          <w:bCs/>
          <w:highlight w:val="yellow"/>
        </w:rPr>
      </w:pPr>
      <w:r w:rsidRPr="0091023B">
        <w:rPr>
          <w:bCs/>
          <w:highlight w:val="yellow"/>
        </w:rPr>
        <w:t>Place 96 well plate on magnetic separator, making sure t</w:t>
      </w:r>
      <w:r w:rsidR="00985EAF">
        <w:rPr>
          <w:bCs/>
          <w:highlight w:val="yellow"/>
        </w:rPr>
        <w:t>hat t</w:t>
      </w:r>
      <w:r w:rsidRPr="0091023B">
        <w:rPr>
          <w:bCs/>
          <w:highlight w:val="yellow"/>
        </w:rPr>
        <w:t>he wells are aligned with the magnets. Let sit for 2 min.</w:t>
      </w:r>
      <w:r w:rsidRPr="0091023B" w:rsidDel="006F0F84">
        <w:rPr>
          <w:bCs/>
          <w:highlight w:val="yellow"/>
        </w:rPr>
        <w:t xml:space="preserve"> </w:t>
      </w:r>
      <w:r w:rsidRPr="0091023B">
        <w:rPr>
          <w:bCs/>
          <w:highlight w:val="yellow"/>
        </w:rPr>
        <w:t xml:space="preserve">Decant well contents while the plate is still attached to the magnetic separator. </w:t>
      </w:r>
    </w:p>
    <w:p w14:paraId="5FBC4135" w14:textId="77777777" w:rsidR="00781D96" w:rsidRPr="00677B47" w:rsidRDefault="00781D96" w:rsidP="009B5312">
      <w:pPr>
        <w:pStyle w:val="ListParagraph"/>
        <w:ind w:left="0"/>
        <w:rPr>
          <w:bCs/>
          <w:highlight w:val="yellow"/>
        </w:rPr>
      </w:pPr>
    </w:p>
    <w:p w14:paraId="541E7E45" w14:textId="19CEAD5C" w:rsidR="00781D96" w:rsidRPr="00677B47" w:rsidRDefault="00781D96" w:rsidP="009B5312">
      <w:pPr>
        <w:pStyle w:val="ListParagraph"/>
        <w:numPr>
          <w:ilvl w:val="3"/>
          <w:numId w:val="76"/>
        </w:numPr>
        <w:ind w:left="0" w:firstLine="0"/>
        <w:rPr>
          <w:bCs/>
          <w:highlight w:val="yellow"/>
        </w:rPr>
      </w:pPr>
      <w:r w:rsidRPr="00677B47">
        <w:rPr>
          <w:bCs/>
          <w:highlight w:val="yellow"/>
        </w:rPr>
        <w:t>Wash plate 2 times using the following step</w:t>
      </w:r>
      <w:r w:rsidR="007B1948">
        <w:rPr>
          <w:bCs/>
          <w:highlight w:val="yellow"/>
        </w:rPr>
        <w:t>s.</w:t>
      </w:r>
    </w:p>
    <w:p w14:paraId="30DF0C1D" w14:textId="77777777" w:rsidR="00781D96" w:rsidRPr="00677B47" w:rsidRDefault="00781D96" w:rsidP="009B5312">
      <w:pPr>
        <w:pStyle w:val="ListParagraph"/>
        <w:ind w:left="0"/>
        <w:rPr>
          <w:bCs/>
        </w:rPr>
      </w:pPr>
    </w:p>
    <w:p w14:paraId="77E06F5A" w14:textId="7EBC2E2F" w:rsidR="00781D96" w:rsidRPr="0091023B" w:rsidRDefault="00781D96" w:rsidP="009B5312">
      <w:pPr>
        <w:pStyle w:val="ListParagraph"/>
        <w:numPr>
          <w:ilvl w:val="4"/>
          <w:numId w:val="76"/>
        </w:numPr>
        <w:ind w:left="0" w:firstLine="0"/>
        <w:rPr>
          <w:bCs/>
          <w:highlight w:val="yellow"/>
        </w:rPr>
      </w:pPr>
      <w:r w:rsidRPr="0091023B">
        <w:rPr>
          <w:bCs/>
          <w:highlight w:val="yellow"/>
        </w:rPr>
        <w:lastRenderedPageBreak/>
        <w:t xml:space="preserve">Add 200 </w:t>
      </w:r>
      <w:r w:rsidRPr="0091023B">
        <w:rPr>
          <w:highlight w:val="yellow"/>
        </w:rPr>
        <w:t xml:space="preserve">µL </w:t>
      </w:r>
      <w:r w:rsidR="001827EC">
        <w:rPr>
          <w:highlight w:val="yellow"/>
        </w:rPr>
        <w:t xml:space="preserve">of </w:t>
      </w:r>
      <w:r w:rsidRPr="0091023B">
        <w:rPr>
          <w:highlight w:val="yellow"/>
        </w:rPr>
        <w:t>wash buffer</w:t>
      </w:r>
      <w:r w:rsidR="00F934C7">
        <w:rPr>
          <w:highlight w:val="yellow"/>
        </w:rPr>
        <w:t xml:space="preserve"> and </w:t>
      </w:r>
      <w:r w:rsidRPr="0091023B">
        <w:rPr>
          <w:highlight w:val="yellow"/>
        </w:rPr>
        <w:t>place on shaker for 2 min at room temperature.</w:t>
      </w:r>
    </w:p>
    <w:p w14:paraId="781CC016" w14:textId="77777777" w:rsidR="00781D96" w:rsidRPr="0091023B" w:rsidRDefault="00781D96" w:rsidP="009B5312">
      <w:pPr>
        <w:pStyle w:val="ListParagraph"/>
        <w:ind w:left="0"/>
        <w:rPr>
          <w:bCs/>
          <w:highlight w:val="yellow"/>
        </w:rPr>
      </w:pPr>
    </w:p>
    <w:p w14:paraId="0201F785" w14:textId="2956F617" w:rsidR="00781D96" w:rsidRPr="0091023B" w:rsidRDefault="00781D96" w:rsidP="009B5312">
      <w:pPr>
        <w:pStyle w:val="ListParagraph"/>
        <w:numPr>
          <w:ilvl w:val="4"/>
          <w:numId w:val="76"/>
        </w:numPr>
        <w:ind w:left="0" w:firstLine="0"/>
        <w:rPr>
          <w:highlight w:val="yellow"/>
        </w:rPr>
      </w:pPr>
      <w:r w:rsidRPr="0091023B">
        <w:rPr>
          <w:highlight w:val="yellow"/>
        </w:rPr>
        <w:t>Place the well plate on the magnetic separator for 2 min at room temperature.</w:t>
      </w:r>
    </w:p>
    <w:p w14:paraId="20814F9B" w14:textId="77777777" w:rsidR="00781D96" w:rsidRPr="0091023B" w:rsidRDefault="00781D96" w:rsidP="009B5312">
      <w:pPr>
        <w:contextualSpacing/>
        <w:rPr>
          <w:rFonts w:ascii="Calibri" w:hAnsi="Calibri" w:cs="Calibri"/>
          <w:highlight w:val="yellow"/>
        </w:rPr>
      </w:pPr>
    </w:p>
    <w:p w14:paraId="1BD7C02F" w14:textId="72581EBD" w:rsidR="00781D96" w:rsidRPr="0091023B" w:rsidRDefault="00781D96" w:rsidP="009B5312">
      <w:pPr>
        <w:pStyle w:val="ListParagraph"/>
        <w:numPr>
          <w:ilvl w:val="4"/>
          <w:numId w:val="76"/>
        </w:numPr>
        <w:ind w:left="0" w:firstLine="0"/>
        <w:rPr>
          <w:highlight w:val="yellow"/>
        </w:rPr>
      </w:pPr>
      <w:r w:rsidRPr="0091023B">
        <w:rPr>
          <w:highlight w:val="yellow"/>
        </w:rPr>
        <w:t xml:space="preserve">Decant well contents while </w:t>
      </w:r>
      <w:r w:rsidR="00985EAF">
        <w:rPr>
          <w:highlight w:val="yellow"/>
        </w:rPr>
        <w:t xml:space="preserve">the </w:t>
      </w:r>
      <w:r w:rsidRPr="0091023B">
        <w:rPr>
          <w:highlight w:val="yellow"/>
        </w:rPr>
        <w:t>well plate is still attached to magnetic separator.</w:t>
      </w:r>
    </w:p>
    <w:p w14:paraId="3EF49182" w14:textId="77777777" w:rsidR="00781D96" w:rsidRPr="00677B47" w:rsidRDefault="00781D96" w:rsidP="009B5312">
      <w:pPr>
        <w:pStyle w:val="ListParagraph"/>
        <w:ind w:left="0"/>
        <w:rPr>
          <w:highlight w:val="yellow"/>
        </w:rPr>
      </w:pPr>
    </w:p>
    <w:p w14:paraId="477EF82D" w14:textId="7F664C38" w:rsidR="00781D96" w:rsidRPr="00677B47" w:rsidRDefault="00781D96" w:rsidP="009B5312">
      <w:pPr>
        <w:pStyle w:val="ListParagraph"/>
        <w:numPr>
          <w:ilvl w:val="3"/>
          <w:numId w:val="76"/>
        </w:numPr>
        <w:ind w:left="0" w:firstLine="0"/>
        <w:rPr>
          <w:highlight w:val="yellow"/>
        </w:rPr>
      </w:pPr>
      <w:r w:rsidRPr="0091023B">
        <w:rPr>
          <w:highlight w:val="yellow"/>
        </w:rPr>
        <w:t xml:space="preserve">Add 25 µL of detection antibody per well </w:t>
      </w:r>
      <w:r w:rsidR="007B1948" w:rsidRPr="0091023B">
        <w:rPr>
          <w:highlight w:val="yellow"/>
        </w:rPr>
        <w:t>(</w:t>
      </w:r>
      <w:r w:rsidR="007B1948" w:rsidRPr="0091023B">
        <w:rPr>
          <w:b/>
          <w:highlight w:val="yellow"/>
        </w:rPr>
        <w:t xml:space="preserve">Figure </w:t>
      </w:r>
      <w:r w:rsidRPr="0091023B">
        <w:rPr>
          <w:b/>
          <w:highlight w:val="yellow"/>
        </w:rPr>
        <w:t>6</w:t>
      </w:r>
      <w:r w:rsidR="007B1948" w:rsidRPr="0091023B">
        <w:rPr>
          <w:highlight w:val="yellow"/>
        </w:rPr>
        <w:t>)</w:t>
      </w:r>
      <w:r w:rsidRPr="0091023B">
        <w:rPr>
          <w:highlight w:val="yellow"/>
        </w:rPr>
        <w:t>. Cover with foil. Incubate fo</w:t>
      </w:r>
      <w:r w:rsidR="0004695D" w:rsidRPr="0091023B">
        <w:rPr>
          <w:highlight w:val="yellow"/>
        </w:rPr>
        <w:t>r 1 hour on</w:t>
      </w:r>
      <w:r w:rsidR="007B1948" w:rsidRPr="0091023B">
        <w:rPr>
          <w:highlight w:val="yellow"/>
        </w:rPr>
        <w:t xml:space="preserve"> a</w:t>
      </w:r>
      <w:r w:rsidR="0004695D" w:rsidRPr="0091023B">
        <w:rPr>
          <w:highlight w:val="yellow"/>
        </w:rPr>
        <w:t xml:space="preserve"> plate shaker </w:t>
      </w:r>
      <w:r w:rsidR="007B1948" w:rsidRPr="0091023B">
        <w:rPr>
          <w:highlight w:val="yellow"/>
        </w:rPr>
        <w:t>(</w:t>
      </w:r>
      <w:r w:rsidR="0004695D" w:rsidRPr="0091023B">
        <w:rPr>
          <w:highlight w:val="yellow"/>
        </w:rPr>
        <w:t>750 rpm</w:t>
      </w:r>
      <w:r w:rsidR="007B1948" w:rsidRPr="0091023B">
        <w:rPr>
          <w:highlight w:val="yellow"/>
        </w:rPr>
        <w:t>)</w:t>
      </w:r>
      <w:r w:rsidRPr="0091023B">
        <w:rPr>
          <w:highlight w:val="yellow"/>
        </w:rPr>
        <w:t xml:space="preserve"> </w:t>
      </w:r>
      <w:r w:rsidRPr="00677B47">
        <w:rPr>
          <w:highlight w:val="yellow"/>
        </w:rPr>
        <w:t xml:space="preserve">at room temperature. </w:t>
      </w:r>
    </w:p>
    <w:p w14:paraId="6D03A8EB" w14:textId="77777777" w:rsidR="00781D96" w:rsidRPr="00677B47" w:rsidRDefault="00781D96" w:rsidP="009B5312">
      <w:pPr>
        <w:pStyle w:val="ListParagraph"/>
        <w:ind w:left="0"/>
        <w:rPr>
          <w:highlight w:val="yellow"/>
        </w:rPr>
      </w:pPr>
    </w:p>
    <w:p w14:paraId="40741FA7" w14:textId="15C4924D" w:rsidR="00781D96" w:rsidRPr="00677B47" w:rsidRDefault="00781D96" w:rsidP="009B5312">
      <w:pPr>
        <w:pStyle w:val="ListParagraph"/>
        <w:numPr>
          <w:ilvl w:val="3"/>
          <w:numId w:val="76"/>
        </w:numPr>
        <w:ind w:left="0" w:firstLine="0"/>
        <w:rPr>
          <w:highlight w:val="yellow"/>
        </w:rPr>
      </w:pPr>
      <w:r w:rsidRPr="00677B47">
        <w:t>Leave</w:t>
      </w:r>
      <w:r w:rsidR="007B1948">
        <w:t xml:space="preserve"> the</w:t>
      </w:r>
      <w:r w:rsidRPr="00677B47">
        <w:t xml:space="preserve"> detection antibody in and </w:t>
      </w:r>
      <w:r w:rsidRPr="0091023B">
        <w:rPr>
          <w:highlight w:val="yellow"/>
        </w:rPr>
        <w:t xml:space="preserve">add 25 µL </w:t>
      </w:r>
      <w:r w:rsidR="007B1948" w:rsidRPr="0091023B">
        <w:rPr>
          <w:highlight w:val="yellow"/>
        </w:rPr>
        <w:t xml:space="preserve">of </w:t>
      </w:r>
      <w:r w:rsidRPr="0091023B">
        <w:rPr>
          <w:highlight w:val="yellow"/>
        </w:rPr>
        <w:t xml:space="preserve">streptavidin-phycoerythrin </w:t>
      </w:r>
      <w:r w:rsidR="007B1948" w:rsidRPr="0091023B">
        <w:rPr>
          <w:highlight w:val="yellow"/>
        </w:rPr>
        <w:t>(</w:t>
      </w:r>
      <w:r w:rsidRPr="0091023B">
        <w:rPr>
          <w:highlight w:val="yellow"/>
        </w:rPr>
        <w:t>SAPE</w:t>
      </w:r>
      <w:r w:rsidR="007B1948" w:rsidRPr="0091023B">
        <w:rPr>
          <w:highlight w:val="yellow"/>
        </w:rPr>
        <w:t>)</w:t>
      </w:r>
      <w:r w:rsidRPr="0091023B">
        <w:rPr>
          <w:highlight w:val="yellow"/>
        </w:rPr>
        <w:t xml:space="preserve"> </w:t>
      </w:r>
      <w:r w:rsidR="007B1948" w:rsidRPr="0091023B">
        <w:rPr>
          <w:highlight w:val="yellow"/>
        </w:rPr>
        <w:t>(</w:t>
      </w:r>
      <w:r w:rsidR="007B1948" w:rsidRPr="0091023B">
        <w:rPr>
          <w:b/>
          <w:highlight w:val="yellow"/>
        </w:rPr>
        <w:t xml:space="preserve">Figure </w:t>
      </w:r>
      <w:r w:rsidRPr="0091023B">
        <w:rPr>
          <w:b/>
          <w:highlight w:val="yellow"/>
        </w:rPr>
        <w:t>6</w:t>
      </w:r>
      <w:r w:rsidR="007B1948" w:rsidRPr="0091023B">
        <w:rPr>
          <w:highlight w:val="yellow"/>
        </w:rPr>
        <w:t>)</w:t>
      </w:r>
      <w:r w:rsidRPr="0091023B">
        <w:rPr>
          <w:highlight w:val="yellow"/>
        </w:rPr>
        <w:t>.</w:t>
      </w:r>
      <w:r w:rsidRPr="0091023B" w:rsidDel="00B567DC">
        <w:rPr>
          <w:highlight w:val="yellow"/>
        </w:rPr>
        <w:t xml:space="preserve"> </w:t>
      </w:r>
      <w:r w:rsidRPr="0091023B">
        <w:rPr>
          <w:highlight w:val="yellow"/>
        </w:rPr>
        <w:t>Cover with foil</w:t>
      </w:r>
      <w:r w:rsidRPr="00677B47">
        <w:rPr>
          <w:highlight w:val="yellow"/>
        </w:rPr>
        <w:t xml:space="preserve">. </w:t>
      </w:r>
      <w:r w:rsidRPr="0091023B">
        <w:rPr>
          <w:highlight w:val="yellow"/>
        </w:rPr>
        <w:t>Incubate fo</w:t>
      </w:r>
      <w:r w:rsidR="0004695D" w:rsidRPr="0091023B">
        <w:rPr>
          <w:highlight w:val="yellow"/>
        </w:rPr>
        <w:t xml:space="preserve">r 30 min on plate shaker </w:t>
      </w:r>
      <w:r w:rsidR="007B1948" w:rsidRPr="0091023B">
        <w:rPr>
          <w:highlight w:val="yellow"/>
        </w:rPr>
        <w:t>(</w:t>
      </w:r>
      <w:r w:rsidR="0004695D" w:rsidRPr="0091023B">
        <w:rPr>
          <w:highlight w:val="yellow"/>
        </w:rPr>
        <w:t>750 rpm</w:t>
      </w:r>
      <w:r w:rsidR="007B1948" w:rsidRPr="0091023B">
        <w:rPr>
          <w:highlight w:val="yellow"/>
        </w:rPr>
        <w:t>)</w:t>
      </w:r>
      <w:r w:rsidRPr="0091023B">
        <w:rPr>
          <w:highlight w:val="yellow"/>
        </w:rPr>
        <w:t xml:space="preserve"> at room temperature</w:t>
      </w:r>
      <w:r w:rsidR="0091023B">
        <w:rPr>
          <w:highlight w:val="yellow"/>
        </w:rPr>
        <w:t>.</w:t>
      </w:r>
    </w:p>
    <w:p w14:paraId="41EF333E" w14:textId="77777777" w:rsidR="00781D96" w:rsidRPr="007B1948" w:rsidRDefault="00781D96" w:rsidP="009B5312">
      <w:pPr>
        <w:pStyle w:val="ListParagraph"/>
        <w:ind w:left="0"/>
        <w:rPr>
          <w:highlight w:val="yellow"/>
        </w:rPr>
      </w:pPr>
    </w:p>
    <w:p w14:paraId="108DA8BE" w14:textId="0BDBAEAA" w:rsidR="00781D96" w:rsidRPr="007B1948" w:rsidRDefault="00781D96" w:rsidP="009B5312">
      <w:pPr>
        <w:pStyle w:val="ListParagraph"/>
        <w:numPr>
          <w:ilvl w:val="3"/>
          <w:numId w:val="76"/>
        </w:numPr>
        <w:ind w:left="0" w:firstLine="0"/>
        <w:rPr>
          <w:highlight w:val="yellow"/>
        </w:rPr>
      </w:pPr>
      <w:r w:rsidRPr="007B1948">
        <w:rPr>
          <w:bCs/>
          <w:highlight w:val="yellow"/>
        </w:rPr>
        <w:t>Place</w:t>
      </w:r>
      <w:r w:rsidRPr="007B1948">
        <w:rPr>
          <w:highlight w:val="yellow"/>
        </w:rPr>
        <w:t xml:space="preserve"> </w:t>
      </w:r>
      <w:r w:rsidR="007B1948" w:rsidRPr="007B1948">
        <w:rPr>
          <w:highlight w:val="yellow"/>
        </w:rPr>
        <w:t xml:space="preserve">the </w:t>
      </w:r>
      <w:r w:rsidRPr="007B1948">
        <w:rPr>
          <w:bCs/>
          <w:highlight w:val="yellow"/>
        </w:rPr>
        <w:t xml:space="preserve">well plate on </w:t>
      </w:r>
      <w:r w:rsidR="007B1948" w:rsidRPr="007B1948">
        <w:rPr>
          <w:bCs/>
          <w:highlight w:val="yellow"/>
        </w:rPr>
        <w:t xml:space="preserve">a </w:t>
      </w:r>
      <w:r w:rsidRPr="007B1948">
        <w:rPr>
          <w:bCs/>
          <w:highlight w:val="yellow"/>
        </w:rPr>
        <w:t xml:space="preserve">magnetic </w:t>
      </w:r>
      <w:r w:rsidR="0091023B" w:rsidRPr="007B1948">
        <w:rPr>
          <w:bCs/>
          <w:highlight w:val="yellow"/>
        </w:rPr>
        <w:t>separator and</w:t>
      </w:r>
      <w:r w:rsidR="007B1948" w:rsidRPr="007B1948">
        <w:rPr>
          <w:bCs/>
          <w:highlight w:val="yellow"/>
        </w:rPr>
        <w:t xml:space="preserve"> </w:t>
      </w:r>
      <w:r w:rsidRPr="007B1948">
        <w:rPr>
          <w:bCs/>
          <w:highlight w:val="yellow"/>
        </w:rPr>
        <w:t>let sit for 2 min. Decant well contents</w:t>
      </w:r>
      <w:r w:rsidR="007B1948" w:rsidRPr="007B1948">
        <w:rPr>
          <w:bCs/>
          <w:highlight w:val="yellow"/>
        </w:rPr>
        <w:t xml:space="preserve"> and</w:t>
      </w:r>
      <w:r w:rsidRPr="007B1948">
        <w:rPr>
          <w:bCs/>
          <w:highlight w:val="yellow"/>
        </w:rPr>
        <w:t xml:space="preserve"> detach from magnetic separator.</w:t>
      </w:r>
    </w:p>
    <w:p w14:paraId="258F44FC" w14:textId="77777777" w:rsidR="00781D96" w:rsidRPr="007B1948" w:rsidRDefault="00781D96" w:rsidP="009B5312">
      <w:pPr>
        <w:pStyle w:val="ListParagraph"/>
        <w:ind w:left="0"/>
        <w:rPr>
          <w:highlight w:val="yellow"/>
        </w:rPr>
      </w:pPr>
    </w:p>
    <w:p w14:paraId="045647B9" w14:textId="5636F8A2" w:rsidR="00781D96" w:rsidRPr="007B1948" w:rsidRDefault="00781D96" w:rsidP="009B5312">
      <w:pPr>
        <w:pStyle w:val="ListParagraph"/>
        <w:numPr>
          <w:ilvl w:val="3"/>
          <w:numId w:val="76"/>
        </w:numPr>
        <w:ind w:left="0" w:firstLine="0"/>
        <w:rPr>
          <w:highlight w:val="yellow"/>
        </w:rPr>
      </w:pPr>
      <w:r w:rsidRPr="007B1948">
        <w:rPr>
          <w:bCs/>
          <w:highlight w:val="yellow"/>
        </w:rPr>
        <w:t>Wash</w:t>
      </w:r>
      <w:r w:rsidRPr="007B1948">
        <w:rPr>
          <w:highlight w:val="yellow"/>
        </w:rPr>
        <w:t xml:space="preserve"> well plate two times </w:t>
      </w:r>
      <w:r w:rsidR="007B1948" w:rsidRPr="007B1948">
        <w:rPr>
          <w:highlight w:val="yellow"/>
        </w:rPr>
        <w:t>(</w:t>
      </w:r>
      <w:r w:rsidRPr="007B1948">
        <w:rPr>
          <w:highlight w:val="yellow"/>
        </w:rPr>
        <w:t>see step 3.2.5.2</w:t>
      </w:r>
      <w:r w:rsidR="007B1948" w:rsidRPr="007B1948">
        <w:rPr>
          <w:highlight w:val="yellow"/>
        </w:rPr>
        <w:t>).</w:t>
      </w:r>
    </w:p>
    <w:p w14:paraId="7D0A4551" w14:textId="77777777" w:rsidR="00781D96" w:rsidRPr="007B1948" w:rsidRDefault="00781D96" w:rsidP="009B5312">
      <w:pPr>
        <w:pStyle w:val="ListParagraph"/>
        <w:ind w:left="0"/>
        <w:rPr>
          <w:highlight w:val="yellow"/>
        </w:rPr>
      </w:pPr>
    </w:p>
    <w:p w14:paraId="0E122EB6" w14:textId="5917D1C7" w:rsidR="00781D96" w:rsidRPr="007B1948" w:rsidRDefault="00781D96" w:rsidP="009B5312">
      <w:pPr>
        <w:pStyle w:val="ListParagraph"/>
        <w:numPr>
          <w:ilvl w:val="3"/>
          <w:numId w:val="76"/>
        </w:numPr>
        <w:ind w:left="0" w:firstLine="0"/>
        <w:rPr>
          <w:highlight w:val="yellow"/>
        </w:rPr>
      </w:pPr>
      <w:r w:rsidRPr="007B1948">
        <w:rPr>
          <w:bCs/>
          <w:highlight w:val="yellow"/>
        </w:rPr>
        <w:t xml:space="preserve">Add 75 µL </w:t>
      </w:r>
      <w:r w:rsidR="007B1948" w:rsidRPr="007B1948">
        <w:rPr>
          <w:bCs/>
          <w:highlight w:val="yellow"/>
        </w:rPr>
        <w:t xml:space="preserve">of </w:t>
      </w:r>
      <w:r w:rsidRPr="007B1948">
        <w:rPr>
          <w:bCs/>
          <w:highlight w:val="yellow"/>
        </w:rPr>
        <w:t xml:space="preserve">Luminex Drive Fluid </w:t>
      </w:r>
      <w:r w:rsidR="007B1948" w:rsidRPr="007B1948">
        <w:rPr>
          <w:highlight w:val="yellow"/>
        </w:rPr>
        <w:t>(</w:t>
      </w:r>
      <w:r w:rsidRPr="007B1948">
        <w:rPr>
          <w:bCs/>
          <w:highlight w:val="yellow"/>
        </w:rPr>
        <w:t>if using MAGPIX instrument</w:t>
      </w:r>
      <w:r w:rsidR="007B1948" w:rsidRPr="007B1948">
        <w:rPr>
          <w:highlight w:val="yellow"/>
        </w:rPr>
        <w:t>)</w:t>
      </w:r>
      <w:r w:rsidRPr="007B1948">
        <w:rPr>
          <w:bCs/>
          <w:highlight w:val="yellow"/>
        </w:rPr>
        <w:t xml:space="preserve"> or assay buffer </w:t>
      </w:r>
      <w:r w:rsidR="007B1948" w:rsidRPr="007B1948">
        <w:rPr>
          <w:highlight w:val="yellow"/>
        </w:rPr>
        <w:t>(</w:t>
      </w:r>
      <w:r w:rsidRPr="007B1948">
        <w:rPr>
          <w:bCs/>
          <w:highlight w:val="yellow"/>
        </w:rPr>
        <w:t>if using 200 or FlexMap 3D instrument</w:t>
      </w:r>
      <w:r w:rsidR="007B1948" w:rsidRPr="007B1948">
        <w:rPr>
          <w:highlight w:val="yellow"/>
        </w:rPr>
        <w:t>)</w:t>
      </w:r>
      <w:r w:rsidRPr="007B1948">
        <w:rPr>
          <w:bCs/>
          <w:highlight w:val="yellow"/>
        </w:rPr>
        <w:t>. Re-suspend beads on plate shaker for 5 min at room temperature.</w:t>
      </w:r>
    </w:p>
    <w:p w14:paraId="6A96C060" w14:textId="77777777" w:rsidR="00781D96" w:rsidRPr="007B1948" w:rsidRDefault="00781D96" w:rsidP="009B5312">
      <w:pPr>
        <w:pStyle w:val="ListParagraph"/>
        <w:ind w:left="0"/>
        <w:rPr>
          <w:highlight w:val="yellow"/>
        </w:rPr>
      </w:pPr>
    </w:p>
    <w:p w14:paraId="345F0EEC" w14:textId="0FF46ABD" w:rsidR="00781D96" w:rsidRPr="007B1948" w:rsidRDefault="00781D96" w:rsidP="009B5312">
      <w:pPr>
        <w:pStyle w:val="ListParagraph"/>
        <w:numPr>
          <w:ilvl w:val="3"/>
          <w:numId w:val="76"/>
        </w:numPr>
        <w:ind w:left="0" w:firstLine="0"/>
        <w:rPr>
          <w:b/>
          <w:highlight w:val="yellow"/>
        </w:rPr>
      </w:pPr>
      <w:r w:rsidRPr="007B1948">
        <w:rPr>
          <w:highlight w:val="yellow"/>
        </w:rPr>
        <w:t xml:space="preserve">Read </w:t>
      </w:r>
      <w:r w:rsidRPr="007B1948">
        <w:rPr>
          <w:bCs/>
          <w:highlight w:val="yellow"/>
        </w:rPr>
        <w:t>on</w:t>
      </w:r>
      <w:r w:rsidRPr="007B1948">
        <w:rPr>
          <w:highlight w:val="yellow"/>
        </w:rPr>
        <w:t xml:space="preserve"> Luminex Instrument </w:t>
      </w:r>
      <w:r w:rsidR="007B1948" w:rsidRPr="007B1948">
        <w:rPr>
          <w:highlight w:val="yellow"/>
        </w:rPr>
        <w:t>(</w:t>
      </w:r>
      <w:r w:rsidRPr="007B1948">
        <w:rPr>
          <w:highlight w:val="yellow"/>
        </w:rPr>
        <w:t>MAGPIX, 200, or FlexMap 3D</w:t>
      </w:r>
      <w:r w:rsidR="007B1948" w:rsidRPr="007B1948">
        <w:rPr>
          <w:highlight w:val="yellow"/>
        </w:rPr>
        <w:t>)</w:t>
      </w:r>
      <w:r w:rsidRPr="007B1948">
        <w:rPr>
          <w:highlight w:val="yellow"/>
        </w:rPr>
        <w:t xml:space="preserve">, referring to the user’s manual for proper operation </w:t>
      </w:r>
      <w:r w:rsidR="007B1948" w:rsidRPr="007B1948">
        <w:rPr>
          <w:highlight w:val="yellow"/>
        </w:rPr>
        <w:t>(</w:t>
      </w:r>
      <w:r w:rsidR="007B1948" w:rsidRPr="007B1948">
        <w:rPr>
          <w:b/>
          <w:highlight w:val="yellow"/>
        </w:rPr>
        <w:t xml:space="preserve">Figure </w:t>
      </w:r>
      <w:r w:rsidRPr="007B1948">
        <w:rPr>
          <w:b/>
          <w:highlight w:val="yellow"/>
        </w:rPr>
        <w:t>6</w:t>
      </w:r>
      <w:r w:rsidR="007B1948" w:rsidRPr="007B1948">
        <w:rPr>
          <w:highlight w:val="yellow"/>
        </w:rPr>
        <w:t>)</w:t>
      </w:r>
      <w:r w:rsidRPr="007B1948">
        <w:rPr>
          <w:highlight w:val="yellow"/>
        </w:rPr>
        <w:t>.</w:t>
      </w:r>
    </w:p>
    <w:bookmarkEnd w:id="0"/>
    <w:p w14:paraId="75999CDD" w14:textId="77777777" w:rsidR="00781D96" w:rsidRPr="00677B47" w:rsidRDefault="00781D96" w:rsidP="009B5312">
      <w:pPr>
        <w:pStyle w:val="ListParagraph"/>
        <w:ind w:left="0"/>
        <w:rPr>
          <w:highlight w:val="yellow"/>
        </w:rPr>
      </w:pPr>
    </w:p>
    <w:p w14:paraId="6BB45CF6" w14:textId="525AC6D3" w:rsidR="00781D96" w:rsidRPr="00677B47" w:rsidRDefault="002E4AD2" w:rsidP="009B5312">
      <w:pPr>
        <w:pStyle w:val="ListParagraph"/>
        <w:numPr>
          <w:ilvl w:val="2"/>
          <w:numId w:val="76"/>
        </w:numPr>
        <w:ind w:left="0" w:firstLine="0"/>
      </w:pPr>
      <w:r w:rsidRPr="00677B47">
        <w:rPr>
          <w:bCs/>
        </w:rPr>
        <w:t xml:space="preserve">Immunoassay procedure for </w:t>
      </w:r>
      <w:r w:rsidR="00F934C7">
        <w:rPr>
          <w:bCs/>
        </w:rPr>
        <w:t>p</w:t>
      </w:r>
      <w:r w:rsidRPr="00677B47">
        <w:rPr>
          <w:bCs/>
        </w:rPr>
        <w:t xml:space="preserve">hospho-proteins </w:t>
      </w:r>
      <w:r w:rsidR="007B1948" w:rsidRPr="007B1948">
        <w:t>(</w:t>
      </w:r>
      <w:r w:rsidRPr="00677B47">
        <w:rPr>
          <w:bCs/>
        </w:rPr>
        <w:t>day 1</w:t>
      </w:r>
      <w:r w:rsidR="007B1948" w:rsidRPr="007B1948">
        <w:t>)</w:t>
      </w:r>
    </w:p>
    <w:p w14:paraId="5C1B9588" w14:textId="77777777" w:rsidR="00B06106" w:rsidRPr="00677B47" w:rsidRDefault="00B06106" w:rsidP="009B5312">
      <w:pPr>
        <w:pStyle w:val="ListParagraph"/>
        <w:ind w:left="0"/>
        <w:rPr>
          <w:b/>
          <w:i/>
          <w:iCs/>
        </w:rPr>
      </w:pPr>
    </w:p>
    <w:p w14:paraId="1DBB4022" w14:textId="2835AC1A" w:rsidR="004C188A" w:rsidRPr="00677B47" w:rsidRDefault="004C188A" w:rsidP="009B5312">
      <w:pPr>
        <w:pStyle w:val="ListParagraph"/>
        <w:numPr>
          <w:ilvl w:val="3"/>
          <w:numId w:val="76"/>
        </w:numPr>
        <w:ind w:left="0" w:firstLine="0"/>
      </w:pPr>
      <w:r w:rsidRPr="00677B47">
        <w:t>Add the following to each well in order</w:t>
      </w:r>
      <w:r w:rsidR="007B1948">
        <w:t>.</w:t>
      </w:r>
    </w:p>
    <w:p w14:paraId="73098E66" w14:textId="77777777" w:rsidR="007B1948" w:rsidRDefault="007B1948" w:rsidP="009B5312">
      <w:pPr>
        <w:pStyle w:val="ListParagraph"/>
        <w:ind w:left="0"/>
      </w:pPr>
    </w:p>
    <w:p w14:paraId="6B6FDF92" w14:textId="29C449BE" w:rsidR="00F11AC9" w:rsidRDefault="007B1948" w:rsidP="009B5312">
      <w:pPr>
        <w:pStyle w:val="ListParagraph"/>
        <w:numPr>
          <w:ilvl w:val="3"/>
          <w:numId w:val="77"/>
        </w:numPr>
        <w:ind w:left="0" w:firstLine="0"/>
      </w:pPr>
      <w:r>
        <w:t xml:space="preserve">Add </w:t>
      </w:r>
      <w:r w:rsidR="004C188A" w:rsidRPr="00677B47">
        <w:t xml:space="preserve">25 </w:t>
      </w:r>
      <w:r w:rsidR="0097204C" w:rsidRPr="00677B47">
        <w:t>µ</w:t>
      </w:r>
      <w:r w:rsidR="004C188A" w:rsidRPr="00677B47">
        <w:t xml:space="preserve">L </w:t>
      </w:r>
      <w:r w:rsidR="00F934C7">
        <w:t xml:space="preserve">of </w:t>
      </w:r>
      <w:r w:rsidR="002D0DBC" w:rsidRPr="00677B47">
        <w:t>a</w:t>
      </w:r>
      <w:r w:rsidR="004C188A" w:rsidRPr="00677B47">
        <w:t xml:space="preserve">ssay </w:t>
      </w:r>
      <w:r w:rsidR="002D0DBC" w:rsidRPr="00677B47">
        <w:t>b</w:t>
      </w:r>
      <w:r w:rsidR="004C188A" w:rsidRPr="00677B47">
        <w:t>uffer to all wells</w:t>
      </w:r>
      <w:r>
        <w:t>.</w:t>
      </w:r>
    </w:p>
    <w:p w14:paraId="3D742DC4" w14:textId="77777777" w:rsidR="007B1948" w:rsidRPr="00677B47" w:rsidRDefault="007B1948" w:rsidP="009B5312">
      <w:pPr>
        <w:pStyle w:val="ListParagraph"/>
        <w:ind w:left="0"/>
      </w:pPr>
    </w:p>
    <w:p w14:paraId="30BF9D95" w14:textId="22B8DAE2" w:rsidR="00507353" w:rsidRDefault="007B1948" w:rsidP="009B5312">
      <w:pPr>
        <w:pStyle w:val="ListParagraph"/>
        <w:numPr>
          <w:ilvl w:val="4"/>
          <w:numId w:val="71"/>
        </w:numPr>
        <w:ind w:left="0" w:firstLine="0"/>
      </w:pPr>
      <w:r>
        <w:t xml:space="preserve">Add </w:t>
      </w:r>
      <w:r w:rsidR="004C188A" w:rsidRPr="00677B47">
        <w:t xml:space="preserve">25 </w:t>
      </w:r>
      <w:r w:rsidR="0097204C" w:rsidRPr="00677B47">
        <w:t>µ</w:t>
      </w:r>
      <w:r w:rsidR="004C188A" w:rsidRPr="00677B47">
        <w:t xml:space="preserve">L of additional </w:t>
      </w:r>
      <w:r w:rsidR="002D0DBC" w:rsidRPr="00677B47">
        <w:t>a</w:t>
      </w:r>
      <w:r w:rsidR="004C188A" w:rsidRPr="00677B47">
        <w:t>ssay buffer ONLY to background wells</w:t>
      </w:r>
      <w:r w:rsidR="002D0DBC" w:rsidRPr="00677B47">
        <w:t>. For every experimental run, it is recommended to have at least two background wells. Background wells have no sample loaded and define the fluorescent intensity read by the instrument without sample.</w:t>
      </w:r>
    </w:p>
    <w:p w14:paraId="28B1DF9A" w14:textId="77777777" w:rsidR="007B1948" w:rsidRPr="00677B47" w:rsidRDefault="007B1948" w:rsidP="009B5312">
      <w:pPr>
        <w:pStyle w:val="ListParagraph"/>
        <w:ind w:left="0"/>
      </w:pPr>
    </w:p>
    <w:p w14:paraId="3E82FBB0" w14:textId="79C18C20" w:rsidR="00F11AC9" w:rsidRDefault="007B1948" w:rsidP="009B5312">
      <w:pPr>
        <w:pStyle w:val="ListParagraph"/>
        <w:numPr>
          <w:ilvl w:val="4"/>
          <w:numId w:val="71"/>
        </w:numPr>
        <w:ind w:left="0" w:firstLine="0"/>
      </w:pPr>
      <w:r>
        <w:t xml:space="preserve">Add </w:t>
      </w:r>
      <w:r w:rsidR="004C188A" w:rsidRPr="00677B47">
        <w:t xml:space="preserve">25 </w:t>
      </w:r>
      <w:r w:rsidR="0097204C" w:rsidRPr="00677B47">
        <w:t>µ</w:t>
      </w:r>
      <w:r w:rsidR="004C188A" w:rsidRPr="00677B47">
        <w:t>L of diluted samples to samples wells</w:t>
      </w:r>
      <w:r w:rsidR="002D0DBC" w:rsidRPr="00677B47">
        <w:t>.</w:t>
      </w:r>
    </w:p>
    <w:p w14:paraId="11299EB0" w14:textId="77777777" w:rsidR="007B1948" w:rsidRPr="00677B47" w:rsidRDefault="007B1948" w:rsidP="009B5312">
      <w:pPr>
        <w:pStyle w:val="ListParagraph"/>
        <w:ind w:left="0"/>
      </w:pPr>
    </w:p>
    <w:p w14:paraId="6769D7A9" w14:textId="7BFF09D5" w:rsidR="00F23E4B" w:rsidRDefault="007B1948" w:rsidP="009B5312">
      <w:pPr>
        <w:pStyle w:val="ListParagraph"/>
        <w:numPr>
          <w:ilvl w:val="4"/>
          <w:numId w:val="71"/>
        </w:numPr>
        <w:ind w:left="0" w:firstLine="0"/>
      </w:pPr>
      <w:r>
        <w:t xml:space="preserve">Add </w:t>
      </w:r>
      <w:r w:rsidR="004C188A" w:rsidRPr="00677B47">
        <w:t xml:space="preserve">25 </w:t>
      </w:r>
      <w:r w:rsidR="0097204C" w:rsidRPr="00677B47">
        <w:t>µ</w:t>
      </w:r>
      <w:r w:rsidR="004C188A" w:rsidRPr="00677B47">
        <w:t xml:space="preserve">L of </w:t>
      </w:r>
      <w:r w:rsidR="00F23E4B" w:rsidRPr="00677B47">
        <w:t xml:space="preserve">1x </w:t>
      </w:r>
      <w:r w:rsidR="00EF1D05" w:rsidRPr="00677B47">
        <w:t xml:space="preserve">multiplex </w:t>
      </w:r>
      <w:r w:rsidR="00F23E4B" w:rsidRPr="00677B47">
        <w:t xml:space="preserve">magnetic </w:t>
      </w:r>
      <w:r w:rsidR="002D0DBC" w:rsidRPr="00677B47">
        <w:t xml:space="preserve">beads </w:t>
      </w:r>
      <w:r w:rsidR="004C188A" w:rsidRPr="00677B47">
        <w:t xml:space="preserve">to all wells </w:t>
      </w:r>
      <w:r w:rsidRPr="007B1948">
        <w:t>(</w:t>
      </w:r>
      <w:r>
        <w:rPr>
          <w:b/>
        </w:rPr>
        <w:t xml:space="preserve">Figure </w:t>
      </w:r>
      <w:r w:rsidR="0097204C" w:rsidRPr="00677B47">
        <w:rPr>
          <w:b/>
        </w:rPr>
        <w:t>6</w:t>
      </w:r>
      <w:r w:rsidRPr="007B1948">
        <w:t>)</w:t>
      </w:r>
      <w:r w:rsidR="00B567DC" w:rsidRPr="00677B47">
        <w:t>.</w:t>
      </w:r>
    </w:p>
    <w:p w14:paraId="022921D3" w14:textId="77777777" w:rsidR="007B1948" w:rsidRPr="00677B47" w:rsidRDefault="007B1948" w:rsidP="009B5312">
      <w:pPr>
        <w:pStyle w:val="ListParagraph"/>
        <w:ind w:left="0"/>
      </w:pPr>
    </w:p>
    <w:p w14:paraId="66B8A529" w14:textId="16999219" w:rsidR="007E1FD8" w:rsidRPr="00677B47" w:rsidRDefault="007C617E" w:rsidP="009B5312">
      <w:pPr>
        <w:pStyle w:val="ListParagraph"/>
        <w:ind w:left="0"/>
      </w:pPr>
      <w:r w:rsidRPr="00677B47">
        <w:t xml:space="preserve">NOTE: The </w:t>
      </w:r>
      <w:r w:rsidR="003226C2" w:rsidRPr="00677B47">
        <w:t xml:space="preserve">Luminex </w:t>
      </w:r>
      <w:r w:rsidR="00933A28" w:rsidRPr="00677B47">
        <w:t xml:space="preserve">assay kit </w:t>
      </w:r>
      <w:r w:rsidR="003226C2" w:rsidRPr="00677B47">
        <w:t>provides</w:t>
      </w:r>
      <w:r w:rsidR="007C6EC9" w:rsidRPr="00677B47">
        <w:t xml:space="preserve"> </w:t>
      </w:r>
      <w:r w:rsidR="00B325D7" w:rsidRPr="00677B47">
        <w:t xml:space="preserve">multiplex </w:t>
      </w:r>
      <w:r w:rsidR="00F23E4B" w:rsidRPr="00677B47">
        <w:t xml:space="preserve">magnetic bead </w:t>
      </w:r>
      <w:r w:rsidR="007C6EC9" w:rsidRPr="00677B47">
        <w:t>in 20x stock solution</w:t>
      </w:r>
      <w:r w:rsidR="00F23E4B" w:rsidRPr="00677B47">
        <w:t xml:space="preserve">. </w:t>
      </w:r>
      <w:r w:rsidR="004C188A" w:rsidRPr="00677B47">
        <w:t xml:space="preserve">Be sure to vortex </w:t>
      </w:r>
      <w:r w:rsidR="00F23E4B" w:rsidRPr="00677B47">
        <w:t xml:space="preserve">20x </w:t>
      </w:r>
      <w:r w:rsidR="007C6EC9" w:rsidRPr="00677B47">
        <w:t>stock</w:t>
      </w:r>
      <w:r w:rsidR="00160129" w:rsidRPr="00677B47">
        <w:t xml:space="preserve"> multiplex magnetic</w:t>
      </w:r>
      <w:r w:rsidR="007C6EC9" w:rsidRPr="00677B47">
        <w:t xml:space="preserve"> </w:t>
      </w:r>
      <w:r w:rsidR="004C188A" w:rsidRPr="00677B47">
        <w:t>bead</w:t>
      </w:r>
      <w:r w:rsidR="007C6EC9" w:rsidRPr="00677B47">
        <w:t xml:space="preserve"> solution</w:t>
      </w:r>
      <w:r w:rsidR="004C188A" w:rsidRPr="00677B47">
        <w:t xml:space="preserve"> for </w:t>
      </w:r>
      <w:r w:rsidR="00F23E4B" w:rsidRPr="00677B47">
        <w:t>2</w:t>
      </w:r>
      <w:r w:rsidR="004C188A" w:rsidRPr="00677B47">
        <w:t xml:space="preserve"> min</w:t>
      </w:r>
      <w:r w:rsidR="00EF1D05" w:rsidRPr="00677B47">
        <w:t>,</w:t>
      </w:r>
      <w:r w:rsidR="004C188A" w:rsidRPr="00677B47">
        <w:t xml:space="preserve"> </w:t>
      </w:r>
      <w:r w:rsidR="00F23E4B" w:rsidRPr="00677B47">
        <w:t xml:space="preserve">and </w:t>
      </w:r>
      <w:r w:rsidR="00F95372" w:rsidRPr="00677B47">
        <w:t>then dilute it in a</w:t>
      </w:r>
      <w:r w:rsidR="00F23E4B" w:rsidRPr="00677B47">
        <w:t>ssay buffer to 1x solution. Vortex 1x</w:t>
      </w:r>
      <w:r w:rsidR="00160129" w:rsidRPr="00677B47">
        <w:t xml:space="preserve"> multiplex</w:t>
      </w:r>
      <w:r w:rsidR="00F23E4B" w:rsidRPr="00677B47">
        <w:t xml:space="preserve"> magnetic bead </w:t>
      </w:r>
      <w:r w:rsidR="007C6EC9" w:rsidRPr="00677B47">
        <w:t xml:space="preserve">suspension </w:t>
      </w:r>
      <w:r w:rsidR="00F23E4B" w:rsidRPr="00677B47">
        <w:t>for 1 min</w:t>
      </w:r>
      <w:r w:rsidR="00160129" w:rsidRPr="00677B47">
        <w:t xml:space="preserve"> </w:t>
      </w:r>
      <w:r w:rsidR="00F23E4B" w:rsidRPr="00677B47">
        <w:t>before add</w:t>
      </w:r>
      <w:r w:rsidR="00F95372" w:rsidRPr="00677B47">
        <w:t>ing to well</w:t>
      </w:r>
      <w:r w:rsidR="004C188A" w:rsidRPr="00677B47">
        <w:t xml:space="preserve">s. </w:t>
      </w:r>
    </w:p>
    <w:p w14:paraId="66E35901" w14:textId="45AB44FF" w:rsidR="004C188A" w:rsidRPr="00677B47" w:rsidRDefault="0049649E" w:rsidP="009B5312">
      <w:pPr>
        <w:pStyle w:val="ListParagraph"/>
        <w:numPr>
          <w:ilvl w:val="3"/>
          <w:numId w:val="71"/>
        </w:numPr>
        <w:ind w:left="0" w:firstLine="0"/>
      </w:pPr>
      <w:r w:rsidRPr="00677B47">
        <w:t xml:space="preserve"> </w:t>
      </w:r>
      <w:r w:rsidR="004C188A" w:rsidRPr="00677B47">
        <w:t>Seal plate with plate sealer</w:t>
      </w:r>
      <w:r w:rsidR="006C3386" w:rsidRPr="00677B47">
        <w:t xml:space="preserve"> </w:t>
      </w:r>
      <w:r w:rsidR="004C188A" w:rsidRPr="00677B47">
        <w:t xml:space="preserve">and cover the plate with aluminum foil. Incubate overnight </w:t>
      </w:r>
      <w:r w:rsidR="007B1948" w:rsidRPr="007B1948">
        <w:lastRenderedPageBreak/>
        <w:t>(</w:t>
      </w:r>
      <w:r w:rsidR="004C188A" w:rsidRPr="00677B47">
        <w:t>12-16 hours</w:t>
      </w:r>
      <w:r w:rsidR="007B1948" w:rsidRPr="007B1948">
        <w:t>)</w:t>
      </w:r>
      <w:r w:rsidR="004C188A" w:rsidRPr="00677B47">
        <w:t xml:space="preserve"> at 2-8 °C.</w:t>
      </w:r>
    </w:p>
    <w:p w14:paraId="6FB26805" w14:textId="63C9380B" w:rsidR="002E4AD2" w:rsidRPr="00677B47" w:rsidRDefault="002E4AD2" w:rsidP="009B5312">
      <w:pPr>
        <w:pStyle w:val="ListParagraph"/>
        <w:ind w:left="0"/>
        <w:rPr>
          <w:b/>
          <w:highlight w:val="yellow"/>
        </w:rPr>
      </w:pPr>
    </w:p>
    <w:p w14:paraId="0AB07F0C" w14:textId="0110857D" w:rsidR="002E4AD2" w:rsidRPr="00677B47" w:rsidRDefault="002E4AD2" w:rsidP="009B5312">
      <w:pPr>
        <w:pStyle w:val="ListParagraph"/>
        <w:numPr>
          <w:ilvl w:val="2"/>
          <w:numId w:val="77"/>
        </w:numPr>
        <w:ind w:left="0" w:firstLine="0"/>
      </w:pPr>
      <w:r w:rsidRPr="00677B47">
        <w:rPr>
          <w:bCs/>
        </w:rPr>
        <w:t xml:space="preserve">Immunoassay procedure for </w:t>
      </w:r>
      <w:r w:rsidR="0091023B">
        <w:rPr>
          <w:bCs/>
        </w:rPr>
        <w:t>p</w:t>
      </w:r>
      <w:r w:rsidRPr="00677B47">
        <w:rPr>
          <w:bCs/>
        </w:rPr>
        <w:t xml:space="preserve">hospho-protein </w:t>
      </w:r>
      <w:r w:rsidR="007B1948" w:rsidRPr="007B1948">
        <w:t>(</w:t>
      </w:r>
      <w:r w:rsidRPr="00677B47">
        <w:rPr>
          <w:bCs/>
        </w:rPr>
        <w:t>day 2</w:t>
      </w:r>
      <w:r w:rsidR="007B1948" w:rsidRPr="007B1948">
        <w:t>)</w:t>
      </w:r>
    </w:p>
    <w:p w14:paraId="722B1E21" w14:textId="77777777" w:rsidR="00730D13" w:rsidRPr="00677B47" w:rsidRDefault="00730D13" w:rsidP="009B5312">
      <w:pPr>
        <w:pStyle w:val="NormalWeb"/>
        <w:spacing w:before="0" w:beforeAutospacing="0" w:after="0" w:afterAutospacing="0"/>
        <w:contextualSpacing/>
        <w:rPr>
          <w:bCs/>
        </w:rPr>
      </w:pPr>
    </w:p>
    <w:p w14:paraId="6A77E643" w14:textId="559C72E0" w:rsidR="006C432B" w:rsidRPr="00677B47" w:rsidRDefault="00F23E4B" w:rsidP="009B5312">
      <w:pPr>
        <w:pStyle w:val="ListParagraph"/>
        <w:numPr>
          <w:ilvl w:val="3"/>
          <w:numId w:val="77"/>
        </w:numPr>
        <w:ind w:left="0" w:firstLine="0"/>
      </w:pPr>
      <w:r w:rsidRPr="00677B47">
        <w:t xml:space="preserve">Place </w:t>
      </w:r>
      <w:r w:rsidR="004706F1">
        <w:t xml:space="preserve">the </w:t>
      </w:r>
      <w:r w:rsidRPr="00677B47">
        <w:t xml:space="preserve">well plate on </w:t>
      </w:r>
      <w:r w:rsidR="004706F1">
        <w:t xml:space="preserve">a </w:t>
      </w:r>
      <w:r w:rsidRPr="00677B47">
        <w:t xml:space="preserve">magnetic </w:t>
      </w:r>
      <w:r w:rsidR="001D4203" w:rsidRPr="00677B47">
        <w:t>separator</w:t>
      </w:r>
      <w:r w:rsidRPr="00677B47">
        <w:t>, making sure t</w:t>
      </w:r>
      <w:r w:rsidR="004706F1">
        <w:t>hat t</w:t>
      </w:r>
      <w:r w:rsidRPr="00677B47">
        <w:t xml:space="preserve">he well plate is fully aligned with the magnetic </w:t>
      </w:r>
      <w:r w:rsidR="001B493D" w:rsidRPr="00677B47">
        <w:t>separator</w:t>
      </w:r>
      <w:r w:rsidRPr="00677B47">
        <w:t>. Let sit for 2 min.</w:t>
      </w:r>
      <w:r w:rsidRPr="00677B47" w:rsidDel="006F0F84">
        <w:t xml:space="preserve"> </w:t>
      </w:r>
      <w:r w:rsidR="001B220D" w:rsidRPr="00677B47">
        <w:t xml:space="preserve">Decant well contents while the </w:t>
      </w:r>
      <w:r w:rsidR="004102E6" w:rsidRPr="00677B47">
        <w:t xml:space="preserve">well </w:t>
      </w:r>
      <w:r w:rsidR="001B220D" w:rsidRPr="00677B47">
        <w:t>plate is still attached to the magnetic separator</w:t>
      </w:r>
      <w:r w:rsidR="006C432B" w:rsidRPr="00677B47">
        <w:t>.</w:t>
      </w:r>
    </w:p>
    <w:p w14:paraId="03E383BB" w14:textId="77777777" w:rsidR="005539F5" w:rsidRPr="00677B47" w:rsidRDefault="005539F5" w:rsidP="009B5312">
      <w:pPr>
        <w:pStyle w:val="ListParagraph"/>
        <w:ind w:left="0"/>
      </w:pPr>
    </w:p>
    <w:p w14:paraId="6EAFC7B1" w14:textId="4F1F543A" w:rsidR="006C432B" w:rsidRPr="00677B47" w:rsidRDefault="006C432B" w:rsidP="009B5312">
      <w:pPr>
        <w:pStyle w:val="ListParagraph"/>
        <w:numPr>
          <w:ilvl w:val="3"/>
          <w:numId w:val="77"/>
        </w:numPr>
        <w:ind w:left="0" w:firstLine="0"/>
      </w:pPr>
      <w:r w:rsidRPr="00677B47">
        <w:rPr>
          <w:bCs/>
        </w:rPr>
        <w:t xml:space="preserve">Wash plate 2 times </w:t>
      </w:r>
      <w:r w:rsidR="007B1948" w:rsidRPr="007B1948">
        <w:t>(</w:t>
      </w:r>
      <w:r w:rsidRPr="00677B47">
        <w:rPr>
          <w:bCs/>
        </w:rPr>
        <w:t xml:space="preserve">see step </w:t>
      </w:r>
      <w:r w:rsidR="00202052" w:rsidRPr="00677B47">
        <w:rPr>
          <w:bCs/>
        </w:rPr>
        <w:t>b</w:t>
      </w:r>
      <w:r w:rsidRPr="00677B47">
        <w:rPr>
          <w:bCs/>
        </w:rPr>
        <w:t xml:space="preserve"> in cytokine’s immunoassay procedure day 2</w:t>
      </w:r>
      <w:r w:rsidR="007B1948" w:rsidRPr="007B1948">
        <w:t>)</w:t>
      </w:r>
      <w:r w:rsidR="004706F1">
        <w:t>.</w:t>
      </w:r>
    </w:p>
    <w:p w14:paraId="300F91CC" w14:textId="77777777" w:rsidR="005539F5" w:rsidRPr="00677B47" w:rsidRDefault="005539F5" w:rsidP="009B5312">
      <w:pPr>
        <w:pStyle w:val="ListParagraph"/>
        <w:ind w:left="0"/>
      </w:pPr>
    </w:p>
    <w:p w14:paraId="4FA311BC" w14:textId="59D1E90F" w:rsidR="006C432B" w:rsidRPr="00677B47" w:rsidRDefault="006C432B" w:rsidP="009B5312">
      <w:pPr>
        <w:pStyle w:val="ListParagraph"/>
        <w:numPr>
          <w:ilvl w:val="3"/>
          <w:numId w:val="77"/>
        </w:numPr>
        <w:ind w:left="0" w:firstLine="0"/>
      </w:pPr>
      <w:r w:rsidRPr="00677B47">
        <w:t xml:space="preserve">Dilute the 20x stock detection antibody to 1x solution in assay buffer. Add 25 µL of 1x detection antibody per well </w:t>
      </w:r>
      <w:r w:rsidR="007B1948" w:rsidRPr="007B1948">
        <w:t>(</w:t>
      </w:r>
      <w:r w:rsidR="007B1948">
        <w:rPr>
          <w:b/>
        </w:rPr>
        <w:t xml:space="preserve">Figure </w:t>
      </w:r>
      <w:r w:rsidRPr="00677B47">
        <w:rPr>
          <w:b/>
        </w:rPr>
        <w:t>6</w:t>
      </w:r>
      <w:r w:rsidR="007B1948" w:rsidRPr="007B1948">
        <w:t>)</w:t>
      </w:r>
      <w:r w:rsidRPr="00677B47">
        <w:t>.</w:t>
      </w:r>
      <w:r w:rsidR="00981AEE" w:rsidRPr="00677B47">
        <w:t xml:space="preserve"> </w:t>
      </w:r>
      <w:r w:rsidRPr="00677B47">
        <w:t>Cov</w:t>
      </w:r>
      <w:r w:rsidR="00D74B87" w:rsidRPr="00677B47">
        <w:t xml:space="preserve">er with foil. Incubate for 1 </w:t>
      </w:r>
      <w:r w:rsidR="004706F1">
        <w:t>h</w:t>
      </w:r>
      <w:r w:rsidRPr="00677B47">
        <w:t xml:space="preserve"> on plate shaker </w:t>
      </w:r>
      <w:r w:rsidR="007B1948" w:rsidRPr="007B1948">
        <w:t>(</w:t>
      </w:r>
      <w:r w:rsidR="0004695D" w:rsidRPr="00677B47">
        <w:t>750 rpm</w:t>
      </w:r>
      <w:r w:rsidR="007B1948" w:rsidRPr="007B1948">
        <w:t>)</w:t>
      </w:r>
      <w:r w:rsidRPr="00677B47">
        <w:t xml:space="preserve"> at room temperature</w:t>
      </w:r>
      <w:r w:rsidR="005539F5" w:rsidRPr="00677B47">
        <w:t>.</w:t>
      </w:r>
    </w:p>
    <w:p w14:paraId="5FEC1D2E" w14:textId="68ED1FD3" w:rsidR="005539F5" w:rsidRPr="00677B47" w:rsidRDefault="004706F1" w:rsidP="009B5312">
      <w:pPr>
        <w:pStyle w:val="ListParagraph"/>
        <w:tabs>
          <w:tab w:val="left" w:pos="6754"/>
        </w:tabs>
        <w:ind w:left="0"/>
      </w:pPr>
      <w:r>
        <w:tab/>
      </w:r>
    </w:p>
    <w:p w14:paraId="026A38A9" w14:textId="3A840087" w:rsidR="006C432B" w:rsidRPr="00677B47" w:rsidRDefault="004706F1" w:rsidP="009B5312">
      <w:pPr>
        <w:pStyle w:val="ListParagraph"/>
        <w:numPr>
          <w:ilvl w:val="3"/>
          <w:numId w:val="77"/>
        </w:numPr>
        <w:ind w:left="0" w:firstLine="0"/>
      </w:pPr>
      <w:r>
        <w:t>P</w:t>
      </w:r>
      <w:r w:rsidR="006C432B" w:rsidRPr="00677B47">
        <w:rPr>
          <w:bCs/>
        </w:rPr>
        <w:t xml:space="preserve">lace </w:t>
      </w:r>
      <w:r>
        <w:rPr>
          <w:bCs/>
        </w:rPr>
        <w:t xml:space="preserve">the </w:t>
      </w:r>
      <w:r w:rsidR="006C432B" w:rsidRPr="00677B47">
        <w:rPr>
          <w:bCs/>
        </w:rPr>
        <w:t xml:space="preserve">96 well plate on magnetic separator, </w:t>
      </w:r>
      <w:r>
        <w:rPr>
          <w:bCs/>
        </w:rPr>
        <w:t xml:space="preserve">and </w:t>
      </w:r>
      <w:r w:rsidR="006C432B" w:rsidRPr="00677B47">
        <w:rPr>
          <w:bCs/>
        </w:rPr>
        <w:t>let sit for 2 min. Decant well contents, detach from the magnetic separator</w:t>
      </w:r>
    </w:p>
    <w:p w14:paraId="6CCD070E" w14:textId="77777777" w:rsidR="005539F5" w:rsidRPr="00677B47" w:rsidRDefault="005539F5" w:rsidP="009B5312">
      <w:pPr>
        <w:pStyle w:val="ListParagraph"/>
        <w:ind w:left="0"/>
      </w:pPr>
    </w:p>
    <w:p w14:paraId="1263EB04" w14:textId="6903BC63" w:rsidR="00CB20AC" w:rsidRPr="00677B47" w:rsidRDefault="006C432B" w:rsidP="009B5312">
      <w:pPr>
        <w:pStyle w:val="ListParagraph"/>
        <w:numPr>
          <w:ilvl w:val="3"/>
          <w:numId w:val="77"/>
        </w:numPr>
        <w:ind w:left="0" w:firstLine="0"/>
      </w:pPr>
      <w:r w:rsidRPr="00677B47">
        <w:rPr>
          <w:bCs/>
        </w:rPr>
        <w:t xml:space="preserve">Dilute 25x stock streptavidin-phycoerythrin </w:t>
      </w:r>
      <w:r w:rsidR="007B1948" w:rsidRPr="007B1948">
        <w:t>(</w:t>
      </w:r>
      <w:r w:rsidRPr="00677B47">
        <w:rPr>
          <w:bCs/>
        </w:rPr>
        <w:t>SAPE</w:t>
      </w:r>
      <w:r w:rsidR="007B1948" w:rsidRPr="007B1948">
        <w:t>)</w:t>
      </w:r>
      <w:r w:rsidRPr="00677B47">
        <w:rPr>
          <w:bCs/>
        </w:rPr>
        <w:t xml:space="preserve"> in assay buffer to 1x buffer. Add 25 µL of 1x SAPE </w:t>
      </w:r>
      <w:r w:rsidR="007B1948" w:rsidRPr="007B1948">
        <w:t>(</w:t>
      </w:r>
      <w:r w:rsidR="007B1948">
        <w:rPr>
          <w:b/>
        </w:rPr>
        <w:t xml:space="preserve">Figure </w:t>
      </w:r>
      <w:r w:rsidRPr="00677B47">
        <w:rPr>
          <w:b/>
        </w:rPr>
        <w:t>6</w:t>
      </w:r>
      <w:r w:rsidR="007B1948" w:rsidRPr="007B1948">
        <w:t>)</w:t>
      </w:r>
      <w:r w:rsidRPr="00677B47">
        <w:rPr>
          <w:bCs/>
        </w:rPr>
        <w:t>.</w:t>
      </w:r>
      <w:r w:rsidRPr="00677B47" w:rsidDel="00B567DC">
        <w:rPr>
          <w:bCs/>
        </w:rPr>
        <w:t xml:space="preserve"> </w:t>
      </w:r>
      <w:r w:rsidRPr="00677B47">
        <w:rPr>
          <w:bCs/>
        </w:rPr>
        <w:t xml:space="preserve">Cover with foil and incubate for 15 min on plate shaker </w:t>
      </w:r>
      <w:r w:rsidR="007B1948" w:rsidRPr="007B1948">
        <w:t>(</w:t>
      </w:r>
      <w:r w:rsidR="0004695D" w:rsidRPr="00677B47">
        <w:rPr>
          <w:bCs/>
        </w:rPr>
        <w:t>750 rpm</w:t>
      </w:r>
      <w:r w:rsidR="007B1948" w:rsidRPr="007B1948">
        <w:t>)</w:t>
      </w:r>
      <w:r w:rsidRPr="00677B47">
        <w:rPr>
          <w:bCs/>
        </w:rPr>
        <w:t xml:space="preserve"> at room temperature. </w:t>
      </w:r>
    </w:p>
    <w:p w14:paraId="298D039C" w14:textId="77777777" w:rsidR="005539F5" w:rsidRPr="00677B47" w:rsidRDefault="005539F5" w:rsidP="009B5312">
      <w:pPr>
        <w:pStyle w:val="ListParagraph"/>
        <w:ind w:left="0"/>
      </w:pPr>
    </w:p>
    <w:p w14:paraId="3B599DCC" w14:textId="0FABBD6D" w:rsidR="006C432B" w:rsidRPr="00677B47" w:rsidRDefault="006C432B" w:rsidP="009B5312">
      <w:pPr>
        <w:pStyle w:val="ListParagraph"/>
        <w:numPr>
          <w:ilvl w:val="3"/>
          <w:numId w:val="77"/>
        </w:numPr>
        <w:ind w:left="0" w:firstLine="0"/>
      </w:pPr>
      <w:r w:rsidRPr="00677B47">
        <w:rPr>
          <w:bCs/>
        </w:rPr>
        <w:t xml:space="preserve">Leave the SAPE in </w:t>
      </w:r>
      <w:proofErr w:type="gramStart"/>
      <w:r w:rsidRPr="00677B47">
        <w:rPr>
          <w:bCs/>
        </w:rPr>
        <w:t>wells, and</w:t>
      </w:r>
      <w:proofErr w:type="gramEnd"/>
      <w:r w:rsidRPr="00677B47">
        <w:rPr>
          <w:bCs/>
        </w:rPr>
        <w:t xml:space="preserve"> add 25 µL of amplification buffer to each well. Cover with foil. Incubate for 15 min on plate shaker </w:t>
      </w:r>
      <w:r w:rsidR="007B1948" w:rsidRPr="007B1948">
        <w:t>(</w:t>
      </w:r>
      <w:r w:rsidR="0004695D" w:rsidRPr="00677B47">
        <w:rPr>
          <w:bCs/>
        </w:rPr>
        <w:t>750 rpm</w:t>
      </w:r>
      <w:r w:rsidR="007B1948" w:rsidRPr="007B1948">
        <w:t>)</w:t>
      </w:r>
      <w:r w:rsidRPr="00677B47">
        <w:rPr>
          <w:bCs/>
        </w:rPr>
        <w:t xml:space="preserve"> at room temperature.</w:t>
      </w:r>
    </w:p>
    <w:p w14:paraId="3330CFDF" w14:textId="77777777" w:rsidR="005539F5" w:rsidRPr="00677B47" w:rsidRDefault="005539F5" w:rsidP="009B5312">
      <w:pPr>
        <w:pStyle w:val="ListParagraph"/>
        <w:ind w:left="0"/>
      </w:pPr>
    </w:p>
    <w:p w14:paraId="6FD47BE0" w14:textId="5FDF2E3C" w:rsidR="00DC1CC8" w:rsidRPr="00677B47" w:rsidRDefault="006C432B" w:rsidP="009B5312">
      <w:pPr>
        <w:pStyle w:val="ListParagraph"/>
        <w:numPr>
          <w:ilvl w:val="3"/>
          <w:numId w:val="77"/>
        </w:numPr>
        <w:ind w:left="0" w:firstLine="0"/>
      </w:pPr>
      <w:r w:rsidRPr="00677B47">
        <w:t xml:space="preserve">Incubate </w:t>
      </w:r>
      <w:r w:rsidRPr="00677B47">
        <w:rPr>
          <w:bCs/>
        </w:rPr>
        <w:t xml:space="preserve">for 15 min on plate shaker </w:t>
      </w:r>
      <w:r w:rsidR="007B1948" w:rsidRPr="007B1948">
        <w:t>(</w:t>
      </w:r>
      <w:r w:rsidR="0004695D" w:rsidRPr="00677B47">
        <w:rPr>
          <w:bCs/>
        </w:rPr>
        <w:t>750 rpm</w:t>
      </w:r>
      <w:r w:rsidR="007B1948" w:rsidRPr="007B1948">
        <w:t>)</w:t>
      </w:r>
      <w:r w:rsidRPr="00677B47">
        <w:rPr>
          <w:bCs/>
        </w:rPr>
        <w:t xml:space="preserve"> at room temperature.</w:t>
      </w:r>
    </w:p>
    <w:p w14:paraId="27B868FE" w14:textId="77777777" w:rsidR="005539F5" w:rsidRPr="00677B47" w:rsidRDefault="005539F5" w:rsidP="009B5312">
      <w:pPr>
        <w:pStyle w:val="ListParagraph"/>
        <w:ind w:left="0"/>
      </w:pPr>
    </w:p>
    <w:p w14:paraId="27957E30" w14:textId="3531E897" w:rsidR="00DC1CC8" w:rsidRPr="00677B47" w:rsidRDefault="006C432B" w:rsidP="009B5312">
      <w:pPr>
        <w:pStyle w:val="ListParagraph"/>
        <w:numPr>
          <w:ilvl w:val="3"/>
          <w:numId w:val="77"/>
        </w:numPr>
        <w:ind w:left="0" w:firstLine="0"/>
      </w:pPr>
      <w:r w:rsidRPr="00677B47">
        <w:rPr>
          <w:bCs/>
        </w:rPr>
        <w:t>Place the well plate on the magnetic separator for 2 min. Decant well contents</w:t>
      </w:r>
      <w:r w:rsidR="00985EAF">
        <w:rPr>
          <w:bCs/>
        </w:rPr>
        <w:t xml:space="preserve"> and </w:t>
      </w:r>
      <w:r w:rsidRPr="00677B47">
        <w:rPr>
          <w:bCs/>
        </w:rPr>
        <w:t xml:space="preserve">detach from </w:t>
      </w:r>
      <w:r w:rsidR="00985EAF">
        <w:rPr>
          <w:bCs/>
        </w:rPr>
        <w:t xml:space="preserve">the </w:t>
      </w:r>
      <w:r w:rsidRPr="00677B47">
        <w:rPr>
          <w:bCs/>
        </w:rPr>
        <w:t>magnetic separator.</w:t>
      </w:r>
      <w:r w:rsidR="00DC1CC8" w:rsidRPr="00677B47">
        <w:rPr>
          <w:bCs/>
        </w:rPr>
        <w:t xml:space="preserve"> </w:t>
      </w:r>
    </w:p>
    <w:p w14:paraId="37D0C6BA" w14:textId="77777777" w:rsidR="005539F5" w:rsidRPr="00677B47" w:rsidRDefault="005539F5" w:rsidP="009B5312">
      <w:pPr>
        <w:pStyle w:val="ListParagraph"/>
        <w:ind w:left="0"/>
      </w:pPr>
    </w:p>
    <w:p w14:paraId="33265D14" w14:textId="7ED832E9" w:rsidR="005539F5" w:rsidRPr="00677B47" w:rsidRDefault="00DC1CC8" w:rsidP="009B5312">
      <w:pPr>
        <w:pStyle w:val="ListParagraph"/>
        <w:numPr>
          <w:ilvl w:val="3"/>
          <w:numId w:val="77"/>
        </w:numPr>
        <w:ind w:left="0" w:firstLine="0"/>
      </w:pPr>
      <w:r w:rsidRPr="00677B47">
        <w:rPr>
          <w:bCs/>
        </w:rPr>
        <w:t xml:space="preserve">Add 75 µL </w:t>
      </w:r>
      <w:r w:rsidR="00426E3E">
        <w:rPr>
          <w:bCs/>
        </w:rPr>
        <w:t xml:space="preserve">of </w:t>
      </w:r>
      <w:r w:rsidRPr="00677B47">
        <w:rPr>
          <w:bCs/>
        </w:rPr>
        <w:t xml:space="preserve">Luminex Drive Fluid </w:t>
      </w:r>
      <w:r w:rsidR="007B1948" w:rsidRPr="007B1948">
        <w:t>(</w:t>
      </w:r>
      <w:r w:rsidRPr="00677B47">
        <w:rPr>
          <w:bCs/>
        </w:rPr>
        <w:t>if using MAGPIX instrument</w:t>
      </w:r>
      <w:r w:rsidR="007B1948" w:rsidRPr="007B1948">
        <w:t>)</w:t>
      </w:r>
      <w:r w:rsidRPr="00677B47">
        <w:rPr>
          <w:bCs/>
        </w:rPr>
        <w:t xml:space="preserve"> or assay buffer </w:t>
      </w:r>
      <w:r w:rsidR="007B1948" w:rsidRPr="007B1948">
        <w:t>(</w:t>
      </w:r>
      <w:r w:rsidRPr="00677B47">
        <w:rPr>
          <w:bCs/>
        </w:rPr>
        <w:t>if using 200 or FlexMap 3D instrument</w:t>
      </w:r>
      <w:r w:rsidR="007B1948" w:rsidRPr="007B1948">
        <w:t>)</w:t>
      </w:r>
      <w:r w:rsidRPr="00677B47">
        <w:rPr>
          <w:bCs/>
        </w:rPr>
        <w:t xml:space="preserve">. Re-suspend beads on </w:t>
      </w:r>
      <w:r w:rsidR="00985EAF">
        <w:rPr>
          <w:bCs/>
        </w:rPr>
        <w:t xml:space="preserve">a </w:t>
      </w:r>
      <w:r w:rsidRPr="00677B47">
        <w:rPr>
          <w:bCs/>
        </w:rPr>
        <w:t>plate shaker for 5 min at room temperature.</w:t>
      </w:r>
    </w:p>
    <w:p w14:paraId="0C1F6B3E" w14:textId="77777777" w:rsidR="006372CD" w:rsidRPr="00677B47" w:rsidRDefault="006372CD" w:rsidP="009B5312">
      <w:pPr>
        <w:pStyle w:val="ListParagraph"/>
        <w:ind w:left="0"/>
      </w:pPr>
    </w:p>
    <w:p w14:paraId="5AA9D2C1" w14:textId="7E2492BE" w:rsidR="006C432B" w:rsidRPr="00677B47" w:rsidRDefault="006372CD" w:rsidP="009B5312">
      <w:pPr>
        <w:pStyle w:val="ListParagraph"/>
        <w:numPr>
          <w:ilvl w:val="3"/>
          <w:numId w:val="77"/>
        </w:numPr>
        <w:ind w:left="0" w:firstLine="0"/>
      </w:pPr>
      <w:r w:rsidRPr="00677B47">
        <w:rPr>
          <w:bCs/>
        </w:rPr>
        <w:t xml:space="preserve"> </w:t>
      </w:r>
      <w:r w:rsidR="006C432B" w:rsidRPr="00677B47">
        <w:rPr>
          <w:bCs/>
        </w:rPr>
        <w:t>Read on Luminex</w:t>
      </w:r>
      <w:r w:rsidR="006C432B" w:rsidRPr="00677B47">
        <w:t xml:space="preserve"> instrument </w:t>
      </w:r>
      <w:r w:rsidR="007B1948" w:rsidRPr="007B1948">
        <w:t>(</w:t>
      </w:r>
      <w:r w:rsidR="006C432B" w:rsidRPr="00677B47">
        <w:t>MAGPIX, 200, or FlexMap 3D</w:t>
      </w:r>
      <w:r w:rsidR="007B1948" w:rsidRPr="007B1948">
        <w:t>)</w:t>
      </w:r>
      <w:r w:rsidR="00F811E2" w:rsidRPr="00677B47">
        <w:t>, referring to the user’s manual for proper operation</w:t>
      </w:r>
      <w:r w:rsidR="006C432B" w:rsidRPr="00677B47">
        <w:t xml:space="preserve"> </w:t>
      </w:r>
      <w:r w:rsidR="007B1948" w:rsidRPr="007B1948">
        <w:t>(</w:t>
      </w:r>
      <w:r w:rsidR="007B1948">
        <w:rPr>
          <w:b/>
        </w:rPr>
        <w:t xml:space="preserve">Figure </w:t>
      </w:r>
      <w:r w:rsidR="006C432B" w:rsidRPr="00677B47">
        <w:rPr>
          <w:b/>
        </w:rPr>
        <w:t>6</w:t>
      </w:r>
      <w:r w:rsidR="007B1948" w:rsidRPr="007B1948">
        <w:t>)</w:t>
      </w:r>
      <w:r w:rsidR="00426E3E">
        <w:t>.</w:t>
      </w:r>
    </w:p>
    <w:p w14:paraId="571F5811" w14:textId="51DF9DB7" w:rsidR="006C432B" w:rsidRPr="00677B47" w:rsidRDefault="006C432B" w:rsidP="009B5312">
      <w:pPr>
        <w:pStyle w:val="ListParagraph"/>
        <w:ind w:left="0"/>
        <w:rPr>
          <w:bCs/>
        </w:rPr>
      </w:pPr>
    </w:p>
    <w:p w14:paraId="17F40045" w14:textId="3270CA1F" w:rsidR="00050E0B" w:rsidRPr="00426E3E" w:rsidRDefault="00050E0B" w:rsidP="009B5312">
      <w:pPr>
        <w:pStyle w:val="ListParagraph"/>
        <w:numPr>
          <w:ilvl w:val="1"/>
          <w:numId w:val="77"/>
        </w:numPr>
        <w:ind w:left="0" w:firstLine="0"/>
      </w:pPr>
      <w:r w:rsidRPr="00426E3E">
        <w:t>Linearity of sample dilution curve</w:t>
      </w:r>
    </w:p>
    <w:p w14:paraId="4F5F95E0" w14:textId="77777777" w:rsidR="00050E0B" w:rsidRPr="00677B47" w:rsidRDefault="00050E0B" w:rsidP="009B5312">
      <w:pPr>
        <w:contextualSpacing/>
        <w:rPr>
          <w:rFonts w:ascii="Calibri" w:hAnsi="Calibri" w:cs="Calibri"/>
        </w:rPr>
      </w:pPr>
    </w:p>
    <w:p w14:paraId="5B2033C3" w14:textId="44D2E9FF" w:rsidR="00795214" w:rsidRPr="00677B47" w:rsidRDefault="00DC0EE8" w:rsidP="009B5312">
      <w:pPr>
        <w:pStyle w:val="ListParagraph"/>
        <w:widowControl/>
        <w:numPr>
          <w:ilvl w:val="2"/>
          <w:numId w:val="78"/>
        </w:numPr>
        <w:autoSpaceDE/>
        <w:autoSpaceDN/>
        <w:adjustRightInd/>
        <w:ind w:left="0" w:firstLine="0"/>
        <w:rPr>
          <w:u w:val="single"/>
        </w:rPr>
      </w:pPr>
      <w:r w:rsidRPr="00677B47">
        <w:t>Preparation of samples:</w:t>
      </w:r>
      <w:r w:rsidR="00DC1CC8" w:rsidRPr="00677B47">
        <w:t xml:space="preserve"> </w:t>
      </w:r>
      <w:r w:rsidR="00050E0B" w:rsidRPr="00677B47">
        <w:t>Serially dilute test samples with different concentration of total protein. For</w:t>
      </w:r>
      <w:r w:rsidR="003300C5" w:rsidRPr="00677B47">
        <w:t xml:space="preserve"> bulk</w:t>
      </w:r>
      <w:r w:rsidR="00050E0B" w:rsidRPr="00677B47">
        <w:t xml:space="preserve"> brain tissues, load serial dilutions from 0-25 µg for cytokines and 0-12 µg for phospho-proteins. Total protein concentration can be measured using </w:t>
      </w:r>
      <w:r w:rsidR="00DC1CC8" w:rsidRPr="00677B47">
        <w:t>b</w:t>
      </w:r>
      <w:r w:rsidR="00050E0B" w:rsidRPr="00677B47">
        <w:t xml:space="preserve">icinchoninic acid </w:t>
      </w:r>
      <w:r w:rsidR="007B1948" w:rsidRPr="007B1948">
        <w:t>(</w:t>
      </w:r>
      <w:r w:rsidR="00050E0B" w:rsidRPr="00677B47">
        <w:t>BCA</w:t>
      </w:r>
      <w:r w:rsidR="007B1948" w:rsidRPr="007B1948">
        <w:t>)</w:t>
      </w:r>
      <w:r w:rsidR="00050E0B" w:rsidRPr="00677B47">
        <w:t xml:space="preserve"> assay.</w:t>
      </w:r>
    </w:p>
    <w:p w14:paraId="312FD00C" w14:textId="77777777" w:rsidR="00795214" w:rsidRPr="00677B47" w:rsidRDefault="00795214" w:rsidP="009B5312">
      <w:pPr>
        <w:contextualSpacing/>
        <w:rPr>
          <w:rFonts w:ascii="Calibri" w:hAnsi="Calibri" w:cs="Calibri"/>
        </w:rPr>
      </w:pPr>
    </w:p>
    <w:p w14:paraId="6A6F258E" w14:textId="439A8766" w:rsidR="00795214" w:rsidRPr="00426E3E" w:rsidRDefault="00795214" w:rsidP="009B5312">
      <w:pPr>
        <w:pStyle w:val="ListParagraph"/>
        <w:widowControl/>
        <w:numPr>
          <w:ilvl w:val="2"/>
          <w:numId w:val="78"/>
        </w:numPr>
        <w:autoSpaceDE/>
        <w:autoSpaceDN/>
        <w:adjustRightInd/>
        <w:ind w:left="0" w:firstLine="0"/>
        <w:rPr>
          <w:u w:val="single"/>
        </w:rPr>
      </w:pPr>
      <w:r w:rsidRPr="00677B47">
        <w:lastRenderedPageBreak/>
        <w:t xml:space="preserve">Multiplex immunoassay: Perform the Luminex assay </w:t>
      </w:r>
      <w:r w:rsidR="007B1948" w:rsidRPr="007B1948">
        <w:t>(</w:t>
      </w:r>
      <w:r w:rsidRPr="00677B47">
        <w:t>see section 3.2</w:t>
      </w:r>
      <w:r w:rsidR="007B1948" w:rsidRPr="007B1948">
        <w:t>)</w:t>
      </w:r>
      <w:r w:rsidRPr="00677B47">
        <w:t xml:space="preserve"> on selected samples.</w:t>
      </w:r>
    </w:p>
    <w:p w14:paraId="1A493E61" w14:textId="77777777" w:rsidR="00426E3E" w:rsidRPr="00426E3E" w:rsidRDefault="00426E3E" w:rsidP="009B5312">
      <w:pPr>
        <w:rPr>
          <w:u w:val="single"/>
        </w:rPr>
      </w:pPr>
    </w:p>
    <w:p w14:paraId="39054344" w14:textId="381DC899" w:rsidR="007E1FD8" w:rsidRDefault="00D27328" w:rsidP="009B5312">
      <w:pPr>
        <w:pStyle w:val="ListParagraph"/>
        <w:widowControl/>
        <w:numPr>
          <w:ilvl w:val="2"/>
          <w:numId w:val="78"/>
        </w:numPr>
        <w:autoSpaceDE/>
        <w:autoSpaceDN/>
        <w:adjustRightInd/>
        <w:ind w:left="0" w:firstLine="0"/>
      </w:pPr>
      <w:r w:rsidRPr="00677B47">
        <w:t>Data analysis</w:t>
      </w:r>
    </w:p>
    <w:p w14:paraId="69A55844" w14:textId="77777777" w:rsidR="00426E3E" w:rsidRPr="00677B47" w:rsidRDefault="00426E3E" w:rsidP="009B5312"/>
    <w:p w14:paraId="4BD8CCEA" w14:textId="47B085A4" w:rsidR="007E1FD8" w:rsidRPr="00426E3E" w:rsidRDefault="00050E0B" w:rsidP="009B5312">
      <w:pPr>
        <w:pStyle w:val="ListParagraph"/>
        <w:numPr>
          <w:ilvl w:val="3"/>
          <w:numId w:val="78"/>
        </w:numPr>
        <w:ind w:left="0" w:firstLine="0"/>
      </w:pPr>
      <w:r w:rsidRPr="00426E3E">
        <w:t xml:space="preserve">Plot fluorescent intensity </w:t>
      </w:r>
      <w:r w:rsidR="009458FE" w:rsidRPr="00426E3E">
        <w:t>for each protein vs.</w:t>
      </w:r>
      <w:r w:rsidRPr="00426E3E">
        <w:t xml:space="preserve"> </w:t>
      </w:r>
      <w:r w:rsidR="009458FE" w:rsidRPr="00426E3E">
        <w:t xml:space="preserve">amount of </w:t>
      </w:r>
      <w:r w:rsidRPr="00426E3E">
        <w:t xml:space="preserve">protein </w:t>
      </w:r>
      <w:r w:rsidR="009458FE" w:rsidRPr="00426E3E">
        <w:t xml:space="preserve">loaded </w:t>
      </w:r>
      <w:r w:rsidR="007B1948" w:rsidRPr="00426E3E">
        <w:t>(</w:t>
      </w:r>
      <w:r w:rsidR="007B1948" w:rsidRPr="00426E3E">
        <w:rPr>
          <w:b/>
        </w:rPr>
        <w:t xml:space="preserve">Figure </w:t>
      </w:r>
      <w:r w:rsidR="00B75379" w:rsidRPr="00426E3E">
        <w:rPr>
          <w:b/>
        </w:rPr>
        <w:t>7</w:t>
      </w:r>
      <w:r w:rsidR="007B1948" w:rsidRPr="00426E3E">
        <w:t>)</w:t>
      </w:r>
      <w:r w:rsidR="00D65763" w:rsidRPr="00426E3E">
        <w:t>.</w:t>
      </w:r>
    </w:p>
    <w:p w14:paraId="3A1512FC" w14:textId="77777777" w:rsidR="00507353" w:rsidRPr="00677B47" w:rsidRDefault="00507353" w:rsidP="009B5312">
      <w:pPr>
        <w:contextualSpacing/>
        <w:rPr>
          <w:rFonts w:ascii="Calibri" w:hAnsi="Calibri" w:cs="Calibri"/>
          <w:highlight w:val="red"/>
        </w:rPr>
      </w:pPr>
    </w:p>
    <w:p w14:paraId="1952BADD" w14:textId="4417162F" w:rsidR="006C432B" w:rsidRPr="00677B47" w:rsidRDefault="006C432B" w:rsidP="009B5312">
      <w:pPr>
        <w:pStyle w:val="ListParagraph"/>
        <w:numPr>
          <w:ilvl w:val="3"/>
          <w:numId w:val="78"/>
        </w:numPr>
        <w:ind w:left="0" w:firstLine="0"/>
      </w:pPr>
      <w:r w:rsidRPr="00677B47">
        <w:t xml:space="preserve">For each analyte, identify range of total protein loaded for which the relationship between total protein and the fluorescent intensity readout is linear </w:t>
      </w:r>
      <w:r w:rsidR="007B1948" w:rsidRPr="007B1948">
        <w:t>(</w:t>
      </w:r>
      <w:r w:rsidR="007B1948">
        <w:rPr>
          <w:b/>
          <w:bCs/>
        </w:rPr>
        <w:t xml:space="preserve">Figure </w:t>
      </w:r>
      <w:r w:rsidRPr="00677B47">
        <w:rPr>
          <w:b/>
          <w:bCs/>
        </w:rPr>
        <w:t>7</w:t>
      </w:r>
      <w:r w:rsidR="007B1948" w:rsidRPr="007B1948">
        <w:t>)</w:t>
      </w:r>
      <w:r w:rsidRPr="00677B47">
        <w:t>.</w:t>
      </w:r>
    </w:p>
    <w:p w14:paraId="4CDFD92B" w14:textId="77777777" w:rsidR="00507353" w:rsidRPr="00677B47" w:rsidRDefault="00507353" w:rsidP="009B5312">
      <w:pPr>
        <w:contextualSpacing/>
        <w:rPr>
          <w:rFonts w:ascii="Calibri" w:hAnsi="Calibri" w:cs="Calibri"/>
          <w:highlight w:val="red"/>
        </w:rPr>
      </w:pPr>
    </w:p>
    <w:p w14:paraId="26A0459A" w14:textId="25404ABE" w:rsidR="003E4B7C" w:rsidRPr="00677B47" w:rsidRDefault="00260009" w:rsidP="009B5312">
      <w:pPr>
        <w:pStyle w:val="ListParagraph"/>
        <w:numPr>
          <w:ilvl w:val="3"/>
          <w:numId w:val="78"/>
        </w:numPr>
        <w:ind w:left="0" w:firstLine="0"/>
      </w:pPr>
      <w:r w:rsidRPr="00677B47">
        <w:t xml:space="preserve">To determine the amount of total protein that should be loaded for the full assay run, identify the linear portion of the curve for each analyte </w:t>
      </w:r>
      <w:r w:rsidR="00361E82" w:rsidRPr="00677B47">
        <w:t>and then select a protein concentration that falls within the linear range for the majority of analytes.</w:t>
      </w:r>
      <w:r w:rsidR="00361E82" w:rsidRPr="00677B47" w:rsidDel="00361E82">
        <w:t xml:space="preserve"> </w:t>
      </w:r>
    </w:p>
    <w:p w14:paraId="1A76CAA7" w14:textId="77777777" w:rsidR="00426E3E" w:rsidRDefault="00426E3E" w:rsidP="009B5312">
      <w:pPr>
        <w:contextualSpacing/>
        <w:rPr>
          <w:rFonts w:ascii="Calibri" w:hAnsi="Calibri" w:cs="Calibri"/>
        </w:rPr>
      </w:pPr>
    </w:p>
    <w:p w14:paraId="62B7EB9D" w14:textId="7538ADF7" w:rsidR="003E4B7C" w:rsidRPr="00677B47" w:rsidRDefault="00690075" w:rsidP="009B5312">
      <w:pPr>
        <w:contextualSpacing/>
        <w:rPr>
          <w:rFonts w:ascii="Calibri" w:hAnsi="Calibri" w:cs="Calibri"/>
        </w:rPr>
      </w:pPr>
      <w:r w:rsidRPr="00677B47">
        <w:rPr>
          <w:rFonts w:ascii="Calibri" w:hAnsi="Calibri" w:cs="Calibri"/>
        </w:rPr>
        <w:t>NOTE:</w:t>
      </w:r>
      <w:r w:rsidR="007A320B" w:rsidRPr="00677B47">
        <w:rPr>
          <w:rFonts w:ascii="Calibri" w:hAnsi="Calibri" w:cs="Calibri"/>
        </w:rPr>
        <w:t xml:space="preserve"> </w:t>
      </w:r>
      <w:r w:rsidR="003E4B7C" w:rsidRPr="00677B47">
        <w:rPr>
          <w:rFonts w:ascii="Calibri" w:hAnsi="Calibri" w:cs="Calibri"/>
        </w:rPr>
        <w:t>Although most proteins share a similar linear range, the linear ranges may not overlap for all proteins. If this is the case, it may be necessary to run each sample multiple times with different amounts of total protein loaded. Alternatively, nonlinear samples may be left out of the analysis. Additionally, some proteins may not have a linear range whatsoever.</w:t>
      </w:r>
    </w:p>
    <w:p w14:paraId="2A32D4D3" w14:textId="77777777" w:rsidR="00F23E4B" w:rsidRPr="00677B47" w:rsidRDefault="00F23E4B" w:rsidP="009B5312">
      <w:pPr>
        <w:pStyle w:val="NormalWeb"/>
        <w:spacing w:before="0" w:beforeAutospacing="0" w:after="0" w:afterAutospacing="0"/>
        <w:contextualSpacing/>
      </w:pPr>
    </w:p>
    <w:p w14:paraId="7B1B7F1C" w14:textId="5EE76BA7" w:rsidR="00474387" w:rsidRPr="00F934C7" w:rsidRDefault="00474387" w:rsidP="009B5312">
      <w:pPr>
        <w:pStyle w:val="NormalWeb"/>
        <w:numPr>
          <w:ilvl w:val="0"/>
          <w:numId w:val="56"/>
        </w:numPr>
        <w:spacing w:before="0" w:beforeAutospacing="0" w:after="0" w:afterAutospacing="0"/>
        <w:ind w:left="0" w:firstLine="0"/>
        <w:contextualSpacing/>
        <w:rPr>
          <w:b/>
        </w:rPr>
      </w:pPr>
      <w:r w:rsidRPr="00F934C7">
        <w:rPr>
          <w:b/>
        </w:rPr>
        <w:t xml:space="preserve">Partial </w:t>
      </w:r>
      <w:r w:rsidR="00426E3E" w:rsidRPr="00F934C7">
        <w:rPr>
          <w:b/>
        </w:rPr>
        <w:t>least squares regression</w:t>
      </w:r>
    </w:p>
    <w:p w14:paraId="41009B51" w14:textId="0C992A13" w:rsidR="00AD145C" w:rsidRPr="00F934C7" w:rsidRDefault="00AD145C" w:rsidP="009B5312">
      <w:pPr>
        <w:pStyle w:val="NormalWeb"/>
        <w:spacing w:before="0" w:beforeAutospacing="0" w:after="0" w:afterAutospacing="0"/>
        <w:contextualSpacing/>
      </w:pPr>
    </w:p>
    <w:p w14:paraId="6AEFCC47" w14:textId="2C7F6DF6" w:rsidR="00AD145C" w:rsidRPr="00F934C7" w:rsidRDefault="00426E3E" w:rsidP="009B5312">
      <w:pPr>
        <w:pStyle w:val="NormalWeb"/>
        <w:spacing w:before="0" w:beforeAutospacing="0" w:after="0" w:afterAutospacing="0"/>
        <w:contextualSpacing/>
      </w:pPr>
      <w:r w:rsidRPr="00F934C7">
        <w:t>NOTE</w:t>
      </w:r>
      <w:r w:rsidR="00AD145C" w:rsidRPr="00F934C7">
        <w:t>: Sample R code</w:t>
      </w:r>
      <w:r w:rsidR="00BA64C1" w:rsidRPr="00F934C7">
        <w:t xml:space="preserve"> and a sample data spreadsheet</w:t>
      </w:r>
      <w:r w:rsidR="00AD145C" w:rsidRPr="00F934C7">
        <w:t xml:space="preserve"> </w:t>
      </w:r>
      <w:r w:rsidR="00BA64C1" w:rsidRPr="00F934C7">
        <w:t>are</w:t>
      </w:r>
      <w:r w:rsidR="00AD145C" w:rsidRPr="00F934C7">
        <w:t xml:space="preserve"> provided to carry out the Partial Least Squares Analysis. </w:t>
      </w:r>
    </w:p>
    <w:p w14:paraId="7695AD52" w14:textId="77777777" w:rsidR="00176F98" w:rsidRPr="00F934C7" w:rsidRDefault="00176F98" w:rsidP="009B5312">
      <w:pPr>
        <w:pStyle w:val="NormalWeb"/>
        <w:spacing w:before="0" w:beforeAutospacing="0" w:after="0" w:afterAutospacing="0"/>
        <w:contextualSpacing/>
        <w:rPr>
          <w:b/>
        </w:rPr>
      </w:pPr>
    </w:p>
    <w:p w14:paraId="03CF461B" w14:textId="1E98A9C9" w:rsidR="007F1001" w:rsidRPr="00F934C7" w:rsidRDefault="00490681" w:rsidP="009B5312">
      <w:pPr>
        <w:pStyle w:val="NormalWeb"/>
        <w:numPr>
          <w:ilvl w:val="1"/>
          <w:numId w:val="56"/>
        </w:numPr>
        <w:spacing w:before="0" w:beforeAutospacing="0" w:after="0" w:afterAutospacing="0"/>
        <w:ind w:left="0" w:firstLine="0"/>
        <w:contextualSpacing/>
      </w:pPr>
      <w:r w:rsidRPr="00F934C7">
        <w:rPr>
          <w:bCs/>
        </w:rPr>
        <w:t>Data Preparation</w:t>
      </w:r>
      <w:r w:rsidR="00BA64C1" w:rsidRPr="00F934C7">
        <w:rPr>
          <w:bCs/>
        </w:rPr>
        <w:t>:</w:t>
      </w:r>
      <w:r w:rsidR="007F1001" w:rsidRPr="00F934C7">
        <w:t xml:space="preserve"> </w:t>
      </w:r>
      <w:r w:rsidR="00BA64C1" w:rsidRPr="00F934C7">
        <w:t xml:space="preserve">Format </w:t>
      </w:r>
      <w:r w:rsidR="009B5312" w:rsidRPr="00F934C7">
        <w:t>the</w:t>
      </w:r>
      <w:r w:rsidR="00BA64C1" w:rsidRPr="00F934C7">
        <w:t xml:space="preserve"> data as shown in the provided sample data spreadsheet, “MyData”</w:t>
      </w:r>
      <w:r w:rsidR="008565C2" w:rsidRPr="00F934C7">
        <w:t>.</w:t>
      </w:r>
      <w:r w:rsidR="00BA64C1" w:rsidRPr="00F934C7">
        <w:t xml:space="preserve"> Include variable names in the row 1, sample names in column </w:t>
      </w:r>
      <w:r w:rsidR="006F2F02" w:rsidRPr="00F934C7">
        <w:t>A</w:t>
      </w:r>
      <w:r w:rsidR="00BA64C1" w:rsidRPr="00F934C7">
        <w:t xml:space="preserve">, the response variable in column </w:t>
      </w:r>
      <w:r w:rsidR="006F2F02" w:rsidRPr="00F934C7">
        <w:t>B</w:t>
      </w:r>
      <w:r w:rsidR="00BA64C1" w:rsidRPr="00F934C7">
        <w:t xml:space="preserve">, and all predictor variables in columns </w:t>
      </w:r>
      <w:r w:rsidR="006F2F02" w:rsidRPr="00F934C7">
        <w:t>C</w:t>
      </w:r>
      <w:r w:rsidR="00BA64C1" w:rsidRPr="00F934C7">
        <w:t xml:space="preserve">+. Fill </w:t>
      </w:r>
      <w:r w:rsidR="009B5312" w:rsidRPr="00F934C7">
        <w:t>the</w:t>
      </w:r>
      <w:r w:rsidR="00BA64C1" w:rsidRPr="00F934C7">
        <w:t xml:space="preserve"> last two rows with </w:t>
      </w:r>
      <w:r w:rsidR="009B5312" w:rsidRPr="00F934C7">
        <w:t>the</w:t>
      </w:r>
      <w:r w:rsidR="00BA64C1" w:rsidRPr="00F934C7">
        <w:t xml:space="preserve"> background </w:t>
      </w:r>
      <w:proofErr w:type="gramStart"/>
      <w:r w:rsidR="00BA64C1" w:rsidRPr="00F934C7">
        <w:t>data, and</w:t>
      </w:r>
      <w:proofErr w:type="gramEnd"/>
      <w:r w:rsidR="00BA64C1" w:rsidRPr="00F934C7">
        <w:t xml:space="preserve"> set both sample names to “Background”. </w:t>
      </w:r>
    </w:p>
    <w:p w14:paraId="72A8371E" w14:textId="77777777" w:rsidR="007F1001" w:rsidRPr="00F934C7" w:rsidRDefault="007F1001" w:rsidP="009B5312">
      <w:pPr>
        <w:pStyle w:val="NormalWeb"/>
        <w:spacing w:before="0" w:beforeAutospacing="0" w:after="0" w:afterAutospacing="0"/>
        <w:contextualSpacing/>
      </w:pPr>
    </w:p>
    <w:p w14:paraId="3F6272A9" w14:textId="2C6E2AAA" w:rsidR="00016B7E" w:rsidRPr="00F934C7" w:rsidRDefault="00490681" w:rsidP="009B5312">
      <w:pPr>
        <w:pStyle w:val="NormalWeb"/>
        <w:numPr>
          <w:ilvl w:val="1"/>
          <w:numId w:val="56"/>
        </w:numPr>
        <w:spacing w:before="0" w:beforeAutospacing="0" w:after="0" w:afterAutospacing="0"/>
        <w:ind w:left="0" w:firstLine="0"/>
        <w:contextualSpacing/>
        <w:rPr>
          <w:bCs/>
        </w:rPr>
      </w:pPr>
      <w:r w:rsidRPr="00F934C7">
        <w:rPr>
          <w:bCs/>
        </w:rPr>
        <w:t>Partial Least Squares Regression in RStudio</w:t>
      </w:r>
      <w:r w:rsidR="007F1001" w:rsidRPr="00F934C7">
        <w:rPr>
          <w:bCs/>
        </w:rPr>
        <w:t xml:space="preserve"> </w:t>
      </w:r>
    </w:p>
    <w:p w14:paraId="19679646" w14:textId="77777777" w:rsidR="00016B7E" w:rsidRPr="00F934C7" w:rsidRDefault="00016B7E" w:rsidP="009B5312">
      <w:pPr>
        <w:pStyle w:val="NormalWeb"/>
        <w:spacing w:before="0" w:beforeAutospacing="0" w:after="0" w:afterAutospacing="0"/>
        <w:contextualSpacing/>
      </w:pPr>
    </w:p>
    <w:p w14:paraId="59B3F846" w14:textId="37AA1A27" w:rsidR="008565C2" w:rsidRPr="00F934C7" w:rsidRDefault="008565C2" w:rsidP="009B5312">
      <w:pPr>
        <w:pStyle w:val="NormalWeb"/>
        <w:numPr>
          <w:ilvl w:val="2"/>
          <w:numId w:val="56"/>
        </w:numPr>
        <w:spacing w:before="0" w:beforeAutospacing="0" w:after="0" w:afterAutospacing="0"/>
        <w:ind w:left="0" w:firstLine="0"/>
        <w:contextualSpacing/>
      </w:pPr>
      <w:r w:rsidRPr="00F934C7">
        <w:t xml:space="preserve">Install R from www.r-project.org </w:t>
      </w:r>
      <w:r w:rsidR="007B1948" w:rsidRPr="00F934C7">
        <w:t>(</w:t>
      </w:r>
      <w:r w:rsidRPr="00F934C7">
        <w:t>free, open source</w:t>
      </w:r>
      <w:r w:rsidR="007B1948" w:rsidRPr="00F934C7">
        <w:t>)</w:t>
      </w:r>
      <w:r w:rsidRPr="00F934C7">
        <w:t>.</w:t>
      </w:r>
    </w:p>
    <w:p w14:paraId="5F2D4EFB" w14:textId="77777777" w:rsidR="008565C2" w:rsidRPr="00F934C7" w:rsidRDefault="008565C2" w:rsidP="009B5312">
      <w:pPr>
        <w:pStyle w:val="NormalWeb"/>
        <w:spacing w:before="0" w:beforeAutospacing="0" w:after="0" w:afterAutospacing="0"/>
        <w:contextualSpacing/>
      </w:pPr>
    </w:p>
    <w:p w14:paraId="132BCDFF" w14:textId="5D9643DE" w:rsidR="008565C2" w:rsidRPr="00F934C7" w:rsidRDefault="008565C2" w:rsidP="009B5312">
      <w:pPr>
        <w:pStyle w:val="NormalWeb"/>
        <w:numPr>
          <w:ilvl w:val="2"/>
          <w:numId w:val="56"/>
        </w:numPr>
        <w:spacing w:before="0" w:beforeAutospacing="0" w:after="0" w:afterAutospacing="0"/>
        <w:ind w:left="0" w:firstLine="0"/>
        <w:contextualSpacing/>
      </w:pPr>
      <w:r w:rsidRPr="00F934C7">
        <w:t xml:space="preserve">Install RStudio Desktop from www.rstudio.com </w:t>
      </w:r>
      <w:r w:rsidR="007B1948" w:rsidRPr="00F934C7">
        <w:t>(</w:t>
      </w:r>
      <w:r w:rsidRPr="00F934C7">
        <w:t>free, open source license</w:t>
      </w:r>
      <w:r w:rsidR="007B1948" w:rsidRPr="00F934C7">
        <w:t>)</w:t>
      </w:r>
      <w:r w:rsidRPr="00F934C7">
        <w:t>.</w:t>
      </w:r>
    </w:p>
    <w:p w14:paraId="05182435" w14:textId="3634304E" w:rsidR="008565C2" w:rsidRPr="00F934C7" w:rsidRDefault="008565C2" w:rsidP="009B5312">
      <w:pPr>
        <w:pStyle w:val="NormalWeb"/>
        <w:spacing w:before="0" w:beforeAutospacing="0" w:after="0" w:afterAutospacing="0"/>
        <w:contextualSpacing/>
      </w:pPr>
    </w:p>
    <w:p w14:paraId="7B45D29A" w14:textId="606FDE76" w:rsidR="008565C2" w:rsidRPr="00F934C7" w:rsidRDefault="008565C2" w:rsidP="009B5312">
      <w:pPr>
        <w:pStyle w:val="NormalWeb"/>
        <w:numPr>
          <w:ilvl w:val="2"/>
          <w:numId w:val="56"/>
        </w:numPr>
        <w:spacing w:before="0" w:beforeAutospacing="0" w:after="0" w:afterAutospacing="0"/>
        <w:ind w:left="0" w:firstLine="0"/>
        <w:contextualSpacing/>
      </w:pPr>
      <w:r w:rsidRPr="00F934C7">
        <w:t xml:space="preserve">Download the sample R code provided with this publication, “PLSR_Sample_ Code.R” and save it to the same folder which contains </w:t>
      </w:r>
      <w:r w:rsidR="009B5312" w:rsidRPr="00F934C7">
        <w:t>the</w:t>
      </w:r>
      <w:r w:rsidRPr="00F934C7">
        <w:t xml:space="preserve"> data spreadsheet. Open the code file in RStudio.</w:t>
      </w:r>
    </w:p>
    <w:p w14:paraId="52E2A13A" w14:textId="77777777" w:rsidR="008565C2" w:rsidRPr="00F934C7" w:rsidRDefault="008565C2" w:rsidP="009B5312">
      <w:pPr>
        <w:pStyle w:val="NormalWeb"/>
        <w:spacing w:before="0" w:beforeAutospacing="0" w:after="0" w:afterAutospacing="0"/>
        <w:contextualSpacing/>
      </w:pPr>
    </w:p>
    <w:p w14:paraId="216B05C9" w14:textId="15ADEBCF" w:rsidR="008565C2" w:rsidRPr="00F934C7" w:rsidRDefault="008565C2" w:rsidP="009B5312">
      <w:pPr>
        <w:pStyle w:val="NormalWeb"/>
        <w:numPr>
          <w:ilvl w:val="2"/>
          <w:numId w:val="56"/>
        </w:numPr>
        <w:spacing w:before="0" w:beforeAutospacing="0" w:after="0" w:afterAutospacing="0"/>
        <w:ind w:left="0" w:firstLine="0"/>
        <w:contextualSpacing/>
      </w:pPr>
      <w:r w:rsidRPr="00F934C7">
        <w:t xml:space="preserve">In the </w:t>
      </w:r>
      <w:r w:rsidRPr="00F934C7">
        <w:rPr>
          <w:b/>
          <w:bCs/>
        </w:rPr>
        <w:t>User Input</w:t>
      </w:r>
      <w:r w:rsidRPr="00F934C7">
        <w:t xml:space="preserve"> section, change “dataFileName” to the name of </w:t>
      </w:r>
      <w:r w:rsidR="009B5312" w:rsidRPr="00F934C7">
        <w:t>the</w:t>
      </w:r>
      <w:r w:rsidRPr="00F934C7">
        <w:t xml:space="preserve"> data spreadsheet.</w:t>
      </w:r>
    </w:p>
    <w:p w14:paraId="3F8E598B" w14:textId="62F06959" w:rsidR="008565C2" w:rsidRPr="00F934C7" w:rsidRDefault="008565C2" w:rsidP="009B5312">
      <w:pPr>
        <w:pStyle w:val="NormalWeb"/>
        <w:spacing w:before="0" w:beforeAutospacing="0" w:after="0" w:afterAutospacing="0"/>
        <w:contextualSpacing/>
      </w:pPr>
    </w:p>
    <w:p w14:paraId="61C59D21" w14:textId="4B9DB301" w:rsidR="008565C2" w:rsidRPr="00F934C7" w:rsidRDefault="008565C2" w:rsidP="009B5312">
      <w:pPr>
        <w:pStyle w:val="NormalWeb"/>
        <w:numPr>
          <w:ilvl w:val="2"/>
          <w:numId w:val="56"/>
        </w:numPr>
        <w:spacing w:before="0" w:beforeAutospacing="0" w:after="0" w:afterAutospacing="0"/>
        <w:ind w:left="0" w:firstLine="0"/>
        <w:contextualSpacing/>
      </w:pPr>
      <w:r w:rsidRPr="00F934C7">
        <w:t xml:space="preserve">Carry out the following steps by highlighting the section of code to run and clicking </w:t>
      </w:r>
      <w:r w:rsidRPr="00F934C7">
        <w:rPr>
          <w:b/>
          <w:bCs/>
        </w:rPr>
        <w:t>Run</w:t>
      </w:r>
      <w:r w:rsidR="009B5312" w:rsidRPr="00F934C7">
        <w:t xml:space="preserve"> </w:t>
      </w:r>
      <w:r w:rsidRPr="00F934C7">
        <w:t xml:space="preserve">in the top right corner of </w:t>
      </w:r>
      <w:r w:rsidR="009B5312" w:rsidRPr="00F934C7">
        <w:t>the</w:t>
      </w:r>
      <w:r w:rsidRPr="00F934C7">
        <w:t xml:space="preserve"> script.</w:t>
      </w:r>
    </w:p>
    <w:p w14:paraId="599FDEEA" w14:textId="77777777" w:rsidR="006F2F02" w:rsidRPr="00F934C7" w:rsidRDefault="006F2F02" w:rsidP="009B5312">
      <w:pPr>
        <w:pStyle w:val="NormalWeb"/>
        <w:spacing w:before="0" w:beforeAutospacing="0" w:after="0" w:afterAutospacing="0"/>
        <w:contextualSpacing/>
      </w:pPr>
    </w:p>
    <w:p w14:paraId="4ACE7953" w14:textId="3F9176DC" w:rsidR="006F2F02" w:rsidRPr="00F934C7" w:rsidRDefault="006F2F02" w:rsidP="009B5312">
      <w:pPr>
        <w:pStyle w:val="NormalWeb"/>
        <w:numPr>
          <w:ilvl w:val="3"/>
          <w:numId w:val="56"/>
        </w:numPr>
        <w:spacing w:before="0" w:beforeAutospacing="0" w:after="0" w:afterAutospacing="0"/>
        <w:ind w:left="0" w:firstLine="0"/>
        <w:contextualSpacing/>
      </w:pPr>
      <w:r w:rsidRPr="00F934C7">
        <w:t xml:space="preserve">Load necessary R packages, functions, the working directory address, and user </w:t>
      </w:r>
      <w:r w:rsidRPr="00F934C7">
        <w:lastRenderedPageBreak/>
        <w:t xml:space="preserve">input values in RStudio </w:t>
      </w:r>
      <w:r w:rsidR="007B1948" w:rsidRPr="00F934C7">
        <w:t>(</w:t>
      </w:r>
      <w:r w:rsidRPr="00F934C7">
        <w:t>subsection “Preliminaries”</w:t>
      </w:r>
      <w:r w:rsidR="007B1948" w:rsidRPr="00F934C7">
        <w:t>)</w:t>
      </w:r>
      <w:r w:rsidRPr="00F934C7">
        <w:t>.</w:t>
      </w:r>
    </w:p>
    <w:p w14:paraId="1398131D" w14:textId="77777777" w:rsidR="006F2F02" w:rsidRPr="00F934C7" w:rsidRDefault="006F2F02" w:rsidP="009B5312">
      <w:pPr>
        <w:pStyle w:val="NormalWeb"/>
        <w:spacing w:before="0" w:beforeAutospacing="0" w:after="0" w:afterAutospacing="0"/>
        <w:contextualSpacing/>
      </w:pPr>
    </w:p>
    <w:p w14:paraId="335D85BA" w14:textId="7B0F9512" w:rsidR="00BA64C1" w:rsidRPr="00F934C7" w:rsidRDefault="006F2F02" w:rsidP="009B5312">
      <w:pPr>
        <w:pStyle w:val="NormalWeb"/>
        <w:numPr>
          <w:ilvl w:val="3"/>
          <w:numId w:val="56"/>
        </w:numPr>
        <w:spacing w:before="0" w:beforeAutospacing="0" w:after="0" w:afterAutospacing="0"/>
        <w:ind w:left="0" w:firstLine="0"/>
        <w:contextualSpacing/>
      </w:pPr>
      <w:r w:rsidRPr="00F934C7">
        <w:t xml:space="preserve">Load </w:t>
      </w:r>
      <w:r w:rsidR="009B5312" w:rsidRPr="00F934C7">
        <w:t>the</w:t>
      </w:r>
      <w:r w:rsidRPr="00F934C7">
        <w:t xml:space="preserve"> data into RStudio and p</w:t>
      </w:r>
      <w:r w:rsidR="00BA64C1" w:rsidRPr="00F934C7">
        <w:t>repare raw data for processing b</w:t>
      </w:r>
      <w:r w:rsidRPr="00F934C7">
        <w:t xml:space="preserve">y </w:t>
      </w:r>
      <w:r w:rsidR="00BA64C1" w:rsidRPr="00F934C7">
        <w:t xml:space="preserve">subtracting mean background signal from all measurements and z-scoring each analyte </w:t>
      </w:r>
      <w:r w:rsidR="007B1948" w:rsidRPr="00F934C7">
        <w:t>(</w:t>
      </w:r>
      <w:r w:rsidRPr="00F934C7">
        <w:t>subsection “Read Data and Subtract Background</w:t>
      </w:r>
      <w:proofErr w:type="gramStart"/>
      <w:r w:rsidRPr="00F934C7">
        <w:t>”</w:t>
      </w:r>
      <w:r w:rsidR="007B1948" w:rsidRPr="00F934C7">
        <w:t>)(</w:t>
      </w:r>
      <w:proofErr w:type="gramEnd"/>
      <w:r w:rsidR="007B1948" w:rsidRPr="00F934C7">
        <w:rPr>
          <w:b/>
        </w:rPr>
        <w:t xml:space="preserve">Figure </w:t>
      </w:r>
      <w:r w:rsidR="00BA64C1" w:rsidRPr="00F934C7">
        <w:rPr>
          <w:b/>
        </w:rPr>
        <w:t>8A</w:t>
      </w:r>
      <w:r w:rsidR="007B1948" w:rsidRPr="00F934C7">
        <w:t>)</w:t>
      </w:r>
      <w:r w:rsidR="00BA64C1" w:rsidRPr="00F934C7">
        <w:t>.</w:t>
      </w:r>
    </w:p>
    <w:p w14:paraId="5A146583" w14:textId="77777777" w:rsidR="00BA64C1" w:rsidRPr="00F934C7" w:rsidRDefault="00BA64C1" w:rsidP="009B5312">
      <w:pPr>
        <w:pStyle w:val="NormalWeb"/>
        <w:spacing w:before="0" w:beforeAutospacing="0" w:after="0" w:afterAutospacing="0"/>
        <w:contextualSpacing/>
      </w:pPr>
    </w:p>
    <w:p w14:paraId="14332C5B" w14:textId="6AD22F63" w:rsidR="00C4136F" w:rsidRPr="00F934C7" w:rsidRDefault="00F21D38" w:rsidP="009B5312">
      <w:pPr>
        <w:pStyle w:val="NormalWeb"/>
        <w:numPr>
          <w:ilvl w:val="3"/>
          <w:numId w:val="56"/>
        </w:numPr>
        <w:spacing w:before="0" w:beforeAutospacing="0" w:after="0" w:afterAutospacing="0"/>
        <w:ind w:left="0" w:firstLine="0"/>
        <w:contextualSpacing/>
      </w:pPr>
      <w:r w:rsidRPr="00F934C7">
        <w:t xml:space="preserve">Perform partial least squares regression in RStudio using the </w:t>
      </w:r>
      <w:r w:rsidR="00BA64C1" w:rsidRPr="00F934C7">
        <w:t xml:space="preserve">plsRglm </w:t>
      </w:r>
      <w:r w:rsidRPr="00F934C7">
        <w:t>package v1.2.5</w:t>
      </w:r>
      <w:r w:rsidR="00AA7E3E" w:rsidRPr="00F934C7">
        <w:fldChar w:fldCharType="begin"/>
      </w:r>
      <w:r w:rsidR="00594BFB" w:rsidRPr="00F934C7">
        <w:instrText xml:space="preserve"> ADDIN ZOTERO_ITEM CSL_CITATION {"citationID":"a29uvjt9jgs","properties":{"formattedCitation":"\\super 28\\nosupersub{}","plainCitation":"28","noteIndex":0},"citationItems":[{"id":"ZyThaQRL/6rouCWkj","uris":["http://zotero.org/users/6419092/items/JXW72VRW"],"uri":["http://zotero.org/users/6419092/items/JXW72VRW"],"itemData":{"id":324,"type":"book","abstract":"Provides (weighted) Partial least squares Regression for generalized linear models and repeated k-fold cross-validation of such models using various criteria. It allows for missing data in the explanatory variables. Bootstrap confidence intervals constructions are also available.","source":"R-Packages","title":"plsRglm: Partial Least Squares Regression for Generalized Linear Models","title-short":"plsRglm","URL":"https://CRAN.R-project.org/package=plsRglm","version":"1.2.5","author":[{"family":"Bertrand","given":"Frederic"},{"family":"Maumy-Bertrand","given":"Myriam"}],"accessed":{"date-parts":[["2020",5,10]]},"issued":{"date-parts":[["2019",2,2]]}}}],"schema":"https://github.com/citation-style-language/schema/raw/master/csl-citation.json"} </w:instrText>
      </w:r>
      <w:r w:rsidR="00AA7E3E" w:rsidRPr="00F934C7">
        <w:fldChar w:fldCharType="separate"/>
      </w:r>
      <w:r w:rsidR="00594BFB" w:rsidRPr="00F934C7">
        <w:rPr>
          <w:vertAlign w:val="superscript"/>
        </w:rPr>
        <w:t>28</w:t>
      </w:r>
      <w:r w:rsidR="00AA7E3E" w:rsidRPr="00F934C7">
        <w:fldChar w:fldCharType="end"/>
      </w:r>
      <w:r w:rsidRPr="00F934C7">
        <w:t xml:space="preserve"> available on the Comprehensi</w:t>
      </w:r>
      <w:r w:rsidR="00817D0D" w:rsidRPr="00F934C7">
        <w:t xml:space="preserve">ve R Archive Network </w:t>
      </w:r>
      <w:r w:rsidR="007B1948" w:rsidRPr="00F934C7">
        <w:t>(</w:t>
      </w:r>
      <w:r w:rsidR="00817D0D" w:rsidRPr="00F934C7">
        <w:t>CRAN</w:t>
      </w:r>
      <w:r w:rsidR="007B1948" w:rsidRPr="00F934C7">
        <w:t>)</w:t>
      </w:r>
      <w:r w:rsidRPr="00F934C7">
        <w:t xml:space="preserve">. </w:t>
      </w:r>
      <w:r w:rsidR="00817D0D" w:rsidRPr="00F934C7">
        <w:t xml:space="preserve">Perform a varimax rotation </w:t>
      </w:r>
      <w:r w:rsidR="007B1948" w:rsidRPr="00F934C7">
        <w:t>(</w:t>
      </w:r>
      <w:r w:rsidR="00817D0D" w:rsidRPr="00F934C7">
        <w:t>stats package v3.6.2</w:t>
      </w:r>
      <w:r w:rsidR="007B1948" w:rsidRPr="00F934C7">
        <w:t>)</w:t>
      </w:r>
      <w:r w:rsidR="00817D0D" w:rsidRPr="00F934C7">
        <w:fldChar w:fldCharType="begin"/>
      </w:r>
      <w:r w:rsidR="00594BFB" w:rsidRPr="00F934C7">
        <w:instrText xml:space="preserve"> ADDIN ZOTERO_ITEM CSL_CITATION {"citationID":"DNTzK3P2","properties":{"formattedCitation":"\\super 23\\nosupersub{}","plainCitation":"23","noteIndex":0},"citationItems":[{"id":"ZyThaQRL/uQlov4Qp","uris":["http://zotero.org/users/local/Y0avL5gq/items/2FRHFRJG"],"uri":["http://zotero.org/users/local/Y0avL5gq/items/2FRHFRJG"],"itemData":{"id":89,"type":"article-journal","abstract":"The VARIMAX rotation for factor analysis is used to orthogonally transform the factor subspace, resulting from partial least-square regression (PLSR). If the factors are nearly orthogonal, the transformation may help to interpret the physical meaning of each factor without altering the results of a PLSR model. A case study shows that after the VARIMAX rotation, the loading matrix satisfies “the simple structure criterion” and improves its explanatory ability.","container-title":"Partial Least Squares","DOI":"10.1016/j.csda.2003.12.005","ISSN":"0167-9473","issue":"1","journalAbbreviation":"Computational Statistics &amp; Data Analysis","page":"207-219","title":"Interpretation of partial least-squares regression models with VARIMAX rotation","volume":"48","author":[{"family":"Wang","given":"Huiwen"},{"family":"Liu","given":"Qiang"},{"family":"Tu","given":"Yongping"}],"issued":{"date-parts":[["2005",1,1]]}}}],"schema":"https://github.com/citation-style-language/schema/raw/master/csl-citation.json"} </w:instrText>
      </w:r>
      <w:r w:rsidR="00817D0D" w:rsidRPr="00F934C7">
        <w:fldChar w:fldCharType="separate"/>
      </w:r>
      <w:r w:rsidR="00594BFB" w:rsidRPr="00F934C7">
        <w:rPr>
          <w:vertAlign w:val="superscript"/>
        </w:rPr>
        <w:t>23</w:t>
      </w:r>
      <w:r w:rsidR="00817D0D" w:rsidRPr="00F934C7">
        <w:fldChar w:fldCharType="end"/>
      </w:r>
      <w:r w:rsidR="00817D0D" w:rsidRPr="00F934C7">
        <w:t xml:space="preserve"> in the LV1-LV2 plane to identify a new horizontal axis that best separate samples by the response variable </w:t>
      </w:r>
      <w:r w:rsidR="007B1948" w:rsidRPr="00F934C7">
        <w:t>(</w:t>
      </w:r>
      <w:r w:rsidR="00817D0D" w:rsidRPr="00F934C7">
        <w:t>subsection “PLS”</w:t>
      </w:r>
      <w:r w:rsidR="007B1948" w:rsidRPr="00F934C7">
        <w:t>)(</w:t>
      </w:r>
      <w:r w:rsidR="007B1948" w:rsidRPr="00F934C7">
        <w:rPr>
          <w:b/>
        </w:rPr>
        <w:t xml:space="preserve">Figure </w:t>
      </w:r>
      <w:r w:rsidRPr="00F934C7">
        <w:rPr>
          <w:b/>
        </w:rPr>
        <w:t>8B</w:t>
      </w:r>
      <w:r w:rsidR="007B1948" w:rsidRPr="00F934C7">
        <w:t>)</w:t>
      </w:r>
      <w:r w:rsidR="006F2F02" w:rsidRPr="00F934C7">
        <w:t>.</w:t>
      </w:r>
    </w:p>
    <w:p w14:paraId="396B5BDF" w14:textId="77777777" w:rsidR="00016B7E" w:rsidRPr="00F934C7" w:rsidRDefault="00016B7E" w:rsidP="009B5312">
      <w:pPr>
        <w:pStyle w:val="NormalWeb"/>
        <w:spacing w:before="0" w:beforeAutospacing="0" w:after="0" w:afterAutospacing="0"/>
        <w:contextualSpacing/>
      </w:pPr>
    </w:p>
    <w:p w14:paraId="36ABF624" w14:textId="49DB49E6" w:rsidR="00852ACF" w:rsidRPr="00F934C7" w:rsidRDefault="00852ACF" w:rsidP="009B5312">
      <w:pPr>
        <w:pStyle w:val="NormalWeb"/>
        <w:numPr>
          <w:ilvl w:val="3"/>
          <w:numId w:val="56"/>
        </w:numPr>
        <w:spacing w:before="0" w:beforeAutospacing="0" w:after="0" w:afterAutospacing="0"/>
        <w:ind w:left="0" w:firstLine="0"/>
        <w:contextualSpacing/>
      </w:pPr>
      <w:r w:rsidRPr="00F934C7">
        <w:t xml:space="preserve">Conduct a Leave One Out Cross Validation </w:t>
      </w:r>
      <w:r w:rsidR="007B1948" w:rsidRPr="00F934C7">
        <w:t>(</w:t>
      </w:r>
      <w:r w:rsidRPr="00F934C7">
        <w:t>LOOCV</w:t>
      </w:r>
      <w:r w:rsidR="007B1948" w:rsidRPr="00F934C7">
        <w:t>)</w:t>
      </w:r>
      <w:r w:rsidRPr="00F934C7">
        <w:t xml:space="preserve"> in which one sample is iteratively left out of the data and the PLSR model is re-computed. Compute standard deviation for analyte loadings across all LOOCV runs</w:t>
      </w:r>
      <w:r w:rsidR="00817D0D" w:rsidRPr="00F934C7">
        <w:t xml:space="preserve"> </w:t>
      </w:r>
      <w:r w:rsidR="007B1948" w:rsidRPr="00F934C7">
        <w:t>(</w:t>
      </w:r>
      <w:r w:rsidR="00817D0D" w:rsidRPr="00F934C7">
        <w:t>subsection “LOOCV”</w:t>
      </w:r>
      <w:r w:rsidR="007B1948" w:rsidRPr="00F934C7">
        <w:t>)</w:t>
      </w:r>
      <w:r w:rsidRPr="00F934C7">
        <w:t xml:space="preserve">. </w:t>
      </w:r>
    </w:p>
    <w:p w14:paraId="14E525FD" w14:textId="77777777" w:rsidR="004A0069" w:rsidRPr="00F934C7" w:rsidRDefault="004A0069" w:rsidP="009B5312">
      <w:pPr>
        <w:pStyle w:val="NormalWeb"/>
        <w:spacing w:before="0" w:beforeAutospacing="0" w:after="0" w:afterAutospacing="0"/>
        <w:contextualSpacing/>
      </w:pPr>
    </w:p>
    <w:p w14:paraId="3D849582" w14:textId="19296646" w:rsidR="00016B7E" w:rsidRPr="00F934C7" w:rsidRDefault="00852ACF" w:rsidP="009B5312">
      <w:pPr>
        <w:pStyle w:val="NormalWeb"/>
        <w:numPr>
          <w:ilvl w:val="1"/>
          <w:numId w:val="56"/>
        </w:numPr>
        <w:spacing w:before="0" w:beforeAutospacing="0" w:after="0" w:afterAutospacing="0"/>
        <w:ind w:left="0" w:firstLine="0"/>
        <w:contextualSpacing/>
      </w:pPr>
      <w:r w:rsidRPr="00F934C7">
        <w:rPr>
          <w:bCs/>
        </w:rPr>
        <w:t xml:space="preserve">Create </w:t>
      </w:r>
      <w:r w:rsidR="009B5312" w:rsidRPr="00F934C7">
        <w:rPr>
          <w:bCs/>
        </w:rPr>
        <w:t>representative plots</w:t>
      </w:r>
      <w:r w:rsidR="00817D0D" w:rsidRPr="00F934C7">
        <w:rPr>
          <w:bCs/>
        </w:rPr>
        <w:t>:</w:t>
      </w:r>
      <w:r w:rsidR="00817D0D" w:rsidRPr="00F934C7">
        <w:t xml:space="preserve"> Run the provided sample code as detailed above to create representative plots which automatically export as pdf files to </w:t>
      </w:r>
      <w:r w:rsidR="009B5312" w:rsidRPr="00F934C7">
        <w:t>the</w:t>
      </w:r>
      <w:r w:rsidR="00817D0D" w:rsidRPr="00F934C7">
        <w:t xml:space="preserve"> working directory </w:t>
      </w:r>
      <w:r w:rsidR="007B1948" w:rsidRPr="00F934C7">
        <w:t>(</w:t>
      </w:r>
      <w:r w:rsidR="00817D0D" w:rsidRPr="00F934C7">
        <w:t xml:space="preserve">the folder containing </w:t>
      </w:r>
      <w:r w:rsidR="009B5312" w:rsidRPr="00F934C7">
        <w:t>the</w:t>
      </w:r>
      <w:r w:rsidR="00817D0D" w:rsidRPr="00F934C7">
        <w:t xml:space="preserve"> data and code files</w:t>
      </w:r>
      <w:r w:rsidR="007B1948" w:rsidRPr="00F934C7">
        <w:t>)</w:t>
      </w:r>
      <w:r w:rsidR="00817D0D" w:rsidRPr="00F934C7">
        <w:t>.</w:t>
      </w:r>
    </w:p>
    <w:p w14:paraId="74A1BF21" w14:textId="77777777" w:rsidR="004A0069" w:rsidRPr="00F934C7" w:rsidRDefault="004A0069" w:rsidP="009B5312">
      <w:pPr>
        <w:pStyle w:val="NormalWeb"/>
        <w:spacing w:before="0" w:beforeAutospacing="0" w:after="0" w:afterAutospacing="0"/>
        <w:contextualSpacing/>
        <w:rPr>
          <w:b/>
        </w:rPr>
      </w:pPr>
    </w:p>
    <w:p w14:paraId="12D1A799" w14:textId="2BFDEE46" w:rsidR="00852ACF" w:rsidRPr="00F934C7" w:rsidRDefault="00852ACF" w:rsidP="009B5312">
      <w:pPr>
        <w:pStyle w:val="ListParagraph"/>
        <w:numPr>
          <w:ilvl w:val="2"/>
          <w:numId w:val="56"/>
        </w:numPr>
        <w:ind w:left="0" w:firstLine="0"/>
      </w:pPr>
      <w:r w:rsidRPr="00F934C7">
        <w:t xml:space="preserve">Create a heat map of the processed data as shown in </w:t>
      </w:r>
      <w:r w:rsidR="007B1948" w:rsidRPr="00F934C7">
        <w:rPr>
          <w:b/>
        </w:rPr>
        <w:t xml:space="preserve">Figure </w:t>
      </w:r>
      <w:r w:rsidRPr="00F934C7">
        <w:rPr>
          <w:b/>
        </w:rPr>
        <w:t>8A</w:t>
      </w:r>
      <w:r w:rsidR="00817D0D" w:rsidRPr="00F934C7">
        <w:t xml:space="preserve"> </w:t>
      </w:r>
      <w:r w:rsidR="007B1948" w:rsidRPr="00F934C7">
        <w:t>(</w:t>
      </w:r>
      <w:r w:rsidR="00817D0D" w:rsidRPr="00F934C7">
        <w:t>subsection “PLS”</w:t>
      </w:r>
      <w:r w:rsidR="007B1948" w:rsidRPr="00F934C7">
        <w:t>)</w:t>
      </w:r>
      <w:r w:rsidRPr="00F934C7">
        <w:t>. Color each entry along a spectrum defined by z-score. Sort analytes by the order computed in the latent variable of interest.</w:t>
      </w:r>
    </w:p>
    <w:p w14:paraId="625D6234" w14:textId="77777777" w:rsidR="007E1FD8" w:rsidRPr="00F934C7" w:rsidRDefault="007E1FD8" w:rsidP="009B5312">
      <w:pPr>
        <w:pStyle w:val="ListParagraph"/>
        <w:ind w:left="0"/>
      </w:pPr>
    </w:p>
    <w:p w14:paraId="1017452B" w14:textId="46AA462B" w:rsidR="00852ACF" w:rsidRPr="00F934C7" w:rsidRDefault="00852ACF" w:rsidP="009B5312">
      <w:pPr>
        <w:pStyle w:val="ListParagraph"/>
        <w:numPr>
          <w:ilvl w:val="2"/>
          <w:numId w:val="56"/>
        </w:numPr>
        <w:ind w:left="0" w:firstLine="0"/>
      </w:pPr>
      <w:r w:rsidRPr="00F934C7">
        <w:t xml:space="preserve">Create a scores plot with LV1 scores plotted along the </w:t>
      </w:r>
      <w:r w:rsidR="0046151E" w:rsidRPr="00F934C7">
        <w:t xml:space="preserve">horizontal axis </w:t>
      </w:r>
      <w:r w:rsidRPr="00F934C7">
        <w:t xml:space="preserve">and LV2 scores plotted along the </w:t>
      </w:r>
      <w:r w:rsidR="0046151E" w:rsidRPr="00F934C7">
        <w:t xml:space="preserve">vertical </w:t>
      </w:r>
      <w:r w:rsidRPr="00F934C7">
        <w:t xml:space="preserve">axis, as shown in </w:t>
      </w:r>
      <w:r w:rsidR="007B1948" w:rsidRPr="00F934C7">
        <w:rPr>
          <w:b/>
        </w:rPr>
        <w:t xml:space="preserve">Figure </w:t>
      </w:r>
      <w:r w:rsidRPr="00F934C7">
        <w:rPr>
          <w:b/>
        </w:rPr>
        <w:t>8B</w:t>
      </w:r>
      <w:r w:rsidR="00817D0D" w:rsidRPr="00F934C7">
        <w:rPr>
          <w:b/>
        </w:rPr>
        <w:t xml:space="preserve"> </w:t>
      </w:r>
      <w:r w:rsidR="007B1948" w:rsidRPr="00F934C7">
        <w:t>(</w:t>
      </w:r>
      <w:r w:rsidR="00817D0D" w:rsidRPr="00F934C7">
        <w:t>subsection “PLS”</w:t>
      </w:r>
      <w:r w:rsidR="007B1948" w:rsidRPr="00F934C7">
        <w:t>)</w:t>
      </w:r>
      <w:r w:rsidRPr="00F934C7">
        <w:t>. Color each data point according to its response variable measurement to visualize the relationship between each latent variable and the response variable.</w:t>
      </w:r>
    </w:p>
    <w:p w14:paraId="24F8DED4" w14:textId="77777777" w:rsidR="007E1FD8" w:rsidRPr="00F934C7" w:rsidRDefault="007E1FD8" w:rsidP="009B5312">
      <w:pPr>
        <w:pStyle w:val="ListParagraph"/>
        <w:ind w:left="0"/>
      </w:pPr>
    </w:p>
    <w:p w14:paraId="67C53904" w14:textId="3C0E999B" w:rsidR="00852ACF" w:rsidRPr="00677B47" w:rsidRDefault="00852ACF" w:rsidP="009B5312">
      <w:pPr>
        <w:pStyle w:val="ListParagraph"/>
        <w:numPr>
          <w:ilvl w:val="2"/>
          <w:numId w:val="56"/>
        </w:numPr>
        <w:ind w:left="0" w:firstLine="0"/>
      </w:pPr>
      <w:r w:rsidRPr="00F934C7">
        <w:t>Create a bar plot displaying loadings for each of your predictor variables to visualize how each analyte contributes to the latent variables, a</w:t>
      </w:r>
      <w:r w:rsidRPr="00677B47">
        <w:t xml:space="preserve">s shown in </w:t>
      </w:r>
      <w:r w:rsidR="007B1948">
        <w:rPr>
          <w:b/>
        </w:rPr>
        <w:t xml:space="preserve">Figure </w:t>
      </w:r>
      <w:r w:rsidRPr="00677B47">
        <w:rPr>
          <w:b/>
        </w:rPr>
        <w:t>8C</w:t>
      </w:r>
      <w:r w:rsidR="00817D0D" w:rsidRPr="00677B47">
        <w:rPr>
          <w:b/>
        </w:rPr>
        <w:t xml:space="preserve"> </w:t>
      </w:r>
      <w:r w:rsidR="007B1948" w:rsidRPr="007B1948">
        <w:t>(</w:t>
      </w:r>
      <w:r w:rsidR="00817D0D" w:rsidRPr="00677B47">
        <w:t>subsection “LOOCV”</w:t>
      </w:r>
      <w:r w:rsidR="007B1948" w:rsidRPr="007B1948">
        <w:t>)</w:t>
      </w:r>
      <w:r w:rsidRPr="00677B47">
        <w:t>.</w:t>
      </w:r>
    </w:p>
    <w:p w14:paraId="7734E97C" w14:textId="55840714" w:rsidR="007E1FD8" w:rsidRPr="00677B47" w:rsidRDefault="007E1FD8" w:rsidP="009B5312">
      <w:pPr>
        <w:pStyle w:val="ListParagraph"/>
        <w:ind w:left="0"/>
      </w:pPr>
    </w:p>
    <w:p w14:paraId="0EFD9D3E" w14:textId="6654B6B3" w:rsidR="00F70C30" w:rsidRPr="00677B47" w:rsidRDefault="00852ACF" w:rsidP="009B5312">
      <w:pPr>
        <w:pStyle w:val="ListParagraph"/>
        <w:numPr>
          <w:ilvl w:val="2"/>
          <w:numId w:val="56"/>
        </w:numPr>
        <w:ind w:left="0" w:firstLine="0"/>
      </w:pPr>
      <w:r w:rsidRPr="00677B47">
        <w:t xml:space="preserve">Create a plot regressing LV1 scores against your response variable to visualize how well the PLSR model separates </w:t>
      </w:r>
      <w:r w:rsidR="00F35FD2" w:rsidRPr="00677B47">
        <w:t xml:space="preserve">the </w:t>
      </w:r>
      <w:r w:rsidRPr="00677B47">
        <w:t xml:space="preserve">samples, as shown in </w:t>
      </w:r>
      <w:r w:rsidR="007B1948">
        <w:rPr>
          <w:b/>
        </w:rPr>
        <w:t xml:space="preserve">Figure </w:t>
      </w:r>
      <w:r w:rsidRPr="00677B47">
        <w:rPr>
          <w:b/>
        </w:rPr>
        <w:t>8D</w:t>
      </w:r>
      <w:r w:rsidR="00817D0D" w:rsidRPr="00677B47">
        <w:rPr>
          <w:b/>
        </w:rPr>
        <w:t xml:space="preserve"> </w:t>
      </w:r>
      <w:r w:rsidR="007B1948" w:rsidRPr="007B1948">
        <w:t>(</w:t>
      </w:r>
      <w:r w:rsidR="00817D0D" w:rsidRPr="00677B47">
        <w:t>subsection “PLS”</w:t>
      </w:r>
      <w:r w:rsidR="007B1948" w:rsidRPr="007B1948">
        <w:t>)</w:t>
      </w:r>
      <w:r w:rsidRPr="00677B47">
        <w:t xml:space="preserve">. </w:t>
      </w:r>
    </w:p>
    <w:p w14:paraId="69E3F2F6" w14:textId="77777777" w:rsidR="008D1149" w:rsidRPr="00677B47" w:rsidRDefault="008D1149" w:rsidP="009B5312">
      <w:pPr>
        <w:pStyle w:val="NormalWeb"/>
        <w:spacing w:before="0" w:beforeAutospacing="0" w:after="0" w:afterAutospacing="0"/>
        <w:contextualSpacing/>
        <w:rPr>
          <w:b/>
        </w:rPr>
      </w:pPr>
    </w:p>
    <w:p w14:paraId="56882749" w14:textId="77190714" w:rsidR="00173D80" w:rsidRPr="00755F15" w:rsidRDefault="006305D7" w:rsidP="00755F15">
      <w:pPr>
        <w:pStyle w:val="NormalWeb"/>
        <w:spacing w:before="0" w:beforeAutospacing="0" w:after="0" w:afterAutospacing="0"/>
        <w:contextualSpacing/>
        <w:rPr>
          <w:color w:val="808080"/>
        </w:rPr>
      </w:pPr>
      <w:r w:rsidRPr="00677B47">
        <w:rPr>
          <w:b/>
        </w:rPr>
        <w:t>REPRESENTATIVE RESULTS</w:t>
      </w:r>
      <w:r w:rsidR="00EF1462" w:rsidRPr="00677B47">
        <w:rPr>
          <w:b/>
        </w:rPr>
        <w:t>:</w:t>
      </w:r>
      <w:r w:rsidRPr="00677B47">
        <w:rPr>
          <w:b/>
          <w:bCs/>
        </w:rPr>
        <w:t xml:space="preserve"> </w:t>
      </w:r>
    </w:p>
    <w:p w14:paraId="683B9780" w14:textId="4783BB03" w:rsidR="00383C68" w:rsidRDefault="0046151E" w:rsidP="009B5312">
      <w:pPr>
        <w:contextualSpacing/>
        <w:rPr>
          <w:rFonts w:ascii="Calibri" w:hAnsi="Calibri" w:cs="Calibri"/>
        </w:rPr>
      </w:pPr>
      <w:r w:rsidRPr="00677B47">
        <w:rPr>
          <w:rFonts w:ascii="Calibri" w:hAnsi="Calibri" w:cs="Calibri"/>
        </w:rPr>
        <w:t xml:space="preserve">Previously collected data </w:t>
      </w:r>
      <w:r w:rsidR="00AB0CBF" w:rsidRPr="00677B47">
        <w:rPr>
          <w:rFonts w:ascii="Calibri" w:hAnsi="Calibri" w:cs="Calibri"/>
        </w:rPr>
        <w:t>were</w:t>
      </w:r>
      <w:r w:rsidRPr="00677B47">
        <w:rPr>
          <w:rFonts w:ascii="Calibri" w:hAnsi="Calibri" w:cs="Calibri"/>
        </w:rPr>
        <w:t xml:space="preserve"> taken from </w:t>
      </w:r>
      <w:r w:rsidR="00FE2316" w:rsidRPr="00677B47">
        <w:rPr>
          <w:rFonts w:ascii="Calibri" w:hAnsi="Calibri" w:cs="Calibri"/>
        </w:rPr>
        <w:t>prior work</w:t>
      </w:r>
      <w:r w:rsidRPr="00677B47">
        <w:rPr>
          <w:rFonts w:ascii="Calibri" w:hAnsi="Calibri" w:cs="Calibri"/>
        </w:rPr>
        <w:t xml:space="preserve"> in which a </w:t>
      </w:r>
      <w:r w:rsidR="00383C68" w:rsidRPr="00677B47">
        <w:rPr>
          <w:rFonts w:ascii="Calibri" w:hAnsi="Calibri" w:cs="Calibri"/>
        </w:rPr>
        <w:t xml:space="preserve">group of eight </w:t>
      </w:r>
      <w:r w:rsidR="00C332CD" w:rsidRPr="00677B47">
        <w:rPr>
          <w:rFonts w:ascii="Calibri" w:hAnsi="Calibri" w:cs="Calibri"/>
        </w:rPr>
        <w:t xml:space="preserve">C57BL/6 </w:t>
      </w:r>
      <w:r w:rsidR="00383C68" w:rsidRPr="00677B47">
        <w:rPr>
          <w:rFonts w:ascii="Calibri" w:hAnsi="Calibri" w:cs="Calibri"/>
        </w:rPr>
        <w:t xml:space="preserve">mice were subjected to three closed-head injuries </w:t>
      </w:r>
      <w:r w:rsidR="007B1948" w:rsidRPr="007B1948">
        <w:rPr>
          <w:rFonts w:ascii="Calibri" w:hAnsi="Calibri" w:cs="Calibri"/>
        </w:rPr>
        <w:t>(</w:t>
      </w:r>
      <w:r w:rsidR="007B1948">
        <w:rPr>
          <w:rFonts w:ascii="Calibri" w:hAnsi="Calibri" w:cs="Calibri"/>
          <w:b/>
        </w:rPr>
        <w:t xml:space="preserve">Figure </w:t>
      </w:r>
      <w:r w:rsidR="00951C82" w:rsidRPr="00677B47">
        <w:rPr>
          <w:rFonts w:ascii="Calibri" w:hAnsi="Calibri" w:cs="Calibri"/>
          <w:b/>
        </w:rPr>
        <w:t>2</w:t>
      </w:r>
      <w:r w:rsidR="007B1948" w:rsidRPr="007B1948">
        <w:rPr>
          <w:rFonts w:ascii="Calibri" w:hAnsi="Calibri" w:cs="Calibri"/>
        </w:rPr>
        <w:t>)</w:t>
      </w:r>
      <w:r w:rsidR="00383C68" w:rsidRPr="00677B47">
        <w:rPr>
          <w:rFonts w:ascii="Calibri" w:hAnsi="Calibri" w:cs="Calibri"/>
        </w:rPr>
        <w:t xml:space="preserve"> spaced once daily</w:t>
      </w:r>
      <w:r w:rsidR="00577524" w:rsidRPr="00677B47">
        <w:rPr>
          <w:rFonts w:ascii="Calibri" w:hAnsi="Calibri" w:cs="Calibri"/>
        </w:rPr>
        <w:fldChar w:fldCharType="begin"/>
      </w:r>
      <w:r w:rsidR="00594BFB" w:rsidRPr="00677B47">
        <w:rPr>
          <w:rFonts w:ascii="Calibri" w:hAnsi="Calibri" w:cs="Calibri"/>
        </w:rPr>
        <w:instrText xml:space="preserve"> ADDIN ZOTERO_ITEM CSL_CITATION {"citationID":"3dQZVlYL","properties":{"formattedCitation":"\\super 11\\nosupersub{}","plainCitation":"11","noteIndex":0},"citationItems":[{"id":"ZyThaQRL/XHzSGOyR","uris":["http://zotero.org/users/local/Eoql7WGj/items/LHUWVLU3"],"uri":["http://zotero.org/users/local/Eoql7WGj/items/LHUWVLU3"],"itemData":{"id":20,"type":"article-journal","abstract":"Previous work has shown that non-invasive optical measurement of low cerebral blood flow (CBF) is an acute biomarker of poor long-term cognitive outcome after repetitive mild traumatic brain injury (rmTBI). Herein, we explore the relationship between acute cerebral blood flow and underlying neuroinflammation. Specifically, because neuroinflammation is a driver of secondary injury after TBI, we hypothesized that both glial activation and inflammatory signaling are associated with acute CBF and, by extension, with long-term cognitive outcome after rmTBI. To test this hypothesis, cortical CBF was non-invasively measured in anesthetized mice 4 h after 3 repetitive closed head injuries spaced once-daily, at which time brains were collected. Right hemispheres were fixed for immunohistochemical staining for glial activation markers Iba1 and GFAP while left hemispheres were used to quantify Iba1 and GFAP expression via Western blot as well as 32 cytokines and 21 phospho-proteins in the MAPK, PI3K/Akt, and NF-κB pathways using a Luminex multiplexed immunoassay. N = 8/7 injured/sham C57/black-6 adult male mice were studied. Within the injured group, CBF inversely correlated with Iba1 expression (R = -0.86, p &lt; .01). Further, partial least squares regression analysis revealed significant correlations between CBF and expression of multiple pro-inflammatory cytokines, including RANTES and IL-17. Finally, within the injured group, phosphorylation of specific signals in the MAPK and NF-κB intracellular signaling pathways (e.g., p38 MAPK and NF-κB) were significantly positively correlated with Iba1. In total, our data indicate that acute cerebral blood flow after rmTBI is a biomarker of underlying neuroinflammatory pathology.","container-title":"Neurobiology of Disease","DOI":"10.1016/j.nbd.2018.12.018","ISSN":"1095-953X","journalAbbreviation":"Neurobiol. Dis.","language":"eng","note":"PMID: 30592976\nPMCID: PMC6528169","page":"544-554","source":"PubMed","title":"Low cerebral blood flow is a non-invasive biomarker of neuroinflammation after repetitive mild traumatic brain injury","volume":"124","author":[{"family":"Sankar","given":"Sitara B."},{"family":"Pybus","given":"Alyssa F."},{"family":"Liew","given":"Amanda"},{"family":"Sanders","given":"Bharat"},{"family":"Shah","given":"Kajol J."},{"family":"Wood","given":"Levi B."},{"family":"Buckley","given":"Erin M."}],"issued":{"date-parts":[["2019"]]}}}],"schema":"https://github.com/citation-style-language/schema/raw/master/csl-citation.json"} </w:instrText>
      </w:r>
      <w:r w:rsidR="00577524" w:rsidRPr="00677B47">
        <w:rPr>
          <w:rFonts w:ascii="Calibri" w:hAnsi="Calibri" w:cs="Calibri"/>
        </w:rPr>
        <w:fldChar w:fldCharType="separate"/>
      </w:r>
      <w:r w:rsidR="00577524" w:rsidRPr="00677B47">
        <w:rPr>
          <w:rFonts w:ascii="Calibri" w:hAnsi="Calibri" w:cs="Calibri"/>
          <w:vertAlign w:val="superscript"/>
        </w:rPr>
        <w:t>11</w:t>
      </w:r>
      <w:r w:rsidR="00577524" w:rsidRPr="00677B47">
        <w:rPr>
          <w:rFonts w:ascii="Calibri" w:hAnsi="Calibri" w:cs="Calibri"/>
        </w:rPr>
        <w:fldChar w:fldCharType="end"/>
      </w:r>
      <w:r w:rsidR="00490681" w:rsidRPr="00677B47">
        <w:rPr>
          <w:rFonts w:ascii="Calibri" w:hAnsi="Calibri" w:cs="Calibri"/>
        </w:rPr>
        <w:t xml:space="preserve">. </w:t>
      </w:r>
      <w:r w:rsidRPr="00677B47">
        <w:rPr>
          <w:rFonts w:ascii="Calibri" w:hAnsi="Calibri" w:cs="Calibri"/>
        </w:rPr>
        <w:t xml:space="preserve">In this work, cerebral </w:t>
      </w:r>
      <w:r w:rsidR="00383C68" w:rsidRPr="00677B47">
        <w:rPr>
          <w:rFonts w:ascii="Calibri" w:hAnsi="Calibri" w:cs="Calibri"/>
        </w:rPr>
        <w:t>blood flow was measured</w:t>
      </w:r>
      <w:r w:rsidR="0016070C" w:rsidRPr="00677B47">
        <w:rPr>
          <w:rFonts w:ascii="Calibri" w:hAnsi="Calibri" w:cs="Calibri"/>
        </w:rPr>
        <w:t xml:space="preserve"> with </w:t>
      </w:r>
      <w:r w:rsidR="00755F15" w:rsidRPr="00677B47">
        <w:rPr>
          <w:rFonts w:ascii="Calibri" w:hAnsi="Calibri" w:cs="Calibri"/>
        </w:rPr>
        <w:t xml:space="preserve">diffuse correlation spectroscopy </w:t>
      </w:r>
      <w:r w:rsidR="00AB0CBF" w:rsidRPr="00677B47">
        <w:rPr>
          <w:rFonts w:ascii="Calibri" w:hAnsi="Calibri" w:cs="Calibri"/>
        </w:rPr>
        <w:t>4</w:t>
      </w:r>
      <w:r w:rsidR="00D74B87" w:rsidRPr="00677B47">
        <w:rPr>
          <w:rFonts w:ascii="Calibri" w:hAnsi="Calibri" w:cs="Calibri"/>
        </w:rPr>
        <w:t xml:space="preserve"> </w:t>
      </w:r>
      <w:r w:rsidR="00755F15">
        <w:rPr>
          <w:rFonts w:ascii="Calibri" w:hAnsi="Calibri" w:cs="Calibri"/>
        </w:rPr>
        <w:t>h</w:t>
      </w:r>
      <w:r w:rsidR="00231BD3" w:rsidRPr="00677B47">
        <w:rPr>
          <w:rFonts w:ascii="Calibri" w:hAnsi="Calibri" w:cs="Calibri"/>
        </w:rPr>
        <w:t xml:space="preserve"> after the last injury</w:t>
      </w:r>
      <w:r w:rsidR="00383C68" w:rsidRPr="00677B47">
        <w:rPr>
          <w:rFonts w:ascii="Calibri" w:hAnsi="Calibri" w:cs="Calibri"/>
        </w:rPr>
        <w:t xml:space="preserve"> </w:t>
      </w:r>
      <w:r w:rsidR="007B1948" w:rsidRPr="007B1948">
        <w:rPr>
          <w:rFonts w:ascii="Calibri" w:hAnsi="Calibri" w:cs="Calibri"/>
        </w:rPr>
        <w:t>(</w:t>
      </w:r>
      <w:r w:rsidR="007B1948">
        <w:rPr>
          <w:rFonts w:ascii="Calibri" w:hAnsi="Calibri" w:cs="Calibri"/>
          <w:b/>
        </w:rPr>
        <w:t xml:space="preserve">Figure </w:t>
      </w:r>
      <w:r w:rsidR="00383C68" w:rsidRPr="00677B47">
        <w:rPr>
          <w:rFonts w:ascii="Calibri" w:hAnsi="Calibri" w:cs="Calibri"/>
          <w:b/>
        </w:rPr>
        <w:t>3</w:t>
      </w:r>
      <w:r w:rsidR="00951C82" w:rsidRPr="00677B47">
        <w:rPr>
          <w:rFonts w:ascii="Calibri" w:hAnsi="Calibri" w:cs="Calibri"/>
          <w:b/>
        </w:rPr>
        <w:t>,4</w:t>
      </w:r>
      <w:r w:rsidR="007B1948" w:rsidRPr="007B1948">
        <w:rPr>
          <w:rFonts w:ascii="Calibri" w:hAnsi="Calibri" w:cs="Calibri"/>
        </w:rPr>
        <w:t>)</w:t>
      </w:r>
      <w:r w:rsidR="008B4E26" w:rsidRPr="00677B47">
        <w:rPr>
          <w:rFonts w:ascii="Calibri" w:hAnsi="Calibri" w:cs="Calibri"/>
        </w:rPr>
        <w:t>. After post-injury CBF assessment</w:t>
      </w:r>
      <w:r w:rsidR="00383C68" w:rsidRPr="00677B47">
        <w:rPr>
          <w:rFonts w:ascii="Calibri" w:hAnsi="Calibri" w:cs="Calibri"/>
        </w:rPr>
        <w:t xml:space="preserve">, </w:t>
      </w:r>
      <w:r w:rsidR="008B4E26" w:rsidRPr="00677B47">
        <w:rPr>
          <w:rFonts w:ascii="Calibri" w:hAnsi="Calibri" w:cs="Calibri"/>
        </w:rPr>
        <w:t xml:space="preserve">the animals were </w:t>
      </w:r>
      <w:r w:rsidR="00F934C7" w:rsidRPr="00677B47">
        <w:rPr>
          <w:rFonts w:ascii="Calibri" w:hAnsi="Calibri" w:cs="Calibri"/>
        </w:rPr>
        <w:t>euthanized,</w:t>
      </w:r>
      <w:r w:rsidR="008B4E26" w:rsidRPr="00677B47">
        <w:rPr>
          <w:rFonts w:ascii="Calibri" w:hAnsi="Calibri" w:cs="Calibri"/>
        </w:rPr>
        <w:t xml:space="preserve"> and </w:t>
      </w:r>
      <w:r w:rsidR="00383C68" w:rsidRPr="00677B47">
        <w:rPr>
          <w:rFonts w:ascii="Calibri" w:hAnsi="Calibri" w:cs="Calibri"/>
        </w:rPr>
        <w:t xml:space="preserve">brain tissue was extracted for quantification of cytokines </w:t>
      </w:r>
      <w:r w:rsidR="008B4E26" w:rsidRPr="00677B47">
        <w:rPr>
          <w:rFonts w:ascii="Calibri" w:hAnsi="Calibri" w:cs="Calibri"/>
        </w:rPr>
        <w:t xml:space="preserve">and phospho-proteins </w:t>
      </w:r>
      <w:r w:rsidR="00383C68" w:rsidRPr="00677B47">
        <w:rPr>
          <w:rFonts w:ascii="Calibri" w:hAnsi="Calibri" w:cs="Calibri"/>
        </w:rPr>
        <w:t xml:space="preserve">via immunoassay </w:t>
      </w:r>
      <w:r w:rsidR="007B1948" w:rsidRPr="007B1948">
        <w:rPr>
          <w:rFonts w:ascii="Calibri" w:hAnsi="Calibri" w:cs="Calibri"/>
        </w:rPr>
        <w:t>(</w:t>
      </w:r>
      <w:r w:rsidR="007B1948">
        <w:rPr>
          <w:rFonts w:ascii="Calibri" w:hAnsi="Calibri" w:cs="Calibri"/>
          <w:b/>
        </w:rPr>
        <w:t xml:space="preserve">Figure </w:t>
      </w:r>
      <w:r w:rsidR="00951C82" w:rsidRPr="00677B47">
        <w:rPr>
          <w:rFonts w:ascii="Calibri" w:hAnsi="Calibri" w:cs="Calibri"/>
          <w:b/>
        </w:rPr>
        <w:t>5</w:t>
      </w:r>
      <w:r w:rsidR="007B1948" w:rsidRPr="007B1948">
        <w:rPr>
          <w:rFonts w:ascii="Calibri" w:hAnsi="Calibri" w:cs="Calibri"/>
        </w:rPr>
        <w:t>)</w:t>
      </w:r>
      <w:r w:rsidR="008B4E26" w:rsidRPr="00677B47">
        <w:rPr>
          <w:rFonts w:ascii="Calibri" w:hAnsi="Calibri" w:cs="Calibri"/>
        </w:rPr>
        <w:t>. We also quantified</w:t>
      </w:r>
      <w:r w:rsidR="008A1BC4" w:rsidRPr="00677B47">
        <w:rPr>
          <w:rFonts w:ascii="Calibri" w:hAnsi="Calibri" w:cs="Calibri"/>
        </w:rPr>
        <w:t xml:space="preserve"> the </w:t>
      </w:r>
      <w:r w:rsidR="00AB0CBF" w:rsidRPr="00677B47">
        <w:rPr>
          <w:rFonts w:ascii="Calibri" w:hAnsi="Calibri" w:cs="Calibri"/>
        </w:rPr>
        <w:t>phagocyte/</w:t>
      </w:r>
      <w:r w:rsidR="008A1BC4" w:rsidRPr="00677B47">
        <w:rPr>
          <w:rFonts w:ascii="Calibri" w:hAnsi="Calibri" w:cs="Calibri"/>
        </w:rPr>
        <w:t>microglial activation marker Iba1</w:t>
      </w:r>
      <w:r w:rsidRPr="00677B47">
        <w:rPr>
          <w:rFonts w:ascii="Calibri" w:hAnsi="Calibri" w:cs="Calibri"/>
        </w:rPr>
        <w:t xml:space="preserve"> </w:t>
      </w:r>
      <w:r w:rsidR="008A1BC4" w:rsidRPr="00677B47">
        <w:rPr>
          <w:rFonts w:ascii="Calibri" w:hAnsi="Calibri" w:cs="Calibri"/>
        </w:rPr>
        <w:t>via Western blot</w:t>
      </w:r>
      <w:r w:rsidR="00577524" w:rsidRPr="00677B47">
        <w:rPr>
          <w:rFonts w:ascii="Calibri" w:hAnsi="Calibri" w:cs="Calibri"/>
        </w:rPr>
        <w:t xml:space="preserve"> </w:t>
      </w:r>
      <w:r w:rsidR="007B1948" w:rsidRPr="007B1948">
        <w:rPr>
          <w:rFonts w:ascii="Calibri" w:hAnsi="Calibri" w:cs="Calibri"/>
        </w:rPr>
        <w:t>(</w:t>
      </w:r>
      <w:r w:rsidR="008B4E26" w:rsidRPr="00677B47">
        <w:rPr>
          <w:rFonts w:ascii="Calibri" w:hAnsi="Calibri" w:cs="Calibri"/>
        </w:rPr>
        <w:t>methods described in</w:t>
      </w:r>
      <w:r w:rsidR="00577524" w:rsidRPr="00677B47">
        <w:rPr>
          <w:rFonts w:ascii="Calibri" w:hAnsi="Calibri" w:cs="Calibri"/>
        </w:rPr>
        <w:fldChar w:fldCharType="begin"/>
      </w:r>
      <w:r w:rsidR="00594BFB" w:rsidRPr="00677B47">
        <w:rPr>
          <w:rFonts w:ascii="Calibri" w:hAnsi="Calibri" w:cs="Calibri"/>
        </w:rPr>
        <w:instrText xml:space="preserve"> ADDIN ZOTERO_ITEM CSL_CITATION {"citationID":"qRW95d7f","properties":{"formattedCitation":"\\super 11\\nosupersub{}","plainCitation":"11","noteIndex":0},"citationItems":[{"id":"ZyThaQRL/XHzSGOyR","uris":["http://zotero.org/users/local/Eoql7WGj/items/LHUWVLU3"],"uri":["http://zotero.org/users/local/Eoql7WGj/items/LHUWVLU3"],"itemData":{"id":20,"type":"article-journal","abstract":"Previous work has shown that non-invasive optical measurement of low cerebral blood flow (CBF) is an acute biomarker of poor long-term cognitive outcome after repetitive mild traumatic brain injury (rmTBI). Herein, we explore the relationship between acute cerebral blood flow and underlying neuroinflammation. Specifically, because neuroinflammation is a driver of secondary injury after TBI, we hypothesized that both glial activation and inflammatory signaling are associated with acute CBF and, by extension, with long-term cognitive outcome after rmTBI. To test this hypothesis, cortical CBF was non-invasively measured in anesthetized mice 4 h after 3 repetitive closed head injuries spaced once-daily, at which time brains were collected. Right hemispheres were fixed for immunohistochemical staining for glial activation markers Iba1 and GFAP while left hemispheres were used to quantify Iba1 and GFAP expression via Western blot as well as 32 cytokines and 21 phospho-proteins in the MAPK, PI3K/Akt, and NF-κB pathways using a Luminex multiplexed immunoassay. N = 8/7 injured/sham C57/black-6 adult male mice were studied. Within the injured group, CBF inversely correlated with Iba1 expression (R = -0.86, p &lt; .01). Further, partial least squares regression analysis revealed significant correlations between CBF and expression of multiple pro-inflammatory cytokines, including RANTES and IL-17. Finally, within the injured group, phosphorylation of specific signals in the MAPK and NF-κB intracellular signaling pathways (e.g., p38 MAPK and NF-κB) were significantly positively correlated with Iba1. In total, our data indicate that acute cerebral blood flow after rmTBI is a biomarker of underlying neuroinflammatory pathology.","container-title":"Neurobiology of Disease","DOI":"10.1016/j.nbd.2018.12.018","ISSN":"1095-953X","journalAbbreviation":"Neurobiol. Dis.","language":"eng","note":"PMID: 30592976\nPMCID: PMC6528169","page":"544-554","source":"PubMed","title":"Low cerebral blood flow is a non-invasive biomarker of neuroinflammation after repetitive mild traumatic brain injury","volume":"124","author":[{"family":"Sankar","given":"Sitara B."},{"family":"Pybus","given":"Alyssa F."},{"family":"Liew","given":"Amanda"},{"family":"Sanders","given":"Bharat"},{"family":"Shah","given":"Kajol J."},{"family":"Wood","given":"Levi B."},{"family":"Buckley","given":"Erin M."}],"issued":{"date-parts":[["2019"]]}}}],"schema":"https://github.com/citation-style-language/schema/raw/master/csl-citation.json"} </w:instrText>
      </w:r>
      <w:r w:rsidR="00577524" w:rsidRPr="00677B47">
        <w:rPr>
          <w:rFonts w:ascii="Calibri" w:hAnsi="Calibri" w:cs="Calibri"/>
        </w:rPr>
        <w:fldChar w:fldCharType="separate"/>
      </w:r>
      <w:r w:rsidR="00577524" w:rsidRPr="00677B47">
        <w:rPr>
          <w:rFonts w:ascii="Calibri" w:hAnsi="Calibri" w:cs="Calibri"/>
          <w:vertAlign w:val="superscript"/>
        </w:rPr>
        <w:t>11</w:t>
      </w:r>
      <w:r w:rsidR="00577524" w:rsidRPr="00677B47">
        <w:rPr>
          <w:rFonts w:ascii="Calibri" w:hAnsi="Calibri" w:cs="Calibri"/>
        </w:rPr>
        <w:fldChar w:fldCharType="end"/>
      </w:r>
      <w:r w:rsidR="007B1948" w:rsidRPr="007B1948">
        <w:rPr>
          <w:rFonts w:ascii="Calibri" w:hAnsi="Calibri" w:cs="Calibri"/>
        </w:rPr>
        <w:t>)</w:t>
      </w:r>
      <w:r w:rsidR="00577524" w:rsidRPr="00677B47">
        <w:rPr>
          <w:rFonts w:ascii="Calibri" w:hAnsi="Calibri" w:cs="Calibri"/>
        </w:rPr>
        <w:t xml:space="preserve">. </w:t>
      </w:r>
      <w:r w:rsidR="00383C68" w:rsidRPr="00677B47">
        <w:rPr>
          <w:rFonts w:ascii="Calibri" w:hAnsi="Calibri" w:cs="Calibri"/>
        </w:rPr>
        <w:t xml:space="preserve">Brain tissue from each mouse was lysed, </w:t>
      </w:r>
      <w:r w:rsidR="009F5B1F" w:rsidRPr="00677B47">
        <w:rPr>
          <w:rFonts w:ascii="Calibri" w:hAnsi="Calibri" w:cs="Calibri"/>
        </w:rPr>
        <w:t xml:space="preserve">and total protein concentration was measured using </w:t>
      </w:r>
      <w:r w:rsidR="00336C6E" w:rsidRPr="00677B47">
        <w:rPr>
          <w:rFonts w:ascii="Calibri" w:hAnsi="Calibri" w:cs="Calibri"/>
        </w:rPr>
        <w:t xml:space="preserve">a </w:t>
      </w:r>
      <w:r w:rsidR="009F5B1F" w:rsidRPr="00677B47">
        <w:rPr>
          <w:rFonts w:ascii="Calibri" w:hAnsi="Calibri" w:cs="Calibri"/>
        </w:rPr>
        <w:t xml:space="preserve">BCA assay. </w:t>
      </w:r>
      <w:r w:rsidR="00490681" w:rsidRPr="00677B47">
        <w:rPr>
          <w:rFonts w:ascii="Calibri" w:hAnsi="Calibri" w:cs="Calibri"/>
        </w:rPr>
        <w:t xml:space="preserve">Multiplexed cytokine </w:t>
      </w:r>
      <w:r w:rsidR="003D6AC6" w:rsidRPr="00677B47">
        <w:rPr>
          <w:rFonts w:ascii="Calibri" w:hAnsi="Calibri" w:cs="Calibri"/>
        </w:rPr>
        <w:t>quantification</w:t>
      </w:r>
      <w:r w:rsidR="00690075" w:rsidRPr="00677B47">
        <w:rPr>
          <w:rFonts w:ascii="Calibri" w:hAnsi="Calibri" w:cs="Calibri"/>
        </w:rPr>
        <w:t xml:space="preserve"> was conducted using the </w:t>
      </w:r>
      <w:r w:rsidR="00383C68" w:rsidRPr="00677B47">
        <w:rPr>
          <w:rFonts w:ascii="Calibri" w:hAnsi="Calibri" w:cs="Calibri"/>
        </w:rPr>
        <w:t>M</w:t>
      </w:r>
      <w:r w:rsidR="00690075" w:rsidRPr="00677B47">
        <w:rPr>
          <w:rFonts w:ascii="Calibri" w:hAnsi="Calibri" w:cs="Calibri"/>
        </w:rPr>
        <w:t xml:space="preserve">illiplex </w:t>
      </w:r>
      <w:r w:rsidR="00383C68" w:rsidRPr="00677B47">
        <w:rPr>
          <w:rFonts w:ascii="Calibri" w:hAnsi="Calibri" w:cs="Calibri"/>
        </w:rPr>
        <w:t>MAP Mouse Cytokine/Chemokine 32-Plex</w:t>
      </w:r>
      <w:r w:rsidR="003D6AC6" w:rsidRPr="00677B47">
        <w:rPr>
          <w:rFonts w:ascii="Calibri" w:hAnsi="Calibri" w:cs="Calibri"/>
        </w:rPr>
        <w:t>, which w</w:t>
      </w:r>
      <w:r w:rsidR="00690075" w:rsidRPr="00677B47">
        <w:rPr>
          <w:rFonts w:ascii="Calibri" w:hAnsi="Calibri" w:cs="Calibri"/>
        </w:rPr>
        <w:t xml:space="preserve">as read using a Luminex MAGPIX </w:t>
      </w:r>
      <w:r w:rsidR="00690075" w:rsidRPr="00677B47">
        <w:rPr>
          <w:rFonts w:ascii="Calibri" w:hAnsi="Calibri" w:cs="Calibri"/>
        </w:rPr>
        <w:lastRenderedPageBreak/>
        <w:t>system</w:t>
      </w:r>
      <w:r w:rsidR="003D6AC6" w:rsidRPr="00677B47">
        <w:rPr>
          <w:rFonts w:ascii="Calibri" w:hAnsi="Calibri" w:cs="Calibri"/>
        </w:rPr>
        <w:t xml:space="preserve"> </w:t>
      </w:r>
      <w:r w:rsidR="007B1948" w:rsidRPr="007B1948">
        <w:rPr>
          <w:rFonts w:ascii="Calibri" w:hAnsi="Calibri" w:cs="Calibri"/>
        </w:rPr>
        <w:t>(</w:t>
      </w:r>
      <w:r w:rsidR="007B1948">
        <w:rPr>
          <w:rFonts w:ascii="Calibri" w:hAnsi="Calibri" w:cs="Calibri"/>
          <w:b/>
        </w:rPr>
        <w:t xml:space="preserve">Figure </w:t>
      </w:r>
      <w:r w:rsidR="003D6AC6" w:rsidRPr="00677B47">
        <w:rPr>
          <w:rFonts w:ascii="Calibri" w:hAnsi="Calibri" w:cs="Calibri"/>
          <w:b/>
        </w:rPr>
        <w:t>6</w:t>
      </w:r>
      <w:r w:rsidR="007B1948" w:rsidRPr="007B1948">
        <w:rPr>
          <w:rFonts w:ascii="Calibri" w:hAnsi="Calibri" w:cs="Calibri"/>
        </w:rPr>
        <w:t>)</w:t>
      </w:r>
      <w:r w:rsidR="003D6AC6" w:rsidRPr="00677B47">
        <w:rPr>
          <w:rFonts w:ascii="Calibri" w:hAnsi="Calibri" w:cs="Calibri"/>
        </w:rPr>
        <w:t>.</w:t>
      </w:r>
      <w:r w:rsidR="00490681" w:rsidRPr="00677B47">
        <w:rPr>
          <w:rFonts w:ascii="Calibri" w:hAnsi="Calibri" w:cs="Calibri"/>
        </w:rPr>
        <w:t xml:space="preserve"> </w:t>
      </w:r>
      <w:r w:rsidR="003D6AC6" w:rsidRPr="00677B47">
        <w:rPr>
          <w:rFonts w:ascii="Calibri" w:hAnsi="Calibri" w:cs="Calibri"/>
        </w:rPr>
        <w:t>A linear range analysis was conducted to determine an appropriate protein loading</w:t>
      </w:r>
      <w:r w:rsidR="00D74B87" w:rsidRPr="00677B47">
        <w:rPr>
          <w:rFonts w:ascii="Calibri" w:hAnsi="Calibri" w:cs="Calibri"/>
        </w:rPr>
        <w:t xml:space="preserve"> </w:t>
      </w:r>
      <w:r w:rsidR="007B1948" w:rsidRPr="007B1948">
        <w:rPr>
          <w:rFonts w:ascii="Calibri" w:hAnsi="Calibri" w:cs="Calibri"/>
        </w:rPr>
        <w:t>(</w:t>
      </w:r>
      <w:r w:rsidR="00D74B87" w:rsidRPr="00677B47">
        <w:rPr>
          <w:rFonts w:ascii="Calibri" w:hAnsi="Calibri" w:cs="Calibri"/>
        </w:rPr>
        <w:t>12 µg of protein per 12.5 µL</w:t>
      </w:r>
      <w:r w:rsidR="003D6AC6" w:rsidRPr="00677B47">
        <w:rPr>
          <w:rFonts w:ascii="Calibri" w:hAnsi="Calibri" w:cs="Calibri"/>
        </w:rPr>
        <w:t xml:space="preserve"> of lysate</w:t>
      </w:r>
      <w:r w:rsidR="007B1948" w:rsidRPr="007B1948">
        <w:rPr>
          <w:rFonts w:ascii="Calibri" w:hAnsi="Calibri" w:cs="Calibri"/>
        </w:rPr>
        <w:t>)</w:t>
      </w:r>
      <w:r w:rsidR="003D6AC6" w:rsidRPr="00677B47">
        <w:rPr>
          <w:rFonts w:ascii="Calibri" w:hAnsi="Calibri" w:cs="Calibri"/>
        </w:rPr>
        <w:t xml:space="preserve"> </w:t>
      </w:r>
      <w:r w:rsidR="007B1948" w:rsidRPr="007B1948">
        <w:rPr>
          <w:rFonts w:ascii="Calibri" w:hAnsi="Calibri" w:cs="Calibri"/>
        </w:rPr>
        <w:t>(</w:t>
      </w:r>
      <w:r w:rsidR="007B1948">
        <w:rPr>
          <w:rFonts w:ascii="Calibri" w:hAnsi="Calibri" w:cs="Calibri"/>
          <w:b/>
        </w:rPr>
        <w:t xml:space="preserve">Figure </w:t>
      </w:r>
      <w:r w:rsidR="00E05C87" w:rsidRPr="00677B47">
        <w:rPr>
          <w:rFonts w:ascii="Calibri" w:hAnsi="Calibri" w:cs="Calibri"/>
          <w:b/>
        </w:rPr>
        <w:t>8</w:t>
      </w:r>
      <w:r w:rsidR="007B1948" w:rsidRPr="007B1948">
        <w:rPr>
          <w:rFonts w:ascii="Calibri" w:hAnsi="Calibri" w:cs="Calibri"/>
        </w:rPr>
        <w:t>)</w:t>
      </w:r>
      <w:r w:rsidR="003D6AC6" w:rsidRPr="00677B47">
        <w:rPr>
          <w:rFonts w:ascii="Calibri" w:hAnsi="Calibri" w:cs="Calibri"/>
        </w:rPr>
        <w:t xml:space="preserve"> prior to collecting data from all samples.</w:t>
      </w:r>
    </w:p>
    <w:p w14:paraId="433AFB7F" w14:textId="77777777" w:rsidR="00F934C7" w:rsidRPr="00677B47" w:rsidRDefault="00F934C7" w:rsidP="009B5312">
      <w:pPr>
        <w:contextualSpacing/>
        <w:rPr>
          <w:rFonts w:ascii="Calibri" w:hAnsi="Calibri" w:cs="Calibri"/>
        </w:rPr>
      </w:pPr>
    </w:p>
    <w:p w14:paraId="512FE6B6" w14:textId="2DDF77B1" w:rsidR="00E77E55" w:rsidRPr="00677B47" w:rsidRDefault="00E77E55" w:rsidP="009B5312">
      <w:pPr>
        <w:contextualSpacing/>
        <w:rPr>
          <w:rFonts w:ascii="Calibri" w:hAnsi="Calibri" w:cs="Calibri"/>
        </w:rPr>
      </w:pPr>
      <w:r w:rsidRPr="00677B47">
        <w:rPr>
          <w:rFonts w:ascii="Calibri" w:hAnsi="Calibri" w:cs="Calibri"/>
        </w:rPr>
        <w:t>Cytokine data was prepared for analysis by subtracting background measurements from sample data</w:t>
      </w:r>
      <w:r w:rsidR="009D2852">
        <w:rPr>
          <w:rFonts w:ascii="Calibri" w:hAnsi="Calibri" w:cs="Calibri"/>
        </w:rPr>
        <w:t>, and then</w:t>
      </w:r>
      <w:r w:rsidRPr="00677B47">
        <w:rPr>
          <w:rFonts w:ascii="Calibri" w:hAnsi="Calibri" w:cs="Calibri"/>
        </w:rPr>
        <w:t xml:space="preserve"> z-scor</w:t>
      </w:r>
      <w:r w:rsidR="008E57CF" w:rsidRPr="00677B47">
        <w:rPr>
          <w:rFonts w:ascii="Calibri" w:hAnsi="Calibri" w:cs="Calibri"/>
        </w:rPr>
        <w:t>ing data for</w:t>
      </w:r>
      <w:r w:rsidRPr="00677B47">
        <w:rPr>
          <w:rFonts w:ascii="Calibri" w:hAnsi="Calibri" w:cs="Calibri"/>
        </w:rPr>
        <w:t xml:space="preserve"> each analyte </w:t>
      </w:r>
      <w:r w:rsidR="007B1948" w:rsidRPr="007B1948">
        <w:rPr>
          <w:rFonts w:ascii="Calibri" w:hAnsi="Calibri" w:cs="Calibri"/>
        </w:rPr>
        <w:t>(</w:t>
      </w:r>
      <w:r w:rsidR="00677B47" w:rsidRPr="00677B47">
        <w:rPr>
          <w:rFonts w:ascii="Calibri" w:hAnsi="Calibri" w:cs="Calibri"/>
          <w:b/>
        </w:rPr>
        <w:t>Figure</w:t>
      </w:r>
      <w:r w:rsidR="00E05C87" w:rsidRPr="00677B47">
        <w:rPr>
          <w:rFonts w:ascii="Calibri" w:hAnsi="Calibri" w:cs="Calibri"/>
          <w:b/>
        </w:rPr>
        <w:t xml:space="preserve"> 7</w:t>
      </w:r>
      <w:r w:rsidRPr="00677B47">
        <w:rPr>
          <w:rFonts w:ascii="Calibri" w:hAnsi="Calibri" w:cs="Calibri"/>
          <w:b/>
        </w:rPr>
        <w:t>A</w:t>
      </w:r>
      <w:r w:rsidR="007B1948" w:rsidRPr="007B1948">
        <w:rPr>
          <w:rFonts w:ascii="Calibri" w:hAnsi="Calibri" w:cs="Calibri"/>
        </w:rPr>
        <w:t>)</w:t>
      </w:r>
      <w:r w:rsidRPr="00677B47">
        <w:rPr>
          <w:rFonts w:ascii="Calibri" w:hAnsi="Calibri" w:cs="Calibri"/>
        </w:rPr>
        <w:t xml:space="preserve">. </w:t>
      </w:r>
      <w:r w:rsidR="0028007D" w:rsidRPr="00677B47">
        <w:rPr>
          <w:rFonts w:ascii="Calibri" w:hAnsi="Calibri" w:cs="Calibri"/>
        </w:rPr>
        <w:t xml:space="preserve">A heatmap </w:t>
      </w:r>
      <w:r w:rsidRPr="00677B47">
        <w:rPr>
          <w:rFonts w:ascii="Calibri" w:hAnsi="Calibri" w:cs="Calibri"/>
        </w:rPr>
        <w:t xml:space="preserve">was generated from z-scored data to visualize </w:t>
      </w:r>
      <w:r w:rsidR="0028007D" w:rsidRPr="00677B47">
        <w:rPr>
          <w:rFonts w:ascii="Calibri" w:hAnsi="Calibri" w:cs="Calibri"/>
        </w:rPr>
        <w:t>differences</w:t>
      </w:r>
      <w:r w:rsidR="0028007D" w:rsidRPr="00677B47" w:rsidDel="0028007D">
        <w:rPr>
          <w:rFonts w:ascii="Calibri" w:hAnsi="Calibri" w:cs="Calibri"/>
        </w:rPr>
        <w:t xml:space="preserve"> </w:t>
      </w:r>
      <w:r w:rsidR="0028007D" w:rsidRPr="00677B47">
        <w:rPr>
          <w:rFonts w:ascii="Calibri" w:hAnsi="Calibri" w:cs="Calibri"/>
        </w:rPr>
        <w:t xml:space="preserve">in cytokine </w:t>
      </w:r>
      <w:r w:rsidRPr="00677B47">
        <w:rPr>
          <w:rFonts w:ascii="Calibri" w:hAnsi="Calibri" w:cs="Calibri"/>
        </w:rPr>
        <w:t xml:space="preserve">expression </w:t>
      </w:r>
      <w:r w:rsidR="008E57CF" w:rsidRPr="00677B47">
        <w:rPr>
          <w:rFonts w:ascii="Calibri" w:hAnsi="Calibri" w:cs="Calibri"/>
        </w:rPr>
        <w:t xml:space="preserve">among </w:t>
      </w:r>
      <w:r w:rsidR="008B4E26" w:rsidRPr="00677B47">
        <w:rPr>
          <w:rFonts w:ascii="Calibri" w:hAnsi="Calibri" w:cs="Calibri"/>
        </w:rPr>
        <w:t>animals</w:t>
      </w:r>
      <w:r w:rsidRPr="00677B47">
        <w:rPr>
          <w:rFonts w:ascii="Calibri" w:hAnsi="Calibri" w:cs="Calibri"/>
        </w:rPr>
        <w:t xml:space="preserve">. Partial Least Squares Regression </w:t>
      </w:r>
      <w:r w:rsidR="007B1948" w:rsidRPr="007B1948">
        <w:rPr>
          <w:rFonts w:ascii="Calibri" w:hAnsi="Calibri" w:cs="Calibri"/>
        </w:rPr>
        <w:t>(</w:t>
      </w:r>
      <w:r w:rsidRPr="00677B47">
        <w:rPr>
          <w:rFonts w:ascii="Calibri" w:hAnsi="Calibri" w:cs="Calibri"/>
        </w:rPr>
        <w:t>PLSR</w:t>
      </w:r>
      <w:r w:rsidR="007B1948" w:rsidRPr="007B1948">
        <w:rPr>
          <w:rFonts w:ascii="Calibri" w:hAnsi="Calibri" w:cs="Calibri"/>
        </w:rPr>
        <w:t>)</w:t>
      </w:r>
      <w:r w:rsidRPr="00677B47">
        <w:rPr>
          <w:rFonts w:ascii="Calibri" w:hAnsi="Calibri" w:cs="Calibri"/>
        </w:rPr>
        <w:t xml:space="preserve"> was conducted using the </w:t>
      </w:r>
      <w:r w:rsidR="00AB0CBF" w:rsidRPr="00677B47">
        <w:rPr>
          <w:rFonts w:ascii="Calibri" w:hAnsi="Calibri" w:cs="Calibri"/>
        </w:rPr>
        <w:t>phagocyte/</w:t>
      </w:r>
      <w:r w:rsidRPr="00677B47">
        <w:rPr>
          <w:rFonts w:ascii="Calibri" w:hAnsi="Calibri" w:cs="Calibri"/>
        </w:rPr>
        <w:t xml:space="preserve">microglial activation marker Iba1 as the response variable and cytokine measurements as the predictor variables </w:t>
      </w:r>
      <w:r w:rsidR="007B1948" w:rsidRPr="007B1948">
        <w:rPr>
          <w:rFonts w:ascii="Calibri" w:hAnsi="Calibri" w:cs="Calibri"/>
        </w:rPr>
        <w:t>(</w:t>
      </w:r>
      <w:r w:rsidR="00677B47" w:rsidRPr="00677B47">
        <w:rPr>
          <w:rFonts w:ascii="Calibri" w:hAnsi="Calibri" w:cs="Calibri"/>
          <w:b/>
        </w:rPr>
        <w:t>Figure</w:t>
      </w:r>
      <w:r w:rsidRPr="00677B47">
        <w:rPr>
          <w:rFonts w:ascii="Calibri" w:hAnsi="Calibri" w:cs="Calibri"/>
          <w:b/>
        </w:rPr>
        <w:t xml:space="preserve"> </w:t>
      </w:r>
      <w:r w:rsidR="00E05C87" w:rsidRPr="00677B47">
        <w:rPr>
          <w:rFonts w:ascii="Calibri" w:hAnsi="Calibri" w:cs="Calibri"/>
          <w:b/>
        </w:rPr>
        <w:t>7</w:t>
      </w:r>
      <w:r w:rsidRPr="00677B47">
        <w:rPr>
          <w:rFonts w:ascii="Calibri" w:hAnsi="Calibri" w:cs="Calibri"/>
          <w:b/>
        </w:rPr>
        <w:t>B</w:t>
      </w:r>
      <w:r w:rsidR="007B1948" w:rsidRPr="007B1948">
        <w:rPr>
          <w:rFonts w:ascii="Calibri" w:hAnsi="Calibri" w:cs="Calibri"/>
        </w:rPr>
        <w:t>)</w:t>
      </w:r>
      <w:r w:rsidRPr="00677B47">
        <w:rPr>
          <w:rFonts w:ascii="Calibri" w:hAnsi="Calibri" w:cs="Calibri"/>
        </w:rPr>
        <w:t xml:space="preserve">. A </w:t>
      </w:r>
      <w:r w:rsidR="00743CEE" w:rsidRPr="00677B47">
        <w:rPr>
          <w:rFonts w:ascii="Calibri" w:hAnsi="Calibri" w:cs="Calibri"/>
        </w:rPr>
        <w:t>varimax</w:t>
      </w:r>
      <w:r w:rsidRPr="00677B47">
        <w:rPr>
          <w:rFonts w:ascii="Calibri" w:hAnsi="Calibri" w:cs="Calibri"/>
        </w:rPr>
        <w:t xml:space="preserve"> rotation was performed </w:t>
      </w:r>
      <w:r w:rsidR="008E57CF" w:rsidRPr="00677B47">
        <w:rPr>
          <w:rFonts w:ascii="Calibri" w:hAnsi="Calibri" w:cs="Calibri"/>
        </w:rPr>
        <w:t>to maximize the co-variance of the data on LV1 with the Iba1 measurements</w:t>
      </w:r>
      <w:r w:rsidRPr="00677B47">
        <w:rPr>
          <w:rFonts w:ascii="Calibri" w:hAnsi="Calibri" w:cs="Calibri"/>
        </w:rPr>
        <w:t xml:space="preserve"> </w:t>
      </w:r>
      <w:r w:rsidR="007B1948" w:rsidRPr="007B1948">
        <w:rPr>
          <w:rFonts w:ascii="Calibri" w:hAnsi="Calibri" w:cs="Calibri"/>
        </w:rPr>
        <w:t>(</w:t>
      </w:r>
      <w:r w:rsidR="00677B47" w:rsidRPr="00677B47">
        <w:rPr>
          <w:rFonts w:ascii="Calibri" w:hAnsi="Calibri" w:cs="Calibri"/>
          <w:b/>
        </w:rPr>
        <w:t>Figure</w:t>
      </w:r>
      <w:r w:rsidR="00E05C87" w:rsidRPr="00677B47">
        <w:rPr>
          <w:rFonts w:ascii="Calibri" w:hAnsi="Calibri" w:cs="Calibri"/>
          <w:b/>
        </w:rPr>
        <w:t xml:space="preserve"> 7</w:t>
      </w:r>
      <w:r w:rsidRPr="00677B47">
        <w:rPr>
          <w:rFonts w:ascii="Calibri" w:hAnsi="Calibri" w:cs="Calibri"/>
          <w:b/>
        </w:rPr>
        <w:t>D</w:t>
      </w:r>
      <w:r w:rsidR="007B1948" w:rsidRPr="007B1948">
        <w:rPr>
          <w:rFonts w:ascii="Calibri" w:hAnsi="Calibri" w:cs="Calibri"/>
        </w:rPr>
        <w:t>)</w:t>
      </w:r>
      <w:r w:rsidRPr="00677B47">
        <w:rPr>
          <w:rFonts w:ascii="Calibri" w:hAnsi="Calibri" w:cs="Calibri"/>
        </w:rPr>
        <w:t xml:space="preserve">. High loading weights in LV1 </w:t>
      </w:r>
      <w:r w:rsidR="007B1948" w:rsidRPr="007B1948">
        <w:rPr>
          <w:rFonts w:ascii="Calibri" w:hAnsi="Calibri" w:cs="Calibri"/>
        </w:rPr>
        <w:t>(</w:t>
      </w:r>
      <w:r w:rsidR="00677B47" w:rsidRPr="00677B47">
        <w:rPr>
          <w:rFonts w:ascii="Calibri" w:hAnsi="Calibri" w:cs="Calibri"/>
          <w:b/>
        </w:rPr>
        <w:t>Figure</w:t>
      </w:r>
      <w:r w:rsidR="00E05C87" w:rsidRPr="00677B47">
        <w:rPr>
          <w:rFonts w:ascii="Calibri" w:hAnsi="Calibri" w:cs="Calibri"/>
          <w:b/>
        </w:rPr>
        <w:t xml:space="preserve"> 7</w:t>
      </w:r>
      <w:r w:rsidRPr="00677B47">
        <w:rPr>
          <w:rFonts w:ascii="Calibri" w:hAnsi="Calibri" w:cs="Calibri"/>
          <w:b/>
        </w:rPr>
        <w:t>C</w:t>
      </w:r>
      <w:r w:rsidR="007B1948" w:rsidRPr="007B1948">
        <w:rPr>
          <w:rFonts w:ascii="Calibri" w:hAnsi="Calibri" w:cs="Calibri"/>
        </w:rPr>
        <w:t>)</w:t>
      </w:r>
      <w:r w:rsidRPr="00677B47">
        <w:rPr>
          <w:rFonts w:ascii="Calibri" w:hAnsi="Calibri" w:cs="Calibri"/>
        </w:rPr>
        <w:t xml:space="preserve"> correspond with the </w:t>
      </w:r>
      <w:r w:rsidR="008B4E26" w:rsidRPr="00677B47">
        <w:rPr>
          <w:rFonts w:ascii="Calibri" w:hAnsi="Calibri" w:cs="Calibri"/>
        </w:rPr>
        <w:t xml:space="preserve">cytokine expression </w:t>
      </w:r>
      <w:r w:rsidRPr="00677B47">
        <w:rPr>
          <w:rFonts w:ascii="Calibri" w:hAnsi="Calibri" w:cs="Calibri"/>
        </w:rPr>
        <w:t xml:space="preserve">most associated with high </w:t>
      </w:r>
      <w:r w:rsidR="008B4E26" w:rsidRPr="00677B47">
        <w:rPr>
          <w:rFonts w:ascii="Calibri" w:hAnsi="Calibri" w:cs="Calibri"/>
        </w:rPr>
        <w:t xml:space="preserve">expression of </w:t>
      </w:r>
      <w:r w:rsidRPr="00677B47">
        <w:rPr>
          <w:rFonts w:ascii="Calibri" w:hAnsi="Calibri" w:cs="Calibri"/>
        </w:rPr>
        <w:t xml:space="preserve">Iba1. </w:t>
      </w:r>
      <w:r w:rsidR="00E014B8" w:rsidRPr="00677B47">
        <w:rPr>
          <w:rFonts w:ascii="Calibri" w:hAnsi="Calibri" w:cs="Calibri"/>
        </w:rPr>
        <w:t>Linear regressions between</w:t>
      </w:r>
      <w:r w:rsidRPr="00677B47">
        <w:rPr>
          <w:rFonts w:ascii="Calibri" w:hAnsi="Calibri" w:cs="Calibri"/>
        </w:rPr>
        <w:t xml:space="preserve"> Iba1</w:t>
      </w:r>
      <w:r w:rsidR="00E014B8" w:rsidRPr="00677B47">
        <w:rPr>
          <w:rFonts w:ascii="Calibri" w:hAnsi="Calibri" w:cs="Calibri"/>
        </w:rPr>
        <w:t xml:space="preserve"> and</w:t>
      </w:r>
      <w:r w:rsidRPr="00677B47">
        <w:rPr>
          <w:rFonts w:ascii="Calibri" w:hAnsi="Calibri" w:cs="Calibri"/>
        </w:rPr>
        <w:t xml:space="preserve"> cytokines </w:t>
      </w:r>
      <w:r w:rsidR="008E57CF" w:rsidRPr="00677B47">
        <w:rPr>
          <w:rFonts w:ascii="Calibri" w:hAnsi="Calibri" w:cs="Calibri"/>
        </w:rPr>
        <w:t>show that those cytokines with the greatest loading weights in LV1</w:t>
      </w:r>
      <w:r w:rsidRPr="00677B47">
        <w:rPr>
          <w:rFonts w:ascii="Calibri" w:hAnsi="Calibri" w:cs="Calibri"/>
        </w:rPr>
        <w:t xml:space="preserve"> </w:t>
      </w:r>
      <w:r w:rsidR="00AB0CBF" w:rsidRPr="00677B47">
        <w:rPr>
          <w:rFonts w:ascii="Calibri" w:hAnsi="Calibri" w:cs="Calibri"/>
        </w:rPr>
        <w:t>were also</w:t>
      </w:r>
      <w:r w:rsidR="00C72A9F" w:rsidRPr="00677B47">
        <w:rPr>
          <w:rFonts w:ascii="Calibri" w:hAnsi="Calibri" w:cs="Calibri"/>
        </w:rPr>
        <w:t xml:space="preserve"> statistically significant </w:t>
      </w:r>
      <w:r w:rsidR="007B1948" w:rsidRPr="007B1948">
        <w:rPr>
          <w:rFonts w:ascii="Calibri" w:hAnsi="Calibri" w:cs="Calibri"/>
        </w:rPr>
        <w:t>(</w:t>
      </w:r>
      <w:r w:rsidR="00677B47" w:rsidRPr="00677B47">
        <w:rPr>
          <w:rFonts w:ascii="Calibri" w:hAnsi="Calibri" w:cs="Calibri"/>
          <w:b/>
        </w:rPr>
        <w:t>Figure</w:t>
      </w:r>
      <w:r w:rsidR="00E05C87" w:rsidRPr="00677B47">
        <w:rPr>
          <w:rFonts w:ascii="Calibri" w:hAnsi="Calibri" w:cs="Calibri"/>
          <w:b/>
        </w:rPr>
        <w:t xml:space="preserve"> 7</w:t>
      </w:r>
      <w:r w:rsidR="00E014B8" w:rsidRPr="00677B47">
        <w:rPr>
          <w:rFonts w:ascii="Calibri" w:hAnsi="Calibri" w:cs="Calibri"/>
          <w:b/>
        </w:rPr>
        <w:t>E</w:t>
      </w:r>
      <w:r w:rsidR="007B1948" w:rsidRPr="007B1948">
        <w:rPr>
          <w:rFonts w:ascii="Calibri" w:hAnsi="Calibri" w:cs="Calibri"/>
        </w:rPr>
        <w:t>)</w:t>
      </w:r>
      <w:r w:rsidRPr="00677B47">
        <w:rPr>
          <w:rFonts w:ascii="Calibri" w:hAnsi="Calibri" w:cs="Calibri"/>
        </w:rPr>
        <w:t>.</w:t>
      </w:r>
      <w:r w:rsidR="00336C6E" w:rsidRPr="00677B47">
        <w:rPr>
          <w:rFonts w:ascii="Calibri" w:hAnsi="Calibri" w:cs="Calibri"/>
        </w:rPr>
        <w:t xml:space="preserve"> </w:t>
      </w:r>
    </w:p>
    <w:p w14:paraId="328D047E" w14:textId="23F34C5E" w:rsidR="00951C82" w:rsidRPr="00677B47" w:rsidRDefault="00951C82" w:rsidP="009B5312">
      <w:pPr>
        <w:contextualSpacing/>
        <w:rPr>
          <w:rFonts w:ascii="Calibri" w:hAnsi="Calibri" w:cs="Calibri"/>
          <w:color w:val="808080" w:themeColor="background1" w:themeShade="80"/>
        </w:rPr>
      </w:pPr>
    </w:p>
    <w:p w14:paraId="721F8277" w14:textId="004D9FE4" w:rsidR="00951C82" w:rsidRPr="00677B47" w:rsidRDefault="00951C82" w:rsidP="009B5312">
      <w:pPr>
        <w:contextualSpacing/>
        <w:rPr>
          <w:rFonts w:ascii="Calibri" w:hAnsi="Calibri" w:cs="Calibri"/>
          <w:color w:val="808080" w:themeColor="background1" w:themeShade="80"/>
        </w:rPr>
      </w:pPr>
      <w:r w:rsidRPr="00677B47">
        <w:rPr>
          <w:rFonts w:ascii="Calibri" w:hAnsi="Calibri" w:cs="Calibri"/>
          <w:b/>
          <w:bCs/>
        </w:rPr>
        <w:t>Figure 1: Typical workflow.</w:t>
      </w:r>
      <w:r w:rsidRPr="00677B47">
        <w:rPr>
          <w:rFonts w:ascii="Calibri" w:hAnsi="Calibri" w:cs="Calibri"/>
          <w:b/>
          <w:bCs/>
          <w:color w:val="808080" w:themeColor="background1" w:themeShade="80"/>
        </w:rPr>
        <w:t xml:space="preserve"> </w:t>
      </w:r>
      <w:r w:rsidR="00124390" w:rsidRPr="00677B47">
        <w:rPr>
          <w:rFonts w:ascii="Calibri" w:hAnsi="Calibri" w:cs="Calibri"/>
        </w:rPr>
        <w:t>First,</w:t>
      </w:r>
      <w:r w:rsidR="00124390" w:rsidRPr="00677B47">
        <w:rPr>
          <w:rFonts w:ascii="Calibri" w:hAnsi="Calibri" w:cs="Calibri"/>
          <w:b/>
          <w:bCs/>
          <w:color w:val="808080" w:themeColor="background1" w:themeShade="80"/>
        </w:rPr>
        <w:t xml:space="preserve"> </w:t>
      </w:r>
      <w:r w:rsidR="00124390" w:rsidRPr="00677B47">
        <w:rPr>
          <w:rFonts w:ascii="Calibri" w:hAnsi="Calibri" w:cs="Calibri"/>
        </w:rPr>
        <w:t xml:space="preserve">mice </w:t>
      </w:r>
      <w:r w:rsidRPr="00677B47">
        <w:rPr>
          <w:rFonts w:ascii="Calibri" w:hAnsi="Calibri" w:cs="Calibri"/>
        </w:rPr>
        <w:t xml:space="preserve">undergo </w:t>
      </w:r>
      <w:r w:rsidR="00124390" w:rsidRPr="00677B47">
        <w:rPr>
          <w:rFonts w:ascii="Calibri" w:hAnsi="Calibri" w:cs="Calibri"/>
        </w:rPr>
        <w:t xml:space="preserve">a weight drop </w:t>
      </w:r>
      <w:r w:rsidRPr="00677B47">
        <w:rPr>
          <w:rFonts w:ascii="Calibri" w:hAnsi="Calibri" w:cs="Calibri"/>
        </w:rPr>
        <w:t>close</w:t>
      </w:r>
      <w:r w:rsidR="00124390" w:rsidRPr="00677B47">
        <w:rPr>
          <w:rFonts w:ascii="Calibri" w:hAnsi="Calibri" w:cs="Calibri"/>
        </w:rPr>
        <w:t>d</w:t>
      </w:r>
      <w:r w:rsidRPr="00677B47">
        <w:rPr>
          <w:rFonts w:ascii="Calibri" w:hAnsi="Calibri" w:cs="Calibri"/>
        </w:rPr>
        <w:t xml:space="preserve"> head injury</w:t>
      </w:r>
      <w:r w:rsidR="00581369" w:rsidRPr="00677B47">
        <w:rPr>
          <w:rFonts w:ascii="Calibri" w:hAnsi="Calibri" w:cs="Calibri"/>
        </w:rPr>
        <w:t xml:space="preserve">, </w:t>
      </w:r>
      <w:r w:rsidR="009D2852">
        <w:rPr>
          <w:rFonts w:ascii="Calibri" w:hAnsi="Calibri" w:cs="Calibri"/>
        </w:rPr>
        <w:t xml:space="preserve">and </w:t>
      </w:r>
      <w:r w:rsidR="00124390" w:rsidRPr="00677B47">
        <w:rPr>
          <w:rFonts w:ascii="Calibri" w:hAnsi="Calibri" w:cs="Calibri"/>
        </w:rPr>
        <w:t>then</w:t>
      </w:r>
      <w:r w:rsidRPr="00677B47">
        <w:rPr>
          <w:rFonts w:ascii="Calibri" w:hAnsi="Calibri" w:cs="Calibri"/>
        </w:rPr>
        <w:t xml:space="preserve"> </w:t>
      </w:r>
      <w:r w:rsidR="00124390" w:rsidRPr="00677B47">
        <w:rPr>
          <w:rFonts w:ascii="Calibri" w:hAnsi="Calibri" w:cs="Calibri"/>
        </w:rPr>
        <w:t xml:space="preserve">cerebral blood flow </w:t>
      </w:r>
      <w:r w:rsidR="007B1948" w:rsidRPr="007B1948">
        <w:rPr>
          <w:rFonts w:ascii="Calibri" w:hAnsi="Calibri" w:cs="Calibri"/>
        </w:rPr>
        <w:t>(</w:t>
      </w:r>
      <w:r w:rsidRPr="00677B47">
        <w:rPr>
          <w:rFonts w:ascii="Calibri" w:hAnsi="Calibri" w:cs="Calibri"/>
        </w:rPr>
        <w:t>CBF</w:t>
      </w:r>
      <w:r w:rsidR="007B1948" w:rsidRPr="007B1948">
        <w:rPr>
          <w:rFonts w:ascii="Calibri" w:hAnsi="Calibri" w:cs="Calibri"/>
        </w:rPr>
        <w:t>)</w:t>
      </w:r>
      <w:r w:rsidRPr="00677B47">
        <w:rPr>
          <w:rFonts w:ascii="Calibri" w:hAnsi="Calibri" w:cs="Calibri"/>
        </w:rPr>
        <w:t xml:space="preserve"> of mice </w:t>
      </w:r>
      <w:r w:rsidR="00124390" w:rsidRPr="00677B47">
        <w:rPr>
          <w:rFonts w:ascii="Calibri" w:hAnsi="Calibri" w:cs="Calibri"/>
        </w:rPr>
        <w:t xml:space="preserve">is </w:t>
      </w:r>
      <w:r w:rsidRPr="00677B47">
        <w:rPr>
          <w:rFonts w:ascii="Calibri" w:hAnsi="Calibri" w:cs="Calibri"/>
        </w:rPr>
        <w:t xml:space="preserve">measured using </w:t>
      </w:r>
      <w:r w:rsidR="009D2852" w:rsidRPr="00677B47">
        <w:rPr>
          <w:rFonts w:ascii="Calibri" w:hAnsi="Calibri" w:cs="Calibri"/>
        </w:rPr>
        <w:t>diffuse correlation spectroscopy</w:t>
      </w:r>
      <w:r w:rsidRPr="00677B47">
        <w:rPr>
          <w:rFonts w:ascii="Calibri" w:hAnsi="Calibri" w:cs="Calibri"/>
        </w:rPr>
        <w:t>.</w:t>
      </w:r>
      <w:r w:rsidR="00CE149B" w:rsidRPr="00677B47">
        <w:rPr>
          <w:rFonts w:ascii="Calibri" w:hAnsi="Calibri" w:cs="Calibri"/>
        </w:rPr>
        <w:t xml:space="preserve"> </w:t>
      </w:r>
      <w:r w:rsidR="00124390" w:rsidRPr="00677B47">
        <w:rPr>
          <w:rFonts w:ascii="Calibri" w:hAnsi="Calibri" w:cs="Calibri"/>
        </w:rPr>
        <w:t xml:space="preserve">Next, brains are collected, regions of interest are micro-dissected and </w:t>
      </w:r>
      <w:r w:rsidRPr="00677B47">
        <w:rPr>
          <w:rFonts w:ascii="Calibri" w:hAnsi="Calibri" w:cs="Calibri"/>
        </w:rPr>
        <w:t>snap froze</w:t>
      </w:r>
      <w:r w:rsidR="00B26CBF" w:rsidRPr="00677B47">
        <w:rPr>
          <w:rFonts w:ascii="Calibri" w:hAnsi="Calibri" w:cs="Calibri"/>
        </w:rPr>
        <w:t>n</w:t>
      </w:r>
      <w:r w:rsidRPr="00677B47">
        <w:rPr>
          <w:rFonts w:ascii="Calibri" w:hAnsi="Calibri" w:cs="Calibri"/>
        </w:rPr>
        <w:t xml:space="preserve"> using liquid nitrogen</w:t>
      </w:r>
      <w:r w:rsidR="00965C37" w:rsidRPr="00677B47">
        <w:rPr>
          <w:rFonts w:ascii="Calibri" w:hAnsi="Calibri" w:cs="Calibri"/>
        </w:rPr>
        <w:t xml:space="preserve">. </w:t>
      </w:r>
      <w:r w:rsidRPr="00677B47">
        <w:rPr>
          <w:rFonts w:ascii="Calibri" w:hAnsi="Calibri" w:cs="Calibri"/>
        </w:rPr>
        <w:t xml:space="preserve">In preparation for </w:t>
      </w:r>
      <w:r w:rsidR="00124390" w:rsidRPr="00677B47">
        <w:rPr>
          <w:rFonts w:ascii="Calibri" w:hAnsi="Calibri" w:cs="Calibri"/>
        </w:rPr>
        <w:t xml:space="preserve">the Luminex </w:t>
      </w:r>
      <w:r w:rsidRPr="00677B47">
        <w:rPr>
          <w:rFonts w:ascii="Calibri" w:hAnsi="Calibri" w:cs="Calibri"/>
        </w:rPr>
        <w:t xml:space="preserve">immunoassay, proteins are lysed, and total protein concentration </w:t>
      </w:r>
      <w:r w:rsidR="00124390" w:rsidRPr="00677B47">
        <w:rPr>
          <w:rFonts w:ascii="Calibri" w:hAnsi="Calibri" w:cs="Calibri"/>
        </w:rPr>
        <w:t xml:space="preserve">is </w:t>
      </w:r>
      <w:r w:rsidRPr="00677B47">
        <w:rPr>
          <w:rFonts w:ascii="Calibri" w:hAnsi="Calibri" w:cs="Calibri"/>
        </w:rPr>
        <w:t>measured by BCA assay.</w:t>
      </w:r>
      <w:r w:rsidR="0026247E" w:rsidRPr="00677B47">
        <w:rPr>
          <w:rFonts w:ascii="Calibri" w:hAnsi="Calibri" w:cs="Calibri"/>
        </w:rPr>
        <w:t xml:space="preserve"> Lysates are used for Western blot of Iba1 and Luminex assays for cytokines </w:t>
      </w:r>
      <w:r w:rsidR="00CE149B" w:rsidRPr="00677B47">
        <w:rPr>
          <w:rFonts w:ascii="Calibri" w:hAnsi="Calibri" w:cs="Calibri"/>
        </w:rPr>
        <w:t>and</w:t>
      </w:r>
      <w:r w:rsidR="0026247E" w:rsidRPr="00677B47">
        <w:rPr>
          <w:rFonts w:ascii="Calibri" w:hAnsi="Calibri" w:cs="Calibri"/>
        </w:rPr>
        <w:t xml:space="preserve"> phospho-proteins.</w:t>
      </w:r>
      <w:r w:rsidRPr="00677B47">
        <w:rPr>
          <w:rFonts w:ascii="Calibri" w:hAnsi="Calibri" w:cs="Calibri"/>
        </w:rPr>
        <w:t xml:space="preserve"> Data from CBF</w:t>
      </w:r>
      <w:r w:rsidR="0026247E" w:rsidRPr="00677B47">
        <w:rPr>
          <w:rFonts w:ascii="Calibri" w:hAnsi="Calibri" w:cs="Calibri"/>
        </w:rPr>
        <w:t xml:space="preserve">, Western blot, and Luminex are integrated using partial least squares regression </w:t>
      </w:r>
      <w:r w:rsidR="007B1948" w:rsidRPr="007B1948">
        <w:rPr>
          <w:rFonts w:ascii="Calibri" w:hAnsi="Calibri" w:cs="Calibri"/>
        </w:rPr>
        <w:t>(</w:t>
      </w:r>
      <w:r w:rsidR="0026247E" w:rsidRPr="00677B47">
        <w:rPr>
          <w:rFonts w:ascii="Calibri" w:hAnsi="Calibri" w:cs="Calibri"/>
        </w:rPr>
        <w:t>PLSR</w:t>
      </w:r>
      <w:r w:rsidR="007B1948" w:rsidRPr="007B1948">
        <w:rPr>
          <w:rFonts w:ascii="Calibri" w:hAnsi="Calibri" w:cs="Calibri"/>
        </w:rPr>
        <w:t>)</w:t>
      </w:r>
      <w:r w:rsidRPr="00677B47">
        <w:rPr>
          <w:rFonts w:ascii="Calibri" w:hAnsi="Calibri" w:cs="Calibri"/>
        </w:rPr>
        <w:t>.</w:t>
      </w:r>
    </w:p>
    <w:p w14:paraId="3DDD0B63" w14:textId="77777777" w:rsidR="00951C82" w:rsidRPr="00677B47" w:rsidRDefault="00951C82" w:rsidP="009B5312">
      <w:pPr>
        <w:contextualSpacing/>
        <w:rPr>
          <w:rFonts w:ascii="Calibri" w:hAnsi="Calibri" w:cs="Calibri"/>
          <w:bCs/>
          <w:color w:val="808080"/>
        </w:rPr>
      </w:pPr>
    </w:p>
    <w:p w14:paraId="6837BFB5" w14:textId="4C7C5F07" w:rsidR="00F131FB" w:rsidRPr="00677B47" w:rsidRDefault="006770CD" w:rsidP="009B5312">
      <w:pPr>
        <w:contextualSpacing/>
        <w:rPr>
          <w:rFonts w:ascii="Calibri" w:hAnsi="Calibri" w:cs="Calibri"/>
          <w:color w:val="808080"/>
        </w:rPr>
      </w:pPr>
      <w:r w:rsidRPr="00677B47">
        <w:rPr>
          <w:rFonts w:ascii="Calibri" w:hAnsi="Calibri" w:cs="Calibri"/>
          <w:b/>
        </w:rPr>
        <w:t xml:space="preserve">Figure </w:t>
      </w:r>
      <w:r w:rsidR="00951C82" w:rsidRPr="00677B47">
        <w:rPr>
          <w:rFonts w:ascii="Calibri" w:hAnsi="Calibri" w:cs="Calibri"/>
          <w:b/>
        </w:rPr>
        <w:t>2</w:t>
      </w:r>
      <w:r w:rsidR="00150744" w:rsidRPr="00677B47">
        <w:rPr>
          <w:rFonts w:ascii="Calibri" w:hAnsi="Calibri" w:cs="Calibri"/>
          <w:b/>
        </w:rPr>
        <w:t xml:space="preserve">: Closed-head weight drop model of </w:t>
      </w:r>
      <w:r w:rsidR="00D525AE" w:rsidRPr="00677B47">
        <w:rPr>
          <w:rFonts w:ascii="Calibri" w:hAnsi="Calibri" w:cs="Calibri"/>
          <w:b/>
        </w:rPr>
        <w:t xml:space="preserve">mild </w:t>
      </w:r>
      <w:r w:rsidR="00150744" w:rsidRPr="00677B47">
        <w:rPr>
          <w:rFonts w:ascii="Calibri" w:hAnsi="Calibri" w:cs="Calibri"/>
          <w:b/>
        </w:rPr>
        <w:t>traumatic brain injury.</w:t>
      </w:r>
      <w:r w:rsidR="00150744" w:rsidRPr="00677B47">
        <w:rPr>
          <w:rFonts w:ascii="Calibri" w:hAnsi="Calibri" w:cs="Calibri"/>
        </w:rPr>
        <w:t xml:space="preserve"> </w:t>
      </w:r>
      <w:r w:rsidR="007B1948" w:rsidRPr="007B1948">
        <w:rPr>
          <w:rFonts w:ascii="Calibri" w:hAnsi="Calibri" w:cs="Calibri"/>
        </w:rPr>
        <w:t>(</w:t>
      </w:r>
      <w:r w:rsidR="0029421F" w:rsidRPr="00677B47">
        <w:rPr>
          <w:rFonts w:ascii="Calibri" w:hAnsi="Calibri" w:cs="Calibri"/>
          <w:b/>
        </w:rPr>
        <w:t>A</w:t>
      </w:r>
      <w:r w:rsidR="007B1948" w:rsidRPr="007B1948">
        <w:rPr>
          <w:rFonts w:ascii="Calibri" w:hAnsi="Calibri" w:cs="Calibri"/>
        </w:rPr>
        <w:t>)</w:t>
      </w:r>
      <w:r w:rsidR="00150744" w:rsidRPr="00677B47">
        <w:rPr>
          <w:rFonts w:ascii="Calibri" w:hAnsi="Calibri" w:cs="Calibri"/>
        </w:rPr>
        <w:t xml:space="preserve"> </w:t>
      </w:r>
      <w:r w:rsidR="00FC2423" w:rsidRPr="00677B47">
        <w:rPr>
          <w:rFonts w:ascii="Calibri" w:hAnsi="Calibri" w:cs="Calibri"/>
        </w:rPr>
        <w:t xml:space="preserve">The anesthetized </w:t>
      </w:r>
      <w:r w:rsidR="00150744" w:rsidRPr="00677B47">
        <w:rPr>
          <w:rFonts w:ascii="Calibri" w:hAnsi="Calibri" w:cs="Calibri"/>
        </w:rPr>
        <w:t xml:space="preserve">mouse is grasped by the tail and </w:t>
      </w:r>
      <w:r w:rsidR="00FC2423" w:rsidRPr="00677B47">
        <w:rPr>
          <w:rFonts w:ascii="Calibri" w:hAnsi="Calibri" w:cs="Calibri"/>
        </w:rPr>
        <w:t>plac</w:t>
      </w:r>
      <w:r w:rsidR="00D525AE" w:rsidRPr="00677B47">
        <w:rPr>
          <w:rFonts w:ascii="Calibri" w:hAnsi="Calibri" w:cs="Calibri"/>
        </w:rPr>
        <w:t xml:space="preserve">ed </w:t>
      </w:r>
      <w:r w:rsidR="00150744" w:rsidRPr="00677B47">
        <w:rPr>
          <w:rFonts w:ascii="Calibri" w:hAnsi="Calibri" w:cs="Calibri"/>
        </w:rPr>
        <w:t>on a</w:t>
      </w:r>
      <w:r w:rsidR="00D525AE" w:rsidRPr="00677B47">
        <w:rPr>
          <w:rFonts w:ascii="Calibri" w:hAnsi="Calibri" w:cs="Calibri"/>
        </w:rPr>
        <w:t xml:space="preserve"> taut</w:t>
      </w:r>
      <w:r w:rsidR="00150744" w:rsidRPr="00677B47">
        <w:rPr>
          <w:rFonts w:ascii="Calibri" w:hAnsi="Calibri" w:cs="Calibri"/>
        </w:rPr>
        <w:t xml:space="preserve"> </w:t>
      </w:r>
      <w:r w:rsidR="00D525AE" w:rsidRPr="00677B47">
        <w:rPr>
          <w:rFonts w:ascii="Calibri" w:hAnsi="Calibri" w:cs="Calibri"/>
        </w:rPr>
        <w:t>sacrificial membrane</w:t>
      </w:r>
      <w:r w:rsidR="00CE149B" w:rsidRPr="00677B47">
        <w:rPr>
          <w:rFonts w:ascii="Calibri" w:hAnsi="Calibri" w:cs="Calibri"/>
        </w:rPr>
        <w:t xml:space="preserve"> </w:t>
      </w:r>
      <w:r w:rsidR="00150744" w:rsidRPr="00677B47">
        <w:rPr>
          <w:rFonts w:ascii="Calibri" w:hAnsi="Calibri" w:cs="Calibri"/>
        </w:rPr>
        <w:t>underneath</w:t>
      </w:r>
      <w:r w:rsidR="00CB4469" w:rsidRPr="00677B47">
        <w:rPr>
          <w:rFonts w:ascii="Calibri" w:hAnsi="Calibri" w:cs="Calibri"/>
        </w:rPr>
        <w:t xml:space="preserve"> a</w:t>
      </w:r>
      <w:r w:rsidR="007325E6" w:rsidRPr="00677B47">
        <w:rPr>
          <w:rFonts w:ascii="Calibri" w:hAnsi="Calibri" w:cs="Calibri"/>
        </w:rPr>
        <w:t xml:space="preserve"> guide tube. A</w:t>
      </w:r>
      <w:r w:rsidR="00150744" w:rsidRPr="00677B47">
        <w:rPr>
          <w:rFonts w:ascii="Calibri" w:hAnsi="Calibri" w:cs="Calibri"/>
        </w:rPr>
        <w:t xml:space="preserve"> 54</w:t>
      </w:r>
      <w:r w:rsidR="00D74B87" w:rsidRPr="00677B47">
        <w:rPr>
          <w:rFonts w:ascii="Calibri" w:hAnsi="Calibri" w:cs="Calibri"/>
        </w:rPr>
        <w:t xml:space="preserve"> </w:t>
      </w:r>
      <w:r w:rsidR="00150744" w:rsidRPr="00677B47">
        <w:rPr>
          <w:rFonts w:ascii="Calibri" w:hAnsi="Calibri" w:cs="Calibri"/>
        </w:rPr>
        <w:t xml:space="preserve">g </w:t>
      </w:r>
      <w:r w:rsidR="00FC2423" w:rsidRPr="00677B47">
        <w:rPr>
          <w:rFonts w:ascii="Calibri" w:hAnsi="Calibri" w:cs="Calibri"/>
        </w:rPr>
        <w:t xml:space="preserve">weight is dropped </w:t>
      </w:r>
      <w:r w:rsidR="00CB4469" w:rsidRPr="00677B47">
        <w:rPr>
          <w:rFonts w:ascii="Calibri" w:hAnsi="Calibri" w:cs="Calibri"/>
        </w:rPr>
        <w:t>from</w:t>
      </w:r>
      <w:r w:rsidR="00FC2423" w:rsidRPr="00677B47">
        <w:rPr>
          <w:rFonts w:ascii="Calibri" w:hAnsi="Calibri" w:cs="Calibri"/>
        </w:rPr>
        <w:t xml:space="preserve"> </w:t>
      </w:r>
      <w:r w:rsidR="008507AC" w:rsidRPr="00677B47">
        <w:rPr>
          <w:rFonts w:ascii="Calibri" w:hAnsi="Calibri" w:cs="Calibri"/>
        </w:rPr>
        <w:t>1</w:t>
      </w:r>
      <w:r w:rsidR="00D74B87" w:rsidRPr="00677B47">
        <w:rPr>
          <w:rFonts w:ascii="Calibri" w:hAnsi="Calibri" w:cs="Calibri"/>
        </w:rPr>
        <w:t xml:space="preserve"> </w:t>
      </w:r>
      <w:r w:rsidR="008507AC" w:rsidRPr="00677B47">
        <w:rPr>
          <w:rFonts w:ascii="Calibri" w:hAnsi="Calibri" w:cs="Calibri"/>
        </w:rPr>
        <w:t xml:space="preserve">m </w:t>
      </w:r>
      <w:r w:rsidR="00150744" w:rsidRPr="00677B47">
        <w:rPr>
          <w:rFonts w:ascii="Calibri" w:hAnsi="Calibri" w:cs="Calibri"/>
        </w:rPr>
        <w:t xml:space="preserve">onto the dorsal aspect of the </w:t>
      </w:r>
      <w:r w:rsidR="00FC2423" w:rsidRPr="00677B47">
        <w:rPr>
          <w:rFonts w:ascii="Calibri" w:hAnsi="Calibri" w:cs="Calibri"/>
        </w:rPr>
        <w:t>head</w:t>
      </w:r>
      <w:r w:rsidR="00150744" w:rsidRPr="00677B47">
        <w:rPr>
          <w:rFonts w:ascii="Calibri" w:hAnsi="Calibri" w:cs="Calibri"/>
        </w:rPr>
        <w:t xml:space="preserve">. </w:t>
      </w:r>
      <w:r w:rsidR="007B1948" w:rsidRPr="007B1948">
        <w:rPr>
          <w:rFonts w:ascii="Calibri" w:hAnsi="Calibri" w:cs="Calibri"/>
        </w:rPr>
        <w:t>(</w:t>
      </w:r>
      <w:r w:rsidR="0029421F" w:rsidRPr="00677B47">
        <w:rPr>
          <w:rFonts w:ascii="Calibri" w:hAnsi="Calibri" w:cs="Calibri"/>
          <w:b/>
        </w:rPr>
        <w:t>B</w:t>
      </w:r>
      <w:r w:rsidR="007B1948" w:rsidRPr="007B1948">
        <w:rPr>
          <w:rFonts w:ascii="Calibri" w:hAnsi="Calibri" w:cs="Calibri"/>
        </w:rPr>
        <w:t>)</w:t>
      </w:r>
      <w:r w:rsidR="00150744" w:rsidRPr="00677B47">
        <w:rPr>
          <w:rFonts w:ascii="Calibri" w:hAnsi="Calibri" w:cs="Calibri"/>
        </w:rPr>
        <w:t xml:space="preserve"> </w:t>
      </w:r>
      <w:r w:rsidR="00432109" w:rsidRPr="00677B47">
        <w:rPr>
          <w:rFonts w:ascii="Calibri" w:hAnsi="Calibri" w:cs="Calibri"/>
        </w:rPr>
        <w:t xml:space="preserve">Within </w:t>
      </w:r>
      <w:r w:rsidR="00150744" w:rsidRPr="00677B47">
        <w:rPr>
          <w:rFonts w:ascii="Calibri" w:hAnsi="Calibri" w:cs="Calibri"/>
        </w:rPr>
        <w:t>~1</w:t>
      </w:r>
      <w:r w:rsidR="00D74B87" w:rsidRPr="00677B47">
        <w:rPr>
          <w:rFonts w:ascii="Calibri" w:hAnsi="Calibri" w:cs="Calibri"/>
        </w:rPr>
        <w:t xml:space="preserve"> </w:t>
      </w:r>
      <w:r w:rsidR="00150744" w:rsidRPr="00677B47">
        <w:rPr>
          <w:rFonts w:ascii="Calibri" w:hAnsi="Calibri" w:cs="Calibri"/>
        </w:rPr>
        <w:t xml:space="preserve">ms post-impact, the mouse’s head </w:t>
      </w:r>
      <w:r w:rsidR="00432109" w:rsidRPr="00677B47">
        <w:rPr>
          <w:rFonts w:ascii="Calibri" w:hAnsi="Calibri" w:cs="Calibri"/>
        </w:rPr>
        <w:t xml:space="preserve">has rapidly rotated </w:t>
      </w:r>
      <w:r w:rsidR="00150744" w:rsidRPr="00677B47">
        <w:rPr>
          <w:rFonts w:ascii="Calibri" w:hAnsi="Calibri" w:cs="Calibri"/>
        </w:rPr>
        <w:t xml:space="preserve">about the neck as it breaks through the </w:t>
      </w:r>
      <w:r w:rsidR="00CE149B" w:rsidRPr="00677B47">
        <w:rPr>
          <w:rFonts w:ascii="Calibri" w:hAnsi="Calibri" w:cs="Calibri"/>
        </w:rPr>
        <w:t>KimWipe</w:t>
      </w:r>
      <w:r w:rsidR="0016070C" w:rsidRPr="00677B47">
        <w:rPr>
          <w:rFonts w:ascii="Calibri" w:hAnsi="Calibri" w:cs="Calibri"/>
        </w:rPr>
        <w:t xml:space="preserve">. </w:t>
      </w:r>
      <w:r w:rsidR="007B1948" w:rsidRPr="007B1948">
        <w:rPr>
          <w:rFonts w:ascii="Calibri" w:hAnsi="Calibri" w:cs="Calibri"/>
        </w:rPr>
        <w:t>(</w:t>
      </w:r>
      <w:r w:rsidR="00642FEB" w:rsidRPr="00677B47">
        <w:rPr>
          <w:rFonts w:ascii="Calibri" w:hAnsi="Calibri" w:cs="Calibri"/>
          <w:b/>
        </w:rPr>
        <w:t>C</w:t>
      </w:r>
      <w:r w:rsidR="007B1948" w:rsidRPr="007B1948">
        <w:rPr>
          <w:rFonts w:ascii="Calibri" w:hAnsi="Calibri" w:cs="Calibri"/>
        </w:rPr>
        <w:t>)</w:t>
      </w:r>
      <w:r w:rsidR="00432109" w:rsidRPr="00677B47">
        <w:rPr>
          <w:rFonts w:ascii="Calibri" w:hAnsi="Calibri" w:cs="Calibri"/>
        </w:rPr>
        <w:t xml:space="preserve"> Within</w:t>
      </w:r>
      <w:r w:rsidR="0016070C" w:rsidRPr="00677B47">
        <w:rPr>
          <w:rFonts w:ascii="Calibri" w:hAnsi="Calibri" w:cs="Calibri"/>
        </w:rPr>
        <w:t xml:space="preserve"> ~5</w:t>
      </w:r>
      <w:r w:rsidR="00D74B87" w:rsidRPr="00677B47">
        <w:rPr>
          <w:rFonts w:ascii="Calibri" w:hAnsi="Calibri" w:cs="Calibri"/>
        </w:rPr>
        <w:t xml:space="preserve"> </w:t>
      </w:r>
      <w:r w:rsidR="0016070C" w:rsidRPr="00677B47">
        <w:rPr>
          <w:rFonts w:ascii="Calibri" w:hAnsi="Calibri" w:cs="Calibri"/>
        </w:rPr>
        <w:t>ms post-impact</w:t>
      </w:r>
      <w:r w:rsidR="00432109" w:rsidRPr="00677B47">
        <w:rPr>
          <w:rFonts w:ascii="Calibri" w:hAnsi="Calibri" w:cs="Calibri"/>
        </w:rPr>
        <w:t>,</w:t>
      </w:r>
      <w:r w:rsidR="0016070C" w:rsidRPr="00677B47">
        <w:rPr>
          <w:rFonts w:ascii="Calibri" w:hAnsi="Calibri" w:cs="Calibri"/>
        </w:rPr>
        <w:t xml:space="preserve"> the entire mouse has fallen and is hanging by its grasped tail.</w:t>
      </w:r>
    </w:p>
    <w:p w14:paraId="3DC27399" w14:textId="48C45E0B" w:rsidR="00960828" w:rsidRPr="00677B47" w:rsidRDefault="005D4433" w:rsidP="009B5312">
      <w:pPr>
        <w:contextualSpacing/>
        <w:rPr>
          <w:rFonts w:ascii="Calibri" w:hAnsi="Calibri" w:cs="Calibri"/>
          <w:color w:val="808080"/>
        </w:rPr>
      </w:pPr>
      <w:r w:rsidRPr="00677B47">
        <w:rPr>
          <w:rFonts w:ascii="Calibri" w:hAnsi="Calibri" w:cs="Calibri"/>
          <w:color w:val="808080"/>
        </w:rPr>
        <w:tab/>
      </w:r>
    </w:p>
    <w:p w14:paraId="67D97D2F" w14:textId="2E46E440" w:rsidR="0055257D" w:rsidRPr="00677B47" w:rsidRDefault="0055257D" w:rsidP="009B5312">
      <w:pPr>
        <w:contextualSpacing/>
        <w:rPr>
          <w:rFonts w:ascii="Calibri" w:hAnsi="Calibri" w:cs="Calibri"/>
          <w:color w:val="808080"/>
        </w:rPr>
      </w:pPr>
      <w:r w:rsidRPr="00677B47">
        <w:rPr>
          <w:rFonts w:ascii="Calibri" w:hAnsi="Calibri" w:cs="Calibri"/>
          <w:b/>
        </w:rPr>
        <w:t xml:space="preserve">Figure </w:t>
      </w:r>
      <w:r w:rsidR="00951C82" w:rsidRPr="00677B47">
        <w:rPr>
          <w:rFonts w:ascii="Calibri" w:hAnsi="Calibri" w:cs="Calibri"/>
          <w:b/>
        </w:rPr>
        <w:t>3</w:t>
      </w:r>
      <w:r w:rsidRPr="00677B47">
        <w:rPr>
          <w:rFonts w:ascii="Calibri" w:hAnsi="Calibri" w:cs="Calibri"/>
          <w:b/>
        </w:rPr>
        <w:t xml:space="preserve">: </w:t>
      </w:r>
      <w:r w:rsidR="0099611B" w:rsidRPr="00677B47">
        <w:rPr>
          <w:rFonts w:ascii="Calibri" w:hAnsi="Calibri" w:cs="Calibri"/>
          <w:b/>
        </w:rPr>
        <w:t>Data acquisition with</w:t>
      </w:r>
      <w:r w:rsidRPr="00677B47">
        <w:rPr>
          <w:rFonts w:ascii="Calibri" w:hAnsi="Calibri" w:cs="Calibri"/>
          <w:b/>
        </w:rPr>
        <w:t xml:space="preserve"> </w:t>
      </w:r>
      <w:r w:rsidR="005D4433" w:rsidRPr="00677B47">
        <w:rPr>
          <w:rFonts w:ascii="Calibri" w:hAnsi="Calibri" w:cs="Calibri"/>
          <w:b/>
        </w:rPr>
        <w:t>Diffuse Correlation Spectroscopy</w:t>
      </w:r>
      <w:r w:rsidR="00102C02" w:rsidRPr="00677B47">
        <w:rPr>
          <w:rFonts w:ascii="Calibri" w:hAnsi="Calibri" w:cs="Calibri"/>
          <w:b/>
        </w:rPr>
        <w:t xml:space="preserve">. </w:t>
      </w:r>
      <w:r w:rsidR="007B1948" w:rsidRPr="007B1948">
        <w:rPr>
          <w:rFonts w:ascii="Calibri" w:hAnsi="Calibri" w:cs="Calibri"/>
        </w:rPr>
        <w:t>(</w:t>
      </w:r>
      <w:r w:rsidR="00102C02" w:rsidRPr="00677B47">
        <w:rPr>
          <w:rFonts w:ascii="Calibri" w:hAnsi="Calibri" w:cs="Calibri"/>
          <w:b/>
        </w:rPr>
        <w:t>A</w:t>
      </w:r>
      <w:r w:rsidR="007B1948" w:rsidRPr="007B1948">
        <w:rPr>
          <w:rFonts w:ascii="Calibri" w:hAnsi="Calibri" w:cs="Calibri"/>
        </w:rPr>
        <w:t>)</w:t>
      </w:r>
      <w:r w:rsidR="00102C02" w:rsidRPr="00677B47">
        <w:rPr>
          <w:rFonts w:ascii="Calibri" w:hAnsi="Calibri" w:cs="Calibri"/>
        </w:rPr>
        <w:t xml:space="preserve"> </w:t>
      </w:r>
      <w:r w:rsidR="0099611B" w:rsidRPr="00677B47">
        <w:rPr>
          <w:rFonts w:ascii="Calibri" w:hAnsi="Calibri" w:cs="Calibri"/>
        </w:rPr>
        <w:t xml:space="preserve">An optical sensor is gently manually held over the right hemisphere to measure blood </w:t>
      </w:r>
      <w:r w:rsidR="00CB4469" w:rsidRPr="00677B47">
        <w:rPr>
          <w:rFonts w:ascii="Calibri" w:hAnsi="Calibri" w:cs="Calibri"/>
        </w:rPr>
        <w:t>flow in an anesthetized mouse</w:t>
      </w:r>
      <w:r w:rsidR="00444D0D" w:rsidRPr="00677B47">
        <w:rPr>
          <w:rFonts w:ascii="Calibri" w:hAnsi="Calibri" w:cs="Calibri"/>
        </w:rPr>
        <w:t>.</w:t>
      </w:r>
      <w:r w:rsidR="00CB4469" w:rsidRPr="00677B47">
        <w:rPr>
          <w:rFonts w:ascii="Calibri" w:hAnsi="Calibri" w:cs="Calibri"/>
        </w:rPr>
        <w:t xml:space="preserve"> </w:t>
      </w:r>
      <w:r w:rsidR="007B1948" w:rsidRPr="007B1948">
        <w:rPr>
          <w:rFonts w:ascii="Calibri" w:hAnsi="Calibri" w:cs="Calibri"/>
        </w:rPr>
        <w:t>(</w:t>
      </w:r>
      <w:r w:rsidR="00102C02" w:rsidRPr="00677B47">
        <w:rPr>
          <w:rFonts w:ascii="Calibri" w:hAnsi="Calibri" w:cs="Calibri"/>
          <w:b/>
        </w:rPr>
        <w:t>B</w:t>
      </w:r>
      <w:r w:rsidR="007B1948" w:rsidRPr="007B1948">
        <w:rPr>
          <w:rFonts w:ascii="Calibri" w:hAnsi="Calibri" w:cs="Calibri"/>
        </w:rPr>
        <w:t>)</w:t>
      </w:r>
      <w:r w:rsidR="00102C02" w:rsidRPr="00677B47">
        <w:rPr>
          <w:rFonts w:ascii="Calibri" w:hAnsi="Calibri" w:cs="Calibri"/>
        </w:rPr>
        <w:t xml:space="preserve"> </w:t>
      </w:r>
      <w:r w:rsidR="00CB4469" w:rsidRPr="00677B47">
        <w:rPr>
          <w:rFonts w:ascii="Calibri" w:hAnsi="Calibri" w:cs="Calibri"/>
        </w:rPr>
        <w:t>Representative</w:t>
      </w:r>
      <w:r w:rsidR="00102C02" w:rsidRPr="00677B47">
        <w:rPr>
          <w:rFonts w:ascii="Calibri" w:hAnsi="Calibri" w:cs="Calibri"/>
        </w:rPr>
        <w:t xml:space="preserve"> sensor placement on the right hemisphere. The outline of the sensor is represented as a dashed black rectangle</w:t>
      </w:r>
      <w:r w:rsidR="00CB4469" w:rsidRPr="00677B47">
        <w:rPr>
          <w:rFonts w:ascii="Calibri" w:hAnsi="Calibri" w:cs="Calibri"/>
        </w:rPr>
        <w:t xml:space="preserve">, and </w:t>
      </w:r>
      <w:r w:rsidR="001F49D7" w:rsidRPr="00677B47">
        <w:rPr>
          <w:rFonts w:ascii="Calibri" w:hAnsi="Calibri" w:cs="Calibri"/>
        </w:rPr>
        <w:t xml:space="preserve">the </w:t>
      </w:r>
      <w:r w:rsidR="00CB4469" w:rsidRPr="00677B47">
        <w:rPr>
          <w:rFonts w:ascii="Calibri" w:hAnsi="Calibri" w:cs="Calibri"/>
        </w:rPr>
        <w:t>location of the s</w:t>
      </w:r>
      <w:r w:rsidR="00102C02" w:rsidRPr="00677B47">
        <w:rPr>
          <w:rFonts w:ascii="Calibri" w:hAnsi="Calibri" w:cs="Calibri"/>
        </w:rPr>
        <w:t>ource and detector fiber</w:t>
      </w:r>
      <w:r w:rsidR="00CB4469" w:rsidRPr="00677B47">
        <w:rPr>
          <w:rFonts w:ascii="Calibri" w:hAnsi="Calibri" w:cs="Calibri"/>
        </w:rPr>
        <w:t xml:space="preserve">s </w:t>
      </w:r>
      <w:r w:rsidR="00102C02" w:rsidRPr="00677B47">
        <w:rPr>
          <w:rFonts w:ascii="Calibri" w:hAnsi="Calibri" w:cs="Calibri"/>
        </w:rPr>
        <w:t xml:space="preserve">are </w:t>
      </w:r>
      <w:r w:rsidR="00CB4469" w:rsidRPr="00677B47">
        <w:rPr>
          <w:rFonts w:ascii="Calibri" w:hAnsi="Calibri" w:cs="Calibri"/>
        </w:rPr>
        <w:t>in</w:t>
      </w:r>
      <w:r w:rsidR="00102C02" w:rsidRPr="00677B47">
        <w:rPr>
          <w:rFonts w:ascii="Calibri" w:hAnsi="Calibri" w:cs="Calibri"/>
        </w:rPr>
        <w:t xml:space="preserve"> red and blue circles, respectively.</w:t>
      </w:r>
      <w:r w:rsidR="00CB4469" w:rsidRPr="00677B47">
        <w:rPr>
          <w:rFonts w:ascii="Calibri" w:hAnsi="Calibri" w:cs="Calibri"/>
        </w:rPr>
        <w:t xml:space="preserve"> The sensor is placed such that the </w:t>
      </w:r>
      <w:r w:rsidR="007325E6" w:rsidRPr="00677B47">
        <w:rPr>
          <w:rFonts w:ascii="Calibri" w:hAnsi="Calibri" w:cs="Calibri"/>
        </w:rPr>
        <w:t>short edge</w:t>
      </w:r>
      <w:r w:rsidR="00CB4469" w:rsidRPr="00677B47">
        <w:rPr>
          <w:rFonts w:ascii="Calibri" w:hAnsi="Calibri" w:cs="Calibri"/>
        </w:rPr>
        <w:t xml:space="preserve"> of the sensor lines up with the back of the eye and the </w:t>
      </w:r>
      <w:r w:rsidR="007325E6" w:rsidRPr="00677B47">
        <w:rPr>
          <w:rFonts w:ascii="Calibri" w:hAnsi="Calibri" w:cs="Calibri"/>
        </w:rPr>
        <w:t xml:space="preserve">long </w:t>
      </w:r>
      <w:r w:rsidR="00D32ABF" w:rsidRPr="00677B47">
        <w:rPr>
          <w:rFonts w:ascii="Calibri" w:hAnsi="Calibri" w:cs="Calibri"/>
        </w:rPr>
        <w:t>edge of the sensor aligns with the midline</w:t>
      </w:r>
      <w:r w:rsidR="00CB4469" w:rsidRPr="00677B47">
        <w:rPr>
          <w:rFonts w:ascii="Calibri" w:hAnsi="Calibri" w:cs="Calibri"/>
        </w:rPr>
        <w:t xml:space="preserve">. </w:t>
      </w:r>
    </w:p>
    <w:p w14:paraId="1DA474A7" w14:textId="4361EB58" w:rsidR="00C35309" w:rsidRPr="00677B47" w:rsidRDefault="00C35309" w:rsidP="009B5312">
      <w:pPr>
        <w:contextualSpacing/>
        <w:rPr>
          <w:rFonts w:ascii="Calibri" w:hAnsi="Calibri" w:cs="Calibri"/>
        </w:rPr>
      </w:pPr>
    </w:p>
    <w:p w14:paraId="491BF8D1" w14:textId="3481BC3A" w:rsidR="00927525" w:rsidRPr="00677B47" w:rsidRDefault="006E6AC9" w:rsidP="009B5312">
      <w:pPr>
        <w:contextualSpacing/>
        <w:rPr>
          <w:rFonts w:ascii="Calibri" w:hAnsi="Calibri" w:cs="Calibri"/>
        </w:rPr>
      </w:pPr>
      <w:r w:rsidRPr="00677B47">
        <w:rPr>
          <w:rFonts w:ascii="Calibri" w:hAnsi="Calibri" w:cs="Calibri"/>
          <w:b/>
        </w:rPr>
        <w:t xml:space="preserve">Figure </w:t>
      </w:r>
      <w:r w:rsidR="00951C82" w:rsidRPr="00677B47">
        <w:rPr>
          <w:rFonts w:ascii="Calibri" w:hAnsi="Calibri" w:cs="Calibri"/>
          <w:b/>
        </w:rPr>
        <w:t>4</w:t>
      </w:r>
      <w:r w:rsidRPr="00677B47">
        <w:rPr>
          <w:rFonts w:ascii="Calibri" w:hAnsi="Calibri" w:cs="Calibri"/>
          <w:b/>
        </w:rPr>
        <w:t xml:space="preserve">: </w:t>
      </w:r>
      <w:r w:rsidR="005D4433" w:rsidRPr="00677B47">
        <w:rPr>
          <w:rFonts w:ascii="Calibri" w:hAnsi="Calibri" w:cs="Calibri"/>
          <w:b/>
        </w:rPr>
        <w:t>Diffuse Correlation Spectroscopy</w:t>
      </w:r>
      <w:r w:rsidR="0099611B" w:rsidRPr="00677B47">
        <w:rPr>
          <w:rFonts w:ascii="Calibri" w:hAnsi="Calibri" w:cs="Calibri"/>
          <w:b/>
        </w:rPr>
        <w:t xml:space="preserve"> data analysis</w:t>
      </w:r>
      <w:r w:rsidRPr="00677B47">
        <w:rPr>
          <w:rFonts w:ascii="Calibri" w:hAnsi="Calibri" w:cs="Calibri"/>
          <w:b/>
        </w:rPr>
        <w:t>.</w:t>
      </w:r>
      <w:r w:rsidRPr="00677B47">
        <w:rPr>
          <w:rFonts w:ascii="Calibri" w:hAnsi="Calibri" w:cs="Calibri"/>
        </w:rPr>
        <w:t xml:space="preserve"> </w:t>
      </w:r>
      <w:r w:rsidR="007B1948" w:rsidRPr="007B1948">
        <w:rPr>
          <w:rFonts w:ascii="Calibri" w:hAnsi="Calibri" w:cs="Calibri"/>
        </w:rPr>
        <w:t>(</w:t>
      </w:r>
      <w:r w:rsidR="00E35EB4" w:rsidRPr="00677B47">
        <w:rPr>
          <w:rFonts w:ascii="Calibri" w:hAnsi="Calibri" w:cs="Calibri"/>
          <w:b/>
        </w:rPr>
        <w:t>A</w:t>
      </w:r>
      <w:r w:rsidR="007B1948" w:rsidRPr="007B1948">
        <w:rPr>
          <w:rFonts w:ascii="Calibri" w:hAnsi="Calibri" w:cs="Calibri"/>
        </w:rPr>
        <w:t>)</w:t>
      </w:r>
      <w:r w:rsidR="00E35EB4" w:rsidRPr="00677B47">
        <w:rPr>
          <w:rFonts w:ascii="Calibri" w:hAnsi="Calibri" w:cs="Calibri"/>
        </w:rPr>
        <w:t xml:space="preserve"> </w:t>
      </w:r>
      <w:r w:rsidR="001F49D7" w:rsidRPr="00677B47">
        <w:rPr>
          <w:rFonts w:ascii="Calibri" w:hAnsi="Calibri" w:cs="Calibri"/>
        </w:rPr>
        <w:t>Representative measured i</w:t>
      </w:r>
      <w:r w:rsidR="000065F1" w:rsidRPr="00677B47">
        <w:rPr>
          <w:rFonts w:ascii="Calibri" w:hAnsi="Calibri" w:cs="Calibri"/>
        </w:rPr>
        <w:t>ntensity autocorrelation curves</w:t>
      </w:r>
      <w:r w:rsidR="001513FB" w:rsidRPr="00677B47">
        <w:rPr>
          <w:rFonts w:ascii="Calibri" w:hAnsi="Calibri" w:cs="Calibri"/>
        </w:rPr>
        <w:t xml:space="preserve">, </w:t>
      </w:r>
      <w:r w:rsidR="000065F1" w:rsidRPr="00677B47">
        <w:rPr>
          <w:rFonts w:ascii="Calibri" w:hAnsi="Calibri" w:cs="Calibri"/>
        </w:rPr>
        <w:t>g</w:t>
      </w:r>
      <w:r w:rsidR="000065F1" w:rsidRPr="00677B47">
        <w:rPr>
          <w:rFonts w:ascii="Calibri" w:hAnsi="Calibri" w:cs="Calibri"/>
          <w:vertAlign w:val="subscript"/>
        </w:rPr>
        <w:t>2</w:t>
      </w:r>
      <w:r w:rsidR="007B1948" w:rsidRPr="007B1948">
        <w:rPr>
          <w:rFonts w:ascii="Calibri" w:hAnsi="Calibri" w:cs="Calibri"/>
        </w:rPr>
        <w:t>(</w:t>
      </w:r>
      <w:r w:rsidR="000065F1" w:rsidRPr="00677B47">
        <w:rPr>
          <w:rFonts w:ascii="Calibri" w:hAnsi="Calibri" w:cs="Calibri"/>
        </w:rPr>
        <w:t>τ</w:t>
      </w:r>
      <w:r w:rsidR="007B1948" w:rsidRPr="007B1948">
        <w:rPr>
          <w:rFonts w:ascii="Calibri" w:hAnsi="Calibri" w:cs="Calibri"/>
        </w:rPr>
        <w:t>)</w:t>
      </w:r>
      <w:r w:rsidR="001513FB" w:rsidRPr="00677B47">
        <w:rPr>
          <w:rFonts w:ascii="Calibri" w:hAnsi="Calibri" w:cs="Calibri"/>
        </w:rPr>
        <w:t>,</w:t>
      </w:r>
      <w:r w:rsidR="00981AEE" w:rsidRPr="00677B47">
        <w:rPr>
          <w:rFonts w:ascii="Calibri" w:hAnsi="Calibri" w:cs="Calibri"/>
        </w:rPr>
        <w:t xml:space="preserve"> </w:t>
      </w:r>
      <w:r w:rsidR="001F49D7" w:rsidRPr="00677B47">
        <w:rPr>
          <w:rFonts w:ascii="Calibri" w:hAnsi="Calibri" w:cs="Calibri"/>
        </w:rPr>
        <w:t xml:space="preserve">at baseline, pre-injury </w:t>
      </w:r>
      <w:r w:rsidR="000065F1" w:rsidRPr="00677B47">
        <w:rPr>
          <w:rFonts w:ascii="Calibri" w:hAnsi="Calibri" w:cs="Calibri"/>
        </w:rPr>
        <w:t xml:space="preserve">baseline </w:t>
      </w:r>
      <w:r w:rsidR="007B1948" w:rsidRPr="007B1948">
        <w:rPr>
          <w:rFonts w:ascii="Calibri" w:hAnsi="Calibri" w:cs="Calibri"/>
        </w:rPr>
        <w:t>(</w:t>
      </w:r>
      <w:r w:rsidR="000065F1" w:rsidRPr="00677B47">
        <w:rPr>
          <w:rFonts w:ascii="Calibri" w:hAnsi="Calibri" w:cs="Calibri"/>
        </w:rPr>
        <w:t>green</w:t>
      </w:r>
      <w:r w:rsidR="007B1948" w:rsidRPr="007B1948">
        <w:rPr>
          <w:rFonts w:ascii="Calibri" w:hAnsi="Calibri" w:cs="Calibri"/>
        </w:rPr>
        <w:t>)</w:t>
      </w:r>
      <w:r w:rsidR="000065F1" w:rsidRPr="00677B47">
        <w:rPr>
          <w:rFonts w:ascii="Calibri" w:hAnsi="Calibri" w:cs="Calibri"/>
        </w:rPr>
        <w:t xml:space="preserve"> and </w:t>
      </w:r>
      <w:r w:rsidR="001F49D7" w:rsidRPr="00677B47">
        <w:rPr>
          <w:rFonts w:ascii="Calibri" w:hAnsi="Calibri" w:cs="Calibri"/>
        </w:rPr>
        <w:t>4</w:t>
      </w:r>
      <w:r w:rsidR="00D74B87" w:rsidRPr="00677B47">
        <w:rPr>
          <w:rFonts w:ascii="Calibri" w:hAnsi="Calibri" w:cs="Calibri"/>
        </w:rPr>
        <w:t xml:space="preserve"> </w:t>
      </w:r>
      <w:r w:rsidR="009D2852">
        <w:rPr>
          <w:rFonts w:ascii="Calibri" w:hAnsi="Calibri" w:cs="Calibri"/>
        </w:rPr>
        <w:t>h</w:t>
      </w:r>
      <w:r w:rsidR="001F49D7" w:rsidRPr="00677B47">
        <w:rPr>
          <w:rFonts w:ascii="Calibri" w:hAnsi="Calibri" w:cs="Calibri"/>
        </w:rPr>
        <w:t xml:space="preserve"> </w:t>
      </w:r>
      <w:r w:rsidR="000065F1" w:rsidRPr="00677B47">
        <w:rPr>
          <w:rFonts w:ascii="Calibri" w:hAnsi="Calibri" w:cs="Calibri"/>
        </w:rPr>
        <w:t xml:space="preserve">after 5 closed head injuries </w:t>
      </w:r>
      <w:r w:rsidR="001F49D7" w:rsidRPr="00677B47">
        <w:rPr>
          <w:rFonts w:ascii="Calibri" w:hAnsi="Calibri" w:cs="Calibri"/>
        </w:rPr>
        <w:t xml:space="preserve">spaced once daily </w:t>
      </w:r>
      <w:r w:rsidR="007B1948" w:rsidRPr="007B1948">
        <w:rPr>
          <w:rFonts w:ascii="Calibri" w:hAnsi="Calibri" w:cs="Calibri"/>
        </w:rPr>
        <w:t>(</w:t>
      </w:r>
      <w:r w:rsidR="000065F1" w:rsidRPr="00677B47">
        <w:rPr>
          <w:rFonts w:ascii="Calibri" w:hAnsi="Calibri" w:cs="Calibri"/>
        </w:rPr>
        <w:t>purple</w:t>
      </w:r>
      <w:r w:rsidR="007B1948" w:rsidRPr="007B1948">
        <w:rPr>
          <w:rFonts w:ascii="Calibri" w:hAnsi="Calibri" w:cs="Calibri"/>
        </w:rPr>
        <w:t>)</w:t>
      </w:r>
      <w:r w:rsidR="000065F1" w:rsidRPr="00677B47">
        <w:rPr>
          <w:rFonts w:ascii="Calibri" w:hAnsi="Calibri" w:cs="Calibri"/>
        </w:rPr>
        <w:t xml:space="preserve">. </w:t>
      </w:r>
      <w:r w:rsidR="001F49D7" w:rsidRPr="00677B47">
        <w:rPr>
          <w:rFonts w:ascii="Calibri" w:hAnsi="Calibri" w:cs="Calibri"/>
        </w:rPr>
        <w:t xml:space="preserve">The right shift in the curve from pre- to post-injury reflects a decrease in blood flow. </w:t>
      </w:r>
      <w:r w:rsidR="007B1948" w:rsidRPr="007B1948">
        <w:rPr>
          <w:rFonts w:ascii="Calibri" w:hAnsi="Calibri" w:cs="Calibri"/>
        </w:rPr>
        <w:t>(</w:t>
      </w:r>
      <w:r w:rsidR="001F49D7" w:rsidRPr="00677B47">
        <w:rPr>
          <w:rFonts w:ascii="Calibri" w:hAnsi="Calibri" w:cs="Calibri"/>
          <w:b/>
          <w:bCs/>
        </w:rPr>
        <w:t>B</w:t>
      </w:r>
      <w:r w:rsidR="007B1948" w:rsidRPr="007B1948">
        <w:rPr>
          <w:rFonts w:ascii="Calibri" w:hAnsi="Calibri" w:cs="Calibri"/>
        </w:rPr>
        <w:t>)</w:t>
      </w:r>
      <w:r w:rsidR="000065F1" w:rsidRPr="00677B47">
        <w:rPr>
          <w:rFonts w:ascii="Calibri" w:hAnsi="Calibri" w:cs="Calibri"/>
        </w:rPr>
        <w:t xml:space="preserve"> </w:t>
      </w:r>
      <w:r w:rsidR="00927525" w:rsidRPr="00677B47">
        <w:rPr>
          <w:rFonts w:ascii="Calibri" w:hAnsi="Calibri" w:cs="Calibri"/>
        </w:rPr>
        <w:t>g</w:t>
      </w:r>
      <w:r w:rsidR="00927525" w:rsidRPr="00677B47">
        <w:rPr>
          <w:rFonts w:ascii="Calibri" w:hAnsi="Calibri" w:cs="Calibri"/>
          <w:vertAlign w:val="subscript"/>
        </w:rPr>
        <w:t>2</w:t>
      </w:r>
      <w:r w:rsidR="007B1948" w:rsidRPr="007B1948">
        <w:rPr>
          <w:rFonts w:ascii="Calibri" w:hAnsi="Calibri" w:cs="Calibri"/>
        </w:rPr>
        <w:t>(</w:t>
      </w:r>
      <w:r w:rsidR="00927525" w:rsidRPr="00677B47">
        <w:rPr>
          <w:rFonts w:ascii="Calibri" w:hAnsi="Calibri" w:cs="Calibri"/>
        </w:rPr>
        <w:t>τ</w:t>
      </w:r>
      <w:r w:rsidR="007B1948" w:rsidRPr="007B1948">
        <w:rPr>
          <w:rFonts w:ascii="Calibri" w:hAnsi="Calibri" w:cs="Calibri"/>
        </w:rPr>
        <w:t>)</w:t>
      </w:r>
      <w:r w:rsidR="00927525" w:rsidRPr="00677B47">
        <w:rPr>
          <w:rFonts w:ascii="Calibri" w:hAnsi="Calibri" w:cs="Calibri"/>
        </w:rPr>
        <w:t xml:space="preserve"> data is acquired at 1</w:t>
      </w:r>
      <w:r w:rsidR="00D74B87" w:rsidRPr="00677B47">
        <w:rPr>
          <w:rFonts w:ascii="Calibri" w:hAnsi="Calibri" w:cs="Calibri"/>
        </w:rPr>
        <w:t xml:space="preserve"> </w:t>
      </w:r>
      <w:r w:rsidR="00927525" w:rsidRPr="00677B47">
        <w:rPr>
          <w:rFonts w:ascii="Calibri" w:hAnsi="Calibri" w:cs="Calibri"/>
        </w:rPr>
        <w:t>Hz for 5</w:t>
      </w:r>
      <w:r w:rsidR="00D74B87" w:rsidRPr="00677B47">
        <w:rPr>
          <w:rFonts w:ascii="Calibri" w:hAnsi="Calibri" w:cs="Calibri"/>
        </w:rPr>
        <w:t xml:space="preserve"> </w:t>
      </w:r>
      <w:r w:rsidR="00927525" w:rsidRPr="00677B47">
        <w:rPr>
          <w:rFonts w:ascii="Calibri" w:hAnsi="Calibri" w:cs="Calibri"/>
        </w:rPr>
        <w:t xml:space="preserve">s per hemisphere and repeated 3x/hemisphere. </w:t>
      </w:r>
      <w:r w:rsidR="001F49D7" w:rsidRPr="00677B47">
        <w:rPr>
          <w:rFonts w:ascii="Calibri" w:hAnsi="Calibri" w:cs="Calibri"/>
        </w:rPr>
        <w:t>Each measur</w:t>
      </w:r>
      <w:r w:rsidR="000065F1" w:rsidRPr="00677B47">
        <w:rPr>
          <w:rFonts w:ascii="Calibri" w:hAnsi="Calibri" w:cs="Calibri"/>
        </w:rPr>
        <w:t>ed g</w:t>
      </w:r>
      <w:r w:rsidR="000065F1" w:rsidRPr="00677B47">
        <w:rPr>
          <w:rFonts w:ascii="Calibri" w:hAnsi="Calibri" w:cs="Calibri"/>
          <w:vertAlign w:val="subscript"/>
        </w:rPr>
        <w:t>2</w:t>
      </w:r>
      <w:r w:rsidR="007B1948" w:rsidRPr="007B1948">
        <w:rPr>
          <w:rFonts w:ascii="Calibri" w:hAnsi="Calibri" w:cs="Calibri"/>
        </w:rPr>
        <w:t>(</w:t>
      </w:r>
      <w:r w:rsidR="001F49D7" w:rsidRPr="00677B47">
        <w:rPr>
          <w:rFonts w:ascii="Calibri" w:hAnsi="Calibri" w:cs="Calibri"/>
        </w:rPr>
        <w:t>τ</w:t>
      </w:r>
      <w:r w:rsidR="007B1948" w:rsidRPr="007B1948">
        <w:rPr>
          <w:rFonts w:ascii="Calibri" w:hAnsi="Calibri" w:cs="Calibri"/>
        </w:rPr>
        <w:t>)</w:t>
      </w:r>
      <w:r w:rsidR="000065F1" w:rsidRPr="00677B47">
        <w:rPr>
          <w:rFonts w:ascii="Calibri" w:hAnsi="Calibri" w:cs="Calibri"/>
        </w:rPr>
        <w:t xml:space="preserve"> curve</w:t>
      </w:r>
      <w:r w:rsidR="001F49D7" w:rsidRPr="00677B47">
        <w:rPr>
          <w:rFonts w:ascii="Calibri" w:hAnsi="Calibri" w:cs="Calibri"/>
        </w:rPr>
        <w:t xml:space="preserve"> is</w:t>
      </w:r>
      <w:r w:rsidR="000065F1" w:rsidRPr="00677B47">
        <w:rPr>
          <w:rFonts w:ascii="Calibri" w:hAnsi="Calibri" w:cs="Calibri"/>
        </w:rPr>
        <w:t xml:space="preserve"> fit to the semi-infinite solution to the correlation diffusion equation </w:t>
      </w:r>
      <w:r w:rsidR="007325E6" w:rsidRPr="00677B47">
        <w:rPr>
          <w:rFonts w:ascii="Calibri" w:hAnsi="Calibri" w:cs="Calibri"/>
        </w:rPr>
        <w:t>for a</w:t>
      </w:r>
      <w:r w:rsidR="000065F1" w:rsidRPr="00677B47">
        <w:rPr>
          <w:rFonts w:ascii="Calibri" w:hAnsi="Calibri" w:cs="Calibri"/>
        </w:rPr>
        <w:t xml:space="preserve"> </w:t>
      </w:r>
      <w:r w:rsidR="001F49D7" w:rsidRPr="00677B47">
        <w:rPr>
          <w:rFonts w:ascii="Calibri" w:hAnsi="Calibri" w:cs="Calibri"/>
        </w:rPr>
        <w:t xml:space="preserve">cerebral </w:t>
      </w:r>
      <w:r w:rsidR="000065F1" w:rsidRPr="00677B47">
        <w:rPr>
          <w:rFonts w:ascii="Calibri" w:hAnsi="Calibri" w:cs="Calibri"/>
        </w:rPr>
        <w:t xml:space="preserve">blood flow index </w:t>
      </w:r>
      <w:r w:rsidR="007B1948" w:rsidRPr="007B1948">
        <w:rPr>
          <w:rFonts w:ascii="Calibri" w:hAnsi="Calibri" w:cs="Calibri"/>
        </w:rPr>
        <w:t>(</w:t>
      </w:r>
      <w:r w:rsidR="001F49D7" w:rsidRPr="00677B47">
        <w:rPr>
          <w:rFonts w:ascii="Calibri" w:hAnsi="Calibri" w:cs="Calibri"/>
        </w:rPr>
        <w:t>C</w:t>
      </w:r>
      <w:r w:rsidR="000065F1" w:rsidRPr="00677B47">
        <w:rPr>
          <w:rFonts w:ascii="Calibri" w:hAnsi="Calibri" w:cs="Calibri"/>
        </w:rPr>
        <w:t>BF</w:t>
      </w:r>
      <w:r w:rsidR="001F49D7" w:rsidRPr="00677B47">
        <w:rPr>
          <w:rFonts w:ascii="Calibri" w:hAnsi="Calibri" w:cs="Calibri"/>
          <w:vertAlign w:val="subscript"/>
        </w:rPr>
        <w:t>i</w:t>
      </w:r>
      <w:r w:rsidR="007B1948" w:rsidRPr="007B1948">
        <w:rPr>
          <w:rFonts w:ascii="Calibri" w:hAnsi="Calibri" w:cs="Calibri"/>
        </w:rPr>
        <w:t>)</w:t>
      </w:r>
      <w:r w:rsidR="00CE05C3" w:rsidRPr="00677B47">
        <w:rPr>
          <w:rFonts w:ascii="Calibri" w:hAnsi="Calibri" w:cs="Calibri"/>
        </w:rPr>
        <w:t>.</w:t>
      </w:r>
      <w:r w:rsidR="000065F1" w:rsidRPr="00677B47">
        <w:rPr>
          <w:rFonts w:ascii="Calibri" w:hAnsi="Calibri" w:cs="Calibri"/>
        </w:rPr>
        <w:t xml:space="preserve"> </w:t>
      </w:r>
      <w:r w:rsidR="007B1948" w:rsidRPr="007B1948">
        <w:rPr>
          <w:rFonts w:ascii="Calibri" w:hAnsi="Calibri" w:cs="Calibri"/>
        </w:rPr>
        <w:t>(</w:t>
      </w:r>
      <w:r w:rsidR="001F49D7" w:rsidRPr="00677B47">
        <w:rPr>
          <w:rFonts w:ascii="Calibri" w:hAnsi="Calibri" w:cs="Calibri"/>
          <w:b/>
        </w:rPr>
        <w:t>C</w:t>
      </w:r>
      <w:r w:rsidR="007B1948" w:rsidRPr="007B1948">
        <w:rPr>
          <w:rFonts w:ascii="Calibri" w:hAnsi="Calibri" w:cs="Calibri"/>
        </w:rPr>
        <w:t>)</w:t>
      </w:r>
      <w:r w:rsidR="0055257D" w:rsidRPr="00677B47">
        <w:rPr>
          <w:rFonts w:ascii="Calibri" w:hAnsi="Calibri" w:cs="Calibri"/>
        </w:rPr>
        <w:t xml:space="preserve"> </w:t>
      </w:r>
      <w:r w:rsidR="00927525" w:rsidRPr="00677B47">
        <w:rPr>
          <w:rFonts w:ascii="Calibri" w:hAnsi="Calibri" w:cs="Calibri"/>
        </w:rPr>
        <w:t>C</w:t>
      </w:r>
      <w:r w:rsidR="0055257D" w:rsidRPr="00677B47">
        <w:rPr>
          <w:rFonts w:ascii="Calibri" w:hAnsi="Calibri" w:cs="Calibri"/>
        </w:rPr>
        <w:t>BF</w:t>
      </w:r>
      <w:r w:rsidR="00927525" w:rsidRPr="00677B47">
        <w:rPr>
          <w:rFonts w:ascii="Calibri" w:hAnsi="Calibri" w:cs="Calibri"/>
          <w:vertAlign w:val="subscript"/>
        </w:rPr>
        <w:t>i</w:t>
      </w:r>
      <w:r w:rsidR="0055257D" w:rsidRPr="00677B47">
        <w:rPr>
          <w:rFonts w:ascii="Calibri" w:hAnsi="Calibri" w:cs="Calibri"/>
        </w:rPr>
        <w:t xml:space="preserve"> values </w:t>
      </w:r>
      <w:r w:rsidR="00927525" w:rsidRPr="00677B47">
        <w:rPr>
          <w:rFonts w:ascii="Calibri" w:hAnsi="Calibri" w:cs="Calibri"/>
        </w:rPr>
        <w:t xml:space="preserve">across </w:t>
      </w:r>
      <w:r w:rsidR="00927525" w:rsidRPr="00677B47">
        <w:rPr>
          <w:rFonts w:ascii="Calibri" w:hAnsi="Calibri" w:cs="Calibri"/>
        </w:rPr>
        <w:lastRenderedPageBreak/>
        <w:t xml:space="preserve">all frames and repetitions are </w:t>
      </w:r>
      <w:r w:rsidR="0055257D" w:rsidRPr="00677B47">
        <w:rPr>
          <w:rFonts w:ascii="Calibri" w:hAnsi="Calibri" w:cs="Calibri"/>
        </w:rPr>
        <w:t xml:space="preserve">averaged to obtain </w:t>
      </w:r>
      <w:r w:rsidR="00927525" w:rsidRPr="00677B47">
        <w:rPr>
          <w:rFonts w:ascii="Calibri" w:hAnsi="Calibri" w:cs="Calibri"/>
        </w:rPr>
        <w:t xml:space="preserve">mean </w:t>
      </w:r>
      <w:r w:rsidR="0055257D" w:rsidRPr="00677B47">
        <w:rPr>
          <w:rFonts w:ascii="Calibri" w:hAnsi="Calibri" w:cs="Calibri"/>
        </w:rPr>
        <w:t>cerebral blood flow index for each hemisphere</w:t>
      </w:r>
      <w:r w:rsidR="000065F1" w:rsidRPr="00677B47">
        <w:rPr>
          <w:rFonts w:ascii="Calibri" w:hAnsi="Calibri" w:cs="Calibri"/>
        </w:rPr>
        <w:t>.</w:t>
      </w:r>
      <w:r w:rsidR="000065F1" w:rsidRPr="00677B47" w:rsidDel="000065F1">
        <w:rPr>
          <w:rFonts w:ascii="Calibri" w:hAnsi="Calibri" w:cs="Calibri"/>
        </w:rPr>
        <w:t xml:space="preserve"> </w:t>
      </w:r>
    </w:p>
    <w:p w14:paraId="51255513" w14:textId="1E45F5BD" w:rsidR="00584C8D" w:rsidRPr="00677B47" w:rsidRDefault="00584C8D" w:rsidP="009B5312">
      <w:pPr>
        <w:contextualSpacing/>
        <w:rPr>
          <w:rFonts w:ascii="Calibri" w:hAnsi="Calibri" w:cs="Calibri"/>
          <w:color w:val="808080"/>
        </w:rPr>
      </w:pPr>
    </w:p>
    <w:p w14:paraId="7CF12268" w14:textId="009C961A" w:rsidR="00E05C87" w:rsidRPr="00677B47" w:rsidRDefault="00E05C87" w:rsidP="009B5312">
      <w:pPr>
        <w:contextualSpacing/>
        <w:rPr>
          <w:rFonts w:ascii="Calibri" w:hAnsi="Calibri" w:cs="Calibri"/>
          <w:color w:val="808080"/>
        </w:rPr>
      </w:pPr>
      <w:r w:rsidRPr="00677B47">
        <w:rPr>
          <w:rFonts w:ascii="Calibri" w:hAnsi="Calibri" w:cs="Calibri"/>
          <w:b/>
        </w:rPr>
        <w:t>Figure 5: Mouse brain microdissection.</w:t>
      </w:r>
      <w:r w:rsidRPr="00677B47">
        <w:rPr>
          <w:rFonts w:ascii="Calibri" w:hAnsi="Calibri" w:cs="Calibri"/>
        </w:rPr>
        <w:t xml:space="preserve"> </w:t>
      </w:r>
      <w:r w:rsidR="007B1948" w:rsidRPr="007B1948">
        <w:rPr>
          <w:rFonts w:ascii="Calibri" w:hAnsi="Calibri" w:cs="Calibri"/>
        </w:rPr>
        <w:t>(</w:t>
      </w:r>
      <w:r w:rsidRPr="00677B47">
        <w:rPr>
          <w:rFonts w:ascii="Calibri" w:hAnsi="Calibri" w:cs="Calibri"/>
          <w:b/>
          <w:bCs/>
        </w:rPr>
        <w:t>A</w:t>
      </w:r>
      <w:r w:rsidR="007B1948" w:rsidRPr="007B1948">
        <w:rPr>
          <w:rFonts w:ascii="Calibri" w:hAnsi="Calibri" w:cs="Calibri"/>
        </w:rPr>
        <w:t>)</w:t>
      </w:r>
      <w:r w:rsidRPr="00677B47">
        <w:rPr>
          <w:rFonts w:ascii="Calibri" w:hAnsi="Calibri" w:cs="Calibri"/>
        </w:rPr>
        <w:t xml:space="preserve"> After the brain is extracted from mouse, it is bisected along dashed line. The left hemisphere is fixed for histology, and the right hemisphere is microdissected for pathology. </w:t>
      </w:r>
      <w:r w:rsidR="007B1948" w:rsidRPr="007B1948">
        <w:rPr>
          <w:rFonts w:ascii="Calibri" w:hAnsi="Calibri" w:cs="Calibri"/>
        </w:rPr>
        <w:t>(</w:t>
      </w:r>
      <w:r w:rsidRPr="00677B47">
        <w:rPr>
          <w:rFonts w:ascii="Calibri" w:hAnsi="Calibri" w:cs="Calibri"/>
          <w:b/>
          <w:bCs/>
        </w:rPr>
        <w:t>B</w:t>
      </w:r>
      <w:r w:rsidR="007B1948" w:rsidRPr="007B1948">
        <w:rPr>
          <w:rFonts w:ascii="Calibri" w:hAnsi="Calibri" w:cs="Calibri"/>
        </w:rPr>
        <w:t>)</w:t>
      </w:r>
      <w:r w:rsidRPr="00677B47">
        <w:rPr>
          <w:rFonts w:ascii="Calibri" w:hAnsi="Calibri" w:cs="Calibri"/>
        </w:rPr>
        <w:t xml:space="preserve"> Sagittal view of the cortex of the right hemisphere. The right hemisphere is microdissected into corresponding color-coded regions. For analysis of freeze-sensitive proteins, it is optimal to sub-divide tissue sections prior to flash freezing.</w:t>
      </w:r>
    </w:p>
    <w:p w14:paraId="4781DA46" w14:textId="77777777" w:rsidR="00E04E85" w:rsidRPr="00677B47" w:rsidRDefault="00E04E85" w:rsidP="009B5312">
      <w:pPr>
        <w:contextualSpacing/>
        <w:rPr>
          <w:rFonts w:ascii="Calibri" w:hAnsi="Calibri" w:cs="Calibri"/>
          <w:color w:val="808080" w:themeColor="background1" w:themeShade="80"/>
        </w:rPr>
      </w:pPr>
    </w:p>
    <w:p w14:paraId="146D1634" w14:textId="4AD0789F" w:rsidR="00E04E85" w:rsidRPr="00677B47" w:rsidRDefault="00336C6E" w:rsidP="009B5312">
      <w:pPr>
        <w:contextualSpacing/>
        <w:rPr>
          <w:rFonts w:ascii="Calibri" w:hAnsi="Calibri" w:cs="Calibri"/>
          <w:b/>
          <w:bCs/>
        </w:rPr>
      </w:pPr>
      <w:r w:rsidRPr="00677B47">
        <w:rPr>
          <w:rFonts w:ascii="Calibri" w:hAnsi="Calibri" w:cs="Calibri"/>
          <w:b/>
          <w:bCs/>
        </w:rPr>
        <w:t xml:space="preserve">Figure </w:t>
      </w:r>
      <w:r w:rsidR="00E05C87" w:rsidRPr="00677B47">
        <w:rPr>
          <w:rFonts w:ascii="Calibri" w:hAnsi="Calibri" w:cs="Calibri"/>
          <w:b/>
          <w:bCs/>
        </w:rPr>
        <w:t>6</w:t>
      </w:r>
      <w:r w:rsidR="0046151E" w:rsidRPr="00677B47">
        <w:rPr>
          <w:rFonts w:ascii="Calibri" w:hAnsi="Calibri" w:cs="Calibri"/>
          <w:b/>
          <w:bCs/>
        </w:rPr>
        <w:t xml:space="preserve">. Illustration of Luminex procedure. </w:t>
      </w:r>
      <w:r w:rsidR="007B1948" w:rsidRPr="007B1948">
        <w:rPr>
          <w:rFonts w:ascii="Calibri" w:hAnsi="Calibri" w:cs="Calibri"/>
        </w:rPr>
        <w:t>(</w:t>
      </w:r>
      <w:r w:rsidR="001D4203" w:rsidRPr="00677B47">
        <w:rPr>
          <w:rFonts w:ascii="Calibri" w:hAnsi="Calibri" w:cs="Calibri"/>
          <w:b/>
          <w:bCs/>
        </w:rPr>
        <w:t>A</w:t>
      </w:r>
      <w:r w:rsidR="007B1948" w:rsidRPr="007B1948">
        <w:rPr>
          <w:rFonts w:ascii="Calibri" w:hAnsi="Calibri" w:cs="Calibri"/>
        </w:rPr>
        <w:t>)</w:t>
      </w:r>
      <w:r w:rsidR="001D4203" w:rsidRPr="00677B47">
        <w:rPr>
          <w:rFonts w:ascii="Calibri" w:hAnsi="Calibri" w:cs="Calibri"/>
        </w:rPr>
        <w:t xml:space="preserve"> Add samples to fluorescent</w:t>
      </w:r>
      <w:r w:rsidR="00CE149B" w:rsidRPr="00677B47">
        <w:rPr>
          <w:rFonts w:ascii="Calibri" w:hAnsi="Calibri" w:cs="Calibri"/>
        </w:rPr>
        <w:t>ly tagged</w:t>
      </w:r>
      <w:r w:rsidR="001D4203" w:rsidRPr="00677B47">
        <w:rPr>
          <w:rFonts w:ascii="Calibri" w:hAnsi="Calibri" w:cs="Calibri"/>
        </w:rPr>
        <w:t xml:space="preserve"> beads. Beads are pre-coated with</w:t>
      </w:r>
      <w:r w:rsidR="00581369" w:rsidRPr="00677B47">
        <w:rPr>
          <w:rFonts w:ascii="Calibri" w:hAnsi="Calibri" w:cs="Calibri"/>
        </w:rPr>
        <w:t xml:space="preserve"> a</w:t>
      </w:r>
      <w:r w:rsidR="001D4203" w:rsidRPr="00677B47">
        <w:rPr>
          <w:rFonts w:ascii="Calibri" w:hAnsi="Calibri" w:cs="Calibri"/>
        </w:rPr>
        <w:t xml:space="preserve"> specific capture antibody </w:t>
      </w:r>
      <w:r w:rsidR="00CE149B" w:rsidRPr="00677B47">
        <w:rPr>
          <w:rFonts w:ascii="Calibri" w:hAnsi="Calibri" w:cs="Calibri"/>
        </w:rPr>
        <w:t>for each protein of</w:t>
      </w:r>
      <w:r w:rsidR="001D4203" w:rsidRPr="00677B47">
        <w:rPr>
          <w:rFonts w:ascii="Calibri" w:hAnsi="Calibri" w:cs="Calibri"/>
        </w:rPr>
        <w:t xml:space="preserve"> interest</w:t>
      </w:r>
      <w:r w:rsidR="00CE149B" w:rsidRPr="00677B47">
        <w:rPr>
          <w:rFonts w:ascii="Calibri" w:hAnsi="Calibri" w:cs="Calibri"/>
        </w:rPr>
        <w:t>.</w:t>
      </w:r>
      <w:r w:rsidR="001D4203" w:rsidRPr="00677B47">
        <w:rPr>
          <w:rFonts w:ascii="Calibri" w:hAnsi="Calibri" w:cs="Calibri"/>
        </w:rPr>
        <w:t xml:space="preserve"> </w:t>
      </w:r>
      <w:r w:rsidR="007B1948" w:rsidRPr="007B1948">
        <w:rPr>
          <w:rFonts w:ascii="Calibri" w:hAnsi="Calibri" w:cs="Calibri"/>
        </w:rPr>
        <w:t>(</w:t>
      </w:r>
      <w:r w:rsidR="001D4203" w:rsidRPr="00677B47">
        <w:rPr>
          <w:rFonts w:ascii="Calibri" w:hAnsi="Calibri" w:cs="Calibri"/>
          <w:b/>
          <w:bCs/>
        </w:rPr>
        <w:t>B</w:t>
      </w:r>
      <w:r w:rsidR="007B1948" w:rsidRPr="007B1948">
        <w:rPr>
          <w:rFonts w:ascii="Calibri" w:hAnsi="Calibri" w:cs="Calibri"/>
        </w:rPr>
        <w:t>)</w:t>
      </w:r>
      <w:r w:rsidR="001D4203" w:rsidRPr="00677B47">
        <w:rPr>
          <w:rFonts w:ascii="Calibri" w:hAnsi="Calibri" w:cs="Calibri"/>
        </w:rPr>
        <w:t xml:space="preserve"> Add biotinylated detection antibodies. Biotin-detection antibody will bind to the analyte of interest and form an antibody-antigen sandwich. </w:t>
      </w:r>
      <w:r w:rsidR="007B1948" w:rsidRPr="007B1948">
        <w:rPr>
          <w:rFonts w:ascii="Calibri" w:hAnsi="Calibri" w:cs="Calibri"/>
        </w:rPr>
        <w:t>(</w:t>
      </w:r>
      <w:r w:rsidR="001D4203" w:rsidRPr="00677B47">
        <w:rPr>
          <w:rFonts w:ascii="Calibri" w:hAnsi="Calibri" w:cs="Calibri"/>
          <w:b/>
          <w:bCs/>
        </w:rPr>
        <w:t>C</w:t>
      </w:r>
      <w:r w:rsidR="007B1948" w:rsidRPr="007B1948">
        <w:rPr>
          <w:rFonts w:ascii="Calibri" w:hAnsi="Calibri" w:cs="Calibri"/>
        </w:rPr>
        <w:t>)</w:t>
      </w:r>
      <w:r w:rsidR="001D4203" w:rsidRPr="00677B47">
        <w:rPr>
          <w:rFonts w:ascii="Calibri" w:hAnsi="Calibri" w:cs="Calibri"/>
        </w:rPr>
        <w:t xml:space="preserve"> Add </w:t>
      </w:r>
      <w:r w:rsidR="003E4B7C" w:rsidRPr="00677B47">
        <w:rPr>
          <w:rFonts w:ascii="Calibri" w:hAnsi="Calibri" w:cs="Calibri"/>
        </w:rPr>
        <w:t>p</w:t>
      </w:r>
      <w:r w:rsidR="001D4203" w:rsidRPr="00677B47">
        <w:rPr>
          <w:rFonts w:ascii="Calibri" w:hAnsi="Calibri" w:cs="Calibri"/>
        </w:rPr>
        <w:t xml:space="preserve">hycoerythrin </w:t>
      </w:r>
      <w:r w:rsidR="007B1948" w:rsidRPr="007B1948">
        <w:rPr>
          <w:rFonts w:ascii="Calibri" w:hAnsi="Calibri" w:cs="Calibri"/>
        </w:rPr>
        <w:t>(</w:t>
      </w:r>
      <w:r w:rsidR="001D4203" w:rsidRPr="00677B47">
        <w:rPr>
          <w:rFonts w:ascii="Calibri" w:hAnsi="Calibri" w:cs="Calibri"/>
        </w:rPr>
        <w:t>PE</w:t>
      </w:r>
      <w:r w:rsidR="007B1948" w:rsidRPr="007B1948">
        <w:rPr>
          <w:rFonts w:ascii="Calibri" w:hAnsi="Calibri" w:cs="Calibri"/>
        </w:rPr>
        <w:t>)</w:t>
      </w:r>
      <w:r w:rsidR="001D4203" w:rsidRPr="00677B47">
        <w:rPr>
          <w:rFonts w:ascii="Calibri" w:hAnsi="Calibri" w:cs="Calibri"/>
        </w:rPr>
        <w:t xml:space="preserve">-conjugated streptavidin </w:t>
      </w:r>
      <w:r w:rsidR="007B1948" w:rsidRPr="007B1948">
        <w:rPr>
          <w:rFonts w:ascii="Calibri" w:hAnsi="Calibri" w:cs="Calibri"/>
        </w:rPr>
        <w:t>(</w:t>
      </w:r>
      <w:r w:rsidR="001D4203" w:rsidRPr="00677B47">
        <w:rPr>
          <w:rFonts w:ascii="Calibri" w:hAnsi="Calibri" w:cs="Calibri"/>
        </w:rPr>
        <w:t>SAPE</w:t>
      </w:r>
      <w:r w:rsidR="007B1948" w:rsidRPr="007B1948">
        <w:rPr>
          <w:rFonts w:ascii="Calibri" w:hAnsi="Calibri" w:cs="Calibri"/>
        </w:rPr>
        <w:t>)</w:t>
      </w:r>
      <w:r w:rsidR="001D4203" w:rsidRPr="00677B47">
        <w:rPr>
          <w:rFonts w:ascii="Calibri" w:hAnsi="Calibri" w:cs="Calibri"/>
        </w:rPr>
        <w:t>. SAPE binds to the biotinylated detection antibodies</w:t>
      </w:r>
      <w:r w:rsidR="003E4B7C" w:rsidRPr="00677B47">
        <w:rPr>
          <w:rFonts w:ascii="Calibri" w:hAnsi="Calibri" w:cs="Calibri"/>
        </w:rPr>
        <w:t>, completing</w:t>
      </w:r>
      <w:r w:rsidR="001D4203" w:rsidRPr="00677B47">
        <w:rPr>
          <w:rFonts w:ascii="Calibri" w:hAnsi="Calibri" w:cs="Calibri"/>
        </w:rPr>
        <w:t xml:space="preserve"> the reaction.</w:t>
      </w:r>
      <w:r w:rsidR="00CE149B" w:rsidRPr="00677B47">
        <w:rPr>
          <w:rFonts w:ascii="Calibri" w:hAnsi="Calibri" w:cs="Calibri"/>
        </w:rPr>
        <w:t xml:space="preserve"> For phospho-proteins, an </w:t>
      </w:r>
      <w:r w:rsidR="006952C3" w:rsidRPr="00677B47">
        <w:rPr>
          <w:rFonts w:ascii="Calibri" w:hAnsi="Calibri" w:cs="Calibri"/>
        </w:rPr>
        <w:t xml:space="preserve">amplification </w:t>
      </w:r>
      <w:r w:rsidR="00CE149B" w:rsidRPr="00677B47">
        <w:rPr>
          <w:rFonts w:ascii="Calibri" w:hAnsi="Calibri" w:cs="Calibri"/>
        </w:rPr>
        <w:t>buffer</w:t>
      </w:r>
      <w:r w:rsidR="00400BB1" w:rsidRPr="00677B47">
        <w:rPr>
          <w:rFonts w:ascii="Calibri" w:hAnsi="Calibri" w:cs="Calibri"/>
        </w:rPr>
        <w:t xml:space="preserve"> </w:t>
      </w:r>
      <w:r w:rsidR="007B1948" w:rsidRPr="007B1948">
        <w:rPr>
          <w:rFonts w:ascii="Calibri" w:hAnsi="Calibri" w:cs="Calibri"/>
        </w:rPr>
        <w:t>(</w:t>
      </w:r>
      <w:r w:rsidR="00400BB1" w:rsidRPr="00677B47">
        <w:rPr>
          <w:rFonts w:ascii="Calibri" w:hAnsi="Calibri" w:cs="Calibri"/>
        </w:rPr>
        <w:t>only for pho</w:t>
      </w:r>
      <w:r w:rsidR="001513FB" w:rsidRPr="00677B47">
        <w:rPr>
          <w:rFonts w:ascii="Calibri" w:hAnsi="Calibri" w:cs="Calibri"/>
        </w:rPr>
        <w:t>s</w:t>
      </w:r>
      <w:r w:rsidR="00400BB1" w:rsidRPr="00677B47">
        <w:rPr>
          <w:rFonts w:ascii="Calibri" w:hAnsi="Calibri" w:cs="Calibri"/>
        </w:rPr>
        <w:t>pho-protein assays</w:t>
      </w:r>
      <w:r w:rsidR="007B1948" w:rsidRPr="007B1948">
        <w:rPr>
          <w:rFonts w:ascii="Calibri" w:hAnsi="Calibri" w:cs="Calibri"/>
        </w:rPr>
        <w:t>)</w:t>
      </w:r>
      <w:r w:rsidR="00400BB1" w:rsidRPr="00677B47">
        <w:rPr>
          <w:rFonts w:ascii="Calibri" w:hAnsi="Calibri" w:cs="Calibri"/>
        </w:rPr>
        <w:t xml:space="preserve"> is</w:t>
      </w:r>
      <w:r w:rsidR="00CE149B" w:rsidRPr="00677B47">
        <w:rPr>
          <w:rFonts w:ascii="Calibri" w:hAnsi="Calibri" w:cs="Calibri"/>
        </w:rPr>
        <w:t xml:space="preserve"> added following the addition to SAPE to enhance the assay signal.</w:t>
      </w:r>
      <w:r w:rsidR="001D4203" w:rsidRPr="00677B47">
        <w:rPr>
          <w:rFonts w:ascii="Calibri" w:hAnsi="Calibri" w:cs="Calibri"/>
        </w:rPr>
        <w:t xml:space="preserve"> </w:t>
      </w:r>
      <w:r w:rsidR="007B1948" w:rsidRPr="007B1948">
        <w:rPr>
          <w:rFonts w:ascii="Calibri" w:hAnsi="Calibri" w:cs="Calibri"/>
        </w:rPr>
        <w:t>(</w:t>
      </w:r>
      <w:r w:rsidR="001D4203" w:rsidRPr="00677B47">
        <w:rPr>
          <w:rFonts w:ascii="Calibri" w:hAnsi="Calibri" w:cs="Calibri"/>
          <w:b/>
          <w:bCs/>
        </w:rPr>
        <w:t>D</w:t>
      </w:r>
      <w:r w:rsidR="007B1948" w:rsidRPr="007B1948">
        <w:rPr>
          <w:rFonts w:ascii="Calibri" w:hAnsi="Calibri" w:cs="Calibri"/>
        </w:rPr>
        <w:t>)</w:t>
      </w:r>
      <w:r w:rsidR="001D4203" w:rsidRPr="00677B47">
        <w:rPr>
          <w:rFonts w:ascii="Calibri" w:hAnsi="Calibri" w:cs="Calibri"/>
        </w:rPr>
        <w:t xml:space="preserve"> Luminex </w:t>
      </w:r>
      <w:r w:rsidR="00CE149B" w:rsidRPr="00677B47">
        <w:rPr>
          <w:rFonts w:ascii="Calibri" w:hAnsi="Calibri" w:cs="Calibri"/>
        </w:rPr>
        <w:t>instrument</w:t>
      </w:r>
      <w:r w:rsidR="003E4B7C" w:rsidRPr="00677B47">
        <w:rPr>
          <w:rFonts w:ascii="Calibri" w:hAnsi="Calibri" w:cs="Calibri"/>
        </w:rPr>
        <w:t xml:space="preserve"> </w:t>
      </w:r>
      <w:r w:rsidR="007B1948" w:rsidRPr="007B1948">
        <w:rPr>
          <w:rFonts w:ascii="Calibri" w:hAnsi="Calibri" w:cs="Calibri"/>
        </w:rPr>
        <w:t>(</w:t>
      </w:r>
      <w:r w:rsidR="003E4B7C" w:rsidRPr="00677B47">
        <w:rPr>
          <w:rFonts w:ascii="Calibri" w:hAnsi="Calibri" w:cs="Calibri"/>
        </w:rPr>
        <w:t>MAGPIX, 200, or FlexMap 3D</w:t>
      </w:r>
      <w:r w:rsidR="007B1948" w:rsidRPr="007B1948">
        <w:rPr>
          <w:rFonts w:ascii="Calibri" w:hAnsi="Calibri" w:cs="Calibri"/>
        </w:rPr>
        <w:t>)</w:t>
      </w:r>
      <w:r w:rsidR="00CE149B" w:rsidRPr="00677B47">
        <w:rPr>
          <w:rFonts w:ascii="Calibri" w:hAnsi="Calibri" w:cs="Calibri"/>
        </w:rPr>
        <w:t xml:space="preserve"> </w:t>
      </w:r>
      <w:r w:rsidR="001D4203" w:rsidRPr="00677B47">
        <w:rPr>
          <w:rFonts w:ascii="Calibri" w:hAnsi="Calibri" w:cs="Calibri"/>
        </w:rPr>
        <w:t xml:space="preserve">reads </w:t>
      </w:r>
      <w:r w:rsidR="00CE149B" w:rsidRPr="00677B47">
        <w:rPr>
          <w:rFonts w:ascii="Calibri" w:hAnsi="Calibri" w:cs="Calibri"/>
        </w:rPr>
        <w:t xml:space="preserve">reaction on each </w:t>
      </w:r>
      <w:r w:rsidR="00581369" w:rsidRPr="00677B47">
        <w:rPr>
          <w:rFonts w:ascii="Calibri" w:hAnsi="Calibri" w:cs="Calibri"/>
        </w:rPr>
        <w:t xml:space="preserve">fluorescently tagged </w:t>
      </w:r>
      <w:r w:rsidR="00CE149B" w:rsidRPr="00677B47">
        <w:rPr>
          <w:rFonts w:ascii="Calibri" w:hAnsi="Calibri" w:cs="Calibri"/>
        </w:rPr>
        <w:t>bead via</w:t>
      </w:r>
      <w:r w:rsidR="00581369" w:rsidRPr="00677B47">
        <w:rPr>
          <w:rFonts w:ascii="Calibri" w:hAnsi="Calibri" w:cs="Calibri"/>
        </w:rPr>
        <w:t xml:space="preserve"> a combination of</w:t>
      </w:r>
      <w:r w:rsidR="00CE149B" w:rsidRPr="00677B47">
        <w:rPr>
          <w:rFonts w:ascii="Calibri" w:hAnsi="Calibri" w:cs="Calibri"/>
        </w:rPr>
        <w:t xml:space="preserve"> red/green illumination. </w:t>
      </w:r>
    </w:p>
    <w:p w14:paraId="070DABD3" w14:textId="6E2CD905" w:rsidR="00105C60" w:rsidRPr="00677B47" w:rsidRDefault="00105C60" w:rsidP="009B5312">
      <w:pPr>
        <w:contextualSpacing/>
        <w:rPr>
          <w:rFonts w:ascii="Calibri" w:hAnsi="Calibri" w:cs="Calibri"/>
          <w:color w:val="808080" w:themeColor="background1" w:themeShade="80"/>
        </w:rPr>
      </w:pPr>
      <w:r w:rsidRPr="00677B47">
        <w:rPr>
          <w:rFonts w:ascii="Calibri" w:hAnsi="Calibri" w:cs="Calibri"/>
          <w:noProof/>
          <w:color w:val="808080" w:themeColor="background1" w:themeShade="80"/>
        </w:rPr>
        <mc:AlternateContent>
          <mc:Choice Requires="wps">
            <w:drawing>
              <wp:anchor distT="0" distB="0" distL="114300" distR="114300" simplePos="0" relativeHeight="251660289" behindDoc="0" locked="0" layoutInCell="1" allowOverlap="1" wp14:anchorId="328565BD" wp14:editId="429CE451">
                <wp:simplePos x="0" y="0"/>
                <wp:positionH relativeFrom="column">
                  <wp:posOffset>0</wp:posOffset>
                </wp:positionH>
                <wp:positionV relativeFrom="paragraph">
                  <wp:posOffset>3203</wp:posOffset>
                </wp:positionV>
                <wp:extent cx="188788" cy="176759"/>
                <wp:effectExtent l="0" t="0" r="0" b="0"/>
                <wp:wrapNone/>
                <wp:docPr id="1" name="TextBox 5"/>
                <wp:cNvGraphicFramePr/>
                <a:graphic xmlns:a="http://schemas.openxmlformats.org/drawingml/2006/main">
                  <a:graphicData uri="http://schemas.microsoft.com/office/word/2010/wordprocessingShape">
                    <wps:wsp>
                      <wps:cNvSpPr txBox="1"/>
                      <wps:spPr>
                        <a:xfrm>
                          <a:off x="0" y="0"/>
                          <a:ext cx="188788" cy="176759"/>
                        </a:xfrm>
                        <a:prstGeom prst="rect">
                          <a:avLst/>
                        </a:prstGeom>
                        <a:noFill/>
                      </wps:spPr>
                      <wps:txbx>
                        <w:txbxContent>
                          <w:p w14:paraId="165ED703" w14:textId="77777777" w:rsidR="007B1948" w:rsidRDefault="007B1948" w:rsidP="00105C60">
                            <w:pPr>
                              <w:pStyle w:val="NormalWeb"/>
                              <w:spacing w:before="0" w:beforeAutospacing="0" w:after="0" w:afterAutospacing="0"/>
                            </w:pPr>
                            <w:r>
                              <w:rPr>
                                <w:rFonts w:asciiTheme="minorHAnsi" w:cstheme="minorBidi"/>
                                <w:color w:val="000000" w:themeColor="text1"/>
                                <w:kern w:val="24"/>
                                <w:sz w:val="36"/>
                                <w:szCs w:val="36"/>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328565BD" id="_x0000_t202" coordsize="21600,21600" o:spt="202" path="m,l,21600r21600,l21600,xe">
                <v:stroke joinstyle="miter"/>
                <v:path gradientshapeok="t" o:connecttype="rect"/>
              </v:shapetype>
              <v:shape id="TextBox 5" o:spid="_x0000_s1026" type="#_x0000_t202" style="position:absolute;margin-left:0;margin-top:.25pt;width:14.85pt;height:13.9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" filled="f" stroked="f">
                <v:textbox>
                  <w:txbxContent>
                    <w:p w14:paraId="165ED703" w14:textId="77777777" w:rsidR="007B1948" w:rsidRDefault="007B1948" w:rsidP="00105C60">
                      <w:pPr>
                        <w:pStyle w:val="NormalWeb"/>
                        <w:spacing w:before="0" w:beforeAutospacing="0" w:after="0" w:afterAutospacing="0"/>
                      </w:pPr>
                      <w:r>
                        <w:rPr>
                          <w:rFonts w:asciiTheme="minorHAnsi" w:cstheme="minorBidi"/>
                          <w:color w:val="000000" w:themeColor="text1"/>
                          <w:kern w:val="24"/>
                          <w:sz w:val="36"/>
                          <w:szCs w:val="36"/>
                        </w:rPr>
                        <w:t>.</w:t>
                      </w:r>
                    </w:p>
                  </w:txbxContent>
                </v:textbox>
              </v:shape>
            </w:pict>
          </mc:Fallback>
        </mc:AlternateContent>
      </w:r>
      <w:r w:rsidRPr="00677B47">
        <w:rPr>
          <w:rFonts w:ascii="Calibri" w:hAnsi="Calibri" w:cs="Calibri"/>
          <w:noProof/>
          <w:color w:val="808080" w:themeColor="background1" w:themeShade="80"/>
        </w:rPr>
        <mc:AlternateContent>
          <mc:Choice Requires="wps">
            <w:drawing>
              <wp:anchor distT="0" distB="0" distL="114300" distR="114300" simplePos="0" relativeHeight="251661313" behindDoc="0" locked="0" layoutInCell="1" allowOverlap="1" wp14:anchorId="17EFDD68" wp14:editId="680D9A6C">
                <wp:simplePos x="0" y="0"/>
                <wp:positionH relativeFrom="column">
                  <wp:posOffset>5685183</wp:posOffset>
                </wp:positionH>
                <wp:positionV relativeFrom="paragraph">
                  <wp:posOffset>3203</wp:posOffset>
                </wp:positionV>
                <wp:extent cx="183989" cy="176759"/>
                <wp:effectExtent l="0" t="0" r="0" b="0"/>
                <wp:wrapNone/>
                <wp:docPr id="2" name="TextBox 6"/>
                <wp:cNvGraphicFramePr/>
                <a:graphic xmlns:a="http://schemas.openxmlformats.org/drawingml/2006/main">
                  <a:graphicData uri="http://schemas.microsoft.com/office/word/2010/wordprocessingShape">
                    <wps:wsp>
                      <wps:cNvSpPr txBox="1"/>
                      <wps:spPr>
                        <a:xfrm>
                          <a:off x="0" y="0"/>
                          <a:ext cx="183989" cy="176759"/>
                        </a:xfrm>
                        <a:prstGeom prst="rect">
                          <a:avLst/>
                        </a:prstGeom>
                        <a:noFill/>
                      </wps:spPr>
                      <wps:txbx>
                        <w:txbxContent>
                          <w:p w14:paraId="5FE1D34E" w14:textId="77777777" w:rsidR="007B1948" w:rsidRDefault="007B1948" w:rsidP="00105C60">
                            <w:pPr>
                              <w:pStyle w:val="NormalWeb"/>
                              <w:spacing w:before="0" w:beforeAutospacing="0" w:after="0" w:afterAutospacing="0"/>
                            </w:pPr>
                            <w:r>
                              <w:rPr>
                                <w:rFonts w:asciiTheme="minorHAnsi" w:cstheme="minorBidi"/>
                                <w:color w:val="000000" w:themeColor="text1"/>
                                <w:kern w:val="24"/>
                                <w:sz w:val="36"/>
                                <w:szCs w:val="36"/>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7EFDD68" id="TextBox 6" o:spid="_x0000_s1027" type="#_x0000_t202" style="position:absolute;margin-left:447.65pt;margin-top:.25pt;width:14.5pt;height:13.9pt;z-index:251661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" filled="f" stroked="f">
                <v:textbox>
                  <w:txbxContent>
                    <w:p w14:paraId="5FE1D34E" w14:textId="77777777" w:rsidR="007B1948" w:rsidRDefault="007B1948" w:rsidP="00105C60">
                      <w:pPr>
                        <w:pStyle w:val="NormalWeb"/>
                        <w:spacing w:before="0" w:beforeAutospacing="0" w:after="0" w:afterAutospacing="0"/>
                      </w:pPr>
                      <w:r>
                        <w:rPr>
                          <w:rFonts w:asciiTheme="minorHAnsi" w:cstheme="minorBidi"/>
                          <w:color w:val="000000" w:themeColor="text1"/>
                          <w:kern w:val="24"/>
                          <w:sz w:val="36"/>
                          <w:szCs w:val="36"/>
                        </w:rPr>
                        <w:t>.</w:t>
                      </w:r>
                    </w:p>
                  </w:txbxContent>
                </v:textbox>
              </v:shape>
            </w:pict>
          </mc:Fallback>
        </mc:AlternateContent>
      </w:r>
    </w:p>
    <w:p w14:paraId="299B1E08" w14:textId="64438782" w:rsidR="00E05C87" w:rsidRPr="00677B47" w:rsidRDefault="00E05C87" w:rsidP="009B5312">
      <w:pPr>
        <w:contextualSpacing/>
        <w:rPr>
          <w:rFonts w:ascii="Calibri" w:hAnsi="Calibri" w:cs="Calibri"/>
        </w:rPr>
      </w:pPr>
      <w:r w:rsidRPr="00677B47">
        <w:rPr>
          <w:rFonts w:ascii="Calibri" w:hAnsi="Calibri" w:cs="Calibri"/>
          <w:b/>
        </w:rPr>
        <w:t xml:space="preserve">Figure </w:t>
      </w:r>
      <w:r w:rsidR="000A47E8" w:rsidRPr="00677B47">
        <w:rPr>
          <w:rFonts w:ascii="Calibri" w:hAnsi="Calibri" w:cs="Calibri"/>
          <w:b/>
        </w:rPr>
        <w:t>7</w:t>
      </w:r>
      <w:r w:rsidRPr="00677B47">
        <w:rPr>
          <w:rFonts w:ascii="Calibri" w:hAnsi="Calibri" w:cs="Calibri"/>
          <w:b/>
        </w:rPr>
        <w:t xml:space="preserve">: Representative Partial Least Squares Regression </w:t>
      </w:r>
      <w:r w:rsidR="007B1948" w:rsidRPr="007B1948">
        <w:rPr>
          <w:rFonts w:ascii="Calibri" w:hAnsi="Calibri" w:cs="Calibri"/>
        </w:rPr>
        <w:t>(</w:t>
      </w:r>
      <w:r w:rsidRPr="00677B47">
        <w:rPr>
          <w:rFonts w:ascii="Calibri" w:hAnsi="Calibri" w:cs="Calibri"/>
          <w:b/>
        </w:rPr>
        <w:t>PLSR</w:t>
      </w:r>
      <w:r w:rsidR="007B1948" w:rsidRPr="007B1948">
        <w:rPr>
          <w:rFonts w:ascii="Calibri" w:hAnsi="Calibri" w:cs="Calibri"/>
        </w:rPr>
        <w:t>)</w:t>
      </w:r>
      <w:r w:rsidRPr="00677B47">
        <w:rPr>
          <w:rFonts w:ascii="Calibri" w:hAnsi="Calibri" w:cs="Calibri"/>
          <w:b/>
        </w:rPr>
        <w:t xml:space="preserve"> Analysis.</w:t>
      </w:r>
      <w:r w:rsidRPr="00677B47">
        <w:rPr>
          <w:rFonts w:ascii="Calibri" w:hAnsi="Calibri" w:cs="Calibri"/>
        </w:rPr>
        <w:t xml:space="preserve"> </w:t>
      </w:r>
      <w:r w:rsidR="007B1948" w:rsidRPr="007B1948">
        <w:rPr>
          <w:rFonts w:ascii="Calibri" w:hAnsi="Calibri" w:cs="Calibri"/>
        </w:rPr>
        <w:t>(</w:t>
      </w:r>
      <w:r w:rsidRPr="00677B47">
        <w:rPr>
          <w:rFonts w:ascii="Calibri" w:hAnsi="Calibri" w:cs="Calibri"/>
          <w:b/>
          <w:bCs/>
        </w:rPr>
        <w:t>A</w:t>
      </w:r>
      <w:r w:rsidR="007B1948" w:rsidRPr="007B1948">
        <w:rPr>
          <w:rFonts w:ascii="Calibri" w:hAnsi="Calibri" w:cs="Calibri"/>
        </w:rPr>
        <w:t>)</w:t>
      </w:r>
      <w:r w:rsidRPr="00677B47">
        <w:rPr>
          <w:rFonts w:ascii="Calibri" w:hAnsi="Calibri" w:cs="Calibri"/>
        </w:rPr>
        <w:t xml:space="preserve"> Panel cytokine protein expression </w:t>
      </w:r>
      <w:r w:rsidR="007B1948" w:rsidRPr="007B1948">
        <w:rPr>
          <w:rFonts w:ascii="Calibri" w:hAnsi="Calibri" w:cs="Calibri"/>
        </w:rPr>
        <w:t>(</w:t>
      </w:r>
      <w:r w:rsidRPr="00677B47">
        <w:rPr>
          <w:rFonts w:ascii="Calibri" w:hAnsi="Calibri" w:cs="Calibri"/>
        </w:rPr>
        <w:t>left columns</w:t>
      </w:r>
      <w:r w:rsidR="007B1948" w:rsidRPr="007B1948">
        <w:rPr>
          <w:rFonts w:ascii="Calibri" w:hAnsi="Calibri" w:cs="Calibri"/>
        </w:rPr>
        <w:t>)</w:t>
      </w:r>
      <w:r w:rsidRPr="00677B47">
        <w:rPr>
          <w:rFonts w:ascii="Calibri" w:hAnsi="Calibri" w:cs="Calibri"/>
        </w:rPr>
        <w:t xml:space="preserve"> together with Iba1 expression </w:t>
      </w:r>
      <w:r w:rsidR="007B1948" w:rsidRPr="007B1948">
        <w:rPr>
          <w:rFonts w:ascii="Calibri" w:hAnsi="Calibri" w:cs="Calibri"/>
        </w:rPr>
        <w:t>(</w:t>
      </w:r>
      <w:r w:rsidRPr="00677B47">
        <w:rPr>
          <w:rFonts w:ascii="Calibri" w:hAnsi="Calibri" w:cs="Calibri"/>
        </w:rPr>
        <w:t>righthand column</w:t>
      </w:r>
      <w:r w:rsidR="007B1948" w:rsidRPr="007B1948">
        <w:rPr>
          <w:rFonts w:ascii="Calibri" w:hAnsi="Calibri" w:cs="Calibri"/>
        </w:rPr>
        <w:t>)</w:t>
      </w:r>
      <w:r w:rsidRPr="00677B47">
        <w:rPr>
          <w:rFonts w:ascii="Calibri" w:hAnsi="Calibri" w:cs="Calibri"/>
        </w:rPr>
        <w:t xml:space="preserve"> in 3xCHI mice </w:t>
      </w:r>
      <w:r w:rsidR="007B1948" w:rsidRPr="007B1948">
        <w:rPr>
          <w:rFonts w:ascii="Calibri" w:hAnsi="Calibri" w:cs="Calibri"/>
        </w:rPr>
        <w:t>(</w:t>
      </w:r>
      <w:r w:rsidRPr="00677B47">
        <w:rPr>
          <w:rFonts w:ascii="Calibri" w:hAnsi="Calibri" w:cs="Calibri"/>
        </w:rPr>
        <w:t>n=8, z-scored</w:t>
      </w:r>
      <w:r w:rsidR="007B1948" w:rsidRPr="007B1948">
        <w:rPr>
          <w:rFonts w:ascii="Calibri" w:hAnsi="Calibri" w:cs="Calibri"/>
        </w:rPr>
        <w:t>)</w:t>
      </w:r>
      <w:r w:rsidRPr="00677B47">
        <w:rPr>
          <w:rFonts w:ascii="Calibri" w:hAnsi="Calibri" w:cs="Calibri"/>
        </w:rPr>
        <w:t xml:space="preserve">. Cytokines annotated with a line overhead each linearly correlated with Iba1 with p&lt;0.1. </w:t>
      </w:r>
      <w:r w:rsidR="007B1948" w:rsidRPr="007B1948">
        <w:rPr>
          <w:rFonts w:ascii="Calibri" w:hAnsi="Calibri" w:cs="Calibri"/>
        </w:rPr>
        <w:t>(</w:t>
      </w:r>
      <w:r w:rsidRPr="00677B47">
        <w:rPr>
          <w:rFonts w:ascii="Calibri" w:hAnsi="Calibri" w:cs="Calibri"/>
          <w:b/>
          <w:bCs/>
        </w:rPr>
        <w:t>B</w:t>
      </w:r>
      <w:r w:rsidR="007B1948" w:rsidRPr="007B1948">
        <w:rPr>
          <w:rFonts w:ascii="Calibri" w:hAnsi="Calibri" w:cs="Calibri"/>
        </w:rPr>
        <w:t>)</w:t>
      </w:r>
      <w:r w:rsidRPr="00677B47">
        <w:rPr>
          <w:rFonts w:ascii="Calibri" w:hAnsi="Calibri" w:cs="Calibri"/>
        </w:rPr>
        <w:t xml:space="preserve"> PLSR assigns weights </w:t>
      </w:r>
      <w:r w:rsidR="007B1948" w:rsidRPr="007B1948">
        <w:rPr>
          <w:rFonts w:ascii="Calibri" w:hAnsi="Calibri" w:cs="Calibri"/>
        </w:rPr>
        <w:t>(</w:t>
      </w:r>
      <w:r w:rsidRPr="00677B47">
        <w:rPr>
          <w:rFonts w:ascii="Calibri" w:hAnsi="Calibri" w:cs="Calibri"/>
        </w:rPr>
        <w:t>loadings</w:t>
      </w:r>
      <w:r w:rsidR="007B1948" w:rsidRPr="007B1948">
        <w:rPr>
          <w:rFonts w:ascii="Calibri" w:hAnsi="Calibri" w:cs="Calibri"/>
        </w:rPr>
        <w:t>)</w:t>
      </w:r>
      <w:r w:rsidRPr="00677B47">
        <w:rPr>
          <w:rFonts w:ascii="Calibri" w:hAnsi="Calibri" w:cs="Calibri"/>
        </w:rPr>
        <w:t xml:space="preserve"> to measured cytokines for each latent variable. Weights are applied to measured data to compute scores for each sample on each latent variable. </w:t>
      </w:r>
      <w:r w:rsidR="007B1948" w:rsidRPr="007B1948">
        <w:rPr>
          <w:rFonts w:ascii="Calibri" w:hAnsi="Calibri" w:cs="Calibri"/>
        </w:rPr>
        <w:t>(</w:t>
      </w:r>
      <w:r w:rsidRPr="00677B47">
        <w:rPr>
          <w:rFonts w:ascii="Calibri" w:hAnsi="Calibri" w:cs="Calibri"/>
          <w:b/>
          <w:bCs/>
        </w:rPr>
        <w:t>C</w:t>
      </w:r>
      <w:r w:rsidR="007B1948" w:rsidRPr="007B1948">
        <w:rPr>
          <w:rFonts w:ascii="Calibri" w:hAnsi="Calibri" w:cs="Calibri"/>
        </w:rPr>
        <w:t>)</w:t>
      </w:r>
      <w:r w:rsidRPr="00677B47">
        <w:rPr>
          <w:rFonts w:ascii="Calibri" w:hAnsi="Calibri" w:cs="Calibri"/>
        </w:rPr>
        <w:t xml:space="preserve"> PLSR of 3xCHI samples against Iba1 identified a weighted profile of cytokines, LV1, which distinguished samples by Iba1. Cytokines with negative weights were upregulated in samples with low Iba1 while cytokines with positive weights were upregulated in samples with high Iba1 </w:t>
      </w:r>
      <w:r w:rsidR="007B1948" w:rsidRPr="007B1948">
        <w:rPr>
          <w:rFonts w:ascii="Calibri" w:hAnsi="Calibri" w:cs="Calibri"/>
        </w:rPr>
        <w:t>(</w:t>
      </w:r>
      <w:r w:rsidRPr="00677B47">
        <w:rPr>
          <w:rFonts w:ascii="Calibri" w:hAnsi="Calibri" w:cs="Calibri"/>
        </w:rPr>
        <w:t>mean ± SD using a LOOCV</w:t>
      </w:r>
      <w:r w:rsidR="007B1948" w:rsidRPr="007B1948">
        <w:rPr>
          <w:rFonts w:ascii="Calibri" w:hAnsi="Calibri" w:cs="Calibri"/>
        </w:rPr>
        <w:t>)</w:t>
      </w:r>
      <w:r w:rsidRPr="00677B47">
        <w:rPr>
          <w:rFonts w:ascii="Calibri" w:hAnsi="Calibri" w:cs="Calibri"/>
        </w:rPr>
        <w:t xml:space="preserve">. </w:t>
      </w:r>
      <w:r w:rsidR="007B1948" w:rsidRPr="007B1948">
        <w:rPr>
          <w:rFonts w:ascii="Calibri" w:hAnsi="Calibri" w:cs="Calibri"/>
        </w:rPr>
        <w:t>(</w:t>
      </w:r>
      <w:r w:rsidRPr="00677B47">
        <w:rPr>
          <w:rFonts w:ascii="Calibri" w:hAnsi="Calibri" w:cs="Calibri"/>
          <w:b/>
          <w:bCs/>
        </w:rPr>
        <w:t>D</w:t>
      </w:r>
      <w:r w:rsidR="007B1948" w:rsidRPr="007B1948">
        <w:rPr>
          <w:rFonts w:ascii="Calibri" w:hAnsi="Calibri" w:cs="Calibri"/>
        </w:rPr>
        <w:t>)</w:t>
      </w:r>
      <w:r w:rsidRPr="00677B47">
        <w:rPr>
          <w:rFonts w:ascii="Calibri" w:hAnsi="Calibri" w:cs="Calibri"/>
        </w:rPr>
        <w:t xml:space="preserve"> Linear regression of LV1 scores for each sample against Iba1. R</w:t>
      </w:r>
      <w:r w:rsidRPr="00677B47">
        <w:rPr>
          <w:rFonts w:ascii="Calibri" w:hAnsi="Calibri" w:cs="Calibri"/>
          <w:vertAlign w:val="superscript"/>
        </w:rPr>
        <w:t>2</w:t>
      </w:r>
      <w:r w:rsidRPr="00677B47">
        <w:rPr>
          <w:rFonts w:ascii="Calibri" w:hAnsi="Calibri" w:cs="Calibri"/>
          <w:vertAlign w:val="subscript"/>
        </w:rPr>
        <w:t>PLS</w:t>
      </w:r>
      <w:r w:rsidRPr="00677B47">
        <w:rPr>
          <w:rFonts w:ascii="Calibri" w:hAnsi="Calibri" w:cs="Calibri"/>
        </w:rPr>
        <w:t xml:space="preserve"> measures the goodness of fit between Iba1 and LV1. </w:t>
      </w:r>
      <w:r w:rsidR="007B1948" w:rsidRPr="007B1948">
        <w:rPr>
          <w:rFonts w:ascii="Calibri" w:hAnsi="Calibri" w:cs="Calibri"/>
        </w:rPr>
        <w:t>(</w:t>
      </w:r>
      <w:r w:rsidRPr="00677B47">
        <w:rPr>
          <w:rFonts w:ascii="Calibri" w:hAnsi="Calibri" w:cs="Calibri"/>
          <w:b/>
          <w:bCs/>
        </w:rPr>
        <w:t>E</w:t>
      </w:r>
      <w:r w:rsidR="007B1948" w:rsidRPr="007B1948">
        <w:rPr>
          <w:rFonts w:ascii="Calibri" w:hAnsi="Calibri" w:cs="Calibri"/>
        </w:rPr>
        <w:t>)</w:t>
      </w:r>
      <w:r w:rsidRPr="00677B47">
        <w:rPr>
          <w:rFonts w:ascii="Calibri" w:hAnsi="Calibri" w:cs="Calibri"/>
        </w:rPr>
        <w:t xml:space="preserve"> Individual regressions of Iba1 against each of the cytokines with the greatest weights in LV1 in </w:t>
      </w:r>
      <w:r w:rsidRPr="00677B47">
        <w:rPr>
          <w:rFonts w:ascii="Calibri" w:hAnsi="Calibri" w:cs="Calibri"/>
          <w:b/>
          <w:bCs/>
        </w:rPr>
        <w:t>C</w:t>
      </w:r>
      <w:r w:rsidRPr="00677B47">
        <w:rPr>
          <w:rFonts w:ascii="Calibri" w:hAnsi="Calibri" w:cs="Calibri"/>
        </w:rPr>
        <w:t>.</w:t>
      </w:r>
    </w:p>
    <w:p w14:paraId="13F927AE" w14:textId="77777777" w:rsidR="00E05C87" w:rsidRPr="00677B47" w:rsidRDefault="00E05C87" w:rsidP="009B5312">
      <w:pPr>
        <w:contextualSpacing/>
        <w:rPr>
          <w:rFonts w:ascii="Calibri" w:hAnsi="Calibri" w:cs="Calibri"/>
          <w:b/>
          <w:bCs/>
        </w:rPr>
      </w:pPr>
    </w:p>
    <w:p w14:paraId="5EEFF456" w14:textId="38BEA3A9" w:rsidR="00A945AA" w:rsidRPr="009D2852" w:rsidRDefault="00A945AA" w:rsidP="009B5312">
      <w:pPr>
        <w:contextualSpacing/>
        <w:rPr>
          <w:rFonts w:ascii="Calibri" w:hAnsi="Calibri" w:cs="Calibri"/>
        </w:rPr>
      </w:pPr>
      <w:r w:rsidRPr="00677B47">
        <w:rPr>
          <w:rFonts w:ascii="Calibri" w:hAnsi="Calibri" w:cs="Calibri"/>
          <w:b/>
          <w:bCs/>
        </w:rPr>
        <w:t xml:space="preserve">Figure </w:t>
      </w:r>
      <w:r w:rsidR="00E05C87" w:rsidRPr="00677B47">
        <w:rPr>
          <w:rFonts w:ascii="Calibri" w:hAnsi="Calibri" w:cs="Calibri"/>
          <w:b/>
          <w:bCs/>
        </w:rPr>
        <w:t>8</w:t>
      </w:r>
      <w:r w:rsidRPr="00677B47">
        <w:rPr>
          <w:rFonts w:ascii="Calibri" w:hAnsi="Calibri" w:cs="Calibri"/>
          <w:b/>
          <w:bCs/>
        </w:rPr>
        <w:t>:</w:t>
      </w:r>
      <w:r w:rsidR="00981AEE" w:rsidRPr="00677B47">
        <w:rPr>
          <w:rFonts w:ascii="Calibri" w:hAnsi="Calibri" w:cs="Calibri"/>
          <w:b/>
          <w:bCs/>
        </w:rPr>
        <w:t xml:space="preserve"> </w:t>
      </w:r>
      <w:r w:rsidRPr="00677B47">
        <w:rPr>
          <w:rFonts w:ascii="Calibri" w:hAnsi="Calibri" w:cs="Calibri"/>
          <w:b/>
          <w:bCs/>
        </w:rPr>
        <w:t xml:space="preserve">Illustration of sample dilution curve to identify the linear range. </w:t>
      </w:r>
      <w:r w:rsidRPr="00677B47">
        <w:rPr>
          <w:rFonts w:ascii="Calibri" w:hAnsi="Calibri" w:cs="Calibri"/>
        </w:rPr>
        <w:t xml:space="preserve">Protein concentration of serially diluted samples versus fluorescent intensity measured from the Luminex assay. The linear range is defined as the protein concentration range for which the relationship between the protein concentration and fluorescent intensity is linear </w:t>
      </w:r>
      <w:r w:rsidR="007B1948" w:rsidRPr="007B1948">
        <w:rPr>
          <w:rFonts w:ascii="Calibri" w:hAnsi="Calibri" w:cs="Calibri"/>
        </w:rPr>
        <w:t>(</w:t>
      </w:r>
      <w:r w:rsidRPr="00677B47">
        <w:rPr>
          <w:rFonts w:ascii="Calibri" w:hAnsi="Calibri" w:cs="Calibri"/>
        </w:rPr>
        <w:t>arrow</w:t>
      </w:r>
      <w:r w:rsidR="007B1948" w:rsidRPr="007B1948">
        <w:rPr>
          <w:rFonts w:ascii="Calibri" w:hAnsi="Calibri" w:cs="Calibri"/>
        </w:rPr>
        <w:t>)</w:t>
      </w:r>
      <w:r w:rsidRPr="00677B47">
        <w:rPr>
          <w:rFonts w:ascii="Calibri" w:hAnsi="Calibri" w:cs="Calibri"/>
        </w:rPr>
        <w:t>. In some analytes, increasing the protein concentration beyond a certain limit</w:t>
      </w:r>
      <w:r w:rsidR="00C475DD" w:rsidRPr="00677B47">
        <w:rPr>
          <w:rFonts w:ascii="Calibri" w:hAnsi="Calibri" w:cs="Calibri"/>
        </w:rPr>
        <w:t xml:space="preserve"> can</w:t>
      </w:r>
      <w:r w:rsidRPr="00677B47">
        <w:rPr>
          <w:rFonts w:ascii="Calibri" w:hAnsi="Calibri" w:cs="Calibri"/>
        </w:rPr>
        <w:t xml:space="preserve"> decrease antibody binding such that the dilution curve becomes non-linear or inverted </w:t>
      </w:r>
      <w:r w:rsidR="007B1948" w:rsidRPr="007B1948">
        <w:rPr>
          <w:rFonts w:ascii="Calibri" w:hAnsi="Calibri" w:cs="Calibri"/>
        </w:rPr>
        <w:t>(</w:t>
      </w:r>
      <w:r w:rsidRPr="00677B47">
        <w:rPr>
          <w:rFonts w:ascii="Calibri" w:hAnsi="Calibri" w:cs="Calibri"/>
        </w:rPr>
        <w:t>Hook effect</w:t>
      </w:r>
      <w:r w:rsidR="007B1948" w:rsidRPr="007B1948">
        <w:rPr>
          <w:rFonts w:ascii="Calibri" w:hAnsi="Calibri" w:cs="Calibri"/>
        </w:rPr>
        <w:t>)</w:t>
      </w:r>
      <w:r w:rsidRPr="00677B47">
        <w:rPr>
          <w:rFonts w:ascii="Calibri" w:hAnsi="Calibri" w:cs="Calibri"/>
        </w:rPr>
        <w:t xml:space="preserve">. </w:t>
      </w:r>
    </w:p>
    <w:p w14:paraId="144E14F7" w14:textId="77777777" w:rsidR="007B73C2" w:rsidRPr="00677B47" w:rsidRDefault="007B73C2" w:rsidP="009B5312">
      <w:pPr>
        <w:contextualSpacing/>
        <w:rPr>
          <w:rFonts w:ascii="Calibri" w:hAnsi="Calibri" w:cs="Calibri"/>
          <w:color w:val="808080" w:themeColor="background1" w:themeShade="80"/>
        </w:rPr>
      </w:pPr>
    </w:p>
    <w:p w14:paraId="1287003B" w14:textId="0322B692" w:rsidR="006305D7" w:rsidRPr="00677B47" w:rsidRDefault="006305D7" w:rsidP="009B5312">
      <w:pPr>
        <w:contextualSpacing/>
        <w:rPr>
          <w:rFonts w:ascii="Calibri" w:hAnsi="Calibri" w:cs="Calibri"/>
          <w:b/>
        </w:rPr>
      </w:pPr>
      <w:r w:rsidRPr="00677B47">
        <w:rPr>
          <w:rFonts w:ascii="Calibri" w:hAnsi="Calibri" w:cs="Calibri"/>
          <w:b/>
        </w:rPr>
        <w:t>DISCUSSION</w:t>
      </w:r>
      <w:r w:rsidRPr="00677B47">
        <w:rPr>
          <w:rFonts w:ascii="Calibri" w:hAnsi="Calibri" w:cs="Calibri"/>
          <w:b/>
          <w:bCs/>
        </w:rPr>
        <w:t xml:space="preserve">: </w:t>
      </w:r>
    </w:p>
    <w:p w14:paraId="44DAA479" w14:textId="5976B826" w:rsidR="0046151E" w:rsidRPr="00677B47" w:rsidRDefault="0046151E" w:rsidP="009B5312">
      <w:pPr>
        <w:contextualSpacing/>
        <w:rPr>
          <w:rFonts w:ascii="Calibri" w:hAnsi="Calibri" w:cs="Calibri"/>
        </w:rPr>
      </w:pPr>
      <w:r w:rsidRPr="00677B47">
        <w:rPr>
          <w:rFonts w:ascii="Calibri" w:hAnsi="Calibri" w:cs="Calibri"/>
          <w:bCs/>
        </w:rPr>
        <w:t xml:space="preserve">Herein we detail methods for assessment of the hemodynamic and neuroinflammatory response to repetitive mild traumatic brain injury. Further, we have shown </w:t>
      </w:r>
      <w:r w:rsidRPr="00677B47">
        <w:rPr>
          <w:rFonts w:ascii="Calibri" w:hAnsi="Calibri" w:cs="Calibri"/>
        </w:rPr>
        <w:t xml:space="preserve">how to integrate these data as part of a multivariate systems analysis using partial least squares regression. In the text below we will discuss some of the key steps and limitations associated with </w:t>
      </w:r>
      <w:r w:rsidR="009D2852">
        <w:rPr>
          <w:rFonts w:ascii="Calibri" w:hAnsi="Calibri" w:cs="Calibri"/>
        </w:rPr>
        <w:t>the</w:t>
      </w:r>
      <w:r w:rsidRPr="00677B47">
        <w:rPr>
          <w:rFonts w:ascii="Calibri" w:hAnsi="Calibri" w:cs="Calibri"/>
        </w:rPr>
        <w:t xml:space="preserve"> protocol as well as the advantages/disadvantages of </w:t>
      </w:r>
      <w:r w:rsidR="009D2852">
        <w:rPr>
          <w:rFonts w:ascii="Calibri" w:hAnsi="Calibri" w:cs="Calibri"/>
        </w:rPr>
        <w:t>the</w:t>
      </w:r>
      <w:r w:rsidRPr="00677B47">
        <w:rPr>
          <w:rFonts w:ascii="Calibri" w:hAnsi="Calibri" w:cs="Calibri"/>
        </w:rPr>
        <w:t xml:space="preserve"> methods over existing methods</w:t>
      </w:r>
      <w:r w:rsidR="009D2852">
        <w:rPr>
          <w:rFonts w:ascii="Calibri" w:hAnsi="Calibri" w:cs="Calibri"/>
        </w:rPr>
        <w:t>.</w:t>
      </w:r>
    </w:p>
    <w:p w14:paraId="12E48250" w14:textId="77777777" w:rsidR="0046151E" w:rsidRPr="00677B47" w:rsidRDefault="0046151E" w:rsidP="009B5312">
      <w:pPr>
        <w:contextualSpacing/>
        <w:rPr>
          <w:rFonts w:ascii="Calibri" w:hAnsi="Calibri" w:cs="Calibri"/>
        </w:rPr>
      </w:pPr>
    </w:p>
    <w:p w14:paraId="6367EE0F" w14:textId="6FF40456" w:rsidR="0046151E" w:rsidRPr="00677B47" w:rsidRDefault="0046151E" w:rsidP="009B5312">
      <w:pPr>
        <w:contextualSpacing/>
        <w:rPr>
          <w:rFonts w:ascii="Calibri" w:hAnsi="Calibri" w:cs="Calibri"/>
        </w:rPr>
      </w:pPr>
      <w:r w:rsidRPr="00677B47">
        <w:rPr>
          <w:rFonts w:ascii="Calibri" w:hAnsi="Calibri" w:cs="Calibri"/>
          <w:b/>
        </w:rPr>
        <w:t>Weight-drop model of mild traumatic brain injury</w:t>
      </w:r>
      <w:r w:rsidR="009D2852">
        <w:rPr>
          <w:rFonts w:ascii="Calibri" w:hAnsi="Calibri" w:cs="Calibri"/>
          <w:b/>
        </w:rPr>
        <w:t>.</w:t>
      </w:r>
      <w:r w:rsidRPr="00677B47">
        <w:rPr>
          <w:rFonts w:ascii="Calibri" w:hAnsi="Calibri" w:cs="Calibri"/>
          <w:b/>
        </w:rPr>
        <w:t xml:space="preserve"> </w:t>
      </w:r>
      <w:r w:rsidRPr="00677B47">
        <w:rPr>
          <w:rFonts w:ascii="Calibri" w:hAnsi="Calibri" w:cs="Calibri"/>
        </w:rPr>
        <w:t xml:space="preserve">This method of traumatic brain injury </w:t>
      </w:r>
      <w:r w:rsidR="00A92476" w:rsidRPr="00677B47">
        <w:rPr>
          <w:rFonts w:ascii="Calibri" w:hAnsi="Calibri" w:cs="Calibri"/>
        </w:rPr>
        <w:t xml:space="preserve">induction </w:t>
      </w:r>
      <w:r w:rsidRPr="00677B47">
        <w:rPr>
          <w:rFonts w:ascii="Calibri" w:hAnsi="Calibri" w:cs="Calibri"/>
        </w:rPr>
        <w:t xml:space="preserve">is advantageous in that it </w:t>
      </w:r>
      <w:r w:rsidR="00450330" w:rsidRPr="00677B47">
        <w:rPr>
          <w:rFonts w:ascii="Calibri" w:hAnsi="Calibri" w:cs="Calibri"/>
        </w:rPr>
        <w:t>features</w:t>
      </w:r>
      <w:r w:rsidRPr="00677B47">
        <w:rPr>
          <w:rFonts w:ascii="Calibri" w:hAnsi="Calibri" w:cs="Calibri"/>
        </w:rPr>
        <w:t xml:space="preserve"> blunt-impact followed by rapid anterior-posterior rotational acceleration commonly seen in sports-related </w:t>
      </w:r>
      <w:r w:rsidR="00450330" w:rsidRPr="00677B47">
        <w:rPr>
          <w:rFonts w:ascii="Calibri" w:hAnsi="Calibri" w:cs="Calibri"/>
        </w:rPr>
        <w:t xml:space="preserve">head </w:t>
      </w:r>
      <w:r w:rsidRPr="00677B47">
        <w:rPr>
          <w:rFonts w:ascii="Calibri" w:hAnsi="Calibri" w:cs="Calibri"/>
        </w:rPr>
        <w:t>injuries</w:t>
      </w:r>
      <w:r w:rsidR="00F62E6A" w:rsidRPr="00677B47">
        <w:rPr>
          <w:rFonts w:ascii="Calibri" w:hAnsi="Calibri" w:cs="Calibri"/>
        </w:rPr>
        <w:fldChar w:fldCharType="begin"/>
      </w:r>
      <w:r w:rsidR="00594BFB" w:rsidRPr="00677B47">
        <w:rPr>
          <w:rFonts w:ascii="Calibri" w:hAnsi="Calibri" w:cs="Calibri"/>
        </w:rPr>
        <w:instrText xml:space="preserve"> ADDIN ZOTERO_ITEM CSL_CITATION {"citationID":"fK6ct3gh","properties":{"formattedCitation":"\\super 10, 19\\nosupersub{}","plainCitation":"10, 19","noteIndex":0},"citationItems":[{"id":147,"uris":["http://zotero.org/users/5036325/items/MYNJSNYL"],"uri":["http://zotero.org/users/5036325/items/MYNJSNYL"],"itemData":{"id":147,"type":"article-journal","container-title":"Neurosurgery","DOI":"10.1227/NEU.0b013e318265a439","ISSN":"0148-396X","issue":"4","language":"en","page":"885-892","source":"Crossref","title":"Increasing Recovery Time Between Injuries Improves Cognitive Outcome After Repetitive Mild Concussive Brain Injuries in Mice:","title-short":"Increasing Recovery Time Between Injuries Improves Cognitive Outcome After Repetitive Mild Concussive Brain Injuries in Mice","volume":"71","author":[{"family":"Meehan","given":"William P."},{"family":"Zhang","given":"Jimmy"},{"family":"Mannix","given":"Rebekah"},{"family":"Whalen","given":"Michael J."}],"issued":{"date-parts":[["2012",10]]}}},{"id":52,"uris":["http://zotero.org/users/5036325/items/UCRA8S79"],"uri":["http://zotero.org/users/5036325/items/UCRA8S79"],"itemData":{"id":52,"type":"article-journal","container-title":"Journal of Cerebral Blood Flow &amp; Metabolism","DOI":"10.1038/jcbfm.2015.161","ISSN":"0271-678X, 1559-7016","issue":"12","language":"en","page":"1995-2000","source":"Crossref","title":"Decreased Microvascular Cerebral Blood Flow Assessed by Diffuse Correlation Spectroscopy after Repetitive Concussions in Mice","volume":"35","author":[{"family":"Buckley","given":"Erin M"},{"family":"Miller","given":"Benjamin F"},{"family":"Golinski","given":"Julianne M"},{"family":"Sadeghian","given":"Homa"},{"family":"McAllister","given":"Lauren M"},{"family":"Vangel","given":"Mark"},{"family":"Ayata","given":"Cenk"},{"family":"Meehan","given":"William P"},{"family":"Franceschini","given":"Maria Angela"},{"family":"Whalen","given":"Michael J"}],"issued":{"date-parts":[["2015",12]]}}}],"schema":"https://github.com/citation-style-language/schema/raw/master/csl-citation.json"} </w:instrText>
      </w:r>
      <w:r w:rsidR="00F62E6A" w:rsidRPr="00677B47">
        <w:rPr>
          <w:rFonts w:ascii="Calibri" w:hAnsi="Calibri" w:cs="Calibri"/>
        </w:rPr>
        <w:fldChar w:fldCharType="separate"/>
      </w:r>
      <w:r w:rsidR="00F62E6A" w:rsidRPr="00677B47">
        <w:rPr>
          <w:rFonts w:ascii="Calibri" w:hAnsi="Calibri" w:cs="Calibri"/>
          <w:vertAlign w:val="superscript"/>
        </w:rPr>
        <w:t>10,19</w:t>
      </w:r>
      <w:r w:rsidR="00F62E6A" w:rsidRPr="00677B47">
        <w:rPr>
          <w:rFonts w:ascii="Calibri" w:hAnsi="Calibri" w:cs="Calibri"/>
        </w:rPr>
        <w:fldChar w:fldCharType="end"/>
      </w:r>
      <w:r w:rsidRPr="00677B47">
        <w:rPr>
          <w:rFonts w:ascii="Calibri" w:hAnsi="Calibri" w:cs="Calibri"/>
        </w:rPr>
        <w:t>. Certainly, the lissencephalic mouse brain does not fully recapitulate complexity of the gyrocephalic human brain; nevertheless, this model does induce many of the same clinical and behavioral sequelae of human mTBI</w:t>
      </w:r>
      <w:r w:rsidR="00450330" w:rsidRPr="00677B47">
        <w:rPr>
          <w:rFonts w:ascii="Calibri" w:hAnsi="Calibri" w:cs="Calibri"/>
        </w:rPr>
        <w:t>,</w:t>
      </w:r>
      <w:r w:rsidRPr="00677B47">
        <w:rPr>
          <w:rFonts w:ascii="Calibri" w:hAnsi="Calibri" w:cs="Calibri"/>
        </w:rPr>
        <w:t xml:space="preserve"> including sustained deficits in special learning and memory with repeated injuries. Additionally, while the impact is mild in nature </w:t>
      </w:r>
      <w:r w:rsidR="007B1948" w:rsidRPr="007B1948">
        <w:rPr>
          <w:rFonts w:ascii="Calibri" w:hAnsi="Calibri" w:cs="Calibri"/>
        </w:rPr>
        <w:t>(</w:t>
      </w:r>
      <w:r w:rsidRPr="00677B47">
        <w:rPr>
          <w:rFonts w:ascii="Calibri" w:hAnsi="Calibri" w:cs="Calibri"/>
        </w:rPr>
        <w:t xml:space="preserve">no structural/neuronal damage, no blood brain barrier permeability, cognitive deficits emerging only after multiple hits, </w:t>
      </w:r>
      <w:r w:rsidR="007E3072" w:rsidRPr="00677B47">
        <w:rPr>
          <w:rFonts w:ascii="Calibri" w:hAnsi="Calibri" w:cs="Calibri"/>
        </w:rPr>
        <w:t>etc.</w:t>
      </w:r>
      <w:r w:rsidR="007E3072" w:rsidRPr="00677B47">
        <w:rPr>
          <w:rFonts w:ascii="Calibri" w:hAnsi="Calibri" w:cs="Calibri"/>
        </w:rPr>
        <w:fldChar w:fldCharType="begin"/>
      </w:r>
      <w:r w:rsidR="00594BFB" w:rsidRPr="00677B47">
        <w:rPr>
          <w:rFonts w:ascii="Calibri" w:hAnsi="Calibri" w:cs="Calibri"/>
        </w:rPr>
        <w:instrText xml:space="preserve"> ADDIN ZOTERO_ITEM CSL_CITATION {"citationID":"a2a65k2v6d9","properties":{"formattedCitation":"\\super 19\\nosupersub{}","plainCitation":"19","noteIndex":0},"citationItems":[{"id":147,"uris":["http://zotero.org/users/5036325/items/MYNJSNYL"],"uri":["http://zotero.org/users/5036325/items/MYNJSNYL"],"itemData":{"id":147,"type":"article-journal","container-title":"Neurosurgery","DOI":"10.1227/NEU.0b013e318265a439","ISSN":"0148-396X","issue":"4","language":"en","page":"885-892","source":"Crossref","title":"Increasing Recovery Time Between Injuries Improves Cognitive Outcome After Repetitive Mild Concussive Brain Injuries in Mice:","title-short":"Increasing Recovery Time Between Injuries Improves Cognitive Outcome After Repetitive Mild Concussive Brain Injuries in Mice","volume":"71","author":[{"family":"Meehan","given":"William P."},{"family":"Zhang","given":"Jimmy"},{"family":"Mannix","given":"Rebekah"},{"family":"Whalen","given":"Michael J."}],"issued":{"date-parts":[["2012",10]]}}}],"schema":"https://github.com/citation-style-language/schema/raw/master/csl-citation.json"} </w:instrText>
      </w:r>
      <w:r w:rsidR="007E3072" w:rsidRPr="00677B47">
        <w:rPr>
          <w:rFonts w:ascii="Calibri" w:hAnsi="Calibri" w:cs="Calibri"/>
        </w:rPr>
        <w:fldChar w:fldCharType="separate"/>
      </w:r>
      <w:r w:rsidR="007E3072" w:rsidRPr="00677B47">
        <w:rPr>
          <w:rFonts w:ascii="Calibri" w:hAnsi="Calibri" w:cs="Calibri"/>
          <w:vertAlign w:val="superscript"/>
        </w:rPr>
        <w:t>19</w:t>
      </w:r>
      <w:r w:rsidR="007E3072" w:rsidRPr="00677B47">
        <w:rPr>
          <w:rFonts w:ascii="Calibri" w:hAnsi="Calibri" w:cs="Calibri"/>
        </w:rPr>
        <w:fldChar w:fldCharType="end"/>
      </w:r>
      <w:r w:rsidR="007B1948" w:rsidRPr="007B1948">
        <w:rPr>
          <w:rFonts w:ascii="Calibri" w:hAnsi="Calibri" w:cs="Calibri"/>
        </w:rPr>
        <w:t>)</w:t>
      </w:r>
      <w:r w:rsidR="007E3072" w:rsidRPr="00677B47">
        <w:rPr>
          <w:rFonts w:ascii="Calibri" w:hAnsi="Calibri" w:cs="Calibri"/>
        </w:rPr>
        <w:t>,</w:t>
      </w:r>
      <w:r w:rsidR="00450330" w:rsidRPr="00677B47">
        <w:rPr>
          <w:rFonts w:ascii="Calibri" w:hAnsi="Calibri" w:cs="Calibri"/>
        </w:rPr>
        <w:t xml:space="preserve"> </w:t>
      </w:r>
      <w:r w:rsidRPr="00677B47">
        <w:rPr>
          <w:rFonts w:ascii="Calibri" w:hAnsi="Calibri" w:cs="Calibri"/>
        </w:rPr>
        <w:t>it does induce significant loss of consciousness, in contrast to humans where loss of consciousness is less common. This increased loss of consciousness may</w:t>
      </w:r>
      <w:r w:rsidR="004412A2" w:rsidRPr="00677B47">
        <w:rPr>
          <w:rFonts w:ascii="Calibri" w:hAnsi="Calibri" w:cs="Calibri"/>
        </w:rPr>
        <w:t xml:space="preserve"> be</w:t>
      </w:r>
      <w:r w:rsidRPr="00677B47">
        <w:rPr>
          <w:rFonts w:ascii="Calibri" w:hAnsi="Calibri" w:cs="Calibri"/>
        </w:rPr>
        <w:t xml:space="preserve"> due to an interaction with the anesthesia given immediately prior to the impact, although the exact cause is not well understood. Finally, we note that aligning the guide tube such that the bolt impa</w:t>
      </w:r>
      <w:r w:rsidR="00A8668D" w:rsidRPr="00677B47">
        <w:rPr>
          <w:rFonts w:ascii="Calibri" w:hAnsi="Calibri" w:cs="Calibri"/>
        </w:rPr>
        <w:t>cts between the coronal and lamd</w:t>
      </w:r>
      <w:r w:rsidRPr="00677B47">
        <w:rPr>
          <w:rFonts w:ascii="Calibri" w:hAnsi="Calibri" w:cs="Calibri"/>
        </w:rPr>
        <w:t xml:space="preserve">oid sutures is critical. We have observed that impacts that are more posterior can cause significant motor deficits that require euthanasia. </w:t>
      </w:r>
    </w:p>
    <w:p w14:paraId="25249BBA" w14:textId="77777777" w:rsidR="0046151E" w:rsidRPr="00677B47" w:rsidRDefault="0046151E" w:rsidP="009B5312">
      <w:pPr>
        <w:pStyle w:val="ListParagraph"/>
        <w:ind w:left="0"/>
      </w:pPr>
    </w:p>
    <w:p w14:paraId="08770617" w14:textId="21CF0C47" w:rsidR="0046151E" w:rsidRPr="00677B47" w:rsidRDefault="0046151E" w:rsidP="009B5312">
      <w:pPr>
        <w:contextualSpacing/>
        <w:rPr>
          <w:rFonts w:ascii="Calibri" w:hAnsi="Calibri" w:cs="Calibri"/>
          <w:bCs/>
        </w:rPr>
      </w:pPr>
      <w:r w:rsidRPr="00677B47">
        <w:rPr>
          <w:rFonts w:ascii="Calibri" w:hAnsi="Calibri" w:cs="Calibri"/>
          <w:b/>
          <w:bCs/>
        </w:rPr>
        <w:t xml:space="preserve">Assessment of cerebral blood flow with </w:t>
      </w:r>
      <w:r w:rsidR="005D4433" w:rsidRPr="00677B47">
        <w:rPr>
          <w:rFonts w:ascii="Calibri" w:hAnsi="Calibri" w:cs="Calibri"/>
          <w:b/>
          <w:bCs/>
        </w:rPr>
        <w:t>Diffuse Correlation Spectroscopy</w:t>
      </w:r>
      <w:r w:rsidR="009D2852">
        <w:rPr>
          <w:rFonts w:ascii="Calibri" w:hAnsi="Calibri" w:cs="Calibri"/>
          <w:b/>
          <w:bCs/>
        </w:rPr>
        <w:t>.</w:t>
      </w:r>
      <w:r w:rsidRPr="00677B47">
        <w:rPr>
          <w:rFonts w:ascii="Calibri" w:hAnsi="Calibri" w:cs="Calibri"/>
          <w:bCs/>
        </w:rPr>
        <w:t xml:space="preserve"> Non-invasive, longitudinal measurements of cerebral blood flow </w:t>
      </w:r>
      <w:r w:rsidR="007B1948" w:rsidRPr="007B1948">
        <w:rPr>
          <w:rFonts w:ascii="Calibri" w:hAnsi="Calibri" w:cs="Calibri"/>
        </w:rPr>
        <w:t>(</w:t>
      </w:r>
      <w:r w:rsidRPr="00677B47">
        <w:rPr>
          <w:rFonts w:ascii="Calibri" w:hAnsi="Calibri" w:cs="Calibri"/>
          <w:bCs/>
        </w:rPr>
        <w:t>CBF</w:t>
      </w:r>
      <w:r w:rsidR="007B1948" w:rsidRPr="007B1948">
        <w:rPr>
          <w:rFonts w:ascii="Calibri" w:hAnsi="Calibri" w:cs="Calibri"/>
        </w:rPr>
        <w:t>)</w:t>
      </w:r>
      <w:r w:rsidRPr="00677B47">
        <w:rPr>
          <w:rFonts w:ascii="Calibri" w:hAnsi="Calibri" w:cs="Calibri"/>
          <w:bCs/>
        </w:rPr>
        <w:t xml:space="preserve"> with traditional modalities used in human/large animal studies, such as perfusion magnetic resonance imaging or transcranial Doppler ultrasound, are challenging in mice for various reasons, including small brain size and total blood volume</w:t>
      </w:r>
      <w:r w:rsidRPr="00677B47">
        <w:rPr>
          <w:rFonts w:ascii="Calibri" w:hAnsi="Calibri" w:cs="Calibri"/>
          <w:bCs/>
        </w:rPr>
        <w:fldChar w:fldCharType="begin"/>
      </w:r>
      <w:r w:rsidR="00594BFB" w:rsidRPr="00677B47">
        <w:rPr>
          <w:rFonts w:ascii="Calibri" w:hAnsi="Calibri" w:cs="Calibri"/>
          <w:bCs/>
        </w:rPr>
        <w:instrText xml:space="preserve"> ADDIN ZOTERO_ITEM CSL_CITATION {"citationID":"1vq9ljg0hb","properties":{"formattedCitation":"\\super 29\\nosupersub{}","plainCitation":"29","noteIndex":0},"citationItems":[{"id":"ZyThaQRL/wBr3Xdqj","uris":["http://zotero.org/users/1518222/items/IQ8NFUJN"],"uri":["http://zotero.org/users/1518222/items/IQ8NFUJN"],"itemData":{"id":10686,"type":"article-journal","title":"Imaging of functional connectivity in the mouse brain","container-title":"PLoS One","page":"e16322","volume":"6","DOI":"10.1371/journal.pone.0016322","ISSN":"1932-6203 (Electronic) 1932-6203 (Linking)","journalAbbreviation":"PloS one","author":[{"family":"White","given":"B. R."},{"family":"Bauer","given":"A. Q."},{"family":"Snyder","given":"A. Z."},{"family":"Schlaggar","given":"B. L."},{"family":"Lee","given":"J. M."},{"family":"Culver","given":"J. P."}],"issued":{"date-parts":[["2011"]]}}}],"schema":"https://github.com/citation-style-language/schema/raw/master/csl-citation.json"} </w:instrText>
      </w:r>
      <w:r w:rsidRPr="00677B47">
        <w:rPr>
          <w:rFonts w:ascii="Calibri" w:hAnsi="Calibri" w:cs="Calibri"/>
          <w:bCs/>
        </w:rPr>
        <w:fldChar w:fldCharType="separate"/>
      </w:r>
      <w:r w:rsidR="00594BFB" w:rsidRPr="00677B47">
        <w:rPr>
          <w:rFonts w:ascii="Calibri" w:hAnsi="Calibri" w:cs="Calibri"/>
          <w:vertAlign w:val="superscript"/>
        </w:rPr>
        <w:t>29</w:t>
      </w:r>
      <w:r w:rsidRPr="00677B47">
        <w:rPr>
          <w:rFonts w:ascii="Calibri" w:hAnsi="Calibri" w:cs="Calibri"/>
          <w:bCs/>
        </w:rPr>
        <w:fldChar w:fldCharType="end"/>
      </w:r>
      <w:r w:rsidRPr="00677B47">
        <w:rPr>
          <w:rFonts w:ascii="Calibri" w:hAnsi="Calibri" w:cs="Calibri"/>
          <w:bCs/>
        </w:rPr>
        <w:t xml:space="preserve">. </w:t>
      </w:r>
      <w:r w:rsidR="005D4433" w:rsidRPr="00677B47">
        <w:rPr>
          <w:rFonts w:ascii="Calibri" w:hAnsi="Calibri" w:cs="Calibri"/>
          <w:bCs/>
        </w:rPr>
        <w:t xml:space="preserve">Diffuse </w:t>
      </w:r>
      <w:r w:rsidR="009D2852" w:rsidRPr="00677B47">
        <w:rPr>
          <w:rFonts w:ascii="Calibri" w:hAnsi="Calibri" w:cs="Calibri"/>
          <w:bCs/>
        </w:rPr>
        <w:t xml:space="preserve">correlation spectroscopy </w:t>
      </w:r>
      <w:r w:rsidRPr="00677B47">
        <w:rPr>
          <w:rFonts w:ascii="Calibri" w:hAnsi="Calibri" w:cs="Calibri"/>
          <w:bCs/>
        </w:rPr>
        <w:t xml:space="preserve">is well-suited in mice and offers the added advantages of being noninvasive and relatively inexpensive compared to other </w:t>
      </w:r>
      <w:r w:rsidR="00D71CB9" w:rsidRPr="00677B47">
        <w:rPr>
          <w:rFonts w:ascii="Calibri" w:hAnsi="Calibri" w:cs="Calibri"/>
          <w:bCs/>
        </w:rPr>
        <w:t>modalities</w:t>
      </w:r>
      <w:r w:rsidRPr="00677B47">
        <w:rPr>
          <w:rFonts w:ascii="Calibri" w:hAnsi="Calibri" w:cs="Calibri"/>
          <w:bCs/>
        </w:rPr>
        <w:fldChar w:fldCharType="begin"/>
      </w:r>
      <w:r w:rsidR="00594BFB" w:rsidRPr="00677B47">
        <w:rPr>
          <w:rFonts w:ascii="Calibri" w:hAnsi="Calibri" w:cs="Calibri"/>
          <w:bCs/>
        </w:rPr>
        <w:instrText xml:space="preserve"> ADDIN ZOTERO_ITEM CSL_CITATION {"citationID":"gqe3txQa","properties":{"formattedCitation":"\\super 20, 30\\nosupersub{}","plainCitation":"20, 30","noteIndex":0},"citationItems":[{"id":155,"uris":["http://zotero.org/users/5036325/items/6BN7QWP4"],"uri":["http://zotero.org/users/5036325/items/6BN7QWP4"],"itemData":{"id":155,"type":"article-journal","container-title":"NeuroImage","DOI":"10.1016/j.neuroimage.2013.06.017","ISSN":"10538119","language":"en","page":"51-63","source":"Crossref","title":"Diffuse correlation spectroscopy for non-invasive, micro-vascular cerebral blood flow measurement","volume":"85","author":[{"family":"Durduran","given":"Turgut"},{"family":"Yodh","given":"Arjun G."}],"issued":{"date-parts":[["2014",1]]}}},{"id":224,"uris":["http://zotero.org/users/5036325/items/EKN3I7FS"],"uri":["http://zotero.org/users/5036325/items/EKN3I7FS"],"itemData":{"id":224,"type":"article-journal","container-title":"Neurophotonics","DOI":"10.1117/1.NPh.1.1.011009","ISSN":"2329-423X","issue":"1","language":"en","page":"011009","source":"Crossref","title":"Diffuse correlation spectroscopy for measurement of cerebral blood flow: future prospects","title-short":"Diffuse correlation spectroscopy for measurement of cerebral blood flow","volume":"1","author":[{"family":"Buckley","given":"Erin M."},{"family":"Parthasarathy","given":"Ashwin B."},{"family":"Grant","given":"P. Ellen"},{"family":"Yodh","given":"Arjun G."},{"family":"Franceschini","given":"Maria Angela"}],"issued":{"date-parts":[["2014",6,20]]}}}],"schema":"https://github.com/citation-style-language/schema/raw/master/csl-citation.json"} </w:instrText>
      </w:r>
      <w:r w:rsidRPr="00677B47">
        <w:rPr>
          <w:rFonts w:ascii="Calibri" w:hAnsi="Calibri" w:cs="Calibri"/>
          <w:bCs/>
        </w:rPr>
        <w:fldChar w:fldCharType="separate"/>
      </w:r>
      <w:r w:rsidR="00594BFB" w:rsidRPr="00677B47">
        <w:rPr>
          <w:rFonts w:ascii="Calibri" w:hAnsi="Calibri" w:cs="Calibri"/>
          <w:vertAlign w:val="superscript"/>
        </w:rPr>
        <w:t>20,30</w:t>
      </w:r>
      <w:r w:rsidRPr="00677B47">
        <w:rPr>
          <w:rFonts w:ascii="Calibri" w:hAnsi="Calibri" w:cs="Calibri"/>
          <w:bCs/>
        </w:rPr>
        <w:fldChar w:fldCharType="end"/>
      </w:r>
      <w:r w:rsidRPr="00677B47">
        <w:rPr>
          <w:rFonts w:ascii="Calibri" w:hAnsi="Calibri" w:cs="Calibri"/>
          <w:bCs/>
        </w:rPr>
        <w:t xml:space="preserve">. Because DCS is sensitive to motion artifacts, mice need to be briefly anesthetized for assessment. We use isoflurane due to its fast induction and recovery; however, isoflurane is a cerebral vasodilator, and blood flow estimates under isoflurane should be interpreted with caution. Decreases in blood flow </w:t>
      </w:r>
      <w:r w:rsidR="008161CD" w:rsidRPr="00677B47">
        <w:rPr>
          <w:rFonts w:ascii="Calibri" w:hAnsi="Calibri" w:cs="Calibri"/>
          <w:bCs/>
        </w:rPr>
        <w:t xml:space="preserve">seen post-injury </w:t>
      </w:r>
      <w:r w:rsidRPr="00677B47">
        <w:rPr>
          <w:rFonts w:ascii="Calibri" w:hAnsi="Calibri" w:cs="Calibri"/>
          <w:bCs/>
        </w:rPr>
        <w:t xml:space="preserve">compared with sham-injured </w:t>
      </w:r>
      <w:r w:rsidR="008161CD" w:rsidRPr="00677B47">
        <w:rPr>
          <w:rFonts w:ascii="Calibri" w:hAnsi="Calibri" w:cs="Calibri"/>
          <w:bCs/>
        </w:rPr>
        <w:t xml:space="preserve">animals </w:t>
      </w:r>
      <w:r w:rsidRPr="00677B47">
        <w:rPr>
          <w:rFonts w:ascii="Calibri" w:hAnsi="Calibri" w:cs="Calibri"/>
          <w:bCs/>
        </w:rPr>
        <w:t xml:space="preserve">could be confounded by </w:t>
      </w:r>
      <w:r w:rsidR="008161CD" w:rsidRPr="00677B47">
        <w:rPr>
          <w:rFonts w:ascii="Calibri" w:hAnsi="Calibri" w:cs="Calibri"/>
          <w:bCs/>
        </w:rPr>
        <w:t xml:space="preserve">a </w:t>
      </w:r>
      <w:r w:rsidRPr="00677B47">
        <w:rPr>
          <w:rFonts w:ascii="Calibri" w:hAnsi="Calibri" w:cs="Calibri"/>
          <w:bCs/>
        </w:rPr>
        <w:t>failure of the injured cerebral vasculature to vasodilate in response to isoflurane. Finally, we have previously demonstrated excellent intra-user repeatability of blood flow measurements with DCS</w:t>
      </w:r>
      <w:r w:rsidR="000C097A" w:rsidRPr="00677B47">
        <w:rPr>
          <w:rFonts w:ascii="Calibri" w:hAnsi="Calibri" w:cs="Calibri"/>
          <w:bCs/>
        </w:rPr>
        <w:t xml:space="preserve"> in mice</w:t>
      </w:r>
      <w:r w:rsidRPr="00677B47">
        <w:rPr>
          <w:rFonts w:ascii="Calibri" w:hAnsi="Calibri" w:cs="Calibri"/>
          <w:bCs/>
        </w:rPr>
        <w:t xml:space="preserve"> but only fair intra-user repeatability </w:t>
      </w:r>
      <w:r w:rsidR="00577524" w:rsidRPr="00677B47">
        <w:rPr>
          <w:rFonts w:ascii="Calibri" w:hAnsi="Calibri" w:cs="Calibri"/>
          <w:bCs/>
        </w:rPr>
        <w:fldChar w:fldCharType="begin"/>
      </w:r>
      <w:r w:rsidR="00594BFB" w:rsidRPr="00677B47">
        <w:rPr>
          <w:rFonts w:ascii="Calibri" w:hAnsi="Calibri" w:cs="Calibri"/>
          <w:bCs/>
        </w:rPr>
        <w:instrText xml:space="preserve"> ADDIN ZOTERO_ITEM CSL_CITATION {"citationID":"q61E2pbl","properties":{"formattedCitation":"\\super 21\\nosupersub{}","plainCitation":"21","noteIndex":0},"citationItems":[{"id":216,"uris":["http://zotero.org/users/5036325/items/NBXMVDC3"],"uri":["http://zotero.org/users/5036325/items/NBXMVDC3"],"itemData":{"id":216,"type":"article-journal","container-title":"Biomedical Optics Express","DOI":"10.1364/BOE.9.005719","ISSN":"2156-7085, 2156-7085","issue":"11","language":"en","page":"5719","source":"Crossref","title":"Small separation diffuse correlation spectroscopy for measurement of cerebral blood flow in rodents","volume":"9","author":[{"family":"Sathialingam","given":"Eashani"},{"family":"Lee","given":"Seung Yup"},{"family":"Sanders","given":"Bharat"},{"family":"Park","given":"Jaekeun"},{"family":"McCracken","given":"Courtney E."},{"family":"Bryan","given":"Leah"},{"family":"Buckley","given":"Erin M."}],"issued":{"date-parts":[["2018",11,1]]}}}],"schema":"https://github.com/citation-style-language/schema/raw/master/csl-citation.json"} </w:instrText>
      </w:r>
      <w:r w:rsidR="00577524" w:rsidRPr="00677B47">
        <w:rPr>
          <w:rFonts w:ascii="Calibri" w:hAnsi="Calibri" w:cs="Calibri"/>
          <w:bCs/>
        </w:rPr>
        <w:fldChar w:fldCharType="separate"/>
      </w:r>
      <w:r w:rsidR="00577524" w:rsidRPr="00677B47">
        <w:rPr>
          <w:rFonts w:ascii="Calibri" w:hAnsi="Calibri" w:cs="Calibri"/>
          <w:vertAlign w:val="superscript"/>
        </w:rPr>
        <w:t>21</w:t>
      </w:r>
      <w:r w:rsidR="00577524" w:rsidRPr="00677B47">
        <w:rPr>
          <w:rFonts w:ascii="Calibri" w:hAnsi="Calibri" w:cs="Calibri"/>
          <w:bCs/>
        </w:rPr>
        <w:fldChar w:fldCharType="end"/>
      </w:r>
      <w:r w:rsidRPr="00677B47">
        <w:rPr>
          <w:rFonts w:ascii="Calibri" w:hAnsi="Calibri" w:cs="Calibri"/>
          <w:bCs/>
        </w:rPr>
        <w:t>. For this reason, we recommend that the same operator acquire DCS measurements for experiments that require longitudinal assessment of cerebral blood flow.</w:t>
      </w:r>
    </w:p>
    <w:p w14:paraId="593159D3" w14:textId="77777777" w:rsidR="0046151E" w:rsidRPr="00677B47" w:rsidRDefault="0046151E" w:rsidP="009B5312">
      <w:pPr>
        <w:pStyle w:val="ListParagraph"/>
        <w:ind w:left="0"/>
        <w:rPr>
          <w:b/>
        </w:rPr>
      </w:pPr>
    </w:p>
    <w:p w14:paraId="62669120" w14:textId="72707EB8" w:rsidR="00481A32" w:rsidRDefault="0046151E" w:rsidP="009B5312">
      <w:pPr>
        <w:contextualSpacing/>
        <w:rPr>
          <w:rFonts w:ascii="Calibri" w:hAnsi="Calibri" w:cs="Calibri"/>
        </w:rPr>
      </w:pPr>
      <w:r w:rsidRPr="00677B47">
        <w:rPr>
          <w:rFonts w:ascii="Calibri" w:hAnsi="Calibri" w:cs="Calibri"/>
          <w:b/>
          <w:bCs/>
        </w:rPr>
        <w:t xml:space="preserve">Multiplexed </w:t>
      </w:r>
      <w:r w:rsidR="00C74CA7" w:rsidRPr="00677B47">
        <w:rPr>
          <w:rFonts w:ascii="Calibri" w:hAnsi="Calibri" w:cs="Calibri"/>
          <w:b/>
          <w:bCs/>
        </w:rPr>
        <w:t>q</w:t>
      </w:r>
      <w:r w:rsidRPr="00677B47">
        <w:rPr>
          <w:rFonts w:ascii="Calibri" w:hAnsi="Calibri" w:cs="Calibri"/>
          <w:b/>
          <w:bCs/>
        </w:rPr>
        <w:t xml:space="preserve">uantification of </w:t>
      </w:r>
      <w:r w:rsidR="00C74CA7" w:rsidRPr="00677B47">
        <w:rPr>
          <w:rFonts w:ascii="Calibri" w:hAnsi="Calibri" w:cs="Calibri"/>
          <w:b/>
          <w:bCs/>
        </w:rPr>
        <w:t xml:space="preserve">cytokines </w:t>
      </w:r>
      <w:r w:rsidRPr="00677B47">
        <w:rPr>
          <w:rFonts w:ascii="Calibri" w:hAnsi="Calibri" w:cs="Calibri"/>
          <w:b/>
          <w:bCs/>
        </w:rPr>
        <w:t xml:space="preserve">and </w:t>
      </w:r>
      <w:r w:rsidR="00C74CA7" w:rsidRPr="00677B47">
        <w:rPr>
          <w:rFonts w:ascii="Calibri" w:hAnsi="Calibri" w:cs="Calibri"/>
          <w:b/>
          <w:bCs/>
        </w:rPr>
        <w:t>phospho</w:t>
      </w:r>
      <w:r w:rsidRPr="00677B47">
        <w:rPr>
          <w:rFonts w:ascii="Calibri" w:hAnsi="Calibri" w:cs="Calibri"/>
          <w:b/>
          <w:bCs/>
        </w:rPr>
        <w:t xml:space="preserve">-proteins using Luminex </w:t>
      </w:r>
      <w:r w:rsidR="00C74CA7" w:rsidRPr="00677B47">
        <w:rPr>
          <w:rFonts w:ascii="Calibri" w:hAnsi="Calibri" w:cs="Calibri"/>
          <w:b/>
          <w:bCs/>
        </w:rPr>
        <w:t>assays</w:t>
      </w:r>
      <w:r w:rsidR="009D2852">
        <w:rPr>
          <w:rFonts w:ascii="Calibri" w:hAnsi="Calibri" w:cs="Calibri"/>
          <w:b/>
          <w:bCs/>
        </w:rPr>
        <w:t>.</w:t>
      </w:r>
      <w:r w:rsidRPr="00677B47">
        <w:rPr>
          <w:rFonts w:ascii="Calibri" w:hAnsi="Calibri" w:cs="Calibri"/>
          <w:b/>
          <w:bCs/>
        </w:rPr>
        <w:t xml:space="preserve"> </w:t>
      </w:r>
      <w:r w:rsidR="00E11404" w:rsidRPr="00677B47">
        <w:rPr>
          <w:rFonts w:ascii="Calibri" w:hAnsi="Calibri" w:cs="Calibri"/>
        </w:rPr>
        <w:t>A key challenge with any ELISA is the Hook effect, whereby increased protein concentration can reduce antibody affinity for the target protein, thus leading to decreased assay signal in response to increased protein</w:t>
      </w:r>
      <w:r w:rsidR="00E11404" w:rsidRPr="00677B47">
        <w:rPr>
          <w:rFonts w:ascii="Calibri" w:hAnsi="Calibri" w:cs="Calibri"/>
        </w:rPr>
        <w:fldChar w:fldCharType="begin"/>
      </w:r>
      <w:r w:rsidR="00594BFB" w:rsidRPr="00677B47">
        <w:rPr>
          <w:rFonts w:ascii="Calibri" w:hAnsi="Calibri" w:cs="Calibri"/>
        </w:rPr>
        <w:instrText xml:space="preserve"> ADDIN ZOTERO_ITEM CSL_CITATION {"citationID":"H8JyDPP0","properties":{"formattedCitation":"\\super 31\\nosupersub{}","plainCitation":"31","noteIndex":0},"citationItems":[{"id":"ZyThaQRL/t6Rub7Bq","uris":["http://zotero.org/users/local/Eoql7WGj/items/QW7YVCES"],"uri":["http://zotero.org/users/local/Eoql7WGj/items/QW7YVCES"],"itemData":{"id":28,"type":"article-journal","abstract":"Substances that alter the measurable concentration of the analyte or alter antibody binding can potentially result in immunoassay interference. Interfering, endogenous substances that are natural, polyreactive antibodies or autoantibodies (heterophiles), or human anti-animal antibodies together with other unsuspected binding proteins that are unique to the individual, can interfere with the reaction between analyte and reagent antibodies in immunoassay. Lipaemia, cross-reactivity, and exogenous interferences due to pre-analytical variation, matrix and equipment reaction also affect immunoassay. Interfering substances may lead to falsely elevated or falsely low analyte concentration in one or more assay systems depending on the site of the interference in the reaction and possibly result in discordant results for other analytes. The prevalence of interference is generally low in assays containing blocking agents that neutralise or inhibit the interference but is often higher in new, untested immunoassays. A wide range of analytes measured by immunoassay including hormones, tumour markers, drugs, cardiac troponin and microbial serology may be affected. Interference in immunoassay may lead to the misinterpretation of a patient's results by the laboratory and the wrong course of treatment being given by the physician. Laboratories should put processes in place to detect, test and report suspected interferences. It is equally important that physicians communicate any clinical suspicion of discordance between the clinical and the laboratory data to the laboratory. The detection of interference may require the use of an alternate assay or additional measurements, before and after treatment with additional blocking reagent, or following dilution of the sample in non-immune serum. It is imperative that laboratories inform physicians of the follow-up procedure and report on the presence of any interference. The establishment of on-going laboratory-physician contact is essential to the continuing awareness of wrong patient results due to interference.","container-title":"The Clinical Biochemist. Reviews","ISSN":"0159-8090","issue":"2","journalAbbreviation":"Clin Biochem Rev","language":"eng","note":"PMID: 18458713\nPMCID: PMC1904417","page":"105-120","source":"PubMed","title":"Interferences in immunoassay","volume":"25","author":[{"family":"Tate","given":"Jill"},{"family":"Ward","given":"Greg"}],"issued":{"date-parts":[["2004",5]]}}}],"schema":"https://github.com/citation-style-language/schema/raw/master/csl-citation.json"} </w:instrText>
      </w:r>
      <w:r w:rsidR="00E11404" w:rsidRPr="00677B47">
        <w:rPr>
          <w:rFonts w:ascii="Calibri" w:hAnsi="Calibri" w:cs="Calibri"/>
        </w:rPr>
        <w:fldChar w:fldCharType="separate"/>
      </w:r>
      <w:r w:rsidR="00594BFB" w:rsidRPr="00677B47">
        <w:rPr>
          <w:rFonts w:ascii="Calibri" w:hAnsi="Calibri" w:cs="Calibri"/>
          <w:vertAlign w:val="superscript"/>
        </w:rPr>
        <w:t>31</w:t>
      </w:r>
      <w:r w:rsidR="00E11404" w:rsidRPr="00677B47">
        <w:rPr>
          <w:rFonts w:ascii="Calibri" w:hAnsi="Calibri" w:cs="Calibri"/>
        </w:rPr>
        <w:fldChar w:fldCharType="end"/>
      </w:r>
      <w:r w:rsidR="00E11404" w:rsidRPr="00677B47">
        <w:rPr>
          <w:rFonts w:ascii="Calibri" w:hAnsi="Calibri" w:cs="Calibri"/>
        </w:rPr>
        <w:t xml:space="preserve"> </w:t>
      </w:r>
      <w:r w:rsidR="007B1948" w:rsidRPr="007B1948">
        <w:rPr>
          <w:rFonts w:ascii="Calibri" w:hAnsi="Calibri" w:cs="Calibri"/>
        </w:rPr>
        <w:t>(</w:t>
      </w:r>
      <w:r w:rsidR="00677B47" w:rsidRPr="00677B47">
        <w:rPr>
          <w:rFonts w:ascii="Calibri" w:hAnsi="Calibri" w:cs="Calibri"/>
          <w:b/>
        </w:rPr>
        <w:t>Figure</w:t>
      </w:r>
      <w:r w:rsidR="00E11404" w:rsidRPr="00677B47">
        <w:rPr>
          <w:rFonts w:ascii="Calibri" w:hAnsi="Calibri" w:cs="Calibri"/>
          <w:b/>
        </w:rPr>
        <w:t xml:space="preserve"> </w:t>
      </w:r>
      <w:r w:rsidR="00E05C87" w:rsidRPr="00677B47">
        <w:rPr>
          <w:rFonts w:ascii="Calibri" w:hAnsi="Calibri" w:cs="Calibri"/>
          <w:b/>
        </w:rPr>
        <w:t>8</w:t>
      </w:r>
      <w:r w:rsidR="007B1948" w:rsidRPr="007B1948">
        <w:rPr>
          <w:rFonts w:ascii="Calibri" w:hAnsi="Calibri" w:cs="Calibri"/>
        </w:rPr>
        <w:t>)</w:t>
      </w:r>
      <w:r w:rsidR="00E11404" w:rsidRPr="00677B47">
        <w:rPr>
          <w:rFonts w:ascii="Calibri" w:hAnsi="Calibri" w:cs="Calibri"/>
        </w:rPr>
        <w:t>.</w:t>
      </w:r>
      <w:r w:rsidR="00E11404" w:rsidRPr="00677B47" w:rsidDel="00B567DC">
        <w:rPr>
          <w:rFonts w:ascii="Calibri" w:hAnsi="Calibri" w:cs="Calibri"/>
        </w:rPr>
        <w:t xml:space="preserve"> </w:t>
      </w:r>
      <w:r w:rsidR="00E11404" w:rsidRPr="00677B47">
        <w:rPr>
          <w:rFonts w:ascii="Calibri" w:hAnsi="Calibri" w:cs="Calibri"/>
        </w:rPr>
        <w:t xml:space="preserve">This effect can be exacerbated when analyzing whole tissues, wherein bulk proteins can similarly interfere. Thus, the first step in utilizing Luminex assays is to determine if there is a range of protein concentrations loaded for which the assay read out linearly varies with the amount of protein loaded. Analytes that do not have such a linear range </w:t>
      </w:r>
      <w:r w:rsidR="007B1948" w:rsidRPr="007B1948">
        <w:rPr>
          <w:rFonts w:ascii="Calibri" w:hAnsi="Calibri" w:cs="Calibri"/>
        </w:rPr>
        <w:t>(</w:t>
      </w:r>
      <w:r w:rsidR="00677B47" w:rsidRPr="00677B47">
        <w:rPr>
          <w:rFonts w:ascii="Calibri" w:hAnsi="Calibri" w:cs="Calibri"/>
          <w:b/>
        </w:rPr>
        <w:t>Figure</w:t>
      </w:r>
      <w:r w:rsidR="00E11404" w:rsidRPr="00677B47">
        <w:rPr>
          <w:rFonts w:ascii="Calibri" w:hAnsi="Calibri" w:cs="Calibri"/>
          <w:b/>
        </w:rPr>
        <w:t xml:space="preserve"> </w:t>
      </w:r>
      <w:r w:rsidR="00E05C87" w:rsidRPr="00677B47">
        <w:rPr>
          <w:rFonts w:ascii="Calibri" w:hAnsi="Calibri" w:cs="Calibri"/>
          <w:b/>
        </w:rPr>
        <w:t>8</w:t>
      </w:r>
      <w:r w:rsidR="007B1948" w:rsidRPr="007B1948">
        <w:rPr>
          <w:rFonts w:ascii="Calibri" w:hAnsi="Calibri" w:cs="Calibri"/>
        </w:rPr>
        <w:t>)</w:t>
      </w:r>
      <w:r w:rsidR="00E11404" w:rsidRPr="00677B47">
        <w:rPr>
          <w:rFonts w:ascii="Calibri" w:hAnsi="Calibri" w:cs="Calibri"/>
        </w:rPr>
        <w:t xml:space="preserve"> should be excluded from the analysis. </w:t>
      </w:r>
    </w:p>
    <w:p w14:paraId="60BA5E5D" w14:textId="77777777" w:rsidR="009D2852" w:rsidRPr="00677B47" w:rsidRDefault="009D2852" w:rsidP="009B5312">
      <w:pPr>
        <w:contextualSpacing/>
        <w:rPr>
          <w:rFonts w:ascii="Calibri" w:hAnsi="Calibri" w:cs="Calibri"/>
        </w:rPr>
      </w:pPr>
    </w:p>
    <w:p w14:paraId="60C4C09C" w14:textId="6D0FD01A" w:rsidR="00276EF6" w:rsidRPr="00677B47" w:rsidRDefault="006C37C6" w:rsidP="009B5312">
      <w:pPr>
        <w:contextualSpacing/>
        <w:rPr>
          <w:rFonts w:ascii="Calibri" w:hAnsi="Calibri" w:cs="Calibri"/>
        </w:rPr>
      </w:pPr>
      <w:r w:rsidRPr="00677B47">
        <w:rPr>
          <w:rFonts w:ascii="Calibri" w:hAnsi="Calibri" w:cs="Calibri"/>
        </w:rPr>
        <w:t xml:space="preserve">Because neuroinflammation is regulated by diverse intracellular phospho-proteins and extracellular cytokines, it is critical to simultaneously measure </w:t>
      </w:r>
      <w:r w:rsidR="000C097A" w:rsidRPr="00677B47">
        <w:rPr>
          <w:rFonts w:ascii="Calibri" w:hAnsi="Calibri" w:cs="Calibri"/>
        </w:rPr>
        <w:t>a wide array of these</w:t>
      </w:r>
      <w:r w:rsidRPr="00677B47">
        <w:rPr>
          <w:rFonts w:ascii="Calibri" w:hAnsi="Calibri" w:cs="Calibri"/>
        </w:rPr>
        <w:t xml:space="preserve"> proteins </w:t>
      </w:r>
      <w:proofErr w:type="gramStart"/>
      <w:r w:rsidRPr="00677B47">
        <w:rPr>
          <w:rFonts w:ascii="Calibri" w:hAnsi="Calibri" w:cs="Calibri"/>
        </w:rPr>
        <w:t>in order to</w:t>
      </w:r>
      <w:proofErr w:type="gramEnd"/>
      <w:r w:rsidRPr="00677B47">
        <w:rPr>
          <w:rFonts w:ascii="Calibri" w:hAnsi="Calibri" w:cs="Calibri"/>
        </w:rPr>
        <w:t xml:space="preserve"> understand the brain</w:t>
      </w:r>
      <w:r w:rsidR="004412A2" w:rsidRPr="00677B47">
        <w:rPr>
          <w:rFonts w:ascii="Calibri" w:hAnsi="Calibri" w:cs="Calibri"/>
        </w:rPr>
        <w:t>’</w:t>
      </w:r>
      <w:r w:rsidRPr="00677B47">
        <w:rPr>
          <w:rFonts w:ascii="Calibri" w:hAnsi="Calibri" w:cs="Calibri"/>
        </w:rPr>
        <w:t>s neural immune response to mTBI.</w:t>
      </w:r>
      <w:r w:rsidR="000C097A" w:rsidRPr="00677B47">
        <w:rPr>
          <w:rFonts w:ascii="Calibri" w:hAnsi="Calibri" w:cs="Calibri"/>
        </w:rPr>
        <w:t xml:space="preserve"> </w:t>
      </w:r>
      <w:r w:rsidRPr="00677B47">
        <w:rPr>
          <w:rFonts w:ascii="Calibri" w:hAnsi="Calibri" w:cs="Calibri"/>
        </w:rPr>
        <w:t xml:space="preserve">Luminex multiplexed </w:t>
      </w:r>
      <w:r w:rsidRPr="00677B47">
        <w:rPr>
          <w:rFonts w:ascii="Calibri" w:hAnsi="Calibri" w:cs="Calibri"/>
        </w:rPr>
        <w:lastRenderedPageBreak/>
        <w:t>immunoassays enable simultaneous quantification of dozens of cytokines and phos</w:t>
      </w:r>
      <w:r w:rsidR="00276EF6" w:rsidRPr="00677B47">
        <w:rPr>
          <w:rFonts w:ascii="Calibri" w:hAnsi="Calibri" w:cs="Calibri"/>
        </w:rPr>
        <w:t>p</w:t>
      </w:r>
      <w:r w:rsidRPr="00677B47">
        <w:rPr>
          <w:rFonts w:ascii="Calibri" w:hAnsi="Calibri" w:cs="Calibri"/>
        </w:rPr>
        <w:t>ho-proteins from a single sample</w:t>
      </w:r>
      <w:r w:rsidR="00276EF6" w:rsidRPr="00677B47">
        <w:rPr>
          <w:rFonts w:ascii="Calibri" w:hAnsi="Calibri" w:cs="Calibri"/>
        </w:rPr>
        <w:t>, providing a holistic view of the tissue immune response post</w:t>
      </w:r>
      <w:r w:rsidR="004412A2" w:rsidRPr="00677B47">
        <w:rPr>
          <w:rFonts w:ascii="Calibri" w:hAnsi="Calibri" w:cs="Calibri"/>
        </w:rPr>
        <w:t>-</w:t>
      </w:r>
      <w:r w:rsidR="00276EF6" w:rsidRPr="00677B47">
        <w:rPr>
          <w:rFonts w:ascii="Calibri" w:hAnsi="Calibri" w:cs="Calibri"/>
        </w:rPr>
        <w:t>injury. Although these analyses provide a broad view of cytokines/chemokines as well as phospho-proteins, the assay quantifies total amount of each protein from a tissue homogenate. Thus</w:t>
      </w:r>
      <w:r w:rsidR="000C097A" w:rsidRPr="00677B47">
        <w:rPr>
          <w:rFonts w:ascii="Calibri" w:hAnsi="Calibri" w:cs="Calibri"/>
        </w:rPr>
        <w:t>,</w:t>
      </w:r>
      <w:r w:rsidR="00276EF6" w:rsidRPr="00677B47">
        <w:rPr>
          <w:rFonts w:ascii="Calibri" w:hAnsi="Calibri" w:cs="Calibri"/>
        </w:rPr>
        <w:t xml:space="preserve"> it does not yield cell-type specific data. However, cell-type </w:t>
      </w:r>
      <w:r w:rsidR="008D468C" w:rsidRPr="00677B47">
        <w:rPr>
          <w:rFonts w:ascii="Calibri" w:hAnsi="Calibri" w:cs="Calibri"/>
        </w:rPr>
        <w:t>specificity</w:t>
      </w:r>
      <w:r w:rsidR="00276EF6" w:rsidRPr="00677B47">
        <w:rPr>
          <w:rFonts w:ascii="Calibri" w:hAnsi="Calibri" w:cs="Calibri"/>
        </w:rPr>
        <w:t xml:space="preserve"> can be </w:t>
      </w:r>
      <w:r w:rsidR="000C097A" w:rsidRPr="00677B47">
        <w:rPr>
          <w:rFonts w:ascii="Calibri" w:hAnsi="Calibri" w:cs="Calibri"/>
        </w:rPr>
        <w:t xml:space="preserve">determined by </w:t>
      </w:r>
      <w:r w:rsidR="00276EF6" w:rsidRPr="00677B47">
        <w:rPr>
          <w:rFonts w:ascii="Calibri" w:hAnsi="Calibri" w:cs="Calibri"/>
        </w:rPr>
        <w:t>follow</w:t>
      </w:r>
      <w:r w:rsidR="004412A2" w:rsidRPr="00677B47">
        <w:rPr>
          <w:rFonts w:ascii="Calibri" w:hAnsi="Calibri" w:cs="Calibri"/>
        </w:rPr>
        <w:t>-</w:t>
      </w:r>
      <w:r w:rsidR="00276EF6" w:rsidRPr="00677B47">
        <w:rPr>
          <w:rFonts w:ascii="Calibri" w:hAnsi="Calibri" w:cs="Calibri"/>
        </w:rPr>
        <w:t xml:space="preserve">up immunohistochemistry to identify localization of top proteins of interest with markers for </w:t>
      </w:r>
      <w:r w:rsidR="000C097A" w:rsidRPr="00677B47">
        <w:rPr>
          <w:rFonts w:ascii="Calibri" w:hAnsi="Calibri" w:cs="Calibri"/>
        </w:rPr>
        <w:t xml:space="preserve">cell types </w:t>
      </w:r>
      <w:r w:rsidR="007B1948" w:rsidRPr="007B1948">
        <w:rPr>
          <w:rFonts w:ascii="Calibri" w:hAnsi="Calibri" w:cs="Calibri"/>
        </w:rPr>
        <w:t>(</w:t>
      </w:r>
      <w:r w:rsidR="000C097A" w:rsidRPr="00677B47">
        <w:rPr>
          <w:rFonts w:ascii="Calibri" w:hAnsi="Calibri" w:cs="Calibri"/>
        </w:rPr>
        <w:t xml:space="preserve">e.g., </w:t>
      </w:r>
      <w:r w:rsidR="00276EF6" w:rsidRPr="00677B47">
        <w:rPr>
          <w:rFonts w:ascii="Calibri" w:hAnsi="Calibri" w:cs="Calibri"/>
        </w:rPr>
        <w:t xml:space="preserve">neurons, microglia, </w:t>
      </w:r>
      <w:r w:rsidR="000C097A" w:rsidRPr="00677B47">
        <w:rPr>
          <w:rFonts w:ascii="Calibri" w:hAnsi="Calibri" w:cs="Calibri"/>
        </w:rPr>
        <w:t xml:space="preserve">astrocytes, </w:t>
      </w:r>
      <w:r w:rsidR="00276EF6" w:rsidRPr="00677B47">
        <w:rPr>
          <w:rFonts w:ascii="Calibri" w:hAnsi="Calibri" w:cs="Calibri"/>
        </w:rPr>
        <w:t>etc</w:t>
      </w:r>
      <w:r w:rsidR="000C097A" w:rsidRPr="00677B47">
        <w:rPr>
          <w:rFonts w:ascii="Calibri" w:hAnsi="Calibri" w:cs="Calibri"/>
        </w:rPr>
        <w:t>.</w:t>
      </w:r>
      <w:r w:rsidR="007B1948" w:rsidRPr="007B1948">
        <w:rPr>
          <w:rFonts w:ascii="Calibri" w:hAnsi="Calibri" w:cs="Calibri"/>
        </w:rPr>
        <w:t>)</w:t>
      </w:r>
      <w:r w:rsidR="00EA4A6B" w:rsidRPr="00677B47">
        <w:rPr>
          <w:rFonts w:ascii="Calibri" w:hAnsi="Calibri" w:cs="Calibri"/>
        </w:rPr>
        <w:fldChar w:fldCharType="begin"/>
      </w:r>
      <w:r w:rsidR="00594BFB" w:rsidRPr="00677B47">
        <w:rPr>
          <w:rFonts w:ascii="Calibri" w:hAnsi="Calibri" w:cs="Calibri"/>
        </w:rPr>
        <w:instrText xml:space="preserve"> ADDIN ZOTERO_ITEM CSL_CITATION {"citationID":"auip5l3lo1","properties":{"formattedCitation":"\\super 11\\nosupersub{}","plainCitation":"11","noteIndex":0},"citationItems":[{"id":"ZyThaQRL/XHzSGOyR","uris":["http://zotero.org/users/local/Eoql7WGj/items/LHUWVLU3"],"uri":["http://zotero.org/users/local/Eoql7WGj/items/LHUWVLU3"],"itemData":{"id":20,"type":"article-journal","abstract":"Previous work has shown that non-invasive optical measurement of low cerebral blood flow (CBF) is an acute biomarker of poor long-term cognitive outcome after repetitive mild traumatic brain injury (rmTBI). Herein, we explore the relationship between acute cerebral blood flow and underlying neuroinflammation. Specifically, because neuroinflammation is a driver of secondary injury after TBI, we hypothesized that both glial activation and inflammatory signaling are associated with acute CBF and, by extension, with long-term cognitive outcome after rmTBI. To test this hypothesis, cortical CBF was non-invasively measured in anesthetized mice 4 h after 3 repetitive closed head injuries spaced once-daily, at which time brains were collected. Right hemispheres were fixed for immunohistochemical staining for glial activation markers Iba1 and GFAP while left hemispheres were used to quantify Iba1 and GFAP expression via Western blot as well as 32 cytokines and 21 phospho-proteins in the MAPK, PI3K/Akt, and NF-κB pathways using a Luminex multiplexed immunoassay. N = 8/7 injured/sham C57/black-6 adult male mice were studied. Within the injured group, CBF inversely correlated with Iba1 expression (R = -0.86, p &lt; .01). Further, partial least squares regression analysis revealed significant correlations between CBF and expression of multiple pro-inflammatory cytokines, including RANTES and IL-17. Finally, within the injured group, phosphorylation of specific signals in the MAPK and NF-κB intracellular signaling pathways (e.g., p38 MAPK and NF-κB) were significantly positively correlated with Iba1. In total, our data indicate that acute cerebral blood flow after rmTBI is a biomarker of underlying neuroinflammatory pathology.","container-title":"Neurobiology of Disease","DOI":"10.1016/j.nbd.2018.12.018","ISSN":"1095-953X","journalAbbreviation":"Neurobiol. Dis.","language":"eng","note":"PMID: 30592976\nPMCID: PMC6528169","page":"544-554","source":"PubMed","title":"Low cerebral blood flow is a non-invasive biomarker of neuroinflammation after repetitive mild traumatic brain injury","volume":"124","author":[{"family":"Sankar","given":"Sitara B."},{"family":"Pybus","given":"Alyssa F."},{"family":"Liew","given":"Amanda"},{"family":"Sanders","given":"Bharat"},{"family":"Shah","given":"Kajol J."},{"family":"Wood","given":"Levi B."},{"family":"Buckley","given":"Erin M."}],"issued":{"date-parts":[["2019"]]}}}],"schema":"https://github.com/citation-style-language/schema/raw/master/csl-citation.json"} </w:instrText>
      </w:r>
      <w:r w:rsidR="00EA4A6B" w:rsidRPr="00677B47">
        <w:rPr>
          <w:rFonts w:ascii="Calibri" w:hAnsi="Calibri" w:cs="Calibri"/>
        </w:rPr>
        <w:fldChar w:fldCharType="separate"/>
      </w:r>
      <w:r w:rsidR="00EA4A6B" w:rsidRPr="00677B47">
        <w:rPr>
          <w:rFonts w:ascii="Calibri" w:hAnsi="Calibri" w:cs="Calibri"/>
          <w:vertAlign w:val="superscript"/>
        </w:rPr>
        <w:t>11</w:t>
      </w:r>
      <w:r w:rsidR="00EA4A6B" w:rsidRPr="00677B47">
        <w:rPr>
          <w:rFonts w:ascii="Calibri" w:hAnsi="Calibri" w:cs="Calibri"/>
        </w:rPr>
        <w:fldChar w:fldCharType="end"/>
      </w:r>
      <w:r w:rsidR="00276EF6" w:rsidRPr="00677B47">
        <w:rPr>
          <w:rFonts w:ascii="Calibri" w:hAnsi="Calibri" w:cs="Calibri"/>
        </w:rPr>
        <w:t xml:space="preserve">. We also note that cytokine levels in the brain are typically very low and appear </w:t>
      </w:r>
      <w:r w:rsidR="00124C06" w:rsidRPr="00677B47">
        <w:rPr>
          <w:rFonts w:ascii="Calibri" w:hAnsi="Calibri" w:cs="Calibri"/>
        </w:rPr>
        <w:t>near</w:t>
      </w:r>
      <w:r w:rsidR="00C74CA7" w:rsidRPr="00677B47">
        <w:rPr>
          <w:rFonts w:ascii="Calibri" w:hAnsi="Calibri" w:cs="Calibri"/>
        </w:rPr>
        <w:t xml:space="preserve"> </w:t>
      </w:r>
      <w:r w:rsidR="00276EF6" w:rsidRPr="00677B47">
        <w:rPr>
          <w:rFonts w:ascii="Calibri" w:hAnsi="Calibri" w:cs="Calibri"/>
        </w:rPr>
        <w:t xml:space="preserve">the lower detection limit assessed via standard curves supplied with the Luminex kit. For this reason, it is essential to conduct linear ranging analysis to determine if the instrument readout </w:t>
      </w:r>
      <w:r w:rsidR="009E5512" w:rsidRPr="00677B47">
        <w:rPr>
          <w:rFonts w:ascii="Calibri" w:hAnsi="Calibri" w:cs="Calibri"/>
        </w:rPr>
        <w:t xml:space="preserve">truly </w:t>
      </w:r>
      <w:r w:rsidR="00276EF6" w:rsidRPr="00677B47">
        <w:rPr>
          <w:rFonts w:ascii="Calibri" w:hAnsi="Calibri" w:cs="Calibri"/>
        </w:rPr>
        <w:t xml:space="preserve">reflects the amount of sample loaded. For key proteins of interest, this linear </w:t>
      </w:r>
      <w:r w:rsidR="009E5512" w:rsidRPr="00677B47">
        <w:rPr>
          <w:rFonts w:ascii="Calibri" w:hAnsi="Calibri" w:cs="Calibri"/>
        </w:rPr>
        <w:t xml:space="preserve">range </w:t>
      </w:r>
      <w:r w:rsidR="00276EF6" w:rsidRPr="00677B47">
        <w:rPr>
          <w:rFonts w:ascii="Calibri" w:hAnsi="Calibri" w:cs="Calibri"/>
        </w:rPr>
        <w:t>analysis can be complemented with a spike recovery assay wherein recombinant protein is spiked into a sample, and linearity in the instrument reading is evaluated</w:t>
      </w:r>
      <w:r w:rsidR="00124C06" w:rsidRPr="00677B47">
        <w:rPr>
          <w:rFonts w:ascii="Calibri" w:hAnsi="Calibri" w:cs="Calibri"/>
        </w:rPr>
        <w:fldChar w:fldCharType="begin"/>
      </w:r>
      <w:r w:rsidR="00594BFB" w:rsidRPr="00677B47">
        <w:rPr>
          <w:rFonts w:ascii="Calibri" w:hAnsi="Calibri" w:cs="Calibri"/>
        </w:rPr>
        <w:instrText xml:space="preserve"> ADDIN ZOTERO_ITEM CSL_CITATION {"citationID":"agsatnog7l","properties":{"formattedCitation":"\\super 32\\nosupersub{}","plainCitation":"32","noteIndex":0},"citationItems":[{"id":"ZyThaQRL/aPRKpFk8","uris":["http://zotero.org/users/local/Y0avL5gq/items/W5KU8KF3"],"uri":["http://zotero.org/users/local/Y0avL5gq/items/W5KU8KF3"],"itemData":{"id":90,"type":"article-journal","abstract":"Sensitive measurement of multiple cytokine profiles from small mucosal tissue biopsies, for example human gastric biopsies obtained through an endoscope, is technically challenging. Multiplex methods such as Luminex assays offer an attractive solution but standard protocols are not available for tissue samples. We assessed the utility of three commercial Luminex kits (VersaMAP, Bio-Plex and MILLIPLEX) to measure interleukin-17A (IL-17) and interferon-gamma (IFNγ) concentrations in human gastric biopsies and we optimised preparation of mucosal samples for this application. First, we assessed the technical performance, limits of sensitivity and linear dynamic ranges for each kit. Next we spiked human gastric biopsies with recombinant IL-17 and IFNγ at a range of concentrations (1.5 to 1000 pg/mL) and assessed kit accuracy for spiked cytokine recovery and intra-assay precision. We also evaluated the impact of different tissue processing methods and extraction buffers on our results. Finally we assessed recovery of endogenous cytokines in unspiked samples. In terms of sensitivity, all of the kits performed well within the manufacturers' recommended standard curve ranges but the MILLIPLEX kit provided most consistent sensitivity for low cytokine concentrations. In the spiking experiments, the MILLIPLEX kit performed most consistently over the widest range of concentrations. For tissue processing, manual disruption provided significantly improved cytokine recovery over automated methods. Our selected kit and optimised protocol were further validated by measurement of relative cytokine levels in inflamed and uninflamed gastric mucosa using Luminex and real-time polymerase chain reaction. In summary, with proper optimisation Luminex kits (and for IL-17 and IFNγ the MILLIPLEX kit in particular) can be used for the sensitive detection of cytokines in mucosal biopsies. Our results should help other researchers seeking to quantify multiple low concentration cytokines in small tissue samples.","container-title":"Journal of Immunological Methods","DOI":"10.1016/j.jim.2013.04.009","ISSN":"1872-7905","issue":"1-2","journalAbbreviation":"J. Immunol. Methods","language":"eng","note":"PMID: 23644159\nPMCID: PMC4125185","page":"1-9","source":"PubMed","title":"Optimising the quantification of cytokines present at low concentrations in small human mucosal tissue samples using Luminex assays","volume":"394","author":[{"family":"Staples","given":"Emily"},{"family":"Ingram","given":"Richard James Michael"},{"family":"Atherton","given":"John Christopher"},{"family":"Robinson","given":"Karen"}],"issued":{"date-parts":[["2013",8,30]]}}}],"schema":"https://github.com/citation-style-language/schema/raw/master/csl-citation.json"} </w:instrText>
      </w:r>
      <w:r w:rsidR="00124C06" w:rsidRPr="00677B47">
        <w:rPr>
          <w:rFonts w:ascii="Calibri" w:hAnsi="Calibri" w:cs="Calibri"/>
        </w:rPr>
        <w:fldChar w:fldCharType="separate"/>
      </w:r>
      <w:r w:rsidR="00594BFB" w:rsidRPr="00677B47">
        <w:rPr>
          <w:rFonts w:ascii="Calibri" w:hAnsi="Calibri" w:cs="Calibri"/>
          <w:vertAlign w:val="superscript"/>
        </w:rPr>
        <w:t>32</w:t>
      </w:r>
      <w:r w:rsidR="00124C06" w:rsidRPr="00677B47">
        <w:rPr>
          <w:rFonts w:ascii="Calibri" w:hAnsi="Calibri" w:cs="Calibri"/>
        </w:rPr>
        <w:fldChar w:fldCharType="end"/>
      </w:r>
      <w:r w:rsidR="00124C06" w:rsidRPr="00677B47">
        <w:rPr>
          <w:rFonts w:ascii="Calibri" w:hAnsi="Calibri" w:cs="Calibri"/>
        </w:rPr>
        <w:t>.</w:t>
      </w:r>
    </w:p>
    <w:p w14:paraId="11474F96" w14:textId="40FD8206" w:rsidR="00276EF6" w:rsidRPr="00677B47" w:rsidRDefault="00276EF6" w:rsidP="009B5312">
      <w:pPr>
        <w:contextualSpacing/>
        <w:rPr>
          <w:rFonts w:ascii="Calibri" w:hAnsi="Calibri" w:cs="Calibri"/>
        </w:rPr>
      </w:pPr>
    </w:p>
    <w:p w14:paraId="6FEE6D36" w14:textId="041CEE15" w:rsidR="00124987" w:rsidRPr="00677B47" w:rsidRDefault="00276EF6" w:rsidP="009B5312">
      <w:pPr>
        <w:contextualSpacing/>
        <w:rPr>
          <w:rFonts w:ascii="Calibri" w:hAnsi="Calibri" w:cs="Calibri"/>
        </w:rPr>
      </w:pPr>
      <w:r w:rsidRPr="00677B47">
        <w:rPr>
          <w:rFonts w:ascii="Calibri" w:hAnsi="Calibri" w:cs="Calibri"/>
          <w:b/>
          <w:bCs/>
        </w:rPr>
        <w:t xml:space="preserve">Partial </w:t>
      </w:r>
      <w:r w:rsidR="00392F78" w:rsidRPr="00677B47">
        <w:rPr>
          <w:rFonts w:ascii="Calibri" w:hAnsi="Calibri" w:cs="Calibri"/>
          <w:b/>
          <w:bCs/>
        </w:rPr>
        <w:t>l</w:t>
      </w:r>
      <w:r w:rsidRPr="00677B47">
        <w:rPr>
          <w:rFonts w:ascii="Calibri" w:hAnsi="Calibri" w:cs="Calibri"/>
          <w:b/>
          <w:bCs/>
        </w:rPr>
        <w:t xml:space="preserve">east </w:t>
      </w:r>
      <w:r w:rsidR="00392F78" w:rsidRPr="00677B47">
        <w:rPr>
          <w:rFonts w:ascii="Calibri" w:hAnsi="Calibri" w:cs="Calibri"/>
          <w:b/>
          <w:bCs/>
        </w:rPr>
        <w:t xml:space="preserve">squares regression analysis </w:t>
      </w:r>
      <w:r w:rsidR="00124C06" w:rsidRPr="00677B47">
        <w:rPr>
          <w:rFonts w:ascii="Calibri" w:hAnsi="Calibri" w:cs="Calibri"/>
          <w:b/>
          <w:bCs/>
        </w:rPr>
        <w:t xml:space="preserve">for </w:t>
      </w:r>
      <w:r w:rsidR="00392F78" w:rsidRPr="00677B47">
        <w:rPr>
          <w:rFonts w:ascii="Calibri" w:hAnsi="Calibri" w:cs="Calibri"/>
          <w:b/>
          <w:bCs/>
        </w:rPr>
        <w:t>data integration</w:t>
      </w:r>
      <w:r w:rsidR="009D2852">
        <w:rPr>
          <w:rFonts w:ascii="Calibri" w:hAnsi="Calibri" w:cs="Calibri"/>
          <w:b/>
          <w:bCs/>
        </w:rPr>
        <w:t xml:space="preserve">. </w:t>
      </w:r>
      <w:r w:rsidR="00124C06" w:rsidRPr="00677B47">
        <w:rPr>
          <w:rFonts w:ascii="Calibri" w:hAnsi="Calibri" w:cs="Calibri"/>
        </w:rPr>
        <w:t xml:space="preserve">The tissue response to mTBI is multifactorial, consisting </w:t>
      </w:r>
      <w:r w:rsidR="00814E01" w:rsidRPr="00677B47">
        <w:rPr>
          <w:rFonts w:ascii="Calibri" w:hAnsi="Calibri" w:cs="Calibri"/>
        </w:rPr>
        <w:t xml:space="preserve">of physiological changes in </w:t>
      </w:r>
      <w:r w:rsidR="008C69FC" w:rsidRPr="00677B47">
        <w:rPr>
          <w:rFonts w:ascii="Calibri" w:hAnsi="Calibri" w:cs="Calibri"/>
        </w:rPr>
        <w:t xml:space="preserve">blood flow </w:t>
      </w:r>
      <w:r w:rsidR="00814E01" w:rsidRPr="00677B47">
        <w:rPr>
          <w:rFonts w:ascii="Calibri" w:hAnsi="Calibri" w:cs="Calibri"/>
        </w:rPr>
        <w:t>together with changes in the phagocyte/microglial activation marker Iba1</w:t>
      </w:r>
      <w:r w:rsidR="00723460" w:rsidRPr="00677B47">
        <w:rPr>
          <w:rFonts w:ascii="Calibri" w:hAnsi="Calibri" w:cs="Calibri"/>
        </w:rPr>
        <w:t>,</w:t>
      </w:r>
      <w:r w:rsidR="00814E01" w:rsidRPr="00677B47">
        <w:rPr>
          <w:rFonts w:ascii="Calibri" w:hAnsi="Calibri" w:cs="Calibri"/>
        </w:rPr>
        <w:t xml:space="preserve"> diverse</w:t>
      </w:r>
      <w:r w:rsidR="00795214" w:rsidRPr="00677B47">
        <w:rPr>
          <w:rFonts w:ascii="Calibri" w:hAnsi="Calibri" w:cs="Calibri"/>
        </w:rPr>
        <w:t xml:space="preserve"> cytokines, </w:t>
      </w:r>
      <w:r w:rsidR="00814E01" w:rsidRPr="00677B47">
        <w:rPr>
          <w:rFonts w:ascii="Calibri" w:hAnsi="Calibri" w:cs="Calibri"/>
        </w:rPr>
        <w:t>and phospho-proteins</w:t>
      </w:r>
      <w:r w:rsidR="00B75D6D" w:rsidRPr="00677B47">
        <w:rPr>
          <w:rFonts w:ascii="Calibri" w:hAnsi="Calibri" w:cs="Calibri"/>
        </w:rPr>
        <w:t>, among others</w:t>
      </w:r>
      <w:r w:rsidR="00EA4A6B" w:rsidRPr="00677B47">
        <w:rPr>
          <w:rFonts w:ascii="Calibri" w:hAnsi="Calibri" w:cs="Calibri"/>
        </w:rPr>
        <w:fldChar w:fldCharType="begin"/>
      </w:r>
      <w:r w:rsidR="00594BFB" w:rsidRPr="00677B47">
        <w:rPr>
          <w:rFonts w:ascii="Calibri" w:hAnsi="Calibri" w:cs="Calibri"/>
        </w:rPr>
        <w:instrText xml:space="preserve"> ADDIN ZOTERO_ITEM CSL_CITATION {"citationID":"a1n9nhos4j0","properties":{"formattedCitation":"\\super 11\\nosupersub{}","plainCitation":"11","noteIndex":0},"citationItems":[{"id":"ZyThaQRL/XHzSGOyR","uris":["http://zotero.org/users/local/Eoql7WGj/items/LHUWVLU3"],"uri":["http://zotero.org/users/local/Eoql7WGj/items/LHUWVLU3"],"itemData":{"id":20,"type":"article-journal","abstract":"Previous work has shown that non-invasive optical measurement of low cerebral blood flow (CBF) is an acute biomarker of poor long-term cognitive outcome after repetitive mild traumatic brain injury (rmTBI). Herein, we explore the relationship between acute cerebral blood flow and underlying neuroinflammation. Specifically, because neuroinflammation is a driver of secondary injury after TBI, we hypothesized that both glial activation and inflammatory signaling are associated with acute CBF and, by extension, with long-term cognitive outcome after rmTBI. To test this hypothesis, cortical CBF was non-invasively measured in anesthetized mice 4 h after 3 repetitive closed head injuries spaced once-daily, at which time brains were collected. Right hemispheres were fixed for immunohistochemical staining for glial activation markers Iba1 and GFAP while left hemispheres were used to quantify Iba1 and GFAP expression via Western blot as well as 32 cytokines and 21 phospho-proteins in the MAPK, PI3K/Akt, and NF-κB pathways using a Luminex multiplexed immunoassay. N = 8/7 injured/sham C57/black-6 adult male mice were studied. Within the injured group, CBF inversely correlated with Iba1 expression (R = -0.86, p &lt; .01). Further, partial least squares regression analysis revealed significant correlations between CBF and expression of multiple pro-inflammatory cytokines, including RANTES and IL-17. Finally, within the injured group, phosphorylation of specific signals in the MAPK and NF-κB intracellular signaling pathways (e.g., p38 MAPK and NF-κB) were significantly positively correlated with Iba1. In total, our data indicate that acute cerebral blood flow after rmTBI is a biomarker of underlying neuroinflammatory pathology.","container-title":"Neurobiology of Disease","DOI":"10.1016/j.nbd.2018.12.018","ISSN":"1095-953X","journalAbbreviation":"Neurobiol. Dis.","language":"eng","note":"PMID: 30592976\nPMCID: PMC6528169","page":"544-554","source":"PubMed","title":"Low cerebral blood flow is a non-invasive biomarker of neuroinflammation after repetitive mild traumatic brain injury","volume":"124","author":[{"family":"Sankar","given":"Sitara B."},{"family":"Pybus","given":"Alyssa F."},{"family":"Liew","given":"Amanda"},{"family":"Sanders","given":"Bharat"},{"family":"Shah","given":"Kajol J."},{"family":"Wood","given":"Levi B."},{"family":"Buckley","given":"Erin M."}],"issued":{"date-parts":[["2019"]]}}}],"schema":"https://github.com/citation-style-language/schema/raw/master/csl-citation.json"} </w:instrText>
      </w:r>
      <w:r w:rsidR="00EA4A6B" w:rsidRPr="00677B47">
        <w:rPr>
          <w:rFonts w:ascii="Calibri" w:hAnsi="Calibri" w:cs="Calibri"/>
        </w:rPr>
        <w:fldChar w:fldCharType="separate"/>
      </w:r>
      <w:r w:rsidR="00EA4A6B" w:rsidRPr="00677B47">
        <w:rPr>
          <w:rFonts w:ascii="Calibri" w:hAnsi="Calibri" w:cs="Calibri"/>
          <w:vertAlign w:val="superscript"/>
        </w:rPr>
        <w:t>11</w:t>
      </w:r>
      <w:r w:rsidR="00EA4A6B" w:rsidRPr="00677B47">
        <w:rPr>
          <w:rFonts w:ascii="Calibri" w:hAnsi="Calibri" w:cs="Calibri"/>
        </w:rPr>
        <w:fldChar w:fldCharType="end"/>
      </w:r>
      <w:r w:rsidR="00814E01" w:rsidRPr="00677B47">
        <w:rPr>
          <w:rFonts w:ascii="Calibri" w:hAnsi="Calibri" w:cs="Calibri"/>
        </w:rPr>
        <w:t xml:space="preserve">. </w:t>
      </w:r>
      <w:r w:rsidR="00B75D6D" w:rsidRPr="00677B47">
        <w:rPr>
          <w:rFonts w:ascii="Calibri" w:hAnsi="Calibri" w:cs="Calibri"/>
        </w:rPr>
        <w:t>Because of the multiplexed nature of the data collected, a systematic method is needed to account for the</w:t>
      </w:r>
      <w:r w:rsidR="008D468C" w:rsidRPr="00677B47">
        <w:rPr>
          <w:rFonts w:ascii="Calibri" w:hAnsi="Calibri" w:cs="Calibri"/>
        </w:rPr>
        <w:t xml:space="preserve"> </w:t>
      </w:r>
      <w:r w:rsidR="00B75D6D" w:rsidRPr="00677B47">
        <w:rPr>
          <w:rFonts w:ascii="Calibri" w:hAnsi="Calibri" w:cs="Calibri"/>
        </w:rPr>
        <w:t xml:space="preserve">multidimensionality of the relationships between the various predictor variables. PLSR </w:t>
      </w:r>
      <w:r w:rsidR="00F075ED" w:rsidRPr="00677B47">
        <w:rPr>
          <w:rFonts w:ascii="Calibri" w:hAnsi="Calibri" w:cs="Calibri"/>
        </w:rPr>
        <w:t>provides a suitable solution to this problem</w:t>
      </w:r>
      <w:r w:rsidR="00B75D6D" w:rsidRPr="00677B47">
        <w:rPr>
          <w:rFonts w:ascii="Calibri" w:hAnsi="Calibri" w:cs="Calibri"/>
        </w:rPr>
        <w:t xml:space="preserve"> by identifying LVs that maximally identify the co-variance between the protein predictor variables and the outcome variable </w:t>
      </w:r>
      <w:r w:rsidR="007B1948" w:rsidRPr="007B1948">
        <w:rPr>
          <w:rFonts w:ascii="Calibri" w:hAnsi="Calibri" w:cs="Calibri"/>
        </w:rPr>
        <w:t>(</w:t>
      </w:r>
      <w:r w:rsidR="000975AE" w:rsidRPr="00677B47">
        <w:rPr>
          <w:rFonts w:ascii="Calibri" w:hAnsi="Calibri" w:cs="Calibri"/>
        </w:rPr>
        <w:t xml:space="preserve">e.g., </w:t>
      </w:r>
      <w:r w:rsidR="00B75D6D" w:rsidRPr="00677B47">
        <w:rPr>
          <w:rFonts w:ascii="Calibri" w:hAnsi="Calibri" w:cs="Calibri"/>
        </w:rPr>
        <w:t xml:space="preserve">Iba1 in </w:t>
      </w:r>
      <w:r w:rsidR="00677B47" w:rsidRPr="00677B47">
        <w:rPr>
          <w:rFonts w:ascii="Calibri" w:hAnsi="Calibri" w:cs="Calibri"/>
          <w:b/>
          <w:bCs/>
        </w:rPr>
        <w:t>Figure</w:t>
      </w:r>
      <w:r w:rsidR="00E05C87" w:rsidRPr="00677B47">
        <w:rPr>
          <w:rFonts w:ascii="Calibri" w:hAnsi="Calibri" w:cs="Calibri"/>
          <w:b/>
          <w:bCs/>
        </w:rPr>
        <w:t xml:space="preserve"> 7</w:t>
      </w:r>
      <w:r w:rsidR="007B1948" w:rsidRPr="007B1948">
        <w:rPr>
          <w:rFonts w:ascii="Calibri" w:hAnsi="Calibri" w:cs="Calibri"/>
        </w:rPr>
        <w:t>)</w:t>
      </w:r>
      <w:r w:rsidR="00B75D6D" w:rsidRPr="00677B47">
        <w:rPr>
          <w:rFonts w:ascii="Calibri" w:hAnsi="Calibri" w:cs="Calibri"/>
        </w:rPr>
        <w:t xml:space="preserve">. </w:t>
      </w:r>
      <w:r w:rsidR="00124987" w:rsidRPr="00677B47">
        <w:rPr>
          <w:rFonts w:ascii="Calibri" w:hAnsi="Calibri" w:cs="Calibri"/>
        </w:rPr>
        <w:t xml:space="preserve">Importantly, those proteins found to strongly correlate with the predictor variable </w:t>
      </w:r>
      <w:r w:rsidR="007B1948" w:rsidRPr="007B1948">
        <w:rPr>
          <w:rFonts w:ascii="Calibri" w:hAnsi="Calibri" w:cs="Calibri"/>
        </w:rPr>
        <w:t>(</w:t>
      </w:r>
      <w:r w:rsidR="00F075ED" w:rsidRPr="00677B47">
        <w:rPr>
          <w:rFonts w:ascii="Calibri" w:hAnsi="Calibri" w:cs="Calibri"/>
        </w:rPr>
        <w:t xml:space="preserve">i.e., those with </w:t>
      </w:r>
      <w:r w:rsidR="00124987" w:rsidRPr="00677B47">
        <w:rPr>
          <w:rFonts w:ascii="Calibri" w:hAnsi="Calibri" w:cs="Calibri"/>
        </w:rPr>
        <w:t>high loadings on LV1</w:t>
      </w:r>
      <w:r w:rsidR="007B1948" w:rsidRPr="007B1948">
        <w:rPr>
          <w:rFonts w:ascii="Calibri" w:hAnsi="Calibri" w:cs="Calibri"/>
        </w:rPr>
        <w:t>)</w:t>
      </w:r>
      <w:r w:rsidR="00124987" w:rsidRPr="00677B47">
        <w:rPr>
          <w:rFonts w:ascii="Calibri" w:hAnsi="Calibri" w:cs="Calibri"/>
        </w:rPr>
        <w:t xml:space="preserve"> often correlate in the </w:t>
      </w:r>
      <w:r w:rsidR="00F075ED" w:rsidRPr="00677B47">
        <w:rPr>
          <w:rFonts w:ascii="Calibri" w:hAnsi="Calibri" w:cs="Calibri"/>
        </w:rPr>
        <w:t xml:space="preserve">univariate </w:t>
      </w:r>
      <w:r w:rsidR="00124987" w:rsidRPr="00677B47">
        <w:rPr>
          <w:rFonts w:ascii="Calibri" w:hAnsi="Calibri" w:cs="Calibri"/>
        </w:rPr>
        <w:t xml:space="preserve">regression </w:t>
      </w:r>
      <w:r w:rsidR="00F075ED" w:rsidRPr="00677B47">
        <w:rPr>
          <w:rFonts w:ascii="Calibri" w:hAnsi="Calibri" w:cs="Calibri"/>
        </w:rPr>
        <w:t xml:space="preserve">analysis </w:t>
      </w:r>
      <w:r w:rsidR="00124987" w:rsidRPr="00677B47">
        <w:rPr>
          <w:rFonts w:ascii="Calibri" w:hAnsi="Calibri" w:cs="Calibri"/>
        </w:rPr>
        <w:t xml:space="preserve">as well </w:t>
      </w:r>
      <w:r w:rsidR="007B1948" w:rsidRPr="007B1948">
        <w:rPr>
          <w:rFonts w:ascii="Calibri" w:hAnsi="Calibri" w:cs="Calibri"/>
        </w:rPr>
        <w:t>(</w:t>
      </w:r>
      <w:r w:rsidR="00677B47" w:rsidRPr="00677B47">
        <w:rPr>
          <w:rFonts w:ascii="Calibri" w:hAnsi="Calibri" w:cs="Calibri"/>
          <w:b/>
          <w:bCs/>
        </w:rPr>
        <w:t>Figure</w:t>
      </w:r>
      <w:r w:rsidR="00E05C87" w:rsidRPr="00677B47">
        <w:rPr>
          <w:rFonts w:ascii="Calibri" w:hAnsi="Calibri" w:cs="Calibri"/>
          <w:b/>
          <w:bCs/>
        </w:rPr>
        <w:t xml:space="preserve"> 7</w:t>
      </w:r>
      <w:r w:rsidR="004412A2" w:rsidRPr="00677B47">
        <w:rPr>
          <w:rFonts w:ascii="Calibri" w:hAnsi="Calibri" w:cs="Calibri"/>
          <w:b/>
          <w:bCs/>
        </w:rPr>
        <w:t>E</w:t>
      </w:r>
      <w:r w:rsidR="007B1948" w:rsidRPr="007B1948">
        <w:rPr>
          <w:rFonts w:ascii="Calibri" w:hAnsi="Calibri" w:cs="Calibri"/>
        </w:rPr>
        <w:t>)</w:t>
      </w:r>
      <w:r w:rsidR="00124987" w:rsidRPr="00677B47">
        <w:rPr>
          <w:rFonts w:ascii="Calibri" w:hAnsi="Calibri" w:cs="Calibri"/>
        </w:rPr>
        <w:t>.</w:t>
      </w:r>
      <w:r w:rsidR="00F075ED" w:rsidRPr="00677B47">
        <w:rPr>
          <w:rFonts w:ascii="Calibri" w:hAnsi="Calibri" w:cs="Calibri"/>
        </w:rPr>
        <w:t xml:space="preserve"> </w:t>
      </w:r>
      <w:r w:rsidR="00124987" w:rsidRPr="00677B47">
        <w:rPr>
          <w:rFonts w:ascii="Calibri" w:hAnsi="Calibri" w:cs="Calibri"/>
        </w:rPr>
        <w:t xml:space="preserve">Because PLSR is often used to fit </w:t>
      </w:r>
      <w:proofErr w:type="gramStart"/>
      <w:r w:rsidR="00124987" w:rsidRPr="00677B47">
        <w:rPr>
          <w:rFonts w:ascii="Calibri" w:hAnsi="Calibri" w:cs="Calibri"/>
        </w:rPr>
        <w:t>a large number of</w:t>
      </w:r>
      <w:proofErr w:type="gramEnd"/>
      <w:r w:rsidR="00124987" w:rsidRPr="00677B47">
        <w:rPr>
          <w:rFonts w:ascii="Calibri" w:hAnsi="Calibri" w:cs="Calibri"/>
        </w:rPr>
        <w:t xml:space="preserve"> predictor variables to a smaller number of samples as in </w:t>
      </w:r>
      <w:r w:rsidR="00677B47" w:rsidRPr="00677B47">
        <w:rPr>
          <w:rFonts w:ascii="Calibri" w:hAnsi="Calibri" w:cs="Calibri"/>
          <w:b/>
          <w:bCs/>
        </w:rPr>
        <w:t>Figure</w:t>
      </w:r>
      <w:r w:rsidR="00E05C87" w:rsidRPr="00677B47">
        <w:rPr>
          <w:rFonts w:ascii="Calibri" w:hAnsi="Calibri" w:cs="Calibri"/>
          <w:b/>
          <w:bCs/>
        </w:rPr>
        <w:t xml:space="preserve"> 7</w:t>
      </w:r>
      <w:r w:rsidR="00124987" w:rsidRPr="00677B47">
        <w:rPr>
          <w:rFonts w:ascii="Calibri" w:hAnsi="Calibri" w:cs="Calibri"/>
        </w:rPr>
        <w:t>, it is critical to gain an understanding of the sensiti</w:t>
      </w:r>
      <w:r w:rsidR="00A45B24" w:rsidRPr="00677B47">
        <w:rPr>
          <w:rFonts w:ascii="Calibri" w:hAnsi="Calibri" w:cs="Calibri"/>
        </w:rPr>
        <w:t>vi</w:t>
      </w:r>
      <w:r w:rsidR="00124987" w:rsidRPr="00677B47">
        <w:rPr>
          <w:rFonts w:ascii="Calibri" w:hAnsi="Calibri" w:cs="Calibri"/>
        </w:rPr>
        <w:t xml:space="preserve">ty of the weights on LV1 to individual samples. For a small number of samples </w:t>
      </w:r>
      <w:r w:rsidR="007B1948" w:rsidRPr="007B1948">
        <w:rPr>
          <w:rFonts w:ascii="Calibri" w:hAnsi="Calibri" w:cs="Calibri"/>
        </w:rPr>
        <w:t>(</w:t>
      </w:r>
      <w:r w:rsidR="00124987" w:rsidRPr="00677B47">
        <w:rPr>
          <w:rFonts w:ascii="Calibri" w:hAnsi="Calibri" w:cs="Calibri"/>
        </w:rPr>
        <w:t>&lt;10</w:t>
      </w:r>
      <w:r w:rsidR="007B1948" w:rsidRPr="007B1948">
        <w:rPr>
          <w:rFonts w:ascii="Calibri" w:hAnsi="Calibri" w:cs="Calibri"/>
        </w:rPr>
        <w:t>)</w:t>
      </w:r>
      <w:r w:rsidR="00124987" w:rsidRPr="00677B47">
        <w:rPr>
          <w:rFonts w:ascii="Calibri" w:hAnsi="Calibri" w:cs="Calibri"/>
        </w:rPr>
        <w:t xml:space="preserve"> </w:t>
      </w:r>
      <w:r w:rsidR="0046151E" w:rsidRPr="00677B47">
        <w:rPr>
          <w:rFonts w:ascii="Calibri" w:hAnsi="Calibri" w:cs="Calibri"/>
        </w:rPr>
        <w:t>LOOCV is</w:t>
      </w:r>
      <w:r w:rsidR="00124987" w:rsidRPr="00677B47">
        <w:rPr>
          <w:rFonts w:ascii="Calibri" w:hAnsi="Calibri" w:cs="Calibri"/>
        </w:rPr>
        <w:t xml:space="preserve"> useful for </w:t>
      </w:r>
      <w:r w:rsidR="0046151E" w:rsidRPr="00677B47">
        <w:rPr>
          <w:rFonts w:ascii="Calibri" w:hAnsi="Calibri" w:cs="Calibri"/>
        </w:rPr>
        <w:t xml:space="preserve">assessing </w:t>
      </w:r>
      <w:r w:rsidR="00124987" w:rsidRPr="00677B47">
        <w:rPr>
          <w:rFonts w:ascii="Calibri" w:hAnsi="Calibri" w:cs="Calibri"/>
        </w:rPr>
        <w:t xml:space="preserve">the sensitivity of the weights </w:t>
      </w:r>
      <w:r w:rsidR="007B1948" w:rsidRPr="007B1948">
        <w:rPr>
          <w:rFonts w:ascii="Calibri" w:hAnsi="Calibri" w:cs="Calibri"/>
        </w:rPr>
        <w:t>(</w:t>
      </w:r>
      <w:r w:rsidR="00124987" w:rsidRPr="00677B47">
        <w:rPr>
          <w:rFonts w:ascii="Calibri" w:hAnsi="Calibri" w:cs="Calibri"/>
        </w:rPr>
        <w:t xml:space="preserve">indicated via SD error bars in </w:t>
      </w:r>
      <w:r w:rsidR="00677B47" w:rsidRPr="00677B47">
        <w:rPr>
          <w:rFonts w:ascii="Calibri" w:hAnsi="Calibri" w:cs="Calibri"/>
          <w:b/>
          <w:bCs/>
        </w:rPr>
        <w:t>Figure</w:t>
      </w:r>
      <w:r w:rsidR="00E05C87" w:rsidRPr="00677B47">
        <w:rPr>
          <w:rFonts w:ascii="Calibri" w:hAnsi="Calibri" w:cs="Calibri"/>
          <w:b/>
          <w:bCs/>
        </w:rPr>
        <w:t xml:space="preserve"> 7</w:t>
      </w:r>
      <w:r w:rsidR="00124987" w:rsidRPr="00677B47">
        <w:rPr>
          <w:rFonts w:ascii="Calibri" w:hAnsi="Calibri" w:cs="Calibri"/>
          <w:b/>
          <w:bCs/>
        </w:rPr>
        <w:t>C</w:t>
      </w:r>
      <w:r w:rsidR="007B1948" w:rsidRPr="007B1948">
        <w:rPr>
          <w:rFonts w:ascii="Calibri" w:hAnsi="Calibri" w:cs="Calibri"/>
        </w:rPr>
        <w:t>)</w:t>
      </w:r>
      <w:r w:rsidR="00124987" w:rsidRPr="00677B47">
        <w:rPr>
          <w:rFonts w:ascii="Calibri" w:hAnsi="Calibri" w:cs="Calibri"/>
        </w:rPr>
        <w:t xml:space="preserve">. </w:t>
      </w:r>
      <w:r w:rsidR="00A45B24" w:rsidRPr="00677B47">
        <w:rPr>
          <w:rFonts w:ascii="Calibri" w:hAnsi="Calibri" w:cs="Calibri"/>
        </w:rPr>
        <w:t>For a larger number of samples, it will be important to assess sensitivity by leaving multiple samples out at a time us</w:t>
      </w:r>
      <w:r w:rsidR="00F075ED" w:rsidRPr="00677B47">
        <w:rPr>
          <w:rFonts w:ascii="Calibri" w:hAnsi="Calibri" w:cs="Calibri"/>
        </w:rPr>
        <w:t>ing</w:t>
      </w:r>
      <w:r w:rsidR="00A45B24" w:rsidRPr="00677B47">
        <w:rPr>
          <w:rFonts w:ascii="Calibri" w:hAnsi="Calibri" w:cs="Calibri"/>
        </w:rPr>
        <w:t xml:space="preserve"> a Monte Carlo sub-sampling approach</w:t>
      </w:r>
      <w:r w:rsidR="00EA4A6B" w:rsidRPr="00677B47">
        <w:rPr>
          <w:rFonts w:ascii="Calibri" w:hAnsi="Calibri" w:cs="Calibri"/>
        </w:rPr>
        <w:fldChar w:fldCharType="begin"/>
      </w:r>
      <w:r w:rsidR="00594BFB" w:rsidRPr="00677B47">
        <w:rPr>
          <w:rFonts w:ascii="Calibri" w:hAnsi="Calibri" w:cs="Calibri"/>
        </w:rPr>
        <w:instrText xml:space="preserve"> ADDIN ZOTERO_ITEM CSL_CITATION {"citationID":"a17n3hsq560","properties":{"formattedCitation":"\\super 33\\nosupersub{}","plainCitation":"33","noteIndex":0},"citationItems":[{"id":"ZyThaQRL/0JBzvKug","uris":["http://zotero.org/users/local/Eoql7WGj/items/CQ7HQEWJ"],"uri":["http://zotero.org/users/local/Eoql7WGj/items/CQ7HQEWJ"],"itemData":{"id":38,"type":"article-journal","abstract":"Individual signaling pathways operate in the context of the broader signaling network. Thus, the response of a cell to signals from the environment is affected by the state of the signaling network, such as the clinically relevant example of whether some components in the network are inhibited. The cytokine tumor necrosis factor-α (TNF-α) promotes opposing cellular behaviors under different conditions; the outcome is influenced by the state of the network. For example, in the mouse intestinal epithelium, inhibition of the mitogen-activated protein kinase (MAPK) kinase MEK alters the timing of TNF-α-induced apoptosis. We investigated whether MAPK signaling directly influences TNF-α-induced apoptosis or whether network-level effects secondary to inhibition of the MAPK pathway alter the cellular response. We found that inhibitors of the MAPK kinase kinase Raf, MEK, or extracellular signal-regulated kinase (ERK) exerted distinct effects on the timing and magnitude of TNF-α-induced apoptosis in the mouse intestine. Furthermore, even different MEK inhibitors exerted distinct effects; one, CH5126766, potentiated TNF-α-induced apoptosis, and the others reduced cell death. Computational modeling and experimental perturbation identified the kinase Akt as the primary signaling node that enhanced apoptosis in the context of TNF-α signaling in the presence of CH5126766. Our work emphasizes the importance of integrated network signaling in specifying cellular behavior in response to experimental or therapeutic manipulation. More broadly, this study highlighted the importance of considering the network-level effects of pathway inhibitors and showed the distinct effects of inhibitors that share the same target.","container-title":"Science Signaling","DOI":"10.1126/scisignal.aac7235","ISSN":"1937-9145","issue":"407","journalAbbreviation":"Sci Signal","language":"eng","note":"PMID: 26671150\nPMCID: PMC4812576","page":"ra129","source":"PubMed","title":"Network-level effects of kinase inhibitors modulate TNF-α-induced apoptosis in the intestinal epithelium","volume":"8","author":[{"family":"Gierut","given":"Jessica J."},{"family":"Wood","given":"Levi B."},{"family":"Lau","given":"Ken S."},{"family":"Lin","given":"Yi-Jang"},{"family":"Genetti","given":"Casie"},{"family":"Samatar","given":"Ahmed A."},{"family":"Lauffenburger","given":"Douglas A."},{"family":"Haigis","given":"Kevin M."}],"issued":{"date-parts":[["2015",12,15]]}}}],"schema":"https://github.com/citation-style-language/schema/raw/master/csl-citation.json"} </w:instrText>
      </w:r>
      <w:r w:rsidR="00EA4A6B" w:rsidRPr="00677B47">
        <w:rPr>
          <w:rFonts w:ascii="Calibri" w:hAnsi="Calibri" w:cs="Calibri"/>
        </w:rPr>
        <w:fldChar w:fldCharType="separate"/>
      </w:r>
      <w:r w:rsidR="00594BFB" w:rsidRPr="00677B47">
        <w:rPr>
          <w:rFonts w:ascii="Calibri" w:hAnsi="Calibri" w:cs="Calibri"/>
          <w:vertAlign w:val="superscript"/>
        </w:rPr>
        <w:t>33</w:t>
      </w:r>
      <w:r w:rsidR="00EA4A6B" w:rsidRPr="00677B47">
        <w:rPr>
          <w:rFonts w:ascii="Calibri" w:hAnsi="Calibri" w:cs="Calibri"/>
        </w:rPr>
        <w:fldChar w:fldCharType="end"/>
      </w:r>
      <w:r w:rsidR="00A45B24" w:rsidRPr="00677B47">
        <w:rPr>
          <w:rFonts w:ascii="Calibri" w:hAnsi="Calibri" w:cs="Calibri"/>
        </w:rPr>
        <w:t xml:space="preserve">. We refer the reader to </w:t>
      </w:r>
      <w:r w:rsidR="00A45B24" w:rsidRPr="00677B47">
        <w:rPr>
          <w:rFonts w:ascii="Calibri" w:hAnsi="Calibri" w:cs="Calibri"/>
          <w:i/>
          <w:iCs/>
        </w:rPr>
        <w:t xml:space="preserve">Multi and Megavariate Data Analysis </w:t>
      </w:r>
      <w:r w:rsidR="00A45B24" w:rsidRPr="00677B47">
        <w:rPr>
          <w:rFonts w:ascii="Calibri" w:hAnsi="Calibri" w:cs="Calibri"/>
        </w:rPr>
        <w:fldChar w:fldCharType="begin"/>
      </w:r>
      <w:r w:rsidR="00594BFB" w:rsidRPr="00677B47">
        <w:rPr>
          <w:rFonts w:ascii="Calibri" w:hAnsi="Calibri" w:cs="Calibri"/>
        </w:rPr>
        <w:instrText xml:space="preserve"> ADDIN ZOTERO_ITEM CSL_CITATION {"citationID":"f2qsMDn7","properties":{"formattedCitation":"\\super 24\\nosupersub{}","plainCitation":"24","noteIndex":0},"citationItems":[{"id":"ZyThaQRL/C7bRzR9W","uris":["http://zotero.org/users/local/duY5DgQg/items/L9HDKSLC"],"uri":["http://zotero.org/users/local/duY5DgQg/items/L9HDKSLC"],"itemData":{"id":2,"type":"book","title":"Multi- and Megavariate Data Analysis Basic Principles and Applications","publisher":"Umetrics Academy","number-of-pages":"509","source":"Google Books","abstract":"To understand the world around us, as well as ourselves, we need to measure many things, many variables, many properties of the systems and processes we investigate. Hence, data collected in science, technology, and almost everywhere else are multivariate, a data table with multiple variables measured on multiple observations (cases, samples, items, process time points, experiments). This book describes a remarkably simple minimalistic and practical approach to the analysis of data tables (multivariate data). The approach is based on projection methods, which are PCA (principal components analysis), and PLS (projection to latent structures) and the book shows how this works in science and technology for a wide variety of applications. In particular, it is shown how the great information content in well collected multivariate data can be expressed in terms of simple but illuminating plots, facilitating the understanding and interpretation of the data. The projection approach applies to a variety of data-analytical objectives, i.e., (i) summarizing and visualizing a data set, (ii) multivariate classification and discriminant analysis, and (iii) finding quantitative relationships among the variables. This works with any shape of data table, with many or few variables (columns), many or few observations (rows), and complete or incomplete data tables (missing data). In particular, projections handle data matrices with more variables than observations very well, and the data can be noisy and highly collinear. Authors: The five authors are all connected to the Umetrics company (www.umetrics.com) which has developed and sold software for multivariate analysis since 1987, as well as supports customers with training and consultations. Umetrics&amp;#39; customers include most large and medium sized companies in the pharmaceutical, biopharm, chemical, and semiconductor sectors.","ISBN":"978-91-973730-5-0","note":"Google-Books-ID: 58qLBQAAQBAJ","language":"en","author":[{"family":"Eriksson","given":"L."},{"family":"Byrne","given":"T."},{"family":"Johansson","given":"E."},{"family":"Trygg","given":"J."},{"family":"Vikström","given":"C."}],"issued":{"date-parts":[["2013",7,1]]}}}],"schema":"https://github.com/citation-style-language/schema/raw/master/csl-citation.json"} </w:instrText>
      </w:r>
      <w:r w:rsidR="00A45B24" w:rsidRPr="00677B47">
        <w:rPr>
          <w:rFonts w:ascii="Calibri" w:hAnsi="Calibri" w:cs="Calibri"/>
        </w:rPr>
        <w:fldChar w:fldCharType="separate"/>
      </w:r>
      <w:r w:rsidR="00594BFB" w:rsidRPr="00677B47">
        <w:rPr>
          <w:rFonts w:ascii="Calibri" w:hAnsi="Calibri" w:cs="Calibri"/>
          <w:vertAlign w:val="superscript"/>
        </w:rPr>
        <w:t>24</w:t>
      </w:r>
      <w:r w:rsidR="00A45B24" w:rsidRPr="00677B47">
        <w:rPr>
          <w:rFonts w:ascii="Calibri" w:hAnsi="Calibri" w:cs="Calibri"/>
        </w:rPr>
        <w:fldChar w:fldCharType="end"/>
      </w:r>
      <w:r w:rsidR="00A45B24" w:rsidRPr="00677B47">
        <w:rPr>
          <w:rFonts w:ascii="Calibri" w:hAnsi="Calibri" w:cs="Calibri"/>
        </w:rPr>
        <w:t xml:space="preserve"> for an in-depth discussion of PLSR approaches and uses.</w:t>
      </w:r>
      <w:r w:rsidR="00F075ED" w:rsidRPr="00677B47">
        <w:rPr>
          <w:rFonts w:ascii="Calibri" w:hAnsi="Calibri" w:cs="Calibri"/>
        </w:rPr>
        <w:t xml:space="preserve"> Finally, we note that a key limitation of this type of analysis is that it is purely correlative. PLSR does not prove a mechanistic relationship between predictor variables and the outcome variable. We view PLSR as a valuable </w:t>
      </w:r>
      <w:r w:rsidR="00F075ED" w:rsidRPr="00677B47">
        <w:rPr>
          <w:rFonts w:ascii="Calibri" w:hAnsi="Calibri" w:cs="Calibri"/>
          <w:bCs/>
          <w:i/>
          <w:iCs/>
        </w:rPr>
        <w:t>hypothesis generating</w:t>
      </w:r>
      <w:r w:rsidR="00F075ED" w:rsidRPr="00677B47">
        <w:rPr>
          <w:rFonts w:ascii="Calibri" w:hAnsi="Calibri" w:cs="Calibri"/>
        </w:rPr>
        <w:t xml:space="preserve"> approach that is used to suggest tractable targets to modulate in future experiments that establish causal relationships.</w:t>
      </w:r>
    </w:p>
    <w:p w14:paraId="1D4A5F15" w14:textId="77777777" w:rsidR="00014314" w:rsidRPr="00677B47" w:rsidRDefault="00014314" w:rsidP="009B5312">
      <w:pPr>
        <w:contextualSpacing/>
        <w:rPr>
          <w:rFonts w:ascii="Calibri" w:hAnsi="Calibri" w:cs="Calibri"/>
        </w:rPr>
      </w:pPr>
    </w:p>
    <w:p w14:paraId="492E6EFD" w14:textId="5773DE18" w:rsidR="00AA03DF" w:rsidRPr="00677B47" w:rsidRDefault="00AA03DF" w:rsidP="009B5312">
      <w:pPr>
        <w:pStyle w:val="NormalWeb"/>
        <w:spacing w:before="0" w:beforeAutospacing="0" w:after="0" w:afterAutospacing="0"/>
        <w:contextualSpacing/>
        <w:rPr>
          <w:color w:val="808080"/>
        </w:rPr>
      </w:pPr>
      <w:r w:rsidRPr="00677B47">
        <w:rPr>
          <w:b/>
          <w:bCs/>
        </w:rPr>
        <w:t xml:space="preserve">ACKNOWLEDGMENTS: </w:t>
      </w:r>
    </w:p>
    <w:p w14:paraId="51B00985" w14:textId="432E2F04" w:rsidR="00AA03DF" w:rsidRPr="00677B47" w:rsidRDefault="008A1BC4" w:rsidP="009B5312">
      <w:pPr>
        <w:contextualSpacing/>
        <w:rPr>
          <w:rFonts w:ascii="Calibri" w:hAnsi="Calibri" w:cs="Calibri"/>
          <w:b/>
          <w:bCs/>
        </w:rPr>
      </w:pPr>
      <w:r w:rsidRPr="00677B47">
        <w:rPr>
          <w:rFonts w:ascii="Calibri" w:eastAsiaTheme="majorEastAsia" w:hAnsi="Calibri" w:cs="Calibri"/>
        </w:rPr>
        <w:t>This project was supported by the National Institutes of Health</w:t>
      </w:r>
      <w:r w:rsidRPr="00677B47">
        <w:rPr>
          <w:rStyle w:val="Strong"/>
          <w:rFonts w:ascii="Calibri" w:eastAsiaTheme="majorEastAsia" w:hAnsi="Calibri" w:cs="Calibri"/>
          <w:b w:val="0"/>
          <w:bCs w:val="0"/>
        </w:rPr>
        <w:t xml:space="preserve"> R21 NS104801 </w:t>
      </w:r>
      <w:r w:rsidR="007B1948" w:rsidRPr="007B1948">
        <w:rPr>
          <w:rStyle w:val="Strong"/>
          <w:rFonts w:ascii="Calibri" w:eastAsiaTheme="majorEastAsia" w:hAnsi="Calibri" w:cs="Calibri"/>
          <w:b w:val="0"/>
          <w:bCs w:val="0"/>
        </w:rPr>
        <w:t>(</w:t>
      </w:r>
      <w:r w:rsidRPr="00677B47">
        <w:rPr>
          <w:rStyle w:val="Strong"/>
          <w:rFonts w:ascii="Calibri" w:eastAsiaTheme="majorEastAsia" w:hAnsi="Calibri" w:cs="Calibri"/>
          <w:b w:val="0"/>
          <w:bCs w:val="0"/>
        </w:rPr>
        <w:t>EMB</w:t>
      </w:r>
      <w:r w:rsidR="007B1948" w:rsidRPr="007B1948">
        <w:rPr>
          <w:rStyle w:val="Strong"/>
          <w:rFonts w:ascii="Calibri" w:eastAsiaTheme="majorEastAsia" w:hAnsi="Calibri" w:cs="Calibri"/>
          <w:b w:val="0"/>
          <w:bCs w:val="0"/>
        </w:rPr>
        <w:t>)</w:t>
      </w:r>
      <w:r w:rsidRPr="00677B47">
        <w:rPr>
          <w:rStyle w:val="Strong"/>
          <w:rFonts w:ascii="Calibri" w:eastAsiaTheme="majorEastAsia" w:hAnsi="Calibri" w:cs="Calibri"/>
          <w:b w:val="0"/>
          <w:bCs w:val="0"/>
        </w:rPr>
        <w:t xml:space="preserve"> and </w:t>
      </w:r>
      <w:r w:rsidRPr="00677B47">
        <w:rPr>
          <w:rFonts w:ascii="Calibri" w:eastAsiaTheme="majorEastAsia" w:hAnsi="Calibri" w:cs="Calibri"/>
        </w:rPr>
        <w:t xml:space="preserve">Children’s Healthcare of Atlanta Junior Faculty Focused Award </w:t>
      </w:r>
      <w:r w:rsidR="007B1948" w:rsidRPr="007B1948">
        <w:rPr>
          <w:rFonts w:ascii="Calibri" w:eastAsiaTheme="majorEastAsia" w:hAnsi="Calibri" w:cs="Calibri"/>
        </w:rPr>
        <w:t>(</w:t>
      </w:r>
      <w:r w:rsidRPr="00677B47">
        <w:rPr>
          <w:rFonts w:ascii="Calibri" w:eastAsiaTheme="majorEastAsia" w:hAnsi="Calibri" w:cs="Calibri"/>
        </w:rPr>
        <w:t>EMB</w:t>
      </w:r>
      <w:r w:rsidR="007B1948" w:rsidRPr="007B1948">
        <w:rPr>
          <w:rFonts w:ascii="Calibri" w:eastAsiaTheme="majorEastAsia" w:hAnsi="Calibri" w:cs="Calibri"/>
        </w:rPr>
        <w:t>)</w:t>
      </w:r>
      <w:r w:rsidRPr="00677B47">
        <w:rPr>
          <w:rFonts w:ascii="Calibri" w:eastAsiaTheme="majorEastAsia" w:hAnsi="Calibri" w:cs="Calibri"/>
        </w:rPr>
        <w:t>.</w:t>
      </w:r>
      <w:r w:rsidRPr="00677B47">
        <w:rPr>
          <w:rStyle w:val="Strong"/>
          <w:rFonts w:ascii="Calibri" w:eastAsiaTheme="majorEastAsia" w:hAnsi="Calibri" w:cs="Calibri"/>
          <w:b w:val="0"/>
          <w:bCs w:val="0"/>
        </w:rPr>
        <w:t xml:space="preserve"> </w:t>
      </w:r>
      <w:r w:rsidRPr="00677B47">
        <w:rPr>
          <w:rFonts w:ascii="Calibri" w:hAnsi="Calibri" w:cs="Calibri"/>
          <w:bCs/>
        </w:rPr>
        <w:t xml:space="preserve">This </w:t>
      </w:r>
      <w:r w:rsidR="00AE2C16" w:rsidRPr="00677B47">
        <w:rPr>
          <w:rStyle w:val="Strong"/>
          <w:rFonts w:ascii="Calibri" w:eastAsiaTheme="majorEastAsia" w:hAnsi="Calibri" w:cs="Calibri"/>
          <w:b w:val="0"/>
          <w:bCs w:val="0"/>
        </w:rPr>
        <w:t xml:space="preserve">work was </w:t>
      </w:r>
      <w:r w:rsidRPr="00677B47">
        <w:rPr>
          <w:rStyle w:val="Strong"/>
          <w:rFonts w:ascii="Calibri" w:eastAsiaTheme="majorEastAsia" w:hAnsi="Calibri" w:cs="Calibri"/>
          <w:b w:val="0"/>
          <w:bCs w:val="0"/>
        </w:rPr>
        <w:t xml:space="preserve">also </w:t>
      </w:r>
      <w:r w:rsidR="00AE2C16" w:rsidRPr="00677B47">
        <w:rPr>
          <w:rStyle w:val="Strong"/>
          <w:rFonts w:ascii="Calibri" w:eastAsiaTheme="majorEastAsia" w:hAnsi="Calibri" w:cs="Calibri"/>
          <w:b w:val="0"/>
          <w:bCs w:val="0"/>
        </w:rPr>
        <w:t xml:space="preserve">supported by the </w:t>
      </w:r>
      <w:r w:rsidR="005147C8" w:rsidRPr="00677B47">
        <w:rPr>
          <w:rStyle w:val="Strong"/>
          <w:rFonts w:ascii="Calibri" w:eastAsiaTheme="majorEastAsia" w:hAnsi="Calibri" w:cs="Calibri"/>
          <w:b w:val="0"/>
          <w:bCs w:val="0"/>
        </w:rPr>
        <w:t xml:space="preserve">U.S. Department of Defense </w:t>
      </w:r>
      <w:r w:rsidR="00AE2C16" w:rsidRPr="00677B47">
        <w:rPr>
          <w:rStyle w:val="Strong"/>
          <w:rFonts w:ascii="Calibri" w:eastAsiaTheme="majorEastAsia" w:hAnsi="Calibri" w:cs="Calibri"/>
          <w:b w:val="0"/>
          <w:bCs w:val="0"/>
        </w:rPr>
        <w:t>through the Congressionally Directed Medical Research Programs under Award No. W81XWH-18-1-0669</w:t>
      </w:r>
      <w:r w:rsidR="00BD34CC" w:rsidRPr="00677B47">
        <w:rPr>
          <w:rStyle w:val="Strong"/>
          <w:rFonts w:ascii="Calibri" w:eastAsiaTheme="majorEastAsia" w:hAnsi="Calibri" w:cs="Calibri"/>
          <w:b w:val="0"/>
          <w:bCs w:val="0"/>
        </w:rPr>
        <w:t xml:space="preserve"> </w:t>
      </w:r>
      <w:r w:rsidR="007B1948" w:rsidRPr="007B1948">
        <w:rPr>
          <w:rStyle w:val="Strong"/>
          <w:rFonts w:ascii="Calibri" w:eastAsiaTheme="majorEastAsia" w:hAnsi="Calibri" w:cs="Calibri"/>
          <w:b w:val="0"/>
          <w:bCs w:val="0"/>
        </w:rPr>
        <w:t>(</w:t>
      </w:r>
      <w:r w:rsidR="00BD34CC" w:rsidRPr="00677B47">
        <w:rPr>
          <w:rStyle w:val="Strong"/>
          <w:rFonts w:ascii="Calibri" w:eastAsiaTheme="majorEastAsia" w:hAnsi="Calibri" w:cs="Calibri"/>
          <w:b w:val="0"/>
          <w:bCs w:val="0"/>
        </w:rPr>
        <w:t>LBW/EMB</w:t>
      </w:r>
      <w:r w:rsidR="007B1948" w:rsidRPr="007B1948">
        <w:rPr>
          <w:rStyle w:val="Strong"/>
          <w:rFonts w:ascii="Calibri" w:eastAsiaTheme="majorEastAsia" w:hAnsi="Calibri" w:cs="Calibri"/>
          <w:b w:val="0"/>
          <w:bCs w:val="0"/>
        </w:rPr>
        <w:t>)</w:t>
      </w:r>
      <w:r w:rsidR="00AE2C16" w:rsidRPr="00677B47">
        <w:rPr>
          <w:rStyle w:val="Strong"/>
          <w:rFonts w:ascii="Calibri" w:eastAsiaTheme="majorEastAsia" w:hAnsi="Calibri" w:cs="Calibri"/>
          <w:b w:val="0"/>
          <w:bCs w:val="0"/>
        </w:rPr>
        <w:t>.</w:t>
      </w:r>
      <w:r w:rsidR="005147C8" w:rsidRPr="00677B47">
        <w:rPr>
          <w:rStyle w:val="Strong"/>
          <w:rFonts w:ascii="Calibri" w:eastAsiaTheme="majorEastAsia" w:hAnsi="Calibri" w:cs="Calibri"/>
          <w:b w:val="0"/>
          <w:bCs w:val="0"/>
        </w:rPr>
        <w:t xml:space="preserve"> </w:t>
      </w:r>
      <w:r w:rsidR="00AE2C16" w:rsidRPr="00677B47">
        <w:rPr>
          <w:rStyle w:val="Strong"/>
          <w:rFonts w:ascii="Calibri" w:eastAsiaTheme="majorEastAsia" w:hAnsi="Calibri" w:cs="Calibri"/>
          <w:b w:val="0"/>
          <w:bCs w:val="0"/>
        </w:rPr>
        <w:t xml:space="preserve">Opinions, interpretations, </w:t>
      </w:r>
      <w:proofErr w:type="gramStart"/>
      <w:r w:rsidR="00AE2C16" w:rsidRPr="00677B47">
        <w:rPr>
          <w:rStyle w:val="Strong"/>
          <w:rFonts w:ascii="Calibri" w:eastAsiaTheme="majorEastAsia" w:hAnsi="Calibri" w:cs="Calibri"/>
          <w:b w:val="0"/>
          <w:bCs w:val="0"/>
        </w:rPr>
        <w:t>conclusions</w:t>
      </w:r>
      <w:proofErr w:type="gramEnd"/>
      <w:r w:rsidR="00AE2C16" w:rsidRPr="00677B47">
        <w:rPr>
          <w:rStyle w:val="Strong"/>
          <w:rFonts w:ascii="Calibri" w:eastAsiaTheme="majorEastAsia" w:hAnsi="Calibri" w:cs="Calibri"/>
          <w:b w:val="0"/>
          <w:bCs w:val="0"/>
        </w:rPr>
        <w:t xml:space="preserve"> and recommendations are those of the author and</w:t>
      </w:r>
      <w:r w:rsidR="005147C8" w:rsidRPr="00677B47">
        <w:rPr>
          <w:rStyle w:val="Strong"/>
          <w:rFonts w:ascii="Calibri" w:eastAsiaTheme="majorEastAsia" w:hAnsi="Calibri" w:cs="Calibri"/>
          <w:b w:val="0"/>
          <w:bCs w:val="0"/>
        </w:rPr>
        <w:t xml:space="preserve"> </w:t>
      </w:r>
      <w:r w:rsidR="00AE2C16" w:rsidRPr="00677B47">
        <w:rPr>
          <w:rStyle w:val="Strong"/>
          <w:rFonts w:ascii="Calibri" w:eastAsiaTheme="majorEastAsia" w:hAnsi="Calibri" w:cs="Calibri"/>
          <w:b w:val="0"/>
          <w:bCs w:val="0"/>
        </w:rPr>
        <w:t>are not necessarily endorsed by the Department of Defense</w:t>
      </w:r>
      <w:r w:rsidR="005147C8" w:rsidRPr="00677B47">
        <w:rPr>
          <w:rStyle w:val="Strong"/>
          <w:rFonts w:ascii="Calibri" w:eastAsiaTheme="majorEastAsia" w:hAnsi="Calibri" w:cs="Calibri"/>
          <w:b w:val="0"/>
          <w:bCs w:val="0"/>
        </w:rPr>
        <w:t>.</w:t>
      </w:r>
      <w:r w:rsidR="00981AEE" w:rsidRPr="00677B47">
        <w:rPr>
          <w:rStyle w:val="Strong"/>
          <w:rFonts w:ascii="Calibri" w:eastAsiaTheme="majorEastAsia" w:hAnsi="Calibri" w:cs="Calibri"/>
          <w:b w:val="0"/>
          <w:bCs w:val="0"/>
        </w:rPr>
        <w:t xml:space="preserve"> </w:t>
      </w:r>
    </w:p>
    <w:p w14:paraId="696A1339" w14:textId="77777777" w:rsidR="0082238D" w:rsidRPr="00677B47" w:rsidRDefault="0082238D" w:rsidP="009B5312">
      <w:pPr>
        <w:pStyle w:val="NormalWeb"/>
        <w:spacing w:before="0" w:beforeAutospacing="0" w:after="0" w:afterAutospacing="0"/>
        <w:contextualSpacing/>
        <w:rPr>
          <w:b/>
        </w:rPr>
      </w:pPr>
    </w:p>
    <w:p w14:paraId="25705EBB" w14:textId="1CBE6378" w:rsidR="00AA03DF" w:rsidRPr="00677B47" w:rsidRDefault="00AA03DF" w:rsidP="009B5312">
      <w:pPr>
        <w:pStyle w:val="NormalWeb"/>
        <w:spacing w:before="0" w:beforeAutospacing="0" w:after="0" w:afterAutospacing="0"/>
        <w:contextualSpacing/>
        <w:rPr>
          <w:color w:val="808080"/>
        </w:rPr>
      </w:pPr>
      <w:r w:rsidRPr="00677B47">
        <w:rPr>
          <w:b/>
        </w:rPr>
        <w:lastRenderedPageBreak/>
        <w:t>DISCLOSURES</w:t>
      </w:r>
      <w:r w:rsidRPr="00677B47">
        <w:rPr>
          <w:b/>
          <w:bCs/>
        </w:rPr>
        <w:t xml:space="preserve">: </w:t>
      </w:r>
    </w:p>
    <w:p w14:paraId="02A41DCF" w14:textId="0195E0AD" w:rsidR="00AA03DF" w:rsidRPr="00677B47" w:rsidRDefault="005147C8" w:rsidP="009B5312">
      <w:pPr>
        <w:contextualSpacing/>
        <w:rPr>
          <w:rFonts w:ascii="Calibri" w:hAnsi="Calibri" w:cs="Calibri"/>
        </w:rPr>
      </w:pPr>
      <w:r w:rsidRPr="00677B47">
        <w:rPr>
          <w:rFonts w:ascii="Calibri" w:hAnsi="Calibri" w:cs="Calibri"/>
        </w:rPr>
        <w:t>None.</w:t>
      </w:r>
    </w:p>
    <w:p w14:paraId="57BEAE75" w14:textId="77777777" w:rsidR="00294A39" w:rsidRPr="00677B47" w:rsidRDefault="00294A39" w:rsidP="009B5312">
      <w:pPr>
        <w:contextualSpacing/>
        <w:rPr>
          <w:rFonts w:ascii="Calibri" w:hAnsi="Calibri" w:cs="Calibri"/>
        </w:rPr>
      </w:pPr>
    </w:p>
    <w:p w14:paraId="5EACE355" w14:textId="00A5BA62" w:rsidR="005F0B27" w:rsidRPr="009D2852" w:rsidRDefault="009726EE" w:rsidP="009B5312">
      <w:pPr>
        <w:contextualSpacing/>
        <w:rPr>
          <w:rFonts w:ascii="Calibri" w:hAnsi="Calibri" w:cs="Calibri"/>
          <w:color w:val="808080"/>
        </w:rPr>
      </w:pPr>
      <w:r w:rsidRPr="00677B47">
        <w:rPr>
          <w:rFonts w:ascii="Calibri" w:hAnsi="Calibri" w:cs="Calibri"/>
          <w:b/>
          <w:bCs/>
        </w:rPr>
        <w:t>REFERENCES</w:t>
      </w:r>
    </w:p>
    <w:p w14:paraId="249548D4" w14:textId="5B53606F" w:rsidR="00594BFB" w:rsidRPr="00677B47" w:rsidRDefault="00577524" w:rsidP="009B5312">
      <w:pPr>
        <w:pStyle w:val="Bibliography"/>
        <w:tabs>
          <w:tab w:val="clear" w:pos="380"/>
        </w:tabs>
        <w:ind w:left="0" w:firstLine="0"/>
        <w:contextualSpacing/>
      </w:pPr>
      <w:r w:rsidRPr="00677B47">
        <w:fldChar w:fldCharType="begin"/>
      </w:r>
      <w:r w:rsidR="00594BFB" w:rsidRPr="00677B47">
        <w:instrText xml:space="preserve"> ADDIN ZOTERO_BIBL {"uncited":[],"omitted":[],"custom":[]} CSL_BIBLIOGRAPHY </w:instrText>
      </w:r>
      <w:r w:rsidRPr="00677B47">
        <w:fldChar w:fldCharType="separate"/>
      </w:r>
      <w:r w:rsidR="00594BFB" w:rsidRPr="00677B47">
        <w:t>1.</w:t>
      </w:r>
      <w:r w:rsidR="00594BFB" w:rsidRPr="00677B47">
        <w:tab/>
        <w:t xml:space="preserve">Langlois, J.A., Rutland-Brown, W., Wald, M.M. The epidemiology and impact of traumatic brain injury: a brief overview. </w:t>
      </w:r>
      <w:r w:rsidR="009D2852">
        <w:rPr>
          <w:i/>
          <w:iCs/>
        </w:rPr>
        <w:t>Journal of Head Trauma Rehabilitation</w:t>
      </w:r>
      <w:r w:rsidR="00594BFB" w:rsidRPr="00677B47">
        <w:t xml:space="preserve">. </w:t>
      </w:r>
      <w:r w:rsidR="00594BFB" w:rsidRPr="00677B47">
        <w:rPr>
          <w:b/>
          <w:bCs/>
        </w:rPr>
        <w:t>21</w:t>
      </w:r>
      <w:r w:rsidR="00594BFB" w:rsidRPr="00677B47">
        <w:t xml:space="preserve"> </w:t>
      </w:r>
      <w:r w:rsidR="007B1948" w:rsidRPr="007B1948">
        <w:t>(</w:t>
      </w:r>
      <w:r w:rsidR="00594BFB" w:rsidRPr="00677B47">
        <w:t>5</w:t>
      </w:r>
      <w:r w:rsidR="007B1948" w:rsidRPr="007B1948">
        <w:t>)</w:t>
      </w:r>
      <w:r w:rsidR="00594BFB" w:rsidRPr="00677B47">
        <w:t xml:space="preserve">, 375–8 </w:t>
      </w:r>
      <w:r w:rsidR="007B1948" w:rsidRPr="007B1948">
        <w:t>(</w:t>
      </w:r>
      <w:r w:rsidR="00594BFB" w:rsidRPr="00677B47">
        <w:t>2006</w:t>
      </w:r>
      <w:r w:rsidR="007B1948" w:rsidRPr="007B1948">
        <w:t>)</w:t>
      </w:r>
      <w:r w:rsidR="00594BFB" w:rsidRPr="00677B47">
        <w:t>.</w:t>
      </w:r>
    </w:p>
    <w:p w14:paraId="0E17BE2B" w14:textId="2B413677" w:rsidR="00594BFB" w:rsidRPr="00677B47" w:rsidRDefault="00594BFB" w:rsidP="009B5312">
      <w:pPr>
        <w:pStyle w:val="Bibliography"/>
        <w:tabs>
          <w:tab w:val="clear" w:pos="380"/>
        </w:tabs>
        <w:ind w:left="0" w:firstLine="0"/>
        <w:contextualSpacing/>
      </w:pPr>
      <w:r w:rsidRPr="00677B47">
        <w:t>2.</w:t>
      </w:r>
      <w:r w:rsidRPr="00677B47">
        <w:tab/>
        <w:t xml:space="preserve">Iraji, A. </w:t>
      </w:r>
      <w:r w:rsidR="009D2852" w:rsidRPr="009D2852">
        <w:t>et al.</w:t>
      </w:r>
      <w:r w:rsidRPr="00677B47">
        <w:t xml:space="preserve"> Resting State Functional Connectivity in Mild Traumatic Brain Injury at the Acute Stage: Independent Component and Seed-Based Analyses. </w:t>
      </w:r>
      <w:r w:rsidR="009D2852">
        <w:rPr>
          <w:i/>
          <w:iCs/>
        </w:rPr>
        <w:t>Journal of Neurotrauma</w:t>
      </w:r>
      <w:r w:rsidRPr="00677B47">
        <w:t xml:space="preserve">. </w:t>
      </w:r>
      <w:r w:rsidRPr="00677B47">
        <w:rPr>
          <w:b/>
          <w:bCs/>
        </w:rPr>
        <w:t>32</w:t>
      </w:r>
      <w:r w:rsidRPr="00677B47">
        <w:t xml:space="preserve"> </w:t>
      </w:r>
      <w:r w:rsidR="007B1948" w:rsidRPr="007B1948">
        <w:t>(</w:t>
      </w:r>
      <w:r w:rsidRPr="00677B47">
        <w:t>14</w:t>
      </w:r>
      <w:r w:rsidR="007B1948" w:rsidRPr="007B1948">
        <w:t>)</w:t>
      </w:r>
      <w:r w:rsidRPr="00677B47">
        <w:t xml:space="preserve">, 1031–45 </w:t>
      </w:r>
      <w:r w:rsidR="007B1948" w:rsidRPr="007B1948">
        <w:t>(</w:t>
      </w:r>
      <w:r w:rsidRPr="00677B47">
        <w:t>2015</w:t>
      </w:r>
      <w:r w:rsidR="007B1948" w:rsidRPr="007B1948">
        <w:t>)</w:t>
      </w:r>
      <w:r w:rsidRPr="00677B47">
        <w:t>.</w:t>
      </w:r>
    </w:p>
    <w:p w14:paraId="3FE7203C" w14:textId="39C60D85" w:rsidR="00594BFB" w:rsidRPr="00677B47" w:rsidRDefault="00594BFB" w:rsidP="009B5312">
      <w:pPr>
        <w:pStyle w:val="Bibliography"/>
        <w:tabs>
          <w:tab w:val="clear" w:pos="380"/>
        </w:tabs>
        <w:ind w:left="0" w:firstLine="0"/>
        <w:contextualSpacing/>
      </w:pPr>
      <w:r w:rsidRPr="00677B47">
        <w:t>3.</w:t>
      </w:r>
      <w:r w:rsidRPr="00677B47">
        <w:tab/>
        <w:t xml:space="preserve">Guskiewicz, K.M. </w:t>
      </w:r>
      <w:r w:rsidR="009D2852" w:rsidRPr="009D2852">
        <w:t>et al.</w:t>
      </w:r>
      <w:r w:rsidRPr="00677B47">
        <w:t xml:space="preserve"> Cumulative effects associated with recurrent concussion in collegiate football players: the NCAA Concussion Study. </w:t>
      </w:r>
      <w:r w:rsidR="009D2852">
        <w:rPr>
          <w:i/>
          <w:iCs/>
        </w:rPr>
        <w:t>Journal of the American Medical Association</w:t>
      </w:r>
      <w:r w:rsidRPr="00677B47">
        <w:t xml:space="preserve">. </w:t>
      </w:r>
      <w:r w:rsidRPr="00677B47">
        <w:rPr>
          <w:b/>
          <w:bCs/>
        </w:rPr>
        <w:t>290</w:t>
      </w:r>
      <w:r w:rsidRPr="00677B47">
        <w:t xml:space="preserve"> </w:t>
      </w:r>
      <w:r w:rsidR="007B1948" w:rsidRPr="007B1948">
        <w:t>(</w:t>
      </w:r>
      <w:r w:rsidRPr="00677B47">
        <w:t>19</w:t>
      </w:r>
      <w:r w:rsidR="007B1948" w:rsidRPr="007B1948">
        <w:t>)</w:t>
      </w:r>
      <w:r w:rsidRPr="00677B47">
        <w:t xml:space="preserve">, 2549–55 </w:t>
      </w:r>
      <w:r w:rsidR="007B1948" w:rsidRPr="007B1948">
        <w:t>(</w:t>
      </w:r>
      <w:r w:rsidRPr="00677B47">
        <w:t>2003</w:t>
      </w:r>
      <w:r w:rsidR="007B1948" w:rsidRPr="007B1948">
        <w:t>)</w:t>
      </w:r>
      <w:r w:rsidRPr="00677B47">
        <w:t>.</w:t>
      </w:r>
    </w:p>
    <w:p w14:paraId="20CC6282" w14:textId="07459800" w:rsidR="00594BFB" w:rsidRPr="00677B47" w:rsidRDefault="00594BFB" w:rsidP="009B5312">
      <w:pPr>
        <w:pStyle w:val="Bibliography"/>
        <w:tabs>
          <w:tab w:val="clear" w:pos="380"/>
        </w:tabs>
        <w:ind w:left="0" w:firstLine="0"/>
        <w:contextualSpacing/>
      </w:pPr>
      <w:r w:rsidRPr="00677B47">
        <w:t>4.</w:t>
      </w:r>
      <w:r w:rsidRPr="00677B47">
        <w:tab/>
        <w:t xml:space="preserve">Longhi, L. </w:t>
      </w:r>
      <w:r w:rsidR="009D2852" w:rsidRPr="009D2852">
        <w:t>et al.</w:t>
      </w:r>
      <w:r w:rsidRPr="00677B47">
        <w:t xml:space="preserve"> Temporal window of vulnerability to repetitive experimental concussive brain injury. </w:t>
      </w:r>
      <w:r w:rsidRPr="00677B47">
        <w:rPr>
          <w:i/>
          <w:iCs/>
        </w:rPr>
        <w:t>Neurosurgery</w:t>
      </w:r>
      <w:r w:rsidRPr="00677B47">
        <w:t xml:space="preserve">. </w:t>
      </w:r>
      <w:r w:rsidRPr="00677B47">
        <w:rPr>
          <w:b/>
          <w:bCs/>
        </w:rPr>
        <w:t>56</w:t>
      </w:r>
      <w:r w:rsidRPr="00677B47">
        <w:t xml:space="preserve"> </w:t>
      </w:r>
      <w:r w:rsidR="007B1948" w:rsidRPr="007B1948">
        <w:t>(</w:t>
      </w:r>
      <w:r w:rsidRPr="00677B47">
        <w:t>2</w:t>
      </w:r>
      <w:r w:rsidR="007B1948" w:rsidRPr="007B1948">
        <w:t>)</w:t>
      </w:r>
      <w:r w:rsidRPr="00677B47">
        <w:t xml:space="preserve">, 364–74 </w:t>
      </w:r>
      <w:r w:rsidR="007B1948" w:rsidRPr="007B1948">
        <w:t>(</w:t>
      </w:r>
      <w:r w:rsidRPr="00677B47">
        <w:t>2005</w:t>
      </w:r>
      <w:r w:rsidR="007B1948" w:rsidRPr="007B1948">
        <w:t>)</w:t>
      </w:r>
      <w:r w:rsidRPr="00677B47">
        <w:t>.</w:t>
      </w:r>
    </w:p>
    <w:p w14:paraId="5BEBDE5B" w14:textId="0CD5EE3B" w:rsidR="00594BFB" w:rsidRPr="00677B47" w:rsidRDefault="00594BFB" w:rsidP="009B5312">
      <w:pPr>
        <w:pStyle w:val="Bibliography"/>
        <w:tabs>
          <w:tab w:val="clear" w:pos="380"/>
        </w:tabs>
        <w:ind w:left="0" w:firstLine="0"/>
        <w:contextualSpacing/>
      </w:pPr>
      <w:r w:rsidRPr="00677B47">
        <w:t>5.</w:t>
      </w:r>
      <w:r w:rsidRPr="00677B47">
        <w:tab/>
        <w:t xml:space="preserve">Committee on Sports-Related Concussions in Youth, Board on Children, Youth, and Families, Institute of Medicine, National Research Council </w:t>
      </w:r>
      <w:r w:rsidRPr="00677B47">
        <w:rPr>
          <w:i/>
          <w:iCs/>
        </w:rPr>
        <w:t>Sports-Related Concussions in Youth: Improving the Science, Changing the Culture</w:t>
      </w:r>
      <w:r w:rsidRPr="00677B47">
        <w:t xml:space="preserve">. at &lt;http://www.ncbi.nlm.nih.gov/books/NBK169016/&gt;. National Academies Press </w:t>
      </w:r>
      <w:r w:rsidR="007B1948" w:rsidRPr="007B1948">
        <w:t>(</w:t>
      </w:r>
      <w:r w:rsidRPr="00677B47">
        <w:t>US</w:t>
      </w:r>
      <w:r w:rsidR="007B1948" w:rsidRPr="007B1948">
        <w:t>)</w:t>
      </w:r>
      <w:r w:rsidRPr="00677B47">
        <w:t xml:space="preserve">. Washington </w:t>
      </w:r>
      <w:r w:rsidR="007B1948" w:rsidRPr="007B1948">
        <w:t>(</w:t>
      </w:r>
      <w:r w:rsidRPr="00677B47">
        <w:t>DC</w:t>
      </w:r>
      <w:r w:rsidR="007B1948" w:rsidRPr="007B1948">
        <w:t>)</w:t>
      </w:r>
      <w:r w:rsidRPr="00677B47">
        <w:t xml:space="preserve">. </w:t>
      </w:r>
      <w:r w:rsidR="007B1948" w:rsidRPr="007B1948">
        <w:t>(</w:t>
      </w:r>
      <w:r w:rsidRPr="00677B47">
        <w:t>2014</w:t>
      </w:r>
      <w:r w:rsidR="007B1948" w:rsidRPr="007B1948">
        <w:t>)</w:t>
      </w:r>
      <w:r w:rsidRPr="00677B47">
        <w:t>.</w:t>
      </w:r>
    </w:p>
    <w:p w14:paraId="02BE2DB1" w14:textId="320EFD55" w:rsidR="00594BFB" w:rsidRPr="00677B47" w:rsidRDefault="00594BFB" w:rsidP="009B5312">
      <w:pPr>
        <w:pStyle w:val="Bibliography"/>
        <w:tabs>
          <w:tab w:val="clear" w:pos="380"/>
        </w:tabs>
        <w:ind w:left="0" w:firstLine="0"/>
        <w:contextualSpacing/>
      </w:pPr>
      <w:r w:rsidRPr="00677B47">
        <w:t>6.</w:t>
      </w:r>
      <w:r w:rsidRPr="00677B47">
        <w:tab/>
        <w:t xml:space="preserve">Barkhoudarian, G., Hovda, D.A., Giza, C.C. The Molecular Pathophysiology of Concussive Brain Injury - an Update. </w:t>
      </w:r>
      <w:r w:rsidR="009D2852">
        <w:rPr>
          <w:i/>
          <w:iCs/>
        </w:rPr>
        <w:t>Physical Medicine and Rehabilitation Clinics of North America</w:t>
      </w:r>
      <w:r w:rsidRPr="00677B47">
        <w:t xml:space="preserve">. </w:t>
      </w:r>
      <w:r w:rsidRPr="00677B47">
        <w:rPr>
          <w:b/>
          <w:bCs/>
        </w:rPr>
        <w:t>27</w:t>
      </w:r>
      <w:r w:rsidRPr="00677B47">
        <w:t xml:space="preserve"> </w:t>
      </w:r>
      <w:r w:rsidR="007B1948" w:rsidRPr="007B1948">
        <w:t>(</w:t>
      </w:r>
      <w:r w:rsidRPr="00677B47">
        <w:t>2</w:t>
      </w:r>
      <w:r w:rsidR="007B1948" w:rsidRPr="007B1948">
        <w:t>)</w:t>
      </w:r>
      <w:r w:rsidRPr="00677B47">
        <w:t xml:space="preserve">, 373–93 </w:t>
      </w:r>
      <w:r w:rsidR="007B1948" w:rsidRPr="007B1948">
        <w:t>(</w:t>
      </w:r>
      <w:r w:rsidRPr="00677B47">
        <w:t>2016</w:t>
      </w:r>
      <w:r w:rsidR="007B1948" w:rsidRPr="007B1948">
        <w:t>)</w:t>
      </w:r>
      <w:r w:rsidRPr="00677B47">
        <w:t>.</w:t>
      </w:r>
    </w:p>
    <w:p w14:paraId="54EB909A" w14:textId="3F9E0572" w:rsidR="00594BFB" w:rsidRPr="00677B47" w:rsidRDefault="00594BFB" w:rsidP="009B5312">
      <w:pPr>
        <w:pStyle w:val="Bibliography"/>
        <w:tabs>
          <w:tab w:val="clear" w:pos="380"/>
        </w:tabs>
        <w:ind w:left="0" w:firstLine="0"/>
        <w:contextualSpacing/>
      </w:pPr>
      <w:r w:rsidRPr="00677B47">
        <w:t>7.</w:t>
      </w:r>
      <w:r w:rsidRPr="00677B47">
        <w:tab/>
        <w:t xml:space="preserve">McCrory, P. </w:t>
      </w:r>
      <w:r w:rsidR="009D2852" w:rsidRPr="009D2852">
        <w:t>et al.</w:t>
      </w:r>
      <w:r w:rsidRPr="00677B47">
        <w:t xml:space="preserve"> Consensus statement on concussion in sport--the 4th International Conference on Concussion in Sport held in Zurich, November 2012. </w:t>
      </w:r>
      <w:r w:rsidR="009D2852">
        <w:rPr>
          <w:i/>
          <w:iCs/>
        </w:rPr>
        <w:t>Clinical Journal of Sport Medicine</w:t>
      </w:r>
      <w:r w:rsidRPr="00677B47">
        <w:t xml:space="preserve">. </w:t>
      </w:r>
      <w:r w:rsidRPr="00677B47">
        <w:rPr>
          <w:b/>
          <w:bCs/>
        </w:rPr>
        <w:t>23</w:t>
      </w:r>
      <w:r w:rsidRPr="00677B47">
        <w:t xml:space="preserve"> </w:t>
      </w:r>
      <w:r w:rsidR="007B1948" w:rsidRPr="007B1948">
        <w:t>(</w:t>
      </w:r>
      <w:r w:rsidRPr="00677B47">
        <w:t>2</w:t>
      </w:r>
      <w:r w:rsidR="007B1948" w:rsidRPr="007B1948">
        <w:t>)</w:t>
      </w:r>
      <w:r w:rsidRPr="00677B47">
        <w:t xml:space="preserve">, 89–117 </w:t>
      </w:r>
      <w:r w:rsidR="007B1948" w:rsidRPr="007B1948">
        <w:t>(</w:t>
      </w:r>
      <w:r w:rsidRPr="00677B47">
        <w:t>2013</w:t>
      </w:r>
      <w:r w:rsidR="007B1948" w:rsidRPr="007B1948">
        <w:t>)</w:t>
      </w:r>
      <w:r w:rsidRPr="00677B47">
        <w:t>.</w:t>
      </w:r>
    </w:p>
    <w:p w14:paraId="6C1751B7" w14:textId="16D4F7D4" w:rsidR="00594BFB" w:rsidRPr="00677B47" w:rsidRDefault="00594BFB" w:rsidP="009B5312">
      <w:pPr>
        <w:pStyle w:val="Bibliography"/>
        <w:tabs>
          <w:tab w:val="clear" w:pos="380"/>
        </w:tabs>
        <w:ind w:left="0" w:firstLine="0"/>
        <w:contextualSpacing/>
      </w:pPr>
      <w:r w:rsidRPr="00677B47">
        <w:t>8.</w:t>
      </w:r>
      <w:r w:rsidRPr="00677B47">
        <w:tab/>
        <w:t xml:space="preserve">Belanger, H.G., Vanderploeg, R.D., Curtiss, G., Warden, D.L. Recent neuroimaging techniques in mild traumatic brain injury. </w:t>
      </w:r>
      <w:r w:rsidR="009D2852">
        <w:rPr>
          <w:i/>
          <w:iCs/>
        </w:rPr>
        <w:t>Journal of Neuropsychiatry and Clinical Neurosciences</w:t>
      </w:r>
      <w:r w:rsidRPr="00677B47">
        <w:t xml:space="preserve">. </w:t>
      </w:r>
      <w:r w:rsidRPr="00677B47">
        <w:rPr>
          <w:b/>
          <w:bCs/>
        </w:rPr>
        <w:t>19</w:t>
      </w:r>
      <w:r w:rsidRPr="00677B47">
        <w:t xml:space="preserve"> </w:t>
      </w:r>
      <w:r w:rsidR="007B1948" w:rsidRPr="007B1948">
        <w:t>(</w:t>
      </w:r>
      <w:r w:rsidRPr="00677B47">
        <w:t>1</w:t>
      </w:r>
      <w:r w:rsidR="007B1948" w:rsidRPr="007B1948">
        <w:t>)</w:t>
      </w:r>
      <w:r w:rsidRPr="00677B47">
        <w:t xml:space="preserve">, 5–20 </w:t>
      </w:r>
      <w:r w:rsidR="007B1948" w:rsidRPr="007B1948">
        <w:t>(</w:t>
      </w:r>
      <w:r w:rsidRPr="00677B47">
        <w:t>2007</w:t>
      </w:r>
      <w:r w:rsidR="007B1948" w:rsidRPr="007B1948">
        <w:t>)</w:t>
      </w:r>
      <w:r w:rsidRPr="00677B47">
        <w:t>.</w:t>
      </w:r>
    </w:p>
    <w:p w14:paraId="55A6CE4B" w14:textId="07525B80" w:rsidR="00594BFB" w:rsidRPr="00677B47" w:rsidRDefault="00594BFB" w:rsidP="009B5312">
      <w:pPr>
        <w:pStyle w:val="Bibliography"/>
        <w:tabs>
          <w:tab w:val="clear" w:pos="380"/>
        </w:tabs>
        <w:ind w:left="0" w:firstLine="0"/>
        <w:contextualSpacing/>
      </w:pPr>
      <w:r w:rsidRPr="00677B47">
        <w:t>9.</w:t>
      </w:r>
      <w:r w:rsidRPr="00677B47">
        <w:tab/>
        <w:t xml:space="preserve">Sours, C., Zhuo, J., Roys, S., Shanmuganathan, K., Gullapalli, R.P. Disruptions in Resting State Functional Connectivity and Cerebral Blood Flow in Mild Traumatic Brain Injury Patients. </w:t>
      </w:r>
      <w:r w:rsidRPr="00677B47">
        <w:rPr>
          <w:i/>
          <w:iCs/>
        </w:rPr>
        <w:t>PLoS ONE</w:t>
      </w:r>
      <w:r w:rsidRPr="00677B47">
        <w:t xml:space="preserve">. </w:t>
      </w:r>
      <w:r w:rsidRPr="00677B47">
        <w:rPr>
          <w:b/>
          <w:bCs/>
        </w:rPr>
        <w:t>10</w:t>
      </w:r>
      <w:r w:rsidRPr="00677B47">
        <w:t xml:space="preserve"> </w:t>
      </w:r>
      <w:r w:rsidR="007B1948" w:rsidRPr="007B1948">
        <w:t>(</w:t>
      </w:r>
      <w:r w:rsidRPr="00677B47">
        <w:t>8</w:t>
      </w:r>
      <w:r w:rsidR="007B1948" w:rsidRPr="007B1948">
        <w:t>)</w:t>
      </w:r>
      <w:r w:rsidRPr="00677B47">
        <w:t xml:space="preserve">, e0134019 </w:t>
      </w:r>
      <w:r w:rsidR="007B1948" w:rsidRPr="007B1948">
        <w:t>(</w:t>
      </w:r>
      <w:r w:rsidRPr="00677B47">
        <w:t>2015</w:t>
      </w:r>
      <w:r w:rsidR="007B1948" w:rsidRPr="007B1948">
        <w:t>)</w:t>
      </w:r>
      <w:r w:rsidRPr="00677B47">
        <w:t>.</w:t>
      </w:r>
    </w:p>
    <w:p w14:paraId="7B44F3FA" w14:textId="3D02814F" w:rsidR="00594BFB" w:rsidRPr="00677B47" w:rsidRDefault="00594BFB" w:rsidP="009B5312">
      <w:pPr>
        <w:pStyle w:val="Bibliography"/>
        <w:tabs>
          <w:tab w:val="clear" w:pos="380"/>
        </w:tabs>
        <w:ind w:left="0" w:firstLine="0"/>
        <w:contextualSpacing/>
      </w:pPr>
      <w:r w:rsidRPr="00677B47">
        <w:t>10.</w:t>
      </w:r>
      <w:r w:rsidRPr="00677B47">
        <w:tab/>
        <w:t xml:space="preserve">Buckley, E.M. </w:t>
      </w:r>
      <w:r w:rsidR="009D2852" w:rsidRPr="009D2852">
        <w:t>et al.</w:t>
      </w:r>
      <w:r w:rsidRPr="00677B47">
        <w:t xml:space="preserve"> Decreased Microvascular Cerebral Blood Flow Assessed by Diffuse Correlation Spectroscopy after Repetitive Concussions in Mice. </w:t>
      </w:r>
      <w:r w:rsidRPr="00677B47">
        <w:rPr>
          <w:i/>
          <w:iCs/>
        </w:rPr>
        <w:t>Journal of Cerebral Blood Flow &amp; Metabolism</w:t>
      </w:r>
      <w:r w:rsidRPr="00677B47">
        <w:t xml:space="preserve">. </w:t>
      </w:r>
      <w:r w:rsidRPr="00677B47">
        <w:rPr>
          <w:b/>
          <w:bCs/>
        </w:rPr>
        <w:t>35</w:t>
      </w:r>
      <w:r w:rsidRPr="00677B47">
        <w:t xml:space="preserve"> </w:t>
      </w:r>
      <w:r w:rsidR="007B1948" w:rsidRPr="007B1948">
        <w:t>(</w:t>
      </w:r>
      <w:r w:rsidRPr="00677B47">
        <w:t>12</w:t>
      </w:r>
      <w:r w:rsidR="007B1948" w:rsidRPr="007B1948">
        <w:t>)</w:t>
      </w:r>
      <w:r w:rsidRPr="00677B47">
        <w:t xml:space="preserve">, 1995–2000 </w:t>
      </w:r>
      <w:r w:rsidR="007B1948" w:rsidRPr="007B1948">
        <w:t>(</w:t>
      </w:r>
      <w:r w:rsidRPr="00677B47">
        <w:t>2015</w:t>
      </w:r>
      <w:r w:rsidR="007B1948" w:rsidRPr="007B1948">
        <w:t>)</w:t>
      </w:r>
      <w:r w:rsidRPr="00677B47">
        <w:t>.</w:t>
      </w:r>
    </w:p>
    <w:p w14:paraId="1F50AAC5" w14:textId="5C642A72" w:rsidR="00594BFB" w:rsidRPr="00677B47" w:rsidRDefault="00594BFB" w:rsidP="009B5312">
      <w:pPr>
        <w:pStyle w:val="Bibliography"/>
        <w:tabs>
          <w:tab w:val="clear" w:pos="380"/>
        </w:tabs>
        <w:ind w:left="0" w:firstLine="0"/>
        <w:contextualSpacing/>
      </w:pPr>
      <w:r w:rsidRPr="00677B47">
        <w:t>11.</w:t>
      </w:r>
      <w:r w:rsidRPr="00677B47">
        <w:tab/>
        <w:t xml:space="preserve">Sankar, S.B. </w:t>
      </w:r>
      <w:r w:rsidR="009D2852" w:rsidRPr="009D2852">
        <w:t>et al.</w:t>
      </w:r>
      <w:r w:rsidRPr="00677B47">
        <w:t xml:space="preserve"> Low cerebral blood flow is a non-invasive biomarker of neuroinflammation after repetitive mild traumatic brain injury. </w:t>
      </w:r>
      <w:r w:rsidRPr="00677B47">
        <w:rPr>
          <w:i/>
          <w:iCs/>
        </w:rPr>
        <w:t>Neurobiology of Disease</w:t>
      </w:r>
      <w:r w:rsidRPr="00677B47">
        <w:t xml:space="preserve">. </w:t>
      </w:r>
      <w:r w:rsidRPr="00677B47">
        <w:rPr>
          <w:b/>
          <w:bCs/>
        </w:rPr>
        <w:t>124</w:t>
      </w:r>
      <w:r w:rsidRPr="00677B47">
        <w:t xml:space="preserve">, 544–554 </w:t>
      </w:r>
      <w:r w:rsidR="007B1948" w:rsidRPr="007B1948">
        <w:t>(</w:t>
      </w:r>
      <w:r w:rsidRPr="00677B47">
        <w:t>2019</w:t>
      </w:r>
      <w:r w:rsidR="007B1948" w:rsidRPr="007B1948">
        <w:t>)</w:t>
      </w:r>
      <w:r w:rsidRPr="00677B47">
        <w:t>.</w:t>
      </w:r>
    </w:p>
    <w:p w14:paraId="74B3FF3C" w14:textId="503B938F" w:rsidR="00594BFB" w:rsidRPr="00677B47" w:rsidRDefault="00594BFB" w:rsidP="009B5312">
      <w:pPr>
        <w:pStyle w:val="Bibliography"/>
        <w:tabs>
          <w:tab w:val="clear" w:pos="380"/>
        </w:tabs>
        <w:ind w:left="0" w:firstLine="0"/>
        <w:contextualSpacing/>
      </w:pPr>
      <w:r w:rsidRPr="00677B47">
        <w:t>12.</w:t>
      </w:r>
      <w:r w:rsidRPr="00677B47">
        <w:tab/>
        <w:t xml:space="preserve">Vagnozzi, R. </w:t>
      </w:r>
      <w:r w:rsidR="009D2852" w:rsidRPr="009D2852">
        <w:t>et al.</w:t>
      </w:r>
      <w:r w:rsidRPr="00677B47">
        <w:t xml:space="preserve"> Temporal window of metabolic brain vulnerability to concussions: mitochondrial-related impairment--part I. </w:t>
      </w:r>
      <w:r w:rsidRPr="00677B47">
        <w:rPr>
          <w:i/>
          <w:iCs/>
        </w:rPr>
        <w:t>Neurosurgery</w:t>
      </w:r>
      <w:r w:rsidRPr="00677B47">
        <w:t xml:space="preserve">. </w:t>
      </w:r>
      <w:r w:rsidRPr="00677B47">
        <w:rPr>
          <w:b/>
          <w:bCs/>
        </w:rPr>
        <w:t>61</w:t>
      </w:r>
      <w:r w:rsidRPr="00677B47">
        <w:t xml:space="preserve">, 379–88; discussion 388-9 </w:t>
      </w:r>
      <w:r w:rsidR="007B1948" w:rsidRPr="007B1948">
        <w:t>(</w:t>
      </w:r>
      <w:r w:rsidRPr="00677B47">
        <w:t>2007</w:t>
      </w:r>
      <w:r w:rsidR="007B1948" w:rsidRPr="007B1948">
        <w:t>)</w:t>
      </w:r>
      <w:r w:rsidRPr="00677B47">
        <w:t>.</w:t>
      </w:r>
    </w:p>
    <w:p w14:paraId="38539F6D" w14:textId="09EF3160" w:rsidR="00594BFB" w:rsidRPr="00677B47" w:rsidRDefault="00594BFB" w:rsidP="009B5312">
      <w:pPr>
        <w:pStyle w:val="Bibliography"/>
        <w:tabs>
          <w:tab w:val="clear" w:pos="380"/>
        </w:tabs>
        <w:ind w:left="0" w:firstLine="0"/>
        <w:contextualSpacing/>
      </w:pPr>
      <w:r w:rsidRPr="00677B47">
        <w:t>13.</w:t>
      </w:r>
      <w:r w:rsidRPr="00677B47">
        <w:tab/>
        <w:t xml:space="preserve">Longhi, L. </w:t>
      </w:r>
      <w:r w:rsidR="009D2852" w:rsidRPr="009D2852">
        <w:t>et al.</w:t>
      </w:r>
      <w:r w:rsidRPr="00677B47">
        <w:t xml:space="preserve"> Temporal window of vulnerability to repetitive experimental concussive brain injury. </w:t>
      </w:r>
      <w:r w:rsidRPr="00677B47">
        <w:rPr>
          <w:i/>
          <w:iCs/>
        </w:rPr>
        <w:t>Neurosurgery</w:t>
      </w:r>
      <w:r w:rsidRPr="00677B47">
        <w:t xml:space="preserve">. </w:t>
      </w:r>
      <w:r w:rsidRPr="00677B47">
        <w:rPr>
          <w:b/>
          <w:bCs/>
        </w:rPr>
        <w:t>56</w:t>
      </w:r>
      <w:r w:rsidRPr="00677B47">
        <w:t xml:space="preserve">, 364–74 </w:t>
      </w:r>
      <w:r w:rsidR="007B1948" w:rsidRPr="007B1948">
        <w:t>(</w:t>
      </w:r>
      <w:r w:rsidRPr="00677B47">
        <w:t>2005</w:t>
      </w:r>
      <w:r w:rsidR="007B1948" w:rsidRPr="007B1948">
        <w:t>)</w:t>
      </w:r>
      <w:r w:rsidRPr="00677B47">
        <w:t>.</w:t>
      </w:r>
    </w:p>
    <w:p w14:paraId="7B17F189" w14:textId="6CCCF74C" w:rsidR="00594BFB" w:rsidRPr="00677B47" w:rsidRDefault="00594BFB" w:rsidP="009B5312">
      <w:pPr>
        <w:pStyle w:val="Bibliography"/>
        <w:tabs>
          <w:tab w:val="clear" w:pos="380"/>
        </w:tabs>
        <w:ind w:left="0" w:firstLine="0"/>
        <w:contextualSpacing/>
      </w:pPr>
      <w:r w:rsidRPr="00677B47">
        <w:t>14.</w:t>
      </w:r>
      <w:r w:rsidRPr="00677B47">
        <w:tab/>
        <w:t xml:space="preserve">Fujita, M., Wei, E.P., Povlishock, J.T. Intensity- and interval-specific repetitive traumatic brain injury can evoke both axonal and microvascular damage. </w:t>
      </w:r>
      <w:r w:rsidR="009D2852">
        <w:rPr>
          <w:i/>
          <w:iCs/>
        </w:rPr>
        <w:t>Journal of Neurotrauma</w:t>
      </w:r>
      <w:r w:rsidRPr="00677B47">
        <w:t xml:space="preserve">. </w:t>
      </w:r>
      <w:r w:rsidRPr="00677B47">
        <w:rPr>
          <w:b/>
          <w:bCs/>
        </w:rPr>
        <w:t>29</w:t>
      </w:r>
      <w:r w:rsidRPr="00677B47">
        <w:t xml:space="preserve">, 2172–80 </w:t>
      </w:r>
      <w:r w:rsidR="007B1948" w:rsidRPr="007B1948">
        <w:t>(</w:t>
      </w:r>
      <w:r w:rsidRPr="00677B47">
        <w:t>2012</w:t>
      </w:r>
      <w:r w:rsidR="007B1948" w:rsidRPr="007B1948">
        <w:t>)</w:t>
      </w:r>
      <w:r w:rsidRPr="00677B47">
        <w:t>.</w:t>
      </w:r>
    </w:p>
    <w:p w14:paraId="609A05E9" w14:textId="7ED27AB3" w:rsidR="00594BFB" w:rsidRPr="00677B47" w:rsidRDefault="00594BFB" w:rsidP="009B5312">
      <w:pPr>
        <w:pStyle w:val="Bibliography"/>
        <w:tabs>
          <w:tab w:val="clear" w:pos="380"/>
        </w:tabs>
        <w:ind w:left="0" w:firstLine="0"/>
        <w:contextualSpacing/>
      </w:pPr>
      <w:r w:rsidRPr="00677B47">
        <w:lastRenderedPageBreak/>
        <w:t>15.</w:t>
      </w:r>
      <w:r w:rsidRPr="00677B47">
        <w:tab/>
        <w:t>Angoa-Perez, M</w:t>
      </w:r>
      <w:r w:rsidR="003962F2">
        <w:t xml:space="preserve">. et al. </w:t>
      </w:r>
      <w:r w:rsidRPr="00677B47">
        <w:t xml:space="preserve">Animal models of sports-related head injury: bridging the gap between preclinical research and clinical reality. </w:t>
      </w:r>
      <w:r w:rsidR="009D2852">
        <w:rPr>
          <w:i/>
          <w:iCs/>
        </w:rPr>
        <w:t>Journal of Neurochemistry</w:t>
      </w:r>
      <w:r w:rsidRPr="00677B47">
        <w:t xml:space="preserve">. </w:t>
      </w:r>
      <w:r w:rsidRPr="00677B47">
        <w:rPr>
          <w:b/>
          <w:bCs/>
        </w:rPr>
        <w:t>129</w:t>
      </w:r>
      <w:r w:rsidRPr="00677B47">
        <w:t xml:space="preserve">, 916–31 </w:t>
      </w:r>
      <w:r w:rsidR="007B1948" w:rsidRPr="007B1948">
        <w:t>(</w:t>
      </w:r>
      <w:r w:rsidRPr="00677B47">
        <w:t>2014</w:t>
      </w:r>
      <w:r w:rsidR="007B1948" w:rsidRPr="007B1948">
        <w:t>)</w:t>
      </w:r>
      <w:r w:rsidRPr="00677B47">
        <w:t>.</w:t>
      </w:r>
    </w:p>
    <w:p w14:paraId="0FE1A047" w14:textId="624B9695" w:rsidR="00594BFB" w:rsidRPr="00677B47" w:rsidRDefault="00594BFB" w:rsidP="009B5312">
      <w:pPr>
        <w:pStyle w:val="Bibliography"/>
        <w:tabs>
          <w:tab w:val="clear" w:pos="380"/>
        </w:tabs>
        <w:ind w:left="0" w:firstLine="0"/>
        <w:contextualSpacing/>
      </w:pPr>
      <w:r w:rsidRPr="00677B47">
        <w:t>16.</w:t>
      </w:r>
      <w:r w:rsidRPr="00677B47">
        <w:tab/>
        <w:t xml:space="preserve">Prins, M.L., Hales, A., Reger, M., Giza, C.C., Hovda, D.A. Repeat traumatic brain injury in the juvenile rat is associated with increased axonal injury and cognitive impairments. </w:t>
      </w:r>
      <w:r w:rsidRPr="00677B47">
        <w:rPr>
          <w:i/>
          <w:iCs/>
        </w:rPr>
        <w:t>Developmental Neuroscience</w:t>
      </w:r>
      <w:r w:rsidRPr="00677B47">
        <w:t xml:space="preserve">. </w:t>
      </w:r>
      <w:r w:rsidRPr="00677B47">
        <w:rPr>
          <w:b/>
          <w:bCs/>
        </w:rPr>
        <w:t>32</w:t>
      </w:r>
      <w:r w:rsidRPr="00677B47">
        <w:t xml:space="preserve">, 510–8 </w:t>
      </w:r>
      <w:r w:rsidR="007B1948" w:rsidRPr="007B1948">
        <w:t>(</w:t>
      </w:r>
      <w:r w:rsidRPr="00677B47">
        <w:t>2010</w:t>
      </w:r>
      <w:r w:rsidR="007B1948" w:rsidRPr="007B1948">
        <w:t>)</w:t>
      </w:r>
      <w:r w:rsidRPr="00677B47">
        <w:t>.</w:t>
      </w:r>
    </w:p>
    <w:p w14:paraId="5DCE7518" w14:textId="1B3F4721" w:rsidR="00594BFB" w:rsidRPr="00677B47" w:rsidRDefault="00594BFB" w:rsidP="009B5312">
      <w:pPr>
        <w:pStyle w:val="Bibliography"/>
        <w:tabs>
          <w:tab w:val="clear" w:pos="380"/>
        </w:tabs>
        <w:ind w:left="0" w:firstLine="0"/>
        <w:contextualSpacing/>
      </w:pPr>
      <w:r w:rsidRPr="00677B47">
        <w:t>17.</w:t>
      </w:r>
      <w:r w:rsidRPr="00677B47">
        <w:tab/>
        <w:t xml:space="preserve">Viano, D.C., Hamberger, A., Bolouri, H., Saljo, A. Concussion in professional football: animal model of brain injury--part 15. </w:t>
      </w:r>
      <w:r w:rsidRPr="00677B47">
        <w:rPr>
          <w:i/>
          <w:iCs/>
        </w:rPr>
        <w:t>Neurosurgery</w:t>
      </w:r>
      <w:r w:rsidRPr="00677B47">
        <w:t xml:space="preserve">. </w:t>
      </w:r>
      <w:r w:rsidRPr="00677B47">
        <w:rPr>
          <w:b/>
          <w:bCs/>
        </w:rPr>
        <w:t>64</w:t>
      </w:r>
      <w:r w:rsidRPr="00677B47">
        <w:t xml:space="preserve">, 1162–73; discussion 1173 </w:t>
      </w:r>
      <w:r w:rsidR="007B1948" w:rsidRPr="007B1948">
        <w:t>(</w:t>
      </w:r>
      <w:r w:rsidRPr="00677B47">
        <w:t>2009</w:t>
      </w:r>
      <w:r w:rsidR="007B1948" w:rsidRPr="007B1948">
        <w:t>)</w:t>
      </w:r>
      <w:r w:rsidRPr="00677B47">
        <w:t>.</w:t>
      </w:r>
    </w:p>
    <w:p w14:paraId="546F077D" w14:textId="2DAD66CF" w:rsidR="00594BFB" w:rsidRPr="00677B47" w:rsidRDefault="00594BFB" w:rsidP="009B5312">
      <w:pPr>
        <w:pStyle w:val="Bibliography"/>
        <w:tabs>
          <w:tab w:val="clear" w:pos="380"/>
        </w:tabs>
        <w:ind w:left="0" w:firstLine="0"/>
        <w:contextualSpacing/>
      </w:pPr>
      <w:r w:rsidRPr="00677B47">
        <w:t>18.</w:t>
      </w:r>
      <w:r w:rsidRPr="00677B47">
        <w:tab/>
        <w:t>Kane, M.J</w:t>
      </w:r>
      <w:r w:rsidR="003962F2">
        <w:t>. et al.</w:t>
      </w:r>
      <w:r w:rsidR="003962F2">
        <w:t xml:space="preserve"> </w:t>
      </w:r>
      <w:r w:rsidRPr="00677B47">
        <w:t xml:space="preserve">A mouse model of human repetitive mild traumatic brain injury. </w:t>
      </w:r>
      <w:r w:rsidR="009D2852">
        <w:rPr>
          <w:i/>
          <w:iCs/>
        </w:rPr>
        <w:t>Journal of Neuroscience Methods</w:t>
      </w:r>
      <w:r w:rsidRPr="00677B47">
        <w:t xml:space="preserve">. </w:t>
      </w:r>
      <w:r w:rsidRPr="00677B47">
        <w:rPr>
          <w:b/>
          <w:bCs/>
        </w:rPr>
        <w:t>203</w:t>
      </w:r>
      <w:r w:rsidRPr="00677B47">
        <w:t xml:space="preserve">, 41–9 </w:t>
      </w:r>
      <w:r w:rsidR="007B1948" w:rsidRPr="007B1948">
        <w:t>(</w:t>
      </w:r>
      <w:r w:rsidRPr="00677B47">
        <w:t>2012</w:t>
      </w:r>
      <w:r w:rsidR="007B1948" w:rsidRPr="007B1948">
        <w:t>)</w:t>
      </w:r>
      <w:r w:rsidRPr="00677B47">
        <w:t>.</w:t>
      </w:r>
    </w:p>
    <w:p w14:paraId="427F2438" w14:textId="64AE2F04" w:rsidR="00594BFB" w:rsidRPr="00677B47" w:rsidRDefault="00594BFB" w:rsidP="009B5312">
      <w:pPr>
        <w:pStyle w:val="Bibliography"/>
        <w:tabs>
          <w:tab w:val="clear" w:pos="380"/>
        </w:tabs>
        <w:ind w:left="0" w:firstLine="0"/>
        <w:contextualSpacing/>
      </w:pPr>
      <w:r w:rsidRPr="00677B47">
        <w:t>19.</w:t>
      </w:r>
      <w:r w:rsidRPr="00677B47">
        <w:tab/>
        <w:t xml:space="preserve">Meehan, W.P., Zhang, J., Mannix, R., Whalen, M.J. Increasing Recovery Time Between Injuries Improves Cognitive Outcome After Repetitive Mild Concussive Brain Injuries in Mice: </w:t>
      </w:r>
      <w:r w:rsidRPr="00677B47">
        <w:rPr>
          <w:i/>
          <w:iCs/>
        </w:rPr>
        <w:t>Neurosurgery</w:t>
      </w:r>
      <w:r w:rsidRPr="00677B47">
        <w:t xml:space="preserve">. </w:t>
      </w:r>
      <w:r w:rsidRPr="00677B47">
        <w:rPr>
          <w:b/>
          <w:bCs/>
        </w:rPr>
        <w:t>71</w:t>
      </w:r>
      <w:r w:rsidRPr="00677B47">
        <w:t xml:space="preserve"> </w:t>
      </w:r>
      <w:r w:rsidR="007B1948" w:rsidRPr="007B1948">
        <w:t>(</w:t>
      </w:r>
      <w:r w:rsidRPr="00677B47">
        <w:t>4</w:t>
      </w:r>
      <w:r w:rsidR="007B1948" w:rsidRPr="007B1948">
        <w:t>)</w:t>
      </w:r>
      <w:r w:rsidRPr="00677B47">
        <w:t xml:space="preserve">, 885–892 </w:t>
      </w:r>
      <w:r w:rsidR="007B1948" w:rsidRPr="007B1948">
        <w:t>(</w:t>
      </w:r>
      <w:r w:rsidRPr="00677B47">
        <w:t>2012</w:t>
      </w:r>
      <w:r w:rsidR="007B1948" w:rsidRPr="007B1948">
        <w:t>)</w:t>
      </w:r>
      <w:r w:rsidRPr="00677B47">
        <w:t>.</w:t>
      </w:r>
    </w:p>
    <w:p w14:paraId="229D6212" w14:textId="782D7003" w:rsidR="00594BFB" w:rsidRPr="00677B47" w:rsidRDefault="00594BFB" w:rsidP="009B5312">
      <w:pPr>
        <w:pStyle w:val="Bibliography"/>
        <w:tabs>
          <w:tab w:val="clear" w:pos="380"/>
        </w:tabs>
        <w:ind w:left="0" w:firstLine="0"/>
        <w:contextualSpacing/>
      </w:pPr>
      <w:r w:rsidRPr="00677B47">
        <w:t>20.</w:t>
      </w:r>
      <w:r w:rsidRPr="00677B47">
        <w:tab/>
        <w:t xml:space="preserve">Durduran, T., Yodh, A.G. Diffuse correlation spectroscopy for non-invasive, micro-vascular cerebral blood flow measurement. </w:t>
      </w:r>
      <w:r w:rsidRPr="00677B47">
        <w:rPr>
          <w:i/>
          <w:iCs/>
        </w:rPr>
        <w:t>NeuroImage</w:t>
      </w:r>
      <w:r w:rsidRPr="00677B47">
        <w:t xml:space="preserve">. </w:t>
      </w:r>
      <w:r w:rsidRPr="00677B47">
        <w:rPr>
          <w:b/>
          <w:bCs/>
        </w:rPr>
        <w:t>85</w:t>
      </w:r>
      <w:r w:rsidRPr="00677B47">
        <w:t xml:space="preserve">, 51–63 </w:t>
      </w:r>
      <w:r w:rsidR="007B1948" w:rsidRPr="007B1948">
        <w:t>(</w:t>
      </w:r>
      <w:r w:rsidRPr="00677B47">
        <w:t>2014</w:t>
      </w:r>
      <w:r w:rsidR="007B1948" w:rsidRPr="007B1948">
        <w:t>)</w:t>
      </w:r>
      <w:r w:rsidRPr="00677B47">
        <w:t>.</w:t>
      </w:r>
    </w:p>
    <w:p w14:paraId="0AC80B55" w14:textId="5138B97B" w:rsidR="00594BFB" w:rsidRPr="00677B47" w:rsidRDefault="00594BFB" w:rsidP="009B5312">
      <w:pPr>
        <w:pStyle w:val="Bibliography"/>
        <w:tabs>
          <w:tab w:val="clear" w:pos="380"/>
        </w:tabs>
        <w:ind w:left="0" w:firstLine="0"/>
        <w:contextualSpacing/>
      </w:pPr>
      <w:r w:rsidRPr="00677B47">
        <w:t>21.</w:t>
      </w:r>
      <w:r w:rsidRPr="00677B47">
        <w:tab/>
        <w:t xml:space="preserve">Sathialingam, E. </w:t>
      </w:r>
      <w:r w:rsidR="009D2852" w:rsidRPr="009D2852">
        <w:t>et al.</w:t>
      </w:r>
      <w:r w:rsidRPr="00677B47">
        <w:t xml:space="preserve"> Small separation diffuse correlation spectroscopy for measurement of cerebral blood flow in rodents. </w:t>
      </w:r>
      <w:r w:rsidRPr="00677B47">
        <w:rPr>
          <w:i/>
          <w:iCs/>
        </w:rPr>
        <w:t>Biomedical Optics Express</w:t>
      </w:r>
      <w:r w:rsidRPr="00677B47">
        <w:t xml:space="preserve">. </w:t>
      </w:r>
      <w:r w:rsidRPr="00677B47">
        <w:rPr>
          <w:b/>
          <w:bCs/>
        </w:rPr>
        <w:t>9</w:t>
      </w:r>
      <w:r w:rsidRPr="00677B47">
        <w:t xml:space="preserve"> </w:t>
      </w:r>
      <w:r w:rsidR="007B1948" w:rsidRPr="007B1948">
        <w:t>(</w:t>
      </w:r>
      <w:r w:rsidRPr="00677B47">
        <w:t>11</w:t>
      </w:r>
      <w:r w:rsidR="007B1948" w:rsidRPr="007B1948">
        <w:t>)</w:t>
      </w:r>
      <w:r w:rsidRPr="00677B47">
        <w:t xml:space="preserve">, 5719 </w:t>
      </w:r>
      <w:r w:rsidR="007B1948" w:rsidRPr="007B1948">
        <w:t>(</w:t>
      </w:r>
      <w:r w:rsidRPr="00677B47">
        <w:t>2018</w:t>
      </w:r>
      <w:r w:rsidR="007B1948" w:rsidRPr="007B1948">
        <w:t>)</w:t>
      </w:r>
      <w:r w:rsidRPr="00677B47">
        <w:t>.</w:t>
      </w:r>
    </w:p>
    <w:p w14:paraId="37677799" w14:textId="7CFC9314" w:rsidR="00594BFB" w:rsidRPr="00677B47" w:rsidRDefault="00594BFB" w:rsidP="009B5312">
      <w:pPr>
        <w:pStyle w:val="Bibliography"/>
        <w:tabs>
          <w:tab w:val="clear" w:pos="380"/>
        </w:tabs>
        <w:ind w:left="0" w:firstLine="0"/>
        <w:contextualSpacing/>
      </w:pPr>
      <w:r w:rsidRPr="00677B47">
        <w:t>22.</w:t>
      </w:r>
      <w:r w:rsidRPr="00677B47">
        <w:tab/>
        <w:t xml:space="preserve">Lee, S.Y. </w:t>
      </w:r>
      <w:r w:rsidR="009D2852" w:rsidRPr="009D2852">
        <w:t>et al.</w:t>
      </w:r>
      <w:r w:rsidRPr="00677B47">
        <w:t xml:space="preserve"> Noninvasive optical assessment of resting-state cerebral blood flow in children with sickle cell disease. </w:t>
      </w:r>
      <w:r w:rsidRPr="00677B47">
        <w:rPr>
          <w:i/>
          <w:iCs/>
        </w:rPr>
        <w:t>Neurophotonics</w:t>
      </w:r>
      <w:r w:rsidRPr="00677B47">
        <w:t xml:space="preserve">. </w:t>
      </w:r>
      <w:r w:rsidRPr="00677B47">
        <w:rPr>
          <w:b/>
          <w:bCs/>
        </w:rPr>
        <w:t>6</w:t>
      </w:r>
      <w:r w:rsidRPr="00677B47">
        <w:t xml:space="preserve"> </w:t>
      </w:r>
      <w:r w:rsidR="007B1948" w:rsidRPr="007B1948">
        <w:t>(</w:t>
      </w:r>
      <w:r w:rsidRPr="00677B47">
        <w:t>03</w:t>
      </w:r>
      <w:r w:rsidR="007B1948" w:rsidRPr="007B1948">
        <w:t>)</w:t>
      </w:r>
      <w:r w:rsidRPr="00677B47">
        <w:t xml:space="preserve">, 1 </w:t>
      </w:r>
      <w:r w:rsidR="007B1948" w:rsidRPr="007B1948">
        <w:t>(</w:t>
      </w:r>
      <w:r w:rsidRPr="00677B47">
        <w:t>2019</w:t>
      </w:r>
      <w:r w:rsidR="007B1948" w:rsidRPr="007B1948">
        <w:t>)</w:t>
      </w:r>
      <w:r w:rsidRPr="00677B47">
        <w:t>.</w:t>
      </w:r>
    </w:p>
    <w:p w14:paraId="1763F982" w14:textId="24CD148B" w:rsidR="00594BFB" w:rsidRPr="00677B47" w:rsidRDefault="00594BFB" w:rsidP="009B5312">
      <w:pPr>
        <w:pStyle w:val="Bibliography"/>
        <w:tabs>
          <w:tab w:val="clear" w:pos="380"/>
        </w:tabs>
        <w:ind w:left="0" w:firstLine="0"/>
        <w:contextualSpacing/>
      </w:pPr>
      <w:r w:rsidRPr="00677B47">
        <w:t>23.</w:t>
      </w:r>
      <w:r w:rsidRPr="00677B47">
        <w:tab/>
        <w:t xml:space="preserve">Wang, H., Liu, Q., Tu, Y. Interpretation of partial least-squares regression models with VARIMAX rotation. </w:t>
      </w:r>
      <w:r w:rsidRPr="00677B47">
        <w:rPr>
          <w:i/>
          <w:iCs/>
        </w:rPr>
        <w:t>Partial Least Squares</w:t>
      </w:r>
      <w:r w:rsidRPr="00677B47">
        <w:t xml:space="preserve">. </w:t>
      </w:r>
      <w:r w:rsidRPr="00677B47">
        <w:rPr>
          <w:b/>
          <w:bCs/>
        </w:rPr>
        <w:t>48</w:t>
      </w:r>
      <w:r w:rsidRPr="00677B47">
        <w:t xml:space="preserve"> </w:t>
      </w:r>
      <w:r w:rsidR="007B1948" w:rsidRPr="007B1948">
        <w:t>(</w:t>
      </w:r>
      <w:r w:rsidRPr="00677B47">
        <w:t>1</w:t>
      </w:r>
      <w:r w:rsidR="007B1948" w:rsidRPr="007B1948">
        <w:t>)</w:t>
      </w:r>
      <w:r w:rsidRPr="00677B47">
        <w:t xml:space="preserve">, 207–219 </w:t>
      </w:r>
      <w:r w:rsidR="007B1948" w:rsidRPr="007B1948">
        <w:t>(</w:t>
      </w:r>
      <w:r w:rsidRPr="00677B47">
        <w:t>2005</w:t>
      </w:r>
      <w:r w:rsidR="007B1948" w:rsidRPr="007B1948">
        <w:t>)</w:t>
      </w:r>
      <w:r w:rsidRPr="00677B47">
        <w:t>.</w:t>
      </w:r>
    </w:p>
    <w:p w14:paraId="7167AA4B" w14:textId="17163B80" w:rsidR="00594BFB" w:rsidRPr="00677B47" w:rsidRDefault="00594BFB" w:rsidP="009B5312">
      <w:pPr>
        <w:pStyle w:val="Bibliography"/>
        <w:tabs>
          <w:tab w:val="clear" w:pos="380"/>
        </w:tabs>
        <w:ind w:left="0" w:firstLine="0"/>
        <w:contextualSpacing/>
      </w:pPr>
      <w:r w:rsidRPr="00677B47">
        <w:t>24.</w:t>
      </w:r>
      <w:r w:rsidRPr="00677B47">
        <w:tab/>
        <w:t xml:space="preserve">Eriksson, L., Byrne, T., Johansson, E., Trygg, J., Vikström, C. </w:t>
      </w:r>
      <w:r w:rsidRPr="00677B47">
        <w:rPr>
          <w:i/>
          <w:iCs/>
        </w:rPr>
        <w:t>Multi- and Megavariate Data Analysis Basic Principles and Applications</w:t>
      </w:r>
      <w:r w:rsidRPr="00677B47">
        <w:t xml:space="preserve">. Umetrics Academy. </w:t>
      </w:r>
      <w:r w:rsidR="007B1948" w:rsidRPr="007B1948">
        <w:t>(</w:t>
      </w:r>
      <w:r w:rsidRPr="00677B47">
        <w:t>2013</w:t>
      </w:r>
      <w:r w:rsidR="007B1948" w:rsidRPr="007B1948">
        <w:t>)</w:t>
      </w:r>
      <w:r w:rsidRPr="00677B47">
        <w:t>.</w:t>
      </w:r>
    </w:p>
    <w:p w14:paraId="30FCF6AF" w14:textId="27F16578" w:rsidR="00594BFB" w:rsidRPr="00677B47" w:rsidRDefault="00594BFB" w:rsidP="009B5312">
      <w:pPr>
        <w:pStyle w:val="Bibliography"/>
        <w:tabs>
          <w:tab w:val="clear" w:pos="380"/>
        </w:tabs>
        <w:ind w:left="0" w:firstLine="0"/>
        <w:contextualSpacing/>
      </w:pPr>
      <w:r w:rsidRPr="00677B47">
        <w:t>25.</w:t>
      </w:r>
      <w:r w:rsidRPr="00677B47">
        <w:tab/>
        <w:t>Conzen, P.F</w:t>
      </w:r>
      <w:r w:rsidR="003962F2">
        <w:t>. et al.</w:t>
      </w:r>
      <w:r w:rsidR="003962F2">
        <w:t xml:space="preserve"> </w:t>
      </w:r>
      <w:r w:rsidRPr="00677B47">
        <w:t xml:space="preserve">Systemic and regional hemodynamics of isoflurane and sevoflurane in rats. </w:t>
      </w:r>
      <w:r w:rsidRPr="00677B47">
        <w:rPr>
          <w:i/>
          <w:iCs/>
        </w:rPr>
        <w:t>Anesthesia and Analgesia</w:t>
      </w:r>
      <w:r w:rsidRPr="00677B47">
        <w:t xml:space="preserve">. </w:t>
      </w:r>
      <w:r w:rsidRPr="00677B47">
        <w:rPr>
          <w:b/>
          <w:bCs/>
        </w:rPr>
        <w:t>74</w:t>
      </w:r>
      <w:r w:rsidRPr="00677B47">
        <w:t xml:space="preserve"> </w:t>
      </w:r>
      <w:r w:rsidR="007B1948" w:rsidRPr="007B1948">
        <w:t>(</w:t>
      </w:r>
      <w:r w:rsidRPr="00677B47">
        <w:t>1</w:t>
      </w:r>
      <w:r w:rsidR="007B1948" w:rsidRPr="007B1948">
        <w:t>)</w:t>
      </w:r>
      <w:r w:rsidRPr="00677B47">
        <w:t xml:space="preserve">, 79–88 </w:t>
      </w:r>
      <w:r w:rsidR="007B1948" w:rsidRPr="007B1948">
        <w:t>(</w:t>
      </w:r>
      <w:r w:rsidRPr="00677B47">
        <w:t>1992</w:t>
      </w:r>
      <w:r w:rsidR="007B1948" w:rsidRPr="007B1948">
        <w:t>)</w:t>
      </w:r>
      <w:r w:rsidRPr="00677B47">
        <w:t>.</w:t>
      </w:r>
    </w:p>
    <w:p w14:paraId="73905FBA" w14:textId="242BFC55" w:rsidR="00594BFB" w:rsidRPr="00677B47" w:rsidRDefault="00594BFB" w:rsidP="009B5312">
      <w:pPr>
        <w:pStyle w:val="Bibliography"/>
        <w:tabs>
          <w:tab w:val="clear" w:pos="380"/>
        </w:tabs>
        <w:ind w:left="0" w:firstLine="0"/>
        <w:contextualSpacing/>
      </w:pPr>
      <w:r w:rsidRPr="00677B47">
        <w:t>26.</w:t>
      </w:r>
      <w:r w:rsidRPr="00677B47">
        <w:tab/>
        <w:t xml:space="preserve">Durduran, T., Choe, R., Baker, W.B., Yodh, A.G. Diffuse optics for tissue monitoring and tomography. </w:t>
      </w:r>
      <w:r w:rsidRPr="00677B47">
        <w:rPr>
          <w:i/>
          <w:iCs/>
        </w:rPr>
        <w:t>Reports on Progress in Physics</w:t>
      </w:r>
      <w:r w:rsidRPr="00677B47">
        <w:t xml:space="preserve">. </w:t>
      </w:r>
      <w:r w:rsidRPr="00677B47">
        <w:rPr>
          <w:b/>
          <w:bCs/>
        </w:rPr>
        <w:t>73</w:t>
      </w:r>
      <w:r w:rsidRPr="00677B47">
        <w:t xml:space="preserve"> </w:t>
      </w:r>
      <w:r w:rsidR="007B1948" w:rsidRPr="007B1948">
        <w:t>(</w:t>
      </w:r>
      <w:r w:rsidRPr="00677B47">
        <w:t>7</w:t>
      </w:r>
      <w:r w:rsidR="007B1948" w:rsidRPr="007B1948">
        <w:t>)</w:t>
      </w:r>
      <w:r w:rsidRPr="00677B47">
        <w:t xml:space="preserve">, 076701 </w:t>
      </w:r>
      <w:r w:rsidR="007B1948" w:rsidRPr="007B1948">
        <w:t>(</w:t>
      </w:r>
      <w:r w:rsidRPr="00677B47">
        <w:t>2010</w:t>
      </w:r>
      <w:r w:rsidR="007B1948" w:rsidRPr="007B1948">
        <w:t>)</w:t>
      </w:r>
      <w:r w:rsidRPr="00677B47">
        <w:t>.</w:t>
      </w:r>
    </w:p>
    <w:p w14:paraId="04B55FB4" w14:textId="312281CE" w:rsidR="00594BFB" w:rsidRPr="00677B47" w:rsidRDefault="00594BFB" w:rsidP="009B5312">
      <w:pPr>
        <w:pStyle w:val="Bibliography"/>
        <w:tabs>
          <w:tab w:val="clear" w:pos="380"/>
        </w:tabs>
        <w:ind w:left="0" w:firstLine="0"/>
        <w:contextualSpacing/>
      </w:pPr>
      <w:r w:rsidRPr="00677B47">
        <w:t>27.</w:t>
      </w:r>
      <w:r w:rsidRPr="00677B47">
        <w:tab/>
        <w:t>Lee, S.Y</w:t>
      </w:r>
      <w:r w:rsidR="003962F2">
        <w:t>. et al.</w:t>
      </w:r>
      <w:r w:rsidR="003962F2">
        <w:t xml:space="preserve"> </w:t>
      </w:r>
      <w:r w:rsidRPr="00677B47">
        <w:t xml:space="preserve">Small separation frequency-domain near-infrared spectroscopy for the recovery of tissue optical properties at millimeter depths. </w:t>
      </w:r>
      <w:r w:rsidRPr="00677B47">
        <w:rPr>
          <w:i/>
          <w:iCs/>
        </w:rPr>
        <w:t>Biomedical Optics Express</w:t>
      </w:r>
      <w:r w:rsidRPr="00677B47">
        <w:t xml:space="preserve">. </w:t>
      </w:r>
      <w:r w:rsidRPr="00677B47">
        <w:rPr>
          <w:b/>
          <w:bCs/>
        </w:rPr>
        <w:t>10</w:t>
      </w:r>
      <w:r w:rsidRPr="00677B47">
        <w:t xml:space="preserve"> </w:t>
      </w:r>
      <w:r w:rsidR="007B1948" w:rsidRPr="007B1948">
        <w:t>(</w:t>
      </w:r>
      <w:r w:rsidRPr="00677B47">
        <w:t>10</w:t>
      </w:r>
      <w:r w:rsidR="007B1948" w:rsidRPr="007B1948">
        <w:t>)</w:t>
      </w:r>
      <w:r w:rsidRPr="00677B47">
        <w:t xml:space="preserve">, 5362–5377 </w:t>
      </w:r>
      <w:r w:rsidR="007B1948" w:rsidRPr="007B1948">
        <w:t>(</w:t>
      </w:r>
      <w:r w:rsidRPr="00677B47">
        <w:t>2019</w:t>
      </w:r>
      <w:r w:rsidR="007B1948" w:rsidRPr="007B1948">
        <w:t>)</w:t>
      </w:r>
      <w:r w:rsidRPr="00677B47">
        <w:t>.</w:t>
      </w:r>
    </w:p>
    <w:p w14:paraId="3D253D0E" w14:textId="7599E961" w:rsidR="00594BFB" w:rsidRPr="00677B47" w:rsidRDefault="00594BFB" w:rsidP="009B5312">
      <w:pPr>
        <w:pStyle w:val="Bibliography"/>
        <w:tabs>
          <w:tab w:val="clear" w:pos="380"/>
        </w:tabs>
        <w:ind w:left="0" w:firstLine="0"/>
        <w:contextualSpacing/>
      </w:pPr>
      <w:r w:rsidRPr="00677B47">
        <w:t>28.</w:t>
      </w:r>
      <w:r w:rsidRPr="00677B47">
        <w:tab/>
        <w:t xml:space="preserve">Bertrand, F., Maumy-Bertrand, M. </w:t>
      </w:r>
      <w:r w:rsidRPr="00677B47">
        <w:rPr>
          <w:i/>
          <w:iCs/>
        </w:rPr>
        <w:t>plsRglm: Partial Least Squares Regression for Generalized Linear Models</w:t>
      </w:r>
      <w:r w:rsidRPr="00677B47">
        <w:t xml:space="preserve">. at &lt;https://CRAN.R-project.org/package=plsRglm&gt;. </w:t>
      </w:r>
      <w:r w:rsidR="007B1948" w:rsidRPr="007B1948">
        <w:t>(</w:t>
      </w:r>
      <w:r w:rsidRPr="00677B47">
        <w:t>2019</w:t>
      </w:r>
      <w:r w:rsidR="007B1948" w:rsidRPr="007B1948">
        <w:t>)</w:t>
      </w:r>
      <w:r w:rsidRPr="00677B47">
        <w:t>.</w:t>
      </w:r>
    </w:p>
    <w:p w14:paraId="58A4128F" w14:textId="33136434" w:rsidR="00594BFB" w:rsidRPr="00677B47" w:rsidRDefault="00594BFB" w:rsidP="009B5312">
      <w:pPr>
        <w:pStyle w:val="Bibliography"/>
        <w:tabs>
          <w:tab w:val="clear" w:pos="380"/>
        </w:tabs>
        <w:ind w:left="0" w:firstLine="0"/>
        <w:contextualSpacing/>
      </w:pPr>
      <w:r w:rsidRPr="00677B47">
        <w:t>29.</w:t>
      </w:r>
      <w:r w:rsidRPr="00677B47">
        <w:tab/>
        <w:t xml:space="preserve">White, B.R., Bauer, A.Q., Snyder, A.Z., Schlaggar, B.L., Lee, J.M., Culver, J.P. Imaging of functional connectivity in the mouse brain. </w:t>
      </w:r>
      <w:r w:rsidRPr="00677B47">
        <w:rPr>
          <w:i/>
          <w:iCs/>
        </w:rPr>
        <w:t>PLoS One</w:t>
      </w:r>
      <w:r w:rsidRPr="00677B47">
        <w:t xml:space="preserve">. </w:t>
      </w:r>
      <w:r w:rsidRPr="00677B47">
        <w:rPr>
          <w:b/>
          <w:bCs/>
        </w:rPr>
        <w:t>6</w:t>
      </w:r>
      <w:r w:rsidRPr="00677B47">
        <w:t xml:space="preserve">, e16322 </w:t>
      </w:r>
      <w:r w:rsidR="007B1948" w:rsidRPr="007B1948">
        <w:t>(</w:t>
      </w:r>
      <w:r w:rsidRPr="00677B47">
        <w:t>2011</w:t>
      </w:r>
      <w:r w:rsidR="007B1948" w:rsidRPr="007B1948">
        <w:t>)</w:t>
      </w:r>
      <w:r w:rsidRPr="00677B47">
        <w:t>.</w:t>
      </w:r>
    </w:p>
    <w:p w14:paraId="2968D4F0" w14:textId="13290F77" w:rsidR="00594BFB" w:rsidRPr="00677B47" w:rsidRDefault="00594BFB" w:rsidP="009B5312">
      <w:pPr>
        <w:pStyle w:val="Bibliography"/>
        <w:tabs>
          <w:tab w:val="clear" w:pos="380"/>
        </w:tabs>
        <w:ind w:left="0" w:firstLine="0"/>
        <w:contextualSpacing/>
      </w:pPr>
      <w:r w:rsidRPr="00677B47">
        <w:t>30.</w:t>
      </w:r>
      <w:r w:rsidRPr="00677B47">
        <w:tab/>
        <w:t xml:space="preserve">Buckley, E.M., Parthasarathy, A.B., Grant, P.E., Yodh, A.G., Franceschini, M.A. Diffuse correlation spectroscopy for measurement of cerebral blood flow: </w:t>
      </w:r>
      <w:proofErr w:type="gramStart"/>
      <w:r w:rsidRPr="00677B47">
        <w:t>future prospects</w:t>
      </w:r>
      <w:proofErr w:type="gramEnd"/>
      <w:r w:rsidRPr="00677B47">
        <w:t xml:space="preserve">. </w:t>
      </w:r>
      <w:r w:rsidRPr="00677B47">
        <w:rPr>
          <w:i/>
          <w:iCs/>
        </w:rPr>
        <w:t>Neurophotonics</w:t>
      </w:r>
      <w:r w:rsidRPr="00677B47">
        <w:t xml:space="preserve">. </w:t>
      </w:r>
      <w:r w:rsidRPr="00677B47">
        <w:rPr>
          <w:b/>
          <w:bCs/>
        </w:rPr>
        <w:t>1</w:t>
      </w:r>
      <w:r w:rsidRPr="00677B47">
        <w:t xml:space="preserve"> </w:t>
      </w:r>
      <w:r w:rsidR="007B1948" w:rsidRPr="007B1948">
        <w:t>(</w:t>
      </w:r>
      <w:r w:rsidRPr="00677B47">
        <w:t>1</w:t>
      </w:r>
      <w:r w:rsidR="007B1948" w:rsidRPr="007B1948">
        <w:t>)</w:t>
      </w:r>
      <w:r w:rsidRPr="00677B47">
        <w:t xml:space="preserve">, 011009 </w:t>
      </w:r>
      <w:r w:rsidR="007B1948" w:rsidRPr="007B1948">
        <w:t>(</w:t>
      </w:r>
      <w:r w:rsidRPr="00677B47">
        <w:t>2014</w:t>
      </w:r>
      <w:r w:rsidR="007B1948" w:rsidRPr="007B1948">
        <w:t>)</w:t>
      </w:r>
      <w:r w:rsidRPr="00677B47">
        <w:t>.</w:t>
      </w:r>
    </w:p>
    <w:p w14:paraId="35BDBEA0" w14:textId="7315E584" w:rsidR="00594BFB" w:rsidRPr="00677B47" w:rsidRDefault="00594BFB" w:rsidP="009B5312">
      <w:pPr>
        <w:pStyle w:val="Bibliography"/>
        <w:tabs>
          <w:tab w:val="clear" w:pos="380"/>
        </w:tabs>
        <w:ind w:left="0" w:firstLine="0"/>
        <w:contextualSpacing/>
      </w:pPr>
      <w:r w:rsidRPr="00677B47">
        <w:t>31.</w:t>
      </w:r>
      <w:r w:rsidRPr="00677B47">
        <w:tab/>
        <w:t xml:space="preserve">Tate, J., Ward, G. Interferences in immunoassay. </w:t>
      </w:r>
      <w:r w:rsidRPr="00677B47">
        <w:rPr>
          <w:i/>
          <w:iCs/>
        </w:rPr>
        <w:t>The Clinical Biochemist. Reviews</w:t>
      </w:r>
      <w:r w:rsidRPr="00677B47">
        <w:t xml:space="preserve">. </w:t>
      </w:r>
      <w:r w:rsidRPr="00677B47">
        <w:rPr>
          <w:b/>
          <w:bCs/>
        </w:rPr>
        <w:t>25</w:t>
      </w:r>
      <w:r w:rsidRPr="00677B47">
        <w:t xml:space="preserve"> </w:t>
      </w:r>
      <w:r w:rsidR="007B1948" w:rsidRPr="007B1948">
        <w:t>(</w:t>
      </w:r>
      <w:r w:rsidRPr="00677B47">
        <w:t>2</w:t>
      </w:r>
      <w:r w:rsidR="007B1948" w:rsidRPr="007B1948">
        <w:t>)</w:t>
      </w:r>
      <w:r w:rsidRPr="00677B47">
        <w:t xml:space="preserve">, 105–120 </w:t>
      </w:r>
      <w:r w:rsidR="007B1948" w:rsidRPr="007B1948">
        <w:t>(</w:t>
      </w:r>
      <w:r w:rsidRPr="00677B47">
        <w:t>2004</w:t>
      </w:r>
      <w:r w:rsidR="007B1948" w:rsidRPr="007B1948">
        <w:t>)</w:t>
      </w:r>
      <w:r w:rsidRPr="00677B47">
        <w:t>.</w:t>
      </w:r>
    </w:p>
    <w:p w14:paraId="4B46C5E2" w14:textId="22882570" w:rsidR="00594BFB" w:rsidRPr="00677B47" w:rsidRDefault="00594BFB" w:rsidP="009B5312">
      <w:pPr>
        <w:pStyle w:val="Bibliography"/>
        <w:tabs>
          <w:tab w:val="clear" w:pos="380"/>
        </w:tabs>
        <w:ind w:left="0" w:firstLine="0"/>
        <w:contextualSpacing/>
      </w:pPr>
      <w:r w:rsidRPr="00677B47">
        <w:t>32.</w:t>
      </w:r>
      <w:r w:rsidRPr="00677B47">
        <w:tab/>
        <w:t xml:space="preserve">Staples, E., Ingram, R.J.M., Atherton, J.C., Robinson, K. Optimising the quantification of cytokines present at low concentrations in small human mucosal tissue samples using Luminex assays. </w:t>
      </w:r>
      <w:r w:rsidRPr="00677B47">
        <w:rPr>
          <w:i/>
          <w:iCs/>
        </w:rPr>
        <w:t>Journal of Immunological Methods</w:t>
      </w:r>
      <w:r w:rsidRPr="00677B47">
        <w:t xml:space="preserve">. </w:t>
      </w:r>
      <w:r w:rsidRPr="00677B47">
        <w:rPr>
          <w:b/>
          <w:bCs/>
        </w:rPr>
        <w:t>394</w:t>
      </w:r>
      <w:r w:rsidRPr="00677B47">
        <w:t xml:space="preserve"> </w:t>
      </w:r>
      <w:r w:rsidR="007B1948" w:rsidRPr="007B1948">
        <w:t>(</w:t>
      </w:r>
      <w:r w:rsidRPr="00677B47">
        <w:t>1–2</w:t>
      </w:r>
      <w:r w:rsidR="007B1948" w:rsidRPr="007B1948">
        <w:t>)</w:t>
      </w:r>
      <w:r w:rsidRPr="00677B47">
        <w:t xml:space="preserve">, 1–9 </w:t>
      </w:r>
      <w:r w:rsidR="007B1948" w:rsidRPr="007B1948">
        <w:t>(</w:t>
      </w:r>
      <w:r w:rsidRPr="00677B47">
        <w:t>2013</w:t>
      </w:r>
      <w:r w:rsidR="007B1948" w:rsidRPr="007B1948">
        <w:t>)</w:t>
      </w:r>
      <w:r w:rsidRPr="00677B47">
        <w:t>.</w:t>
      </w:r>
    </w:p>
    <w:p w14:paraId="75224D0F" w14:textId="1B734938" w:rsidR="00594BFB" w:rsidRPr="00677B47" w:rsidRDefault="00594BFB" w:rsidP="009B5312">
      <w:pPr>
        <w:pStyle w:val="Bibliography"/>
        <w:tabs>
          <w:tab w:val="clear" w:pos="380"/>
        </w:tabs>
        <w:ind w:left="0" w:firstLine="0"/>
        <w:contextualSpacing/>
      </w:pPr>
      <w:r w:rsidRPr="00677B47">
        <w:t>33.</w:t>
      </w:r>
      <w:r w:rsidRPr="00677B47">
        <w:tab/>
        <w:t xml:space="preserve">Gierut, J.J. </w:t>
      </w:r>
      <w:r w:rsidR="009D2852" w:rsidRPr="009D2852">
        <w:t>et al.</w:t>
      </w:r>
      <w:r w:rsidRPr="00677B47">
        <w:t xml:space="preserve"> Network-level effects of kinase inhibitors modulate TNF-α-induced apoptosis in the intestinal epithelium. </w:t>
      </w:r>
      <w:r w:rsidRPr="00677B47">
        <w:rPr>
          <w:i/>
          <w:iCs/>
        </w:rPr>
        <w:t>Science Signaling</w:t>
      </w:r>
      <w:r w:rsidRPr="00677B47">
        <w:t xml:space="preserve">. </w:t>
      </w:r>
      <w:r w:rsidRPr="00677B47">
        <w:rPr>
          <w:b/>
          <w:bCs/>
        </w:rPr>
        <w:t>8</w:t>
      </w:r>
      <w:r w:rsidRPr="00677B47">
        <w:t xml:space="preserve"> </w:t>
      </w:r>
      <w:r w:rsidR="007B1948" w:rsidRPr="007B1948">
        <w:t>(</w:t>
      </w:r>
      <w:r w:rsidRPr="00677B47">
        <w:t>407</w:t>
      </w:r>
      <w:r w:rsidR="007B1948" w:rsidRPr="007B1948">
        <w:t>)</w:t>
      </w:r>
      <w:r w:rsidRPr="00677B47">
        <w:t xml:space="preserve">, ra129 </w:t>
      </w:r>
      <w:r w:rsidR="007B1948" w:rsidRPr="007B1948">
        <w:t>(</w:t>
      </w:r>
      <w:r w:rsidRPr="00677B47">
        <w:t>2015</w:t>
      </w:r>
      <w:r w:rsidR="007B1948" w:rsidRPr="007B1948">
        <w:t>)</w:t>
      </w:r>
      <w:r w:rsidRPr="00677B47">
        <w:t>.</w:t>
      </w:r>
    </w:p>
    <w:p w14:paraId="78FF39D4" w14:textId="51BD282D" w:rsidR="003226C2" w:rsidRPr="00677B47" w:rsidRDefault="00577524" w:rsidP="009B5312">
      <w:pPr>
        <w:contextualSpacing/>
        <w:rPr>
          <w:rFonts w:ascii="Calibri" w:hAnsi="Calibri" w:cs="Calibri"/>
        </w:rPr>
      </w:pPr>
      <w:r w:rsidRPr="00677B47">
        <w:rPr>
          <w:rFonts w:ascii="Calibri" w:hAnsi="Calibri" w:cs="Calibri"/>
        </w:rPr>
        <w:fldChar w:fldCharType="end"/>
      </w:r>
    </w:p>
    <w:sectPr w:rsidR="003226C2" w:rsidRPr="00677B47" w:rsidSect="00B81B15">
      <w:headerReference w:type="defaul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988B68" w14:textId="77777777" w:rsidR="00456FF9" w:rsidRDefault="00456FF9" w:rsidP="00621C4E">
      <w:r>
        <w:separator/>
      </w:r>
    </w:p>
  </w:endnote>
  <w:endnote w:type="continuationSeparator" w:id="0">
    <w:p w14:paraId="01B51D9F" w14:textId="77777777" w:rsidR="00456FF9" w:rsidRDefault="00456FF9" w:rsidP="00621C4E">
      <w:r>
        <w:continuationSeparator/>
      </w:r>
    </w:p>
  </w:endnote>
  <w:endnote w:type="continuationNotice" w:id="1">
    <w:p w14:paraId="11F0DDA2" w14:textId="77777777" w:rsidR="00456FF9" w:rsidRDefault="00456F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871FC" w14:textId="77777777" w:rsidR="007B1948" w:rsidRDefault="007B194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69BDDC" w14:textId="77777777" w:rsidR="00456FF9" w:rsidRDefault="00456FF9" w:rsidP="00621C4E">
      <w:r>
        <w:separator/>
      </w:r>
    </w:p>
  </w:footnote>
  <w:footnote w:type="continuationSeparator" w:id="0">
    <w:p w14:paraId="1433AF49" w14:textId="77777777" w:rsidR="00456FF9" w:rsidRDefault="00456FF9" w:rsidP="00621C4E">
      <w:r>
        <w:continuationSeparator/>
      </w:r>
    </w:p>
  </w:footnote>
  <w:footnote w:type="continuationNotice" w:id="1">
    <w:p w14:paraId="094177A4" w14:textId="77777777" w:rsidR="00456FF9" w:rsidRDefault="00456F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9738C" w14:textId="77777777" w:rsidR="007B1948" w:rsidRPr="006F06E4" w:rsidRDefault="007B1948"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55F40"/>
    <w:multiLevelType w:val="multilevel"/>
    <w:tmpl w:val="BDAADD92"/>
    <w:lvl w:ilvl="0">
      <w:start w:val="3"/>
      <w:numFmt w:val="decimal"/>
      <w:lvlText w:val="%1"/>
      <w:lvlJc w:val="left"/>
      <w:pPr>
        <w:ind w:left="660" w:hanging="660"/>
      </w:pPr>
      <w:rPr>
        <w:rFonts w:hint="default"/>
      </w:rPr>
    </w:lvl>
    <w:lvl w:ilvl="1">
      <w:start w:val="2"/>
      <w:numFmt w:val="decimal"/>
      <w:lvlText w:val="%1.%2"/>
      <w:lvlJc w:val="left"/>
      <w:pPr>
        <w:ind w:left="900" w:hanging="660"/>
      </w:pPr>
      <w:rPr>
        <w:rFonts w:hint="default"/>
      </w:rPr>
    </w:lvl>
    <w:lvl w:ilvl="2">
      <w:start w:val="5"/>
      <w:numFmt w:val="decimal"/>
      <w:lvlText w:val="%1.%2.%3"/>
      <w:lvlJc w:val="left"/>
      <w:pPr>
        <w:ind w:left="1200" w:hanging="720"/>
      </w:pPr>
      <w:rPr>
        <w:rFonts w:hint="default"/>
      </w:rPr>
    </w:lvl>
    <w:lvl w:ilvl="3">
      <w:start w:val="1"/>
      <w:numFmt w:val="decimal"/>
      <w:lvlText w:val="%1.%2.%3.%4"/>
      <w:lvlJc w:val="left"/>
      <w:pPr>
        <w:ind w:left="1440" w:hanging="720"/>
      </w:pPr>
      <w:rPr>
        <w:rFonts w:hint="default"/>
        <w:b w:val="0"/>
        <w:bCs/>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 w15:restartNumberingAfterBreak="0">
    <w:nsid w:val="0231522C"/>
    <w:multiLevelType w:val="hybridMultilevel"/>
    <w:tmpl w:val="547811A6"/>
    <w:lvl w:ilvl="0" w:tplc="0409001B">
      <w:start w:val="1"/>
      <w:numFmt w:val="low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0726F8"/>
    <w:multiLevelType w:val="hybridMultilevel"/>
    <w:tmpl w:val="65B440F8"/>
    <w:lvl w:ilvl="0" w:tplc="366E919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42416B6"/>
    <w:multiLevelType w:val="multilevel"/>
    <w:tmpl w:val="F57AD68E"/>
    <w:lvl w:ilvl="0">
      <w:start w:val="3"/>
      <w:numFmt w:val="decimal"/>
      <w:lvlText w:val="%1"/>
      <w:lvlJc w:val="left"/>
      <w:pPr>
        <w:ind w:left="660" w:hanging="660"/>
      </w:pPr>
      <w:rPr>
        <w:rFonts w:hint="default"/>
      </w:rPr>
    </w:lvl>
    <w:lvl w:ilvl="1">
      <w:start w:val="2"/>
      <w:numFmt w:val="decimal"/>
      <w:lvlText w:val="%1.%2"/>
      <w:lvlJc w:val="left"/>
      <w:pPr>
        <w:ind w:left="1140" w:hanging="660"/>
      </w:pPr>
      <w:rPr>
        <w:rFonts w:hint="default"/>
      </w:rPr>
    </w:lvl>
    <w:lvl w:ilvl="2">
      <w:start w:val="5"/>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 w15:restartNumberingAfterBreak="0">
    <w:nsid w:val="06830AE9"/>
    <w:multiLevelType w:val="multilevel"/>
    <w:tmpl w:val="6C940A08"/>
    <w:lvl w:ilvl="0">
      <w:start w:val="3"/>
      <w:numFmt w:val="decimal"/>
      <w:lvlText w:val="%1"/>
      <w:lvlJc w:val="left"/>
      <w:pPr>
        <w:ind w:left="660" w:hanging="660"/>
      </w:pPr>
      <w:rPr>
        <w:rFonts w:ascii="Times New Roman" w:hAnsi="Times New Roman" w:cs="Times New Roman" w:hint="default"/>
      </w:rPr>
    </w:lvl>
    <w:lvl w:ilvl="1">
      <w:start w:val="2"/>
      <w:numFmt w:val="decimal"/>
      <w:lvlText w:val="%1.%2"/>
      <w:lvlJc w:val="left"/>
      <w:pPr>
        <w:ind w:left="660" w:hanging="660"/>
      </w:pPr>
      <w:rPr>
        <w:rFonts w:ascii="Times New Roman" w:hAnsi="Times New Roman" w:cs="Times New Roman" w:hint="default"/>
      </w:rPr>
    </w:lvl>
    <w:lvl w:ilvl="2">
      <w:start w:val="4"/>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5" w15:restartNumberingAfterBreak="0">
    <w:nsid w:val="079B0377"/>
    <w:multiLevelType w:val="multilevel"/>
    <w:tmpl w:val="414C5CCE"/>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E93957"/>
    <w:multiLevelType w:val="hybridMultilevel"/>
    <w:tmpl w:val="D9621C46"/>
    <w:lvl w:ilvl="0" w:tplc="0409001B">
      <w:start w:val="1"/>
      <w:numFmt w:val="lowerRoman"/>
      <w:lvlText w:val="%1."/>
      <w:lvlJc w:val="right"/>
      <w:pPr>
        <w:ind w:left="216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 w15:restartNumberingAfterBreak="0">
    <w:nsid w:val="08BE13F9"/>
    <w:multiLevelType w:val="hybridMultilevel"/>
    <w:tmpl w:val="931E8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200CD9"/>
    <w:multiLevelType w:val="hybridMultilevel"/>
    <w:tmpl w:val="15B04684"/>
    <w:lvl w:ilvl="0" w:tplc="6FDCDB10">
      <w:start w:val="1"/>
      <w:numFmt w:val="lowerLetter"/>
      <w:lvlText w:val="%1."/>
      <w:lvlJc w:val="right"/>
      <w:pPr>
        <w:ind w:left="1620" w:hanging="180"/>
      </w:pPr>
      <w:rPr>
        <w:rFonts w:asciiTheme="majorBidi" w:eastAsia="Times New Roman"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571C8D"/>
    <w:multiLevelType w:val="hybridMultilevel"/>
    <w:tmpl w:val="7CC068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265E1E"/>
    <w:multiLevelType w:val="hybridMultilevel"/>
    <w:tmpl w:val="08785668"/>
    <w:lvl w:ilvl="0" w:tplc="467C6C8E">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1" w15:restartNumberingAfterBreak="0">
    <w:nsid w:val="12027A86"/>
    <w:multiLevelType w:val="multilevel"/>
    <w:tmpl w:val="2700A63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153E21C0"/>
    <w:multiLevelType w:val="multilevel"/>
    <w:tmpl w:val="4B54674E"/>
    <w:lvl w:ilvl="0">
      <w:start w:val="1"/>
      <w:numFmt w:val="decimal"/>
      <w:lvlText w:val="%1."/>
      <w:lvlJc w:val="left"/>
      <w:pPr>
        <w:ind w:left="1080" w:hanging="360"/>
      </w:pPr>
      <w:rPr>
        <w:rFonts w:hint="default"/>
      </w:rPr>
    </w:lvl>
    <w:lvl w:ilvl="1">
      <w:start w:val="2"/>
      <w:numFmt w:val="decimal"/>
      <w:isLgl/>
      <w:lvlText w:val="%1.%2"/>
      <w:lvlJc w:val="left"/>
      <w:pPr>
        <w:ind w:left="1560" w:hanging="480"/>
      </w:pPr>
      <w:rPr>
        <w:rFonts w:hint="default"/>
      </w:rPr>
    </w:lvl>
    <w:lvl w:ilvl="2">
      <w:start w:val="2"/>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3" w15:restartNumberingAfterBreak="0">
    <w:nsid w:val="17327D6F"/>
    <w:multiLevelType w:val="multilevel"/>
    <w:tmpl w:val="D6724FD0"/>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CD3C6A"/>
    <w:multiLevelType w:val="hybridMultilevel"/>
    <w:tmpl w:val="67989ECE"/>
    <w:lvl w:ilvl="0" w:tplc="2F60C05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9784C64"/>
    <w:multiLevelType w:val="multilevel"/>
    <w:tmpl w:val="B15A46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137DC7"/>
    <w:multiLevelType w:val="multilevel"/>
    <w:tmpl w:val="1BE47444"/>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A73724A"/>
    <w:multiLevelType w:val="hybridMultilevel"/>
    <w:tmpl w:val="0B18D3FE"/>
    <w:lvl w:ilvl="0" w:tplc="4E487E44">
      <w:start w:val="1"/>
      <w:numFmt w:val="lowerRoman"/>
      <w:lvlText w:val="%1."/>
      <w:lvlJc w:val="left"/>
      <w:pPr>
        <w:ind w:left="360" w:hanging="360"/>
      </w:pPr>
      <w:rPr>
        <w:rFonts w:asciiTheme="majorBidi" w:eastAsia="Times New Roman" w:hAnsiTheme="majorBidi" w:cstheme="maj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F5D60EA"/>
    <w:multiLevelType w:val="hybridMultilevel"/>
    <w:tmpl w:val="CBEA6E82"/>
    <w:lvl w:ilvl="0" w:tplc="66F0A0C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1323FF8"/>
    <w:multiLevelType w:val="multilevel"/>
    <w:tmpl w:val="CE1CBD9E"/>
    <w:lvl w:ilvl="0">
      <w:start w:val="3"/>
      <w:numFmt w:val="decimal"/>
      <w:lvlText w:val="%1"/>
      <w:lvlJc w:val="left"/>
      <w:pPr>
        <w:ind w:left="660" w:hanging="660"/>
      </w:pPr>
      <w:rPr>
        <w:rFonts w:asciiTheme="minorHAnsi" w:hAnsiTheme="minorHAnsi" w:cstheme="minorHAnsi" w:hint="default"/>
      </w:rPr>
    </w:lvl>
    <w:lvl w:ilvl="1">
      <w:start w:val="2"/>
      <w:numFmt w:val="decimal"/>
      <w:lvlText w:val="%1.%2"/>
      <w:lvlJc w:val="left"/>
      <w:pPr>
        <w:ind w:left="660" w:hanging="660"/>
      </w:pPr>
      <w:rPr>
        <w:rFonts w:asciiTheme="minorHAnsi" w:hAnsiTheme="minorHAnsi" w:cstheme="minorHAnsi" w:hint="default"/>
      </w:rPr>
    </w:lvl>
    <w:lvl w:ilvl="2">
      <w:start w:val="5"/>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asciiTheme="minorHAnsi" w:hAnsiTheme="minorHAnsi" w:cstheme="minorHAnsi" w:hint="default"/>
      </w:rPr>
    </w:lvl>
    <w:lvl w:ilvl="4">
      <w:start w:val="1"/>
      <w:numFmt w:val="decimal"/>
      <w:lvlText w:val="%1.%2.%3.%4.%5"/>
      <w:lvlJc w:val="left"/>
      <w:pPr>
        <w:ind w:left="1080" w:hanging="1080"/>
      </w:pPr>
      <w:rPr>
        <w:rFonts w:asciiTheme="minorHAnsi" w:hAnsiTheme="minorHAnsi" w:cstheme="minorHAnsi" w:hint="default"/>
      </w:rPr>
    </w:lvl>
    <w:lvl w:ilvl="5">
      <w:start w:val="1"/>
      <w:numFmt w:val="decimal"/>
      <w:lvlText w:val="%1.%2.%3.%4.%5.%6"/>
      <w:lvlJc w:val="left"/>
      <w:pPr>
        <w:ind w:left="1080" w:hanging="1080"/>
      </w:pPr>
      <w:rPr>
        <w:rFonts w:asciiTheme="minorHAnsi" w:hAnsiTheme="minorHAnsi" w:cstheme="minorHAnsi" w:hint="default"/>
      </w:rPr>
    </w:lvl>
    <w:lvl w:ilvl="6">
      <w:start w:val="1"/>
      <w:numFmt w:val="decimal"/>
      <w:lvlText w:val="%1.%2.%3.%4.%5.%6.%7"/>
      <w:lvlJc w:val="left"/>
      <w:pPr>
        <w:ind w:left="1440" w:hanging="1440"/>
      </w:pPr>
      <w:rPr>
        <w:rFonts w:asciiTheme="minorHAnsi" w:hAnsiTheme="minorHAnsi" w:cstheme="minorHAnsi" w:hint="default"/>
      </w:rPr>
    </w:lvl>
    <w:lvl w:ilvl="7">
      <w:start w:val="1"/>
      <w:numFmt w:val="decimal"/>
      <w:lvlText w:val="%1.%2.%3.%4.%5.%6.%7.%8"/>
      <w:lvlJc w:val="left"/>
      <w:pPr>
        <w:ind w:left="1440" w:hanging="1440"/>
      </w:pPr>
      <w:rPr>
        <w:rFonts w:asciiTheme="minorHAnsi" w:hAnsiTheme="minorHAnsi" w:cstheme="minorHAnsi" w:hint="default"/>
      </w:rPr>
    </w:lvl>
    <w:lvl w:ilvl="8">
      <w:start w:val="1"/>
      <w:numFmt w:val="decimal"/>
      <w:lvlText w:val="%1.%2.%3.%4.%5.%6.%7.%8.%9"/>
      <w:lvlJc w:val="left"/>
      <w:pPr>
        <w:ind w:left="1800" w:hanging="1800"/>
      </w:pPr>
      <w:rPr>
        <w:rFonts w:asciiTheme="minorHAnsi" w:hAnsiTheme="minorHAnsi" w:cstheme="minorHAnsi" w:hint="default"/>
      </w:rPr>
    </w:lvl>
  </w:abstractNum>
  <w:abstractNum w:abstractNumId="21" w15:restartNumberingAfterBreak="0">
    <w:nsid w:val="22E722CC"/>
    <w:multiLevelType w:val="multilevel"/>
    <w:tmpl w:val="64523162"/>
    <w:lvl w:ilvl="0">
      <w:start w:val="3"/>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6"/>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3413C43"/>
    <w:multiLevelType w:val="hybridMultilevel"/>
    <w:tmpl w:val="1256D39A"/>
    <w:lvl w:ilvl="0" w:tplc="980C9C48">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3" w15:restartNumberingAfterBreak="0">
    <w:nsid w:val="2422570B"/>
    <w:multiLevelType w:val="hybridMultilevel"/>
    <w:tmpl w:val="D8DC04CE"/>
    <w:lvl w:ilvl="0" w:tplc="8BF47B7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24C00CD1"/>
    <w:multiLevelType w:val="multilevel"/>
    <w:tmpl w:val="E386206C"/>
    <w:lvl w:ilvl="0">
      <w:start w:val="3"/>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273D1131"/>
    <w:multiLevelType w:val="multilevel"/>
    <w:tmpl w:val="38B4C5BC"/>
    <w:lvl w:ilvl="0">
      <w:start w:val="3"/>
      <w:numFmt w:val="decimal"/>
      <w:lvlText w:val="%1"/>
      <w:lvlJc w:val="left"/>
      <w:pPr>
        <w:ind w:left="660" w:hanging="660"/>
      </w:pPr>
      <w:rPr>
        <w:rFonts w:ascii="Times New Roman" w:hAnsi="Times New Roman" w:cs="Times New Roman" w:hint="default"/>
      </w:rPr>
    </w:lvl>
    <w:lvl w:ilvl="1">
      <w:start w:val="2"/>
      <w:numFmt w:val="decimal"/>
      <w:lvlText w:val="%1.%2"/>
      <w:lvlJc w:val="left"/>
      <w:pPr>
        <w:ind w:left="660" w:hanging="660"/>
      </w:pPr>
      <w:rPr>
        <w:rFonts w:ascii="Times New Roman" w:hAnsi="Times New Roman" w:cs="Times New Roman" w:hint="default"/>
      </w:rPr>
    </w:lvl>
    <w:lvl w:ilvl="2">
      <w:start w:val="4"/>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heme="minorHAnsi" w:hAnsiTheme="minorHAnsi" w:cstheme="minorHAnsi" w:hint="default"/>
        <w:b w:val="0"/>
        <w:i w:val="0"/>
      </w:rPr>
    </w:lvl>
    <w:lvl w:ilvl="4">
      <w:start w:val="1"/>
      <w:numFmt w:val="decimal"/>
      <w:lvlText w:val="%1.%2.%3.%4.%5"/>
      <w:lvlJc w:val="left"/>
      <w:pPr>
        <w:ind w:left="1080" w:hanging="1080"/>
      </w:pPr>
      <w:rPr>
        <w:rFonts w:asciiTheme="minorHAnsi" w:hAnsiTheme="minorHAnsi" w:cstheme="minorHAnsi"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26" w15:restartNumberingAfterBreak="0">
    <w:nsid w:val="27AF2964"/>
    <w:multiLevelType w:val="multilevel"/>
    <w:tmpl w:val="5A18DD5A"/>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9B7113B"/>
    <w:multiLevelType w:val="hybridMultilevel"/>
    <w:tmpl w:val="9D7AF404"/>
    <w:lvl w:ilvl="0" w:tplc="40F451B2">
      <w:start w:val="1"/>
      <w:numFmt w:val="lowerLetter"/>
      <w:lvlText w:val="%1."/>
      <w:lvlJc w:val="left"/>
      <w:pPr>
        <w:ind w:left="900" w:hanging="360"/>
      </w:pPr>
      <w:rPr>
        <w:rFonts w:asciiTheme="majorBidi" w:hAnsiTheme="majorBidi" w:cstheme="majorBidi"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2A94239E"/>
    <w:multiLevelType w:val="multilevel"/>
    <w:tmpl w:val="414C5CCE"/>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ADB4367"/>
    <w:multiLevelType w:val="multilevel"/>
    <w:tmpl w:val="0B0049B6"/>
    <w:lvl w:ilvl="0">
      <w:start w:val="3"/>
      <w:numFmt w:val="decimal"/>
      <w:lvlText w:val="%1"/>
      <w:lvlJc w:val="left"/>
      <w:pPr>
        <w:ind w:left="660" w:hanging="660"/>
      </w:pPr>
      <w:rPr>
        <w:rFonts w:hint="default"/>
      </w:rPr>
    </w:lvl>
    <w:lvl w:ilvl="1">
      <w:start w:val="2"/>
      <w:numFmt w:val="decimal"/>
      <w:lvlText w:val="%1.%2"/>
      <w:lvlJc w:val="left"/>
      <w:pPr>
        <w:ind w:left="900" w:hanging="660"/>
      </w:pPr>
      <w:rPr>
        <w:rFonts w:hint="default"/>
      </w:rPr>
    </w:lvl>
    <w:lvl w:ilvl="2">
      <w:start w:val="3"/>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0" w15:restartNumberingAfterBreak="0">
    <w:nsid w:val="2B551AC6"/>
    <w:multiLevelType w:val="multilevel"/>
    <w:tmpl w:val="E8360450"/>
    <w:lvl w:ilvl="0">
      <w:start w:val="1"/>
      <w:numFmt w:val="upperRoman"/>
      <w:lvlText w:val="%1."/>
      <w:lvlJc w:val="right"/>
      <w:pPr>
        <w:ind w:left="1620" w:hanging="180"/>
      </w:p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31" w15:restartNumberingAfterBreak="0">
    <w:nsid w:val="2DA26AB8"/>
    <w:multiLevelType w:val="multilevel"/>
    <w:tmpl w:val="DF7297F6"/>
    <w:lvl w:ilvl="0">
      <w:start w:val="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DED0E33"/>
    <w:multiLevelType w:val="multilevel"/>
    <w:tmpl w:val="414C5CCE"/>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DF13B39"/>
    <w:multiLevelType w:val="hybridMultilevel"/>
    <w:tmpl w:val="CDF83538"/>
    <w:lvl w:ilvl="0" w:tplc="931AEE2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3118189D"/>
    <w:multiLevelType w:val="multilevel"/>
    <w:tmpl w:val="3B80ECA0"/>
    <w:lvl w:ilvl="0">
      <w:start w:val="3"/>
      <w:numFmt w:val="decimal"/>
      <w:lvlText w:val="%1"/>
      <w:lvlJc w:val="left"/>
      <w:pPr>
        <w:ind w:left="840" w:hanging="840"/>
      </w:pPr>
      <w:rPr>
        <w:rFonts w:ascii="Times New Roman" w:hAnsi="Times New Roman" w:cs="Times New Roman" w:hint="default"/>
      </w:rPr>
    </w:lvl>
    <w:lvl w:ilvl="1">
      <w:start w:val="2"/>
      <w:numFmt w:val="decimal"/>
      <w:lvlText w:val="%1.%2"/>
      <w:lvlJc w:val="left"/>
      <w:pPr>
        <w:ind w:left="840" w:hanging="840"/>
      </w:pPr>
      <w:rPr>
        <w:rFonts w:ascii="Times New Roman" w:hAnsi="Times New Roman" w:cs="Times New Roman" w:hint="default"/>
      </w:rPr>
    </w:lvl>
    <w:lvl w:ilvl="2">
      <w:start w:val="4"/>
      <w:numFmt w:val="decimal"/>
      <w:lvlText w:val="%1.%2.%3"/>
      <w:lvlJc w:val="left"/>
      <w:pPr>
        <w:ind w:left="840" w:hanging="840"/>
      </w:pPr>
      <w:rPr>
        <w:rFonts w:asciiTheme="minorHAnsi" w:hAnsiTheme="minorHAnsi" w:cstheme="minorHAnsi" w:hint="default"/>
      </w:rPr>
    </w:lvl>
    <w:lvl w:ilvl="3">
      <w:start w:val="1"/>
      <w:numFmt w:val="decimal"/>
      <w:lvlText w:val="%1.%2.%3.%4"/>
      <w:lvlJc w:val="left"/>
      <w:pPr>
        <w:ind w:left="840" w:hanging="840"/>
      </w:pPr>
      <w:rPr>
        <w:rFonts w:asciiTheme="minorHAnsi" w:hAnsiTheme="minorHAnsi" w:cstheme="minorHAnsi" w:hint="default"/>
        <w:b w:val="0"/>
      </w:rPr>
    </w:lvl>
    <w:lvl w:ilvl="4">
      <w:start w:val="3"/>
      <w:numFmt w:val="decimal"/>
      <w:lvlText w:val="%1.%2.%3.%4.%5"/>
      <w:lvlJc w:val="left"/>
      <w:pPr>
        <w:ind w:left="1080" w:hanging="1080"/>
      </w:pPr>
      <w:rPr>
        <w:rFonts w:asciiTheme="minorHAnsi" w:hAnsiTheme="minorHAnsi" w:cstheme="minorHAnsi"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5" w15:restartNumberingAfterBreak="0">
    <w:nsid w:val="32582845"/>
    <w:multiLevelType w:val="hybridMultilevel"/>
    <w:tmpl w:val="20EC7654"/>
    <w:lvl w:ilvl="0" w:tplc="082E281C">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6" w15:restartNumberingAfterBreak="0">
    <w:nsid w:val="35523B05"/>
    <w:multiLevelType w:val="multilevel"/>
    <w:tmpl w:val="1206E618"/>
    <w:lvl w:ilvl="0">
      <w:start w:val="3"/>
      <w:numFmt w:val="decimal"/>
      <w:lvlText w:val="%1"/>
      <w:lvlJc w:val="left"/>
      <w:pPr>
        <w:ind w:left="480" w:hanging="480"/>
      </w:pPr>
      <w:rPr>
        <w:rFonts w:hint="default"/>
        <w:u w:val="single"/>
      </w:rPr>
    </w:lvl>
    <w:lvl w:ilvl="1">
      <w:start w:val="1"/>
      <w:numFmt w:val="decimal"/>
      <w:lvlText w:val="%1.%2"/>
      <w:lvlJc w:val="left"/>
      <w:pPr>
        <w:ind w:left="840" w:hanging="48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37" w15:restartNumberingAfterBreak="0">
    <w:nsid w:val="38D91CE9"/>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8" w15:restartNumberingAfterBreak="0">
    <w:nsid w:val="3C333E49"/>
    <w:multiLevelType w:val="hybridMultilevel"/>
    <w:tmpl w:val="B566BC9E"/>
    <w:lvl w:ilvl="0" w:tplc="85E058CA">
      <w:start w:val="1"/>
      <w:numFmt w:val="lowerLetter"/>
      <w:lvlText w:val="%1."/>
      <w:lvlJc w:val="left"/>
      <w:pPr>
        <w:ind w:left="1080" w:hanging="360"/>
      </w:pPr>
      <w:rPr>
        <w:rFonts w:asciiTheme="majorBidi" w:eastAsia="Times New Roman" w:hAnsiTheme="majorBidi" w:cstheme="maj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2101338"/>
    <w:multiLevelType w:val="hybridMultilevel"/>
    <w:tmpl w:val="58CAAAF2"/>
    <w:lvl w:ilvl="0" w:tplc="9BEAFECE">
      <w:start w:val="1"/>
      <w:numFmt w:val="decimal"/>
      <w:lvlText w:val="%1."/>
      <w:lvlJc w:val="left"/>
      <w:pPr>
        <w:ind w:left="360" w:hanging="360"/>
      </w:pPr>
      <w:rPr>
        <w:rFonts w:hint="default"/>
        <w:b/>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0" w15:restartNumberingAfterBreak="0">
    <w:nsid w:val="451751B6"/>
    <w:multiLevelType w:val="multilevel"/>
    <w:tmpl w:val="E386206C"/>
    <w:lvl w:ilvl="0">
      <w:start w:val="3"/>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47ED1C84"/>
    <w:multiLevelType w:val="hybridMultilevel"/>
    <w:tmpl w:val="D420898A"/>
    <w:lvl w:ilvl="0" w:tplc="F2B22A26">
      <w:start w:val="1"/>
      <w:numFmt w:val="lowerRoman"/>
      <w:lvlText w:val="%1."/>
      <w:lvlJc w:val="left"/>
      <w:pPr>
        <w:ind w:left="1800" w:hanging="360"/>
      </w:pPr>
      <w:rPr>
        <w:rFonts w:asciiTheme="majorBidi" w:eastAsia="Times New Roman" w:hAnsiTheme="majorBidi" w:cstheme="maj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491A1C14"/>
    <w:multiLevelType w:val="hybridMultilevel"/>
    <w:tmpl w:val="CEE6D832"/>
    <w:lvl w:ilvl="0" w:tplc="F446AE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49963ABA"/>
    <w:multiLevelType w:val="multilevel"/>
    <w:tmpl w:val="635417AE"/>
    <w:lvl w:ilvl="0">
      <w:start w:val="3"/>
      <w:numFmt w:val="decimal"/>
      <w:lvlText w:val="%1"/>
      <w:lvlJc w:val="left"/>
      <w:pPr>
        <w:ind w:left="660" w:hanging="660"/>
      </w:pPr>
      <w:rPr>
        <w:rFonts w:hint="default"/>
      </w:rPr>
    </w:lvl>
    <w:lvl w:ilvl="1">
      <w:start w:val="2"/>
      <w:numFmt w:val="decimal"/>
      <w:lvlText w:val="%1.%2"/>
      <w:lvlJc w:val="left"/>
      <w:pPr>
        <w:ind w:left="900" w:hanging="66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4" w15:restartNumberingAfterBreak="0">
    <w:nsid w:val="49BA2CE0"/>
    <w:multiLevelType w:val="hybridMultilevel"/>
    <w:tmpl w:val="5DD8BE8A"/>
    <w:lvl w:ilvl="0" w:tplc="783C170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4A030B8F"/>
    <w:multiLevelType w:val="multilevel"/>
    <w:tmpl w:val="58646B80"/>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BB94C4D"/>
    <w:multiLevelType w:val="multilevel"/>
    <w:tmpl w:val="C900790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4C18060E"/>
    <w:multiLevelType w:val="multilevel"/>
    <w:tmpl w:val="46FEF0D6"/>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1440" w:hanging="720"/>
      </w:pPr>
      <w:rPr>
        <w:rFonts w:asciiTheme="majorBidi" w:eastAsia="Times New Roman" w:hAnsiTheme="majorBidi" w:cstheme="majorBidi"/>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E027227"/>
    <w:multiLevelType w:val="hybridMultilevel"/>
    <w:tmpl w:val="73C01FBC"/>
    <w:lvl w:ilvl="0" w:tplc="8C643E90">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9" w15:restartNumberingAfterBreak="0">
    <w:nsid w:val="4E1A0DCD"/>
    <w:multiLevelType w:val="multilevel"/>
    <w:tmpl w:val="BDAADD92"/>
    <w:lvl w:ilvl="0">
      <w:start w:val="3"/>
      <w:numFmt w:val="decimal"/>
      <w:lvlText w:val="%1"/>
      <w:lvlJc w:val="left"/>
      <w:pPr>
        <w:ind w:left="660" w:hanging="660"/>
      </w:pPr>
      <w:rPr>
        <w:rFonts w:hint="default"/>
      </w:rPr>
    </w:lvl>
    <w:lvl w:ilvl="1">
      <w:start w:val="2"/>
      <w:numFmt w:val="decimal"/>
      <w:lvlText w:val="%1.%2"/>
      <w:lvlJc w:val="left"/>
      <w:pPr>
        <w:ind w:left="900" w:hanging="660"/>
      </w:pPr>
      <w:rPr>
        <w:rFonts w:hint="default"/>
      </w:rPr>
    </w:lvl>
    <w:lvl w:ilvl="2">
      <w:start w:val="5"/>
      <w:numFmt w:val="decimal"/>
      <w:lvlText w:val="%1.%2.%3"/>
      <w:lvlJc w:val="left"/>
      <w:pPr>
        <w:ind w:left="1200" w:hanging="720"/>
      </w:pPr>
      <w:rPr>
        <w:rFonts w:hint="default"/>
      </w:rPr>
    </w:lvl>
    <w:lvl w:ilvl="3">
      <w:start w:val="1"/>
      <w:numFmt w:val="decimal"/>
      <w:lvlText w:val="%1.%2.%3.%4"/>
      <w:lvlJc w:val="left"/>
      <w:pPr>
        <w:ind w:left="1440" w:hanging="720"/>
      </w:pPr>
      <w:rPr>
        <w:rFonts w:hint="default"/>
        <w:b w:val="0"/>
        <w:bCs/>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50" w15:restartNumberingAfterBreak="0">
    <w:nsid w:val="4FBD3DDD"/>
    <w:multiLevelType w:val="multilevel"/>
    <w:tmpl w:val="64523162"/>
    <w:lvl w:ilvl="0">
      <w:start w:val="3"/>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5"/>
      <w:numFmt w:val="decimal"/>
      <w:lvlText w:val="%1.%2.%3"/>
      <w:lvlJc w:val="left"/>
      <w:pPr>
        <w:ind w:left="840" w:hanging="840"/>
      </w:pPr>
      <w:rPr>
        <w:rFonts w:hint="default"/>
      </w:rPr>
    </w:lvl>
    <w:lvl w:ilvl="3">
      <w:start w:val="1"/>
      <w:numFmt w:val="decimal"/>
      <w:lvlText w:val="%1.%2.%3.%4"/>
      <w:lvlJc w:val="left"/>
      <w:pPr>
        <w:ind w:left="840" w:hanging="84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FD96FCC"/>
    <w:multiLevelType w:val="hybridMultilevel"/>
    <w:tmpl w:val="53B819B6"/>
    <w:lvl w:ilvl="0" w:tplc="6E8C6114">
      <w:start w:val="2"/>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03A04AA"/>
    <w:multiLevelType w:val="multilevel"/>
    <w:tmpl w:val="53C0501A"/>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b w:val="0"/>
        <w:bCs/>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3" w15:restartNumberingAfterBreak="0">
    <w:nsid w:val="540624F4"/>
    <w:multiLevelType w:val="multilevel"/>
    <w:tmpl w:val="0CDEF06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4087A64"/>
    <w:multiLevelType w:val="multilevel"/>
    <w:tmpl w:val="331AE8F8"/>
    <w:lvl w:ilvl="0">
      <w:start w:val="3"/>
      <w:numFmt w:val="decimal"/>
      <w:lvlText w:val="%1"/>
      <w:lvlJc w:val="left"/>
      <w:pPr>
        <w:ind w:left="660" w:hanging="660"/>
      </w:pPr>
      <w:rPr>
        <w:rFonts w:hint="default"/>
      </w:rPr>
    </w:lvl>
    <w:lvl w:ilvl="1">
      <w:start w:val="2"/>
      <w:numFmt w:val="decimal"/>
      <w:lvlText w:val="%1.%2"/>
      <w:lvlJc w:val="left"/>
      <w:pPr>
        <w:ind w:left="1140" w:hanging="660"/>
      </w:pPr>
      <w:rPr>
        <w:rFonts w:hint="default"/>
      </w:rPr>
    </w:lvl>
    <w:lvl w:ilvl="2">
      <w:start w:val="5"/>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5" w15:restartNumberingAfterBreak="0">
    <w:nsid w:val="54120798"/>
    <w:multiLevelType w:val="hybridMultilevel"/>
    <w:tmpl w:val="BE3A6E30"/>
    <w:lvl w:ilvl="0" w:tplc="85241F1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 w15:restartNumberingAfterBreak="0">
    <w:nsid w:val="565B175D"/>
    <w:multiLevelType w:val="multilevel"/>
    <w:tmpl w:val="EB548268"/>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8CF4508"/>
    <w:multiLevelType w:val="multilevel"/>
    <w:tmpl w:val="0E843002"/>
    <w:lvl w:ilvl="0">
      <w:start w:val="3"/>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5"/>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8F739A9"/>
    <w:multiLevelType w:val="multilevel"/>
    <w:tmpl w:val="43882E76"/>
    <w:lvl w:ilvl="0">
      <w:start w:val="2"/>
      <w:numFmt w:val="decimal"/>
      <w:lvlText w:val="%1"/>
      <w:lvlJc w:val="left"/>
      <w:pPr>
        <w:ind w:left="480" w:hanging="480"/>
      </w:pPr>
      <w:rPr>
        <w:rFonts w:hint="default"/>
        <w:u w:val="single"/>
      </w:rPr>
    </w:lvl>
    <w:lvl w:ilvl="1">
      <w:start w:val="1"/>
      <w:numFmt w:val="decimal"/>
      <w:lvlText w:val="%1.%2"/>
      <w:lvlJc w:val="left"/>
      <w:pPr>
        <w:ind w:left="840" w:hanging="480"/>
      </w:pPr>
      <w:rPr>
        <w:rFonts w:hint="default"/>
        <w:u w:val="none"/>
      </w:rPr>
    </w:lvl>
    <w:lvl w:ilvl="2">
      <w:start w:val="2"/>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59" w15:restartNumberingAfterBreak="0">
    <w:nsid w:val="59A13233"/>
    <w:multiLevelType w:val="multilevel"/>
    <w:tmpl w:val="ABE059A8"/>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b/>
        <w:u w:val="non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60" w15:restartNumberingAfterBreak="0">
    <w:nsid w:val="5CCA02F0"/>
    <w:multiLevelType w:val="hybridMultilevel"/>
    <w:tmpl w:val="9F6C8638"/>
    <w:lvl w:ilvl="0" w:tplc="F69C7BB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1" w15:restartNumberingAfterBreak="0">
    <w:nsid w:val="64500ADA"/>
    <w:multiLevelType w:val="multilevel"/>
    <w:tmpl w:val="0D1C5C1E"/>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582F50"/>
    <w:multiLevelType w:val="multilevel"/>
    <w:tmpl w:val="5BB00C60"/>
    <w:lvl w:ilvl="0">
      <w:start w:val="3"/>
      <w:numFmt w:val="decimal"/>
      <w:lvlText w:val="%1"/>
      <w:lvlJc w:val="left"/>
      <w:pPr>
        <w:ind w:left="660" w:hanging="660"/>
      </w:pPr>
      <w:rPr>
        <w:rFonts w:hint="default"/>
      </w:rPr>
    </w:lvl>
    <w:lvl w:ilvl="1">
      <w:start w:val="2"/>
      <w:numFmt w:val="decimal"/>
      <w:lvlText w:val="%1.%2"/>
      <w:lvlJc w:val="left"/>
      <w:pPr>
        <w:ind w:left="900" w:hanging="660"/>
      </w:pPr>
      <w:rPr>
        <w:rFonts w:hint="default"/>
      </w:rPr>
    </w:lvl>
    <w:lvl w:ilvl="2">
      <w:start w:val="5"/>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63" w15:restartNumberingAfterBreak="0">
    <w:nsid w:val="672A098B"/>
    <w:multiLevelType w:val="hybridMultilevel"/>
    <w:tmpl w:val="9BD4A658"/>
    <w:lvl w:ilvl="0" w:tplc="BD7E3EA4">
      <w:start w:val="1"/>
      <w:numFmt w:val="lowerLetter"/>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64" w15:restartNumberingAfterBreak="0">
    <w:nsid w:val="67FA1F6E"/>
    <w:multiLevelType w:val="multilevel"/>
    <w:tmpl w:val="CBF637A2"/>
    <w:lvl w:ilvl="0">
      <w:start w:val="4"/>
      <w:numFmt w:val="decimal"/>
      <w:lvlText w:val="%1"/>
      <w:lvlJc w:val="left"/>
      <w:pPr>
        <w:ind w:left="480" w:hanging="480"/>
      </w:pPr>
      <w:rPr>
        <w:rFonts w:hint="default"/>
      </w:rPr>
    </w:lvl>
    <w:lvl w:ilvl="1">
      <w:start w:val="2"/>
      <w:numFmt w:val="decimal"/>
      <w:lvlText w:val="%1.%2"/>
      <w:lvlJc w:val="left"/>
      <w:pPr>
        <w:ind w:left="1110" w:hanging="48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65" w15:restartNumberingAfterBreak="0">
    <w:nsid w:val="686422A4"/>
    <w:multiLevelType w:val="hybridMultilevel"/>
    <w:tmpl w:val="A404C4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86D7C9D"/>
    <w:multiLevelType w:val="hybridMultilevel"/>
    <w:tmpl w:val="216A5B2E"/>
    <w:lvl w:ilvl="0" w:tplc="66F0A0C6">
      <w:start w:val="1"/>
      <w:numFmt w:val="decimal"/>
      <w:lvlText w:val="%1."/>
      <w:lvlJc w:val="left"/>
      <w:pPr>
        <w:ind w:left="1080" w:hanging="360"/>
      </w:pPr>
      <w:rPr>
        <w:rFonts w:hint="default"/>
      </w:rPr>
    </w:lvl>
    <w:lvl w:ilvl="1" w:tplc="6FDCDB10">
      <w:start w:val="1"/>
      <w:numFmt w:val="lowerLetter"/>
      <w:lvlText w:val="%2."/>
      <w:lvlJc w:val="right"/>
      <w:pPr>
        <w:ind w:left="1620" w:hanging="180"/>
      </w:pPr>
      <w:rPr>
        <w:rFonts w:asciiTheme="majorBidi" w:eastAsia="Times New Roman" w:hAnsiTheme="majorBidi" w:cstheme="majorBidi"/>
      </w:rPr>
    </w:lvl>
    <w:lvl w:ilvl="2" w:tplc="6E0A13EA">
      <w:start w:val="1"/>
      <w:numFmt w:val="lowerLetter"/>
      <w:lvlText w:val="%3)"/>
      <w:lvlJc w:val="left"/>
      <w:pPr>
        <w:ind w:left="2340" w:hanging="360"/>
      </w:pPr>
      <w:rPr>
        <w:rFonts w:asciiTheme="minorHAnsi" w:hAnsiTheme="minorHAnsi" w:cstheme="minorHAnsi" w:hint="default"/>
      </w:rPr>
    </w:lvl>
    <w:lvl w:ilvl="3" w:tplc="74C40562">
      <w:start w:val="1"/>
      <w:numFmt w:val="upp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A662A3B"/>
    <w:multiLevelType w:val="multilevel"/>
    <w:tmpl w:val="BE7E5D98"/>
    <w:lvl w:ilvl="0">
      <w:start w:val="3"/>
      <w:numFmt w:val="decimal"/>
      <w:lvlText w:val="%1."/>
      <w:lvlJc w:val="left"/>
      <w:pPr>
        <w:ind w:left="540" w:hanging="540"/>
      </w:pPr>
      <w:rPr>
        <w:rFonts w:hint="default"/>
        <w:u w:val="none"/>
      </w:rPr>
    </w:lvl>
    <w:lvl w:ilvl="1">
      <w:start w:val="3"/>
      <w:numFmt w:val="decimal"/>
      <w:lvlText w:val="%1.%2."/>
      <w:lvlJc w:val="left"/>
      <w:pPr>
        <w:ind w:left="540" w:hanging="54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68" w15:restartNumberingAfterBreak="0">
    <w:nsid w:val="6A6E3D3F"/>
    <w:multiLevelType w:val="multilevel"/>
    <w:tmpl w:val="A27AC4D8"/>
    <w:lvl w:ilvl="0">
      <w:start w:val="1"/>
      <w:numFmt w:val="lowerRoman"/>
      <w:lvlText w:val="%1."/>
      <w:lvlJc w:val="right"/>
      <w:pPr>
        <w:ind w:left="1800" w:hanging="360"/>
      </w:p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69" w15:restartNumberingAfterBreak="0">
    <w:nsid w:val="6F444526"/>
    <w:multiLevelType w:val="multilevel"/>
    <w:tmpl w:val="45C03DEA"/>
    <w:lvl w:ilvl="0">
      <w:start w:val="3"/>
      <w:numFmt w:val="decimal"/>
      <w:lvlText w:val="%1"/>
      <w:lvlJc w:val="left"/>
      <w:pPr>
        <w:ind w:left="680" w:hanging="680"/>
      </w:pPr>
      <w:rPr>
        <w:rFonts w:hint="default"/>
        <w:b/>
        <w:i/>
      </w:rPr>
    </w:lvl>
    <w:lvl w:ilvl="1">
      <w:start w:val="2"/>
      <w:numFmt w:val="decimal"/>
      <w:lvlText w:val="%1.%2"/>
      <w:lvlJc w:val="left"/>
      <w:pPr>
        <w:ind w:left="920" w:hanging="680"/>
      </w:pPr>
      <w:rPr>
        <w:rFonts w:hint="default"/>
        <w:b/>
        <w:i/>
      </w:rPr>
    </w:lvl>
    <w:lvl w:ilvl="2">
      <w:start w:val="5"/>
      <w:numFmt w:val="decimal"/>
      <w:lvlText w:val="%1.%2.%3"/>
      <w:lvlJc w:val="left"/>
      <w:pPr>
        <w:ind w:left="1200" w:hanging="720"/>
      </w:pPr>
      <w:rPr>
        <w:rFonts w:hint="default"/>
        <w:b/>
        <w:i/>
      </w:rPr>
    </w:lvl>
    <w:lvl w:ilvl="3">
      <w:start w:val="1"/>
      <w:numFmt w:val="decimal"/>
      <w:lvlText w:val="%1.%2.%3.%4"/>
      <w:lvlJc w:val="left"/>
      <w:pPr>
        <w:ind w:left="1440" w:hanging="720"/>
      </w:pPr>
      <w:rPr>
        <w:rFonts w:hint="default"/>
        <w:b w:val="0"/>
        <w:bCs/>
        <w:i w:val="0"/>
        <w:iCs/>
      </w:rPr>
    </w:lvl>
    <w:lvl w:ilvl="4">
      <w:start w:val="1"/>
      <w:numFmt w:val="decimal"/>
      <w:lvlText w:val="%1.%2.%3.%4.%5"/>
      <w:lvlJc w:val="left"/>
      <w:pPr>
        <w:ind w:left="2040" w:hanging="1080"/>
      </w:pPr>
      <w:rPr>
        <w:rFonts w:hint="default"/>
        <w:b/>
        <w:i/>
      </w:rPr>
    </w:lvl>
    <w:lvl w:ilvl="5">
      <w:start w:val="1"/>
      <w:numFmt w:val="decimal"/>
      <w:lvlText w:val="%1.%2.%3.%4.%5.%6"/>
      <w:lvlJc w:val="left"/>
      <w:pPr>
        <w:ind w:left="2280" w:hanging="1080"/>
      </w:pPr>
      <w:rPr>
        <w:rFonts w:hint="default"/>
        <w:b/>
        <w:i/>
      </w:rPr>
    </w:lvl>
    <w:lvl w:ilvl="6">
      <w:start w:val="1"/>
      <w:numFmt w:val="decimal"/>
      <w:lvlText w:val="%1.%2.%3.%4.%5.%6.%7"/>
      <w:lvlJc w:val="left"/>
      <w:pPr>
        <w:ind w:left="2880" w:hanging="1440"/>
      </w:pPr>
      <w:rPr>
        <w:rFonts w:hint="default"/>
        <w:b/>
        <w:i/>
      </w:rPr>
    </w:lvl>
    <w:lvl w:ilvl="7">
      <w:start w:val="1"/>
      <w:numFmt w:val="decimal"/>
      <w:lvlText w:val="%1.%2.%3.%4.%5.%6.%7.%8"/>
      <w:lvlJc w:val="left"/>
      <w:pPr>
        <w:ind w:left="3120" w:hanging="1440"/>
      </w:pPr>
      <w:rPr>
        <w:rFonts w:hint="default"/>
        <w:b/>
        <w:i/>
      </w:rPr>
    </w:lvl>
    <w:lvl w:ilvl="8">
      <w:start w:val="1"/>
      <w:numFmt w:val="decimal"/>
      <w:lvlText w:val="%1.%2.%3.%4.%5.%6.%7.%8.%9"/>
      <w:lvlJc w:val="left"/>
      <w:pPr>
        <w:ind w:left="3720" w:hanging="1800"/>
      </w:pPr>
      <w:rPr>
        <w:rFonts w:hint="default"/>
        <w:b/>
        <w:i/>
      </w:rPr>
    </w:lvl>
  </w:abstractNum>
  <w:abstractNum w:abstractNumId="70" w15:restartNumberingAfterBreak="0">
    <w:nsid w:val="74123478"/>
    <w:multiLevelType w:val="multilevel"/>
    <w:tmpl w:val="87BCB370"/>
    <w:lvl w:ilvl="0">
      <w:start w:val="1"/>
      <w:numFmt w:val="decimal"/>
      <w:lvlText w:val="%1."/>
      <w:lvlJc w:val="left"/>
      <w:pPr>
        <w:ind w:left="540" w:hanging="540"/>
      </w:pPr>
      <w:rPr>
        <w:rFonts w:hint="default"/>
        <w:b/>
      </w:rPr>
    </w:lvl>
    <w:lvl w:ilvl="1">
      <w:start w:val="4"/>
      <w:numFmt w:val="decimal"/>
      <w:lvlText w:val="%1.%2."/>
      <w:lvlJc w:val="left"/>
      <w:pPr>
        <w:ind w:left="540" w:hanging="540"/>
      </w:pPr>
      <w:rPr>
        <w:rFonts w:hint="default"/>
        <w:b w:val="0"/>
        <w:bCs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1" w15:restartNumberingAfterBreak="0">
    <w:nsid w:val="752D0D7B"/>
    <w:multiLevelType w:val="multilevel"/>
    <w:tmpl w:val="F17E12B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Letter"/>
      <w:lvlText w:val="%3)"/>
      <w:lvlJc w:val="left"/>
      <w:pPr>
        <w:ind w:left="2340" w:hanging="360"/>
      </w:pPr>
      <w:rPr>
        <w:rFonts w:asciiTheme="minorHAnsi" w:hAnsiTheme="minorHAnsi" w:cstheme="minorHAnsi" w:hint="default"/>
      </w:rPr>
    </w:lvl>
    <w:lvl w:ilvl="3">
      <w:start w:val="1"/>
      <w:numFmt w:val="upperLetter"/>
      <w:lvlText w:val="%4."/>
      <w:lvlJc w:val="left"/>
      <w:pPr>
        <w:ind w:left="3240" w:hanging="360"/>
      </w:pPr>
      <w:rPr>
        <w:rFonts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2" w15:restartNumberingAfterBreak="0">
    <w:nsid w:val="753849C3"/>
    <w:multiLevelType w:val="hybridMultilevel"/>
    <w:tmpl w:val="7EDC4D0C"/>
    <w:lvl w:ilvl="0" w:tplc="1F3227F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15:restartNumberingAfterBreak="0">
    <w:nsid w:val="7541140F"/>
    <w:multiLevelType w:val="multilevel"/>
    <w:tmpl w:val="7FA66FDC"/>
    <w:lvl w:ilvl="0">
      <w:start w:val="3"/>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4" w15:restartNumberingAfterBreak="0">
    <w:nsid w:val="777C268F"/>
    <w:multiLevelType w:val="hybridMultilevel"/>
    <w:tmpl w:val="75A019F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9A6351C"/>
    <w:multiLevelType w:val="hybridMultilevel"/>
    <w:tmpl w:val="21FE6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9CD73C2"/>
    <w:multiLevelType w:val="multilevel"/>
    <w:tmpl w:val="F2007340"/>
    <w:lvl w:ilvl="0">
      <w:start w:val="3"/>
      <w:numFmt w:val="decimal"/>
      <w:lvlText w:val="%1"/>
      <w:lvlJc w:val="left"/>
      <w:pPr>
        <w:ind w:left="680" w:hanging="680"/>
      </w:pPr>
      <w:rPr>
        <w:rFonts w:hint="default"/>
        <w:b/>
        <w:i/>
      </w:rPr>
    </w:lvl>
    <w:lvl w:ilvl="1">
      <w:start w:val="2"/>
      <w:numFmt w:val="decimal"/>
      <w:lvlText w:val="%1.%2"/>
      <w:lvlJc w:val="left"/>
      <w:pPr>
        <w:ind w:left="920" w:hanging="680"/>
      </w:pPr>
      <w:rPr>
        <w:rFonts w:hint="default"/>
        <w:b/>
        <w:i/>
      </w:rPr>
    </w:lvl>
    <w:lvl w:ilvl="2">
      <w:start w:val="5"/>
      <w:numFmt w:val="decimal"/>
      <w:lvlText w:val="%1.%2.%3"/>
      <w:lvlJc w:val="left"/>
      <w:pPr>
        <w:ind w:left="1200" w:hanging="720"/>
      </w:pPr>
      <w:rPr>
        <w:rFonts w:hint="default"/>
        <w:b/>
        <w:i/>
      </w:rPr>
    </w:lvl>
    <w:lvl w:ilvl="3">
      <w:start w:val="1"/>
      <w:numFmt w:val="decimal"/>
      <w:lvlText w:val="%1.%2.%3.%4"/>
      <w:lvlJc w:val="left"/>
      <w:pPr>
        <w:ind w:left="1440" w:hanging="720"/>
      </w:pPr>
      <w:rPr>
        <w:rFonts w:hint="default"/>
        <w:b/>
        <w:i/>
      </w:rPr>
    </w:lvl>
    <w:lvl w:ilvl="4">
      <w:start w:val="1"/>
      <w:numFmt w:val="decimal"/>
      <w:lvlText w:val="%1.%2.%3.%4.%5"/>
      <w:lvlJc w:val="left"/>
      <w:pPr>
        <w:ind w:left="2040" w:hanging="1080"/>
      </w:pPr>
      <w:rPr>
        <w:rFonts w:hint="default"/>
        <w:b/>
        <w:i/>
      </w:rPr>
    </w:lvl>
    <w:lvl w:ilvl="5">
      <w:start w:val="1"/>
      <w:numFmt w:val="decimal"/>
      <w:lvlText w:val="%1.%2.%3.%4.%5.%6"/>
      <w:lvlJc w:val="left"/>
      <w:pPr>
        <w:ind w:left="2280" w:hanging="1080"/>
      </w:pPr>
      <w:rPr>
        <w:rFonts w:hint="default"/>
        <w:b/>
        <w:i/>
      </w:rPr>
    </w:lvl>
    <w:lvl w:ilvl="6">
      <w:start w:val="1"/>
      <w:numFmt w:val="decimal"/>
      <w:lvlText w:val="%1.%2.%3.%4.%5.%6.%7"/>
      <w:lvlJc w:val="left"/>
      <w:pPr>
        <w:ind w:left="2880" w:hanging="1440"/>
      </w:pPr>
      <w:rPr>
        <w:rFonts w:hint="default"/>
        <w:b/>
        <w:i/>
      </w:rPr>
    </w:lvl>
    <w:lvl w:ilvl="7">
      <w:start w:val="1"/>
      <w:numFmt w:val="decimal"/>
      <w:lvlText w:val="%1.%2.%3.%4.%5.%6.%7.%8"/>
      <w:lvlJc w:val="left"/>
      <w:pPr>
        <w:ind w:left="3120" w:hanging="1440"/>
      </w:pPr>
      <w:rPr>
        <w:rFonts w:hint="default"/>
        <w:b/>
        <w:i/>
      </w:rPr>
    </w:lvl>
    <w:lvl w:ilvl="8">
      <w:start w:val="1"/>
      <w:numFmt w:val="decimal"/>
      <w:lvlText w:val="%1.%2.%3.%4.%5.%6.%7.%8.%9"/>
      <w:lvlJc w:val="left"/>
      <w:pPr>
        <w:ind w:left="3720" w:hanging="1800"/>
      </w:pPr>
      <w:rPr>
        <w:rFonts w:hint="default"/>
        <w:b/>
        <w:i/>
      </w:rPr>
    </w:lvl>
  </w:abstractNum>
  <w:abstractNum w:abstractNumId="77" w15:restartNumberingAfterBreak="0">
    <w:nsid w:val="7C941746"/>
    <w:multiLevelType w:val="hybridMultilevel"/>
    <w:tmpl w:val="D3D2DD5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9"/>
  </w:num>
  <w:num w:numId="2">
    <w:abstractNumId w:val="12"/>
  </w:num>
  <w:num w:numId="3">
    <w:abstractNumId w:val="66"/>
  </w:num>
  <w:num w:numId="4">
    <w:abstractNumId w:val="74"/>
  </w:num>
  <w:num w:numId="5">
    <w:abstractNumId w:val="37"/>
  </w:num>
  <w:num w:numId="6">
    <w:abstractNumId w:val="18"/>
  </w:num>
  <w:num w:numId="7">
    <w:abstractNumId w:val="75"/>
  </w:num>
  <w:num w:numId="8">
    <w:abstractNumId w:val="7"/>
  </w:num>
  <w:num w:numId="9">
    <w:abstractNumId w:val="19"/>
  </w:num>
  <w:num w:numId="10">
    <w:abstractNumId w:val="46"/>
  </w:num>
  <w:num w:numId="11">
    <w:abstractNumId w:val="65"/>
  </w:num>
  <w:num w:numId="12">
    <w:abstractNumId w:val="41"/>
  </w:num>
  <w:num w:numId="13">
    <w:abstractNumId w:val="36"/>
  </w:num>
  <w:num w:numId="14">
    <w:abstractNumId w:val="24"/>
  </w:num>
  <w:num w:numId="15">
    <w:abstractNumId w:val="47"/>
  </w:num>
  <w:num w:numId="16">
    <w:abstractNumId w:val="5"/>
  </w:num>
  <w:num w:numId="17">
    <w:abstractNumId w:val="32"/>
  </w:num>
  <w:num w:numId="18">
    <w:abstractNumId w:val="28"/>
  </w:num>
  <w:num w:numId="19">
    <w:abstractNumId w:val="33"/>
  </w:num>
  <w:num w:numId="20">
    <w:abstractNumId w:val="44"/>
  </w:num>
  <w:num w:numId="21">
    <w:abstractNumId w:val="38"/>
  </w:num>
  <w:num w:numId="22">
    <w:abstractNumId w:val="58"/>
  </w:num>
  <w:num w:numId="23">
    <w:abstractNumId w:val="72"/>
  </w:num>
  <w:num w:numId="24">
    <w:abstractNumId w:val="35"/>
  </w:num>
  <w:num w:numId="25">
    <w:abstractNumId w:val="63"/>
  </w:num>
  <w:num w:numId="26">
    <w:abstractNumId w:val="2"/>
  </w:num>
  <w:num w:numId="27">
    <w:abstractNumId w:val="15"/>
  </w:num>
  <w:num w:numId="28">
    <w:abstractNumId w:val="71"/>
  </w:num>
  <w:num w:numId="29">
    <w:abstractNumId w:val="6"/>
  </w:num>
  <w:num w:numId="30">
    <w:abstractNumId w:val="30"/>
  </w:num>
  <w:num w:numId="31">
    <w:abstractNumId w:val="8"/>
  </w:num>
  <w:num w:numId="32">
    <w:abstractNumId w:val="42"/>
  </w:num>
  <w:num w:numId="33">
    <w:abstractNumId w:val="11"/>
  </w:num>
  <w:num w:numId="34">
    <w:abstractNumId w:val="27"/>
  </w:num>
  <w:num w:numId="35">
    <w:abstractNumId w:val="64"/>
  </w:num>
  <w:num w:numId="36">
    <w:abstractNumId w:val="17"/>
  </w:num>
  <w:num w:numId="37">
    <w:abstractNumId w:val="59"/>
  </w:num>
  <w:num w:numId="38">
    <w:abstractNumId w:val="68"/>
  </w:num>
  <w:num w:numId="39">
    <w:abstractNumId w:val="23"/>
  </w:num>
  <w:num w:numId="40">
    <w:abstractNumId w:val="43"/>
  </w:num>
  <w:num w:numId="41">
    <w:abstractNumId w:val="29"/>
  </w:num>
  <w:num w:numId="42">
    <w:abstractNumId w:val="73"/>
  </w:num>
  <w:num w:numId="43">
    <w:abstractNumId w:val="49"/>
  </w:num>
  <w:num w:numId="44">
    <w:abstractNumId w:val="54"/>
  </w:num>
  <w:num w:numId="45">
    <w:abstractNumId w:val="3"/>
  </w:num>
  <w:num w:numId="46">
    <w:abstractNumId w:val="62"/>
  </w:num>
  <w:num w:numId="47">
    <w:abstractNumId w:val="69"/>
  </w:num>
  <w:num w:numId="48">
    <w:abstractNumId w:val="76"/>
  </w:num>
  <w:num w:numId="49">
    <w:abstractNumId w:val="0"/>
  </w:num>
  <w:num w:numId="50">
    <w:abstractNumId w:val="14"/>
  </w:num>
  <w:num w:numId="51">
    <w:abstractNumId w:val="48"/>
  </w:num>
  <w:num w:numId="52">
    <w:abstractNumId w:val="22"/>
  </w:num>
  <w:num w:numId="53">
    <w:abstractNumId w:val="55"/>
  </w:num>
  <w:num w:numId="54">
    <w:abstractNumId w:val="10"/>
  </w:num>
  <w:num w:numId="55">
    <w:abstractNumId w:val="60"/>
  </w:num>
  <w:num w:numId="56">
    <w:abstractNumId w:val="52"/>
  </w:num>
  <w:num w:numId="57">
    <w:abstractNumId w:val="9"/>
  </w:num>
  <w:num w:numId="58">
    <w:abstractNumId w:val="77"/>
  </w:num>
  <w:num w:numId="59">
    <w:abstractNumId w:val="51"/>
  </w:num>
  <w:num w:numId="60">
    <w:abstractNumId w:val="1"/>
  </w:num>
  <w:num w:numId="61">
    <w:abstractNumId w:val="61"/>
  </w:num>
  <w:num w:numId="62">
    <w:abstractNumId w:val="45"/>
  </w:num>
  <w:num w:numId="63">
    <w:abstractNumId w:val="13"/>
  </w:num>
  <w:num w:numId="64">
    <w:abstractNumId w:val="31"/>
  </w:num>
  <w:num w:numId="65">
    <w:abstractNumId w:val="26"/>
  </w:num>
  <w:num w:numId="66">
    <w:abstractNumId w:val="34"/>
  </w:num>
  <w:num w:numId="67">
    <w:abstractNumId w:val="25"/>
  </w:num>
  <w:num w:numId="68">
    <w:abstractNumId w:val="4"/>
  </w:num>
  <w:num w:numId="69">
    <w:abstractNumId w:val="20"/>
  </w:num>
  <w:num w:numId="70">
    <w:abstractNumId w:val="50"/>
  </w:num>
  <w:num w:numId="71">
    <w:abstractNumId w:val="21"/>
  </w:num>
  <w:num w:numId="72">
    <w:abstractNumId w:val="57"/>
  </w:num>
  <w:num w:numId="73">
    <w:abstractNumId w:val="40"/>
  </w:num>
  <w:num w:numId="74">
    <w:abstractNumId w:val="70"/>
  </w:num>
  <w:num w:numId="75">
    <w:abstractNumId w:val="16"/>
  </w:num>
  <w:num w:numId="76">
    <w:abstractNumId w:val="53"/>
  </w:num>
  <w:num w:numId="77">
    <w:abstractNumId w:val="56"/>
  </w:num>
  <w:num w:numId="78">
    <w:abstractNumId w:val="6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7"/>
  <w:removePersonalInformation/>
  <w:removeDateAndTime/>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5F1"/>
    <w:rsid w:val="00006E68"/>
    <w:rsid w:val="00007DBC"/>
    <w:rsid w:val="00007EA1"/>
    <w:rsid w:val="000100F0"/>
    <w:rsid w:val="00010414"/>
    <w:rsid w:val="00011399"/>
    <w:rsid w:val="000129B2"/>
    <w:rsid w:val="00012FF9"/>
    <w:rsid w:val="0001389C"/>
    <w:rsid w:val="00014314"/>
    <w:rsid w:val="00016B7E"/>
    <w:rsid w:val="00020A19"/>
    <w:rsid w:val="000212AE"/>
    <w:rsid w:val="00021434"/>
    <w:rsid w:val="00021774"/>
    <w:rsid w:val="00021DF3"/>
    <w:rsid w:val="00022456"/>
    <w:rsid w:val="00023869"/>
    <w:rsid w:val="00024598"/>
    <w:rsid w:val="000279B0"/>
    <w:rsid w:val="00027D04"/>
    <w:rsid w:val="00032769"/>
    <w:rsid w:val="000329BD"/>
    <w:rsid w:val="0003311E"/>
    <w:rsid w:val="00033B32"/>
    <w:rsid w:val="00033C13"/>
    <w:rsid w:val="00033DA9"/>
    <w:rsid w:val="000365ED"/>
    <w:rsid w:val="00037405"/>
    <w:rsid w:val="00037B58"/>
    <w:rsid w:val="000409E6"/>
    <w:rsid w:val="00043AC4"/>
    <w:rsid w:val="00046927"/>
    <w:rsid w:val="0004695D"/>
    <w:rsid w:val="000470A6"/>
    <w:rsid w:val="00050E0B"/>
    <w:rsid w:val="00051B73"/>
    <w:rsid w:val="0005288E"/>
    <w:rsid w:val="000575CF"/>
    <w:rsid w:val="00060ABE"/>
    <w:rsid w:val="00061A50"/>
    <w:rsid w:val="0006319A"/>
    <w:rsid w:val="0006361B"/>
    <w:rsid w:val="00064104"/>
    <w:rsid w:val="00064D07"/>
    <w:rsid w:val="00064F32"/>
    <w:rsid w:val="000652E3"/>
    <w:rsid w:val="00066025"/>
    <w:rsid w:val="000663EE"/>
    <w:rsid w:val="00067A8F"/>
    <w:rsid w:val="000701D1"/>
    <w:rsid w:val="000752BB"/>
    <w:rsid w:val="00080A20"/>
    <w:rsid w:val="0008216E"/>
    <w:rsid w:val="00082796"/>
    <w:rsid w:val="00082DF4"/>
    <w:rsid w:val="00085157"/>
    <w:rsid w:val="000851D9"/>
    <w:rsid w:val="00086FF5"/>
    <w:rsid w:val="00087C0A"/>
    <w:rsid w:val="00091788"/>
    <w:rsid w:val="000919CB"/>
    <w:rsid w:val="00093BC4"/>
    <w:rsid w:val="000943E6"/>
    <w:rsid w:val="00095A23"/>
    <w:rsid w:val="000975AE"/>
    <w:rsid w:val="00097671"/>
    <w:rsid w:val="00097929"/>
    <w:rsid w:val="000A0F2D"/>
    <w:rsid w:val="000A1E80"/>
    <w:rsid w:val="000A2A27"/>
    <w:rsid w:val="000A3AE7"/>
    <w:rsid w:val="000A3B70"/>
    <w:rsid w:val="000A47E8"/>
    <w:rsid w:val="000A5153"/>
    <w:rsid w:val="000B10AE"/>
    <w:rsid w:val="000B30BF"/>
    <w:rsid w:val="000B516C"/>
    <w:rsid w:val="000B566B"/>
    <w:rsid w:val="000B595C"/>
    <w:rsid w:val="000B662E"/>
    <w:rsid w:val="000B6FC7"/>
    <w:rsid w:val="000B7294"/>
    <w:rsid w:val="000B75D0"/>
    <w:rsid w:val="000C097A"/>
    <w:rsid w:val="000C1CF8"/>
    <w:rsid w:val="000C301F"/>
    <w:rsid w:val="000C49CF"/>
    <w:rsid w:val="000C52E9"/>
    <w:rsid w:val="000C5B8B"/>
    <w:rsid w:val="000C5CDC"/>
    <w:rsid w:val="000C5D63"/>
    <w:rsid w:val="000C65DC"/>
    <w:rsid w:val="000C66F3"/>
    <w:rsid w:val="000C6900"/>
    <w:rsid w:val="000D05B3"/>
    <w:rsid w:val="000D28BF"/>
    <w:rsid w:val="000D31E8"/>
    <w:rsid w:val="000D3498"/>
    <w:rsid w:val="000D413F"/>
    <w:rsid w:val="000D76E4"/>
    <w:rsid w:val="000E0D94"/>
    <w:rsid w:val="000E0E4F"/>
    <w:rsid w:val="000E3706"/>
    <w:rsid w:val="000E3816"/>
    <w:rsid w:val="000E4F77"/>
    <w:rsid w:val="000F04D8"/>
    <w:rsid w:val="000F107B"/>
    <w:rsid w:val="000F265C"/>
    <w:rsid w:val="000F3AFA"/>
    <w:rsid w:val="000F4C38"/>
    <w:rsid w:val="000F5712"/>
    <w:rsid w:val="000F59FD"/>
    <w:rsid w:val="000F6611"/>
    <w:rsid w:val="000F7E22"/>
    <w:rsid w:val="001022F1"/>
    <w:rsid w:val="00102C02"/>
    <w:rsid w:val="00103859"/>
    <w:rsid w:val="00105C60"/>
    <w:rsid w:val="0010662B"/>
    <w:rsid w:val="001073E8"/>
    <w:rsid w:val="00107554"/>
    <w:rsid w:val="001075E9"/>
    <w:rsid w:val="001104F3"/>
    <w:rsid w:val="00111602"/>
    <w:rsid w:val="00112EEB"/>
    <w:rsid w:val="001173FF"/>
    <w:rsid w:val="00117EA9"/>
    <w:rsid w:val="00120E4E"/>
    <w:rsid w:val="00122855"/>
    <w:rsid w:val="00124390"/>
    <w:rsid w:val="00124841"/>
    <w:rsid w:val="00124987"/>
    <w:rsid w:val="00124C06"/>
    <w:rsid w:val="0012563A"/>
    <w:rsid w:val="001264DE"/>
    <w:rsid w:val="00126877"/>
    <w:rsid w:val="001313A7"/>
    <w:rsid w:val="0013276F"/>
    <w:rsid w:val="001342B5"/>
    <w:rsid w:val="0013517A"/>
    <w:rsid w:val="0013621E"/>
    <w:rsid w:val="0013642E"/>
    <w:rsid w:val="00142EFE"/>
    <w:rsid w:val="00143258"/>
    <w:rsid w:val="001458ED"/>
    <w:rsid w:val="001465E9"/>
    <w:rsid w:val="00146824"/>
    <w:rsid w:val="00147A5A"/>
    <w:rsid w:val="00150744"/>
    <w:rsid w:val="0015131F"/>
    <w:rsid w:val="001513FB"/>
    <w:rsid w:val="001527D3"/>
    <w:rsid w:val="00152A23"/>
    <w:rsid w:val="00155F53"/>
    <w:rsid w:val="00156B11"/>
    <w:rsid w:val="00156B57"/>
    <w:rsid w:val="00160129"/>
    <w:rsid w:val="0016070C"/>
    <w:rsid w:val="001607F0"/>
    <w:rsid w:val="0016223B"/>
    <w:rsid w:val="00162CB7"/>
    <w:rsid w:val="00163C1C"/>
    <w:rsid w:val="001648C7"/>
    <w:rsid w:val="001665C9"/>
    <w:rsid w:val="00166F32"/>
    <w:rsid w:val="00167F65"/>
    <w:rsid w:val="00170D6A"/>
    <w:rsid w:val="001718C0"/>
    <w:rsid w:val="00171E5B"/>
    <w:rsid w:val="00171F94"/>
    <w:rsid w:val="00172296"/>
    <w:rsid w:val="00173D80"/>
    <w:rsid w:val="00174890"/>
    <w:rsid w:val="00175D4E"/>
    <w:rsid w:val="0017668A"/>
    <w:rsid w:val="001766FE"/>
    <w:rsid w:val="00176F98"/>
    <w:rsid w:val="001771E7"/>
    <w:rsid w:val="00177C02"/>
    <w:rsid w:val="001811C1"/>
    <w:rsid w:val="001827EC"/>
    <w:rsid w:val="00183786"/>
    <w:rsid w:val="00183AA9"/>
    <w:rsid w:val="00184A65"/>
    <w:rsid w:val="00184D5E"/>
    <w:rsid w:val="00190D27"/>
    <w:rsid w:val="001911FF"/>
    <w:rsid w:val="00192006"/>
    <w:rsid w:val="00192866"/>
    <w:rsid w:val="00193180"/>
    <w:rsid w:val="0019530C"/>
    <w:rsid w:val="00196792"/>
    <w:rsid w:val="0019770E"/>
    <w:rsid w:val="001A1119"/>
    <w:rsid w:val="001B14F1"/>
    <w:rsid w:val="001B1519"/>
    <w:rsid w:val="001B2024"/>
    <w:rsid w:val="001B220D"/>
    <w:rsid w:val="001B2767"/>
    <w:rsid w:val="001B2E2D"/>
    <w:rsid w:val="001B3AC0"/>
    <w:rsid w:val="001B493D"/>
    <w:rsid w:val="001B5CD2"/>
    <w:rsid w:val="001C0BEE"/>
    <w:rsid w:val="001C1E49"/>
    <w:rsid w:val="001C27C1"/>
    <w:rsid w:val="001C2A98"/>
    <w:rsid w:val="001C3B86"/>
    <w:rsid w:val="001C4404"/>
    <w:rsid w:val="001C4D95"/>
    <w:rsid w:val="001D3A98"/>
    <w:rsid w:val="001D3D7D"/>
    <w:rsid w:val="001D3FFF"/>
    <w:rsid w:val="001D4203"/>
    <w:rsid w:val="001D4997"/>
    <w:rsid w:val="001D625F"/>
    <w:rsid w:val="001D68A4"/>
    <w:rsid w:val="001D6D20"/>
    <w:rsid w:val="001D7576"/>
    <w:rsid w:val="001E0E3F"/>
    <w:rsid w:val="001E14A0"/>
    <w:rsid w:val="001E566D"/>
    <w:rsid w:val="001E5E77"/>
    <w:rsid w:val="001E7376"/>
    <w:rsid w:val="001F225C"/>
    <w:rsid w:val="001F24CE"/>
    <w:rsid w:val="001F4353"/>
    <w:rsid w:val="001F49D7"/>
    <w:rsid w:val="001F5652"/>
    <w:rsid w:val="001F78E2"/>
    <w:rsid w:val="00200792"/>
    <w:rsid w:val="002015C6"/>
    <w:rsid w:val="00201AC6"/>
    <w:rsid w:val="00201CFA"/>
    <w:rsid w:val="00202052"/>
    <w:rsid w:val="0020220D"/>
    <w:rsid w:val="00202448"/>
    <w:rsid w:val="00202A3C"/>
    <w:rsid w:val="00202D15"/>
    <w:rsid w:val="002032ED"/>
    <w:rsid w:val="002059AF"/>
    <w:rsid w:val="00205B3F"/>
    <w:rsid w:val="00210159"/>
    <w:rsid w:val="00210C83"/>
    <w:rsid w:val="00210F80"/>
    <w:rsid w:val="00212EAE"/>
    <w:rsid w:val="00214BEE"/>
    <w:rsid w:val="00214EEC"/>
    <w:rsid w:val="002162FB"/>
    <w:rsid w:val="00217A63"/>
    <w:rsid w:val="002205B8"/>
    <w:rsid w:val="002221E8"/>
    <w:rsid w:val="00225720"/>
    <w:rsid w:val="002259E5"/>
    <w:rsid w:val="00226140"/>
    <w:rsid w:val="002272DA"/>
    <w:rsid w:val="002274F3"/>
    <w:rsid w:val="002302EA"/>
    <w:rsid w:val="0023094C"/>
    <w:rsid w:val="00231B19"/>
    <w:rsid w:val="00231BD3"/>
    <w:rsid w:val="00232007"/>
    <w:rsid w:val="002324F8"/>
    <w:rsid w:val="00233484"/>
    <w:rsid w:val="00234303"/>
    <w:rsid w:val="00234BE3"/>
    <w:rsid w:val="00235A90"/>
    <w:rsid w:val="0023624F"/>
    <w:rsid w:val="002412E7"/>
    <w:rsid w:val="00241E48"/>
    <w:rsid w:val="0024214E"/>
    <w:rsid w:val="00242623"/>
    <w:rsid w:val="002463E0"/>
    <w:rsid w:val="0024663B"/>
    <w:rsid w:val="00250558"/>
    <w:rsid w:val="00251AFD"/>
    <w:rsid w:val="0025357C"/>
    <w:rsid w:val="00253E7C"/>
    <w:rsid w:val="00255951"/>
    <w:rsid w:val="00256510"/>
    <w:rsid w:val="002569E0"/>
    <w:rsid w:val="00260009"/>
    <w:rsid w:val="0026016F"/>
    <w:rsid w:val="002605D1"/>
    <w:rsid w:val="00260652"/>
    <w:rsid w:val="002608F6"/>
    <w:rsid w:val="00261F25"/>
    <w:rsid w:val="0026247E"/>
    <w:rsid w:val="002648A9"/>
    <w:rsid w:val="00264B1F"/>
    <w:rsid w:val="00264D69"/>
    <w:rsid w:val="0026536F"/>
    <w:rsid w:val="0026553C"/>
    <w:rsid w:val="002661A0"/>
    <w:rsid w:val="0026790A"/>
    <w:rsid w:val="00267DD5"/>
    <w:rsid w:val="00274573"/>
    <w:rsid w:val="00274A0A"/>
    <w:rsid w:val="002753FF"/>
    <w:rsid w:val="00276EF6"/>
    <w:rsid w:val="00277593"/>
    <w:rsid w:val="00277BB0"/>
    <w:rsid w:val="0028007D"/>
    <w:rsid w:val="00280909"/>
    <w:rsid w:val="00280918"/>
    <w:rsid w:val="00281B3C"/>
    <w:rsid w:val="00282AF6"/>
    <w:rsid w:val="00284231"/>
    <w:rsid w:val="00284955"/>
    <w:rsid w:val="0028596A"/>
    <w:rsid w:val="00287085"/>
    <w:rsid w:val="002870E1"/>
    <w:rsid w:val="00287DC0"/>
    <w:rsid w:val="002900D1"/>
    <w:rsid w:val="00290AF9"/>
    <w:rsid w:val="00291131"/>
    <w:rsid w:val="00292BB6"/>
    <w:rsid w:val="00293E59"/>
    <w:rsid w:val="0029421F"/>
    <w:rsid w:val="00294A39"/>
    <w:rsid w:val="00295F02"/>
    <w:rsid w:val="002967CF"/>
    <w:rsid w:val="00297788"/>
    <w:rsid w:val="002A0B96"/>
    <w:rsid w:val="002A1C36"/>
    <w:rsid w:val="002A2E22"/>
    <w:rsid w:val="002A3285"/>
    <w:rsid w:val="002A34F9"/>
    <w:rsid w:val="002A46FF"/>
    <w:rsid w:val="002A484B"/>
    <w:rsid w:val="002A4B19"/>
    <w:rsid w:val="002A4F15"/>
    <w:rsid w:val="002A64A6"/>
    <w:rsid w:val="002B1FE3"/>
    <w:rsid w:val="002B2986"/>
    <w:rsid w:val="002B3301"/>
    <w:rsid w:val="002B64CF"/>
    <w:rsid w:val="002B6CA3"/>
    <w:rsid w:val="002B725A"/>
    <w:rsid w:val="002C1142"/>
    <w:rsid w:val="002C1445"/>
    <w:rsid w:val="002C1D33"/>
    <w:rsid w:val="002C47D4"/>
    <w:rsid w:val="002D0DBC"/>
    <w:rsid w:val="002D0F38"/>
    <w:rsid w:val="002D3AED"/>
    <w:rsid w:val="002D44D9"/>
    <w:rsid w:val="002D77E3"/>
    <w:rsid w:val="002E4AD2"/>
    <w:rsid w:val="002E631A"/>
    <w:rsid w:val="002E6C5C"/>
    <w:rsid w:val="002F0DE0"/>
    <w:rsid w:val="002F2859"/>
    <w:rsid w:val="002F3E3F"/>
    <w:rsid w:val="002F6E3C"/>
    <w:rsid w:val="00300866"/>
    <w:rsid w:val="0030117D"/>
    <w:rsid w:val="00301F30"/>
    <w:rsid w:val="003036C1"/>
    <w:rsid w:val="003038FD"/>
    <w:rsid w:val="00303C87"/>
    <w:rsid w:val="003043DA"/>
    <w:rsid w:val="00307BD3"/>
    <w:rsid w:val="003108E5"/>
    <w:rsid w:val="00310DEC"/>
    <w:rsid w:val="003115A8"/>
    <w:rsid w:val="003120CB"/>
    <w:rsid w:val="0031509A"/>
    <w:rsid w:val="0031591F"/>
    <w:rsid w:val="003168B5"/>
    <w:rsid w:val="003176B9"/>
    <w:rsid w:val="00320153"/>
    <w:rsid w:val="00320367"/>
    <w:rsid w:val="003226C2"/>
    <w:rsid w:val="00322871"/>
    <w:rsid w:val="003237CA"/>
    <w:rsid w:val="00323897"/>
    <w:rsid w:val="00326614"/>
    <w:rsid w:val="00326FB3"/>
    <w:rsid w:val="003300C5"/>
    <w:rsid w:val="00330763"/>
    <w:rsid w:val="003316D4"/>
    <w:rsid w:val="003321B2"/>
    <w:rsid w:val="00332380"/>
    <w:rsid w:val="00332BBE"/>
    <w:rsid w:val="00333822"/>
    <w:rsid w:val="0033626E"/>
    <w:rsid w:val="00336715"/>
    <w:rsid w:val="00336C6E"/>
    <w:rsid w:val="003401EC"/>
    <w:rsid w:val="00340979"/>
    <w:rsid w:val="00340DFD"/>
    <w:rsid w:val="00341666"/>
    <w:rsid w:val="0034287D"/>
    <w:rsid w:val="00343106"/>
    <w:rsid w:val="0034489E"/>
    <w:rsid w:val="00344954"/>
    <w:rsid w:val="00345700"/>
    <w:rsid w:val="00345DE8"/>
    <w:rsid w:val="00350413"/>
    <w:rsid w:val="00350CD7"/>
    <w:rsid w:val="0035507E"/>
    <w:rsid w:val="00357EEC"/>
    <w:rsid w:val="00360C17"/>
    <w:rsid w:val="00361E82"/>
    <w:rsid w:val="003621C6"/>
    <w:rsid w:val="003622B8"/>
    <w:rsid w:val="00366B76"/>
    <w:rsid w:val="00371C5D"/>
    <w:rsid w:val="00373051"/>
    <w:rsid w:val="00373B11"/>
    <w:rsid w:val="00373B8F"/>
    <w:rsid w:val="0037426A"/>
    <w:rsid w:val="00376D95"/>
    <w:rsid w:val="0037739C"/>
    <w:rsid w:val="00377FBB"/>
    <w:rsid w:val="00383C68"/>
    <w:rsid w:val="00385140"/>
    <w:rsid w:val="003874F8"/>
    <w:rsid w:val="00392F78"/>
    <w:rsid w:val="0039331A"/>
    <w:rsid w:val="00393CC7"/>
    <w:rsid w:val="003947FC"/>
    <w:rsid w:val="003962F2"/>
    <w:rsid w:val="00396302"/>
    <w:rsid w:val="00396763"/>
    <w:rsid w:val="00396CDB"/>
    <w:rsid w:val="003971F7"/>
    <w:rsid w:val="00397AEE"/>
    <w:rsid w:val="003A16FC"/>
    <w:rsid w:val="003A2C8A"/>
    <w:rsid w:val="003A4C20"/>
    <w:rsid w:val="003A4FCD"/>
    <w:rsid w:val="003A64A3"/>
    <w:rsid w:val="003B0944"/>
    <w:rsid w:val="003B0DF0"/>
    <w:rsid w:val="003B1593"/>
    <w:rsid w:val="003B18DF"/>
    <w:rsid w:val="003B3ADF"/>
    <w:rsid w:val="003B412F"/>
    <w:rsid w:val="003B4381"/>
    <w:rsid w:val="003B46CB"/>
    <w:rsid w:val="003B613E"/>
    <w:rsid w:val="003B6E39"/>
    <w:rsid w:val="003C1043"/>
    <w:rsid w:val="003C1A30"/>
    <w:rsid w:val="003C2457"/>
    <w:rsid w:val="003C5505"/>
    <w:rsid w:val="003C6779"/>
    <w:rsid w:val="003C6EDE"/>
    <w:rsid w:val="003C71BE"/>
    <w:rsid w:val="003D033C"/>
    <w:rsid w:val="003D2998"/>
    <w:rsid w:val="003D2F0A"/>
    <w:rsid w:val="003D3891"/>
    <w:rsid w:val="003D3FE9"/>
    <w:rsid w:val="003D5D84"/>
    <w:rsid w:val="003D6AC6"/>
    <w:rsid w:val="003E0F4F"/>
    <w:rsid w:val="003E18AC"/>
    <w:rsid w:val="003E210B"/>
    <w:rsid w:val="003E2A12"/>
    <w:rsid w:val="003E30EE"/>
    <w:rsid w:val="003E3384"/>
    <w:rsid w:val="003E3717"/>
    <w:rsid w:val="003E3CA4"/>
    <w:rsid w:val="003E4B7C"/>
    <w:rsid w:val="003E519C"/>
    <w:rsid w:val="003E548E"/>
    <w:rsid w:val="00400BB1"/>
    <w:rsid w:val="00406A69"/>
    <w:rsid w:val="00407EC8"/>
    <w:rsid w:val="004102E6"/>
    <w:rsid w:val="0041110A"/>
    <w:rsid w:val="00411624"/>
    <w:rsid w:val="0041348D"/>
    <w:rsid w:val="00413A61"/>
    <w:rsid w:val="004148E1"/>
    <w:rsid w:val="00414CFA"/>
    <w:rsid w:val="00415EC0"/>
    <w:rsid w:val="00420BE9"/>
    <w:rsid w:val="00420CB7"/>
    <w:rsid w:val="00423AD8"/>
    <w:rsid w:val="00423D9E"/>
    <w:rsid w:val="00423FDD"/>
    <w:rsid w:val="00424C85"/>
    <w:rsid w:val="00425A1F"/>
    <w:rsid w:val="004260BD"/>
    <w:rsid w:val="00426E3E"/>
    <w:rsid w:val="00427B64"/>
    <w:rsid w:val="0043012F"/>
    <w:rsid w:val="00430F1F"/>
    <w:rsid w:val="00432109"/>
    <w:rsid w:val="004326EA"/>
    <w:rsid w:val="00432BAE"/>
    <w:rsid w:val="004341DE"/>
    <w:rsid w:val="0043427F"/>
    <w:rsid w:val="00434CF9"/>
    <w:rsid w:val="004412A2"/>
    <w:rsid w:val="0044434C"/>
    <w:rsid w:val="0044456B"/>
    <w:rsid w:val="00444D0D"/>
    <w:rsid w:val="00445CAE"/>
    <w:rsid w:val="00447BD1"/>
    <w:rsid w:val="00450330"/>
    <w:rsid w:val="004507F3"/>
    <w:rsid w:val="00450AF4"/>
    <w:rsid w:val="0045439A"/>
    <w:rsid w:val="00454F54"/>
    <w:rsid w:val="0045690B"/>
    <w:rsid w:val="00456A57"/>
    <w:rsid w:val="00456ABA"/>
    <w:rsid w:val="00456FF9"/>
    <w:rsid w:val="00457748"/>
    <w:rsid w:val="00457F33"/>
    <w:rsid w:val="00460377"/>
    <w:rsid w:val="004607DE"/>
    <w:rsid w:val="0046151E"/>
    <w:rsid w:val="00461D99"/>
    <w:rsid w:val="00463343"/>
    <w:rsid w:val="004671C7"/>
    <w:rsid w:val="004678CA"/>
    <w:rsid w:val="004706F1"/>
    <w:rsid w:val="00470BA9"/>
    <w:rsid w:val="00472F4D"/>
    <w:rsid w:val="004730BF"/>
    <w:rsid w:val="00473B6C"/>
    <w:rsid w:val="00474387"/>
    <w:rsid w:val="00474DCB"/>
    <w:rsid w:val="0047535C"/>
    <w:rsid w:val="004756B7"/>
    <w:rsid w:val="00475ED2"/>
    <w:rsid w:val="004762F6"/>
    <w:rsid w:val="00481A32"/>
    <w:rsid w:val="00485870"/>
    <w:rsid w:val="00485FE8"/>
    <w:rsid w:val="00490681"/>
    <w:rsid w:val="00492473"/>
    <w:rsid w:val="00492EB5"/>
    <w:rsid w:val="004945F7"/>
    <w:rsid w:val="00494F77"/>
    <w:rsid w:val="0049649E"/>
    <w:rsid w:val="00497721"/>
    <w:rsid w:val="004A0069"/>
    <w:rsid w:val="004A0229"/>
    <w:rsid w:val="004A2DCB"/>
    <w:rsid w:val="004A35D2"/>
    <w:rsid w:val="004A5D8E"/>
    <w:rsid w:val="004A71E4"/>
    <w:rsid w:val="004B2F00"/>
    <w:rsid w:val="004B667A"/>
    <w:rsid w:val="004B6E31"/>
    <w:rsid w:val="004C188A"/>
    <w:rsid w:val="004C1D66"/>
    <w:rsid w:val="004C20E8"/>
    <w:rsid w:val="004C31D7"/>
    <w:rsid w:val="004C4AD2"/>
    <w:rsid w:val="004C52AA"/>
    <w:rsid w:val="004C5791"/>
    <w:rsid w:val="004C6981"/>
    <w:rsid w:val="004D0526"/>
    <w:rsid w:val="004D1F21"/>
    <w:rsid w:val="004D2003"/>
    <w:rsid w:val="004D268C"/>
    <w:rsid w:val="004D59D8"/>
    <w:rsid w:val="004D5DA1"/>
    <w:rsid w:val="004D5DAC"/>
    <w:rsid w:val="004D7910"/>
    <w:rsid w:val="004E150F"/>
    <w:rsid w:val="004E1DCA"/>
    <w:rsid w:val="004E23A1"/>
    <w:rsid w:val="004E3489"/>
    <w:rsid w:val="004E358A"/>
    <w:rsid w:val="004E3AFA"/>
    <w:rsid w:val="004E47A4"/>
    <w:rsid w:val="004E6588"/>
    <w:rsid w:val="004F070B"/>
    <w:rsid w:val="004F2528"/>
    <w:rsid w:val="004F2650"/>
    <w:rsid w:val="004F2742"/>
    <w:rsid w:val="0050022D"/>
    <w:rsid w:val="00502A0A"/>
    <w:rsid w:val="00503AF6"/>
    <w:rsid w:val="00504B84"/>
    <w:rsid w:val="00505B24"/>
    <w:rsid w:val="005068D8"/>
    <w:rsid w:val="00507353"/>
    <w:rsid w:val="00507C50"/>
    <w:rsid w:val="00510283"/>
    <w:rsid w:val="00510C4B"/>
    <w:rsid w:val="0051333F"/>
    <w:rsid w:val="0051448B"/>
    <w:rsid w:val="005146A7"/>
    <w:rsid w:val="005147C8"/>
    <w:rsid w:val="00514D40"/>
    <w:rsid w:val="00517C3A"/>
    <w:rsid w:val="005246DB"/>
    <w:rsid w:val="005254AA"/>
    <w:rsid w:val="00527BF4"/>
    <w:rsid w:val="005324BE"/>
    <w:rsid w:val="005337FD"/>
    <w:rsid w:val="00534F6C"/>
    <w:rsid w:val="00535994"/>
    <w:rsid w:val="0053646D"/>
    <w:rsid w:val="00536D67"/>
    <w:rsid w:val="00540AAD"/>
    <w:rsid w:val="00542CA3"/>
    <w:rsid w:val="00542FEB"/>
    <w:rsid w:val="00543239"/>
    <w:rsid w:val="00543EC1"/>
    <w:rsid w:val="00546458"/>
    <w:rsid w:val="00550486"/>
    <w:rsid w:val="0055087C"/>
    <w:rsid w:val="0055257D"/>
    <w:rsid w:val="00553413"/>
    <w:rsid w:val="00553706"/>
    <w:rsid w:val="005539F5"/>
    <w:rsid w:val="00555218"/>
    <w:rsid w:val="00555703"/>
    <w:rsid w:val="00555983"/>
    <w:rsid w:val="00560E31"/>
    <w:rsid w:val="00561B05"/>
    <w:rsid w:val="00561BDA"/>
    <w:rsid w:val="00567DBF"/>
    <w:rsid w:val="005729DE"/>
    <w:rsid w:val="005750BB"/>
    <w:rsid w:val="00577524"/>
    <w:rsid w:val="00581369"/>
    <w:rsid w:val="005814F5"/>
    <w:rsid w:val="00581B23"/>
    <w:rsid w:val="0058219C"/>
    <w:rsid w:val="00582BE2"/>
    <w:rsid w:val="005844D8"/>
    <w:rsid w:val="00584C8D"/>
    <w:rsid w:val="00587026"/>
    <w:rsid w:val="0058707F"/>
    <w:rsid w:val="0059007D"/>
    <w:rsid w:val="005907F8"/>
    <w:rsid w:val="00591DBD"/>
    <w:rsid w:val="00591FA0"/>
    <w:rsid w:val="005931FE"/>
    <w:rsid w:val="00593B00"/>
    <w:rsid w:val="00594BFB"/>
    <w:rsid w:val="00595538"/>
    <w:rsid w:val="00595BA5"/>
    <w:rsid w:val="005A0028"/>
    <w:rsid w:val="005A0ACC"/>
    <w:rsid w:val="005A0F9F"/>
    <w:rsid w:val="005A2527"/>
    <w:rsid w:val="005A2F7A"/>
    <w:rsid w:val="005B0072"/>
    <w:rsid w:val="005B0732"/>
    <w:rsid w:val="005B0C2F"/>
    <w:rsid w:val="005B1D72"/>
    <w:rsid w:val="005B38A0"/>
    <w:rsid w:val="005B491C"/>
    <w:rsid w:val="005B4DBF"/>
    <w:rsid w:val="005B5197"/>
    <w:rsid w:val="005B5DE2"/>
    <w:rsid w:val="005B674C"/>
    <w:rsid w:val="005B79CB"/>
    <w:rsid w:val="005C0207"/>
    <w:rsid w:val="005C24F2"/>
    <w:rsid w:val="005C2C89"/>
    <w:rsid w:val="005C42A4"/>
    <w:rsid w:val="005C6282"/>
    <w:rsid w:val="005C7561"/>
    <w:rsid w:val="005D1335"/>
    <w:rsid w:val="005D147B"/>
    <w:rsid w:val="005D1E57"/>
    <w:rsid w:val="005D1F43"/>
    <w:rsid w:val="005D2F57"/>
    <w:rsid w:val="005D34F6"/>
    <w:rsid w:val="005D4433"/>
    <w:rsid w:val="005D4F1A"/>
    <w:rsid w:val="005D6AC7"/>
    <w:rsid w:val="005D709C"/>
    <w:rsid w:val="005E0DB0"/>
    <w:rsid w:val="005E1884"/>
    <w:rsid w:val="005E6895"/>
    <w:rsid w:val="005E7B3E"/>
    <w:rsid w:val="005F0B27"/>
    <w:rsid w:val="005F2E80"/>
    <w:rsid w:val="005F3197"/>
    <w:rsid w:val="005F373A"/>
    <w:rsid w:val="005F3847"/>
    <w:rsid w:val="005F4DBD"/>
    <w:rsid w:val="005F4F87"/>
    <w:rsid w:val="005F5504"/>
    <w:rsid w:val="005F57C6"/>
    <w:rsid w:val="005F6473"/>
    <w:rsid w:val="005F6B0E"/>
    <w:rsid w:val="005F760E"/>
    <w:rsid w:val="005F7B1D"/>
    <w:rsid w:val="0060222A"/>
    <w:rsid w:val="00606327"/>
    <w:rsid w:val="006070C4"/>
    <w:rsid w:val="00607421"/>
    <w:rsid w:val="0060764E"/>
    <w:rsid w:val="006108DF"/>
    <w:rsid w:val="00610C21"/>
    <w:rsid w:val="00611907"/>
    <w:rsid w:val="00611B36"/>
    <w:rsid w:val="00613116"/>
    <w:rsid w:val="006131C2"/>
    <w:rsid w:val="006202A6"/>
    <w:rsid w:val="0062054B"/>
    <w:rsid w:val="0062072C"/>
    <w:rsid w:val="00620926"/>
    <w:rsid w:val="00621C4E"/>
    <w:rsid w:val="00623249"/>
    <w:rsid w:val="00623532"/>
    <w:rsid w:val="0062466D"/>
    <w:rsid w:val="00624C2B"/>
    <w:rsid w:val="00624EAE"/>
    <w:rsid w:val="0063048B"/>
    <w:rsid w:val="006305D7"/>
    <w:rsid w:val="00630FEC"/>
    <w:rsid w:val="00631ECA"/>
    <w:rsid w:val="00632090"/>
    <w:rsid w:val="00632F63"/>
    <w:rsid w:val="00633A01"/>
    <w:rsid w:val="00633B97"/>
    <w:rsid w:val="006341F7"/>
    <w:rsid w:val="00634585"/>
    <w:rsid w:val="00635014"/>
    <w:rsid w:val="00636195"/>
    <w:rsid w:val="006369CE"/>
    <w:rsid w:val="006372CD"/>
    <w:rsid w:val="00637FAD"/>
    <w:rsid w:val="006409E1"/>
    <w:rsid w:val="00640A4B"/>
    <w:rsid w:val="006411CA"/>
    <w:rsid w:val="006426EA"/>
    <w:rsid w:val="00642FEB"/>
    <w:rsid w:val="006450C9"/>
    <w:rsid w:val="0064605E"/>
    <w:rsid w:val="006476FF"/>
    <w:rsid w:val="00651875"/>
    <w:rsid w:val="00657BC4"/>
    <w:rsid w:val="006619C8"/>
    <w:rsid w:val="00661E3D"/>
    <w:rsid w:val="0066239A"/>
    <w:rsid w:val="00671710"/>
    <w:rsid w:val="00673414"/>
    <w:rsid w:val="00673888"/>
    <w:rsid w:val="0067464C"/>
    <w:rsid w:val="00676079"/>
    <w:rsid w:val="00676E10"/>
    <w:rsid w:val="00676ECD"/>
    <w:rsid w:val="006770CD"/>
    <w:rsid w:val="00677843"/>
    <w:rsid w:val="00677B47"/>
    <w:rsid w:val="00677D0A"/>
    <w:rsid w:val="00680E7D"/>
    <w:rsid w:val="0068185F"/>
    <w:rsid w:val="00682971"/>
    <w:rsid w:val="00684194"/>
    <w:rsid w:val="00690075"/>
    <w:rsid w:val="00691B66"/>
    <w:rsid w:val="006933C6"/>
    <w:rsid w:val="00694A31"/>
    <w:rsid w:val="006952C3"/>
    <w:rsid w:val="006952D0"/>
    <w:rsid w:val="00695B47"/>
    <w:rsid w:val="006A01CF"/>
    <w:rsid w:val="006A356B"/>
    <w:rsid w:val="006A5D20"/>
    <w:rsid w:val="006A5DFF"/>
    <w:rsid w:val="006A60DD"/>
    <w:rsid w:val="006A7F3C"/>
    <w:rsid w:val="006B0679"/>
    <w:rsid w:val="006B074C"/>
    <w:rsid w:val="006B3226"/>
    <w:rsid w:val="006B3B84"/>
    <w:rsid w:val="006B4E7C"/>
    <w:rsid w:val="006B5C42"/>
    <w:rsid w:val="006B5D8C"/>
    <w:rsid w:val="006B72D4"/>
    <w:rsid w:val="006C11CC"/>
    <w:rsid w:val="006C1AEB"/>
    <w:rsid w:val="006C1D90"/>
    <w:rsid w:val="006C3386"/>
    <w:rsid w:val="006C37C6"/>
    <w:rsid w:val="006C432B"/>
    <w:rsid w:val="006C57FE"/>
    <w:rsid w:val="006C668E"/>
    <w:rsid w:val="006C6AAE"/>
    <w:rsid w:val="006D18A3"/>
    <w:rsid w:val="006D2DA0"/>
    <w:rsid w:val="006D2ED2"/>
    <w:rsid w:val="006E4B63"/>
    <w:rsid w:val="006E580B"/>
    <w:rsid w:val="006E6AC9"/>
    <w:rsid w:val="006E7F19"/>
    <w:rsid w:val="006F06E4"/>
    <w:rsid w:val="006F0F84"/>
    <w:rsid w:val="006F2374"/>
    <w:rsid w:val="006F2F02"/>
    <w:rsid w:val="006F65AC"/>
    <w:rsid w:val="006F7B41"/>
    <w:rsid w:val="00702B5D"/>
    <w:rsid w:val="00703ED2"/>
    <w:rsid w:val="00706E68"/>
    <w:rsid w:val="00706EDE"/>
    <w:rsid w:val="00707B8D"/>
    <w:rsid w:val="00707E2C"/>
    <w:rsid w:val="00711DF8"/>
    <w:rsid w:val="00713636"/>
    <w:rsid w:val="007142CA"/>
    <w:rsid w:val="00714B8C"/>
    <w:rsid w:val="0071675D"/>
    <w:rsid w:val="00717736"/>
    <w:rsid w:val="007213CE"/>
    <w:rsid w:val="0072322E"/>
    <w:rsid w:val="00723460"/>
    <w:rsid w:val="00723DC7"/>
    <w:rsid w:val="007273A1"/>
    <w:rsid w:val="0072750A"/>
    <w:rsid w:val="00727994"/>
    <w:rsid w:val="00730C28"/>
    <w:rsid w:val="00730D13"/>
    <w:rsid w:val="007310A0"/>
    <w:rsid w:val="007325B4"/>
    <w:rsid w:val="007325E6"/>
    <w:rsid w:val="00732B47"/>
    <w:rsid w:val="00735081"/>
    <w:rsid w:val="00735CF5"/>
    <w:rsid w:val="00740185"/>
    <w:rsid w:val="007402D4"/>
    <w:rsid w:val="0074063A"/>
    <w:rsid w:val="00742651"/>
    <w:rsid w:val="00742AA4"/>
    <w:rsid w:val="00743BA1"/>
    <w:rsid w:val="00743CEE"/>
    <w:rsid w:val="00745F1E"/>
    <w:rsid w:val="007515FE"/>
    <w:rsid w:val="00752A82"/>
    <w:rsid w:val="0075539D"/>
    <w:rsid w:val="00755F15"/>
    <w:rsid w:val="007601D0"/>
    <w:rsid w:val="007603BB"/>
    <w:rsid w:val="0076109D"/>
    <w:rsid w:val="007624EB"/>
    <w:rsid w:val="00767107"/>
    <w:rsid w:val="007716FE"/>
    <w:rsid w:val="00771E84"/>
    <w:rsid w:val="00772281"/>
    <w:rsid w:val="00773617"/>
    <w:rsid w:val="00773BFD"/>
    <w:rsid w:val="007741FB"/>
    <w:rsid w:val="007743B3"/>
    <w:rsid w:val="00774490"/>
    <w:rsid w:val="007752F2"/>
    <w:rsid w:val="0077581E"/>
    <w:rsid w:val="00776BD6"/>
    <w:rsid w:val="00780C39"/>
    <w:rsid w:val="007819FF"/>
    <w:rsid w:val="00781B69"/>
    <w:rsid w:val="00781D96"/>
    <w:rsid w:val="0078360C"/>
    <w:rsid w:val="00784A4C"/>
    <w:rsid w:val="00784BC6"/>
    <w:rsid w:val="0078523D"/>
    <w:rsid w:val="007853F5"/>
    <w:rsid w:val="00785E8B"/>
    <w:rsid w:val="00790E81"/>
    <w:rsid w:val="00791564"/>
    <w:rsid w:val="00791575"/>
    <w:rsid w:val="007931DF"/>
    <w:rsid w:val="00793A5C"/>
    <w:rsid w:val="00795214"/>
    <w:rsid w:val="007A0172"/>
    <w:rsid w:val="007A1804"/>
    <w:rsid w:val="007A215A"/>
    <w:rsid w:val="007A2511"/>
    <w:rsid w:val="007A260E"/>
    <w:rsid w:val="007A2946"/>
    <w:rsid w:val="007A320B"/>
    <w:rsid w:val="007A44B6"/>
    <w:rsid w:val="007A4D4C"/>
    <w:rsid w:val="007A4DD6"/>
    <w:rsid w:val="007A5CB9"/>
    <w:rsid w:val="007A656D"/>
    <w:rsid w:val="007A7D8D"/>
    <w:rsid w:val="007B1948"/>
    <w:rsid w:val="007B20AE"/>
    <w:rsid w:val="007B214B"/>
    <w:rsid w:val="007B6B07"/>
    <w:rsid w:val="007B6D43"/>
    <w:rsid w:val="007B73C2"/>
    <w:rsid w:val="007B749A"/>
    <w:rsid w:val="007B7C6E"/>
    <w:rsid w:val="007C603A"/>
    <w:rsid w:val="007C617E"/>
    <w:rsid w:val="007C6EC9"/>
    <w:rsid w:val="007C7C28"/>
    <w:rsid w:val="007D44D7"/>
    <w:rsid w:val="007D621A"/>
    <w:rsid w:val="007E058A"/>
    <w:rsid w:val="007E0895"/>
    <w:rsid w:val="007E1FD8"/>
    <w:rsid w:val="007E2887"/>
    <w:rsid w:val="007E3072"/>
    <w:rsid w:val="007E5278"/>
    <w:rsid w:val="007E5319"/>
    <w:rsid w:val="007E749C"/>
    <w:rsid w:val="007E7A2F"/>
    <w:rsid w:val="007E7CBD"/>
    <w:rsid w:val="007E7DFD"/>
    <w:rsid w:val="007F1001"/>
    <w:rsid w:val="007F1B5C"/>
    <w:rsid w:val="007F4DB0"/>
    <w:rsid w:val="00801257"/>
    <w:rsid w:val="008026B1"/>
    <w:rsid w:val="00802FD7"/>
    <w:rsid w:val="00803B0A"/>
    <w:rsid w:val="00804B23"/>
    <w:rsid w:val="00804DED"/>
    <w:rsid w:val="00805B96"/>
    <w:rsid w:val="00807543"/>
    <w:rsid w:val="008105BE"/>
    <w:rsid w:val="008111AE"/>
    <w:rsid w:val="008115A5"/>
    <w:rsid w:val="00811D46"/>
    <w:rsid w:val="0081415D"/>
    <w:rsid w:val="00814E01"/>
    <w:rsid w:val="008161CD"/>
    <w:rsid w:val="00816C3B"/>
    <w:rsid w:val="00817D0D"/>
    <w:rsid w:val="00820229"/>
    <w:rsid w:val="00821E9F"/>
    <w:rsid w:val="0082238D"/>
    <w:rsid w:val="00822448"/>
    <w:rsid w:val="00822ABE"/>
    <w:rsid w:val="00823031"/>
    <w:rsid w:val="008244D1"/>
    <w:rsid w:val="00824EC0"/>
    <w:rsid w:val="00826BD2"/>
    <w:rsid w:val="00827135"/>
    <w:rsid w:val="00827F51"/>
    <w:rsid w:val="0083104E"/>
    <w:rsid w:val="00831173"/>
    <w:rsid w:val="0083301E"/>
    <w:rsid w:val="008340DE"/>
    <w:rsid w:val="008343BE"/>
    <w:rsid w:val="00836535"/>
    <w:rsid w:val="00836554"/>
    <w:rsid w:val="00840D69"/>
    <w:rsid w:val="00840FB4"/>
    <w:rsid w:val="008410B2"/>
    <w:rsid w:val="00841780"/>
    <w:rsid w:val="00843D72"/>
    <w:rsid w:val="008457FB"/>
    <w:rsid w:val="00845D95"/>
    <w:rsid w:val="008500A0"/>
    <w:rsid w:val="008507AC"/>
    <w:rsid w:val="008513A4"/>
    <w:rsid w:val="008524E5"/>
    <w:rsid w:val="00852ACF"/>
    <w:rsid w:val="00852BCA"/>
    <w:rsid w:val="0085351C"/>
    <w:rsid w:val="0085435A"/>
    <w:rsid w:val="008549CA"/>
    <w:rsid w:val="008556C3"/>
    <w:rsid w:val="00855BA0"/>
    <w:rsid w:val="008565C2"/>
    <w:rsid w:val="0085687C"/>
    <w:rsid w:val="008611C1"/>
    <w:rsid w:val="00864F05"/>
    <w:rsid w:val="008706C5"/>
    <w:rsid w:val="00873707"/>
    <w:rsid w:val="00874055"/>
    <w:rsid w:val="00874B20"/>
    <w:rsid w:val="008757C6"/>
    <w:rsid w:val="00875EEA"/>
    <w:rsid w:val="008763E1"/>
    <w:rsid w:val="0087775C"/>
    <w:rsid w:val="00877BF8"/>
    <w:rsid w:val="00877EC8"/>
    <w:rsid w:val="00880F36"/>
    <w:rsid w:val="00881453"/>
    <w:rsid w:val="00884AF5"/>
    <w:rsid w:val="00885530"/>
    <w:rsid w:val="00887BC8"/>
    <w:rsid w:val="008910D1"/>
    <w:rsid w:val="0089296C"/>
    <w:rsid w:val="008958AA"/>
    <w:rsid w:val="00896ABD"/>
    <w:rsid w:val="00897AB6"/>
    <w:rsid w:val="00897DA8"/>
    <w:rsid w:val="008A1BC4"/>
    <w:rsid w:val="008A3380"/>
    <w:rsid w:val="008A3517"/>
    <w:rsid w:val="008A3BB7"/>
    <w:rsid w:val="008A7A9C"/>
    <w:rsid w:val="008A7B88"/>
    <w:rsid w:val="008B2EE3"/>
    <w:rsid w:val="008B35E2"/>
    <w:rsid w:val="008B482D"/>
    <w:rsid w:val="008B4E26"/>
    <w:rsid w:val="008B5218"/>
    <w:rsid w:val="008B7102"/>
    <w:rsid w:val="008C3B7D"/>
    <w:rsid w:val="008C3D2D"/>
    <w:rsid w:val="008C69FC"/>
    <w:rsid w:val="008D0F90"/>
    <w:rsid w:val="008D1149"/>
    <w:rsid w:val="008D16E6"/>
    <w:rsid w:val="008D3715"/>
    <w:rsid w:val="008D468C"/>
    <w:rsid w:val="008D52FD"/>
    <w:rsid w:val="008D5465"/>
    <w:rsid w:val="008D5E61"/>
    <w:rsid w:val="008D6142"/>
    <w:rsid w:val="008D694A"/>
    <w:rsid w:val="008D6B14"/>
    <w:rsid w:val="008D7EB7"/>
    <w:rsid w:val="008D7EC5"/>
    <w:rsid w:val="008E1501"/>
    <w:rsid w:val="008E3684"/>
    <w:rsid w:val="008E46E8"/>
    <w:rsid w:val="008E57CF"/>
    <w:rsid w:val="008E57F5"/>
    <w:rsid w:val="008E7191"/>
    <w:rsid w:val="008E7606"/>
    <w:rsid w:val="008F1DAA"/>
    <w:rsid w:val="008F3EBD"/>
    <w:rsid w:val="008F4010"/>
    <w:rsid w:val="008F4285"/>
    <w:rsid w:val="008F60B2"/>
    <w:rsid w:val="008F6EBB"/>
    <w:rsid w:val="008F7C41"/>
    <w:rsid w:val="00900B89"/>
    <w:rsid w:val="00901C70"/>
    <w:rsid w:val="009031E2"/>
    <w:rsid w:val="009045AF"/>
    <w:rsid w:val="0091023B"/>
    <w:rsid w:val="0091276C"/>
    <w:rsid w:val="00914507"/>
    <w:rsid w:val="009145BE"/>
    <w:rsid w:val="009165AC"/>
    <w:rsid w:val="00916FFC"/>
    <w:rsid w:val="0092053F"/>
    <w:rsid w:val="00922C00"/>
    <w:rsid w:val="0092340A"/>
    <w:rsid w:val="0092497F"/>
    <w:rsid w:val="00926F79"/>
    <w:rsid w:val="00927344"/>
    <w:rsid w:val="00927525"/>
    <w:rsid w:val="009313D9"/>
    <w:rsid w:val="00932AEC"/>
    <w:rsid w:val="00933A28"/>
    <w:rsid w:val="00935B7F"/>
    <w:rsid w:val="00940036"/>
    <w:rsid w:val="00941293"/>
    <w:rsid w:val="00943CB0"/>
    <w:rsid w:val="009458FE"/>
    <w:rsid w:val="00946372"/>
    <w:rsid w:val="00947054"/>
    <w:rsid w:val="0095032B"/>
    <w:rsid w:val="00950B13"/>
    <w:rsid w:val="00950C17"/>
    <w:rsid w:val="00951C82"/>
    <w:rsid w:val="00951FAF"/>
    <w:rsid w:val="009523A6"/>
    <w:rsid w:val="00954740"/>
    <w:rsid w:val="009557BC"/>
    <w:rsid w:val="00955AE5"/>
    <w:rsid w:val="00960828"/>
    <w:rsid w:val="00962E71"/>
    <w:rsid w:val="00963ABC"/>
    <w:rsid w:val="00965C37"/>
    <w:rsid w:val="00965CD3"/>
    <w:rsid w:val="00965D21"/>
    <w:rsid w:val="00967764"/>
    <w:rsid w:val="00970B0E"/>
    <w:rsid w:val="00970BB9"/>
    <w:rsid w:val="0097204C"/>
    <w:rsid w:val="009726EE"/>
    <w:rsid w:val="00972CDE"/>
    <w:rsid w:val="009733DD"/>
    <w:rsid w:val="00975467"/>
    <w:rsid w:val="00975573"/>
    <w:rsid w:val="00976D03"/>
    <w:rsid w:val="00977B30"/>
    <w:rsid w:val="00980DFD"/>
    <w:rsid w:val="00981AEE"/>
    <w:rsid w:val="00982F41"/>
    <w:rsid w:val="00984AEA"/>
    <w:rsid w:val="00985090"/>
    <w:rsid w:val="00985EAF"/>
    <w:rsid w:val="00987710"/>
    <w:rsid w:val="009904AB"/>
    <w:rsid w:val="009952A6"/>
    <w:rsid w:val="00995688"/>
    <w:rsid w:val="009958A6"/>
    <w:rsid w:val="0099611B"/>
    <w:rsid w:val="00996456"/>
    <w:rsid w:val="009968DC"/>
    <w:rsid w:val="00997A8C"/>
    <w:rsid w:val="009A04F5"/>
    <w:rsid w:val="009A0925"/>
    <w:rsid w:val="009A15EF"/>
    <w:rsid w:val="009A2E70"/>
    <w:rsid w:val="009A310D"/>
    <w:rsid w:val="009A34F8"/>
    <w:rsid w:val="009A38A5"/>
    <w:rsid w:val="009A587B"/>
    <w:rsid w:val="009A5B73"/>
    <w:rsid w:val="009A7997"/>
    <w:rsid w:val="009B118B"/>
    <w:rsid w:val="009B1737"/>
    <w:rsid w:val="009B3D4B"/>
    <w:rsid w:val="009B3E19"/>
    <w:rsid w:val="009B4E63"/>
    <w:rsid w:val="009B5312"/>
    <w:rsid w:val="009B5B99"/>
    <w:rsid w:val="009B5E59"/>
    <w:rsid w:val="009B6EFC"/>
    <w:rsid w:val="009C0236"/>
    <w:rsid w:val="009C1FD0"/>
    <w:rsid w:val="009C2DF8"/>
    <w:rsid w:val="009C2EC2"/>
    <w:rsid w:val="009C31BF"/>
    <w:rsid w:val="009C68B7"/>
    <w:rsid w:val="009C7E60"/>
    <w:rsid w:val="009D01B5"/>
    <w:rsid w:val="009D0834"/>
    <w:rsid w:val="009D095A"/>
    <w:rsid w:val="009D0A1E"/>
    <w:rsid w:val="009D0A29"/>
    <w:rsid w:val="009D0C2E"/>
    <w:rsid w:val="009D2635"/>
    <w:rsid w:val="009D2852"/>
    <w:rsid w:val="009D2AE3"/>
    <w:rsid w:val="009D52BC"/>
    <w:rsid w:val="009D7D0A"/>
    <w:rsid w:val="009E0165"/>
    <w:rsid w:val="009E09D9"/>
    <w:rsid w:val="009E3EBA"/>
    <w:rsid w:val="009E5512"/>
    <w:rsid w:val="009E7D3D"/>
    <w:rsid w:val="009F01B1"/>
    <w:rsid w:val="009F0DBB"/>
    <w:rsid w:val="009F2B0C"/>
    <w:rsid w:val="009F30E0"/>
    <w:rsid w:val="009F3887"/>
    <w:rsid w:val="009F40DC"/>
    <w:rsid w:val="009F52B5"/>
    <w:rsid w:val="009F5B1F"/>
    <w:rsid w:val="009F659A"/>
    <w:rsid w:val="009F732B"/>
    <w:rsid w:val="00A01EC2"/>
    <w:rsid w:val="00A01FE0"/>
    <w:rsid w:val="00A02349"/>
    <w:rsid w:val="00A0585C"/>
    <w:rsid w:val="00A06945"/>
    <w:rsid w:val="00A07D27"/>
    <w:rsid w:val="00A10656"/>
    <w:rsid w:val="00A10689"/>
    <w:rsid w:val="00A113C0"/>
    <w:rsid w:val="00A12FA6"/>
    <w:rsid w:val="00A1339B"/>
    <w:rsid w:val="00A1341D"/>
    <w:rsid w:val="00A14ABA"/>
    <w:rsid w:val="00A1639C"/>
    <w:rsid w:val="00A205AE"/>
    <w:rsid w:val="00A210BC"/>
    <w:rsid w:val="00A212E0"/>
    <w:rsid w:val="00A244DF"/>
    <w:rsid w:val="00A24CB6"/>
    <w:rsid w:val="00A25865"/>
    <w:rsid w:val="00A26635"/>
    <w:rsid w:val="00A26CD2"/>
    <w:rsid w:val="00A2714B"/>
    <w:rsid w:val="00A27667"/>
    <w:rsid w:val="00A27B49"/>
    <w:rsid w:val="00A3213D"/>
    <w:rsid w:val="00A32979"/>
    <w:rsid w:val="00A34A09"/>
    <w:rsid w:val="00A34A67"/>
    <w:rsid w:val="00A3719A"/>
    <w:rsid w:val="00A37228"/>
    <w:rsid w:val="00A37462"/>
    <w:rsid w:val="00A415BE"/>
    <w:rsid w:val="00A425DF"/>
    <w:rsid w:val="00A44219"/>
    <w:rsid w:val="00A4491B"/>
    <w:rsid w:val="00A459E1"/>
    <w:rsid w:val="00A45B24"/>
    <w:rsid w:val="00A46427"/>
    <w:rsid w:val="00A46AC4"/>
    <w:rsid w:val="00A478A5"/>
    <w:rsid w:val="00A52296"/>
    <w:rsid w:val="00A53BCB"/>
    <w:rsid w:val="00A55661"/>
    <w:rsid w:val="00A60284"/>
    <w:rsid w:val="00A61B70"/>
    <w:rsid w:val="00A61FA8"/>
    <w:rsid w:val="00A637F4"/>
    <w:rsid w:val="00A64DF2"/>
    <w:rsid w:val="00A65485"/>
    <w:rsid w:val="00A66E05"/>
    <w:rsid w:val="00A67428"/>
    <w:rsid w:val="00A67655"/>
    <w:rsid w:val="00A6778B"/>
    <w:rsid w:val="00A70753"/>
    <w:rsid w:val="00A712D2"/>
    <w:rsid w:val="00A71B4D"/>
    <w:rsid w:val="00A76CCB"/>
    <w:rsid w:val="00A76EAC"/>
    <w:rsid w:val="00A773F3"/>
    <w:rsid w:val="00A7799D"/>
    <w:rsid w:val="00A81B48"/>
    <w:rsid w:val="00A82C8A"/>
    <w:rsid w:val="00A8346B"/>
    <w:rsid w:val="00A8420B"/>
    <w:rsid w:val="00A847B2"/>
    <w:rsid w:val="00A84C81"/>
    <w:rsid w:val="00A852FF"/>
    <w:rsid w:val="00A8668D"/>
    <w:rsid w:val="00A869DE"/>
    <w:rsid w:val="00A87337"/>
    <w:rsid w:val="00A90C97"/>
    <w:rsid w:val="00A92476"/>
    <w:rsid w:val="00A92DDC"/>
    <w:rsid w:val="00A945AA"/>
    <w:rsid w:val="00A94F17"/>
    <w:rsid w:val="00A960C8"/>
    <w:rsid w:val="00A96604"/>
    <w:rsid w:val="00AA03DF"/>
    <w:rsid w:val="00AA0BA5"/>
    <w:rsid w:val="00AA1B4F"/>
    <w:rsid w:val="00AA2153"/>
    <w:rsid w:val="00AA21D8"/>
    <w:rsid w:val="00AA271A"/>
    <w:rsid w:val="00AA3270"/>
    <w:rsid w:val="00AA375A"/>
    <w:rsid w:val="00AA3F71"/>
    <w:rsid w:val="00AA54F3"/>
    <w:rsid w:val="00AA6B43"/>
    <w:rsid w:val="00AA720D"/>
    <w:rsid w:val="00AA7B1F"/>
    <w:rsid w:val="00AA7E3E"/>
    <w:rsid w:val="00AB0CBF"/>
    <w:rsid w:val="00AB0DAF"/>
    <w:rsid w:val="00AB3145"/>
    <w:rsid w:val="00AB367A"/>
    <w:rsid w:val="00AB7BF8"/>
    <w:rsid w:val="00AB7C0E"/>
    <w:rsid w:val="00AC01D1"/>
    <w:rsid w:val="00AC0AB2"/>
    <w:rsid w:val="00AC0E9F"/>
    <w:rsid w:val="00AC2A5E"/>
    <w:rsid w:val="00AC35EE"/>
    <w:rsid w:val="00AC52A5"/>
    <w:rsid w:val="00AC65D2"/>
    <w:rsid w:val="00AC6EFD"/>
    <w:rsid w:val="00AC7151"/>
    <w:rsid w:val="00AC77D4"/>
    <w:rsid w:val="00AD145C"/>
    <w:rsid w:val="00AD32D1"/>
    <w:rsid w:val="00AD460A"/>
    <w:rsid w:val="00AD54BC"/>
    <w:rsid w:val="00AD6A05"/>
    <w:rsid w:val="00AE0792"/>
    <w:rsid w:val="00AE118B"/>
    <w:rsid w:val="00AE272B"/>
    <w:rsid w:val="00AE2C16"/>
    <w:rsid w:val="00AE3E3A"/>
    <w:rsid w:val="00AE77B4"/>
    <w:rsid w:val="00AE7C1A"/>
    <w:rsid w:val="00AE7DF8"/>
    <w:rsid w:val="00AF0338"/>
    <w:rsid w:val="00AF0D9C"/>
    <w:rsid w:val="00AF13AB"/>
    <w:rsid w:val="00AF1B10"/>
    <w:rsid w:val="00AF1D36"/>
    <w:rsid w:val="00AF280B"/>
    <w:rsid w:val="00AF5F75"/>
    <w:rsid w:val="00AF6001"/>
    <w:rsid w:val="00AF6FA4"/>
    <w:rsid w:val="00B01694"/>
    <w:rsid w:val="00B01A16"/>
    <w:rsid w:val="00B06106"/>
    <w:rsid w:val="00B06273"/>
    <w:rsid w:val="00B0661F"/>
    <w:rsid w:val="00B079FE"/>
    <w:rsid w:val="00B07F45"/>
    <w:rsid w:val="00B1021A"/>
    <w:rsid w:val="00B10271"/>
    <w:rsid w:val="00B140D9"/>
    <w:rsid w:val="00B1481A"/>
    <w:rsid w:val="00B15A1F"/>
    <w:rsid w:val="00B15FE9"/>
    <w:rsid w:val="00B213EA"/>
    <w:rsid w:val="00B2148A"/>
    <w:rsid w:val="00B220C2"/>
    <w:rsid w:val="00B2276E"/>
    <w:rsid w:val="00B23527"/>
    <w:rsid w:val="00B24428"/>
    <w:rsid w:val="00B25B32"/>
    <w:rsid w:val="00B26CBF"/>
    <w:rsid w:val="00B325D7"/>
    <w:rsid w:val="00B32616"/>
    <w:rsid w:val="00B326B0"/>
    <w:rsid w:val="00B33355"/>
    <w:rsid w:val="00B367B8"/>
    <w:rsid w:val="00B36AF0"/>
    <w:rsid w:val="00B36C42"/>
    <w:rsid w:val="00B402CA"/>
    <w:rsid w:val="00B4031B"/>
    <w:rsid w:val="00B42EA7"/>
    <w:rsid w:val="00B45D1D"/>
    <w:rsid w:val="00B47594"/>
    <w:rsid w:val="00B50663"/>
    <w:rsid w:val="00B51845"/>
    <w:rsid w:val="00B51923"/>
    <w:rsid w:val="00B51CDD"/>
    <w:rsid w:val="00B5337C"/>
    <w:rsid w:val="00B53FDE"/>
    <w:rsid w:val="00B56397"/>
    <w:rsid w:val="00B567DC"/>
    <w:rsid w:val="00B56E02"/>
    <w:rsid w:val="00B571DA"/>
    <w:rsid w:val="00B57C2F"/>
    <w:rsid w:val="00B6027B"/>
    <w:rsid w:val="00B60504"/>
    <w:rsid w:val="00B6070F"/>
    <w:rsid w:val="00B60A3E"/>
    <w:rsid w:val="00B60E9F"/>
    <w:rsid w:val="00B636C8"/>
    <w:rsid w:val="00B64573"/>
    <w:rsid w:val="00B65EDB"/>
    <w:rsid w:val="00B66456"/>
    <w:rsid w:val="00B67AFF"/>
    <w:rsid w:val="00B67C41"/>
    <w:rsid w:val="00B70B59"/>
    <w:rsid w:val="00B73657"/>
    <w:rsid w:val="00B739B3"/>
    <w:rsid w:val="00B75379"/>
    <w:rsid w:val="00B75D6D"/>
    <w:rsid w:val="00B81331"/>
    <w:rsid w:val="00B81A4F"/>
    <w:rsid w:val="00B81B15"/>
    <w:rsid w:val="00B83E03"/>
    <w:rsid w:val="00B8413E"/>
    <w:rsid w:val="00B84369"/>
    <w:rsid w:val="00B915AE"/>
    <w:rsid w:val="00B94538"/>
    <w:rsid w:val="00B95629"/>
    <w:rsid w:val="00B96F42"/>
    <w:rsid w:val="00BA1735"/>
    <w:rsid w:val="00BA19FA"/>
    <w:rsid w:val="00BA3910"/>
    <w:rsid w:val="00BA4288"/>
    <w:rsid w:val="00BA64C1"/>
    <w:rsid w:val="00BA6D28"/>
    <w:rsid w:val="00BB0902"/>
    <w:rsid w:val="00BB1F9C"/>
    <w:rsid w:val="00BB48E5"/>
    <w:rsid w:val="00BB4F1E"/>
    <w:rsid w:val="00BB5607"/>
    <w:rsid w:val="00BB5ACA"/>
    <w:rsid w:val="00BB627F"/>
    <w:rsid w:val="00BB6AF1"/>
    <w:rsid w:val="00BC0C17"/>
    <w:rsid w:val="00BC3349"/>
    <w:rsid w:val="00BC3470"/>
    <w:rsid w:val="00BC3823"/>
    <w:rsid w:val="00BC5841"/>
    <w:rsid w:val="00BC5E38"/>
    <w:rsid w:val="00BC609D"/>
    <w:rsid w:val="00BD201A"/>
    <w:rsid w:val="00BD25F1"/>
    <w:rsid w:val="00BD2DC4"/>
    <w:rsid w:val="00BD2EF0"/>
    <w:rsid w:val="00BD34CC"/>
    <w:rsid w:val="00BD60B4"/>
    <w:rsid w:val="00BD712E"/>
    <w:rsid w:val="00BD796B"/>
    <w:rsid w:val="00BE2BB0"/>
    <w:rsid w:val="00BE337F"/>
    <w:rsid w:val="00BE3D4E"/>
    <w:rsid w:val="00BE40C0"/>
    <w:rsid w:val="00BE445C"/>
    <w:rsid w:val="00BE5F4A"/>
    <w:rsid w:val="00BE7A0E"/>
    <w:rsid w:val="00BE7AEF"/>
    <w:rsid w:val="00BF0249"/>
    <w:rsid w:val="00BF09B0"/>
    <w:rsid w:val="00BF135F"/>
    <w:rsid w:val="00BF1544"/>
    <w:rsid w:val="00BF1583"/>
    <w:rsid w:val="00BF1B53"/>
    <w:rsid w:val="00BF246D"/>
    <w:rsid w:val="00BF2682"/>
    <w:rsid w:val="00C007DF"/>
    <w:rsid w:val="00C017FF"/>
    <w:rsid w:val="00C0281B"/>
    <w:rsid w:val="00C02CF1"/>
    <w:rsid w:val="00C051CC"/>
    <w:rsid w:val="00C0576C"/>
    <w:rsid w:val="00C06609"/>
    <w:rsid w:val="00C06789"/>
    <w:rsid w:val="00C06F06"/>
    <w:rsid w:val="00C074BB"/>
    <w:rsid w:val="00C13E9D"/>
    <w:rsid w:val="00C157B2"/>
    <w:rsid w:val="00C17BFF"/>
    <w:rsid w:val="00C20FAD"/>
    <w:rsid w:val="00C2375F"/>
    <w:rsid w:val="00C247CB"/>
    <w:rsid w:val="00C25701"/>
    <w:rsid w:val="00C3057A"/>
    <w:rsid w:val="00C31BA4"/>
    <w:rsid w:val="00C32E66"/>
    <w:rsid w:val="00C332CD"/>
    <w:rsid w:val="00C3355F"/>
    <w:rsid w:val="00C33A04"/>
    <w:rsid w:val="00C34C20"/>
    <w:rsid w:val="00C350ED"/>
    <w:rsid w:val="00C35309"/>
    <w:rsid w:val="00C3569A"/>
    <w:rsid w:val="00C4136F"/>
    <w:rsid w:val="00C42D13"/>
    <w:rsid w:val="00C43F48"/>
    <w:rsid w:val="00C44577"/>
    <w:rsid w:val="00C448FF"/>
    <w:rsid w:val="00C45E57"/>
    <w:rsid w:val="00C475DD"/>
    <w:rsid w:val="00C52F29"/>
    <w:rsid w:val="00C53EBA"/>
    <w:rsid w:val="00C56CE6"/>
    <w:rsid w:val="00C5745F"/>
    <w:rsid w:val="00C60005"/>
    <w:rsid w:val="00C60BFF"/>
    <w:rsid w:val="00C61A98"/>
    <w:rsid w:val="00C63201"/>
    <w:rsid w:val="00C64E62"/>
    <w:rsid w:val="00C651D5"/>
    <w:rsid w:val="00C65CCC"/>
    <w:rsid w:val="00C65DA9"/>
    <w:rsid w:val="00C67C56"/>
    <w:rsid w:val="00C70C30"/>
    <w:rsid w:val="00C7275E"/>
    <w:rsid w:val="00C72A9F"/>
    <w:rsid w:val="00C73F9D"/>
    <w:rsid w:val="00C74220"/>
    <w:rsid w:val="00C74CA7"/>
    <w:rsid w:val="00C7618F"/>
    <w:rsid w:val="00C765A9"/>
    <w:rsid w:val="00C777EA"/>
    <w:rsid w:val="00C80DE8"/>
    <w:rsid w:val="00C81157"/>
    <w:rsid w:val="00C81549"/>
    <w:rsid w:val="00C8162D"/>
    <w:rsid w:val="00C830BB"/>
    <w:rsid w:val="00C83A0B"/>
    <w:rsid w:val="00C842D0"/>
    <w:rsid w:val="00C84ED1"/>
    <w:rsid w:val="00C863CC"/>
    <w:rsid w:val="00C86BCC"/>
    <w:rsid w:val="00C9038F"/>
    <w:rsid w:val="00C92AAB"/>
    <w:rsid w:val="00C95D4C"/>
    <w:rsid w:val="00C9637F"/>
    <w:rsid w:val="00C9708A"/>
    <w:rsid w:val="00C973CA"/>
    <w:rsid w:val="00CA1BD1"/>
    <w:rsid w:val="00CA2435"/>
    <w:rsid w:val="00CA4068"/>
    <w:rsid w:val="00CA593A"/>
    <w:rsid w:val="00CA67F4"/>
    <w:rsid w:val="00CA7BB1"/>
    <w:rsid w:val="00CB20AC"/>
    <w:rsid w:val="00CB37F8"/>
    <w:rsid w:val="00CB4469"/>
    <w:rsid w:val="00CB4E02"/>
    <w:rsid w:val="00CB6267"/>
    <w:rsid w:val="00CB7DC3"/>
    <w:rsid w:val="00CC151E"/>
    <w:rsid w:val="00CC3916"/>
    <w:rsid w:val="00CC59F7"/>
    <w:rsid w:val="00CC5BE1"/>
    <w:rsid w:val="00CC75A2"/>
    <w:rsid w:val="00CC7A18"/>
    <w:rsid w:val="00CD0E2F"/>
    <w:rsid w:val="00CD1D49"/>
    <w:rsid w:val="00CD2F20"/>
    <w:rsid w:val="00CD54C2"/>
    <w:rsid w:val="00CD6B20"/>
    <w:rsid w:val="00CE05C3"/>
    <w:rsid w:val="00CE1339"/>
    <w:rsid w:val="00CE149B"/>
    <w:rsid w:val="00CE3AAE"/>
    <w:rsid w:val="00CE4A5F"/>
    <w:rsid w:val="00CE61CC"/>
    <w:rsid w:val="00CE6E42"/>
    <w:rsid w:val="00CF20B7"/>
    <w:rsid w:val="00CF283B"/>
    <w:rsid w:val="00CF6692"/>
    <w:rsid w:val="00CF7441"/>
    <w:rsid w:val="00CF7481"/>
    <w:rsid w:val="00D00BEB"/>
    <w:rsid w:val="00D00C17"/>
    <w:rsid w:val="00D00D16"/>
    <w:rsid w:val="00D0361C"/>
    <w:rsid w:val="00D03C6C"/>
    <w:rsid w:val="00D04760"/>
    <w:rsid w:val="00D04A95"/>
    <w:rsid w:val="00D04C10"/>
    <w:rsid w:val="00D051BB"/>
    <w:rsid w:val="00D058A5"/>
    <w:rsid w:val="00D06288"/>
    <w:rsid w:val="00D068C7"/>
    <w:rsid w:val="00D128A4"/>
    <w:rsid w:val="00D147C8"/>
    <w:rsid w:val="00D15131"/>
    <w:rsid w:val="00D16FA2"/>
    <w:rsid w:val="00D20954"/>
    <w:rsid w:val="00D21C39"/>
    <w:rsid w:val="00D21FC6"/>
    <w:rsid w:val="00D221A4"/>
    <w:rsid w:val="00D2243A"/>
    <w:rsid w:val="00D236A4"/>
    <w:rsid w:val="00D27328"/>
    <w:rsid w:val="00D30FD7"/>
    <w:rsid w:val="00D314EC"/>
    <w:rsid w:val="00D328D1"/>
    <w:rsid w:val="00D32ABF"/>
    <w:rsid w:val="00D33393"/>
    <w:rsid w:val="00D33D36"/>
    <w:rsid w:val="00D34D94"/>
    <w:rsid w:val="00D370C7"/>
    <w:rsid w:val="00D409E2"/>
    <w:rsid w:val="00D427D7"/>
    <w:rsid w:val="00D433BE"/>
    <w:rsid w:val="00D44E62"/>
    <w:rsid w:val="00D4776A"/>
    <w:rsid w:val="00D47E3A"/>
    <w:rsid w:val="00D50CE2"/>
    <w:rsid w:val="00D51570"/>
    <w:rsid w:val="00D525AE"/>
    <w:rsid w:val="00D542C7"/>
    <w:rsid w:val="00D556AD"/>
    <w:rsid w:val="00D55B89"/>
    <w:rsid w:val="00D60381"/>
    <w:rsid w:val="00D616DE"/>
    <w:rsid w:val="00D62201"/>
    <w:rsid w:val="00D6407B"/>
    <w:rsid w:val="00D64A87"/>
    <w:rsid w:val="00D64D59"/>
    <w:rsid w:val="00D651D1"/>
    <w:rsid w:val="00D65763"/>
    <w:rsid w:val="00D717BB"/>
    <w:rsid w:val="00D71CB9"/>
    <w:rsid w:val="00D7226B"/>
    <w:rsid w:val="00D72707"/>
    <w:rsid w:val="00D72C1B"/>
    <w:rsid w:val="00D74B87"/>
    <w:rsid w:val="00D757BB"/>
    <w:rsid w:val="00D75A9C"/>
    <w:rsid w:val="00D829C8"/>
    <w:rsid w:val="00D82E5C"/>
    <w:rsid w:val="00D85287"/>
    <w:rsid w:val="00D87917"/>
    <w:rsid w:val="00D87F7D"/>
    <w:rsid w:val="00D90871"/>
    <w:rsid w:val="00D91073"/>
    <w:rsid w:val="00D9155F"/>
    <w:rsid w:val="00D92B88"/>
    <w:rsid w:val="00D93623"/>
    <w:rsid w:val="00D9403F"/>
    <w:rsid w:val="00D945F4"/>
    <w:rsid w:val="00D959B4"/>
    <w:rsid w:val="00D96FDF"/>
    <w:rsid w:val="00D97DDF"/>
    <w:rsid w:val="00DA128F"/>
    <w:rsid w:val="00DA2A8B"/>
    <w:rsid w:val="00DA3267"/>
    <w:rsid w:val="00DA44DE"/>
    <w:rsid w:val="00DA750B"/>
    <w:rsid w:val="00DA7BA5"/>
    <w:rsid w:val="00DB620A"/>
    <w:rsid w:val="00DB76BE"/>
    <w:rsid w:val="00DC0EE8"/>
    <w:rsid w:val="00DC1CC8"/>
    <w:rsid w:val="00DC2F18"/>
    <w:rsid w:val="00DC3832"/>
    <w:rsid w:val="00DC48F0"/>
    <w:rsid w:val="00DC4A04"/>
    <w:rsid w:val="00DC554A"/>
    <w:rsid w:val="00DC7757"/>
    <w:rsid w:val="00DC7A51"/>
    <w:rsid w:val="00DD12C2"/>
    <w:rsid w:val="00DD3B1E"/>
    <w:rsid w:val="00DD5B5C"/>
    <w:rsid w:val="00DD7A20"/>
    <w:rsid w:val="00DE06B2"/>
    <w:rsid w:val="00DE1FFB"/>
    <w:rsid w:val="00DE2560"/>
    <w:rsid w:val="00DE5ADC"/>
    <w:rsid w:val="00DE5B5F"/>
    <w:rsid w:val="00DE5B9E"/>
    <w:rsid w:val="00DE7794"/>
    <w:rsid w:val="00DF147C"/>
    <w:rsid w:val="00DF2DE6"/>
    <w:rsid w:val="00DF614E"/>
    <w:rsid w:val="00DF76EC"/>
    <w:rsid w:val="00E00696"/>
    <w:rsid w:val="00E014B8"/>
    <w:rsid w:val="00E028EA"/>
    <w:rsid w:val="00E03651"/>
    <w:rsid w:val="00E03808"/>
    <w:rsid w:val="00E04E85"/>
    <w:rsid w:val="00E05C87"/>
    <w:rsid w:val="00E060C2"/>
    <w:rsid w:val="00E06324"/>
    <w:rsid w:val="00E0776C"/>
    <w:rsid w:val="00E07B81"/>
    <w:rsid w:val="00E10AFD"/>
    <w:rsid w:val="00E11404"/>
    <w:rsid w:val="00E12724"/>
    <w:rsid w:val="00E12B11"/>
    <w:rsid w:val="00E12DC5"/>
    <w:rsid w:val="00E12FB0"/>
    <w:rsid w:val="00E14814"/>
    <w:rsid w:val="00E1591B"/>
    <w:rsid w:val="00E16A50"/>
    <w:rsid w:val="00E20BA0"/>
    <w:rsid w:val="00E20C16"/>
    <w:rsid w:val="00E21E32"/>
    <w:rsid w:val="00E2334E"/>
    <w:rsid w:val="00E234BD"/>
    <w:rsid w:val="00E249D5"/>
    <w:rsid w:val="00E25017"/>
    <w:rsid w:val="00E26F73"/>
    <w:rsid w:val="00E30A34"/>
    <w:rsid w:val="00E317B2"/>
    <w:rsid w:val="00E33C68"/>
    <w:rsid w:val="00E34EEB"/>
    <w:rsid w:val="00E35CF9"/>
    <w:rsid w:val="00E35E29"/>
    <w:rsid w:val="00E35EB4"/>
    <w:rsid w:val="00E3687C"/>
    <w:rsid w:val="00E4247C"/>
    <w:rsid w:val="00E44EB9"/>
    <w:rsid w:val="00E44FD1"/>
    <w:rsid w:val="00E452B7"/>
    <w:rsid w:val="00E45BDC"/>
    <w:rsid w:val="00E460B7"/>
    <w:rsid w:val="00E46358"/>
    <w:rsid w:val="00E46C47"/>
    <w:rsid w:val="00E471DC"/>
    <w:rsid w:val="00E50EB4"/>
    <w:rsid w:val="00E5239B"/>
    <w:rsid w:val="00E532FC"/>
    <w:rsid w:val="00E53713"/>
    <w:rsid w:val="00E559B4"/>
    <w:rsid w:val="00E55BB0"/>
    <w:rsid w:val="00E609E5"/>
    <w:rsid w:val="00E60F27"/>
    <w:rsid w:val="00E6296A"/>
    <w:rsid w:val="00E63617"/>
    <w:rsid w:val="00E64D93"/>
    <w:rsid w:val="00E65EDB"/>
    <w:rsid w:val="00E66927"/>
    <w:rsid w:val="00E677B8"/>
    <w:rsid w:val="00E67E9E"/>
    <w:rsid w:val="00E67FA1"/>
    <w:rsid w:val="00E7115E"/>
    <w:rsid w:val="00E71467"/>
    <w:rsid w:val="00E7387D"/>
    <w:rsid w:val="00E73D53"/>
    <w:rsid w:val="00E75111"/>
    <w:rsid w:val="00E769D1"/>
    <w:rsid w:val="00E77296"/>
    <w:rsid w:val="00E77E55"/>
    <w:rsid w:val="00E809AA"/>
    <w:rsid w:val="00E8181F"/>
    <w:rsid w:val="00E81DE9"/>
    <w:rsid w:val="00E86AA5"/>
    <w:rsid w:val="00E87527"/>
    <w:rsid w:val="00E87EF7"/>
    <w:rsid w:val="00E92475"/>
    <w:rsid w:val="00E93763"/>
    <w:rsid w:val="00E969A7"/>
    <w:rsid w:val="00E96C4C"/>
    <w:rsid w:val="00EA2AAE"/>
    <w:rsid w:val="00EA2EC0"/>
    <w:rsid w:val="00EA427A"/>
    <w:rsid w:val="00EA4A6B"/>
    <w:rsid w:val="00EA4F9D"/>
    <w:rsid w:val="00EA6EA6"/>
    <w:rsid w:val="00EA723B"/>
    <w:rsid w:val="00EB3209"/>
    <w:rsid w:val="00EB528D"/>
    <w:rsid w:val="00EB6350"/>
    <w:rsid w:val="00EB687A"/>
    <w:rsid w:val="00EC09FB"/>
    <w:rsid w:val="00EC21EA"/>
    <w:rsid w:val="00EC2F62"/>
    <w:rsid w:val="00EC3429"/>
    <w:rsid w:val="00EC4A65"/>
    <w:rsid w:val="00EC5AE2"/>
    <w:rsid w:val="00EC62EB"/>
    <w:rsid w:val="00EC6E9F"/>
    <w:rsid w:val="00ED352B"/>
    <w:rsid w:val="00ED44F0"/>
    <w:rsid w:val="00ED4B33"/>
    <w:rsid w:val="00ED5993"/>
    <w:rsid w:val="00ED7A8C"/>
    <w:rsid w:val="00ED7DD6"/>
    <w:rsid w:val="00EE060B"/>
    <w:rsid w:val="00EE15A1"/>
    <w:rsid w:val="00EE1892"/>
    <w:rsid w:val="00EE23E4"/>
    <w:rsid w:val="00EE2A7C"/>
    <w:rsid w:val="00EE2C42"/>
    <w:rsid w:val="00EE341B"/>
    <w:rsid w:val="00EE360A"/>
    <w:rsid w:val="00EE4453"/>
    <w:rsid w:val="00EE54A7"/>
    <w:rsid w:val="00EE5FCE"/>
    <w:rsid w:val="00EE6350"/>
    <w:rsid w:val="00EE6BBD"/>
    <w:rsid w:val="00EE6E1E"/>
    <w:rsid w:val="00EE705F"/>
    <w:rsid w:val="00EF1462"/>
    <w:rsid w:val="00EF1D05"/>
    <w:rsid w:val="00EF33D0"/>
    <w:rsid w:val="00EF4DC5"/>
    <w:rsid w:val="00EF54FD"/>
    <w:rsid w:val="00EF5972"/>
    <w:rsid w:val="00EF599D"/>
    <w:rsid w:val="00EF64FC"/>
    <w:rsid w:val="00EF7335"/>
    <w:rsid w:val="00F01305"/>
    <w:rsid w:val="00F01E16"/>
    <w:rsid w:val="00F020C8"/>
    <w:rsid w:val="00F022B2"/>
    <w:rsid w:val="00F05747"/>
    <w:rsid w:val="00F06E54"/>
    <w:rsid w:val="00F075ED"/>
    <w:rsid w:val="00F07F0D"/>
    <w:rsid w:val="00F11002"/>
    <w:rsid w:val="00F11AC9"/>
    <w:rsid w:val="00F13112"/>
    <w:rsid w:val="00F131FB"/>
    <w:rsid w:val="00F16FE6"/>
    <w:rsid w:val="00F17C53"/>
    <w:rsid w:val="00F21D38"/>
    <w:rsid w:val="00F238BD"/>
    <w:rsid w:val="00F23E4B"/>
    <w:rsid w:val="00F24992"/>
    <w:rsid w:val="00F267EB"/>
    <w:rsid w:val="00F27AEA"/>
    <w:rsid w:val="00F30499"/>
    <w:rsid w:val="00F32F2F"/>
    <w:rsid w:val="00F33F3F"/>
    <w:rsid w:val="00F348ED"/>
    <w:rsid w:val="00F35BDD"/>
    <w:rsid w:val="00F35EF0"/>
    <w:rsid w:val="00F35FD2"/>
    <w:rsid w:val="00F36128"/>
    <w:rsid w:val="00F3781F"/>
    <w:rsid w:val="00F403FD"/>
    <w:rsid w:val="00F41E72"/>
    <w:rsid w:val="00F45BDF"/>
    <w:rsid w:val="00F45D4F"/>
    <w:rsid w:val="00F47C45"/>
    <w:rsid w:val="00F501D1"/>
    <w:rsid w:val="00F50300"/>
    <w:rsid w:val="00F53630"/>
    <w:rsid w:val="00F5414B"/>
    <w:rsid w:val="00F55883"/>
    <w:rsid w:val="00F56BEA"/>
    <w:rsid w:val="00F56E39"/>
    <w:rsid w:val="00F57AA9"/>
    <w:rsid w:val="00F623E9"/>
    <w:rsid w:val="00F62E6A"/>
    <w:rsid w:val="00F63951"/>
    <w:rsid w:val="00F63C86"/>
    <w:rsid w:val="00F6458B"/>
    <w:rsid w:val="00F70C30"/>
    <w:rsid w:val="00F74B6D"/>
    <w:rsid w:val="00F74C6A"/>
    <w:rsid w:val="00F766BE"/>
    <w:rsid w:val="00F77EB9"/>
    <w:rsid w:val="00F80635"/>
    <w:rsid w:val="00F80653"/>
    <w:rsid w:val="00F8115F"/>
    <w:rsid w:val="00F811E2"/>
    <w:rsid w:val="00F81357"/>
    <w:rsid w:val="00F815D1"/>
    <w:rsid w:val="00F81E7E"/>
    <w:rsid w:val="00F81F0F"/>
    <w:rsid w:val="00F825F4"/>
    <w:rsid w:val="00F83806"/>
    <w:rsid w:val="00F838DF"/>
    <w:rsid w:val="00F84B96"/>
    <w:rsid w:val="00F85286"/>
    <w:rsid w:val="00F864E7"/>
    <w:rsid w:val="00F87931"/>
    <w:rsid w:val="00F92AA1"/>
    <w:rsid w:val="00F932DE"/>
    <w:rsid w:val="00F934C7"/>
    <w:rsid w:val="00F95372"/>
    <w:rsid w:val="00F95FA9"/>
    <w:rsid w:val="00F963DD"/>
    <w:rsid w:val="00F9641A"/>
    <w:rsid w:val="00F97004"/>
    <w:rsid w:val="00FA067D"/>
    <w:rsid w:val="00FA2045"/>
    <w:rsid w:val="00FA7A66"/>
    <w:rsid w:val="00FB1AA9"/>
    <w:rsid w:val="00FB2547"/>
    <w:rsid w:val="00FB3CB6"/>
    <w:rsid w:val="00FB4B5A"/>
    <w:rsid w:val="00FB4EA6"/>
    <w:rsid w:val="00FB5457"/>
    <w:rsid w:val="00FB5963"/>
    <w:rsid w:val="00FB5DAA"/>
    <w:rsid w:val="00FB7156"/>
    <w:rsid w:val="00FC04B9"/>
    <w:rsid w:val="00FC161A"/>
    <w:rsid w:val="00FC2049"/>
    <w:rsid w:val="00FC23D5"/>
    <w:rsid w:val="00FC2423"/>
    <w:rsid w:val="00FC4337"/>
    <w:rsid w:val="00FC4C1A"/>
    <w:rsid w:val="00FC628F"/>
    <w:rsid w:val="00FC6468"/>
    <w:rsid w:val="00FC6D49"/>
    <w:rsid w:val="00FC7944"/>
    <w:rsid w:val="00FD1395"/>
    <w:rsid w:val="00FD2C08"/>
    <w:rsid w:val="00FD363F"/>
    <w:rsid w:val="00FD4922"/>
    <w:rsid w:val="00FD6461"/>
    <w:rsid w:val="00FD6BDA"/>
    <w:rsid w:val="00FD73CE"/>
    <w:rsid w:val="00FE0281"/>
    <w:rsid w:val="00FE2316"/>
    <w:rsid w:val="00FE39DE"/>
    <w:rsid w:val="00FE7083"/>
    <w:rsid w:val="00FE708D"/>
    <w:rsid w:val="00FF019F"/>
    <w:rsid w:val="00FF0824"/>
    <w:rsid w:val="00FF1B2A"/>
    <w:rsid w:val="00FF2160"/>
    <w:rsid w:val="00FF2E31"/>
    <w:rsid w:val="00FF30DE"/>
    <w:rsid w:val="00FF6279"/>
    <w:rsid w:val="00FF63A0"/>
    <w:rsid w:val="00FF644B"/>
    <w:rsid w:val="00FF6B05"/>
    <w:rsid w:val="00FF6E54"/>
    <w:rsid w:val="2A2EB9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BA7C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A6B"/>
    <w:rPr>
      <w:sz w:val="24"/>
      <w:szCs w:val="24"/>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E47A4"/>
    <w:pPr>
      <w:keepNext/>
      <w:keepLines/>
      <w:widowControl w:val="0"/>
      <w:autoSpaceDE w:val="0"/>
      <w:autoSpaceDN w:val="0"/>
      <w:adjustRightInd w:val="0"/>
      <w:spacing w:before="40"/>
      <w:jc w:val="both"/>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Caption">
    <w:name w:val="caption"/>
    <w:basedOn w:val="Normal"/>
    <w:next w:val="Normal"/>
    <w:uiPriority w:val="35"/>
    <w:unhideWhenUsed/>
    <w:qFormat/>
    <w:rsid w:val="00A46427"/>
    <w:pPr>
      <w:widowControl w:val="0"/>
      <w:autoSpaceDE w:val="0"/>
      <w:autoSpaceDN w:val="0"/>
      <w:adjustRightInd w:val="0"/>
      <w:spacing w:after="200"/>
      <w:jc w:val="both"/>
    </w:pPr>
    <w:rPr>
      <w:rFonts w:ascii="Calibri" w:hAnsi="Calibri" w:cs="Calibri"/>
      <w:i/>
      <w:iCs/>
      <w:color w:val="1F497D" w:themeColor="text2"/>
      <w:sz w:val="18"/>
      <w:szCs w:val="18"/>
    </w:rPr>
  </w:style>
  <w:style w:type="paragraph" w:customStyle="1" w:styleId="Figure">
    <w:name w:val="Figure"/>
    <w:basedOn w:val="Heading4"/>
    <w:link w:val="FigureChar"/>
    <w:qFormat/>
    <w:rsid w:val="004E47A4"/>
    <w:pPr>
      <w:widowControl/>
      <w:autoSpaceDE/>
      <w:autoSpaceDN/>
      <w:adjustRightInd/>
      <w:spacing w:before="0"/>
    </w:pPr>
    <w:rPr>
      <w:rFonts w:ascii="Arial" w:hAnsi="Arial"/>
      <w:i w:val="0"/>
      <w:noProof/>
      <w:sz w:val="16"/>
    </w:rPr>
  </w:style>
  <w:style w:type="character" w:customStyle="1" w:styleId="FigureChar">
    <w:name w:val="Figure Char"/>
    <w:basedOn w:val="Heading4Char"/>
    <w:link w:val="Figure"/>
    <w:rsid w:val="004E47A4"/>
    <w:rPr>
      <w:rFonts w:ascii="Arial" w:eastAsiaTheme="majorEastAsia" w:hAnsi="Arial" w:cstheme="majorBidi"/>
      <w:i w:val="0"/>
      <w:iCs/>
      <w:noProof/>
      <w:color w:val="365F91" w:themeColor="accent1" w:themeShade="BF"/>
      <w:sz w:val="16"/>
      <w:szCs w:val="24"/>
    </w:rPr>
  </w:style>
  <w:style w:type="character" w:customStyle="1" w:styleId="Heading4Char">
    <w:name w:val="Heading 4 Char"/>
    <w:basedOn w:val="DefaultParagraphFont"/>
    <w:link w:val="Heading4"/>
    <w:uiPriority w:val="9"/>
    <w:semiHidden/>
    <w:rsid w:val="004E47A4"/>
    <w:rPr>
      <w:rFonts w:asciiTheme="majorHAnsi" w:eastAsiaTheme="majorEastAsia" w:hAnsiTheme="majorHAnsi" w:cstheme="majorBidi"/>
      <w:i/>
      <w:iCs/>
      <w:color w:val="365F91" w:themeColor="accent1" w:themeShade="BF"/>
      <w:sz w:val="24"/>
      <w:szCs w:val="24"/>
    </w:rPr>
  </w:style>
  <w:style w:type="character" w:styleId="PlaceholderText">
    <w:name w:val="Placeholder Text"/>
    <w:basedOn w:val="DefaultParagraphFont"/>
    <w:uiPriority w:val="99"/>
    <w:semiHidden/>
    <w:rsid w:val="00555218"/>
    <w:rPr>
      <w:color w:val="808080"/>
    </w:rPr>
  </w:style>
  <w:style w:type="paragraph" w:styleId="Title">
    <w:name w:val="Title"/>
    <w:basedOn w:val="Normal"/>
    <w:next w:val="Normal"/>
    <w:link w:val="TitleChar"/>
    <w:uiPriority w:val="10"/>
    <w:qFormat/>
    <w:rsid w:val="001F24CE"/>
    <w:pPr>
      <w:widowControl w:val="0"/>
      <w:autoSpaceDE w:val="0"/>
      <w:autoSpaceDN w:val="0"/>
      <w:adjustRightInd w:val="0"/>
      <w:contextualSpacing/>
      <w:jc w:val="both"/>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24CE"/>
    <w:rPr>
      <w:rFonts w:asciiTheme="majorHAnsi" w:eastAsiaTheme="majorEastAsia" w:hAnsiTheme="majorHAnsi" w:cstheme="majorBidi"/>
      <w:spacing w:val="-10"/>
      <w:kern w:val="28"/>
      <w:sz w:val="56"/>
      <w:szCs w:val="56"/>
    </w:rPr>
  </w:style>
  <w:style w:type="paragraph" w:styleId="Bibliography">
    <w:name w:val="Bibliography"/>
    <w:basedOn w:val="Normal"/>
    <w:next w:val="Normal"/>
    <w:uiPriority w:val="37"/>
    <w:unhideWhenUsed/>
    <w:rsid w:val="00707E2C"/>
    <w:pPr>
      <w:widowControl w:val="0"/>
      <w:tabs>
        <w:tab w:val="left" w:pos="380"/>
      </w:tabs>
      <w:autoSpaceDE w:val="0"/>
      <w:autoSpaceDN w:val="0"/>
      <w:adjustRightInd w:val="0"/>
      <w:ind w:left="384" w:hanging="384"/>
      <w:jc w:val="both"/>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3949">
      <w:bodyDiv w:val="1"/>
      <w:marLeft w:val="0"/>
      <w:marRight w:val="0"/>
      <w:marTop w:val="0"/>
      <w:marBottom w:val="0"/>
      <w:divBdr>
        <w:top w:val="none" w:sz="0" w:space="0" w:color="auto"/>
        <w:left w:val="none" w:sz="0" w:space="0" w:color="auto"/>
        <w:bottom w:val="none" w:sz="0" w:space="0" w:color="auto"/>
        <w:right w:val="none" w:sz="0" w:space="0" w:color="auto"/>
      </w:divBdr>
    </w:div>
    <w:div w:id="72048191">
      <w:bodyDiv w:val="1"/>
      <w:marLeft w:val="0"/>
      <w:marRight w:val="0"/>
      <w:marTop w:val="0"/>
      <w:marBottom w:val="0"/>
      <w:divBdr>
        <w:top w:val="none" w:sz="0" w:space="0" w:color="auto"/>
        <w:left w:val="none" w:sz="0" w:space="0" w:color="auto"/>
        <w:bottom w:val="none" w:sz="0" w:space="0" w:color="auto"/>
        <w:right w:val="none" w:sz="0" w:space="0" w:color="auto"/>
      </w:divBdr>
    </w:div>
    <w:div w:id="164713175">
      <w:bodyDiv w:val="1"/>
      <w:marLeft w:val="0"/>
      <w:marRight w:val="0"/>
      <w:marTop w:val="0"/>
      <w:marBottom w:val="0"/>
      <w:divBdr>
        <w:top w:val="none" w:sz="0" w:space="0" w:color="auto"/>
        <w:left w:val="none" w:sz="0" w:space="0" w:color="auto"/>
        <w:bottom w:val="none" w:sz="0" w:space="0" w:color="auto"/>
        <w:right w:val="none" w:sz="0" w:space="0" w:color="auto"/>
      </w:divBdr>
    </w:div>
    <w:div w:id="240137728">
      <w:bodyDiv w:val="1"/>
      <w:marLeft w:val="0"/>
      <w:marRight w:val="0"/>
      <w:marTop w:val="0"/>
      <w:marBottom w:val="0"/>
      <w:divBdr>
        <w:top w:val="none" w:sz="0" w:space="0" w:color="auto"/>
        <w:left w:val="none" w:sz="0" w:space="0" w:color="auto"/>
        <w:bottom w:val="none" w:sz="0" w:space="0" w:color="auto"/>
        <w:right w:val="none" w:sz="0" w:space="0" w:color="auto"/>
      </w:divBdr>
    </w:div>
    <w:div w:id="319307274">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65837950">
      <w:bodyDiv w:val="1"/>
      <w:marLeft w:val="0"/>
      <w:marRight w:val="0"/>
      <w:marTop w:val="0"/>
      <w:marBottom w:val="0"/>
      <w:divBdr>
        <w:top w:val="none" w:sz="0" w:space="0" w:color="auto"/>
        <w:left w:val="none" w:sz="0" w:space="0" w:color="auto"/>
        <w:bottom w:val="none" w:sz="0" w:space="0" w:color="auto"/>
        <w:right w:val="none" w:sz="0" w:space="0" w:color="auto"/>
      </w:divBdr>
      <w:divsChild>
        <w:div w:id="2030788288">
          <w:marLeft w:val="0"/>
          <w:marRight w:val="0"/>
          <w:marTop w:val="0"/>
          <w:marBottom w:val="0"/>
          <w:divBdr>
            <w:top w:val="none" w:sz="0" w:space="0" w:color="auto"/>
            <w:left w:val="none" w:sz="0" w:space="0" w:color="auto"/>
            <w:bottom w:val="none" w:sz="0" w:space="0" w:color="auto"/>
            <w:right w:val="none" w:sz="0" w:space="0" w:color="auto"/>
          </w:divBdr>
          <w:divsChild>
            <w:div w:id="1426804855">
              <w:marLeft w:val="0"/>
              <w:marRight w:val="0"/>
              <w:marTop w:val="0"/>
              <w:marBottom w:val="0"/>
              <w:divBdr>
                <w:top w:val="none" w:sz="0" w:space="0" w:color="auto"/>
                <w:left w:val="none" w:sz="0" w:space="0" w:color="auto"/>
                <w:bottom w:val="none" w:sz="0" w:space="0" w:color="auto"/>
                <w:right w:val="none" w:sz="0" w:space="0" w:color="auto"/>
              </w:divBdr>
              <w:divsChild>
                <w:div w:id="209999747">
                  <w:marLeft w:val="150"/>
                  <w:marRight w:val="150"/>
                  <w:marTop w:val="0"/>
                  <w:marBottom w:val="0"/>
                  <w:divBdr>
                    <w:top w:val="none" w:sz="0" w:space="0" w:color="auto"/>
                    <w:left w:val="none" w:sz="0" w:space="0" w:color="auto"/>
                    <w:bottom w:val="none" w:sz="0" w:space="0" w:color="auto"/>
                    <w:right w:val="none" w:sz="0" w:space="0" w:color="auto"/>
                  </w:divBdr>
                  <w:divsChild>
                    <w:div w:id="358631503">
                      <w:marLeft w:val="0"/>
                      <w:marRight w:val="0"/>
                      <w:marTop w:val="0"/>
                      <w:marBottom w:val="0"/>
                      <w:divBdr>
                        <w:top w:val="none" w:sz="0" w:space="0" w:color="auto"/>
                        <w:left w:val="none" w:sz="0" w:space="0" w:color="auto"/>
                        <w:bottom w:val="none" w:sz="0" w:space="0" w:color="auto"/>
                        <w:right w:val="none" w:sz="0" w:space="0" w:color="auto"/>
                      </w:divBdr>
                      <w:divsChild>
                        <w:div w:id="194461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76735">
          <w:marLeft w:val="0"/>
          <w:marRight w:val="0"/>
          <w:marTop w:val="0"/>
          <w:marBottom w:val="0"/>
          <w:divBdr>
            <w:top w:val="none" w:sz="0" w:space="0" w:color="auto"/>
            <w:left w:val="none" w:sz="0" w:space="0" w:color="auto"/>
            <w:bottom w:val="none" w:sz="0" w:space="0" w:color="auto"/>
            <w:right w:val="none" w:sz="0" w:space="0" w:color="auto"/>
          </w:divBdr>
          <w:divsChild>
            <w:div w:id="307714241">
              <w:marLeft w:val="240"/>
              <w:marRight w:val="0"/>
              <w:marTop w:val="300"/>
              <w:marBottom w:val="0"/>
              <w:divBdr>
                <w:top w:val="single" w:sz="2" w:space="0" w:color="000000"/>
                <w:left w:val="single" w:sz="2" w:space="5" w:color="000000"/>
                <w:bottom w:val="single" w:sz="2" w:space="0" w:color="000000"/>
                <w:right w:val="single" w:sz="2" w:space="0" w:color="000000"/>
              </w:divBdr>
            </w:div>
          </w:divsChild>
        </w:div>
        <w:div w:id="1582833593">
          <w:marLeft w:val="0"/>
          <w:marRight w:val="0"/>
          <w:marTop w:val="0"/>
          <w:marBottom w:val="0"/>
          <w:divBdr>
            <w:top w:val="none" w:sz="0" w:space="0" w:color="auto"/>
            <w:left w:val="none" w:sz="0" w:space="0" w:color="auto"/>
            <w:bottom w:val="none" w:sz="0" w:space="0" w:color="auto"/>
            <w:right w:val="none" w:sz="0" w:space="0" w:color="auto"/>
          </w:divBdr>
          <w:divsChild>
            <w:div w:id="1020812901">
              <w:marLeft w:val="0"/>
              <w:marRight w:val="0"/>
              <w:marTop w:val="0"/>
              <w:marBottom w:val="0"/>
              <w:divBdr>
                <w:top w:val="none" w:sz="0" w:space="0" w:color="auto"/>
                <w:left w:val="none" w:sz="0" w:space="0" w:color="auto"/>
                <w:bottom w:val="none" w:sz="0" w:space="0" w:color="auto"/>
                <w:right w:val="none" w:sz="0" w:space="0" w:color="auto"/>
              </w:divBdr>
              <w:divsChild>
                <w:div w:id="1075083617">
                  <w:marLeft w:val="300"/>
                  <w:marRight w:val="0"/>
                  <w:marTop w:val="75"/>
                  <w:marBottom w:val="75"/>
                  <w:divBdr>
                    <w:top w:val="none" w:sz="0" w:space="0" w:color="auto"/>
                    <w:left w:val="none" w:sz="0" w:space="0" w:color="auto"/>
                    <w:bottom w:val="none" w:sz="0" w:space="0" w:color="auto"/>
                    <w:right w:val="none" w:sz="0" w:space="0" w:color="auto"/>
                  </w:divBdr>
                  <w:divsChild>
                    <w:div w:id="61599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193005">
      <w:bodyDiv w:val="1"/>
      <w:marLeft w:val="0"/>
      <w:marRight w:val="0"/>
      <w:marTop w:val="0"/>
      <w:marBottom w:val="0"/>
      <w:divBdr>
        <w:top w:val="none" w:sz="0" w:space="0" w:color="auto"/>
        <w:left w:val="none" w:sz="0" w:space="0" w:color="auto"/>
        <w:bottom w:val="none" w:sz="0" w:space="0" w:color="auto"/>
        <w:right w:val="none" w:sz="0" w:space="0" w:color="auto"/>
      </w:divBdr>
    </w:div>
    <w:div w:id="482892640">
      <w:bodyDiv w:val="1"/>
      <w:marLeft w:val="0"/>
      <w:marRight w:val="0"/>
      <w:marTop w:val="0"/>
      <w:marBottom w:val="0"/>
      <w:divBdr>
        <w:top w:val="none" w:sz="0" w:space="0" w:color="auto"/>
        <w:left w:val="none" w:sz="0" w:space="0" w:color="auto"/>
        <w:bottom w:val="none" w:sz="0" w:space="0" w:color="auto"/>
        <w:right w:val="none" w:sz="0" w:space="0" w:color="auto"/>
      </w:divBdr>
    </w:div>
    <w:div w:id="509831936">
      <w:bodyDiv w:val="1"/>
      <w:marLeft w:val="0"/>
      <w:marRight w:val="0"/>
      <w:marTop w:val="0"/>
      <w:marBottom w:val="0"/>
      <w:divBdr>
        <w:top w:val="none" w:sz="0" w:space="0" w:color="auto"/>
        <w:left w:val="none" w:sz="0" w:space="0" w:color="auto"/>
        <w:bottom w:val="none" w:sz="0" w:space="0" w:color="auto"/>
        <w:right w:val="none" w:sz="0" w:space="0" w:color="auto"/>
      </w:divBdr>
    </w:div>
    <w:div w:id="580722354">
      <w:bodyDiv w:val="1"/>
      <w:marLeft w:val="0"/>
      <w:marRight w:val="0"/>
      <w:marTop w:val="0"/>
      <w:marBottom w:val="0"/>
      <w:divBdr>
        <w:top w:val="none" w:sz="0" w:space="0" w:color="auto"/>
        <w:left w:val="none" w:sz="0" w:space="0" w:color="auto"/>
        <w:bottom w:val="none" w:sz="0" w:space="0" w:color="auto"/>
        <w:right w:val="none" w:sz="0" w:space="0" w:color="auto"/>
      </w:divBdr>
    </w:div>
    <w:div w:id="623464474">
      <w:bodyDiv w:val="1"/>
      <w:marLeft w:val="0"/>
      <w:marRight w:val="0"/>
      <w:marTop w:val="0"/>
      <w:marBottom w:val="0"/>
      <w:divBdr>
        <w:top w:val="none" w:sz="0" w:space="0" w:color="auto"/>
        <w:left w:val="none" w:sz="0" w:space="0" w:color="auto"/>
        <w:bottom w:val="none" w:sz="0" w:space="0" w:color="auto"/>
        <w:right w:val="none" w:sz="0" w:space="0" w:color="auto"/>
      </w:divBdr>
    </w:div>
    <w:div w:id="635913708">
      <w:bodyDiv w:val="1"/>
      <w:marLeft w:val="0"/>
      <w:marRight w:val="0"/>
      <w:marTop w:val="0"/>
      <w:marBottom w:val="0"/>
      <w:divBdr>
        <w:top w:val="none" w:sz="0" w:space="0" w:color="auto"/>
        <w:left w:val="none" w:sz="0" w:space="0" w:color="auto"/>
        <w:bottom w:val="none" w:sz="0" w:space="0" w:color="auto"/>
        <w:right w:val="none" w:sz="0" w:space="0" w:color="auto"/>
      </w:divBdr>
    </w:div>
    <w:div w:id="654144490">
      <w:bodyDiv w:val="1"/>
      <w:marLeft w:val="0"/>
      <w:marRight w:val="0"/>
      <w:marTop w:val="0"/>
      <w:marBottom w:val="0"/>
      <w:divBdr>
        <w:top w:val="none" w:sz="0" w:space="0" w:color="auto"/>
        <w:left w:val="none" w:sz="0" w:space="0" w:color="auto"/>
        <w:bottom w:val="none" w:sz="0" w:space="0" w:color="auto"/>
        <w:right w:val="none" w:sz="0" w:space="0" w:color="auto"/>
      </w:divBdr>
    </w:div>
    <w:div w:id="691347965">
      <w:bodyDiv w:val="1"/>
      <w:marLeft w:val="0"/>
      <w:marRight w:val="0"/>
      <w:marTop w:val="0"/>
      <w:marBottom w:val="0"/>
      <w:divBdr>
        <w:top w:val="none" w:sz="0" w:space="0" w:color="auto"/>
        <w:left w:val="none" w:sz="0" w:space="0" w:color="auto"/>
        <w:bottom w:val="none" w:sz="0" w:space="0" w:color="auto"/>
        <w:right w:val="none" w:sz="0" w:space="0" w:color="auto"/>
      </w:divBdr>
    </w:div>
    <w:div w:id="718286219">
      <w:bodyDiv w:val="1"/>
      <w:marLeft w:val="0"/>
      <w:marRight w:val="0"/>
      <w:marTop w:val="0"/>
      <w:marBottom w:val="0"/>
      <w:divBdr>
        <w:top w:val="none" w:sz="0" w:space="0" w:color="auto"/>
        <w:left w:val="none" w:sz="0" w:space="0" w:color="auto"/>
        <w:bottom w:val="none" w:sz="0" w:space="0" w:color="auto"/>
        <w:right w:val="none" w:sz="0" w:space="0" w:color="auto"/>
      </w:divBdr>
    </w:div>
    <w:div w:id="73277814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065120">
      <w:bodyDiv w:val="1"/>
      <w:marLeft w:val="0"/>
      <w:marRight w:val="0"/>
      <w:marTop w:val="0"/>
      <w:marBottom w:val="0"/>
      <w:divBdr>
        <w:top w:val="none" w:sz="0" w:space="0" w:color="auto"/>
        <w:left w:val="none" w:sz="0" w:space="0" w:color="auto"/>
        <w:bottom w:val="none" w:sz="0" w:space="0" w:color="auto"/>
        <w:right w:val="none" w:sz="0" w:space="0" w:color="auto"/>
      </w:divBdr>
    </w:div>
    <w:div w:id="98889803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22651621">
      <w:bodyDiv w:val="1"/>
      <w:marLeft w:val="0"/>
      <w:marRight w:val="0"/>
      <w:marTop w:val="0"/>
      <w:marBottom w:val="0"/>
      <w:divBdr>
        <w:top w:val="none" w:sz="0" w:space="0" w:color="auto"/>
        <w:left w:val="none" w:sz="0" w:space="0" w:color="auto"/>
        <w:bottom w:val="none" w:sz="0" w:space="0" w:color="auto"/>
        <w:right w:val="none" w:sz="0" w:space="0" w:color="auto"/>
      </w:divBdr>
    </w:div>
    <w:div w:id="1134903708">
      <w:bodyDiv w:val="1"/>
      <w:marLeft w:val="0"/>
      <w:marRight w:val="0"/>
      <w:marTop w:val="0"/>
      <w:marBottom w:val="0"/>
      <w:divBdr>
        <w:top w:val="none" w:sz="0" w:space="0" w:color="auto"/>
        <w:left w:val="none" w:sz="0" w:space="0" w:color="auto"/>
        <w:bottom w:val="none" w:sz="0" w:space="0" w:color="auto"/>
        <w:right w:val="none" w:sz="0" w:space="0" w:color="auto"/>
      </w:divBdr>
    </w:div>
    <w:div w:id="1188257688">
      <w:bodyDiv w:val="1"/>
      <w:marLeft w:val="0"/>
      <w:marRight w:val="0"/>
      <w:marTop w:val="0"/>
      <w:marBottom w:val="0"/>
      <w:divBdr>
        <w:top w:val="none" w:sz="0" w:space="0" w:color="auto"/>
        <w:left w:val="none" w:sz="0" w:space="0" w:color="auto"/>
        <w:bottom w:val="none" w:sz="0" w:space="0" w:color="auto"/>
        <w:right w:val="none" w:sz="0" w:space="0" w:color="auto"/>
      </w:divBdr>
    </w:div>
    <w:div w:id="1225946105">
      <w:bodyDiv w:val="1"/>
      <w:marLeft w:val="0"/>
      <w:marRight w:val="0"/>
      <w:marTop w:val="0"/>
      <w:marBottom w:val="0"/>
      <w:divBdr>
        <w:top w:val="none" w:sz="0" w:space="0" w:color="auto"/>
        <w:left w:val="none" w:sz="0" w:space="0" w:color="auto"/>
        <w:bottom w:val="none" w:sz="0" w:space="0" w:color="auto"/>
        <w:right w:val="none" w:sz="0" w:space="0" w:color="auto"/>
      </w:divBdr>
    </w:div>
    <w:div w:id="1238632246">
      <w:bodyDiv w:val="1"/>
      <w:marLeft w:val="0"/>
      <w:marRight w:val="0"/>
      <w:marTop w:val="0"/>
      <w:marBottom w:val="0"/>
      <w:divBdr>
        <w:top w:val="none" w:sz="0" w:space="0" w:color="auto"/>
        <w:left w:val="none" w:sz="0" w:space="0" w:color="auto"/>
        <w:bottom w:val="none" w:sz="0" w:space="0" w:color="auto"/>
        <w:right w:val="none" w:sz="0" w:space="0" w:color="auto"/>
      </w:divBdr>
    </w:div>
    <w:div w:id="1287585959">
      <w:bodyDiv w:val="1"/>
      <w:marLeft w:val="0"/>
      <w:marRight w:val="0"/>
      <w:marTop w:val="0"/>
      <w:marBottom w:val="0"/>
      <w:divBdr>
        <w:top w:val="none" w:sz="0" w:space="0" w:color="auto"/>
        <w:left w:val="none" w:sz="0" w:space="0" w:color="auto"/>
        <w:bottom w:val="none" w:sz="0" w:space="0" w:color="auto"/>
        <w:right w:val="none" w:sz="0" w:space="0" w:color="auto"/>
      </w:divBdr>
    </w:div>
    <w:div w:id="1333221491">
      <w:bodyDiv w:val="1"/>
      <w:marLeft w:val="0"/>
      <w:marRight w:val="0"/>
      <w:marTop w:val="0"/>
      <w:marBottom w:val="0"/>
      <w:divBdr>
        <w:top w:val="none" w:sz="0" w:space="0" w:color="auto"/>
        <w:left w:val="none" w:sz="0" w:space="0" w:color="auto"/>
        <w:bottom w:val="none" w:sz="0" w:space="0" w:color="auto"/>
        <w:right w:val="none" w:sz="0" w:space="0" w:color="auto"/>
      </w:divBdr>
    </w:div>
    <w:div w:id="1346785212">
      <w:bodyDiv w:val="1"/>
      <w:marLeft w:val="0"/>
      <w:marRight w:val="0"/>
      <w:marTop w:val="0"/>
      <w:marBottom w:val="0"/>
      <w:divBdr>
        <w:top w:val="none" w:sz="0" w:space="0" w:color="auto"/>
        <w:left w:val="none" w:sz="0" w:space="0" w:color="auto"/>
        <w:bottom w:val="none" w:sz="0" w:space="0" w:color="auto"/>
        <w:right w:val="none" w:sz="0" w:space="0" w:color="auto"/>
      </w:divBdr>
    </w:div>
    <w:div w:id="1371953172">
      <w:bodyDiv w:val="1"/>
      <w:marLeft w:val="0"/>
      <w:marRight w:val="0"/>
      <w:marTop w:val="0"/>
      <w:marBottom w:val="0"/>
      <w:divBdr>
        <w:top w:val="none" w:sz="0" w:space="0" w:color="auto"/>
        <w:left w:val="none" w:sz="0" w:space="0" w:color="auto"/>
        <w:bottom w:val="none" w:sz="0" w:space="0" w:color="auto"/>
        <w:right w:val="none" w:sz="0" w:space="0" w:color="auto"/>
      </w:divBdr>
    </w:div>
    <w:div w:id="1440221339">
      <w:bodyDiv w:val="1"/>
      <w:marLeft w:val="0"/>
      <w:marRight w:val="0"/>
      <w:marTop w:val="0"/>
      <w:marBottom w:val="0"/>
      <w:divBdr>
        <w:top w:val="none" w:sz="0" w:space="0" w:color="auto"/>
        <w:left w:val="none" w:sz="0" w:space="0" w:color="auto"/>
        <w:bottom w:val="none" w:sz="0" w:space="0" w:color="auto"/>
        <w:right w:val="none" w:sz="0" w:space="0" w:color="auto"/>
      </w:divBdr>
    </w:div>
    <w:div w:id="1489903016">
      <w:bodyDiv w:val="1"/>
      <w:marLeft w:val="0"/>
      <w:marRight w:val="0"/>
      <w:marTop w:val="0"/>
      <w:marBottom w:val="0"/>
      <w:divBdr>
        <w:top w:val="none" w:sz="0" w:space="0" w:color="auto"/>
        <w:left w:val="none" w:sz="0" w:space="0" w:color="auto"/>
        <w:bottom w:val="none" w:sz="0" w:space="0" w:color="auto"/>
        <w:right w:val="none" w:sz="0" w:space="0" w:color="auto"/>
      </w:divBdr>
      <w:divsChild>
        <w:div w:id="15541019">
          <w:marLeft w:val="0"/>
          <w:marRight w:val="0"/>
          <w:marTop w:val="0"/>
          <w:marBottom w:val="0"/>
          <w:divBdr>
            <w:top w:val="none" w:sz="0" w:space="0" w:color="auto"/>
            <w:left w:val="none" w:sz="0" w:space="0" w:color="auto"/>
            <w:bottom w:val="none" w:sz="0" w:space="0" w:color="auto"/>
            <w:right w:val="none" w:sz="0" w:space="0" w:color="auto"/>
          </w:divBdr>
          <w:divsChild>
            <w:div w:id="123350960">
              <w:marLeft w:val="0"/>
              <w:marRight w:val="0"/>
              <w:marTop w:val="0"/>
              <w:marBottom w:val="0"/>
              <w:divBdr>
                <w:top w:val="none" w:sz="0" w:space="0" w:color="auto"/>
                <w:left w:val="none" w:sz="0" w:space="0" w:color="auto"/>
                <w:bottom w:val="none" w:sz="0" w:space="0" w:color="auto"/>
                <w:right w:val="none" w:sz="0" w:space="0" w:color="auto"/>
              </w:divBdr>
              <w:divsChild>
                <w:div w:id="2094736650">
                  <w:marLeft w:val="150"/>
                  <w:marRight w:val="150"/>
                  <w:marTop w:val="0"/>
                  <w:marBottom w:val="0"/>
                  <w:divBdr>
                    <w:top w:val="none" w:sz="0" w:space="0" w:color="auto"/>
                    <w:left w:val="none" w:sz="0" w:space="0" w:color="auto"/>
                    <w:bottom w:val="none" w:sz="0" w:space="0" w:color="auto"/>
                    <w:right w:val="none" w:sz="0" w:space="0" w:color="auto"/>
                  </w:divBdr>
                  <w:divsChild>
                    <w:div w:id="629171691">
                      <w:marLeft w:val="0"/>
                      <w:marRight w:val="0"/>
                      <w:marTop w:val="0"/>
                      <w:marBottom w:val="0"/>
                      <w:divBdr>
                        <w:top w:val="none" w:sz="0" w:space="0" w:color="auto"/>
                        <w:left w:val="none" w:sz="0" w:space="0" w:color="auto"/>
                        <w:bottom w:val="none" w:sz="0" w:space="0" w:color="auto"/>
                        <w:right w:val="none" w:sz="0" w:space="0" w:color="auto"/>
                      </w:divBdr>
                      <w:divsChild>
                        <w:div w:id="21157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721603">
          <w:marLeft w:val="0"/>
          <w:marRight w:val="0"/>
          <w:marTop w:val="0"/>
          <w:marBottom w:val="0"/>
          <w:divBdr>
            <w:top w:val="none" w:sz="0" w:space="0" w:color="auto"/>
            <w:left w:val="none" w:sz="0" w:space="0" w:color="auto"/>
            <w:bottom w:val="none" w:sz="0" w:space="0" w:color="auto"/>
            <w:right w:val="none" w:sz="0" w:space="0" w:color="auto"/>
          </w:divBdr>
          <w:divsChild>
            <w:div w:id="1197040979">
              <w:marLeft w:val="240"/>
              <w:marRight w:val="0"/>
              <w:marTop w:val="300"/>
              <w:marBottom w:val="0"/>
              <w:divBdr>
                <w:top w:val="single" w:sz="2" w:space="0" w:color="000000"/>
                <w:left w:val="single" w:sz="2" w:space="5" w:color="000000"/>
                <w:bottom w:val="single" w:sz="2" w:space="0" w:color="000000"/>
                <w:right w:val="single" w:sz="2" w:space="0" w:color="000000"/>
              </w:divBdr>
            </w:div>
          </w:divsChild>
        </w:div>
        <w:div w:id="1170026542">
          <w:marLeft w:val="0"/>
          <w:marRight w:val="0"/>
          <w:marTop w:val="0"/>
          <w:marBottom w:val="0"/>
          <w:divBdr>
            <w:top w:val="none" w:sz="0" w:space="0" w:color="auto"/>
            <w:left w:val="none" w:sz="0" w:space="0" w:color="auto"/>
            <w:bottom w:val="none" w:sz="0" w:space="0" w:color="auto"/>
            <w:right w:val="none" w:sz="0" w:space="0" w:color="auto"/>
          </w:divBdr>
          <w:divsChild>
            <w:div w:id="583221935">
              <w:marLeft w:val="0"/>
              <w:marRight w:val="0"/>
              <w:marTop w:val="0"/>
              <w:marBottom w:val="0"/>
              <w:divBdr>
                <w:top w:val="none" w:sz="0" w:space="0" w:color="auto"/>
                <w:left w:val="none" w:sz="0" w:space="0" w:color="auto"/>
                <w:bottom w:val="none" w:sz="0" w:space="0" w:color="auto"/>
                <w:right w:val="none" w:sz="0" w:space="0" w:color="auto"/>
              </w:divBdr>
              <w:divsChild>
                <w:div w:id="1549491734">
                  <w:marLeft w:val="300"/>
                  <w:marRight w:val="0"/>
                  <w:marTop w:val="75"/>
                  <w:marBottom w:val="75"/>
                  <w:divBdr>
                    <w:top w:val="none" w:sz="0" w:space="0" w:color="auto"/>
                    <w:left w:val="none" w:sz="0" w:space="0" w:color="auto"/>
                    <w:bottom w:val="none" w:sz="0" w:space="0" w:color="auto"/>
                    <w:right w:val="none" w:sz="0" w:space="0" w:color="auto"/>
                  </w:divBdr>
                  <w:divsChild>
                    <w:div w:id="54344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029905">
      <w:bodyDiv w:val="1"/>
      <w:marLeft w:val="0"/>
      <w:marRight w:val="0"/>
      <w:marTop w:val="0"/>
      <w:marBottom w:val="0"/>
      <w:divBdr>
        <w:top w:val="none" w:sz="0" w:space="0" w:color="auto"/>
        <w:left w:val="none" w:sz="0" w:space="0" w:color="auto"/>
        <w:bottom w:val="none" w:sz="0" w:space="0" w:color="auto"/>
        <w:right w:val="none" w:sz="0" w:space="0" w:color="auto"/>
      </w:divBdr>
    </w:div>
    <w:div w:id="173454642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73570400">
      <w:bodyDiv w:val="1"/>
      <w:marLeft w:val="0"/>
      <w:marRight w:val="0"/>
      <w:marTop w:val="0"/>
      <w:marBottom w:val="0"/>
      <w:divBdr>
        <w:top w:val="none" w:sz="0" w:space="0" w:color="auto"/>
        <w:left w:val="none" w:sz="0" w:space="0" w:color="auto"/>
        <w:bottom w:val="none" w:sz="0" w:space="0" w:color="auto"/>
        <w:right w:val="none" w:sz="0" w:space="0" w:color="auto"/>
      </w:divBdr>
    </w:div>
    <w:div w:id="1921712661">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1859678">
      <w:bodyDiv w:val="1"/>
      <w:marLeft w:val="0"/>
      <w:marRight w:val="0"/>
      <w:marTop w:val="0"/>
      <w:marBottom w:val="0"/>
      <w:divBdr>
        <w:top w:val="none" w:sz="0" w:space="0" w:color="auto"/>
        <w:left w:val="none" w:sz="0" w:space="0" w:color="auto"/>
        <w:bottom w:val="none" w:sz="0" w:space="0" w:color="auto"/>
        <w:right w:val="none" w:sz="0" w:space="0" w:color="auto"/>
      </w:divBdr>
    </w:div>
    <w:div w:id="2016683439">
      <w:bodyDiv w:val="1"/>
      <w:marLeft w:val="0"/>
      <w:marRight w:val="0"/>
      <w:marTop w:val="0"/>
      <w:marBottom w:val="0"/>
      <w:divBdr>
        <w:top w:val="none" w:sz="0" w:space="0" w:color="auto"/>
        <w:left w:val="none" w:sz="0" w:space="0" w:color="auto"/>
        <w:bottom w:val="none" w:sz="0" w:space="0" w:color="auto"/>
        <w:right w:val="none" w:sz="0" w:space="0" w:color="auto"/>
      </w:divBdr>
    </w:div>
    <w:div w:id="2046442167">
      <w:bodyDiv w:val="1"/>
      <w:marLeft w:val="0"/>
      <w:marRight w:val="0"/>
      <w:marTop w:val="0"/>
      <w:marBottom w:val="0"/>
      <w:divBdr>
        <w:top w:val="none" w:sz="0" w:space="0" w:color="auto"/>
        <w:left w:val="none" w:sz="0" w:space="0" w:color="auto"/>
        <w:bottom w:val="none" w:sz="0" w:space="0" w:color="auto"/>
        <w:right w:val="none" w:sz="0" w:space="0" w:color="auto"/>
      </w:divBdr>
    </w:div>
    <w:div w:id="2079817105">
      <w:bodyDiv w:val="1"/>
      <w:marLeft w:val="0"/>
      <w:marRight w:val="0"/>
      <w:marTop w:val="0"/>
      <w:marBottom w:val="0"/>
      <w:divBdr>
        <w:top w:val="none" w:sz="0" w:space="0" w:color="auto"/>
        <w:left w:val="none" w:sz="0" w:space="0" w:color="auto"/>
        <w:bottom w:val="none" w:sz="0" w:space="0" w:color="auto"/>
        <w:right w:val="none" w:sz="0" w:space="0" w:color="auto"/>
      </w:divBdr>
    </w:div>
    <w:div w:id="2102794895">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3463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3816566B9E7C4B923D7D594481BC52" ma:contentTypeVersion="13" ma:contentTypeDescription="Create a new document." ma:contentTypeScope="" ma:versionID="bac3a42f5bd734eea8441ae1df791a0f">
  <xsd:schema xmlns:xsd="http://www.w3.org/2001/XMLSchema" xmlns:xs="http://www.w3.org/2001/XMLSchema" xmlns:p="http://schemas.microsoft.com/office/2006/metadata/properties" xmlns:ns3="9c03e042-7efd-4778-8223-9ef78afc2b78" xmlns:ns4="15c7dac8-083f-4598-8e98-5a51a4f057e8" targetNamespace="http://schemas.microsoft.com/office/2006/metadata/properties" ma:root="true" ma:fieldsID="7dc29561162dea69eaaa287edb63ec49" ns3:_="" ns4:_="">
    <xsd:import namespace="9c03e042-7efd-4778-8223-9ef78afc2b78"/>
    <xsd:import namespace="15c7dac8-083f-4598-8e98-5a51a4f057e8"/>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3e042-7efd-4778-8223-9ef78afc2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c7dac8-083f-4598-8e98-5a51a4f057e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884CD-30A4-4AD2-B9E3-E2335A220F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6E6160-D45D-4998-AC41-2D2E2B713E1A}">
  <ds:schemaRefs>
    <ds:schemaRef ds:uri="http://schemas.microsoft.com/sharepoint/v3/contenttype/forms"/>
  </ds:schemaRefs>
</ds:datastoreItem>
</file>

<file path=customXml/itemProps3.xml><?xml version="1.0" encoding="utf-8"?>
<ds:datastoreItem xmlns:ds="http://schemas.openxmlformats.org/officeDocument/2006/customXml" ds:itemID="{EAB0557F-C670-4F4D-A638-7BD0E33B0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03e042-7efd-4778-8223-9ef78afc2b78"/>
    <ds:schemaRef ds:uri="15c7dac8-083f-4598-8e98-5a51a4f057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DA0436-9E67-411B-ABA9-7A5A5EB08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20999</Words>
  <Characters>118649</Characters>
  <Application>Microsoft Office Word</Application>
  <DocSecurity>0</DocSecurity>
  <Lines>2281</Lines>
  <Paragraphs>723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2020-06-05T21:02:00Z</dcterms:created>
  <dcterms:modified xsi:type="dcterms:W3CDTF">2020-06-12T16:13:00Z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0x010100383816566B9E7C4B923D7D594481BC52</vt:lpwstr>
  </property>
  <property fmtid="{D5CDD505-2E9C-101B-9397-08002B2CF9AE}" pid="3" name="ZOTERO_PREF_1">
    <vt:lpwstr>&lt;data data-version="3" zotero-version="5.0.87"&gt;&lt;session id="ZyThaQRL"/&gt;&lt;style id="http://www.zotero.org/styles/journal-of-visualized-experiments" hasBibliography="1" bibliographyStyleHasBeenSet="1"/&gt;&lt;prefs&gt;&lt;pref name="fieldType" value="Field"/&gt;&lt;pref name=</vt:lpwstr>
  </property>
  <property fmtid="{D5CDD505-2E9C-101B-9397-08002B2CF9AE}" pid="4" name="ZOTERO_PREF_2">
    <vt:lpwstr>"delayCitationUpdates" value="true"/&gt;&lt;pref name="dontAskDelayCitationUpdates" value="true"/&gt;&lt;/prefs&gt;&lt;/data&gt;</vt:lpwstr>
  </property>
</Properties>
</file>