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998A4" w14:textId="59ED1647" w:rsidR="00AF280B" w:rsidRPr="00AB2539" w:rsidRDefault="004E07EF" w:rsidP="00AB2539">
      <w:pPr>
        <w:pStyle w:val="NormalWeb"/>
        <w:widowControl/>
        <w:spacing w:before="0" w:beforeAutospacing="0" w:after="0" w:afterAutospacing="0"/>
        <w:contextualSpacing/>
      </w:pPr>
      <w:r w:rsidRPr="00AB2539">
        <w:rPr>
          <w:b/>
          <w:bCs/>
        </w:rPr>
        <w:t>TITLE:</w:t>
      </w:r>
      <w:r w:rsidRPr="00AB2539">
        <w:t xml:space="preserve"> </w:t>
      </w:r>
    </w:p>
    <w:p w14:paraId="1D373297" w14:textId="674B52D7" w:rsidR="00B36C6B" w:rsidRPr="00AB2539" w:rsidRDefault="00AD50C8" w:rsidP="00AB2539">
      <w:pPr>
        <w:widowControl/>
        <w:contextualSpacing/>
        <w:rPr>
          <w:color w:val="auto"/>
        </w:rPr>
      </w:pPr>
      <w:r w:rsidRPr="00AB2539">
        <w:rPr>
          <w:color w:val="auto"/>
        </w:rPr>
        <w:t>I</w:t>
      </w:r>
      <w:r w:rsidR="00E17B0D" w:rsidRPr="00AB2539">
        <w:rPr>
          <w:color w:val="auto"/>
        </w:rPr>
        <w:t xml:space="preserve">mmunohistochemistry </w:t>
      </w:r>
      <w:r w:rsidR="002004E4" w:rsidRPr="00AB2539">
        <w:rPr>
          <w:color w:val="auto"/>
        </w:rPr>
        <w:t xml:space="preserve">Techniques to </w:t>
      </w:r>
      <w:r w:rsidR="00F23BEE" w:rsidRPr="00AB2539">
        <w:rPr>
          <w:color w:val="auto"/>
        </w:rPr>
        <w:t>A</w:t>
      </w:r>
      <w:r w:rsidR="002004E4" w:rsidRPr="00AB2539">
        <w:rPr>
          <w:color w:val="auto"/>
        </w:rPr>
        <w:t xml:space="preserve">nalyze Cellular Proliferation and Neurogenesis </w:t>
      </w:r>
      <w:r w:rsidR="00834155">
        <w:rPr>
          <w:color w:val="auto"/>
        </w:rPr>
        <w:t xml:space="preserve">in Rats </w:t>
      </w:r>
      <w:r w:rsidR="00F23BEE" w:rsidRPr="00AB2539">
        <w:rPr>
          <w:color w:val="auto"/>
        </w:rPr>
        <w:t>U</w:t>
      </w:r>
      <w:r w:rsidR="002004E4" w:rsidRPr="00AB2539">
        <w:rPr>
          <w:color w:val="auto"/>
        </w:rPr>
        <w:t xml:space="preserve">sing the Thymidine Analog </w:t>
      </w:r>
      <w:proofErr w:type="spellStart"/>
      <w:r w:rsidR="002004E4" w:rsidRPr="00AB2539">
        <w:rPr>
          <w:color w:val="auto"/>
        </w:rPr>
        <w:t>BrdU</w:t>
      </w:r>
      <w:proofErr w:type="spellEnd"/>
      <w:r w:rsidR="00AB2539">
        <w:rPr>
          <w:color w:val="auto"/>
        </w:rPr>
        <w:t xml:space="preserve"> </w:t>
      </w:r>
    </w:p>
    <w:p w14:paraId="661CEEDB" w14:textId="6D65CEDD" w:rsidR="00FF078E" w:rsidRPr="00AB2539" w:rsidRDefault="00FF078E" w:rsidP="00AB2539">
      <w:pPr>
        <w:pStyle w:val="NormalWeb"/>
        <w:widowControl/>
        <w:spacing w:before="0" w:beforeAutospacing="0" w:after="0" w:afterAutospacing="0"/>
        <w:contextualSpacing/>
      </w:pPr>
    </w:p>
    <w:p w14:paraId="29A5346D" w14:textId="77777777" w:rsidR="004E07EF" w:rsidRPr="00AB2539" w:rsidRDefault="004E07EF" w:rsidP="00AB2539">
      <w:pPr>
        <w:widowControl/>
        <w:contextualSpacing/>
        <w:rPr>
          <w:color w:val="808080" w:themeColor="background1" w:themeShade="80"/>
          <w:lang w:val="es-MX"/>
        </w:rPr>
      </w:pPr>
      <w:r w:rsidRPr="00AB2539">
        <w:rPr>
          <w:b/>
          <w:bCs/>
          <w:lang w:val="es-MX"/>
        </w:rPr>
        <w:t>AUTHORS AND AFFILIATIONS:</w:t>
      </w:r>
    </w:p>
    <w:p w14:paraId="41D90C65" w14:textId="26306A9F" w:rsidR="004E07EF" w:rsidRPr="00AB2539" w:rsidRDefault="004E07EF" w:rsidP="00AB2539">
      <w:pPr>
        <w:widowControl/>
        <w:contextualSpacing/>
        <w:rPr>
          <w:color w:val="auto"/>
          <w:lang w:val="es-MX"/>
        </w:rPr>
      </w:pPr>
      <w:r w:rsidRPr="00AB2539">
        <w:rPr>
          <w:color w:val="auto"/>
          <w:lang w:val="es-MX"/>
        </w:rPr>
        <w:t>Mario Buenrostro-Jáuregui</w:t>
      </w:r>
      <w:r w:rsidRPr="00AB2539">
        <w:rPr>
          <w:color w:val="auto"/>
          <w:vertAlign w:val="superscript"/>
          <w:lang w:val="es-MX"/>
        </w:rPr>
        <w:t>1</w:t>
      </w:r>
      <w:r w:rsidRPr="008348CD">
        <w:rPr>
          <w:color w:val="auto"/>
          <w:lang w:val="es-MX"/>
        </w:rPr>
        <w:t>*</w:t>
      </w:r>
      <w:r w:rsidRPr="00AB2539">
        <w:rPr>
          <w:color w:val="auto"/>
          <w:lang w:val="es-MX"/>
        </w:rPr>
        <w:t>, Alejandro Tapia-de-Jesús</w:t>
      </w:r>
      <w:r w:rsidRPr="00AB2539">
        <w:rPr>
          <w:color w:val="auto"/>
          <w:vertAlign w:val="superscript"/>
          <w:lang w:val="es-MX"/>
        </w:rPr>
        <w:t>1</w:t>
      </w:r>
      <w:r w:rsidRPr="00AB2539">
        <w:rPr>
          <w:color w:val="auto"/>
          <w:lang w:val="es-MX"/>
        </w:rPr>
        <w:t>, Jesus Mata</w:t>
      </w:r>
      <w:r w:rsidRPr="00AB2539">
        <w:rPr>
          <w:color w:val="auto"/>
          <w:vertAlign w:val="superscript"/>
          <w:lang w:val="es-MX"/>
        </w:rPr>
        <w:t>1</w:t>
      </w:r>
      <w:r w:rsidRPr="00AB2539">
        <w:rPr>
          <w:color w:val="auto"/>
          <w:lang w:val="es-MX"/>
        </w:rPr>
        <w:t xml:space="preserve">, Luis </w:t>
      </w:r>
      <w:r w:rsidR="00086A15">
        <w:rPr>
          <w:color w:val="auto"/>
          <w:lang w:val="es-MX"/>
        </w:rPr>
        <w:t xml:space="preserve">M. </w:t>
      </w:r>
      <w:r w:rsidRPr="00AB2539">
        <w:rPr>
          <w:color w:val="auto"/>
          <w:lang w:val="es-MX"/>
        </w:rPr>
        <w:t>Rodríguez-Serrano</w:t>
      </w:r>
      <w:r w:rsidRPr="00AB2539">
        <w:rPr>
          <w:color w:val="auto"/>
          <w:vertAlign w:val="superscript"/>
          <w:lang w:val="es-MX"/>
        </w:rPr>
        <w:t>1</w:t>
      </w:r>
      <w:r w:rsidRPr="00AB2539">
        <w:rPr>
          <w:color w:val="auto"/>
          <w:lang w:val="es-MX"/>
        </w:rPr>
        <w:t>, María Elena Chávez-Hernández</w:t>
      </w:r>
      <w:r w:rsidRPr="00AB2539">
        <w:rPr>
          <w:color w:val="auto"/>
          <w:vertAlign w:val="superscript"/>
          <w:lang w:val="es-MX"/>
        </w:rPr>
        <w:t>1</w:t>
      </w:r>
      <w:r w:rsidRPr="00AB2539">
        <w:rPr>
          <w:color w:val="auto"/>
          <w:lang w:val="es-MX"/>
        </w:rPr>
        <w:t>, Florencia Mata</w:t>
      </w:r>
      <w:r w:rsidRPr="00AB2539">
        <w:rPr>
          <w:color w:val="auto"/>
          <w:vertAlign w:val="superscript"/>
          <w:lang w:val="es-MX"/>
        </w:rPr>
        <w:t>1</w:t>
      </w:r>
      <w:r w:rsidRPr="00AB2539">
        <w:rPr>
          <w:color w:val="auto"/>
          <w:lang w:val="es-MX"/>
        </w:rPr>
        <w:t>, Marco Monroy-Plasencia</w:t>
      </w:r>
      <w:r w:rsidRPr="00AB2539">
        <w:rPr>
          <w:color w:val="auto"/>
          <w:vertAlign w:val="superscript"/>
          <w:lang w:val="es-MX"/>
        </w:rPr>
        <w:t>1,2</w:t>
      </w:r>
      <w:r w:rsidRPr="00AB2539">
        <w:rPr>
          <w:color w:val="auto"/>
          <w:lang w:val="es-MX"/>
        </w:rPr>
        <w:t xml:space="preserve">, </w:t>
      </w:r>
      <w:r w:rsidRPr="00AB2539">
        <w:rPr>
          <w:bCs/>
          <w:color w:val="auto"/>
          <w:lang w:val="es-MX"/>
        </w:rPr>
        <w:t>Aixchell Camila Alonso-Flores</w:t>
      </w:r>
      <w:r w:rsidRPr="00AB2539">
        <w:rPr>
          <w:color w:val="auto"/>
          <w:vertAlign w:val="superscript"/>
          <w:lang w:val="es-MX"/>
        </w:rPr>
        <w:t>1</w:t>
      </w:r>
      <w:r w:rsidRPr="00AB2539">
        <w:rPr>
          <w:color w:val="auto"/>
          <w:lang w:val="es-MX"/>
        </w:rPr>
        <w:t>, Perla Leal-Galicia</w:t>
      </w:r>
      <w:r w:rsidRPr="00AB2539">
        <w:rPr>
          <w:color w:val="auto"/>
          <w:vertAlign w:val="superscript"/>
          <w:lang w:val="es-MX"/>
        </w:rPr>
        <w:t>1</w:t>
      </w:r>
      <w:r w:rsidR="00E518BE" w:rsidRPr="008348CD">
        <w:rPr>
          <w:color w:val="auto"/>
          <w:lang w:val="es-MX"/>
        </w:rPr>
        <w:t>*</w:t>
      </w:r>
    </w:p>
    <w:p w14:paraId="3EBD4D84" w14:textId="77777777" w:rsidR="004E07EF" w:rsidRPr="00AB2539" w:rsidRDefault="004E07EF" w:rsidP="00AB2539">
      <w:pPr>
        <w:widowControl/>
        <w:contextualSpacing/>
        <w:rPr>
          <w:color w:val="auto"/>
          <w:vertAlign w:val="superscript"/>
          <w:lang w:val="es-MX"/>
        </w:rPr>
      </w:pPr>
    </w:p>
    <w:p w14:paraId="7F539E16" w14:textId="77777777" w:rsidR="004E07EF" w:rsidRPr="00AB2539" w:rsidRDefault="004E07EF" w:rsidP="00AB2539">
      <w:pPr>
        <w:widowControl/>
        <w:contextualSpacing/>
        <w:rPr>
          <w:color w:val="auto"/>
          <w:lang w:val="es-MX"/>
        </w:rPr>
      </w:pPr>
      <w:r w:rsidRPr="00AB2539">
        <w:rPr>
          <w:color w:val="auto"/>
          <w:vertAlign w:val="superscript"/>
          <w:lang w:val="es-MX"/>
        </w:rPr>
        <w:t>1</w:t>
      </w:r>
      <w:r w:rsidRPr="00AB2539">
        <w:rPr>
          <w:color w:val="auto"/>
          <w:lang w:val="es-MX"/>
        </w:rPr>
        <w:t>Universidad Iberoamericana, Laboratorio de Neurociencias, Departamento de Psicología, México City, México</w:t>
      </w:r>
    </w:p>
    <w:p w14:paraId="45E4A9BA" w14:textId="77777777" w:rsidR="004E07EF" w:rsidRPr="00AB2539" w:rsidRDefault="004E07EF" w:rsidP="00AB2539">
      <w:pPr>
        <w:widowControl/>
        <w:contextualSpacing/>
        <w:rPr>
          <w:color w:val="auto"/>
          <w:lang w:val="es-MX"/>
        </w:rPr>
      </w:pPr>
      <w:r w:rsidRPr="00AB2539">
        <w:rPr>
          <w:color w:val="auto"/>
          <w:vertAlign w:val="superscript"/>
          <w:lang w:val="es-MX"/>
        </w:rPr>
        <w:t>2</w:t>
      </w:r>
      <w:r w:rsidRPr="00AB2539">
        <w:rPr>
          <w:color w:val="auto"/>
          <w:lang w:val="es-MX"/>
        </w:rPr>
        <w:t>Facultad de Ciencias, Universidad Autónoma del Estado de México, Toluca, México</w:t>
      </w:r>
    </w:p>
    <w:p w14:paraId="70502899" w14:textId="77777777" w:rsidR="004E07EF" w:rsidRPr="008348CD" w:rsidRDefault="004E07EF" w:rsidP="00AB2539">
      <w:pPr>
        <w:widowControl/>
        <w:contextualSpacing/>
        <w:rPr>
          <w:b/>
          <w:color w:val="auto"/>
          <w:lang w:val="es-MX"/>
        </w:rPr>
      </w:pPr>
    </w:p>
    <w:p w14:paraId="4E32623A" w14:textId="77777777" w:rsidR="004E07EF" w:rsidRPr="00AB2539" w:rsidRDefault="004E07EF" w:rsidP="00AB2539">
      <w:pPr>
        <w:widowControl/>
        <w:contextualSpacing/>
        <w:rPr>
          <w:bCs/>
          <w:color w:val="auto"/>
        </w:rPr>
      </w:pPr>
      <w:r w:rsidRPr="008348CD">
        <w:rPr>
          <w:b/>
          <w:color w:val="auto"/>
        </w:rPr>
        <w:t>Email addresses of co-authors:</w:t>
      </w:r>
    </w:p>
    <w:p w14:paraId="7DEF3398" w14:textId="36BE0348" w:rsidR="004E07EF" w:rsidRPr="00AB2539" w:rsidRDefault="004E07EF" w:rsidP="00AB2539">
      <w:pPr>
        <w:widowControl/>
        <w:contextualSpacing/>
        <w:rPr>
          <w:color w:val="auto"/>
          <w:vertAlign w:val="superscript"/>
          <w:lang w:val="es-MX"/>
        </w:rPr>
      </w:pPr>
      <w:r w:rsidRPr="00AB2539">
        <w:rPr>
          <w:color w:val="auto"/>
          <w:lang w:val="es-MX"/>
        </w:rPr>
        <w:t xml:space="preserve">Alejandro Tapia-de Jesús </w:t>
      </w:r>
      <w:r w:rsidR="00BB35FB" w:rsidRPr="00AB2539">
        <w:rPr>
          <w:color w:val="auto"/>
          <w:lang w:val="es-MX"/>
        </w:rPr>
        <w:tab/>
      </w:r>
      <w:r w:rsidR="00BB35FB" w:rsidRPr="00AB2539">
        <w:rPr>
          <w:color w:val="auto"/>
          <w:lang w:val="es-MX"/>
        </w:rPr>
        <w:tab/>
      </w:r>
      <w:r w:rsidRPr="00AB2539">
        <w:rPr>
          <w:color w:val="auto"/>
          <w:lang w:val="es-MX"/>
        </w:rPr>
        <w:t>(</w:t>
      </w:r>
      <w:hyperlink r:id="rId8" w:history="1">
        <w:r w:rsidRPr="00AB2539">
          <w:rPr>
            <w:rStyle w:val="Hyperlink"/>
            <w:lang w:val="es-MX"/>
          </w:rPr>
          <w:t>tapia.neuropsic@gmail.com</w:t>
        </w:r>
      </w:hyperlink>
      <w:r w:rsidRPr="00AB2539">
        <w:rPr>
          <w:color w:val="auto"/>
          <w:lang w:val="es-MX"/>
        </w:rPr>
        <w:t>)</w:t>
      </w:r>
    </w:p>
    <w:p w14:paraId="5C9B36F8" w14:textId="13329CF6" w:rsidR="004E07EF" w:rsidRPr="00AB2539" w:rsidRDefault="004E07EF" w:rsidP="00AB2539">
      <w:pPr>
        <w:widowControl/>
        <w:contextualSpacing/>
        <w:rPr>
          <w:color w:val="auto"/>
          <w:vertAlign w:val="superscript"/>
          <w:lang w:val="es-MX"/>
        </w:rPr>
      </w:pPr>
      <w:r w:rsidRPr="00AB2539">
        <w:rPr>
          <w:color w:val="auto"/>
          <w:lang w:val="es-MX"/>
        </w:rPr>
        <w:t xml:space="preserve">Jesus Mata </w:t>
      </w:r>
      <w:r w:rsidR="00BB35FB" w:rsidRPr="00AB2539">
        <w:rPr>
          <w:color w:val="auto"/>
          <w:lang w:val="es-MX"/>
        </w:rPr>
        <w:tab/>
      </w:r>
      <w:r w:rsidR="00BB35FB" w:rsidRPr="00AB2539">
        <w:rPr>
          <w:color w:val="auto"/>
          <w:lang w:val="es-MX"/>
        </w:rPr>
        <w:tab/>
      </w:r>
      <w:r w:rsidR="00BB35FB" w:rsidRPr="00AB2539">
        <w:rPr>
          <w:color w:val="auto"/>
          <w:lang w:val="es-MX"/>
        </w:rPr>
        <w:tab/>
      </w:r>
      <w:r w:rsidR="00BB35FB" w:rsidRPr="00AB2539">
        <w:rPr>
          <w:color w:val="auto"/>
          <w:lang w:val="es-MX"/>
        </w:rPr>
        <w:tab/>
      </w:r>
      <w:r w:rsidRPr="00AB2539">
        <w:rPr>
          <w:color w:val="auto"/>
          <w:lang w:val="es-MX"/>
        </w:rPr>
        <w:t>(</w:t>
      </w:r>
      <w:hyperlink r:id="rId9" w:history="1">
        <w:r w:rsidRPr="00AB2539">
          <w:rPr>
            <w:rStyle w:val="Hyperlink"/>
            <w:lang w:val="es-MX"/>
          </w:rPr>
          <w:t>jarmando.luevanos@gmail.com</w:t>
        </w:r>
      </w:hyperlink>
      <w:r w:rsidRPr="00AB2539">
        <w:rPr>
          <w:color w:val="auto"/>
          <w:lang w:val="es-MX"/>
        </w:rPr>
        <w:t xml:space="preserve">) </w:t>
      </w:r>
    </w:p>
    <w:p w14:paraId="49989F89" w14:textId="6E351106" w:rsidR="004E07EF" w:rsidRPr="00AB2539" w:rsidRDefault="004E07EF" w:rsidP="00AB2539">
      <w:pPr>
        <w:widowControl/>
        <w:contextualSpacing/>
        <w:rPr>
          <w:color w:val="auto"/>
          <w:vertAlign w:val="superscript"/>
          <w:lang w:val="es-MX"/>
        </w:rPr>
      </w:pPr>
      <w:r w:rsidRPr="00AB2539">
        <w:rPr>
          <w:color w:val="auto"/>
          <w:lang w:val="es-MX"/>
        </w:rPr>
        <w:t xml:space="preserve">Luis Rodríguez-Serrano </w:t>
      </w:r>
      <w:r w:rsidR="00BB35FB" w:rsidRPr="00AB2539">
        <w:rPr>
          <w:color w:val="auto"/>
          <w:lang w:val="es-MX"/>
        </w:rPr>
        <w:tab/>
      </w:r>
      <w:r w:rsidR="00BB35FB" w:rsidRPr="00AB2539">
        <w:rPr>
          <w:color w:val="auto"/>
          <w:lang w:val="es-MX"/>
        </w:rPr>
        <w:tab/>
      </w:r>
      <w:r w:rsidRPr="00AB2539">
        <w:rPr>
          <w:color w:val="auto"/>
          <w:lang w:val="es-MX"/>
        </w:rPr>
        <w:t>(</w:t>
      </w:r>
      <w:hyperlink r:id="rId10" w:history="1">
        <w:r w:rsidRPr="00AB2539">
          <w:rPr>
            <w:rStyle w:val="Hyperlink"/>
            <w:lang w:val="es-MX"/>
          </w:rPr>
          <w:t>cosmonauta84@yahoo.com.mx</w:t>
        </w:r>
      </w:hyperlink>
      <w:r w:rsidRPr="00AB2539">
        <w:rPr>
          <w:color w:val="auto"/>
          <w:lang w:val="es-MX"/>
        </w:rPr>
        <w:t>)</w:t>
      </w:r>
      <w:r w:rsidR="00EB0961">
        <w:rPr>
          <w:color w:val="auto"/>
          <w:lang w:val="es-MX"/>
        </w:rPr>
        <w:t xml:space="preserve"> </w:t>
      </w:r>
    </w:p>
    <w:p w14:paraId="7F2D23A2" w14:textId="3FF24A05" w:rsidR="004E07EF" w:rsidRPr="00AB2539" w:rsidRDefault="004E07EF" w:rsidP="00AB2539">
      <w:pPr>
        <w:widowControl/>
        <w:contextualSpacing/>
        <w:rPr>
          <w:color w:val="auto"/>
          <w:vertAlign w:val="superscript"/>
          <w:lang w:val="es-MX"/>
        </w:rPr>
      </w:pPr>
      <w:r w:rsidRPr="00AB2539">
        <w:rPr>
          <w:color w:val="auto"/>
          <w:lang w:val="es-MX"/>
        </w:rPr>
        <w:t xml:space="preserve">María Elena Chávez </w:t>
      </w:r>
      <w:r w:rsidR="00BB35FB" w:rsidRPr="00AB2539">
        <w:rPr>
          <w:color w:val="auto"/>
          <w:lang w:val="es-MX"/>
        </w:rPr>
        <w:tab/>
      </w:r>
      <w:r w:rsidR="00BB35FB" w:rsidRPr="00AB2539">
        <w:rPr>
          <w:color w:val="auto"/>
          <w:lang w:val="es-MX"/>
        </w:rPr>
        <w:tab/>
      </w:r>
      <w:r w:rsidR="00BB35FB" w:rsidRPr="00AB2539">
        <w:rPr>
          <w:color w:val="auto"/>
          <w:lang w:val="es-MX"/>
        </w:rPr>
        <w:tab/>
      </w:r>
      <w:r w:rsidRPr="00AB2539">
        <w:rPr>
          <w:color w:val="auto"/>
          <w:lang w:val="es-MX"/>
        </w:rPr>
        <w:t>(</w:t>
      </w:r>
      <w:hyperlink r:id="rId11" w:history="1">
        <w:r w:rsidRPr="00AB2539">
          <w:rPr>
            <w:rStyle w:val="Hyperlink"/>
            <w:lang w:val="es-MX"/>
          </w:rPr>
          <w:t>mariele_chavez@yahoo.com</w:t>
        </w:r>
      </w:hyperlink>
      <w:r w:rsidRPr="00AB2539">
        <w:rPr>
          <w:color w:val="auto"/>
          <w:lang w:val="es-MX"/>
        </w:rPr>
        <w:t xml:space="preserve">) </w:t>
      </w:r>
    </w:p>
    <w:p w14:paraId="01BCE807" w14:textId="04DB1389" w:rsidR="004E07EF" w:rsidRPr="00AB2539" w:rsidRDefault="004E07EF" w:rsidP="00AB2539">
      <w:pPr>
        <w:widowControl/>
        <w:contextualSpacing/>
        <w:rPr>
          <w:color w:val="auto"/>
          <w:vertAlign w:val="superscript"/>
          <w:lang w:val="es-MX"/>
        </w:rPr>
      </w:pPr>
      <w:r w:rsidRPr="00AB2539">
        <w:rPr>
          <w:color w:val="auto"/>
          <w:lang w:val="es-MX"/>
        </w:rPr>
        <w:t xml:space="preserve">Florencia Mata </w:t>
      </w:r>
      <w:r w:rsidR="00BB35FB" w:rsidRPr="00AB2539">
        <w:rPr>
          <w:color w:val="auto"/>
          <w:lang w:val="es-MX"/>
        </w:rPr>
        <w:tab/>
      </w:r>
      <w:r w:rsidR="00BB35FB" w:rsidRPr="00AB2539">
        <w:rPr>
          <w:color w:val="auto"/>
          <w:lang w:val="es-MX"/>
        </w:rPr>
        <w:tab/>
      </w:r>
      <w:r w:rsidR="00BB35FB" w:rsidRPr="00AB2539">
        <w:rPr>
          <w:color w:val="auto"/>
          <w:lang w:val="es-MX"/>
        </w:rPr>
        <w:tab/>
      </w:r>
      <w:r w:rsidRPr="00AB2539">
        <w:rPr>
          <w:color w:val="auto"/>
          <w:lang w:val="es-MX"/>
        </w:rPr>
        <w:t>(</w:t>
      </w:r>
      <w:hyperlink r:id="rId12" w:history="1">
        <w:r w:rsidRPr="00AB2539">
          <w:rPr>
            <w:rStyle w:val="Hyperlink"/>
            <w:lang w:val="es-MX"/>
          </w:rPr>
          <w:t>maria.florencia@ibero.mx</w:t>
        </w:r>
      </w:hyperlink>
      <w:r w:rsidRPr="00AB2539">
        <w:rPr>
          <w:color w:val="auto"/>
          <w:lang w:val="es-MX"/>
        </w:rPr>
        <w:t>)</w:t>
      </w:r>
      <w:r w:rsidR="00EB0961">
        <w:rPr>
          <w:color w:val="auto"/>
          <w:lang w:val="es-MX"/>
        </w:rPr>
        <w:t xml:space="preserve"> </w:t>
      </w:r>
    </w:p>
    <w:p w14:paraId="471E16DB" w14:textId="26C53F32" w:rsidR="004E07EF" w:rsidRPr="00AB2539" w:rsidRDefault="004E07EF" w:rsidP="00AB2539">
      <w:pPr>
        <w:widowControl/>
        <w:contextualSpacing/>
        <w:rPr>
          <w:bCs/>
          <w:color w:val="auto"/>
          <w:lang w:val="es-MX"/>
        </w:rPr>
      </w:pPr>
      <w:r w:rsidRPr="00AB2539">
        <w:rPr>
          <w:bCs/>
          <w:color w:val="auto"/>
          <w:lang w:val="es-MX"/>
        </w:rPr>
        <w:t>Aixchell Camila Alonso-Flores</w:t>
      </w:r>
      <w:r w:rsidR="00BB35FB" w:rsidRPr="00AB2539">
        <w:rPr>
          <w:bCs/>
          <w:color w:val="auto"/>
          <w:lang w:val="es-MX"/>
        </w:rPr>
        <w:t xml:space="preserve"> </w:t>
      </w:r>
      <w:r w:rsidR="00BB35FB" w:rsidRPr="00AB2539">
        <w:rPr>
          <w:bCs/>
          <w:color w:val="auto"/>
          <w:lang w:val="es-MX"/>
        </w:rPr>
        <w:tab/>
      </w:r>
      <w:r w:rsidRPr="00AB2539">
        <w:rPr>
          <w:bCs/>
          <w:color w:val="auto"/>
          <w:lang w:val="es-MX"/>
        </w:rPr>
        <w:t>(</w:t>
      </w:r>
      <w:hyperlink r:id="rId13" w:history="1">
        <w:r w:rsidRPr="00AB2539">
          <w:rPr>
            <w:rStyle w:val="Hyperlink"/>
            <w:bCs/>
            <w:lang w:val="es-MX"/>
          </w:rPr>
          <w:t>aixchell2001@gmail.com</w:t>
        </w:r>
      </w:hyperlink>
      <w:r w:rsidRPr="00AB2539">
        <w:rPr>
          <w:bCs/>
          <w:color w:val="auto"/>
          <w:lang w:val="es-MX"/>
        </w:rPr>
        <w:t xml:space="preserve">) </w:t>
      </w:r>
    </w:p>
    <w:p w14:paraId="685F9FE2" w14:textId="302F0515" w:rsidR="004E07EF" w:rsidRPr="00AB2539" w:rsidRDefault="004E07EF" w:rsidP="00AB2539">
      <w:pPr>
        <w:widowControl/>
        <w:contextualSpacing/>
        <w:rPr>
          <w:bCs/>
          <w:color w:val="auto"/>
          <w:lang w:val="es-MX"/>
        </w:rPr>
      </w:pPr>
      <w:r w:rsidRPr="00AB2539">
        <w:rPr>
          <w:color w:val="auto"/>
          <w:lang w:val="es-MX"/>
        </w:rPr>
        <w:t xml:space="preserve">Marco Monroy-Plasencia </w:t>
      </w:r>
      <w:r w:rsidR="00BB35FB" w:rsidRPr="00AB2539">
        <w:rPr>
          <w:color w:val="auto"/>
          <w:lang w:val="es-MX"/>
        </w:rPr>
        <w:tab/>
      </w:r>
      <w:r w:rsidR="00BB35FB" w:rsidRPr="00AB2539">
        <w:rPr>
          <w:color w:val="auto"/>
          <w:lang w:val="es-MX"/>
        </w:rPr>
        <w:tab/>
      </w:r>
      <w:r w:rsidRPr="00AB2539">
        <w:rPr>
          <w:color w:val="auto"/>
          <w:lang w:val="es-MX"/>
        </w:rPr>
        <w:t>(</w:t>
      </w:r>
      <w:hyperlink r:id="rId14" w:history="1">
        <w:r w:rsidRPr="00AB2539">
          <w:rPr>
            <w:rStyle w:val="Hyperlink"/>
            <w:lang w:val="es-MX"/>
          </w:rPr>
          <w:t>marcosmmp22@hotmail.com</w:t>
        </w:r>
      </w:hyperlink>
      <w:r w:rsidRPr="00AB2539">
        <w:rPr>
          <w:color w:val="auto"/>
          <w:lang w:val="es-MX"/>
        </w:rPr>
        <w:t>)</w:t>
      </w:r>
    </w:p>
    <w:p w14:paraId="37858728" w14:textId="09B1CA6C" w:rsidR="004E07EF" w:rsidRPr="00AB2539" w:rsidRDefault="004E07EF" w:rsidP="00AB2539">
      <w:pPr>
        <w:widowControl/>
        <w:contextualSpacing/>
        <w:rPr>
          <w:bCs/>
          <w:color w:val="auto"/>
          <w:lang w:val="es-MX"/>
        </w:rPr>
      </w:pPr>
    </w:p>
    <w:p w14:paraId="238ACA94" w14:textId="5C975B26" w:rsidR="00E518BE" w:rsidRPr="00AB2539" w:rsidRDefault="00E518BE" w:rsidP="00AB2539">
      <w:pPr>
        <w:widowControl/>
        <w:rPr>
          <w:bCs/>
          <w:color w:val="auto"/>
        </w:rPr>
      </w:pPr>
      <w:r w:rsidRPr="00AB2539">
        <w:rPr>
          <w:bCs/>
          <w:color w:val="auto"/>
        </w:rPr>
        <w:t>*Th</w:t>
      </w:r>
      <w:r w:rsidR="00FC339D" w:rsidRPr="00AB2539">
        <w:rPr>
          <w:bCs/>
          <w:color w:val="auto"/>
        </w:rPr>
        <w:t>ese</w:t>
      </w:r>
      <w:r w:rsidRPr="00AB2539">
        <w:rPr>
          <w:bCs/>
          <w:color w:val="auto"/>
        </w:rPr>
        <w:t xml:space="preserve"> authors contributed equally</w:t>
      </w:r>
    </w:p>
    <w:p w14:paraId="189ECC25" w14:textId="06F600A9" w:rsidR="004E07EF" w:rsidRPr="008348CD" w:rsidRDefault="004E07EF" w:rsidP="00AB2539">
      <w:pPr>
        <w:widowControl/>
        <w:contextualSpacing/>
        <w:rPr>
          <w:b/>
          <w:color w:val="auto"/>
        </w:rPr>
      </w:pPr>
    </w:p>
    <w:p w14:paraId="1F0A6D47" w14:textId="1F34E8E9" w:rsidR="004E07EF" w:rsidRPr="00AB2539" w:rsidRDefault="004E07EF" w:rsidP="00AB2539">
      <w:pPr>
        <w:widowControl/>
        <w:contextualSpacing/>
        <w:rPr>
          <w:bCs/>
          <w:color w:val="auto"/>
        </w:rPr>
      </w:pPr>
      <w:r w:rsidRPr="008348CD">
        <w:rPr>
          <w:b/>
          <w:color w:val="auto"/>
        </w:rPr>
        <w:t xml:space="preserve">Corresponding author: </w:t>
      </w:r>
    </w:p>
    <w:p w14:paraId="6E0EFB5B" w14:textId="244BD9BC" w:rsidR="004E07EF" w:rsidRPr="00AB2539" w:rsidRDefault="004E07EF" w:rsidP="00AB2539">
      <w:pPr>
        <w:widowControl/>
        <w:contextualSpacing/>
        <w:rPr>
          <w:color w:val="auto"/>
          <w:lang w:val="es-MX"/>
        </w:rPr>
      </w:pPr>
      <w:r w:rsidRPr="00AB2539">
        <w:rPr>
          <w:color w:val="auto"/>
          <w:lang w:val="es-MX"/>
        </w:rPr>
        <w:t xml:space="preserve">Mario Buenrostro-Jáuregui </w:t>
      </w:r>
      <w:r w:rsidR="00BB35FB" w:rsidRPr="00AB2539">
        <w:rPr>
          <w:color w:val="auto"/>
          <w:lang w:val="es-MX"/>
        </w:rPr>
        <w:tab/>
      </w:r>
      <w:r w:rsidR="00BB35FB" w:rsidRPr="00AB2539">
        <w:rPr>
          <w:color w:val="auto"/>
          <w:lang w:val="es-MX"/>
        </w:rPr>
        <w:tab/>
      </w:r>
      <w:r w:rsidRPr="00AB2539">
        <w:rPr>
          <w:color w:val="auto"/>
          <w:lang w:val="es-MX"/>
        </w:rPr>
        <w:t>(</w:t>
      </w:r>
      <w:hyperlink r:id="rId15" w:history="1">
        <w:r w:rsidRPr="00AB2539">
          <w:rPr>
            <w:rStyle w:val="Hyperlink"/>
            <w:lang w:val="es-MX"/>
          </w:rPr>
          <w:t>mario.buenrostro@ibero.mx</w:t>
        </w:r>
      </w:hyperlink>
      <w:r w:rsidRPr="00AB2539">
        <w:rPr>
          <w:color w:val="auto"/>
          <w:lang w:val="es-MX"/>
        </w:rPr>
        <w:t>)</w:t>
      </w:r>
    </w:p>
    <w:p w14:paraId="4FCDC599" w14:textId="33CF3349" w:rsidR="004E07EF" w:rsidRPr="00AB2539" w:rsidRDefault="004E07EF" w:rsidP="00AB2539">
      <w:pPr>
        <w:widowControl/>
        <w:contextualSpacing/>
        <w:rPr>
          <w:bCs/>
          <w:color w:val="auto"/>
          <w:lang w:val="es-MX"/>
        </w:rPr>
      </w:pPr>
      <w:r w:rsidRPr="00AB2539">
        <w:rPr>
          <w:color w:val="auto"/>
          <w:lang w:val="es-MX"/>
        </w:rPr>
        <w:t xml:space="preserve">Perla Leal-Galicia </w:t>
      </w:r>
      <w:r w:rsidR="00BB35FB" w:rsidRPr="00AB2539">
        <w:rPr>
          <w:color w:val="auto"/>
          <w:lang w:val="es-MX"/>
        </w:rPr>
        <w:tab/>
      </w:r>
      <w:r w:rsidR="00BB35FB" w:rsidRPr="00AB2539">
        <w:rPr>
          <w:color w:val="auto"/>
          <w:lang w:val="es-MX"/>
        </w:rPr>
        <w:tab/>
      </w:r>
      <w:r w:rsidR="00BB35FB" w:rsidRPr="00AB2539">
        <w:rPr>
          <w:color w:val="auto"/>
          <w:lang w:val="es-MX"/>
        </w:rPr>
        <w:tab/>
      </w:r>
      <w:r w:rsidRPr="00AB2539">
        <w:rPr>
          <w:color w:val="auto"/>
          <w:lang w:val="es-MX"/>
        </w:rPr>
        <w:t>(</w:t>
      </w:r>
      <w:hyperlink r:id="rId16" w:history="1">
        <w:r w:rsidRPr="00AB2539">
          <w:rPr>
            <w:rStyle w:val="Hyperlink"/>
            <w:lang w:val="es-MX"/>
          </w:rPr>
          <w:t>perlalealgalicia@hotmail.com</w:t>
        </w:r>
      </w:hyperlink>
      <w:r w:rsidRPr="00AB2539">
        <w:rPr>
          <w:color w:val="auto"/>
          <w:lang w:val="es-MX"/>
        </w:rPr>
        <w:t xml:space="preserve">) </w:t>
      </w:r>
    </w:p>
    <w:p w14:paraId="24225C05" w14:textId="77777777" w:rsidR="004E07EF" w:rsidRPr="00AB2539" w:rsidRDefault="004E07EF" w:rsidP="00AB2539">
      <w:pPr>
        <w:widowControl/>
        <w:contextualSpacing/>
        <w:rPr>
          <w:bCs/>
          <w:color w:val="808080" w:themeColor="background1" w:themeShade="80"/>
          <w:lang w:val="es-MX"/>
        </w:rPr>
      </w:pPr>
    </w:p>
    <w:p w14:paraId="5530F2B3" w14:textId="77777777" w:rsidR="004E07EF" w:rsidRPr="00AB2539" w:rsidRDefault="004E07EF" w:rsidP="00AB2539">
      <w:pPr>
        <w:pStyle w:val="NormalWeb"/>
        <w:widowControl/>
        <w:spacing w:before="0" w:beforeAutospacing="0" w:after="0" w:afterAutospacing="0"/>
        <w:contextualSpacing/>
      </w:pPr>
      <w:r w:rsidRPr="00AB2539">
        <w:rPr>
          <w:b/>
          <w:bCs/>
        </w:rPr>
        <w:t>KEYWORDS:</w:t>
      </w:r>
    </w:p>
    <w:p w14:paraId="51DB906C" w14:textId="684E24A4" w:rsidR="004E07EF" w:rsidRPr="00AB2539" w:rsidRDefault="004E07EF" w:rsidP="00AB2539">
      <w:pPr>
        <w:pStyle w:val="NormalWeb"/>
        <w:widowControl/>
        <w:spacing w:before="0" w:beforeAutospacing="0" w:after="0" w:afterAutospacing="0"/>
        <w:contextualSpacing/>
      </w:pPr>
      <w:proofErr w:type="spellStart"/>
      <w:r w:rsidRPr="00AB2539">
        <w:t>BrdU</w:t>
      </w:r>
      <w:proofErr w:type="spellEnd"/>
      <w:r w:rsidR="002004E4" w:rsidRPr="00AB2539">
        <w:t>,</w:t>
      </w:r>
      <w:r w:rsidRPr="00AB2539">
        <w:t xml:space="preserve"> </w:t>
      </w:r>
      <w:r w:rsidR="002004E4" w:rsidRPr="00AB2539">
        <w:t>h</w:t>
      </w:r>
      <w:r w:rsidRPr="00AB2539">
        <w:t>ippocampus</w:t>
      </w:r>
      <w:r w:rsidR="002004E4" w:rsidRPr="00AB2539">
        <w:t>,</w:t>
      </w:r>
      <w:r w:rsidRPr="00AB2539">
        <w:t xml:space="preserve"> </w:t>
      </w:r>
      <w:r w:rsidR="002004E4" w:rsidRPr="00AB2539">
        <w:t>d</w:t>
      </w:r>
      <w:r w:rsidRPr="00AB2539">
        <w:t>entate gyrus</w:t>
      </w:r>
      <w:r w:rsidR="002004E4" w:rsidRPr="00AB2539">
        <w:t>,</w:t>
      </w:r>
      <w:r w:rsidRPr="00AB2539">
        <w:t xml:space="preserve"> </w:t>
      </w:r>
      <w:r w:rsidR="002004E4" w:rsidRPr="00AB2539">
        <w:rPr>
          <w:color w:val="auto"/>
        </w:rPr>
        <w:t>n</w:t>
      </w:r>
      <w:r w:rsidRPr="00AB2539">
        <w:rPr>
          <w:color w:val="auto"/>
        </w:rPr>
        <w:t>eurogenesis</w:t>
      </w:r>
      <w:r w:rsidR="002004E4" w:rsidRPr="00AB2539">
        <w:rPr>
          <w:color w:val="auto"/>
        </w:rPr>
        <w:t>,</w:t>
      </w:r>
      <w:r w:rsidRPr="00AB2539">
        <w:rPr>
          <w:color w:val="auto"/>
        </w:rPr>
        <w:t xml:space="preserve"> </w:t>
      </w:r>
      <w:r w:rsidR="002004E4" w:rsidRPr="00AB2539">
        <w:rPr>
          <w:color w:val="auto"/>
        </w:rPr>
        <w:t>a</w:t>
      </w:r>
      <w:r w:rsidRPr="00AB2539">
        <w:rPr>
          <w:color w:val="auto"/>
        </w:rPr>
        <w:t>ntigen retrieval</w:t>
      </w:r>
      <w:r w:rsidR="002004E4" w:rsidRPr="00AB2539">
        <w:rPr>
          <w:color w:val="auto"/>
        </w:rPr>
        <w:t>,</w:t>
      </w:r>
      <w:r w:rsidRPr="00AB2539">
        <w:rPr>
          <w:color w:val="auto"/>
        </w:rPr>
        <w:t xml:space="preserve"> </w:t>
      </w:r>
      <w:r w:rsidR="002004E4" w:rsidRPr="00AB2539">
        <w:rPr>
          <w:color w:val="auto"/>
        </w:rPr>
        <w:t>d</w:t>
      </w:r>
      <w:r w:rsidRPr="00AB2539">
        <w:rPr>
          <w:color w:val="auto"/>
        </w:rPr>
        <w:t>etection methods</w:t>
      </w:r>
      <w:r w:rsidR="002004E4" w:rsidRPr="00AB2539">
        <w:rPr>
          <w:color w:val="auto"/>
        </w:rPr>
        <w:t>,</w:t>
      </w:r>
      <w:r w:rsidRPr="00AB2539">
        <w:rPr>
          <w:color w:val="auto"/>
        </w:rPr>
        <w:t xml:space="preserve"> </w:t>
      </w:r>
      <w:r w:rsidR="002004E4" w:rsidRPr="00AB2539">
        <w:rPr>
          <w:color w:val="auto"/>
        </w:rPr>
        <w:t>f</w:t>
      </w:r>
      <w:r w:rsidRPr="00AB2539">
        <w:rPr>
          <w:color w:val="auto"/>
        </w:rPr>
        <w:t>ixation</w:t>
      </w:r>
      <w:r w:rsidR="002004E4" w:rsidRPr="00AB2539">
        <w:rPr>
          <w:color w:val="auto"/>
        </w:rPr>
        <w:t>,</w:t>
      </w:r>
      <w:r w:rsidRPr="00AB2539">
        <w:rPr>
          <w:color w:val="auto"/>
        </w:rPr>
        <w:t xml:space="preserve"> </w:t>
      </w:r>
      <w:r w:rsidR="002004E4" w:rsidRPr="00AB2539">
        <w:rPr>
          <w:color w:val="auto"/>
        </w:rPr>
        <w:t>i</w:t>
      </w:r>
      <w:r w:rsidRPr="00AB2539">
        <w:rPr>
          <w:color w:val="auto"/>
        </w:rPr>
        <w:t>mmunohistochemistry</w:t>
      </w:r>
      <w:r w:rsidR="002004E4" w:rsidRPr="00AB2539">
        <w:rPr>
          <w:color w:val="auto"/>
        </w:rPr>
        <w:t>,</w:t>
      </w:r>
      <w:r w:rsidRPr="00AB2539">
        <w:rPr>
          <w:color w:val="auto"/>
        </w:rPr>
        <w:t xml:space="preserve"> </w:t>
      </w:r>
      <w:r w:rsidR="002004E4" w:rsidRPr="00AB2539">
        <w:rPr>
          <w:color w:val="auto"/>
        </w:rPr>
        <w:t>i</w:t>
      </w:r>
      <w:r w:rsidRPr="00AB2539">
        <w:rPr>
          <w:color w:val="auto"/>
        </w:rPr>
        <w:t>mmunofluorescence</w:t>
      </w:r>
      <w:r w:rsidR="002004E4" w:rsidRPr="00AB2539">
        <w:rPr>
          <w:color w:val="auto"/>
        </w:rPr>
        <w:t>,</w:t>
      </w:r>
      <w:r w:rsidRPr="00AB2539">
        <w:rPr>
          <w:color w:val="auto"/>
        </w:rPr>
        <w:t xml:space="preserve"> </w:t>
      </w:r>
      <w:r w:rsidR="002004E4" w:rsidRPr="00AB2539">
        <w:rPr>
          <w:color w:val="auto"/>
        </w:rPr>
        <w:t>s</w:t>
      </w:r>
      <w:r w:rsidRPr="00AB2539">
        <w:rPr>
          <w:color w:val="auto"/>
        </w:rPr>
        <w:t>tandardization</w:t>
      </w:r>
      <w:r w:rsidR="002004E4" w:rsidRPr="00AB2539">
        <w:rPr>
          <w:color w:val="auto"/>
        </w:rPr>
        <w:t>,</w:t>
      </w:r>
      <w:r w:rsidRPr="00AB2539">
        <w:rPr>
          <w:color w:val="auto"/>
        </w:rPr>
        <w:t xml:space="preserve"> </w:t>
      </w:r>
      <w:r w:rsidR="002004E4" w:rsidRPr="00AB2539">
        <w:rPr>
          <w:color w:val="auto"/>
        </w:rPr>
        <w:t>t</w:t>
      </w:r>
      <w:r w:rsidRPr="00AB2539">
        <w:rPr>
          <w:color w:val="auto"/>
        </w:rPr>
        <w:t>roubleshooting</w:t>
      </w:r>
      <w:r w:rsidR="002004E4" w:rsidRPr="00AB2539">
        <w:rPr>
          <w:color w:val="auto"/>
        </w:rPr>
        <w:t>,</w:t>
      </w:r>
      <w:r w:rsidRPr="00AB2539">
        <w:rPr>
          <w:color w:val="auto"/>
        </w:rPr>
        <w:t xml:space="preserve"> </w:t>
      </w:r>
      <w:r w:rsidR="002004E4" w:rsidRPr="00AB2539">
        <w:rPr>
          <w:color w:val="auto"/>
        </w:rPr>
        <w:t>i</w:t>
      </w:r>
      <w:r w:rsidRPr="00AB2539">
        <w:rPr>
          <w:color w:val="auto"/>
        </w:rPr>
        <w:t xml:space="preserve">mage </w:t>
      </w:r>
      <w:r w:rsidR="002004E4" w:rsidRPr="00AB2539">
        <w:rPr>
          <w:color w:val="auto"/>
        </w:rPr>
        <w:t>d</w:t>
      </w:r>
      <w:r w:rsidRPr="00AB2539">
        <w:rPr>
          <w:color w:val="auto"/>
        </w:rPr>
        <w:t xml:space="preserve">econvolution </w:t>
      </w:r>
    </w:p>
    <w:p w14:paraId="75BDE1AD" w14:textId="77777777" w:rsidR="004E07EF" w:rsidRPr="00AB2539" w:rsidRDefault="004E07EF" w:rsidP="00AB2539">
      <w:pPr>
        <w:pStyle w:val="NormalWeb"/>
        <w:widowControl/>
        <w:spacing w:before="0" w:beforeAutospacing="0" w:after="0" w:afterAutospacing="0"/>
        <w:contextualSpacing/>
      </w:pPr>
    </w:p>
    <w:p w14:paraId="628AC4B5" w14:textId="349DBAA5" w:rsidR="006305D7" w:rsidRPr="00AB2539" w:rsidRDefault="00086FF5" w:rsidP="00AB2539">
      <w:pPr>
        <w:widowControl/>
        <w:contextualSpacing/>
      </w:pPr>
      <w:r w:rsidRPr="00AB2539">
        <w:rPr>
          <w:b/>
          <w:bCs/>
        </w:rPr>
        <w:t>SUMMARY</w:t>
      </w:r>
      <w:r w:rsidR="006305D7" w:rsidRPr="00AB2539">
        <w:rPr>
          <w:b/>
          <w:bCs/>
        </w:rPr>
        <w:t>:</w:t>
      </w:r>
      <w:r w:rsidR="006305D7" w:rsidRPr="00AB2539">
        <w:t xml:space="preserve"> </w:t>
      </w:r>
    </w:p>
    <w:p w14:paraId="2E439C3D" w14:textId="483BEC3F" w:rsidR="00891435" w:rsidRPr="00AB2539" w:rsidRDefault="00140C11" w:rsidP="00AB2539">
      <w:pPr>
        <w:widowControl/>
        <w:contextualSpacing/>
      </w:pPr>
      <w:r w:rsidRPr="00AB2539">
        <w:t xml:space="preserve">This paper presents four of the most common techniques for visualizing </w:t>
      </w:r>
      <w:proofErr w:type="spellStart"/>
      <w:r w:rsidRPr="00AB2539">
        <w:t>BrdU</w:t>
      </w:r>
      <w:proofErr w:type="spellEnd"/>
      <w:r w:rsidRPr="00AB2539">
        <w:t xml:space="preserve"> positive cells to measure adult neurogenesis</w:t>
      </w:r>
      <w:r w:rsidR="00AB2539">
        <w:t xml:space="preserve"> in rats</w:t>
      </w:r>
      <w:r w:rsidRPr="00AB2539">
        <w:t xml:space="preserve">. </w:t>
      </w:r>
      <w:r w:rsidR="00864C4C" w:rsidRPr="00AB2539">
        <w:t xml:space="preserve">This work </w:t>
      </w:r>
      <w:r w:rsidR="009C496C" w:rsidRPr="00AB2539">
        <w:t xml:space="preserve">includes instructions for reagent preparation, thymidine analog administration, </w:t>
      </w:r>
      <w:proofErr w:type="spellStart"/>
      <w:r w:rsidR="009C496C" w:rsidRPr="00AB2539">
        <w:t>transcardial</w:t>
      </w:r>
      <w:proofErr w:type="spellEnd"/>
      <w:r w:rsidR="009C496C" w:rsidRPr="00AB2539">
        <w:t xml:space="preserve"> perfusion, tissue preparation, </w:t>
      </w:r>
      <w:r w:rsidR="001E79E6" w:rsidRPr="00AB2539">
        <w:t>peroxidase immunohistochemical reaction</w:t>
      </w:r>
      <w:r w:rsidR="009C496C" w:rsidRPr="00AB2539">
        <w:t xml:space="preserve">, immunofluorescence, </w:t>
      </w:r>
      <w:r w:rsidR="002A3FBF" w:rsidRPr="00AB2539">
        <w:t xml:space="preserve">signal amplification, </w:t>
      </w:r>
      <w:r w:rsidR="009C496C" w:rsidRPr="00AB2539">
        <w:t xml:space="preserve">counterstaining, microscopy imaging, and cell analysis. </w:t>
      </w:r>
    </w:p>
    <w:p w14:paraId="761028D6" w14:textId="77777777" w:rsidR="006305D7" w:rsidRPr="00AB2539" w:rsidRDefault="006305D7" w:rsidP="00AB2539">
      <w:pPr>
        <w:widowControl/>
        <w:contextualSpacing/>
      </w:pPr>
    </w:p>
    <w:p w14:paraId="64FB8590" w14:textId="01951944" w:rsidR="006305D7" w:rsidRPr="00AB2539" w:rsidRDefault="006305D7" w:rsidP="00AB2539">
      <w:pPr>
        <w:widowControl/>
        <w:contextualSpacing/>
        <w:rPr>
          <w:color w:val="808080"/>
        </w:rPr>
      </w:pPr>
      <w:r w:rsidRPr="00AB2539">
        <w:rPr>
          <w:b/>
          <w:bCs/>
        </w:rPr>
        <w:t>ABSTRACT:</w:t>
      </w:r>
    </w:p>
    <w:p w14:paraId="71E2E5FF" w14:textId="5D916EC4" w:rsidR="00956F7B" w:rsidRPr="00AB2539" w:rsidRDefault="00956F7B" w:rsidP="00AB2539">
      <w:pPr>
        <w:widowControl/>
        <w:contextualSpacing/>
      </w:pPr>
      <w:r w:rsidRPr="00AB2539">
        <w:t>One of the</w:t>
      </w:r>
      <w:r w:rsidR="00833D4A" w:rsidRPr="00AB2539">
        <w:t xml:space="preserve"> most</w:t>
      </w:r>
      <w:r w:rsidRPr="00AB2539">
        <w:t xml:space="preserve"> </w:t>
      </w:r>
      <w:r w:rsidR="00FC339D" w:rsidRPr="00AB2539">
        <w:t>important</w:t>
      </w:r>
      <w:r w:rsidRPr="00AB2539">
        <w:t xml:space="preserve"> </w:t>
      </w:r>
      <w:r w:rsidR="00FC339D" w:rsidRPr="00AB2539">
        <w:t xml:space="preserve">things </w:t>
      </w:r>
      <w:r w:rsidRPr="00AB2539">
        <w:t xml:space="preserve">in the field of </w:t>
      </w:r>
      <w:r w:rsidR="00AB2539" w:rsidRPr="00AB2539">
        <w:t>adult hippocampal neurogenesis</w:t>
      </w:r>
      <w:r w:rsidRPr="00AB2539">
        <w:t xml:space="preserve"> (AHN) is the identification of the newly generated cells. The immunodetection of thymidine analogs </w:t>
      </w:r>
      <w:r w:rsidR="00FC339D" w:rsidRPr="00AB2539">
        <w:t>(</w:t>
      </w:r>
      <w:r w:rsidRPr="00AB2539">
        <w:t>such as 5-Bromo-2'-deoxyuridine (</w:t>
      </w:r>
      <w:proofErr w:type="spellStart"/>
      <w:r w:rsidRPr="00AB2539">
        <w:t>BrdU</w:t>
      </w:r>
      <w:proofErr w:type="spellEnd"/>
      <w:r w:rsidRPr="00AB2539">
        <w:t>)</w:t>
      </w:r>
      <w:r w:rsidR="00FC339D" w:rsidRPr="00AB2539">
        <w:t>)</w:t>
      </w:r>
      <w:r w:rsidRPr="00AB2539">
        <w:t xml:space="preserve"> is a standard technique </w:t>
      </w:r>
      <w:r w:rsidR="008064B1" w:rsidRPr="00AB2539">
        <w:t xml:space="preserve">used </w:t>
      </w:r>
      <w:r w:rsidR="00FC339D" w:rsidRPr="00AB2539">
        <w:t>f</w:t>
      </w:r>
      <w:r w:rsidRPr="00AB2539">
        <w:t>o</w:t>
      </w:r>
      <w:r w:rsidR="00FC339D" w:rsidRPr="00AB2539">
        <w:t>r</w:t>
      </w:r>
      <w:r w:rsidRPr="00AB2539">
        <w:t xml:space="preserve"> visualiz</w:t>
      </w:r>
      <w:r w:rsidR="00FC339D" w:rsidRPr="00AB2539">
        <w:t xml:space="preserve">ing these newly </w:t>
      </w:r>
      <w:r w:rsidR="00FC339D" w:rsidRPr="00AB2539">
        <w:lastRenderedPageBreak/>
        <w:t>generated cells</w:t>
      </w:r>
      <w:r w:rsidRPr="00AB2539">
        <w:t xml:space="preserve">. </w:t>
      </w:r>
      <w:r w:rsidR="005D4762" w:rsidRPr="00AB2539">
        <w:t xml:space="preserve">Therefore, </w:t>
      </w:r>
      <w:proofErr w:type="spellStart"/>
      <w:r w:rsidR="00FC339D" w:rsidRPr="00AB2539">
        <w:t>BrdU</w:t>
      </w:r>
      <w:proofErr w:type="spellEnd"/>
      <w:r w:rsidR="00FC339D" w:rsidRPr="00AB2539">
        <w:t xml:space="preserve"> is usually injected</w:t>
      </w:r>
      <w:r w:rsidR="00AB2539">
        <w:t xml:space="preserve"> in small animals</w:t>
      </w:r>
      <w:r w:rsidR="00FC339D" w:rsidRPr="00AB2539">
        <w:t xml:space="preserve"> intraperitoneally</w:t>
      </w:r>
      <w:r w:rsidR="00AB2539">
        <w:t>, so the t</w:t>
      </w:r>
      <w:r w:rsidRPr="00AB2539">
        <w:t xml:space="preserve">hymidine analog </w:t>
      </w:r>
      <w:r w:rsidR="00FC339D" w:rsidRPr="00AB2539">
        <w:t xml:space="preserve">gets </w:t>
      </w:r>
      <w:r w:rsidRPr="00AB2539">
        <w:t>incorporate</w:t>
      </w:r>
      <w:r w:rsidR="00FC339D" w:rsidRPr="00AB2539">
        <w:t>d</w:t>
      </w:r>
      <w:r w:rsidRPr="00AB2539">
        <w:t xml:space="preserve"> into dividing cells during DNA synthesis. </w:t>
      </w:r>
      <w:r w:rsidR="00FC339D" w:rsidRPr="00AB2539">
        <w:t>D</w:t>
      </w:r>
      <w:r w:rsidRPr="00AB2539">
        <w:t>etect</w:t>
      </w:r>
      <w:r w:rsidR="00FC339D" w:rsidRPr="00AB2539">
        <w:t>ion</w:t>
      </w:r>
      <w:r w:rsidRPr="00AB2539">
        <w:t xml:space="preserve"> </w:t>
      </w:r>
      <w:r w:rsidR="00FC339D" w:rsidRPr="00AB2539">
        <w:t>is performed by</w:t>
      </w:r>
      <w:r w:rsidRPr="00AB2539">
        <w:t xml:space="preserve"> immunohistochemi</w:t>
      </w:r>
      <w:r w:rsidR="00AB2539">
        <w:t xml:space="preserve">cal analysis </w:t>
      </w:r>
      <w:r w:rsidR="00FC339D" w:rsidRPr="00AB2539">
        <w:t>of</w:t>
      </w:r>
      <w:r w:rsidRPr="00AB2539">
        <w:t xml:space="preserve"> brain slices. Every research group that has </w:t>
      </w:r>
      <w:r w:rsidR="005D4762" w:rsidRPr="00AB2539">
        <w:t>been using</w:t>
      </w:r>
      <w:r w:rsidRPr="00AB2539">
        <w:t xml:space="preserve"> this technique </w:t>
      </w:r>
      <w:r w:rsidR="00AB2539">
        <w:t>can appreciate</w:t>
      </w:r>
      <w:r w:rsidR="008A59F2" w:rsidRPr="00AB2539">
        <w:t xml:space="preserve"> </w:t>
      </w:r>
      <w:r w:rsidRPr="00AB2539">
        <w:t xml:space="preserve">that </w:t>
      </w:r>
      <w:r w:rsidR="00A51193" w:rsidRPr="00AB2539">
        <w:t>it</w:t>
      </w:r>
      <w:r w:rsidRPr="00AB2539">
        <w:t xml:space="preserve"> requires </w:t>
      </w:r>
      <w:r w:rsidR="008064B1" w:rsidRPr="00AB2539">
        <w:t xml:space="preserve">special </w:t>
      </w:r>
      <w:r w:rsidRPr="00AB2539">
        <w:t xml:space="preserve">attention to </w:t>
      </w:r>
      <w:r w:rsidR="00AB2539">
        <w:t>minute</w:t>
      </w:r>
      <w:r w:rsidRPr="00AB2539">
        <w:t xml:space="preserve"> details to achieve </w:t>
      </w:r>
      <w:r w:rsidR="008A59F2" w:rsidRPr="00AB2539">
        <w:t>a</w:t>
      </w:r>
      <w:r w:rsidR="006A441A" w:rsidRPr="00AB2539">
        <w:t xml:space="preserve"> </w:t>
      </w:r>
      <w:r w:rsidR="00AB2539">
        <w:t xml:space="preserve">successful </w:t>
      </w:r>
      <w:r w:rsidR="006A441A" w:rsidRPr="00AB2539">
        <w:t>stain</w:t>
      </w:r>
      <w:r w:rsidRPr="00AB2539">
        <w:t xml:space="preserve">. </w:t>
      </w:r>
      <w:r w:rsidR="00491C87" w:rsidRPr="00AB2539">
        <w:t>For instance, a</w:t>
      </w:r>
      <w:r w:rsidR="00C54429">
        <w:t>n</w:t>
      </w:r>
      <w:r w:rsidR="00491C87" w:rsidRPr="00AB2539">
        <w:t xml:space="preserve"> </w:t>
      </w:r>
      <w:r w:rsidR="006F4F72" w:rsidRPr="00AB2539">
        <w:t>important</w:t>
      </w:r>
      <w:r w:rsidR="00EB35C9" w:rsidRPr="00AB2539">
        <w:t xml:space="preserve"> </w:t>
      </w:r>
      <w:r w:rsidR="00491C87" w:rsidRPr="00AB2539">
        <w:t xml:space="preserve">step </w:t>
      </w:r>
      <w:r w:rsidR="00AB2539">
        <w:t xml:space="preserve">is </w:t>
      </w:r>
      <w:r w:rsidR="00491C87" w:rsidRPr="00AB2539">
        <w:t xml:space="preserve">to </w:t>
      </w:r>
      <w:r w:rsidR="006F4F72" w:rsidRPr="00AB2539">
        <w:t>denture</w:t>
      </w:r>
      <w:r w:rsidR="00491C87" w:rsidRPr="00AB2539">
        <w:t xml:space="preserve"> the DNA with HC</w:t>
      </w:r>
      <w:r w:rsidR="006F4F72" w:rsidRPr="00AB2539">
        <w:t>l</w:t>
      </w:r>
      <w:r w:rsidR="00491C87" w:rsidRPr="00AB2539">
        <w:t xml:space="preserve">. </w:t>
      </w:r>
      <w:r w:rsidRPr="00AB2539">
        <w:t xml:space="preserve">However, the </w:t>
      </w:r>
      <w:r w:rsidR="00AB2539">
        <w:t xml:space="preserve">existing </w:t>
      </w:r>
      <w:r w:rsidRPr="00AB2539">
        <w:t xml:space="preserve">scientific reports describe very few of </w:t>
      </w:r>
      <w:r w:rsidR="00AB2539">
        <w:t>such</w:t>
      </w:r>
      <w:r w:rsidR="00AB2539" w:rsidRPr="00AB2539">
        <w:t xml:space="preserve"> </w:t>
      </w:r>
      <w:r w:rsidRPr="00AB2539">
        <w:t>steps in detail.</w:t>
      </w:r>
      <w:r w:rsidR="006F4F72" w:rsidRPr="00AB2539">
        <w:t xml:space="preserve"> </w:t>
      </w:r>
      <w:r w:rsidRPr="00AB2539">
        <w:t xml:space="preserve">Therefore, </w:t>
      </w:r>
      <w:r w:rsidR="00F55AC6" w:rsidRPr="00AB2539">
        <w:t>standardizing</w:t>
      </w:r>
      <w:r w:rsidR="00F55AC6" w:rsidRPr="00AB2539" w:rsidDel="00F55AC6">
        <w:t xml:space="preserve"> </w:t>
      </w:r>
      <w:r w:rsidR="003039EF" w:rsidRPr="00AB2539">
        <w:t xml:space="preserve">the technique </w:t>
      </w:r>
      <w:r w:rsidR="00AB2539">
        <w:t>is challenging</w:t>
      </w:r>
      <w:r w:rsidR="003039EF" w:rsidRPr="00AB2539">
        <w:t xml:space="preserve"> for new laboratories </w:t>
      </w:r>
      <w:r w:rsidR="00AB2539">
        <w:t xml:space="preserve">as </w:t>
      </w:r>
      <w:r w:rsidR="003039EF" w:rsidRPr="00AB2539">
        <w:t xml:space="preserve">it </w:t>
      </w:r>
      <w:r w:rsidR="00AB2539">
        <w:t xml:space="preserve">can </w:t>
      </w:r>
      <w:r w:rsidR="003039EF" w:rsidRPr="00AB2539">
        <w:t>take several months to yield positive and successful outcomes</w:t>
      </w:r>
      <w:r w:rsidRPr="00AB2539">
        <w:t xml:space="preserve">. </w:t>
      </w:r>
      <w:r w:rsidR="003039EF" w:rsidRPr="00AB2539">
        <w:t xml:space="preserve">The purpose of this work is to describe and elaborate </w:t>
      </w:r>
      <w:r w:rsidR="005D4762" w:rsidRPr="00AB2539">
        <w:t>th</w:t>
      </w:r>
      <w:r w:rsidR="006F4F72" w:rsidRPr="00AB2539">
        <w:t>e</w:t>
      </w:r>
      <w:r w:rsidR="005D4762" w:rsidRPr="00AB2539">
        <w:t xml:space="preserve"> steps to obtain positive and successful outcomes of </w:t>
      </w:r>
      <w:r w:rsidR="00CB0D06" w:rsidRPr="00AB2539">
        <w:t xml:space="preserve">the </w:t>
      </w:r>
      <w:r w:rsidR="005D4762" w:rsidRPr="00AB2539">
        <w:t xml:space="preserve">immunostaining technique </w:t>
      </w:r>
      <w:r w:rsidR="006F4F72" w:rsidRPr="00AB2539">
        <w:t>in detail when working with</w:t>
      </w:r>
      <w:r w:rsidR="005D4762" w:rsidRPr="00AB2539">
        <w:t xml:space="preserve"> the thymidine analog </w:t>
      </w:r>
      <w:proofErr w:type="spellStart"/>
      <w:r w:rsidR="005D4762" w:rsidRPr="00AB2539">
        <w:t>Brd</w:t>
      </w:r>
      <w:r w:rsidR="009C5999" w:rsidRPr="00AB2539">
        <w:t>U</w:t>
      </w:r>
      <w:proofErr w:type="spellEnd"/>
      <w:r w:rsidR="005D4762" w:rsidRPr="00AB2539">
        <w:t>.</w:t>
      </w:r>
      <w:r w:rsidR="00754F51">
        <w:t xml:space="preserve"> </w:t>
      </w:r>
      <w:r w:rsidRPr="00AB2539">
        <w:t>The</w:t>
      </w:r>
      <w:r w:rsidR="00FC339D" w:rsidRPr="00AB2539">
        <w:t xml:space="preserve"> </w:t>
      </w:r>
      <w:r w:rsidRPr="00AB2539">
        <w:t>protocol include</w:t>
      </w:r>
      <w:r w:rsidR="00FC339D" w:rsidRPr="00AB2539">
        <w:t>s</w:t>
      </w:r>
      <w:r w:rsidRPr="00AB2539">
        <w:t xml:space="preserve"> the reagent preparation and setup, administration of thymidine analog</w:t>
      </w:r>
      <w:r w:rsidR="00AB2539">
        <w:t xml:space="preserve"> in a rodent</w:t>
      </w:r>
      <w:r w:rsidRPr="00AB2539">
        <w:t xml:space="preserve">, </w:t>
      </w:r>
      <w:proofErr w:type="spellStart"/>
      <w:r w:rsidRPr="00AB2539">
        <w:t>transcardial</w:t>
      </w:r>
      <w:proofErr w:type="spellEnd"/>
      <w:r w:rsidRPr="00AB2539">
        <w:t xml:space="preserve"> perfusion, tissue preparation, </w:t>
      </w:r>
      <w:r w:rsidR="008954D6" w:rsidRPr="00AB2539">
        <w:t>peroxidase immunohistochemical reaction</w:t>
      </w:r>
      <w:r w:rsidRPr="00AB2539">
        <w:t>, us</w:t>
      </w:r>
      <w:r w:rsidR="00A43C1B">
        <w:t>e of</w:t>
      </w:r>
      <w:r w:rsidRPr="00AB2539">
        <w:t xml:space="preserve"> avidin-biotin complex</w:t>
      </w:r>
      <w:r w:rsidR="00A43C1B">
        <w:t>,</w:t>
      </w:r>
      <w:r w:rsidRPr="00AB2539">
        <w:t xml:space="preserve"> immunofluorescence, counterstaining, microscopy imaging, and cell analysis.</w:t>
      </w:r>
    </w:p>
    <w:p w14:paraId="4C7D5FD5" w14:textId="77777777" w:rsidR="006305D7" w:rsidRPr="00AB2539" w:rsidRDefault="006305D7" w:rsidP="00AB2539">
      <w:pPr>
        <w:widowControl/>
        <w:contextualSpacing/>
      </w:pPr>
    </w:p>
    <w:p w14:paraId="00D25F73" w14:textId="2786FA17" w:rsidR="006305D7" w:rsidRPr="00AB2539" w:rsidRDefault="006305D7" w:rsidP="00AB2539">
      <w:pPr>
        <w:widowControl/>
        <w:contextualSpacing/>
        <w:rPr>
          <w:color w:val="808080"/>
        </w:rPr>
      </w:pPr>
      <w:r w:rsidRPr="00AB2539">
        <w:rPr>
          <w:b/>
        </w:rPr>
        <w:t>INTRODUCTION</w:t>
      </w:r>
      <w:r w:rsidRPr="00AB2539">
        <w:rPr>
          <w:b/>
          <w:bCs/>
        </w:rPr>
        <w:t>:</w:t>
      </w:r>
      <w:r w:rsidRPr="00AB2539">
        <w:rPr>
          <w:color w:val="808080"/>
        </w:rPr>
        <w:t xml:space="preserve"> </w:t>
      </w:r>
    </w:p>
    <w:p w14:paraId="1F0001EF" w14:textId="6AFEC427" w:rsidR="0010186D" w:rsidRPr="00AB2539" w:rsidRDefault="008A59F2" w:rsidP="00AB2539">
      <w:pPr>
        <w:widowControl/>
        <w:contextualSpacing/>
      </w:pPr>
      <w:r w:rsidRPr="00AB2539">
        <w:t xml:space="preserve">The </w:t>
      </w:r>
      <w:r w:rsidR="00EB35C9" w:rsidRPr="00AB2539">
        <w:t>idea</w:t>
      </w:r>
      <w:r w:rsidRPr="00AB2539">
        <w:t xml:space="preserve"> that new neurons are generated in the </w:t>
      </w:r>
      <w:r w:rsidR="00A43C1B" w:rsidRPr="00AB2539">
        <w:t>adult human brain</w:t>
      </w:r>
      <w:r w:rsidRPr="00AB2539">
        <w:t xml:space="preserve"> throughout the lifespan has</w:t>
      </w:r>
      <w:r w:rsidR="00D918A2" w:rsidRPr="00AB2539">
        <w:t xml:space="preserve"> </w:t>
      </w:r>
      <w:r w:rsidR="00EB35C9" w:rsidRPr="00AB2539">
        <w:t xml:space="preserve">fascinated </w:t>
      </w:r>
      <w:r w:rsidRPr="00AB2539">
        <w:t xml:space="preserve">the </w:t>
      </w:r>
      <w:r w:rsidR="006F4F72" w:rsidRPr="00AB2539">
        <w:t>s</w:t>
      </w:r>
      <w:r w:rsidRPr="00AB2539">
        <w:t xml:space="preserve">cientific </w:t>
      </w:r>
      <w:r w:rsidR="006F4F72" w:rsidRPr="00AB2539">
        <w:t>c</w:t>
      </w:r>
      <w:r w:rsidRPr="00AB2539">
        <w:t xml:space="preserve">ommunity </w:t>
      </w:r>
      <w:r w:rsidR="00D918A2" w:rsidRPr="00AB2539">
        <w:t>for decades</w:t>
      </w:r>
      <w:r w:rsidR="00DE402C" w:rsidRPr="00AB2539">
        <w:t>.</w:t>
      </w:r>
      <w:r w:rsidR="00D918A2" w:rsidRPr="00AB2539">
        <w:t xml:space="preserve"> </w:t>
      </w:r>
      <w:r w:rsidR="00E25AE0" w:rsidRPr="00AB2539">
        <w:t xml:space="preserve">The </w:t>
      </w:r>
      <w:r w:rsidR="00A43C1B">
        <w:t xml:space="preserve">knowledge that the </w:t>
      </w:r>
      <w:r w:rsidR="00E25AE0" w:rsidRPr="00AB2539">
        <w:t xml:space="preserve">brain generates new neurons </w:t>
      </w:r>
      <w:r w:rsidR="00DE402C" w:rsidRPr="00AB2539">
        <w:t xml:space="preserve">throughout </w:t>
      </w:r>
      <w:r w:rsidR="004B1D7F">
        <w:t>its</w:t>
      </w:r>
      <w:r w:rsidR="00E25AE0" w:rsidRPr="00AB2539">
        <w:t xml:space="preserve"> lifespan was </w:t>
      </w:r>
      <w:r w:rsidR="00A43C1B" w:rsidRPr="00AB2539">
        <w:t>a</w:t>
      </w:r>
      <w:r w:rsidR="00A43C1B">
        <w:t>ttained</w:t>
      </w:r>
      <w:r w:rsidR="00A43C1B" w:rsidRPr="00AB2539">
        <w:t xml:space="preserve"> </w:t>
      </w:r>
      <w:r w:rsidR="00A43C1B">
        <w:t>through</w:t>
      </w:r>
      <w:r w:rsidR="00A43C1B" w:rsidRPr="00AB2539">
        <w:t xml:space="preserve"> </w:t>
      </w:r>
      <w:r w:rsidR="00E25AE0" w:rsidRPr="00AB2539">
        <w:t>the detection of cells under division</w:t>
      </w:r>
      <w:r w:rsidR="00E25AE0" w:rsidRPr="00AB2539">
        <w:fldChar w:fldCharType="begin" w:fldLock="1"/>
      </w:r>
      <w:r w:rsidR="00671143" w:rsidRPr="00AB2539">
        <w:instrText>ADDIN CSL_CITATION {"citationItems":[{"id":"ITEM-1","itemData":{"DOI":"10.1126/science.135.3509.1127","ISSN":"00368075","PMID":"13860748","abstract":"In an autoradiographic investigation, the production of brain lesions in rats was combined with intracranial injection of thymidine-H3. Nuclei of numerous glia cells were found labeled in brain regions associated with the traumatized areas. In addition, some neurons and neuroblasts showed labeling, suggesting the possibility of proliferation of neurons in adult rats.","author":[{"dropping-particle":"","family":"Altman","given":"Joseph","non-dropping-particle":"","parse-names":false,"suffix":""}],"container-title":"Science","id":"ITEM-1","issue":"3509","issued":{"date-parts":[["1962"]]},"page":"1127-1128","title":"Are new neurons formed in the brains of adult mammals?","type":"article-journal","volume":"135"},"uris":["http://www.mendeley.com/documents/?uuid=efe87de9-ef53-4a39-8c29-7cbdbafd5fd8"]},{"id":"ITEM-2","itemData":{"DOI":"10.1002/cne.901240303","author":[{"dropping-particle":"","family":"Altman","given":"Joseph","non-dropping-particle":"","parse-names":false,"suffix":""},{"dropping-particle":"","family":"Das","given":"Godal D.","non-dropping-particle":"","parse-names":false,"suffix":""}],"container-title":"The Journal of Comparative Neurology","id":"ITEM-2","issue":"3","issued":{"date-parts":[["1965"]]},"page":"319-335","title":"Autoradiographic and histological evidence of postnatal hippocampal neurogenesis in rats","type":"article-journal","volume":"124"},"uris":["http://www.mendeley.com/documents/?uuid=bc2dadcc-52b4-46e3-a1c4-57b34bf0073f"]}],"mendeley":{"formattedCitation":"&lt;sup&gt;1, 2&lt;/sup&gt;","plainTextFormattedCitation":"1, 2","previouslyFormattedCitation":"&lt;sup&gt;1, 2&lt;/sup&gt;"},"properties":{"noteIndex":0},"schema":"https://github.com/citation-style-language/schema/raw/master/csl-citation.json"}</w:instrText>
      </w:r>
      <w:r w:rsidR="00E25AE0" w:rsidRPr="00AB2539">
        <w:fldChar w:fldCharType="separate"/>
      </w:r>
      <w:r w:rsidR="00F94AD5" w:rsidRPr="00AB2539">
        <w:rPr>
          <w:noProof/>
          <w:vertAlign w:val="superscript"/>
        </w:rPr>
        <w:t>1,2</w:t>
      </w:r>
      <w:r w:rsidR="00E25AE0" w:rsidRPr="00AB2539">
        <w:fldChar w:fldCharType="end"/>
      </w:r>
      <w:r w:rsidR="00E25AE0" w:rsidRPr="00AB2539">
        <w:t xml:space="preserve"> . </w:t>
      </w:r>
      <w:r w:rsidR="00872F38" w:rsidRPr="00AB2539">
        <w:t>D</w:t>
      </w:r>
      <w:r w:rsidR="00E25AE0" w:rsidRPr="00AB2539">
        <w:t>etect</w:t>
      </w:r>
      <w:r w:rsidR="00FC339D" w:rsidRPr="00AB2539">
        <w:t>ion</w:t>
      </w:r>
      <w:r w:rsidR="00E25AE0" w:rsidRPr="00AB2539">
        <w:t xml:space="preserve"> of newly generated neurons in the adult brain was </w:t>
      </w:r>
      <w:r w:rsidR="00FC339D" w:rsidRPr="00AB2539">
        <w:t xml:space="preserve">first identified </w:t>
      </w:r>
      <w:r w:rsidR="00872F38" w:rsidRPr="00AB2539">
        <w:t>by intracranially injecting</w:t>
      </w:r>
      <w:r w:rsidR="00E25AE0" w:rsidRPr="00AB2539">
        <w:t xml:space="preserve"> </w:t>
      </w:r>
      <w:r w:rsidR="00872F38" w:rsidRPr="00AB2539">
        <w:t>t</w:t>
      </w:r>
      <w:r w:rsidR="00FC339D" w:rsidRPr="00AB2539">
        <w:t>ritiated thymidine (thymidine-H3</w:t>
      </w:r>
      <w:r w:rsidR="00872F38" w:rsidRPr="00AB2539">
        <w:t>) in rats and detecting cells in the cell cycle by autoradiograms</w:t>
      </w:r>
      <w:r w:rsidR="00E25AE0" w:rsidRPr="00AB2539">
        <w:fldChar w:fldCharType="begin" w:fldLock="1"/>
      </w:r>
      <w:r w:rsidR="00F94AD5" w:rsidRPr="00AB2539">
        <w:instrText>ADDIN CSL_CITATION {"citationItems":[{"id":"ITEM-1","itemData":{"DOI":"10.1126/science.135.3509.1127","ISSN":"00368075","PMID":"13860748","abstract":"In an autoradiographic investigation, the production of brain lesions in rats was combined with intracranial injection of thymidine-H3. Nuclei of numerous glia cells were found labeled in brain regions associated with the traumatized areas. In addition, some neurons and neuroblasts showed labeling, suggesting the possibility of proliferation of neurons in adult rats.","author":[{"dropping-particle":"","family":"Altman","given":"Joseph","non-dropping-particle":"","parse-names":false,"suffix":""}],"container-title":"Science","id":"ITEM-1","issue":"3509","issued":{"date-parts":[["1962"]]},"page":"1127-1128","title":"Are new neurons formed in the brains of adult mammals?","type":"article-journal","volume":"135"},"uris":["http://www.mendeley.com/documents/?uuid=efe87de9-ef53-4a39-8c29-7cbdbafd5fd8"]},{"id":"ITEM-2","itemData":{"DOI":"10.1002/cne.901240303","author":[{"dropping-particle":"","family":"Altman","given":"Joseph","non-dropping-particle":"","parse-names":false,"suffix":""},{"dropping-particle":"","family":"Das","given":"Godal D.","non-dropping-particle":"","parse-names":false,"suffix":""}],"container-title":"The Journal of Comparative Neurology","id":"ITEM-2","issue":"3","issued":{"date-parts":[["1965"]]},"page":"319-335","title":"Autoradiographic and histological evidence of postnatal hippocampal neurogenesis in rats","type":"article-journal","volume":"124"},"uris":["http://www.mendeley.com/documents/?uuid=bc2dadcc-52b4-46e3-a1c4-57b34bf0073f"]}],"mendeley":{"formattedCitation":"&lt;sup&gt;1, 2&lt;/sup&gt;","manualFormatting":"1,2","plainTextFormattedCitation":"1, 2","previouslyFormattedCitation":"&lt;sup&gt;1, 2&lt;/sup&gt;"},"properties":{"noteIndex":0},"schema":"https://github.com/citation-style-language/schema/raw/master/csl-citation.json"}</w:instrText>
      </w:r>
      <w:r w:rsidR="00E25AE0" w:rsidRPr="00AB2539">
        <w:fldChar w:fldCharType="separate"/>
      </w:r>
      <w:r w:rsidR="00E25AE0" w:rsidRPr="00AB2539">
        <w:rPr>
          <w:noProof/>
          <w:vertAlign w:val="superscript"/>
        </w:rPr>
        <w:t>1,2</w:t>
      </w:r>
      <w:r w:rsidR="00E25AE0" w:rsidRPr="00AB2539">
        <w:fldChar w:fldCharType="end"/>
      </w:r>
      <w:r w:rsidR="00E25AE0" w:rsidRPr="00AB2539">
        <w:t>. Cell division of glia and the presence of neuroblasts was reported, which was the first promising data on the postnatal neurogenesis</w:t>
      </w:r>
      <w:r w:rsidR="00E25AE0" w:rsidRPr="00AB2539">
        <w:rPr>
          <w:noProof/>
          <w:vertAlign w:val="superscript"/>
        </w:rPr>
        <w:t>1</w:t>
      </w:r>
      <w:r w:rsidR="00E25AE0" w:rsidRPr="00AB2539">
        <w:t>. Nevertheless, the use and detection of thymidine-H3 impl</w:t>
      </w:r>
      <w:r w:rsidR="0010186D" w:rsidRPr="00AB2539">
        <w:t>ied</w:t>
      </w:r>
      <w:r w:rsidR="00E25AE0" w:rsidRPr="00AB2539">
        <w:t xml:space="preserve"> the use of radioactivity, which can be harmful to the people </w:t>
      </w:r>
      <w:r w:rsidR="008954D6" w:rsidRPr="00AB2539">
        <w:t>who</w:t>
      </w:r>
      <w:r w:rsidR="00DE402C" w:rsidRPr="00AB2539">
        <w:t xml:space="preserve"> manage</w:t>
      </w:r>
      <w:r w:rsidR="00872F38" w:rsidRPr="00AB2539">
        <w:t xml:space="preserve"> </w:t>
      </w:r>
      <w:r w:rsidR="008954D6" w:rsidRPr="00AB2539">
        <w:t>it</w:t>
      </w:r>
      <w:r w:rsidR="00E25AE0" w:rsidRPr="00AB2539">
        <w:t xml:space="preserve">. </w:t>
      </w:r>
      <w:r w:rsidR="00B742A5" w:rsidRPr="00AB2539">
        <w:t xml:space="preserve">The first effort examining the suitability of </w:t>
      </w:r>
      <w:proofErr w:type="spellStart"/>
      <w:r w:rsidR="00B742A5" w:rsidRPr="00AB2539">
        <w:t>BrdU</w:t>
      </w:r>
      <w:proofErr w:type="spellEnd"/>
      <w:r w:rsidR="00B742A5" w:rsidRPr="00AB2539">
        <w:t xml:space="preserve"> immunohistochemistry in the study of proliferation, migration, and origin of cells in the nervous systems appeared in 1988 by Miller and Nowakowski</w:t>
      </w:r>
      <w:r w:rsidR="00435A81" w:rsidRPr="00AB2539">
        <w:fldChar w:fldCharType="begin" w:fldLock="1"/>
      </w:r>
      <w:r w:rsidR="00435A81" w:rsidRPr="00AB2539">
        <w:instrText>ADDIN CSL_CITATION {"citationItems":[{"id":"ITEM-1","itemData":{"DOI":"10.1016/0006-8993(88)90055-8","ISSN":"00068993","abstract":"The use of an exogenously administered thymidine analog, 5-bromo-2′-deoxyuridine (BrdU), for studies of the proliferation, migration and time of origin of cells in the cerebral cortex was investigated and compared with [3H]thymidine ([3H]dT) autoradiography. Pregnant rats or mice were injected with BrdU and/or [3H]dT and processed by standard immunohistochemical techniques using a primary antibody directed against BrdU in single-stranded DNA, autoradiographic methods, or both. In animals that survived only 1 h the injection, BrdU-positive cells were distributed in the proliferative zones throughout the central nervous system (CNS). In animals killed 1-3 days after the BrdU injection, intensely immunoreactive cells were in the superficial cortical plate and less intensely labeled cells were scattered throughout the deep cortical plate, the intermediate zone, and the germinal zones. In adult animals, 60 days or more after an injection of BrdU on GD 19, BrdUU positive cells were located in layer II/III of neocortex, the hippocampal pyramidal layer, and the granule layer of the dentate gyrus. In the double-labeling studies, the distribution of BrdU-immunoreactive cells was identical to that of autoradiographically labeled cells, and all autoradiographically labeled neurons were BrdU positive. Thus, BrdU immunohistochemistry is suitable for developmental studies of the CNS; moreover, it provides several advantages over [3H]dT autoradiography. © 1988.","author":[{"dropping-particle":"","family":"Miller","given":"Michael W.","non-dropping-particle":"","parse-names":false,"suffix":""},{"dropping-particle":"","family":"Nowakowski","given":"R. S.","non-dropping-particle":"","parse-names":false,"suffix":""}],"container-title":"Brain Research","id":"ITEM-1","issue":"1","issued":{"date-parts":[["1988"]]},"page":"44-52","title":"Use of bromodeoxyuridine-immunohistochemistry to examine the proliferation, migration and time of origin of cells in the central nervous system","type":"article-journal","volume":"457"},"uris":["http://www.mendeley.com/documents/?uuid=778802da-1fb9-4e82-82ac-de50c17c8a76"]}],"mendeley":{"formattedCitation":"&lt;sup&gt;3&lt;/sup&gt;","plainTextFormattedCitation":"3","previouslyFormattedCitation":"&lt;sup&gt;3&lt;/sup&gt;"},"properties":{"noteIndex":0},"schema":"https://github.com/citation-style-language/schema/raw/master/csl-citation.json"}</w:instrText>
      </w:r>
      <w:r w:rsidR="00435A81" w:rsidRPr="00AB2539">
        <w:fldChar w:fldCharType="separate"/>
      </w:r>
      <w:r w:rsidR="00435A81" w:rsidRPr="00AB2539">
        <w:rPr>
          <w:noProof/>
          <w:vertAlign w:val="superscript"/>
        </w:rPr>
        <w:t>3</w:t>
      </w:r>
      <w:r w:rsidR="00435A81" w:rsidRPr="00AB2539">
        <w:fldChar w:fldCharType="end"/>
      </w:r>
      <w:r w:rsidR="00B742A5" w:rsidRPr="00AB2539">
        <w:t>.</w:t>
      </w:r>
      <w:r w:rsidR="00435A81" w:rsidRPr="00AB2539">
        <w:t xml:space="preserve"> </w:t>
      </w:r>
      <w:r w:rsidR="00E25AE0" w:rsidRPr="00AB2539">
        <w:t xml:space="preserve">In 1998, a paper </w:t>
      </w:r>
      <w:r w:rsidR="00872F38" w:rsidRPr="00AB2539">
        <w:t>published</w:t>
      </w:r>
      <w:r w:rsidR="008954D6" w:rsidRPr="00AB2539">
        <w:t xml:space="preserve"> </w:t>
      </w:r>
      <w:r w:rsidR="00E25AE0" w:rsidRPr="00AB2539">
        <w:t xml:space="preserve">by Eriksson and colleagues showed that new neurons were visualized </w:t>
      </w:r>
      <w:r w:rsidR="00E25AE0" w:rsidRPr="008348CD">
        <w:t>postmortem</w:t>
      </w:r>
      <w:r w:rsidR="00E25AE0" w:rsidRPr="00AB2539">
        <w:t xml:space="preserve"> in the human adult brain of patients injected with 5-Bromo-2′-deoxyuridine (</w:t>
      </w:r>
      <w:proofErr w:type="spellStart"/>
      <w:r w:rsidR="00E25AE0" w:rsidRPr="00AB2539">
        <w:t>BrdU</w:t>
      </w:r>
      <w:proofErr w:type="spellEnd"/>
      <w:r w:rsidR="00E25AE0" w:rsidRPr="00AB2539">
        <w:t>)</w:t>
      </w:r>
      <w:r w:rsidR="00E25AE0" w:rsidRPr="00AB2539">
        <w:fldChar w:fldCharType="begin" w:fldLock="1"/>
      </w:r>
      <w:r w:rsidR="00435A81" w:rsidRPr="00AB2539">
        <w:instrText>ADDIN CSL_CITATION {"citationItems":[{"id":"ITEM-1","itemData":{"DOI":"10.1038/3305","ISSN":"10788956","PMID":"9809557","abstract":"The genesis of new cells, including neurons, in the adult human brain has not yet been demonstrated. This study was undertaken to investigate whether neurogenesis occurs in the adult human brain, in regions previously identified as neurogenic in adult rodents and monkeys. Human brain tissue was obtained postmortem from patients who had been treated with the thymidine analog, bromodeoxyuridine (BrdU), that labels DNA during the S phase. Using immunofluorescent labeling for BrdU and for one of the neuronal markers, NeuN, calbindin or neuron specific enolase (NSE), we demonstrate that new neurons, as defined by these markers, are generated from dividing progenitor cells in the dentate gyrus of adult humans. Our results further indicate that the human hippocampus retains its ability to generate neurons throughout life.","author":[{"dropping-particle":"","family":"Eriksson","given":"Peter S.","non-dropping-particle":"","parse-names":false,"suffix":""},{"dropping-particle":"","family":"Perfilieva","given":"Ekaterina","non-dropping-particle":"","parse-names":false,"suffix":""},{"dropping-particle":"","family":"Björk-Eriksson","given":"Thomas","non-dropping-particle":"","parse-names":false,"suffix":""},{"dropping-particle":"","family":"Alborn","given":"Ann Marie","non-dropping-particle":"","parse-names":false,"suffix":""},{"dropping-particle":"","family":"Nordborg","given":"Claes","non-dropping-particle":"","parse-names":false,"suffix":""},{"dropping-particle":"","family":"Peterson","given":"Daniel A.","non-dropping-particle":"","parse-names":false,"suffix":""},{"dropping-particle":"","family":"Gage","given":"Fred H.","non-dropping-particle":"","parse-names":false,"suffix":""}],"container-title":"Nature Medicine","id":"ITEM-1","issue":"11","issued":{"date-parts":[["1998"]]},"page":"1313-1317","title":"Neurogenesis in the adult human hippocampus","type":"article-journal","volume":"4"},"uris":["http://www.mendeley.com/documents/?uuid=33e11981-b13d-4efc-9919-08c03229f5a3"]}],"mendeley":{"formattedCitation":"&lt;sup&gt;4&lt;/sup&gt;","plainTextFormattedCitation":"4","previouslyFormattedCitation":"&lt;sup&gt;4&lt;/sup&gt;"},"properties":{"noteIndex":0},"schema":"https://github.com/citation-style-language/schema/raw/master/csl-citation.json"}</w:instrText>
      </w:r>
      <w:r w:rsidR="00E25AE0" w:rsidRPr="00AB2539">
        <w:fldChar w:fldCharType="separate"/>
      </w:r>
      <w:r w:rsidR="00435A81" w:rsidRPr="00AB2539">
        <w:rPr>
          <w:noProof/>
          <w:vertAlign w:val="superscript"/>
        </w:rPr>
        <w:t>4</w:t>
      </w:r>
      <w:r w:rsidR="00E25AE0" w:rsidRPr="00AB2539">
        <w:fldChar w:fldCharType="end"/>
      </w:r>
      <w:r w:rsidR="00E25AE0" w:rsidRPr="00AB2539">
        <w:t>. The</w:t>
      </w:r>
      <w:r w:rsidR="006F4F72" w:rsidRPr="00AB2539">
        <w:t>se</w:t>
      </w:r>
      <w:r w:rsidR="00E25AE0" w:rsidRPr="00AB2539">
        <w:t xml:space="preserve"> patients received the </w:t>
      </w:r>
      <w:proofErr w:type="spellStart"/>
      <w:r w:rsidR="00842720" w:rsidRPr="00AB2539">
        <w:t>BrdU</w:t>
      </w:r>
      <w:proofErr w:type="spellEnd"/>
      <w:r w:rsidR="00842720" w:rsidRPr="00AB2539">
        <w:t xml:space="preserve"> </w:t>
      </w:r>
      <w:r w:rsidR="00E25AE0" w:rsidRPr="00AB2539">
        <w:t xml:space="preserve">injection </w:t>
      </w:r>
      <w:r w:rsidR="00693B2F" w:rsidRPr="00AB2539">
        <w:t xml:space="preserve">(250 mg intravenous) </w:t>
      </w:r>
      <w:r w:rsidR="00E25AE0" w:rsidRPr="00AB2539">
        <w:t>to label the growth of tumors</w:t>
      </w:r>
      <w:r w:rsidR="00E25AE0" w:rsidRPr="00AB2539">
        <w:fldChar w:fldCharType="begin" w:fldLock="1"/>
      </w:r>
      <w:r w:rsidR="00435A81" w:rsidRPr="00AB2539">
        <w:instrText>ADDIN CSL_CITATION {"citationItems":[{"id":"ITEM-1","itemData":{"DOI":"10.1038/3305","ISSN":"10788956","PMID":"9809557","abstract":"The genesis of new cells, including neurons, in the adult human brain has not yet been demonstrated. This study was undertaken to investigate whether neurogenesis occurs in the adult human brain, in regions previously identified as neurogenic in adult rodents and monkeys. Human brain tissue was obtained postmortem from patients who had been treated with the thymidine analog, bromodeoxyuridine (BrdU), that labels DNA during the S phase. Using immunofluorescent labeling for BrdU and for one of the neuronal markers, NeuN, calbindin or neuron specific enolase (NSE), we demonstrate that new neurons, as defined by these markers, are generated from dividing progenitor cells in the dentate gyrus of adult humans. Our results further indicate that the human hippocampus retains its ability to generate neurons throughout life.","author":[{"dropping-particle":"","family":"Eriksson","given":"Peter S.","non-dropping-particle":"","parse-names":false,"suffix":""},{"dropping-particle":"","family":"Perfilieva","given":"Ekaterina","non-dropping-particle":"","parse-names":false,"suffix":""},{"dropping-particle":"","family":"Björk-Eriksson","given":"Thomas","non-dropping-particle":"","parse-names":false,"suffix":""},{"dropping-particle":"","family":"Alborn","given":"Ann Marie","non-dropping-particle":"","parse-names":false,"suffix":""},{"dropping-particle":"","family":"Nordborg","given":"Claes","non-dropping-particle":"","parse-names":false,"suffix":""},{"dropping-particle":"","family":"Peterson","given":"Daniel A.","non-dropping-particle":"","parse-names":false,"suffix":""},{"dropping-particle":"","family":"Gage","given":"Fred H.","non-dropping-particle":"","parse-names":false,"suffix":""}],"container-title":"Nature Medicine","id":"ITEM-1","issue":"11","issued":{"date-parts":[["1998"]]},"page":"1313-1317","title":"Neurogenesis in the adult human hippocampus","type":"article-journal","volume":"4"},"uris":["http://www.mendeley.com/documents/?uuid=33e11981-b13d-4efc-9919-08c03229f5a3"]}],"mendeley":{"formattedCitation":"&lt;sup&gt;4&lt;/sup&gt;","plainTextFormattedCitation":"4","previouslyFormattedCitation":"&lt;sup&gt;4&lt;/sup&gt;"},"properties":{"noteIndex":0},"schema":"https://github.com/citation-style-language/schema/raw/master/csl-citation.json"}</w:instrText>
      </w:r>
      <w:r w:rsidR="00E25AE0" w:rsidRPr="00AB2539">
        <w:fldChar w:fldCharType="separate"/>
      </w:r>
      <w:r w:rsidR="00435A81" w:rsidRPr="00AB2539">
        <w:rPr>
          <w:noProof/>
          <w:vertAlign w:val="superscript"/>
        </w:rPr>
        <w:t>4</w:t>
      </w:r>
      <w:r w:rsidR="00E25AE0" w:rsidRPr="00AB2539">
        <w:fldChar w:fldCharType="end"/>
      </w:r>
      <w:r w:rsidR="00E25AE0" w:rsidRPr="00AB2539">
        <w:t>. This technique was adopted into animal models.</w:t>
      </w:r>
      <w:r w:rsidR="00E20297" w:rsidRPr="00AB2539">
        <w:t xml:space="preserve"> The introduction of these methods marked a milestone for </w:t>
      </w:r>
      <w:r w:rsidR="006505B1" w:rsidRPr="00AB2539">
        <w:t xml:space="preserve">the field </w:t>
      </w:r>
      <w:r w:rsidR="00E20297" w:rsidRPr="00AB2539">
        <w:t xml:space="preserve">since </w:t>
      </w:r>
      <w:r w:rsidR="006F4F72" w:rsidRPr="00AB2539">
        <w:t>this</w:t>
      </w:r>
      <w:r w:rsidR="00E20297" w:rsidRPr="00AB2539">
        <w:t xml:space="preserve"> allowed detect</w:t>
      </w:r>
      <w:r w:rsidR="006F4F72" w:rsidRPr="00AB2539">
        <w:t>ion of</w:t>
      </w:r>
      <w:r w:rsidR="00E20297" w:rsidRPr="00AB2539">
        <w:t xml:space="preserve"> newly generated cells without the use of radioactive compounds. </w:t>
      </w:r>
      <w:r w:rsidR="00B817DD" w:rsidRPr="00AB2539">
        <w:t xml:space="preserve">This procedure became the gold standard to measure cell proliferation in </w:t>
      </w:r>
      <w:r w:rsidR="006F4F72" w:rsidRPr="00AB2539">
        <w:t>a</w:t>
      </w:r>
      <w:r w:rsidR="00B817DD" w:rsidRPr="00AB2539">
        <w:t xml:space="preserve">dult </w:t>
      </w:r>
      <w:r w:rsidR="006F4F72" w:rsidRPr="00AB2539">
        <w:t>b</w:t>
      </w:r>
      <w:r w:rsidR="00B817DD" w:rsidRPr="00AB2539">
        <w:t>rain niches to promot</w:t>
      </w:r>
      <w:r w:rsidR="006F4F72" w:rsidRPr="00AB2539">
        <w:t>e</w:t>
      </w:r>
      <w:r w:rsidR="00B817DD" w:rsidRPr="00AB2539">
        <w:t xml:space="preserve"> </w:t>
      </w:r>
      <w:r w:rsidR="006F4F72" w:rsidRPr="00AB2539">
        <w:t>further</w:t>
      </w:r>
      <w:r w:rsidR="006505B1" w:rsidRPr="00AB2539">
        <w:t xml:space="preserve"> </w:t>
      </w:r>
      <w:r w:rsidR="00B817DD" w:rsidRPr="00AB2539">
        <w:t xml:space="preserve">research in the field. </w:t>
      </w:r>
    </w:p>
    <w:p w14:paraId="7E01CD82" w14:textId="77777777" w:rsidR="0010186D" w:rsidRPr="00AB2539" w:rsidRDefault="0010186D" w:rsidP="00AB2539">
      <w:pPr>
        <w:widowControl/>
        <w:contextualSpacing/>
      </w:pPr>
    </w:p>
    <w:p w14:paraId="67ED39DE" w14:textId="28456BAC" w:rsidR="00E25AE0" w:rsidRPr="00AB2539" w:rsidRDefault="00E25AE0" w:rsidP="00AB2539">
      <w:pPr>
        <w:widowControl/>
        <w:contextualSpacing/>
      </w:pPr>
      <w:r w:rsidRPr="00AB2539">
        <w:t xml:space="preserve">The limitation of the thymidine analog technique is </w:t>
      </w:r>
      <w:r w:rsidR="00B817DD" w:rsidRPr="00AB2539">
        <w:t>that it</w:t>
      </w:r>
      <w:r w:rsidRPr="00AB2539">
        <w:t xml:space="preserve"> does not allow the</w:t>
      </w:r>
      <w:r w:rsidR="00EA257C" w:rsidRPr="00AB2539">
        <w:t xml:space="preserve"> determination of</w:t>
      </w:r>
      <w:r w:rsidRPr="00AB2539">
        <w:t xml:space="preserve"> cellular identity </w:t>
      </w:r>
      <w:r w:rsidR="00EA257C" w:rsidRPr="00AB2539">
        <w:t>for</w:t>
      </w:r>
      <w:r w:rsidRPr="00AB2539">
        <w:t xml:space="preserve"> the newly generated cells. </w:t>
      </w:r>
      <w:r w:rsidR="00C9065C" w:rsidRPr="00AB2539">
        <w:t>However, i</w:t>
      </w:r>
      <w:r w:rsidRPr="00AB2539">
        <w:t>mmunohistochemistry allows us to carry out double</w:t>
      </w:r>
      <w:r w:rsidR="00086780" w:rsidRPr="00AB2539">
        <w:t>-</w:t>
      </w:r>
      <w:r w:rsidRPr="00AB2539">
        <w:t xml:space="preserve"> or triple</w:t>
      </w:r>
      <w:r w:rsidR="00086780" w:rsidRPr="00AB2539">
        <w:t>-</w:t>
      </w:r>
      <w:r w:rsidRPr="00AB2539">
        <w:t xml:space="preserve"> labeling</w:t>
      </w:r>
      <w:r w:rsidR="00086780" w:rsidRPr="00AB2539">
        <w:t xml:space="preserve"> technique</w:t>
      </w:r>
      <w:r w:rsidRPr="00AB2539">
        <w:t xml:space="preserve"> of the same cell, which </w:t>
      </w:r>
      <w:r w:rsidR="00EA257C" w:rsidRPr="00AB2539">
        <w:t>validates</w:t>
      </w:r>
      <w:r w:rsidR="00C9065C" w:rsidRPr="00AB2539">
        <w:t xml:space="preserve"> </w:t>
      </w:r>
      <w:r w:rsidRPr="00AB2539">
        <w:t>the c</w:t>
      </w:r>
      <w:r w:rsidR="001840EA" w:rsidRPr="00AB2539">
        <w:t>ellular</w:t>
      </w:r>
      <w:r w:rsidRPr="00AB2539">
        <w:t xml:space="preserve"> fate of the new</w:t>
      </w:r>
      <w:r w:rsidR="001840EA" w:rsidRPr="00AB2539">
        <w:t>ly generated</w:t>
      </w:r>
      <w:r w:rsidRPr="00AB2539">
        <w:t xml:space="preserve"> cells and even </w:t>
      </w:r>
      <w:r w:rsidR="004B1D7F">
        <w:t xml:space="preserve">their </w:t>
      </w:r>
      <w:r w:rsidRPr="00AB2539">
        <w:t>stage</w:t>
      </w:r>
      <w:r w:rsidR="004B1D7F">
        <w:t>s</w:t>
      </w:r>
      <w:r w:rsidRPr="00AB2539">
        <w:t xml:space="preserve"> of maturation</w:t>
      </w:r>
      <w:r w:rsidR="004B1D7F">
        <w:t xml:space="preserve">, </w:t>
      </w:r>
      <w:r w:rsidR="00C9065C" w:rsidRPr="00AB2539">
        <w:t>lead</w:t>
      </w:r>
      <w:r w:rsidR="004B1D7F">
        <w:t>ing</w:t>
      </w:r>
      <w:r w:rsidR="00C9065C" w:rsidRPr="00AB2539">
        <w:t xml:space="preserve"> to </w:t>
      </w:r>
      <w:r w:rsidR="004B1D7F">
        <w:t xml:space="preserve">further </w:t>
      </w:r>
      <w:r w:rsidRPr="00AB2539">
        <w:t xml:space="preserve">evolution </w:t>
      </w:r>
      <w:r w:rsidR="004B1D7F">
        <w:t>of</w:t>
      </w:r>
      <w:r w:rsidR="004B1D7F" w:rsidRPr="00AB2539">
        <w:t xml:space="preserve"> </w:t>
      </w:r>
      <w:r w:rsidRPr="00AB2539">
        <w:t>the field.</w:t>
      </w:r>
      <w:r w:rsidR="00EA257C" w:rsidRPr="00AB2539">
        <w:t xml:space="preserve"> </w:t>
      </w:r>
      <w:r w:rsidR="00872F38" w:rsidRPr="00AB2539">
        <w:t>T</w:t>
      </w:r>
      <w:r w:rsidR="00A8080B" w:rsidRPr="00AB2539">
        <w:t xml:space="preserve">his method </w:t>
      </w:r>
      <w:r w:rsidRPr="00AB2539">
        <w:t xml:space="preserve">was characterized </w:t>
      </w:r>
      <w:r w:rsidR="00A8080B" w:rsidRPr="00AB2539">
        <w:t>to differentiate</w:t>
      </w:r>
      <w:r w:rsidRPr="00AB2539">
        <w:t xml:space="preserve"> newly generated cells into glia, undifferentiated neuron</w:t>
      </w:r>
      <w:r w:rsidR="00FE28F6" w:rsidRPr="00AB2539">
        <w:t>s</w:t>
      </w:r>
      <w:r w:rsidR="00086780" w:rsidRPr="00AB2539">
        <w:t>,</w:t>
      </w:r>
      <w:r w:rsidRPr="00AB2539">
        <w:t xml:space="preserve"> or a fully mature granular cell, and even </w:t>
      </w:r>
      <w:r w:rsidR="00A8080B" w:rsidRPr="00AB2539">
        <w:t xml:space="preserve">to </w:t>
      </w:r>
      <w:r w:rsidRPr="00AB2539">
        <w:t xml:space="preserve">determine if they are participating </w:t>
      </w:r>
      <w:r w:rsidR="00A8080B" w:rsidRPr="00AB2539">
        <w:t xml:space="preserve">actively </w:t>
      </w:r>
      <w:r w:rsidRPr="00AB2539">
        <w:t xml:space="preserve">in the circuitry. Another breakthrough </w:t>
      </w:r>
      <w:r w:rsidR="00A8080B" w:rsidRPr="00AB2539">
        <w:t>in</w:t>
      </w:r>
      <w:r w:rsidRPr="00AB2539">
        <w:t xml:space="preserve"> the field was the </w:t>
      </w:r>
      <w:r w:rsidR="00A8080B" w:rsidRPr="00AB2539">
        <w:t xml:space="preserve">use </w:t>
      </w:r>
      <w:r w:rsidRPr="00AB2539">
        <w:t xml:space="preserve">of transgenic models to identify undifferentiated cells under the domain of </w:t>
      </w:r>
      <w:proofErr w:type="spellStart"/>
      <w:r w:rsidRPr="00AB2539">
        <w:t>nestin</w:t>
      </w:r>
      <w:proofErr w:type="spellEnd"/>
      <w:r w:rsidRPr="00AB2539">
        <w:t xml:space="preserve">. </w:t>
      </w:r>
      <w:r w:rsidR="00435A81" w:rsidRPr="00AB2539">
        <w:t xml:space="preserve">The </w:t>
      </w:r>
      <w:proofErr w:type="spellStart"/>
      <w:r w:rsidR="00435A81" w:rsidRPr="00AB2539">
        <w:t>nestin</w:t>
      </w:r>
      <w:proofErr w:type="spellEnd"/>
      <w:r w:rsidR="00435A81" w:rsidRPr="00AB2539">
        <w:t xml:space="preserve">-GFP transgenic mice express </w:t>
      </w:r>
      <w:r w:rsidR="00A8080B" w:rsidRPr="00AB2539">
        <w:t xml:space="preserve">an enhanced </w:t>
      </w:r>
      <w:r w:rsidR="00435A81" w:rsidRPr="00AB2539">
        <w:t xml:space="preserve">green fluorescent protein (GFP), which is </w:t>
      </w:r>
      <w:r w:rsidR="0010186D" w:rsidRPr="00AB2539">
        <w:t xml:space="preserve">under the control of </w:t>
      </w:r>
      <w:r w:rsidR="008F7DEE" w:rsidRPr="00AB2539">
        <w:t xml:space="preserve">the </w:t>
      </w:r>
      <w:proofErr w:type="spellStart"/>
      <w:r w:rsidR="008F7DEE" w:rsidRPr="00AB2539">
        <w:t>nestin</w:t>
      </w:r>
      <w:proofErr w:type="spellEnd"/>
      <w:r w:rsidR="008F7DEE" w:rsidRPr="00AB2539">
        <w:t xml:space="preserve"> promoter</w:t>
      </w:r>
      <w:r w:rsidR="00435A81" w:rsidRPr="00AB2539">
        <w:t xml:space="preserve">. </w:t>
      </w:r>
      <w:proofErr w:type="spellStart"/>
      <w:r w:rsidR="00435A81" w:rsidRPr="00AB2539">
        <w:t>Nestin</w:t>
      </w:r>
      <w:proofErr w:type="spellEnd"/>
      <w:r w:rsidR="00435A81" w:rsidRPr="00AB2539">
        <w:t xml:space="preserve"> is an intermediate filament </w:t>
      </w:r>
      <w:r w:rsidR="00086780" w:rsidRPr="00AB2539">
        <w:t>characterized by</w:t>
      </w:r>
      <w:r w:rsidR="00435A81" w:rsidRPr="00AB2539">
        <w:t xml:space="preserve"> progenitor cells</w:t>
      </w:r>
      <w:r w:rsidRPr="00AB2539">
        <w:fldChar w:fldCharType="begin" w:fldLock="1"/>
      </w:r>
      <w:r w:rsidR="00435A81" w:rsidRPr="00AB2539">
        <w:instrText>ADDIN CSL_CITATION {"citationItems":[{"id":"ITEM-1","itemData":{"DOI":"10.1016/S1044-7431(03)00060-5","ISSN":"10447431","abstract":"Based on the expression of glial fibrillary acidic protein (GFAP), a recent hypothesis considered stem or progenitor cells in the adult hippocampus to be a type of astrocyte. In a complementary approach, we used transgenic mice expressing green fluorescent protein (GFP) under the promoter for nestin, an intermediate filament present in progenitor cells, to demonstrate astrocytic features in nestin-GFP-positive cells. Morphologically, two subpopulations of nestin-GFP-positive cells were distinguishable; one had an elaborate tree of processes in the granule cell layer and expression of GFAP (but not of S100β, another astrocytic marker). Electron microscopy revealed vascular end feet of nestin-positive cells, further supporting astrocytic differentiation. Electrophysiological examination of nestin-GFP-positive cells on acutely isolated hippocampal slices showed passive current characteristics of astrocytes in one subset of cells. Among the nestin-GFP-expressing cells with lacking astrocytic features, two cell types could be identified electrophysiologically: cells with delayed-rectifying potassium currents and a very small number of cells with sodium currents, potentially representing signs of the earliest steps of neuronal differentiation. © 2003 Elsevier Science (USA). All rights reserved.","author":[{"dropping-particle":"","family":"Filippov","given":"Vitali","non-dropping-particle":"","parse-names":false,"suffix":""},{"dropping-particle":"","family":"Kronenberg","given":"Golo","non-dropping-particle":"","parse-names":false,"suffix":""},{"dropping-particle":"","family":"Pivneva","given":"Tatjyana","non-dropping-particle":"","parse-names":false,"suffix":""},{"dropping-particle":"","family":"Reuter","given":"Katja","non-dropping-particle":"","parse-names":false,"suffix":""},{"dropping-particle":"","family":"Steiner","given":"Barbara","non-dropping-particle":"","parse-names":false,"suffix":""},{"dropping-particle":"","family":"Wang","given":"Li Ping","non-dropping-particle":"","parse-names":false,"suffix":""},{"dropping-particle":"","family":"Yamaguchi","given":"Masahiro","non-dropping-particle":"","parse-names":false,"suffix":""},{"dropping-particle":"","family":"Kettenmann","given":"Helmut","non-dropping-particle":"","parse-names":false,"suffix":""},{"dropping-particle":"","family":"Kempermann","given":"Gerd","non-dropping-particle":"","parse-names":false,"suffix":""}],"container-title":"Molecular and Cellular Neuroscience","id":"ITEM-1","issue":"3","issued":{"date-parts":[["2003"]]},"page":"373-382","title":"Subpopulation of nestin-expressing progenitor cells in the adult murine hippocampus shows electrophysiological and morphological characteristics of astrocytes","type":"article-journal","volume":"23"},"uris":["http://www.mendeley.com/documents/?uuid=b9424efb-3be9-4bec-9f0d-50673d369fd1"]}],"mendeley":{"formattedCitation":"&lt;sup&gt;5&lt;/sup&gt;","plainTextFormattedCitation":"5","previouslyFormattedCitation":"&lt;sup&gt;5&lt;/sup&gt;"},"properties":{"noteIndex":0},"schema":"https://github.com/citation-style-language/schema/raw/master/csl-citation.json"}</w:instrText>
      </w:r>
      <w:r w:rsidRPr="00AB2539">
        <w:fldChar w:fldCharType="separate"/>
      </w:r>
      <w:r w:rsidR="00435A81" w:rsidRPr="00AB2539">
        <w:rPr>
          <w:noProof/>
          <w:vertAlign w:val="superscript"/>
        </w:rPr>
        <w:t>5</w:t>
      </w:r>
      <w:r w:rsidRPr="00AB2539">
        <w:fldChar w:fldCharType="end"/>
      </w:r>
      <w:r w:rsidRPr="00AB2539">
        <w:t xml:space="preserve">. The </w:t>
      </w:r>
      <w:proofErr w:type="spellStart"/>
      <w:r w:rsidRPr="00AB2539">
        <w:t>nestin</w:t>
      </w:r>
      <w:proofErr w:type="spellEnd"/>
      <w:r w:rsidRPr="00AB2539">
        <w:t xml:space="preserve">-GFP transgenic mice allowed to </w:t>
      </w:r>
      <w:r w:rsidR="00EA257C" w:rsidRPr="00AB2539">
        <w:t>establish</w:t>
      </w:r>
      <w:r w:rsidRPr="00AB2539">
        <w:t xml:space="preserve"> </w:t>
      </w:r>
      <w:r w:rsidR="00ED5E82" w:rsidRPr="00AB2539">
        <w:t xml:space="preserve">early </w:t>
      </w:r>
      <w:r w:rsidRPr="00AB2539">
        <w:t xml:space="preserve">developmental steps involved in </w:t>
      </w:r>
      <w:r w:rsidRPr="00AB2539">
        <w:lastRenderedPageBreak/>
        <w:t>neurogenesis</w:t>
      </w:r>
      <w:r w:rsidR="00782E97" w:rsidRPr="00AB2539">
        <w:fldChar w:fldCharType="begin" w:fldLock="1"/>
      </w:r>
      <w:r w:rsidR="00435A81" w:rsidRPr="00AB2539">
        <w:instrText>ADDIN CSL_CITATION {"citationItems":[{"id":"ITEM-1","itemData":{"DOI":"10.1016/j.tins.2004.05.013","ISSN":"01662236","abstract":"Adult hippocampal neurogenesis originates from precursor cells in the adult dentate gyrus and results in new granule cell neurons. We propose a model of the development that takes place between these two fixed points and identify several developmental milestones. From a presumably bipotent radial-glia-like stem cell (type-1 cell) with astrocytic properties, development progresses over at least two stages of amplifying lineage-determined progenitor cells (type-2 and type-3 cells) to early postmitotic and to mature neurons. The selection process, during which new neurons are recruited into function, and other regulatory influences differentially affect the different stages of development.","author":[{"dropping-particle":"","family":"Kempermann","given":"Gerd","non-dropping-particle":"","parse-names":false,"suffix":""},{"dropping-particle":"","family":"Jessberger","given":"Sebastian","non-dropping-particle":"","parse-names":false,"suffix":""},{"dropping-particle":"","family":"Steiner","given":"Barbara","non-dropping-particle":"","parse-names":false,"suffix":""},{"dropping-particle":"","family":"Kronenberg","given":"Golo","non-dropping-particle":"","parse-names":false,"suffix":""}],"container-title":"Trends in Neurosciences","id":"ITEM-1","issue":"8","issued":{"date-parts":[["2004"]]},"page":"447-452","title":"Milestones of neuronal development in the adult hippocampus","type":"article-journal","volume":"27"},"uris":["http://www.mendeley.com/documents/?uuid=169ee425-0865-4e5d-8952-b31bc54a635f"]}],"mendeley":{"formattedCitation":"&lt;sup&gt;6&lt;/sup&gt;","plainTextFormattedCitation":"6","previouslyFormattedCitation":"&lt;sup&gt;6&lt;/sup&gt;"},"properties":{"noteIndex":0},"schema":"https://github.com/citation-style-language/schema/raw/master/csl-citation.json"}</w:instrText>
      </w:r>
      <w:r w:rsidR="00782E97" w:rsidRPr="00AB2539">
        <w:fldChar w:fldCharType="separate"/>
      </w:r>
      <w:r w:rsidR="00435A81" w:rsidRPr="00AB2539">
        <w:rPr>
          <w:noProof/>
          <w:vertAlign w:val="superscript"/>
        </w:rPr>
        <w:t>6</w:t>
      </w:r>
      <w:r w:rsidR="00782E97" w:rsidRPr="00AB2539">
        <w:fldChar w:fldCharType="end"/>
      </w:r>
      <w:r w:rsidRPr="00AB2539">
        <w:t xml:space="preserve">. </w:t>
      </w:r>
      <w:r w:rsidR="00086780" w:rsidRPr="00AB2539">
        <w:t xml:space="preserve">However, a significant limitation </w:t>
      </w:r>
      <w:r w:rsidR="00C47D0F" w:rsidRPr="00AB2539">
        <w:t>is to be able to maintain</w:t>
      </w:r>
      <w:r w:rsidR="00086780" w:rsidRPr="00AB2539">
        <w:t xml:space="preserve"> </w:t>
      </w:r>
      <w:r w:rsidR="00037DB1" w:rsidRPr="00AB2539">
        <w:t>a</w:t>
      </w:r>
      <w:r w:rsidR="0014191C" w:rsidRPr="00AB2539">
        <w:t xml:space="preserve"> </w:t>
      </w:r>
      <w:proofErr w:type="spellStart"/>
      <w:r w:rsidR="0014191C" w:rsidRPr="00AB2539">
        <w:t>nestin</w:t>
      </w:r>
      <w:proofErr w:type="spellEnd"/>
      <w:r w:rsidR="0014191C" w:rsidRPr="00AB2539">
        <w:t xml:space="preserve">-GFP transgenic mice </w:t>
      </w:r>
      <w:r w:rsidR="00C47D0F" w:rsidRPr="00AB2539">
        <w:t xml:space="preserve">colony under special conditions </w:t>
      </w:r>
      <w:r w:rsidR="00037DB1" w:rsidRPr="00AB2539">
        <w:t>in a laboratory facility that becomes</w:t>
      </w:r>
      <w:r w:rsidR="005E3DCE" w:rsidRPr="00AB2539">
        <w:t xml:space="preserve"> cost-effective for some </w:t>
      </w:r>
      <w:r w:rsidR="00037DB1" w:rsidRPr="00AB2539">
        <w:t xml:space="preserve">scientific </w:t>
      </w:r>
      <w:r w:rsidR="005E3DCE" w:rsidRPr="00AB2539">
        <w:t>groups, especially th</w:t>
      </w:r>
      <w:r w:rsidR="00037DB1" w:rsidRPr="00AB2539">
        <w:t>ose from</w:t>
      </w:r>
      <w:r w:rsidR="005E3DCE" w:rsidRPr="00AB2539">
        <w:t xml:space="preserve"> developing countries.</w:t>
      </w:r>
      <w:r w:rsidR="00EB0961">
        <w:t xml:space="preserve"> </w:t>
      </w:r>
    </w:p>
    <w:p w14:paraId="4E935D71" w14:textId="77777777" w:rsidR="00BD6CF4" w:rsidRPr="00AB2539" w:rsidRDefault="00BD6CF4" w:rsidP="00AB2539">
      <w:pPr>
        <w:widowControl/>
        <w:contextualSpacing/>
      </w:pPr>
    </w:p>
    <w:p w14:paraId="0A713FAF" w14:textId="10CEB7C4" w:rsidR="004D002B" w:rsidRPr="00AB2539" w:rsidRDefault="00E25AE0" w:rsidP="00AB2539">
      <w:pPr>
        <w:widowControl/>
        <w:contextualSpacing/>
      </w:pPr>
      <w:r w:rsidRPr="00AB2539">
        <w:t xml:space="preserve">The </w:t>
      </w:r>
      <w:r w:rsidR="00E84B58" w:rsidRPr="00AB2539">
        <w:t>techniques mentioned above</w:t>
      </w:r>
      <w:r w:rsidR="0034283C" w:rsidRPr="00AB2539">
        <w:t xml:space="preserve"> </w:t>
      </w:r>
      <w:r w:rsidRPr="00AB2539">
        <w:t>have advantages and disadvantages. However, identification of proliferating cells by immunohistochemistry</w:t>
      </w:r>
      <w:r w:rsidR="00435A81" w:rsidRPr="00AB2539">
        <w:t xml:space="preserve"> (IHC)</w:t>
      </w:r>
      <w:r w:rsidRPr="00AB2539">
        <w:t xml:space="preserve"> and the possibility to carry out double</w:t>
      </w:r>
      <w:r w:rsidR="00037DB1" w:rsidRPr="00AB2539">
        <w:t>-</w:t>
      </w:r>
      <w:r w:rsidRPr="00AB2539">
        <w:t xml:space="preserve"> or triple</w:t>
      </w:r>
      <w:r w:rsidR="00037DB1" w:rsidRPr="00AB2539">
        <w:t>-</w:t>
      </w:r>
      <w:r w:rsidRPr="00AB2539">
        <w:t xml:space="preserve"> labeling </w:t>
      </w:r>
      <w:r w:rsidR="00037DB1" w:rsidRPr="00AB2539">
        <w:t xml:space="preserve">technique </w:t>
      </w:r>
      <w:r w:rsidRPr="00AB2539">
        <w:t>by immunofluorescence to identif</w:t>
      </w:r>
      <w:r w:rsidR="00754F51">
        <w:t>y</w:t>
      </w:r>
      <w:r w:rsidRPr="00AB2539">
        <w:t xml:space="preserve"> cell maturation stage or cell fate represents the most </w:t>
      </w:r>
      <w:r w:rsidR="00E84B58" w:rsidRPr="00AB2539">
        <w:t xml:space="preserve">feasible </w:t>
      </w:r>
      <w:r w:rsidRPr="00AB2539">
        <w:t>way to measur</w:t>
      </w:r>
      <w:r w:rsidR="00872F38" w:rsidRPr="00AB2539">
        <w:t>e</w:t>
      </w:r>
      <w:r w:rsidRPr="00AB2539">
        <w:t xml:space="preserve"> adult neurogenesis</w:t>
      </w:r>
      <w:r w:rsidR="00037DB1" w:rsidRPr="00AB2539">
        <w:t>,</w:t>
      </w:r>
      <w:r w:rsidRPr="00AB2539">
        <w:t xml:space="preserve"> so far.</w:t>
      </w:r>
      <w:r w:rsidR="009E77E3" w:rsidRPr="00AB2539">
        <w:t xml:space="preserve"> </w:t>
      </w:r>
      <w:r w:rsidR="00D22177" w:rsidRPr="00AB2539">
        <w:t>The</w:t>
      </w:r>
      <w:r w:rsidR="00037DB1" w:rsidRPr="00AB2539">
        <w:t xml:space="preserve"> identification </w:t>
      </w:r>
      <w:r w:rsidR="00D22177" w:rsidRPr="00AB2539">
        <w:t xml:space="preserve">process using </w:t>
      </w:r>
      <w:r w:rsidR="00037DB1" w:rsidRPr="00AB2539">
        <w:t>immunohistochemistry</w:t>
      </w:r>
      <w:r w:rsidR="00D22177" w:rsidRPr="00AB2539">
        <w:t xml:space="preserve"> </w:t>
      </w:r>
      <w:r w:rsidR="00037DB1" w:rsidRPr="00AB2539">
        <w:t xml:space="preserve">consists of labeling proteins, protein </w:t>
      </w:r>
      <w:r w:rsidR="00754F51" w:rsidRPr="00AB2539">
        <w:t>dom</w:t>
      </w:r>
      <w:r w:rsidR="00754F51">
        <w:t>ai</w:t>
      </w:r>
      <w:r w:rsidR="00754F51" w:rsidRPr="00AB2539">
        <w:t>n</w:t>
      </w:r>
      <w:r w:rsidR="004B1D7F" w:rsidRPr="00AB2539">
        <w:t>, or nucleotides with a specific antibody that allows their recognition known as primary antibody</w:t>
      </w:r>
      <w:r w:rsidR="00030360" w:rsidRPr="00AB2539">
        <w:t>.</w:t>
      </w:r>
      <w:r w:rsidR="00037DB1" w:rsidRPr="00AB2539">
        <w:t xml:space="preserve"> </w:t>
      </w:r>
      <w:r w:rsidR="00EC6885" w:rsidRPr="00AB2539">
        <w:t>Th</w:t>
      </w:r>
      <w:r w:rsidR="004B1D7F">
        <w:t>e</w:t>
      </w:r>
      <w:r w:rsidR="00EC6885" w:rsidRPr="00AB2539">
        <w:t xml:space="preserve"> </w:t>
      </w:r>
      <w:r w:rsidR="00030360" w:rsidRPr="00AB2539">
        <w:t xml:space="preserve">latter </w:t>
      </w:r>
      <w:r w:rsidR="00EC6885" w:rsidRPr="00AB2539">
        <w:t>is recognized by the secondary antibody, which is marked with a chromogen (e.g., horseradish peroxidase) or a fluorochrome (e.g., FITC) coupled with the secondary antibody</w:t>
      </w:r>
      <w:r w:rsidR="00E84B58" w:rsidRPr="00AB2539">
        <w:t>.</w:t>
      </w:r>
      <w:r w:rsidRPr="00AB2539">
        <w:t xml:space="preserve"> </w:t>
      </w:r>
      <w:r w:rsidR="00EC6885" w:rsidRPr="00AB2539">
        <w:t xml:space="preserve">Microscopes </w:t>
      </w:r>
      <w:r w:rsidR="004B1D7F">
        <w:t>can</w:t>
      </w:r>
      <w:r w:rsidR="004B1D7F" w:rsidRPr="00AB2539">
        <w:t xml:space="preserve"> </w:t>
      </w:r>
      <w:r w:rsidR="00EC6885" w:rsidRPr="00AB2539">
        <w:t xml:space="preserve">detect both chromogens and fluorochromes signals. </w:t>
      </w:r>
      <w:r w:rsidR="008F7DEE" w:rsidRPr="00AB2539">
        <w:t xml:space="preserve">Using </w:t>
      </w:r>
      <w:r w:rsidR="000A6E6F" w:rsidRPr="00AB2539">
        <w:t>IHC</w:t>
      </w:r>
      <w:r w:rsidRPr="00AB2539">
        <w:t>, it is possible to identify membrane proteins, cytoskeleton proteins, or nuclear components</w:t>
      </w:r>
      <w:r w:rsidR="004B1D7F">
        <w:t xml:space="preserve"> such</w:t>
      </w:r>
      <w:r w:rsidRPr="00AB2539">
        <w:t xml:space="preserve"> as </w:t>
      </w:r>
      <w:proofErr w:type="spellStart"/>
      <w:r w:rsidRPr="00AB2539">
        <w:t>BrdU</w:t>
      </w:r>
      <w:proofErr w:type="spellEnd"/>
      <w:r w:rsidRPr="00AB2539">
        <w:t xml:space="preserve">. </w:t>
      </w:r>
      <w:r w:rsidR="00030360" w:rsidRPr="00AB2539">
        <w:t xml:space="preserve">On the other hand, </w:t>
      </w:r>
      <w:proofErr w:type="spellStart"/>
      <w:r w:rsidRPr="00AB2539">
        <w:t>BrdU</w:t>
      </w:r>
      <w:proofErr w:type="spellEnd"/>
      <w:r w:rsidRPr="00AB2539">
        <w:t xml:space="preserve"> can be found in the cellular nucleus since it is incorporated into the DNA during S-phase by competition</w:t>
      </w:r>
      <w:r w:rsidR="00D43390" w:rsidRPr="00AB2539">
        <w:t>. Therefore, a crucial step is the DNA denaturation with HC</w:t>
      </w:r>
      <w:r w:rsidR="004B1D7F">
        <w:t>l</w:t>
      </w:r>
      <w:r w:rsidR="00D43390" w:rsidRPr="00AB2539">
        <w:t xml:space="preserve">, which opens DNA bonds to allow the </w:t>
      </w:r>
      <w:proofErr w:type="spellStart"/>
      <w:r w:rsidR="00D43390" w:rsidRPr="00AB2539">
        <w:t>BrdU</w:t>
      </w:r>
      <w:proofErr w:type="spellEnd"/>
      <w:r w:rsidR="00D43390" w:rsidRPr="00AB2539">
        <w:t xml:space="preserve"> antibody access to </w:t>
      </w:r>
      <w:proofErr w:type="spellStart"/>
      <w:r w:rsidR="00D43390" w:rsidRPr="00AB2539">
        <w:t>BrdU</w:t>
      </w:r>
      <w:proofErr w:type="spellEnd"/>
      <w:r w:rsidR="00D43390" w:rsidRPr="00AB2539">
        <w:t xml:space="preserve"> within the DNA.</w:t>
      </w:r>
      <w:r w:rsidR="004D002B" w:rsidRPr="00AB2539">
        <w:t xml:space="preserve"> It is essential to know that </w:t>
      </w:r>
      <w:proofErr w:type="spellStart"/>
      <w:r w:rsidR="004D002B" w:rsidRPr="00AB2539">
        <w:t>BrdU</w:t>
      </w:r>
      <w:proofErr w:type="spellEnd"/>
      <w:r w:rsidR="004D002B" w:rsidRPr="00AB2539">
        <w:t xml:space="preserve"> is present in </w:t>
      </w:r>
      <w:r w:rsidR="000A6E6F" w:rsidRPr="00AB2539">
        <w:t xml:space="preserve">a </w:t>
      </w:r>
      <w:r w:rsidR="004D002B" w:rsidRPr="00AB2539">
        <w:t>saturated concentration in mice and rat serum for 15 and 60 min respectively, after</w:t>
      </w:r>
      <w:r w:rsidR="00E94314" w:rsidRPr="00AB2539">
        <w:t xml:space="preserve"> intraperitoneal</w:t>
      </w:r>
      <w:r w:rsidR="004D002B" w:rsidRPr="00AB2539">
        <w:t xml:space="preserve"> administration, then drops rapidly </w:t>
      </w:r>
      <w:r w:rsidR="00B900F1">
        <w:t>to</w:t>
      </w:r>
      <w:r w:rsidR="00B900F1" w:rsidRPr="00AB2539">
        <w:t xml:space="preserve"> </w:t>
      </w:r>
      <w:r w:rsidR="004D002B" w:rsidRPr="00AB2539">
        <w:t>undetectable levels at 60 and 120 min respectively</w:t>
      </w:r>
      <w:r w:rsidR="00557272" w:rsidRPr="00AB2539">
        <w:fldChar w:fldCharType="begin" w:fldLock="1"/>
      </w:r>
      <w:r w:rsidR="00383526" w:rsidRPr="00AB2539">
        <w:instrText>ADDIN CSL_CITATION {"citationItems":[{"id":"ITEM-1","itemData":{"DOI":"10.1007/s00418-014-1253-7","ISSN":"1432119X","abstract":"5-Bromo-2ʹ-deoxyuridine (BrdU) is a marker that is widely used to label S-phase cells in neurobiological research in most common doses 50 or 100 mg/kg per single intraperitoneal (i.p.) injection. However, the important data regarding its pharmacokinetics in rodents are still missing. The aim of our study was to investigate the BrdU level in serum after a single i.p. injection to adult rats (doses: 50 or 100 mg/kg) and adult mice (50 mg/kg). The animals were killed at selected time-points after the BrdU injection, and proliferating tumour cells (cell lines HCT-116 and HL-60) were co-cultivated with isolated blood sera. BrdU incorporated in the DNA of the S-phase tumour cells was stained with an anti-BrdU antibody and analysed using flow cytometry. In rats, the efficacies of BrdU labelling of S-phase cells in both in vitro and in vivo conditions were compared in the 50 and 100 mg/kg groups. According to our results, BrdU was in saturated concentration to label almost all S-phase cells for 60 min in both doses and was detectable in blood serum until 120 min after the single i.p. injection. However, the 100 mg/kg dose of BrdU did not provide a prolonged staining period to offset the potentially higher toxicity in comparison with the 50 mg/kg dose. In mice, due to their faster metabolism, the concentration of BrdU in blood serum was sufficient to label the whole population of S-phase cells for only 15 min after the i.p. injection, then dropped rapidly.","author":[{"dropping-particle":"","family":"Matiašová","given":"Anna","non-dropping-particle":"","parse-names":false,"suffix":""},{"dropping-particle":"","family":"Ševc","given":"Juraj","non-dropping-particle":"","parse-names":false,"suffix":""},{"dropping-particle":"","family":"Mikeš","given":"Jaromír","non-dropping-particle":"","parse-names":false,"suffix":""},{"dropping-particle":"","family":"Jendželovský","given":"Rastislav","non-dropping-particle":"","parse-names":false,"suffix":""},{"dropping-particle":"","family":"Daxnerová","given":"Zuzana","non-dropping-particle":"","parse-names":false,"suffix":""},{"dropping-particle":"","family":"Fedoročko","given":"Peter","non-dropping-particle":"","parse-names":false,"suffix":""}],"container-title":"Histochemistry and Cell Biology","id":"ITEM-1","issue":"6","issued":{"date-parts":[["2014"]]},"page":"703-712","title":"Flow cytometric determination of 5-bromo-2ʹ-deoxyuridine pharmacokinetics in blood serum after intraperitoneal administration to rats and mice","type":"article-journal","volume":"142"},"uris":["http://www.mendeley.com/documents/?uuid=c0a6e5fe-4ccb-425c-a57b-b390ad762ead"]}],"mendeley":{"formattedCitation":"&lt;sup&gt;7&lt;/sup&gt;","plainTextFormattedCitation":"7","previouslyFormattedCitation":"&lt;sup&gt;7&lt;/sup&gt;"},"properties":{"noteIndex":0},"schema":"https://github.com/citation-style-language/schema/raw/master/csl-citation.json"}</w:instrText>
      </w:r>
      <w:r w:rsidR="00557272" w:rsidRPr="00AB2539">
        <w:fldChar w:fldCharType="separate"/>
      </w:r>
      <w:r w:rsidR="00557272" w:rsidRPr="00AB2539">
        <w:rPr>
          <w:noProof/>
          <w:vertAlign w:val="superscript"/>
        </w:rPr>
        <w:t>7</w:t>
      </w:r>
      <w:r w:rsidR="00557272" w:rsidRPr="00AB2539">
        <w:fldChar w:fldCharType="end"/>
      </w:r>
      <w:r w:rsidR="004D002B" w:rsidRPr="00AB2539">
        <w:t>.</w:t>
      </w:r>
    </w:p>
    <w:p w14:paraId="4730D08E" w14:textId="77777777" w:rsidR="00872F38" w:rsidRPr="00AB2539" w:rsidRDefault="00872F38" w:rsidP="00AB2539">
      <w:pPr>
        <w:widowControl/>
        <w:contextualSpacing/>
      </w:pPr>
    </w:p>
    <w:p w14:paraId="45950F69" w14:textId="38DC9DD7" w:rsidR="00BB41DF" w:rsidRPr="00AB2539" w:rsidRDefault="00E84B58" w:rsidP="00AB2539">
      <w:pPr>
        <w:widowControl/>
        <w:contextualSpacing/>
      </w:pPr>
      <w:r w:rsidRPr="00AB2539">
        <w:t>Here, w</w:t>
      </w:r>
      <w:r w:rsidR="00BB41DF" w:rsidRPr="00AB2539">
        <w:t xml:space="preserve">e describe four different but closely related IHC techniques: </w:t>
      </w:r>
      <w:r w:rsidR="00B900F1" w:rsidRPr="00AB2539">
        <w:t>chromogenic indirect detectio</w:t>
      </w:r>
      <w:r w:rsidR="00BB41DF" w:rsidRPr="00AB2539">
        <w:t xml:space="preserve">n using </w:t>
      </w:r>
      <w:r w:rsidR="000C10F9" w:rsidRPr="00AB2539">
        <w:t>horseradish peroxidase</w:t>
      </w:r>
      <w:r w:rsidR="000C10F9" w:rsidRPr="00AB2539" w:rsidDel="000C10F9">
        <w:t xml:space="preserve"> </w:t>
      </w:r>
      <w:r w:rsidR="00BB41DF" w:rsidRPr="00AB2539">
        <w:t xml:space="preserve">(HRP) reaction with DAB </w:t>
      </w:r>
      <w:r w:rsidR="004F40D6" w:rsidRPr="00AB2539">
        <w:t xml:space="preserve">(3,3'-diaminobenzidine) </w:t>
      </w:r>
      <w:r w:rsidR="00BB41DF" w:rsidRPr="00AB2539">
        <w:t>sans signal amplification (</w:t>
      </w:r>
      <w:r w:rsidR="00B900F1">
        <w:t>s</w:t>
      </w:r>
      <w:r w:rsidR="00BB41DF" w:rsidRPr="00AB2539">
        <w:t>tep 4.1)</w:t>
      </w:r>
      <w:r w:rsidR="001840EA" w:rsidRPr="00AB2539">
        <w:t>,</w:t>
      </w:r>
      <w:r w:rsidR="00BB41DF" w:rsidRPr="00AB2539">
        <w:t xml:space="preserve"> </w:t>
      </w:r>
      <w:r w:rsidR="00B900F1" w:rsidRPr="00AB2539">
        <w:t>avidin-biotin complex</w:t>
      </w:r>
      <w:r w:rsidR="00BB41DF" w:rsidRPr="00AB2539">
        <w:t xml:space="preserve"> (ABC) amplification (</w:t>
      </w:r>
      <w:r w:rsidR="00B900F1">
        <w:t>s</w:t>
      </w:r>
      <w:r w:rsidR="00BB41DF" w:rsidRPr="00AB2539">
        <w:t>tep 4.1)</w:t>
      </w:r>
      <w:r w:rsidR="001840EA" w:rsidRPr="00AB2539">
        <w:t xml:space="preserve">, </w:t>
      </w:r>
      <w:r w:rsidR="00B900F1" w:rsidRPr="00AB2539">
        <w:t>indirect immunofluorescence detection without signal amplification (s</w:t>
      </w:r>
      <w:r w:rsidR="00BB41DF" w:rsidRPr="00AB2539">
        <w:t xml:space="preserve">tep 4.4) and labeled </w:t>
      </w:r>
      <w:r w:rsidR="00B900F1" w:rsidRPr="00AB2539">
        <w:t>streptavidin-bio</w:t>
      </w:r>
      <w:r w:rsidR="00BB41DF" w:rsidRPr="00AB2539">
        <w:t xml:space="preserve">tin (LSAB) amplification (step 4.3). Each method has </w:t>
      </w:r>
      <w:r w:rsidR="008F7DEE" w:rsidRPr="00AB2539">
        <w:t>advantages</w:t>
      </w:r>
      <w:r w:rsidR="00B900F1">
        <w:t xml:space="preserve"> and </w:t>
      </w:r>
      <w:r w:rsidR="008F7DEE" w:rsidRPr="00AB2539">
        <w:t>disadvantages</w:t>
      </w:r>
      <w:r w:rsidR="00146CA2">
        <w:t xml:space="preserve"> </w:t>
      </w:r>
      <w:r w:rsidR="00BB41DF" w:rsidRPr="00AB2539">
        <w:t>and could be useful for</w:t>
      </w:r>
      <w:r w:rsidR="009C5531" w:rsidRPr="00AB2539">
        <w:t xml:space="preserve"> specific tissue</w:t>
      </w:r>
      <w:r w:rsidR="00BB41DF" w:rsidRPr="00AB2539">
        <w:t xml:space="preserve"> requirements (see </w:t>
      </w:r>
      <w:r w:rsidR="00BB41DF" w:rsidRPr="00AB2539">
        <w:rPr>
          <w:b/>
          <w:bCs/>
        </w:rPr>
        <w:t>Table 1</w:t>
      </w:r>
      <w:r w:rsidR="00BB41DF" w:rsidRPr="00AB2539">
        <w:t>).</w:t>
      </w:r>
      <w:r w:rsidR="00EB0961">
        <w:t xml:space="preserve"> </w:t>
      </w:r>
      <w:r w:rsidR="009C5531" w:rsidRPr="00AB2539">
        <w:t xml:space="preserve">We decided to follow </w:t>
      </w:r>
      <w:r w:rsidR="00B900F1">
        <w:t>i</w:t>
      </w:r>
      <w:r w:rsidR="00B900F1" w:rsidRPr="00AB2539">
        <w:t xml:space="preserve">ndirect </w:t>
      </w:r>
      <w:r w:rsidR="009C5531" w:rsidRPr="00AB2539">
        <w:t>ICH methods due to their affordability and simplicity to make changes from chromogenic to fluorescent detection methods when using unconjugated primary antibodies</w:t>
      </w:r>
      <w:r w:rsidR="00B357CB" w:rsidRPr="00AB2539">
        <w:t>. The HRP</w:t>
      </w:r>
      <w:r w:rsidR="00B900F1">
        <w:t xml:space="preserve"> approach</w:t>
      </w:r>
      <w:r w:rsidR="00B357CB" w:rsidRPr="00AB2539">
        <w:t xml:space="preserve"> is </w:t>
      </w:r>
      <w:r w:rsidR="00B900F1">
        <w:t>a</w:t>
      </w:r>
      <w:r w:rsidR="00B900F1" w:rsidRPr="00AB2539">
        <w:t xml:space="preserve"> </w:t>
      </w:r>
      <w:r w:rsidR="00B357CB" w:rsidRPr="00AB2539">
        <w:t xml:space="preserve">commonly used IHC method due to its affordability, high stability, high turnover rate, and </w:t>
      </w:r>
      <w:r w:rsidR="00A62A70" w:rsidRPr="00AB2539">
        <w:t xml:space="preserve">substrates' </w:t>
      </w:r>
      <w:r w:rsidR="00B357CB" w:rsidRPr="00AB2539">
        <w:t xml:space="preserve">full availability. Nevertheless, we recommend </w:t>
      </w:r>
      <w:r w:rsidR="00A62A70" w:rsidRPr="00AB2539">
        <w:t>using</w:t>
      </w:r>
      <w:r w:rsidR="00A62A70" w:rsidRPr="00AB2539" w:rsidDel="00A62A70">
        <w:t xml:space="preserve"> </w:t>
      </w:r>
      <w:r w:rsidR="007A1BA0">
        <w:t xml:space="preserve">a </w:t>
      </w:r>
      <w:r w:rsidR="00B357CB" w:rsidRPr="00AB2539">
        <w:t xml:space="preserve">positive control to confirm that the staining method works accurately and </w:t>
      </w:r>
      <w:r w:rsidR="00D6690A">
        <w:t xml:space="preserve">the </w:t>
      </w:r>
      <w:r w:rsidR="00B357CB" w:rsidRPr="00AB2539">
        <w:t xml:space="preserve">use of negative control to test the antibody function effectively. </w:t>
      </w:r>
      <w:r w:rsidR="00174832" w:rsidRPr="00AB2539">
        <w:t>M</w:t>
      </w:r>
      <w:r w:rsidR="00004F54" w:rsidRPr="00AB2539">
        <w:t xml:space="preserve">ultiple immunostainings or multiplex IHC methods (see </w:t>
      </w:r>
      <w:r w:rsidR="007A1BA0">
        <w:t>s</w:t>
      </w:r>
      <w:r w:rsidR="00004F54" w:rsidRPr="00AB2539">
        <w:t>tep 6) are potent tools to acquire large amounts of data from the tissue section in a single experiment. This technique is particularly important when the availability of samples is limited</w:t>
      </w:r>
      <w:r w:rsidR="00BB41DF" w:rsidRPr="00AB2539">
        <w:t xml:space="preserve">. Another advantage is the possibility to simultaneously identify specific proteins co-expressed in the same cellular space </w:t>
      </w:r>
      <w:r w:rsidR="007A1BA0">
        <w:t xml:space="preserve">while </w:t>
      </w:r>
      <w:r w:rsidR="00BB41DF" w:rsidRPr="00AB2539">
        <w:t>preserving tissue integrity</w:t>
      </w:r>
      <w:r w:rsidR="00CE4217" w:rsidRPr="00AB2539">
        <w:t xml:space="preserve">. Multiplex allows </w:t>
      </w:r>
      <w:r w:rsidR="009C7C1B" w:rsidRPr="00AB2539">
        <w:t>to stain</w:t>
      </w:r>
      <w:r w:rsidR="00CE4217" w:rsidRPr="00AB2539">
        <w:t xml:space="preserve"> different markers expressed during specific proliferative stages</w:t>
      </w:r>
      <w:r w:rsidR="00EB0961">
        <w:t xml:space="preserve"> </w:t>
      </w:r>
      <w:r w:rsidR="00CE4217" w:rsidRPr="00AB2539">
        <w:t xml:space="preserve">(e.g., </w:t>
      </w:r>
      <w:proofErr w:type="spellStart"/>
      <w:r w:rsidR="00CE4217" w:rsidRPr="00AB2539">
        <w:t>nestin</w:t>
      </w:r>
      <w:proofErr w:type="spellEnd"/>
      <w:r w:rsidR="00CE4217" w:rsidRPr="00AB2539">
        <w:t xml:space="preserve">, GFAP, DCX, Ki-67), </w:t>
      </w:r>
      <w:r w:rsidR="00014107" w:rsidRPr="00AB2539">
        <w:t>enabling</w:t>
      </w:r>
      <w:r w:rsidR="00014107" w:rsidRPr="00AB2539" w:rsidDel="00014107">
        <w:t xml:space="preserve"> </w:t>
      </w:r>
      <w:r w:rsidR="00CE4217" w:rsidRPr="00AB2539">
        <w:t>us to reach a more detailed proliferation and differentiation research</w:t>
      </w:r>
      <w:r w:rsidR="00D51F3C" w:rsidRPr="00AB2539">
        <w:fldChar w:fldCharType="begin" w:fldLock="1"/>
      </w:r>
      <w:r w:rsidR="00383526" w:rsidRPr="00AB2539">
        <w:instrText>ADDIN CSL_CITATION {"citationItems":[{"id":"ITEM-1","itemData":{"DOI":"10.1007/s00441-011-1196-4","ISSN":"0302766X","abstract":"Biologists long believed that, once development is completed, no new neurons are produced in the forebrain. However, as is now firmly established, new neurons can be produced at least in two specific forebrain areas: the subventricular zone (SVZ) and the dentate gyrus (DG) of the hippocampal formation. Neurogenesis within the adult DG occurs constitutively throughout postnatal life, and the rate of neurogenesis within the DG can be altered under various physiological and pathophysiological conditions. The process of adult neurogenesis within the DG is a multi-step process (proliferation, differentiation, migration, targeting, and synaptic integration) that ends with the formation of a post-mitotic functionally integrated new neuron. Various markers are expressed during specific stages of adult neurogenesis. The availability of such markers allows the time-course and fate of newly born cells to be followed within the DG in a detailed and precise fashion. Several of the available markers (e.g., PCNA, Ki-67, PH3, MCM2) are markers for proliferative events, whereas others are more specific for early phases of neurogenesis and gliogenesis within the adult DG (e.g., nestin, GFAP, Sox2, Pax6). In addition, markers are available allowing events to be distinguished that are related to later steps of gliogenesis (e.g., vimentin, BLBP, S100beta) or neurogenesis (e.g., NeuroD, PSA-NCAM, DCX). © 2011 Springer-Verlag.","author":[{"dropping-particle":"","family":"Bohlen Und Halbach","given":"Oliver","non-dropping-particle":"Von","parse-names":false,"suffix":""}],"container-title":"Cell and Tissue Research","id":"ITEM-1","issue":"1","issued":{"date-parts":[["2011"]]},"page":"1-19","title":"Immunohistological markers for proliferative events, gliogenesis, and neurogenesis within the adult hippocampus","type":"article-journal","volume":"345"},"uris":["http://www.mendeley.com/documents/?uuid=775da364-5ed4-41cd-80de-2c53213bca54"]}],"mendeley":{"formattedCitation":"&lt;sup&gt;8&lt;/sup&gt;","plainTextFormattedCitation":"8","previouslyFormattedCitation":"&lt;sup&gt;8&lt;/sup&gt;"},"properties":{"noteIndex":0},"schema":"https://github.com/citation-style-language/schema/raw/master/csl-citation.json"}</w:instrText>
      </w:r>
      <w:r w:rsidR="00D51F3C" w:rsidRPr="00AB2539">
        <w:fldChar w:fldCharType="separate"/>
      </w:r>
      <w:r w:rsidR="00557272" w:rsidRPr="00AB2539">
        <w:rPr>
          <w:noProof/>
          <w:vertAlign w:val="superscript"/>
        </w:rPr>
        <w:t>8</w:t>
      </w:r>
      <w:r w:rsidR="00D51F3C" w:rsidRPr="00AB2539">
        <w:fldChar w:fldCharType="end"/>
      </w:r>
      <w:r w:rsidR="00CE4217" w:rsidRPr="00AB2539">
        <w:t xml:space="preserve">. </w:t>
      </w:r>
      <w:r w:rsidR="00BB41DF" w:rsidRPr="00AB2539">
        <w:t xml:space="preserve">It is crucial to choose antibodies compatible with the fixation technique used to avoid </w:t>
      </w:r>
      <w:r w:rsidR="00E61651" w:rsidRPr="00AB2539">
        <w:t xml:space="preserve">cross-reactivity. We recommend testing each new antibody (including </w:t>
      </w:r>
      <w:proofErr w:type="spellStart"/>
      <w:r w:rsidR="00E61651" w:rsidRPr="00AB2539">
        <w:t>BrdU</w:t>
      </w:r>
      <w:proofErr w:type="spellEnd"/>
      <w:r w:rsidR="00E61651" w:rsidRPr="00AB2539">
        <w:t>) individually</w:t>
      </w:r>
      <w:r w:rsidR="007A1BA0">
        <w:t xml:space="preserve"> to</w:t>
      </w:r>
      <w:r w:rsidR="00E61651" w:rsidRPr="00AB2539">
        <w:t xml:space="preserve"> adjust and refine the method. Then, introduce the double sequential staining and</w:t>
      </w:r>
      <w:r w:rsidR="00014107" w:rsidRPr="00AB2539">
        <w:t>,</w:t>
      </w:r>
      <w:r w:rsidR="00E61651" w:rsidRPr="00AB2539">
        <w:t xml:space="preserve"> finally, start the simultaneous immunostaining process when the sequential method is entirely dominated. It is crucial to choose appropriate secondary antibodies for this method. </w:t>
      </w:r>
    </w:p>
    <w:p w14:paraId="34A48C0B" w14:textId="29873CF2" w:rsidR="008E43FA" w:rsidRPr="00AB2539" w:rsidRDefault="008E43FA" w:rsidP="00AB2539">
      <w:pPr>
        <w:widowControl/>
        <w:contextualSpacing/>
      </w:pPr>
    </w:p>
    <w:p w14:paraId="7F7A12EF" w14:textId="6526D3EF" w:rsidR="008E43FA" w:rsidRPr="00AB2539" w:rsidRDefault="008E43FA" w:rsidP="00AB2539">
      <w:pPr>
        <w:pStyle w:val="NormalWeb"/>
        <w:widowControl/>
        <w:spacing w:before="0" w:beforeAutospacing="0" w:after="0" w:afterAutospacing="0"/>
        <w:contextualSpacing/>
        <w:rPr>
          <w:color w:val="auto"/>
        </w:rPr>
      </w:pPr>
      <w:r w:rsidRPr="00AB2539">
        <w:rPr>
          <w:color w:val="auto"/>
        </w:rPr>
        <w:t xml:space="preserve">[Place </w:t>
      </w:r>
      <w:r w:rsidRPr="00AB2539">
        <w:rPr>
          <w:b/>
          <w:bCs/>
          <w:color w:val="auto"/>
        </w:rPr>
        <w:t>Table 1</w:t>
      </w:r>
      <w:r w:rsidRPr="00AB2539">
        <w:rPr>
          <w:color w:val="auto"/>
        </w:rPr>
        <w:t xml:space="preserve"> here]</w:t>
      </w:r>
    </w:p>
    <w:p w14:paraId="027D1042" w14:textId="77777777" w:rsidR="00BB41DF" w:rsidRPr="00AB2539" w:rsidRDefault="00BB41DF" w:rsidP="00AB2539">
      <w:pPr>
        <w:widowControl/>
        <w:contextualSpacing/>
      </w:pPr>
    </w:p>
    <w:p w14:paraId="05C73E6E" w14:textId="399C8E66" w:rsidR="00BB41DF" w:rsidRPr="00AB2539" w:rsidRDefault="00E61651" w:rsidP="00AB2539">
      <w:pPr>
        <w:pStyle w:val="NormalWeb"/>
        <w:widowControl/>
        <w:spacing w:before="0" w:beforeAutospacing="0" w:after="0" w:afterAutospacing="0"/>
        <w:contextualSpacing/>
        <w:rPr>
          <w:color w:val="auto"/>
        </w:rPr>
      </w:pPr>
      <w:r w:rsidRPr="00AB2539">
        <w:t>A high-resolution image is fundamental to</w:t>
      </w:r>
      <w:r w:rsidR="00E87BDD" w:rsidRPr="00AB2539">
        <w:t xml:space="preserve"> perform</w:t>
      </w:r>
      <w:r w:rsidRPr="00AB2539">
        <w:t xml:space="preserve"> proper analysis and </w:t>
      </w:r>
      <w:r w:rsidR="00E87BDD" w:rsidRPr="00AB2539">
        <w:t>present</w:t>
      </w:r>
      <w:r w:rsidRPr="00AB2539">
        <w:t xml:space="preserve"> </w:t>
      </w:r>
      <w:r w:rsidR="00174832" w:rsidRPr="00AB2539">
        <w:t>the</w:t>
      </w:r>
      <w:r w:rsidRPr="00AB2539">
        <w:t xml:space="preserve"> outcomes</w:t>
      </w:r>
      <w:r w:rsidR="00BB41DF" w:rsidRPr="00AB2539">
        <w:t>. There are two approaches to improve the resolution</w:t>
      </w:r>
      <w:r w:rsidR="00D6690A">
        <w:t>:</w:t>
      </w:r>
      <w:r w:rsidR="00BB41DF" w:rsidRPr="00AB2539">
        <w:t xml:space="preserve"> </w:t>
      </w:r>
      <w:r w:rsidR="00D6690A">
        <w:t xml:space="preserve">1) </w:t>
      </w:r>
      <w:r w:rsidR="00D6690A" w:rsidRPr="00AB2539">
        <w:t>us</w:t>
      </w:r>
      <w:r w:rsidR="00D6690A">
        <w:t>e of</w:t>
      </w:r>
      <w:r w:rsidR="00D6690A" w:rsidRPr="00AB2539">
        <w:t xml:space="preserve"> </w:t>
      </w:r>
      <w:r w:rsidR="00BB41DF" w:rsidRPr="00AB2539">
        <w:t xml:space="preserve">a better microscope design (e.g., confocal, multiphoton) or </w:t>
      </w:r>
      <w:r w:rsidR="00D6690A">
        <w:t xml:space="preserve">2) </w:t>
      </w:r>
      <w:r w:rsidR="00BB41DF" w:rsidRPr="00AB2539">
        <w:t>numerically inverting</w:t>
      </w:r>
      <w:r w:rsidR="00D6690A">
        <w:t xml:space="preserve"> </w:t>
      </w:r>
      <w:r w:rsidR="00BB41DF" w:rsidRPr="00AB2539">
        <w:t>the blurring process to enhance images using deconvolution</w:t>
      </w:r>
      <w:r w:rsidR="00BB41DF" w:rsidRPr="00AB2539">
        <w:fldChar w:fldCharType="begin" w:fldLock="1"/>
      </w:r>
      <w:r w:rsidR="00383526" w:rsidRPr="00AB2539">
        <w:instrText>ADDIN CSL_CITATION {"citationItems":[{"id":"ITEM-1","itemData":{"DOI":"10.1016/j.ymeth.2016.12.015","ISSN":"10959130","abstract":"Images in fluorescence microscopy are inherently blurred due to the limit of diffraction of light. The purpose of deconvolution microscopy is to compensate numerically for this degradation. Deconvolution is widely used to restore fine details of 3D biological samples. Unfortunately, dealing with deconvolution tools is not straightforward. Among others, end users have to select the appropriate algorithm, calibration and parametrization, while potentially facing demanding computational tasks. To make deconvolution more accessible, we have developed a practical platform for deconvolution microscopy called DeconvolutionLab. Freely distributed, DeconvolutionLab hosts standard algorithms for 3D microscopy deconvolution and drives them through a user-oriented interface. In this paper, we take advantage of the release of DeconvolutionLab2 to provide a complete description of the software package and its built-in deconvolution algorithms. We examine several standard algorithms used in deconvolution microscopy, notably: Regularized inverse filter, Tikhonov regularization, Landweber, Tikhonov–Miller, Richardson–Lucy, and fast iterative shrinkage-thresholding. We evaluate these methods over large 3D microscopy images using simulated datasets and real experimental images. We distinguish the algorithms in terms of image quality, performance, usability and computational requirements. Our presentation is completed with a discussion of recent trends in deconvolution, inspired by the results of the Grand Challenge on deconvolution microscopy that was recently organized.","author":[{"dropping-particle":"","family":"Sage","given":"Daniel","non-dropping-particle":"","parse-names":false,"suffix":""},{"dropping-particle":"","family":"Donati","given":"Lauréne","non-dropping-particle":"","parse-names":false,"suffix":""},{"dropping-particle":"","family":"Soulez","given":"Ferréol","non-dropping-particle":"","parse-names":false,"suffix":""},{"dropping-particle":"","family":"Fortun","given":"Denis","non-dropping-particle":"","parse-names":false,"suffix":""},{"dropping-particle":"","family":"Schmit","given":"Guillaume","non-dropping-particle":"","parse-names":false,"suffix":""},{"dropping-particle":"","family":"Seitz","given":"Arne","non-dropping-particle":"","parse-names":false,"suffix":""},{"dropping-particle":"","family":"Guiet","given":"Romain","non-dropping-particle":"","parse-names":false,"suffix":""},{"dropping-particle":"","family":"Vonesch","given":"Cédric","non-dropping-particle":"","parse-names":false,"suffix":""},{"dropping-particle":"","family":"Unser","given":"Michael","non-dropping-particle":"","parse-names":false,"suffix":""}],"container-title":"Methods","id":"ITEM-1","issued":{"date-parts":[["2017"]]},"page":"28-41","publisher":"Elsevier Inc.","title":"DeconvolutionLab2: An open-source software for deconvolution microscopy","type":"article-journal","volume":"115"},"uris":["http://www.mendeley.com/documents/?uuid=a6252c04-929c-43a3-8513-0b5b55403971"]}],"mendeley":{"formattedCitation":"&lt;sup&gt;9&lt;/sup&gt;","plainTextFormattedCitation":"9","previouslyFormattedCitation":"&lt;sup&gt;9&lt;/sup&gt;"},"properties":{"noteIndex":0},"schema":"https://github.com/citation-style-language/schema/raw/master/csl-citation.json"}</w:instrText>
      </w:r>
      <w:r w:rsidR="00BB41DF" w:rsidRPr="00AB2539">
        <w:fldChar w:fldCharType="separate"/>
      </w:r>
      <w:r w:rsidR="00557272" w:rsidRPr="00AB2539">
        <w:rPr>
          <w:noProof/>
          <w:vertAlign w:val="superscript"/>
        </w:rPr>
        <w:t>9</w:t>
      </w:r>
      <w:r w:rsidR="00BB41DF" w:rsidRPr="00AB2539">
        <w:fldChar w:fldCharType="end"/>
      </w:r>
      <w:r w:rsidR="00BB41DF" w:rsidRPr="00AB2539">
        <w:t>. Unfortunately, confocal microscopy is not</w:t>
      </w:r>
      <w:r w:rsidR="000E4E87" w:rsidRPr="00AB2539">
        <w:t xml:space="preserve"> </w:t>
      </w:r>
      <w:r w:rsidR="00BB41DF" w:rsidRPr="00AB2539">
        <w:t xml:space="preserve">affordable due to the high costs </w:t>
      </w:r>
      <w:r w:rsidR="000E4E87" w:rsidRPr="00AB2539">
        <w:t xml:space="preserve">of </w:t>
      </w:r>
      <w:r w:rsidR="007A1BA0" w:rsidRPr="00AB2539">
        <w:t xml:space="preserve">equipment </w:t>
      </w:r>
      <w:r w:rsidR="007A1BA0">
        <w:t>and</w:t>
      </w:r>
      <w:r w:rsidR="00BB41DF" w:rsidRPr="00AB2539">
        <w:t xml:space="preserve"> </w:t>
      </w:r>
      <w:r w:rsidR="007A1BA0">
        <w:t xml:space="preserve">its </w:t>
      </w:r>
      <w:r w:rsidR="00BB41DF" w:rsidRPr="00AB2539">
        <w:t>servic</w:t>
      </w:r>
      <w:r w:rsidR="007A1BA0">
        <w:t>ing</w:t>
      </w:r>
      <w:r w:rsidR="00BB41DF" w:rsidRPr="00AB2539">
        <w:fldChar w:fldCharType="begin" w:fldLock="1"/>
      </w:r>
      <w:r w:rsidR="00383526" w:rsidRPr="00AB2539">
        <w:instrText>ADDIN CSL_CITATION {"citationItems":[{"id":"ITEM-1","itemData":{"DOI":"10.1016/S0167-7012(99)00103-7","ISSN":"01677012","abstract":"Widefield deconvolution epifluorescence microscopy (WDEM) combined with fluorescence in situ hybridization (FISH) was performed to identify and characterize single bacterial cells within sections of the mediterranean sponge Chondrosia reniformis. Sponges were embedded in paraffin wax or plastic prior to the preparation of thin sections, in situ hybridization and microscopy. Serial digital images generated by widefield epifluorescence microscopy were visualized using an exhaustive photon reassignment deconvolution algorithm and three-dimensional rendering software. Computer processing of series of images taken at different focal planes with the deconvolution technique provided deblurred three-dimensional images with high optical resolution on a submicron scale. Results from the deconvolution enhanced widefield microscopy were compared with conventional epifluorescent microscopical images. By the application of the deconvolution algorithm on digital image data obtained with widefield epifluorescence microscopy after FISH, the occurrence and spatial arrangement of Desulfovibrionaceae closely associated with micropores of Chondrosia reniformis could be visualized. Copyright (C) 2000 Elsevier Science B.V.","author":[{"dropping-particle":"","family":"Manz","given":"Werner","non-dropping-particle":"","parse-names":false,"suffix":""},{"dropping-particle":"","family":"Arp","given":"Gernot","non-dropping-particle":"","parse-names":false,"suffix":""},{"dropping-particle":"","family":"Schumann-Kindel","given":"Gabriela","non-dropping-particle":"","parse-names":false,"suffix":""},{"dropping-particle":"","family":"Szewzyk","given":"Ulrich","non-dropping-particle":"","parse-names":false,"suffix":""},{"dropping-particle":"","family":"Reitner","given":"Joachim","non-dropping-particle":"","parse-names":false,"suffix":""}],"container-title":"Journal of Microbiological Methods","id":"ITEM-1","issue":"2","issued":{"date-parts":[["2000"]]},"page":"125-134","publisher":"Elsevier Science B.V.","title":"Widefield deconvolution epifluorescence microscopy combined with fluorescence in situ hybridization reveals the spatial arrangement of bacteria in sponge tissue","type":"article-journal","volume":"40"},"uris":["http://www.mendeley.com/documents/?uuid=ca5fab84-53ea-41f7-aa70-cb7633d83fc4"]}],"mendeley":{"formattedCitation":"&lt;sup&gt;10&lt;/sup&gt;","plainTextFormattedCitation":"10","previouslyFormattedCitation":"&lt;sup&gt;10&lt;/sup&gt;"},"properties":{"noteIndex":0},"schema":"https://github.com/citation-style-language/schema/raw/master/csl-citation.json"}</w:instrText>
      </w:r>
      <w:r w:rsidR="00BB41DF" w:rsidRPr="00AB2539">
        <w:fldChar w:fldCharType="separate"/>
      </w:r>
      <w:r w:rsidR="00557272" w:rsidRPr="00AB2539">
        <w:rPr>
          <w:noProof/>
          <w:vertAlign w:val="superscript"/>
        </w:rPr>
        <w:t>10</w:t>
      </w:r>
      <w:r w:rsidR="00BB41DF" w:rsidRPr="00AB2539">
        <w:fldChar w:fldCharType="end"/>
      </w:r>
      <w:r w:rsidR="00BB41DF" w:rsidRPr="00AB2539">
        <w:t>. A wide</w:t>
      </w:r>
      <w:r w:rsidR="00E87BDD" w:rsidRPr="00AB2539">
        <w:t>-</w:t>
      </w:r>
      <w:r w:rsidR="00BB41DF" w:rsidRPr="00AB2539">
        <w:t xml:space="preserve">field epifluorescence microscope and the subsequent deconvolution of the </w:t>
      </w:r>
      <w:r w:rsidR="007A1BA0">
        <w:t>z</w:t>
      </w:r>
      <w:r w:rsidR="00BB41DF" w:rsidRPr="00AB2539">
        <w:t>-stack images provide a suitable, low-cost alternative to confocal microscopy</w:t>
      </w:r>
      <w:r w:rsidR="00BB41DF" w:rsidRPr="00AB2539">
        <w:fldChar w:fldCharType="begin" w:fldLock="1"/>
      </w:r>
      <w:r w:rsidR="00383526" w:rsidRPr="00AB2539">
        <w:instrText>ADDIN CSL_CITATION {"citationItems":[{"id":"ITEM-1","itemData":{"DOI":"10.1016/S0167-7012(99)00103-7","ISSN":"01677012","abstract":"Widefield deconvolution epifluorescence microscopy (WDEM) combined with fluorescence in situ hybridization (FISH) was performed to identify and characterize single bacterial cells within sections of the mediterranean sponge Chondrosia reniformis. Sponges were embedded in paraffin wax or plastic prior to the preparation of thin sections, in situ hybridization and microscopy. Serial digital images generated by widefield epifluorescence microscopy were visualized using an exhaustive photon reassignment deconvolution algorithm and three-dimensional rendering software. Computer processing of series of images taken at different focal planes with the deconvolution technique provided deblurred three-dimensional images with high optical resolution on a submicron scale. Results from the deconvolution enhanced widefield microscopy were compared with conventional epifluorescent microscopical images. By the application of the deconvolution algorithm on digital image data obtained with widefield epifluorescence microscopy after FISH, the occurrence and spatial arrangement of Desulfovibrionaceae closely associated with micropores of Chondrosia reniformis could be visualized. Copyright (C) 2000 Elsevier Science B.V.","author":[{"dropping-particle":"","family":"Manz","given":"Werner","non-dropping-particle":"","parse-names":false,"suffix":""},{"dropping-particle":"","family":"Arp","given":"Gernot","non-dropping-particle":"","parse-names":false,"suffix":""},{"dropping-particle":"","family":"Schumann-Kindel","given":"Gabriela","non-dropping-particle":"","parse-names":false,"suffix":""},{"dropping-particle":"","family":"Szewzyk","given":"Ulrich","non-dropping-particle":"","parse-names":false,"suffix":""},{"dropping-particle":"","family":"Reitner","given":"Joachim","non-dropping-particle":"","parse-names":false,"suffix":""}],"container-title":"Journal of Microbiological Methods","id":"ITEM-1","issue":"2","issued":{"date-parts":[["2000"]]},"page":"125-134","publisher":"Elsevier Science B.V.","title":"Widefield deconvolution epifluorescence microscopy combined with fluorescence in situ hybridization reveals the spatial arrangement of bacteria in sponge tissue","type":"article-journal","volume":"40"},"uris":["http://www.mendeley.com/documents/?uuid=ca5fab84-53ea-41f7-aa70-cb7633d83fc4"]},{"id":"ITEM-2","itemData":{"DOI":"10.1016/j.ymeth.2016.12.015","ISSN":"10959130","abstract":"Images in fluorescence microscopy are inherently blurred due to the limit of diffraction of light. The purpose of deconvolution microscopy is to compensate numerically for this degradation. Deconvolution is widely used to restore fine details of 3D biological samples. Unfortunately, dealing with deconvolution tools is not straightforward. Among others, end users have to select the appropriate algorithm, calibration and parametrization, while potentially facing demanding computational tasks. To make deconvolution more accessible, we have developed a practical platform for deconvolution microscopy called DeconvolutionLab. Freely distributed, DeconvolutionLab hosts standard algorithms for 3D microscopy deconvolution and drives them through a user-oriented interface. In this paper, we take advantage of the release of DeconvolutionLab2 to provide a complete description of the software package and its built-in deconvolution algorithms. We examine several standard algorithms used in deconvolution microscopy, notably: Regularized inverse filter, Tikhonov regularization, Landweber, Tikhonov–Miller, Richardson–Lucy, and fast iterative shrinkage-thresholding. We evaluate these methods over large 3D microscopy images using simulated datasets and real experimental images. We distinguish the algorithms in terms of image quality, performance, usability and computational requirements. Our presentation is completed with a discussion of recent trends in deconvolution, inspired by the results of the Grand Challenge on deconvolution microscopy that was recently organized.","author":[{"dropping-particle":"","family":"Sage","given":"Daniel","non-dropping-particle":"","parse-names":false,"suffix":""},{"dropping-particle":"","family":"Donati","given":"Lauréne","non-dropping-particle":"","parse-names":false,"suffix":""},{"dropping-particle":"","family":"Soulez","given":"Ferréol","non-dropping-particle":"","parse-names":false,"suffix":""},{"dropping-particle":"","family":"Fortun","given":"Denis","non-dropping-particle":"","parse-names":false,"suffix":""},{"dropping-particle":"","family":"Schmit","given":"Guillaume","non-dropping-particle":"","parse-names":false,"suffix":""},{"dropping-particle":"","family":"Seitz","given":"Arne","non-dropping-particle":"","parse-names":false,"suffix":""},{"dropping-particle":"","family":"Guiet","given":"Romain","non-dropping-particle":"","parse-names":false,"suffix":""},{"dropping-particle":"","family":"Vonesch","given":"Cédric","non-dropping-particle":"","parse-names":false,"suffix":""},{"dropping-particle":"","family":"Unser","given":"Michael","non-dropping-particle":"","parse-names":false,"suffix":""}],"container-title":"Methods","id":"ITEM-2","issued":{"date-parts":[["2017"]]},"page":"28-41","publisher":"Elsevier Inc.","title":"DeconvolutionLab2: An open-source software for deconvolution microscopy","type":"article-journal","volume":"115"},"uris":["http://www.mendeley.com/documents/?uuid=a6252c04-929c-43a3-8513-0b5b55403971"]}],"mendeley":{"formattedCitation":"&lt;sup&gt;9, 10&lt;/sup&gt;","manualFormatting":"8,9","plainTextFormattedCitation":"9, 10","previouslyFormattedCitation":"&lt;sup&gt;9, 10&lt;/sup&gt;"},"properties":{"noteIndex":0},"schema":"https://github.com/citation-style-language/schema/raw/master/csl-citation.json"}</w:instrText>
      </w:r>
      <w:r w:rsidR="00BB41DF" w:rsidRPr="00AB2539">
        <w:fldChar w:fldCharType="separate"/>
      </w:r>
      <w:r w:rsidR="00D51F3C" w:rsidRPr="00AB2539">
        <w:rPr>
          <w:noProof/>
          <w:vertAlign w:val="superscript"/>
        </w:rPr>
        <w:t>8,9</w:t>
      </w:r>
      <w:r w:rsidR="00BB41DF" w:rsidRPr="00AB2539">
        <w:fldChar w:fldCharType="end"/>
      </w:r>
      <w:r w:rsidR="00BB41DF" w:rsidRPr="00AB2539">
        <w:t>. As</w:t>
      </w:r>
      <w:r w:rsidR="00DE2A18" w:rsidRPr="00AB2539">
        <w:t xml:space="preserve"> noted above</w:t>
      </w:r>
      <w:r w:rsidR="00BB41DF" w:rsidRPr="00AB2539">
        <w:t>, deconvolution goal is to restore the original signal that was degraded by the acquisition system</w:t>
      </w:r>
      <w:r w:rsidR="00BB41DF" w:rsidRPr="00AB2539">
        <w:fldChar w:fldCharType="begin" w:fldLock="1"/>
      </w:r>
      <w:r w:rsidR="00383526" w:rsidRPr="00AB2539">
        <w:instrText>ADDIN CSL_CITATION {"citationItems":[{"id":"ITEM-1","itemData":{"DOI":"10.1016/j.ymeth.2016.12.015","ISSN":"10959130","abstract":"Images in fluorescence microscopy are inherently blurred due to the limit of diffraction of light. The purpose of deconvolution microscopy is to compensate numerically for this degradation. Deconvolution is widely used to restore fine details of 3D biological samples. Unfortunately, dealing with deconvolution tools is not straightforward. Among others, end users have to select the appropriate algorithm, calibration and parametrization, while potentially facing demanding computational tasks. To make deconvolution more accessible, we have developed a practical platform for deconvolution microscopy called DeconvolutionLab. Freely distributed, DeconvolutionLab hosts standard algorithms for 3D microscopy deconvolution and drives them through a user-oriented interface. In this paper, we take advantage of the release of DeconvolutionLab2 to provide a complete description of the software package and its built-in deconvolution algorithms. We examine several standard algorithms used in deconvolution microscopy, notably: Regularized inverse filter, Tikhonov regularization, Landweber, Tikhonov–Miller, Richardson–Lucy, and fast iterative shrinkage-thresholding. We evaluate these methods over large 3D microscopy images using simulated datasets and real experimental images. We distinguish the algorithms in terms of image quality, performance, usability and computational requirements. Our presentation is completed with a discussion of recent trends in deconvolution, inspired by the results of the Grand Challenge on deconvolution microscopy that was recently organized.","author":[{"dropping-particle":"","family":"Sage","given":"Daniel","non-dropping-particle":"","parse-names":false,"suffix":""},{"dropping-particle":"","family":"Donati","given":"Lauréne","non-dropping-particle":"","parse-names":false,"suffix":""},{"dropping-particle":"","family":"Soulez","given":"Ferréol","non-dropping-particle":"","parse-names":false,"suffix":""},{"dropping-particle":"","family":"Fortun","given":"Denis","non-dropping-particle":"","parse-names":false,"suffix":""},{"dropping-particle":"","family":"Schmit","given":"Guillaume","non-dropping-particle":"","parse-names":false,"suffix":""},{"dropping-particle":"","family":"Seitz","given":"Arne","non-dropping-particle":"","parse-names":false,"suffix":""},{"dropping-particle":"","family":"Guiet","given":"Romain","non-dropping-particle":"","parse-names":false,"suffix":""},{"dropping-particle":"","family":"Vonesch","given":"Cédric","non-dropping-particle":"","parse-names":false,"suffix":""},{"dropping-particle":"","family":"Unser","given":"Michael","non-dropping-particle":"","parse-names":false,"suffix":""}],"container-title":"Methods","id":"ITEM-1","issued":{"date-parts":[["2017"]]},"page":"28-41","publisher":"Elsevier Inc.","title":"DeconvolutionLab2: An open-source software for deconvolution microscopy","type":"article-journal","volume":"115"},"uris":["http://www.mendeley.com/documents/?uuid=a6252c04-929c-43a3-8513-0b5b55403971"]}],"mendeley":{"formattedCitation":"&lt;sup&gt;9&lt;/sup&gt;","plainTextFormattedCitation":"9","previouslyFormattedCitation":"&lt;sup&gt;9&lt;/sup&gt;"},"properties":{"noteIndex":0},"schema":"https://github.com/citation-style-language/schema/raw/master/csl-citation.json"}</w:instrText>
      </w:r>
      <w:r w:rsidR="00BB41DF" w:rsidRPr="00AB2539">
        <w:fldChar w:fldCharType="separate"/>
      </w:r>
      <w:r w:rsidR="00557272" w:rsidRPr="00AB2539">
        <w:rPr>
          <w:noProof/>
          <w:vertAlign w:val="superscript"/>
        </w:rPr>
        <w:t>9</w:t>
      </w:r>
      <w:r w:rsidR="00BB41DF" w:rsidRPr="00AB2539">
        <w:fldChar w:fldCharType="end"/>
      </w:r>
      <w:r w:rsidR="00BB41DF" w:rsidRPr="00AB2539">
        <w:t>,</w:t>
      </w:r>
      <w:r w:rsidR="00E87BDD" w:rsidRPr="00AB2539">
        <w:t xml:space="preserve"> by</w:t>
      </w:r>
      <w:r w:rsidR="00BB41DF" w:rsidRPr="00AB2539">
        <w:t xml:space="preserve"> reducing blur, out-of-focus haze and distortion </w:t>
      </w:r>
      <w:r w:rsidR="00E87BDD" w:rsidRPr="00AB2539">
        <w:t>shown in the</w:t>
      </w:r>
      <w:r w:rsidR="00BB41DF" w:rsidRPr="00AB2539">
        <w:t xml:space="preserve"> image obtained </w:t>
      </w:r>
      <w:r w:rsidR="000E4E87" w:rsidRPr="00AB2539">
        <w:t xml:space="preserve">by </w:t>
      </w:r>
      <w:r w:rsidR="00BB41DF" w:rsidRPr="00AB2539">
        <w:t>an epifluorescence or confocal microscope using mathematical removal algorithms</w:t>
      </w:r>
      <w:r w:rsidR="00BB41DF" w:rsidRPr="00AB2539">
        <w:fldChar w:fldCharType="begin" w:fldLock="1"/>
      </w:r>
      <w:r w:rsidR="00383526" w:rsidRPr="00AB2539">
        <w:instrText>ADDIN CSL_CITATION {"citationItems":[{"id":"ITEM-1","itemData":{"DOI":"10.1016/S0167-7012(99)00103-7","ISSN":"01677012","abstract":"Widefield deconvolution epifluorescence microscopy (WDEM) combined with fluorescence in situ hybridization (FISH) was performed to identify and characterize single bacterial cells within sections of the mediterranean sponge Chondrosia reniformis. Sponges were embedded in paraffin wax or plastic prior to the preparation of thin sections, in situ hybridization and microscopy. Serial digital images generated by widefield epifluorescence microscopy were visualized using an exhaustive photon reassignment deconvolution algorithm and three-dimensional rendering software. Computer processing of series of images taken at different focal planes with the deconvolution technique provided deblurred three-dimensional images with high optical resolution on a submicron scale. Results from the deconvolution enhanced widefield microscopy were compared with conventional epifluorescent microscopical images. By the application of the deconvolution algorithm on digital image data obtained with widefield epifluorescence microscopy after FISH, the occurrence and spatial arrangement of Desulfovibrionaceae closely associated with micropores of Chondrosia reniformis could be visualized. Copyright (C) 2000 Elsevier Science B.V.","author":[{"dropping-particle":"","family":"Manz","given":"Werner","non-dropping-particle":"","parse-names":false,"suffix":""},{"dropping-particle":"","family":"Arp","given":"Gernot","non-dropping-particle":"","parse-names":false,"suffix":""},{"dropping-particle":"","family":"Schumann-Kindel","given":"Gabriela","non-dropping-particle":"","parse-names":false,"suffix":""},{"dropping-particle":"","family":"Szewzyk","given":"Ulrich","non-dropping-particle":"","parse-names":false,"suffix":""},{"dropping-particle":"","family":"Reitner","given":"Joachim","non-dropping-particle":"","parse-names":false,"suffix":""}],"container-title":"Journal of Microbiological Methods","id":"ITEM-1","issue":"2","issued":{"date-parts":[["2000"]]},"page":"125-134","publisher":"Elsevier Science B.V.","title":"Widefield deconvolution epifluorescence microscopy combined with fluorescence in situ hybridization reveals the spatial arrangement of bacteria in sponge tissue","type":"article-journal","volume":"40"},"uris":["http://www.mendeley.com/documents/?uuid=ca5fab84-53ea-41f7-aa70-cb7633d83fc4"]}],"mendeley":{"formattedCitation":"&lt;sup&gt;10&lt;/sup&gt;","plainTextFormattedCitation":"10","previouslyFormattedCitation":"&lt;sup&gt;10&lt;/sup&gt;"},"properties":{"noteIndex":0},"schema":"https://github.com/citation-style-language/schema/raw/master/csl-citation.json"}</w:instrText>
      </w:r>
      <w:r w:rsidR="00BB41DF" w:rsidRPr="00AB2539">
        <w:fldChar w:fldCharType="separate"/>
      </w:r>
      <w:r w:rsidR="00557272" w:rsidRPr="00AB2539">
        <w:rPr>
          <w:noProof/>
          <w:vertAlign w:val="superscript"/>
        </w:rPr>
        <w:t>10</w:t>
      </w:r>
      <w:r w:rsidR="00BB41DF" w:rsidRPr="00AB2539">
        <w:fldChar w:fldCharType="end"/>
      </w:r>
      <w:r w:rsidR="00BB41DF" w:rsidRPr="00AB2539">
        <w:t>. The acquired blurred image can be mathematically modeled as the result of convolving the observed objects with a 3D point-spread function (PSF). PSF</w:t>
      </w:r>
      <w:r w:rsidR="0034283C" w:rsidRPr="00AB2539">
        <w:t xml:space="preserve"> is</w:t>
      </w:r>
      <w:r w:rsidR="00BB41DF" w:rsidRPr="00AB2539">
        <w:t xml:space="preserve"> a theoretical diffraction pattern of the points of light emitted by the tissue sample and collected by the microscope. PSF file is created with the </w:t>
      </w:r>
      <w:r w:rsidR="007A1BA0">
        <w:t>specific</w:t>
      </w:r>
      <w:r w:rsidR="007A1BA0" w:rsidRPr="00AB2539">
        <w:t xml:space="preserve"> </w:t>
      </w:r>
      <w:r w:rsidR="00BB41DF" w:rsidRPr="00AB2539">
        <w:t xml:space="preserve">conditions of </w:t>
      </w:r>
      <w:r w:rsidR="00334CD6" w:rsidRPr="00AB2539">
        <w:t xml:space="preserve">each </w:t>
      </w:r>
      <w:r w:rsidR="00BB41DF" w:rsidRPr="00AB2539">
        <w:t>image, such as the CCD cell spacing of the camera</w:t>
      </w:r>
      <w:r w:rsidR="007A1BA0" w:rsidRPr="00AB2539">
        <w:t xml:space="preserve">, refractive index </w:t>
      </w:r>
      <w:r w:rsidR="00BB41DF" w:rsidRPr="00AB2539">
        <w:t xml:space="preserve">of the media used, </w:t>
      </w:r>
      <w:r w:rsidR="000B3623" w:rsidRPr="00AB2539">
        <w:t xml:space="preserve">the </w:t>
      </w:r>
      <w:r w:rsidR="00BB41DF" w:rsidRPr="00AB2539">
        <w:t xml:space="preserve">numerical aperture of </w:t>
      </w:r>
      <w:r w:rsidR="000B3623" w:rsidRPr="00AB2539">
        <w:t xml:space="preserve">the </w:t>
      </w:r>
      <w:r w:rsidR="00BB41DF" w:rsidRPr="00AB2539">
        <w:t xml:space="preserve">objective lens, </w:t>
      </w:r>
      <w:r w:rsidR="000B3623" w:rsidRPr="00AB2539">
        <w:t xml:space="preserve">the </w:t>
      </w:r>
      <w:r w:rsidR="00BB41DF" w:rsidRPr="00AB2539">
        <w:t>emission wavelength of the fluorophore,</w:t>
      </w:r>
      <w:r w:rsidR="00EB0961">
        <w:t xml:space="preserve"> </w:t>
      </w:r>
      <w:r w:rsidR="000E4E87" w:rsidRPr="00AB2539">
        <w:t>image sizes</w:t>
      </w:r>
      <w:r w:rsidR="00BB41DF" w:rsidRPr="00AB2539">
        <w:t xml:space="preserve">, number of images in the z-stack </w:t>
      </w:r>
      <w:r w:rsidR="004572A8" w:rsidRPr="00AB2539">
        <w:t xml:space="preserve">processing method </w:t>
      </w:r>
      <w:r w:rsidR="00BB41DF" w:rsidRPr="00AB2539">
        <w:t xml:space="preserve">and the space between them (see </w:t>
      </w:r>
      <w:r w:rsidR="007A1BA0" w:rsidRPr="00AB2539">
        <w:t xml:space="preserve">technical specification </w:t>
      </w:r>
      <w:r w:rsidR="00BB41DF" w:rsidRPr="00AB2539">
        <w:t xml:space="preserve">in </w:t>
      </w:r>
      <w:r w:rsidR="00BB41DF" w:rsidRPr="00AB2539">
        <w:rPr>
          <w:b/>
          <w:bCs/>
        </w:rPr>
        <w:t>Table 2</w:t>
      </w:r>
      <w:r w:rsidR="00BB41DF" w:rsidRPr="00AB2539">
        <w:t>). In other words, the PSF file summarize</w:t>
      </w:r>
      <w:r w:rsidR="00334CD6" w:rsidRPr="00AB2539">
        <w:t>s</w:t>
      </w:r>
      <w:r w:rsidR="00BB41DF" w:rsidRPr="00AB2539" w:rsidDel="00984B53">
        <w:t xml:space="preserve"> </w:t>
      </w:r>
      <w:r w:rsidR="00BB41DF" w:rsidRPr="00AB2539">
        <w:t>the effects of the imaging setup on the microscope observations</w:t>
      </w:r>
      <w:r w:rsidR="00BB41DF" w:rsidRPr="00AB2539">
        <w:fldChar w:fldCharType="begin" w:fldLock="1"/>
      </w:r>
      <w:r w:rsidR="00383526" w:rsidRPr="00AB2539">
        <w:instrText>ADDIN CSL_CITATION {"citationItems":[{"id":"ITEM-1","itemData":{"DOI":"10.1016/j.ymeth.2016.12.015","ISSN":"10959130","abstract":"Images in fluorescence microscopy are inherently blurred due to the limit of diffraction of light. The purpose of deconvolution microscopy is to compensate numerically for this degradation. Deconvolution is widely used to restore fine details of 3D biological samples. Unfortunately, dealing with deconvolution tools is not straightforward. Among others, end users have to select the appropriate algorithm, calibration and parametrization, while potentially facing demanding computational tasks. To make deconvolution more accessible, we have developed a practical platform for deconvolution microscopy called DeconvolutionLab. Freely distributed, DeconvolutionLab hosts standard algorithms for 3D microscopy deconvolution and drives them through a user-oriented interface. In this paper, we take advantage of the release of DeconvolutionLab2 to provide a complete description of the software package and its built-in deconvolution algorithms. We examine several standard algorithms used in deconvolution microscopy, notably: Regularized inverse filter, Tikhonov regularization, Landweber, Tikhonov–Miller, Richardson–Lucy, and fast iterative shrinkage-thresholding. We evaluate these methods over large 3D microscopy images using simulated datasets and real experimental images. We distinguish the algorithms in terms of image quality, performance, usability and computational requirements. Our presentation is completed with a discussion of recent trends in deconvolution, inspired by the results of the Grand Challenge on deconvolution microscopy that was recently organized.","author":[{"dropping-particle":"","family":"Sage","given":"Daniel","non-dropping-particle":"","parse-names":false,"suffix":""},{"dropping-particle":"","family":"Donati","given":"Lauréne","non-dropping-particle":"","parse-names":false,"suffix":""},{"dropping-particle":"","family":"Soulez","given":"Ferréol","non-dropping-particle":"","parse-names":false,"suffix":""},{"dropping-particle":"","family":"Fortun","given":"Denis","non-dropping-particle":"","parse-names":false,"suffix":""},{"dropping-particle":"","family":"Schmit","given":"Guillaume","non-dropping-particle":"","parse-names":false,"suffix":""},{"dropping-particle":"","family":"Seitz","given":"Arne","non-dropping-particle":"","parse-names":false,"suffix":""},{"dropping-particle":"","family":"Guiet","given":"Romain","non-dropping-particle":"","parse-names":false,"suffix":""},{"dropping-particle":"","family":"Vonesch","given":"Cédric","non-dropping-particle":"","parse-names":false,"suffix":""},{"dropping-particle":"","family":"Unser","given":"Michael","non-dropping-particle":"","parse-names":false,"suffix":""}],"container-title":"Methods","id":"ITEM-1","issued":{"date-parts":[["2017"]]},"page":"28-41","publisher":"Elsevier Inc.","title":"DeconvolutionLab2: An open-source software for deconvolution microscopy","type":"article-journal","volume":"115"},"uris":["http://www.mendeley.com/documents/?uuid=a6252c04-929c-43a3-8513-0b5b55403971"]}],"mendeley":{"formattedCitation":"&lt;sup&gt;9&lt;/sup&gt;","plainTextFormattedCitation":"9","previouslyFormattedCitation":"&lt;sup&gt;9&lt;/sup&gt;"},"properties":{"noteIndex":0},"schema":"https://github.com/citation-style-language/schema/raw/master/csl-citation.json"}</w:instrText>
      </w:r>
      <w:r w:rsidR="00BB41DF" w:rsidRPr="00AB2539">
        <w:fldChar w:fldCharType="separate"/>
      </w:r>
      <w:r w:rsidR="00557272" w:rsidRPr="00AB2539">
        <w:rPr>
          <w:noProof/>
          <w:vertAlign w:val="superscript"/>
        </w:rPr>
        <w:t>9</w:t>
      </w:r>
      <w:r w:rsidR="00BB41DF" w:rsidRPr="00AB2539">
        <w:fldChar w:fldCharType="end"/>
      </w:r>
      <w:r w:rsidR="00BB41DF" w:rsidRPr="00AB2539">
        <w:t xml:space="preserve">. </w:t>
      </w:r>
      <w:r w:rsidR="004572A8" w:rsidRPr="00AB2539">
        <w:t>However, we</w:t>
      </w:r>
      <w:r w:rsidR="00BB41DF" w:rsidRPr="00AB2539">
        <w:t xml:space="preserve"> use the </w:t>
      </w:r>
      <w:r w:rsidR="007A1BA0" w:rsidRPr="00AB2539">
        <w:t>diffraction</w:t>
      </w:r>
      <w:r w:rsidR="00BB41DF" w:rsidRPr="00AB2539">
        <w:t xml:space="preserve"> PSF 3D</w:t>
      </w:r>
      <w:r w:rsidR="00FC4583" w:rsidRPr="00AB2539">
        <w:t xml:space="preserve"> Plugin</w:t>
      </w:r>
      <w:r w:rsidR="00BB41DF" w:rsidRPr="00AB2539">
        <w:t xml:space="preserve"> (https://imagej.net/Diffraction_PSF_3D) to create our own specific PSF file for each </w:t>
      </w:r>
      <w:r w:rsidR="007A1BA0">
        <w:t>z</w:t>
      </w:r>
      <w:r w:rsidR="00BB41DF" w:rsidRPr="00AB2539">
        <w:t>-stack image.</w:t>
      </w:r>
      <w:r w:rsidR="00BB41DF" w:rsidRPr="00AB2539">
        <w:rPr>
          <w:color w:val="auto"/>
        </w:rPr>
        <w:t xml:space="preserve"> </w:t>
      </w:r>
      <w:r w:rsidR="00BB41DF" w:rsidRPr="00AB2539">
        <w:t xml:space="preserve">Z-stack images </w:t>
      </w:r>
      <w:r w:rsidR="00334CD6" w:rsidRPr="00AB2539">
        <w:t>are</w:t>
      </w:r>
      <w:r w:rsidR="00BB41DF" w:rsidRPr="00AB2539">
        <w:t xml:space="preserve"> a series of digit</w:t>
      </w:r>
      <w:r w:rsidR="007A1BA0">
        <w:t>ized</w:t>
      </w:r>
      <w:r w:rsidR="00BB41DF" w:rsidRPr="00AB2539">
        <w:t xml:space="preserve"> optical sections from defined depths (</w:t>
      </w:r>
      <w:r w:rsidR="007A1BA0">
        <w:t>z</w:t>
      </w:r>
      <w:r w:rsidR="00334CD6" w:rsidRPr="00AB2539">
        <w:t>-</w:t>
      </w:r>
      <w:r w:rsidR="00BB41DF" w:rsidRPr="00AB2539">
        <w:t>axis) at the same XY location of the slide. A computer compiles the information</w:t>
      </w:r>
      <w:r w:rsidR="004572A8" w:rsidRPr="00AB2539">
        <w:t xml:space="preserve"> obtained from</w:t>
      </w:r>
      <w:r w:rsidR="00BB41DF" w:rsidRPr="00AB2539">
        <w:t xml:space="preserve"> the focus plane by reassigning signals which </w:t>
      </w:r>
      <w:r w:rsidR="007A1BA0">
        <w:t>have</w:t>
      </w:r>
      <w:r w:rsidR="007A1BA0" w:rsidRPr="00AB2539">
        <w:t xml:space="preserve"> </w:t>
      </w:r>
      <w:r w:rsidR="00BB41DF" w:rsidRPr="00AB2539">
        <w:t xml:space="preserve">originated from objects located in other focal planes. </w:t>
      </w:r>
      <w:r w:rsidR="00BB41DF" w:rsidRPr="00AB2539">
        <w:rPr>
          <w:color w:val="auto"/>
        </w:rPr>
        <w:t xml:space="preserve">To create </w:t>
      </w:r>
      <w:r w:rsidR="00721934">
        <w:rPr>
          <w:color w:val="auto"/>
        </w:rPr>
        <w:t>z-stack</w:t>
      </w:r>
      <w:r w:rsidR="00BB41DF" w:rsidRPr="00AB2539">
        <w:rPr>
          <w:color w:val="auto"/>
        </w:rPr>
        <w:t xml:space="preserve"> images</w:t>
      </w:r>
      <w:r w:rsidR="00705235">
        <w:rPr>
          <w:color w:val="auto"/>
        </w:rPr>
        <w:t xml:space="preserve">, it </w:t>
      </w:r>
      <w:r w:rsidR="00BB41DF" w:rsidRPr="00AB2539">
        <w:rPr>
          <w:color w:val="auto"/>
        </w:rPr>
        <w:t xml:space="preserve">is necessary to take images from different focused layers of </w:t>
      </w:r>
      <w:r w:rsidR="0034283C" w:rsidRPr="00AB2539">
        <w:rPr>
          <w:color w:val="auto"/>
        </w:rPr>
        <w:t>the</w:t>
      </w:r>
      <w:r w:rsidR="00BB41DF" w:rsidRPr="00AB2539">
        <w:rPr>
          <w:color w:val="auto"/>
        </w:rPr>
        <w:t xml:space="preserve"> slides</w:t>
      </w:r>
      <w:r w:rsidR="006B39D6" w:rsidRPr="00AB2539">
        <w:rPr>
          <w:color w:val="auto"/>
        </w:rPr>
        <w:t xml:space="preserve"> </w:t>
      </w:r>
      <w:r w:rsidR="00BB41DF" w:rsidRPr="00AB2539">
        <w:rPr>
          <w:color w:val="auto"/>
        </w:rPr>
        <w:t xml:space="preserve">(e.g., </w:t>
      </w:r>
      <w:r w:rsidR="0034283C" w:rsidRPr="00AB2539">
        <w:rPr>
          <w:color w:val="auto"/>
        </w:rPr>
        <w:t>ten</w:t>
      </w:r>
      <w:r w:rsidR="00BB41DF" w:rsidRPr="00AB2539">
        <w:rPr>
          <w:color w:val="auto"/>
        </w:rPr>
        <w:t xml:space="preserve"> different images of the same XY area every 1 </w:t>
      </w:r>
      <w:proofErr w:type="spellStart"/>
      <w:r w:rsidR="00BB41DF" w:rsidRPr="00AB2539">
        <w:rPr>
          <w:color w:val="auto"/>
        </w:rPr>
        <w:t>μm</w:t>
      </w:r>
      <w:proofErr w:type="spellEnd"/>
      <w:r w:rsidR="00BB41DF" w:rsidRPr="00AB2539">
        <w:rPr>
          <w:color w:val="auto"/>
        </w:rPr>
        <w:t xml:space="preserve"> </w:t>
      </w:r>
      <w:r w:rsidR="00C16859" w:rsidRPr="00AB2539">
        <w:rPr>
          <w:color w:val="auto"/>
        </w:rPr>
        <w:t>depth</w:t>
      </w:r>
      <w:r w:rsidR="00BB41DF" w:rsidRPr="00AB2539">
        <w:rPr>
          <w:color w:val="auto"/>
        </w:rPr>
        <w:t>).</w:t>
      </w:r>
      <w:r w:rsidR="00EB0961">
        <w:rPr>
          <w:color w:val="auto"/>
        </w:rPr>
        <w:t xml:space="preserve"> </w:t>
      </w:r>
      <w:r w:rsidR="00BB41DF" w:rsidRPr="00AB2539">
        <w:rPr>
          <w:color w:val="auto"/>
        </w:rPr>
        <w:t>Then</w:t>
      </w:r>
      <w:r w:rsidR="00C16859" w:rsidRPr="00AB2539">
        <w:rPr>
          <w:color w:val="auto"/>
        </w:rPr>
        <w:t>,</w:t>
      </w:r>
      <w:r w:rsidR="00BB41DF" w:rsidRPr="00AB2539">
        <w:rPr>
          <w:color w:val="auto"/>
        </w:rPr>
        <w:t xml:space="preserve"> </w:t>
      </w:r>
      <w:r w:rsidR="004572A8" w:rsidRPr="00AB2539">
        <w:rPr>
          <w:color w:val="auto"/>
        </w:rPr>
        <w:t>we use</w:t>
      </w:r>
      <w:r w:rsidR="00BB41DF" w:rsidRPr="00AB2539">
        <w:rPr>
          <w:color w:val="auto"/>
        </w:rPr>
        <w:t xml:space="preserve"> microscopy software </w:t>
      </w:r>
      <w:r w:rsidR="005203D4" w:rsidRPr="00AB2539">
        <w:rPr>
          <w:color w:val="auto"/>
        </w:rPr>
        <w:t xml:space="preserve">provided by the manufacturer </w:t>
      </w:r>
      <w:r w:rsidR="00BB41DF" w:rsidRPr="00AB2539">
        <w:rPr>
          <w:color w:val="auto"/>
        </w:rPr>
        <w:t xml:space="preserve">or </w:t>
      </w:r>
      <w:r w:rsidR="00BB41DF" w:rsidRPr="00AB2539">
        <w:t>Fiji to create a</w:t>
      </w:r>
      <w:r w:rsidR="00BB41DF" w:rsidRPr="00AB2539">
        <w:rPr>
          <w:color w:val="auto"/>
        </w:rPr>
        <w:t xml:space="preserve"> </w:t>
      </w:r>
      <w:r w:rsidR="00721934">
        <w:rPr>
          <w:color w:val="auto"/>
        </w:rPr>
        <w:t>z-stack</w:t>
      </w:r>
      <w:r w:rsidR="00BB41DF" w:rsidRPr="00AB2539">
        <w:rPr>
          <w:color w:val="auto"/>
        </w:rPr>
        <w:t xml:space="preserve"> or 3D image. The result will be a single stack image file (e.g., </w:t>
      </w:r>
      <w:r w:rsidR="0034283C" w:rsidRPr="00AB2539">
        <w:rPr>
          <w:color w:val="auto"/>
        </w:rPr>
        <w:t>ten</w:t>
      </w:r>
      <w:r w:rsidR="00BB41DF" w:rsidRPr="00AB2539">
        <w:rPr>
          <w:color w:val="auto"/>
        </w:rPr>
        <w:t xml:space="preserve"> images with different focus</w:t>
      </w:r>
      <w:r w:rsidR="00721934">
        <w:rPr>
          <w:color w:val="auto"/>
        </w:rPr>
        <w:t>es</w:t>
      </w:r>
      <w:r w:rsidR="00BB41DF" w:rsidRPr="00AB2539">
        <w:rPr>
          <w:color w:val="auto"/>
        </w:rPr>
        <w:t xml:space="preserve">). </w:t>
      </w:r>
      <w:r w:rsidR="004572A8" w:rsidRPr="00AB2539">
        <w:t xml:space="preserve">There are several </w:t>
      </w:r>
      <w:r w:rsidR="00FC4583" w:rsidRPr="00AB2539">
        <w:t>customer-specific tools and software solutions</w:t>
      </w:r>
      <w:r w:rsidR="000B3623" w:rsidRPr="00AB2539">
        <w:t>,</w:t>
      </w:r>
      <w:r w:rsidR="00FC4583" w:rsidRPr="00AB2539">
        <w:t xml:space="preserve"> such as open-source software for deconvolution microscopy. </w:t>
      </w:r>
      <w:r w:rsidR="00BB41DF" w:rsidRPr="00AB2539">
        <w:t xml:space="preserve">We will show the </w:t>
      </w:r>
      <w:r w:rsidR="00721934">
        <w:t xml:space="preserve">outputs of the </w:t>
      </w:r>
      <w:r w:rsidR="000B3623" w:rsidRPr="00AB2539">
        <w:t xml:space="preserve">deconvolution process </w:t>
      </w:r>
      <w:r w:rsidR="00BB41DF" w:rsidRPr="00AB2539">
        <w:t xml:space="preserve">using </w:t>
      </w:r>
      <w:r w:rsidR="00BB41DF" w:rsidRPr="00AB2539">
        <w:rPr>
          <w:color w:val="auto"/>
        </w:rPr>
        <w:t>DeconvolutionLab2</w:t>
      </w:r>
      <w:r w:rsidR="00BB41DF" w:rsidRPr="00AB2539">
        <w:rPr>
          <w:color w:val="auto"/>
        </w:rPr>
        <w:fldChar w:fldCharType="begin" w:fldLock="1"/>
      </w:r>
      <w:r w:rsidR="00383526" w:rsidRPr="00AB2539">
        <w:rPr>
          <w:color w:val="auto"/>
        </w:rPr>
        <w:instrText>ADDIN CSL_CITATION {"citationItems":[{"id":"ITEM-1","itemData":{"DOI":"10.1016/j.ymeth.2016.12.015","ISSN":"10959130","abstract":"Images in fluorescence microscopy are inherently blurred due to the limit of diffraction of light. The purpose of deconvolution microscopy is to compensate numerically for this degradation. Deconvolution is widely used to restore fine details of 3D biological samples. Unfortunately, dealing with deconvolution tools is not straightforward. Among others, end users have to select the appropriate algorithm, calibration and parametrization, while potentially facing demanding computational tasks. To make deconvolution more accessible, we have developed a practical platform for deconvolution microscopy called DeconvolutionLab. Freely distributed, DeconvolutionLab hosts standard algorithms for 3D microscopy deconvolution and drives them through a user-oriented interface. In this paper, we take advantage of the release of DeconvolutionLab2 to provide a complete description of the software package and its built-in deconvolution algorithms. We examine several standard algorithms used in deconvolution microscopy, notably: Regularized inverse filter, Tikhonov regularization, Landweber, Tikhonov–Miller, Richardson–Lucy, and fast iterative shrinkage-thresholding. We evaluate these methods over large 3D microscopy images using simulated datasets and real experimental images. We distinguish the algorithms in terms of image quality, performance, usability and computational requirements. Our presentation is completed with a discussion of recent trends in deconvolution, inspired by the results of the Grand Challenge on deconvolution microscopy that was recently organized.","author":[{"dropping-particle":"","family":"Sage","given":"Daniel","non-dropping-particle":"","parse-names":false,"suffix":""},{"dropping-particle":"","family":"Donati","given":"Lauréne","non-dropping-particle":"","parse-names":false,"suffix":""},{"dropping-particle":"","family":"Soulez","given":"Ferréol","non-dropping-particle":"","parse-names":false,"suffix":""},{"dropping-particle":"","family":"Fortun","given":"Denis","non-dropping-particle":"","parse-names":false,"suffix":""},{"dropping-particle":"","family":"Schmit","given":"Guillaume","non-dropping-particle":"","parse-names":false,"suffix":""},{"dropping-particle":"","family":"Seitz","given":"Arne","non-dropping-particle":"","parse-names":false,"suffix":""},{"dropping-particle":"","family":"Guiet","given":"Romain","non-dropping-particle":"","parse-names":false,"suffix":""},{"dropping-particle":"","family":"Vonesch","given":"Cédric","non-dropping-particle":"","parse-names":false,"suffix":""},{"dropping-particle":"","family":"Unser","given":"Michael","non-dropping-particle":"","parse-names":false,"suffix":""}],"container-title":"Methods","id":"ITEM-1","issued":{"date-parts":[["2017"]]},"page":"28-41","publisher":"Elsevier Inc.","title":"DeconvolutionLab2: An open-source software for deconvolution microscopy","type":"article-journal","volume":"115"},"uris":["http://www.mendeley.com/documents/?uuid=a6252c04-929c-43a3-8513-0b5b55403971"]}],"mendeley":{"formattedCitation":"&lt;sup&gt;9&lt;/sup&gt;","plainTextFormattedCitation":"9","previouslyFormattedCitation":"&lt;sup&gt;9&lt;/sup&gt;"},"properties":{"noteIndex":0},"schema":"https://github.com/citation-style-language/schema/raw/master/csl-citation.json"}</w:instrText>
      </w:r>
      <w:r w:rsidR="00BB41DF" w:rsidRPr="00AB2539">
        <w:rPr>
          <w:color w:val="auto"/>
        </w:rPr>
        <w:fldChar w:fldCharType="separate"/>
      </w:r>
      <w:r w:rsidR="00557272" w:rsidRPr="00AB2539">
        <w:rPr>
          <w:noProof/>
          <w:color w:val="auto"/>
          <w:vertAlign w:val="superscript"/>
        </w:rPr>
        <w:t>9</w:t>
      </w:r>
      <w:r w:rsidR="00BB41DF" w:rsidRPr="00AB2539">
        <w:rPr>
          <w:color w:val="auto"/>
        </w:rPr>
        <w:fldChar w:fldCharType="end"/>
      </w:r>
      <w:r w:rsidR="00721934">
        <w:rPr>
          <w:color w:val="auto"/>
        </w:rPr>
        <w:t xml:space="preserve"> which is</w:t>
      </w:r>
      <w:r w:rsidR="00721934" w:rsidRPr="00AB2539">
        <w:rPr>
          <w:color w:val="auto"/>
        </w:rPr>
        <w:t xml:space="preserve"> </w:t>
      </w:r>
      <w:r w:rsidR="00BB41DF" w:rsidRPr="00AB2539">
        <w:t>a Fiji</w:t>
      </w:r>
      <w:r w:rsidR="00BB41DF" w:rsidRPr="00AB2539">
        <w:fldChar w:fldCharType="begin" w:fldLock="1"/>
      </w:r>
      <w:r w:rsidR="00383526" w:rsidRPr="00AB2539">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81294ec4-b67c-4f3b-9308-ac0156652363"]}],"mendeley":{"formattedCitation":"&lt;sup&gt;11&lt;/sup&gt;","plainTextFormattedCitation":"11","previouslyFormattedCitation":"&lt;sup&gt;11&lt;/sup&gt;"},"properties":{"noteIndex":0},"schema":"https://github.com/citation-style-language/schema/raw/master/csl-citation.json"}</w:instrText>
      </w:r>
      <w:r w:rsidR="00BB41DF" w:rsidRPr="00AB2539">
        <w:fldChar w:fldCharType="separate"/>
      </w:r>
      <w:r w:rsidR="00557272" w:rsidRPr="00AB2539">
        <w:rPr>
          <w:noProof/>
          <w:vertAlign w:val="superscript"/>
        </w:rPr>
        <w:t>11</w:t>
      </w:r>
      <w:r w:rsidR="00BB41DF" w:rsidRPr="00AB2539">
        <w:fldChar w:fldCharType="end"/>
      </w:r>
      <w:r w:rsidR="00BB41DF" w:rsidRPr="00AB2539">
        <w:t xml:space="preserve"> </w:t>
      </w:r>
      <w:r w:rsidR="00FC4583" w:rsidRPr="00AB2539">
        <w:t xml:space="preserve">plugin </w:t>
      </w:r>
      <w:r w:rsidR="00BB41DF" w:rsidRPr="00AB2539">
        <w:t>(distribution of ImageJ</w:t>
      </w:r>
      <w:r w:rsidR="00BB41DF" w:rsidRPr="00AB2539">
        <w:fldChar w:fldCharType="begin" w:fldLock="1"/>
      </w:r>
      <w:r w:rsidR="00383526" w:rsidRPr="00AB2539">
        <w:instrText>ADDIN CSL_CITATION {"citationItems":[{"id":"ITEM-1","itemData":{"DOI":"10.1201/9781420005615.ax4","ISSN":"10818693","author":[{"dropping-particle":"","family":"Abràmoff","given":"Michael D.","non-dropping-particle":"","parse-names":false,"suffix":""},{"dropping-particle":"","family":"Magalhães","given":"Paulo J.","non-dropping-particle":"","parse-names":false,"suffix":""},{"dropping-particle":"","family":"Ram","given":"Sunanda J.","non-dropping-particle":"","parse-names":false,"suffix":""}],"container-title":"Biophotonics International","id":"ITEM-1","issue":"7","issued":{"date-parts":[["2004"]]},"page":"36-41","title":"Image processing with imageJ","type":"article-journal","volume":"11"},"uris":["http://www.mendeley.com/documents/?uuid=ddab81d3-60ff-490e-91c6-3d394cda3ff5"]}],"mendeley":{"formattedCitation":"&lt;sup&gt;12&lt;/sup&gt;","plainTextFormattedCitation":"12","previouslyFormattedCitation":"&lt;sup&gt;12&lt;/sup&gt;"},"properties":{"noteIndex":0},"schema":"https://github.com/citation-style-language/schema/raw/master/csl-citation.json"}</w:instrText>
      </w:r>
      <w:r w:rsidR="00BB41DF" w:rsidRPr="00AB2539">
        <w:fldChar w:fldCharType="separate"/>
      </w:r>
      <w:r w:rsidR="00557272" w:rsidRPr="00AB2539">
        <w:rPr>
          <w:noProof/>
          <w:vertAlign w:val="superscript"/>
        </w:rPr>
        <w:t>12</w:t>
      </w:r>
      <w:r w:rsidR="00BB41DF" w:rsidRPr="00AB2539">
        <w:fldChar w:fldCharType="end"/>
      </w:r>
      <w:r w:rsidR="00BB41DF" w:rsidRPr="00AB2539">
        <w:t xml:space="preserve">). </w:t>
      </w:r>
      <w:r w:rsidR="00FC4583" w:rsidRPr="00AB2539">
        <w:t xml:space="preserve">Deconvolution will help </w:t>
      </w:r>
      <w:r w:rsidR="009C5999" w:rsidRPr="00AB2539">
        <w:t>improve the resolution of final</w:t>
      </w:r>
      <w:r w:rsidR="00FC4583" w:rsidRPr="00AB2539">
        <w:t xml:space="preserve"> micrographs</w:t>
      </w:r>
      <w:r w:rsidR="009C5999" w:rsidRPr="00AB2539">
        <w:t xml:space="preserve"> (see </w:t>
      </w:r>
      <w:r w:rsidR="009C5999" w:rsidRPr="008348CD">
        <w:rPr>
          <w:b/>
          <w:bCs/>
        </w:rPr>
        <w:t>Figure 1</w:t>
      </w:r>
      <w:proofErr w:type="gramStart"/>
      <w:r w:rsidR="00955D98">
        <w:rPr>
          <w:b/>
          <w:bCs/>
        </w:rPr>
        <w:t>B</w:t>
      </w:r>
      <w:r w:rsidR="00146CA2">
        <w:rPr>
          <w:b/>
          <w:bCs/>
        </w:rPr>
        <w:t>,</w:t>
      </w:r>
      <w:r w:rsidR="00955D98">
        <w:rPr>
          <w:b/>
          <w:bCs/>
        </w:rPr>
        <w:t>C</w:t>
      </w:r>
      <w:proofErr w:type="gramEnd"/>
      <w:r w:rsidR="00955D98">
        <w:rPr>
          <w:b/>
          <w:bCs/>
        </w:rPr>
        <w:t xml:space="preserve"> </w:t>
      </w:r>
      <w:r w:rsidR="009C5999" w:rsidRPr="00AB2539">
        <w:t>).</w:t>
      </w:r>
      <w:r w:rsidR="00FC4583" w:rsidRPr="00AB2539">
        <w:t xml:space="preserve"> </w:t>
      </w:r>
      <w:r w:rsidR="00BB41DF" w:rsidRPr="00AB2539">
        <w:rPr>
          <w:color w:val="auto"/>
        </w:rPr>
        <w:t xml:space="preserve">For </w:t>
      </w:r>
      <w:r w:rsidR="00C16859" w:rsidRPr="00AB2539">
        <w:rPr>
          <w:color w:val="auto"/>
        </w:rPr>
        <w:t>further</w:t>
      </w:r>
      <w:r w:rsidR="00BB41DF" w:rsidRPr="00AB2539">
        <w:rPr>
          <w:color w:val="auto"/>
        </w:rPr>
        <w:t xml:space="preserve"> information and instruction, we strongly recommend</w:t>
      </w:r>
      <w:r w:rsidR="00721934">
        <w:rPr>
          <w:color w:val="auto"/>
        </w:rPr>
        <w:t xml:space="preserve"> </w:t>
      </w:r>
      <w:r w:rsidR="009C5999" w:rsidRPr="00AB2539">
        <w:rPr>
          <w:color w:val="auto"/>
        </w:rPr>
        <w:t>read</w:t>
      </w:r>
      <w:r w:rsidR="00721934">
        <w:rPr>
          <w:color w:val="auto"/>
        </w:rPr>
        <w:t xml:space="preserve">ing </w:t>
      </w:r>
      <w:r w:rsidR="00EA257C" w:rsidRPr="00AB2539">
        <w:rPr>
          <w:color w:val="auto"/>
        </w:rPr>
        <w:t>ref</w:t>
      </w:r>
      <w:r w:rsidR="00721934">
        <w:rPr>
          <w:color w:val="auto"/>
        </w:rPr>
        <w:t>erence</w:t>
      </w:r>
      <w:r w:rsidR="00BB41DF" w:rsidRPr="00AB2539">
        <w:rPr>
          <w:color w:val="auto"/>
        </w:rPr>
        <w:fldChar w:fldCharType="begin" w:fldLock="1"/>
      </w:r>
      <w:r w:rsidR="00383526" w:rsidRPr="00AB2539">
        <w:rPr>
          <w:color w:val="auto"/>
        </w:rPr>
        <w:instrText>ADDIN CSL_CITATION {"citationItems":[{"id":"ITEM-1","itemData":{"author":[{"dropping-particle":"","family":"Giannini A., &amp; Giannini","given":"J.","non-dropping-particle":"","parse-names":false,"suffix":""}],"id":"ITEM-1","issued":{"date-parts":[["2016"]]},"title":"2D and 3D Fluorescence Deconvolution Manual","type":"report"},"uris":["http://www.mendeley.com/documents/?uuid=c2ff69b3-b002-4625-b591-f97b21cd456c"]}],"mendeley":{"formattedCitation":"&lt;sup&gt;13&lt;/sup&gt;","plainTextFormattedCitation":"13","previouslyFormattedCitation":"&lt;sup&gt;13&lt;/sup&gt;"},"properties":{"noteIndex":0},"schema":"https://github.com/citation-style-language/schema/raw/master/csl-citation.json"}</w:instrText>
      </w:r>
      <w:r w:rsidR="00BB41DF" w:rsidRPr="00AB2539">
        <w:rPr>
          <w:color w:val="auto"/>
        </w:rPr>
        <w:fldChar w:fldCharType="separate"/>
      </w:r>
      <w:r w:rsidR="00557272" w:rsidRPr="00AB2539">
        <w:rPr>
          <w:noProof/>
          <w:color w:val="auto"/>
          <w:vertAlign w:val="superscript"/>
        </w:rPr>
        <w:t>13</w:t>
      </w:r>
      <w:r w:rsidR="00BB41DF" w:rsidRPr="00AB2539">
        <w:rPr>
          <w:color w:val="auto"/>
        </w:rPr>
        <w:fldChar w:fldCharType="end"/>
      </w:r>
      <w:r w:rsidR="00BB41DF" w:rsidRPr="00AB2539">
        <w:rPr>
          <w:color w:val="auto"/>
        </w:rPr>
        <w:t>.</w:t>
      </w:r>
    </w:p>
    <w:p w14:paraId="7FB42B03" w14:textId="0C2D5509" w:rsidR="008E43FA" w:rsidRPr="00AB2539" w:rsidRDefault="008E43FA" w:rsidP="00AB2539">
      <w:pPr>
        <w:pStyle w:val="NormalWeb"/>
        <w:widowControl/>
        <w:spacing w:before="0" w:beforeAutospacing="0" w:after="0" w:afterAutospacing="0"/>
        <w:contextualSpacing/>
        <w:rPr>
          <w:color w:val="auto"/>
        </w:rPr>
      </w:pPr>
    </w:p>
    <w:p w14:paraId="4223E6B4" w14:textId="6FF5FE43" w:rsidR="008E43FA" w:rsidRPr="00AB2539" w:rsidRDefault="008E43FA" w:rsidP="00AB2539">
      <w:pPr>
        <w:pStyle w:val="NormalWeb"/>
        <w:widowControl/>
        <w:spacing w:before="0" w:beforeAutospacing="0" w:after="0" w:afterAutospacing="0"/>
        <w:contextualSpacing/>
        <w:rPr>
          <w:color w:val="auto"/>
        </w:rPr>
      </w:pPr>
      <w:r w:rsidRPr="00AB2539">
        <w:rPr>
          <w:color w:val="auto"/>
        </w:rPr>
        <w:t xml:space="preserve">[Place </w:t>
      </w:r>
      <w:r w:rsidRPr="00AB2539">
        <w:rPr>
          <w:b/>
          <w:bCs/>
          <w:color w:val="auto"/>
        </w:rPr>
        <w:t>Figure 1</w:t>
      </w:r>
      <w:r w:rsidRPr="00AB2539">
        <w:rPr>
          <w:color w:val="auto"/>
        </w:rPr>
        <w:t xml:space="preserve"> here]</w:t>
      </w:r>
    </w:p>
    <w:p w14:paraId="160A2257" w14:textId="77777777" w:rsidR="00BD6CF4" w:rsidRPr="00AB2539" w:rsidRDefault="00BD6CF4" w:rsidP="00AB2539">
      <w:pPr>
        <w:widowControl/>
        <w:contextualSpacing/>
      </w:pPr>
    </w:p>
    <w:p w14:paraId="5FC2845D" w14:textId="5EB1B8C9" w:rsidR="00D70A16" w:rsidRPr="00AB2539" w:rsidRDefault="009C5999" w:rsidP="00AB2539">
      <w:pPr>
        <w:widowControl/>
        <w:contextualSpacing/>
      </w:pPr>
      <w:r w:rsidRPr="00AB2539">
        <w:t>The purpose of this work is</w:t>
      </w:r>
      <w:r w:rsidR="00D6690A">
        <w:t xml:space="preserve"> to</w:t>
      </w:r>
      <w:r w:rsidRPr="00AB2539">
        <w:t xml:space="preserve"> </w:t>
      </w:r>
      <w:r w:rsidR="00721934">
        <w:t xml:space="preserve">provide a detailed description of the </w:t>
      </w:r>
      <w:r w:rsidRPr="00AB2539">
        <w:t xml:space="preserve">steps to obtain positive and successful outcomes </w:t>
      </w:r>
      <w:r w:rsidR="00721934">
        <w:t xml:space="preserve">with </w:t>
      </w:r>
      <w:r w:rsidRPr="00AB2539">
        <w:t xml:space="preserve">immunostaining and to </w:t>
      </w:r>
      <w:r w:rsidR="00146CA2">
        <w:t>list</w:t>
      </w:r>
      <w:r w:rsidR="00721934">
        <w:t xml:space="preserve"> commonly used steps in</w:t>
      </w:r>
      <w:r w:rsidR="00721934" w:rsidRPr="00AB2539">
        <w:t xml:space="preserve"> </w:t>
      </w:r>
      <w:proofErr w:type="spellStart"/>
      <w:r w:rsidRPr="00AB2539">
        <w:t>BrdU</w:t>
      </w:r>
      <w:proofErr w:type="spellEnd"/>
      <w:r w:rsidR="00721934">
        <w:t>-based studies</w:t>
      </w:r>
      <w:r w:rsidR="004119EA" w:rsidRPr="00AB2539">
        <w:t xml:space="preserve">, without </w:t>
      </w:r>
      <w:r w:rsidR="00721934">
        <w:t>the use of a</w:t>
      </w:r>
      <w:r w:rsidR="004119EA" w:rsidRPr="00AB2539">
        <w:t xml:space="preserve"> confocal microscope</w:t>
      </w:r>
      <w:r w:rsidR="001A073F" w:rsidRPr="00AB2539">
        <w:t xml:space="preserve">. </w:t>
      </w:r>
      <w:proofErr w:type="spellStart"/>
      <w:r w:rsidR="00E25AE0" w:rsidRPr="00AB2539">
        <w:t>BrdU</w:t>
      </w:r>
      <w:proofErr w:type="spellEnd"/>
      <w:r w:rsidR="00E25AE0" w:rsidRPr="00AB2539">
        <w:t xml:space="preserve"> staining is a technique that </w:t>
      </w:r>
      <w:r w:rsidR="00C16859" w:rsidRPr="00AB2539">
        <w:t>requires</w:t>
      </w:r>
      <w:r w:rsidR="00722988" w:rsidRPr="00AB2539">
        <w:t xml:space="preserve"> </w:t>
      </w:r>
      <w:r w:rsidR="00E25AE0" w:rsidRPr="00AB2539">
        <w:t xml:space="preserve">several steps that </w:t>
      </w:r>
      <w:r w:rsidR="00C16859" w:rsidRPr="00AB2539">
        <w:t>must</w:t>
      </w:r>
      <w:r w:rsidR="00E25AE0" w:rsidRPr="00AB2539">
        <w:t xml:space="preserve"> be carefully followed to achieve </w:t>
      </w:r>
      <w:r w:rsidR="00C16859" w:rsidRPr="00AB2539">
        <w:t xml:space="preserve">a </w:t>
      </w:r>
      <w:r w:rsidR="00721934">
        <w:t xml:space="preserve">successful </w:t>
      </w:r>
      <w:r w:rsidR="00E25AE0" w:rsidRPr="00AB2539">
        <w:t xml:space="preserve">stain. </w:t>
      </w:r>
      <w:r w:rsidR="00721934">
        <w:t>Standardizing</w:t>
      </w:r>
      <w:r w:rsidR="00E25AE0" w:rsidRPr="00AB2539">
        <w:t xml:space="preserve"> these staining techniques</w:t>
      </w:r>
      <w:r w:rsidR="00A66920" w:rsidRPr="00AB2539">
        <w:t xml:space="preserve"> </w:t>
      </w:r>
      <w:r w:rsidR="00693FB8" w:rsidRPr="00AB2539">
        <w:t xml:space="preserve">typically </w:t>
      </w:r>
      <w:r w:rsidR="00E25AE0" w:rsidRPr="00AB2539">
        <w:t>take</w:t>
      </w:r>
      <w:r w:rsidR="00A66920" w:rsidRPr="00AB2539">
        <w:t>s</w:t>
      </w:r>
      <w:r w:rsidR="00E25AE0" w:rsidRPr="00AB2539">
        <w:t xml:space="preserve"> months </w:t>
      </w:r>
      <w:r w:rsidR="00721934">
        <w:t>and is time and resource intensive</w:t>
      </w:r>
      <w:r w:rsidR="00E25AE0" w:rsidRPr="00AB2539">
        <w:t xml:space="preserve">. </w:t>
      </w:r>
      <w:r w:rsidR="00721934">
        <w:t>We anticipated that</w:t>
      </w:r>
      <w:r w:rsidR="00721934" w:rsidRPr="00AB2539">
        <w:t xml:space="preserve"> </w:t>
      </w:r>
      <w:r w:rsidR="00721934">
        <w:t xml:space="preserve">this article </w:t>
      </w:r>
      <w:r w:rsidR="005C187F">
        <w:t>could</w:t>
      </w:r>
      <w:r w:rsidR="00721934">
        <w:t xml:space="preserve"> </w:t>
      </w:r>
      <w:r w:rsidR="00E25AE0" w:rsidRPr="00AB2539">
        <w:t xml:space="preserve">provide information to the groups </w:t>
      </w:r>
      <w:r w:rsidR="00721934">
        <w:t>starting out</w:t>
      </w:r>
      <w:r w:rsidR="00E25AE0" w:rsidRPr="00AB2539">
        <w:t xml:space="preserve"> </w:t>
      </w:r>
      <w:r w:rsidR="00721934">
        <w:t>within</w:t>
      </w:r>
      <w:r w:rsidR="00721934" w:rsidRPr="00AB2539">
        <w:t xml:space="preserve"> </w:t>
      </w:r>
      <w:r w:rsidR="00E25AE0" w:rsidRPr="00AB2539">
        <w:t xml:space="preserve">this field </w:t>
      </w:r>
      <w:r w:rsidR="00693FB8" w:rsidRPr="00AB2539">
        <w:t xml:space="preserve">by </w:t>
      </w:r>
      <w:r w:rsidR="00E25AE0" w:rsidRPr="00AB2539">
        <w:t>reducing time and errors.</w:t>
      </w:r>
      <w:r w:rsidR="00BD7DB9" w:rsidRPr="00AB2539" w:rsidDel="00BD7DB9">
        <w:t xml:space="preserve"> </w:t>
      </w:r>
    </w:p>
    <w:p w14:paraId="237AD7DD" w14:textId="77777777" w:rsidR="00D15131" w:rsidRPr="00AB2539" w:rsidRDefault="00D15131" w:rsidP="00AB2539">
      <w:pPr>
        <w:widowControl/>
        <w:contextualSpacing/>
        <w:rPr>
          <w:b/>
        </w:rPr>
      </w:pPr>
    </w:p>
    <w:p w14:paraId="5263FE2A" w14:textId="470C25C7" w:rsidR="003E7EFE" w:rsidRPr="00AB2539" w:rsidRDefault="006305D7" w:rsidP="00AB2539">
      <w:pPr>
        <w:widowControl/>
        <w:contextualSpacing/>
        <w:rPr>
          <w:b/>
        </w:rPr>
      </w:pPr>
      <w:bookmarkStart w:id="0" w:name="_Hlk47472971"/>
      <w:r w:rsidRPr="00AB2539">
        <w:rPr>
          <w:b/>
        </w:rPr>
        <w:lastRenderedPageBreak/>
        <w:t>PROTOCOL:</w:t>
      </w:r>
    </w:p>
    <w:p w14:paraId="361F5318" w14:textId="61BA5198" w:rsidR="003E7EFE" w:rsidRPr="00AB2539" w:rsidRDefault="003E7EFE" w:rsidP="00AB2539">
      <w:pPr>
        <w:widowControl/>
        <w:contextualSpacing/>
        <w:rPr>
          <w:color w:val="808080" w:themeColor="background1" w:themeShade="80"/>
        </w:rPr>
      </w:pPr>
      <w:r w:rsidRPr="00AB2539">
        <w:t>All procedures follow the National Institutes of Health guide for the care and use of laboratory animals (NIH Publications N</w:t>
      </w:r>
      <w:r w:rsidR="00693FB8" w:rsidRPr="00AB2539">
        <w:t>°</w:t>
      </w:r>
      <w:r w:rsidRPr="00AB2539">
        <w:t xml:space="preserve">. 8023, revised </w:t>
      </w:r>
      <w:r w:rsidR="00E948FA" w:rsidRPr="00AB2539">
        <w:t xml:space="preserve">in </w:t>
      </w:r>
      <w:r w:rsidRPr="00AB2539">
        <w:t xml:space="preserve">1978) and local Mexican laws to minimize the number of animals </w:t>
      </w:r>
      <w:r w:rsidR="00E948FA" w:rsidRPr="00AB2539">
        <w:t xml:space="preserve">used </w:t>
      </w:r>
      <w:r w:rsidR="008D5360" w:rsidRPr="00AB2539">
        <w:t>and</w:t>
      </w:r>
      <w:r w:rsidRPr="00AB2539">
        <w:t xml:space="preserve"> their suffering. The Ethics Committee of the Universidad </w:t>
      </w:r>
      <w:proofErr w:type="spellStart"/>
      <w:r w:rsidRPr="00AB2539">
        <w:t>Iberoamericana</w:t>
      </w:r>
      <w:proofErr w:type="spellEnd"/>
      <w:r w:rsidRPr="00AB2539">
        <w:t xml:space="preserve"> approved the experimental protocols for </w:t>
      </w:r>
      <w:r w:rsidR="008D5360" w:rsidRPr="00AB2539">
        <w:t>using</w:t>
      </w:r>
      <w:r w:rsidRPr="00AB2539">
        <w:t xml:space="preserve"> animals in this study.</w:t>
      </w:r>
    </w:p>
    <w:p w14:paraId="2AB03C2B" w14:textId="77777777" w:rsidR="00F14C04" w:rsidRPr="00AB2539" w:rsidRDefault="00F14C04" w:rsidP="00AB2539">
      <w:pPr>
        <w:pStyle w:val="NormalWeb"/>
        <w:widowControl/>
        <w:spacing w:before="0" w:beforeAutospacing="0" w:after="0" w:afterAutospacing="0"/>
        <w:contextualSpacing/>
        <w:rPr>
          <w:color w:val="auto"/>
        </w:rPr>
      </w:pPr>
    </w:p>
    <w:p w14:paraId="77872EF2" w14:textId="0944AD12" w:rsidR="00D306CD" w:rsidRPr="00AB2539" w:rsidRDefault="00E758D3" w:rsidP="00AB2539">
      <w:pPr>
        <w:pStyle w:val="NormalWeb"/>
        <w:widowControl/>
        <w:numPr>
          <w:ilvl w:val="0"/>
          <w:numId w:val="18"/>
        </w:numPr>
        <w:spacing w:before="0" w:beforeAutospacing="0" w:after="0" w:afterAutospacing="0"/>
        <w:contextualSpacing/>
        <w:rPr>
          <w:color w:val="auto"/>
          <w:highlight w:val="yellow"/>
        </w:rPr>
      </w:pPr>
      <w:r w:rsidRPr="00AB2539">
        <w:rPr>
          <w:b/>
          <w:bCs/>
          <w:highlight w:val="yellow"/>
        </w:rPr>
        <w:t>Reagent</w:t>
      </w:r>
      <w:r w:rsidR="00D306CD" w:rsidRPr="00AB2539">
        <w:rPr>
          <w:highlight w:val="yellow"/>
        </w:rPr>
        <w:t xml:space="preserve"> </w:t>
      </w:r>
      <w:r w:rsidRPr="00AB2539">
        <w:rPr>
          <w:b/>
          <w:bCs/>
          <w:color w:val="auto"/>
          <w:highlight w:val="yellow"/>
        </w:rPr>
        <w:t>preparation</w:t>
      </w:r>
      <w:r w:rsidRPr="00AB2539">
        <w:rPr>
          <w:b/>
          <w:bCs/>
          <w:highlight w:val="yellow"/>
        </w:rPr>
        <w:t xml:space="preserve"> and setup</w:t>
      </w:r>
    </w:p>
    <w:p w14:paraId="67B0F8EB" w14:textId="77777777" w:rsidR="00F14C04" w:rsidRPr="00AB2539" w:rsidRDefault="00F14C04" w:rsidP="00AB2539">
      <w:pPr>
        <w:pStyle w:val="NormalWeb"/>
        <w:widowControl/>
        <w:spacing w:before="0" w:beforeAutospacing="0" w:after="0" w:afterAutospacing="0"/>
        <w:contextualSpacing/>
        <w:rPr>
          <w:color w:val="auto"/>
        </w:rPr>
      </w:pPr>
    </w:p>
    <w:p w14:paraId="25DC40B9" w14:textId="001941BF" w:rsidR="00F14C04" w:rsidRPr="00AB2539" w:rsidRDefault="00F14C04" w:rsidP="00AB2539">
      <w:pPr>
        <w:pStyle w:val="NormalWeb"/>
        <w:widowControl/>
        <w:spacing w:before="0" w:beforeAutospacing="0" w:after="0" w:afterAutospacing="0"/>
        <w:contextualSpacing/>
        <w:rPr>
          <w:color w:val="auto"/>
        </w:rPr>
      </w:pPr>
      <w:r w:rsidRPr="00AB2539">
        <w:t>NOTE: Most of the solutions c</w:t>
      </w:r>
      <w:r w:rsidR="00146CA2">
        <w:t xml:space="preserve">an </w:t>
      </w:r>
      <w:r w:rsidRPr="00AB2539">
        <w:t xml:space="preserve">be prepared days before use unless </w:t>
      </w:r>
      <w:r w:rsidR="00000CBC" w:rsidRPr="00AB2539">
        <w:t xml:space="preserve">specified </w:t>
      </w:r>
      <w:r w:rsidRPr="00AB2539">
        <w:t xml:space="preserve">otherwise. </w:t>
      </w:r>
    </w:p>
    <w:p w14:paraId="51CD00AE" w14:textId="77777777" w:rsidR="00D306CD" w:rsidRPr="00AB2539" w:rsidRDefault="00D306CD" w:rsidP="00AB2539">
      <w:pPr>
        <w:pStyle w:val="NormalWeb"/>
        <w:widowControl/>
        <w:spacing w:before="0" w:beforeAutospacing="0" w:after="0" w:afterAutospacing="0"/>
        <w:contextualSpacing/>
        <w:rPr>
          <w:color w:val="auto"/>
        </w:rPr>
      </w:pPr>
    </w:p>
    <w:p w14:paraId="47DADE83" w14:textId="262619F8" w:rsidR="00000CBC" w:rsidRDefault="00E25AE0" w:rsidP="00AB2539">
      <w:pPr>
        <w:pStyle w:val="NormalWeb"/>
        <w:widowControl/>
        <w:numPr>
          <w:ilvl w:val="1"/>
          <w:numId w:val="18"/>
        </w:numPr>
        <w:spacing w:before="0" w:beforeAutospacing="0" w:after="0" w:afterAutospacing="0"/>
        <w:contextualSpacing/>
        <w:rPr>
          <w:highlight w:val="yellow"/>
        </w:rPr>
      </w:pPr>
      <w:proofErr w:type="spellStart"/>
      <w:r w:rsidRPr="00AB2539">
        <w:rPr>
          <w:highlight w:val="yellow"/>
        </w:rPr>
        <w:t>BrdU</w:t>
      </w:r>
      <w:proofErr w:type="spellEnd"/>
      <w:r w:rsidRPr="00AB2539">
        <w:rPr>
          <w:highlight w:val="yellow"/>
        </w:rPr>
        <w:t xml:space="preserve"> </w:t>
      </w:r>
      <w:r w:rsidR="00000CBC">
        <w:rPr>
          <w:highlight w:val="yellow"/>
        </w:rPr>
        <w:t>s</w:t>
      </w:r>
      <w:r w:rsidRPr="00AB2539">
        <w:rPr>
          <w:highlight w:val="yellow"/>
        </w:rPr>
        <w:t>olution</w:t>
      </w:r>
      <w:r w:rsidR="0046515C" w:rsidRPr="00AB2539">
        <w:rPr>
          <w:highlight w:val="yellow"/>
        </w:rPr>
        <w:t xml:space="preserve"> </w:t>
      </w:r>
    </w:p>
    <w:p w14:paraId="35E528DB" w14:textId="77777777" w:rsidR="00000CBC" w:rsidRDefault="00000CBC" w:rsidP="008348CD">
      <w:pPr>
        <w:pStyle w:val="NormalWeb"/>
        <w:widowControl/>
        <w:spacing w:before="0" w:beforeAutospacing="0" w:after="0" w:afterAutospacing="0"/>
        <w:contextualSpacing/>
        <w:rPr>
          <w:highlight w:val="yellow"/>
        </w:rPr>
      </w:pPr>
    </w:p>
    <w:p w14:paraId="3AA7CE5B" w14:textId="20EAC001" w:rsidR="000E428D" w:rsidRPr="00AB2539" w:rsidRDefault="00000CBC" w:rsidP="008348CD">
      <w:pPr>
        <w:pStyle w:val="NormalWeb"/>
        <w:widowControl/>
        <w:numPr>
          <w:ilvl w:val="2"/>
          <w:numId w:val="18"/>
        </w:numPr>
        <w:spacing w:before="0" w:beforeAutospacing="0" w:after="0" w:afterAutospacing="0"/>
        <w:contextualSpacing/>
        <w:rPr>
          <w:highlight w:val="yellow"/>
        </w:rPr>
      </w:pPr>
      <w:r>
        <w:rPr>
          <w:highlight w:val="yellow"/>
        </w:rPr>
        <w:t>Retrieve</w:t>
      </w:r>
      <w:r w:rsidR="00E948FA" w:rsidRPr="00AB2539">
        <w:rPr>
          <w:highlight w:val="yellow"/>
        </w:rPr>
        <w:t xml:space="preserve"> the </w:t>
      </w:r>
      <w:proofErr w:type="spellStart"/>
      <w:r w:rsidR="00E25AE0" w:rsidRPr="00AB2539">
        <w:rPr>
          <w:highlight w:val="yellow"/>
        </w:rPr>
        <w:t>BrdU</w:t>
      </w:r>
      <w:proofErr w:type="spellEnd"/>
      <w:r w:rsidR="00E25AE0" w:rsidRPr="00AB2539">
        <w:rPr>
          <w:highlight w:val="yellow"/>
        </w:rPr>
        <w:t xml:space="preserve"> </w:t>
      </w:r>
      <w:r w:rsidR="00E948FA" w:rsidRPr="00AB2539">
        <w:rPr>
          <w:highlight w:val="yellow"/>
        </w:rPr>
        <w:t>solution from</w:t>
      </w:r>
      <w:r w:rsidR="00E25AE0" w:rsidRPr="00AB2539">
        <w:rPr>
          <w:highlight w:val="yellow"/>
        </w:rPr>
        <w:t xml:space="preserve"> -20 </w:t>
      </w:r>
      <w:r w:rsidR="00E25AE0" w:rsidRPr="00AB2539">
        <w:rPr>
          <w:color w:val="auto"/>
          <w:highlight w:val="yellow"/>
        </w:rPr>
        <w:t>°C</w:t>
      </w:r>
      <w:r>
        <w:rPr>
          <w:color w:val="auto"/>
          <w:highlight w:val="yellow"/>
        </w:rPr>
        <w:t xml:space="preserve"> freezer</w:t>
      </w:r>
      <w:r w:rsidR="00E25AE0" w:rsidRPr="00AB2539">
        <w:rPr>
          <w:highlight w:val="yellow"/>
        </w:rPr>
        <w:t xml:space="preserve"> and allow </w:t>
      </w:r>
      <w:r w:rsidR="00E948FA" w:rsidRPr="00AB2539">
        <w:rPr>
          <w:highlight w:val="yellow"/>
        </w:rPr>
        <w:t xml:space="preserve">it </w:t>
      </w:r>
      <w:r w:rsidR="00E25AE0" w:rsidRPr="00AB2539">
        <w:rPr>
          <w:highlight w:val="yellow"/>
        </w:rPr>
        <w:t xml:space="preserve">to equilibrate </w:t>
      </w:r>
      <w:r w:rsidR="00E948FA" w:rsidRPr="00AB2539">
        <w:rPr>
          <w:highlight w:val="yellow"/>
        </w:rPr>
        <w:t xml:space="preserve">at </w:t>
      </w:r>
      <w:r w:rsidR="00E25AE0" w:rsidRPr="00AB2539">
        <w:rPr>
          <w:highlight w:val="yellow"/>
        </w:rPr>
        <w:t xml:space="preserve">room temperature (RT). </w:t>
      </w:r>
    </w:p>
    <w:p w14:paraId="695A695C" w14:textId="77777777" w:rsidR="000E428D" w:rsidRPr="00AB2539" w:rsidRDefault="000E428D" w:rsidP="00AB2539">
      <w:pPr>
        <w:pStyle w:val="NormalWeb"/>
        <w:widowControl/>
        <w:spacing w:before="0" w:beforeAutospacing="0" w:after="0" w:afterAutospacing="0"/>
        <w:contextualSpacing/>
        <w:rPr>
          <w:highlight w:val="yellow"/>
        </w:rPr>
      </w:pPr>
    </w:p>
    <w:p w14:paraId="46660F26" w14:textId="482FC366" w:rsidR="000E428D" w:rsidRPr="00AB2539" w:rsidRDefault="00E25AE0" w:rsidP="00AB2539">
      <w:pPr>
        <w:pStyle w:val="NormalWeb"/>
        <w:widowControl/>
        <w:numPr>
          <w:ilvl w:val="2"/>
          <w:numId w:val="18"/>
        </w:numPr>
        <w:spacing w:before="0" w:beforeAutospacing="0" w:after="0" w:afterAutospacing="0"/>
        <w:contextualSpacing/>
        <w:rPr>
          <w:highlight w:val="yellow"/>
        </w:rPr>
      </w:pPr>
      <w:r w:rsidRPr="00AB2539">
        <w:rPr>
          <w:highlight w:val="yellow"/>
        </w:rPr>
        <w:t>Calculate the</w:t>
      </w:r>
      <w:r w:rsidR="00000CBC">
        <w:rPr>
          <w:highlight w:val="yellow"/>
        </w:rPr>
        <w:t xml:space="preserve"> mass of</w:t>
      </w:r>
      <w:r w:rsidRPr="00AB2539">
        <w:rPr>
          <w:highlight w:val="yellow"/>
        </w:rPr>
        <w:t xml:space="preserve"> </w:t>
      </w:r>
      <w:proofErr w:type="spellStart"/>
      <w:r w:rsidRPr="00AB2539">
        <w:rPr>
          <w:highlight w:val="yellow"/>
        </w:rPr>
        <w:t>BrdU</w:t>
      </w:r>
      <w:proofErr w:type="spellEnd"/>
      <w:r w:rsidRPr="00AB2539">
        <w:rPr>
          <w:highlight w:val="yellow"/>
        </w:rPr>
        <w:t xml:space="preserve"> needed for a dose of 50 mg/kg </w:t>
      </w:r>
      <w:r w:rsidR="006E6C56" w:rsidRPr="00AB2539">
        <w:rPr>
          <w:highlight w:val="yellow"/>
        </w:rPr>
        <w:t xml:space="preserve">according to the </w:t>
      </w:r>
      <w:r w:rsidRPr="00AB2539">
        <w:rPr>
          <w:highlight w:val="yellow"/>
        </w:rPr>
        <w:t>body weight</w:t>
      </w:r>
      <w:r w:rsidR="006E6C56" w:rsidRPr="00AB2539">
        <w:rPr>
          <w:highlight w:val="yellow"/>
        </w:rPr>
        <w:t xml:space="preserve"> of </w:t>
      </w:r>
      <w:r w:rsidR="00833D4A" w:rsidRPr="00AB2539">
        <w:rPr>
          <w:highlight w:val="yellow"/>
        </w:rPr>
        <w:t xml:space="preserve">the </w:t>
      </w:r>
      <w:r w:rsidR="006E6C56" w:rsidRPr="00AB2539">
        <w:rPr>
          <w:highlight w:val="yellow"/>
        </w:rPr>
        <w:t>rat</w:t>
      </w:r>
      <w:r w:rsidRPr="00AB2539">
        <w:rPr>
          <w:highlight w:val="yellow"/>
        </w:rPr>
        <w:t xml:space="preserve">. Calculate </w:t>
      </w:r>
      <w:r w:rsidR="00000CBC">
        <w:rPr>
          <w:highlight w:val="yellow"/>
        </w:rPr>
        <w:t xml:space="preserve">volume of </w:t>
      </w:r>
      <w:r w:rsidRPr="00AB2539">
        <w:rPr>
          <w:highlight w:val="yellow"/>
        </w:rPr>
        <w:t xml:space="preserve">0.9% saline solution (0.9 g NaCl in 100 </w:t>
      </w:r>
      <w:r w:rsidR="004927DB" w:rsidRPr="00AB2539">
        <w:rPr>
          <w:highlight w:val="yellow"/>
        </w:rPr>
        <w:t>mL</w:t>
      </w:r>
      <w:r w:rsidRPr="00AB2539">
        <w:rPr>
          <w:highlight w:val="yellow"/>
        </w:rPr>
        <w:t xml:space="preserve"> of sterile H</w:t>
      </w:r>
      <w:r w:rsidRPr="00AB2539">
        <w:rPr>
          <w:highlight w:val="yellow"/>
          <w:vertAlign w:val="subscript"/>
        </w:rPr>
        <w:t>2</w:t>
      </w:r>
      <w:r w:rsidRPr="00AB2539">
        <w:rPr>
          <w:highlight w:val="yellow"/>
        </w:rPr>
        <w:t xml:space="preserve">O) </w:t>
      </w:r>
      <w:r w:rsidR="00000CBC">
        <w:rPr>
          <w:highlight w:val="yellow"/>
        </w:rPr>
        <w:t xml:space="preserve">needed </w:t>
      </w:r>
      <w:r w:rsidRPr="00AB2539">
        <w:rPr>
          <w:highlight w:val="yellow"/>
        </w:rPr>
        <w:t>for a working solution of 20 mg/</w:t>
      </w:r>
      <w:proofErr w:type="spellStart"/>
      <w:r w:rsidR="004927DB" w:rsidRPr="00AB2539">
        <w:rPr>
          <w:highlight w:val="yellow"/>
        </w:rPr>
        <w:t>mL</w:t>
      </w:r>
      <w:r w:rsidRPr="00AB2539">
        <w:rPr>
          <w:highlight w:val="yellow"/>
        </w:rPr>
        <w:t>.</w:t>
      </w:r>
      <w:proofErr w:type="spellEnd"/>
      <w:r w:rsidR="000E428D" w:rsidRPr="00AB2539">
        <w:rPr>
          <w:highlight w:val="yellow"/>
        </w:rPr>
        <w:t xml:space="preserve"> </w:t>
      </w:r>
      <w:r w:rsidR="00000CBC">
        <w:rPr>
          <w:highlight w:val="yellow"/>
        </w:rPr>
        <w:t xml:space="preserve">Prepare an excess to provide </w:t>
      </w:r>
      <w:r w:rsidR="000E428D" w:rsidRPr="00AB2539">
        <w:rPr>
          <w:highlight w:val="yellow"/>
        </w:rPr>
        <w:t xml:space="preserve">at least 0.5 </w:t>
      </w:r>
      <w:r w:rsidR="004927DB" w:rsidRPr="00AB2539">
        <w:rPr>
          <w:highlight w:val="yellow"/>
        </w:rPr>
        <w:t>mL</w:t>
      </w:r>
      <w:r w:rsidR="00000CBC">
        <w:rPr>
          <w:highlight w:val="yellow"/>
        </w:rPr>
        <w:t xml:space="preserve"> per </w:t>
      </w:r>
      <w:r w:rsidR="000E428D" w:rsidRPr="00AB2539">
        <w:rPr>
          <w:highlight w:val="yellow"/>
        </w:rPr>
        <w:t>rat per injection</w:t>
      </w:r>
      <w:r w:rsidR="006E6C56" w:rsidRPr="00AB2539">
        <w:rPr>
          <w:highlight w:val="yellow"/>
        </w:rPr>
        <w:t>.</w:t>
      </w:r>
      <w:r w:rsidRPr="00AB2539">
        <w:rPr>
          <w:highlight w:val="yellow"/>
        </w:rPr>
        <w:t xml:space="preserve"> </w:t>
      </w:r>
    </w:p>
    <w:p w14:paraId="5A04DC04" w14:textId="14EF0AD2" w:rsidR="00EB388B" w:rsidRPr="00AB2539" w:rsidRDefault="00EB388B" w:rsidP="00AB2539">
      <w:pPr>
        <w:pStyle w:val="NormalWeb"/>
        <w:widowControl/>
        <w:spacing w:before="0" w:beforeAutospacing="0" w:after="0" w:afterAutospacing="0"/>
        <w:contextualSpacing/>
      </w:pPr>
    </w:p>
    <w:p w14:paraId="317ECEAA" w14:textId="324E4911" w:rsidR="00EB388B" w:rsidRPr="00AB2539" w:rsidRDefault="00EB388B" w:rsidP="00AB2539">
      <w:pPr>
        <w:pStyle w:val="NormalWeb"/>
        <w:widowControl/>
        <w:spacing w:before="0" w:beforeAutospacing="0" w:after="0" w:afterAutospacing="0"/>
        <w:contextualSpacing/>
      </w:pPr>
      <w:r w:rsidRPr="00AB2539">
        <w:t>NOTE:</w:t>
      </w:r>
      <w:r w:rsidR="005F1C3F" w:rsidRPr="00AB2539">
        <w:t xml:space="preserve"> The dose administered to experimental animals should be safe, with minimal side effects, and </w:t>
      </w:r>
      <w:r w:rsidR="00000CBC">
        <w:t>effective</w:t>
      </w:r>
      <w:r w:rsidR="005F1C3F" w:rsidRPr="00AB2539">
        <w:t xml:space="preserve">. It </w:t>
      </w:r>
      <w:r w:rsidR="00000CBC">
        <w:t>has been</w:t>
      </w:r>
      <w:r w:rsidR="00000CBC" w:rsidRPr="00AB2539">
        <w:t xml:space="preserve"> </w:t>
      </w:r>
      <w:r w:rsidR="005F1C3F" w:rsidRPr="00AB2539">
        <w:t xml:space="preserve">reported that </w:t>
      </w:r>
      <w:r w:rsidR="00000CBC">
        <w:t xml:space="preserve">duration of staining </w:t>
      </w:r>
      <w:r w:rsidR="003F2478">
        <w:t xml:space="preserve">with </w:t>
      </w:r>
      <w:r w:rsidR="005F1C3F" w:rsidRPr="00AB2539">
        <w:t xml:space="preserve">100 mg/kg </w:t>
      </w:r>
      <w:proofErr w:type="spellStart"/>
      <w:r w:rsidR="005F1C3F" w:rsidRPr="00AB2539">
        <w:t>BrdU</w:t>
      </w:r>
      <w:proofErr w:type="spellEnd"/>
      <w:r w:rsidR="005F1C3F" w:rsidRPr="00AB2539">
        <w:t xml:space="preserve"> </w:t>
      </w:r>
      <w:r w:rsidR="00000CBC">
        <w:t>does not</w:t>
      </w:r>
      <w:r w:rsidR="00EB0961">
        <w:t xml:space="preserve"> </w:t>
      </w:r>
      <w:r w:rsidR="00000CBC">
        <w:t xml:space="preserve">outweigh the </w:t>
      </w:r>
      <w:r w:rsidR="005F1C3F" w:rsidRPr="00AB2539">
        <w:t xml:space="preserve">potentially higher toxicity </w:t>
      </w:r>
      <w:r w:rsidR="008D5360" w:rsidRPr="00AB2539">
        <w:t>compared</w:t>
      </w:r>
      <w:r w:rsidR="008D5360" w:rsidRPr="00AB2539" w:rsidDel="008D5360">
        <w:t xml:space="preserve"> </w:t>
      </w:r>
      <w:r w:rsidR="005F1C3F" w:rsidRPr="00AB2539">
        <w:t>with the 50 mg/kg dose</w:t>
      </w:r>
      <w:r w:rsidR="00383526" w:rsidRPr="00AB2539">
        <w:fldChar w:fldCharType="begin" w:fldLock="1"/>
      </w:r>
      <w:r w:rsidR="001B0FBC" w:rsidRPr="00AB2539">
        <w:instrText>ADDIN CSL_CITATION {"citationItems":[{"id":"ITEM-1","itemData":{"DOI":"10.1007/s00418-014-1253-7","ISSN":"1432119X","abstract":"5-Bromo-2ʹ-deoxyuridine (BrdU) is a marker that is widely used to label S-phase cells in neurobiological research in most common doses 50 or 100 mg/kg per single intraperitoneal (i.p.) injection. However, the important data regarding its pharmacokinetics in rodents are still missing. The aim of our study was to investigate the BrdU level in serum after a single i.p. injection to adult rats (doses: 50 or 100 mg/kg) and adult mice (50 mg/kg). The animals were killed at selected time-points after the BrdU injection, and proliferating tumour cells (cell lines HCT-116 and HL-60) were co-cultivated with isolated blood sera. BrdU incorporated in the DNA of the S-phase tumour cells was stained with an anti-BrdU antibody and analysed using flow cytometry. In rats, the efficacies of BrdU labelling of S-phase cells in both in vitro and in vivo conditions were compared in the 50 and 100 mg/kg groups. According to our results, BrdU was in saturated concentration to label almost all S-phase cells for 60 min in both doses and was detectable in blood serum until 120 min after the single i.p. injection. However, the 100 mg/kg dose of BrdU did not provide a prolonged staining period to offset the potentially higher toxicity in comparison with the 50 mg/kg dose. In mice, due to their faster metabolism, the concentration of BrdU in blood serum was sufficient to label the whole population of S-phase cells for only 15 min after the i.p. injection, then dropped rapidly.","author":[{"dropping-particle":"","family":"Matiašová","given":"Anna","non-dropping-particle":"","parse-names":false,"suffix":""},{"dropping-particle":"","family":"Ševc","given":"Juraj","non-dropping-particle":"","parse-names":false,"suffix":""},{"dropping-particle":"","family":"Mikeš","given":"Jaromír","non-dropping-particle":"","parse-names":false,"suffix":""},{"dropping-particle":"","family":"Jendželovský","given":"Rastislav","non-dropping-particle":"","parse-names":false,"suffix":""},{"dropping-particle":"","family":"Daxnerová","given":"Zuzana","non-dropping-particle":"","parse-names":false,"suffix":""},{"dropping-particle":"","family":"Fedoročko","given":"Peter","non-dropping-particle":"","parse-names":false,"suffix":""}],"container-title":"Histochemistry and Cell Biology","id":"ITEM-1","issue":"6","issued":{"date-parts":[["2014"]]},"page":"703-712","title":"Flow cytometric determination of 5-bromo-2ʹ-deoxyuridine pharmacokinetics in blood serum after intraperitoneal administration to rats and mice","type":"article-journal","volume":"142"},"uris":["http://www.mendeley.com/documents/?uuid=c0a6e5fe-4ccb-425c-a57b-b390ad762ead"]}],"mendeley":{"formattedCitation":"&lt;sup&gt;7&lt;/sup&gt;","plainTextFormattedCitation":"7","previouslyFormattedCitation":"&lt;sup&gt;7&lt;/sup&gt;"},"properties":{"noteIndex":0},"schema":"https://github.com/citation-style-language/schema/raw/master/csl-citation.json"}</w:instrText>
      </w:r>
      <w:r w:rsidR="00383526" w:rsidRPr="00AB2539">
        <w:fldChar w:fldCharType="separate"/>
      </w:r>
      <w:r w:rsidR="00383526" w:rsidRPr="00AB2539">
        <w:rPr>
          <w:noProof/>
          <w:vertAlign w:val="superscript"/>
        </w:rPr>
        <w:t>7</w:t>
      </w:r>
      <w:r w:rsidR="00383526" w:rsidRPr="00AB2539">
        <w:fldChar w:fldCharType="end"/>
      </w:r>
      <w:r w:rsidR="005F1C3F" w:rsidRPr="00AB2539">
        <w:t>. No significant differences were found in</w:t>
      </w:r>
      <w:r w:rsidR="00000CBC">
        <w:t xml:space="preserve"> the number of</w:t>
      </w:r>
      <w:r w:rsidR="005F1C3F" w:rsidRPr="00AB2539">
        <w:t xml:space="preserve"> </w:t>
      </w:r>
      <w:proofErr w:type="spellStart"/>
      <w:r w:rsidR="005F1C3F" w:rsidRPr="00AB2539">
        <w:t>BrdU</w:t>
      </w:r>
      <w:proofErr w:type="spellEnd"/>
      <w:r w:rsidR="005F1C3F" w:rsidRPr="00AB2539">
        <w:t>-labeled cell</w:t>
      </w:r>
      <w:r w:rsidR="00000CBC">
        <w:t>s/</w:t>
      </w:r>
      <w:r w:rsidR="005F1C3F" w:rsidRPr="00AB2539">
        <w:t>mm</w:t>
      </w:r>
      <w:r w:rsidR="005F1C3F" w:rsidRPr="008348CD">
        <w:rPr>
          <w:vertAlign w:val="superscript"/>
        </w:rPr>
        <w:t>3</w:t>
      </w:r>
      <w:r w:rsidR="005F1C3F" w:rsidRPr="00AB2539">
        <w:t xml:space="preserve"> </w:t>
      </w:r>
      <w:r w:rsidR="00000CBC">
        <w:t xml:space="preserve">for </w:t>
      </w:r>
      <w:r w:rsidR="005F1C3F" w:rsidRPr="00AB2539">
        <w:t xml:space="preserve">50 and 100 mg/kg </w:t>
      </w:r>
      <w:proofErr w:type="spellStart"/>
      <w:r w:rsidR="005F1C3F" w:rsidRPr="00AB2539">
        <w:t>i.p.</w:t>
      </w:r>
      <w:proofErr w:type="spellEnd"/>
      <w:r w:rsidR="005F1C3F" w:rsidRPr="00AB2539">
        <w:t xml:space="preserve"> in rats</w:t>
      </w:r>
      <w:r w:rsidR="00383526" w:rsidRPr="00AB2539">
        <w:fldChar w:fldCharType="begin" w:fldLock="1"/>
      </w:r>
      <w:r w:rsidR="00383526" w:rsidRPr="00AB2539">
        <w:instrText>ADDIN CSL_CITATION {"citationItems":[{"id":"ITEM-1","itemData":{"DOI":"10.1007/s00418-014-1253-7","ISSN":"1432119X","abstract":"5-Bromo-2ʹ-deoxyuridine (BrdU) is a marker that is widely used to label S-phase cells in neurobiological research in most common doses 50 or 100 mg/kg per single intraperitoneal (i.p.) injection. However, the important data regarding its pharmacokinetics in rodents are still missing. The aim of our study was to investigate the BrdU level in serum after a single i.p. injection to adult rats (doses: 50 or 100 mg/kg) and adult mice (50 mg/kg). The animals were killed at selected time-points after the BrdU injection, and proliferating tumour cells (cell lines HCT-116 and HL-60) were co-cultivated with isolated blood sera. BrdU incorporated in the DNA of the S-phase tumour cells was stained with an anti-BrdU antibody and analysed using flow cytometry. In rats, the efficacies of BrdU labelling of S-phase cells in both in vitro and in vivo conditions were compared in the 50 and 100 mg/kg groups. According to our results, BrdU was in saturated concentration to label almost all S-phase cells for 60 min in both doses and was detectable in blood serum until 120 min after the single i.p. injection. However, the 100 mg/kg dose of BrdU did not provide a prolonged staining period to offset the potentially higher toxicity in comparison with the 50 mg/kg dose. In mice, due to their faster metabolism, the concentration of BrdU in blood serum was sufficient to label the whole population of S-phase cells for only 15 min after the i.p. injection, then dropped rapidly.","author":[{"dropping-particle":"","family":"Matiašová","given":"Anna","non-dropping-particle":"","parse-names":false,"suffix":""},{"dropping-particle":"","family":"Ševc","given":"Juraj","non-dropping-particle":"","parse-names":false,"suffix":""},{"dropping-particle":"","family":"Mikeš","given":"Jaromír","non-dropping-particle":"","parse-names":false,"suffix":""},{"dropping-particle":"","family":"Jendželovský","given":"Rastislav","non-dropping-particle":"","parse-names":false,"suffix":""},{"dropping-particle":"","family":"Daxnerová","given":"Zuzana","non-dropping-particle":"","parse-names":false,"suffix":""},{"dropping-particle":"","family":"Fedoročko","given":"Peter","non-dropping-particle":"","parse-names":false,"suffix":""}],"container-title":"Histochemistry and Cell Biology","id":"ITEM-1","issue":"6","issued":{"date-parts":[["2014"]]},"page":"703-712","title":"Flow cytometric determination of 5-bromo-2ʹ-deoxyuridine pharmacokinetics in blood serum after intraperitoneal administration to rats and mice","type":"article-journal","volume":"142"},"uris":["http://www.mendeley.com/documents/?uuid=c0a6e5fe-4ccb-425c-a57b-b390ad762ead"]}],"mendeley":{"formattedCitation":"&lt;sup&gt;7&lt;/sup&gt;","plainTextFormattedCitation":"7","previouslyFormattedCitation":"&lt;sup&gt;7&lt;/sup&gt;"},"properties":{"noteIndex":0},"schema":"https://github.com/citation-style-language/schema/raw/master/csl-citation.json"}</w:instrText>
      </w:r>
      <w:r w:rsidR="00383526" w:rsidRPr="00AB2539">
        <w:fldChar w:fldCharType="separate"/>
      </w:r>
      <w:r w:rsidR="00383526" w:rsidRPr="00AB2539">
        <w:rPr>
          <w:noProof/>
          <w:vertAlign w:val="superscript"/>
        </w:rPr>
        <w:t>7</w:t>
      </w:r>
      <w:r w:rsidR="00383526" w:rsidRPr="00AB2539">
        <w:fldChar w:fldCharType="end"/>
      </w:r>
      <w:r w:rsidR="005F1C3F" w:rsidRPr="00AB2539">
        <w:t xml:space="preserve">. </w:t>
      </w:r>
      <w:r w:rsidR="00C42D5D" w:rsidRPr="00AB2539">
        <w:t xml:space="preserve">It is preferable to inject </w:t>
      </w:r>
      <w:r w:rsidR="00F94337" w:rsidRPr="00AB2539">
        <w:t xml:space="preserve">a </w:t>
      </w:r>
      <w:r w:rsidR="00C42D5D" w:rsidRPr="00AB2539">
        <w:t xml:space="preserve">small </w:t>
      </w:r>
      <w:r w:rsidR="00000CBC">
        <w:t>dose</w:t>
      </w:r>
      <w:r w:rsidR="00000CBC" w:rsidRPr="00AB2539">
        <w:t xml:space="preserve"> </w:t>
      </w:r>
      <w:r w:rsidR="00C42D5D" w:rsidRPr="00AB2539">
        <w:t>to minimize the suffering of the animals.</w:t>
      </w:r>
    </w:p>
    <w:p w14:paraId="05C3FF85" w14:textId="77777777" w:rsidR="000E428D" w:rsidRPr="00AB2539" w:rsidRDefault="000E428D" w:rsidP="00AB2539">
      <w:pPr>
        <w:pStyle w:val="NormalWeb"/>
        <w:widowControl/>
        <w:spacing w:before="0" w:beforeAutospacing="0" w:after="0" w:afterAutospacing="0"/>
        <w:contextualSpacing/>
      </w:pPr>
    </w:p>
    <w:p w14:paraId="69A1A011" w14:textId="356187F6" w:rsidR="000E428D" w:rsidRPr="00AB2539" w:rsidRDefault="00E25AE0" w:rsidP="00AB2539">
      <w:pPr>
        <w:pStyle w:val="NormalWeb"/>
        <w:widowControl/>
        <w:numPr>
          <w:ilvl w:val="2"/>
          <w:numId w:val="18"/>
        </w:numPr>
        <w:spacing w:before="0" w:beforeAutospacing="0" w:after="0" w:afterAutospacing="0"/>
        <w:contextualSpacing/>
        <w:rPr>
          <w:highlight w:val="yellow"/>
        </w:rPr>
      </w:pPr>
      <w:r w:rsidRPr="00AB2539">
        <w:rPr>
          <w:highlight w:val="yellow"/>
        </w:rPr>
        <w:t xml:space="preserve">Weigh out </w:t>
      </w:r>
      <w:proofErr w:type="spellStart"/>
      <w:r w:rsidRPr="00AB2539">
        <w:rPr>
          <w:highlight w:val="yellow"/>
        </w:rPr>
        <w:t>BrdU</w:t>
      </w:r>
      <w:proofErr w:type="spellEnd"/>
      <w:r w:rsidRPr="00AB2539">
        <w:rPr>
          <w:highlight w:val="yellow"/>
        </w:rPr>
        <w:t xml:space="preserve"> </w:t>
      </w:r>
      <w:r w:rsidR="00EF7001" w:rsidRPr="00AB2539">
        <w:rPr>
          <w:highlight w:val="yellow"/>
        </w:rPr>
        <w:t xml:space="preserve">solution </w:t>
      </w:r>
      <w:r w:rsidRPr="00AB2539">
        <w:rPr>
          <w:highlight w:val="yellow"/>
        </w:rPr>
        <w:t>and add</w:t>
      </w:r>
      <w:r w:rsidR="00000CBC">
        <w:rPr>
          <w:highlight w:val="yellow"/>
        </w:rPr>
        <w:t xml:space="preserve"> it</w:t>
      </w:r>
      <w:r w:rsidRPr="00AB2539">
        <w:rPr>
          <w:highlight w:val="yellow"/>
        </w:rPr>
        <w:t xml:space="preserve"> to </w:t>
      </w:r>
      <w:r w:rsidR="00E758D3" w:rsidRPr="00AB2539">
        <w:rPr>
          <w:highlight w:val="yellow"/>
        </w:rPr>
        <w:t xml:space="preserve">the </w:t>
      </w:r>
      <w:r w:rsidRPr="00AB2539">
        <w:rPr>
          <w:highlight w:val="yellow"/>
        </w:rPr>
        <w:t xml:space="preserve">saline solution in </w:t>
      </w:r>
      <w:r w:rsidR="00F94337" w:rsidRPr="00AB2539">
        <w:rPr>
          <w:highlight w:val="yellow"/>
        </w:rPr>
        <w:t xml:space="preserve">a </w:t>
      </w:r>
      <w:r w:rsidRPr="00AB2539">
        <w:rPr>
          <w:highlight w:val="yellow"/>
        </w:rPr>
        <w:t xml:space="preserve">conical tube and vortex. </w:t>
      </w:r>
    </w:p>
    <w:p w14:paraId="07EED525" w14:textId="77777777" w:rsidR="004D6CBC" w:rsidRPr="00AB2539" w:rsidRDefault="004D6CBC" w:rsidP="00AB2539">
      <w:pPr>
        <w:widowControl/>
      </w:pPr>
    </w:p>
    <w:p w14:paraId="44CC16E5" w14:textId="4D0D52F8" w:rsidR="000E428D" w:rsidRPr="00AB2539" w:rsidRDefault="004D6CBC" w:rsidP="00AB2539">
      <w:pPr>
        <w:widowControl/>
      </w:pPr>
      <w:r w:rsidRPr="00AB2539">
        <w:t>NOTE: Pre-heat the saline solution at 45</w:t>
      </w:r>
      <w:r w:rsidR="00000CBC" w:rsidRPr="00D13D3E">
        <w:t>‒</w:t>
      </w:r>
      <w:r w:rsidRPr="00AB2539">
        <w:t>50 °C in a water bath for volumes bigger than 1</w:t>
      </w:r>
      <w:r w:rsidR="00000CBC">
        <w:t xml:space="preserve"> </w:t>
      </w:r>
      <w:proofErr w:type="spellStart"/>
      <w:r w:rsidRPr="00AB2539">
        <w:t>m</w:t>
      </w:r>
      <w:r w:rsidR="007003E1" w:rsidRPr="00AB2539">
        <w:t>L</w:t>
      </w:r>
      <w:r w:rsidRPr="00AB2539">
        <w:t>.</w:t>
      </w:r>
      <w:proofErr w:type="spellEnd"/>
    </w:p>
    <w:p w14:paraId="378500B3" w14:textId="77777777" w:rsidR="004D6CBC" w:rsidRPr="00AB2539" w:rsidRDefault="004D6CBC" w:rsidP="00AB2539">
      <w:pPr>
        <w:widowControl/>
        <w:rPr>
          <w:highlight w:val="yellow"/>
        </w:rPr>
      </w:pPr>
    </w:p>
    <w:p w14:paraId="11F1F4E0" w14:textId="213C6F66" w:rsidR="00E25AE0" w:rsidRPr="00AB2539" w:rsidRDefault="00E25AE0" w:rsidP="00AB2539">
      <w:pPr>
        <w:pStyle w:val="NormalWeb"/>
        <w:widowControl/>
        <w:numPr>
          <w:ilvl w:val="2"/>
          <w:numId w:val="18"/>
        </w:numPr>
        <w:spacing w:before="0" w:beforeAutospacing="0" w:after="0" w:afterAutospacing="0"/>
        <w:contextualSpacing/>
        <w:rPr>
          <w:highlight w:val="yellow"/>
        </w:rPr>
      </w:pPr>
      <w:r w:rsidRPr="00AB2539">
        <w:rPr>
          <w:highlight w:val="yellow"/>
        </w:rPr>
        <w:t>Place</w:t>
      </w:r>
      <w:r w:rsidR="00000CBC">
        <w:rPr>
          <w:highlight w:val="yellow"/>
        </w:rPr>
        <w:t xml:space="preserve"> the tube</w:t>
      </w:r>
      <w:r w:rsidRPr="00AB2539">
        <w:rPr>
          <w:highlight w:val="yellow"/>
        </w:rPr>
        <w:t xml:space="preserve"> in </w:t>
      </w:r>
      <w:r w:rsidR="007C2AAD" w:rsidRPr="00AB2539">
        <w:rPr>
          <w:highlight w:val="yellow"/>
        </w:rPr>
        <w:t xml:space="preserve">a </w:t>
      </w:r>
      <w:r w:rsidRPr="00AB2539">
        <w:rPr>
          <w:highlight w:val="yellow"/>
        </w:rPr>
        <w:t xml:space="preserve">water bath </w:t>
      </w:r>
      <w:r w:rsidR="006E6C56" w:rsidRPr="00AB2539">
        <w:rPr>
          <w:highlight w:val="yellow"/>
        </w:rPr>
        <w:t xml:space="preserve">at 50 °C </w:t>
      </w:r>
      <w:r w:rsidRPr="00AB2539">
        <w:rPr>
          <w:highlight w:val="yellow"/>
        </w:rPr>
        <w:t>for 10</w:t>
      </w:r>
      <w:r w:rsidR="00000CBC" w:rsidRPr="00000CBC">
        <w:rPr>
          <w:highlight w:val="yellow"/>
        </w:rPr>
        <w:t>‒</w:t>
      </w:r>
      <w:r w:rsidRPr="00AB2539">
        <w:rPr>
          <w:highlight w:val="yellow"/>
        </w:rPr>
        <w:t xml:space="preserve">15 min </w:t>
      </w:r>
      <w:r w:rsidR="00F14C04" w:rsidRPr="00AB2539">
        <w:rPr>
          <w:highlight w:val="yellow"/>
        </w:rPr>
        <w:t>and</w:t>
      </w:r>
      <w:r w:rsidR="00EF7001" w:rsidRPr="00AB2539">
        <w:rPr>
          <w:highlight w:val="yellow"/>
        </w:rPr>
        <w:t xml:space="preserve"> </w:t>
      </w:r>
      <w:r w:rsidRPr="00AB2539">
        <w:rPr>
          <w:highlight w:val="yellow"/>
        </w:rPr>
        <w:t>vortex every 2</w:t>
      </w:r>
      <w:r w:rsidR="00000CBC" w:rsidRPr="00000CBC">
        <w:rPr>
          <w:highlight w:val="yellow"/>
        </w:rPr>
        <w:t>‒</w:t>
      </w:r>
      <w:r w:rsidRPr="00AB2539">
        <w:rPr>
          <w:highlight w:val="yellow"/>
        </w:rPr>
        <w:t xml:space="preserve">3 min until completely dissolved. </w:t>
      </w:r>
      <w:r w:rsidR="00104FB2" w:rsidRPr="00AB2539">
        <w:rPr>
          <w:highlight w:val="yellow"/>
        </w:rPr>
        <w:t xml:space="preserve">Filter the solution with a syringe filter for sterile injection. </w:t>
      </w:r>
      <w:r w:rsidRPr="00AB2539">
        <w:rPr>
          <w:highlight w:val="yellow"/>
        </w:rPr>
        <w:t xml:space="preserve">Cover the tube with </w:t>
      </w:r>
      <w:r w:rsidR="00000CBC">
        <w:rPr>
          <w:highlight w:val="yellow"/>
        </w:rPr>
        <w:t xml:space="preserve">tin </w:t>
      </w:r>
      <w:r w:rsidRPr="00AB2539">
        <w:rPr>
          <w:highlight w:val="yellow"/>
        </w:rPr>
        <w:t>foil, cool</w:t>
      </w:r>
      <w:r w:rsidR="00000CBC">
        <w:rPr>
          <w:highlight w:val="yellow"/>
        </w:rPr>
        <w:t xml:space="preserve"> it</w:t>
      </w:r>
      <w:r w:rsidRPr="00AB2539">
        <w:rPr>
          <w:highlight w:val="yellow"/>
        </w:rPr>
        <w:t xml:space="preserve"> down </w:t>
      </w:r>
      <w:r w:rsidR="006E6C56" w:rsidRPr="00AB2539">
        <w:rPr>
          <w:highlight w:val="yellow"/>
        </w:rPr>
        <w:t xml:space="preserve">at </w:t>
      </w:r>
      <w:r w:rsidRPr="00AB2539">
        <w:rPr>
          <w:highlight w:val="yellow"/>
        </w:rPr>
        <w:t xml:space="preserve">room temperature and use </w:t>
      </w:r>
      <w:r w:rsidR="00D306CD" w:rsidRPr="00AB2539">
        <w:rPr>
          <w:highlight w:val="yellow"/>
        </w:rPr>
        <w:t>immediately</w:t>
      </w:r>
      <w:r w:rsidRPr="00AB2539">
        <w:rPr>
          <w:highlight w:val="yellow"/>
        </w:rPr>
        <w:t xml:space="preserve">. </w:t>
      </w:r>
    </w:p>
    <w:p w14:paraId="56F80E29" w14:textId="77777777" w:rsidR="00E25AE0" w:rsidRPr="00AB2539" w:rsidRDefault="00E25AE0" w:rsidP="00AB2539">
      <w:pPr>
        <w:pStyle w:val="NormalWeb"/>
        <w:widowControl/>
        <w:spacing w:before="0" w:beforeAutospacing="0" w:after="0" w:afterAutospacing="0"/>
        <w:contextualSpacing/>
      </w:pPr>
    </w:p>
    <w:p w14:paraId="05440C62" w14:textId="25392DA3" w:rsidR="00E25AE0" w:rsidRPr="00AB2539" w:rsidRDefault="00E25AE0" w:rsidP="00AB2539">
      <w:pPr>
        <w:pStyle w:val="NormalWeb"/>
        <w:widowControl/>
        <w:spacing w:before="0" w:beforeAutospacing="0" w:after="0" w:afterAutospacing="0"/>
        <w:contextualSpacing/>
      </w:pPr>
      <w:r w:rsidRPr="00AB2539">
        <w:t xml:space="preserve">CAUTION: </w:t>
      </w:r>
      <w:proofErr w:type="spellStart"/>
      <w:r w:rsidRPr="00AB2539">
        <w:t>BrdU</w:t>
      </w:r>
      <w:proofErr w:type="spellEnd"/>
      <w:r w:rsidR="006E6C56" w:rsidRPr="00AB2539">
        <w:t xml:space="preserve"> solution</w:t>
      </w:r>
      <w:r w:rsidRPr="00AB2539">
        <w:t xml:space="preserve"> is toxic and potentially carcinogenic. </w:t>
      </w:r>
      <w:r w:rsidR="00174832" w:rsidRPr="00AB2539">
        <w:t>Prepare</w:t>
      </w:r>
      <w:r w:rsidR="00000CBC">
        <w:t xml:space="preserve"> it</w:t>
      </w:r>
      <w:r w:rsidR="00B74554" w:rsidRPr="00AB2539">
        <w:t xml:space="preserve"> </w:t>
      </w:r>
      <w:r w:rsidRPr="00AB2539">
        <w:t xml:space="preserve">in the fume hood. </w:t>
      </w:r>
      <w:proofErr w:type="spellStart"/>
      <w:r w:rsidR="00B74554" w:rsidRPr="00AB2539">
        <w:t>BrdU</w:t>
      </w:r>
      <w:proofErr w:type="spellEnd"/>
      <w:r w:rsidR="00B74554" w:rsidRPr="00AB2539">
        <w:t xml:space="preserve"> solution</w:t>
      </w:r>
      <w:r w:rsidR="006E6C56" w:rsidRPr="00AB2539">
        <w:t xml:space="preserve"> m</w:t>
      </w:r>
      <w:r w:rsidRPr="00AB2539">
        <w:t xml:space="preserve">ust be </w:t>
      </w:r>
      <w:r w:rsidR="006E6C56" w:rsidRPr="00AB2539">
        <w:t>handle</w:t>
      </w:r>
      <w:r w:rsidR="00F14C04" w:rsidRPr="00AB2539">
        <w:t>d</w:t>
      </w:r>
      <w:r w:rsidR="006E6C56" w:rsidRPr="00AB2539">
        <w:t xml:space="preserve"> </w:t>
      </w:r>
      <w:r w:rsidRPr="00AB2539">
        <w:t xml:space="preserve">with </w:t>
      </w:r>
      <w:r w:rsidR="00B74554" w:rsidRPr="00AB2539">
        <w:t xml:space="preserve">proper protective </w:t>
      </w:r>
      <w:r w:rsidRPr="00AB2539">
        <w:t>equipment</w:t>
      </w:r>
      <w:r w:rsidR="00B74554" w:rsidRPr="00AB2539">
        <w:t xml:space="preserve"> (PPE)</w:t>
      </w:r>
      <w:r w:rsidRPr="00AB2539">
        <w:t>.</w:t>
      </w:r>
      <w:r w:rsidR="009516C1" w:rsidRPr="00AB2539">
        <w:t xml:space="preserve"> </w:t>
      </w:r>
      <w:r w:rsidR="005721ED" w:rsidRPr="00AB2539">
        <w:t xml:space="preserve">It is recommended to prepare the solution immediately before use. However, the solution is stable for 24 h under </w:t>
      </w:r>
      <w:r w:rsidR="00000CBC">
        <w:t>RT</w:t>
      </w:r>
      <w:r w:rsidR="005721ED" w:rsidRPr="00AB2539">
        <w:t>. Please protect it from light</w:t>
      </w:r>
      <w:r w:rsidR="00F4073F" w:rsidRPr="00AB2539">
        <w:t>.</w:t>
      </w:r>
      <w:r w:rsidR="004D6CBC" w:rsidRPr="00AB2539">
        <w:t xml:space="preserve"> </w:t>
      </w:r>
    </w:p>
    <w:p w14:paraId="1E9BC05A" w14:textId="77777777" w:rsidR="00E25AE0" w:rsidRPr="00AB2539" w:rsidRDefault="00E25AE0" w:rsidP="00AB2539">
      <w:pPr>
        <w:pStyle w:val="NormalWeb"/>
        <w:widowControl/>
        <w:spacing w:before="0" w:beforeAutospacing="0" w:after="0" w:afterAutospacing="0"/>
        <w:contextualSpacing/>
        <w:rPr>
          <w:color w:val="auto"/>
        </w:rPr>
      </w:pPr>
    </w:p>
    <w:p w14:paraId="582F11BD" w14:textId="2B4166FF" w:rsidR="00E25AE0" w:rsidRPr="00AB2539" w:rsidRDefault="00000CBC" w:rsidP="00AB2539">
      <w:pPr>
        <w:pStyle w:val="ListParagraph"/>
        <w:widowControl/>
        <w:numPr>
          <w:ilvl w:val="1"/>
          <w:numId w:val="18"/>
        </w:numPr>
        <w:autoSpaceDE/>
        <w:autoSpaceDN/>
        <w:adjustRightInd/>
      </w:pPr>
      <w:r>
        <w:t xml:space="preserve">To prepare 1 L of </w:t>
      </w:r>
      <w:r w:rsidR="00E25AE0" w:rsidRPr="00AB2539">
        <w:t xml:space="preserve">0.1 M </w:t>
      </w:r>
      <w:r w:rsidRPr="00AB2539">
        <w:t>phosphate buffered saline</w:t>
      </w:r>
      <w:r w:rsidR="00E25AE0" w:rsidRPr="00AB2539">
        <w:t xml:space="preserve"> (PBS) </w:t>
      </w:r>
      <w:r>
        <w:t xml:space="preserve">at </w:t>
      </w:r>
      <w:r w:rsidR="00E25AE0" w:rsidRPr="00AB2539">
        <w:t>pH 7.4</w:t>
      </w:r>
      <w:r w:rsidR="00CD74D9" w:rsidRPr="00AB2539">
        <w:t>, add</w:t>
      </w:r>
      <w:r w:rsidR="00B93F3A" w:rsidRPr="00AB2539">
        <w:t xml:space="preserve"> </w:t>
      </w:r>
      <w:r w:rsidR="00E25AE0" w:rsidRPr="00AB2539">
        <w:t xml:space="preserve">240 mg of </w:t>
      </w:r>
      <w:r w:rsidRPr="00AB2539">
        <w:t>potassium phosphate monob</w:t>
      </w:r>
      <w:r w:rsidR="00E25AE0" w:rsidRPr="00AB2539">
        <w:t>asic (KH</w:t>
      </w:r>
      <w:r w:rsidR="00E25AE0" w:rsidRPr="00AB2539">
        <w:rPr>
          <w:vertAlign w:val="subscript"/>
        </w:rPr>
        <w:t>2</w:t>
      </w:r>
      <w:r w:rsidR="00E25AE0" w:rsidRPr="00AB2539">
        <w:t>PO</w:t>
      </w:r>
      <w:r w:rsidR="00E25AE0" w:rsidRPr="00AB2539">
        <w:rPr>
          <w:vertAlign w:val="subscript"/>
        </w:rPr>
        <w:t>4</w:t>
      </w:r>
      <w:r w:rsidR="00E25AE0" w:rsidRPr="00AB2539">
        <w:t xml:space="preserve">), 1.44 g of </w:t>
      </w:r>
      <w:r w:rsidRPr="00AB2539">
        <w:t>sodium phosphate dibasic</w:t>
      </w:r>
      <w:r w:rsidR="00E25AE0" w:rsidRPr="00AB2539">
        <w:t xml:space="preserve"> (Na</w:t>
      </w:r>
      <w:r w:rsidR="00E25AE0" w:rsidRPr="00AB2539">
        <w:rPr>
          <w:vertAlign w:val="subscript"/>
        </w:rPr>
        <w:t>2</w:t>
      </w:r>
      <w:r w:rsidR="00E25AE0" w:rsidRPr="00AB2539">
        <w:t>HPO</w:t>
      </w:r>
      <w:r w:rsidR="00E25AE0" w:rsidRPr="00AB2539">
        <w:rPr>
          <w:vertAlign w:val="subscript"/>
        </w:rPr>
        <w:t>4</w:t>
      </w:r>
      <w:r w:rsidR="00E25AE0" w:rsidRPr="00AB2539">
        <w:t xml:space="preserve">), 200 mg of </w:t>
      </w:r>
      <w:r w:rsidR="008277DF" w:rsidRPr="00AB2539">
        <w:t>potassium chl</w:t>
      </w:r>
      <w:r w:rsidR="00E25AE0" w:rsidRPr="00AB2539">
        <w:t>oride (</w:t>
      </w:r>
      <w:proofErr w:type="spellStart"/>
      <w:r w:rsidR="00E25AE0" w:rsidRPr="00AB2539">
        <w:t>KCl</w:t>
      </w:r>
      <w:proofErr w:type="spellEnd"/>
      <w:r w:rsidR="00E25AE0" w:rsidRPr="00AB2539">
        <w:t xml:space="preserve">), and 8 g </w:t>
      </w:r>
      <w:r w:rsidR="008277DF">
        <w:t xml:space="preserve">of </w:t>
      </w:r>
      <w:r w:rsidR="008277DF" w:rsidRPr="00AB2539">
        <w:t>sodium chlori</w:t>
      </w:r>
      <w:r w:rsidR="00E25AE0" w:rsidRPr="00AB2539">
        <w:t xml:space="preserve">de (NaCl) to 800 </w:t>
      </w:r>
      <w:r w:rsidR="004927DB" w:rsidRPr="00AB2539">
        <w:t>mL</w:t>
      </w:r>
      <w:r w:rsidR="00E25AE0" w:rsidRPr="00AB2539">
        <w:t xml:space="preserve"> of </w:t>
      </w:r>
      <w:r w:rsidR="008277DF">
        <w:t>d</w:t>
      </w:r>
      <w:r w:rsidR="008277DF" w:rsidRPr="00AB2539">
        <w:t xml:space="preserve">ouble </w:t>
      </w:r>
      <w:r w:rsidR="00C03196" w:rsidRPr="00AB2539">
        <w:t>distilled</w:t>
      </w:r>
      <w:r w:rsidR="00E25AE0" w:rsidRPr="00AB2539">
        <w:t xml:space="preserve"> </w:t>
      </w:r>
      <w:r w:rsidR="008277DF">
        <w:t>water</w:t>
      </w:r>
      <w:r w:rsidR="00030B19">
        <w:t xml:space="preserve"> (ddH</w:t>
      </w:r>
      <w:r w:rsidR="00030B19" w:rsidRPr="008348CD">
        <w:rPr>
          <w:vertAlign w:val="subscript"/>
        </w:rPr>
        <w:t>2</w:t>
      </w:r>
      <w:r w:rsidR="00030B19">
        <w:t>O)</w:t>
      </w:r>
      <w:r w:rsidR="008277DF">
        <w:t xml:space="preserve"> u</w:t>
      </w:r>
      <w:r w:rsidR="00CF5CFA" w:rsidRPr="00AB2539">
        <w:t xml:space="preserve">nder </w:t>
      </w:r>
      <w:r w:rsidR="00E25AE0" w:rsidRPr="00AB2539">
        <w:t xml:space="preserve">constant stirring. Adjust the pH to 7.4 and add </w:t>
      </w:r>
      <w:r w:rsidR="008277DF">
        <w:t>d</w:t>
      </w:r>
      <w:r w:rsidR="00C03196" w:rsidRPr="00AB2539">
        <w:t>ouble distilled</w:t>
      </w:r>
      <w:r w:rsidR="00E25AE0" w:rsidRPr="00AB2539">
        <w:t xml:space="preserve"> H</w:t>
      </w:r>
      <w:r w:rsidR="00E25AE0" w:rsidRPr="00AB2539">
        <w:rPr>
          <w:vertAlign w:val="subscript"/>
        </w:rPr>
        <w:t>2</w:t>
      </w:r>
      <w:r w:rsidR="00E25AE0" w:rsidRPr="00AB2539">
        <w:t>O</w:t>
      </w:r>
      <w:r w:rsidR="008277DF">
        <w:t xml:space="preserve"> up to total volume of</w:t>
      </w:r>
      <w:r w:rsidR="00E25AE0" w:rsidRPr="00AB2539">
        <w:t xml:space="preserve"> 1 L. Store at 4 °C for up to 1 week.</w:t>
      </w:r>
    </w:p>
    <w:p w14:paraId="20C85FB8" w14:textId="77777777" w:rsidR="00E25AE0" w:rsidRPr="00AB2539" w:rsidRDefault="00E25AE0" w:rsidP="00AB2539">
      <w:pPr>
        <w:pStyle w:val="NormalWeb"/>
        <w:widowControl/>
        <w:spacing w:before="0" w:beforeAutospacing="0" w:after="0" w:afterAutospacing="0"/>
        <w:contextualSpacing/>
        <w:rPr>
          <w:color w:val="auto"/>
        </w:rPr>
      </w:pPr>
    </w:p>
    <w:p w14:paraId="420CEA70" w14:textId="6CE70C71" w:rsidR="00E25AE0" w:rsidRPr="00AB2539" w:rsidRDefault="008277DF" w:rsidP="00AB2539">
      <w:pPr>
        <w:pStyle w:val="NormalWeb"/>
        <w:widowControl/>
        <w:numPr>
          <w:ilvl w:val="1"/>
          <w:numId w:val="18"/>
        </w:numPr>
        <w:spacing w:before="0" w:beforeAutospacing="0" w:after="0" w:afterAutospacing="0"/>
        <w:contextualSpacing/>
        <w:rPr>
          <w:color w:val="auto"/>
        </w:rPr>
      </w:pPr>
      <w:r>
        <w:rPr>
          <w:color w:val="auto"/>
        </w:rPr>
        <w:lastRenderedPageBreak/>
        <w:t xml:space="preserve">For 100 mL of </w:t>
      </w:r>
      <w:r w:rsidR="00E25AE0" w:rsidRPr="00AB2539">
        <w:rPr>
          <w:color w:val="auto"/>
        </w:rPr>
        <w:t>PBS+</w:t>
      </w:r>
      <w:r>
        <w:rPr>
          <w:color w:val="auto"/>
        </w:rPr>
        <w:t>,</w:t>
      </w:r>
      <w:r w:rsidR="00CD74D9" w:rsidRPr="00AB2539">
        <w:rPr>
          <w:color w:val="auto"/>
        </w:rPr>
        <w:t xml:space="preserve"> add</w:t>
      </w:r>
      <w:r w:rsidR="00043A08" w:rsidRPr="00AB2539">
        <w:rPr>
          <w:color w:val="auto"/>
        </w:rPr>
        <w:t xml:space="preserve"> </w:t>
      </w:r>
      <w:r w:rsidR="00E25AE0" w:rsidRPr="00AB2539">
        <w:t xml:space="preserve">3% (3 </w:t>
      </w:r>
      <w:r w:rsidR="004927DB" w:rsidRPr="00AB2539">
        <w:t>mL</w:t>
      </w:r>
      <w:r w:rsidR="00E25AE0" w:rsidRPr="00AB2539">
        <w:t>) of normal horse serum and 0.3% (</w:t>
      </w:r>
      <w:r w:rsidR="00DC434A" w:rsidRPr="00AB2539">
        <w:t>300</w:t>
      </w:r>
      <w:r w:rsidR="00E25AE0" w:rsidRPr="00AB2539">
        <w:t xml:space="preserve"> µL) of Triton X-100 to 0.1 M PBS</w:t>
      </w:r>
      <w:r w:rsidR="00E25AE0" w:rsidRPr="00AB2539">
        <w:rPr>
          <w:color w:val="auto"/>
        </w:rPr>
        <w:t xml:space="preserve"> </w:t>
      </w:r>
      <w:r>
        <w:rPr>
          <w:color w:val="auto"/>
        </w:rPr>
        <w:t>(</w:t>
      </w:r>
      <w:r w:rsidR="00E25AE0" w:rsidRPr="00AB2539">
        <w:rPr>
          <w:color w:val="auto"/>
        </w:rPr>
        <w:t>pH 7.4</w:t>
      </w:r>
      <w:r>
        <w:rPr>
          <w:color w:val="auto"/>
        </w:rPr>
        <w:t>)</w:t>
      </w:r>
      <w:r w:rsidR="00E25AE0" w:rsidRPr="00AB2539">
        <w:t>.</w:t>
      </w:r>
      <w:r w:rsidR="00E25AE0" w:rsidRPr="00AB2539">
        <w:rPr>
          <w:color w:val="auto"/>
        </w:rPr>
        <w:t xml:space="preserve"> Store in</w:t>
      </w:r>
      <w:r w:rsidR="00E25AE0" w:rsidRPr="00AB2539">
        <w:t xml:space="preserve"> </w:t>
      </w:r>
      <w:r w:rsidR="00E25AE0" w:rsidRPr="00AB2539">
        <w:rPr>
          <w:color w:val="auto"/>
        </w:rPr>
        <w:t>20</w:t>
      </w:r>
      <w:r w:rsidRPr="008277DF">
        <w:rPr>
          <w:color w:val="auto"/>
        </w:rPr>
        <w:t>‒</w:t>
      </w:r>
      <w:r w:rsidR="00E25AE0" w:rsidRPr="00AB2539">
        <w:rPr>
          <w:color w:val="auto"/>
        </w:rPr>
        <w:t xml:space="preserve">50 </w:t>
      </w:r>
      <w:r w:rsidR="004927DB" w:rsidRPr="00AB2539">
        <w:rPr>
          <w:color w:val="auto"/>
        </w:rPr>
        <w:t>mL</w:t>
      </w:r>
      <w:r w:rsidR="00E25AE0" w:rsidRPr="00AB2539">
        <w:rPr>
          <w:color w:val="auto"/>
        </w:rPr>
        <w:t xml:space="preserve"> aliquots at -20 °C for up to 3 months. </w:t>
      </w:r>
    </w:p>
    <w:p w14:paraId="2FCB877A" w14:textId="77777777" w:rsidR="002260D3" w:rsidRPr="00AB2539" w:rsidRDefault="002260D3" w:rsidP="00AB2539">
      <w:pPr>
        <w:pStyle w:val="NormalWeb"/>
        <w:widowControl/>
        <w:spacing w:before="0" w:beforeAutospacing="0" w:after="0" w:afterAutospacing="0"/>
        <w:contextualSpacing/>
        <w:rPr>
          <w:color w:val="auto"/>
        </w:rPr>
      </w:pPr>
    </w:p>
    <w:p w14:paraId="048AA74E" w14:textId="4CA34CF1" w:rsidR="00E25AE0" w:rsidRPr="00AB2539" w:rsidRDefault="002260D3" w:rsidP="00AB2539">
      <w:pPr>
        <w:pStyle w:val="NormalWeb"/>
        <w:widowControl/>
        <w:spacing w:before="0" w:beforeAutospacing="0" w:after="0" w:afterAutospacing="0"/>
        <w:contextualSpacing/>
        <w:rPr>
          <w:color w:val="auto"/>
        </w:rPr>
      </w:pPr>
      <w:r w:rsidRPr="00AB2539">
        <w:rPr>
          <w:color w:val="auto"/>
        </w:rPr>
        <w:t>NOTE: Alternatively, TBS can be used instead of PBS. Any other serum different from the host’s antibodies and experimental tissue is suitable.</w:t>
      </w:r>
    </w:p>
    <w:p w14:paraId="3478FBD0" w14:textId="77777777" w:rsidR="002260D3" w:rsidRPr="00AB2539" w:rsidRDefault="002260D3" w:rsidP="00AB2539">
      <w:pPr>
        <w:pStyle w:val="NormalWeb"/>
        <w:widowControl/>
        <w:spacing w:before="0" w:beforeAutospacing="0" w:after="0" w:afterAutospacing="0"/>
        <w:contextualSpacing/>
        <w:rPr>
          <w:color w:val="auto"/>
        </w:rPr>
      </w:pPr>
    </w:p>
    <w:p w14:paraId="5640FBEE" w14:textId="129DC41E" w:rsidR="00E25AE0" w:rsidRPr="00AB2539" w:rsidRDefault="008277DF" w:rsidP="00AB2539">
      <w:pPr>
        <w:pStyle w:val="NormalWeb"/>
        <w:widowControl/>
        <w:numPr>
          <w:ilvl w:val="1"/>
          <w:numId w:val="18"/>
        </w:numPr>
        <w:spacing w:before="0" w:beforeAutospacing="0" w:after="0" w:afterAutospacing="0"/>
        <w:contextualSpacing/>
        <w:rPr>
          <w:color w:val="auto"/>
        </w:rPr>
      </w:pPr>
      <w:r>
        <w:rPr>
          <w:color w:val="auto"/>
        </w:rPr>
        <w:t>For</w:t>
      </w:r>
      <w:r w:rsidRPr="00AB2539">
        <w:rPr>
          <w:color w:val="auto"/>
        </w:rPr>
        <w:t xml:space="preserve"> 100 mL </w:t>
      </w:r>
      <w:r>
        <w:rPr>
          <w:color w:val="auto"/>
        </w:rPr>
        <w:t xml:space="preserve">of </w:t>
      </w:r>
      <w:r w:rsidR="00E25AE0" w:rsidRPr="00AB2539">
        <w:rPr>
          <w:color w:val="auto"/>
        </w:rPr>
        <w:t>PBS++</w:t>
      </w:r>
      <w:r w:rsidR="00CD74D9" w:rsidRPr="00AB2539">
        <w:rPr>
          <w:color w:val="auto"/>
        </w:rPr>
        <w:t>, add</w:t>
      </w:r>
      <w:r w:rsidR="00043A08" w:rsidRPr="00AB2539">
        <w:rPr>
          <w:color w:val="auto"/>
        </w:rPr>
        <w:t xml:space="preserve"> </w:t>
      </w:r>
      <w:r w:rsidR="00E25AE0" w:rsidRPr="00AB2539">
        <w:t xml:space="preserve">10% (10 </w:t>
      </w:r>
      <w:r w:rsidR="004927DB" w:rsidRPr="00AB2539">
        <w:t>mL</w:t>
      </w:r>
      <w:r w:rsidR="00E25AE0" w:rsidRPr="00AB2539">
        <w:t>) of normal horse serum and 0.3% (</w:t>
      </w:r>
      <w:r w:rsidR="00DC434A" w:rsidRPr="00AB2539">
        <w:t>300</w:t>
      </w:r>
      <w:r w:rsidR="00E25AE0" w:rsidRPr="00AB2539">
        <w:t xml:space="preserve"> µL) of Triton X-100 to 0.1 M PBS</w:t>
      </w:r>
      <w:r w:rsidR="00E25AE0" w:rsidRPr="00AB2539">
        <w:rPr>
          <w:color w:val="auto"/>
        </w:rPr>
        <w:t xml:space="preserve"> pH 7.4</w:t>
      </w:r>
      <w:r w:rsidR="00E25AE0" w:rsidRPr="00AB2539">
        <w:t>.</w:t>
      </w:r>
      <w:r w:rsidR="00E25AE0" w:rsidRPr="00AB2539">
        <w:rPr>
          <w:color w:val="auto"/>
        </w:rPr>
        <w:t xml:space="preserve"> Store in</w:t>
      </w:r>
      <w:r w:rsidR="00E25AE0" w:rsidRPr="00AB2539">
        <w:t xml:space="preserve"> </w:t>
      </w:r>
      <w:r w:rsidR="00E25AE0" w:rsidRPr="00AB2539">
        <w:rPr>
          <w:color w:val="auto"/>
        </w:rPr>
        <w:t>20</w:t>
      </w:r>
      <w:r w:rsidRPr="008277DF">
        <w:rPr>
          <w:color w:val="auto"/>
        </w:rPr>
        <w:t>‒</w:t>
      </w:r>
      <w:r w:rsidR="00E25AE0" w:rsidRPr="00AB2539">
        <w:rPr>
          <w:color w:val="auto"/>
        </w:rPr>
        <w:t xml:space="preserve">50 </w:t>
      </w:r>
      <w:r w:rsidR="004927DB" w:rsidRPr="00AB2539">
        <w:rPr>
          <w:color w:val="auto"/>
        </w:rPr>
        <w:t>mL</w:t>
      </w:r>
      <w:r w:rsidR="00E25AE0" w:rsidRPr="00AB2539">
        <w:rPr>
          <w:color w:val="auto"/>
        </w:rPr>
        <w:t xml:space="preserve"> aliquots at -20 °C for up to 3 months. </w:t>
      </w:r>
    </w:p>
    <w:p w14:paraId="0EEA419C" w14:textId="6DB7F8CD" w:rsidR="005721ED" w:rsidRPr="00AB2539" w:rsidRDefault="005721ED" w:rsidP="00AB2539">
      <w:pPr>
        <w:pStyle w:val="NormalWeb"/>
        <w:widowControl/>
        <w:spacing w:before="0" w:beforeAutospacing="0" w:after="0" w:afterAutospacing="0"/>
        <w:contextualSpacing/>
        <w:rPr>
          <w:color w:val="auto"/>
        </w:rPr>
      </w:pPr>
    </w:p>
    <w:p w14:paraId="26B881BE" w14:textId="6B220C2C" w:rsidR="00E25AE0" w:rsidRPr="00AB2539" w:rsidRDefault="008277DF" w:rsidP="008277DF">
      <w:pPr>
        <w:pStyle w:val="ListParagraph"/>
        <w:widowControl/>
        <w:numPr>
          <w:ilvl w:val="1"/>
          <w:numId w:val="18"/>
        </w:numPr>
        <w:autoSpaceDE/>
        <w:autoSpaceDN/>
        <w:adjustRightInd/>
      </w:pPr>
      <w:r>
        <w:t>For 1 L of c</w:t>
      </w:r>
      <w:r w:rsidRPr="00AB2539">
        <w:t xml:space="preserve">ryoprotectant </w:t>
      </w:r>
      <w:r>
        <w:t>s</w:t>
      </w:r>
      <w:r w:rsidRPr="00AB2539">
        <w:t>olution</w:t>
      </w:r>
      <w:r>
        <w:t>,</w:t>
      </w:r>
      <w:r w:rsidR="00E25AE0" w:rsidRPr="00AB2539">
        <w:t xml:space="preserve"> </w:t>
      </w:r>
      <w:r w:rsidR="003F2478">
        <w:t xml:space="preserve">mix </w:t>
      </w:r>
      <w:r w:rsidR="00E25AE0" w:rsidRPr="00AB2539">
        <w:t xml:space="preserve">250 </w:t>
      </w:r>
      <w:r w:rsidR="004927DB" w:rsidRPr="00AB2539">
        <w:t>mL</w:t>
      </w:r>
      <w:r w:rsidR="00E25AE0" w:rsidRPr="00AB2539">
        <w:t xml:space="preserve"> of </w:t>
      </w:r>
      <w:r w:rsidR="00F14C04" w:rsidRPr="00AB2539">
        <w:t>e</w:t>
      </w:r>
      <w:r w:rsidR="00E25AE0" w:rsidRPr="00AB2539">
        <w:t xml:space="preserve">thylene </w:t>
      </w:r>
      <w:r w:rsidR="00F14C04" w:rsidRPr="00AB2539">
        <w:t>g</w:t>
      </w:r>
      <w:r w:rsidR="00E25AE0" w:rsidRPr="00AB2539">
        <w:t>lycol</w:t>
      </w:r>
      <w:r w:rsidR="003F2478">
        <w:t xml:space="preserve"> and </w:t>
      </w:r>
      <w:r w:rsidR="00E25AE0" w:rsidRPr="00AB2539">
        <w:t xml:space="preserve">250 </w:t>
      </w:r>
      <w:r w:rsidR="004927DB" w:rsidRPr="00AB2539">
        <w:t>mL</w:t>
      </w:r>
      <w:r w:rsidR="00E25AE0" w:rsidRPr="00AB2539">
        <w:t xml:space="preserve"> of </w:t>
      </w:r>
      <w:r w:rsidR="00F14C04" w:rsidRPr="00AB2539">
        <w:t>g</w:t>
      </w:r>
      <w:r w:rsidR="00E25AE0" w:rsidRPr="00AB2539">
        <w:t xml:space="preserve">lycerol, </w:t>
      </w:r>
      <w:r w:rsidR="007C2AAD" w:rsidRPr="00AB2539">
        <w:t xml:space="preserve">constantly stir </w:t>
      </w:r>
      <w:r w:rsidR="00E25AE0" w:rsidRPr="00AB2539">
        <w:t>until mixed. Slowly bring to 1</w:t>
      </w:r>
      <w:r w:rsidR="004927DB" w:rsidRPr="00AB2539">
        <w:t xml:space="preserve"> L </w:t>
      </w:r>
      <w:r w:rsidR="00E25AE0" w:rsidRPr="00AB2539">
        <w:t>with PBS. Filter with grade 4 (20</w:t>
      </w:r>
      <w:r w:rsidRPr="00D13D3E">
        <w:t>‒</w:t>
      </w:r>
      <w:r w:rsidR="00E25AE0" w:rsidRPr="00AB2539">
        <w:t xml:space="preserve">25 </w:t>
      </w:r>
      <w:proofErr w:type="spellStart"/>
      <w:r w:rsidR="00E25AE0" w:rsidRPr="00AB2539">
        <w:t>μm</w:t>
      </w:r>
      <w:proofErr w:type="spellEnd"/>
      <w:r w:rsidR="00E25AE0" w:rsidRPr="00AB2539">
        <w:t xml:space="preserve">) filter paper. Store at </w:t>
      </w:r>
      <w:r w:rsidR="009516C1" w:rsidRPr="00AB2539">
        <w:t>4</w:t>
      </w:r>
      <w:r w:rsidR="00E25AE0" w:rsidRPr="00AB2539">
        <w:t xml:space="preserve"> °C </w:t>
      </w:r>
      <w:r w:rsidR="009516C1" w:rsidRPr="00AB2539">
        <w:t xml:space="preserve">or RT </w:t>
      </w:r>
      <w:r w:rsidR="00E25AE0" w:rsidRPr="00AB2539">
        <w:t xml:space="preserve">for up to </w:t>
      </w:r>
      <w:r w:rsidR="00B15F2B" w:rsidRPr="00AB2539">
        <w:t>1</w:t>
      </w:r>
      <w:r w:rsidR="00E25AE0" w:rsidRPr="00AB2539">
        <w:t xml:space="preserve"> </w:t>
      </w:r>
      <w:r w:rsidR="00B15F2B" w:rsidRPr="00AB2539">
        <w:t>year</w:t>
      </w:r>
      <w:r w:rsidR="00E25AE0" w:rsidRPr="00AB2539">
        <w:t>.</w:t>
      </w:r>
    </w:p>
    <w:p w14:paraId="42ACDD78" w14:textId="086E7FB6" w:rsidR="00741719" w:rsidRPr="00AB2539" w:rsidRDefault="00741719" w:rsidP="00AB2539">
      <w:pPr>
        <w:pStyle w:val="ListParagraph"/>
        <w:widowControl/>
        <w:autoSpaceDE/>
        <w:autoSpaceDN/>
        <w:adjustRightInd/>
        <w:ind w:left="0"/>
      </w:pPr>
    </w:p>
    <w:p w14:paraId="0F561292" w14:textId="0D0B5C26" w:rsidR="00E25AE0" w:rsidRPr="00AB2539" w:rsidRDefault="008277DF" w:rsidP="00AB2539">
      <w:pPr>
        <w:pStyle w:val="NormalWeb"/>
        <w:widowControl/>
        <w:numPr>
          <w:ilvl w:val="1"/>
          <w:numId w:val="18"/>
        </w:numPr>
        <w:spacing w:before="0" w:beforeAutospacing="0" w:after="0" w:afterAutospacing="0"/>
        <w:contextualSpacing/>
        <w:rPr>
          <w:color w:val="auto"/>
        </w:rPr>
      </w:pPr>
      <w:r>
        <w:rPr>
          <w:color w:val="auto"/>
        </w:rPr>
        <w:t xml:space="preserve">Prepare </w:t>
      </w:r>
      <w:r w:rsidR="00E25AE0" w:rsidRPr="00AB2539">
        <w:rPr>
          <w:color w:val="auto"/>
        </w:rPr>
        <w:t xml:space="preserve">4% </w:t>
      </w:r>
      <w:r>
        <w:rPr>
          <w:color w:val="auto"/>
        </w:rPr>
        <w:t>p</w:t>
      </w:r>
      <w:r w:rsidRPr="00AB2539">
        <w:rPr>
          <w:color w:val="auto"/>
        </w:rPr>
        <w:t xml:space="preserve">araformaldehyde </w:t>
      </w:r>
      <w:r w:rsidR="00E25AE0" w:rsidRPr="00AB2539">
        <w:rPr>
          <w:color w:val="auto"/>
        </w:rPr>
        <w:t>in 0.1 M PBS</w:t>
      </w:r>
      <w:r w:rsidR="00095750" w:rsidRPr="00AB2539">
        <w:rPr>
          <w:color w:val="auto"/>
        </w:rPr>
        <w:t xml:space="preserve"> (PFA solution)</w:t>
      </w:r>
      <w:r>
        <w:rPr>
          <w:color w:val="auto"/>
        </w:rPr>
        <w:t xml:space="preserve"> as follows.</w:t>
      </w:r>
      <w:r w:rsidR="00E25AE0" w:rsidRPr="00AB2539">
        <w:rPr>
          <w:color w:val="auto"/>
        </w:rPr>
        <w:t xml:space="preserve"> </w:t>
      </w:r>
      <w:r>
        <w:rPr>
          <w:color w:val="auto"/>
        </w:rPr>
        <w:t>For</w:t>
      </w:r>
      <w:r w:rsidRPr="00AB2539">
        <w:rPr>
          <w:color w:val="auto"/>
        </w:rPr>
        <w:t xml:space="preserve"> </w:t>
      </w:r>
      <w:r w:rsidR="00E25AE0" w:rsidRPr="00AB2539">
        <w:rPr>
          <w:color w:val="auto"/>
        </w:rPr>
        <w:t>1 L</w:t>
      </w:r>
      <w:r>
        <w:rPr>
          <w:color w:val="auto"/>
        </w:rPr>
        <w:t xml:space="preserve"> of solution</w:t>
      </w:r>
      <w:r w:rsidR="00CD74D9" w:rsidRPr="00AB2539">
        <w:rPr>
          <w:color w:val="auto"/>
        </w:rPr>
        <w:t>, add</w:t>
      </w:r>
      <w:r w:rsidR="00B93F3A" w:rsidRPr="00AB2539">
        <w:rPr>
          <w:color w:val="auto"/>
        </w:rPr>
        <w:t xml:space="preserve"> </w:t>
      </w:r>
      <w:r w:rsidR="00E25AE0" w:rsidRPr="00AB2539">
        <w:rPr>
          <w:color w:val="auto"/>
        </w:rPr>
        <w:t xml:space="preserve">40 g of paraformaldehyde powder slowly to 800 </w:t>
      </w:r>
      <w:r w:rsidR="004927DB" w:rsidRPr="00AB2539">
        <w:rPr>
          <w:color w:val="auto"/>
        </w:rPr>
        <w:t>mL</w:t>
      </w:r>
      <w:r w:rsidR="00E25AE0" w:rsidRPr="00AB2539">
        <w:rPr>
          <w:color w:val="auto"/>
        </w:rPr>
        <w:t xml:space="preserve"> of 60</w:t>
      </w:r>
      <w:r w:rsidRPr="008277DF">
        <w:rPr>
          <w:color w:val="auto"/>
        </w:rPr>
        <w:t>‒</w:t>
      </w:r>
      <w:r w:rsidR="00E25AE0" w:rsidRPr="00AB2539">
        <w:rPr>
          <w:color w:val="auto"/>
        </w:rPr>
        <w:t xml:space="preserve">65 °C 0.1 M PBS </w:t>
      </w:r>
      <w:r w:rsidR="00CF5CFA" w:rsidRPr="00AB2539">
        <w:t xml:space="preserve">under </w:t>
      </w:r>
      <w:r w:rsidR="00E25AE0" w:rsidRPr="00AB2539">
        <w:t xml:space="preserve">constant stirring. Stir until </w:t>
      </w:r>
      <w:r w:rsidR="00E25AE0" w:rsidRPr="00AB2539">
        <w:rPr>
          <w:color w:val="auto"/>
        </w:rPr>
        <w:t>paraformaldehyde is completely dissolved</w:t>
      </w:r>
      <w:r>
        <w:rPr>
          <w:color w:val="auto"/>
        </w:rPr>
        <w:t xml:space="preserve"> while </w:t>
      </w:r>
      <w:r w:rsidR="00CD74D9" w:rsidRPr="00AB2539">
        <w:rPr>
          <w:color w:val="auto"/>
        </w:rPr>
        <w:t>controlling</w:t>
      </w:r>
      <w:r w:rsidR="00E25AE0" w:rsidRPr="00AB2539">
        <w:rPr>
          <w:color w:val="auto"/>
        </w:rPr>
        <w:t xml:space="preserve"> the temperature (60</w:t>
      </w:r>
      <w:r w:rsidRPr="008277DF">
        <w:rPr>
          <w:color w:val="auto"/>
        </w:rPr>
        <w:t>‒</w:t>
      </w:r>
      <w:r w:rsidR="00E25AE0" w:rsidRPr="00AB2539">
        <w:rPr>
          <w:color w:val="auto"/>
        </w:rPr>
        <w:t>65 °C). If necessary</w:t>
      </w:r>
      <w:r w:rsidR="00CD74D9" w:rsidRPr="00AB2539">
        <w:rPr>
          <w:color w:val="auto"/>
        </w:rPr>
        <w:t>,</w:t>
      </w:r>
      <w:r w:rsidR="00E25AE0" w:rsidRPr="00AB2539">
        <w:rPr>
          <w:color w:val="auto"/>
        </w:rPr>
        <w:t xml:space="preserve"> add a few drops of 1 M NaOH to clarify the solution. When the solution </w:t>
      </w:r>
      <w:r w:rsidR="00CD74D9" w:rsidRPr="00AB2539">
        <w:rPr>
          <w:color w:val="auto"/>
        </w:rPr>
        <w:t xml:space="preserve">reaches </w:t>
      </w:r>
      <w:r w:rsidR="00E25AE0" w:rsidRPr="00AB2539">
        <w:rPr>
          <w:color w:val="auto"/>
        </w:rPr>
        <w:t>room temperature</w:t>
      </w:r>
      <w:r w:rsidR="00CD74D9" w:rsidRPr="00AB2539">
        <w:rPr>
          <w:color w:val="auto"/>
        </w:rPr>
        <w:t>,</w:t>
      </w:r>
      <w:r w:rsidR="00E25AE0" w:rsidRPr="00AB2539">
        <w:rPr>
          <w:color w:val="auto"/>
        </w:rPr>
        <w:t xml:space="preserve"> filter with grade 4 (20-25 </w:t>
      </w:r>
      <w:proofErr w:type="spellStart"/>
      <w:r w:rsidR="00E25AE0" w:rsidRPr="00AB2539">
        <w:rPr>
          <w:color w:val="auto"/>
        </w:rPr>
        <w:t>μm</w:t>
      </w:r>
      <w:proofErr w:type="spellEnd"/>
      <w:r w:rsidR="00E25AE0" w:rsidRPr="00AB2539">
        <w:rPr>
          <w:color w:val="auto"/>
        </w:rPr>
        <w:t xml:space="preserve">) filter paper. </w:t>
      </w:r>
    </w:p>
    <w:p w14:paraId="74131585" w14:textId="77777777" w:rsidR="00E25AE0" w:rsidRPr="00AB2539" w:rsidRDefault="00E25AE0" w:rsidP="00AB2539">
      <w:pPr>
        <w:pStyle w:val="NormalWeb"/>
        <w:widowControl/>
        <w:spacing w:before="0" w:beforeAutospacing="0" w:after="0" w:afterAutospacing="0"/>
        <w:contextualSpacing/>
      </w:pPr>
    </w:p>
    <w:p w14:paraId="1B2D8F26" w14:textId="6D5CD68C" w:rsidR="00E25AE0" w:rsidRPr="00AB2539" w:rsidRDefault="00E25AE0" w:rsidP="00AB2539">
      <w:pPr>
        <w:pStyle w:val="NormalWeb"/>
        <w:widowControl/>
        <w:spacing w:before="0" w:beforeAutospacing="0" w:after="0" w:afterAutospacing="0"/>
        <w:contextualSpacing/>
        <w:rPr>
          <w:color w:val="auto"/>
        </w:rPr>
      </w:pPr>
      <w:r w:rsidRPr="00AB2539">
        <w:t>CAUTION: Paraformaldehyde is toxic and is suspected of being</w:t>
      </w:r>
      <w:r w:rsidR="00CD74D9" w:rsidRPr="00AB2539">
        <w:t xml:space="preserve"> a</w:t>
      </w:r>
      <w:r w:rsidRPr="00AB2539">
        <w:t xml:space="preserve"> </w:t>
      </w:r>
      <w:r w:rsidR="00CD74D9" w:rsidRPr="00AB2539">
        <w:t>carcinogen</w:t>
      </w:r>
      <w:r w:rsidRPr="00AB2539">
        <w:t xml:space="preserve">, prepare in the fume hood. </w:t>
      </w:r>
      <w:r w:rsidRPr="00AB2539">
        <w:rPr>
          <w:color w:val="auto"/>
        </w:rPr>
        <w:t xml:space="preserve">Store at 4 °C for and preferably use within to 2 days. </w:t>
      </w:r>
      <w:r w:rsidR="00104FB2" w:rsidRPr="00AB2539">
        <w:rPr>
          <w:color w:val="auto"/>
        </w:rPr>
        <w:t>PFA ready-to-use solution is commercially available.</w:t>
      </w:r>
    </w:p>
    <w:p w14:paraId="3DD953C9" w14:textId="77777777" w:rsidR="00E25AE0" w:rsidRPr="00AB2539" w:rsidRDefault="00E25AE0" w:rsidP="00AB2539">
      <w:pPr>
        <w:pStyle w:val="NormalWeb"/>
        <w:widowControl/>
        <w:spacing w:before="0" w:beforeAutospacing="0" w:after="0" w:afterAutospacing="0"/>
        <w:contextualSpacing/>
        <w:rPr>
          <w:color w:val="auto"/>
        </w:rPr>
      </w:pPr>
    </w:p>
    <w:p w14:paraId="55701B96" w14:textId="13188A76" w:rsidR="00E25AE0" w:rsidRPr="00AB2539" w:rsidRDefault="008277DF" w:rsidP="00AB2539">
      <w:pPr>
        <w:pStyle w:val="NormalWeb"/>
        <w:widowControl/>
        <w:numPr>
          <w:ilvl w:val="1"/>
          <w:numId w:val="18"/>
        </w:numPr>
        <w:spacing w:before="0" w:beforeAutospacing="0" w:after="0" w:afterAutospacing="0"/>
        <w:contextualSpacing/>
        <w:rPr>
          <w:color w:val="auto"/>
        </w:rPr>
      </w:pPr>
      <w:r>
        <w:rPr>
          <w:color w:val="auto"/>
        </w:rPr>
        <w:t xml:space="preserve">For 1 L of </w:t>
      </w:r>
      <w:r w:rsidR="00E25AE0" w:rsidRPr="00AB2539">
        <w:rPr>
          <w:color w:val="auto"/>
        </w:rPr>
        <w:t xml:space="preserve">10 mM Sodium citrate buffer (SCB) </w:t>
      </w:r>
      <w:r>
        <w:rPr>
          <w:color w:val="auto"/>
        </w:rPr>
        <w:t xml:space="preserve">at </w:t>
      </w:r>
      <w:r w:rsidR="00E25AE0" w:rsidRPr="00AB2539">
        <w:rPr>
          <w:color w:val="auto"/>
        </w:rPr>
        <w:t>pH 6</w:t>
      </w:r>
      <w:r w:rsidR="00CD74D9" w:rsidRPr="00AB2539">
        <w:rPr>
          <w:color w:val="auto"/>
        </w:rPr>
        <w:t>, add</w:t>
      </w:r>
      <w:r w:rsidR="00E25AE0" w:rsidRPr="00AB2539">
        <w:rPr>
          <w:color w:val="auto"/>
        </w:rPr>
        <w:t xml:space="preserve"> 1.204 g of </w:t>
      </w:r>
      <w:r w:rsidRPr="00AB2539">
        <w:rPr>
          <w:color w:val="auto"/>
        </w:rPr>
        <w:t>sodium citra</w:t>
      </w:r>
      <w:r w:rsidR="00E25AE0" w:rsidRPr="00AB2539">
        <w:rPr>
          <w:color w:val="auto"/>
        </w:rPr>
        <w:t xml:space="preserve">te (dihydrate), and 1.134 g of </w:t>
      </w:r>
      <w:r w:rsidRPr="00AB2539">
        <w:rPr>
          <w:color w:val="auto"/>
        </w:rPr>
        <w:t>citric aci</w:t>
      </w:r>
      <w:r w:rsidR="00E25AE0" w:rsidRPr="00AB2539">
        <w:rPr>
          <w:color w:val="auto"/>
        </w:rPr>
        <w:t xml:space="preserve">d to 800 </w:t>
      </w:r>
      <w:r w:rsidR="004927DB" w:rsidRPr="00AB2539">
        <w:rPr>
          <w:color w:val="auto"/>
        </w:rPr>
        <w:t>mL</w:t>
      </w:r>
      <w:r w:rsidR="00E25AE0" w:rsidRPr="00AB2539">
        <w:rPr>
          <w:color w:val="auto"/>
        </w:rPr>
        <w:t xml:space="preserve"> of </w:t>
      </w:r>
      <w:r w:rsidRPr="00AB2539">
        <w:t>d</w:t>
      </w:r>
      <w:r w:rsidR="00C03196" w:rsidRPr="00AB2539">
        <w:t>ouble distilled</w:t>
      </w:r>
      <w:r w:rsidR="00E25AE0" w:rsidRPr="00AB2539">
        <w:t xml:space="preserve"> H</w:t>
      </w:r>
      <w:r w:rsidR="00E25AE0" w:rsidRPr="00AB2539">
        <w:rPr>
          <w:vertAlign w:val="subscript"/>
        </w:rPr>
        <w:t>2</w:t>
      </w:r>
      <w:r w:rsidR="00E25AE0" w:rsidRPr="00AB2539">
        <w:t xml:space="preserve">O </w:t>
      </w:r>
      <w:r w:rsidR="00CF5CFA" w:rsidRPr="00AB2539">
        <w:t xml:space="preserve">under </w:t>
      </w:r>
      <w:r w:rsidR="00E25AE0" w:rsidRPr="00AB2539">
        <w:t>constant stirring</w:t>
      </w:r>
      <w:r w:rsidR="00E25AE0" w:rsidRPr="00AB2539">
        <w:rPr>
          <w:color w:val="auto"/>
        </w:rPr>
        <w:t xml:space="preserve">. Adjust the pH to 6.0 and add </w:t>
      </w:r>
      <w:r w:rsidR="00030B19">
        <w:t>dd</w:t>
      </w:r>
      <w:r w:rsidR="00E25AE0" w:rsidRPr="00AB2539">
        <w:t>H</w:t>
      </w:r>
      <w:r w:rsidR="00E25AE0" w:rsidRPr="00AB2539">
        <w:rPr>
          <w:vertAlign w:val="subscript"/>
        </w:rPr>
        <w:t>2</w:t>
      </w:r>
      <w:r w:rsidR="00E25AE0" w:rsidRPr="00AB2539">
        <w:t xml:space="preserve">O </w:t>
      </w:r>
      <w:r w:rsidR="00E25AE0" w:rsidRPr="00AB2539">
        <w:rPr>
          <w:color w:val="auto"/>
        </w:rPr>
        <w:t>u</w:t>
      </w:r>
      <w:r>
        <w:rPr>
          <w:color w:val="auto"/>
        </w:rPr>
        <w:t>p to</w:t>
      </w:r>
      <w:r w:rsidR="00E25AE0" w:rsidRPr="00AB2539">
        <w:rPr>
          <w:color w:val="auto"/>
        </w:rPr>
        <w:t xml:space="preserve"> 1 L. Store at 4 °C for up to 6 months. </w:t>
      </w:r>
    </w:p>
    <w:p w14:paraId="48DF33F7" w14:textId="77777777" w:rsidR="00E25AE0" w:rsidRPr="00AB2539" w:rsidRDefault="00E25AE0" w:rsidP="00AB2539">
      <w:pPr>
        <w:pStyle w:val="NormalWeb"/>
        <w:widowControl/>
        <w:spacing w:before="0" w:beforeAutospacing="0" w:after="0" w:afterAutospacing="0"/>
        <w:contextualSpacing/>
      </w:pPr>
    </w:p>
    <w:p w14:paraId="35D968D7" w14:textId="72FAB0DC" w:rsidR="00E25AE0" w:rsidRPr="00AB2539" w:rsidRDefault="008277DF" w:rsidP="00AB2539">
      <w:pPr>
        <w:pStyle w:val="NormalWeb"/>
        <w:widowControl/>
        <w:numPr>
          <w:ilvl w:val="1"/>
          <w:numId w:val="18"/>
        </w:numPr>
        <w:spacing w:before="0" w:beforeAutospacing="0" w:after="0" w:afterAutospacing="0"/>
        <w:contextualSpacing/>
      </w:pPr>
      <w:r>
        <w:t xml:space="preserve">Prepare 50 mL of </w:t>
      </w:r>
      <w:r w:rsidR="00E25AE0" w:rsidRPr="00AB2539">
        <w:t>2</w:t>
      </w:r>
      <w:r>
        <w:t xml:space="preserve"> </w:t>
      </w:r>
      <w:r w:rsidR="00E25AE0" w:rsidRPr="00AB2539">
        <w:t>N HC</w:t>
      </w:r>
      <w:r>
        <w:t>l</w:t>
      </w:r>
      <w:r w:rsidR="002425B0" w:rsidRPr="00AB2539">
        <w:rPr>
          <w:bCs/>
        </w:rPr>
        <w:t xml:space="preserve"> </w:t>
      </w:r>
      <w:r w:rsidR="00E25AE0" w:rsidRPr="00AB2539">
        <w:rPr>
          <w:bCs/>
        </w:rPr>
        <w:t xml:space="preserve">by slowly adding </w:t>
      </w:r>
      <w:r w:rsidR="00DC434A" w:rsidRPr="00AB2539">
        <w:t>8.2</w:t>
      </w:r>
      <w:r w:rsidR="00516AA9" w:rsidRPr="00AB2539">
        <w:t>5</w:t>
      </w:r>
      <w:r w:rsidR="00E25AE0" w:rsidRPr="00AB2539">
        <w:t xml:space="preserve"> m</w:t>
      </w:r>
      <w:r w:rsidR="002425B0" w:rsidRPr="00AB2539">
        <w:t>L</w:t>
      </w:r>
      <w:r w:rsidR="00E25AE0" w:rsidRPr="00AB2539">
        <w:t xml:space="preserve"> of 12</w:t>
      </w:r>
      <w:r w:rsidR="002425B0" w:rsidRPr="00AB2539">
        <w:t xml:space="preserve"> </w:t>
      </w:r>
      <w:r w:rsidR="00E25AE0" w:rsidRPr="00AB2539">
        <w:t>N HC</w:t>
      </w:r>
      <w:r>
        <w:t>l</w:t>
      </w:r>
      <w:r w:rsidR="00E25AE0" w:rsidRPr="00AB2539">
        <w:t xml:space="preserve"> (concentrated stock solution)</w:t>
      </w:r>
      <w:r w:rsidR="00E25AE0" w:rsidRPr="00AB2539">
        <w:rPr>
          <w:bCs/>
        </w:rPr>
        <w:t xml:space="preserve"> to </w:t>
      </w:r>
      <w:r w:rsidR="00E25AE0" w:rsidRPr="00AB2539">
        <w:t>4</w:t>
      </w:r>
      <w:r w:rsidR="00516AA9" w:rsidRPr="00AB2539">
        <w:t>1.</w:t>
      </w:r>
      <w:r w:rsidR="00E25AE0" w:rsidRPr="00AB2539">
        <w:t>7</w:t>
      </w:r>
      <w:r w:rsidR="00516AA9" w:rsidRPr="00AB2539">
        <w:t>5</w:t>
      </w:r>
      <w:r w:rsidR="00E25AE0" w:rsidRPr="00AB2539">
        <w:t xml:space="preserve"> m</w:t>
      </w:r>
      <w:r w:rsidR="002425B0" w:rsidRPr="00AB2539">
        <w:t>L</w:t>
      </w:r>
      <w:r w:rsidR="00E25AE0" w:rsidRPr="00AB2539">
        <w:t xml:space="preserve"> </w:t>
      </w:r>
      <w:r>
        <w:t xml:space="preserve">of </w:t>
      </w:r>
      <w:r>
        <w:rPr>
          <w:color w:val="auto"/>
        </w:rPr>
        <w:t>d</w:t>
      </w:r>
      <w:r w:rsidR="00030B19">
        <w:t>d</w:t>
      </w:r>
      <w:r w:rsidR="00E25AE0" w:rsidRPr="00AB2539">
        <w:t>H</w:t>
      </w:r>
      <w:r w:rsidR="00E25AE0" w:rsidRPr="00AB2539">
        <w:rPr>
          <w:vertAlign w:val="subscript"/>
        </w:rPr>
        <w:t>2</w:t>
      </w:r>
      <w:r w:rsidR="00E25AE0" w:rsidRPr="00AB2539">
        <w:t xml:space="preserve">O </w:t>
      </w:r>
      <w:r w:rsidR="00CF5CFA" w:rsidRPr="00AB2539">
        <w:t xml:space="preserve">under </w:t>
      </w:r>
      <w:r w:rsidR="00E25AE0" w:rsidRPr="00AB2539">
        <w:t xml:space="preserve">constant stirring. </w:t>
      </w:r>
    </w:p>
    <w:p w14:paraId="7097DF56" w14:textId="77777777" w:rsidR="00E25AE0" w:rsidRPr="00AB2539" w:rsidRDefault="00E25AE0" w:rsidP="00AB2539">
      <w:pPr>
        <w:pStyle w:val="NormalWeb"/>
        <w:widowControl/>
        <w:spacing w:before="0" w:beforeAutospacing="0" w:after="0" w:afterAutospacing="0"/>
        <w:contextualSpacing/>
      </w:pPr>
    </w:p>
    <w:p w14:paraId="53BB886C" w14:textId="62CF88EE" w:rsidR="00F16308" w:rsidRPr="00AB2539" w:rsidRDefault="00E25AE0" w:rsidP="00AB2539">
      <w:pPr>
        <w:pStyle w:val="NormalWeb"/>
        <w:widowControl/>
        <w:spacing w:before="0" w:beforeAutospacing="0" w:after="0" w:afterAutospacing="0"/>
        <w:contextualSpacing/>
      </w:pPr>
      <w:r w:rsidRPr="00AB2539">
        <w:t xml:space="preserve">CAUTION: Prepare in the fume hood. </w:t>
      </w:r>
      <w:r w:rsidR="005001CC" w:rsidRPr="00AB2539">
        <w:t>Solution m</w:t>
      </w:r>
      <w:r w:rsidR="002B5CB1" w:rsidRPr="00AB2539">
        <w:t>ust be prepared immediately before use.</w:t>
      </w:r>
    </w:p>
    <w:p w14:paraId="4EC50639" w14:textId="77777777" w:rsidR="002425B0" w:rsidRPr="00AB2539" w:rsidRDefault="002425B0" w:rsidP="00AB2539">
      <w:pPr>
        <w:pStyle w:val="NormalWeb"/>
        <w:widowControl/>
        <w:spacing w:before="0" w:beforeAutospacing="0" w:after="0" w:afterAutospacing="0"/>
        <w:contextualSpacing/>
      </w:pPr>
    </w:p>
    <w:p w14:paraId="77DC9358" w14:textId="4069ABC1" w:rsidR="003E7E5C" w:rsidRPr="00AB2539" w:rsidRDefault="00F16308" w:rsidP="00AB2539">
      <w:pPr>
        <w:pStyle w:val="NormalWeb"/>
        <w:widowControl/>
        <w:spacing w:before="0" w:beforeAutospacing="0" w:after="0" w:afterAutospacing="0"/>
        <w:contextualSpacing/>
      </w:pPr>
      <w:r w:rsidRPr="00AB2539">
        <w:t>NOTE:</w:t>
      </w:r>
      <w:r w:rsidR="00A57F7A" w:rsidRPr="00AB2539">
        <w:t xml:space="preserve"> 2</w:t>
      </w:r>
      <w:r w:rsidR="008277DF">
        <w:t xml:space="preserve"> </w:t>
      </w:r>
      <w:r w:rsidR="00A57F7A" w:rsidRPr="00AB2539">
        <w:t>N HC</w:t>
      </w:r>
      <w:r w:rsidR="008277DF">
        <w:t>l</w:t>
      </w:r>
      <w:r w:rsidR="00A57F7A" w:rsidRPr="00AB2539">
        <w:t xml:space="preserve"> will be used for DNA denaturalization, a crucial step. As </w:t>
      </w:r>
      <w:proofErr w:type="spellStart"/>
      <w:r w:rsidR="00A57F7A" w:rsidRPr="00AB2539">
        <w:t>BrdU</w:t>
      </w:r>
      <w:proofErr w:type="spellEnd"/>
      <w:r w:rsidR="00A57F7A" w:rsidRPr="00AB2539">
        <w:t xml:space="preserve"> </w:t>
      </w:r>
      <w:r w:rsidR="00F8625C" w:rsidRPr="00AB2539">
        <w:t xml:space="preserve">is </w:t>
      </w:r>
      <w:r w:rsidR="003E7E5C" w:rsidRPr="00AB2539">
        <w:t xml:space="preserve">incorporated into the DNA, </w:t>
      </w:r>
      <w:r w:rsidR="00A57F7A" w:rsidRPr="00AB2539">
        <w:t xml:space="preserve">HCl is </w:t>
      </w:r>
      <w:r w:rsidR="00CD74D9" w:rsidRPr="00AB2539">
        <w:t xml:space="preserve">used </w:t>
      </w:r>
      <w:r w:rsidR="00A57F7A" w:rsidRPr="00AB2539">
        <w:t xml:space="preserve">to </w:t>
      </w:r>
      <w:r w:rsidR="003E7E5C" w:rsidRPr="00AB2539">
        <w:t xml:space="preserve">open the DNA bonds allowing </w:t>
      </w:r>
      <w:proofErr w:type="spellStart"/>
      <w:r w:rsidR="003E7E5C" w:rsidRPr="00AB2539">
        <w:t>BrdU</w:t>
      </w:r>
      <w:proofErr w:type="spellEnd"/>
      <w:r w:rsidR="003E7E5C" w:rsidRPr="00AB2539">
        <w:t xml:space="preserve"> antibody access </w:t>
      </w:r>
      <w:proofErr w:type="spellStart"/>
      <w:r w:rsidR="003E7E5C" w:rsidRPr="00AB2539">
        <w:t>BrdU</w:t>
      </w:r>
      <w:proofErr w:type="spellEnd"/>
      <w:r w:rsidR="003E7E5C" w:rsidRPr="00AB2539">
        <w:t xml:space="preserve"> within the DNA.</w:t>
      </w:r>
    </w:p>
    <w:p w14:paraId="32521E29" w14:textId="77777777" w:rsidR="00E25AE0" w:rsidRPr="00AB2539" w:rsidRDefault="00E25AE0" w:rsidP="00AB2539">
      <w:pPr>
        <w:pStyle w:val="NormalWeb"/>
        <w:widowControl/>
        <w:spacing w:before="0" w:beforeAutospacing="0" w:after="0" w:afterAutospacing="0"/>
        <w:contextualSpacing/>
      </w:pPr>
    </w:p>
    <w:p w14:paraId="135BDBAC" w14:textId="71B639C6" w:rsidR="00E25AE0" w:rsidRPr="00AB2539" w:rsidRDefault="008277DF" w:rsidP="00AB2539">
      <w:pPr>
        <w:pStyle w:val="NormalWeb"/>
        <w:widowControl/>
        <w:numPr>
          <w:ilvl w:val="1"/>
          <w:numId w:val="18"/>
        </w:numPr>
        <w:spacing w:before="0" w:beforeAutospacing="0" w:after="0" w:afterAutospacing="0"/>
        <w:contextualSpacing/>
        <w:rPr>
          <w:color w:val="auto"/>
        </w:rPr>
      </w:pPr>
      <w:r>
        <w:t xml:space="preserve">Prepare </w:t>
      </w:r>
      <w:r w:rsidRPr="00AB2539">
        <w:t>endogenous pe</w:t>
      </w:r>
      <w:r w:rsidR="00E25AE0" w:rsidRPr="00AB2539">
        <w:t>roxidase blocking solution</w:t>
      </w:r>
      <w:r>
        <w:t xml:space="preserve"> as follows.</w:t>
      </w:r>
      <w:r w:rsidR="00E25AE0" w:rsidRPr="00AB2539">
        <w:t xml:space="preserve"> Prepare 100 m</w:t>
      </w:r>
      <w:r w:rsidR="002425B0" w:rsidRPr="00AB2539">
        <w:t>L</w:t>
      </w:r>
      <w:r w:rsidR="00E25AE0" w:rsidRPr="00AB2539">
        <w:t xml:space="preserve"> of </w:t>
      </w:r>
      <w:r w:rsidR="000012A7" w:rsidRPr="00AB2539">
        <w:t>0.6</w:t>
      </w:r>
      <w:r w:rsidR="00E25AE0" w:rsidRPr="00AB2539">
        <w:t xml:space="preserve">% hydrogen peroxide by mixing </w:t>
      </w:r>
      <w:r w:rsidR="000012A7" w:rsidRPr="00AB2539">
        <w:t>2</w:t>
      </w:r>
      <w:r w:rsidR="00E25AE0" w:rsidRPr="00AB2539">
        <w:t xml:space="preserve"> mL of 30% hydrogen peroxide with 9</w:t>
      </w:r>
      <w:r w:rsidR="000012A7" w:rsidRPr="00AB2539">
        <w:t>8</w:t>
      </w:r>
      <w:r w:rsidR="00E25AE0" w:rsidRPr="00AB2539">
        <w:t xml:space="preserve"> m</w:t>
      </w:r>
      <w:r w:rsidR="002425B0" w:rsidRPr="00AB2539">
        <w:t>L</w:t>
      </w:r>
      <w:r w:rsidR="00E25AE0" w:rsidRPr="00AB2539">
        <w:t xml:space="preserve"> of </w:t>
      </w:r>
      <w:r>
        <w:t>d</w:t>
      </w:r>
      <w:r w:rsidR="00030B19">
        <w:t>d</w:t>
      </w:r>
      <w:r w:rsidR="00E25AE0" w:rsidRPr="00AB2539">
        <w:t>H</w:t>
      </w:r>
      <w:r w:rsidR="00E25AE0" w:rsidRPr="00AB2539">
        <w:rPr>
          <w:vertAlign w:val="subscript"/>
        </w:rPr>
        <w:t>2</w:t>
      </w:r>
      <w:r w:rsidR="00E25AE0" w:rsidRPr="00AB2539">
        <w:t xml:space="preserve">O </w:t>
      </w:r>
      <w:r w:rsidR="00CF5CFA" w:rsidRPr="00AB2539">
        <w:t xml:space="preserve">under </w:t>
      </w:r>
      <w:r w:rsidR="00E25AE0" w:rsidRPr="00AB2539">
        <w:t>constant stirring.</w:t>
      </w:r>
    </w:p>
    <w:p w14:paraId="4607019E" w14:textId="77777777" w:rsidR="00E25AE0" w:rsidRPr="00AB2539" w:rsidRDefault="00E25AE0" w:rsidP="00AB2539">
      <w:pPr>
        <w:pStyle w:val="NormalWeb"/>
        <w:widowControl/>
        <w:spacing w:before="0" w:beforeAutospacing="0" w:after="0" w:afterAutospacing="0"/>
        <w:contextualSpacing/>
        <w:rPr>
          <w:color w:val="auto"/>
        </w:rPr>
      </w:pPr>
    </w:p>
    <w:p w14:paraId="15D5E3B7" w14:textId="00E55962" w:rsidR="00E25AE0" w:rsidRPr="00AB2539" w:rsidRDefault="00E25AE0" w:rsidP="00AB2539">
      <w:pPr>
        <w:pStyle w:val="NormalWeb"/>
        <w:widowControl/>
        <w:spacing w:before="0" w:beforeAutospacing="0" w:after="0" w:afterAutospacing="0"/>
        <w:contextualSpacing/>
        <w:rPr>
          <w:color w:val="auto"/>
        </w:rPr>
      </w:pPr>
      <w:r w:rsidRPr="00AB2539">
        <w:rPr>
          <w:color w:val="auto"/>
        </w:rPr>
        <w:t xml:space="preserve">NOTE: </w:t>
      </w:r>
      <w:r w:rsidR="000012A7" w:rsidRPr="00AB2539">
        <w:rPr>
          <w:color w:val="auto"/>
        </w:rPr>
        <w:t>The s</w:t>
      </w:r>
      <w:r w:rsidR="005001CC" w:rsidRPr="00AB2539">
        <w:rPr>
          <w:color w:val="auto"/>
        </w:rPr>
        <w:t>olution m</w:t>
      </w:r>
      <w:r w:rsidRPr="00AB2539">
        <w:rPr>
          <w:color w:val="auto"/>
        </w:rPr>
        <w:t xml:space="preserve">ust be prepared </w:t>
      </w:r>
      <w:r w:rsidR="00F8625C" w:rsidRPr="00AB2539">
        <w:rPr>
          <w:color w:val="auto"/>
        </w:rPr>
        <w:t>immediately before use</w:t>
      </w:r>
      <w:r w:rsidR="000012A7" w:rsidRPr="00AB2539">
        <w:rPr>
          <w:color w:val="auto"/>
        </w:rPr>
        <w:t>.</w:t>
      </w:r>
      <w:r w:rsidR="000012A7" w:rsidRPr="00AB2539">
        <w:t xml:space="preserve"> </w:t>
      </w:r>
      <w:r w:rsidR="00174832" w:rsidRPr="00AB2539">
        <w:rPr>
          <w:color w:val="auto"/>
        </w:rPr>
        <w:t>K</w:t>
      </w:r>
      <w:r w:rsidR="000012A7" w:rsidRPr="00AB2539">
        <w:rPr>
          <w:color w:val="auto"/>
        </w:rPr>
        <w:t xml:space="preserve">eep it in the dark </w:t>
      </w:r>
      <w:r w:rsidR="00174832" w:rsidRPr="00AB2539">
        <w:rPr>
          <w:color w:val="auto"/>
        </w:rPr>
        <w:t xml:space="preserve">as </w:t>
      </w:r>
      <w:r w:rsidR="000012A7" w:rsidRPr="00AB2539">
        <w:rPr>
          <w:color w:val="auto"/>
        </w:rPr>
        <w:t>H</w:t>
      </w:r>
      <w:r w:rsidR="000012A7" w:rsidRPr="00AB2539">
        <w:rPr>
          <w:color w:val="auto"/>
          <w:vertAlign w:val="subscript"/>
        </w:rPr>
        <w:t>2</w:t>
      </w:r>
      <w:r w:rsidR="000012A7" w:rsidRPr="00AB2539">
        <w:rPr>
          <w:color w:val="auto"/>
        </w:rPr>
        <w:t>O</w:t>
      </w:r>
      <w:r w:rsidR="000012A7" w:rsidRPr="00AB2539">
        <w:rPr>
          <w:color w:val="auto"/>
          <w:vertAlign w:val="subscript"/>
        </w:rPr>
        <w:t>2</w:t>
      </w:r>
      <w:r w:rsidR="000012A7" w:rsidRPr="00AB2539">
        <w:rPr>
          <w:color w:val="auto"/>
        </w:rPr>
        <w:t xml:space="preserve"> is light sensitive. PBS or TBS can be </w:t>
      </w:r>
      <w:r w:rsidR="00174832" w:rsidRPr="00AB2539">
        <w:rPr>
          <w:color w:val="auto"/>
        </w:rPr>
        <w:t>used</w:t>
      </w:r>
      <w:r w:rsidR="000012A7" w:rsidRPr="00AB2539">
        <w:rPr>
          <w:color w:val="auto"/>
        </w:rPr>
        <w:t xml:space="preserve"> instead of water.</w:t>
      </w:r>
    </w:p>
    <w:p w14:paraId="498DAABD" w14:textId="77777777" w:rsidR="00E25AE0" w:rsidRPr="00AB2539" w:rsidRDefault="00E25AE0" w:rsidP="00AB2539">
      <w:pPr>
        <w:pStyle w:val="NormalWeb"/>
        <w:widowControl/>
        <w:spacing w:before="0" w:beforeAutospacing="0" w:after="0" w:afterAutospacing="0"/>
        <w:contextualSpacing/>
        <w:rPr>
          <w:color w:val="auto"/>
        </w:rPr>
      </w:pPr>
    </w:p>
    <w:p w14:paraId="5ADBE488" w14:textId="40DB4A53" w:rsidR="00E25AE0" w:rsidRPr="00AB2539" w:rsidRDefault="00CF01FC" w:rsidP="00AB2539">
      <w:pPr>
        <w:pStyle w:val="NormalWeb"/>
        <w:widowControl/>
        <w:numPr>
          <w:ilvl w:val="1"/>
          <w:numId w:val="18"/>
        </w:numPr>
        <w:spacing w:before="0" w:beforeAutospacing="0" w:after="0" w:afterAutospacing="0"/>
        <w:contextualSpacing/>
        <w:rPr>
          <w:color w:val="auto"/>
        </w:rPr>
      </w:pPr>
      <w:r>
        <w:rPr>
          <w:bCs/>
        </w:rPr>
        <w:lastRenderedPageBreak/>
        <w:t xml:space="preserve">Prepare </w:t>
      </w:r>
      <w:r w:rsidR="008277DF" w:rsidRPr="00AB2539">
        <w:rPr>
          <w:bCs/>
        </w:rPr>
        <w:t>avidin-biotin com</w:t>
      </w:r>
      <w:r w:rsidR="004E5330" w:rsidRPr="00AB2539">
        <w:rPr>
          <w:bCs/>
        </w:rPr>
        <w:t>plex (</w:t>
      </w:r>
      <w:r w:rsidR="00E25AE0" w:rsidRPr="00AB2539">
        <w:rPr>
          <w:bCs/>
        </w:rPr>
        <w:t>ABC</w:t>
      </w:r>
      <w:r w:rsidR="004E5330" w:rsidRPr="00AB2539">
        <w:rPr>
          <w:bCs/>
        </w:rPr>
        <w:t>)</w:t>
      </w:r>
      <w:r w:rsidR="00E25AE0" w:rsidRPr="00AB2539">
        <w:rPr>
          <w:bCs/>
        </w:rPr>
        <w:t xml:space="preserve"> solution</w:t>
      </w:r>
      <w:r>
        <w:rPr>
          <w:bCs/>
        </w:rPr>
        <w:t xml:space="preserve"> as per</w:t>
      </w:r>
      <w:r w:rsidR="00E25AE0" w:rsidRPr="00AB2539">
        <w:t xml:space="preserve"> </w:t>
      </w:r>
      <w:r>
        <w:t xml:space="preserve">the </w:t>
      </w:r>
      <w:r w:rsidR="00E25AE0" w:rsidRPr="00AB2539">
        <w:t>instruction</w:t>
      </w:r>
      <w:r>
        <w:t>s</w:t>
      </w:r>
      <w:r w:rsidR="00E25AE0" w:rsidRPr="00AB2539">
        <w:t xml:space="preserve"> </w:t>
      </w:r>
      <w:r>
        <w:t>from</w:t>
      </w:r>
      <w:r w:rsidRPr="00AB2539">
        <w:t xml:space="preserve"> </w:t>
      </w:r>
      <w:r w:rsidR="00E25AE0" w:rsidRPr="00AB2539">
        <w:t xml:space="preserve">the manufacturer. </w:t>
      </w:r>
      <w:r w:rsidR="00030B19">
        <w:t>F</w:t>
      </w:r>
      <w:r w:rsidR="00E25AE0" w:rsidRPr="00AB2539">
        <w:t>or 5 mL of</w:t>
      </w:r>
      <w:r>
        <w:t xml:space="preserve"> ABC</w:t>
      </w:r>
      <w:r w:rsidR="00E25AE0" w:rsidRPr="00AB2539">
        <w:t xml:space="preserve"> in 0.1 M PBS</w:t>
      </w:r>
      <w:r w:rsidR="00030B19">
        <w:t>,</w:t>
      </w:r>
      <w:r w:rsidR="00E25AE0" w:rsidRPr="00AB2539">
        <w:t xml:space="preserve"> add 2 drops</w:t>
      </w:r>
      <w:r w:rsidR="000E687A" w:rsidRPr="00AB2539">
        <w:t xml:space="preserve"> (≈100 µ</w:t>
      </w:r>
      <w:r w:rsidR="009F3E27" w:rsidRPr="00AB2539">
        <w:t>L</w:t>
      </w:r>
      <w:r w:rsidR="000E687A" w:rsidRPr="00AB2539">
        <w:t>)</w:t>
      </w:r>
      <w:r w:rsidR="00E25AE0" w:rsidRPr="00AB2539">
        <w:t xml:space="preserve"> of reagent A and mix, </w:t>
      </w:r>
      <w:r>
        <w:t xml:space="preserve">and </w:t>
      </w:r>
      <w:r w:rsidR="00E25AE0" w:rsidRPr="00AB2539">
        <w:t>then add 2 drops</w:t>
      </w:r>
      <w:r w:rsidR="000E687A" w:rsidRPr="00AB2539">
        <w:t xml:space="preserve"> (≈100 µ</w:t>
      </w:r>
      <w:r w:rsidR="009F3E27" w:rsidRPr="00AB2539">
        <w:t>L</w:t>
      </w:r>
      <w:r w:rsidR="000E687A" w:rsidRPr="00AB2539">
        <w:t>)</w:t>
      </w:r>
      <w:r w:rsidR="00E25AE0" w:rsidRPr="00AB2539">
        <w:t xml:space="preserve"> of reagent B and mix. </w:t>
      </w:r>
    </w:p>
    <w:p w14:paraId="40DB275F" w14:textId="0C1B7E45" w:rsidR="00E25AE0" w:rsidRPr="00AB2539" w:rsidRDefault="002425B0" w:rsidP="00AB2539">
      <w:pPr>
        <w:pStyle w:val="NormalWeb"/>
        <w:widowControl/>
        <w:tabs>
          <w:tab w:val="left" w:pos="5340"/>
        </w:tabs>
        <w:spacing w:before="0" w:beforeAutospacing="0" w:after="0" w:afterAutospacing="0"/>
        <w:contextualSpacing/>
      </w:pPr>
      <w:r w:rsidRPr="00AB2539">
        <w:tab/>
      </w:r>
    </w:p>
    <w:p w14:paraId="32824BEB" w14:textId="37BF2EB1" w:rsidR="00E25AE0" w:rsidRPr="00AB2539" w:rsidRDefault="00E25AE0" w:rsidP="00AB2539">
      <w:pPr>
        <w:pStyle w:val="NormalWeb"/>
        <w:widowControl/>
        <w:spacing w:before="0" w:beforeAutospacing="0" w:after="0" w:afterAutospacing="0"/>
        <w:contextualSpacing/>
        <w:rPr>
          <w:color w:val="auto"/>
        </w:rPr>
      </w:pPr>
      <w:r w:rsidRPr="00AB2539">
        <w:t xml:space="preserve">NOTE: </w:t>
      </w:r>
      <w:r w:rsidR="001A0093" w:rsidRPr="00AB2539">
        <w:t>Solution m</w:t>
      </w:r>
      <w:r w:rsidRPr="00AB2539">
        <w:t>ust be prepared and allowed to tumble-roll for 20</w:t>
      </w:r>
      <w:r w:rsidR="00CF01FC" w:rsidRPr="00D13D3E">
        <w:t>‒</w:t>
      </w:r>
      <w:r w:rsidRPr="00AB2539">
        <w:t>30 min before use.</w:t>
      </w:r>
    </w:p>
    <w:p w14:paraId="4BA73922" w14:textId="77777777" w:rsidR="00E25AE0" w:rsidRPr="00AB2539" w:rsidRDefault="00E25AE0" w:rsidP="00AB2539">
      <w:pPr>
        <w:pStyle w:val="NormalWeb"/>
        <w:widowControl/>
        <w:spacing w:before="0" w:beforeAutospacing="0" w:after="0" w:afterAutospacing="0"/>
        <w:contextualSpacing/>
        <w:rPr>
          <w:color w:val="auto"/>
        </w:rPr>
      </w:pPr>
    </w:p>
    <w:p w14:paraId="6947A11F" w14:textId="6B95BCBC" w:rsidR="00E25AE0" w:rsidRPr="00AB2539" w:rsidRDefault="00030B19" w:rsidP="00AB2539">
      <w:pPr>
        <w:pStyle w:val="ListParagraph"/>
        <w:widowControl/>
        <w:numPr>
          <w:ilvl w:val="1"/>
          <w:numId w:val="18"/>
        </w:numPr>
        <w:autoSpaceDE/>
        <w:autoSpaceDN/>
        <w:adjustRightInd/>
      </w:pPr>
      <w:r>
        <w:t xml:space="preserve">Prepare </w:t>
      </w:r>
      <w:r w:rsidR="00E25AE0" w:rsidRPr="00AB2539">
        <w:t xml:space="preserve">DAB (Diaminobenzidine) Peroxidase (HRP) </w:t>
      </w:r>
      <w:r>
        <w:t>s</w:t>
      </w:r>
      <w:r w:rsidR="00E25AE0" w:rsidRPr="00AB2539">
        <w:t xml:space="preserve">ubstrate </w:t>
      </w:r>
      <w:r>
        <w:t>using the k</w:t>
      </w:r>
      <w:r w:rsidR="00E25AE0" w:rsidRPr="00AB2539">
        <w:t>it</w:t>
      </w:r>
      <w:r>
        <w:t xml:space="preserve"> by</w:t>
      </w:r>
      <w:r w:rsidR="00E25AE0" w:rsidRPr="00AB2539">
        <w:t xml:space="preserve"> </w:t>
      </w:r>
      <w:r>
        <w:t>f</w:t>
      </w:r>
      <w:r w:rsidR="00E25AE0" w:rsidRPr="00AB2539">
        <w:t>ollow</w:t>
      </w:r>
      <w:r>
        <w:t>ing</w:t>
      </w:r>
      <w:r w:rsidR="00E25AE0" w:rsidRPr="00AB2539">
        <w:t xml:space="preserve"> the instruction</w:t>
      </w:r>
      <w:r>
        <w:t>s</w:t>
      </w:r>
      <w:r w:rsidR="00E25AE0" w:rsidRPr="00AB2539">
        <w:t xml:space="preserve"> of the manufacturer. </w:t>
      </w:r>
      <w:r>
        <w:t xml:space="preserve">To </w:t>
      </w:r>
      <w:r w:rsidR="00E25AE0" w:rsidRPr="00AB2539">
        <w:t xml:space="preserve">5 mL of </w:t>
      </w:r>
      <w:r>
        <w:t>dd</w:t>
      </w:r>
      <w:r w:rsidR="00E25AE0" w:rsidRPr="00AB2539">
        <w:t>H</w:t>
      </w:r>
      <w:r w:rsidR="00E25AE0" w:rsidRPr="00AB2539">
        <w:rPr>
          <w:vertAlign w:val="subscript"/>
        </w:rPr>
        <w:t>2</w:t>
      </w:r>
      <w:r w:rsidR="00E25AE0" w:rsidRPr="00AB2539">
        <w:t>O</w:t>
      </w:r>
      <w:r>
        <w:t>,</w:t>
      </w:r>
      <w:r w:rsidR="00E25AE0" w:rsidRPr="00AB2539">
        <w:t xml:space="preserve"> add 2 drops </w:t>
      </w:r>
      <w:r w:rsidR="000E687A" w:rsidRPr="00AB2539">
        <w:t>(≈</w:t>
      </w:r>
      <w:r>
        <w:t xml:space="preserve"> </w:t>
      </w:r>
      <w:r w:rsidR="000E687A" w:rsidRPr="00AB2539">
        <w:t>84 µ</w:t>
      </w:r>
      <w:r w:rsidR="009F3E27" w:rsidRPr="00AB2539">
        <w:t>L</w:t>
      </w:r>
      <w:r w:rsidR="000E687A" w:rsidRPr="00AB2539">
        <w:t xml:space="preserve">) </w:t>
      </w:r>
      <w:r w:rsidR="00E25AE0" w:rsidRPr="00AB2539">
        <w:t xml:space="preserve">of reagent 1 and mix, add 4 drops </w:t>
      </w:r>
      <w:r w:rsidR="000E687A" w:rsidRPr="00AB2539">
        <w:t>(≈</w:t>
      </w:r>
      <w:r>
        <w:t xml:space="preserve"> </w:t>
      </w:r>
      <w:r w:rsidR="000E687A" w:rsidRPr="00AB2539">
        <w:t>100 µ</w:t>
      </w:r>
      <w:r w:rsidR="009F3E27" w:rsidRPr="00AB2539">
        <w:t>L</w:t>
      </w:r>
      <w:r w:rsidR="000E687A" w:rsidRPr="00AB2539">
        <w:t xml:space="preserve">) </w:t>
      </w:r>
      <w:r w:rsidR="00E25AE0" w:rsidRPr="00AB2539">
        <w:t xml:space="preserve">of reagent 2 and mix, then add 2 drops </w:t>
      </w:r>
      <w:r w:rsidR="000E687A" w:rsidRPr="00AB2539">
        <w:t>(≈</w:t>
      </w:r>
      <w:r>
        <w:t xml:space="preserve"> </w:t>
      </w:r>
      <w:r w:rsidR="000E687A" w:rsidRPr="00AB2539">
        <w:t>80 µ</w:t>
      </w:r>
      <w:r w:rsidR="009F3E27" w:rsidRPr="00AB2539">
        <w:t>L</w:t>
      </w:r>
      <w:r w:rsidR="000E687A" w:rsidRPr="00AB2539">
        <w:t xml:space="preserve">) </w:t>
      </w:r>
      <w:r w:rsidR="00E25AE0" w:rsidRPr="00AB2539">
        <w:t>of reagent 3 and mix. Finally, if desired, add 2 drops</w:t>
      </w:r>
      <w:r w:rsidR="000E687A" w:rsidRPr="00AB2539">
        <w:t xml:space="preserve"> (≈</w:t>
      </w:r>
      <w:r>
        <w:t xml:space="preserve"> </w:t>
      </w:r>
      <w:r w:rsidR="000E687A" w:rsidRPr="00AB2539">
        <w:t>80 µ</w:t>
      </w:r>
      <w:r w:rsidR="009F3E27" w:rsidRPr="00AB2539">
        <w:t>L</w:t>
      </w:r>
      <w:r w:rsidR="000E687A" w:rsidRPr="00AB2539">
        <w:t xml:space="preserve">) </w:t>
      </w:r>
      <w:r w:rsidR="00E25AE0" w:rsidRPr="00AB2539">
        <w:t>of reagent 4 (Nickel) and mix.</w:t>
      </w:r>
      <w:r w:rsidR="00EB0961">
        <w:t xml:space="preserve"> </w:t>
      </w:r>
    </w:p>
    <w:p w14:paraId="7BFCFEF2" w14:textId="77777777" w:rsidR="00E25AE0" w:rsidRPr="00AB2539" w:rsidRDefault="00E25AE0" w:rsidP="00AB2539">
      <w:pPr>
        <w:pStyle w:val="ListParagraph"/>
        <w:widowControl/>
        <w:ind w:left="0"/>
      </w:pPr>
    </w:p>
    <w:p w14:paraId="33CD7E34" w14:textId="6A766C49" w:rsidR="00E25AE0" w:rsidRPr="00AB2539" w:rsidRDefault="00E25AE0" w:rsidP="00AB2539">
      <w:pPr>
        <w:pStyle w:val="ListParagraph"/>
        <w:widowControl/>
        <w:ind w:left="0"/>
      </w:pPr>
      <w:r w:rsidRPr="00AB2539">
        <w:t xml:space="preserve">NOTE: </w:t>
      </w:r>
      <w:r w:rsidR="001A0093" w:rsidRPr="00AB2539">
        <w:t>Solution m</w:t>
      </w:r>
      <w:r w:rsidRPr="00AB2539">
        <w:t xml:space="preserve">ust be prepared </w:t>
      </w:r>
      <w:r w:rsidR="001A0093" w:rsidRPr="00AB2539">
        <w:t>immediately before use</w:t>
      </w:r>
      <w:r w:rsidRPr="00AB2539">
        <w:t xml:space="preserve">. </w:t>
      </w:r>
    </w:p>
    <w:p w14:paraId="6D6F6721" w14:textId="77777777" w:rsidR="00E25AE0" w:rsidRPr="00AB2539" w:rsidRDefault="00E25AE0" w:rsidP="00AB2539">
      <w:pPr>
        <w:pStyle w:val="ListParagraph"/>
        <w:widowControl/>
        <w:ind w:left="0"/>
      </w:pPr>
    </w:p>
    <w:p w14:paraId="65D45FD0" w14:textId="33800BD6" w:rsidR="00E25AE0" w:rsidRPr="00AB2539" w:rsidRDefault="00E25AE0" w:rsidP="00AB2539">
      <w:pPr>
        <w:pStyle w:val="ListParagraph"/>
        <w:widowControl/>
        <w:ind w:left="0"/>
      </w:pPr>
      <w:r w:rsidRPr="00AB2539">
        <w:t xml:space="preserve">CAUTION: DAB is toxic and potentially carcinogenic. </w:t>
      </w:r>
      <w:r w:rsidR="001A0093" w:rsidRPr="00AB2539">
        <w:t>It must be handled with</w:t>
      </w:r>
      <w:r w:rsidRPr="00AB2539">
        <w:t xml:space="preserve"> care a</w:t>
      </w:r>
      <w:r w:rsidR="00030B19">
        <w:t xml:space="preserve">nd </w:t>
      </w:r>
      <w:r w:rsidRPr="00AB2539">
        <w:t>discard</w:t>
      </w:r>
      <w:r w:rsidR="00030B19">
        <w:t>ed as per</w:t>
      </w:r>
      <w:r w:rsidR="00397445" w:rsidRPr="00AB2539">
        <w:t xml:space="preserve"> </w:t>
      </w:r>
      <w:r w:rsidRPr="00AB2539">
        <w:t xml:space="preserve">the </w:t>
      </w:r>
      <w:r w:rsidR="00030B19">
        <w:t xml:space="preserve">hazardous </w:t>
      </w:r>
      <w:r w:rsidRPr="00AB2539">
        <w:t xml:space="preserve">waste </w:t>
      </w:r>
      <w:r w:rsidR="00030B19">
        <w:t>r</w:t>
      </w:r>
      <w:r w:rsidRPr="00AB2539">
        <w:t xml:space="preserve">egulation </w:t>
      </w:r>
      <w:r w:rsidR="00030B19">
        <w:t>at</w:t>
      </w:r>
      <w:r w:rsidRPr="00AB2539">
        <w:t xml:space="preserve"> </w:t>
      </w:r>
      <w:r w:rsidR="00165D76" w:rsidRPr="00AB2539">
        <w:t xml:space="preserve">each </w:t>
      </w:r>
      <w:r w:rsidRPr="00AB2539">
        <w:t>institution. To inactivate DAB, add several drops of bleach (sodium hypochlorite)</w:t>
      </w:r>
      <w:r w:rsidR="00030B19">
        <w:t xml:space="preserve">; </w:t>
      </w:r>
      <w:r w:rsidRPr="00AB2539">
        <w:t>the solution will turn black.</w:t>
      </w:r>
    </w:p>
    <w:p w14:paraId="1F6C8E19" w14:textId="77777777" w:rsidR="00E25AE0" w:rsidRPr="00AB2539" w:rsidRDefault="00E25AE0" w:rsidP="00AB2539">
      <w:pPr>
        <w:pStyle w:val="ListParagraph"/>
        <w:widowControl/>
        <w:ind w:left="0"/>
        <w:rPr>
          <w:color w:val="FF0000"/>
        </w:rPr>
      </w:pPr>
    </w:p>
    <w:p w14:paraId="22941F43" w14:textId="5A6F2E93" w:rsidR="00E25AE0" w:rsidRPr="00AB2539" w:rsidRDefault="00030B19" w:rsidP="00AB2539">
      <w:pPr>
        <w:pStyle w:val="ListParagraph"/>
        <w:widowControl/>
        <w:numPr>
          <w:ilvl w:val="1"/>
          <w:numId w:val="18"/>
        </w:numPr>
        <w:autoSpaceDE/>
        <w:autoSpaceDN/>
        <w:adjustRightInd/>
      </w:pPr>
      <w:r>
        <w:t xml:space="preserve">Prepare 100 mL of </w:t>
      </w:r>
      <w:proofErr w:type="spellStart"/>
      <w:r>
        <w:t>c</w:t>
      </w:r>
      <w:r w:rsidR="00E25AE0" w:rsidRPr="00AB2539">
        <w:t>resyl</w:t>
      </w:r>
      <w:proofErr w:type="spellEnd"/>
      <w:r w:rsidR="00E25AE0" w:rsidRPr="00AB2539">
        <w:t xml:space="preserve"> violet</w:t>
      </w:r>
      <w:r>
        <w:t xml:space="preserve"> s</w:t>
      </w:r>
      <w:r w:rsidR="00E25AE0" w:rsidRPr="00AB2539">
        <w:t>olution</w:t>
      </w:r>
      <w:r>
        <w:t xml:space="preserve"> by </w:t>
      </w:r>
      <w:r w:rsidR="00397445" w:rsidRPr="00AB2539">
        <w:t>add</w:t>
      </w:r>
      <w:r>
        <w:t xml:space="preserve">ing </w:t>
      </w:r>
      <w:r w:rsidR="00E25AE0" w:rsidRPr="00AB2539">
        <w:t xml:space="preserve">100 mg of </w:t>
      </w:r>
      <w:proofErr w:type="spellStart"/>
      <w:r w:rsidR="00E25AE0" w:rsidRPr="00AB2539">
        <w:t>cresyl</w:t>
      </w:r>
      <w:proofErr w:type="spellEnd"/>
      <w:r w:rsidR="00E25AE0" w:rsidRPr="00AB2539">
        <w:t xml:space="preserve"> violet acetate</w:t>
      </w:r>
      <w:r>
        <w:t xml:space="preserve"> </w:t>
      </w:r>
      <w:r w:rsidR="00E25AE0" w:rsidRPr="00AB2539">
        <w:t>and 250 μL of acetic acid to 80 m</w:t>
      </w:r>
      <w:r>
        <w:t>L</w:t>
      </w:r>
      <w:r w:rsidR="00E25AE0" w:rsidRPr="00AB2539">
        <w:t xml:space="preserve"> of </w:t>
      </w:r>
      <w:r>
        <w:t>dd</w:t>
      </w:r>
      <w:r w:rsidR="00E25AE0" w:rsidRPr="00AB2539">
        <w:t>H</w:t>
      </w:r>
      <w:r w:rsidR="00E25AE0" w:rsidRPr="00AB2539">
        <w:rPr>
          <w:vertAlign w:val="subscript"/>
        </w:rPr>
        <w:t>2</w:t>
      </w:r>
      <w:r w:rsidR="00E25AE0" w:rsidRPr="00AB2539">
        <w:t>O at 55</w:t>
      </w:r>
      <w:r w:rsidRPr="00D13D3E">
        <w:t>‒</w:t>
      </w:r>
      <w:r w:rsidR="00E25AE0" w:rsidRPr="00AB2539">
        <w:t>60 °C. Adjust</w:t>
      </w:r>
      <w:r w:rsidR="00BB05AC">
        <w:t xml:space="preserve"> the</w:t>
      </w:r>
      <w:r w:rsidR="00E25AE0" w:rsidRPr="00AB2539">
        <w:t xml:space="preserve"> volume </w:t>
      </w:r>
      <w:r>
        <w:t xml:space="preserve">to </w:t>
      </w:r>
      <w:r w:rsidR="00E25AE0" w:rsidRPr="00AB2539">
        <w:t>100</w:t>
      </w:r>
      <w:r w:rsidR="004927DB" w:rsidRPr="00AB2539">
        <w:t xml:space="preserve"> </w:t>
      </w:r>
      <w:r w:rsidR="00E25AE0" w:rsidRPr="00AB2539">
        <w:t>mL, filter, and store at 4 °C in a dark</w:t>
      </w:r>
      <w:r>
        <w:t xml:space="preserve">-colored </w:t>
      </w:r>
      <w:r w:rsidR="00E25AE0" w:rsidRPr="00AB2539">
        <w:t>vessel.</w:t>
      </w:r>
    </w:p>
    <w:p w14:paraId="17A13F53" w14:textId="0E2893AD" w:rsidR="004D1C7F" w:rsidRPr="00AB2539" w:rsidRDefault="004D1C7F" w:rsidP="00AB2539">
      <w:pPr>
        <w:widowControl/>
        <w:autoSpaceDE/>
        <w:autoSpaceDN/>
        <w:adjustRightInd/>
      </w:pPr>
    </w:p>
    <w:p w14:paraId="76749AC3" w14:textId="3EFA122B" w:rsidR="00824B8C" w:rsidRPr="00AB2539" w:rsidRDefault="004D1C7F" w:rsidP="00AB2539">
      <w:pPr>
        <w:widowControl/>
        <w:autoSpaceDE/>
        <w:autoSpaceDN/>
        <w:adjustRightInd/>
      </w:pPr>
      <w:r w:rsidRPr="00AB2539">
        <w:t xml:space="preserve">NOTE: </w:t>
      </w:r>
      <w:r w:rsidR="00824B8C" w:rsidRPr="00AB2539">
        <w:t xml:space="preserve">The user is encouraged to test different concentrations of the </w:t>
      </w:r>
      <w:proofErr w:type="spellStart"/>
      <w:r w:rsidR="00824B8C" w:rsidRPr="00AB2539">
        <w:t>cresyl</w:t>
      </w:r>
      <w:proofErr w:type="spellEnd"/>
      <w:r w:rsidR="00824B8C" w:rsidRPr="00AB2539">
        <w:t xml:space="preserve"> violet solution before using it on valuable tissue samples. The result may be dark</w:t>
      </w:r>
      <w:r w:rsidR="00033BEF" w:rsidRPr="00AB2539">
        <w:t>er</w:t>
      </w:r>
      <w:r w:rsidR="00824B8C" w:rsidRPr="00AB2539">
        <w:t xml:space="preserve"> for counterstaining with some tissue samples, which may decrease the ability to count </w:t>
      </w:r>
      <w:proofErr w:type="spellStart"/>
      <w:r w:rsidR="00824B8C" w:rsidRPr="00AB2539">
        <w:t>BrdU</w:t>
      </w:r>
      <w:proofErr w:type="spellEnd"/>
      <w:r w:rsidR="00824B8C" w:rsidRPr="00AB2539">
        <w:t xml:space="preserve"> positive cells accurately.</w:t>
      </w:r>
    </w:p>
    <w:p w14:paraId="79692D05" w14:textId="77777777" w:rsidR="00E25AE0" w:rsidRPr="00AB2539" w:rsidRDefault="00E25AE0" w:rsidP="00AB2539">
      <w:pPr>
        <w:widowControl/>
        <w:contextualSpacing/>
        <w:rPr>
          <w:b/>
          <w:bCs/>
        </w:rPr>
      </w:pPr>
    </w:p>
    <w:p w14:paraId="52F10BD5" w14:textId="32BD9B23" w:rsidR="00E25AE0" w:rsidRPr="00AB2539" w:rsidRDefault="00E758D3" w:rsidP="00AB2539">
      <w:pPr>
        <w:pStyle w:val="ListParagraph"/>
        <w:widowControl/>
        <w:numPr>
          <w:ilvl w:val="0"/>
          <w:numId w:val="18"/>
        </w:numPr>
        <w:autoSpaceDE/>
        <w:autoSpaceDN/>
        <w:adjustRightInd/>
        <w:rPr>
          <w:highlight w:val="yellow"/>
        </w:rPr>
      </w:pPr>
      <w:r w:rsidRPr="00AB2539">
        <w:rPr>
          <w:b/>
          <w:bCs/>
          <w:highlight w:val="yellow"/>
        </w:rPr>
        <w:t xml:space="preserve">Thymidine analog </w:t>
      </w:r>
      <w:proofErr w:type="spellStart"/>
      <w:r w:rsidRPr="00AB2539">
        <w:rPr>
          <w:b/>
          <w:bCs/>
          <w:highlight w:val="yellow"/>
        </w:rPr>
        <w:t>BrdU</w:t>
      </w:r>
      <w:proofErr w:type="spellEnd"/>
      <w:r w:rsidRPr="00AB2539">
        <w:rPr>
          <w:b/>
          <w:bCs/>
          <w:highlight w:val="yellow"/>
        </w:rPr>
        <w:t xml:space="preserve"> administration</w:t>
      </w:r>
    </w:p>
    <w:p w14:paraId="045FBD54" w14:textId="77777777" w:rsidR="00E25AE0" w:rsidRPr="00AB2539" w:rsidRDefault="00E25AE0" w:rsidP="00AB2539">
      <w:pPr>
        <w:pStyle w:val="ListParagraph"/>
        <w:widowControl/>
        <w:ind w:left="0"/>
        <w:rPr>
          <w:highlight w:val="yellow"/>
        </w:rPr>
      </w:pPr>
    </w:p>
    <w:p w14:paraId="670CA138" w14:textId="740ADE00" w:rsidR="00DF26E7" w:rsidRPr="00AB2539" w:rsidRDefault="00E25AE0" w:rsidP="00030B19">
      <w:pPr>
        <w:pStyle w:val="ListParagraph"/>
        <w:widowControl/>
        <w:numPr>
          <w:ilvl w:val="1"/>
          <w:numId w:val="18"/>
        </w:numPr>
        <w:autoSpaceDE/>
        <w:autoSpaceDN/>
        <w:adjustRightInd/>
        <w:rPr>
          <w:b/>
          <w:bCs/>
          <w:highlight w:val="yellow"/>
        </w:rPr>
      </w:pPr>
      <w:r w:rsidRPr="00AB2539">
        <w:rPr>
          <w:highlight w:val="yellow"/>
        </w:rPr>
        <w:t>Restrain the</w:t>
      </w:r>
      <w:r w:rsidR="004621AB" w:rsidRPr="00AB2539">
        <w:rPr>
          <w:highlight w:val="yellow"/>
        </w:rPr>
        <w:t xml:space="preserve"> experimental</w:t>
      </w:r>
      <w:r w:rsidRPr="00AB2539">
        <w:rPr>
          <w:highlight w:val="yellow"/>
        </w:rPr>
        <w:t xml:space="preserve"> </w:t>
      </w:r>
      <w:r w:rsidR="004621AB" w:rsidRPr="00AB2539">
        <w:rPr>
          <w:highlight w:val="yellow"/>
        </w:rPr>
        <w:t>animal</w:t>
      </w:r>
      <w:r w:rsidR="00EA2F79" w:rsidRPr="00AB2539">
        <w:rPr>
          <w:highlight w:val="yellow"/>
        </w:rPr>
        <w:t xml:space="preserve"> </w:t>
      </w:r>
      <w:r w:rsidR="00DF26E7" w:rsidRPr="00AB2539">
        <w:rPr>
          <w:highlight w:val="yellow"/>
        </w:rPr>
        <w:t>(</w:t>
      </w:r>
      <w:r w:rsidR="00F77693" w:rsidRPr="00AB2539">
        <w:rPr>
          <w:highlight w:val="yellow"/>
        </w:rPr>
        <w:t>e.g.</w:t>
      </w:r>
      <w:r w:rsidR="002425B0" w:rsidRPr="00AB2539">
        <w:rPr>
          <w:highlight w:val="yellow"/>
        </w:rPr>
        <w:t>,</w:t>
      </w:r>
      <w:r w:rsidR="00EA2F79" w:rsidRPr="00AB2539">
        <w:rPr>
          <w:highlight w:val="yellow"/>
        </w:rPr>
        <w:t xml:space="preserve"> </w:t>
      </w:r>
      <w:r w:rsidR="00F913A8" w:rsidRPr="00AB2539">
        <w:rPr>
          <w:highlight w:val="yellow"/>
        </w:rPr>
        <w:t>90</w:t>
      </w:r>
      <w:r w:rsidR="00030B19">
        <w:rPr>
          <w:highlight w:val="yellow"/>
        </w:rPr>
        <w:t>-</w:t>
      </w:r>
      <w:r w:rsidR="00EA2F79" w:rsidRPr="00AB2539">
        <w:rPr>
          <w:highlight w:val="yellow"/>
        </w:rPr>
        <w:t>day</w:t>
      </w:r>
      <w:r w:rsidR="00030B19">
        <w:rPr>
          <w:highlight w:val="yellow"/>
        </w:rPr>
        <w:t>-</w:t>
      </w:r>
      <w:r w:rsidR="00EA2F79" w:rsidRPr="00AB2539">
        <w:rPr>
          <w:highlight w:val="yellow"/>
        </w:rPr>
        <w:t>old male</w:t>
      </w:r>
      <w:r w:rsidR="004621AB" w:rsidRPr="00AB2539">
        <w:rPr>
          <w:highlight w:val="yellow"/>
        </w:rPr>
        <w:t xml:space="preserve"> Wistar</w:t>
      </w:r>
      <w:r w:rsidR="00EA2F79" w:rsidRPr="00AB2539">
        <w:rPr>
          <w:highlight w:val="yellow"/>
        </w:rPr>
        <w:t xml:space="preserve"> rat</w:t>
      </w:r>
      <w:r w:rsidR="00030B19">
        <w:rPr>
          <w:highlight w:val="yellow"/>
        </w:rPr>
        <w:t xml:space="preserve"> weighing 350 g</w:t>
      </w:r>
      <w:r w:rsidR="00DF26E7" w:rsidRPr="00AB2539">
        <w:rPr>
          <w:highlight w:val="yellow"/>
        </w:rPr>
        <w:t>)</w:t>
      </w:r>
      <w:r w:rsidRPr="00AB2539">
        <w:rPr>
          <w:highlight w:val="yellow"/>
        </w:rPr>
        <w:t xml:space="preserve">, </w:t>
      </w:r>
      <w:r w:rsidR="00BB05AC">
        <w:rPr>
          <w:highlight w:val="yellow"/>
        </w:rPr>
        <w:t xml:space="preserve">by </w:t>
      </w:r>
      <w:r w:rsidR="00030B19" w:rsidRPr="00AB2539">
        <w:rPr>
          <w:highlight w:val="yellow"/>
        </w:rPr>
        <w:t>i</w:t>
      </w:r>
      <w:r w:rsidR="00030B19">
        <w:rPr>
          <w:highlight w:val="yellow"/>
        </w:rPr>
        <w:t>mmobilizing</w:t>
      </w:r>
      <w:r w:rsidR="00030B19" w:rsidRPr="00AB2539">
        <w:rPr>
          <w:highlight w:val="yellow"/>
        </w:rPr>
        <w:t xml:space="preserve"> </w:t>
      </w:r>
      <w:r w:rsidRPr="00AB2539">
        <w:rPr>
          <w:highlight w:val="yellow"/>
        </w:rPr>
        <w:t>the lower abdominal cavity</w:t>
      </w:r>
      <w:r w:rsidR="00DF26E7" w:rsidRPr="00AB2539">
        <w:rPr>
          <w:highlight w:val="yellow"/>
        </w:rPr>
        <w:t>.</w:t>
      </w:r>
    </w:p>
    <w:p w14:paraId="1CA80A68" w14:textId="77777777" w:rsidR="00DF26E7" w:rsidRPr="00AB2539" w:rsidRDefault="00DF26E7" w:rsidP="00593459">
      <w:pPr>
        <w:pStyle w:val="ListParagraph"/>
        <w:widowControl/>
        <w:autoSpaceDE/>
        <w:autoSpaceDN/>
        <w:adjustRightInd/>
        <w:ind w:left="0"/>
        <w:rPr>
          <w:b/>
          <w:bCs/>
          <w:highlight w:val="yellow"/>
        </w:rPr>
      </w:pPr>
    </w:p>
    <w:p w14:paraId="6812FE0A" w14:textId="26299AD8" w:rsidR="00E25AE0" w:rsidRPr="00AB2539" w:rsidRDefault="004621AB" w:rsidP="00EB0961">
      <w:pPr>
        <w:pStyle w:val="ListParagraph"/>
        <w:widowControl/>
        <w:numPr>
          <w:ilvl w:val="1"/>
          <w:numId w:val="18"/>
        </w:numPr>
        <w:autoSpaceDE/>
        <w:autoSpaceDN/>
        <w:adjustRightInd/>
        <w:rPr>
          <w:highlight w:val="yellow"/>
        </w:rPr>
      </w:pPr>
      <w:r w:rsidRPr="00AB2539">
        <w:rPr>
          <w:highlight w:val="yellow"/>
        </w:rPr>
        <w:t>Administer</w:t>
      </w:r>
      <w:r w:rsidR="00B9163E" w:rsidRPr="00AB2539">
        <w:rPr>
          <w:highlight w:val="yellow"/>
        </w:rPr>
        <w:t xml:space="preserve"> </w:t>
      </w:r>
      <w:r w:rsidR="00296348" w:rsidRPr="00AB2539">
        <w:rPr>
          <w:highlight w:val="yellow"/>
        </w:rPr>
        <w:t xml:space="preserve">the </w:t>
      </w:r>
      <w:proofErr w:type="spellStart"/>
      <w:r w:rsidR="00296348" w:rsidRPr="00AB2539">
        <w:rPr>
          <w:highlight w:val="yellow"/>
        </w:rPr>
        <w:t>BrdU</w:t>
      </w:r>
      <w:proofErr w:type="spellEnd"/>
      <w:r w:rsidR="00296348" w:rsidRPr="00AB2539">
        <w:rPr>
          <w:highlight w:val="yellow"/>
        </w:rPr>
        <w:t xml:space="preserve"> solution (50 mg/kg) intraperitoneally (</w:t>
      </w:r>
      <w:proofErr w:type="spellStart"/>
      <w:r w:rsidR="00296348" w:rsidRPr="00AB2539">
        <w:rPr>
          <w:highlight w:val="yellow"/>
        </w:rPr>
        <w:t>i.p.</w:t>
      </w:r>
      <w:proofErr w:type="spellEnd"/>
      <w:r w:rsidR="00296348" w:rsidRPr="00AB2539">
        <w:rPr>
          <w:highlight w:val="yellow"/>
        </w:rPr>
        <w:t xml:space="preserve">) </w:t>
      </w:r>
      <w:r w:rsidR="00E25AE0" w:rsidRPr="00AB2539">
        <w:rPr>
          <w:highlight w:val="yellow"/>
        </w:rPr>
        <w:t xml:space="preserve">using a </w:t>
      </w:r>
      <w:r w:rsidR="00030B19">
        <w:rPr>
          <w:highlight w:val="yellow"/>
        </w:rPr>
        <w:t>23 G</w:t>
      </w:r>
      <w:r w:rsidR="00EB0961">
        <w:rPr>
          <w:highlight w:val="yellow"/>
        </w:rPr>
        <w:t xml:space="preserve"> </w:t>
      </w:r>
      <w:r w:rsidR="00E25AE0" w:rsidRPr="00AB2539">
        <w:rPr>
          <w:highlight w:val="yellow"/>
        </w:rPr>
        <w:t>needle</w:t>
      </w:r>
      <w:r w:rsidR="00030B19">
        <w:rPr>
          <w:highlight w:val="yellow"/>
        </w:rPr>
        <w:t xml:space="preserve"> and 1 mL syringe.</w:t>
      </w:r>
      <w:r w:rsidR="00E25AE0" w:rsidRPr="00AB2539">
        <w:rPr>
          <w:highlight w:val="yellow"/>
        </w:rPr>
        <w:t xml:space="preserve"> </w:t>
      </w:r>
    </w:p>
    <w:p w14:paraId="17AB423B" w14:textId="77777777" w:rsidR="00B9163E" w:rsidRPr="00AB2539" w:rsidRDefault="00B9163E" w:rsidP="00EB0961">
      <w:pPr>
        <w:pStyle w:val="ListParagraph"/>
        <w:widowControl/>
        <w:ind w:left="0"/>
      </w:pPr>
    </w:p>
    <w:p w14:paraId="283B6284" w14:textId="083BFB0D" w:rsidR="00B9163E" w:rsidRPr="00AB2539" w:rsidRDefault="00B9163E" w:rsidP="006D7B01">
      <w:pPr>
        <w:pStyle w:val="ListParagraph"/>
        <w:widowControl/>
        <w:ind w:left="0"/>
      </w:pPr>
      <w:r w:rsidRPr="00AB2539">
        <w:t xml:space="preserve">NOTE: Adjust the </w:t>
      </w:r>
      <w:r w:rsidR="00030B19">
        <w:t xml:space="preserve">injection </w:t>
      </w:r>
      <w:r w:rsidRPr="00AB2539">
        <w:t xml:space="preserve">volume </w:t>
      </w:r>
      <w:r w:rsidR="00030B19">
        <w:t>as per</w:t>
      </w:r>
      <w:r w:rsidRPr="00AB2539">
        <w:t xml:space="preserve"> weight of the animal. Use a </w:t>
      </w:r>
      <w:r w:rsidR="00397445" w:rsidRPr="00AB2539">
        <w:t>23</w:t>
      </w:r>
      <w:r w:rsidR="00030B19" w:rsidRPr="00D13D3E">
        <w:t>‒</w:t>
      </w:r>
      <w:r w:rsidR="00397445" w:rsidRPr="00AB2539">
        <w:t>27</w:t>
      </w:r>
      <w:r w:rsidR="002425B0" w:rsidRPr="00AB2539">
        <w:t xml:space="preserve"> G</w:t>
      </w:r>
      <w:r w:rsidRPr="00AB2539">
        <w:t xml:space="preserve"> needle and a 1</w:t>
      </w:r>
      <w:r w:rsidR="00030B19" w:rsidRPr="00D13D3E">
        <w:t>‒</w:t>
      </w:r>
      <w:r w:rsidRPr="00AB2539">
        <w:t>5 m</w:t>
      </w:r>
      <w:r w:rsidR="002425B0" w:rsidRPr="00AB2539">
        <w:t>L</w:t>
      </w:r>
      <w:r w:rsidRPr="00AB2539">
        <w:t xml:space="preserve"> syringe for adult rats. The maximum tolerable intraperitoneal injection volume in the adult rat is 10 </w:t>
      </w:r>
      <w:proofErr w:type="spellStart"/>
      <w:r w:rsidR="004927DB" w:rsidRPr="00AB2539">
        <w:t>mL</w:t>
      </w:r>
      <w:r w:rsidRPr="00AB2539">
        <w:t>.</w:t>
      </w:r>
      <w:proofErr w:type="spellEnd"/>
      <w:r w:rsidRPr="00AB2539">
        <w:t xml:space="preserve"> Different routes c</w:t>
      </w:r>
      <w:r w:rsidR="003F2478">
        <w:t>an</w:t>
      </w:r>
      <w:r w:rsidRPr="00AB2539">
        <w:t xml:space="preserve"> be used to administ</w:t>
      </w:r>
      <w:r w:rsidR="003F2478">
        <w:t>er</w:t>
      </w:r>
      <w:r w:rsidRPr="00AB2539">
        <w:t xml:space="preserve"> the </w:t>
      </w:r>
      <w:proofErr w:type="spellStart"/>
      <w:r w:rsidRPr="00AB2539">
        <w:t>BrdU</w:t>
      </w:r>
      <w:proofErr w:type="spellEnd"/>
      <w:r w:rsidR="00397445" w:rsidRPr="00AB2539">
        <w:t xml:space="preserve"> solution</w:t>
      </w:r>
      <w:r w:rsidR="00F94AD5" w:rsidRPr="00AB2539">
        <w:fldChar w:fldCharType="begin" w:fldLock="1"/>
      </w:r>
      <w:r w:rsidR="00383526" w:rsidRPr="00AB2539">
        <w:instrText>ADDIN CSL_CITATION {"citationItems":[{"id":"ITEM-1","itemData":{"DOI":"10.1016/j.brainresrev.2006.08.002","ISSN":"01650173","abstract":"Bromodeoxyuridine (BrdU) is a thymidine analog that incorporates DNA of dividing cells during the S-phase of the cell cycle. As such, BrdU is used for birth dating and monitoring cell proliferation. BrdU immunohistochemistry has been instrumental for the study of the development of the nervous system, and to confirm that neurogenesis occurs in the adult mammalian brain, including in human. However, the use of BrdU for studying neurogenesis is not without pitfalls and limitations. BrdU is a toxic and mutagenic substance. It triggers cell death, the formation of teratomas, alters DNA stability, lengthens the cell cycle, and has mitogenic, transcriptional and translational effects on cells that incorporate it. All of which have profound consequences on neurogenesis. BrdU is not a marker of the S-phase of the cell cycle. As a thymidine analog, it is a marker of DNA synthesis. Therefore, studying neurogenesis with BrdU requires distinguishing cell proliferation and neurogenesis from other events involving DNA synthesis, like DNA repair, abortive cell cycle reentry and gene duplication. BrdU labeling is currently the most used technique for studying adult neurogenesis in situ. However in many instances, appropriate controls have been overlooked and events reported as the generation of new neuronal cells in the adult brain misinterpreted, which makes BrdU labeling one of the most misused techniques in neuroscience. © 2006 Elsevier B.V. All rights reserved.","author":[{"dropping-particle":"","family":"Taupin","given":"Philippe","non-dropping-particle":"","parse-names":false,"suffix":""}],"container-title":"Brain Research Reviews","id":"ITEM-1","issue":"1","issued":{"date-parts":[["2007"]]},"page":"198-214","title":"BrdU immunohistochemistry for studying adult neurogenesis: Paradigms, pitfalls, limitations, and validation","type":"article-journal","volume":"53"},"uris":["http://www.mendeley.com/documents/?uuid=932c92e5-5769-491e-a28a-212affb4dfc5"]}],"mendeley":{"formattedCitation":"&lt;sup&gt;14&lt;/sup&gt;","plainTextFormattedCitation":"14","previouslyFormattedCitation":"&lt;sup&gt;14&lt;/sup&gt;"},"properties":{"noteIndex":0},"schema":"https://github.com/citation-style-language/schema/raw/master/csl-citation.json"}</w:instrText>
      </w:r>
      <w:r w:rsidR="00F94AD5" w:rsidRPr="00AB2539">
        <w:fldChar w:fldCharType="separate"/>
      </w:r>
      <w:r w:rsidR="00557272" w:rsidRPr="00AB2539">
        <w:rPr>
          <w:noProof/>
          <w:vertAlign w:val="superscript"/>
        </w:rPr>
        <w:t>14</w:t>
      </w:r>
      <w:r w:rsidR="00F94AD5" w:rsidRPr="00AB2539">
        <w:fldChar w:fldCharType="end"/>
      </w:r>
      <w:r w:rsidRPr="00AB2539">
        <w:t xml:space="preserve">. For example, intraperitoneal injection or </w:t>
      </w:r>
      <w:r w:rsidR="00397445" w:rsidRPr="00AB2539">
        <w:t xml:space="preserve">oral administration through </w:t>
      </w:r>
      <w:r w:rsidRPr="00AB2539">
        <w:t>drinking water.</w:t>
      </w:r>
      <w:r w:rsidR="00F913A8" w:rsidRPr="00AB2539">
        <w:t xml:space="preserve"> </w:t>
      </w:r>
    </w:p>
    <w:p w14:paraId="3E3DA381" w14:textId="77777777" w:rsidR="00E25AE0" w:rsidRPr="00AB2539" w:rsidRDefault="00E25AE0" w:rsidP="00AB2539">
      <w:pPr>
        <w:widowControl/>
        <w:contextualSpacing/>
        <w:rPr>
          <w:b/>
          <w:bCs/>
        </w:rPr>
      </w:pPr>
    </w:p>
    <w:p w14:paraId="5DB66913" w14:textId="32A35945" w:rsidR="00E25AE0" w:rsidRPr="00AB2539" w:rsidRDefault="00E758D3" w:rsidP="00AB2539">
      <w:pPr>
        <w:pStyle w:val="ListParagraph"/>
        <w:widowControl/>
        <w:numPr>
          <w:ilvl w:val="0"/>
          <w:numId w:val="18"/>
        </w:numPr>
        <w:autoSpaceDE/>
        <w:autoSpaceDN/>
        <w:adjustRightInd/>
        <w:rPr>
          <w:b/>
          <w:bCs/>
        </w:rPr>
      </w:pPr>
      <w:r w:rsidRPr="00AB2539">
        <w:rPr>
          <w:b/>
          <w:bCs/>
        </w:rPr>
        <w:t xml:space="preserve">Tissue preparation </w:t>
      </w:r>
    </w:p>
    <w:p w14:paraId="39E9D63E" w14:textId="56BFF491" w:rsidR="00E25AE0" w:rsidRPr="00AB2539" w:rsidRDefault="00E25AE0" w:rsidP="00AB2539">
      <w:pPr>
        <w:pStyle w:val="ListParagraph"/>
        <w:widowControl/>
        <w:ind w:left="0"/>
        <w:rPr>
          <w:b/>
          <w:bCs/>
        </w:rPr>
      </w:pPr>
    </w:p>
    <w:p w14:paraId="1D163525" w14:textId="3DB42399" w:rsidR="00F913A8" w:rsidRPr="00AB2539" w:rsidRDefault="00F913A8" w:rsidP="00AB2539">
      <w:pPr>
        <w:pStyle w:val="ListParagraph"/>
        <w:widowControl/>
        <w:ind w:left="0"/>
      </w:pPr>
      <w:r w:rsidRPr="00AB2539">
        <w:t>NOTE:</w:t>
      </w:r>
      <w:r w:rsidR="00532566" w:rsidRPr="00AB2539">
        <w:t xml:space="preserve"> Three-month-old rats </w:t>
      </w:r>
      <w:r w:rsidR="00030B19">
        <w:t>were allowed ad libitum</w:t>
      </w:r>
      <w:r w:rsidR="00532566" w:rsidRPr="00AB2539">
        <w:t xml:space="preserve"> </w:t>
      </w:r>
      <w:r w:rsidR="00030B19">
        <w:t xml:space="preserve">access to </w:t>
      </w:r>
      <w:r w:rsidR="00532566" w:rsidRPr="00AB2539">
        <w:t xml:space="preserve">physical activity </w:t>
      </w:r>
      <w:r w:rsidR="00030B19">
        <w:t>(</w:t>
      </w:r>
      <w:r w:rsidR="00532566" w:rsidRPr="00AB2539">
        <w:t xml:space="preserve">endless wheel) for seven days. On </w:t>
      </w:r>
      <w:r w:rsidR="003F2478">
        <w:t xml:space="preserve">the </w:t>
      </w:r>
      <w:r w:rsidR="00532566" w:rsidRPr="00AB2539">
        <w:t xml:space="preserve">day 6, rats were injected with </w:t>
      </w:r>
      <w:proofErr w:type="spellStart"/>
      <w:r w:rsidR="00532566" w:rsidRPr="00AB2539">
        <w:t>BrdU</w:t>
      </w:r>
      <w:proofErr w:type="spellEnd"/>
      <w:r w:rsidR="00532566" w:rsidRPr="00AB2539">
        <w:t xml:space="preserve"> (step 2)</w:t>
      </w:r>
      <w:r w:rsidR="00030B19">
        <w:t xml:space="preserve"> 3 times at intervals</w:t>
      </w:r>
      <w:r w:rsidR="00EB0961">
        <w:t xml:space="preserve"> </w:t>
      </w:r>
      <w:r w:rsidR="00030B19">
        <w:t xml:space="preserve">of </w:t>
      </w:r>
      <w:r w:rsidR="00532566" w:rsidRPr="00AB2539">
        <w:t xml:space="preserve">12 h. </w:t>
      </w:r>
      <w:r w:rsidR="00030B19">
        <w:t>Perform</w:t>
      </w:r>
      <w:r w:rsidR="00532566" w:rsidRPr="00AB2539">
        <w:t xml:space="preserve"> step</w:t>
      </w:r>
      <w:r w:rsidR="00030B19">
        <w:t>s in section</w:t>
      </w:r>
      <w:r w:rsidR="00532566" w:rsidRPr="00AB2539">
        <w:t xml:space="preserve"> 3 after </w:t>
      </w:r>
      <w:r w:rsidR="00033BEF" w:rsidRPr="00AB2539">
        <w:t>8</w:t>
      </w:r>
      <w:r w:rsidR="00532566" w:rsidRPr="00AB2539">
        <w:t xml:space="preserve"> h f</w:t>
      </w:r>
      <w:r w:rsidR="00030B19">
        <w:t>rom</w:t>
      </w:r>
      <w:r w:rsidR="00532566" w:rsidRPr="00AB2539">
        <w:t xml:space="preserve"> the last </w:t>
      </w:r>
      <w:proofErr w:type="spellStart"/>
      <w:r w:rsidR="00532566" w:rsidRPr="00AB2539">
        <w:t>BrdU</w:t>
      </w:r>
      <w:proofErr w:type="spellEnd"/>
      <w:r w:rsidR="00532566" w:rsidRPr="00AB2539">
        <w:t xml:space="preserve"> injection.</w:t>
      </w:r>
    </w:p>
    <w:p w14:paraId="0FA58A06" w14:textId="77777777" w:rsidR="002425B0" w:rsidRPr="00AB2539" w:rsidRDefault="002425B0" w:rsidP="00AB2539">
      <w:pPr>
        <w:pStyle w:val="ListParagraph"/>
        <w:widowControl/>
        <w:ind w:left="0"/>
      </w:pPr>
    </w:p>
    <w:p w14:paraId="5ACCE848" w14:textId="1C40E590" w:rsidR="00E25AE0" w:rsidRPr="00AB2539" w:rsidRDefault="00E25AE0" w:rsidP="00AB2539">
      <w:pPr>
        <w:pStyle w:val="ListParagraph"/>
        <w:widowControl/>
        <w:numPr>
          <w:ilvl w:val="1"/>
          <w:numId w:val="18"/>
        </w:numPr>
        <w:autoSpaceDE/>
        <w:autoSpaceDN/>
        <w:adjustRightInd/>
        <w:rPr>
          <w:b/>
          <w:bCs/>
        </w:rPr>
      </w:pPr>
      <w:r w:rsidRPr="00AB2539">
        <w:lastRenderedPageBreak/>
        <w:t xml:space="preserve">Inject pentobarbital </w:t>
      </w:r>
      <w:r w:rsidR="00B37305" w:rsidRPr="00AB2539">
        <w:t>(</w:t>
      </w:r>
      <w:r w:rsidRPr="00AB2539">
        <w:t xml:space="preserve">50 mg/kg </w:t>
      </w:r>
      <w:proofErr w:type="spellStart"/>
      <w:r w:rsidRPr="00AB2539">
        <w:t>i</w:t>
      </w:r>
      <w:r w:rsidR="00154C76" w:rsidRPr="00AB2539">
        <w:t>.</w:t>
      </w:r>
      <w:r w:rsidRPr="00AB2539">
        <w:t>p</w:t>
      </w:r>
      <w:r w:rsidR="00154C76" w:rsidRPr="00AB2539">
        <w:t>.</w:t>
      </w:r>
      <w:proofErr w:type="spellEnd"/>
      <w:r w:rsidR="00B37305" w:rsidRPr="00AB2539">
        <w:t>)</w:t>
      </w:r>
      <w:r w:rsidRPr="00AB2539">
        <w:t xml:space="preserve"> and wait </w:t>
      </w:r>
      <w:r w:rsidR="00B37305" w:rsidRPr="00AB2539">
        <w:t xml:space="preserve">a few </w:t>
      </w:r>
      <w:r w:rsidR="00C54778" w:rsidRPr="00AB2539">
        <w:t>mi</w:t>
      </w:r>
      <w:r w:rsidR="0034741C" w:rsidRPr="00AB2539">
        <w:t>n</w:t>
      </w:r>
      <w:r w:rsidR="00030B19">
        <w:t>utes</w:t>
      </w:r>
      <w:r w:rsidR="00C54778" w:rsidRPr="00AB2539">
        <w:t xml:space="preserve"> </w:t>
      </w:r>
      <w:r w:rsidRPr="00AB2539">
        <w:t>until the animal is deeply anesthetized</w:t>
      </w:r>
      <w:r w:rsidR="00F7003F" w:rsidRPr="00AB2539">
        <w:t xml:space="preserve">. </w:t>
      </w:r>
    </w:p>
    <w:p w14:paraId="19E0E0A7" w14:textId="4C13185E" w:rsidR="00F913A8" w:rsidRPr="00AB2539" w:rsidRDefault="00F913A8" w:rsidP="00AB2539">
      <w:pPr>
        <w:widowControl/>
        <w:autoSpaceDE/>
        <w:autoSpaceDN/>
        <w:adjustRightInd/>
        <w:rPr>
          <w:b/>
          <w:bCs/>
        </w:rPr>
      </w:pPr>
    </w:p>
    <w:p w14:paraId="75ACBBAA" w14:textId="4EFAB26D" w:rsidR="00F913A8" w:rsidRPr="00AB2539" w:rsidRDefault="00F913A8" w:rsidP="00AB2539">
      <w:pPr>
        <w:widowControl/>
        <w:autoSpaceDE/>
        <w:autoSpaceDN/>
        <w:adjustRightInd/>
      </w:pPr>
      <w:r w:rsidRPr="00AB2539">
        <w:t xml:space="preserve">NOTE: </w:t>
      </w:r>
      <w:r w:rsidR="00C54778" w:rsidRPr="00AB2539">
        <w:t>Make</w:t>
      </w:r>
      <w:r w:rsidRPr="00AB2539">
        <w:t xml:space="preserve"> sure that the animal is </w:t>
      </w:r>
      <w:r w:rsidR="00AD5BEC" w:rsidRPr="00AB2539">
        <w:t xml:space="preserve">completely </w:t>
      </w:r>
      <w:r w:rsidRPr="00AB2539">
        <w:t>anesthetized before continuing. Carefully pinch one of the legs or the tail. If the animal reacts to the stimulus, wait a few more min</w:t>
      </w:r>
      <w:r w:rsidR="00030B19">
        <w:t>utes</w:t>
      </w:r>
      <w:r w:rsidRPr="00AB2539">
        <w:t>. If the animal does not react to the pinch, go to the next step.</w:t>
      </w:r>
    </w:p>
    <w:p w14:paraId="01F7F13F" w14:textId="77777777" w:rsidR="00E25AE0" w:rsidRPr="00AB2539" w:rsidRDefault="00E25AE0" w:rsidP="00AB2539">
      <w:pPr>
        <w:pStyle w:val="ListParagraph"/>
        <w:widowControl/>
        <w:ind w:left="0"/>
      </w:pPr>
    </w:p>
    <w:p w14:paraId="1FEE9E42" w14:textId="4620F670" w:rsidR="00E25AE0" w:rsidRPr="00AB2539" w:rsidRDefault="00650C98" w:rsidP="00AB2539">
      <w:pPr>
        <w:pStyle w:val="ListParagraph"/>
        <w:widowControl/>
        <w:numPr>
          <w:ilvl w:val="1"/>
          <w:numId w:val="18"/>
        </w:numPr>
        <w:autoSpaceDE/>
        <w:autoSpaceDN/>
        <w:adjustRightInd/>
      </w:pPr>
      <w:r w:rsidRPr="00AB2539">
        <w:t>Expose the heart by cutting the abdominal cavity skin below the breastbone, taking apart the ribs, and cutting the diaphragm</w:t>
      </w:r>
      <w:r w:rsidR="00E25AE0" w:rsidRPr="00AB2539">
        <w:t>.</w:t>
      </w:r>
    </w:p>
    <w:p w14:paraId="60C2BCF5" w14:textId="77777777" w:rsidR="002425B0" w:rsidRPr="00AB2539" w:rsidRDefault="002425B0" w:rsidP="00AB2539">
      <w:pPr>
        <w:widowControl/>
        <w:contextualSpacing/>
      </w:pPr>
    </w:p>
    <w:p w14:paraId="29D7FBCA" w14:textId="77777777" w:rsidR="002425B0" w:rsidRPr="00AB2539" w:rsidRDefault="002425B0" w:rsidP="00AB2539">
      <w:pPr>
        <w:pStyle w:val="ListParagraph"/>
        <w:widowControl/>
        <w:numPr>
          <w:ilvl w:val="1"/>
          <w:numId w:val="18"/>
        </w:numPr>
        <w:autoSpaceDE/>
        <w:autoSpaceDN/>
        <w:adjustRightInd/>
      </w:pPr>
      <w:r w:rsidRPr="00AB2539">
        <w:t xml:space="preserve">Transcardial perfusion fixation </w:t>
      </w:r>
    </w:p>
    <w:p w14:paraId="10387EE5" w14:textId="77777777" w:rsidR="002425B0" w:rsidRPr="00AB2539" w:rsidRDefault="002425B0" w:rsidP="00AB2539">
      <w:pPr>
        <w:pStyle w:val="ListParagraph"/>
        <w:widowControl/>
        <w:autoSpaceDE/>
        <w:autoSpaceDN/>
        <w:adjustRightInd/>
        <w:ind w:left="0"/>
      </w:pPr>
    </w:p>
    <w:p w14:paraId="71E9FBF6" w14:textId="4C10D9F6" w:rsidR="00E25AE0" w:rsidRPr="00AB2539" w:rsidRDefault="00E25AE0" w:rsidP="00AB2539">
      <w:pPr>
        <w:pStyle w:val="ListParagraph"/>
        <w:widowControl/>
        <w:numPr>
          <w:ilvl w:val="2"/>
          <w:numId w:val="18"/>
        </w:numPr>
        <w:autoSpaceDE/>
        <w:autoSpaceDN/>
        <w:adjustRightInd/>
      </w:pPr>
      <w:r w:rsidRPr="00AB2539">
        <w:t>Insert a needle into the left ventricle and make a small incision in the right atrium. Using a pump or gravity, perfuse (flow rate 5</w:t>
      </w:r>
      <w:r w:rsidR="00030B19" w:rsidRPr="00D13D3E">
        <w:t>‒</w:t>
      </w:r>
      <w:r w:rsidRPr="00AB2539">
        <w:t>7 m</w:t>
      </w:r>
      <w:r w:rsidR="002425B0" w:rsidRPr="00AB2539">
        <w:t>L</w:t>
      </w:r>
      <w:r w:rsidRPr="00AB2539">
        <w:t>/min</w:t>
      </w:r>
      <w:r w:rsidR="00AD5BEC" w:rsidRPr="00AB2539">
        <w:t>.</w:t>
      </w:r>
      <w:r w:rsidRPr="00AB2539">
        <w:t>) 0.1</w:t>
      </w:r>
      <w:r w:rsidR="002425B0" w:rsidRPr="00AB2539">
        <w:t xml:space="preserve"> </w:t>
      </w:r>
      <w:r w:rsidRPr="00AB2539">
        <w:t xml:space="preserve">M PBS </w:t>
      </w:r>
      <w:r w:rsidR="00095750" w:rsidRPr="00AB2539">
        <w:t xml:space="preserve">until </w:t>
      </w:r>
      <w:r w:rsidR="00BB05AC">
        <w:t xml:space="preserve">entire </w:t>
      </w:r>
      <w:r w:rsidR="00095750" w:rsidRPr="00AB2539">
        <w:t>blood is drained out, and the solution becomes clear</w:t>
      </w:r>
      <w:r w:rsidRPr="00AB2539">
        <w:t>.</w:t>
      </w:r>
    </w:p>
    <w:p w14:paraId="05DC5590" w14:textId="77777777" w:rsidR="00626ABC" w:rsidRPr="00AB2539" w:rsidRDefault="00626ABC" w:rsidP="00AB2539">
      <w:pPr>
        <w:pStyle w:val="ListParagraph"/>
        <w:widowControl/>
        <w:autoSpaceDE/>
        <w:autoSpaceDN/>
        <w:adjustRightInd/>
        <w:ind w:left="0"/>
      </w:pPr>
    </w:p>
    <w:p w14:paraId="3873FD36" w14:textId="3D869C17" w:rsidR="00E25AE0" w:rsidRPr="00AB2539" w:rsidRDefault="00C54778" w:rsidP="00AB2539">
      <w:pPr>
        <w:pStyle w:val="ListParagraph"/>
        <w:widowControl/>
        <w:numPr>
          <w:ilvl w:val="2"/>
          <w:numId w:val="18"/>
        </w:numPr>
        <w:autoSpaceDE/>
        <w:autoSpaceDN/>
        <w:adjustRightInd/>
      </w:pPr>
      <w:r w:rsidRPr="00AB2539">
        <w:t>U</w:t>
      </w:r>
      <w:r w:rsidR="00E25AE0" w:rsidRPr="00AB2539">
        <w:t xml:space="preserve">sing a pump or gravity, </w:t>
      </w:r>
      <w:r w:rsidR="002425B0" w:rsidRPr="00AB2539">
        <w:t xml:space="preserve">perform </w:t>
      </w:r>
      <w:r w:rsidR="00AD5BEC" w:rsidRPr="00AB2539">
        <w:t xml:space="preserve">cold </w:t>
      </w:r>
      <w:r w:rsidR="00E25AE0" w:rsidRPr="00AB2539">
        <w:t>perfus</w:t>
      </w:r>
      <w:r w:rsidR="00AD5BEC" w:rsidRPr="00AB2539">
        <w:t>ion</w:t>
      </w:r>
      <w:r w:rsidR="00E25AE0" w:rsidRPr="00AB2539">
        <w:t xml:space="preserve"> (flow rate 5</w:t>
      </w:r>
      <w:r w:rsidR="00030B19" w:rsidRPr="00D13D3E">
        <w:t>‒</w:t>
      </w:r>
      <w:r w:rsidR="00E25AE0" w:rsidRPr="00AB2539">
        <w:t>7 m</w:t>
      </w:r>
      <w:r w:rsidR="002425B0" w:rsidRPr="00AB2539">
        <w:t>L</w:t>
      </w:r>
      <w:r w:rsidR="00E25AE0" w:rsidRPr="00AB2539">
        <w:t xml:space="preserve">/min) </w:t>
      </w:r>
      <w:r w:rsidR="002425B0" w:rsidRPr="00AB2539">
        <w:t>with</w:t>
      </w:r>
      <w:r w:rsidR="00AD5BEC" w:rsidRPr="00AB2539">
        <w:t xml:space="preserve"> </w:t>
      </w:r>
      <w:r w:rsidR="00095750" w:rsidRPr="00AB2539">
        <w:t>PFA solution</w:t>
      </w:r>
      <w:r w:rsidR="00095750" w:rsidRPr="00AB2539" w:rsidDel="00095750">
        <w:t xml:space="preserve"> </w:t>
      </w:r>
      <w:r w:rsidR="002425B0" w:rsidRPr="00AB2539">
        <w:t xml:space="preserve">to fix the </w:t>
      </w:r>
      <w:r w:rsidR="00095750" w:rsidRPr="00AB2539">
        <w:t xml:space="preserve">tissue </w:t>
      </w:r>
      <w:r w:rsidR="00E25AE0" w:rsidRPr="00AB2539">
        <w:t xml:space="preserve">until the tail becomes rigid. </w:t>
      </w:r>
    </w:p>
    <w:p w14:paraId="54C5C95F" w14:textId="77777777" w:rsidR="00E25AE0" w:rsidRPr="00AB2539" w:rsidRDefault="00E25AE0" w:rsidP="00AB2539">
      <w:pPr>
        <w:pStyle w:val="ListParagraph"/>
        <w:widowControl/>
        <w:ind w:left="0"/>
      </w:pPr>
    </w:p>
    <w:p w14:paraId="42CB29AA" w14:textId="722F8421" w:rsidR="00E25AE0" w:rsidRPr="00AB2539" w:rsidRDefault="00E25AE0" w:rsidP="00AB2539">
      <w:pPr>
        <w:pStyle w:val="ListParagraph"/>
        <w:widowControl/>
        <w:ind w:left="0"/>
      </w:pPr>
      <w:r w:rsidRPr="00AB2539">
        <w:t xml:space="preserve">NOTE: Usually, </w:t>
      </w:r>
      <w:r w:rsidR="002425B0" w:rsidRPr="00AB2539">
        <w:t>a</w:t>
      </w:r>
      <w:r w:rsidRPr="00AB2539">
        <w:t xml:space="preserve"> 300 g rat requires around 100</w:t>
      </w:r>
      <w:r w:rsidR="00030B19" w:rsidRPr="00D13D3E">
        <w:t>‒</w:t>
      </w:r>
      <w:r w:rsidRPr="00AB2539">
        <w:t>150 m</w:t>
      </w:r>
      <w:r w:rsidR="002425B0" w:rsidRPr="00AB2539">
        <w:t>L of the</w:t>
      </w:r>
      <w:r w:rsidRPr="00AB2539">
        <w:t xml:space="preserve"> </w:t>
      </w:r>
      <w:r w:rsidR="00095750" w:rsidRPr="00AB2539">
        <w:t xml:space="preserve">PFA </w:t>
      </w:r>
      <w:r w:rsidRPr="00AB2539">
        <w:t>solution</w:t>
      </w:r>
      <w:r w:rsidR="00FC1342" w:rsidRPr="00AB2539">
        <w:t xml:space="preserve">. The tissue fixation </w:t>
      </w:r>
      <w:r w:rsidR="00030B19">
        <w:t>is optional.</w:t>
      </w:r>
      <w:r w:rsidR="00FC1342" w:rsidRPr="00AB2539">
        <w:t xml:space="preserve"> Thereby, the brain </w:t>
      </w:r>
      <w:r w:rsidR="00030B19">
        <w:t>can be extracted for use</w:t>
      </w:r>
      <w:r w:rsidR="00FC1342" w:rsidRPr="00AB2539">
        <w:t xml:space="preserve"> </w:t>
      </w:r>
      <w:r w:rsidR="00030B19">
        <w:t>in various processes</w:t>
      </w:r>
      <w:r w:rsidR="00EB0961">
        <w:t xml:space="preserve"> </w:t>
      </w:r>
      <w:r w:rsidR="00030B19">
        <w:t xml:space="preserve">to </w:t>
      </w:r>
      <w:r w:rsidR="00FC1342" w:rsidRPr="00AB2539">
        <w:t xml:space="preserve">minimize animal usage </w:t>
      </w:r>
      <w:r w:rsidR="00030B19">
        <w:t>in the</w:t>
      </w:r>
      <w:r w:rsidR="00030B19" w:rsidRPr="00AB2539">
        <w:t xml:space="preserve"> </w:t>
      </w:r>
      <w:r w:rsidR="00FC1342" w:rsidRPr="00AB2539">
        <w:t>experiments.</w:t>
      </w:r>
    </w:p>
    <w:p w14:paraId="070A24AB" w14:textId="77777777" w:rsidR="00E25AE0" w:rsidRPr="00AB2539" w:rsidRDefault="00E25AE0" w:rsidP="00AB2539">
      <w:pPr>
        <w:pStyle w:val="ListParagraph"/>
        <w:widowControl/>
        <w:ind w:left="0"/>
      </w:pPr>
    </w:p>
    <w:p w14:paraId="2B2D79A8" w14:textId="787633F6" w:rsidR="00E25AE0" w:rsidRPr="00AB2539" w:rsidRDefault="00E25AE0" w:rsidP="00AB2539">
      <w:pPr>
        <w:pStyle w:val="ListParagraph"/>
        <w:widowControl/>
        <w:numPr>
          <w:ilvl w:val="1"/>
          <w:numId w:val="18"/>
        </w:numPr>
        <w:autoSpaceDE/>
        <w:autoSpaceDN/>
        <w:adjustRightInd/>
      </w:pPr>
      <w:r w:rsidRPr="00AB2539">
        <w:t xml:space="preserve">Dissection and </w:t>
      </w:r>
      <w:r w:rsidR="00033BEF" w:rsidRPr="00AB2539">
        <w:t>p</w:t>
      </w:r>
      <w:r w:rsidRPr="00AB2539">
        <w:t xml:space="preserve">ost-fixation </w:t>
      </w:r>
    </w:p>
    <w:p w14:paraId="7EC740CB" w14:textId="77777777" w:rsidR="00FF6685" w:rsidRPr="00AB2539" w:rsidRDefault="00FF6685" w:rsidP="00AB2539">
      <w:pPr>
        <w:pStyle w:val="ListParagraph"/>
        <w:widowControl/>
        <w:autoSpaceDE/>
        <w:autoSpaceDN/>
        <w:adjustRightInd/>
        <w:ind w:left="0"/>
      </w:pPr>
    </w:p>
    <w:p w14:paraId="5A6788A7" w14:textId="4EA46173" w:rsidR="00E25AE0" w:rsidRPr="00AB2539" w:rsidRDefault="00095750" w:rsidP="00AB2539">
      <w:pPr>
        <w:pStyle w:val="ListParagraph"/>
        <w:widowControl/>
        <w:numPr>
          <w:ilvl w:val="2"/>
          <w:numId w:val="18"/>
        </w:numPr>
        <w:autoSpaceDE/>
        <w:autoSpaceDN/>
        <w:adjustRightInd/>
      </w:pPr>
      <w:r w:rsidRPr="00AB2539">
        <w:t>Decapitate</w:t>
      </w:r>
      <w:r w:rsidR="00030B19">
        <w:t xml:space="preserve"> the animal</w:t>
      </w:r>
      <w:r w:rsidR="00E25AE0" w:rsidRPr="00AB2539">
        <w:t xml:space="preserve">, and gently extract the brain from the skull. Immerse the brain into a conical tube </w:t>
      </w:r>
      <w:r w:rsidR="00030B19">
        <w:t>containing</w:t>
      </w:r>
      <w:r w:rsidR="00030B19" w:rsidRPr="00AB2539">
        <w:t xml:space="preserve"> </w:t>
      </w:r>
      <w:r w:rsidRPr="00AB2539">
        <w:t>PFA solution</w:t>
      </w:r>
      <w:r w:rsidRPr="00AB2539" w:rsidDel="00095750">
        <w:t xml:space="preserve"> </w:t>
      </w:r>
      <w:r w:rsidR="00270889" w:rsidRPr="00AB2539">
        <w:t>(</w:t>
      </w:r>
      <w:r w:rsidR="00C25EE3" w:rsidRPr="00AB2539">
        <w:t>~</w:t>
      </w:r>
      <w:r w:rsidR="00954681" w:rsidRPr="00AB2539">
        <w:t>4</w:t>
      </w:r>
      <w:r w:rsidR="00C25EE3" w:rsidRPr="00AB2539">
        <w:t>0 m</w:t>
      </w:r>
      <w:r w:rsidR="002425B0" w:rsidRPr="00AB2539">
        <w:t>L</w:t>
      </w:r>
      <w:r w:rsidR="00C25EE3" w:rsidRPr="00AB2539">
        <w:t xml:space="preserve"> for a 250 mg rat</w:t>
      </w:r>
      <w:r w:rsidR="00270889" w:rsidRPr="00AB2539">
        <w:t xml:space="preserve">) </w:t>
      </w:r>
      <w:r w:rsidR="00E25AE0" w:rsidRPr="00AB2539">
        <w:t>for 1</w:t>
      </w:r>
      <w:r w:rsidR="00030B19" w:rsidRPr="00D13D3E">
        <w:t>‒</w:t>
      </w:r>
      <w:r w:rsidR="00E25AE0" w:rsidRPr="00AB2539">
        <w:t xml:space="preserve">2 days at 4 °C. </w:t>
      </w:r>
    </w:p>
    <w:p w14:paraId="50F24A74" w14:textId="77777777" w:rsidR="00E25AE0" w:rsidRPr="00AB2539" w:rsidRDefault="00E25AE0" w:rsidP="00AB2539">
      <w:pPr>
        <w:pStyle w:val="ListParagraph"/>
        <w:widowControl/>
        <w:ind w:left="0"/>
      </w:pPr>
    </w:p>
    <w:p w14:paraId="7A1F3188" w14:textId="133B51A5" w:rsidR="00E25AE0" w:rsidRPr="00AB2539" w:rsidRDefault="00E25AE0" w:rsidP="00AB2539">
      <w:pPr>
        <w:pStyle w:val="ListParagraph"/>
        <w:widowControl/>
        <w:ind w:left="0"/>
      </w:pPr>
      <w:r w:rsidRPr="00AB2539">
        <w:t>NOTE: Do not over</w:t>
      </w:r>
      <w:r w:rsidR="006E7330" w:rsidRPr="00AB2539">
        <w:t>-</w:t>
      </w:r>
      <w:r w:rsidRPr="00AB2539">
        <w:t>fixate</w:t>
      </w:r>
      <w:r w:rsidR="00FC0408" w:rsidRPr="00AB2539">
        <w:t xml:space="preserve"> (more than 48 h)</w:t>
      </w:r>
      <w:r w:rsidRPr="00AB2539">
        <w:t xml:space="preserve">, because </w:t>
      </w:r>
      <w:r w:rsidR="00030B19">
        <w:t xml:space="preserve">this can deplete the </w:t>
      </w:r>
      <w:r w:rsidRPr="00AB2539">
        <w:t>tissue staining due to the unavailability of antigens.</w:t>
      </w:r>
    </w:p>
    <w:p w14:paraId="19BC361B" w14:textId="77777777" w:rsidR="00E25AE0" w:rsidRPr="00AB2539" w:rsidRDefault="00E25AE0" w:rsidP="00AB2539">
      <w:pPr>
        <w:pStyle w:val="ListParagraph"/>
        <w:widowControl/>
        <w:ind w:left="0"/>
      </w:pPr>
    </w:p>
    <w:p w14:paraId="64745B7C" w14:textId="2A4419A5" w:rsidR="00E25AE0" w:rsidRPr="00AB2539" w:rsidRDefault="009D6347" w:rsidP="00AB2539">
      <w:pPr>
        <w:pStyle w:val="ListParagraph"/>
        <w:widowControl/>
        <w:numPr>
          <w:ilvl w:val="2"/>
          <w:numId w:val="18"/>
        </w:numPr>
        <w:autoSpaceDE/>
        <w:autoSpaceDN/>
        <w:adjustRightInd/>
      </w:pPr>
      <w:r w:rsidRPr="00AB2539">
        <w:t xml:space="preserve">Prepare 100 mL of 30% sucrose solution, adding 30 g of sucrose to 70 mL </w:t>
      </w:r>
      <w:r w:rsidR="00030B19">
        <w:t xml:space="preserve">of </w:t>
      </w:r>
      <w:r w:rsidRPr="00AB2539">
        <w:t>0.1 M PBS solution under constant stirring.</w:t>
      </w:r>
      <w:r w:rsidR="00EB0961">
        <w:t xml:space="preserve"> </w:t>
      </w:r>
      <w:r w:rsidRPr="00AB2539">
        <w:t xml:space="preserve">Add 0.1 M PBS solution </w:t>
      </w:r>
      <w:r w:rsidR="00030B19">
        <w:t>to</w:t>
      </w:r>
      <w:r w:rsidR="00030B19" w:rsidRPr="00AB2539">
        <w:t xml:space="preserve"> </w:t>
      </w:r>
      <w:r w:rsidRPr="00AB2539">
        <w:t xml:space="preserve">100 </w:t>
      </w:r>
      <w:proofErr w:type="spellStart"/>
      <w:r w:rsidRPr="00AB2539">
        <w:t>mL.</w:t>
      </w:r>
      <w:proofErr w:type="spellEnd"/>
      <w:r w:rsidR="005D7641" w:rsidRPr="00AB2539">
        <w:t xml:space="preserve"> </w:t>
      </w:r>
      <w:r w:rsidR="00E25AE0" w:rsidRPr="00AB2539">
        <w:t xml:space="preserve">Immerse the brain into a conical tube with a 30% sucrose solution </w:t>
      </w:r>
      <w:r w:rsidR="00270889" w:rsidRPr="00AB2539">
        <w:t>(35</w:t>
      </w:r>
      <w:r w:rsidR="00D17406" w:rsidRPr="00AB2539">
        <w:t xml:space="preserve"> </w:t>
      </w:r>
      <w:r w:rsidR="00270889" w:rsidRPr="00AB2539">
        <w:t>m</w:t>
      </w:r>
      <w:r w:rsidR="00D17406" w:rsidRPr="00AB2539">
        <w:t>L</w:t>
      </w:r>
      <w:r w:rsidR="00270889" w:rsidRPr="00AB2539">
        <w:t xml:space="preserve">) </w:t>
      </w:r>
      <w:r w:rsidR="00E25AE0" w:rsidRPr="00AB2539">
        <w:t>for approx</w:t>
      </w:r>
      <w:r w:rsidR="00D17406" w:rsidRPr="00AB2539">
        <w:t>imately</w:t>
      </w:r>
      <w:r w:rsidR="00E25AE0" w:rsidRPr="00AB2539">
        <w:t xml:space="preserve"> 1</w:t>
      </w:r>
      <w:r w:rsidR="00030B19" w:rsidRPr="00D13D3E">
        <w:t>‒</w:t>
      </w:r>
      <w:r w:rsidR="00E25AE0" w:rsidRPr="00AB2539">
        <w:t xml:space="preserve">2 days at 4 °C until the brain sinks </w:t>
      </w:r>
      <w:r w:rsidR="00030B19">
        <w:t xml:space="preserve">to </w:t>
      </w:r>
      <w:r w:rsidR="00E25AE0" w:rsidRPr="00AB2539">
        <w:t xml:space="preserve">the </w:t>
      </w:r>
      <w:r w:rsidR="00030B19">
        <w:t xml:space="preserve">bottom of the </w:t>
      </w:r>
      <w:r w:rsidR="00E25AE0" w:rsidRPr="00AB2539">
        <w:t xml:space="preserve">tube. </w:t>
      </w:r>
    </w:p>
    <w:p w14:paraId="5EE68E4B" w14:textId="77777777" w:rsidR="00E25AE0" w:rsidRPr="00AB2539" w:rsidRDefault="00E25AE0" w:rsidP="00AB2539">
      <w:pPr>
        <w:pStyle w:val="ListParagraph"/>
        <w:widowControl/>
        <w:ind w:left="0"/>
      </w:pPr>
    </w:p>
    <w:p w14:paraId="4DEDC2D0" w14:textId="3D2A80C2" w:rsidR="00E25AE0" w:rsidRPr="00AB2539" w:rsidRDefault="00E25AE0" w:rsidP="00AB2539">
      <w:pPr>
        <w:pStyle w:val="ListParagraph"/>
        <w:widowControl/>
        <w:numPr>
          <w:ilvl w:val="1"/>
          <w:numId w:val="18"/>
        </w:numPr>
        <w:autoSpaceDE/>
        <w:autoSpaceDN/>
        <w:adjustRightInd/>
      </w:pPr>
      <w:r w:rsidRPr="00AB2539">
        <w:t>Cu</w:t>
      </w:r>
      <w:r w:rsidR="00030B19">
        <w:t>t</w:t>
      </w:r>
      <w:r w:rsidRPr="00AB2539">
        <w:t>t</w:t>
      </w:r>
      <w:r w:rsidR="00030B19">
        <w:t>ing</w:t>
      </w:r>
      <w:r w:rsidRPr="00AB2539">
        <w:t xml:space="preserve"> </w:t>
      </w:r>
      <w:r w:rsidR="00033BEF" w:rsidRPr="00AB2539">
        <w:t>c</w:t>
      </w:r>
      <w:r w:rsidRPr="00AB2539">
        <w:t xml:space="preserve">oronal </w:t>
      </w:r>
      <w:r w:rsidR="00033BEF" w:rsidRPr="00AB2539">
        <w:t>b</w:t>
      </w:r>
      <w:r w:rsidRPr="00AB2539">
        <w:t xml:space="preserve">rain </w:t>
      </w:r>
      <w:r w:rsidR="00033BEF" w:rsidRPr="00AB2539">
        <w:t>s</w:t>
      </w:r>
      <w:r w:rsidRPr="00AB2539">
        <w:t xml:space="preserve">ections </w:t>
      </w:r>
    </w:p>
    <w:p w14:paraId="67DC9B6A" w14:textId="40EF4AD6" w:rsidR="00FF6685" w:rsidRPr="00AB2539" w:rsidRDefault="00FF6685" w:rsidP="00AB2539">
      <w:pPr>
        <w:pStyle w:val="ListParagraph"/>
        <w:widowControl/>
        <w:autoSpaceDE/>
        <w:autoSpaceDN/>
        <w:adjustRightInd/>
        <w:ind w:left="0"/>
      </w:pPr>
    </w:p>
    <w:p w14:paraId="3716B7B4" w14:textId="1198A291" w:rsidR="002817E8" w:rsidRPr="00AB2539" w:rsidRDefault="002817E8" w:rsidP="00AB2539">
      <w:pPr>
        <w:pStyle w:val="ListParagraph"/>
        <w:widowControl/>
        <w:autoSpaceDE/>
        <w:autoSpaceDN/>
        <w:adjustRightInd/>
        <w:ind w:left="0"/>
      </w:pPr>
      <w:r w:rsidRPr="00AB2539">
        <w:t xml:space="preserve">NOTE: </w:t>
      </w:r>
      <w:r w:rsidR="00866E96" w:rsidRPr="00AB2539">
        <w:t xml:space="preserve">Using a cryostat-microtome requires guidance and training. For detailed instructions, see </w:t>
      </w:r>
      <w:r w:rsidR="00033BEF" w:rsidRPr="00AB2539">
        <w:t>ref</w:t>
      </w:r>
      <w:r w:rsidR="00030B19">
        <w:t>erence</w:t>
      </w:r>
      <w:r w:rsidR="00BA3BC5" w:rsidRPr="00AB2539">
        <w:fldChar w:fldCharType="begin" w:fldLock="1"/>
      </w:r>
      <w:r w:rsidR="00383526" w:rsidRPr="00AB2539">
        <w:instrText>ADDIN CSL_CITATION {"citationItems":[{"id":"ITEM-1","itemData":{"DOI":"10.1016/s0074-7742(02)47052-3","ISBN":"0123668476","ISSN":"00747742","author":[{"dropping-particle":"","family":"Revilla","given":"V.","non-dropping-particle":"","parse-names":false,"suffix":""},{"dropping-particle":"","family":"Jones","given":"A.","non-dropping-particle":"","parse-names":false,"suffix":""}],"container-title":"International Review of Neurobiology","id":"ITEM-1","issued":{"date-parts":[["2002"]]},"page":"61-70","title":"Cryostat sectioning of brains","type":"article-journal","volume":"47"},"uris":["http://www.mendeley.com/documents/?uuid=c9217ee0-14ee-4872-80c1-5c1b096c2a92"]}],"mendeley":{"formattedCitation":"&lt;sup&gt;15&lt;/sup&gt;","plainTextFormattedCitation":"15","previouslyFormattedCitation":"&lt;sup&gt;15&lt;/sup&gt;"},"properties":{"noteIndex":0},"schema":"https://github.com/citation-style-language/schema/raw/master/csl-citation.json"}</w:instrText>
      </w:r>
      <w:r w:rsidR="00BA3BC5" w:rsidRPr="00AB2539">
        <w:fldChar w:fldCharType="separate"/>
      </w:r>
      <w:r w:rsidR="00557272" w:rsidRPr="00AB2539">
        <w:rPr>
          <w:noProof/>
          <w:vertAlign w:val="superscript"/>
        </w:rPr>
        <w:t>15</w:t>
      </w:r>
      <w:r w:rsidR="00BA3BC5" w:rsidRPr="00AB2539">
        <w:fldChar w:fldCharType="end"/>
      </w:r>
      <w:r w:rsidR="00073485" w:rsidRPr="00AB2539">
        <w:t>.</w:t>
      </w:r>
    </w:p>
    <w:p w14:paraId="18438E88" w14:textId="77777777" w:rsidR="002817E8" w:rsidRPr="00AB2539" w:rsidRDefault="002817E8" w:rsidP="00AB2539">
      <w:pPr>
        <w:pStyle w:val="ListParagraph"/>
        <w:widowControl/>
        <w:autoSpaceDE/>
        <w:autoSpaceDN/>
        <w:adjustRightInd/>
        <w:ind w:left="0"/>
      </w:pPr>
    </w:p>
    <w:p w14:paraId="7B68A570" w14:textId="5D1EC6AD" w:rsidR="00E25AE0" w:rsidRPr="00AB2539" w:rsidRDefault="00E25AE0" w:rsidP="00AB2539">
      <w:pPr>
        <w:pStyle w:val="ListParagraph"/>
        <w:widowControl/>
        <w:numPr>
          <w:ilvl w:val="2"/>
          <w:numId w:val="18"/>
        </w:numPr>
        <w:autoSpaceDE/>
        <w:autoSpaceDN/>
        <w:adjustRightInd/>
      </w:pPr>
      <w:r w:rsidRPr="00AB2539">
        <w:t>Submerge the</w:t>
      </w:r>
      <w:r w:rsidR="00354DCA" w:rsidRPr="00AB2539">
        <w:t xml:space="preserve"> whole</w:t>
      </w:r>
      <w:r w:rsidRPr="00AB2539">
        <w:t xml:space="preserve"> brain</w:t>
      </w:r>
      <w:r w:rsidR="00354DCA" w:rsidRPr="00AB2539">
        <w:t xml:space="preserve"> </w:t>
      </w:r>
      <w:r w:rsidRPr="00AB2539">
        <w:t xml:space="preserve">into iso-pentane </w:t>
      </w:r>
      <w:r w:rsidR="00030B19">
        <w:t xml:space="preserve">at </w:t>
      </w:r>
      <w:r w:rsidR="00030B19" w:rsidRPr="00AB2539">
        <w:t xml:space="preserve">-80 °C </w:t>
      </w:r>
      <w:r w:rsidRPr="00AB2539">
        <w:t xml:space="preserve">and keep </w:t>
      </w:r>
      <w:r w:rsidR="00813F5C" w:rsidRPr="00AB2539">
        <w:t xml:space="preserve">it </w:t>
      </w:r>
      <w:r w:rsidRPr="00AB2539">
        <w:t>at -80 °</w:t>
      </w:r>
      <w:r w:rsidR="00D17406" w:rsidRPr="00AB2539">
        <w:t xml:space="preserve">C </w:t>
      </w:r>
      <w:r w:rsidRPr="00AB2539">
        <w:t>for 10 min.</w:t>
      </w:r>
      <w:r w:rsidR="0045494F" w:rsidRPr="00AB2539">
        <w:t xml:space="preserve"> </w:t>
      </w:r>
      <w:r w:rsidRPr="00AB2539">
        <w:t xml:space="preserve">Place the brain in an embedding matrix on a cryostat-microtome plate. </w:t>
      </w:r>
    </w:p>
    <w:p w14:paraId="10A5FBD2" w14:textId="252FDB4C" w:rsidR="00431131" w:rsidRPr="00AB2539" w:rsidRDefault="00431131" w:rsidP="00AB2539">
      <w:pPr>
        <w:widowControl/>
        <w:autoSpaceDE/>
        <w:autoSpaceDN/>
        <w:adjustRightInd/>
      </w:pPr>
    </w:p>
    <w:p w14:paraId="37FCBC31" w14:textId="00B8BE6E" w:rsidR="00431131" w:rsidRPr="00AB2539" w:rsidRDefault="00431131" w:rsidP="00AB2539">
      <w:pPr>
        <w:widowControl/>
        <w:autoSpaceDE/>
        <w:autoSpaceDN/>
        <w:adjustRightInd/>
      </w:pPr>
      <w:r w:rsidRPr="00AB2539">
        <w:lastRenderedPageBreak/>
        <w:t xml:space="preserve">NOTE: </w:t>
      </w:r>
      <w:r w:rsidR="00030B19">
        <w:t>Under</w:t>
      </w:r>
      <w:r w:rsidRPr="00AB2539">
        <w:t xml:space="preserve"> certain conditions, rapid freezing of the brain at -80</w:t>
      </w:r>
      <w:r w:rsidR="00033BEF" w:rsidRPr="00AB2539">
        <w:t xml:space="preserve"> °C</w:t>
      </w:r>
      <w:r w:rsidRPr="00AB2539">
        <w:t xml:space="preserve"> c</w:t>
      </w:r>
      <w:r w:rsidR="00033BEF" w:rsidRPr="00AB2539">
        <w:t xml:space="preserve">an </w:t>
      </w:r>
      <w:r w:rsidRPr="00AB2539">
        <w:t>cause fracture or damage to the tissue. The user should be aware of this problem. If this is the case, use -20 °C iso-pentane to freeze the brain.</w:t>
      </w:r>
    </w:p>
    <w:p w14:paraId="795BC013" w14:textId="77777777" w:rsidR="00FF6685" w:rsidRPr="00AB2539" w:rsidRDefault="00FF6685" w:rsidP="00AB2539">
      <w:pPr>
        <w:pStyle w:val="ListParagraph"/>
        <w:widowControl/>
        <w:autoSpaceDE/>
        <w:autoSpaceDN/>
        <w:adjustRightInd/>
        <w:ind w:left="0"/>
      </w:pPr>
    </w:p>
    <w:p w14:paraId="1FF670D2" w14:textId="241FCF65" w:rsidR="00E25AE0" w:rsidRPr="00AB2539" w:rsidRDefault="00E25AE0" w:rsidP="00AB2539">
      <w:pPr>
        <w:pStyle w:val="ListParagraph"/>
        <w:widowControl/>
        <w:numPr>
          <w:ilvl w:val="2"/>
          <w:numId w:val="18"/>
        </w:numPr>
        <w:autoSpaceDE/>
        <w:autoSpaceDN/>
        <w:adjustRightInd/>
        <w:rPr>
          <w:highlight w:val="yellow"/>
        </w:rPr>
      </w:pPr>
      <w:r w:rsidRPr="00AB2539">
        <w:rPr>
          <w:highlight w:val="yellow"/>
        </w:rPr>
        <w:t xml:space="preserve">Using a cryostat-microtome (temperature at -25 to -20 °C) cut coronal sections of 40 </w:t>
      </w:r>
      <w:proofErr w:type="spellStart"/>
      <w:r w:rsidRPr="00AB2539">
        <w:rPr>
          <w:highlight w:val="yellow"/>
        </w:rPr>
        <w:t>μm</w:t>
      </w:r>
      <w:proofErr w:type="spellEnd"/>
      <w:r w:rsidRPr="00AB2539">
        <w:rPr>
          <w:highlight w:val="yellow"/>
        </w:rPr>
        <w:t xml:space="preserve"> thickness</w:t>
      </w:r>
      <w:r w:rsidR="00D007DD" w:rsidRPr="00AB2539">
        <w:rPr>
          <w:highlight w:val="yellow"/>
        </w:rPr>
        <w:t xml:space="preserve">. Sequentially transfer sections </w:t>
      </w:r>
      <w:r w:rsidRPr="00AB2539">
        <w:rPr>
          <w:highlight w:val="yellow"/>
        </w:rPr>
        <w:t>into a 24</w:t>
      </w:r>
      <w:r w:rsidR="00030B19">
        <w:rPr>
          <w:highlight w:val="yellow"/>
        </w:rPr>
        <w:t>-</w:t>
      </w:r>
      <w:r w:rsidRPr="00AB2539">
        <w:rPr>
          <w:highlight w:val="yellow"/>
        </w:rPr>
        <w:t>well cell culture plate with cryoprotection solution</w:t>
      </w:r>
      <w:r w:rsidR="00A50305" w:rsidRPr="00AB2539">
        <w:rPr>
          <w:highlight w:val="yellow"/>
        </w:rPr>
        <w:t xml:space="preserve"> following the guide </w:t>
      </w:r>
      <w:r w:rsidR="00030B19">
        <w:rPr>
          <w:highlight w:val="yellow"/>
        </w:rPr>
        <w:t>in</w:t>
      </w:r>
      <w:r w:rsidR="003F2478">
        <w:rPr>
          <w:highlight w:val="yellow"/>
        </w:rPr>
        <w:t xml:space="preserve"> </w:t>
      </w:r>
      <w:r w:rsidR="00A50305" w:rsidRPr="00AB2539">
        <w:rPr>
          <w:b/>
          <w:bCs/>
          <w:highlight w:val="yellow"/>
        </w:rPr>
        <w:t>Figure 2</w:t>
      </w:r>
      <w:r w:rsidRPr="00AB2539">
        <w:rPr>
          <w:highlight w:val="yellow"/>
        </w:rPr>
        <w:t>. Store at -20 °C</w:t>
      </w:r>
      <w:r w:rsidR="00D007DD" w:rsidRPr="00AB2539">
        <w:rPr>
          <w:highlight w:val="yellow"/>
        </w:rPr>
        <w:t xml:space="preserve"> until use</w:t>
      </w:r>
      <w:r w:rsidR="009F7D16" w:rsidRPr="00AB2539">
        <w:rPr>
          <w:highlight w:val="yellow"/>
        </w:rPr>
        <w:t>,</w:t>
      </w:r>
      <w:r w:rsidR="00D007DD" w:rsidRPr="00AB2539">
        <w:rPr>
          <w:highlight w:val="yellow"/>
        </w:rPr>
        <w:t xml:space="preserve"> </w:t>
      </w:r>
      <w:r w:rsidR="00813F5C" w:rsidRPr="00AB2539">
        <w:rPr>
          <w:highlight w:val="yellow"/>
        </w:rPr>
        <w:t xml:space="preserve">for up to </w:t>
      </w:r>
      <w:r w:rsidR="00636BF0" w:rsidRPr="00AB2539">
        <w:rPr>
          <w:highlight w:val="yellow"/>
        </w:rPr>
        <w:t>few</w:t>
      </w:r>
      <w:r w:rsidR="00D007DD" w:rsidRPr="00AB2539">
        <w:rPr>
          <w:highlight w:val="yellow"/>
        </w:rPr>
        <w:t xml:space="preserve"> month</w:t>
      </w:r>
      <w:r w:rsidR="00636BF0" w:rsidRPr="00AB2539">
        <w:rPr>
          <w:highlight w:val="yellow"/>
        </w:rPr>
        <w:t>s</w:t>
      </w:r>
      <w:r w:rsidR="00D007DD" w:rsidRPr="00AB2539">
        <w:rPr>
          <w:highlight w:val="yellow"/>
        </w:rPr>
        <w:t>.</w:t>
      </w:r>
    </w:p>
    <w:p w14:paraId="297933B6" w14:textId="77777777" w:rsidR="0046515C" w:rsidRPr="00AB2539" w:rsidRDefault="0046515C" w:rsidP="00AB2539">
      <w:pPr>
        <w:pStyle w:val="ListParagraph"/>
        <w:widowControl/>
        <w:ind w:left="0"/>
      </w:pPr>
    </w:p>
    <w:p w14:paraId="03D0ADEF" w14:textId="00C308DE" w:rsidR="00B24E4F" w:rsidRPr="00AB2539" w:rsidRDefault="005A6328" w:rsidP="00AB2539">
      <w:pPr>
        <w:pStyle w:val="ListParagraph"/>
        <w:widowControl/>
        <w:ind w:left="0"/>
      </w:pPr>
      <w:r w:rsidRPr="00AB2539">
        <w:t>NOTE: Hereafter, process all tissue in free-floating serial sections of 40</w:t>
      </w:r>
      <w:r w:rsidR="00D17406" w:rsidRPr="00AB2539">
        <w:t xml:space="preserve"> </w:t>
      </w:r>
      <w:r w:rsidRPr="00AB2539">
        <w:t>µ</w:t>
      </w:r>
      <w:r w:rsidR="00D17406" w:rsidRPr="00AB2539">
        <w:t>m</w:t>
      </w:r>
      <w:r w:rsidRPr="00AB2539">
        <w:t xml:space="preserve"> in 12</w:t>
      </w:r>
      <w:r w:rsidR="00030B19">
        <w:t>-</w:t>
      </w:r>
      <w:r w:rsidRPr="00AB2539">
        <w:t xml:space="preserve">well plates with mesh inserts in gentle and continuous agitation (10 rpm). </w:t>
      </w:r>
      <w:r w:rsidR="00636BF0" w:rsidRPr="00AB2539">
        <w:t xml:space="preserve">It is possible to store brain sections for years under the right conditions. </w:t>
      </w:r>
    </w:p>
    <w:p w14:paraId="4662628B" w14:textId="71059181" w:rsidR="00503712" w:rsidRPr="00AB2539" w:rsidRDefault="00503712" w:rsidP="00AB2539">
      <w:pPr>
        <w:pStyle w:val="ListParagraph"/>
        <w:widowControl/>
        <w:ind w:left="0"/>
      </w:pPr>
    </w:p>
    <w:p w14:paraId="13F8F8F0" w14:textId="73D1DDC3" w:rsidR="00797B8F" w:rsidRDefault="00503712" w:rsidP="00AB2539">
      <w:pPr>
        <w:pStyle w:val="NormalWeb"/>
        <w:widowControl/>
        <w:spacing w:before="0" w:beforeAutospacing="0" w:after="0" w:afterAutospacing="0"/>
        <w:contextualSpacing/>
        <w:rPr>
          <w:color w:val="auto"/>
        </w:rPr>
      </w:pPr>
      <w:r w:rsidRPr="00AB2539">
        <w:rPr>
          <w:color w:val="auto"/>
        </w:rPr>
        <w:t xml:space="preserve">[Place </w:t>
      </w:r>
      <w:r w:rsidRPr="003F2478">
        <w:rPr>
          <w:b/>
          <w:bCs/>
          <w:color w:val="auto"/>
        </w:rPr>
        <w:t>Figure 2</w:t>
      </w:r>
      <w:r w:rsidRPr="00AB2539">
        <w:rPr>
          <w:color w:val="auto"/>
        </w:rPr>
        <w:t xml:space="preserve"> here]</w:t>
      </w:r>
    </w:p>
    <w:p w14:paraId="55356917" w14:textId="77777777" w:rsidR="00030B19" w:rsidRPr="00AB2539" w:rsidRDefault="00030B19" w:rsidP="00AB2539">
      <w:pPr>
        <w:pStyle w:val="NormalWeb"/>
        <w:widowControl/>
        <w:spacing w:before="0" w:beforeAutospacing="0" w:after="0" w:afterAutospacing="0"/>
        <w:contextualSpacing/>
        <w:rPr>
          <w:color w:val="auto"/>
        </w:rPr>
      </w:pPr>
    </w:p>
    <w:p w14:paraId="232A2FD7" w14:textId="2860913C" w:rsidR="00E25AE0" w:rsidRPr="005C187F" w:rsidRDefault="00E758D3" w:rsidP="00AB2539">
      <w:pPr>
        <w:pStyle w:val="ListParagraph"/>
        <w:widowControl/>
        <w:numPr>
          <w:ilvl w:val="0"/>
          <w:numId w:val="18"/>
        </w:numPr>
        <w:autoSpaceDE/>
        <w:autoSpaceDN/>
        <w:adjustRightInd/>
        <w:rPr>
          <w:b/>
          <w:bCs/>
          <w:highlight w:val="yellow"/>
        </w:rPr>
      </w:pPr>
      <w:r w:rsidRPr="005C187F">
        <w:rPr>
          <w:b/>
          <w:bCs/>
          <w:highlight w:val="yellow"/>
        </w:rPr>
        <w:t>Immunostaining</w:t>
      </w:r>
    </w:p>
    <w:p w14:paraId="245265E7" w14:textId="2BE23348" w:rsidR="00E826E7" w:rsidRPr="00AB2539" w:rsidRDefault="00E826E7" w:rsidP="00AB2539">
      <w:pPr>
        <w:widowControl/>
        <w:autoSpaceDE/>
        <w:autoSpaceDN/>
        <w:adjustRightInd/>
        <w:rPr>
          <w:b/>
          <w:bCs/>
        </w:rPr>
      </w:pPr>
    </w:p>
    <w:p w14:paraId="1D0C042C" w14:textId="50026A87" w:rsidR="0046515C" w:rsidRPr="00AB2539" w:rsidRDefault="008F19FD" w:rsidP="00AB2539">
      <w:pPr>
        <w:widowControl/>
        <w:autoSpaceDE/>
        <w:autoSpaceDN/>
        <w:adjustRightInd/>
      </w:pPr>
      <w:r w:rsidRPr="00AB2539">
        <w:t xml:space="preserve">NOTE: See </w:t>
      </w:r>
      <w:r w:rsidRPr="00AB2539">
        <w:rPr>
          <w:b/>
          <w:bCs/>
        </w:rPr>
        <w:t xml:space="preserve">Table 1 </w:t>
      </w:r>
      <w:r w:rsidRPr="00AB2539">
        <w:t xml:space="preserve">for </w:t>
      </w:r>
      <w:r w:rsidR="003F2478">
        <w:t>the</w:t>
      </w:r>
      <w:r w:rsidR="00813F5C" w:rsidRPr="00AB2539">
        <w:t xml:space="preserve"> summary of </w:t>
      </w:r>
      <w:r w:rsidRPr="00AB2539">
        <w:t>the advantages and disadvantages of each technique.</w:t>
      </w:r>
    </w:p>
    <w:p w14:paraId="3C4088AE" w14:textId="77777777" w:rsidR="00824739" w:rsidRPr="00AB2539" w:rsidRDefault="00824739" w:rsidP="00AB2539">
      <w:pPr>
        <w:widowControl/>
        <w:autoSpaceDE/>
        <w:autoSpaceDN/>
        <w:adjustRightInd/>
      </w:pPr>
    </w:p>
    <w:p w14:paraId="1435C1EF" w14:textId="0E5F6A69" w:rsidR="00E25AE0" w:rsidRPr="00AB2539" w:rsidRDefault="00E25AE0" w:rsidP="00AB2539">
      <w:pPr>
        <w:pStyle w:val="NormalWeb"/>
        <w:widowControl/>
        <w:numPr>
          <w:ilvl w:val="1"/>
          <w:numId w:val="18"/>
        </w:numPr>
        <w:spacing w:before="0" w:beforeAutospacing="0" w:after="0" w:afterAutospacing="0"/>
        <w:contextualSpacing/>
        <w:rPr>
          <w:color w:val="auto"/>
        </w:rPr>
      </w:pPr>
      <w:r w:rsidRPr="00AB2539">
        <w:t xml:space="preserve">Detection of </w:t>
      </w:r>
      <w:proofErr w:type="spellStart"/>
      <w:r w:rsidRPr="00AB2539">
        <w:t>BrdU</w:t>
      </w:r>
      <w:proofErr w:type="spellEnd"/>
      <w:r w:rsidRPr="00AB2539">
        <w:t xml:space="preserve"> using peroxidase reaction</w:t>
      </w:r>
      <w:r w:rsidR="0054534F" w:rsidRPr="00AB2539">
        <w:t xml:space="preserve"> with DAB</w:t>
      </w:r>
    </w:p>
    <w:p w14:paraId="6D5DB168" w14:textId="77777777" w:rsidR="00E25AE0" w:rsidRPr="00AB2539" w:rsidRDefault="00E25AE0" w:rsidP="00AB2539">
      <w:pPr>
        <w:pStyle w:val="NormalWeb"/>
        <w:widowControl/>
        <w:spacing w:before="0" w:beforeAutospacing="0" w:after="0" w:afterAutospacing="0"/>
        <w:contextualSpacing/>
        <w:rPr>
          <w:color w:val="auto"/>
        </w:rPr>
      </w:pPr>
    </w:p>
    <w:p w14:paraId="3D573813" w14:textId="712DB386" w:rsidR="00D71A50" w:rsidRPr="00AB2539" w:rsidRDefault="00D71A50" w:rsidP="00AB2539">
      <w:pPr>
        <w:pStyle w:val="NormalWeb"/>
        <w:widowControl/>
        <w:spacing w:before="0" w:beforeAutospacing="0" w:after="0" w:afterAutospacing="0"/>
        <w:contextualSpacing/>
      </w:pPr>
      <w:r w:rsidRPr="00AB2539">
        <w:t>NOTE: Perform step</w:t>
      </w:r>
      <w:r w:rsidR="00274204">
        <w:t>s</w:t>
      </w:r>
      <w:r w:rsidRPr="00AB2539">
        <w:t xml:space="preserve"> 4.1.1 to 4.1.5 on</w:t>
      </w:r>
      <w:r w:rsidR="00030B19">
        <w:t xml:space="preserve"> </w:t>
      </w:r>
      <w:r w:rsidRPr="00AB2539">
        <w:t>day 1.</w:t>
      </w:r>
    </w:p>
    <w:p w14:paraId="4B03F9E6" w14:textId="77777777" w:rsidR="00E25AE0" w:rsidRPr="00AB2539" w:rsidRDefault="00E25AE0" w:rsidP="00AB2539">
      <w:pPr>
        <w:pStyle w:val="NormalWeb"/>
        <w:widowControl/>
        <w:spacing w:before="0" w:beforeAutospacing="0" w:after="0" w:afterAutospacing="0"/>
        <w:contextualSpacing/>
        <w:rPr>
          <w:color w:val="auto"/>
        </w:rPr>
      </w:pPr>
    </w:p>
    <w:p w14:paraId="1D2643CA" w14:textId="6CB36F5C" w:rsidR="00E25AE0" w:rsidRPr="00AB2539" w:rsidRDefault="00E25AE0" w:rsidP="00AB2539">
      <w:pPr>
        <w:pStyle w:val="NormalWeb"/>
        <w:widowControl/>
        <w:numPr>
          <w:ilvl w:val="2"/>
          <w:numId w:val="18"/>
        </w:numPr>
        <w:spacing w:before="0" w:beforeAutospacing="0" w:after="0" w:afterAutospacing="0"/>
        <w:contextualSpacing/>
        <w:rPr>
          <w:color w:val="auto"/>
        </w:rPr>
      </w:pPr>
      <w:r w:rsidRPr="00AB2539">
        <w:t xml:space="preserve">Transfer slices from the cryoprotection solution to 0.1 M PBS </w:t>
      </w:r>
      <w:r w:rsidR="00813F5C" w:rsidRPr="00AB2539">
        <w:t xml:space="preserve">at </w:t>
      </w:r>
      <w:r w:rsidRPr="00AB2539">
        <w:t>room temperature.</w:t>
      </w:r>
      <w:r w:rsidR="00243E29" w:rsidRPr="00AB2539">
        <w:t xml:space="preserve"> </w:t>
      </w:r>
      <w:r w:rsidRPr="00AB2539">
        <w:t xml:space="preserve">Rinse </w:t>
      </w:r>
      <w:r w:rsidR="00A4256C">
        <w:t>three</w:t>
      </w:r>
      <w:r w:rsidRPr="00AB2539">
        <w:t xml:space="preserve"> times</w:t>
      </w:r>
      <w:r w:rsidR="00A4256C">
        <w:t xml:space="preserve"> for</w:t>
      </w:r>
      <w:r w:rsidRPr="00AB2539">
        <w:t xml:space="preserve"> 10 min each, </w:t>
      </w:r>
      <w:r w:rsidR="00033BEF" w:rsidRPr="00AB2539">
        <w:t>with</w:t>
      </w:r>
      <w:r w:rsidRPr="00AB2539">
        <w:t xml:space="preserve"> 0.1 M PBS.</w:t>
      </w:r>
    </w:p>
    <w:p w14:paraId="4C555698" w14:textId="77777777" w:rsidR="00FF6685" w:rsidRPr="00AB2539" w:rsidRDefault="00FF6685" w:rsidP="00AB2539">
      <w:pPr>
        <w:pStyle w:val="NormalWeb"/>
        <w:widowControl/>
        <w:spacing w:before="0" w:beforeAutospacing="0" w:after="0" w:afterAutospacing="0"/>
        <w:contextualSpacing/>
        <w:rPr>
          <w:color w:val="auto"/>
        </w:rPr>
      </w:pPr>
    </w:p>
    <w:p w14:paraId="28F6EDBA" w14:textId="7F5F7D06"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 xml:space="preserve">Incubate </w:t>
      </w:r>
      <w:r w:rsidR="00905085" w:rsidRPr="00AB2539">
        <w:t xml:space="preserve">slices </w:t>
      </w:r>
      <w:r w:rsidRPr="00AB2539">
        <w:t>for 30 min</w:t>
      </w:r>
      <w:r w:rsidR="00033BEF" w:rsidRPr="00AB2539">
        <w:t xml:space="preserve"> in</w:t>
      </w:r>
      <w:r w:rsidRPr="00AB2539">
        <w:t xml:space="preserve"> endogenous </w:t>
      </w:r>
      <w:r w:rsidR="00665AA5">
        <w:t>p</w:t>
      </w:r>
      <w:r w:rsidR="00665AA5" w:rsidRPr="00AB2539">
        <w:t xml:space="preserve">eroxidase </w:t>
      </w:r>
      <w:r w:rsidRPr="00AB2539">
        <w:t xml:space="preserve">blocking solution to inactivate endogenous peroxidase. Rinse 3 times, 10 min each, </w:t>
      </w:r>
      <w:r w:rsidR="00033BEF" w:rsidRPr="00AB2539">
        <w:t>with</w:t>
      </w:r>
      <w:r w:rsidRPr="00AB2539">
        <w:t xml:space="preserve"> 0.1 M PBS.</w:t>
      </w:r>
      <w:r w:rsidR="00EB0961">
        <w:t xml:space="preserve"> </w:t>
      </w:r>
      <w:r w:rsidR="00033BEF" w:rsidRPr="00AB2539">
        <w:t>Optionally, perform a</w:t>
      </w:r>
      <w:r w:rsidRPr="00AB2539">
        <w:t xml:space="preserve">ntigen </w:t>
      </w:r>
      <w:r w:rsidR="00033BEF" w:rsidRPr="00AB2539">
        <w:t>r</w:t>
      </w:r>
      <w:r w:rsidRPr="00AB2539">
        <w:t>etrieval (</w:t>
      </w:r>
      <w:r w:rsidR="00033BEF" w:rsidRPr="00AB2539">
        <w:t>see</w:t>
      </w:r>
      <w:r w:rsidR="004B634B" w:rsidRPr="00AB2539">
        <w:t xml:space="preserve"> s</w:t>
      </w:r>
      <w:r w:rsidR="00665AA5">
        <w:t>ection</w:t>
      </w:r>
      <w:r w:rsidR="004B634B" w:rsidRPr="00AB2539">
        <w:t xml:space="preserve"> 5</w:t>
      </w:r>
      <w:r w:rsidRPr="00AB2539">
        <w:t>)</w:t>
      </w:r>
      <w:r w:rsidR="00FF6685" w:rsidRPr="00AB2539">
        <w:t>.</w:t>
      </w:r>
      <w:r w:rsidR="00B8417B">
        <w:rPr>
          <w:color w:val="auto"/>
        </w:rPr>
        <w:t xml:space="preserve"> </w:t>
      </w:r>
      <w:r w:rsidRPr="00AB2539">
        <w:t xml:space="preserve">Incubate </w:t>
      </w:r>
      <w:r w:rsidR="00905085" w:rsidRPr="00AB2539">
        <w:t xml:space="preserve">slices </w:t>
      </w:r>
      <w:r w:rsidRPr="00AB2539">
        <w:t xml:space="preserve">for </w:t>
      </w:r>
      <w:r w:rsidR="00BD2A70" w:rsidRPr="00AB2539">
        <w:t>2</w:t>
      </w:r>
      <w:r w:rsidRPr="00AB2539">
        <w:t xml:space="preserve">0 min </w:t>
      </w:r>
      <w:r w:rsidR="00033BEF" w:rsidRPr="00AB2539">
        <w:t>with</w:t>
      </w:r>
      <w:r w:rsidRPr="00AB2539">
        <w:t xml:space="preserve"> 2</w:t>
      </w:r>
      <w:r w:rsidR="00665AA5">
        <w:t xml:space="preserve"> </w:t>
      </w:r>
      <w:r w:rsidRPr="00AB2539">
        <w:t>N HCl at 37 °C.</w:t>
      </w:r>
      <w:r w:rsidR="00B12A3D" w:rsidRPr="00AB2539">
        <w:t xml:space="preserve"> Rinse in 0.1 M </w:t>
      </w:r>
      <w:r w:rsidR="00665AA5">
        <w:t>b</w:t>
      </w:r>
      <w:r w:rsidR="00665AA5" w:rsidRPr="00AB2539">
        <w:t xml:space="preserve">orate </w:t>
      </w:r>
      <w:r w:rsidR="00665AA5">
        <w:t>b</w:t>
      </w:r>
      <w:r w:rsidR="00665AA5" w:rsidRPr="00AB2539">
        <w:t xml:space="preserve">uffer </w:t>
      </w:r>
      <w:r w:rsidR="00B12A3D" w:rsidRPr="00AB2539">
        <w:t>(8.5 pH) for 10 min.</w:t>
      </w:r>
      <w:r w:rsidR="00243E29" w:rsidRPr="00AB2539">
        <w:t xml:space="preserve"> </w:t>
      </w:r>
      <w:r w:rsidRPr="00AB2539">
        <w:t>Rinse 3 times</w:t>
      </w:r>
      <w:r w:rsidR="00665AA5">
        <w:t xml:space="preserve"> for </w:t>
      </w:r>
      <w:r w:rsidRPr="00AB2539">
        <w:t>10 mi</w:t>
      </w:r>
      <w:r w:rsidR="005D3EAD" w:rsidRPr="00AB2539">
        <w:t>n</w:t>
      </w:r>
      <w:r w:rsidRPr="00AB2539">
        <w:t xml:space="preserve"> each, </w:t>
      </w:r>
      <w:r w:rsidR="00033BEF" w:rsidRPr="00AB2539">
        <w:t>with</w:t>
      </w:r>
      <w:r w:rsidRPr="00AB2539">
        <w:t xml:space="preserve"> ice-cold 0.1 M PBS.</w:t>
      </w:r>
    </w:p>
    <w:p w14:paraId="0FC16810" w14:textId="77777777" w:rsidR="00FF6685" w:rsidRPr="00AB2539" w:rsidRDefault="00FF6685" w:rsidP="00AB2539">
      <w:pPr>
        <w:pStyle w:val="NormalWeb"/>
        <w:widowControl/>
        <w:spacing w:before="0" w:beforeAutospacing="0" w:after="0" w:afterAutospacing="0"/>
        <w:contextualSpacing/>
        <w:rPr>
          <w:color w:val="auto"/>
        </w:rPr>
      </w:pPr>
    </w:p>
    <w:p w14:paraId="4B095C6A" w14:textId="48E1FF57"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 xml:space="preserve">Incubate </w:t>
      </w:r>
      <w:r w:rsidR="00905085" w:rsidRPr="00AB2539">
        <w:t xml:space="preserve">slices </w:t>
      </w:r>
      <w:r w:rsidRPr="00AB2539">
        <w:t xml:space="preserve">for 2 h at room temperature </w:t>
      </w:r>
      <w:r w:rsidR="001C52C2" w:rsidRPr="00AB2539">
        <w:t>with</w:t>
      </w:r>
      <w:r w:rsidRPr="00AB2539">
        <w:t xml:space="preserve"> PBS++ (</w:t>
      </w:r>
      <w:r w:rsidR="00665AA5">
        <w:t>b</w:t>
      </w:r>
      <w:r w:rsidRPr="00AB2539">
        <w:t>locking solution).</w:t>
      </w:r>
      <w:r w:rsidR="00B8417B">
        <w:rPr>
          <w:color w:val="auto"/>
        </w:rPr>
        <w:t xml:space="preserve"> </w:t>
      </w:r>
      <w:r w:rsidRPr="00AB2539">
        <w:t xml:space="preserve">Incubate with </w:t>
      </w:r>
      <w:r w:rsidR="00033BEF" w:rsidRPr="00AB2539">
        <w:t>a</w:t>
      </w:r>
      <w:r w:rsidRPr="00AB2539">
        <w:t>nti-</w:t>
      </w:r>
      <w:proofErr w:type="spellStart"/>
      <w:r w:rsidRPr="00AB2539">
        <w:t>BrdU</w:t>
      </w:r>
      <w:proofErr w:type="spellEnd"/>
      <w:r w:rsidRPr="00AB2539">
        <w:t xml:space="preserve"> primary antibody (mouse host) </w:t>
      </w:r>
      <w:r w:rsidR="00665AA5">
        <w:t xml:space="preserve">at concentration of </w:t>
      </w:r>
      <w:r w:rsidRPr="00AB2539">
        <w:t>1:250 in PBS+ overnight at 4</w:t>
      </w:r>
      <w:r w:rsidR="00033BEF" w:rsidRPr="00AB2539">
        <w:t xml:space="preserve"> </w:t>
      </w:r>
      <w:r w:rsidRPr="00AB2539">
        <w:t xml:space="preserve">°C. </w:t>
      </w:r>
    </w:p>
    <w:p w14:paraId="6DA43FFE" w14:textId="77777777" w:rsidR="00E25AE0" w:rsidRPr="00AB2539" w:rsidRDefault="00E25AE0" w:rsidP="00AB2539">
      <w:pPr>
        <w:pStyle w:val="NormalWeb"/>
        <w:widowControl/>
        <w:spacing w:before="0" w:beforeAutospacing="0" w:after="0" w:afterAutospacing="0"/>
        <w:contextualSpacing/>
        <w:rPr>
          <w:color w:val="auto"/>
        </w:rPr>
      </w:pPr>
    </w:p>
    <w:p w14:paraId="5137E5B0" w14:textId="42FA4528" w:rsidR="00E25AE0" w:rsidRPr="00AB2539" w:rsidRDefault="00D71A50" w:rsidP="00AB2539">
      <w:pPr>
        <w:pStyle w:val="NormalWeb"/>
        <w:widowControl/>
        <w:numPr>
          <w:ilvl w:val="2"/>
          <w:numId w:val="18"/>
        </w:numPr>
        <w:spacing w:before="0" w:beforeAutospacing="0" w:after="0" w:afterAutospacing="0"/>
        <w:contextualSpacing/>
        <w:rPr>
          <w:color w:val="auto"/>
        </w:rPr>
      </w:pPr>
      <w:r w:rsidRPr="00AB2539">
        <w:t>On day 2, r</w:t>
      </w:r>
      <w:r w:rsidR="00E25AE0" w:rsidRPr="00AB2539">
        <w:t>inse</w:t>
      </w:r>
      <w:r w:rsidR="00665AA5">
        <w:t xml:space="preserve"> the</w:t>
      </w:r>
      <w:r w:rsidR="00905085" w:rsidRPr="00AB2539">
        <w:t xml:space="preserve"> slices </w:t>
      </w:r>
      <w:r w:rsidR="00E25AE0" w:rsidRPr="00AB2539">
        <w:t>3 times</w:t>
      </w:r>
      <w:r w:rsidR="00665AA5">
        <w:t xml:space="preserve"> for </w:t>
      </w:r>
      <w:r w:rsidR="00E25AE0" w:rsidRPr="00AB2539">
        <w:t>10 min each</w:t>
      </w:r>
      <w:r w:rsidR="00665AA5">
        <w:t xml:space="preserve"> </w:t>
      </w:r>
      <w:r w:rsidR="00033BEF" w:rsidRPr="00AB2539">
        <w:t>with</w:t>
      </w:r>
      <w:r w:rsidR="00E25AE0" w:rsidRPr="00AB2539">
        <w:t xml:space="preserve"> 0.1 M PBS.</w:t>
      </w:r>
    </w:p>
    <w:p w14:paraId="094529DB" w14:textId="77777777" w:rsidR="00FF6685" w:rsidRPr="00AB2539" w:rsidRDefault="00FF6685" w:rsidP="00AB2539">
      <w:pPr>
        <w:pStyle w:val="NormalWeb"/>
        <w:widowControl/>
        <w:spacing w:before="0" w:beforeAutospacing="0" w:after="0" w:afterAutospacing="0"/>
        <w:contextualSpacing/>
        <w:rPr>
          <w:color w:val="auto"/>
        </w:rPr>
      </w:pPr>
    </w:p>
    <w:p w14:paraId="30F08DA7" w14:textId="721B8BE4" w:rsidR="00E25AE0" w:rsidRPr="00AB2539" w:rsidRDefault="00E25AE0" w:rsidP="00AB2539">
      <w:pPr>
        <w:pStyle w:val="NormalWeb"/>
        <w:widowControl/>
        <w:numPr>
          <w:ilvl w:val="2"/>
          <w:numId w:val="18"/>
        </w:numPr>
        <w:spacing w:before="0" w:beforeAutospacing="0" w:after="0" w:afterAutospacing="0"/>
        <w:contextualSpacing/>
        <w:rPr>
          <w:color w:val="auto"/>
        </w:rPr>
      </w:pPr>
      <w:r w:rsidRPr="00AB2539">
        <w:t xml:space="preserve">Incubate with </w:t>
      </w:r>
      <w:r w:rsidR="00665AA5" w:rsidRPr="00AB2539">
        <w:t>1:250</w:t>
      </w:r>
      <w:r w:rsidR="00665AA5">
        <w:t xml:space="preserve"> </w:t>
      </w:r>
      <w:r w:rsidRPr="00AB2539">
        <w:t>HRP</w:t>
      </w:r>
      <w:r w:rsidR="00665AA5">
        <w:t>-</w:t>
      </w:r>
      <w:r w:rsidRPr="00AB2539">
        <w:t>conjugated secondary antibody (anti-mouse) in PBS+ for 2</w:t>
      </w:r>
      <w:r w:rsidR="00665AA5" w:rsidRPr="00D13D3E">
        <w:t>‒</w:t>
      </w:r>
      <w:r w:rsidRPr="00AB2539">
        <w:t>4 h at room temperature.</w:t>
      </w:r>
      <w:r w:rsidR="00243E29" w:rsidRPr="00AB2539">
        <w:t xml:space="preserve"> </w:t>
      </w:r>
      <w:r w:rsidRPr="00AB2539">
        <w:t>Rinse 3 times</w:t>
      </w:r>
      <w:r w:rsidR="00665AA5">
        <w:t xml:space="preserve"> for</w:t>
      </w:r>
      <w:r w:rsidR="00665AA5" w:rsidRPr="00AB2539">
        <w:t xml:space="preserve"> </w:t>
      </w:r>
      <w:r w:rsidRPr="00AB2539">
        <w:t xml:space="preserve">10 min each </w:t>
      </w:r>
      <w:r w:rsidR="001C52C2" w:rsidRPr="00AB2539">
        <w:t>with</w:t>
      </w:r>
      <w:r w:rsidRPr="00AB2539">
        <w:t xml:space="preserve"> 0.1 M PBS.</w:t>
      </w:r>
    </w:p>
    <w:p w14:paraId="1ED1F4F5" w14:textId="77777777" w:rsidR="00FF6685" w:rsidRPr="00AB2539" w:rsidRDefault="00FF6685" w:rsidP="00AB2539">
      <w:pPr>
        <w:pStyle w:val="NormalWeb"/>
        <w:widowControl/>
        <w:spacing w:before="0" w:beforeAutospacing="0" w:after="0" w:afterAutospacing="0"/>
        <w:contextualSpacing/>
        <w:rPr>
          <w:color w:val="auto"/>
        </w:rPr>
      </w:pPr>
    </w:p>
    <w:p w14:paraId="1902B589" w14:textId="7115CE3E" w:rsidR="00E25AE0" w:rsidRPr="00AB2539" w:rsidRDefault="00E25AE0" w:rsidP="00AB2539">
      <w:pPr>
        <w:pStyle w:val="NormalWeb"/>
        <w:widowControl/>
        <w:numPr>
          <w:ilvl w:val="2"/>
          <w:numId w:val="18"/>
        </w:numPr>
        <w:spacing w:before="0" w:beforeAutospacing="0" w:after="0" w:afterAutospacing="0"/>
        <w:contextualSpacing/>
        <w:rPr>
          <w:color w:val="auto"/>
        </w:rPr>
      </w:pPr>
      <w:r w:rsidRPr="00AB2539">
        <w:t>Transfer slices to DAB Peroxidase (HRP) Substrate solution and incubate for 2</w:t>
      </w:r>
      <w:r w:rsidR="00665AA5" w:rsidRPr="00D13D3E">
        <w:t>‒</w:t>
      </w:r>
      <w:r w:rsidRPr="00AB2539">
        <w:t xml:space="preserve">10 min. </w:t>
      </w:r>
      <w:r w:rsidR="00A80BF0" w:rsidRPr="00AB2539">
        <w:rPr>
          <w:color w:val="auto"/>
        </w:rPr>
        <w:t xml:space="preserve">When slices become dark grey, visualize the tissue with a magnifying glass or a microscope. If positive cells are present, </w:t>
      </w:r>
      <w:r w:rsidR="00CB009A" w:rsidRPr="00AB2539">
        <w:rPr>
          <w:color w:val="auto"/>
        </w:rPr>
        <w:t>r</w:t>
      </w:r>
      <w:r w:rsidR="00CB009A" w:rsidRPr="00AB2539">
        <w:t>inse 3 times (</w:t>
      </w:r>
      <w:r w:rsidR="00665AA5">
        <w:t xml:space="preserve">for </w:t>
      </w:r>
      <w:r w:rsidR="008C2937" w:rsidRPr="00AB2539">
        <w:t>15</w:t>
      </w:r>
      <w:r w:rsidR="00CB009A" w:rsidRPr="00AB2539">
        <w:t xml:space="preserve"> min each)</w:t>
      </w:r>
      <w:r w:rsidRPr="00AB2539">
        <w:t xml:space="preserve"> </w:t>
      </w:r>
      <w:r w:rsidR="001C52C2" w:rsidRPr="00AB2539">
        <w:t>with</w:t>
      </w:r>
      <w:r w:rsidRPr="00AB2539">
        <w:t xml:space="preserve"> </w:t>
      </w:r>
      <w:r w:rsidR="008C2937" w:rsidRPr="00AB2539">
        <w:t>tap</w:t>
      </w:r>
      <w:r w:rsidR="001319AF" w:rsidRPr="00AB2539">
        <w:t xml:space="preserve"> </w:t>
      </w:r>
      <w:r w:rsidRPr="00AB2539">
        <w:t>water</w:t>
      </w:r>
      <w:r w:rsidR="008C2937" w:rsidRPr="00AB2539">
        <w:t xml:space="preserve"> (to reduce background)</w:t>
      </w:r>
      <w:r w:rsidR="00FF6685" w:rsidRPr="00AB2539">
        <w:t>.</w:t>
      </w:r>
      <w:r w:rsidR="00243E29" w:rsidRPr="00AB2539">
        <w:t xml:space="preserve"> </w:t>
      </w:r>
      <w:r w:rsidR="001C52C2" w:rsidRPr="00AB2539">
        <w:t>Wash</w:t>
      </w:r>
      <w:r w:rsidRPr="00AB2539">
        <w:t xml:space="preserve"> 3 times</w:t>
      </w:r>
      <w:r w:rsidR="00665AA5">
        <w:t xml:space="preserve"> for</w:t>
      </w:r>
      <w:r w:rsidRPr="00AB2539">
        <w:t xml:space="preserve"> 10 min each </w:t>
      </w:r>
      <w:r w:rsidR="001C52C2" w:rsidRPr="00AB2539">
        <w:t>with</w:t>
      </w:r>
      <w:r w:rsidRPr="00AB2539">
        <w:t xml:space="preserve"> 0.1 M PBS.</w:t>
      </w:r>
    </w:p>
    <w:p w14:paraId="0ED38D21" w14:textId="77777777" w:rsidR="00FF6685" w:rsidRPr="00AB2539" w:rsidRDefault="00FF6685" w:rsidP="00AB2539">
      <w:pPr>
        <w:pStyle w:val="NormalWeb"/>
        <w:widowControl/>
        <w:spacing w:before="0" w:beforeAutospacing="0" w:after="0" w:afterAutospacing="0"/>
        <w:contextualSpacing/>
        <w:rPr>
          <w:color w:val="auto"/>
        </w:rPr>
      </w:pPr>
    </w:p>
    <w:p w14:paraId="6B5E5645" w14:textId="25501E3B"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lastRenderedPageBreak/>
        <w:t xml:space="preserve">Carefully mount slices </w:t>
      </w:r>
      <w:r w:rsidR="00665AA5">
        <w:t>on</w:t>
      </w:r>
      <w:r w:rsidRPr="00AB2539">
        <w:t xml:space="preserve"> gelatinized slides using a soft brush, air dry overnight at room temperature.</w:t>
      </w:r>
      <w:r w:rsidR="00B8417B">
        <w:rPr>
          <w:color w:val="auto"/>
        </w:rPr>
        <w:t xml:space="preserve"> </w:t>
      </w:r>
      <w:r w:rsidRPr="00AB2539">
        <w:t>Counterstain (see section 7.1), add permanent mounting medium and place coverslips.</w:t>
      </w:r>
      <w:r w:rsidR="00D749D2" w:rsidRPr="00AB2539">
        <w:t xml:space="preserve"> </w:t>
      </w:r>
      <w:r w:rsidRPr="00AB2539">
        <w:t>Store at 4 °C for up to 6 months.</w:t>
      </w:r>
    </w:p>
    <w:p w14:paraId="1D209592" w14:textId="77777777" w:rsidR="00E25AE0" w:rsidRPr="00AB2539" w:rsidRDefault="00E25AE0" w:rsidP="00AB2539">
      <w:pPr>
        <w:pStyle w:val="NormalWeb"/>
        <w:widowControl/>
        <w:spacing w:before="0" w:beforeAutospacing="0" w:after="0" w:afterAutospacing="0"/>
        <w:contextualSpacing/>
      </w:pPr>
    </w:p>
    <w:p w14:paraId="0616C94D" w14:textId="77777777" w:rsidR="00E25AE0" w:rsidRPr="00AB2539" w:rsidRDefault="00E25AE0" w:rsidP="00AB2539">
      <w:pPr>
        <w:pStyle w:val="ListParagraph"/>
        <w:widowControl/>
        <w:numPr>
          <w:ilvl w:val="1"/>
          <w:numId w:val="18"/>
        </w:numPr>
        <w:autoSpaceDE/>
        <w:autoSpaceDN/>
        <w:adjustRightInd/>
        <w:rPr>
          <w:highlight w:val="yellow"/>
        </w:rPr>
      </w:pPr>
      <w:r w:rsidRPr="00AB2539">
        <w:rPr>
          <w:highlight w:val="yellow"/>
        </w:rPr>
        <w:t xml:space="preserve">Detection of </w:t>
      </w:r>
      <w:proofErr w:type="spellStart"/>
      <w:r w:rsidRPr="00AB2539">
        <w:rPr>
          <w:highlight w:val="yellow"/>
        </w:rPr>
        <w:t>BrdU</w:t>
      </w:r>
      <w:proofErr w:type="spellEnd"/>
      <w:r w:rsidRPr="00AB2539">
        <w:rPr>
          <w:highlight w:val="yellow"/>
        </w:rPr>
        <w:t xml:space="preserve"> using peroxidase reaction with the avidin-biotin-peroxidase complex</w:t>
      </w:r>
    </w:p>
    <w:p w14:paraId="3335387C" w14:textId="77777777" w:rsidR="00E25AE0" w:rsidRPr="00AB2539" w:rsidRDefault="00E25AE0" w:rsidP="00AB2539">
      <w:pPr>
        <w:pStyle w:val="NormalWeb"/>
        <w:widowControl/>
        <w:spacing w:before="0" w:beforeAutospacing="0" w:after="0" w:afterAutospacing="0"/>
        <w:contextualSpacing/>
      </w:pPr>
    </w:p>
    <w:p w14:paraId="22D11845" w14:textId="55B779CC" w:rsidR="00D71A50" w:rsidRPr="00AB2539" w:rsidRDefault="00D71A50" w:rsidP="00AB2539">
      <w:pPr>
        <w:pStyle w:val="NormalWeb"/>
        <w:widowControl/>
        <w:spacing w:before="0" w:beforeAutospacing="0" w:after="0" w:afterAutospacing="0"/>
        <w:contextualSpacing/>
      </w:pPr>
      <w:r w:rsidRPr="00AB2539">
        <w:t>NOTE: Perform step</w:t>
      </w:r>
      <w:r w:rsidR="00593459">
        <w:t>s</w:t>
      </w:r>
      <w:r w:rsidRPr="00AB2539">
        <w:t xml:space="preserve"> 4.2.1 to 4.2.5 on day 1.</w:t>
      </w:r>
    </w:p>
    <w:p w14:paraId="64EC9CB5" w14:textId="77777777" w:rsidR="00E25AE0" w:rsidRPr="00AB2539" w:rsidRDefault="00E25AE0" w:rsidP="00AB2539">
      <w:pPr>
        <w:pStyle w:val="NormalWeb"/>
        <w:widowControl/>
        <w:spacing w:before="0" w:beforeAutospacing="0" w:after="0" w:afterAutospacing="0"/>
        <w:contextualSpacing/>
        <w:rPr>
          <w:color w:val="auto"/>
          <w:highlight w:val="yellow"/>
        </w:rPr>
      </w:pPr>
    </w:p>
    <w:p w14:paraId="3ADBEF82" w14:textId="58583802"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Transfer slices from the cryoprotection solution to 0.1 M PBS </w:t>
      </w:r>
      <w:r w:rsidR="00593459">
        <w:rPr>
          <w:highlight w:val="yellow"/>
        </w:rPr>
        <w:t>to bring to</w:t>
      </w:r>
      <w:r w:rsidRPr="00AB2539">
        <w:rPr>
          <w:highlight w:val="yellow"/>
        </w:rPr>
        <w:t xml:space="preserve"> room temperature.</w:t>
      </w:r>
      <w:r w:rsidR="00243E29" w:rsidRPr="00AB2539">
        <w:rPr>
          <w:highlight w:val="yellow"/>
        </w:rPr>
        <w:t xml:space="preserve"> </w:t>
      </w:r>
      <w:r w:rsidRPr="00AB2539">
        <w:rPr>
          <w:highlight w:val="yellow"/>
        </w:rPr>
        <w:t>Rinse 3 times</w:t>
      </w:r>
      <w:r w:rsidR="00593459">
        <w:rPr>
          <w:highlight w:val="yellow"/>
        </w:rPr>
        <w:t xml:space="preserve"> for</w:t>
      </w:r>
      <w:r w:rsidRPr="00AB2539">
        <w:rPr>
          <w:highlight w:val="yellow"/>
        </w:rPr>
        <w:t xml:space="preserve"> 10 min each</w:t>
      </w:r>
      <w:r w:rsidR="00593459">
        <w:rPr>
          <w:highlight w:val="yellow"/>
        </w:rPr>
        <w:t xml:space="preserve"> </w:t>
      </w:r>
      <w:r w:rsidR="001C52C2" w:rsidRPr="00AB2539">
        <w:rPr>
          <w:highlight w:val="yellow"/>
        </w:rPr>
        <w:t>with</w:t>
      </w:r>
      <w:r w:rsidRPr="00AB2539">
        <w:rPr>
          <w:highlight w:val="yellow"/>
        </w:rPr>
        <w:t xml:space="preserve"> 0.1 M PBS.</w:t>
      </w:r>
    </w:p>
    <w:p w14:paraId="15DDC2C3"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222B4712" w14:textId="2CC0AA4C" w:rsidR="00E25AE0" w:rsidRPr="00AB2539" w:rsidRDefault="00E25AE0" w:rsidP="00AB2539">
      <w:pPr>
        <w:pStyle w:val="NormalWeb"/>
        <w:widowControl/>
        <w:numPr>
          <w:ilvl w:val="2"/>
          <w:numId w:val="18"/>
        </w:numPr>
        <w:spacing w:before="0" w:beforeAutospacing="0" w:after="0" w:afterAutospacing="0"/>
        <w:contextualSpacing/>
        <w:rPr>
          <w:color w:val="auto"/>
        </w:rPr>
      </w:pPr>
      <w:r w:rsidRPr="00AB2539">
        <w:rPr>
          <w:highlight w:val="yellow"/>
        </w:rPr>
        <w:t xml:space="preserve">Incubate for 30 min </w:t>
      </w:r>
      <w:r w:rsidR="001C52C2" w:rsidRPr="00AB2539">
        <w:rPr>
          <w:highlight w:val="yellow"/>
        </w:rPr>
        <w:t>with</w:t>
      </w:r>
      <w:r w:rsidRPr="00AB2539">
        <w:rPr>
          <w:highlight w:val="yellow"/>
        </w:rPr>
        <w:t xml:space="preserve"> endogenous </w:t>
      </w:r>
      <w:r w:rsidR="00593459">
        <w:rPr>
          <w:highlight w:val="yellow"/>
        </w:rPr>
        <w:t>p</w:t>
      </w:r>
      <w:r w:rsidRPr="00AB2539">
        <w:rPr>
          <w:highlight w:val="yellow"/>
        </w:rPr>
        <w:t>eroxidase blocking solution to inactivate endogenous peroxidase. Rinse 3 times</w:t>
      </w:r>
      <w:r w:rsidR="00593459">
        <w:rPr>
          <w:highlight w:val="yellow"/>
        </w:rPr>
        <w:t xml:space="preserve"> for</w:t>
      </w:r>
      <w:r w:rsidR="00593459" w:rsidRPr="00AB2539">
        <w:rPr>
          <w:highlight w:val="yellow"/>
        </w:rPr>
        <w:t xml:space="preserve"> </w:t>
      </w:r>
      <w:r w:rsidRPr="00AB2539">
        <w:rPr>
          <w:highlight w:val="yellow"/>
        </w:rPr>
        <w:t>10 min each in 0.1 M PBS.</w:t>
      </w:r>
      <w:r w:rsidR="0046515C" w:rsidRPr="00AB2539">
        <w:rPr>
          <w:highlight w:val="yellow"/>
        </w:rPr>
        <w:t xml:space="preserve"> </w:t>
      </w:r>
      <w:r w:rsidR="001C52C2" w:rsidRPr="00AB2539">
        <w:t>Optionally, perform a</w:t>
      </w:r>
      <w:r w:rsidRPr="00AB2539">
        <w:t xml:space="preserve">ntigen </w:t>
      </w:r>
      <w:r w:rsidR="001C52C2" w:rsidRPr="00AB2539">
        <w:t>r</w:t>
      </w:r>
      <w:r w:rsidRPr="00AB2539">
        <w:t xml:space="preserve">etrieval </w:t>
      </w:r>
      <w:r w:rsidR="001C52C2" w:rsidRPr="00AB2539">
        <w:t xml:space="preserve">(see </w:t>
      </w:r>
      <w:r w:rsidR="004B634B" w:rsidRPr="00AB2539">
        <w:t>s</w:t>
      </w:r>
      <w:r w:rsidR="00593459">
        <w:t>ection</w:t>
      </w:r>
      <w:r w:rsidR="004B634B" w:rsidRPr="00AB2539">
        <w:t xml:space="preserve"> 5</w:t>
      </w:r>
      <w:r w:rsidRPr="00AB2539">
        <w:t>)</w:t>
      </w:r>
      <w:r w:rsidR="002F781E" w:rsidRPr="00AB2539">
        <w:t>.</w:t>
      </w:r>
    </w:p>
    <w:p w14:paraId="31190A98"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7993D398" w14:textId="6EA845D8"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Incubate for </w:t>
      </w:r>
      <w:r w:rsidR="00BD2A70" w:rsidRPr="00AB2539">
        <w:rPr>
          <w:highlight w:val="yellow"/>
        </w:rPr>
        <w:t>2</w:t>
      </w:r>
      <w:r w:rsidRPr="00AB2539">
        <w:rPr>
          <w:highlight w:val="yellow"/>
        </w:rPr>
        <w:t xml:space="preserve">0 min </w:t>
      </w:r>
      <w:r w:rsidR="001C52C2" w:rsidRPr="00AB2539">
        <w:rPr>
          <w:highlight w:val="yellow"/>
        </w:rPr>
        <w:t>with</w:t>
      </w:r>
      <w:r w:rsidRPr="00AB2539">
        <w:rPr>
          <w:highlight w:val="yellow"/>
        </w:rPr>
        <w:t xml:space="preserve"> 2</w:t>
      </w:r>
      <w:r w:rsidR="001C52C2" w:rsidRPr="00AB2539">
        <w:rPr>
          <w:highlight w:val="yellow"/>
        </w:rPr>
        <w:t xml:space="preserve"> </w:t>
      </w:r>
      <w:r w:rsidRPr="00AB2539">
        <w:rPr>
          <w:highlight w:val="yellow"/>
        </w:rPr>
        <w:t xml:space="preserve">N </w:t>
      </w:r>
      <w:r w:rsidR="00593459" w:rsidRPr="00AB2539">
        <w:rPr>
          <w:highlight w:val="yellow"/>
        </w:rPr>
        <w:t>HC</w:t>
      </w:r>
      <w:r w:rsidR="00593459">
        <w:rPr>
          <w:highlight w:val="yellow"/>
        </w:rPr>
        <w:t>l</w:t>
      </w:r>
      <w:r w:rsidR="00593459" w:rsidRPr="00AB2539">
        <w:rPr>
          <w:highlight w:val="yellow"/>
        </w:rPr>
        <w:t xml:space="preserve"> </w:t>
      </w:r>
      <w:r w:rsidRPr="00AB2539">
        <w:rPr>
          <w:highlight w:val="yellow"/>
        </w:rPr>
        <w:t>at 37 °C.</w:t>
      </w:r>
      <w:r w:rsidR="00B12A3D" w:rsidRPr="00AB2539">
        <w:rPr>
          <w:highlight w:val="yellow"/>
        </w:rPr>
        <w:t xml:space="preserve"> Rinse in 0.1 M </w:t>
      </w:r>
      <w:r w:rsidR="00593459">
        <w:rPr>
          <w:highlight w:val="yellow"/>
        </w:rPr>
        <w:t>b</w:t>
      </w:r>
      <w:r w:rsidR="00B12A3D" w:rsidRPr="00AB2539">
        <w:rPr>
          <w:highlight w:val="yellow"/>
        </w:rPr>
        <w:t xml:space="preserve">orate </w:t>
      </w:r>
      <w:r w:rsidR="00593459">
        <w:rPr>
          <w:highlight w:val="yellow"/>
        </w:rPr>
        <w:t>b</w:t>
      </w:r>
      <w:r w:rsidR="00B12A3D" w:rsidRPr="00AB2539">
        <w:rPr>
          <w:highlight w:val="yellow"/>
        </w:rPr>
        <w:t>uffer (pH</w:t>
      </w:r>
      <w:r w:rsidR="00593459">
        <w:rPr>
          <w:highlight w:val="yellow"/>
        </w:rPr>
        <w:t xml:space="preserve"> </w:t>
      </w:r>
      <w:r w:rsidR="00593459" w:rsidRPr="00AB2539">
        <w:rPr>
          <w:highlight w:val="yellow"/>
        </w:rPr>
        <w:t>8.5</w:t>
      </w:r>
      <w:r w:rsidR="00B12A3D" w:rsidRPr="00AB2539">
        <w:rPr>
          <w:highlight w:val="yellow"/>
        </w:rPr>
        <w:t>) for 10 min.</w:t>
      </w:r>
      <w:r w:rsidR="001C52C2" w:rsidRPr="00AB2539">
        <w:rPr>
          <w:highlight w:val="yellow"/>
        </w:rPr>
        <w:t xml:space="preserve"> Wash</w:t>
      </w:r>
      <w:r w:rsidRPr="00AB2539">
        <w:rPr>
          <w:highlight w:val="yellow"/>
        </w:rPr>
        <w:t xml:space="preserve"> 3 times</w:t>
      </w:r>
      <w:r w:rsidR="00593459">
        <w:rPr>
          <w:highlight w:val="yellow"/>
        </w:rPr>
        <w:t xml:space="preserve"> for</w:t>
      </w:r>
      <w:r w:rsidRPr="00AB2539">
        <w:rPr>
          <w:highlight w:val="yellow"/>
        </w:rPr>
        <w:t xml:space="preserve"> 10 min each </w:t>
      </w:r>
      <w:r w:rsidR="001C52C2" w:rsidRPr="00AB2539">
        <w:rPr>
          <w:highlight w:val="yellow"/>
        </w:rPr>
        <w:t>with</w:t>
      </w:r>
      <w:r w:rsidRPr="00AB2539">
        <w:rPr>
          <w:highlight w:val="yellow"/>
        </w:rPr>
        <w:t xml:space="preserve"> ice-cold 0.1 M PBS.</w:t>
      </w:r>
    </w:p>
    <w:p w14:paraId="38B18B0B"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37297743" w14:textId="4BE78AC9"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Incubate for 2 h at room temperature in PBS++ (</w:t>
      </w:r>
      <w:r w:rsidR="00593459">
        <w:rPr>
          <w:highlight w:val="yellow"/>
        </w:rPr>
        <w:t>b</w:t>
      </w:r>
      <w:r w:rsidRPr="00AB2539">
        <w:rPr>
          <w:highlight w:val="yellow"/>
        </w:rPr>
        <w:t>locking solution).</w:t>
      </w:r>
    </w:p>
    <w:p w14:paraId="775F155D"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4CD127B8" w14:textId="0CC42979"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Incubate with </w:t>
      </w:r>
      <w:r w:rsidR="00593459">
        <w:rPr>
          <w:highlight w:val="yellow"/>
        </w:rPr>
        <w:t>a</w:t>
      </w:r>
      <w:r w:rsidR="00593459" w:rsidRPr="00AB2539">
        <w:rPr>
          <w:highlight w:val="yellow"/>
        </w:rPr>
        <w:t>nti</w:t>
      </w:r>
      <w:r w:rsidRPr="00AB2539">
        <w:rPr>
          <w:highlight w:val="yellow"/>
        </w:rPr>
        <w:t>-</w:t>
      </w:r>
      <w:proofErr w:type="spellStart"/>
      <w:r w:rsidRPr="00AB2539">
        <w:rPr>
          <w:highlight w:val="yellow"/>
        </w:rPr>
        <w:t>BrdU</w:t>
      </w:r>
      <w:proofErr w:type="spellEnd"/>
      <w:r w:rsidRPr="00AB2539">
        <w:rPr>
          <w:highlight w:val="yellow"/>
        </w:rPr>
        <w:t xml:space="preserve"> primary antibody (mouse host) 1:250 in PBS+ overnight at 4°C. </w:t>
      </w:r>
    </w:p>
    <w:p w14:paraId="09847E9E" w14:textId="77777777" w:rsidR="00E25AE0" w:rsidRPr="00AB2539" w:rsidRDefault="00E25AE0" w:rsidP="00AB2539">
      <w:pPr>
        <w:pStyle w:val="NormalWeb"/>
        <w:widowControl/>
        <w:spacing w:before="0" w:beforeAutospacing="0" w:after="0" w:afterAutospacing="0"/>
        <w:contextualSpacing/>
        <w:rPr>
          <w:color w:val="auto"/>
          <w:highlight w:val="yellow"/>
        </w:rPr>
      </w:pPr>
    </w:p>
    <w:p w14:paraId="798C01BC" w14:textId="6940CD56" w:rsidR="002F781E" w:rsidRPr="00AB2539" w:rsidRDefault="00D71A5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On day 2, r</w:t>
      </w:r>
      <w:r w:rsidR="00E25AE0" w:rsidRPr="00AB2539">
        <w:rPr>
          <w:highlight w:val="yellow"/>
        </w:rPr>
        <w:t>inse 3 times</w:t>
      </w:r>
      <w:r w:rsidR="00593459">
        <w:rPr>
          <w:highlight w:val="yellow"/>
        </w:rPr>
        <w:t xml:space="preserve"> for</w:t>
      </w:r>
      <w:r w:rsidR="00E25AE0" w:rsidRPr="00AB2539">
        <w:rPr>
          <w:highlight w:val="yellow"/>
        </w:rPr>
        <w:t xml:space="preserve"> 10 min each</w:t>
      </w:r>
      <w:r w:rsidR="00593459">
        <w:rPr>
          <w:highlight w:val="yellow"/>
        </w:rPr>
        <w:t xml:space="preserve"> </w:t>
      </w:r>
      <w:r w:rsidR="001C52C2" w:rsidRPr="00AB2539">
        <w:rPr>
          <w:highlight w:val="yellow"/>
        </w:rPr>
        <w:t xml:space="preserve">with </w:t>
      </w:r>
      <w:r w:rsidR="00E25AE0" w:rsidRPr="00AB2539">
        <w:rPr>
          <w:highlight w:val="yellow"/>
        </w:rPr>
        <w:t>0.1 M PBS.</w:t>
      </w:r>
    </w:p>
    <w:p w14:paraId="42962AA1" w14:textId="41DD6B78" w:rsidR="002F781E" w:rsidRPr="00AB2539" w:rsidRDefault="002F781E" w:rsidP="00AB2539">
      <w:pPr>
        <w:pStyle w:val="NormalWeb"/>
        <w:widowControl/>
        <w:spacing w:before="0" w:beforeAutospacing="0" w:after="0" w:afterAutospacing="0"/>
        <w:contextualSpacing/>
        <w:rPr>
          <w:color w:val="auto"/>
          <w:highlight w:val="yellow"/>
        </w:rPr>
      </w:pPr>
    </w:p>
    <w:p w14:paraId="3FB80559" w14:textId="7BEC0A99"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Incubate with </w:t>
      </w:r>
      <w:r w:rsidR="00593459" w:rsidRPr="00AB2539">
        <w:rPr>
          <w:highlight w:val="yellow"/>
        </w:rPr>
        <w:t xml:space="preserve">1:250 </w:t>
      </w:r>
      <w:r w:rsidRPr="00AB2539">
        <w:rPr>
          <w:color w:val="auto"/>
          <w:highlight w:val="yellow"/>
        </w:rPr>
        <w:t xml:space="preserve">biotinylated </w:t>
      </w:r>
      <w:r w:rsidRPr="00AB2539">
        <w:rPr>
          <w:highlight w:val="yellow"/>
        </w:rPr>
        <w:t>secondary antibody (anti-mouse) in PBS+ for 2</w:t>
      </w:r>
      <w:r w:rsidR="00593459" w:rsidRPr="00593459">
        <w:rPr>
          <w:highlight w:val="yellow"/>
        </w:rPr>
        <w:t>‒</w:t>
      </w:r>
      <w:r w:rsidRPr="00AB2539">
        <w:rPr>
          <w:highlight w:val="yellow"/>
        </w:rPr>
        <w:t>4 h at room temperature.</w:t>
      </w:r>
      <w:r w:rsidR="00243E29" w:rsidRPr="00AB2539">
        <w:rPr>
          <w:highlight w:val="yellow"/>
        </w:rPr>
        <w:t xml:space="preserve"> </w:t>
      </w:r>
      <w:r w:rsidRPr="00AB2539">
        <w:rPr>
          <w:highlight w:val="yellow"/>
        </w:rPr>
        <w:t>Rinse 3 times</w:t>
      </w:r>
      <w:r w:rsidR="00593459">
        <w:rPr>
          <w:highlight w:val="yellow"/>
        </w:rPr>
        <w:t xml:space="preserve"> for</w:t>
      </w:r>
      <w:r w:rsidRPr="00AB2539">
        <w:rPr>
          <w:highlight w:val="yellow"/>
        </w:rPr>
        <w:t xml:space="preserve"> 10 min each </w:t>
      </w:r>
      <w:r w:rsidR="001C52C2" w:rsidRPr="00AB2539">
        <w:rPr>
          <w:highlight w:val="yellow"/>
        </w:rPr>
        <w:t>with</w:t>
      </w:r>
      <w:r w:rsidRPr="00AB2539">
        <w:rPr>
          <w:highlight w:val="yellow"/>
        </w:rPr>
        <w:t xml:space="preserve"> 0.1 M PBS.</w:t>
      </w:r>
    </w:p>
    <w:p w14:paraId="59412909"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6119FCD3" w14:textId="4FAEFFB3" w:rsidR="00CB009A"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Incubate in the ABC solution for</w:t>
      </w:r>
      <w:r w:rsidRPr="00AB2539">
        <w:rPr>
          <w:color w:val="auto"/>
          <w:highlight w:val="yellow"/>
        </w:rPr>
        <w:t xml:space="preserve"> </w:t>
      </w:r>
      <w:r w:rsidRPr="00AB2539">
        <w:rPr>
          <w:highlight w:val="yellow"/>
        </w:rPr>
        <w:t>1</w:t>
      </w:r>
      <w:r w:rsidR="00ED3130" w:rsidRPr="00AB2539">
        <w:rPr>
          <w:highlight w:val="yellow"/>
        </w:rPr>
        <w:t xml:space="preserve"> </w:t>
      </w:r>
      <w:r w:rsidRPr="00AB2539">
        <w:rPr>
          <w:highlight w:val="yellow"/>
        </w:rPr>
        <w:t>h at room temperature.</w:t>
      </w:r>
      <w:r w:rsidR="00243E29" w:rsidRPr="00AB2539">
        <w:rPr>
          <w:highlight w:val="yellow"/>
        </w:rPr>
        <w:t xml:space="preserve"> </w:t>
      </w:r>
      <w:r w:rsidRPr="00AB2539">
        <w:rPr>
          <w:highlight w:val="yellow"/>
        </w:rPr>
        <w:t>Rinse 3 times</w:t>
      </w:r>
      <w:r w:rsidR="00593459">
        <w:rPr>
          <w:highlight w:val="yellow"/>
        </w:rPr>
        <w:t xml:space="preserve"> for</w:t>
      </w:r>
      <w:r w:rsidR="00593459" w:rsidRPr="00AB2539">
        <w:rPr>
          <w:highlight w:val="yellow"/>
        </w:rPr>
        <w:t xml:space="preserve"> </w:t>
      </w:r>
      <w:r w:rsidRPr="00AB2539">
        <w:rPr>
          <w:highlight w:val="yellow"/>
        </w:rPr>
        <w:t xml:space="preserve">10 min each </w:t>
      </w:r>
      <w:r w:rsidR="001C52C2" w:rsidRPr="00AB2539">
        <w:rPr>
          <w:highlight w:val="yellow"/>
        </w:rPr>
        <w:t>with</w:t>
      </w:r>
      <w:r w:rsidRPr="00AB2539">
        <w:rPr>
          <w:highlight w:val="yellow"/>
        </w:rPr>
        <w:t xml:space="preserve"> 0.1 M PBS.</w:t>
      </w:r>
      <w:r w:rsidR="00CB009A" w:rsidRPr="00AB2539">
        <w:rPr>
          <w:highlight w:val="yellow"/>
        </w:rPr>
        <w:t xml:space="preserve"> </w:t>
      </w:r>
    </w:p>
    <w:p w14:paraId="36AC5347" w14:textId="77777777" w:rsidR="00CB009A" w:rsidRPr="00AB2539" w:rsidRDefault="00CB009A" w:rsidP="00AB2539">
      <w:pPr>
        <w:pStyle w:val="NormalWeb"/>
        <w:widowControl/>
        <w:spacing w:before="0" w:beforeAutospacing="0" w:after="0" w:afterAutospacing="0"/>
        <w:contextualSpacing/>
        <w:rPr>
          <w:color w:val="auto"/>
          <w:highlight w:val="yellow"/>
        </w:rPr>
      </w:pPr>
    </w:p>
    <w:p w14:paraId="4A18EC55" w14:textId="0C6211AB"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Transfer slices to DAB </w:t>
      </w:r>
      <w:r w:rsidR="00593459">
        <w:rPr>
          <w:highlight w:val="yellow"/>
        </w:rPr>
        <w:t>p</w:t>
      </w:r>
      <w:r w:rsidRPr="00AB2539">
        <w:rPr>
          <w:highlight w:val="yellow"/>
        </w:rPr>
        <w:t xml:space="preserve">eroxidase (HRP) </w:t>
      </w:r>
      <w:r w:rsidR="00593459">
        <w:rPr>
          <w:highlight w:val="yellow"/>
        </w:rPr>
        <w:t>s</w:t>
      </w:r>
      <w:r w:rsidRPr="00AB2539">
        <w:rPr>
          <w:highlight w:val="yellow"/>
        </w:rPr>
        <w:t>ubstrate solution and incubate for 2</w:t>
      </w:r>
      <w:r w:rsidR="00593459" w:rsidRPr="00593459">
        <w:rPr>
          <w:highlight w:val="yellow"/>
        </w:rPr>
        <w:t>‒</w:t>
      </w:r>
      <w:r w:rsidRPr="00AB2539">
        <w:rPr>
          <w:highlight w:val="yellow"/>
        </w:rPr>
        <w:t xml:space="preserve">10 min. </w:t>
      </w:r>
      <w:r w:rsidR="00CB009A" w:rsidRPr="00AB2539">
        <w:rPr>
          <w:color w:val="auto"/>
          <w:highlight w:val="yellow"/>
        </w:rPr>
        <w:t>When slices become dark grey, visualize the tissue with a magnifying glass or a microscope. If positive cells are present, r</w:t>
      </w:r>
      <w:r w:rsidR="00CB009A" w:rsidRPr="00AB2539">
        <w:rPr>
          <w:highlight w:val="yellow"/>
        </w:rPr>
        <w:t>inse 3 times (</w:t>
      </w:r>
      <w:r w:rsidR="00086ADB" w:rsidRPr="00AB2539">
        <w:rPr>
          <w:highlight w:val="yellow"/>
        </w:rPr>
        <w:t>15</w:t>
      </w:r>
      <w:r w:rsidR="00CB009A" w:rsidRPr="00AB2539">
        <w:rPr>
          <w:highlight w:val="yellow"/>
        </w:rPr>
        <w:t xml:space="preserve"> min each) </w:t>
      </w:r>
      <w:r w:rsidR="001C52C2" w:rsidRPr="00AB2539">
        <w:rPr>
          <w:highlight w:val="yellow"/>
        </w:rPr>
        <w:t>with</w:t>
      </w:r>
      <w:r w:rsidR="00CB009A" w:rsidRPr="00AB2539">
        <w:rPr>
          <w:highlight w:val="yellow"/>
        </w:rPr>
        <w:t xml:space="preserve"> </w:t>
      </w:r>
      <w:r w:rsidR="00086ADB" w:rsidRPr="00AB2539">
        <w:rPr>
          <w:highlight w:val="yellow"/>
        </w:rPr>
        <w:t xml:space="preserve">tap </w:t>
      </w:r>
      <w:r w:rsidR="00CB009A" w:rsidRPr="00AB2539">
        <w:rPr>
          <w:highlight w:val="yellow"/>
        </w:rPr>
        <w:t>water</w:t>
      </w:r>
      <w:r w:rsidR="00086ADB" w:rsidRPr="00AB2539">
        <w:rPr>
          <w:highlight w:val="yellow"/>
        </w:rPr>
        <w:t xml:space="preserve"> (to reduce background)</w:t>
      </w:r>
      <w:r w:rsidR="001C52C2" w:rsidRPr="00AB2539">
        <w:rPr>
          <w:highlight w:val="yellow"/>
        </w:rPr>
        <w:t xml:space="preserve"> followed by </w:t>
      </w:r>
      <w:r w:rsidR="00CB009A" w:rsidRPr="00AB2539">
        <w:rPr>
          <w:highlight w:val="yellow"/>
        </w:rPr>
        <w:t>3 times</w:t>
      </w:r>
      <w:r w:rsidR="00593459">
        <w:rPr>
          <w:highlight w:val="yellow"/>
        </w:rPr>
        <w:t xml:space="preserve"> with</w:t>
      </w:r>
      <w:r w:rsidR="001C52C2" w:rsidRPr="00AB2539">
        <w:rPr>
          <w:highlight w:val="yellow"/>
        </w:rPr>
        <w:t xml:space="preserve"> 0.1 M PBS wash for</w:t>
      </w:r>
      <w:r w:rsidR="00CB009A" w:rsidRPr="00AB2539">
        <w:rPr>
          <w:highlight w:val="yellow"/>
        </w:rPr>
        <w:t xml:space="preserve"> 10 min each</w:t>
      </w:r>
      <w:r w:rsidR="001C52C2" w:rsidRPr="00AB2539">
        <w:rPr>
          <w:highlight w:val="yellow"/>
        </w:rPr>
        <w:t>.</w:t>
      </w:r>
    </w:p>
    <w:p w14:paraId="392F6168" w14:textId="77777777" w:rsidR="00E25AE0" w:rsidRPr="00AB2539" w:rsidRDefault="00E25AE0" w:rsidP="00AB2539">
      <w:pPr>
        <w:pStyle w:val="NormalWeb"/>
        <w:widowControl/>
        <w:spacing w:before="0" w:beforeAutospacing="0" w:after="0" w:afterAutospacing="0"/>
        <w:contextualSpacing/>
        <w:rPr>
          <w:color w:val="auto"/>
          <w:highlight w:val="yellow"/>
        </w:rPr>
      </w:pPr>
    </w:p>
    <w:p w14:paraId="74F3336C" w14:textId="5D71F6BC" w:rsidR="00CB009A" w:rsidRPr="00AB2539" w:rsidRDefault="00E25AE0" w:rsidP="00AB2539">
      <w:pPr>
        <w:pStyle w:val="NormalWeb"/>
        <w:widowControl/>
        <w:spacing w:before="0" w:beforeAutospacing="0" w:after="0" w:afterAutospacing="0"/>
        <w:contextualSpacing/>
        <w:rPr>
          <w:color w:val="auto"/>
        </w:rPr>
      </w:pPr>
      <w:r w:rsidRPr="00AB2539">
        <w:rPr>
          <w:color w:val="auto"/>
        </w:rPr>
        <w:t xml:space="preserve">NOTE: </w:t>
      </w:r>
      <w:r w:rsidR="00ED3130" w:rsidRPr="00AB2539">
        <w:rPr>
          <w:color w:val="auto"/>
        </w:rPr>
        <w:t>Solution must be prepared immediately before use</w:t>
      </w:r>
      <w:r w:rsidRPr="00AB2539">
        <w:rPr>
          <w:color w:val="auto"/>
        </w:rPr>
        <w:t xml:space="preserve">. </w:t>
      </w:r>
      <w:r w:rsidR="00ED3130" w:rsidRPr="00AB2539">
        <w:rPr>
          <w:color w:val="auto"/>
        </w:rPr>
        <w:t xml:space="preserve">Care should be taken to avoid </w:t>
      </w:r>
      <w:r w:rsidRPr="00AB2539">
        <w:rPr>
          <w:color w:val="auto"/>
        </w:rPr>
        <w:t>brain slice</w:t>
      </w:r>
      <w:r w:rsidR="00593459">
        <w:rPr>
          <w:color w:val="auto"/>
        </w:rPr>
        <w:t>s</w:t>
      </w:r>
      <w:r w:rsidRPr="00AB2539">
        <w:rPr>
          <w:color w:val="auto"/>
        </w:rPr>
        <w:t xml:space="preserve"> stick</w:t>
      </w:r>
      <w:r w:rsidR="003F2478">
        <w:rPr>
          <w:color w:val="auto"/>
        </w:rPr>
        <w:t>ing</w:t>
      </w:r>
      <w:r w:rsidRPr="00AB2539">
        <w:rPr>
          <w:color w:val="auto"/>
        </w:rPr>
        <w:t xml:space="preserve"> to each other due </w:t>
      </w:r>
      <w:r w:rsidR="0010581E" w:rsidRPr="00AB2539">
        <w:rPr>
          <w:color w:val="auto"/>
        </w:rPr>
        <w:t>to</w:t>
      </w:r>
      <w:r w:rsidRPr="00AB2539">
        <w:rPr>
          <w:color w:val="auto"/>
        </w:rPr>
        <w:t xml:space="preserve"> irregular dark spots in the tissue.</w:t>
      </w:r>
      <w:r w:rsidR="00EB0961">
        <w:t xml:space="preserve"> </w:t>
      </w:r>
    </w:p>
    <w:p w14:paraId="0FADEA8A"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6E45E302" w14:textId="2FD579AB"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Carefully mount slices </w:t>
      </w:r>
      <w:r w:rsidR="00593459">
        <w:rPr>
          <w:highlight w:val="yellow"/>
        </w:rPr>
        <w:t>on</w:t>
      </w:r>
      <w:r w:rsidRPr="00AB2539">
        <w:rPr>
          <w:highlight w:val="yellow"/>
        </w:rPr>
        <w:t xml:space="preserve"> gelatinized slides using a soft brush</w:t>
      </w:r>
      <w:r w:rsidR="00593459">
        <w:rPr>
          <w:highlight w:val="yellow"/>
        </w:rPr>
        <w:t xml:space="preserve"> and then</w:t>
      </w:r>
      <w:r w:rsidRPr="00AB2539">
        <w:rPr>
          <w:highlight w:val="yellow"/>
        </w:rPr>
        <w:t xml:space="preserve"> air dry overnight at room temperature.</w:t>
      </w:r>
    </w:p>
    <w:p w14:paraId="39B40ADD" w14:textId="77777777" w:rsidR="002F781E" w:rsidRPr="00AB2539" w:rsidRDefault="002F781E" w:rsidP="00AB2539">
      <w:pPr>
        <w:pStyle w:val="NormalWeb"/>
        <w:widowControl/>
        <w:spacing w:before="0" w:beforeAutospacing="0" w:after="0" w:afterAutospacing="0"/>
        <w:contextualSpacing/>
        <w:rPr>
          <w:color w:val="auto"/>
          <w:highlight w:val="yellow"/>
        </w:rPr>
      </w:pPr>
    </w:p>
    <w:p w14:paraId="25CDEF98" w14:textId="2BA95FAD" w:rsidR="00E25AE0" w:rsidRPr="00AB2539" w:rsidRDefault="00E25AE0" w:rsidP="00AB2539">
      <w:pPr>
        <w:pStyle w:val="NormalWeb"/>
        <w:widowControl/>
        <w:numPr>
          <w:ilvl w:val="2"/>
          <w:numId w:val="18"/>
        </w:numPr>
        <w:spacing w:before="0" w:beforeAutospacing="0" w:after="0" w:afterAutospacing="0"/>
        <w:contextualSpacing/>
        <w:rPr>
          <w:highlight w:val="yellow"/>
        </w:rPr>
      </w:pPr>
      <w:r w:rsidRPr="008348CD">
        <w:t xml:space="preserve">Counterstain </w:t>
      </w:r>
      <w:r w:rsidR="00593459" w:rsidRPr="008348CD">
        <w:t xml:space="preserve">if needed </w:t>
      </w:r>
      <w:r w:rsidRPr="008348CD">
        <w:t xml:space="preserve">(see </w:t>
      </w:r>
      <w:r w:rsidR="00593459" w:rsidRPr="008348CD">
        <w:t xml:space="preserve">step </w:t>
      </w:r>
      <w:r w:rsidRPr="008348CD">
        <w:t xml:space="preserve">7.1), </w:t>
      </w:r>
      <w:r w:rsidRPr="00AB2539">
        <w:rPr>
          <w:highlight w:val="yellow"/>
        </w:rPr>
        <w:t>add permanent mounting medium and place coverslips.</w:t>
      </w:r>
      <w:r w:rsidR="00D749D2" w:rsidRPr="00AB2539">
        <w:rPr>
          <w:highlight w:val="yellow"/>
        </w:rPr>
        <w:t xml:space="preserve"> </w:t>
      </w:r>
      <w:r w:rsidRPr="00AB2539">
        <w:rPr>
          <w:highlight w:val="yellow"/>
        </w:rPr>
        <w:t>Store at 4 °C for up to 6 months.</w:t>
      </w:r>
    </w:p>
    <w:p w14:paraId="686D55B6" w14:textId="77777777" w:rsidR="00E25AE0" w:rsidRPr="00AB2539" w:rsidRDefault="00E25AE0" w:rsidP="00AB2539">
      <w:pPr>
        <w:pStyle w:val="NormalWeb"/>
        <w:widowControl/>
        <w:spacing w:before="0" w:beforeAutospacing="0" w:after="0" w:afterAutospacing="0"/>
        <w:contextualSpacing/>
        <w:rPr>
          <w:color w:val="auto"/>
        </w:rPr>
      </w:pPr>
    </w:p>
    <w:p w14:paraId="457E097F" w14:textId="1BC83F6D" w:rsidR="00E25AE0" w:rsidRPr="00AB2539" w:rsidRDefault="00E25AE0" w:rsidP="00AB2539">
      <w:pPr>
        <w:pStyle w:val="ListParagraph"/>
        <w:widowControl/>
        <w:numPr>
          <w:ilvl w:val="1"/>
          <w:numId w:val="18"/>
        </w:numPr>
        <w:autoSpaceDE/>
        <w:autoSpaceDN/>
        <w:adjustRightInd/>
      </w:pPr>
      <w:r w:rsidRPr="00AB2539">
        <w:lastRenderedPageBreak/>
        <w:t xml:space="preserve">Detection of </w:t>
      </w:r>
      <w:proofErr w:type="spellStart"/>
      <w:r w:rsidRPr="00AB2539">
        <w:t>BrdU</w:t>
      </w:r>
      <w:proofErr w:type="spellEnd"/>
      <w:r w:rsidRPr="00AB2539">
        <w:t xml:space="preserve"> by immunofluorescence </w:t>
      </w:r>
      <w:r w:rsidR="004B3573" w:rsidRPr="00AB2539">
        <w:t xml:space="preserve">using </w:t>
      </w:r>
      <w:r w:rsidR="00593459">
        <w:t>l</w:t>
      </w:r>
      <w:r w:rsidR="00593459" w:rsidRPr="00AB2539">
        <w:t xml:space="preserve">abeled </w:t>
      </w:r>
      <w:r w:rsidR="004B3573" w:rsidRPr="00AB2539">
        <w:t>Streptavidin-Biotin (LSAB)</w:t>
      </w:r>
      <w:r w:rsidRPr="00AB2539">
        <w:t xml:space="preserve"> amplification</w:t>
      </w:r>
    </w:p>
    <w:p w14:paraId="3793BD06" w14:textId="77777777" w:rsidR="00284F2B" w:rsidRPr="00AB2539" w:rsidRDefault="00284F2B" w:rsidP="00AB2539">
      <w:pPr>
        <w:pStyle w:val="ListParagraph"/>
        <w:widowControl/>
        <w:autoSpaceDE/>
        <w:autoSpaceDN/>
        <w:adjustRightInd/>
        <w:ind w:left="0"/>
      </w:pPr>
    </w:p>
    <w:p w14:paraId="0F3F39F0" w14:textId="6C35E853" w:rsidR="00E25AE0" w:rsidRPr="00AB2539" w:rsidRDefault="00E25AE0" w:rsidP="00AB2539">
      <w:pPr>
        <w:pStyle w:val="NormalWeb"/>
        <w:widowControl/>
        <w:spacing w:before="0" w:beforeAutospacing="0" w:after="0" w:afterAutospacing="0"/>
        <w:contextualSpacing/>
      </w:pPr>
      <w:r w:rsidRPr="00AB2539">
        <w:t xml:space="preserve">NOTE: </w:t>
      </w:r>
      <w:r w:rsidR="009C45C1" w:rsidRPr="00AB2539">
        <w:t>Perform step</w:t>
      </w:r>
      <w:r w:rsidR="00593459">
        <w:t>s</w:t>
      </w:r>
      <w:r w:rsidR="009C45C1" w:rsidRPr="00AB2539">
        <w:t xml:space="preserve"> 4.3.1 to 4.3.</w:t>
      </w:r>
      <w:r w:rsidR="00D71A50" w:rsidRPr="00AB2539">
        <w:t>4</w:t>
      </w:r>
      <w:r w:rsidR="009C45C1" w:rsidRPr="00AB2539">
        <w:t xml:space="preserve"> on day 1</w:t>
      </w:r>
      <w:r w:rsidRPr="00AB2539">
        <w:t>.</w:t>
      </w:r>
    </w:p>
    <w:p w14:paraId="079E55C7" w14:textId="77777777" w:rsidR="00E25AE0" w:rsidRPr="00AB2539" w:rsidRDefault="00E25AE0" w:rsidP="00AB2539">
      <w:pPr>
        <w:pStyle w:val="NormalWeb"/>
        <w:widowControl/>
        <w:spacing w:before="0" w:beforeAutospacing="0" w:after="0" w:afterAutospacing="0"/>
        <w:contextualSpacing/>
        <w:rPr>
          <w:color w:val="auto"/>
        </w:rPr>
      </w:pPr>
    </w:p>
    <w:p w14:paraId="54C68F28" w14:textId="666B05E8" w:rsidR="00E25AE0" w:rsidRPr="00AB2539" w:rsidRDefault="00E25AE0" w:rsidP="00AB2539">
      <w:pPr>
        <w:pStyle w:val="NormalWeb"/>
        <w:widowControl/>
        <w:numPr>
          <w:ilvl w:val="2"/>
          <w:numId w:val="18"/>
        </w:numPr>
        <w:spacing w:before="0" w:beforeAutospacing="0" w:after="0" w:afterAutospacing="0"/>
        <w:contextualSpacing/>
        <w:rPr>
          <w:color w:val="auto"/>
        </w:rPr>
      </w:pPr>
      <w:r w:rsidRPr="00AB2539">
        <w:t xml:space="preserve">Transfer slices from the cryoprotection solution to 0.1 M PBS </w:t>
      </w:r>
      <w:r w:rsidR="0010581E" w:rsidRPr="00AB2539">
        <w:t xml:space="preserve">at </w:t>
      </w:r>
      <w:r w:rsidRPr="00AB2539">
        <w:t>room temperature.</w:t>
      </w:r>
      <w:r w:rsidR="00243E29" w:rsidRPr="00AB2539">
        <w:t xml:space="preserve"> </w:t>
      </w:r>
      <w:r w:rsidRPr="00AB2539">
        <w:t>Rinse 3 times</w:t>
      </w:r>
      <w:r w:rsidR="00593459">
        <w:t xml:space="preserve"> for</w:t>
      </w:r>
      <w:r w:rsidR="00593459" w:rsidRPr="00AB2539">
        <w:t xml:space="preserve"> </w:t>
      </w:r>
      <w:r w:rsidRPr="00AB2539">
        <w:t xml:space="preserve">10 min each </w:t>
      </w:r>
      <w:r w:rsidR="001C52C2" w:rsidRPr="00AB2539">
        <w:t>with</w:t>
      </w:r>
      <w:r w:rsidRPr="00AB2539">
        <w:t xml:space="preserve"> 0.1 M PBS.</w:t>
      </w:r>
      <w:r w:rsidR="0046515C" w:rsidRPr="00AB2539">
        <w:t xml:space="preserve"> </w:t>
      </w:r>
      <w:r w:rsidR="001C52C2" w:rsidRPr="00AB2539">
        <w:t>Optionally, perform a</w:t>
      </w:r>
      <w:r w:rsidRPr="00AB2539">
        <w:t xml:space="preserve">ntigen </w:t>
      </w:r>
      <w:r w:rsidR="001C52C2" w:rsidRPr="00AB2539">
        <w:t>r</w:t>
      </w:r>
      <w:r w:rsidRPr="00AB2539">
        <w:t>etrieval (</w:t>
      </w:r>
      <w:r w:rsidR="001C52C2" w:rsidRPr="00AB2539">
        <w:t>see</w:t>
      </w:r>
      <w:r w:rsidR="004B634B" w:rsidRPr="00AB2539">
        <w:t xml:space="preserve"> s</w:t>
      </w:r>
      <w:r w:rsidR="00593459">
        <w:t>ection</w:t>
      </w:r>
      <w:r w:rsidR="004B634B" w:rsidRPr="00AB2539">
        <w:t xml:space="preserve"> 5</w:t>
      </w:r>
      <w:r w:rsidRPr="00AB2539">
        <w:t>)</w:t>
      </w:r>
      <w:r w:rsidR="002F781E" w:rsidRPr="00AB2539">
        <w:t>.</w:t>
      </w:r>
    </w:p>
    <w:p w14:paraId="183D2CDA" w14:textId="77777777" w:rsidR="002F781E" w:rsidRPr="00AB2539" w:rsidRDefault="002F781E" w:rsidP="00AB2539">
      <w:pPr>
        <w:pStyle w:val="NormalWeb"/>
        <w:widowControl/>
        <w:spacing w:before="0" w:beforeAutospacing="0" w:after="0" w:afterAutospacing="0"/>
        <w:contextualSpacing/>
        <w:rPr>
          <w:color w:val="auto"/>
        </w:rPr>
      </w:pPr>
    </w:p>
    <w:p w14:paraId="140CDDBE" w14:textId="5127723F" w:rsidR="00E25AE0" w:rsidRPr="00AB2539" w:rsidRDefault="00E25AE0" w:rsidP="00AB2539">
      <w:pPr>
        <w:pStyle w:val="NormalWeb"/>
        <w:widowControl/>
        <w:numPr>
          <w:ilvl w:val="2"/>
          <w:numId w:val="18"/>
        </w:numPr>
        <w:spacing w:before="0" w:beforeAutospacing="0" w:after="0" w:afterAutospacing="0"/>
        <w:contextualSpacing/>
        <w:rPr>
          <w:color w:val="auto"/>
        </w:rPr>
      </w:pPr>
      <w:r w:rsidRPr="00AB2539">
        <w:t xml:space="preserve">Incubate for </w:t>
      </w:r>
      <w:r w:rsidR="00BD2A70" w:rsidRPr="00AB2539">
        <w:t>2</w:t>
      </w:r>
      <w:r w:rsidRPr="00AB2539">
        <w:t>0 min in 2</w:t>
      </w:r>
      <w:r w:rsidR="00593459">
        <w:t xml:space="preserve"> </w:t>
      </w:r>
      <w:r w:rsidRPr="00AB2539">
        <w:t>N HC</w:t>
      </w:r>
      <w:r w:rsidR="00593459">
        <w:t>l</w:t>
      </w:r>
      <w:r w:rsidRPr="00AB2539">
        <w:t xml:space="preserve"> at 37 °C</w:t>
      </w:r>
      <w:r w:rsidR="00B12A3D" w:rsidRPr="00AB2539">
        <w:t xml:space="preserve">. Rinse in 0.1 M </w:t>
      </w:r>
      <w:r w:rsidR="00593459">
        <w:t>b</w:t>
      </w:r>
      <w:r w:rsidR="00B12A3D" w:rsidRPr="00AB2539">
        <w:t xml:space="preserve">orate </w:t>
      </w:r>
      <w:r w:rsidR="00593459">
        <w:t>b</w:t>
      </w:r>
      <w:r w:rsidR="00B12A3D" w:rsidRPr="00AB2539">
        <w:t>uffer (8.5 pH) for 10 min.</w:t>
      </w:r>
      <w:r w:rsidR="00243E29" w:rsidRPr="00AB2539">
        <w:t xml:space="preserve"> </w:t>
      </w:r>
      <w:r w:rsidRPr="00AB2539">
        <w:t>Rinse 3 times</w:t>
      </w:r>
      <w:r w:rsidR="00593459">
        <w:t xml:space="preserve"> for</w:t>
      </w:r>
      <w:r w:rsidRPr="00AB2539">
        <w:t xml:space="preserve"> 10 min each in ice-cold 0.1 M PBS.</w:t>
      </w:r>
    </w:p>
    <w:p w14:paraId="07051EE5" w14:textId="77777777" w:rsidR="002F781E" w:rsidRPr="00AB2539" w:rsidRDefault="002F781E" w:rsidP="00AB2539">
      <w:pPr>
        <w:pStyle w:val="NormalWeb"/>
        <w:widowControl/>
        <w:spacing w:before="0" w:beforeAutospacing="0" w:after="0" w:afterAutospacing="0"/>
        <w:contextualSpacing/>
        <w:rPr>
          <w:color w:val="auto"/>
        </w:rPr>
      </w:pPr>
    </w:p>
    <w:p w14:paraId="345E5281" w14:textId="7EBDA1FF"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Incubate for 2 h</w:t>
      </w:r>
      <w:r w:rsidR="009C45C1" w:rsidRPr="00AB2539">
        <w:t xml:space="preserve"> </w:t>
      </w:r>
      <w:r w:rsidRPr="00AB2539">
        <w:t>at room temperature in PBS++ (</w:t>
      </w:r>
      <w:r w:rsidR="00593459">
        <w:t>b</w:t>
      </w:r>
      <w:r w:rsidRPr="00AB2539">
        <w:t>locking solution).</w:t>
      </w:r>
      <w:r w:rsidR="00B8417B">
        <w:rPr>
          <w:color w:val="auto"/>
        </w:rPr>
        <w:t xml:space="preserve"> </w:t>
      </w:r>
      <w:r w:rsidRPr="00AB2539">
        <w:t xml:space="preserve">Incubate with </w:t>
      </w:r>
      <w:r w:rsidR="00593459" w:rsidRPr="00AB2539">
        <w:t xml:space="preserve">1:250 </w:t>
      </w:r>
      <w:r w:rsidR="00593459">
        <w:t>a</w:t>
      </w:r>
      <w:r w:rsidR="00593459" w:rsidRPr="00AB2539">
        <w:t>nti</w:t>
      </w:r>
      <w:r w:rsidRPr="00AB2539">
        <w:t>-</w:t>
      </w:r>
      <w:proofErr w:type="spellStart"/>
      <w:r w:rsidRPr="00AB2539">
        <w:t>BrdU</w:t>
      </w:r>
      <w:proofErr w:type="spellEnd"/>
      <w:r w:rsidRPr="00AB2539">
        <w:t xml:space="preserve"> primary antibody (mouse host) in PBS+ overnight at 4</w:t>
      </w:r>
      <w:r w:rsidR="001C52C2" w:rsidRPr="00AB2539">
        <w:t xml:space="preserve"> </w:t>
      </w:r>
      <w:r w:rsidRPr="00AB2539">
        <w:t xml:space="preserve">°C. </w:t>
      </w:r>
    </w:p>
    <w:p w14:paraId="6DDD00C0" w14:textId="77777777" w:rsidR="00E25AE0" w:rsidRPr="00AB2539" w:rsidRDefault="00E25AE0" w:rsidP="00AB2539">
      <w:pPr>
        <w:pStyle w:val="NormalWeb"/>
        <w:widowControl/>
        <w:spacing w:before="0" w:beforeAutospacing="0" w:after="0" w:afterAutospacing="0"/>
        <w:contextualSpacing/>
        <w:rPr>
          <w:color w:val="auto"/>
        </w:rPr>
      </w:pPr>
    </w:p>
    <w:p w14:paraId="5272B70A" w14:textId="769AF546" w:rsidR="00E25AE0" w:rsidRPr="00AB2539" w:rsidRDefault="009C45C1" w:rsidP="00AB2539">
      <w:pPr>
        <w:pStyle w:val="NormalWeb"/>
        <w:widowControl/>
        <w:numPr>
          <w:ilvl w:val="2"/>
          <w:numId w:val="18"/>
        </w:numPr>
        <w:spacing w:before="0" w:beforeAutospacing="0" w:after="0" w:afterAutospacing="0"/>
        <w:contextualSpacing/>
        <w:rPr>
          <w:color w:val="auto"/>
        </w:rPr>
      </w:pPr>
      <w:r w:rsidRPr="00AB2539">
        <w:t>On day 2</w:t>
      </w:r>
      <w:r w:rsidR="00593459">
        <w:t>,</w:t>
      </w:r>
      <w:r w:rsidRPr="00AB2539">
        <w:t xml:space="preserve"> </w:t>
      </w:r>
      <w:r w:rsidR="00593459">
        <w:t>r</w:t>
      </w:r>
      <w:r w:rsidR="00E25AE0" w:rsidRPr="00AB2539">
        <w:t>inse 3 times</w:t>
      </w:r>
      <w:r w:rsidR="00593459">
        <w:t xml:space="preserve"> for</w:t>
      </w:r>
      <w:r w:rsidR="00E25AE0" w:rsidRPr="00AB2539">
        <w:t xml:space="preserve"> 10 min each </w:t>
      </w:r>
      <w:r w:rsidR="001C52C2" w:rsidRPr="00AB2539">
        <w:t>with</w:t>
      </w:r>
      <w:r w:rsidR="00E25AE0" w:rsidRPr="00AB2539">
        <w:t xml:space="preserve"> 0.1 M PBS.</w:t>
      </w:r>
    </w:p>
    <w:p w14:paraId="7324939D" w14:textId="77777777" w:rsidR="002F781E" w:rsidRPr="00AB2539" w:rsidRDefault="002F781E" w:rsidP="00AB2539">
      <w:pPr>
        <w:pStyle w:val="NormalWeb"/>
        <w:widowControl/>
        <w:spacing w:before="0" w:beforeAutospacing="0" w:after="0" w:afterAutospacing="0"/>
        <w:contextualSpacing/>
        <w:rPr>
          <w:color w:val="auto"/>
        </w:rPr>
      </w:pPr>
    </w:p>
    <w:p w14:paraId="24DB6104" w14:textId="5BEB450D"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 xml:space="preserve">Incubate with </w:t>
      </w:r>
      <w:r w:rsidR="00593459" w:rsidRPr="00AB2539">
        <w:t xml:space="preserve">1:250 </w:t>
      </w:r>
      <w:r w:rsidRPr="00AB2539">
        <w:rPr>
          <w:color w:val="auto"/>
        </w:rPr>
        <w:t xml:space="preserve">biotinylated </w:t>
      </w:r>
      <w:r w:rsidRPr="00AB2539">
        <w:t>secondary antibody (anti-mouse) in PBS+ for 2</w:t>
      </w:r>
      <w:r w:rsidR="00593459" w:rsidRPr="00D13D3E">
        <w:t>‒</w:t>
      </w:r>
      <w:r w:rsidRPr="00AB2539">
        <w:t>4 h</w:t>
      </w:r>
      <w:r w:rsidR="00593459">
        <w:t xml:space="preserve"> </w:t>
      </w:r>
      <w:r w:rsidRPr="00AB2539">
        <w:t>at room temperature.</w:t>
      </w:r>
      <w:r w:rsidR="00243E29" w:rsidRPr="00AB2539">
        <w:t xml:space="preserve"> </w:t>
      </w:r>
      <w:r w:rsidRPr="00AB2539">
        <w:t>Rinse 3 times</w:t>
      </w:r>
      <w:r w:rsidR="00593459">
        <w:t xml:space="preserve"> for</w:t>
      </w:r>
      <w:r w:rsidRPr="00AB2539">
        <w:t xml:space="preserve"> 10 min each </w:t>
      </w:r>
      <w:r w:rsidR="001C52C2" w:rsidRPr="00AB2539">
        <w:t>with</w:t>
      </w:r>
      <w:r w:rsidRPr="00AB2539">
        <w:t xml:space="preserve"> 0.1 M PBS.</w:t>
      </w:r>
      <w:r w:rsidR="0046515C" w:rsidRPr="00AB2539">
        <w:t xml:space="preserve"> </w:t>
      </w:r>
      <w:r w:rsidRPr="00AB2539">
        <w:t xml:space="preserve">Incubate </w:t>
      </w:r>
      <w:r w:rsidR="001C52C2" w:rsidRPr="00AB2539">
        <w:t>with</w:t>
      </w:r>
      <w:r w:rsidRPr="00AB2539">
        <w:t xml:space="preserve"> </w:t>
      </w:r>
      <w:r w:rsidR="00593459" w:rsidRPr="00AB2539">
        <w:t xml:space="preserve">1:250 </w:t>
      </w:r>
      <w:r w:rsidRPr="00AB2539">
        <w:t>fluorochrome-conjugated streptavidin (Cy3) in PBS (</w:t>
      </w:r>
      <w:r w:rsidR="00593459">
        <w:t xml:space="preserve">do </w:t>
      </w:r>
      <w:r w:rsidRPr="00AB2539">
        <w:t>not use serum) for 1</w:t>
      </w:r>
      <w:r w:rsidR="00593459" w:rsidRPr="00D13D3E">
        <w:t>‒</w:t>
      </w:r>
      <w:r w:rsidRPr="00AB2539">
        <w:t xml:space="preserve">2 h at room temperature. </w:t>
      </w:r>
      <w:r w:rsidR="00243E29" w:rsidRPr="00AB2539">
        <w:t>Rinse 3 times</w:t>
      </w:r>
      <w:r w:rsidR="00593459">
        <w:t xml:space="preserve"> for</w:t>
      </w:r>
      <w:r w:rsidR="00243E29" w:rsidRPr="00AB2539">
        <w:t xml:space="preserve"> 10 min each </w:t>
      </w:r>
      <w:r w:rsidR="001C52C2" w:rsidRPr="00AB2539">
        <w:t>with</w:t>
      </w:r>
      <w:r w:rsidR="00243E29" w:rsidRPr="00AB2539">
        <w:t xml:space="preserve"> 0.1 M PBS.</w:t>
      </w:r>
    </w:p>
    <w:p w14:paraId="0F25AC79" w14:textId="77777777" w:rsidR="00E25AE0" w:rsidRPr="00AB2539" w:rsidRDefault="00E25AE0" w:rsidP="00AB2539">
      <w:pPr>
        <w:pStyle w:val="NormalWeb"/>
        <w:widowControl/>
        <w:spacing w:before="0" w:beforeAutospacing="0" w:after="0" w:afterAutospacing="0"/>
        <w:contextualSpacing/>
      </w:pPr>
    </w:p>
    <w:p w14:paraId="33566584" w14:textId="0AB3B2AD" w:rsidR="00E25AE0" w:rsidRPr="00AB2539" w:rsidRDefault="00E25AE0" w:rsidP="00AB2539">
      <w:pPr>
        <w:pStyle w:val="NormalWeb"/>
        <w:widowControl/>
        <w:spacing w:before="0" w:beforeAutospacing="0" w:after="0" w:afterAutospacing="0"/>
        <w:contextualSpacing/>
      </w:pPr>
      <w:r w:rsidRPr="00AB2539">
        <w:t xml:space="preserve">NOTE: Serum can contain biotin and should not be added to diluents. Instead, use PBS </w:t>
      </w:r>
      <w:r w:rsidR="00593459">
        <w:t>containing</w:t>
      </w:r>
      <w:r w:rsidR="00593459" w:rsidRPr="00AB2539">
        <w:t xml:space="preserve"> </w:t>
      </w:r>
      <w:r w:rsidRPr="00AB2539">
        <w:t xml:space="preserve">0.3% of </w:t>
      </w:r>
      <w:r w:rsidR="00593459">
        <w:t>T</w:t>
      </w:r>
      <w:r w:rsidRPr="00AB2539">
        <w:t>riton X-100.</w:t>
      </w:r>
    </w:p>
    <w:p w14:paraId="464C1F57" w14:textId="77777777" w:rsidR="002F781E" w:rsidRPr="00AB2539" w:rsidRDefault="002F781E" w:rsidP="00AB2539">
      <w:pPr>
        <w:pStyle w:val="NormalWeb"/>
        <w:widowControl/>
        <w:spacing w:before="0" w:beforeAutospacing="0" w:after="0" w:afterAutospacing="0"/>
        <w:contextualSpacing/>
        <w:rPr>
          <w:color w:val="auto"/>
        </w:rPr>
      </w:pPr>
    </w:p>
    <w:p w14:paraId="6DCF557B" w14:textId="07B7C057"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 xml:space="preserve">Carefully mount slices </w:t>
      </w:r>
      <w:r w:rsidR="00593459">
        <w:t>o</w:t>
      </w:r>
      <w:r w:rsidRPr="00AB2539">
        <w:t>n gelatinized slides using a soft brush, air dry overnight at room temperature, or mount immediately with an appropriate</w:t>
      </w:r>
      <w:r w:rsidR="00593459">
        <w:t xml:space="preserve"> </w:t>
      </w:r>
      <w:r w:rsidRPr="00AB2539">
        <w:t>mounting medium.</w:t>
      </w:r>
      <w:r w:rsidR="00B8417B">
        <w:rPr>
          <w:color w:val="auto"/>
        </w:rPr>
        <w:t xml:space="preserve"> </w:t>
      </w:r>
      <w:r w:rsidRPr="00AB2539">
        <w:t xml:space="preserve">Counterstain (see </w:t>
      </w:r>
      <w:r w:rsidR="00593459">
        <w:t>step</w:t>
      </w:r>
      <w:r w:rsidR="00593459" w:rsidRPr="00AB2539">
        <w:t xml:space="preserve"> </w:t>
      </w:r>
      <w:r w:rsidRPr="00AB2539">
        <w:t>7.2), add permanent mounting medium and place coverslips.</w:t>
      </w:r>
      <w:r w:rsidR="00D749D2" w:rsidRPr="00AB2539">
        <w:t xml:space="preserve"> </w:t>
      </w:r>
      <w:r w:rsidRPr="00AB2539">
        <w:t>Store at 4 °C for up to 6 months.</w:t>
      </w:r>
      <w:r w:rsidRPr="00B8417B">
        <w:rPr>
          <w:b/>
          <w:bCs/>
        </w:rPr>
        <w:t xml:space="preserve"> </w:t>
      </w:r>
    </w:p>
    <w:p w14:paraId="460F3AE8" w14:textId="77777777" w:rsidR="00E25AE0" w:rsidRPr="00AB2539" w:rsidRDefault="00E25AE0" w:rsidP="00AB2539">
      <w:pPr>
        <w:pStyle w:val="NormalWeb"/>
        <w:widowControl/>
        <w:spacing w:before="0" w:beforeAutospacing="0" w:after="0" w:afterAutospacing="0"/>
        <w:contextualSpacing/>
        <w:rPr>
          <w:color w:val="auto"/>
        </w:rPr>
      </w:pPr>
    </w:p>
    <w:p w14:paraId="5153AD6C" w14:textId="58303FCC" w:rsidR="00E25AE0" w:rsidRPr="00AB2539" w:rsidRDefault="00E25AE0" w:rsidP="00AB2539">
      <w:pPr>
        <w:pStyle w:val="NormalWeb"/>
        <w:widowControl/>
        <w:numPr>
          <w:ilvl w:val="1"/>
          <w:numId w:val="18"/>
        </w:numPr>
        <w:spacing w:before="0" w:beforeAutospacing="0" w:after="0" w:afterAutospacing="0"/>
        <w:contextualSpacing/>
        <w:rPr>
          <w:color w:val="auto"/>
        </w:rPr>
      </w:pPr>
      <w:r w:rsidRPr="00AB2539">
        <w:t xml:space="preserve">Detection of </w:t>
      </w:r>
      <w:proofErr w:type="spellStart"/>
      <w:r w:rsidRPr="00AB2539">
        <w:t>BrdU</w:t>
      </w:r>
      <w:proofErr w:type="spellEnd"/>
      <w:r w:rsidRPr="00AB2539">
        <w:t xml:space="preserve"> by </w:t>
      </w:r>
      <w:r w:rsidR="007140F1" w:rsidRPr="00AB2539">
        <w:t>i</w:t>
      </w:r>
      <w:r w:rsidR="00C06D78" w:rsidRPr="00AB2539">
        <w:t xml:space="preserve">ndirect </w:t>
      </w:r>
      <w:r w:rsidR="007140F1" w:rsidRPr="00AB2539">
        <w:t>i</w:t>
      </w:r>
      <w:r w:rsidR="00C06D78" w:rsidRPr="00AB2539">
        <w:t>mmunofluorescence</w:t>
      </w:r>
    </w:p>
    <w:p w14:paraId="1230EB98" w14:textId="77777777" w:rsidR="00E25AE0" w:rsidRPr="00AB2539" w:rsidRDefault="00E25AE0" w:rsidP="00AB2539">
      <w:pPr>
        <w:pStyle w:val="ListParagraph"/>
        <w:widowControl/>
        <w:ind w:left="0"/>
      </w:pPr>
    </w:p>
    <w:p w14:paraId="7A77DED4" w14:textId="331FABBD" w:rsidR="00D71A50" w:rsidRPr="00AB2539" w:rsidRDefault="00D71A50" w:rsidP="00AB2539">
      <w:pPr>
        <w:pStyle w:val="NormalWeb"/>
        <w:widowControl/>
        <w:spacing w:before="0" w:beforeAutospacing="0" w:after="0" w:afterAutospacing="0"/>
        <w:contextualSpacing/>
      </w:pPr>
      <w:r w:rsidRPr="00AB2539">
        <w:t>NOTE: Perform step 4.4.1 to 4.4.4 on day 1.</w:t>
      </w:r>
    </w:p>
    <w:p w14:paraId="75399CE7" w14:textId="77777777" w:rsidR="00E25AE0" w:rsidRPr="00AB2539" w:rsidRDefault="00E25AE0" w:rsidP="00AB2539">
      <w:pPr>
        <w:pStyle w:val="NormalWeb"/>
        <w:widowControl/>
        <w:spacing w:before="0" w:beforeAutospacing="0" w:after="0" w:afterAutospacing="0"/>
        <w:contextualSpacing/>
        <w:rPr>
          <w:color w:val="auto"/>
        </w:rPr>
      </w:pPr>
    </w:p>
    <w:p w14:paraId="014B4596" w14:textId="19E10857" w:rsidR="00E25AE0" w:rsidRPr="00AB2539" w:rsidRDefault="00E25AE0" w:rsidP="00AB2539">
      <w:pPr>
        <w:pStyle w:val="NormalWeb"/>
        <w:widowControl/>
        <w:numPr>
          <w:ilvl w:val="2"/>
          <w:numId w:val="18"/>
        </w:numPr>
        <w:spacing w:before="0" w:beforeAutospacing="0" w:after="0" w:afterAutospacing="0"/>
        <w:contextualSpacing/>
      </w:pPr>
      <w:r w:rsidRPr="00AB2539">
        <w:t xml:space="preserve">Transfer slices from the cryoprotection solution to 0.1 M PBS until </w:t>
      </w:r>
      <w:r w:rsidR="00593459">
        <w:t xml:space="preserve">it reaches </w:t>
      </w:r>
      <w:r w:rsidRPr="00AB2539">
        <w:t>room temperature.</w:t>
      </w:r>
      <w:r w:rsidR="00243E29" w:rsidRPr="00AB2539">
        <w:t xml:space="preserve"> </w:t>
      </w:r>
      <w:r w:rsidRPr="00AB2539">
        <w:t>Rinse 3 times</w:t>
      </w:r>
      <w:r w:rsidR="00593459">
        <w:t xml:space="preserve"> for</w:t>
      </w:r>
      <w:r w:rsidRPr="00AB2539">
        <w:t xml:space="preserve"> 10 min each </w:t>
      </w:r>
      <w:r w:rsidR="007140F1" w:rsidRPr="00AB2539">
        <w:t>with</w:t>
      </w:r>
      <w:r w:rsidRPr="00AB2539">
        <w:t xml:space="preserve"> 0.1 M PBS.</w:t>
      </w:r>
      <w:r w:rsidR="0046515C" w:rsidRPr="00AB2539">
        <w:rPr>
          <w:b/>
          <w:bCs/>
        </w:rPr>
        <w:t xml:space="preserve"> </w:t>
      </w:r>
      <w:r w:rsidR="007140F1" w:rsidRPr="00AB2539">
        <w:t xml:space="preserve">Perform </w:t>
      </w:r>
      <w:r w:rsidR="00593459" w:rsidRPr="00AB2539">
        <w:t xml:space="preserve">antigen retrieval </w:t>
      </w:r>
      <w:r w:rsidR="007140F1" w:rsidRPr="00AB2539">
        <w:t>if required</w:t>
      </w:r>
      <w:r w:rsidRPr="00AB2539">
        <w:t xml:space="preserve"> (</w:t>
      </w:r>
      <w:r w:rsidR="004B634B" w:rsidRPr="00AB2539">
        <w:t xml:space="preserve">optional, </w:t>
      </w:r>
      <w:r w:rsidR="00593459">
        <w:t>see</w:t>
      </w:r>
      <w:r w:rsidRPr="00AB2539">
        <w:t xml:space="preserve"> </w:t>
      </w:r>
      <w:r w:rsidR="00593459">
        <w:t>section</w:t>
      </w:r>
      <w:r w:rsidR="00593459" w:rsidRPr="00AB2539">
        <w:t xml:space="preserve"> </w:t>
      </w:r>
      <w:r w:rsidRPr="00AB2539">
        <w:t>5)</w:t>
      </w:r>
      <w:r w:rsidR="002F781E" w:rsidRPr="00AB2539">
        <w:t>.</w:t>
      </w:r>
    </w:p>
    <w:p w14:paraId="79D85AA1" w14:textId="77777777" w:rsidR="002F781E" w:rsidRPr="00AB2539" w:rsidRDefault="002F781E" w:rsidP="00AB2539">
      <w:pPr>
        <w:pStyle w:val="NormalWeb"/>
        <w:widowControl/>
        <w:spacing w:before="0" w:beforeAutospacing="0" w:after="0" w:afterAutospacing="0"/>
        <w:contextualSpacing/>
      </w:pPr>
    </w:p>
    <w:p w14:paraId="5E8DF2DD" w14:textId="141AD51C"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 xml:space="preserve">Incubate for </w:t>
      </w:r>
      <w:r w:rsidR="00BD2A70" w:rsidRPr="00AB2539">
        <w:t>2</w:t>
      </w:r>
      <w:r w:rsidRPr="00AB2539">
        <w:t>0 min in 2</w:t>
      </w:r>
      <w:r w:rsidR="00593459">
        <w:t xml:space="preserve"> </w:t>
      </w:r>
      <w:r w:rsidRPr="00AB2539">
        <w:t>N HC</w:t>
      </w:r>
      <w:r w:rsidR="00593459">
        <w:t>l</w:t>
      </w:r>
      <w:r w:rsidRPr="00AB2539">
        <w:t xml:space="preserve"> at 37 °C</w:t>
      </w:r>
      <w:r w:rsidR="00B12A3D" w:rsidRPr="00AB2539">
        <w:t xml:space="preserve">. Rinse in 0.1 M </w:t>
      </w:r>
      <w:r w:rsidR="00593459" w:rsidRPr="00AB2539">
        <w:t>borate b</w:t>
      </w:r>
      <w:r w:rsidR="00B12A3D" w:rsidRPr="00AB2539">
        <w:t>uffer (8.5 pH) for 10 min.</w:t>
      </w:r>
      <w:r w:rsidR="00243E29" w:rsidRPr="00AB2539">
        <w:t xml:space="preserve"> </w:t>
      </w:r>
      <w:r w:rsidRPr="00AB2539">
        <w:t>Rinse 3 times</w:t>
      </w:r>
      <w:r w:rsidR="00593459">
        <w:t xml:space="preserve"> for </w:t>
      </w:r>
      <w:r w:rsidRPr="00AB2539">
        <w:t>10 min each</w:t>
      </w:r>
      <w:r w:rsidR="00593459">
        <w:t xml:space="preserve"> </w:t>
      </w:r>
      <w:r w:rsidR="007140F1" w:rsidRPr="00AB2539">
        <w:t>with</w:t>
      </w:r>
      <w:r w:rsidRPr="00AB2539">
        <w:t xml:space="preserve"> ice-cold 0.1 M PBS.</w:t>
      </w:r>
      <w:r w:rsidR="00B8417B">
        <w:rPr>
          <w:color w:val="auto"/>
        </w:rPr>
        <w:t xml:space="preserve"> </w:t>
      </w:r>
      <w:r w:rsidRPr="00AB2539">
        <w:t xml:space="preserve">Incubate for 2 h at room temperature </w:t>
      </w:r>
      <w:r w:rsidR="007140F1" w:rsidRPr="00AB2539">
        <w:t>with</w:t>
      </w:r>
      <w:r w:rsidRPr="00AB2539">
        <w:t xml:space="preserve"> PBS++ (</w:t>
      </w:r>
      <w:r w:rsidR="00593459">
        <w:t>b</w:t>
      </w:r>
      <w:r w:rsidRPr="00AB2539">
        <w:t>locking solution).</w:t>
      </w:r>
      <w:r w:rsidR="00B8417B" w:rsidRPr="00B8417B">
        <w:rPr>
          <w:color w:val="auto"/>
        </w:rPr>
        <w:t xml:space="preserve"> </w:t>
      </w:r>
      <w:r w:rsidRPr="00AB2539">
        <w:t xml:space="preserve">Incubate </w:t>
      </w:r>
      <w:r w:rsidR="007140F1" w:rsidRPr="00AB2539">
        <w:t>with</w:t>
      </w:r>
      <w:r w:rsidRPr="00AB2539">
        <w:t xml:space="preserve"> </w:t>
      </w:r>
      <w:r w:rsidR="00593459" w:rsidRPr="00AB2539">
        <w:t xml:space="preserve">1:250 </w:t>
      </w:r>
      <w:r w:rsidR="00593459">
        <w:t>a</w:t>
      </w:r>
      <w:r w:rsidRPr="00AB2539">
        <w:t>nti-</w:t>
      </w:r>
      <w:proofErr w:type="spellStart"/>
      <w:r w:rsidRPr="00AB2539">
        <w:t>BrdU</w:t>
      </w:r>
      <w:proofErr w:type="spellEnd"/>
      <w:r w:rsidRPr="00AB2539">
        <w:t xml:space="preserve"> primary antibody (mouse host) in PBS+ overnight at 4</w:t>
      </w:r>
      <w:r w:rsidR="00593459">
        <w:t xml:space="preserve"> </w:t>
      </w:r>
      <w:r w:rsidRPr="00AB2539">
        <w:t xml:space="preserve">°C. </w:t>
      </w:r>
    </w:p>
    <w:p w14:paraId="7B2B3CA7" w14:textId="77777777" w:rsidR="00E25AE0" w:rsidRPr="00AB2539" w:rsidRDefault="00E25AE0" w:rsidP="00AB2539">
      <w:pPr>
        <w:pStyle w:val="NormalWeb"/>
        <w:widowControl/>
        <w:spacing w:before="0" w:beforeAutospacing="0" w:after="0" w:afterAutospacing="0"/>
        <w:contextualSpacing/>
        <w:rPr>
          <w:color w:val="auto"/>
        </w:rPr>
      </w:pPr>
    </w:p>
    <w:p w14:paraId="3A678A96" w14:textId="77777777" w:rsidR="00B8417B" w:rsidRDefault="00D71A50" w:rsidP="00B8417B">
      <w:pPr>
        <w:pStyle w:val="NormalWeb"/>
        <w:widowControl/>
        <w:numPr>
          <w:ilvl w:val="2"/>
          <w:numId w:val="18"/>
        </w:numPr>
        <w:spacing w:before="0" w:beforeAutospacing="0" w:after="0" w:afterAutospacing="0"/>
        <w:contextualSpacing/>
        <w:rPr>
          <w:color w:val="auto"/>
        </w:rPr>
      </w:pPr>
      <w:r w:rsidRPr="00AB2539">
        <w:t>On day 2, r</w:t>
      </w:r>
      <w:r w:rsidR="00E25AE0" w:rsidRPr="00AB2539">
        <w:t>inse 3 times</w:t>
      </w:r>
      <w:r w:rsidR="00593459">
        <w:t xml:space="preserve"> for</w:t>
      </w:r>
      <w:r w:rsidR="00E25AE0" w:rsidRPr="00AB2539">
        <w:t xml:space="preserve"> 10 min each </w:t>
      </w:r>
      <w:r w:rsidR="007140F1" w:rsidRPr="00AB2539">
        <w:t>with</w:t>
      </w:r>
      <w:r w:rsidR="00E25AE0" w:rsidRPr="00AB2539">
        <w:t xml:space="preserve"> 0.1 M PBS.</w:t>
      </w:r>
      <w:r w:rsidR="00B8417B">
        <w:rPr>
          <w:color w:val="auto"/>
        </w:rPr>
        <w:t xml:space="preserve"> </w:t>
      </w:r>
    </w:p>
    <w:p w14:paraId="4082330A" w14:textId="77777777" w:rsidR="00B8417B" w:rsidRDefault="00B8417B" w:rsidP="00B8417B">
      <w:pPr>
        <w:pStyle w:val="ListParagraph"/>
      </w:pPr>
    </w:p>
    <w:p w14:paraId="26FEFAEF" w14:textId="3E436431"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lastRenderedPageBreak/>
        <w:t xml:space="preserve">Incubate </w:t>
      </w:r>
      <w:r w:rsidR="007140F1" w:rsidRPr="00AB2539">
        <w:t>with</w:t>
      </w:r>
      <w:r w:rsidRPr="00AB2539">
        <w:t xml:space="preserve"> </w:t>
      </w:r>
      <w:r w:rsidR="00593459" w:rsidRPr="00AB2539">
        <w:t xml:space="preserve">1:250 </w:t>
      </w:r>
      <w:r w:rsidRPr="00B8417B">
        <w:rPr>
          <w:color w:val="auto"/>
        </w:rPr>
        <w:t xml:space="preserve">fluorochrome-conjugated </w:t>
      </w:r>
      <w:r w:rsidRPr="00AB2539">
        <w:t>secondary antibody (anti-mouse) in PBS+ for 2</w:t>
      </w:r>
      <w:r w:rsidR="00593459" w:rsidRPr="00D13D3E">
        <w:t>‒</w:t>
      </w:r>
      <w:r w:rsidRPr="00AB2539">
        <w:t xml:space="preserve">4 </w:t>
      </w:r>
      <w:r w:rsidR="00FA67FD" w:rsidRPr="00AB2539">
        <w:t>h</w:t>
      </w:r>
      <w:r w:rsidRPr="00AB2539">
        <w:t xml:space="preserve"> at room temperature.</w:t>
      </w:r>
      <w:r w:rsidR="00243E29" w:rsidRPr="00AB2539">
        <w:t xml:space="preserve"> </w:t>
      </w:r>
      <w:r w:rsidRPr="00AB2539">
        <w:t>Rinse 3 times</w:t>
      </w:r>
      <w:r w:rsidR="00593459">
        <w:t xml:space="preserve"> for</w:t>
      </w:r>
      <w:r w:rsidRPr="00AB2539">
        <w:t xml:space="preserve"> 10 min each </w:t>
      </w:r>
      <w:r w:rsidR="007140F1" w:rsidRPr="00AB2539">
        <w:t>with</w:t>
      </w:r>
      <w:r w:rsidRPr="00AB2539">
        <w:t xml:space="preserve"> 0.1 M PBS.</w:t>
      </w:r>
    </w:p>
    <w:p w14:paraId="69D58BC8" w14:textId="77777777" w:rsidR="002F781E" w:rsidRPr="00AB2539" w:rsidRDefault="002F781E" w:rsidP="00AB2539">
      <w:pPr>
        <w:pStyle w:val="NormalWeb"/>
        <w:widowControl/>
        <w:spacing w:before="0" w:beforeAutospacing="0" w:after="0" w:afterAutospacing="0"/>
        <w:contextualSpacing/>
        <w:rPr>
          <w:color w:val="auto"/>
        </w:rPr>
      </w:pPr>
    </w:p>
    <w:p w14:paraId="15FCECA4" w14:textId="519C2B89"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t xml:space="preserve">Carefully mount slices </w:t>
      </w:r>
      <w:r w:rsidR="00593459">
        <w:t>o</w:t>
      </w:r>
      <w:r w:rsidRPr="00AB2539">
        <w:t>n gelatinized slides using a soft brush, air dry overnight at room temperature, or mount immediately with an appropriate mounting medium.</w:t>
      </w:r>
      <w:r w:rsidR="00B8417B">
        <w:rPr>
          <w:color w:val="auto"/>
        </w:rPr>
        <w:t xml:space="preserve"> </w:t>
      </w:r>
      <w:r w:rsidRPr="00AB2539">
        <w:t xml:space="preserve">Counterstain (see </w:t>
      </w:r>
      <w:r w:rsidR="00593459">
        <w:t>step</w:t>
      </w:r>
      <w:r w:rsidR="00593459" w:rsidRPr="00AB2539">
        <w:t xml:space="preserve"> </w:t>
      </w:r>
      <w:r w:rsidRPr="00AB2539">
        <w:t>7.2), add permanent mounting medium and place coverslips.</w:t>
      </w:r>
      <w:r w:rsidR="00D749D2" w:rsidRPr="00AB2539">
        <w:t xml:space="preserve"> </w:t>
      </w:r>
      <w:r w:rsidRPr="00AB2539">
        <w:t>Store at 4 °C for up to 6 months.</w:t>
      </w:r>
    </w:p>
    <w:p w14:paraId="230F1A49" w14:textId="77777777" w:rsidR="00E25AE0" w:rsidRPr="00AB2539" w:rsidRDefault="00E25AE0" w:rsidP="00AB2539">
      <w:pPr>
        <w:pStyle w:val="NormalWeb"/>
        <w:widowControl/>
        <w:spacing w:before="0" w:beforeAutospacing="0" w:after="0" w:afterAutospacing="0"/>
        <w:contextualSpacing/>
        <w:rPr>
          <w:color w:val="auto"/>
        </w:rPr>
      </w:pPr>
    </w:p>
    <w:p w14:paraId="157019AB" w14:textId="19DE4A89" w:rsidR="00E25AE0" w:rsidRPr="00AB2539" w:rsidRDefault="00E758D3" w:rsidP="00AB2539">
      <w:pPr>
        <w:pStyle w:val="NormalWeb"/>
        <w:widowControl/>
        <w:numPr>
          <w:ilvl w:val="0"/>
          <w:numId w:val="18"/>
        </w:numPr>
        <w:spacing w:before="0" w:beforeAutospacing="0" w:after="0" w:afterAutospacing="0"/>
        <w:contextualSpacing/>
        <w:rPr>
          <w:color w:val="auto"/>
        </w:rPr>
      </w:pPr>
      <w:r w:rsidRPr="00AB2539">
        <w:rPr>
          <w:b/>
          <w:bCs/>
        </w:rPr>
        <w:t>Antigen retrieval (optional)</w:t>
      </w:r>
    </w:p>
    <w:p w14:paraId="089582FA" w14:textId="49C72548" w:rsidR="00E25AE0" w:rsidRPr="00AB2539" w:rsidRDefault="00E25AE0" w:rsidP="00AB2539">
      <w:pPr>
        <w:pStyle w:val="NormalWeb"/>
        <w:widowControl/>
        <w:spacing w:before="0" w:beforeAutospacing="0" w:after="0" w:afterAutospacing="0"/>
        <w:contextualSpacing/>
        <w:rPr>
          <w:color w:val="auto"/>
        </w:rPr>
      </w:pPr>
    </w:p>
    <w:p w14:paraId="658708DF" w14:textId="1FA42BA1" w:rsidR="004B634B" w:rsidRPr="00AB2539" w:rsidRDefault="004B634B" w:rsidP="00AB2539">
      <w:pPr>
        <w:pStyle w:val="NormalWeb"/>
        <w:widowControl/>
        <w:spacing w:before="0" w:beforeAutospacing="0" w:after="0" w:afterAutospacing="0"/>
        <w:contextualSpacing/>
        <w:rPr>
          <w:color w:val="auto"/>
        </w:rPr>
      </w:pPr>
      <w:r w:rsidRPr="00AB2539">
        <w:rPr>
          <w:color w:val="auto"/>
        </w:rPr>
        <w:t xml:space="preserve">NOTE: Antigen Retrieval is an optional step </w:t>
      </w:r>
      <w:r w:rsidR="00D54950" w:rsidRPr="00AB2539">
        <w:rPr>
          <w:color w:val="auto"/>
        </w:rPr>
        <w:t>intended</w:t>
      </w:r>
      <w:r w:rsidRPr="00AB2539">
        <w:rPr>
          <w:color w:val="auto"/>
        </w:rPr>
        <w:t xml:space="preserve"> to correct the loss of antigenicity caused by fixation that modifies the tertiary and quaternary structure of many antigens, making them undetectable by antibodies. This step </w:t>
      </w:r>
      <w:r w:rsidR="00593459">
        <w:rPr>
          <w:color w:val="auto"/>
        </w:rPr>
        <w:t>can</w:t>
      </w:r>
      <w:r w:rsidR="00593459" w:rsidRPr="00AB2539">
        <w:rPr>
          <w:color w:val="auto"/>
        </w:rPr>
        <w:t xml:space="preserve"> </w:t>
      </w:r>
      <w:r w:rsidRPr="00AB2539">
        <w:rPr>
          <w:color w:val="auto"/>
        </w:rPr>
        <w:t>be added to the original protocol.</w:t>
      </w:r>
    </w:p>
    <w:p w14:paraId="21FFF4FA" w14:textId="77777777" w:rsidR="004B634B" w:rsidRPr="00AB2539" w:rsidRDefault="004B634B" w:rsidP="00AB2539">
      <w:pPr>
        <w:pStyle w:val="NormalWeb"/>
        <w:widowControl/>
        <w:spacing w:before="0" w:beforeAutospacing="0" w:after="0" w:afterAutospacing="0"/>
        <w:contextualSpacing/>
        <w:rPr>
          <w:color w:val="auto"/>
        </w:rPr>
      </w:pPr>
    </w:p>
    <w:p w14:paraId="09553B85" w14:textId="562483FF" w:rsidR="00E25AE0" w:rsidRPr="00B8417B" w:rsidRDefault="00593459" w:rsidP="00B8417B">
      <w:pPr>
        <w:pStyle w:val="NormalWeb"/>
        <w:widowControl/>
        <w:numPr>
          <w:ilvl w:val="1"/>
          <w:numId w:val="18"/>
        </w:numPr>
        <w:spacing w:before="0" w:beforeAutospacing="0" w:after="0" w:afterAutospacing="0"/>
        <w:contextualSpacing/>
        <w:rPr>
          <w:color w:val="auto"/>
        </w:rPr>
      </w:pPr>
      <w:r>
        <w:t>I</w:t>
      </w:r>
      <w:r w:rsidRPr="00AB2539">
        <w:t>n a microwave or water bath</w:t>
      </w:r>
      <w:r>
        <w:t>,</w:t>
      </w:r>
      <w:r w:rsidRPr="00AB2539">
        <w:t xml:space="preserve"> </w:t>
      </w:r>
      <w:r>
        <w:t>p</w:t>
      </w:r>
      <w:r w:rsidR="00E25AE0" w:rsidRPr="00AB2539">
        <w:t>re</w:t>
      </w:r>
      <w:r w:rsidR="00D54950" w:rsidRPr="00AB2539">
        <w:t>-</w:t>
      </w:r>
      <w:r w:rsidR="00E25AE0" w:rsidRPr="00AB2539">
        <w:t>heat</w:t>
      </w:r>
      <w:r w:rsidR="007140F1" w:rsidRPr="00AB2539">
        <w:t xml:space="preserve"> </w:t>
      </w:r>
      <w:r w:rsidR="00E25AE0" w:rsidRPr="00AB2539">
        <w:t xml:space="preserve">10 mM </w:t>
      </w:r>
      <w:r>
        <w:t>s</w:t>
      </w:r>
      <w:r w:rsidR="00E25AE0" w:rsidRPr="00AB2539">
        <w:t>odium citrate buffer (SCB) pH 6 solution to 90</w:t>
      </w:r>
      <w:r w:rsidRPr="00D13D3E">
        <w:t>‒</w:t>
      </w:r>
      <w:r w:rsidR="00E25AE0" w:rsidRPr="00AB2539">
        <w:t xml:space="preserve">95 °C (depending on altitude, the solution starts boiling around this temperature). Fill 80% of a 50 mL conical tube (40 mL) with </w:t>
      </w:r>
      <w:r w:rsidRPr="00AB2539">
        <w:t>pre</w:t>
      </w:r>
      <w:r>
        <w:t>-</w:t>
      </w:r>
      <w:r w:rsidRPr="00AB2539">
        <w:t xml:space="preserve">heated </w:t>
      </w:r>
      <w:r w:rsidR="00E25AE0" w:rsidRPr="00AB2539">
        <w:t>SCB.</w:t>
      </w:r>
      <w:r w:rsidR="00B8417B">
        <w:rPr>
          <w:color w:val="auto"/>
        </w:rPr>
        <w:t xml:space="preserve"> </w:t>
      </w:r>
      <w:r w:rsidR="00E25AE0" w:rsidRPr="00AB2539">
        <w:t xml:space="preserve">Transfer slices </w:t>
      </w:r>
      <w:r w:rsidR="0028100A" w:rsidRPr="00AB2539">
        <w:t xml:space="preserve">to </w:t>
      </w:r>
      <w:r w:rsidR="00E25AE0" w:rsidRPr="00AB2539">
        <w:t xml:space="preserve">mesh inserts into the conical tube with SCB. Cover the tube with a screw cap with holes made with an </w:t>
      </w:r>
      <w:r w:rsidR="00D54950" w:rsidRPr="00AB2539">
        <w:t>18</w:t>
      </w:r>
      <w:r w:rsidRPr="00D13D3E">
        <w:t>‒</w:t>
      </w:r>
      <w:r w:rsidR="00D54950" w:rsidRPr="00AB2539">
        <w:t>20</w:t>
      </w:r>
      <w:r w:rsidR="007140F1" w:rsidRPr="00AB2539">
        <w:t xml:space="preserve"> G </w:t>
      </w:r>
      <w:r w:rsidR="00E25AE0" w:rsidRPr="00AB2539">
        <w:t>needle.</w:t>
      </w:r>
    </w:p>
    <w:p w14:paraId="0686CD5B" w14:textId="77777777" w:rsidR="002F781E" w:rsidRPr="00AB2539" w:rsidRDefault="002F781E" w:rsidP="00AB2539">
      <w:pPr>
        <w:pStyle w:val="NormalWeb"/>
        <w:widowControl/>
        <w:spacing w:before="0" w:beforeAutospacing="0" w:after="0" w:afterAutospacing="0"/>
        <w:contextualSpacing/>
        <w:rPr>
          <w:color w:val="auto"/>
        </w:rPr>
      </w:pPr>
    </w:p>
    <w:p w14:paraId="142F445E" w14:textId="43AFCEB7" w:rsidR="00E25AE0" w:rsidRPr="00B8417B" w:rsidRDefault="00E25AE0" w:rsidP="00B8417B">
      <w:pPr>
        <w:pStyle w:val="NormalWeb"/>
        <w:widowControl/>
        <w:numPr>
          <w:ilvl w:val="1"/>
          <w:numId w:val="18"/>
        </w:numPr>
        <w:spacing w:before="0" w:beforeAutospacing="0" w:after="0" w:afterAutospacing="0"/>
        <w:contextualSpacing/>
        <w:rPr>
          <w:color w:val="auto"/>
        </w:rPr>
      </w:pPr>
      <w:r w:rsidRPr="00AB2539">
        <w:t>Keep slices for 30 min in SCB at 80</w:t>
      </w:r>
      <w:r w:rsidR="00593459" w:rsidRPr="00D13D3E">
        <w:t>‒</w:t>
      </w:r>
      <w:r w:rsidRPr="00AB2539">
        <w:t>85 °C alternating warming cycles in the microwave at the minimum power level. If needed, refill the conical tube with SCB.</w:t>
      </w:r>
      <w:r w:rsidR="00B8417B">
        <w:rPr>
          <w:color w:val="auto"/>
        </w:rPr>
        <w:t xml:space="preserve"> </w:t>
      </w:r>
      <w:r w:rsidRPr="00AB2539">
        <w:t xml:space="preserve">Transfer slices immediately after </w:t>
      </w:r>
      <w:r w:rsidR="007140F1" w:rsidRPr="00AB2539">
        <w:t xml:space="preserve">along </w:t>
      </w:r>
      <w:r w:rsidRPr="00AB2539">
        <w:t xml:space="preserve">with the mesh inserts </w:t>
      </w:r>
      <w:r w:rsidR="00593459">
        <w:t>in</w:t>
      </w:r>
      <w:r w:rsidRPr="00AB2539">
        <w:t>to ice-cold 0.1 M PBS and rinse 3 times</w:t>
      </w:r>
      <w:r w:rsidR="00593459">
        <w:t xml:space="preserve"> for</w:t>
      </w:r>
      <w:r w:rsidRPr="00AB2539">
        <w:t xml:space="preserve"> 10 min each.</w:t>
      </w:r>
    </w:p>
    <w:p w14:paraId="745E8F9B" w14:textId="77777777" w:rsidR="00E25AE0" w:rsidRPr="00AB2539" w:rsidRDefault="00E25AE0" w:rsidP="00AB2539">
      <w:pPr>
        <w:pStyle w:val="NormalWeb"/>
        <w:widowControl/>
        <w:spacing w:before="0" w:beforeAutospacing="0" w:after="0" w:afterAutospacing="0"/>
        <w:contextualSpacing/>
      </w:pPr>
    </w:p>
    <w:p w14:paraId="6AB815C2" w14:textId="773866F8" w:rsidR="00E25AE0" w:rsidRPr="00AB2539" w:rsidRDefault="00E758D3" w:rsidP="00AB2539">
      <w:pPr>
        <w:pStyle w:val="NormalWeb"/>
        <w:widowControl/>
        <w:numPr>
          <w:ilvl w:val="0"/>
          <w:numId w:val="18"/>
        </w:numPr>
        <w:spacing w:before="0" w:beforeAutospacing="0" w:after="0" w:afterAutospacing="0"/>
        <w:contextualSpacing/>
        <w:rPr>
          <w:color w:val="000000" w:themeColor="text1"/>
        </w:rPr>
      </w:pPr>
      <w:r w:rsidRPr="00AB2539">
        <w:rPr>
          <w:b/>
          <w:bCs/>
          <w:color w:val="000000" w:themeColor="text1"/>
        </w:rPr>
        <w:t>Multiple immunostainings (optional)</w:t>
      </w:r>
    </w:p>
    <w:p w14:paraId="125A9062" w14:textId="2FCD98B1" w:rsidR="00D5502D" w:rsidRPr="00AB2539" w:rsidRDefault="00D5502D" w:rsidP="00AB2539">
      <w:pPr>
        <w:pStyle w:val="NormalWeb"/>
        <w:widowControl/>
        <w:spacing w:before="0" w:beforeAutospacing="0" w:after="0" w:afterAutospacing="0"/>
        <w:contextualSpacing/>
        <w:rPr>
          <w:b/>
          <w:bCs/>
          <w:color w:val="000000" w:themeColor="text1"/>
        </w:rPr>
      </w:pPr>
    </w:p>
    <w:p w14:paraId="553237C7" w14:textId="0C608EE7" w:rsidR="00D5502D" w:rsidRPr="00AB2539" w:rsidRDefault="008F19FD" w:rsidP="00AB2539">
      <w:pPr>
        <w:pStyle w:val="NormalWeb"/>
        <w:widowControl/>
        <w:spacing w:before="0" w:beforeAutospacing="0" w:after="0" w:afterAutospacing="0"/>
        <w:contextualSpacing/>
        <w:rPr>
          <w:color w:val="000000" w:themeColor="text1"/>
        </w:rPr>
      </w:pPr>
      <w:r w:rsidRPr="00AB2539">
        <w:rPr>
          <w:color w:val="000000" w:themeColor="text1"/>
        </w:rPr>
        <w:t xml:space="preserve">NOTE: See the </w:t>
      </w:r>
      <w:r w:rsidR="00593459">
        <w:rPr>
          <w:color w:val="000000" w:themeColor="text1"/>
        </w:rPr>
        <w:t>i</w:t>
      </w:r>
      <w:r w:rsidRPr="008348CD">
        <w:rPr>
          <w:color w:val="000000" w:themeColor="text1"/>
        </w:rPr>
        <w:t>ntroduction</w:t>
      </w:r>
      <w:r w:rsidRPr="00EB0961">
        <w:rPr>
          <w:color w:val="000000" w:themeColor="text1"/>
        </w:rPr>
        <w:t xml:space="preserve"> </w:t>
      </w:r>
      <w:r w:rsidRPr="00AB2539">
        <w:rPr>
          <w:color w:val="000000" w:themeColor="text1"/>
        </w:rPr>
        <w:t xml:space="preserve">section for </w:t>
      </w:r>
      <w:r w:rsidR="00593459">
        <w:rPr>
          <w:color w:val="000000" w:themeColor="text1"/>
        </w:rPr>
        <w:t>the r</w:t>
      </w:r>
      <w:r w:rsidRPr="00AB2539">
        <w:rPr>
          <w:color w:val="000000" w:themeColor="text1"/>
        </w:rPr>
        <w:t xml:space="preserve">ationale </w:t>
      </w:r>
      <w:r w:rsidR="00593459">
        <w:rPr>
          <w:color w:val="000000" w:themeColor="text1"/>
        </w:rPr>
        <w:t>behind</w:t>
      </w:r>
      <w:r w:rsidRPr="00AB2539">
        <w:rPr>
          <w:color w:val="000000" w:themeColor="text1"/>
        </w:rPr>
        <w:t xml:space="preserve"> </w:t>
      </w:r>
      <w:r w:rsidR="00B8417B">
        <w:rPr>
          <w:color w:val="000000" w:themeColor="text1"/>
        </w:rPr>
        <w:t xml:space="preserve">this </w:t>
      </w:r>
      <w:r w:rsidRPr="00AB2539">
        <w:rPr>
          <w:color w:val="000000" w:themeColor="text1"/>
        </w:rPr>
        <w:t>step.</w:t>
      </w:r>
    </w:p>
    <w:p w14:paraId="33279569" w14:textId="77777777" w:rsidR="00E25AE0" w:rsidRPr="00AB2539" w:rsidRDefault="00E25AE0" w:rsidP="00AB2539">
      <w:pPr>
        <w:pStyle w:val="NormalWeb"/>
        <w:widowControl/>
        <w:spacing w:before="0" w:beforeAutospacing="0" w:after="0" w:afterAutospacing="0"/>
        <w:contextualSpacing/>
        <w:rPr>
          <w:color w:val="000000" w:themeColor="text1"/>
        </w:rPr>
      </w:pPr>
    </w:p>
    <w:p w14:paraId="109BA022" w14:textId="2F33025B" w:rsidR="00E25AE0" w:rsidRPr="00AB2539" w:rsidRDefault="00E25AE0" w:rsidP="00AB2539">
      <w:pPr>
        <w:pStyle w:val="NormalWeb"/>
        <w:widowControl/>
        <w:numPr>
          <w:ilvl w:val="1"/>
          <w:numId w:val="18"/>
        </w:numPr>
        <w:spacing w:before="0" w:beforeAutospacing="0" w:after="0" w:afterAutospacing="0"/>
        <w:contextualSpacing/>
        <w:rPr>
          <w:color w:val="000000" w:themeColor="text1"/>
        </w:rPr>
      </w:pPr>
      <w:r w:rsidRPr="00AB2539">
        <w:rPr>
          <w:color w:val="000000" w:themeColor="text1"/>
        </w:rPr>
        <w:t>Simultaneous multiple immunostainings</w:t>
      </w:r>
    </w:p>
    <w:p w14:paraId="6A5A5960" w14:textId="77777777" w:rsidR="002F781E" w:rsidRPr="00AB2539" w:rsidRDefault="002F781E" w:rsidP="00AB2539">
      <w:pPr>
        <w:pStyle w:val="NormalWeb"/>
        <w:widowControl/>
        <w:spacing w:before="0" w:beforeAutospacing="0" w:after="0" w:afterAutospacing="0"/>
        <w:contextualSpacing/>
        <w:rPr>
          <w:color w:val="000000" w:themeColor="text1"/>
        </w:rPr>
      </w:pPr>
    </w:p>
    <w:p w14:paraId="0CE7B7D3" w14:textId="199291A1" w:rsidR="00E25AE0" w:rsidRPr="00B8417B" w:rsidRDefault="00E25AE0" w:rsidP="00B8417B">
      <w:pPr>
        <w:pStyle w:val="NormalWeb"/>
        <w:widowControl/>
        <w:numPr>
          <w:ilvl w:val="2"/>
          <w:numId w:val="18"/>
        </w:numPr>
        <w:spacing w:before="0" w:beforeAutospacing="0" w:after="0" w:afterAutospacing="0"/>
        <w:contextualSpacing/>
        <w:rPr>
          <w:color w:val="000000" w:themeColor="text1"/>
        </w:rPr>
      </w:pPr>
      <w:r w:rsidRPr="00AB2539">
        <w:rPr>
          <w:color w:val="000000" w:themeColor="text1"/>
        </w:rPr>
        <w:t xml:space="preserve">Prepare a cocktail with the primary antibodies </w:t>
      </w:r>
      <w:r w:rsidR="00593459">
        <w:rPr>
          <w:color w:val="000000" w:themeColor="text1"/>
        </w:rPr>
        <w:t>to</w:t>
      </w:r>
      <w:r w:rsidR="00593459" w:rsidRPr="00AB2539">
        <w:rPr>
          <w:color w:val="000000" w:themeColor="text1"/>
        </w:rPr>
        <w:t xml:space="preserve"> </w:t>
      </w:r>
      <w:r w:rsidR="00165D76" w:rsidRPr="00AB2539">
        <w:rPr>
          <w:color w:val="000000" w:themeColor="text1"/>
        </w:rPr>
        <w:t xml:space="preserve">the </w:t>
      </w:r>
      <w:r w:rsidRPr="00AB2539">
        <w:rPr>
          <w:color w:val="000000" w:themeColor="text1"/>
        </w:rPr>
        <w:t>target (e.g.</w:t>
      </w:r>
      <w:r w:rsidR="007140F1" w:rsidRPr="00AB2539">
        <w:rPr>
          <w:color w:val="000000" w:themeColor="text1"/>
        </w:rPr>
        <w:t>,</w:t>
      </w:r>
      <w:r w:rsidRPr="00AB2539">
        <w:rPr>
          <w:color w:val="000000" w:themeColor="text1"/>
        </w:rPr>
        <w:t xml:space="preserve"> mouse anti-</w:t>
      </w:r>
      <w:proofErr w:type="spellStart"/>
      <w:r w:rsidRPr="00AB2539">
        <w:rPr>
          <w:color w:val="000000" w:themeColor="text1"/>
        </w:rPr>
        <w:t>BrdU</w:t>
      </w:r>
      <w:proofErr w:type="spellEnd"/>
      <w:r w:rsidRPr="00AB2539">
        <w:rPr>
          <w:color w:val="000000" w:themeColor="text1"/>
        </w:rPr>
        <w:t xml:space="preserve">, and rabbit anti -GFAP) in </w:t>
      </w:r>
      <w:r w:rsidRPr="00AB2539">
        <w:t>PBS+.</w:t>
      </w:r>
      <w:r w:rsidR="00B8417B">
        <w:rPr>
          <w:color w:val="000000" w:themeColor="text1"/>
        </w:rPr>
        <w:t xml:space="preserve"> </w:t>
      </w:r>
      <w:r w:rsidRPr="00AB2539">
        <w:t>Use different hosts for each primary antibody used.</w:t>
      </w:r>
      <w:r w:rsidR="00B8417B">
        <w:rPr>
          <w:color w:val="000000" w:themeColor="text1"/>
        </w:rPr>
        <w:t xml:space="preserve"> </w:t>
      </w:r>
      <w:r w:rsidRPr="00AB2539">
        <w:t>Incubate overnight at 4</w:t>
      </w:r>
      <w:r w:rsidR="007140F1" w:rsidRPr="00AB2539">
        <w:t xml:space="preserve"> </w:t>
      </w:r>
      <w:r w:rsidRPr="00AB2539">
        <w:t>°C.</w:t>
      </w:r>
      <w:r w:rsidR="00092732" w:rsidRPr="00AB2539">
        <w:t xml:space="preserve"> </w:t>
      </w:r>
      <w:r w:rsidR="00D54950" w:rsidRPr="00AB2539">
        <w:t>C</w:t>
      </w:r>
      <w:r w:rsidRPr="00AB2539">
        <w:t xml:space="preserve">ontinue with the same next steps </w:t>
      </w:r>
      <w:r w:rsidRPr="00B8417B">
        <w:rPr>
          <w:color w:val="000000" w:themeColor="text1"/>
        </w:rPr>
        <w:t>for each protocol.</w:t>
      </w:r>
    </w:p>
    <w:p w14:paraId="7C8AA003" w14:textId="77777777" w:rsidR="002F781E" w:rsidRPr="00AB2539" w:rsidRDefault="002F781E" w:rsidP="00AB2539">
      <w:pPr>
        <w:pStyle w:val="NormalWeb"/>
        <w:widowControl/>
        <w:spacing w:before="0" w:beforeAutospacing="0" w:after="0" w:afterAutospacing="0"/>
        <w:contextualSpacing/>
        <w:rPr>
          <w:color w:val="000000" w:themeColor="text1"/>
        </w:rPr>
      </w:pPr>
    </w:p>
    <w:p w14:paraId="00C55AEB" w14:textId="63DA9AB6" w:rsidR="00E25AE0" w:rsidRPr="00B8417B" w:rsidRDefault="00092732" w:rsidP="00AB2539">
      <w:pPr>
        <w:pStyle w:val="NormalWeb"/>
        <w:widowControl/>
        <w:numPr>
          <w:ilvl w:val="2"/>
          <w:numId w:val="18"/>
        </w:numPr>
        <w:spacing w:before="0" w:beforeAutospacing="0" w:after="0" w:afterAutospacing="0"/>
        <w:contextualSpacing/>
        <w:rPr>
          <w:color w:val="000000" w:themeColor="text1"/>
        </w:rPr>
      </w:pPr>
      <w:r w:rsidRPr="00AB2539">
        <w:rPr>
          <w:color w:val="000000" w:themeColor="text1"/>
        </w:rPr>
        <w:t>P</w:t>
      </w:r>
      <w:r w:rsidR="00E25AE0" w:rsidRPr="00AB2539">
        <w:rPr>
          <w:color w:val="000000" w:themeColor="text1"/>
        </w:rPr>
        <w:t>repare a cocktail with the corresponding secondary antibodies for each primary antibod</w:t>
      </w:r>
      <w:r w:rsidR="007140F1" w:rsidRPr="00AB2539">
        <w:rPr>
          <w:color w:val="000000" w:themeColor="text1"/>
        </w:rPr>
        <w:t>y</w:t>
      </w:r>
      <w:r w:rsidR="00E25AE0" w:rsidRPr="00AB2539">
        <w:rPr>
          <w:color w:val="000000" w:themeColor="text1"/>
        </w:rPr>
        <w:t xml:space="preserve"> used (e.g., goat anti-mouse FITC, goat anti-rabbit TRITC) in the same diluent solution for each protocol. </w:t>
      </w:r>
      <w:r w:rsidR="00D54950" w:rsidRPr="00AB2539">
        <w:rPr>
          <w:color w:val="000000" w:themeColor="text1"/>
        </w:rPr>
        <w:t>Continue</w:t>
      </w:r>
      <w:r w:rsidRPr="00AB2539">
        <w:t xml:space="preserve"> with the same next steps </w:t>
      </w:r>
      <w:r w:rsidRPr="00AB2539">
        <w:rPr>
          <w:color w:val="000000" w:themeColor="text1"/>
        </w:rPr>
        <w:t>for each protocol.</w:t>
      </w:r>
      <w:r w:rsidR="00B8417B">
        <w:rPr>
          <w:color w:val="000000" w:themeColor="text1"/>
        </w:rPr>
        <w:t xml:space="preserve"> </w:t>
      </w:r>
      <w:r w:rsidR="00E25AE0" w:rsidRPr="00B8417B">
        <w:rPr>
          <w:color w:val="000000" w:themeColor="text1"/>
        </w:rPr>
        <w:t xml:space="preserve">Ideally, use secondary antibodies </w:t>
      </w:r>
      <w:r w:rsidR="00D54950" w:rsidRPr="00B8417B">
        <w:rPr>
          <w:color w:val="000000" w:themeColor="text1"/>
        </w:rPr>
        <w:t xml:space="preserve">that </w:t>
      </w:r>
      <w:r w:rsidR="00E25AE0" w:rsidRPr="00B8417B">
        <w:rPr>
          <w:color w:val="000000" w:themeColor="text1"/>
        </w:rPr>
        <w:t>come from the same hosts to avoid cross-reaction.</w:t>
      </w:r>
    </w:p>
    <w:p w14:paraId="2E3D89F7" w14:textId="77777777" w:rsidR="00E25AE0" w:rsidRPr="00AB2539" w:rsidRDefault="00E25AE0" w:rsidP="00AB2539">
      <w:pPr>
        <w:pStyle w:val="NormalWeb"/>
        <w:widowControl/>
        <w:spacing w:before="0" w:beforeAutospacing="0" w:after="0" w:afterAutospacing="0"/>
        <w:contextualSpacing/>
        <w:rPr>
          <w:color w:val="000000" w:themeColor="text1"/>
        </w:rPr>
      </w:pPr>
    </w:p>
    <w:p w14:paraId="09E2A319" w14:textId="46D864F6" w:rsidR="00E25AE0" w:rsidRPr="00AB2539" w:rsidRDefault="00E25AE0" w:rsidP="00AB2539">
      <w:pPr>
        <w:pStyle w:val="NormalWeb"/>
        <w:widowControl/>
        <w:numPr>
          <w:ilvl w:val="1"/>
          <w:numId w:val="18"/>
        </w:numPr>
        <w:spacing w:before="0" w:beforeAutospacing="0" w:after="0" w:afterAutospacing="0"/>
        <w:contextualSpacing/>
        <w:rPr>
          <w:color w:val="000000" w:themeColor="text1"/>
        </w:rPr>
      </w:pPr>
      <w:r w:rsidRPr="00AB2539">
        <w:rPr>
          <w:color w:val="000000" w:themeColor="text1"/>
        </w:rPr>
        <w:t>Sequential multiple immunostainings</w:t>
      </w:r>
      <w:r w:rsidR="002F781E" w:rsidRPr="00AB2539">
        <w:rPr>
          <w:color w:val="000000" w:themeColor="text1"/>
        </w:rPr>
        <w:t>.</w:t>
      </w:r>
    </w:p>
    <w:p w14:paraId="76A6117F" w14:textId="77777777" w:rsidR="002F781E" w:rsidRPr="00AB2539" w:rsidRDefault="002F781E" w:rsidP="00AB2539">
      <w:pPr>
        <w:pStyle w:val="NormalWeb"/>
        <w:widowControl/>
        <w:spacing w:before="0" w:beforeAutospacing="0" w:after="0" w:afterAutospacing="0"/>
        <w:contextualSpacing/>
        <w:rPr>
          <w:color w:val="000000" w:themeColor="text1"/>
        </w:rPr>
      </w:pPr>
    </w:p>
    <w:p w14:paraId="15601CE5" w14:textId="7683B935" w:rsidR="00E25AE0" w:rsidRPr="00B8417B" w:rsidRDefault="00E25AE0" w:rsidP="00B8417B">
      <w:pPr>
        <w:pStyle w:val="NormalWeb"/>
        <w:widowControl/>
        <w:numPr>
          <w:ilvl w:val="2"/>
          <w:numId w:val="18"/>
        </w:numPr>
        <w:spacing w:before="0" w:beforeAutospacing="0" w:after="0" w:afterAutospacing="0"/>
        <w:contextualSpacing/>
        <w:rPr>
          <w:color w:val="000000" w:themeColor="text1"/>
        </w:rPr>
      </w:pPr>
      <w:r w:rsidRPr="00AB2539">
        <w:rPr>
          <w:color w:val="000000" w:themeColor="text1"/>
        </w:rPr>
        <w:t>Follow the protocol for the first antibody target (e.g.</w:t>
      </w:r>
      <w:r w:rsidR="00E07FF4" w:rsidRPr="00AB2539">
        <w:rPr>
          <w:color w:val="000000" w:themeColor="text1"/>
        </w:rPr>
        <w:t>,</w:t>
      </w:r>
      <w:r w:rsidRPr="00AB2539">
        <w:rPr>
          <w:color w:val="000000" w:themeColor="text1"/>
        </w:rPr>
        <w:t xml:space="preserve"> mouse anti-</w:t>
      </w:r>
      <w:proofErr w:type="spellStart"/>
      <w:r w:rsidRPr="00AB2539">
        <w:rPr>
          <w:color w:val="000000" w:themeColor="text1"/>
        </w:rPr>
        <w:t>BrdU</w:t>
      </w:r>
      <w:proofErr w:type="spellEnd"/>
      <w:r w:rsidRPr="00AB2539">
        <w:rPr>
          <w:color w:val="000000" w:themeColor="text1"/>
        </w:rPr>
        <w:t>) and stop before the mount</w:t>
      </w:r>
      <w:r w:rsidR="00E07FF4" w:rsidRPr="00AB2539">
        <w:rPr>
          <w:color w:val="000000" w:themeColor="text1"/>
        </w:rPr>
        <w:t>ing the</w:t>
      </w:r>
      <w:r w:rsidRPr="00AB2539">
        <w:rPr>
          <w:color w:val="000000" w:themeColor="text1"/>
        </w:rPr>
        <w:t xml:space="preserve"> slice</w:t>
      </w:r>
      <w:r w:rsidR="00E07FF4" w:rsidRPr="00AB2539">
        <w:rPr>
          <w:color w:val="000000" w:themeColor="text1"/>
        </w:rPr>
        <w:t>s</w:t>
      </w:r>
      <w:r w:rsidR="0046515C" w:rsidRPr="00AB2539">
        <w:rPr>
          <w:color w:val="000000" w:themeColor="text1"/>
        </w:rPr>
        <w:t>.</w:t>
      </w:r>
      <w:r w:rsidR="00B8417B">
        <w:rPr>
          <w:color w:val="000000" w:themeColor="text1"/>
        </w:rPr>
        <w:t xml:space="preserve"> </w:t>
      </w:r>
      <w:r w:rsidRPr="00AB2539">
        <w:t>Incubate for 2 h at room temperature</w:t>
      </w:r>
      <w:r w:rsidR="00E07FF4" w:rsidRPr="00AB2539">
        <w:t xml:space="preserve"> with</w:t>
      </w:r>
      <w:r w:rsidRPr="00AB2539">
        <w:t xml:space="preserve"> PBS++ (</w:t>
      </w:r>
      <w:r w:rsidR="00593459">
        <w:t>b</w:t>
      </w:r>
      <w:r w:rsidRPr="00AB2539">
        <w:t>locking solution).</w:t>
      </w:r>
    </w:p>
    <w:p w14:paraId="1D7FB5E6" w14:textId="77777777" w:rsidR="002F781E" w:rsidRPr="00AB2539" w:rsidRDefault="002F781E" w:rsidP="00AB2539">
      <w:pPr>
        <w:pStyle w:val="NormalWeb"/>
        <w:widowControl/>
        <w:spacing w:before="0" w:beforeAutospacing="0" w:after="0" w:afterAutospacing="0"/>
        <w:contextualSpacing/>
        <w:rPr>
          <w:color w:val="auto"/>
        </w:rPr>
      </w:pPr>
    </w:p>
    <w:p w14:paraId="41E570B6" w14:textId="2493D4EE" w:rsidR="00E25AE0" w:rsidRPr="00B8417B" w:rsidRDefault="00E25AE0" w:rsidP="00B8417B">
      <w:pPr>
        <w:pStyle w:val="NormalWeb"/>
        <w:widowControl/>
        <w:numPr>
          <w:ilvl w:val="2"/>
          <w:numId w:val="18"/>
        </w:numPr>
        <w:spacing w:before="0" w:beforeAutospacing="0" w:after="0" w:afterAutospacing="0"/>
        <w:contextualSpacing/>
        <w:rPr>
          <w:color w:val="auto"/>
        </w:rPr>
      </w:pPr>
      <w:r w:rsidRPr="00AB2539">
        <w:lastRenderedPageBreak/>
        <w:t xml:space="preserve">Incubate the second </w:t>
      </w:r>
      <w:r w:rsidRPr="00AB2539">
        <w:rPr>
          <w:color w:val="000000" w:themeColor="text1"/>
        </w:rPr>
        <w:t>primary antibody</w:t>
      </w:r>
      <w:r w:rsidRPr="00AB2539">
        <w:t xml:space="preserve"> </w:t>
      </w:r>
      <w:r w:rsidRPr="00AB2539">
        <w:rPr>
          <w:color w:val="000000" w:themeColor="text1"/>
        </w:rPr>
        <w:t>(e.g.</w:t>
      </w:r>
      <w:r w:rsidR="00E07FF4" w:rsidRPr="00AB2539">
        <w:rPr>
          <w:color w:val="000000" w:themeColor="text1"/>
        </w:rPr>
        <w:t>,</w:t>
      </w:r>
      <w:r w:rsidRPr="00AB2539">
        <w:rPr>
          <w:color w:val="000000" w:themeColor="text1"/>
        </w:rPr>
        <w:t xml:space="preserve"> rabbit anti -GFAP)</w:t>
      </w:r>
      <w:r w:rsidRPr="00AB2539">
        <w:t xml:space="preserve"> in PBS+ overnight at 4</w:t>
      </w:r>
      <w:r w:rsidR="00E07FF4" w:rsidRPr="00AB2539">
        <w:t xml:space="preserve"> </w:t>
      </w:r>
      <w:r w:rsidRPr="00AB2539">
        <w:t xml:space="preserve">°C. Follow the next steps for each protocol, including the incubation of the second secondary antibody </w:t>
      </w:r>
      <w:r w:rsidRPr="00B8417B">
        <w:rPr>
          <w:color w:val="000000" w:themeColor="text1"/>
        </w:rPr>
        <w:t>(e.g.</w:t>
      </w:r>
      <w:r w:rsidR="00E07FF4" w:rsidRPr="00B8417B">
        <w:rPr>
          <w:color w:val="000000" w:themeColor="text1"/>
        </w:rPr>
        <w:t>,</w:t>
      </w:r>
      <w:r w:rsidRPr="00B8417B">
        <w:rPr>
          <w:color w:val="000000" w:themeColor="text1"/>
        </w:rPr>
        <w:t xml:space="preserve"> goat anti-rabbit TRITC).</w:t>
      </w:r>
      <w:r w:rsidR="00092732" w:rsidRPr="00AB2539">
        <w:t xml:space="preserve"> </w:t>
      </w:r>
      <w:r w:rsidR="00D54950" w:rsidRPr="00AB2539">
        <w:t>Continue</w:t>
      </w:r>
      <w:r w:rsidRPr="00AB2539">
        <w:t xml:space="preserve"> with the next steps for each protocol to the end.</w:t>
      </w:r>
    </w:p>
    <w:p w14:paraId="1A21BFA0" w14:textId="77777777" w:rsidR="00E25AE0" w:rsidRPr="00AB2539" w:rsidRDefault="00E25AE0" w:rsidP="00AB2539">
      <w:pPr>
        <w:pStyle w:val="NormalWeb"/>
        <w:widowControl/>
        <w:spacing w:before="0" w:beforeAutospacing="0" w:after="0" w:afterAutospacing="0"/>
        <w:contextualSpacing/>
        <w:rPr>
          <w:color w:val="auto"/>
        </w:rPr>
      </w:pPr>
    </w:p>
    <w:p w14:paraId="1BC117DF" w14:textId="46D75AE8" w:rsidR="00E25AE0" w:rsidRPr="00AB2539" w:rsidRDefault="00E758D3" w:rsidP="00AB2539">
      <w:pPr>
        <w:pStyle w:val="NormalWeb"/>
        <w:widowControl/>
        <w:numPr>
          <w:ilvl w:val="0"/>
          <w:numId w:val="18"/>
        </w:numPr>
        <w:spacing w:before="0" w:beforeAutospacing="0" w:after="0" w:afterAutospacing="0"/>
        <w:contextualSpacing/>
        <w:rPr>
          <w:b/>
          <w:bCs/>
          <w:color w:val="auto"/>
        </w:rPr>
      </w:pPr>
      <w:r w:rsidRPr="00AB2539">
        <w:rPr>
          <w:b/>
          <w:bCs/>
        </w:rPr>
        <w:t>Counterstaining</w:t>
      </w:r>
      <w:r w:rsidR="00E25AE0" w:rsidRPr="00AB2539">
        <w:rPr>
          <w:b/>
          <w:bCs/>
        </w:rPr>
        <w:t xml:space="preserve"> (optional)</w:t>
      </w:r>
    </w:p>
    <w:p w14:paraId="59BD8912" w14:textId="77777777" w:rsidR="00E25AE0" w:rsidRPr="00AB2539" w:rsidRDefault="00E25AE0" w:rsidP="00AB2539">
      <w:pPr>
        <w:pStyle w:val="NormalWeb"/>
        <w:widowControl/>
        <w:spacing w:before="0" w:beforeAutospacing="0" w:after="0" w:afterAutospacing="0"/>
        <w:contextualSpacing/>
        <w:rPr>
          <w:color w:val="auto"/>
        </w:rPr>
      </w:pPr>
    </w:p>
    <w:p w14:paraId="719A2D75" w14:textId="1DE514AB" w:rsidR="003F472A" w:rsidRPr="00AB2539" w:rsidRDefault="00E25AE0" w:rsidP="00AB2539">
      <w:pPr>
        <w:pStyle w:val="NormalWeb"/>
        <w:widowControl/>
        <w:numPr>
          <w:ilvl w:val="1"/>
          <w:numId w:val="18"/>
        </w:numPr>
        <w:spacing w:before="0" w:beforeAutospacing="0" w:after="0" w:afterAutospacing="0"/>
        <w:contextualSpacing/>
        <w:rPr>
          <w:color w:val="auto"/>
        </w:rPr>
      </w:pPr>
      <w:r w:rsidRPr="00AB2539">
        <w:t>For protocols using peroxidase reaction</w:t>
      </w:r>
      <w:r w:rsidR="00593459">
        <w:t>,</w:t>
      </w:r>
      <w:r w:rsidRPr="00AB2539">
        <w:t xml:space="preserve"> </w:t>
      </w:r>
      <w:r w:rsidR="00593459">
        <w:t>p</w:t>
      </w:r>
      <w:r w:rsidRPr="00AB2539">
        <w:t>re</w:t>
      </w:r>
      <w:r w:rsidR="00D54950" w:rsidRPr="00AB2539">
        <w:t>-</w:t>
      </w:r>
      <w:r w:rsidRPr="00AB2539">
        <w:t xml:space="preserve">heat the </w:t>
      </w:r>
      <w:proofErr w:type="spellStart"/>
      <w:r w:rsidRPr="00AB2539">
        <w:t>cresyl</w:t>
      </w:r>
      <w:proofErr w:type="spellEnd"/>
      <w:r w:rsidRPr="00AB2539">
        <w:t xml:space="preserve"> violet solution to 60 °C.</w:t>
      </w:r>
      <w:r w:rsidR="003F472A" w:rsidRPr="00AB2539">
        <w:t xml:space="preserve"> </w:t>
      </w:r>
      <w:r w:rsidRPr="00AB2539">
        <w:t xml:space="preserve">Hydrate the slides with </w:t>
      </w:r>
      <w:r w:rsidR="00593459">
        <w:t>dd</w:t>
      </w:r>
      <w:r w:rsidRPr="00AB2539">
        <w:t>H</w:t>
      </w:r>
      <w:r w:rsidRPr="00AB2539">
        <w:rPr>
          <w:vertAlign w:val="subscript"/>
        </w:rPr>
        <w:t>2</w:t>
      </w:r>
      <w:r w:rsidRPr="00AB2539">
        <w:t>O for 1 min.</w:t>
      </w:r>
      <w:r w:rsidR="003F472A" w:rsidRPr="00AB2539">
        <w:t xml:space="preserve"> </w:t>
      </w:r>
      <w:r w:rsidRPr="00AB2539">
        <w:t xml:space="preserve">Incubate the slides in the hot </w:t>
      </w:r>
      <w:proofErr w:type="spellStart"/>
      <w:r w:rsidRPr="00AB2539">
        <w:t>cresyl</w:t>
      </w:r>
      <w:proofErr w:type="spellEnd"/>
      <w:r w:rsidRPr="00AB2539">
        <w:t xml:space="preserve"> violet solution for 5</w:t>
      </w:r>
      <w:r w:rsidR="00593459" w:rsidRPr="00D13D3E">
        <w:t>‒</w:t>
      </w:r>
      <w:r w:rsidRPr="00AB2539">
        <w:t>20 min.</w:t>
      </w:r>
      <w:r w:rsidR="003F472A" w:rsidRPr="00AB2539">
        <w:t xml:space="preserve"> </w:t>
      </w:r>
    </w:p>
    <w:p w14:paraId="30E0551D" w14:textId="77777777" w:rsidR="003F472A" w:rsidRPr="00AB2539" w:rsidRDefault="003F472A" w:rsidP="00AB2539">
      <w:pPr>
        <w:pStyle w:val="NormalWeb"/>
        <w:widowControl/>
        <w:spacing w:before="0" w:beforeAutospacing="0" w:after="0" w:afterAutospacing="0"/>
        <w:contextualSpacing/>
        <w:rPr>
          <w:b/>
          <w:bCs/>
          <w:color w:val="auto"/>
        </w:rPr>
      </w:pPr>
    </w:p>
    <w:p w14:paraId="3D9409EE" w14:textId="6783494E" w:rsidR="00CA4044" w:rsidRPr="00AB2539" w:rsidRDefault="00E25AE0" w:rsidP="00AB2539">
      <w:pPr>
        <w:pStyle w:val="NormalWeb"/>
        <w:widowControl/>
        <w:numPr>
          <w:ilvl w:val="2"/>
          <w:numId w:val="18"/>
        </w:numPr>
        <w:spacing w:before="0" w:beforeAutospacing="0" w:after="0" w:afterAutospacing="0"/>
        <w:contextualSpacing/>
        <w:rPr>
          <w:b/>
          <w:bCs/>
          <w:color w:val="auto"/>
        </w:rPr>
      </w:pPr>
      <w:r w:rsidRPr="00AB2539">
        <w:t xml:space="preserve">Rinse the slides with </w:t>
      </w:r>
      <w:r w:rsidR="00593459">
        <w:t>dd</w:t>
      </w:r>
      <w:r w:rsidRPr="00AB2539">
        <w:t>H</w:t>
      </w:r>
      <w:r w:rsidRPr="00AB2539">
        <w:rPr>
          <w:vertAlign w:val="subscript"/>
        </w:rPr>
        <w:t>2</w:t>
      </w:r>
      <w:r w:rsidRPr="00AB2539">
        <w:t>O for 1 min.</w:t>
      </w:r>
      <w:r w:rsidR="003F472A" w:rsidRPr="00AB2539">
        <w:t xml:space="preserve"> </w:t>
      </w:r>
      <w:r w:rsidRPr="00AB2539">
        <w:t>Rinse the slides with 70%</w:t>
      </w:r>
      <w:r w:rsidR="003F472A" w:rsidRPr="00AB2539">
        <w:t xml:space="preserve">, 80%, 90% and 100% </w:t>
      </w:r>
      <w:r w:rsidRPr="00AB2539">
        <w:t>ethyl alcohol for 1</w:t>
      </w:r>
      <w:r w:rsidR="00593459" w:rsidRPr="00D13D3E">
        <w:t>‒</w:t>
      </w:r>
      <w:r w:rsidRPr="00AB2539">
        <w:t>3 min</w:t>
      </w:r>
      <w:r w:rsidR="003F472A" w:rsidRPr="00AB2539">
        <w:t xml:space="preserve"> each</w:t>
      </w:r>
      <w:r w:rsidRPr="00AB2539">
        <w:t xml:space="preserve">. </w:t>
      </w:r>
      <w:r w:rsidR="00CA4044" w:rsidRPr="00AB2539">
        <w:t xml:space="preserve">Rinse the slides with </w:t>
      </w:r>
      <w:r w:rsidR="00593459">
        <w:t>x</w:t>
      </w:r>
      <w:r w:rsidR="00CA4044" w:rsidRPr="00AB2539">
        <w:t>ylene for 1</w:t>
      </w:r>
      <w:r w:rsidR="00593459" w:rsidRPr="00D13D3E">
        <w:t>‒</w:t>
      </w:r>
      <w:r w:rsidR="00CA4044" w:rsidRPr="00AB2539">
        <w:t xml:space="preserve">3 min. </w:t>
      </w:r>
    </w:p>
    <w:p w14:paraId="4DF18259" w14:textId="77777777" w:rsidR="002F781E" w:rsidRPr="00AB2539" w:rsidRDefault="002F781E" w:rsidP="00AB2539">
      <w:pPr>
        <w:pStyle w:val="NormalWeb"/>
        <w:widowControl/>
        <w:spacing w:before="0" w:beforeAutospacing="0" w:after="0" w:afterAutospacing="0"/>
        <w:contextualSpacing/>
        <w:rPr>
          <w:b/>
          <w:bCs/>
          <w:color w:val="auto"/>
        </w:rPr>
      </w:pPr>
    </w:p>
    <w:p w14:paraId="5980554C" w14:textId="6D2FBDBB" w:rsidR="00E25AE0" w:rsidRPr="00AB2539" w:rsidRDefault="00E25AE0" w:rsidP="00AB2539">
      <w:pPr>
        <w:pStyle w:val="NormalWeb"/>
        <w:widowControl/>
        <w:numPr>
          <w:ilvl w:val="2"/>
          <w:numId w:val="18"/>
        </w:numPr>
        <w:spacing w:before="0" w:beforeAutospacing="0" w:after="0" w:afterAutospacing="0"/>
        <w:contextualSpacing/>
        <w:rPr>
          <w:b/>
          <w:bCs/>
          <w:color w:val="auto"/>
        </w:rPr>
      </w:pPr>
      <w:r w:rsidRPr="00AB2539">
        <w:t>Add permanent</w:t>
      </w:r>
      <w:r w:rsidR="00CA4044" w:rsidRPr="00AB2539">
        <w:t xml:space="preserve"> hydrophobic</w:t>
      </w:r>
      <w:r w:rsidRPr="00AB2539">
        <w:t xml:space="preserve"> mounting medium and place coverslips</w:t>
      </w:r>
      <w:r w:rsidR="00593459">
        <w:t>.</w:t>
      </w:r>
      <w:r w:rsidRPr="00AB2539">
        <w:t xml:space="preserve"> </w:t>
      </w:r>
    </w:p>
    <w:p w14:paraId="2B5538E6" w14:textId="77777777" w:rsidR="00E25AE0" w:rsidRPr="00AB2539" w:rsidRDefault="00E25AE0" w:rsidP="00AB2539">
      <w:pPr>
        <w:pStyle w:val="NormalWeb"/>
        <w:widowControl/>
        <w:spacing w:before="0" w:beforeAutospacing="0" w:after="0" w:afterAutospacing="0"/>
        <w:contextualSpacing/>
      </w:pPr>
    </w:p>
    <w:p w14:paraId="7F74A5CB" w14:textId="7FBC293E" w:rsidR="00E25AE0" w:rsidRPr="00AB2539" w:rsidRDefault="00E25AE0" w:rsidP="00AB2539">
      <w:pPr>
        <w:pStyle w:val="NormalWeb"/>
        <w:widowControl/>
        <w:spacing w:before="0" w:beforeAutospacing="0" w:after="0" w:afterAutospacing="0"/>
        <w:contextualSpacing/>
      </w:pPr>
      <w:r w:rsidRPr="00AB2539">
        <w:t>NOTE: Store at 4 °C for up to 6 months</w:t>
      </w:r>
      <w:r w:rsidR="00086ADB" w:rsidRPr="00AB2539">
        <w:t xml:space="preserve">. Self-made mounting medium </w:t>
      </w:r>
      <w:r w:rsidR="00E07FF4" w:rsidRPr="00AB2539">
        <w:t>containing</w:t>
      </w:r>
      <w:r w:rsidR="00086ADB" w:rsidRPr="00AB2539">
        <w:t xml:space="preserve"> PVA</w:t>
      </w:r>
      <w:r w:rsidR="00806027">
        <w:t xml:space="preserve"> </w:t>
      </w:r>
      <w:r w:rsidR="00086ADB" w:rsidRPr="00AB2539">
        <w:t>(Polyvinyl alcohol)-DABCO can be employed.</w:t>
      </w:r>
    </w:p>
    <w:p w14:paraId="39095F92" w14:textId="77777777" w:rsidR="00E25AE0" w:rsidRPr="00AB2539" w:rsidRDefault="00E25AE0" w:rsidP="00AB2539">
      <w:pPr>
        <w:pStyle w:val="NormalWeb"/>
        <w:widowControl/>
        <w:spacing w:before="0" w:beforeAutospacing="0" w:after="0" w:afterAutospacing="0"/>
        <w:contextualSpacing/>
        <w:rPr>
          <w:color w:val="auto"/>
        </w:rPr>
      </w:pPr>
    </w:p>
    <w:p w14:paraId="2C245732" w14:textId="3F02324A" w:rsidR="00E25AE0" w:rsidRPr="00AB2539" w:rsidRDefault="00E25AE0" w:rsidP="00AB2539">
      <w:pPr>
        <w:pStyle w:val="ListParagraph"/>
        <w:widowControl/>
        <w:numPr>
          <w:ilvl w:val="1"/>
          <w:numId w:val="18"/>
        </w:numPr>
        <w:autoSpaceDE/>
        <w:autoSpaceDN/>
        <w:adjustRightInd/>
        <w:rPr>
          <w:b/>
          <w:bCs/>
        </w:rPr>
      </w:pPr>
      <w:r w:rsidRPr="00AB2539">
        <w:t>For protocols using immunofluorescence</w:t>
      </w:r>
      <w:r w:rsidR="00593459">
        <w:t>,</w:t>
      </w:r>
      <w:r w:rsidR="00A76D61" w:rsidRPr="00AB2539">
        <w:t xml:space="preserve"> </w:t>
      </w:r>
      <w:r w:rsidR="00593459">
        <w:t>a</w:t>
      </w:r>
      <w:r w:rsidRPr="00AB2539">
        <w:t>dd a small volume (25</w:t>
      </w:r>
      <w:r w:rsidR="00593459" w:rsidRPr="00D13D3E">
        <w:t>‒</w:t>
      </w:r>
      <w:r w:rsidRPr="00AB2539">
        <w:t xml:space="preserve">50 μL) of </w:t>
      </w:r>
      <w:r w:rsidR="00CA4044" w:rsidRPr="00AB2539">
        <w:t xml:space="preserve">hydrophilic </w:t>
      </w:r>
      <w:r w:rsidRPr="00AB2539">
        <w:t>mounting medium with DAPI, propidium iodide or similar.</w:t>
      </w:r>
      <w:r w:rsidR="00A76D61" w:rsidRPr="00AB2539">
        <w:t xml:space="preserve"> </w:t>
      </w:r>
      <w:r w:rsidRPr="00AB2539">
        <w:t>Seal around the perimeter with nail polish or a plastic sealant.</w:t>
      </w:r>
      <w:r w:rsidR="007003E1" w:rsidRPr="00AB2539">
        <w:t xml:space="preserve"> </w:t>
      </w:r>
      <w:r w:rsidRPr="00AB2539">
        <w:t>Store at 4 °C for up to 6 months.</w:t>
      </w:r>
    </w:p>
    <w:p w14:paraId="0931EEF6" w14:textId="77777777" w:rsidR="00E25AE0" w:rsidRPr="00AB2539" w:rsidRDefault="00E25AE0" w:rsidP="00AB2539">
      <w:pPr>
        <w:pStyle w:val="NormalWeb"/>
        <w:widowControl/>
        <w:spacing w:before="0" w:beforeAutospacing="0" w:after="0" w:afterAutospacing="0"/>
        <w:contextualSpacing/>
        <w:rPr>
          <w:color w:val="auto"/>
        </w:rPr>
      </w:pPr>
    </w:p>
    <w:p w14:paraId="5BA90604" w14:textId="3C8FA440" w:rsidR="00E25AE0" w:rsidRPr="00AB2539" w:rsidRDefault="00E758D3" w:rsidP="00AB2539">
      <w:pPr>
        <w:pStyle w:val="NormalWeb"/>
        <w:widowControl/>
        <w:numPr>
          <w:ilvl w:val="0"/>
          <w:numId w:val="18"/>
        </w:numPr>
        <w:spacing w:before="0" w:beforeAutospacing="0" w:after="0" w:afterAutospacing="0"/>
        <w:contextualSpacing/>
        <w:rPr>
          <w:b/>
          <w:bCs/>
          <w:color w:val="auto"/>
          <w:highlight w:val="yellow"/>
        </w:rPr>
      </w:pPr>
      <w:r w:rsidRPr="00AB2539">
        <w:rPr>
          <w:b/>
          <w:bCs/>
          <w:highlight w:val="yellow"/>
        </w:rPr>
        <w:t>Imaging and analysis</w:t>
      </w:r>
    </w:p>
    <w:p w14:paraId="6D9CFBA5" w14:textId="77777777" w:rsidR="001C52C2" w:rsidRPr="00AB2539" w:rsidRDefault="001C52C2" w:rsidP="00AB2539">
      <w:pPr>
        <w:pStyle w:val="NormalWeb"/>
        <w:widowControl/>
        <w:spacing w:before="0" w:beforeAutospacing="0" w:after="0" w:afterAutospacing="0"/>
        <w:contextualSpacing/>
        <w:rPr>
          <w:b/>
          <w:bCs/>
          <w:color w:val="auto"/>
          <w:highlight w:val="yellow"/>
        </w:rPr>
      </w:pPr>
    </w:p>
    <w:p w14:paraId="3778A2EC" w14:textId="236EC046" w:rsidR="00E07FF4" w:rsidRPr="00AB2539" w:rsidRDefault="00D23089" w:rsidP="00AB2539">
      <w:pPr>
        <w:pStyle w:val="NormalWeb"/>
        <w:widowControl/>
        <w:spacing w:before="0" w:beforeAutospacing="0" w:after="0" w:afterAutospacing="0"/>
        <w:contextualSpacing/>
      </w:pPr>
      <w:r w:rsidRPr="00AB2539">
        <w:t xml:space="preserve">NOTE: </w:t>
      </w:r>
      <w:r w:rsidR="008F19FD" w:rsidRPr="00AB2539">
        <w:t xml:space="preserve">See </w:t>
      </w:r>
      <w:r w:rsidR="008F19FD" w:rsidRPr="00AB2539">
        <w:rPr>
          <w:b/>
          <w:bCs/>
        </w:rPr>
        <w:t xml:space="preserve">Table 2 </w:t>
      </w:r>
      <w:r w:rsidR="008F19FD" w:rsidRPr="00AB2539">
        <w:t xml:space="preserve">for </w:t>
      </w:r>
      <w:r w:rsidR="00626ABC" w:rsidRPr="00AB2539">
        <w:t>m</w:t>
      </w:r>
      <w:r w:rsidRPr="00AB2539">
        <w:t>icroscope setup specification</w:t>
      </w:r>
      <w:r w:rsidR="008F19FD" w:rsidRPr="00AB2539">
        <w:t>s</w:t>
      </w:r>
      <w:r w:rsidR="00095C4D" w:rsidRPr="00AB2539">
        <w:t>.</w:t>
      </w:r>
      <w:r w:rsidR="0051159E" w:rsidRPr="00AB2539">
        <w:t xml:space="preserve"> Usually, </w:t>
      </w:r>
      <w:r w:rsidR="00593459" w:rsidRPr="00AB2539">
        <w:t xml:space="preserve">counting </w:t>
      </w:r>
      <w:r w:rsidR="0051159E" w:rsidRPr="00AB2539">
        <w:t xml:space="preserve">the stained new cells is </w:t>
      </w:r>
      <w:r w:rsidR="00E07FF4" w:rsidRPr="00AB2539">
        <w:t>done</w:t>
      </w:r>
      <w:r w:rsidR="009C725E" w:rsidRPr="00AB2539">
        <w:t xml:space="preserve"> </w:t>
      </w:r>
      <w:r w:rsidR="0051159E" w:rsidRPr="00AB2539">
        <w:t>using the peroxidase reaction stained slices (cheaper</w:t>
      </w:r>
      <w:r w:rsidR="009C725E" w:rsidRPr="00AB2539">
        <w:t xml:space="preserve"> method</w:t>
      </w:r>
      <w:r w:rsidR="0051159E" w:rsidRPr="00AB2539">
        <w:t xml:space="preserve">), but it </w:t>
      </w:r>
      <w:r w:rsidR="00E07FF4" w:rsidRPr="00AB2539">
        <w:t>can also</w:t>
      </w:r>
      <w:r w:rsidR="0051159E" w:rsidRPr="00AB2539">
        <w:t xml:space="preserve"> be </w:t>
      </w:r>
      <w:r w:rsidR="00E07FF4" w:rsidRPr="00AB2539">
        <w:t>performed</w:t>
      </w:r>
      <w:r w:rsidR="0051159E" w:rsidRPr="00AB2539">
        <w:t xml:space="preserve"> us</w:t>
      </w:r>
      <w:r w:rsidR="009C725E" w:rsidRPr="00AB2539">
        <w:t>ing</w:t>
      </w:r>
      <w:r w:rsidR="0051159E" w:rsidRPr="00AB2539">
        <w:t xml:space="preserve"> immunofluorescence.</w:t>
      </w:r>
    </w:p>
    <w:p w14:paraId="23547FF0" w14:textId="77777777" w:rsidR="00E07FF4" w:rsidRPr="00AB2539" w:rsidRDefault="00E07FF4" w:rsidP="00AB2539">
      <w:pPr>
        <w:pStyle w:val="NormalWeb"/>
        <w:widowControl/>
        <w:spacing w:before="0" w:beforeAutospacing="0" w:after="0" w:afterAutospacing="0"/>
        <w:contextualSpacing/>
      </w:pPr>
    </w:p>
    <w:p w14:paraId="5BCF2E75" w14:textId="6AD31458" w:rsidR="002F781E" w:rsidRPr="00AB2539" w:rsidRDefault="0068182E" w:rsidP="00AB2539">
      <w:pPr>
        <w:pStyle w:val="NormalWeb"/>
        <w:widowControl/>
        <w:numPr>
          <w:ilvl w:val="1"/>
          <w:numId w:val="18"/>
        </w:numPr>
        <w:spacing w:before="0" w:beforeAutospacing="0" w:after="0" w:afterAutospacing="0"/>
        <w:contextualSpacing/>
        <w:rPr>
          <w:highlight w:val="yellow"/>
        </w:rPr>
      </w:pPr>
      <w:r w:rsidRPr="00AB2539">
        <w:rPr>
          <w:highlight w:val="yellow"/>
        </w:rPr>
        <w:t>To quantify cells, first, identify the dentate gyrus properly with the 4</w:t>
      </w:r>
      <w:r w:rsidR="00E07FF4" w:rsidRPr="00AB2539">
        <w:rPr>
          <w:highlight w:val="yellow"/>
        </w:rPr>
        <w:t>x</w:t>
      </w:r>
      <w:r w:rsidRPr="00AB2539">
        <w:rPr>
          <w:highlight w:val="yellow"/>
        </w:rPr>
        <w:t xml:space="preserve"> magnification lens (for further instructions on DG anatomical detail, see Amaral et al.</w:t>
      </w:r>
      <w:r w:rsidRPr="00AB2539">
        <w:rPr>
          <w:highlight w:val="yellow"/>
        </w:rPr>
        <w:fldChar w:fldCharType="begin" w:fldLock="1"/>
      </w:r>
      <w:r w:rsidRPr="00AB2539">
        <w:rPr>
          <w:highlight w:val="yellow"/>
        </w:rPr>
        <w:instrText>ADDIN CSL_CITATION {"citationItems":[{"id":"ITEM-1","itemData":{"DOI":"10.1016/S0079-6123(07)63001-5","author":[{"dropping-particle":"","family":"Amaral","given":"David G.","non-dropping-particle":"","parse-names":false,"suffix":""},{"dropping-particle":"","family":"Scharfman","given":"Helen E.","non-dropping-particle":"","parse-names":false,"suffix":""},{"dropping-particle":"","family":"Lavenex","given":"Pierre","non-dropping-particle":"","parse-names":false,"suffix":""}],"container-title":"Progress in brain research","id":"ITEM-1","issued":{"date-parts":[["2007"]]},"page":"3-22","title":"The dentate gyrus: fundamental neuroanatomical organization (dentate gyrus for dummies)","type":"article-journal","volume":"163"},"uris":["http://www.mendeley.com/documents/?uuid=8adae38d-2875-4825-aee0-4b9253fcc18a"]}],"mendeley":{"formattedCitation":"&lt;sup&gt;16&lt;/sup&gt;","plainTextFormattedCitation":"16","previouslyFormattedCitation":"&lt;sup&gt;16&lt;/sup&gt;"},"properties":{"noteIndex":0},"schema":"https://github.com/citation-style-language/schema/raw/master/csl-citation.json"}</w:instrText>
      </w:r>
      <w:r w:rsidRPr="00AB2539">
        <w:rPr>
          <w:highlight w:val="yellow"/>
        </w:rPr>
        <w:fldChar w:fldCharType="separate"/>
      </w:r>
      <w:r w:rsidRPr="00AB2539">
        <w:rPr>
          <w:noProof/>
          <w:highlight w:val="yellow"/>
          <w:vertAlign w:val="superscript"/>
        </w:rPr>
        <w:t>16</w:t>
      </w:r>
      <w:r w:rsidRPr="00AB2539">
        <w:rPr>
          <w:highlight w:val="yellow"/>
        </w:rPr>
        <w:fldChar w:fldCharType="end"/>
      </w:r>
      <w:r w:rsidR="00593459">
        <w:rPr>
          <w:highlight w:val="yellow"/>
        </w:rPr>
        <w:t>).</w:t>
      </w:r>
    </w:p>
    <w:p w14:paraId="580D2D38" w14:textId="77777777" w:rsidR="0068182E" w:rsidRPr="00AB2539" w:rsidRDefault="0068182E" w:rsidP="00AB2539">
      <w:pPr>
        <w:pStyle w:val="NormalWeb"/>
        <w:widowControl/>
        <w:spacing w:before="0" w:beforeAutospacing="0" w:after="0" w:afterAutospacing="0"/>
        <w:contextualSpacing/>
        <w:rPr>
          <w:highlight w:val="yellow"/>
        </w:rPr>
      </w:pPr>
    </w:p>
    <w:p w14:paraId="35304BBA" w14:textId="3FBC3FE9" w:rsidR="00E25AE0" w:rsidRPr="00AB2539" w:rsidRDefault="00500F8F" w:rsidP="00AB2539">
      <w:pPr>
        <w:pStyle w:val="NormalWeb"/>
        <w:widowControl/>
        <w:numPr>
          <w:ilvl w:val="2"/>
          <w:numId w:val="18"/>
        </w:numPr>
        <w:spacing w:before="0" w:beforeAutospacing="0" w:after="0" w:afterAutospacing="0"/>
        <w:contextualSpacing/>
        <w:rPr>
          <w:highlight w:val="yellow"/>
        </w:rPr>
      </w:pPr>
      <w:r w:rsidRPr="00AB2539">
        <w:rPr>
          <w:highlight w:val="yellow"/>
        </w:rPr>
        <w:t>S</w:t>
      </w:r>
      <w:r w:rsidR="00E25AE0" w:rsidRPr="00AB2539">
        <w:rPr>
          <w:highlight w:val="yellow"/>
        </w:rPr>
        <w:t>earch the granular cell layer of the dentate gyrus</w:t>
      </w:r>
      <w:r w:rsidR="00593459">
        <w:rPr>
          <w:highlight w:val="yellow"/>
        </w:rPr>
        <w:t xml:space="preserve"> for</w:t>
      </w:r>
      <w:r w:rsidR="00E25AE0" w:rsidRPr="00AB2539">
        <w:rPr>
          <w:highlight w:val="yellow"/>
        </w:rPr>
        <w:t xml:space="preserve"> nucle</w:t>
      </w:r>
      <w:r w:rsidR="00593459">
        <w:rPr>
          <w:highlight w:val="yellow"/>
        </w:rPr>
        <w:t>i</w:t>
      </w:r>
      <w:r w:rsidR="00E25AE0" w:rsidRPr="00AB2539">
        <w:rPr>
          <w:highlight w:val="yellow"/>
        </w:rPr>
        <w:t xml:space="preserve"> labeled with </w:t>
      </w:r>
      <w:proofErr w:type="spellStart"/>
      <w:r w:rsidR="00E25AE0" w:rsidRPr="00AB2539">
        <w:rPr>
          <w:highlight w:val="yellow"/>
        </w:rPr>
        <w:t>BrdU</w:t>
      </w:r>
      <w:proofErr w:type="spellEnd"/>
      <w:r w:rsidRPr="00AB2539">
        <w:rPr>
          <w:highlight w:val="yellow"/>
        </w:rPr>
        <w:t xml:space="preserve"> (using the 40</w:t>
      </w:r>
      <w:r w:rsidR="00E07FF4" w:rsidRPr="00AB2539">
        <w:rPr>
          <w:highlight w:val="yellow"/>
        </w:rPr>
        <w:t>x</w:t>
      </w:r>
      <w:r w:rsidRPr="00AB2539">
        <w:rPr>
          <w:highlight w:val="yellow"/>
        </w:rPr>
        <w:t xml:space="preserve"> magnification lens)</w:t>
      </w:r>
      <w:r w:rsidR="00E25AE0" w:rsidRPr="00AB2539">
        <w:rPr>
          <w:highlight w:val="yellow"/>
        </w:rPr>
        <w:t xml:space="preserve">. </w:t>
      </w:r>
      <w:r w:rsidR="00E07FF4" w:rsidRPr="00AB2539">
        <w:rPr>
          <w:highlight w:val="yellow"/>
        </w:rPr>
        <w:t>Perform</w:t>
      </w:r>
      <w:r w:rsidR="00E25AE0" w:rsidRPr="00AB2539">
        <w:rPr>
          <w:highlight w:val="yellow"/>
        </w:rPr>
        <w:t xml:space="preserve"> cell search exhaustively along </w:t>
      </w:r>
      <w:r w:rsidR="00E07FF4" w:rsidRPr="00AB2539">
        <w:rPr>
          <w:highlight w:val="yellow"/>
        </w:rPr>
        <w:t>the</w:t>
      </w:r>
      <w:r w:rsidR="00E25AE0" w:rsidRPr="00AB2539">
        <w:rPr>
          <w:highlight w:val="yellow"/>
        </w:rPr>
        <w:t xml:space="preserve"> z-axis </w:t>
      </w:r>
      <w:r w:rsidR="00E07FF4" w:rsidRPr="00AB2539">
        <w:rPr>
          <w:highlight w:val="yellow"/>
        </w:rPr>
        <w:t xml:space="preserve">since </w:t>
      </w:r>
      <w:r w:rsidR="00E25AE0" w:rsidRPr="00AB2539">
        <w:rPr>
          <w:highlight w:val="yellow"/>
        </w:rPr>
        <w:t xml:space="preserve">new cells </w:t>
      </w:r>
      <w:r w:rsidR="00E07FF4" w:rsidRPr="00AB2539">
        <w:rPr>
          <w:highlight w:val="yellow"/>
        </w:rPr>
        <w:t>can be</w:t>
      </w:r>
      <w:r w:rsidR="00E25AE0" w:rsidRPr="00AB2539">
        <w:rPr>
          <w:highlight w:val="yellow"/>
        </w:rPr>
        <w:t xml:space="preserve"> distributed in different layers (see </w:t>
      </w:r>
      <w:r w:rsidR="00E25AE0" w:rsidRPr="00AB2539">
        <w:rPr>
          <w:b/>
          <w:bCs/>
          <w:highlight w:val="yellow"/>
        </w:rPr>
        <w:t>Video 1</w:t>
      </w:r>
      <w:r w:rsidR="00E25AE0" w:rsidRPr="00AB2539">
        <w:rPr>
          <w:highlight w:val="yellow"/>
        </w:rPr>
        <w:t>).</w:t>
      </w:r>
    </w:p>
    <w:p w14:paraId="1FEAC77E" w14:textId="77777777" w:rsidR="002F781E" w:rsidRPr="00AB2539" w:rsidRDefault="002F781E" w:rsidP="00AB2539">
      <w:pPr>
        <w:pStyle w:val="NormalWeb"/>
        <w:widowControl/>
        <w:spacing w:before="0" w:beforeAutospacing="0" w:after="0" w:afterAutospacing="0"/>
        <w:contextualSpacing/>
        <w:rPr>
          <w:highlight w:val="yellow"/>
        </w:rPr>
      </w:pPr>
    </w:p>
    <w:p w14:paraId="05A32F7E" w14:textId="77777777" w:rsidR="00DB330A" w:rsidRPr="00AB2539" w:rsidRDefault="00E25AE0" w:rsidP="00AB2539">
      <w:pPr>
        <w:pStyle w:val="NormalWeb"/>
        <w:widowControl/>
        <w:numPr>
          <w:ilvl w:val="2"/>
          <w:numId w:val="18"/>
        </w:numPr>
        <w:spacing w:before="0" w:beforeAutospacing="0" w:after="0" w:afterAutospacing="0"/>
        <w:contextualSpacing/>
        <w:rPr>
          <w:highlight w:val="yellow"/>
        </w:rPr>
      </w:pPr>
      <w:r w:rsidRPr="00AB2539">
        <w:rPr>
          <w:highlight w:val="yellow"/>
        </w:rPr>
        <w:t>Select an interval section for cell searching all over the dentate gyrus</w:t>
      </w:r>
      <w:r w:rsidR="00500F8F" w:rsidRPr="00AB2539">
        <w:rPr>
          <w:highlight w:val="yellow"/>
        </w:rPr>
        <w:t xml:space="preserve"> (e.g., </w:t>
      </w:r>
      <w:r w:rsidRPr="00AB2539">
        <w:rPr>
          <w:highlight w:val="yellow"/>
        </w:rPr>
        <w:t xml:space="preserve">every 6th section of tissue, equivalent to every 240 </w:t>
      </w:r>
      <w:proofErr w:type="spellStart"/>
      <w:r w:rsidRPr="00AB2539">
        <w:rPr>
          <w:highlight w:val="yellow"/>
        </w:rPr>
        <w:t>μm</w:t>
      </w:r>
      <w:proofErr w:type="spellEnd"/>
      <w:r w:rsidR="00500F8F" w:rsidRPr="00AB2539">
        <w:rPr>
          <w:highlight w:val="yellow"/>
        </w:rPr>
        <w:t>).</w:t>
      </w:r>
    </w:p>
    <w:p w14:paraId="05FFD633" w14:textId="77777777" w:rsidR="00DB330A" w:rsidRPr="00AB2539" w:rsidRDefault="00DB330A" w:rsidP="00AB2539">
      <w:pPr>
        <w:pStyle w:val="ListParagraph"/>
        <w:widowControl/>
        <w:ind w:left="0"/>
        <w:rPr>
          <w:highlight w:val="yellow"/>
        </w:rPr>
      </w:pPr>
    </w:p>
    <w:p w14:paraId="71CBA4D6" w14:textId="33ECABAE" w:rsidR="00500F8F" w:rsidRPr="00AB2539" w:rsidRDefault="00593459" w:rsidP="00AB2539">
      <w:pPr>
        <w:pStyle w:val="NormalWeb"/>
        <w:widowControl/>
        <w:numPr>
          <w:ilvl w:val="2"/>
          <w:numId w:val="18"/>
        </w:numPr>
        <w:spacing w:before="0" w:beforeAutospacing="0" w:after="0" w:afterAutospacing="0"/>
        <w:contextualSpacing/>
        <w:rPr>
          <w:highlight w:val="yellow"/>
        </w:rPr>
      </w:pPr>
      <w:r>
        <w:rPr>
          <w:highlight w:val="yellow"/>
        </w:rPr>
        <w:t>C</w:t>
      </w:r>
      <w:r w:rsidR="00500F8F" w:rsidRPr="00AB2539">
        <w:rPr>
          <w:highlight w:val="yellow"/>
        </w:rPr>
        <w:t xml:space="preserve">ount all </w:t>
      </w:r>
      <w:proofErr w:type="spellStart"/>
      <w:r w:rsidR="00500F8F" w:rsidRPr="00AB2539">
        <w:rPr>
          <w:highlight w:val="yellow"/>
        </w:rPr>
        <w:t>BrdU</w:t>
      </w:r>
      <w:proofErr w:type="spellEnd"/>
      <w:r w:rsidR="00500F8F" w:rsidRPr="00AB2539">
        <w:rPr>
          <w:highlight w:val="yellow"/>
        </w:rPr>
        <w:t xml:space="preserve"> positive cells. </w:t>
      </w:r>
      <w:r w:rsidR="00E25AE0" w:rsidRPr="00AB2539">
        <w:rPr>
          <w:highlight w:val="yellow"/>
        </w:rPr>
        <w:t xml:space="preserve">The morphology of the labeled nucleus can change depending on how much </w:t>
      </w:r>
      <w:proofErr w:type="spellStart"/>
      <w:r w:rsidR="00E25AE0" w:rsidRPr="00AB2539">
        <w:rPr>
          <w:highlight w:val="yellow"/>
        </w:rPr>
        <w:t>BrdU</w:t>
      </w:r>
      <w:proofErr w:type="spellEnd"/>
      <w:r w:rsidR="00E25AE0" w:rsidRPr="00AB2539">
        <w:rPr>
          <w:highlight w:val="yellow"/>
        </w:rPr>
        <w:t xml:space="preserve"> the cell incorporated (see </w:t>
      </w:r>
      <w:r w:rsidR="00E25AE0" w:rsidRPr="00AB2539">
        <w:rPr>
          <w:b/>
          <w:bCs/>
          <w:highlight w:val="yellow"/>
        </w:rPr>
        <w:t xml:space="preserve">Figure </w:t>
      </w:r>
      <w:r w:rsidR="00E45BD9" w:rsidRPr="00AB2539">
        <w:rPr>
          <w:b/>
          <w:bCs/>
          <w:highlight w:val="yellow"/>
        </w:rPr>
        <w:t>3</w:t>
      </w:r>
      <w:r w:rsidR="00500F8F" w:rsidRPr="00AB2539">
        <w:rPr>
          <w:highlight w:val="yellow"/>
        </w:rPr>
        <w:t xml:space="preserve"> as a guide</w:t>
      </w:r>
      <w:r w:rsidR="00E25AE0" w:rsidRPr="00AB2539">
        <w:rPr>
          <w:highlight w:val="yellow"/>
        </w:rPr>
        <w:t xml:space="preserve">). </w:t>
      </w:r>
      <w:r w:rsidR="00500F8F" w:rsidRPr="00AB2539">
        <w:rPr>
          <w:highlight w:val="yellow"/>
        </w:rPr>
        <w:t xml:space="preserve">Move slowly over the z-axis to quantify all several nuclei that integrate a cluster (see </w:t>
      </w:r>
      <w:r w:rsidR="00500F8F" w:rsidRPr="00AB2539">
        <w:rPr>
          <w:b/>
          <w:bCs/>
          <w:highlight w:val="yellow"/>
        </w:rPr>
        <w:t>Video 2</w:t>
      </w:r>
      <w:r w:rsidR="00500F8F" w:rsidRPr="00AB2539">
        <w:rPr>
          <w:highlight w:val="yellow"/>
        </w:rPr>
        <w:t>).</w:t>
      </w:r>
    </w:p>
    <w:p w14:paraId="1FA4C2AB" w14:textId="77777777" w:rsidR="002F781E" w:rsidRPr="00AB2539" w:rsidRDefault="002F781E" w:rsidP="00AB2539">
      <w:pPr>
        <w:pStyle w:val="NormalWeb"/>
        <w:widowControl/>
        <w:spacing w:before="0" w:beforeAutospacing="0" w:after="0" w:afterAutospacing="0"/>
        <w:contextualSpacing/>
        <w:rPr>
          <w:highlight w:val="yellow"/>
        </w:rPr>
      </w:pPr>
    </w:p>
    <w:p w14:paraId="0358B93F" w14:textId="5335C31C" w:rsidR="00DB330A" w:rsidRPr="00CB4BCC" w:rsidRDefault="00E25AE0" w:rsidP="00AB2539">
      <w:pPr>
        <w:pStyle w:val="NormalWeb"/>
        <w:widowControl/>
        <w:numPr>
          <w:ilvl w:val="2"/>
          <w:numId w:val="18"/>
        </w:numPr>
        <w:spacing w:before="0" w:beforeAutospacing="0" w:after="0" w:afterAutospacing="0"/>
        <w:contextualSpacing/>
      </w:pPr>
      <w:r w:rsidRPr="00CB4BCC">
        <w:t>Multiply the total number of counted cells with the interval section selected (e.g.</w:t>
      </w:r>
      <w:r w:rsidR="00593459" w:rsidRPr="00CB4BCC">
        <w:t>,</w:t>
      </w:r>
      <w:r w:rsidRPr="00CB4BCC">
        <w:t xml:space="preserve"> 6) to estimate the total number of </w:t>
      </w:r>
      <w:proofErr w:type="spellStart"/>
      <w:r w:rsidRPr="00CB4BCC">
        <w:t>BrdU</w:t>
      </w:r>
      <w:proofErr w:type="spellEnd"/>
      <w:r w:rsidR="00593459" w:rsidRPr="00CB4BCC">
        <w:t>-</w:t>
      </w:r>
      <w:r w:rsidRPr="00CB4BCC">
        <w:t>labeled new cells.</w:t>
      </w:r>
    </w:p>
    <w:p w14:paraId="778ADAF0" w14:textId="77777777" w:rsidR="00DB330A" w:rsidRPr="00AB2539" w:rsidRDefault="00DB330A" w:rsidP="00AB2539">
      <w:pPr>
        <w:pStyle w:val="ListParagraph"/>
        <w:widowControl/>
        <w:ind w:left="0"/>
        <w:rPr>
          <w:highlight w:val="yellow"/>
        </w:rPr>
      </w:pPr>
    </w:p>
    <w:p w14:paraId="3CB6A339" w14:textId="6BE104A1" w:rsidR="00E25AE0" w:rsidRPr="00AB2539" w:rsidRDefault="00E25AE0" w:rsidP="00AB2539">
      <w:pPr>
        <w:pStyle w:val="NormalWeb"/>
        <w:widowControl/>
        <w:numPr>
          <w:ilvl w:val="2"/>
          <w:numId w:val="18"/>
        </w:numPr>
        <w:spacing w:before="0" w:beforeAutospacing="0" w:after="0" w:afterAutospacing="0"/>
        <w:contextualSpacing/>
        <w:rPr>
          <w:highlight w:val="yellow"/>
        </w:rPr>
      </w:pPr>
      <w:r w:rsidRPr="00AB2539">
        <w:rPr>
          <w:highlight w:val="yellow"/>
        </w:rPr>
        <w:lastRenderedPageBreak/>
        <w:t>Ideally, in a regular experiment,</w:t>
      </w:r>
      <w:r w:rsidR="00DB330A" w:rsidRPr="00AB2539">
        <w:rPr>
          <w:highlight w:val="yellow"/>
        </w:rPr>
        <w:t xml:space="preserve"> count at least</w:t>
      </w:r>
      <w:r w:rsidRPr="00AB2539">
        <w:rPr>
          <w:highlight w:val="yellow"/>
        </w:rPr>
        <w:t xml:space="preserve"> ten sections per animal and at least five animals per group.</w:t>
      </w:r>
    </w:p>
    <w:p w14:paraId="45A0A835" w14:textId="77777777" w:rsidR="00E25AE0" w:rsidRPr="00AB2539" w:rsidRDefault="00E25AE0" w:rsidP="00AB2539">
      <w:pPr>
        <w:pStyle w:val="NormalWeb"/>
        <w:widowControl/>
        <w:spacing w:before="0" w:beforeAutospacing="0" w:after="0" w:afterAutospacing="0"/>
        <w:contextualSpacing/>
      </w:pPr>
    </w:p>
    <w:p w14:paraId="30242A02" w14:textId="7C9B0B98" w:rsidR="00741719" w:rsidRPr="00AB2539" w:rsidRDefault="00E25AE0" w:rsidP="00AB2539">
      <w:pPr>
        <w:pStyle w:val="ListParagraph"/>
        <w:widowControl/>
        <w:numPr>
          <w:ilvl w:val="1"/>
          <w:numId w:val="18"/>
        </w:numPr>
        <w:autoSpaceDE/>
        <w:autoSpaceDN/>
        <w:adjustRightInd/>
        <w:rPr>
          <w:highlight w:val="yellow"/>
        </w:rPr>
      </w:pPr>
      <w:r w:rsidRPr="00AB2539">
        <w:rPr>
          <w:highlight w:val="yellow"/>
        </w:rPr>
        <w:t xml:space="preserve">Image </w:t>
      </w:r>
      <w:r w:rsidR="00593459">
        <w:rPr>
          <w:highlight w:val="yellow"/>
        </w:rPr>
        <w:t>d</w:t>
      </w:r>
      <w:r w:rsidRPr="00AB2539">
        <w:rPr>
          <w:highlight w:val="yellow"/>
        </w:rPr>
        <w:t>econvolution</w:t>
      </w:r>
      <w:r w:rsidR="00A84080" w:rsidRPr="00AB2539">
        <w:rPr>
          <w:highlight w:val="yellow"/>
        </w:rPr>
        <w:t xml:space="preserve"> (</w:t>
      </w:r>
      <w:r w:rsidR="00593459">
        <w:rPr>
          <w:highlight w:val="yellow"/>
        </w:rPr>
        <w:t>o</w:t>
      </w:r>
      <w:r w:rsidR="00A84080" w:rsidRPr="00AB2539">
        <w:rPr>
          <w:highlight w:val="yellow"/>
        </w:rPr>
        <w:t>ptional)</w:t>
      </w:r>
    </w:p>
    <w:p w14:paraId="37911C7B" w14:textId="77777777" w:rsidR="00741719" w:rsidRPr="00AB2539" w:rsidRDefault="00741719" w:rsidP="00AB2539">
      <w:pPr>
        <w:pStyle w:val="ListParagraph"/>
        <w:widowControl/>
        <w:autoSpaceDE/>
        <w:autoSpaceDN/>
        <w:adjustRightInd/>
        <w:ind w:left="0"/>
        <w:rPr>
          <w:b/>
          <w:bCs/>
        </w:rPr>
      </w:pPr>
    </w:p>
    <w:p w14:paraId="24E84928" w14:textId="5DC2AC57" w:rsidR="00C87719" w:rsidRPr="00AB2539" w:rsidRDefault="00E4495F" w:rsidP="00AB2539">
      <w:pPr>
        <w:pStyle w:val="NormalWeb"/>
        <w:widowControl/>
        <w:spacing w:before="0" w:beforeAutospacing="0" w:after="0" w:afterAutospacing="0"/>
        <w:contextualSpacing/>
        <w:rPr>
          <w:color w:val="auto"/>
        </w:rPr>
      </w:pPr>
      <w:r w:rsidRPr="00AB2539">
        <w:rPr>
          <w:color w:val="000000" w:themeColor="text1"/>
        </w:rPr>
        <w:t xml:space="preserve">NOTE: </w:t>
      </w:r>
      <w:r w:rsidR="00740C31" w:rsidRPr="00AB2539">
        <w:rPr>
          <w:color w:val="000000" w:themeColor="text1"/>
        </w:rPr>
        <w:t xml:space="preserve">Refer to </w:t>
      </w:r>
      <w:r w:rsidRPr="00AB2539">
        <w:rPr>
          <w:color w:val="000000" w:themeColor="text1"/>
        </w:rPr>
        <w:t xml:space="preserve">the </w:t>
      </w:r>
      <w:r w:rsidR="00593459" w:rsidRPr="008348CD">
        <w:rPr>
          <w:color w:val="000000" w:themeColor="text1"/>
        </w:rPr>
        <w:t>i</w:t>
      </w:r>
      <w:r w:rsidRPr="008348CD">
        <w:rPr>
          <w:color w:val="000000" w:themeColor="text1"/>
        </w:rPr>
        <w:t>ntroduction</w:t>
      </w:r>
      <w:r w:rsidRPr="00AB2539">
        <w:rPr>
          <w:color w:val="000000" w:themeColor="text1"/>
        </w:rPr>
        <w:t xml:space="preserve"> section for important </w:t>
      </w:r>
      <w:r w:rsidR="00740C31" w:rsidRPr="00AB2539">
        <w:rPr>
          <w:color w:val="000000" w:themeColor="text1"/>
        </w:rPr>
        <w:t xml:space="preserve">information </w:t>
      </w:r>
      <w:r w:rsidRPr="00AB2539">
        <w:rPr>
          <w:color w:val="000000" w:themeColor="text1"/>
        </w:rPr>
        <w:t>about this step. Th</w:t>
      </w:r>
      <w:r w:rsidR="00165D76" w:rsidRPr="00AB2539">
        <w:rPr>
          <w:color w:val="000000" w:themeColor="text1"/>
        </w:rPr>
        <w:t>is</w:t>
      </w:r>
      <w:r w:rsidRPr="00AB2539">
        <w:rPr>
          <w:color w:val="000000" w:themeColor="text1"/>
        </w:rPr>
        <w:t xml:space="preserve"> procedure need</w:t>
      </w:r>
      <w:r w:rsidR="00E07FF4" w:rsidRPr="00AB2539">
        <w:rPr>
          <w:color w:val="000000" w:themeColor="text1"/>
        </w:rPr>
        <w:t>s</w:t>
      </w:r>
      <w:r w:rsidRPr="00AB2539">
        <w:rPr>
          <w:color w:val="000000" w:themeColor="text1"/>
        </w:rPr>
        <w:t xml:space="preserve"> monochromatic </w:t>
      </w:r>
      <w:r w:rsidRPr="00AB2539">
        <w:rPr>
          <w:color w:val="auto"/>
        </w:rPr>
        <w:t>images (</w:t>
      </w:r>
      <w:r w:rsidR="00593459">
        <w:rPr>
          <w:color w:val="auto"/>
        </w:rPr>
        <w:t>grayscale</w:t>
      </w:r>
      <w:r w:rsidRPr="00AB2539">
        <w:rPr>
          <w:color w:val="auto"/>
        </w:rPr>
        <w:t xml:space="preserve">). </w:t>
      </w:r>
      <w:r w:rsidR="00A33A30" w:rsidRPr="00AB2539">
        <w:rPr>
          <w:color w:val="auto"/>
        </w:rPr>
        <w:t xml:space="preserve">Transform </w:t>
      </w:r>
      <w:r w:rsidRPr="00AB2539">
        <w:rPr>
          <w:color w:val="auto"/>
        </w:rPr>
        <w:t>color images to</w:t>
      </w:r>
      <w:r w:rsidR="00593459">
        <w:rPr>
          <w:color w:val="auto"/>
        </w:rPr>
        <w:t xml:space="preserve"> grayscale</w:t>
      </w:r>
      <w:r w:rsidRPr="00AB2539">
        <w:rPr>
          <w:color w:val="auto"/>
        </w:rPr>
        <w:t>. If the images are an RGB composite, first split the channels and merge them as a single image (</w:t>
      </w:r>
      <w:r w:rsidR="00095C4D" w:rsidRPr="00AB2539">
        <w:rPr>
          <w:color w:val="auto"/>
        </w:rPr>
        <w:t>not</w:t>
      </w:r>
      <w:r w:rsidRPr="00AB2539">
        <w:rPr>
          <w:color w:val="auto"/>
        </w:rPr>
        <w:t xml:space="preserve"> composite)</w:t>
      </w:r>
      <w:r w:rsidR="00806027">
        <w:rPr>
          <w:color w:val="auto"/>
        </w:rPr>
        <w:t>, then</w:t>
      </w:r>
      <w:r w:rsidRPr="00AB2539">
        <w:rPr>
          <w:color w:val="auto"/>
        </w:rPr>
        <w:t xml:space="preserve"> transform to 8-bit </w:t>
      </w:r>
      <w:r w:rsidR="00593459">
        <w:rPr>
          <w:color w:val="auto"/>
        </w:rPr>
        <w:t>grayscale</w:t>
      </w:r>
      <w:r w:rsidRPr="00AB2539">
        <w:rPr>
          <w:color w:val="auto"/>
        </w:rPr>
        <w:t>.</w:t>
      </w:r>
    </w:p>
    <w:p w14:paraId="0297FCFD" w14:textId="77777777" w:rsidR="00C87719" w:rsidRPr="00AB2539" w:rsidRDefault="00C87719" w:rsidP="00AB2539">
      <w:pPr>
        <w:pStyle w:val="NormalWeb"/>
        <w:widowControl/>
        <w:spacing w:before="0" w:beforeAutospacing="0" w:after="0" w:afterAutospacing="0"/>
        <w:contextualSpacing/>
        <w:rPr>
          <w:color w:val="auto"/>
          <w:highlight w:val="yellow"/>
        </w:rPr>
      </w:pPr>
    </w:p>
    <w:p w14:paraId="296E9456" w14:textId="0421CBDB" w:rsidR="00676301" w:rsidRPr="00AB2539" w:rsidRDefault="00676301"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Create a </w:t>
      </w:r>
      <w:r w:rsidR="00593459">
        <w:rPr>
          <w:highlight w:val="yellow"/>
        </w:rPr>
        <w:t>z</w:t>
      </w:r>
      <w:r w:rsidR="00705235">
        <w:rPr>
          <w:highlight w:val="yellow"/>
        </w:rPr>
        <w:t>-stack</w:t>
      </w:r>
      <w:r w:rsidRPr="00AB2539">
        <w:rPr>
          <w:highlight w:val="yellow"/>
        </w:rPr>
        <w:t xml:space="preserve"> file from micrographs. </w:t>
      </w:r>
    </w:p>
    <w:p w14:paraId="16A0869A" w14:textId="77777777" w:rsidR="00676301" w:rsidRPr="00AB2539" w:rsidRDefault="00676301" w:rsidP="00AB2539">
      <w:pPr>
        <w:pStyle w:val="NormalWeb"/>
        <w:widowControl/>
        <w:spacing w:before="0" w:beforeAutospacing="0" w:after="0" w:afterAutospacing="0"/>
        <w:contextualSpacing/>
        <w:rPr>
          <w:color w:val="auto"/>
          <w:highlight w:val="yellow"/>
        </w:rPr>
      </w:pPr>
    </w:p>
    <w:p w14:paraId="4EB6CD5B" w14:textId="0E841AED" w:rsidR="00E25AE0"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Create a </w:t>
      </w:r>
      <w:r w:rsidR="00593459" w:rsidRPr="00AB2539">
        <w:rPr>
          <w:highlight w:val="yellow"/>
        </w:rPr>
        <w:t xml:space="preserve">point spread function </w:t>
      </w:r>
      <w:r w:rsidRPr="00AB2539">
        <w:rPr>
          <w:highlight w:val="yellow"/>
        </w:rPr>
        <w:t xml:space="preserve">(PSF) file </w:t>
      </w:r>
      <w:r w:rsidR="000F15DF" w:rsidRPr="00AB2539">
        <w:rPr>
          <w:highlight w:val="yellow"/>
        </w:rPr>
        <w:t xml:space="preserve">opening </w:t>
      </w:r>
      <w:r w:rsidRPr="00AB2539">
        <w:rPr>
          <w:highlight w:val="yellow"/>
        </w:rPr>
        <w:t xml:space="preserve">the Diffraction PSF 3D </w:t>
      </w:r>
      <w:r w:rsidR="00CA3ABC" w:rsidRPr="00AB2539">
        <w:rPr>
          <w:highlight w:val="yellow"/>
        </w:rPr>
        <w:t xml:space="preserve">plugin </w:t>
      </w:r>
      <w:r w:rsidRPr="00AB2539">
        <w:rPr>
          <w:highlight w:val="yellow"/>
        </w:rPr>
        <w:t>(</w:t>
      </w:r>
      <w:hyperlink r:id="rId17" w:history="1">
        <w:r w:rsidRPr="00AB2539">
          <w:rPr>
            <w:rStyle w:val="Hyperlink"/>
            <w:highlight w:val="yellow"/>
          </w:rPr>
          <w:t>https://imagej.net/Diffraction_PSF_3D</w:t>
        </w:r>
      </w:hyperlink>
      <w:r w:rsidRPr="00AB2539">
        <w:rPr>
          <w:highlight w:val="yellow"/>
        </w:rPr>
        <w:t>)</w:t>
      </w:r>
      <w:r w:rsidR="00D3104C" w:rsidRPr="00AB2539">
        <w:rPr>
          <w:highlight w:val="yellow"/>
        </w:rPr>
        <w:t xml:space="preserve"> from the option </w:t>
      </w:r>
      <w:r w:rsidR="00D3104C" w:rsidRPr="00AB2539">
        <w:rPr>
          <w:b/>
          <w:bCs/>
          <w:highlight w:val="yellow"/>
        </w:rPr>
        <w:t>Plugins</w:t>
      </w:r>
      <w:r w:rsidR="00D3104C" w:rsidRPr="00AB2539">
        <w:rPr>
          <w:highlight w:val="yellow"/>
        </w:rPr>
        <w:t xml:space="preserve"> menu</w:t>
      </w:r>
      <w:r w:rsidRPr="00AB2539">
        <w:rPr>
          <w:highlight w:val="yellow"/>
        </w:rPr>
        <w:t>.</w:t>
      </w:r>
      <w:r w:rsidR="000F15DF" w:rsidRPr="00AB2539">
        <w:rPr>
          <w:highlight w:val="yellow"/>
        </w:rPr>
        <w:t xml:space="preserve"> </w:t>
      </w:r>
      <w:r w:rsidR="00CA3ABC" w:rsidRPr="00AB2539">
        <w:rPr>
          <w:highlight w:val="yellow"/>
        </w:rPr>
        <w:t>Fill out all the required data</w:t>
      </w:r>
      <w:r w:rsidR="00CA3ABC" w:rsidRPr="00AB2539" w:rsidDel="00CA3ABC">
        <w:rPr>
          <w:highlight w:val="yellow"/>
        </w:rPr>
        <w:t xml:space="preserve"> </w:t>
      </w:r>
      <w:r w:rsidR="000F15DF" w:rsidRPr="00AB2539">
        <w:rPr>
          <w:highlight w:val="yellow"/>
        </w:rPr>
        <w:t xml:space="preserve">(see </w:t>
      </w:r>
      <w:r w:rsidR="000F15DF" w:rsidRPr="00AB2539">
        <w:rPr>
          <w:b/>
          <w:bCs/>
          <w:highlight w:val="yellow"/>
        </w:rPr>
        <w:t>Table 2</w:t>
      </w:r>
      <w:r w:rsidR="000F15DF" w:rsidRPr="00AB2539">
        <w:rPr>
          <w:highlight w:val="yellow"/>
        </w:rPr>
        <w:t>). Press</w:t>
      </w:r>
      <w:r w:rsidR="00A4044C" w:rsidRPr="00AB2539">
        <w:rPr>
          <w:highlight w:val="yellow"/>
        </w:rPr>
        <w:t xml:space="preserve"> </w:t>
      </w:r>
      <w:r w:rsidR="00A4044C" w:rsidRPr="00AB2539">
        <w:rPr>
          <w:b/>
          <w:bCs/>
          <w:highlight w:val="yellow"/>
        </w:rPr>
        <w:t>OK</w:t>
      </w:r>
      <w:r w:rsidR="00A4044C" w:rsidRPr="00AB2539">
        <w:rPr>
          <w:highlight w:val="yellow"/>
        </w:rPr>
        <w:t xml:space="preserve"> and save the file.</w:t>
      </w:r>
    </w:p>
    <w:p w14:paraId="7B7BFA17" w14:textId="77777777" w:rsidR="00FF0B55" w:rsidRPr="00AB2539" w:rsidRDefault="00FF0B55" w:rsidP="00AB2539">
      <w:pPr>
        <w:pStyle w:val="NormalWeb"/>
        <w:widowControl/>
        <w:spacing w:before="0" w:beforeAutospacing="0" w:after="0" w:afterAutospacing="0"/>
        <w:contextualSpacing/>
        <w:rPr>
          <w:color w:val="auto"/>
          <w:highlight w:val="yellow"/>
        </w:rPr>
      </w:pPr>
    </w:p>
    <w:p w14:paraId="6CF16495" w14:textId="6514466F" w:rsidR="00790674" w:rsidRPr="00AB2539" w:rsidRDefault="00A4044C" w:rsidP="00AB2539">
      <w:pPr>
        <w:pStyle w:val="NormalWeb"/>
        <w:widowControl/>
        <w:numPr>
          <w:ilvl w:val="2"/>
          <w:numId w:val="18"/>
        </w:numPr>
        <w:spacing w:before="0" w:beforeAutospacing="0" w:after="0" w:afterAutospacing="0"/>
        <w:contextualSpacing/>
        <w:rPr>
          <w:color w:val="auto"/>
          <w:highlight w:val="yellow"/>
        </w:rPr>
      </w:pPr>
      <w:r w:rsidRPr="00AB2539">
        <w:rPr>
          <w:color w:val="auto"/>
          <w:highlight w:val="yellow"/>
        </w:rPr>
        <w:t>Open the</w:t>
      </w:r>
      <w:r w:rsidR="00E25AE0" w:rsidRPr="00AB2539">
        <w:rPr>
          <w:highlight w:val="yellow"/>
        </w:rPr>
        <w:t xml:space="preserve"> </w:t>
      </w:r>
      <w:r w:rsidR="00E25AE0" w:rsidRPr="00AB2539">
        <w:rPr>
          <w:color w:val="auto"/>
          <w:highlight w:val="yellow"/>
        </w:rPr>
        <w:t>DeconvolutionLab2</w:t>
      </w:r>
      <w:r w:rsidR="00E25AE0" w:rsidRPr="00AB2539">
        <w:rPr>
          <w:color w:val="auto"/>
          <w:highlight w:val="yellow"/>
        </w:rPr>
        <w:fldChar w:fldCharType="begin" w:fldLock="1"/>
      </w:r>
      <w:r w:rsidR="00383526" w:rsidRPr="00AB2539">
        <w:rPr>
          <w:color w:val="auto"/>
          <w:highlight w:val="yellow"/>
        </w:rPr>
        <w:instrText>ADDIN CSL_CITATION {"citationItems":[{"id":"ITEM-1","itemData":{"DOI":"10.1016/j.ymeth.2016.12.015","ISSN":"10959130","abstract":"Images in fluorescence microscopy are inherently blurred due to the limit of diffraction of light. The purpose of deconvolution microscopy is to compensate numerically for this degradation. Deconvolution is widely used to restore fine details of 3D biological samples. Unfortunately, dealing with deconvolution tools is not straightforward. Among others, end users have to select the appropriate algorithm, calibration and parametrization, while potentially facing demanding computational tasks. To make deconvolution more accessible, we have developed a practical platform for deconvolution microscopy called DeconvolutionLab. Freely distributed, DeconvolutionLab hosts standard algorithms for 3D microscopy deconvolution and drives them through a user-oriented interface. In this paper, we take advantage of the release of DeconvolutionLab2 to provide a complete description of the software package and its built-in deconvolution algorithms. We examine several standard algorithms used in deconvolution microscopy, notably: Regularized inverse filter, Tikhonov regularization, Landweber, Tikhonov–Miller, Richardson–Lucy, and fast iterative shrinkage-thresholding. We evaluate these methods over large 3D microscopy images using simulated datasets and real experimental images. We distinguish the algorithms in terms of image quality, performance, usability and computational requirements. Our presentation is completed with a discussion of recent trends in deconvolution, inspired by the results of the Grand Challenge on deconvolution microscopy that was recently organized.","author":[{"dropping-particle":"","family":"Sage","given":"Daniel","non-dropping-particle":"","parse-names":false,"suffix":""},{"dropping-particle":"","family":"Donati","given":"Lauréne","non-dropping-particle":"","parse-names":false,"suffix":""},{"dropping-particle":"","family":"Soulez","given":"Ferréol","non-dropping-particle":"","parse-names":false,"suffix":""},{"dropping-particle":"","family":"Fortun","given":"Denis","non-dropping-particle":"","parse-names":false,"suffix":""},{"dropping-particle":"","family":"Schmit","given":"Guillaume","non-dropping-particle":"","parse-names":false,"suffix":""},{"dropping-particle":"","family":"Seitz","given":"Arne","non-dropping-particle":"","parse-names":false,"suffix":""},{"dropping-particle":"","family":"Guiet","given":"Romain","non-dropping-particle":"","parse-names":false,"suffix":""},{"dropping-particle":"","family":"Vonesch","given":"Cédric","non-dropping-particle":"","parse-names":false,"suffix":""},{"dropping-particle":"","family":"Unser","given":"Michael","non-dropping-particle":"","parse-names":false,"suffix":""}],"container-title":"Methods","id":"ITEM-1","issued":{"date-parts":[["2017"]]},"page":"28-41","publisher":"Elsevier Inc.","title":"DeconvolutionLab2: An open-source software for deconvolution microscopy","type":"article-journal","volume":"115"},"uris":["http://www.mendeley.com/documents/?uuid=a6252c04-929c-43a3-8513-0b5b55403971"]}],"mendeley":{"formattedCitation":"&lt;sup&gt;9&lt;/sup&gt;","plainTextFormattedCitation":"9","previouslyFormattedCitation":"&lt;sup&gt;9&lt;/sup&gt;"},"properties":{"noteIndex":0},"schema":"https://github.com/citation-style-language/schema/raw/master/csl-citation.json"}</w:instrText>
      </w:r>
      <w:r w:rsidR="00E25AE0" w:rsidRPr="00AB2539">
        <w:rPr>
          <w:color w:val="auto"/>
          <w:highlight w:val="yellow"/>
        </w:rPr>
        <w:fldChar w:fldCharType="separate"/>
      </w:r>
      <w:r w:rsidR="00557272" w:rsidRPr="00AB2539">
        <w:rPr>
          <w:noProof/>
          <w:color w:val="auto"/>
          <w:highlight w:val="yellow"/>
          <w:vertAlign w:val="superscript"/>
        </w:rPr>
        <w:t>9</w:t>
      </w:r>
      <w:r w:rsidR="00E25AE0" w:rsidRPr="00AB2539">
        <w:rPr>
          <w:color w:val="auto"/>
          <w:highlight w:val="yellow"/>
        </w:rPr>
        <w:fldChar w:fldCharType="end"/>
      </w:r>
      <w:r w:rsidR="00E25AE0" w:rsidRPr="00AB2539">
        <w:rPr>
          <w:color w:val="auto"/>
          <w:highlight w:val="yellow"/>
        </w:rPr>
        <w:t xml:space="preserve"> </w:t>
      </w:r>
      <w:r w:rsidR="00790674" w:rsidRPr="00AB2539">
        <w:rPr>
          <w:highlight w:val="yellow"/>
        </w:rPr>
        <w:t>plugin</w:t>
      </w:r>
      <w:r w:rsidR="004543D8" w:rsidRPr="00AB2539">
        <w:rPr>
          <w:highlight w:val="yellow"/>
        </w:rPr>
        <w:t xml:space="preserve"> from the option </w:t>
      </w:r>
      <w:r w:rsidR="004543D8" w:rsidRPr="00AB2539">
        <w:rPr>
          <w:b/>
          <w:bCs/>
          <w:highlight w:val="yellow"/>
        </w:rPr>
        <w:t>Plugins</w:t>
      </w:r>
      <w:r w:rsidR="004543D8" w:rsidRPr="00AB2539">
        <w:rPr>
          <w:highlight w:val="yellow"/>
        </w:rPr>
        <w:t xml:space="preserve"> menu</w:t>
      </w:r>
      <w:r w:rsidR="00790674" w:rsidRPr="00AB2539">
        <w:rPr>
          <w:color w:val="auto"/>
          <w:highlight w:val="yellow"/>
        </w:rPr>
        <w:t xml:space="preserve"> </w:t>
      </w:r>
      <w:r w:rsidR="004543D8" w:rsidRPr="00AB2539">
        <w:rPr>
          <w:color w:val="auto"/>
          <w:highlight w:val="yellow"/>
        </w:rPr>
        <w:t>(</w:t>
      </w:r>
      <w:hyperlink r:id="rId18" w:history="1">
        <w:r w:rsidR="00E25AE0" w:rsidRPr="00AB2539">
          <w:rPr>
            <w:rStyle w:val="Hyperlink"/>
            <w:highlight w:val="yellow"/>
          </w:rPr>
          <w:t>http://bigwww.epfl.ch/deconvolution/deconvolutionlab2/</w:t>
        </w:r>
      </w:hyperlink>
      <w:r w:rsidR="004543D8" w:rsidRPr="00AB2539">
        <w:rPr>
          <w:rStyle w:val="Hyperlink"/>
          <w:highlight w:val="yellow"/>
        </w:rPr>
        <w:t>)</w:t>
      </w:r>
      <w:r w:rsidR="00E25AE0" w:rsidRPr="00AB2539">
        <w:rPr>
          <w:color w:val="auto"/>
          <w:highlight w:val="yellow"/>
        </w:rPr>
        <w:t xml:space="preserve">. </w:t>
      </w:r>
      <w:r w:rsidR="00676301" w:rsidRPr="00AB2539">
        <w:rPr>
          <w:color w:val="auto"/>
          <w:highlight w:val="yellow"/>
        </w:rPr>
        <w:t xml:space="preserve">Drag the matched </w:t>
      </w:r>
      <w:r w:rsidR="00593459">
        <w:rPr>
          <w:color w:val="auto"/>
          <w:highlight w:val="yellow"/>
        </w:rPr>
        <w:t>z</w:t>
      </w:r>
      <w:r w:rsidR="00676301" w:rsidRPr="00AB2539">
        <w:rPr>
          <w:color w:val="auto"/>
          <w:highlight w:val="yellow"/>
        </w:rPr>
        <w:t xml:space="preserve">-stack </w:t>
      </w:r>
      <w:r w:rsidR="007A457B" w:rsidRPr="00AB2539">
        <w:rPr>
          <w:color w:val="auto"/>
          <w:highlight w:val="yellow"/>
        </w:rPr>
        <w:t xml:space="preserve">image </w:t>
      </w:r>
      <w:r w:rsidR="00676301" w:rsidRPr="00AB2539">
        <w:rPr>
          <w:color w:val="auto"/>
          <w:highlight w:val="yellow"/>
        </w:rPr>
        <w:t>and PDF file to the corresponding window</w:t>
      </w:r>
      <w:r w:rsidR="007A457B" w:rsidRPr="00AB2539">
        <w:rPr>
          <w:color w:val="auto"/>
          <w:highlight w:val="yellow"/>
        </w:rPr>
        <w:t xml:space="preserve"> slot</w:t>
      </w:r>
      <w:r w:rsidR="00676301" w:rsidRPr="00AB2539">
        <w:rPr>
          <w:color w:val="auto"/>
          <w:highlight w:val="yellow"/>
        </w:rPr>
        <w:t>.</w:t>
      </w:r>
    </w:p>
    <w:p w14:paraId="56A00BE1" w14:textId="77777777" w:rsidR="00676301" w:rsidRPr="00AB2539" w:rsidRDefault="00676301" w:rsidP="00AB2539">
      <w:pPr>
        <w:pStyle w:val="NormalWeb"/>
        <w:widowControl/>
        <w:spacing w:before="0" w:beforeAutospacing="0" w:after="0" w:afterAutospacing="0"/>
        <w:contextualSpacing/>
        <w:rPr>
          <w:color w:val="auto"/>
          <w:highlight w:val="yellow"/>
        </w:rPr>
      </w:pPr>
    </w:p>
    <w:p w14:paraId="07E81B89" w14:textId="6875E921" w:rsidR="00676301" w:rsidRPr="00AB2539" w:rsidRDefault="00676301" w:rsidP="00AB2539">
      <w:pPr>
        <w:pStyle w:val="ListParagraph"/>
        <w:widowControl/>
        <w:numPr>
          <w:ilvl w:val="2"/>
          <w:numId w:val="18"/>
        </w:numPr>
        <w:rPr>
          <w:color w:val="auto"/>
          <w:highlight w:val="yellow"/>
        </w:rPr>
      </w:pPr>
      <w:r w:rsidRPr="00AB2539">
        <w:rPr>
          <w:color w:val="auto"/>
          <w:highlight w:val="yellow"/>
        </w:rPr>
        <w:t xml:space="preserve">Select the deconvolution algorithm (e.g., Richardson-Lucy) and the number of iterations (e.g., 20). Press </w:t>
      </w:r>
      <w:r w:rsidRPr="00AB2539">
        <w:rPr>
          <w:b/>
          <w:bCs/>
          <w:color w:val="auto"/>
          <w:highlight w:val="yellow"/>
        </w:rPr>
        <w:t>RUN</w:t>
      </w:r>
      <w:r w:rsidRPr="00AB2539">
        <w:rPr>
          <w:color w:val="auto"/>
          <w:highlight w:val="yellow"/>
        </w:rPr>
        <w:t>.</w:t>
      </w:r>
    </w:p>
    <w:p w14:paraId="4E5BD430" w14:textId="77777777" w:rsidR="007A457B" w:rsidRPr="00AB2539" w:rsidRDefault="007A457B" w:rsidP="00AB2539">
      <w:pPr>
        <w:pStyle w:val="ListParagraph"/>
        <w:widowControl/>
        <w:ind w:left="0"/>
        <w:rPr>
          <w:color w:val="auto"/>
          <w:highlight w:val="yellow"/>
        </w:rPr>
      </w:pPr>
    </w:p>
    <w:p w14:paraId="03C9F45A" w14:textId="39943934" w:rsidR="001F584F" w:rsidRPr="00AB2539" w:rsidRDefault="001F584F" w:rsidP="00AB2539">
      <w:pPr>
        <w:pStyle w:val="ListParagraph"/>
        <w:widowControl/>
        <w:numPr>
          <w:ilvl w:val="2"/>
          <w:numId w:val="18"/>
        </w:numPr>
        <w:rPr>
          <w:color w:val="auto"/>
          <w:highlight w:val="yellow"/>
        </w:rPr>
      </w:pPr>
      <w:r w:rsidRPr="00AB2539">
        <w:rPr>
          <w:color w:val="auto"/>
          <w:highlight w:val="yellow"/>
        </w:rPr>
        <w:t xml:space="preserve">Combine the deconvoluted images into a single </w:t>
      </w:r>
      <w:r w:rsidR="00721934">
        <w:rPr>
          <w:highlight w:val="yellow"/>
        </w:rPr>
        <w:t>z-stack</w:t>
      </w:r>
      <w:r w:rsidR="003A1149" w:rsidRPr="00AB2539">
        <w:rPr>
          <w:highlight w:val="yellow"/>
        </w:rPr>
        <w:t xml:space="preserve"> </w:t>
      </w:r>
      <w:r w:rsidRPr="00AB2539">
        <w:rPr>
          <w:color w:val="auto"/>
          <w:highlight w:val="yellow"/>
        </w:rPr>
        <w:t xml:space="preserve">image selecting </w:t>
      </w:r>
      <w:r w:rsidRPr="00AB2539">
        <w:rPr>
          <w:b/>
          <w:bCs/>
          <w:color w:val="auto"/>
          <w:highlight w:val="yellow"/>
        </w:rPr>
        <w:t>Stacks</w:t>
      </w:r>
      <w:r w:rsidRPr="00AB2539">
        <w:rPr>
          <w:color w:val="auto"/>
          <w:highlight w:val="yellow"/>
        </w:rPr>
        <w:t xml:space="preserve"> from the </w:t>
      </w:r>
      <w:r w:rsidRPr="00AB2539">
        <w:rPr>
          <w:b/>
          <w:bCs/>
          <w:color w:val="auto"/>
          <w:highlight w:val="yellow"/>
        </w:rPr>
        <w:t>Image</w:t>
      </w:r>
      <w:r w:rsidRPr="00AB2539">
        <w:rPr>
          <w:color w:val="auto"/>
          <w:highlight w:val="yellow"/>
        </w:rPr>
        <w:t xml:space="preserve"> menu at</w:t>
      </w:r>
      <w:r w:rsidR="00F5676E" w:rsidRPr="00AB2539">
        <w:rPr>
          <w:color w:val="auto"/>
          <w:highlight w:val="yellow"/>
        </w:rPr>
        <w:t xml:space="preserve"> the</w:t>
      </w:r>
      <w:r w:rsidRPr="00AB2539">
        <w:rPr>
          <w:color w:val="auto"/>
          <w:highlight w:val="yellow"/>
        </w:rPr>
        <w:t xml:space="preserve"> top. Then click </w:t>
      </w:r>
      <w:r w:rsidRPr="00AB2539">
        <w:rPr>
          <w:b/>
          <w:bCs/>
          <w:color w:val="auto"/>
          <w:highlight w:val="yellow"/>
        </w:rPr>
        <w:t>Z Projec</w:t>
      </w:r>
      <w:r w:rsidR="00A33A30" w:rsidRPr="00AB2539">
        <w:rPr>
          <w:b/>
          <w:bCs/>
          <w:color w:val="auto"/>
          <w:highlight w:val="yellow"/>
        </w:rPr>
        <w:t>t</w:t>
      </w:r>
      <w:r w:rsidR="007046AC">
        <w:rPr>
          <w:b/>
          <w:bCs/>
          <w:color w:val="auto"/>
          <w:highlight w:val="yellow"/>
        </w:rPr>
        <w:t xml:space="preserve">. </w:t>
      </w:r>
      <w:r w:rsidRPr="00AB2539">
        <w:rPr>
          <w:color w:val="auto"/>
          <w:highlight w:val="yellow"/>
        </w:rPr>
        <w:t xml:space="preserve">Select </w:t>
      </w:r>
      <w:r w:rsidRPr="00AB2539">
        <w:rPr>
          <w:b/>
          <w:bCs/>
          <w:color w:val="auto"/>
          <w:highlight w:val="yellow"/>
        </w:rPr>
        <w:t>Max Intensity</w:t>
      </w:r>
      <w:r w:rsidRPr="00AB2539">
        <w:rPr>
          <w:color w:val="auto"/>
          <w:highlight w:val="yellow"/>
        </w:rPr>
        <w:t xml:space="preserve"> from the </w:t>
      </w:r>
      <w:r w:rsidRPr="00AB2539">
        <w:rPr>
          <w:b/>
          <w:bCs/>
          <w:color w:val="auto"/>
          <w:highlight w:val="yellow"/>
        </w:rPr>
        <w:t>Projection Type</w:t>
      </w:r>
      <w:r w:rsidRPr="00AB2539">
        <w:rPr>
          <w:highlight w:val="yellow"/>
        </w:rPr>
        <w:t xml:space="preserve"> </w:t>
      </w:r>
      <w:r w:rsidRPr="00AB2539">
        <w:rPr>
          <w:color w:val="auto"/>
          <w:highlight w:val="yellow"/>
        </w:rPr>
        <w:t>dropdown menu</w:t>
      </w:r>
      <w:r w:rsidR="00D2319A" w:rsidRPr="00AB2539">
        <w:rPr>
          <w:color w:val="auto"/>
          <w:highlight w:val="yellow"/>
        </w:rPr>
        <w:t xml:space="preserve">, </w:t>
      </w:r>
      <w:r w:rsidR="00D2319A" w:rsidRPr="00AB2539">
        <w:rPr>
          <w:highlight w:val="yellow"/>
        </w:rPr>
        <w:t>p</w:t>
      </w:r>
      <w:r w:rsidR="003A1149" w:rsidRPr="00AB2539">
        <w:rPr>
          <w:highlight w:val="yellow"/>
        </w:rPr>
        <w:t xml:space="preserve">ress </w:t>
      </w:r>
      <w:r w:rsidR="003A1149" w:rsidRPr="00AB2539">
        <w:rPr>
          <w:b/>
          <w:bCs/>
          <w:highlight w:val="yellow"/>
        </w:rPr>
        <w:t>O</w:t>
      </w:r>
      <w:r w:rsidR="007046AC" w:rsidRPr="00EB0961">
        <w:rPr>
          <w:highlight w:val="yellow"/>
        </w:rPr>
        <w:t>K</w:t>
      </w:r>
      <w:r w:rsidR="003A1149" w:rsidRPr="00AB2539">
        <w:rPr>
          <w:highlight w:val="yellow"/>
        </w:rPr>
        <w:t xml:space="preserve"> and save the file.</w:t>
      </w:r>
    </w:p>
    <w:p w14:paraId="2838BEBE" w14:textId="77777777" w:rsidR="00C87719" w:rsidRPr="00AB2539" w:rsidRDefault="00C87719" w:rsidP="00AB2539">
      <w:pPr>
        <w:pStyle w:val="NormalWeb"/>
        <w:widowControl/>
        <w:spacing w:before="0" w:beforeAutospacing="0" w:after="0" w:afterAutospacing="0"/>
        <w:contextualSpacing/>
        <w:rPr>
          <w:color w:val="auto"/>
          <w:highlight w:val="yellow"/>
        </w:rPr>
      </w:pPr>
    </w:p>
    <w:p w14:paraId="4225076C" w14:textId="18D47B7B" w:rsidR="003168CF" w:rsidRPr="00AB2539" w:rsidRDefault="00E25AE0" w:rsidP="00AB2539">
      <w:pPr>
        <w:pStyle w:val="NormalWeb"/>
        <w:widowControl/>
        <w:numPr>
          <w:ilvl w:val="2"/>
          <w:numId w:val="18"/>
        </w:numPr>
        <w:spacing w:before="0" w:beforeAutospacing="0" w:after="0" w:afterAutospacing="0"/>
        <w:contextualSpacing/>
        <w:rPr>
          <w:color w:val="auto"/>
          <w:highlight w:val="yellow"/>
        </w:rPr>
      </w:pPr>
      <w:r w:rsidRPr="00AB2539">
        <w:rPr>
          <w:highlight w:val="yellow"/>
        </w:rPr>
        <w:t xml:space="preserve">Create </w:t>
      </w:r>
      <w:r w:rsidR="007D3C68" w:rsidRPr="00AB2539">
        <w:rPr>
          <w:highlight w:val="yellow"/>
        </w:rPr>
        <w:t>an RGB image us</w:t>
      </w:r>
      <w:r w:rsidR="005E124C" w:rsidRPr="00AB2539">
        <w:rPr>
          <w:highlight w:val="yellow"/>
        </w:rPr>
        <w:t>ing</w:t>
      </w:r>
      <w:r w:rsidR="007D3C68" w:rsidRPr="00AB2539">
        <w:rPr>
          <w:highlight w:val="yellow"/>
        </w:rPr>
        <w:t xml:space="preserve"> the single </w:t>
      </w:r>
      <w:r w:rsidR="00721934">
        <w:rPr>
          <w:highlight w:val="yellow"/>
        </w:rPr>
        <w:t>z-stack</w:t>
      </w:r>
      <w:r w:rsidR="007D3C68" w:rsidRPr="00AB2539">
        <w:rPr>
          <w:highlight w:val="yellow"/>
        </w:rPr>
        <w:t xml:space="preserve"> image file created in the step above with the desire</w:t>
      </w:r>
      <w:r w:rsidR="007046AC">
        <w:rPr>
          <w:highlight w:val="yellow"/>
        </w:rPr>
        <w:t>d</w:t>
      </w:r>
      <w:r w:rsidR="007D3C68" w:rsidRPr="00AB2539">
        <w:rPr>
          <w:highlight w:val="yellow"/>
        </w:rPr>
        <w:t xml:space="preserve"> </w:t>
      </w:r>
      <w:proofErr w:type="spellStart"/>
      <w:r w:rsidR="00773D46" w:rsidRPr="00AB2539">
        <w:rPr>
          <w:highlight w:val="yellow"/>
        </w:rPr>
        <w:t>pseudocolor</w:t>
      </w:r>
      <w:proofErr w:type="spellEnd"/>
      <w:r w:rsidR="00A11BC1" w:rsidRPr="00AB2539">
        <w:rPr>
          <w:highlight w:val="yellow"/>
        </w:rPr>
        <w:t xml:space="preserve"> s</w:t>
      </w:r>
      <w:r w:rsidR="007D3C68" w:rsidRPr="00AB2539">
        <w:rPr>
          <w:highlight w:val="yellow"/>
        </w:rPr>
        <w:t xml:space="preserve">electing </w:t>
      </w:r>
      <w:r w:rsidR="007D3C68" w:rsidRPr="00AB2539">
        <w:rPr>
          <w:b/>
          <w:bCs/>
          <w:highlight w:val="yellow"/>
        </w:rPr>
        <w:t>Color</w:t>
      </w:r>
      <w:r w:rsidR="007D3C68" w:rsidRPr="00AB2539">
        <w:rPr>
          <w:highlight w:val="yellow"/>
        </w:rPr>
        <w:t xml:space="preserve"> from the </w:t>
      </w:r>
      <w:r w:rsidR="007D3C68" w:rsidRPr="00AB2539">
        <w:rPr>
          <w:b/>
          <w:bCs/>
          <w:highlight w:val="yellow"/>
        </w:rPr>
        <w:t>Image</w:t>
      </w:r>
      <w:r w:rsidR="007D3C68" w:rsidRPr="00AB2539">
        <w:rPr>
          <w:highlight w:val="yellow"/>
        </w:rPr>
        <w:t xml:space="preserve"> menu at the top. Then click </w:t>
      </w:r>
      <w:r w:rsidR="007046AC">
        <w:rPr>
          <w:highlight w:val="yellow"/>
        </w:rPr>
        <w:t xml:space="preserve">on </w:t>
      </w:r>
      <w:r w:rsidR="007D3C68" w:rsidRPr="00AB2539">
        <w:rPr>
          <w:b/>
          <w:bCs/>
          <w:highlight w:val="yellow"/>
        </w:rPr>
        <w:t>Merge Channels</w:t>
      </w:r>
      <w:r w:rsidR="007D3C68" w:rsidRPr="008348CD">
        <w:rPr>
          <w:highlight w:val="yellow"/>
        </w:rPr>
        <w:t>.</w:t>
      </w:r>
      <w:r w:rsidR="007D3C68" w:rsidRPr="00AB2539">
        <w:rPr>
          <w:highlight w:val="yellow"/>
        </w:rPr>
        <w:t xml:space="preserve"> Set the corresponding image to the desire color channel from the dropdown menu. Uncheck the box </w:t>
      </w:r>
      <w:r w:rsidR="007D3C68" w:rsidRPr="00AB2539">
        <w:rPr>
          <w:b/>
          <w:bCs/>
          <w:highlight w:val="yellow"/>
        </w:rPr>
        <w:t>Create Composite</w:t>
      </w:r>
      <w:r w:rsidR="007046AC">
        <w:rPr>
          <w:highlight w:val="yellow"/>
        </w:rPr>
        <w:t>,</w:t>
      </w:r>
      <w:r w:rsidR="00A11BC1" w:rsidRPr="00AB2539">
        <w:rPr>
          <w:highlight w:val="yellow"/>
        </w:rPr>
        <w:t xml:space="preserve"> p</w:t>
      </w:r>
      <w:r w:rsidR="007D3C68" w:rsidRPr="00AB2539">
        <w:rPr>
          <w:highlight w:val="yellow"/>
        </w:rPr>
        <w:t xml:space="preserve">ress </w:t>
      </w:r>
      <w:r w:rsidR="007D3C68" w:rsidRPr="00AB2539">
        <w:rPr>
          <w:b/>
          <w:bCs/>
          <w:highlight w:val="yellow"/>
        </w:rPr>
        <w:t>OK</w:t>
      </w:r>
      <w:r w:rsidR="007D3C68" w:rsidRPr="00AB2539">
        <w:rPr>
          <w:highlight w:val="yellow"/>
        </w:rPr>
        <w:t xml:space="preserve"> and save the file (see </w:t>
      </w:r>
      <w:r w:rsidR="001A6CC3" w:rsidRPr="00AB2539">
        <w:rPr>
          <w:b/>
          <w:bCs/>
          <w:highlight w:val="yellow"/>
        </w:rPr>
        <w:t xml:space="preserve">Figure </w:t>
      </w:r>
      <w:r w:rsidR="00E45BD9" w:rsidRPr="00AB2539">
        <w:rPr>
          <w:b/>
          <w:bCs/>
          <w:highlight w:val="yellow"/>
        </w:rPr>
        <w:t>4</w:t>
      </w:r>
      <w:r w:rsidR="001A6CC3" w:rsidRPr="00AB2539">
        <w:rPr>
          <w:highlight w:val="yellow"/>
        </w:rPr>
        <w:t>)</w:t>
      </w:r>
      <w:r w:rsidR="003168CF" w:rsidRPr="00AB2539">
        <w:rPr>
          <w:highlight w:val="yellow"/>
        </w:rPr>
        <w:t>.</w:t>
      </w:r>
    </w:p>
    <w:p w14:paraId="0A718B1E" w14:textId="77777777" w:rsidR="00C87719" w:rsidRPr="00AB2539" w:rsidRDefault="00C87719" w:rsidP="00AB2539">
      <w:pPr>
        <w:pStyle w:val="NormalWeb"/>
        <w:widowControl/>
        <w:spacing w:before="0" w:beforeAutospacing="0" w:after="0" w:afterAutospacing="0"/>
        <w:contextualSpacing/>
        <w:rPr>
          <w:color w:val="auto"/>
          <w:highlight w:val="yellow"/>
        </w:rPr>
      </w:pPr>
    </w:p>
    <w:p w14:paraId="584A6B4E" w14:textId="3939CABD" w:rsidR="00E25AE0" w:rsidRPr="00AB2539" w:rsidRDefault="00E25AE0" w:rsidP="00AB2539">
      <w:pPr>
        <w:pStyle w:val="NormalWeb"/>
        <w:widowControl/>
        <w:numPr>
          <w:ilvl w:val="2"/>
          <w:numId w:val="18"/>
        </w:numPr>
        <w:spacing w:before="0" w:beforeAutospacing="0" w:after="0" w:afterAutospacing="0"/>
        <w:contextualSpacing/>
        <w:rPr>
          <w:highlight w:val="yellow"/>
        </w:rPr>
      </w:pPr>
      <w:r w:rsidRPr="00AB2539">
        <w:rPr>
          <w:highlight w:val="yellow"/>
        </w:rPr>
        <w:t xml:space="preserve">If </w:t>
      </w:r>
      <w:r w:rsidR="006D6A87" w:rsidRPr="00AB2539">
        <w:rPr>
          <w:highlight w:val="yellow"/>
        </w:rPr>
        <w:t>there is more than one channel image, repeat the steps 8.2.1</w:t>
      </w:r>
      <w:r w:rsidR="007046AC" w:rsidRPr="007046AC">
        <w:rPr>
          <w:highlight w:val="yellow"/>
        </w:rPr>
        <w:t>‒</w:t>
      </w:r>
      <w:r w:rsidR="006D6A87" w:rsidRPr="00AB2539">
        <w:rPr>
          <w:highlight w:val="yellow"/>
        </w:rPr>
        <w:t xml:space="preserve">8.2.5. Create an RGB image file following the step 8.2.6, opening at least two image </w:t>
      </w:r>
      <w:proofErr w:type="gramStart"/>
      <w:r w:rsidR="006D6A87" w:rsidRPr="00AB2539">
        <w:rPr>
          <w:highlight w:val="yellow"/>
        </w:rPr>
        <w:t>files</w:t>
      </w:r>
      <w:proofErr w:type="gramEnd"/>
      <w:r w:rsidR="006D6A87" w:rsidRPr="00AB2539">
        <w:rPr>
          <w:highlight w:val="yellow"/>
        </w:rPr>
        <w:t xml:space="preserve"> and selecting different color channels for each image file (see </w:t>
      </w:r>
      <w:r w:rsidRPr="00AB2539">
        <w:rPr>
          <w:b/>
          <w:bCs/>
          <w:highlight w:val="yellow"/>
        </w:rPr>
        <w:t xml:space="preserve">Figure </w:t>
      </w:r>
      <w:r w:rsidR="00D30CF4" w:rsidRPr="00AB2539">
        <w:rPr>
          <w:b/>
          <w:bCs/>
          <w:highlight w:val="yellow"/>
        </w:rPr>
        <w:t>4</w:t>
      </w:r>
      <w:r w:rsidRPr="00AB2539">
        <w:rPr>
          <w:highlight w:val="yellow"/>
        </w:rPr>
        <w:t>).</w:t>
      </w:r>
    </w:p>
    <w:bookmarkEnd w:id="0"/>
    <w:p w14:paraId="496AB0B4" w14:textId="77777777" w:rsidR="001C1E49" w:rsidRPr="00AB2539" w:rsidRDefault="001C1E49" w:rsidP="00AB2539">
      <w:pPr>
        <w:pStyle w:val="NormalWeb"/>
        <w:widowControl/>
        <w:spacing w:before="0" w:beforeAutospacing="0" w:after="0" w:afterAutospacing="0"/>
        <w:contextualSpacing/>
        <w:rPr>
          <w:b/>
        </w:rPr>
      </w:pPr>
    </w:p>
    <w:p w14:paraId="3E79FCA8" w14:textId="60758055" w:rsidR="006305D7" w:rsidRPr="00AB2539" w:rsidRDefault="006305D7" w:rsidP="00AB2539">
      <w:pPr>
        <w:pStyle w:val="NormalWeb"/>
        <w:widowControl/>
        <w:spacing w:before="0" w:beforeAutospacing="0" w:after="0" w:afterAutospacing="0"/>
        <w:contextualSpacing/>
        <w:rPr>
          <w:color w:val="808080"/>
        </w:rPr>
      </w:pPr>
      <w:r w:rsidRPr="00AB2539">
        <w:rPr>
          <w:b/>
        </w:rPr>
        <w:t>REPRESENTATIVE RESULTS</w:t>
      </w:r>
      <w:r w:rsidR="00EF1462" w:rsidRPr="00AB2539">
        <w:rPr>
          <w:b/>
        </w:rPr>
        <w:t>:</w:t>
      </w:r>
      <w:r w:rsidR="00EB0961">
        <w:rPr>
          <w:b/>
        </w:rPr>
        <w:t xml:space="preserve"> </w:t>
      </w:r>
    </w:p>
    <w:p w14:paraId="7CD9ED6F" w14:textId="18206A73" w:rsidR="00E25AE0" w:rsidRPr="00AB2539" w:rsidRDefault="0022525F" w:rsidP="00AB2539">
      <w:pPr>
        <w:widowControl/>
        <w:contextualSpacing/>
      </w:pPr>
      <w:r w:rsidRPr="00AB2539">
        <w:t xml:space="preserve">The methods described above were applied to quantify newborn cells in adult rat hippocampus after voluntary physical activity, in contrast with a control group without any extra physical activity. We used the postnatal rat hippocampus as a positive control. </w:t>
      </w:r>
      <w:r w:rsidR="00A33A30" w:rsidRPr="00AB2539">
        <w:t>M</w:t>
      </w:r>
      <w:r w:rsidR="00DB0FB1" w:rsidRPr="00AB2539">
        <w:t>ale</w:t>
      </w:r>
      <w:r w:rsidRPr="00AB2539">
        <w:t xml:space="preserve"> rats</w:t>
      </w:r>
      <w:r w:rsidR="00A33A30" w:rsidRPr="00AB2539">
        <w:t xml:space="preserve"> 3 months of age</w:t>
      </w:r>
      <w:r w:rsidRPr="00AB2539">
        <w:t xml:space="preserve"> were under a voluntary physical activity protocol </w:t>
      </w:r>
      <w:r w:rsidR="00D30663" w:rsidRPr="00AB2539">
        <w:t xml:space="preserve">(endless wheel) </w:t>
      </w:r>
      <w:r w:rsidRPr="00AB2539">
        <w:t>for seven days</w:t>
      </w:r>
      <w:r w:rsidR="00D30663" w:rsidRPr="00AB2539">
        <w:t>.</w:t>
      </w:r>
      <w:r w:rsidRPr="00AB2539">
        <w:t xml:space="preserve"> </w:t>
      </w:r>
      <w:r w:rsidR="00D30663" w:rsidRPr="00AB2539">
        <w:t xml:space="preserve">On day 6, rats were injected with </w:t>
      </w:r>
      <w:proofErr w:type="spellStart"/>
      <w:r w:rsidR="00D30663" w:rsidRPr="00AB2539">
        <w:t>BrdU</w:t>
      </w:r>
      <w:proofErr w:type="spellEnd"/>
      <w:r w:rsidR="00D30663" w:rsidRPr="00AB2539">
        <w:t xml:space="preserve"> (s</w:t>
      </w:r>
      <w:r w:rsidR="007046AC">
        <w:t xml:space="preserve">ection </w:t>
      </w:r>
      <w:r w:rsidR="00D30663" w:rsidRPr="00AB2539">
        <w:t xml:space="preserve">2), and every 12 h </w:t>
      </w:r>
      <w:r w:rsidR="00A33A30" w:rsidRPr="00AB2539">
        <w:t xml:space="preserve">after </w:t>
      </w:r>
      <w:r w:rsidR="00D30663" w:rsidRPr="00AB2539">
        <w:t xml:space="preserve">until three </w:t>
      </w:r>
      <w:r w:rsidR="00A33A30" w:rsidRPr="00AB2539">
        <w:t xml:space="preserve">complete </w:t>
      </w:r>
      <w:r w:rsidR="00D30663" w:rsidRPr="00AB2539">
        <w:t>injections</w:t>
      </w:r>
      <w:r w:rsidRPr="00AB2539">
        <w:t xml:space="preserve">. </w:t>
      </w:r>
      <w:r w:rsidR="00C54F88" w:rsidRPr="00AB2539">
        <w:t>To complete three</w:t>
      </w:r>
      <w:r w:rsidR="000530A2" w:rsidRPr="00AB2539">
        <w:t xml:space="preserve"> cell cycle divisions, </w:t>
      </w:r>
      <w:r w:rsidRPr="00AB2539">
        <w:t xml:space="preserve">the animals were </w:t>
      </w:r>
      <w:proofErr w:type="spellStart"/>
      <w:r w:rsidRPr="00AB2539">
        <w:t>transcardially</w:t>
      </w:r>
      <w:proofErr w:type="spellEnd"/>
      <w:r w:rsidRPr="00AB2539">
        <w:t xml:space="preserve"> perfused</w:t>
      </w:r>
      <w:r w:rsidR="00D30663" w:rsidRPr="00AB2539">
        <w:t xml:space="preserve"> (s</w:t>
      </w:r>
      <w:r w:rsidR="007046AC">
        <w:t>ection</w:t>
      </w:r>
      <w:r w:rsidR="00D30663" w:rsidRPr="00AB2539">
        <w:t xml:space="preserve"> 3</w:t>
      </w:r>
      <w:r w:rsidR="007046AC">
        <w:t xml:space="preserve">) </w:t>
      </w:r>
      <w:r w:rsidR="007046AC" w:rsidRPr="00AB2539">
        <w:t xml:space="preserve">8 h after the last </w:t>
      </w:r>
      <w:proofErr w:type="spellStart"/>
      <w:r w:rsidR="007046AC" w:rsidRPr="00AB2539">
        <w:t>BrdU</w:t>
      </w:r>
      <w:proofErr w:type="spellEnd"/>
      <w:r w:rsidR="007046AC" w:rsidRPr="00AB2539">
        <w:t xml:space="preserve"> injection</w:t>
      </w:r>
      <w:r w:rsidRPr="00AB2539">
        <w:t xml:space="preserve">. The same procedure was used </w:t>
      </w:r>
      <w:r w:rsidR="007046AC">
        <w:t>on</w:t>
      </w:r>
      <w:r w:rsidRPr="00AB2539">
        <w:t xml:space="preserve"> </w:t>
      </w:r>
      <w:r w:rsidR="00AC4161" w:rsidRPr="00AB2539">
        <w:t>three-month old</w:t>
      </w:r>
      <w:r w:rsidRPr="00AB2539">
        <w:t xml:space="preserve"> rats w</w:t>
      </w:r>
      <w:r w:rsidR="00806027">
        <w:t xml:space="preserve">hich did not </w:t>
      </w:r>
      <w:r w:rsidR="00806027">
        <w:lastRenderedPageBreak/>
        <w:t>undergo</w:t>
      </w:r>
      <w:r w:rsidRPr="00AB2539">
        <w:t xml:space="preserve"> physical activity </w:t>
      </w:r>
      <w:r w:rsidR="00A33A30" w:rsidRPr="00AB2539">
        <w:t>to be used as a</w:t>
      </w:r>
      <w:r w:rsidRPr="00AB2539">
        <w:t xml:space="preserve"> comparative control. As a positive control</w:t>
      </w:r>
      <w:r w:rsidR="008A7826" w:rsidRPr="00AB2539">
        <w:t xml:space="preserve">, one-day-old rat pups </w:t>
      </w:r>
      <w:r w:rsidR="007046AC">
        <w:t>(p</w:t>
      </w:r>
      <w:r w:rsidR="008A7826" w:rsidRPr="00AB2539">
        <w:t xml:space="preserve">ostnatal </w:t>
      </w:r>
      <w:r w:rsidR="007046AC">
        <w:t>d</w:t>
      </w:r>
      <w:r w:rsidR="008A7826" w:rsidRPr="00AB2539">
        <w:t xml:space="preserve">ay 1) were injected with </w:t>
      </w:r>
      <w:proofErr w:type="spellStart"/>
      <w:r w:rsidR="008A7826" w:rsidRPr="00AB2539">
        <w:t>BrdU</w:t>
      </w:r>
      <w:proofErr w:type="spellEnd"/>
      <w:r w:rsidR="008A7826" w:rsidRPr="00AB2539">
        <w:t xml:space="preserve"> one time, as described in </w:t>
      </w:r>
      <w:r w:rsidR="007046AC">
        <w:t>section</w:t>
      </w:r>
      <w:r w:rsidR="008A7826" w:rsidRPr="00AB2539">
        <w:t xml:space="preserve"> 2 above. One day after the injection (</w:t>
      </w:r>
      <w:r w:rsidR="007046AC" w:rsidRPr="00AB2539">
        <w:t>postnatal da</w:t>
      </w:r>
      <w:r w:rsidR="008A7826" w:rsidRPr="00AB2539">
        <w:t xml:space="preserve">y 2), pups </w:t>
      </w:r>
      <w:r w:rsidR="00A33A30" w:rsidRPr="00AB2539">
        <w:t>were euthanized</w:t>
      </w:r>
      <w:r w:rsidR="005E124C" w:rsidRPr="00AB2539">
        <w:t>,</w:t>
      </w:r>
      <w:r w:rsidR="008A7826" w:rsidRPr="00AB2539">
        <w:t xml:space="preserve"> and their heads were immersed in </w:t>
      </w:r>
      <w:r w:rsidR="00095750" w:rsidRPr="00AB2539">
        <w:t>PFA solution</w:t>
      </w:r>
      <w:r w:rsidRPr="00AB2539">
        <w:t xml:space="preserve">, as described in </w:t>
      </w:r>
      <w:r w:rsidR="007046AC">
        <w:t>s</w:t>
      </w:r>
      <w:r w:rsidRPr="00AB2539">
        <w:t xml:space="preserve">tep 3.4. Adult rats were deeply anesthetized (step 3.1), </w:t>
      </w:r>
      <w:proofErr w:type="spellStart"/>
      <w:r w:rsidRPr="00AB2539">
        <w:t>transcardially</w:t>
      </w:r>
      <w:proofErr w:type="spellEnd"/>
      <w:r w:rsidRPr="00AB2539">
        <w:t xml:space="preserve"> perfused</w:t>
      </w:r>
      <w:r w:rsidR="005E124C" w:rsidRPr="00AB2539">
        <w:t>,</w:t>
      </w:r>
      <w:r w:rsidRPr="00AB2539">
        <w:t xml:space="preserve"> as described in </w:t>
      </w:r>
      <w:r w:rsidR="007046AC">
        <w:t>s</w:t>
      </w:r>
      <w:r w:rsidR="007046AC" w:rsidRPr="00AB2539">
        <w:t xml:space="preserve">tep </w:t>
      </w:r>
      <w:r w:rsidRPr="00AB2539">
        <w:t>3.2</w:t>
      </w:r>
      <w:r w:rsidR="00327618" w:rsidRPr="00AB2539">
        <w:t>. B</w:t>
      </w:r>
      <w:r w:rsidRPr="00AB2539">
        <w:t>rains were dissected and post-fixated (</w:t>
      </w:r>
      <w:r w:rsidR="007046AC">
        <w:t>s</w:t>
      </w:r>
      <w:r w:rsidRPr="00AB2539">
        <w:t>tep 3.4). Brains were cut in</w:t>
      </w:r>
      <w:r w:rsidR="007046AC">
        <w:t>to</w:t>
      </w:r>
      <w:r w:rsidRPr="00AB2539">
        <w:t xml:space="preserve"> 40 </w:t>
      </w:r>
      <w:proofErr w:type="spellStart"/>
      <w:r w:rsidRPr="00AB2539">
        <w:t>μm</w:t>
      </w:r>
      <w:proofErr w:type="spellEnd"/>
      <w:r w:rsidRPr="00AB2539">
        <w:t xml:space="preserve"> coronal sections (step 3.5). Sections were processed for </w:t>
      </w:r>
      <w:proofErr w:type="spellStart"/>
      <w:r w:rsidRPr="00AB2539">
        <w:t>BrdU</w:t>
      </w:r>
      <w:proofErr w:type="spellEnd"/>
      <w:r w:rsidRPr="00AB2539">
        <w:t xml:space="preserve"> immunohistochemistry, as described in </w:t>
      </w:r>
      <w:r w:rsidR="007046AC">
        <w:t>s</w:t>
      </w:r>
      <w:r w:rsidRPr="00AB2539">
        <w:t>tep 4.</w:t>
      </w:r>
      <w:r w:rsidR="00EB0961">
        <w:t xml:space="preserve"> </w:t>
      </w:r>
    </w:p>
    <w:p w14:paraId="642C20AE" w14:textId="77777777" w:rsidR="0022525F" w:rsidRPr="00AB2539" w:rsidRDefault="0022525F" w:rsidP="00AB2539">
      <w:pPr>
        <w:widowControl/>
        <w:contextualSpacing/>
      </w:pPr>
    </w:p>
    <w:p w14:paraId="2D10AAA9" w14:textId="20163A40" w:rsidR="009A144E" w:rsidRPr="00AB2539" w:rsidRDefault="007229F0" w:rsidP="00AB2539">
      <w:pPr>
        <w:widowControl/>
        <w:contextualSpacing/>
      </w:pPr>
      <w:r w:rsidRPr="00AB2539">
        <w:t>We used horseradish peroxidase reaction with DAB IHC for staining</w:t>
      </w:r>
      <w:r w:rsidR="00DB0FB1" w:rsidRPr="00AB2539">
        <w:t xml:space="preserve"> (step 4.1)</w:t>
      </w:r>
      <w:r w:rsidRPr="00AB2539">
        <w:t xml:space="preserve"> and</w:t>
      </w:r>
      <w:r w:rsidR="009A144E" w:rsidRPr="00AB2539">
        <w:t xml:space="preserve"> countin</w:t>
      </w:r>
      <w:r w:rsidR="00B23B30" w:rsidRPr="00AB2539">
        <w:t>g</w:t>
      </w:r>
      <w:r w:rsidR="009A144E" w:rsidRPr="00AB2539">
        <w:t xml:space="preserve"> </w:t>
      </w:r>
      <w:proofErr w:type="spellStart"/>
      <w:r w:rsidR="009A144E" w:rsidRPr="00AB2539">
        <w:t>BrdU</w:t>
      </w:r>
      <w:proofErr w:type="spellEnd"/>
      <w:r w:rsidR="009A144E" w:rsidRPr="00AB2539">
        <w:t xml:space="preserve">-positive cells in DG. </w:t>
      </w:r>
      <w:r w:rsidR="00E25AE0" w:rsidRPr="00AB2539">
        <w:rPr>
          <w:b/>
          <w:bCs/>
        </w:rPr>
        <w:t xml:space="preserve">Figure </w:t>
      </w:r>
      <w:r w:rsidR="00E45BD9" w:rsidRPr="00AB2539">
        <w:rPr>
          <w:b/>
          <w:bCs/>
        </w:rPr>
        <w:t>5</w:t>
      </w:r>
      <w:r w:rsidR="009A144E" w:rsidRPr="00AB2539">
        <w:t xml:space="preserve"> shows a DG section with </w:t>
      </w:r>
      <w:proofErr w:type="spellStart"/>
      <w:r w:rsidR="00503712" w:rsidRPr="00AB2539">
        <w:t>BrdU</w:t>
      </w:r>
      <w:proofErr w:type="spellEnd"/>
      <w:r w:rsidR="007046AC">
        <w:t>-</w:t>
      </w:r>
      <w:r w:rsidRPr="00AB2539">
        <w:t xml:space="preserve">labeled </w:t>
      </w:r>
      <w:r w:rsidR="009A144E" w:rsidRPr="00AB2539">
        <w:t>cells</w:t>
      </w:r>
      <w:r w:rsidRPr="00AB2539">
        <w:t xml:space="preserve">. </w:t>
      </w:r>
      <w:r w:rsidR="005E124C" w:rsidRPr="00AB2539">
        <w:rPr>
          <w:b/>
          <w:bCs/>
        </w:rPr>
        <w:t>F</w:t>
      </w:r>
      <w:r w:rsidR="00503712" w:rsidRPr="00AB2539">
        <w:rPr>
          <w:b/>
          <w:bCs/>
        </w:rPr>
        <w:t>igure 5</w:t>
      </w:r>
      <w:proofErr w:type="gramStart"/>
      <w:r w:rsidR="00503712" w:rsidRPr="00AB2539">
        <w:rPr>
          <w:b/>
          <w:bCs/>
        </w:rPr>
        <w:t>C</w:t>
      </w:r>
      <w:r w:rsidR="00A33A30" w:rsidRPr="00AB2539">
        <w:rPr>
          <w:b/>
          <w:bCs/>
        </w:rPr>
        <w:t>,</w:t>
      </w:r>
      <w:r w:rsidR="00503712" w:rsidRPr="00AB2539">
        <w:rPr>
          <w:b/>
          <w:bCs/>
        </w:rPr>
        <w:t>D</w:t>
      </w:r>
      <w:proofErr w:type="gramEnd"/>
      <w:r w:rsidR="00C4688B" w:rsidRPr="00AB2539">
        <w:t xml:space="preserve"> </w:t>
      </w:r>
      <w:r w:rsidR="009A144E" w:rsidRPr="00AB2539">
        <w:t xml:space="preserve">shows a representative part of </w:t>
      </w:r>
      <w:r w:rsidRPr="00AB2539">
        <w:t xml:space="preserve">the </w:t>
      </w:r>
      <w:r w:rsidR="009A144E" w:rsidRPr="00AB2539">
        <w:t>DG section at higher magnification. Labeled cells showed intense dark staining</w:t>
      </w:r>
      <w:r w:rsidR="005E124C" w:rsidRPr="00AB2539">
        <w:t>,</w:t>
      </w:r>
      <w:r w:rsidR="00503712" w:rsidRPr="00AB2539">
        <w:t xml:space="preserve"> </w:t>
      </w:r>
      <w:r w:rsidR="00327618" w:rsidRPr="00AB2539">
        <w:t>which were</w:t>
      </w:r>
      <w:r w:rsidR="00503712" w:rsidRPr="00AB2539">
        <w:t xml:space="preserve"> marked with arrow</w:t>
      </w:r>
      <w:r w:rsidR="005E124C" w:rsidRPr="00AB2539">
        <w:t>s</w:t>
      </w:r>
      <w:r w:rsidR="009A144E" w:rsidRPr="00AB2539">
        <w:t xml:space="preserve">. </w:t>
      </w:r>
      <w:r w:rsidR="00503712" w:rsidRPr="00AB2539">
        <w:t>The inset</w:t>
      </w:r>
      <w:r w:rsidR="009A144E" w:rsidRPr="00AB2539">
        <w:t xml:space="preserve"> </w:t>
      </w:r>
      <w:r w:rsidR="007D7C58" w:rsidRPr="00AB2539">
        <w:t xml:space="preserve">shows </w:t>
      </w:r>
      <w:r w:rsidR="009A144E" w:rsidRPr="00AB2539">
        <w:t>the average numbers of labeled cells in the experimental</w:t>
      </w:r>
      <w:r w:rsidR="00B23B30" w:rsidRPr="00AB2539">
        <w:t xml:space="preserve"> and control</w:t>
      </w:r>
      <w:r w:rsidR="009A144E" w:rsidRPr="00AB2539">
        <w:t xml:space="preserve"> groups</w:t>
      </w:r>
      <w:r w:rsidR="008950FE" w:rsidRPr="00AB2539">
        <w:t xml:space="preserve"> (counted positive cells multiplied by six as described in </w:t>
      </w:r>
      <w:r w:rsidR="007046AC">
        <w:t>s</w:t>
      </w:r>
      <w:r w:rsidR="008950FE" w:rsidRPr="00AB2539">
        <w:t>tep 8.1)</w:t>
      </w:r>
      <w:r w:rsidR="009A144E" w:rsidRPr="00AB2539">
        <w:t xml:space="preserve">. </w:t>
      </w:r>
      <w:r w:rsidR="00B23B30" w:rsidRPr="00AB2539">
        <w:t xml:space="preserve">A </w:t>
      </w:r>
      <w:r w:rsidR="007046AC">
        <w:t>S</w:t>
      </w:r>
      <w:r w:rsidR="00B23B30" w:rsidRPr="00AB2539">
        <w:t>tudent</w:t>
      </w:r>
      <w:r w:rsidR="007046AC">
        <w:t>’s</w:t>
      </w:r>
      <w:r w:rsidR="00B23B30" w:rsidRPr="00AB2539">
        <w:t xml:space="preserve"> </w:t>
      </w:r>
      <w:r w:rsidR="007046AC">
        <w:t>t-</w:t>
      </w:r>
      <w:r w:rsidR="00B23B30" w:rsidRPr="00AB2539">
        <w:t>test</w:t>
      </w:r>
      <w:r w:rsidR="009A144E" w:rsidRPr="00AB2539">
        <w:t xml:space="preserve"> revealed </w:t>
      </w:r>
      <w:r w:rsidR="00B23B30" w:rsidRPr="00AB2539">
        <w:t xml:space="preserve">significance </w:t>
      </w:r>
      <w:r w:rsidR="009A144E" w:rsidRPr="00AB2539">
        <w:t xml:space="preserve">differences between the numbers of </w:t>
      </w:r>
      <w:proofErr w:type="spellStart"/>
      <w:r w:rsidR="009A144E" w:rsidRPr="00AB2539">
        <w:t>BrdU</w:t>
      </w:r>
      <w:proofErr w:type="spellEnd"/>
      <w:r w:rsidR="009A144E" w:rsidRPr="00AB2539">
        <w:t>-positive cells (</w:t>
      </w:r>
      <w:proofErr w:type="gramStart"/>
      <w:r w:rsidR="00B23B30" w:rsidRPr="00AB2539">
        <w:t>t</w:t>
      </w:r>
      <w:r w:rsidR="00B23B30" w:rsidRPr="00AB2539">
        <w:rPr>
          <w:vertAlign w:val="subscript"/>
        </w:rPr>
        <w:t>(</w:t>
      </w:r>
      <w:proofErr w:type="gramEnd"/>
      <w:r w:rsidR="00B23B30" w:rsidRPr="00AB2539">
        <w:rPr>
          <w:vertAlign w:val="subscript"/>
        </w:rPr>
        <w:t>10)</w:t>
      </w:r>
      <w:r w:rsidR="00B23B30" w:rsidRPr="00AB2539">
        <w:t xml:space="preserve"> = 2.704, </w:t>
      </w:r>
      <w:r w:rsidR="009A144E" w:rsidRPr="00AB2539">
        <w:t>p</w:t>
      </w:r>
      <w:r w:rsidR="00B23B30" w:rsidRPr="00AB2539">
        <w:t xml:space="preserve"> = </w:t>
      </w:r>
      <w:r w:rsidR="009A144E" w:rsidRPr="00AB2539">
        <w:t>0.0</w:t>
      </w:r>
      <w:r w:rsidR="00B23B30" w:rsidRPr="00AB2539">
        <w:t>222</w:t>
      </w:r>
      <w:r w:rsidR="009A144E" w:rsidRPr="00AB2539">
        <w:t xml:space="preserve">). The control group </w:t>
      </w:r>
      <w:r w:rsidR="00327618" w:rsidRPr="00AB2539">
        <w:t xml:space="preserve">that </w:t>
      </w:r>
      <w:r w:rsidR="008348CD">
        <w:t>did not undergo</w:t>
      </w:r>
      <w:r w:rsidR="00327618" w:rsidRPr="00AB2539">
        <w:t xml:space="preserve"> </w:t>
      </w:r>
      <w:r w:rsidR="00B23B30" w:rsidRPr="00AB2539">
        <w:t xml:space="preserve">physical activity </w:t>
      </w:r>
      <w:r w:rsidR="00327618" w:rsidRPr="00AB2539">
        <w:t xml:space="preserve">showed </w:t>
      </w:r>
      <w:r w:rsidR="00B23B30" w:rsidRPr="00AB2539">
        <w:t>2</w:t>
      </w:r>
      <w:r w:rsidR="007046AC">
        <w:t>,</w:t>
      </w:r>
      <w:r w:rsidR="00B23B30" w:rsidRPr="00AB2539">
        <w:t>040 ±</w:t>
      </w:r>
      <w:r w:rsidR="00327618" w:rsidRPr="00AB2539">
        <w:t xml:space="preserve"> </w:t>
      </w:r>
      <w:r w:rsidR="00B23B30" w:rsidRPr="00AB2539">
        <w:t xml:space="preserve">314 cells (n = 6 rats). </w:t>
      </w:r>
      <w:r w:rsidR="005E124C" w:rsidRPr="00AB2539">
        <w:t>In comparison,</w:t>
      </w:r>
      <w:r w:rsidR="005E124C" w:rsidRPr="00AB2539" w:rsidDel="005E124C">
        <w:t xml:space="preserve"> </w:t>
      </w:r>
      <w:r w:rsidR="00327618" w:rsidRPr="00AB2539">
        <w:t>t</w:t>
      </w:r>
      <w:r w:rsidR="00B23B30" w:rsidRPr="00AB2539">
        <w:t xml:space="preserve">he physical activity group </w:t>
      </w:r>
      <w:r w:rsidRPr="00AB2539">
        <w:t>showed,</w:t>
      </w:r>
      <w:r w:rsidR="00B23B30" w:rsidRPr="00AB2539">
        <w:t xml:space="preserve"> </w:t>
      </w:r>
      <w:r w:rsidR="009A144E" w:rsidRPr="00AB2539">
        <w:t>on average</w:t>
      </w:r>
      <w:r w:rsidRPr="00AB2539">
        <w:t>,</w:t>
      </w:r>
      <w:r w:rsidR="009A144E" w:rsidRPr="00AB2539">
        <w:t xml:space="preserve"> </w:t>
      </w:r>
      <w:r w:rsidR="00B23B30" w:rsidRPr="00AB2539">
        <w:t>3</w:t>
      </w:r>
      <w:r w:rsidR="007046AC">
        <w:t>,</w:t>
      </w:r>
      <w:r w:rsidR="00B23B30" w:rsidRPr="00AB2539">
        <w:t>606</w:t>
      </w:r>
      <w:r w:rsidR="00B23B30" w:rsidRPr="00AB2539" w:rsidDel="00B23B30">
        <w:t xml:space="preserve"> </w:t>
      </w:r>
      <w:r w:rsidR="009A144E" w:rsidRPr="00AB2539">
        <w:t>±</w:t>
      </w:r>
      <w:r w:rsidR="00327618" w:rsidRPr="00AB2539">
        <w:t xml:space="preserve"> </w:t>
      </w:r>
      <w:r w:rsidR="00B23B30" w:rsidRPr="00AB2539">
        <w:t>486</w:t>
      </w:r>
      <w:r w:rsidR="009A144E" w:rsidRPr="00AB2539">
        <w:t xml:space="preserve"> </w:t>
      </w:r>
      <w:r w:rsidR="00B23B30" w:rsidRPr="00AB2539">
        <w:t xml:space="preserve">(n = 6 rats) </w:t>
      </w:r>
      <w:proofErr w:type="spellStart"/>
      <w:r w:rsidR="009A144E" w:rsidRPr="00AB2539">
        <w:t>BrdU</w:t>
      </w:r>
      <w:proofErr w:type="spellEnd"/>
      <w:r w:rsidR="009A144E" w:rsidRPr="00AB2539">
        <w:t>-positive cells</w:t>
      </w:r>
      <w:r w:rsidR="00B23B30" w:rsidRPr="00AB2539">
        <w:t>.</w:t>
      </w:r>
      <w:r w:rsidR="009A144E" w:rsidRPr="00AB2539">
        <w:t xml:space="preserve"> </w:t>
      </w:r>
      <w:r w:rsidR="00A33A30" w:rsidRPr="00AB2539">
        <w:t>As observed</w:t>
      </w:r>
      <w:r w:rsidR="00B23B30" w:rsidRPr="00AB2539">
        <w:t xml:space="preserve">, physical activity exposure </w:t>
      </w:r>
      <w:r w:rsidR="009A144E" w:rsidRPr="00AB2539">
        <w:t>increase</w:t>
      </w:r>
      <w:r w:rsidRPr="00AB2539">
        <w:t>s</w:t>
      </w:r>
      <w:r w:rsidR="009A144E" w:rsidRPr="00AB2539">
        <w:t xml:space="preserve"> </w:t>
      </w:r>
      <w:proofErr w:type="spellStart"/>
      <w:r w:rsidR="009A144E" w:rsidRPr="00AB2539">
        <w:t>BrdU</w:t>
      </w:r>
      <w:proofErr w:type="spellEnd"/>
      <w:r w:rsidR="009A144E" w:rsidRPr="00AB2539">
        <w:t>-positive cells</w:t>
      </w:r>
      <w:r w:rsidR="00B23B30" w:rsidRPr="00AB2539">
        <w:t>.</w:t>
      </w:r>
      <w:r w:rsidR="00266A35" w:rsidRPr="00AB2539">
        <w:t xml:space="preserve"> </w:t>
      </w:r>
      <w:r w:rsidR="00327618" w:rsidRPr="00AB2539">
        <w:t xml:space="preserve">Therefore, </w:t>
      </w:r>
      <w:r w:rsidR="007773DF" w:rsidRPr="00AB2539">
        <w:t>t</w:t>
      </w:r>
      <w:r w:rsidR="00266A35" w:rsidRPr="00AB2539">
        <w:t>hese results are consistent with other report</w:t>
      </w:r>
      <w:r w:rsidR="00327618" w:rsidRPr="00AB2539">
        <w:t>ed results</w:t>
      </w:r>
      <w:r w:rsidR="00266A35" w:rsidRPr="00AB2539">
        <w:t xml:space="preserve"> that show that physical activity increased cellular proliferation in </w:t>
      </w:r>
      <w:r w:rsidR="00887B84" w:rsidRPr="00AB2539">
        <w:t>the adult dentate gyrus</w:t>
      </w:r>
      <w:r w:rsidR="00BA1283" w:rsidRPr="00AB2539">
        <w:fldChar w:fldCharType="begin" w:fldLock="1"/>
      </w:r>
      <w:r w:rsidR="00383526" w:rsidRPr="00AB2539">
        <w:instrText>ADDIN CSL_CITATION {"citationItems":[{"id":"ITEM-1","itemData":{"DOI":"10.1002/cne.20493","ISSN":"00219967","abstract":"Voluntary exercise produces a dramatic increase in the number of bromodeoxyuridine (BrdU)-positive cells in the adult dentate gyrus (DG); however, it has never been determined whether this increase reflects neurogenic activity or some exercise-induced change in the metabolic processing of systemically injected BrdU. In these experiments, we show that 1) 200 mg/kg is a saturating dose for single injections of BrdU in both control and voluntary exercise animals; 2) there is significantly more cell labeling in animals that exercise when saturating doses of BrdU are employed; 3) high doses of BrdU do not affect the number, appearance, or distribution of labeled cells; 4) voluntary exercise leads to similar increases in the number of cells expressing Ki67, an intrinsic marker of cellular proliferation; 5) both dendritic length and complexity are significantly increased in the DG of animals that exercise; and 6) spine density is significantly greater on dendrites in the DG following voluntary exercise. This study demonstrates that exercise up-regulates neurogenic activity in the DG of adult rats, independently of any putative changes in altered BrdU metabolism, and that it also substantially alters the morphology of dentate granule cell dendrites. The dramatic changes in the Cytoarchitecture of the DG induced by voluntary exercise might underlie the enhancement of hippocampal long-term potentiation and hippocampal-dependent memory that our group has previously described. These results suggest that exercise may be an effective component of therapeutic regimes aimed at improving the functioning of individuals with neuropathologies that involve the degradation of cells in the hippocampus. © 2005 Wiley-Liss, Inc.","author":[{"dropping-particle":"","family":"Eadie","given":"Brennan D.","non-dropping-particle":"","parse-names":false,"suffix":""},{"dropping-particle":"","family":"Redila","given":"Van A.","non-dropping-particle":"","parse-names":false,"suffix":""},{"dropping-particle":"","family":"Christie","given":"Brian R.","non-dropping-particle":"","parse-names":false,"suffix":""}],"container-title":"Journal of Comparative Neurology","id":"ITEM-1","issue":"1","issued":{"date-parts":[["2005"]]},"page":"39-47","title":"Voluntary exercise alters the cytoarchitecture of the adult dentate gyrus by increasing cellular proliferation, dendritic complexity, and spine density","type":"article-journal","volume":"486"},"uris":["http://www.mendeley.com/documents/?uuid=23986f4e-1b49-487f-b846-e866dff7f5c1"]}],"mendeley":{"formattedCitation":"&lt;sup&gt;17&lt;/sup&gt;","plainTextFormattedCitation":"17","previouslyFormattedCitation":"&lt;sup&gt;17&lt;/sup&gt;"},"properties":{"noteIndex":0},"schema":"https://github.com/citation-style-language/schema/raw/master/csl-citation.json"}</w:instrText>
      </w:r>
      <w:r w:rsidR="00BA1283" w:rsidRPr="00AB2539">
        <w:fldChar w:fldCharType="separate"/>
      </w:r>
      <w:r w:rsidR="00557272" w:rsidRPr="00AB2539">
        <w:rPr>
          <w:noProof/>
          <w:vertAlign w:val="superscript"/>
        </w:rPr>
        <w:t>17</w:t>
      </w:r>
      <w:r w:rsidR="00BA1283" w:rsidRPr="00AB2539">
        <w:fldChar w:fldCharType="end"/>
      </w:r>
      <w:r w:rsidR="00266A35" w:rsidRPr="00AB2539">
        <w:t xml:space="preserve">. </w:t>
      </w:r>
    </w:p>
    <w:p w14:paraId="0F5E00EB" w14:textId="77777777" w:rsidR="00D0711C" w:rsidRPr="00AB2539" w:rsidRDefault="00D0711C" w:rsidP="00AB2539">
      <w:pPr>
        <w:widowControl/>
        <w:contextualSpacing/>
        <w:rPr>
          <w:color w:val="808080" w:themeColor="background1" w:themeShade="80"/>
        </w:rPr>
      </w:pPr>
    </w:p>
    <w:p w14:paraId="3C9083F6" w14:textId="1E4CC9E0" w:rsidR="00B32616" w:rsidRPr="00AB2539" w:rsidRDefault="00B32616" w:rsidP="00AB2539">
      <w:pPr>
        <w:widowControl/>
        <w:contextualSpacing/>
        <w:rPr>
          <w:bCs/>
          <w:color w:val="808080"/>
        </w:rPr>
      </w:pPr>
      <w:r w:rsidRPr="00AB2539">
        <w:rPr>
          <w:b/>
        </w:rPr>
        <w:t xml:space="preserve">FIGURE </w:t>
      </w:r>
      <w:r w:rsidR="0013621E" w:rsidRPr="00AB2539">
        <w:rPr>
          <w:b/>
        </w:rPr>
        <w:t xml:space="preserve">AND TABLE </w:t>
      </w:r>
      <w:r w:rsidRPr="00AB2539">
        <w:rPr>
          <w:b/>
        </w:rPr>
        <w:t>LEGENDS:</w:t>
      </w:r>
      <w:r w:rsidRPr="00AB2539">
        <w:rPr>
          <w:color w:val="808080"/>
        </w:rPr>
        <w:t xml:space="preserve"> </w:t>
      </w:r>
    </w:p>
    <w:p w14:paraId="75182EC3" w14:textId="102EAE6A" w:rsidR="00B32616" w:rsidRPr="00AB2539" w:rsidRDefault="00B32616" w:rsidP="00AB2539">
      <w:pPr>
        <w:widowControl/>
        <w:contextualSpacing/>
        <w:rPr>
          <w:color w:val="808080"/>
        </w:rPr>
      </w:pPr>
    </w:p>
    <w:p w14:paraId="0153E736" w14:textId="129178DA" w:rsidR="00B36FB0" w:rsidRPr="00AB2539" w:rsidRDefault="00B36FB0" w:rsidP="00AB2539">
      <w:pPr>
        <w:widowControl/>
        <w:contextualSpacing/>
      </w:pPr>
      <w:r w:rsidRPr="00AB2539">
        <w:rPr>
          <w:b/>
          <w:bCs/>
        </w:rPr>
        <w:t xml:space="preserve">Figure 1: </w:t>
      </w:r>
      <w:r w:rsidR="00651999" w:rsidRPr="00AB2539">
        <w:rPr>
          <w:b/>
          <w:bCs/>
        </w:rPr>
        <w:t>Representative image of 3D deconvolution for multiple color channels.</w:t>
      </w:r>
      <w:r w:rsidR="00651999" w:rsidRPr="00AB2539">
        <w:t xml:space="preserve"> </w:t>
      </w:r>
      <w:r w:rsidR="00A33A30" w:rsidRPr="00AB2539">
        <w:t>(</w:t>
      </w:r>
      <w:r w:rsidR="00651999" w:rsidRPr="00AB2539">
        <w:rPr>
          <w:b/>
          <w:bCs/>
        </w:rPr>
        <w:t>A</w:t>
      </w:r>
      <w:r w:rsidR="00A33A30" w:rsidRPr="00AB2539">
        <w:t>)</w:t>
      </w:r>
      <w:r w:rsidR="00651999" w:rsidRPr="00AB2539">
        <w:t xml:space="preserve"> </w:t>
      </w:r>
      <w:r w:rsidR="00A33A30" w:rsidRPr="00AB2539">
        <w:t>DG at</w:t>
      </w:r>
      <w:r w:rsidR="00651999" w:rsidRPr="00AB2539">
        <w:t xml:space="preserve"> low</w:t>
      </w:r>
      <w:r w:rsidR="000F35A9" w:rsidRPr="00AB2539">
        <w:t xml:space="preserve"> </w:t>
      </w:r>
      <w:r w:rsidR="00651999" w:rsidRPr="00AB2539">
        <w:t xml:space="preserve">magnification. </w:t>
      </w:r>
      <w:r w:rsidR="00A33A30" w:rsidRPr="00AB2539">
        <w:t>(</w:t>
      </w:r>
      <w:r w:rsidR="00A33A30" w:rsidRPr="00AB2539">
        <w:rPr>
          <w:b/>
          <w:bCs/>
        </w:rPr>
        <w:t>B</w:t>
      </w:r>
      <w:r w:rsidR="00A33A30" w:rsidRPr="00AB2539">
        <w:t xml:space="preserve">) </w:t>
      </w:r>
      <w:r w:rsidR="00651999" w:rsidRPr="00AB2539">
        <w:t xml:space="preserve">The original </w:t>
      </w:r>
      <w:r w:rsidR="00721934">
        <w:t>z-stack</w:t>
      </w:r>
      <w:r w:rsidR="00651999" w:rsidRPr="00AB2539">
        <w:t xml:space="preserve"> images for each channel and the merged image. </w:t>
      </w:r>
      <w:r w:rsidR="00A33A30" w:rsidRPr="00AB2539">
        <w:t>(</w:t>
      </w:r>
      <w:r w:rsidR="00651999" w:rsidRPr="00AB2539">
        <w:rPr>
          <w:b/>
          <w:bCs/>
        </w:rPr>
        <w:t>C</w:t>
      </w:r>
      <w:r w:rsidR="00A33A30" w:rsidRPr="00AB2539">
        <w:t>)</w:t>
      </w:r>
      <w:r w:rsidR="00651999" w:rsidRPr="00AB2539">
        <w:t xml:space="preserve"> 3D deconvoluted </w:t>
      </w:r>
      <w:r w:rsidR="00721934">
        <w:t>z-stack</w:t>
      </w:r>
      <w:r w:rsidR="00651999" w:rsidRPr="00AB2539">
        <w:t xml:space="preserve"> images for each channel and the merged image. This </w:t>
      </w:r>
      <w:r w:rsidR="00A33A30" w:rsidRPr="00AB2539">
        <w:t>brain wa</w:t>
      </w:r>
      <w:r w:rsidR="00651999" w:rsidRPr="00AB2539">
        <w:t>s</w:t>
      </w:r>
      <w:r w:rsidR="00A33A30" w:rsidRPr="00AB2539">
        <w:t xml:space="preserve"> from</w:t>
      </w:r>
      <w:r w:rsidR="00651999" w:rsidRPr="00AB2539">
        <w:t xml:space="preserve"> </w:t>
      </w:r>
      <w:r w:rsidR="00A33A30" w:rsidRPr="00AB2539">
        <w:t xml:space="preserve">the rat that was the part of </w:t>
      </w:r>
      <w:r w:rsidR="00651999" w:rsidRPr="00AB2539">
        <w:t xml:space="preserve">physical activity group. Labeled </w:t>
      </w:r>
      <w:r w:rsidR="007046AC" w:rsidRPr="00AB2539">
        <w:t xml:space="preserve">streptavidin-biotin </w:t>
      </w:r>
      <w:r w:rsidR="00651999" w:rsidRPr="00AB2539">
        <w:t>(LSAB) amplification method</w:t>
      </w:r>
      <w:r w:rsidR="00A33A30" w:rsidRPr="00AB2539">
        <w:t xml:space="preserve"> was used</w:t>
      </w:r>
      <w:r w:rsidR="00651999" w:rsidRPr="00AB2539">
        <w:t>. It show</w:t>
      </w:r>
      <w:r w:rsidR="00806027">
        <w:t>ed</w:t>
      </w:r>
      <w:r w:rsidR="00651999" w:rsidRPr="00AB2539">
        <w:t xml:space="preserve"> Cy3 </w:t>
      </w:r>
      <w:r w:rsidR="007046AC">
        <w:t>s</w:t>
      </w:r>
      <w:r w:rsidR="007046AC" w:rsidRPr="00AB2539">
        <w:t xml:space="preserve">treptavidin </w:t>
      </w:r>
      <w:r w:rsidR="00651999" w:rsidRPr="00AB2539">
        <w:t xml:space="preserve">conjugated antibody for </w:t>
      </w:r>
      <w:r w:rsidR="007046AC">
        <w:t>indicating</w:t>
      </w:r>
      <w:r w:rsidR="00651999" w:rsidRPr="00AB2539">
        <w:t xml:space="preserve"> </w:t>
      </w:r>
      <w:proofErr w:type="spellStart"/>
      <w:r w:rsidR="00651999" w:rsidRPr="00AB2539">
        <w:t>BrdU</w:t>
      </w:r>
      <w:proofErr w:type="spellEnd"/>
      <w:r w:rsidR="00651999" w:rsidRPr="00AB2539">
        <w:t xml:space="preserve"> (red), DAPI as a counterstaining (blue), and </w:t>
      </w:r>
      <w:r w:rsidR="007046AC">
        <w:t>g</w:t>
      </w:r>
      <w:r w:rsidR="007046AC" w:rsidRPr="00AB2539">
        <w:t>lial fibrillary acidic protein</w:t>
      </w:r>
      <w:r w:rsidR="007046AC" w:rsidRPr="007046AC">
        <w:t xml:space="preserve"> </w:t>
      </w:r>
      <w:r w:rsidR="00651999" w:rsidRPr="00AB2539">
        <w:t>(</w:t>
      </w:r>
      <w:r w:rsidR="007046AC" w:rsidRPr="00AB2539">
        <w:t>GFAP</w:t>
      </w:r>
      <w:r w:rsidR="00651999" w:rsidRPr="00AB2539">
        <w:t xml:space="preserve">) as an </w:t>
      </w:r>
      <w:proofErr w:type="spellStart"/>
      <w:r w:rsidR="00651999" w:rsidRPr="00AB2539">
        <w:t>astroglial</w:t>
      </w:r>
      <w:proofErr w:type="spellEnd"/>
      <w:r w:rsidR="00651999" w:rsidRPr="00AB2539">
        <w:t xml:space="preserve"> marker (green). ML </w:t>
      </w:r>
      <w:r w:rsidR="007046AC">
        <w:t xml:space="preserve">= </w:t>
      </w:r>
      <w:r w:rsidR="00651999" w:rsidRPr="00AB2539">
        <w:t xml:space="preserve">molecular layer; GCL </w:t>
      </w:r>
      <w:r w:rsidR="007046AC">
        <w:t xml:space="preserve">= </w:t>
      </w:r>
      <w:r w:rsidR="00651999" w:rsidRPr="00AB2539">
        <w:t xml:space="preserve">granular cell layer; SGZ </w:t>
      </w:r>
      <w:r w:rsidR="007046AC">
        <w:t xml:space="preserve">= </w:t>
      </w:r>
      <w:proofErr w:type="spellStart"/>
      <w:r w:rsidR="00651999" w:rsidRPr="00AB2539">
        <w:t>subgranular</w:t>
      </w:r>
      <w:proofErr w:type="spellEnd"/>
      <w:r w:rsidR="00651999" w:rsidRPr="00AB2539">
        <w:t xml:space="preserve"> zone.</w:t>
      </w:r>
    </w:p>
    <w:p w14:paraId="72227274" w14:textId="4242D3F5" w:rsidR="00B36FB0" w:rsidRPr="00AB2539" w:rsidRDefault="00B36FB0" w:rsidP="00AB2539">
      <w:pPr>
        <w:widowControl/>
        <w:contextualSpacing/>
        <w:rPr>
          <w:b/>
          <w:bCs/>
        </w:rPr>
      </w:pPr>
    </w:p>
    <w:p w14:paraId="2D801B16" w14:textId="5FD8DA2B" w:rsidR="004B69F6" w:rsidRPr="00AB2539" w:rsidRDefault="00E45BD9" w:rsidP="00AB2539">
      <w:pPr>
        <w:widowControl/>
        <w:contextualSpacing/>
      </w:pPr>
      <w:r w:rsidRPr="00AB2539">
        <w:rPr>
          <w:b/>
          <w:bCs/>
        </w:rPr>
        <w:t>Figure 2:</w:t>
      </w:r>
      <w:r w:rsidRPr="00AB2539">
        <w:t xml:space="preserve"> </w:t>
      </w:r>
      <w:r w:rsidR="004B69F6" w:rsidRPr="00AB2539">
        <w:rPr>
          <w:b/>
          <w:bCs/>
        </w:rPr>
        <w:t>Schematic illustration of sequentially transferring sections from cryostat-microtome into a 24-well cell culture plate with cryoprotection solution.</w:t>
      </w:r>
      <w:r w:rsidR="004B69F6" w:rsidRPr="00AB2539">
        <w:t xml:space="preserve"> Begin at A1-well and place the next slices into row A</w:t>
      </w:r>
      <w:r w:rsidR="007046AC">
        <w:t xml:space="preserve">; </w:t>
      </w:r>
      <w:r w:rsidR="004B69F6" w:rsidRPr="00AB2539">
        <w:t xml:space="preserve">after A6-well move to the next row B, so on. When arriving D6, go back to A1 and continue. </w:t>
      </w:r>
      <w:r w:rsidR="007773DF" w:rsidRPr="00AB2539">
        <w:t xml:space="preserve">This </w:t>
      </w:r>
      <w:r w:rsidR="004B69F6" w:rsidRPr="00AB2539">
        <w:t>arrangement allows Nth (e.g., sixth for neurogenesis, equivalent to the content of one column) section quantification of an entire brain</w:t>
      </w:r>
      <w:r w:rsidR="007773DF" w:rsidRPr="00AB2539">
        <w:t xml:space="preserve"> region</w:t>
      </w:r>
      <w:r w:rsidR="004B69F6" w:rsidRPr="00AB2539">
        <w:t>.</w:t>
      </w:r>
    </w:p>
    <w:p w14:paraId="7F91F743" w14:textId="77777777" w:rsidR="00E45BD9" w:rsidRPr="00AB2539" w:rsidRDefault="00E45BD9" w:rsidP="00AB2539">
      <w:pPr>
        <w:widowControl/>
        <w:contextualSpacing/>
        <w:rPr>
          <w:b/>
          <w:bCs/>
        </w:rPr>
      </w:pPr>
    </w:p>
    <w:p w14:paraId="35243BE1" w14:textId="77BA7E99" w:rsidR="006D50E5" w:rsidRPr="00AB2539" w:rsidRDefault="00E25AE0" w:rsidP="00AB2539">
      <w:pPr>
        <w:widowControl/>
        <w:contextualSpacing/>
      </w:pPr>
      <w:r w:rsidRPr="00AB2539">
        <w:rPr>
          <w:b/>
          <w:bCs/>
        </w:rPr>
        <w:t xml:space="preserve">Figure </w:t>
      </w:r>
      <w:r w:rsidR="00E45BD9" w:rsidRPr="00AB2539">
        <w:rPr>
          <w:b/>
          <w:bCs/>
        </w:rPr>
        <w:t>3</w:t>
      </w:r>
      <w:r w:rsidRPr="00AB2539">
        <w:rPr>
          <w:b/>
          <w:bCs/>
        </w:rPr>
        <w:t>:</w:t>
      </w:r>
      <w:r w:rsidRPr="00AB2539">
        <w:t xml:space="preserve"> </w:t>
      </w:r>
      <w:r w:rsidR="005B3B77" w:rsidRPr="00AB2539">
        <w:rPr>
          <w:b/>
          <w:bCs/>
        </w:rPr>
        <w:t xml:space="preserve">Examples of different morphology of </w:t>
      </w:r>
      <w:proofErr w:type="spellStart"/>
      <w:r w:rsidR="005B3B77" w:rsidRPr="00AB2539">
        <w:rPr>
          <w:b/>
          <w:bCs/>
        </w:rPr>
        <w:t>BrdU</w:t>
      </w:r>
      <w:proofErr w:type="spellEnd"/>
      <w:r w:rsidR="007046AC">
        <w:rPr>
          <w:b/>
          <w:bCs/>
        </w:rPr>
        <w:t>-</w:t>
      </w:r>
      <w:r w:rsidR="00E758D3" w:rsidRPr="00AB2539">
        <w:rPr>
          <w:b/>
          <w:bCs/>
        </w:rPr>
        <w:t xml:space="preserve">labeled </w:t>
      </w:r>
      <w:r w:rsidR="005B3B77" w:rsidRPr="00AB2539">
        <w:rPr>
          <w:b/>
          <w:bCs/>
        </w:rPr>
        <w:t>cell nucleus.</w:t>
      </w:r>
      <w:r w:rsidR="005B3B77" w:rsidRPr="00AB2539">
        <w:t xml:space="preserve"> </w:t>
      </w:r>
      <w:proofErr w:type="spellStart"/>
      <w:r w:rsidR="005B3B77" w:rsidRPr="00AB2539">
        <w:t>BrdU</w:t>
      </w:r>
      <w:proofErr w:type="spellEnd"/>
      <w:r w:rsidR="005B3B77" w:rsidRPr="00AB2539">
        <w:t xml:space="preserve"> is a DNA synthesis marker</w:t>
      </w:r>
      <w:r w:rsidR="00DD64F6" w:rsidRPr="00AB2539">
        <w:t xml:space="preserve"> which</w:t>
      </w:r>
      <w:r w:rsidR="005B3B77" w:rsidRPr="00AB2539">
        <w:t xml:space="preserve"> label</w:t>
      </w:r>
      <w:r w:rsidR="00DD64F6" w:rsidRPr="00AB2539">
        <w:t>s</w:t>
      </w:r>
      <w:r w:rsidR="005B3B77" w:rsidRPr="00AB2539">
        <w:t xml:space="preserve"> the nucleus. In the hippocampus</w:t>
      </w:r>
      <w:r w:rsidR="00DD64F6" w:rsidRPr="00AB2539">
        <w:t xml:space="preserve"> region</w:t>
      </w:r>
      <w:r w:rsidR="005B3B77" w:rsidRPr="00AB2539">
        <w:t xml:space="preserve">, the </w:t>
      </w:r>
      <w:proofErr w:type="spellStart"/>
      <w:r w:rsidR="005B3B77" w:rsidRPr="00AB2539">
        <w:t>BrdU</w:t>
      </w:r>
      <w:proofErr w:type="spellEnd"/>
      <w:r w:rsidR="005B3B77" w:rsidRPr="00AB2539">
        <w:t>-positive nuclei ha</w:t>
      </w:r>
      <w:r w:rsidR="00806027">
        <w:t>d</w:t>
      </w:r>
      <w:r w:rsidR="005B3B77" w:rsidRPr="00AB2539">
        <w:t xml:space="preserve"> a semi-oval shape located in the </w:t>
      </w:r>
      <w:r w:rsidR="007046AC" w:rsidRPr="00AB2539">
        <w:t xml:space="preserve">dentate gyrus </w:t>
      </w:r>
      <w:r w:rsidR="000F35A9" w:rsidRPr="00AB2539">
        <w:t>sub-granular zone</w:t>
      </w:r>
      <w:r w:rsidR="005B3B77" w:rsidRPr="00AB2539">
        <w:t xml:space="preserve">. </w:t>
      </w:r>
      <w:r w:rsidR="001A208C" w:rsidRPr="00AB2539">
        <w:t xml:space="preserve">Since </w:t>
      </w:r>
      <w:proofErr w:type="spellStart"/>
      <w:r w:rsidR="005B3B77" w:rsidRPr="00AB2539">
        <w:t>BrdU</w:t>
      </w:r>
      <w:proofErr w:type="spellEnd"/>
      <w:r w:rsidR="005B3B77" w:rsidRPr="00AB2539">
        <w:t xml:space="preserve"> is incorporated by competition, the amount incorporated for every cell will have a variation that will </w:t>
      </w:r>
      <w:r w:rsidR="000F35A9" w:rsidRPr="00AB2539">
        <w:t xml:space="preserve">later </w:t>
      </w:r>
      <w:r w:rsidR="005B3B77" w:rsidRPr="00AB2539">
        <w:t>be</w:t>
      </w:r>
      <w:r w:rsidR="00DD64F6" w:rsidRPr="00AB2539">
        <w:t xml:space="preserve"> </w:t>
      </w:r>
      <w:r w:rsidR="005B3B77" w:rsidRPr="00AB2539">
        <w:t xml:space="preserve">reflected in how the nucleus will be visualized. </w:t>
      </w:r>
      <w:r w:rsidR="00A33A30" w:rsidRPr="00AB2539">
        <w:t>(</w:t>
      </w:r>
      <w:r w:rsidR="005B3B77" w:rsidRPr="00AB2539">
        <w:rPr>
          <w:b/>
          <w:bCs/>
        </w:rPr>
        <w:t>A</w:t>
      </w:r>
      <w:r w:rsidR="00A33A30" w:rsidRPr="00AB2539">
        <w:t>)</w:t>
      </w:r>
      <w:r w:rsidR="005B3B77" w:rsidRPr="00AB2539">
        <w:t xml:space="preserve"> </w:t>
      </w:r>
      <w:r w:rsidR="007046AC">
        <w:t>I</w:t>
      </w:r>
      <w:r w:rsidR="005B3B77" w:rsidRPr="00AB2539">
        <w:t xml:space="preserve">mmunofluorescence image. </w:t>
      </w:r>
      <w:r w:rsidR="007046AC" w:rsidRPr="008348CD">
        <w:t>(</w:t>
      </w:r>
      <w:r w:rsidR="007046AC" w:rsidRPr="00AB2539">
        <w:rPr>
          <w:b/>
          <w:bCs/>
        </w:rPr>
        <w:t>B</w:t>
      </w:r>
      <w:r w:rsidR="007046AC" w:rsidRPr="008348CD">
        <w:t>)</w:t>
      </w:r>
      <w:r w:rsidR="007046AC" w:rsidRPr="00AB2539">
        <w:t xml:space="preserve"> </w:t>
      </w:r>
      <w:r w:rsidR="005B3B77" w:rsidRPr="00AB2539">
        <w:t xml:space="preserve">An image using peroxidase reaction without an additional amplification method is presented. Yellow arrows show artifacts and non-specific signals. Black or </w:t>
      </w:r>
      <w:r w:rsidR="007046AC">
        <w:t>w</w:t>
      </w:r>
      <w:r w:rsidR="007046AC" w:rsidRPr="00AB2539">
        <w:t xml:space="preserve">hite </w:t>
      </w:r>
      <w:r w:rsidR="005B3B77" w:rsidRPr="00AB2539">
        <w:t xml:space="preserve">arrows show </w:t>
      </w:r>
      <w:proofErr w:type="spellStart"/>
      <w:r w:rsidR="005B3B77" w:rsidRPr="00AB2539">
        <w:t>BrdU</w:t>
      </w:r>
      <w:proofErr w:type="spellEnd"/>
      <w:r w:rsidR="005B3B77" w:rsidRPr="00AB2539">
        <w:t xml:space="preserve">+ cells. 1 – Fully filed nucleus, semi-oval nuclei highly colored. 2 – Nuclei with dots, the border of the nuclei is </w:t>
      </w:r>
      <w:r w:rsidR="005B3B77" w:rsidRPr="00AB2539">
        <w:lastRenderedPageBreak/>
        <w:t xml:space="preserve">marked and has inside several dots. 3 – Nuclei with few dots, the border of the nuclei </w:t>
      </w:r>
      <w:proofErr w:type="gramStart"/>
      <w:r w:rsidR="007046AC">
        <w:t>are</w:t>
      </w:r>
      <w:proofErr w:type="gramEnd"/>
      <w:r w:rsidR="007046AC">
        <w:t xml:space="preserve"> </w:t>
      </w:r>
      <w:r w:rsidR="005B3B77" w:rsidRPr="00AB2539">
        <w:t>marked and ha</w:t>
      </w:r>
      <w:r w:rsidR="007046AC">
        <w:t>ve</w:t>
      </w:r>
      <w:r w:rsidR="005B3B77" w:rsidRPr="00AB2539">
        <w:t xml:space="preserve"> a small </w:t>
      </w:r>
      <w:r w:rsidR="001A208C" w:rsidRPr="00AB2539">
        <w:t>number</w:t>
      </w:r>
      <w:r w:rsidR="005B3B77" w:rsidRPr="00AB2539">
        <w:t xml:space="preserve"> of dots</w:t>
      </w:r>
      <w:r w:rsidR="007046AC" w:rsidRPr="007046AC">
        <w:t xml:space="preserve"> </w:t>
      </w:r>
      <w:r w:rsidR="007046AC" w:rsidRPr="00AB2539">
        <w:t>inside</w:t>
      </w:r>
      <w:r w:rsidR="005B3B77" w:rsidRPr="00AB2539">
        <w:t>. 4 – Small nucleus is possible cells in a different differentiation stage but still part of the niche. 5 – Clusters</w:t>
      </w:r>
      <w:r w:rsidR="007046AC">
        <w:t xml:space="preserve"> are</w:t>
      </w:r>
      <w:r w:rsidR="005B3B77" w:rsidRPr="00AB2539">
        <w:t xml:space="preserve"> precursor cells under division, therefore several cells together in condensed groups can be observed. W</w:t>
      </w:r>
      <w:r w:rsidR="007046AC">
        <w:t>ithin</w:t>
      </w:r>
      <w:r w:rsidR="005B3B77" w:rsidRPr="00AB2539">
        <w:t xml:space="preserve"> these groups, the counting </w:t>
      </w:r>
      <w:r w:rsidR="001A208C" w:rsidRPr="00AB2539">
        <w:t>must</w:t>
      </w:r>
      <w:r w:rsidR="005B3B77" w:rsidRPr="00AB2539">
        <w:t xml:space="preserve"> be </w:t>
      </w:r>
      <w:r w:rsidR="007046AC">
        <w:t xml:space="preserve">done </w:t>
      </w:r>
      <w:r w:rsidR="005B3B77" w:rsidRPr="00AB2539">
        <w:t>especially careful</w:t>
      </w:r>
      <w:r w:rsidR="007046AC">
        <w:t>ly</w:t>
      </w:r>
      <w:r w:rsidR="005B3B77" w:rsidRPr="00AB2539">
        <w:t xml:space="preserve"> </w:t>
      </w:r>
      <w:r w:rsidR="001A208C" w:rsidRPr="00AB2539">
        <w:t xml:space="preserve">to </w:t>
      </w:r>
      <w:r w:rsidR="007046AC">
        <w:t>avoid</w:t>
      </w:r>
      <w:r w:rsidR="007046AC" w:rsidRPr="00AB2539">
        <w:t xml:space="preserve"> </w:t>
      </w:r>
      <w:r w:rsidR="001A208C" w:rsidRPr="00AB2539">
        <w:t>misla</w:t>
      </w:r>
      <w:r w:rsidR="007046AC">
        <w:t>beling</w:t>
      </w:r>
      <w:r w:rsidR="005B3B77" w:rsidRPr="00AB2539">
        <w:t xml:space="preserve"> positive cells. Red arrows </w:t>
      </w:r>
      <w:r w:rsidR="007046AC">
        <w:t xml:space="preserve">show </w:t>
      </w:r>
      <w:r w:rsidR="005B3B77" w:rsidRPr="00AB2539">
        <w:t xml:space="preserve">the nucleus under division that can be </w:t>
      </w:r>
      <w:r w:rsidR="007046AC">
        <w:t>confused to be</w:t>
      </w:r>
      <w:r w:rsidR="005B3B77" w:rsidRPr="00AB2539">
        <w:t xml:space="preserve"> a single cell. Each cell is enclosed in a box</w:t>
      </w:r>
      <w:r w:rsidR="007D7C58" w:rsidRPr="00AB2539">
        <w:t xml:space="preserve"> and can be</w:t>
      </w:r>
      <w:r w:rsidR="005B3B77" w:rsidRPr="00AB2539">
        <w:t xml:space="preserve"> distinguished in </w:t>
      </w:r>
      <w:r w:rsidR="007046AC">
        <w:t xml:space="preserve">a </w:t>
      </w:r>
      <w:r w:rsidR="00DB6A96" w:rsidRPr="00AB2539">
        <w:t xml:space="preserve">Z-axis plane </w:t>
      </w:r>
      <w:r w:rsidR="007046AC">
        <w:t>in</w:t>
      </w:r>
      <w:r w:rsidR="00DB6A96" w:rsidRPr="00AB2539">
        <w:t xml:space="preserve"> real</w:t>
      </w:r>
      <w:r w:rsidR="007C3D0C" w:rsidRPr="00AB2539">
        <w:t>-</w:t>
      </w:r>
      <w:r w:rsidR="00DB6A96" w:rsidRPr="00AB2539">
        <w:t>time.</w:t>
      </w:r>
    </w:p>
    <w:p w14:paraId="730C1075" w14:textId="77777777" w:rsidR="00E25AE0" w:rsidRPr="00AB2539" w:rsidRDefault="00E25AE0" w:rsidP="00AB2539">
      <w:pPr>
        <w:widowControl/>
        <w:contextualSpacing/>
      </w:pPr>
      <w:r w:rsidRPr="00AB2539">
        <w:t xml:space="preserve"> </w:t>
      </w:r>
    </w:p>
    <w:p w14:paraId="30E05470" w14:textId="1F27BBFF" w:rsidR="00E25AE0" w:rsidRPr="00AB2539" w:rsidRDefault="00E25AE0" w:rsidP="00AB2539">
      <w:pPr>
        <w:widowControl/>
        <w:contextualSpacing/>
      </w:pPr>
      <w:r w:rsidRPr="00AB2539">
        <w:rPr>
          <w:b/>
          <w:bCs/>
        </w:rPr>
        <w:t xml:space="preserve">Figure </w:t>
      </w:r>
      <w:r w:rsidR="00E45BD9" w:rsidRPr="00AB2539">
        <w:rPr>
          <w:b/>
          <w:bCs/>
        </w:rPr>
        <w:t>4</w:t>
      </w:r>
      <w:r w:rsidRPr="00AB2539">
        <w:rPr>
          <w:b/>
          <w:bCs/>
        </w:rPr>
        <w:t>:</w:t>
      </w:r>
      <w:r w:rsidRPr="00AB2539">
        <w:t xml:space="preserve"> </w:t>
      </w:r>
      <w:r w:rsidRPr="00AB2539">
        <w:rPr>
          <w:b/>
          <w:bCs/>
        </w:rPr>
        <w:t xml:space="preserve">Representative </w:t>
      </w:r>
      <w:r w:rsidR="00D30CF4" w:rsidRPr="00AB2539">
        <w:rPr>
          <w:b/>
          <w:bCs/>
        </w:rPr>
        <w:t>RGB image for single and merged channels</w:t>
      </w:r>
      <w:r w:rsidRPr="00AB2539">
        <w:rPr>
          <w:b/>
          <w:bCs/>
        </w:rPr>
        <w:t>.</w:t>
      </w:r>
      <w:r w:rsidRPr="00AB2539">
        <w:t xml:space="preserve"> The </w:t>
      </w:r>
      <w:r w:rsidR="00A546BF" w:rsidRPr="00AB2539">
        <w:t>top</w:t>
      </w:r>
      <w:r w:rsidRPr="00AB2539">
        <w:t xml:space="preserve"> image shows the original </w:t>
      </w:r>
      <w:r w:rsidR="00721934">
        <w:t>z-stack</w:t>
      </w:r>
      <w:r w:rsidRPr="00AB2539">
        <w:t xml:space="preserve"> image, and the lower image shows the 3D deconvoluted </w:t>
      </w:r>
      <w:r w:rsidR="00721934">
        <w:t>z-stack</w:t>
      </w:r>
      <w:r w:rsidRPr="00AB2539">
        <w:t xml:space="preserve"> image.</w:t>
      </w:r>
      <w:r w:rsidR="00D30CF4" w:rsidRPr="00AB2539">
        <w:t xml:space="preserve"> </w:t>
      </w:r>
      <w:r w:rsidR="00A33A30" w:rsidRPr="00AB2539">
        <w:t>(</w:t>
      </w:r>
      <w:r w:rsidR="00D30CF4" w:rsidRPr="00AB2539">
        <w:rPr>
          <w:b/>
          <w:bCs/>
        </w:rPr>
        <w:t>A</w:t>
      </w:r>
      <w:r w:rsidR="00A33A30" w:rsidRPr="00AB2539">
        <w:t>)</w:t>
      </w:r>
      <w:r w:rsidR="00D30CF4" w:rsidRPr="00AB2539">
        <w:t xml:space="preserve"> </w:t>
      </w:r>
      <w:r w:rsidR="007046AC">
        <w:rPr>
          <w:color w:val="000000" w:themeColor="text1"/>
        </w:rPr>
        <w:t>L</w:t>
      </w:r>
      <w:r w:rsidR="00D30CF4" w:rsidRPr="00AB2539">
        <w:rPr>
          <w:color w:val="000000" w:themeColor="text1"/>
        </w:rPr>
        <w:t>ow</w:t>
      </w:r>
      <w:r w:rsidR="007C3D0C" w:rsidRPr="00AB2539">
        <w:rPr>
          <w:color w:val="000000" w:themeColor="text1"/>
        </w:rPr>
        <w:t xml:space="preserve"> </w:t>
      </w:r>
      <w:r w:rsidR="00D30CF4" w:rsidRPr="00AB2539">
        <w:rPr>
          <w:color w:val="000000" w:themeColor="text1"/>
        </w:rPr>
        <w:t>magnification of the DG.</w:t>
      </w:r>
      <w:r w:rsidR="00D30CF4" w:rsidRPr="00AB2539">
        <w:t xml:space="preserve"> </w:t>
      </w:r>
      <w:r w:rsidR="00A33A30" w:rsidRPr="00AB2539">
        <w:t>(</w:t>
      </w:r>
      <w:r w:rsidR="00D30CF4" w:rsidRPr="00AB2539">
        <w:rPr>
          <w:b/>
          <w:bCs/>
        </w:rPr>
        <w:t>B</w:t>
      </w:r>
      <w:r w:rsidR="00A33A30" w:rsidRPr="00AB2539">
        <w:t>)</w:t>
      </w:r>
      <w:r w:rsidR="00D30CF4" w:rsidRPr="00AB2539">
        <w:t xml:space="preserve"> </w:t>
      </w:r>
      <w:r w:rsidR="00424B25" w:rsidRPr="00AB2539">
        <w:t xml:space="preserve">RGB </w:t>
      </w:r>
      <w:r w:rsidR="00D30CF4" w:rsidRPr="00AB2539">
        <w:t>image for each channel</w:t>
      </w:r>
      <w:r w:rsidR="00424B25" w:rsidRPr="00AB2539">
        <w:t>,</w:t>
      </w:r>
      <w:r w:rsidR="00D30CF4" w:rsidRPr="00AB2539">
        <w:t xml:space="preserve"> and </w:t>
      </w:r>
      <w:r w:rsidR="00A33A30" w:rsidRPr="00AB2539">
        <w:t>(</w:t>
      </w:r>
      <w:r w:rsidR="00424B25" w:rsidRPr="00AB2539">
        <w:rPr>
          <w:b/>
          <w:bCs/>
        </w:rPr>
        <w:t>C</w:t>
      </w:r>
      <w:r w:rsidR="00A33A30" w:rsidRPr="00AB2539">
        <w:t>)</w:t>
      </w:r>
      <w:r w:rsidR="00424B25" w:rsidRPr="00AB2539">
        <w:t xml:space="preserve"> RGB </w:t>
      </w:r>
      <w:r w:rsidR="00D30CF4" w:rsidRPr="00AB2539">
        <w:t xml:space="preserve">merged image. This </w:t>
      </w:r>
      <w:r w:rsidR="00806027">
        <w:t>wa</w:t>
      </w:r>
      <w:r w:rsidR="007046AC">
        <w:t>s</w:t>
      </w:r>
      <w:r w:rsidR="007046AC" w:rsidRPr="00AB2539">
        <w:t xml:space="preserve"> </w:t>
      </w:r>
      <w:r w:rsidR="00D30CF4" w:rsidRPr="00AB2539">
        <w:t xml:space="preserve">a brain from the control group. </w:t>
      </w:r>
      <w:r w:rsidR="00A33A30" w:rsidRPr="00AB2539">
        <w:t>I</w:t>
      </w:r>
      <w:r w:rsidR="00D30CF4" w:rsidRPr="00AB2539">
        <w:t xml:space="preserve">mmunofluorescence </w:t>
      </w:r>
      <w:r w:rsidR="00A33A30" w:rsidRPr="00AB2539">
        <w:t xml:space="preserve">was used </w:t>
      </w:r>
      <w:r w:rsidR="00A546BF" w:rsidRPr="00AB2539">
        <w:t xml:space="preserve">without an </w:t>
      </w:r>
      <w:r w:rsidR="00D30CF4" w:rsidRPr="00AB2539">
        <w:t xml:space="preserve">additional amplification method. </w:t>
      </w:r>
      <w:proofErr w:type="spellStart"/>
      <w:r w:rsidR="00D30CF4" w:rsidRPr="00AB2539">
        <w:t>BrdU</w:t>
      </w:r>
      <w:proofErr w:type="spellEnd"/>
      <w:r w:rsidR="00D30CF4" w:rsidRPr="00AB2539">
        <w:t xml:space="preserve"> (red), DAPI as a counterstaining (blue), and GFAP (</w:t>
      </w:r>
      <w:r w:rsidR="007046AC">
        <w:t>g</w:t>
      </w:r>
      <w:r w:rsidR="00D30CF4" w:rsidRPr="00AB2539">
        <w:t xml:space="preserve">lial fibrillary acidic protein) as an </w:t>
      </w:r>
      <w:proofErr w:type="spellStart"/>
      <w:r w:rsidR="00D30CF4" w:rsidRPr="00AB2539">
        <w:t>astroglial</w:t>
      </w:r>
      <w:proofErr w:type="spellEnd"/>
      <w:r w:rsidR="00D30CF4" w:rsidRPr="00AB2539">
        <w:t xml:space="preserve"> marker (green). ML </w:t>
      </w:r>
      <w:r w:rsidR="007046AC">
        <w:t>=</w:t>
      </w:r>
      <w:r w:rsidR="00D30CF4" w:rsidRPr="00AB2539">
        <w:t xml:space="preserve"> molecular layer; GCL </w:t>
      </w:r>
      <w:r w:rsidR="007046AC">
        <w:t>=</w:t>
      </w:r>
      <w:r w:rsidR="00D30CF4" w:rsidRPr="00AB2539">
        <w:t xml:space="preserve"> granular cell layer; SGZ </w:t>
      </w:r>
      <w:r w:rsidR="007046AC">
        <w:t>=</w:t>
      </w:r>
      <w:r w:rsidR="00D30CF4" w:rsidRPr="00AB2539">
        <w:t xml:space="preserve"> </w:t>
      </w:r>
      <w:proofErr w:type="spellStart"/>
      <w:r w:rsidR="00D30CF4" w:rsidRPr="00AB2539">
        <w:t>subgranular</w:t>
      </w:r>
      <w:proofErr w:type="spellEnd"/>
      <w:r w:rsidR="00D30CF4" w:rsidRPr="00AB2539">
        <w:t xml:space="preserve"> zone.</w:t>
      </w:r>
    </w:p>
    <w:p w14:paraId="0CB5E0A6" w14:textId="000718F9" w:rsidR="00E25AE0" w:rsidRPr="00AB2539" w:rsidRDefault="00EB0961" w:rsidP="00AB2539">
      <w:pPr>
        <w:widowControl/>
        <w:contextualSpacing/>
      </w:pPr>
      <w:r>
        <w:t xml:space="preserve"> </w:t>
      </w:r>
    </w:p>
    <w:p w14:paraId="3870AD35" w14:textId="4FA94B99" w:rsidR="00366D54" w:rsidRPr="00AB2539" w:rsidRDefault="00E25AE0" w:rsidP="00AB2539">
      <w:pPr>
        <w:widowControl/>
        <w:contextualSpacing/>
      </w:pPr>
      <w:r w:rsidRPr="00AB2539">
        <w:rPr>
          <w:b/>
          <w:bCs/>
        </w:rPr>
        <w:t>Figure 5:</w:t>
      </w:r>
      <w:r w:rsidRPr="00AB2539">
        <w:t xml:space="preserve"> </w:t>
      </w:r>
      <w:r w:rsidR="00E758D3" w:rsidRPr="00AB2539">
        <w:rPr>
          <w:b/>
          <w:bCs/>
        </w:rPr>
        <w:t>R</w:t>
      </w:r>
      <w:r w:rsidR="00366D54" w:rsidRPr="00AB2539">
        <w:rPr>
          <w:b/>
          <w:bCs/>
        </w:rPr>
        <w:t>epresentative</w:t>
      </w:r>
      <w:r w:rsidR="00E45BD9" w:rsidRPr="00AB2539">
        <w:rPr>
          <w:b/>
          <w:bCs/>
        </w:rPr>
        <w:t xml:space="preserve"> DG section with </w:t>
      </w:r>
      <w:proofErr w:type="spellStart"/>
      <w:r w:rsidR="00366D54" w:rsidRPr="00AB2539">
        <w:rPr>
          <w:b/>
          <w:bCs/>
        </w:rPr>
        <w:t>BrdU</w:t>
      </w:r>
      <w:proofErr w:type="spellEnd"/>
      <w:r w:rsidR="00E45BD9" w:rsidRPr="00AB2539">
        <w:rPr>
          <w:b/>
          <w:bCs/>
        </w:rPr>
        <w:t xml:space="preserve"> labeled cells</w:t>
      </w:r>
      <w:r w:rsidR="00366D54" w:rsidRPr="00AB2539">
        <w:rPr>
          <w:b/>
          <w:bCs/>
        </w:rPr>
        <w:t xml:space="preserve"> (intense dark) for each experimental group</w:t>
      </w:r>
      <w:r w:rsidR="00E45BD9" w:rsidRPr="00AB2539">
        <w:rPr>
          <w:b/>
          <w:bCs/>
        </w:rPr>
        <w:t xml:space="preserve">. </w:t>
      </w:r>
      <w:r w:rsidR="00067C5C" w:rsidRPr="00AB2539">
        <w:t>The p</w:t>
      </w:r>
      <w:r w:rsidR="00366D54" w:rsidRPr="00AB2539">
        <w:t xml:space="preserve">eroxidase reaction </w:t>
      </w:r>
      <w:r w:rsidR="00E758D3" w:rsidRPr="00AB2539">
        <w:t xml:space="preserve">was used </w:t>
      </w:r>
      <w:r w:rsidR="00366D54" w:rsidRPr="00AB2539">
        <w:t>with the avidin-biotin-peroxidase complex</w:t>
      </w:r>
      <w:r w:rsidR="00EC13AD" w:rsidRPr="00AB2539">
        <w:t xml:space="preserve"> amplification method</w:t>
      </w:r>
      <w:r w:rsidR="00366D54" w:rsidRPr="00AB2539">
        <w:t xml:space="preserve">. </w:t>
      </w:r>
      <w:r w:rsidR="0089383B" w:rsidRPr="00AB2539">
        <w:t>(</w:t>
      </w:r>
      <w:r w:rsidR="00366D54" w:rsidRPr="00AB2539">
        <w:rPr>
          <w:b/>
          <w:bCs/>
        </w:rPr>
        <w:t>A</w:t>
      </w:r>
      <w:r w:rsidR="0089383B" w:rsidRPr="00AB2539">
        <w:rPr>
          <w:b/>
          <w:bCs/>
        </w:rPr>
        <w:t>,</w:t>
      </w:r>
      <w:r w:rsidR="007046AC">
        <w:rPr>
          <w:b/>
          <w:bCs/>
        </w:rPr>
        <w:t xml:space="preserve"> </w:t>
      </w:r>
      <w:r w:rsidR="00366D54" w:rsidRPr="00AB2539">
        <w:rPr>
          <w:b/>
          <w:bCs/>
        </w:rPr>
        <w:t>B</w:t>
      </w:r>
      <w:r w:rsidR="0089383B" w:rsidRPr="00AB2539">
        <w:t>)</w:t>
      </w:r>
      <w:r w:rsidR="00366D54" w:rsidRPr="00AB2539">
        <w:t xml:space="preserve"> </w:t>
      </w:r>
      <w:r w:rsidR="007046AC">
        <w:t>S</w:t>
      </w:r>
      <w:r w:rsidR="00366D54" w:rsidRPr="00AB2539">
        <w:t xml:space="preserve">how a </w:t>
      </w:r>
      <w:r w:rsidR="00366D54" w:rsidRPr="00AB2539">
        <w:rPr>
          <w:color w:val="000000" w:themeColor="text1"/>
        </w:rPr>
        <w:t>low</w:t>
      </w:r>
      <w:r w:rsidR="007C3D0C" w:rsidRPr="00AB2539">
        <w:rPr>
          <w:color w:val="000000" w:themeColor="text1"/>
        </w:rPr>
        <w:t xml:space="preserve"> </w:t>
      </w:r>
      <w:r w:rsidR="00366D54" w:rsidRPr="00AB2539">
        <w:rPr>
          <w:color w:val="000000" w:themeColor="text1"/>
        </w:rPr>
        <w:t xml:space="preserve">magnification of the DG, and </w:t>
      </w:r>
      <w:r w:rsidR="0089383B" w:rsidRPr="00AB2539">
        <w:rPr>
          <w:color w:val="000000" w:themeColor="text1"/>
        </w:rPr>
        <w:t>(</w:t>
      </w:r>
      <w:r w:rsidR="00366D54" w:rsidRPr="00AB2539">
        <w:rPr>
          <w:b/>
          <w:bCs/>
          <w:color w:val="000000" w:themeColor="text1"/>
        </w:rPr>
        <w:t>C</w:t>
      </w:r>
      <w:r w:rsidR="0089383B" w:rsidRPr="00AB2539">
        <w:rPr>
          <w:b/>
          <w:bCs/>
          <w:color w:val="000000" w:themeColor="text1"/>
        </w:rPr>
        <w:t>,</w:t>
      </w:r>
      <w:r w:rsidR="007046AC">
        <w:rPr>
          <w:b/>
          <w:bCs/>
          <w:color w:val="000000" w:themeColor="text1"/>
        </w:rPr>
        <w:t xml:space="preserve"> </w:t>
      </w:r>
      <w:r w:rsidR="00366D54" w:rsidRPr="00AB2539">
        <w:rPr>
          <w:b/>
          <w:bCs/>
          <w:color w:val="000000" w:themeColor="text1"/>
        </w:rPr>
        <w:t>D</w:t>
      </w:r>
      <w:r w:rsidR="0089383B" w:rsidRPr="00AB2539">
        <w:rPr>
          <w:color w:val="000000" w:themeColor="text1"/>
        </w:rPr>
        <w:t>)</w:t>
      </w:r>
      <w:r w:rsidR="00366D54" w:rsidRPr="00AB2539">
        <w:rPr>
          <w:color w:val="000000" w:themeColor="text1"/>
        </w:rPr>
        <w:t xml:space="preserve"> </w:t>
      </w:r>
      <w:r w:rsidR="00366D54" w:rsidRPr="00AB2539">
        <w:t>show the box area at higher magnification</w:t>
      </w:r>
      <w:r w:rsidR="00366D54" w:rsidRPr="00AB2539">
        <w:rPr>
          <w:color w:val="000000" w:themeColor="text1"/>
        </w:rPr>
        <w:t>. Panels A and C are tissue</w:t>
      </w:r>
      <w:r w:rsidR="007046AC">
        <w:rPr>
          <w:color w:val="000000" w:themeColor="text1"/>
        </w:rPr>
        <w:t>s</w:t>
      </w:r>
      <w:r w:rsidR="00366D54" w:rsidRPr="00AB2539">
        <w:rPr>
          <w:color w:val="000000" w:themeColor="text1"/>
        </w:rPr>
        <w:t xml:space="preserve"> from</w:t>
      </w:r>
      <w:r w:rsidR="00366D54" w:rsidRPr="00AB2539">
        <w:t xml:space="preserve"> the physical activity group, panels B and D are </w:t>
      </w:r>
      <w:r w:rsidR="00366D54" w:rsidRPr="00AB2539">
        <w:rPr>
          <w:color w:val="000000" w:themeColor="text1"/>
        </w:rPr>
        <w:t>from</w:t>
      </w:r>
      <w:r w:rsidR="00366D54" w:rsidRPr="00AB2539">
        <w:t xml:space="preserve"> the control group. </w:t>
      </w:r>
      <w:r w:rsidR="00E45BD9" w:rsidRPr="00AB2539">
        <w:t xml:space="preserve">The inset </w:t>
      </w:r>
      <w:r w:rsidR="007D7C58" w:rsidRPr="00AB2539">
        <w:t xml:space="preserve">shows </w:t>
      </w:r>
      <w:r w:rsidR="00366D54" w:rsidRPr="00AB2539">
        <w:t xml:space="preserve">the average numbers of labeled cells in the physical activity and control groups (counted positive cells multiplied by six as described in step 8.1). ML </w:t>
      </w:r>
      <w:r w:rsidR="007046AC">
        <w:t xml:space="preserve">= </w:t>
      </w:r>
      <w:r w:rsidR="00366D54" w:rsidRPr="00AB2539">
        <w:t xml:space="preserve">molecular layer; GCL </w:t>
      </w:r>
      <w:r w:rsidR="007046AC">
        <w:t xml:space="preserve">= </w:t>
      </w:r>
      <w:r w:rsidR="00366D54" w:rsidRPr="00AB2539">
        <w:t xml:space="preserve">granular cell layer; SGZ </w:t>
      </w:r>
      <w:r w:rsidR="007046AC">
        <w:t>=</w:t>
      </w:r>
      <w:r w:rsidR="00366D54" w:rsidRPr="00AB2539">
        <w:t xml:space="preserve"> </w:t>
      </w:r>
      <w:proofErr w:type="spellStart"/>
      <w:r w:rsidR="00366D54" w:rsidRPr="00AB2539">
        <w:t>subgranular</w:t>
      </w:r>
      <w:proofErr w:type="spellEnd"/>
      <w:r w:rsidR="00366D54" w:rsidRPr="00AB2539">
        <w:t xml:space="preserve"> zone; arrows </w:t>
      </w:r>
      <w:r w:rsidR="007046AC">
        <w:t xml:space="preserve">indicate </w:t>
      </w:r>
      <w:proofErr w:type="spellStart"/>
      <w:r w:rsidR="00366D54" w:rsidRPr="00AB2539">
        <w:t>BrdU</w:t>
      </w:r>
      <w:proofErr w:type="spellEnd"/>
      <w:r w:rsidR="00366D54" w:rsidRPr="00AB2539">
        <w:t>+ cells.</w:t>
      </w:r>
    </w:p>
    <w:p w14:paraId="2605F4C0" w14:textId="6D6BF922" w:rsidR="00E25AE0" w:rsidRPr="00AB2539" w:rsidRDefault="00E25AE0" w:rsidP="00AB2539">
      <w:pPr>
        <w:widowControl/>
        <w:contextualSpacing/>
        <w:rPr>
          <w:b/>
          <w:bCs/>
        </w:rPr>
      </w:pPr>
      <w:r w:rsidRPr="00AB2539">
        <w:rPr>
          <w:b/>
          <w:bCs/>
        </w:rPr>
        <w:t xml:space="preserve"> </w:t>
      </w:r>
    </w:p>
    <w:p w14:paraId="42F5541B" w14:textId="0C2476DC" w:rsidR="003E3FED" w:rsidRPr="00AB2539" w:rsidRDefault="00E25AE0" w:rsidP="00AB2539">
      <w:pPr>
        <w:widowControl/>
        <w:contextualSpacing/>
        <w:rPr>
          <w:b/>
          <w:bCs/>
        </w:rPr>
      </w:pPr>
      <w:r w:rsidRPr="00AB2539">
        <w:rPr>
          <w:b/>
          <w:bCs/>
        </w:rPr>
        <w:t xml:space="preserve">Video 1: Video showing </w:t>
      </w:r>
      <w:r w:rsidR="00DB6A96" w:rsidRPr="00AB2539">
        <w:rPr>
          <w:b/>
          <w:bCs/>
        </w:rPr>
        <w:t xml:space="preserve">a </w:t>
      </w:r>
      <w:r w:rsidRPr="00AB2539">
        <w:rPr>
          <w:b/>
          <w:bCs/>
        </w:rPr>
        <w:t>different focus of positive cells along the z-axis distributed in different layers</w:t>
      </w:r>
      <w:r w:rsidR="006B2FD3" w:rsidRPr="00AB2539">
        <w:rPr>
          <w:b/>
          <w:bCs/>
        </w:rPr>
        <w:t>.</w:t>
      </w:r>
    </w:p>
    <w:p w14:paraId="17B6462F" w14:textId="4D7E5712" w:rsidR="003E3FED" w:rsidRPr="00AB2539" w:rsidRDefault="003E3FED" w:rsidP="00AB2539">
      <w:pPr>
        <w:widowControl/>
        <w:contextualSpacing/>
        <w:rPr>
          <w:b/>
          <w:bCs/>
        </w:rPr>
      </w:pPr>
    </w:p>
    <w:p w14:paraId="02DF280E" w14:textId="6DF09994" w:rsidR="003E3FED" w:rsidRPr="00AB2539" w:rsidRDefault="003E3FED" w:rsidP="00AB2539">
      <w:pPr>
        <w:widowControl/>
        <w:contextualSpacing/>
      </w:pPr>
      <w:r w:rsidRPr="00AB2539">
        <w:rPr>
          <w:b/>
          <w:bCs/>
        </w:rPr>
        <w:t xml:space="preserve">Video 2: Video showing </w:t>
      </w:r>
      <w:r w:rsidR="00DB6A96" w:rsidRPr="00AB2539">
        <w:rPr>
          <w:b/>
          <w:bCs/>
        </w:rPr>
        <w:t xml:space="preserve">a </w:t>
      </w:r>
      <w:r w:rsidRPr="00AB2539">
        <w:rPr>
          <w:b/>
          <w:bCs/>
        </w:rPr>
        <w:t>different focus of positive cell clusters along the z-axis distributed in different layers.</w:t>
      </w:r>
      <w:r w:rsidRPr="00AB2539">
        <w:t xml:space="preserve"> Move slowly over the z-axis to quantify all several nuclei that integrate a cluster.</w:t>
      </w:r>
    </w:p>
    <w:p w14:paraId="0B8EDA65" w14:textId="24D3B8DF" w:rsidR="00DD5EEC" w:rsidRPr="00AB2539" w:rsidRDefault="00DD5EEC" w:rsidP="00AB2539">
      <w:pPr>
        <w:widowControl/>
        <w:contextualSpacing/>
      </w:pPr>
    </w:p>
    <w:p w14:paraId="6ADAE53A" w14:textId="64CD64FC" w:rsidR="00802AE3" w:rsidRPr="00AB2539" w:rsidRDefault="00802AE3" w:rsidP="00AB2539">
      <w:pPr>
        <w:widowControl/>
        <w:contextualSpacing/>
      </w:pPr>
      <w:r w:rsidRPr="00AB2539">
        <w:rPr>
          <w:b/>
          <w:bCs/>
        </w:rPr>
        <w:t>Table 1:</w:t>
      </w:r>
      <w:r w:rsidRPr="00AB2539">
        <w:t xml:space="preserve"> </w:t>
      </w:r>
      <w:r w:rsidRPr="00AB2539">
        <w:rPr>
          <w:b/>
          <w:bCs/>
        </w:rPr>
        <w:t>Advantages/disadvantages of IHC techniques</w:t>
      </w:r>
      <w:r w:rsidR="00E758D3" w:rsidRPr="00AB2539">
        <w:rPr>
          <w:b/>
          <w:bCs/>
        </w:rPr>
        <w:t>.</w:t>
      </w:r>
      <w:r w:rsidR="00D30663" w:rsidRPr="00AB2539">
        <w:rPr>
          <w:b/>
          <w:bCs/>
        </w:rPr>
        <w:t xml:space="preserve"> </w:t>
      </w:r>
      <w:r w:rsidR="00DB6A96" w:rsidRPr="00AB2539">
        <w:t xml:space="preserve">This </w:t>
      </w:r>
      <w:r w:rsidR="00D30663" w:rsidRPr="00AB2539">
        <w:t>table</w:t>
      </w:r>
      <w:r w:rsidRPr="00AB2539">
        <w:t xml:space="preserve"> shows the advantages/disadvantages for </w:t>
      </w:r>
      <w:r w:rsidR="007046AC" w:rsidRPr="00AB2539">
        <w:t>indirect detection methods</w:t>
      </w:r>
      <w:r w:rsidRPr="00AB2539">
        <w:t xml:space="preserve">: Peroxidase reaction with (3,3'-diaminobenzidine) DAB and </w:t>
      </w:r>
      <w:r w:rsidR="007046AC">
        <w:t>f</w:t>
      </w:r>
      <w:r w:rsidR="007046AC" w:rsidRPr="00AB2539">
        <w:t>luorescence</w:t>
      </w:r>
      <w:r w:rsidRPr="00AB2539">
        <w:t xml:space="preserve">; and </w:t>
      </w:r>
      <w:r w:rsidR="007046AC" w:rsidRPr="00AB2539">
        <w:t>signal amplification methods</w:t>
      </w:r>
      <w:r w:rsidRPr="00AB2539">
        <w:t xml:space="preserve">: </w:t>
      </w:r>
      <w:r w:rsidR="00992833" w:rsidRPr="00AB2539">
        <w:t xml:space="preserve">avidin-biotin complex </w:t>
      </w:r>
      <w:r w:rsidRPr="00AB2539">
        <w:t xml:space="preserve">(ABC), </w:t>
      </w:r>
      <w:r w:rsidR="00992833" w:rsidRPr="00AB2539">
        <w:t xml:space="preserve">labeled streptavidin-biotin </w:t>
      </w:r>
      <w:r w:rsidRPr="00AB2539">
        <w:t xml:space="preserve">(LSAB), and </w:t>
      </w:r>
      <w:r w:rsidR="00992833">
        <w:t>n</w:t>
      </w:r>
      <w:r w:rsidR="00992833" w:rsidRPr="00AB2539">
        <w:t xml:space="preserve">ot </w:t>
      </w:r>
      <w:r w:rsidRPr="00AB2539">
        <w:t>additional amplification method.</w:t>
      </w:r>
    </w:p>
    <w:p w14:paraId="6A98E02C" w14:textId="77777777" w:rsidR="00802AE3" w:rsidRPr="00AB2539" w:rsidRDefault="00802AE3" w:rsidP="00AB2539">
      <w:pPr>
        <w:widowControl/>
        <w:contextualSpacing/>
        <w:rPr>
          <w:b/>
          <w:bCs/>
        </w:rPr>
      </w:pPr>
    </w:p>
    <w:p w14:paraId="05DCECCD" w14:textId="734D3E62" w:rsidR="00802AE3" w:rsidRPr="00AB2539" w:rsidRDefault="00802AE3" w:rsidP="00AB2539">
      <w:pPr>
        <w:widowControl/>
        <w:contextualSpacing/>
      </w:pPr>
      <w:r w:rsidRPr="00AB2539">
        <w:rPr>
          <w:b/>
          <w:bCs/>
        </w:rPr>
        <w:t xml:space="preserve">Table 2: Microscope setup specifications and </w:t>
      </w:r>
      <w:r w:rsidR="00992833" w:rsidRPr="00AB2539">
        <w:rPr>
          <w:b/>
          <w:bCs/>
        </w:rPr>
        <w:t xml:space="preserve">point spread function </w:t>
      </w:r>
      <w:r w:rsidRPr="00AB2539">
        <w:rPr>
          <w:b/>
          <w:bCs/>
        </w:rPr>
        <w:t>(PSF) file creation requirements.</w:t>
      </w:r>
      <w:r w:rsidRPr="00AB2539">
        <w:t xml:space="preserve"> There are 11 slots in the </w:t>
      </w:r>
      <w:r w:rsidR="00992833" w:rsidRPr="00AB2539">
        <w:t>d</w:t>
      </w:r>
      <w:r w:rsidRPr="00AB2539">
        <w:t xml:space="preserve">iffraction PSF 3D plugin window to create the PSF file. </w:t>
      </w:r>
      <w:r w:rsidR="00FF5633" w:rsidRPr="00AB2539">
        <w:t>Each slot is described as follows:</w:t>
      </w:r>
      <w:r w:rsidRPr="00AB2539">
        <w:t xml:space="preserve"> *1</w:t>
      </w:r>
      <w:r w:rsidR="00992833">
        <w:t xml:space="preserve"> -</w:t>
      </w:r>
      <w:r w:rsidRPr="00AB2539">
        <w:t xml:space="preserve"> Index of refraction of the media: index of refraction for the medium between the slide and the lens (e.g., air = 1.00029). *2 - Numerical Aperture: NA of lens used (</w:t>
      </w:r>
      <w:r w:rsidR="00FF5633" w:rsidRPr="00AB2539">
        <w:t xml:space="preserve">it </w:t>
      </w:r>
      <w:r w:rsidRPr="00AB2539">
        <w:t xml:space="preserve">must be corrected when a different immersion media </w:t>
      </w:r>
      <w:r w:rsidR="00FF5633" w:rsidRPr="00AB2539">
        <w:t xml:space="preserve">is </w:t>
      </w:r>
      <w:proofErr w:type="gramStart"/>
      <w:r w:rsidR="00FF5633" w:rsidRPr="00AB2539">
        <w:t>used</w:t>
      </w:r>
      <w:proofErr w:type="gramEnd"/>
      <w:r w:rsidR="00FF5633" w:rsidRPr="00AB2539">
        <w:t xml:space="preserve"> and </w:t>
      </w:r>
      <w:r w:rsidRPr="00AB2539">
        <w:t xml:space="preserve">lens was </w:t>
      </w:r>
      <w:r w:rsidR="00FF5633" w:rsidRPr="00AB2539">
        <w:t xml:space="preserve">assigned </w:t>
      </w:r>
      <w:r w:rsidRPr="00AB2539">
        <w:t>to). *3 - Wavelength: Fluorochrome max</w:t>
      </w:r>
      <w:r w:rsidR="00992833">
        <w:t>imum</w:t>
      </w:r>
      <w:r w:rsidRPr="00AB2539">
        <w:t xml:space="preserve"> emission wavelength (nm). *4 - Longitudinal Spherical Aberration: 0.00. *5 - Image pixel </w:t>
      </w:r>
      <w:proofErr w:type="gramStart"/>
      <w:r w:rsidRPr="00AB2539">
        <w:t>spacing:</w:t>
      </w:r>
      <w:proofErr w:type="gramEnd"/>
      <w:r w:rsidRPr="00AB2539">
        <w:t xml:space="preserve"> CCD pixel size (nm)/Magnification (e.g., 3.4 µm and 100X lens, 3400/100 = 34 nm). *6 - Distance between images Z-axis. *7 - Width: Enter the width </w:t>
      </w:r>
      <w:r w:rsidRPr="00AB2539">
        <w:lastRenderedPageBreak/>
        <w:t xml:space="preserve">of the image to be deconvolved in pixels. *8 - Height: Enter the height of the image to be deconvolved in pixels. *9 - Depth, slices: the number of images in the </w:t>
      </w:r>
      <w:r w:rsidR="00721934">
        <w:t>z-stack</w:t>
      </w:r>
      <w:r w:rsidRPr="00AB2539">
        <w:t xml:space="preserve">. *10 - Normalization: Sum of pixel values = 1. *11 - Title: Desired name for the PSF file. </w:t>
      </w:r>
      <w:r w:rsidR="00FF5633" w:rsidRPr="00AB2539">
        <w:t xml:space="preserve">The file </w:t>
      </w:r>
      <w:r w:rsidRPr="00AB2539">
        <w:t xml:space="preserve">should match up with the unique given </w:t>
      </w:r>
      <w:r w:rsidR="00721934">
        <w:t>z-stack</w:t>
      </w:r>
      <w:r w:rsidRPr="00AB2539">
        <w:t xml:space="preserve"> image.</w:t>
      </w:r>
      <w:r w:rsidRPr="00AB2539" w:rsidDel="001A0EBA">
        <w:t xml:space="preserve"> </w:t>
      </w:r>
    </w:p>
    <w:p w14:paraId="69E5BF52" w14:textId="77777777" w:rsidR="00D0711C" w:rsidRPr="00AB2539" w:rsidRDefault="00D0711C" w:rsidP="00AB2539">
      <w:pPr>
        <w:widowControl/>
        <w:contextualSpacing/>
        <w:rPr>
          <w:color w:val="808080" w:themeColor="background1" w:themeShade="80"/>
        </w:rPr>
      </w:pPr>
    </w:p>
    <w:p w14:paraId="64B8CF78" w14:textId="4EC136AE" w:rsidR="006305D7" w:rsidRPr="00AB2539" w:rsidRDefault="006305D7" w:rsidP="00AB2539">
      <w:pPr>
        <w:widowControl/>
        <w:contextualSpacing/>
        <w:rPr>
          <w:bCs/>
          <w:color w:val="808080"/>
        </w:rPr>
      </w:pPr>
      <w:r w:rsidRPr="00AB2539">
        <w:rPr>
          <w:b/>
        </w:rPr>
        <w:t>DISCUSSION</w:t>
      </w:r>
      <w:r w:rsidRPr="00AB2539">
        <w:rPr>
          <w:b/>
          <w:bCs/>
        </w:rPr>
        <w:t xml:space="preserve">: </w:t>
      </w:r>
    </w:p>
    <w:p w14:paraId="25A065BB" w14:textId="03E24965" w:rsidR="00E25AE0" w:rsidRPr="00AB2539" w:rsidRDefault="006A6C32" w:rsidP="00AB2539">
      <w:pPr>
        <w:widowControl/>
        <w:contextualSpacing/>
      </w:pPr>
      <w:r w:rsidRPr="00AB2539">
        <w:t xml:space="preserve">Adult </w:t>
      </w:r>
      <w:r w:rsidR="0089383B" w:rsidRPr="00AB2539">
        <w:t>n</w:t>
      </w:r>
      <w:r w:rsidRPr="00AB2539">
        <w:t xml:space="preserve">eurogenesis is a process that </w:t>
      </w:r>
      <w:r w:rsidR="00500B89" w:rsidRPr="00AB2539">
        <w:t>occur</w:t>
      </w:r>
      <w:r w:rsidR="00067C5C" w:rsidRPr="00AB2539">
        <w:t>s</w:t>
      </w:r>
      <w:r w:rsidR="00500B89" w:rsidRPr="00AB2539">
        <w:t xml:space="preserve"> most frequently in niches of </w:t>
      </w:r>
      <w:r w:rsidR="00BC2169" w:rsidRPr="00AB2539">
        <w:t xml:space="preserve">adult </w:t>
      </w:r>
      <w:r w:rsidR="00500B89" w:rsidRPr="00AB2539">
        <w:t xml:space="preserve">neural precursor cells </w:t>
      </w:r>
      <w:r w:rsidR="00BC2169" w:rsidRPr="00AB2539">
        <w:t xml:space="preserve">that have the potential to generate new neurons throughout </w:t>
      </w:r>
      <w:r w:rsidR="00AC3A4C">
        <w:t>their</w:t>
      </w:r>
      <w:r w:rsidR="00BC2169" w:rsidRPr="00AB2539">
        <w:t xml:space="preserve"> lifespan</w:t>
      </w:r>
      <w:r w:rsidR="00AC3A4C">
        <w:t>s</w:t>
      </w:r>
      <w:r w:rsidR="00BC2169" w:rsidRPr="00AB2539">
        <w:t>. Bromodeoxyuridine (</w:t>
      </w:r>
      <w:proofErr w:type="spellStart"/>
      <w:r w:rsidR="009F0DD2" w:rsidRPr="00AB2539">
        <w:t>BrdU</w:t>
      </w:r>
      <w:proofErr w:type="spellEnd"/>
      <w:r w:rsidR="00BC2169" w:rsidRPr="00AB2539">
        <w:t xml:space="preserve">) labeling is widely used in </w:t>
      </w:r>
      <w:r w:rsidR="00AC3A4C">
        <w:t>i</w:t>
      </w:r>
      <w:r w:rsidR="00BC2169" w:rsidRPr="00AB2539">
        <w:t>mmunology to characterize the number of newly generated cells in an adult brain.</w:t>
      </w:r>
      <w:r w:rsidR="0089383B" w:rsidRPr="00AB2539">
        <w:t xml:space="preserve"> </w:t>
      </w:r>
      <w:proofErr w:type="spellStart"/>
      <w:r w:rsidR="00BC2169" w:rsidRPr="00AB2539">
        <w:t>BrdU</w:t>
      </w:r>
      <w:proofErr w:type="spellEnd"/>
      <w:r w:rsidR="00BC2169" w:rsidRPr="00AB2539">
        <w:t xml:space="preserve"> will be mainly incorporated into cells of discrete brain regions (neurogenic zones). These cells are located in the sub-v</w:t>
      </w:r>
      <w:r w:rsidR="00972846" w:rsidRPr="00AB2539">
        <w:t>e</w:t>
      </w:r>
      <w:r w:rsidR="00BC2169" w:rsidRPr="00AB2539">
        <w:t>ntricular zone (SVZ)</w:t>
      </w:r>
      <w:r w:rsidR="00972846" w:rsidRPr="00AB2539">
        <w:t xml:space="preserve">, </w:t>
      </w:r>
      <w:r w:rsidR="00067C5C" w:rsidRPr="00AB2539">
        <w:t xml:space="preserve">the </w:t>
      </w:r>
      <w:r w:rsidR="00972846" w:rsidRPr="00AB2539">
        <w:t xml:space="preserve">dentate gyrus of </w:t>
      </w:r>
      <w:r w:rsidR="00067C5C" w:rsidRPr="00AB2539">
        <w:t xml:space="preserve">the </w:t>
      </w:r>
      <w:r w:rsidR="00972846" w:rsidRPr="00AB2539">
        <w:t>hippocampus</w:t>
      </w:r>
      <w:r w:rsidR="00AC3A4C">
        <w:t>—</w:t>
      </w:r>
      <w:r w:rsidR="00972846" w:rsidRPr="00AB2539">
        <w:t xml:space="preserve">between the </w:t>
      </w:r>
      <w:proofErr w:type="spellStart"/>
      <w:r w:rsidR="00972846" w:rsidRPr="00AB2539">
        <w:t>hilus</w:t>
      </w:r>
      <w:proofErr w:type="spellEnd"/>
      <w:r w:rsidR="00972846" w:rsidRPr="00AB2539">
        <w:t xml:space="preserve"> and granular cells know as sub-granular zone (SGZ)</w:t>
      </w:r>
      <w:r w:rsidR="00972846" w:rsidRPr="00AB2539">
        <w:rPr>
          <w:vertAlign w:val="superscript"/>
        </w:rPr>
        <w:t>1,2,</w:t>
      </w:r>
      <w:r w:rsidR="000C450D" w:rsidRPr="00AB2539">
        <w:rPr>
          <w:vertAlign w:val="superscript"/>
        </w:rPr>
        <w:fldChar w:fldCharType="begin" w:fldLock="1"/>
      </w:r>
      <w:r w:rsidR="00CC5EC1" w:rsidRPr="00AB2539">
        <w:rPr>
          <w:vertAlign w:val="superscript"/>
        </w:rPr>
        <w:instrText>ADDIN CSL_CITATION {"citationItems":[{"id":"ITEM-1","itemData":{"DOI":"10.1016/j.jchemneu.2019.101667","ISSN":"18736300","abstract":"In 1962, Joseph Altman described that the brain generates neurons after the postnatal period, and this continues throughout your life (Altman, 1962). This was a breakthrough in the neuroscience field because before this the accepted paradigm was that the brain only generated neurons during the embryonal development. This discovery has been controversial ever since, especially since one of the areas of the brain with neurogenic properties is the hippocampus, which is the area involved in memory storage and neurodegenerative processes. The adult hippocampal neurogenesis modulates in response to different environmental factors. In this article, we review how exercise and cognitive and sexual activity can regulate the generation of new neurons in the hippocampal in an adult brain and the impact of these new neurons in the brain circuitry.","author":[{"dropping-particle":"","family":"Leal-Galicia","given":"P.","non-dropping-particle":"","parse-names":false,"suffix":""},{"dropping-particle":"","family":"Romo-Parra","given":"H.","non-dropping-particle":"","parse-names":false,"suffix":""},{"dropping-particle":"","family":"Rodríguez-Serrano","given":"L. M.","non-dropping-particle":"","parse-names":false,"suffix":""},{"dropping-particle":"","family":"Buenrostro-Jáuregui","given":"M.","non-dropping-particle":"","parse-names":false,"suffix":""}],"container-title":"Journal of Chemical Neuroanatomy","id":"ITEM-1","issue":"August","issued":{"date-parts":[["2019"]]},"page":"101667","publisher":"Elsevier","title":"Regulation of adult hippocampal neurogenesis exerted by sexual, cognitive and physical activity: An update","type":"article-journal","volume":"101"},"uris":["http://www.mendeley.com/documents/?uuid=7a8b3e4e-4d6d-4907-9a54-fd38f768ae55"]}],"mendeley":{"formattedCitation":"&lt;sup&gt;18&lt;/sup&gt;","plainTextFormattedCitation":"18","previouslyFormattedCitation":"&lt;sup&gt;18&lt;/sup&gt;"},"properties":{"noteIndex":0},"schema":"https://github.com/citation-style-language/schema/raw/master/csl-citation.json"}</w:instrText>
      </w:r>
      <w:r w:rsidR="000C450D" w:rsidRPr="00AB2539">
        <w:rPr>
          <w:vertAlign w:val="superscript"/>
        </w:rPr>
        <w:fldChar w:fldCharType="separate"/>
      </w:r>
      <w:r w:rsidR="000C450D" w:rsidRPr="00AB2539">
        <w:rPr>
          <w:noProof/>
          <w:vertAlign w:val="superscript"/>
        </w:rPr>
        <w:t>18</w:t>
      </w:r>
      <w:r w:rsidR="000C450D" w:rsidRPr="00AB2539">
        <w:rPr>
          <w:vertAlign w:val="superscript"/>
        </w:rPr>
        <w:fldChar w:fldCharType="end"/>
      </w:r>
      <w:r w:rsidR="00972846" w:rsidRPr="008348CD">
        <w:rPr>
          <w:vertAlign w:val="subscript"/>
        </w:rPr>
        <w:t>.</w:t>
      </w:r>
      <w:r w:rsidR="009F0DD2" w:rsidRPr="00AB2539">
        <w:t xml:space="preserve"> </w:t>
      </w:r>
      <w:r w:rsidR="00972846" w:rsidRPr="00AB2539">
        <w:t>Moreover, there are different brain regions characterized by a lower proliferative capacit</w:t>
      </w:r>
      <w:r w:rsidR="0064765A" w:rsidRPr="00AB2539">
        <w:t>y</w:t>
      </w:r>
      <w:r w:rsidR="00972846" w:rsidRPr="00AB2539">
        <w:t xml:space="preserve"> in adulthood, including the hypothalamus, striatum, neocortex</w:t>
      </w:r>
      <w:r w:rsidR="0064765A" w:rsidRPr="00AB2539">
        <w:t>,</w:t>
      </w:r>
      <w:r w:rsidR="00972846" w:rsidRPr="00AB2539">
        <w:t xml:space="preserve"> and amygdala</w:t>
      </w:r>
      <w:r w:rsidR="00CC5EC1" w:rsidRPr="00AB2539">
        <w:fldChar w:fldCharType="begin" w:fldLock="1"/>
      </w:r>
      <w:r w:rsidR="00A82A9F" w:rsidRPr="00AB2539">
        <w:instrText>ADDIN CSL_CITATION {"citationItems":[{"id":"ITEM-1","itemData":{"DOI":"10.1038/nrn2147","ISSN":"1471003X","abstract":"It is now widely accepted that neurogenesis occurs in two regions of the adult mammalian brain - the hippocampus and the olfactory bulb. There is evidence for adult neurogenesis in several additional areas, including the neocortex, striatum, amygdala and substantia nigra, but this has been difficult to replicate consistently other than in the damaged brain. The discrepancies may be due to variations in the sensitivity of the methods used to detect new neurons. © 2007 Nature Publishing Group.","author":[{"dropping-particle":"","family":"Gould","given":"Elizabeth","non-dropping-particle":"","parse-names":false,"suffix":""}],"container-title":"Nature Reviews Neuroscience","id":"ITEM-1","issue":"6","issued":{"date-parts":[["2007"]]},"page":"481-488","title":"How widespread is adult neurogenesis in mammals?","type":"article-journal","volume":"8"},"uris":["http://www.mendeley.com/documents/?uuid=d4142612-7643-4193-ae4d-bd3f014aa7c1"]}],"mendeley":{"formattedCitation":"&lt;sup&gt;19&lt;/sup&gt;","plainTextFormattedCitation":"19","previouslyFormattedCitation":"&lt;sup&gt;19&lt;/sup&gt;"},"properties":{"noteIndex":0},"schema":"https://github.com/citation-style-language/schema/raw/master/csl-citation.json"}</w:instrText>
      </w:r>
      <w:r w:rsidR="00CC5EC1" w:rsidRPr="00AB2539">
        <w:fldChar w:fldCharType="separate"/>
      </w:r>
      <w:r w:rsidR="00CC5EC1" w:rsidRPr="00AB2539">
        <w:rPr>
          <w:noProof/>
          <w:vertAlign w:val="superscript"/>
        </w:rPr>
        <w:t>19</w:t>
      </w:r>
      <w:r w:rsidR="00CC5EC1" w:rsidRPr="00AB2539">
        <w:fldChar w:fldCharType="end"/>
      </w:r>
      <w:r w:rsidR="00972846" w:rsidRPr="00AB2539">
        <w:t xml:space="preserve">. </w:t>
      </w:r>
      <w:r w:rsidR="000927BA" w:rsidRPr="00AB2539">
        <w:t xml:space="preserve">As mentioned before, </w:t>
      </w:r>
      <w:proofErr w:type="spellStart"/>
      <w:r w:rsidR="000927BA" w:rsidRPr="00AB2539">
        <w:t>BrdU</w:t>
      </w:r>
      <w:proofErr w:type="spellEnd"/>
      <w:r w:rsidR="000927BA" w:rsidRPr="00AB2539">
        <w:t xml:space="preserve"> staining is the commonly used method for adult neurogenesis research to detect cell proliferation. However, the use of </w:t>
      </w:r>
      <w:proofErr w:type="spellStart"/>
      <w:r w:rsidR="000927BA" w:rsidRPr="00AB2539">
        <w:t>BrdU</w:t>
      </w:r>
      <w:proofErr w:type="spellEnd"/>
      <w:r w:rsidR="000927BA" w:rsidRPr="00AB2539">
        <w:t xml:space="preserve"> as a marker has limitations and pitfalls. The first one is that </w:t>
      </w:r>
      <w:proofErr w:type="spellStart"/>
      <w:r w:rsidR="000927BA" w:rsidRPr="00AB2539">
        <w:t>BrdU</w:t>
      </w:r>
      <w:proofErr w:type="spellEnd"/>
      <w:r w:rsidR="000927BA" w:rsidRPr="00AB2539">
        <w:t xml:space="preserve"> is a cell cycle marker. Therefore, </w:t>
      </w:r>
      <w:proofErr w:type="gramStart"/>
      <w:r w:rsidR="000927BA" w:rsidRPr="00AB2539">
        <w:t>double</w:t>
      </w:r>
      <w:proofErr w:type="gramEnd"/>
      <w:r w:rsidR="000927BA" w:rsidRPr="00AB2539">
        <w:t xml:space="preserve"> or triple staining must be performed to identify the cell fate and include cell markers to detect the specific developmental stage of the cells labeled. One more concern</w:t>
      </w:r>
      <w:r w:rsidR="0023122C" w:rsidRPr="00AB2539">
        <w:t xml:space="preserve"> about</w:t>
      </w:r>
      <w:r w:rsidR="00EC349D" w:rsidRPr="00AB2539">
        <w:t xml:space="preserve"> </w:t>
      </w:r>
      <w:proofErr w:type="spellStart"/>
      <w:r w:rsidR="00972846" w:rsidRPr="00AB2539">
        <w:t>BrdU</w:t>
      </w:r>
      <w:proofErr w:type="spellEnd"/>
      <w:r w:rsidR="00AC3A4C">
        <w:t xml:space="preserve"> i</w:t>
      </w:r>
      <w:r w:rsidR="008348CD">
        <w:t>s</w:t>
      </w:r>
      <w:r w:rsidR="00AC3A4C">
        <w:t xml:space="preserve"> that it</w:t>
      </w:r>
      <w:r w:rsidR="00972846" w:rsidRPr="00AB2539">
        <w:t xml:space="preserve"> is a toxic and mutagenic solution that modifies DNA stability may alter cellular function and cell cycles. </w:t>
      </w:r>
      <w:r w:rsidR="00AE7322" w:rsidRPr="00AB2539">
        <w:t xml:space="preserve">Consideration should be given to the previous information when </w:t>
      </w:r>
      <w:r w:rsidR="00256084" w:rsidRPr="00AB2539">
        <w:t>deciding</w:t>
      </w:r>
      <w:r w:rsidR="00256084" w:rsidRPr="00AB2539" w:rsidDel="00256084">
        <w:t xml:space="preserve"> </w:t>
      </w:r>
      <w:r w:rsidR="0089383B" w:rsidRPr="00AB2539">
        <w:t>to follow</w:t>
      </w:r>
      <w:r w:rsidR="00AE7322" w:rsidRPr="00AB2539">
        <w:t xml:space="preserve"> an administration protocol </w:t>
      </w:r>
      <w:r w:rsidR="00A4021C" w:rsidRPr="00AB2539">
        <w:t>and</w:t>
      </w:r>
      <w:r w:rsidR="00AE7322" w:rsidRPr="00AB2539">
        <w:t xml:space="preserve"> administration doses (50</w:t>
      </w:r>
      <w:r w:rsidR="00AC3A4C" w:rsidRPr="00D13D3E">
        <w:t>‒</w:t>
      </w:r>
      <w:r w:rsidR="00AE7322" w:rsidRPr="00AB2539">
        <w:t>60</w:t>
      </w:r>
      <w:r w:rsidR="00A4021C" w:rsidRPr="00AB2539">
        <w:t>0</w:t>
      </w:r>
      <w:r w:rsidR="00AE7322" w:rsidRPr="00AB2539">
        <w:t xml:space="preserve"> mg/kg). Another crucial feature is that </w:t>
      </w:r>
      <w:proofErr w:type="spellStart"/>
      <w:r w:rsidR="00C16479" w:rsidRPr="00AB2539">
        <w:t>BrdU</w:t>
      </w:r>
      <w:proofErr w:type="spellEnd"/>
      <w:r w:rsidR="00C16479" w:rsidRPr="00AB2539">
        <w:t xml:space="preserve"> is a DNA synthesis marker, not a cell proliferation marker</w:t>
      </w:r>
      <w:r w:rsidR="00AE7322" w:rsidRPr="00AB2539">
        <w:rPr>
          <w:vertAlign w:val="superscript"/>
        </w:rPr>
        <w:t>14</w:t>
      </w:r>
      <w:r w:rsidR="00AE7322" w:rsidRPr="00AB2539">
        <w:t xml:space="preserve">. Therefore, it is relevant to distinguish cell proliferation from other events such as a DNA repair, abortive cell cycle re-entry, and gene duplication. </w:t>
      </w:r>
      <w:r w:rsidR="00EC349D" w:rsidRPr="00AB2539">
        <w:t xml:space="preserve">Researchers must </w:t>
      </w:r>
      <w:r w:rsidR="00531F74" w:rsidRPr="00AB2539">
        <w:t xml:space="preserve">follow </w:t>
      </w:r>
      <w:r w:rsidR="00EC349D" w:rsidRPr="00AB2539">
        <w:t xml:space="preserve">appropriate controls to ensure the appropriate use of </w:t>
      </w:r>
      <w:proofErr w:type="spellStart"/>
      <w:r w:rsidR="00EC349D" w:rsidRPr="00AB2539">
        <w:t>BrdU</w:t>
      </w:r>
      <w:proofErr w:type="spellEnd"/>
      <w:r w:rsidR="00EC349D" w:rsidRPr="00AB2539">
        <w:t xml:space="preserve">. </w:t>
      </w:r>
      <w:r w:rsidR="00531F74" w:rsidRPr="00AB2539">
        <w:t>For a</w:t>
      </w:r>
      <w:r w:rsidR="00EC349D" w:rsidRPr="00AB2539">
        <w:t xml:space="preserve"> more detailed discussion about these problems and limitations, we recommend </w:t>
      </w:r>
      <w:r w:rsidR="00A64240" w:rsidRPr="00AB2539">
        <w:t>reviewing</w:t>
      </w:r>
      <w:r w:rsidR="00A64240" w:rsidRPr="00AB2539" w:rsidDel="00A64240">
        <w:t xml:space="preserve"> </w:t>
      </w:r>
      <w:proofErr w:type="spellStart"/>
      <w:r w:rsidR="00EC349D" w:rsidRPr="00AB2539">
        <w:t>Taupin's</w:t>
      </w:r>
      <w:proofErr w:type="spellEnd"/>
      <w:r w:rsidR="00EC349D" w:rsidRPr="00AB2539">
        <w:t xml:space="preserve"> </w:t>
      </w:r>
      <w:r w:rsidR="00531F74" w:rsidRPr="00AB2539">
        <w:t>work</w:t>
      </w:r>
      <w:r w:rsidR="00EC349D" w:rsidRPr="00AB2539">
        <w:fldChar w:fldCharType="begin" w:fldLock="1"/>
      </w:r>
      <w:r w:rsidR="00383526" w:rsidRPr="00AB2539">
        <w:instrText>ADDIN CSL_CITATION {"citationItems":[{"id":"ITEM-1","itemData":{"DOI":"10.1016/j.brainresrev.2006.08.002","ISSN":"01650173","abstract":"Bromodeoxyuridine (BrdU) is a thymidine analog that incorporates DNA of dividing cells during the S-phase of the cell cycle. As such, BrdU is used for birth dating and monitoring cell proliferation. BrdU immunohistochemistry has been instrumental for the study of the development of the nervous system, and to confirm that neurogenesis occurs in the adult mammalian brain, including in human. However, the use of BrdU for studying neurogenesis is not without pitfalls and limitations. BrdU is a toxic and mutagenic substance. It triggers cell death, the formation of teratomas, alters DNA stability, lengthens the cell cycle, and has mitogenic, transcriptional and translational effects on cells that incorporate it. All of which have profound consequences on neurogenesis. BrdU is not a marker of the S-phase of the cell cycle. As a thymidine analog, it is a marker of DNA synthesis. Therefore, studying neurogenesis with BrdU requires distinguishing cell proliferation and neurogenesis from other events involving DNA synthesis, like DNA repair, abortive cell cycle reentry and gene duplication. BrdU labeling is currently the most used technique for studying adult neurogenesis in situ. However in many instances, appropriate controls have been overlooked and events reported as the generation of new neuronal cells in the adult brain misinterpreted, which makes BrdU labeling one of the most misused techniques in neuroscience. © 2006 Elsevier B.V. All rights reserved.","author":[{"dropping-particle":"","family":"Taupin","given":"Philippe","non-dropping-particle":"","parse-names":false,"suffix":""}],"container-title":"Brain Research Reviews","id":"ITEM-1","issue":"1","issued":{"date-parts":[["2007"]]},"page":"198-214","title":"BrdU immunohistochemistry for studying adult neurogenesis: Paradigms, pitfalls, limitations, and validation","type":"article-journal","volume":"53"},"uris":["http://www.mendeley.com/documents/?uuid=932c92e5-5769-491e-a28a-212affb4dfc5"]}],"mendeley":{"formattedCitation":"&lt;sup&gt;14&lt;/sup&gt;","plainTextFormattedCitation":"14","previouslyFormattedCitation":"&lt;sup&gt;14&lt;/sup&gt;"},"properties":{"noteIndex":0},"schema":"https://github.com/citation-style-language/schema/raw/master/csl-citation.json"}</w:instrText>
      </w:r>
      <w:r w:rsidR="00EC349D" w:rsidRPr="00AB2539">
        <w:fldChar w:fldCharType="separate"/>
      </w:r>
      <w:r w:rsidR="00557272" w:rsidRPr="00AB2539">
        <w:rPr>
          <w:noProof/>
          <w:vertAlign w:val="superscript"/>
        </w:rPr>
        <w:t>14</w:t>
      </w:r>
      <w:r w:rsidR="00EC349D" w:rsidRPr="00AB2539">
        <w:fldChar w:fldCharType="end"/>
      </w:r>
      <w:r w:rsidR="00EC349D" w:rsidRPr="00AB2539">
        <w:t>.</w:t>
      </w:r>
      <w:r w:rsidR="00EC349D" w:rsidRPr="00AB2539" w:rsidDel="00EC349D">
        <w:t xml:space="preserve"> </w:t>
      </w:r>
      <w:r w:rsidR="00531F74" w:rsidRPr="00AB2539">
        <w:t>The standardization process of an immunohistochemistry protocol could be slow and challenging</w:t>
      </w:r>
      <w:r w:rsidR="00E25AE0" w:rsidRPr="00AB2539">
        <w:t xml:space="preserve">. </w:t>
      </w:r>
      <w:r w:rsidR="00531F74" w:rsidRPr="00AB2539">
        <w:t xml:space="preserve">In this work, we </w:t>
      </w:r>
      <w:r w:rsidR="00AC3A4C">
        <w:t xml:space="preserve">have </w:t>
      </w:r>
      <w:r w:rsidR="00531F74" w:rsidRPr="00AB2539">
        <w:t>presented all the general steps to manage a successful IHC protocol. However, we recommend that every research</w:t>
      </w:r>
      <w:r w:rsidR="00AC3A4C">
        <w:t xml:space="preserve"> </w:t>
      </w:r>
      <w:r w:rsidR="00531F74" w:rsidRPr="00AB2539">
        <w:t>group test and evaluate tissue, antibodies</w:t>
      </w:r>
      <w:r w:rsidR="00A07A70" w:rsidRPr="00AB2539">
        <w:t>,</w:t>
      </w:r>
      <w:r w:rsidR="00531F74" w:rsidRPr="00AB2539">
        <w:t xml:space="preserve"> and conditions in advance. </w:t>
      </w:r>
      <w:r w:rsidR="00C52463" w:rsidRPr="00AB2539">
        <w:t>Tests and evaluations must be carried out with at least three different levels of incubations, washing steps, and strengths for each antibody and tissue tested. We also recommend t</w:t>
      </w:r>
      <w:r w:rsidR="00AC3A4C">
        <w:t>hat</w:t>
      </w:r>
      <w:r w:rsidR="00C52463" w:rsidRPr="00AB2539">
        <w:t xml:space="preserve"> researchers review additional protocols to be able to choose the best one that meet</w:t>
      </w:r>
      <w:r w:rsidR="00FB23AD" w:rsidRPr="00AB2539">
        <w:t>s</w:t>
      </w:r>
      <w:r w:rsidR="00C52463" w:rsidRPr="00AB2539">
        <w:t xml:space="preserve"> specific needs and requirement</w:t>
      </w:r>
      <w:r w:rsidR="00A82A9F" w:rsidRPr="00AB2539">
        <w:t>s</w:t>
      </w:r>
      <w:r w:rsidR="00A82A9F" w:rsidRPr="00AB2539">
        <w:fldChar w:fldCharType="begin" w:fldLock="1"/>
      </w:r>
      <w:r w:rsidR="00AE2045" w:rsidRPr="00AB2539">
        <w:instrText>ADDIN CSL_CITATION {"citationItems":[{"id":"ITEM-1","itemData":{"DOI":"10.1369/jhc.4A6605.2005","ISSN":"00221554","abstract":"Bromodeoxyuridine (BrdU) immunohistochemistry is the method of choice for labeling newly generated cells in the brain. Most BrdU studies utilize paraformaldehyde-fixed brain tissue because of its compatibility with both BrdU and other immunohistochemical methods. However, stronger fixation is required for electron microscopic studies, and unfixed tissue is needed for biochemical and molecular studies. Because there are no systematic studies comparing the effects of different fixatives on BrdU immunohistochemistry in brain tissue, we compared BrdU immunohistochemical methods in brain tissue fixed with 4% paraformaldehyde, a mixed glutaraldehyde-paraformaldehyde fixative for electron microscopy, and unfixed tissue from brains perfused only with buffer and flash frozen. After optimizing immunostaining protocols, qualitative assessments of light microscopic diaminobenzidine labeling and of double-label immunofluorescence with confocal microscopy demonstrated excellent BrdU labeling in each of the three groups. Quantitative stereological assessment of the number of BrdU-labeled cells in rat dentate gyrus showed no significant difference in the number of labeled cells detected with each perfusion protocol. Additionally, we developed a protocol to visualize BrdU-labeled cells in the electron microscope with adequate preservation of fine structure in both rat and monkey brain. © The Histochemical Society, Inc.","author":[{"dropping-particle":"","family":"Ngwenya","given":"Laura B.","non-dropping-particle":"","parse-names":false,"suffix":""},{"dropping-particle":"","family":"Peters","given":"Alan","non-dropping-particle":"","parse-names":false,"suffix":""},{"dropping-particle":"","family":"Rosene","given":"Douglas L.","non-dropping-particle":"","parse-names":false,"suffix":""}],"container-title":"Journal of Histochemistry and Cytochemistry","id":"ITEM-1","issue":"7","issued":{"date-parts":[["2005"]]},"page":"821-832","title":"Light and electron microscopic immunohistochemical detection of bromodeoxyuridine-labeled cells in the brain: Different fixation and processing protocols","type":"article-journal","volume":"53"},"uris":["http://www.mendeley.com/documents/?uuid=1accaf0d-5922-40b0-9039-5ce3cc5f7b49"]},{"id":"ITEM-2","itemData":{"DOI":"10.3791/52551","ISSN":"1940087X","abstract":"Adult neurogenesis is a highly regulated, multi-stage process in which new neurons are generated from an activated neural stem cell via increasingly committed intermediate progenitor subtypes. Each of these subtypes expresses a set of specific molecular markers that, together with specific morphological criteria, can be used for their identification. Typically, immunofluorescent techniques are applied involving subtypespecific antibodies in combination with exo- or endogenous proliferation markers. We herein describe immunolabeling methods for the detection and quantification of all stages of adult hippocampal neurogenesis. These comprise the application of thymidine analogs, transcardial perfusion, tissue processing, heat-induced epitope retrieval, ABC immunohistochemistry, multiple indirect immunofluorescence, confocal microscopy and cell quantification. Furthermore we present a sequential multiple immunofluorescence protocol which circumvents problems usually arising from the need of using primary antibodies raised in the same host species. It allows an accurate identification of all hippocampal progenitor subtypes together with a proliferation marker within a single section. These techniques are a powerful tool to study the regulation of different progenitor subtypes in parallel, their involvement in brain pathologies and their role in specific brain functions.","author":[{"dropping-particle":"","family":"Ansorg","given":"Anne","non-dropping-particle":"","parse-names":false,"suffix":""},{"dropping-particle":"","family":"Bornkessel","given":"Katja","non-dropping-particle":"","parse-names":false,"suffix":""},{"dropping-particle":"","family":"Witte","given":"Otto W.","non-dropping-particle":"","parse-names":false,"suffix":""},{"dropping-particle":"","family":"Urbach","given":"Anja","non-dropping-particle":"","parse-names":false,"suffix":""}],"container-title":"Journal of Visualized Experiments","id":"ITEM-2","issue":"98","issued":{"date-parts":[["2015"]]},"title":"Immunohistochemistry and multiple labeling with antibodies from the same host species to study adult hippocampal neurogenesis","type":"article-journal","volume":"2015"},"uris":["http://www.mendeley.com/documents/?uuid=1004b802-1978-4ed8-9243-61e746ef77be"]},{"id":"ITEM-3","itemData":{"DOI":"10.3791/2166","ISSN":"1940087X","abstract":"Accurate measurement of cell division is a fundamental challenge in experimental biology that becomes increasingly complex when slowly dividing cells are analyzed. Established methods to detect cell division include direct visualization by continuous microscopy in cell culture, dilution of vital dyes such as carboxyfluorescein di-aetate succinimidyl ester (CFSE), immuno-detection of mitogenic antigens such as ki67 or PCNA, and thymidine analogues. Thymidine analogues can be detected by a variety of methods including radio-detection for tritiated thymidine, immuno-detection for bromo-deoxyuridine (BrdU), chloro-deoxyuridine (CldU) and iodo-deoxyuridine (IdU), and chemical detection for ethinyl-deoxyuridine (EdU). We have derived a strategy to detect sequential incorporation of different thymidine analogues (CldU and IdU) into tissues of adult mice. Our method allows investigators to accurately quantify two successive rounds of cell division. By optimizing immunostaining protocols our approach can detect very low dose thymidine analogues administered via the drinking water, safe to administer to mice for prolonged periods of time. Consequently, our technique can be used to detect cell turnover in very long-lived tissues. Optimal immunofluoresent staining results can be achieved in multiple tissue types, including pancreas, skin, gut, liver, adrenal, testis, ovary, thyroid, lymph node, and brain. We have also applied this technique to identify oncogenic transformation within tissues. We have further applied this technique to determine if transit-amplifying cells contribute to growth or renewal of tissues. In this sense, sequential administration of thymidine analogues represents a novel approach for studying the origins and survival of cells involved in tissue homeostasis. © 2010 Journal of Visualized Experiments.","author":[{"dropping-particle":"","family":"Tuttle","given":"Alex H.","non-dropping-particle":"","parse-names":false,"suffix":""},{"dropping-particle":"","family":"Rankin","given":"Matthew M.","non-dropping-particle":"","parse-names":false,"suffix":""},{"dropping-particle":"","family":"Teta","given":"Monica","non-dropping-particle":"","parse-names":false,"suffix":""},{"dropping-particle":"","family":"Sartori","given":"Daniel J.","non-dropping-particle":"","parse-names":false,"suffix":""},{"dropping-particle":"","family":"Stein","given":"Geneva M.","non-dropping-particle":"","parse-names":false,"suffix":""},{"dropping-particle":"","family":"Kim","given":"Gina J.","non-dropping-particle":"","parse-names":false,"suffix":""},{"dropping-particle":"","family":"Virgilio","given":"Cristina","non-dropping-particle":"","parse-names":false,"suffix":""},{"dropping-particle":"","family":"Granger","given":"Anne","non-dropping-particle":"","parse-names":false,"suffix":""},{"dropping-particle":"","family":"Zhou","given":"Di","non-dropping-particle":"","parse-names":false,"suffix":""},{"dropping-particle":"","family":"Long","given":"Simon H.","non-dropping-particle":"","parse-names":false,"suffix":""},{"dropping-particle":"","family":"Schiffman","given":"Alisa B.","non-dropping-particle":"","parse-names":false,"suffix":""},{"dropping-particle":"","family":"Kushner","given":"Jake A.","non-dropping-particle":"","parse-names":false,"suffix":""}],"container-title":"Journal of Visualized Experiments","id":"ITEM-3","issue":"46","issued":{"date-parts":[["2010"]]},"page":"1-6","title":"Immunofluorescent detection of two thymidine analogues (CldU and IdU) in primary tissue","type":"article-journal"},"uris":["http://www.mendeley.com/documents/?uuid=d283d53b-742f-4383-9dd2-cd08a1db4f03"]},{"id":"ITEM-4","itemData":{"DOI":"10.1177/43.1.7822757","ISSN":"00221554","abstract":"A method was developed for detection of bromodeoxyuridine (BrdU) in conjunction with other antigens in formalin-fixed paraffin sections with microwave antigen retrieval. The method was applied to rat adrenal medulla to demonstrate S-phase nuclei in epinephrine-producing cells stained for immunoreactive phenylethanolamine-N-methyltransferase and in norepinephrine- producing cells stained for immunoreactive tyrosine hydroxylase. The quality of staining for all three antigens was comparable to or better than that previously obtained with other techniques. This method provides an efficient tool for studying turnover of subpopulations of adrenal chromaffin cells. It should also be widely applicable to other cells and tissues.","author":[{"dropping-particle":"","family":"Tischler","given":"A. S.","non-dropping-particle":"","parse-names":false,"suffix":""}],"container-title":"Journal of Histochemistry and Cytochemistry","id":"ITEM-4","issue":"1","issued":{"date-parts":[["1995"]]},"page":"1-4","title":"Triple immunohistochemical staining for bromodeoxyuridine and catecholamine biosynthetic enzymes using microwave antigen retrieval","type":"article-journal","volume":"43"},"uris":["http://www.mendeley.com/documents/?uuid=b658014e-562c-4092-a5c4-8363850e299d"]},{"id":"ITEM-5","itemData":{"DOI":"10.2217/17460751.2.1.51","ISSN":"17460751","abstract":"The first evidence that neurogenesis occurs in the adult brain was reported in rodents in the early 1960s, using [3H]-thymidine autoradiography. In the 1980s and 90s, the advent of new techniques and protocols for studying cell proliferation in situ, and particularly bromodeoxyuridine labeling, helped to confirm that neurogenesis occurs in the adult brain and neural stem cells reside in the adult CNS, including in humans. Bromodeoxyuridine labeling is currently the method most commonly used for studying neurogenesis in the adult brain. However, this procedure is not without limitations, and controversies. In this article, I will review recent protocols for studying adult neurogenesis, particularly new protocols for studying cell kinetics and cell proliferative history, using halopyrimidines. I will review these techniques, and discuss their implications for the field of adult neurogenesis. © 2007 Future Medicine Ltd.","author":[{"dropping-particle":"","family":"Taupin","given":"Philippe","non-dropping-particle":"","parse-names":false,"suffix":""}],"container-title":"Regenerative Medicine","id":"ITEM-5","issue":"1","issued":{"date-parts":[["2007"]]},"page":"51-62","title":"Protocols for studying adult neurogenesis: Insights and recent developments","type":"article-journal","volume":"2"},"uris":["http://www.mendeley.com/documents/?uuid=4592948c-dc69-494f-be74-aea5d582d1ae"]},{"id":"ITEM-6","itemData":{"DOI":"10.1002/cne.22107.Thymidine","author":[{"dropping-particle":"","family":"Leuner","given":"Benedetta","non-dropping-particle":"","parse-names":false,"suffix":""},{"dropping-particle":"","family":"Glasper","given":"Erica R","non-dropping-particle":"","parse-names":false,"suffix":""},{"dropping-particle":"","family":"Gould","given":"Elizabeth","non-dropping-particle":"","parse-names":false,"suffix":""}],"container-title":"Biosystems","id":"ITEM-6","issue":"2","issued":{"date-parts":[["2010"]]},"page":"123-133","title":"Thymidine analog methods for studies of adult neurogenesis are not equally sensitive","type":"article-journal","volume":"517"},"uris":["http://www.mendeley.com/documents/?uuid=779f6a00-e104-4279-a337-a7f83d403076"]}],"mendeley":{"formattedCitation":"&lt;sup&gt;20–25&lt;/sup&gt;","plainTextFormattedCitation":"20–25","previouslyFormattedCitation":"&lt;sup&gt;20–25&lt;/sup&gt;"},"properties":{"noteIndex":0},"schema":"https://github.com/citation-style-language/schema/raw/master/csl-citation.json"}</w:instrText>
      </w:r>
      <w:r w:rsidR="00A82A9F" w:rsidRPr="00AB2539">
        <w:fldChar w:fldCharType="separate"/>
      </w:r>
      <w:r w:rsidR="00A82A9F" w:rsidRPr="00AB2539">
        <w:rPr>
          <w:noProof/>
          <w:vertAlign w:val="superscript"/>
        </w:rPr>
        <w:t>20–25</w:t>
      </w:r>
      <w:r w:rsidR="00A82A9F" w:rsidRPr="00AB2539">
        <w:fldChar w:fldCharType="end"/>
      </w:r>
      <w:r w:rsidR="00C52463" w:rsidRPr="00AB2539">
        <w:t xml:space="preserve">. </w:t>
      </w:r>
    </w:p>
    <w:p w14:paraId="156B7E1E" w14:textId="77777777" w:rsidR="00E25AE0" w:rsidRPr="00AB2539" w:rsidRDefault="00E25AE0" w:rsidP="00AB2539">
      <w:pPr>
        <w:widowControl/>
        <w:contextualSpacing/>
      </w:pPr>
    </w:p>
    <w:p w14:paraId="0F9F1E6B" w14:textId="1EC7F865" w:rsidR="0029355E" w:rsidRPr="00AB2539" w:rsidRDefault="00C52463" w:rsidP="00AB2539">
      <w:pPr>
        <w:widowControl/>
        <w:contextualSpacing/>
      </w:pPr>
      <w:r w:rsidRPr="00AB2539">
        <w:t xml:space="preserve">As mentioned previously, the procedure involves several steps and methodological considerations that are commonly used and mentioned in </w:t>
      </w:r>
      <w:r w:rsidR="002B7B3D" w:rsidRPr="00AB2539">
        <w:t>s</w:t>
      </w:r>
      <w:r w:rsidRPr="00AB2539">
        <w:t>cientific articles</w:t>
      </w:r>
      <w:r w:rsidR="00FB23AD" w:rsidRPr="00AB2539">
        <w:t>,</w:t>
      </w:r>
      <w:r w:rsidRPr="00AB2539">
        <w:t xml:space="preserve"> which will be later discussed. We recommend </w:t>
      </w:r>
      <w:r w:rsidR="00AC3A4C">
        <w:t xml:space="preserve">that </w:t>
      </w:r>
      <w:r w:rsidR="002B7B3D" w:rsidRPr="00AB2539">
        <w:t>researchers choose</w:t>
      </w:r>
      <w:r w:rsidRPr="00AB2539">
        <w:t xml:space="preserve"> the antibod</w:t>
      </w:r>
      <w:r w:rsidR="002B7B3D" w:rsidRPr="00AB2539">
        <w:t>ies</w:t>
      </w:r>
      <w:r w:rsidRPr="00AB2539">
        <w:t xml:space="preserve"> carefully and correctly in terms of technique, budget, equipment, setu</w:t>
      </w:r>
      <w:r w:rsidR="002B7B3D" w:rsidRPr="00AB2539">
        <w:t>p</w:t>
      </w:r>
      <w:r w:rsidR="00FB23AD" w:rsidRPr="00AB2539">
        <w:t>,</w:t>
      </w:r>
      <w:r w:rsidR="002B7B3D" w:rsidRPr="00AB2539">
        <w:t xml:space="preserve"> and main research goal. Antibodies must be tested with the same type of tissue that will be later tested in the experiment. We also recommend the use of an antibody that was tested for the same purpose </w:t>
      </w:r>
      <w:r w:rsidR="008579E5" w:rsidRPr="00AB2539">
        <w:t xml:space="preserve">(IHC) </w:t>
      </w:r>
      <w:r w:rsidR="00F83244" w:rsidRPr="00AB2539">
        <w:t xml:space="preserve">(i.e., </w:t>
      </w:r>
      <w:r w:rsidR="008579E5" w:rsidRPr="00AB2539">
        <w:t xml:space="preserve">not just in </w:t>
      </w:r>
      <w:r w:rsidR="0089383B" w:rsidRPr="00AB2539">
        <w:t>w</w:t>
      </w:r>
      <w:r w:rsidR="00F83244" w:rsidRPr="00AB2539">
        <w:t xml:space="preserve">estern </w:t>
      </w:r>
      <w:r w:rsidR="0089383B" w:rsidRPr="00AB2539">
        <w:t>b</w:t>
      </w:r>
      <w:r w:rsidR="00F83244" w:rsidRPr="00AB2539">
        <w:t xml:space="preserve">lot or </w:t>
      </w:r>
      <w:r w:rsidR="0089383B" w:rsidRPr="00AB2539">
        <w:t>f</w:t>
      </w:r>
      <w:r w:rsidR="00F83244" w:rsidRPr="00AB2539">
        <w:t xml:space="preserve">low </w:t>
      </w:r>
      <w:r w:rsidR="0089383B" w:rsidRPr="00AB2539">
        <w:t>c</w:t>
      </w:r>
      <w:r w:rsidR="00F83244" w:rsidRPr="00AB2539">
        <w:t xml:space="preserve">ytometry techniques) to test its compatibility </w:t>
      </w:r>
      <w:r w:rsidR="008579E5" w:rsidRPr="00AB2539">
        <w:t xml:space="preserve">with the </w:t>
      </w:r>
      <w:r w:rsidR="00F83244" w:rsidRPr="00AB2539">
        <w:t>fixation</w:t>
      </w:r>
      <w:r w:rsidR="008579E5" w:rsidRPr="00AB2539">
        <w:t xml:space="preserve"> technique</w:t>
      </w:r>
      <w:r w:rsidR="00F83244" w:rsidRPr="00AB2539">
        <w:t xml:space="preserve">. </w:t>
      </w:r>
      <w:r w:rsidR="00D70A6B" w:rsidRPr="00AB2539">
        <w:t xml:space="preserve">Different routes could be used to administer the </w:t>
      </w:r>
      <w:proofErr w:type="spellStart"/>
      <w:r w:rsidR="00D70A6B" w:rsidRPr="00AB2539">
        <w:t>BrdU</w:t>
      </w:r>
      <w:proofErr w:type="spellEnd"/>
      <w:r w:rsidR="00F83244" w:rsidRPr="00AB2539">
        <w:t xml:space="preserve"> staining such</w:t>
      </w:r>
      <w:r w:rsidR="00D70A6B" w:rsidRPr="00AB2539">
        <w:t xml:space="preserve"> as intraperitoneal injection, intraperitoneal infusion, oral ingestion, or intraventricular infusion </w:t>
      </w:r>
      <w:r w:rsidR="00E25AE0" w:rsidRPr="00AB2539">
        <w:t xml:space="preserve">(for a </w:t>
      </w:r>
      <w:r w:rsidR="00F83244" w:rsidRPr="00AB2539">
        <w:t xml:space="preserve">more </w:t>
      </w:r>
      <w:r w:rsidR="00E25AE0" w:rsidRPr="00AB2539">
        <w:t>detailed description of each technique</w:t>
      </w:r>
      <w:r w:rsidR="00A46483" w:rsidRPr="00AB2539">
        <w:t>,</w:t>
      </w:r>
      <w:r w:rsidR="00E25AE0" w:rsidRPr="00AB2539">
        <w:t xml:space="preserve"> see </w:t>
      </w:r>
      <w:r w:rsidR="00020595" w:rsidRPr="00AB2539">
        <w:t>ref</w:t>
      </w:r>
      <w:r w:rsidR="00AC3A4C">
        <w:t>erence</w:t>
      </w:r>
      <w:r w:rsidR="00E25AE0" w:rsidRPr="00AB2539">
        <w:fldChar w:fldCharType="begin" w:fldLock="1"/>
      </w:r>
      <w:r w:rsidR="00AE2045" w:rsidRPr="00AB2539">
        <w:instrText>ADDIN CSL_CITATION {"citationItems":[{"id":"ITEM-1","itemData":{"DOI":"10.1007/978-1-59745-133-8_25","ISBN":"9781588298461","ISSN":"10643745","PMID":"18369768","abstract":"Bromodeoxyuridine, variously abbreviated as BrdU, BudR, and BrdUrd, is a halogenated thymidine analog that is permanently integrated into the DNA of dividing cells during DNA synthesis in S phase. BrdU can be immunocytochemically detected in vitro and in vivo, allowing the identification of cells that were dividing the period of BrdU exposure. In vivo, it has been used to identify the \"birthdate\" of cells during development, to examine the fate of postnatally generated cells, and to label cells before transplantation, for subsequent identification. © 2008 Humana Press.","author":[{"dropping-particle":"","family":"Magavi","given":"Sanjay S.","non-dropping-particle":"","parse-names":false,"suffix":""},{"dropping-particle":"","family":"MacKlis","given":"Jeffrey D.","non-dropping-particle":"","parse-names":false,"suffix":""}],"container-title":"Methods in Molecular Biology","id":"ITEM-1","issued":{"date-parts":[["2008"]]},"page":"335-343","title":"Identification of newborn cells by BrdU labeling and immunocytochemistry in vivo","type":"article-journal","volume":"438"},"uris":["http://www.mendeley.com/documents/?uuid=b8064ebc-dcc2-479d-aa3c-ecc420b0cd8e"]}],"mendeley":{"formattedCitation":"&lt;sup&gt;26&lt;/sup&gt;","plainTextFormattedCitation":"26","previouslyFormattedCitation":"&lt;sup&gt;26&lt;/sup&gt;"},"properties":{"noteIndex":0},"schema":"https://github.com/citation-style-language/schema/raw/master/csl-citation.json"}</w:instrText>
      </w:r>
      <w:r w:rsidR="00E25AE0" w:rsidRPr="00AB2539">
        <w:fldChar w:fldCharType="separate"/>
      </w:r>
      <w:r w:rsidR="00A82A9F" w:rsidRPr="00AB2539">
        <w:rPr>
          <w:noProof/>
          <w:vertAlign w:val="superscript"/>
        </w:rPr>
        <w:t>26</w:t>
      </w:r>
      <w:r w:rsidR="00E25AE0" w:rsidRPr="00AB2539">
        <w:fldChar w:fldCharType="end"/>
      </w:r>
      <w:r w:rsidR="00E25AE0" w:rsidRPr="00AB2539">
        <w:t xml:space="preserve">). If the intraperitoneal injection is selected, </w:t>
      </w:r>
      <w:r w:rsidR="00F83244" w:rsidRPr="00AB2539">
        <w:t xml:space="preserve">make </w:t>
      </w:r>
      <w:r w:rsidR="00E25AE0" w:rsidRPr="00AB2539">
        <w:lastRenderedPageBreak/>
        <w:t xml:space="preserve">sure that </w:t>
      </w:r>
      <w:proofErr w:type="spellStart"/>
      <w:r w:rsidR="00E25AE0" w:rsidRPr="00AB2539">
        <w:t>BrdU</w:t>
      </w:r>
      <w:proofErr w:type="spellEnd"/>
      <w:r w:rsidR="00E25AE0" w:rsidRPr="00AB2539">
        <w:t xml:space="preserve"> </w:t>
      </w:r>
      <w:r w:rsidR="00F83244" w:rsidRPr="00AB2539">
        <w:t xml:space="preserve">is administrated </w:t>
      </w:r>
      <w:r w:rsidR="00E25AE0" w:rsidRPr="00AB2539">
        <w:t>into the peritoneal cavity avoiding the intestine</w:t>
      </w:r>
      <w:r w:rsidR="00F83244" w:rsidRPr="00AB2539">
        <w:t xml:space="preserve"> area</w:t>
      </w:r>
      <w:r w:rsidR="00E25AE0" w:rsidRPr="00AB2539">
        <w:t xml:space="preserve">. Since the intestine has several cells in duplication that can exhaust the </w:t>
      </w:r>
      <w:proofErr w:type="spellStart"/>
      <w:r w:rsidR="00E25AE0" w:rsidRPr="00AB2539">
        <w:t>BrdU</w:t>
      </w:r>
      <w:proofErr w:type="spellEnd"/>
      <w:r w:rsidR="00E25AE0" w:rsidRPr="00AB2539">
        <w:t xml:space="preserve"> before it gets to the brain</w:t>
      </w:r>
      <w:r w:rsidR="00F83244" w:rsidRPr="00AB2539">
        <w:t xml:space="preserve"> which will affect</w:t>
      </w:r>
      <w:r w:rsidR="00E25AE0" w:rsidRPr="00AB2539">
        <w:t xml:space="preserve"> the number of labeled cells.</w:t>
      </w:r>
      <w:r w:rsidR="001713AF" w:rsidRPr="00AB2539">
        <w:t xml:space="preserve"> It is crucial to obtain thin sections since</w:t>
      </w:r>
      <w:r w:rsidR="00D36388" w:rsidRPr="00AB2539">
        <w:t xml:space="preserve"> they</w:t>
      </w:r>
      <w:r w:rsidR="001713AF" w:rsidRPr="00AB2539">
        <w:t xml:space="preserve"> allow</w:t>
      </w:r>
      <w:r w:rsidR="00D36388" w:rsidRPr="00AB2539">
        <w:t xml:space="preserve"> a</w:t>
      </w:r>
      <w:r w:rsidR="001713AF" w:rsidRPr="00AB2539">
        <w:t xml:space="preserve"> better penetration of solutions. Coronal slices of 40 µm thick were cut rostro</w:t>
      </w:r>
      <w:r w:rsidR="00AC3A4C">
        <w:t>-</w:t>
      </w:r>
      <w:r w:rsidR="001713AF" w:rsidRPr="00AB2539">
        <w:t xml:space="preserve">caudally and </w:t>
      </w:r>
      <w:r w:rsidR="00D36388" w:rsidRPr="00AB2539">
        <w:t xml:space="preserve">were </w:t>
      </w:r>
      <w:r w:rsidR="001713AF" w:rsidRPr="00AB2539">
        <w:t xml:space="preserve">transferred into a 24-well cell culture plate, following the stereological procedure proposed by </w:t>
      </w:r>
      <w:proofErr w:type="spellStart"/>
      <w:r w:rsidR="001713AF" w:rsidRPr="00AB2539">
        <w:t>Kempermann</w:t>
      </w:r>
      <w:proofErr w:type="spellEnd"/>
      <w:r w:rsidR="001713AF" w:rsidRPr="00AB2539">
        <w:t xml:space="preserve"> et al.</w:t>
      </w:r>
      <w:r w:rsidR="0048579A" w:rsidRPr="00AB2539">
        <w:fldChar w:fldCharType="begin" w:fldLock="1"/>
      </w:r>
      <w:r w:rsidR="00AE2045" w:rsidRPr="00AB2539">
        <w:instrText>ADDIN CSL_CITATION {"citationItems":[{"id":"ITEM-1","itemData":{"DOI":"10.1242/dev.00203","author":[{"dropping-particle":"","family":"Kempermann","given":"Gerd","non-dropping-particle":"","parse-names":false,"suffix":""},{"dropping-particle":"","family":"Gast","given":"Daniela","non-dropping-particle":"","parse-names":false,"suffix":""},{"dropping-particle":"","family":"Kronenberg","given":"Golo","non-dropping-particle":"","parse-names":false,"suffix":""},{"dropping-particle":"","family":"Yamaguchi","given":"Masahiro","non-dropping-particle":"","parse-names":false,"suffix":""},{"dropping-particle":"","family":"Gage","given":"Fred H","non-dropping-particle":"","parse-names":false,"suffix":""}],"id":"ITEM-1","issued":{"date-parts":[["2003"]]},"page":"391-399","title":"Early determination and long-term persistence of adult-generated new neurons in the hippocampus of mice","type":"article-journal"},"uris":["http://www.mendeley.com/documents/?uuid=5618381c-2bd1-44ff-be91-53d3b244887a"]}],"mendeley":{"formattedCitation":"&lt;sup&gt;27&lt;/sup&gt;","plainTextFormattedCitation":"27","previouslyFormattedCitation":"&lt;sup&gt;27&lt;/sup&gt;"},"properties":{"noteIndex":0},"schema":"https://github.com/citation-style-language/schema/raw/master/csl-citation.json"}</w:instrText>
      </w:r>
      <w:r w:rsidR="0048579A" w:rsidRPr="00AB2539">
        <w:fldChar w:fldCharType="separate"/>
      </w:r>
      <w:r w:rsidR="00A82A9F" w:rsidRPr="00AB2539">
        <w:rPr>
          <w:noProof/>
          <w:vertAlign w:val="superscript"/>
        </w:rPr>
        <w:t>27</w:t>
      </w:r>
      <w:r w:rsidR="0048579A" w:rsidRPr="00AB2539">
        <w:fldChar w:fldCharType="end"/>
      </w:r>
      <w:r w:rsidR="0089383B" w:rsidRPr="00AB2539">
        <w:t xml:space="preserve">. </w:t>
      </w:r>
      <w:r w:rsidR="00D70A6B" w:rsidRPr="00AB2539">
        <w:t>T</w:t>
      </w:r>
      <w:r w:rsidR="00E25AE0" w:rsidRPr="00AB2539">
        <w:t xml:space="preserve">he immunohistochemistry can be </w:t>
      </w:r>
      <w:r w:rsidR="00D36388" w:rsidRPr="00AB2539">
        <w:t xml:space="preserve">carried out </w:t>
      </w:r>
      <w:r w:rsidR="00E25AE0" w:rsidRPr="00AB2539">
        <w:t xml:space="preserve">with tissue mounted </w:t>
      </w:r>
      <w:r w:rsidR="00AC3A4C">
        <w:t xml:space="preserve">on </w:t>
      </w:r>
      <w:r w:rsidR="00E25AE0" w:rsidRPr="00AB2539">
        <w:t>sli</w:t>
      </w:r>
      <w:r w:rsidR="00AC3A4C">
        <w:t>d</w:t>
      </w:r>
      <w:r w:rsidR="00E25AE0" w:rsidRPr="00AB2539">
        <w:t>es or</w:t>
      </w:r>
      <w:r w:rsidR="00AC3A4C">
        <w:t xml:space="preserve"> as</w:t>
      </w:r>
      <w:r w:rsidR="00E25AE0" w:rsidRPr="00AB2539">
        <w:t xml:space="preserve"> free</w:t>
      </w:r>
      <w:r w:rsidR="00FB23AD" w:rsidRPr="00AB2539">
        <w:t>-</w:t>
      </w:r>
      <w:r w:rsidR="00E25AE0" w:rsidRPr="00AB2539">
        <w:t>flo</w:t>
      </w:r>
      <w:r w:rsidR="00B15F2B" w:rsidRPr="00AB2539">
        <w:t>a</w:t>
      </w:r>
      <w:r w:rsidR="00E25AE0" w:rsidRPr="00AB2539">
        <w:t>ting</w:t>
      </w:r>
      <w:r w:rsidR="003240B0" w:rsidRPr="00AB2539">
        <w:t xml:space="preserve"> sections</w:t>
      </w:r>
      <w:r w:rsidR="00E25AE0" w:rsidRPr="00AB2539">
        <w:t xml:space="preserve">. </w:t>
      </w:r>
      <w:r w:rsidR="003240B0" w:rsidRPr="00AB2539">
        <w:t xml:space="preserve">Since </w:t>
      </w:r>
      <w:proofErr w:type="spellStart"/>
      <w:r w:rsidR="003240B0" w:rsidRPr="00AB2539">
        <w:t>BrdU</w:t>
      </w:r>
      <w:proofErr w:type="spellEnd"/>
      <w:r w:rsidR="003240B0" w:rsidRPr="00AB2539">
        <w:t xml:space="preserve"> is located deep in cells nuclei, it allows the penetration of solutions in free-floating sections which provides better results and better access to the area o</w:t>
      </w:r>
      <w:r w:rsidR="00B86CAB" w:rsidRPr="00AB2539">
        <w:t>f</w:t>
      </w:r>
      <w:r w:rsidR="003240B0" w:rsidRPr="00AB2539">
        <w:t xml:space="preserve"> interest. It is important to open DNA bonds (DNA denaturalization) to allow the primary anti-</w:t>
      </w:r>
      <w:proofErr w:type="spellStart"/>
      <w:r w:rsidR="003240B0" w:rsidRPr="00AB2539">
        <w:t>BrdU</w:t>
      </w:r>
      <w:proofErr w:type="spellEnd"/>
      <w:r w:rsidR="003240B0" w:rsidRPr="00AB2539">
        <w:t xml:space="preserve"> antibody access. In this work, we carried out these specific procedures with the use of HCI incubation. </w:t>
      </w:r>
      <w:r w:rsidR="00FE49C6" w:rsidRPr="00AB2539">
        <w:t>On the other hand, the process of blocking unspecific epitopes allowed a more accurate identification of cell signal.</w:t>
      </w:r>
      <w:r w:rsidR="00EB0961">
        <w:t xml:space="preserve"> </w:t>
      </w:r>
    </w:p>
    <w:p w14:paraId="7E099D6C" w14:textId="77777777" w:rsidR="0029355E" w:rsidRPr="00AB2539" w:rsidRDefault="0029355E" w:rsidP="00AB2539">
      <w:pPr>
        <w:widowControl/>
        <w:contextualSpacing/>
      </w:pPr>
    </w:p>
    <w:p w14:paraId="1BBF9C98" w14:textId="354EB934" w:rsidR="00D70A6B" w:rsidRPr="00AB2539" w:rsidRDefault="00D70A6B" w:rsidP="00AB2539">
      <w:pPr>
        <w:widowControl/>
        <w:contextualSpacing/>
      </w:pPr>
      <w:r w:rsidRPr="00AB2539">
        <w:t>The good m</w:t>
      </w:r>
      <w:r w:rsidR="00E25AE0" w:rsidRPr="00AB2539">
        <w:t xml:space="preserve">embrane permeabilization allows the antibodies to properly </w:t>
      </w:r>
      <w:r w:rsidR="00AC3A4C" w:rsidRPr="00AB2539">
        <w:t>penetrate</w:t>
      </w:r>
      <w:r w:rsidR="00E25AE0" w:rsidRPr="00AB2539">
        <w:t xml:space="preserve"> the interest area. </w:t>
      </w:r>
      <w:r w:rsidR="00AC3A4C">
        <w:t>A</w:t>
      </w:r>
      <w:r w:rsidR="00FE49C6" w:rsidRPr="00AB2539">
        <w:t>dding a</w:t>
      </w:r>
      <w:r w:rsidR="00E25AE0" w:rsidRPr="00AB2539">
        <w:t xml:space="preserve"> permeabilizer such as Triton X-100 to PBS++ and PBS+</w:t>
      </w:r>
      <w:r w:rsidR="00FE49C6" w:rsidRPr="00AB2539">
        <w:t xml:space="preserve"> solutions </w:t>
      </w:r>
      <w:r w:rsidR="00AC3A4C">
        <w:t xml:space="preserve">improves </w:t>
      </w:r>
      <w:r w:rsidR="00FE49C6" w:rsidRPr="00AB2539">
        <w:t>membrane permeabilization.</w:t>
      </w:r>
      <w:r w:rsidR="0089383B" w:rsidRPr="00AB2539">
        <w:t xml:space="preserve"> </w:t>
      </w:r>
      <w:r w:rsidR="000F3DB7" w:rsidRPr="00AB2539">
        <w:t>Both PBS and Tris</w:t>
      </w:r>
      <w:r w:rsidR="00AC3A4C">
        <w:t>-b</w:t>
      </w:r>
      <w:r w:rsidR="000F3DB7" w:rsidRPr="00AB2539">
        <w:t xml:space="preserve">uffered </w:t>
      </w:r>
      <w:r w:rsidR="00AC3A4C">
        <w:t>s</w:t>
      </w:r>
      <w:r w:rsidR="000F3DB7" w:rsidRPr="00AB2539">
        <w:t>aline (TBS)</w:t>
      </w:r>
      <w:r w:rsidR="000F3DB7" w:rsidRPr="00AB2539" w:rsidDel="004912A3">
        <w:t xml:space="preserve"> </w:t>
      </w:r>
      <w:r w:rsidR="000F3DB7" w:rsidRPr="00AB2539">
        <w:t xml:space="preserve">reagents can be used in this protocol. In terms of budget, the TBS could be relativity cheaper than the PBS. However, PBS could interfere with anti-phosphate antibodies and inhibit alkaline phosphatase-conjugated antibodies, </w:t>
      </w:r>
      <w:r w:rsidR="00AC3A4C">
        <w:t xml:space="preserve">so </w:t>
      </w:r>
      <w:r w:rsidR="000F3DB7" w:rsidRPr="00AB2539">
        <w:t xml:space="preserve">avoid the use of PBS </w:t>
      </w:r>
      <w:r w:rsidR="00E23D3A" w:rsidRPr="00AB2539">
        <w:t xml:space="preserve">if </w:t>
      </w:r>
      <w:r w:rsidR="00AC3A4C">
        <w:t>the</w:t>
      </w:r>
      <w:r w:rsidR="00AC3A4C" w:rsidRPr="00AB2539">
        <w:t xml:space="preserve"> </w:t>
      </w:r>
      <w:r w:rsidR="00E23D3A" w:rsidRPr="00AB2539">
        <w:t>target is post translationally modified by phosphorylation (i.e.</w:t>
      </w:r>
      <w:r w:rsidR="0089383B" w:rsidRPr="00AB2539">
        <w:t xml:space="preserve">, </w:t>
      </w:r>
      <w:r w:rsidR="00E23D3A" w:rsidRPr="00AB2539">
        <w:t>phosphorylated)</w:t>
      </w:r>
      <w:r w:rsidR="000F3DB7" w:rsidRPr="00AB2539">
        <w:t xml:space="preserve">. </w:t>
      </w:r>
      <w:r w:rsidR="00E70DB5" w:rsidRPr="00AB2539">
        <w:t>We used the PBS for this work,</w:t>
      </w:r>
      <w:r w:rsidR="000F3DB7" w:rsidRPr="00AB2539">
        <w:t xml:space="preserve"> and we found out that tissue washing</w:t>
      </w:r>
      <w:r w:rsidR="00661C10" w:rsidRPr="00AB2539">
        <w:t xml:space="preserve"> steps</w:t>
      </w:r>
      <w:r w:rsidR="000F3DB7" w:rsidRPr="00AB2539">
        <w:t xml:space="preserve"> gave a more specific signal. We also recommend </w:t>
      </w:r>
      <w:r w:rsidR="003328FF" w:rsidRPr="00AB2539">
        <w:t xml:space="preserve">researchers </w:t>
      </w:r>
      <w:r w:rsidR="006377B2" w:rsidRPr="00AB2539">
        <w:t>to carry out</w:t>
      </w:r>
      <w:r w:rsidR="000F3DB7" w:rsidRPr="00AB2539">
        <w:t xml:space="preserve"> at least three washing cycles using either TBS o PBS. </w:t>
      </w:r>
      <w:r w:rsidR="00E25AE0" w:rsidRPr="00AB2539">
        <w:t>The solutions must be freshly prepared.</w:t>
      </w:r>
      <w:r w:rsidR="000E6E78" w:rsidRPr="00AB2539">
        <w:t xml:space="preserve"> </w:t>
      </w:r>
      <w:r w:rsidR="000F3DB7" w:rsidRPr="00AB2539">
        <w:t xml:space="preserve">Antigen </w:t>
      </w:r>
      <w:r w:rsidR="0089383B" w:rsidRPr="00AB2539">
        <w:t>r</w:t>
      </w:r>
      <w:r w:rsidR="000F3DB7" w:rsidRPr="00AB2539">
        <w:t xml:space="preserve">etrieval (AR) is a method </w:t>
      </w:r>
      <w:r w:rsidR="006377B2" w:rsidRPr="00AB2539">
        <w:t xml:space="preserve">intended to reduce </w:t>
      </w:r>
      <w:r w:rsidR="00E70DB5" w:rsidRPr="00AB2539">
        <w:t>the</w:t>
      </w:r>
      <w:r w:rsidR="00C35718" w:rsidRPr="00AB2539">
        <w:t xml:space="preserve"> </w:t>
      </w:r>
      <w:r w:rsidR="006377B2" w:rsidRPr="00AB2539">
        <w:t xml:space="preserve">loss of antigenicity caused by the fixation which modifies the tertiary and quaternary </w:t>
      </w:r>
      <w:r w:rsidR="00E70DB5" w:rsidRPr="00AB2539">
        <w:t>antigens' structure</w:t>
      </w:r>
      <w:r w:rsidR="00C35718" w:rsidRPr="00AB2539">
        <w:t>. This reduction makes antigens undetectable by antibodies</w:t>
      </w:r>
      <w:r w:rsidR="00E25AE0" w:rsidRPr="00AB2539">
        <w:fldChar w:fldCharType="begin" w:fldLock="1"/>
      </w:r>
      <w:r w:rsidR="00AE2045" w:rsidRPr="00AB2539">
        <w:instrText>ADDIN CSL_CITATION {"citationItems":[{"id":"ITEM-1","itemData":{"DOI":"10.1177/104063870001200402","ISSN":"10406387","abstract":"Formalin fixation produces cross-links between the proteins and the fixative that alter the ability of some antibodies to recognize antigens. We used formalin-fixed, paraffin-embedded tissues to compare two different antigen retrieval methods for 63 antibodies used in the diagnosis of infectious and neoplastic diseases of animal species. Eighty-four percent of the antibodies needed some type of antigen retrieval for optimal results. Of those antibodies, 67.7% were monoclonal and 32.3% were polyclonal. Steam heat was the method of choice for 31 antibodies. Ten antibodies reacted only with steam heat, but 9 antibodies did not react when steam heat was used. Optimal results were obtained with enzyme digestion for 22 antibodies. Only 10 antibodies yielded optimal results without antigen retrieval; 64% of these antibodies were polyclonal. All antibodies against cytokeratins were optimally retrieved with proteinese K. Antigen retrieval appears to be necessary for the majority of antibodies when used with formalin-fixed, paraffin-embedded tissues.","author":[{"dropping-particle":"","family":"Ramos-Vara","given":"José A.","non-dropping-particle":"","parse-names":false,"suffix":""},{"dropping-particle":"","family":"Beissenherz","given":"Marilyn E.","non-dropping-particle":"","parse-names":false,"suffix":""}],"container-title":"Journal of Veterinary Diagnostic Investigation","id":"ITEM-1","issue":"4","issued":{"date-parts":[["2000"]]},"page":"307-311","title":"Optimization of immunohistochemical methods using two different antigen retrieval methods on formalin-fixed, paraffin-embedded tissues: Experience with 63 markers","type":"article-journal","volume":"12"},"uris":["http://www.mendeley.com/documents/?uuid=61bcc4f2-ac84-4ebc-ac1b-10edf2290898"]},{"id":"ITEM-2","itemData":{"DOI":"10.1007/978-1-4939-7172-5_5","ISBN":"9781493971725","ISSN":"10643745","abstract":"Immunohistochemical techniques detect antigens in tissue sections by means of immunological and chemical reactions. This technique is highly sensitive and specific and can detect a wide variety of antigens in multiple animal species. This chapter reviews common immunohistochemical methods used in the characterization of normal and pathologic tissue and the reagents used. Pretreatments such as blocking steps for endogenous activities and antigen retrieval are included. Standard procedures on formalin-fixed, paraffin-embedded tissues as well as method standardization for new antibodies and troubleshooting are emphasized.","author":[{"dropping-particle":"","family":"Ramos-Vara","given":"José A.","non-dropping-particle":"","parse-names":false,"suffix":""}],"chapter-number":"5","container-title":"Methods in Molecular Biology","editor":[{"dropping-particle":"","family":"Gautier","given":"J. C.","non-dropping-particle":"","parse-names":false,"suffix":""}],"id":"ITEM-2","issued":{"date-parts":[["2017"]]},"page":"115-128","publisher":"Humana Press.","publisher-place":"New York, NY.","title":"Principles and methods of immunohistochemistry","type":"chapter","volume":"1641"},"uris":["http://www.mendeley.com/documents/?uuid=bca25e26-762f-44f8-b2a1-57676946e7e1"]}],"mendeley":{"formattedCitation":"&lt;sup&gt;28, 29&lt;/sup&gt;","plainTextFormattedCitation":"28, 29","previouslyFormattedCitation":"&lt;sup&gt;28, 29&lt;/sup&gt;"},"properties":{"noteIndex":0},"schema":"https://github.com/citation-style-language/schema/raw/master/csl-citation.json"}</w:instrText>
      </w:r>
      <w:r w:rsidR="00E25AE0" w:rsidRPr="00AB2539">
        <w:fldChar w:fldCharType="separate"/>
      </w:r>
      <w:r w:rsidR="00A82A9F" w:rsidRPr="00AB2539">
        <w:rPr>
          <w:noProof/>
          <w:vertAlign w:val="superscript"/>
        </w:rPr>
        <w:t>28,29</w:t>
      </w:r>
      <w:r w:rsidR="00E25AE0" w:rsidRPr="00AB2539">
        <w:fldChar w:fldCharType="end"/>
      </w:r>
      <w:r w:rsidR="00E25AE0" w:rsidRPr="00AB2539">
        <w:t xml:space="preserve">. The heat-induced epitope retrieval (HIER) used in this protocol attempted to reverse the chemical reactions between formaldehyde and proteins by high temperature or strong alkaline hydrolysis (with other buffer solutions as EDTA pH 8.5 or Tris pH 9.5). </w:t>
      </w:r>
      <w:r w:rsidR="00A46483" w:rsidRPr="00AB2539">
        <w:t>It is essential to test new antibodies with different AR protocols to compare results and choose the best one</w:t>
      </w:r>
      <w:r w:rsidR="00C35718" w:rsidRPr="00AB2539">
        <w:t xml:space="preserve"> for the protocol</w:t>
      </w:r>
      <w:r w:rsidR="00A46483" w:rsidRPr="00AB2539">
        <w:t xml:space="preserve">. </w:t>
      </w:r>
      <w:r w:rsidR="003328FF" w:rsidRPr="00AB2539">
        <w:t xml:space="preserve">This last step might be optional </w:t>
      </w:r>
      <w:r w:rsidR="00AC3A4C">
        <w:t>i</w:t>
      </w:r>
      <w:r w:rsidR="003328FF" w:rsidRPr="00AB2539">
        <w:t>n a regular protocol; however, we treated tissues with an antigen retrieval protocol to provide better result</w:t>
      </w:r>
      <w:r w:rsidR="00AC3A4C">
        <w:t>s</w:t>
      </w:r>
      <w:r w:rsidR="003328FF" w:rsidRPr="00AB2539">
        <w:t xml:space="preserve"> for this protocol. </w:t>
      </w:r>
    </w:p>
    <w:p w14:paraId="5DF18D11" w14:textId="77777777" w:rsidR="00D70A6B" w:rsidRPr="00AB2539" w:rsidRDefault="00D70A6B" w:rsidP="00AB2539">
      <w:pPr>
        <w:widowControl/>
        <w:contextualSpacing/>
      </w:pPr>
    </w:p>
    <w:p w14:paraId="268F7E00" w14:textId="26D8E2F0" w:rsidR="00D548FD" w:rsidRPr="00AB2539" w:rsidRDefault="00403AE6" w:rsidP="00AB2539">
      <w:pPr>
        <w:widowControl/>
        <w:contextualSpacing/>
      </w:pPr>
      <w:r w:rsidRPr="00AB2539">
        <w:t xml:space="preserve">It is crucial to select the </w:t>
      </w:r>
      <w:r w:rsidR="00645BA2" w:rsidRPr="00AB2539">
        <w:t xml:space="preserve">correct </w:t>
      </w:r>
      <w:r w:rsidRPr="00AB2539">
        <w:t>final contra</w:t>
      </w:r>
      <w:r w:rsidR="00027217" w:rsidRPr="00AB2539">
        <w:t>s</w:t>
      </w:r>
      <w:r w:rsidRPr="00AB2539">
        <w:t xml:space="preserve">ting color and the </w:t>
      </w:r>
      <w:r w:rsidR="00645BA2" w:rsidRPr="00AB2539">
        <w:t xml:space="preserve">counterstain technique in consideration of the primary staining color and method used to make a non-staining structure visible and avoid masking the primary staining color from the immune reaction. </w:t>
      </w:r>
      <w:r w:rsidR="00E418DC" w:rsidRPr="00AB2539">
        <w:t xml:space="preserve">For the fluorescence microscopy, the DAPI (4', 6-diamidino-2-phenylindole) is a very popular nuclear and chromosome counterstain that emits blue fluorescence (absorption: 360 nm, emission: 460 nm) upon binding to AT regions of DNA. </w:t>
      </w:r>
      <w:r w:rsidR="00AC3A4C" w:rsidRPr="00AB2539">
        <w:t>DAPI</w:t>
      </w:r>
      <w:r w:rsidR="00AC3A4C">
        <w:t>-containing</w:t>
      </w:r>
      <w:r w:rsidR="00E418DC" w:rsidRPr="00AB2539">
        <w:t xml:space="preserve"> </w:t>
      </w:r>
      <w:r w:rsidR="0089383B" w:rsidRPr="00AB2539">
        <w:t>m</w:t>
      </w:r>
      <w:r w:rsidR="00E418DC" w:rsidRPr="00AB2539">
        <w:t xml:space="preserve">ounting </w:t>
      </w:r>
      <w:r w:rsidR="0089383B" w:rsidRPr="00AB2539">
        <w:t>m</w:t>
      </w:r>
      <w:r w:rsidR="00E418DC" w:rsidRPr="00AB2539">
        <w:t xml:space="preserve">edium </w:t>
      </w:r>
      <w:r w:rsidR="00AC3A4C">
        <w:t>is available and is</w:t>
      </w:r>
      <w:r w:rsidR="00AC3A4C" w:rsidRPr="00AB2539">
        <w:t xml:space="preserve"> </w:t>
      </w:r>
      <w:r w:rsidR="00E418DC" w:rsidRPr="00AB2539">
        <w:t>easy to use</w:t>
      </w:r>
      <w:r w:rsidR="00AC3A4C">
        <w:t xml:space="preserve">; this </w:t>
      </w:r>
      <w:r w:rsidR="00E418DC" w:rsidRPr="00AB2539">
        <w:t>provides excellent signal retention for image acquisition.</w:t>
      </w:r>
      <w:r w:rsidR="00D56480" w:rsidRPr="00AB2539">
        <w:t xml:space="preserve"> For the </w:t>
      </w:r>
      <w:r w:rsidR="00AC3A4C" w:rsidRPr="00AB2539">
        <w:t>peroxide reaction</w:t>
      </w:r>
      <w:r w:rsidR="00D56480" w:rsidRPr="00AB2539">
        <w:t>, IHC was available in different option</w:t>
      </w:r>
      <w:r w:rsidR="006C171F" w:rsidRPr="00AB2539">
        <w:t>s</w:t>
      </w:r>
      <w:r w:rsidR="00D56480" w:rsidRPr="00AB2539">
        <w:t xml:space="preserve"> such as </w:t>
      </w:r>
      <w:proofErr w:type="spellStart"/>
      <w:r w:rsidR="00332957" w:rsidRPr="00AB2539">
        <w:t>cresyl</w:t>
      </w:r>
      <w:proofErr w:type="spellEnd"/>
      <w:r w:rsidR="00332957" w:rsidRPr="00AB2539">
        <w:t xml:space="preserve"> violet, hematoxylin, neutral red, or methyl green staining</w:t>
      </w:r>
      <w:r w:rsidR="00D56480" w:rsidRPr="00AB2539">
        <w:t xml:space="preserve">. For multiple immunostaining techniques, it is crucial to choose a compatible antibody with </w:t>
      </w:r>
      <w:r w:rsidR="000D6660" w:rsidRPr="00AB2539">
        <w:t>the</w:t>
      </w:r>
      <w:r w:rsidR="00D56480" w:rsidRPr="00AB2539">
        <w:t xml:space="preserve"> fixation technique used to avoid cross-reactivity</w:t>
      </w:r>
      <w:r w:rsidR="001B0FBC" w:rsidRPr="00AB2539">
        <w:fldChar w:fldCharType="begin" w:fldLock="1"/>
      </w:r>
      <w:r w:rsidR="00AE2045" w:rsidRPr="00AB2539">
        <w:instrText>ADDIN CSL_CITATION {"citationItems":[{"id":"ITEM-1","itemData":{"DOI":"10.1038/nprot.2006.224","ISSN":"17542189","abstract":"Neurogenesis within the adult central nervous system is demonstrated using an exogenous cell tracer, 5'-bromo-2'-deoxyuridine (BrdU), in combination with endogenous neuronal markers. Specific primary antibodies raised against these markers are widely available and their visualization is possible with the use of fluorescently tagged secondary antibodies. BrdU is a thymidine analog that incorporates into dividing cells during DNA synthesis. Once incorporated into the new DNA, BrdU will remain in place and be passed down to daughter cells following division. Typically, BrdU is injected intraperitoneally. Different survival times required by the desired experimental time-line will yield data on specific phases of neurogenesis: proliferation, differentiation and maturation. One of the drawbacks of using BrdU is the dependence on a stressful injection procedure and uncertain penetration of the targeted cells with a uniform concentration of the compound. Thus, for experiments requiring measurements of cell proliferation, Ki67 can be used as an acceptable alternative. The protocol takes 3-5 d, allowing for sectioning and staining.","author":[{"dropping-particle":"","family":"Wojtowicz","given":"J. Martin","non-dropping-particle":"","parse-names":false,"suffix":""},{"dropping-particle":"","family":"Kee","given":"Nohjin","non-dropping-particle":"","parse-names":false,"suffix":""}],"container-title":"Nature Protocols","id":"ITEM-1","issue":"3","issued":{"date-parts":[["2006"]]},"page":"1399-1405","title":"BrdU assay for neurogenesis in rodents","type":"article-journal","volume":"1"},"uris":["http://www.mendeley.com/documents/?uuid=1431bac6-43fa-4e92-beb1-b37fc07221f3"]}],"mendeley":{"formattedCitation":"&lt;sup&gt;30&lt;/sup&gt;","plainTextFormattedCitation":"30","previouslyFormattedCitation":"&lt;sup&gt;30&lt;/sup&gt;"},"properties":{"noteIndex":0},"schema":"https://github.com/citation-style-language/schema/raw/master/csl-citation.json"}</w:instrText>
      </w:r>
      <w:r w:rsidR="001B0FBC" w:rsidRPr="00AB2539">
        <w:fldChar w:fldCharType="separate"/>
      </w:r>
      <w:r w:rsidR="00A82A9F" w:rsidRPr="00AB2539">
        <w:rPr>
          <w:noProof/>
          <w:vertAlign w:val="superscript"/>
        </w:rPr>
        <w:t>30</w:t>
      </w:r>
      <w:r w:rsidR="001B0FBC" w:rsidRPr="00AB2539">
        <w:fldChar w:fldCharType="end"/>
      </w:r>
      <w:r w:rsidR="00D56480" w:rsidRPr="00AB2539">
        <w:t>.</w:t>
      </w:r>
      <w:r w:rsidR="00E418DC" w:rsidRPr="00AB2539">
        <w:t xml:space="preserve"> </w:t>
      </w:r>
      <w:r w:rsidR="00D56480" w:rsidRPr="00AB2539">
        <w:t xml:space="preserve">When issues and complications </w:t>
      </w:r>
      <w:r w:rsidR="00E112C1" w:rsidRPr="00AB2539">
        <w:t xml:space="preserve">with single staining </w:t>
      </w:r>
      <w:r w:rsidR="00D56480" w:rsidRPr="00AB2539">
        <w:t xml:space="preserve">are solved, administer another color staining as deemed necessary. </w:t>
      </w:r>
      <w:r w:rsidR="00E112C1" w:rsidRPr="00AB2539">
        <w:t>It is crucial to control the non-specific binding between the secondary antibodies</w:t>
      </w:r>
      <w:r w:rsidR="00D56480" w:rsidRPr="00AB2539">
        <w:t xml:space="preserve">. </w:t>
      </w:r>
      <w:r w:rsidR="00E112C1" w:rsidRPr="00AB2539">
        <w:t xml:space="preserve">This could be done by </w:t>
      </w:r>
      <w:r w:rsidR="00E112C1" w:rsidRPr="00AB2539">
        <w:lastRenderedPageBreak/>
        <w:t>saturating the primary antibodies before using a secondary antibody produced in the same host species of the primary antibodies. For example, when using anti-mouse produce</w:t>
      </w:r>
      <w:r w:rsidR="00686511">
        <w:t>d</w:t>
      </w:r>
      <w:r w:rsidR="00E112C1" w:rsidRPr="00AB2539">
        <w:t xml:space="preserve"> in rabbit and anti-rabbit produce</w:t>
      </w:r>
      <w:r w:rsidR="00686511">
        <w:t>d</w:t>
      </w:r>
      <w:r w:rsidR="00E112C1" w:rsidRPr="00AB2539">
        <w:t xml:space="preserve"> in goat secondary antibodies, the anti-rabbit produce</w:t>
      </w:r>
      <w:r w:rsidR="00686511">
        <w:t>d</w:t>
      </w:r>
      <w:r w:rsidR="00E112C1" w:rsidRPr="00AB2539">
        <w:t xml:space="preserve"> in goat antibody must be used before the anti-mouse produce</w:t>
      </w:r>
      <w:r w:rsidR="00686511">
        <w:t>d</w:t>
      </w:r>
      <w:r w:rsidR="00E112C1" w:rsidRPr="00AB2539">
        <w:t xml:space="preserve"> in rabbit antibody. </w:t>
      </w:r>
      <w:r w:rsidR="00693A4D" w:rsidRPr="00AB2539">
        <w:t xml:space="preserve">When the sequential method is dominated completely, then the simultaneous </w:t>
      </w:r>
      <w:r w:rsidR="00577EF5" w:rsidRPr="00AB2539">
        <w:t>immunostaining</w:t>
      </w:r>
      <w:r w:rsidR="00693A4D" w:rsidRPr="00AB2539">
        <w:t xml:space="preserve"> process </w:t>
      </w:r>
      <w:r w:rsidR="00577EF5" w:rsidRPr="00AB2539">
        <w:t>can be initiated</w:t>
      </w:r>
      <w:r w:rsidR="00E25AE0" w:rsidRPr="00AB2539">
        <w:t xml:space="preserve">. In this method, it is </w:t>
      </w:r>
      <w:r w:rsidR="0029355E" w:rsidRPr="00AB2539">
        <w:t>essential</w:t>
      </w:r>
      <w:r w:rsidR="00E25AE0" w:rsidRPr="00AB2539">
        <w:t xml:space="preserve"> to choose secondary antibodies</w:t>
      </w:r>
      <w:r w:rsidR="0087436E" w:rsidRPr="00AB2539">
        <w:t xml:space="preserve"> </w:t>
      </w:r>
      <w:r w:rsidR="00065F92" w:rsidRPr="00AB2539">
        <w:t>appropriately</w:t>
      </w:r>
      <w:r w:rsidR="00E25AE0" w:rsidRPr="00AB2539">
        <w:t xml:space="preserve">. Ideally, all those </w:t>
      </w:r>
      <w:r w:rsidR="00577EF5" w:rsidRPr="00AB2539">
        <w:t xml:space="preserve">antibodies </w:t>
      </w:r>
      <w:r w:rsidR="00E25AE0" w:rsidRPr="00AB2539">
        <w:t>must come from the same host animal to avoid cross-</w:t>
      </w:r>
      <w:r w:rsidR="00577EF5" w:rsidRPr="00AB2539">
        <w:t>reactivity</w:t>
      </w:r>
      <w:r w:rsidR="00E25AE0" w:rsidRPr="00AB2539">
        <w:t>.</w:t>
      </w:r>
      <w:r w:rsidR="000E6E78" w:rsidRPr="00AB2539">
        <w:t xml:space="preserve"> </w:t>
      </w:r>
      <w:r w:rsidR="00595C4C" w:rsidRPr="00AB2539">
        <w:t xml:space="preserve">We recommend </w:t>
      </w:r>
      <w:r w:rsidR="00A22314" w:rsidRPr="00AB2539">
        <w:t>running</w:t>
      </w:r>
      <w:r w:rsidR="00A22314" w:rsidRPr="00AB2539" w:rsidDel="00A22314">
        <w:t xml:space="preserve"> </w:t>
      </w:r>
      <w:r w:rsidR="00595C4C" w:rsidRPr="00AB2539">
        <w:t xml:space="preserve">a positive control to confirm </w:t>
      </w:r>
      <w:r w:rsidR="00686511">
        <w:t xml:space="preserve">that </w:t>
      </w:r>
      <w:r w:rsidR="00595C4C" w:rsidRPr="00AB2539">
        <w:t xml:space="preserve">the staining method works accurately in postnatal hippocampus tissue (abundant neurogenesis around this age). If the positive control tissue shows staining problems, </w:t>
      </w:r>
      <w:r w:rsidR="00577EF5" w:rsidRPr="00AB2539">
        <w:t xml:space="preserve">review and go over </w:t>
      </w:r>
      <w:r w:rsidR="00595C4C" w:rsidRPr="00AB2539">
        <w:t xml:space="preserve">the procedure, </w:t>
      </w:r>
      <w:r w:rsidR="00577EF5" w:rsidRPr="00AB2539">
        <w:t>make corrections and adjustments</w:t>
      </w:r>
      <w:r w:rsidR="00595C4C" w:rsidRPr="00AB2539">
        <w:t xml:space="preserve">, and repeat until </w:t>
      </w:r>
      <w:r w:rsidR="00577EF5" w:rsidRPr="00AB2539">
        <w:t>a good staining is produced</w:t>
      </w:r>
      <w:r w:rsidR="00595C4C" w:rsidRPr="00AB2539">
        <w:t xml:space="preserve">. </w:t>
      </w:r>
      <w:r w:rsidR="00065F92" w:rsidRPr="00AB2539">
        <w:t>Then</w:t>
      </w:r>
      <w:r w:rsidR="00B61BDC" w:rsidRPr="00AB2539">
        <w:t>, run a negative control to test</w:t>
      </w:r>
      <w:r w:rsidR="00686511">
        <w:t xml:space="preserve"> that</w:t>
      </w:r>
      <w:r w:rsidR="00B61BDC" w:rsidRPr="00AB2539">
        <w:t xml:space="preserve"> the antibody </w:t>
      </w:r>
      <w:r w:rsidR="00577EF5" w:rsidRPr="00AB2539">
        <w:t xml:space="preserve">works correctly </w:t>
      </w:r>
      <w:r w:rsidR="00B61BDC" w:rsidRPr="00AB2539">
        <w:t xml:space="preserve">by omitting or replacing a </w:t>
      </w:r>
      <w:proofErr w:type="gramStart"/>
      <w:r w:rsidR="00B61BDC" w:rsidRPr="00AB2539">
        <w:t>particular primary</w:t>
      </w:r>
      <w:proofErr w:type="gramEnd"/>
      <w:r w:rsidR="00B61BDC" w:rsidRPr="00AB2539">
        <w:t xml:space="preserve"> antibody with normal serum (same species as the primary antibody)</w:t>
      </w:r>
      <w:r w:rsidR="00595C4C" w:rsidRPr="00AB2539">
        <w:t>.</w:t>
      </w:r>
      <w:r w:rsidR="00D548FD" w:rsidRPr="00AB2539">
        <w:t xml:space="preserve"> As mentioned in the introduction, image deconvolution is a powerful tool and </w:t>
      </w:r>
      <w:r w:rsidR="00686511">
        <w:t>provides an</w:t>
      </w:r>
      <w:r w:rsidR="00686511" w:rsidRPr="00AB2539">
        <w:t xml:space="preserve"> </w:t>
      </w:r>
      <w:r w:rsidR="00D548FD" w:rsidRPr="00AB2539">
        <w:t xml:space="preserve">alternative when a confocal microscope is not available. </w:t>
      </w:r>
      <w:r w:rsidR="00E112C1" w:rsidRPr="00AB2539">
        <w:t>It can apply the image deconvolution to all images gained using transmitted light bright-field, wide-field fluorescence, and confocal fluorescence microscopy</w:t>
      </w:r>
      <w:r w:rsidR="005E7E69" w:rsidRPr="00AB2539">
        <w:t>.</w:t>
      </w:r>
      <w:r w:rsidR="00D548FD" w:rsidRPr="00AB2539">
        <w:t xml:space="preserve"> The ultimate purpose of image deconvolution is to reconstruct the original signal</w:t>
      </w:r>
      <w:r w:rsidR="00686511">
        <w:t xml:space="preserve"> that</w:t>
      </w:r>
      <w:r w:rsidR="00D548FD" w:rsidRPr="00AB2539">
        <w:t xml:space="preserve"> the acquisition system deteriorates</w:t>
      </w:r>
      <w:r w:rsidR="005E7E69" w:rsidRPr="00AB2539">
        <w:fldChar w:fldCharType="begin" w:fldLock="1"/>
      </w:r>
      <w:r w:rsidR="00383526" w:rsidRPr="00AB2539">
        <w:instrText>ADDIN CSL_CITATION {"citationItems":[{"id":"ITEM-1","itemData":{"DOI":"10.1016/S0167-7012(99)00103-7","ISSN":"01677012","abstract":"Widefield deconvolution epifluorescence microscopy (WDEM) combined with fluorescence in situ hybridization (FISH) was performed to identify and characterize single bacterial cells within sections of the mediterranean sponge Chondrosia reniformis. Sponges were embedded in paraffin wax or plastic prior to the preparation of thin sections, in situ hybridization and microscopy. Serial digital images generated by widefield epifluorescence microscopy were visualized using an exhaustive photon reassignment deconvolution algorithm and three-dimensional rendering software. Computer processing of series of images taken at different focal planes with the deconvolution technique provided deblurred three-dimensional images with high optical resolution on a submicron scale. Results from the deconvolution enhanced widefield microscopy were compared with conventional epifluorescent microscopical images. By the application of the deconvolution algorithm on digital image data obtained with widefield epifluorescence microscopy after FISH, the occurrence and spatial arrangement of Desulfovibrionaceae closely associated with micropores of Chondrosia reniformis could be visualized. Copyright (C) 2000 Elsevier Science B.V.","author":[{"dropping-particle":"","family":"Manz","given":"Werner","non-dropping-particle":"","parse-names":false,"suffix":""},{"dropping-particle":"","family":"Arp","given":"Gernot","non-dropping-particle":"","parse-names":false,"suffix":""},{"dropping-particle":"","family":"Schumann-Kindel","given":"Gabriela","non-dropping-particle":"","parse-names":false,"suffix":""},{"dropping-particle":"","family":"Szewzyk","given":"Ulrich","non-dropping-particle":"","parse-names":false,"suffix":""},{"dropping-particle":"","family":"Reitner","given":"Joachim","non-dropping-particle":"","parse-names":false,"suffix":""}],"container-title":"Journal of Microbiological Methods","id":"ITEM-1","issue":"2","issued":{"date-parts":[["2000"]]},"page":"125-134","publisher":"Elsevier Science B.V.","title":"Widefield deconvolution epifluorescence microscopy combined with fluorescence in situ hybridization reveals the spatial arrangement of bacteria in sponge tissue","type":"article-journal","volume":"40"},"uris":["http://www.mendeley.com/documents/?uuid=ca5fab84-53ea-41f7-aa70-cb7633d83fc4"]}],"mendeley":{"formattedCitation":"&lt;sup&gt;10&lt;/sup&gt;","plainTextFormattedCitation":"10","previouslyFormattedCitation":"&lt;sup&gt;10&lt;/sup&gt;"},"properties":{"noteIndex":0},"schema":"https://github.com/citation-style-language/schema/raw/master/csl-citation.json"}</w:instrText>
      </w:r>
      <w:r w:rsidR="005E7E69" w:rsidRPr="00AB2539">
        <w:fldChar w:fldCharType="separate"/>
      </w:r>
      <w:r w:rsidR="00557272" w:rsidRPr="00AB2539">
        <w:rPr>
          <w:noProof/>
          <w:vertAlign w:val="superscript"/>
        </w:rPr>
        <w:t>10</w:t>
      </w:r>
      <w:r w:rsidR="005E7E69" w:rsidRPr="00AB2539">
        <w:fldChar w:fldCharType="end"/>
      </w:r>
      <w:r w:rsidR="005E7E69" w:rsidRPr="00AB2539">
        <w:t>.</w:t>
      </w:r>
    </w:p>
    <w:p w14:paraId="342BC066" w14:textId="77777777" w:rsidR="00E25AE0" w:rsidRPr="00AB2539" w:rsidRDefault="00E25AE0" w:rsidP="00AB2539">
      <w:pPr>
        <w:pStyle w:val="ListParagraph"/>
        <w:widowControl/>
        <w:ind w:left="0"/>
      </w:pPr>
    </w:p>
    <w:p w14:paraId="0D80DEC7" w14:textId="7F5C836D" w:rsidR="00E25AE0" w:rsidRPr="00AB2539" w:rsidRDefault="00E25AE0" w:rsidP="00AB2539">
      <w:pPr>
        <w:widowControl/>
        <w:contextualSpacing/>
      </w:pPr>
      <w:r w:rsidRPr="00AB2539">
        <w:t xml:space="preserve">In summary, the identification of the newly generated cells visualized by the immunodetection of thymidine analog </w:t>
      </w:r>
      <w:proofErr w:type="spellStart"/>
      <w:r w:rsidRPr="00AB2539">
        <w:t>BrdU</w:t>
      </w:r>
      <w:proofErr w:type="spellEnd"/>
      <w:r w:rsidRPr="00AB2539">
        <w:t xml:space="preserve"> is </w:t>
      </w:r>
      <w:r w:rsidR="00065F92" w:rsidRPr="00AB2539">
        <w:t>a</w:t>
      </w:r>
      <w:r w:rsidR="00686511">
        <w:t xml:space="preserve"> </w:t>
      </w:r>
      <w:r w:rsidR="00A22314" w:rsidRPr="00AB2539">
        <w:t>complicated</w:t>
      </w:r>
      <w:r w:rsidR="00A22314" w:rsidRPr="00AB2539" w:rsidDel="00A22314">
        <w:t xml:space="preserve"> </w:t>
      </w:r>
      <w:r w:rsidRPr="00AB2539">
        <w:t xml:space="preserve">but powerful technique. </w:t>
      </w:r>
      <w:r w:rsidR="00577EF5" w:rsidRPr="00AB2539">
        <w:t>This</w:t>
      </w:r>
      <w:r w:rsidRPr="00AB2539">
        <w:t xml:space="preserve"> work is an attempt to help </w:t>
      </w:r>
      <w:r w:rsidR="0089383B" w:rsidRPr="00AB2539">
        <w:t>s</w:t>
      </w:r>
      <w:r w:rsidRPr="00AB2539">
        <w:t>cientist</w:t>
      </w:r>
      <w:r w:rsidR="00717656" w:rsidRPr="00AB2539">
        <w:t>s</w:t>
      </w:r>
      <w:r w:rsidRPr="00AB2539">
        <w:t xml:space="preserve">, particularly in the field of adult hippocampal neurogenesis, </w:t>
      </w:r>
      <w:r w:rsidR="00717656" w:rsidRPr="00AB2539">
        <w:t>to quantify new cells more accurately</w:t>
      </w:r>
      <w:r w:rsidRPr="00AB2539">
        <w:t xml:space="preserve">. We hope that </w:t>
      </w:r>
      <w:r w:rsidR="00686511">
        <w:t>t</w:t>
      </w:r>
      <w:r w:rsidRPr="00AB2539">
        <w:t>his effort has been helpful to the scienti</w:t>
      </w:r>
      <w:r w:rsidR="00686511">
        <w:t>fic</w:t>
      </w:r>
      <w:r w:rsidRPr="00AB2539">
        <w:t xml:space="preserve"> </w:t>
      </w:r>
      <w:r w:rsidR="00065F92" w:rsidRPr="00AB2539">
        <w:t>community and</w:t>
      </w:r>
      <w:r w:rsidRPr="00AB2539">
        <w:t xml:space="preserve"> makes it easier to fine-tune the study of cell proliferation by the immunohistochemistry technique.</w:t>
      </w:r>
    </w:p>
    <w:p w14:paraId="27B904B2" w14:textId="77777777" w:rsidR="004E07EF" w:rsidRPr="00AB2539" w:rsidRDefault="004E07EF" w:rsidP="00AB2539">
      <w:pPr>
        <w:widowControl/>
        <w:contextualSpacing/>
        <w:rPr>
          <w:color w:val="auto"/>
        </w:rPr>
      </w:pPr>
    </w:p>
    <w:p w14:paraId="7FF5DC3A" w14:textId="77777777" w:rsidR="004E07EF" w:rsidRPr="00AB2539" w:rsidRDefault="004E07EF" w:rsidP="00AB2539">
      <w:pPr>
        <w:pStyle w:val="NormalWeb"/>
        <w:widowControl/>
        <w:spacing w:before="0" w:beforeAutospacing="0" w:after="0" w:afterAutospacing="0"/>
        <w:contextualSpacing/>
        <w:rPr>
          <w:color w:val="808080"/>
        </w:rPr>
      </w:pPr>
      <w:r w:rsidRPr="00AB2539">
        <w:rPr>
          <w:b/>
          <w:bCs/>
        </w:rPr>
        <w:t xml:space="preserve">ACKNOWLEDGMENTS: </w:t>
      </w:r>
    </w:p>
    <w:p w14:paraId="160EACC9" w14:textId="577255BD" w:rsidR="004E07EF" w:rsidRPr="00AB2539" w:rsidRDefault="004E07EF" w:rsidP="00AB2539">
      <w:pPr>
        <w:widowControl/>
        <w:contextualSpacing/>
        <w:rPr>
          <w:color w:val="auto"/>
        </w:rPr>
      </w:pPr>
      <w:r w:rsidRPr="00AB2539">
        <w:rPr>
          <w:color w:val="auto"/>
        </w:rPr>
        <w:t xml:space="preserve">We would like to thank </w:t>
      </w:r>
      <w:r w:rsidR="00577EF5" w:rsidRPr="00AB2539">
        <w:rPr>
          <w:color w:val="auto"/>
        </w:rPr>
        <w:t xml:space="preserve">Mr. </w:t>
      </w:r>
      <w:r w:rsidRPr="00AB2539">
        <w:rPr>
          <w:color w:val="auto"/>
        </w:rPr>
        <w:t xml:space="preserve">Miguel Burgos, and Gustavo Lago for providing technical assistance. We </w:t>
      </w:r>
      <w:r w:rsidR="00577EF5" w:rsidRPr="00AB2539">
        <w:rPr>
          <w:color w:val="auto"/>
        </w:rPr>
        <w:t>also want to thank</w:t>
      </w:r>
      <w:r w:rsidRPr="00AB2539">
        <w:rPr>
          <w:color w:val="auto"/>
        </w:rPr>
        <w:t xml:space="preserve"> Dr. Clorinda Arias, Dr. Karla </w:t>
      </w:r>
      <w:proofErr w:type="gramStart"/>
      <w:r w:rsidRPr="00AB2539">
        <w:rPr>
          <w:color w:val="auto"/>
        </w:rPr>
        <w:t>Hernandez</w:t>
      </w:r>
      <w:proofErr w:type="gramEnd"/>
      <w:r w:rsidRPr="00AB2539">
        <w:rPr>
          <w:color w:val="auto"/>
        </w:rPr>
        <w:t xml:space="preserve"> and Dr. Oscar Galicia for </w:t>
      </w:r>
      <w:r w:rsidR="00577EF5" w:rsidRPr="00AB2539">
        <w:rPr>
          <w:color w:val="auto"/>
        </w:rPr>
        <w:t xml:space="preserve">their kind support in providing </w:t>
      </w:r>
      <w:r w:rsidRPr="00AB2539">
        <w:rPr>
          <w:color w:val="auto"/>
        </w:rPr>
        <w:t>reagent</w:t>
      </w:r>
      <w:r w:rsidR="00577EF5" w:rsidRPr="00AB2539">
        <w:rPr>
          <w:color w:val="auto"/>
        </w:rPr>
        <w:t>s</w:t>
      </w:r>
      <w:r w:rsidRPr="00AB2539">
        <w:rPr>
          <w:color w:val="auto"/>
        </w:rPr>
        <w:t xml:space="preserve"> and material. We </w:t>
      </w:r>
      <w:r w:rsidR="00730CE7" w:rsidRPr="00AB2539">
        <w:rPr>
          <w:color w:val="auto"/>
        </w:rPr>
        <w:t>also thank</w:t>
      </w:r>
      <w:r w:rsidRPr="00AB2539">
        <w:rPr>
          <w:color w:val="auto"/>
        </w:rPr>
        <w:t xml:space="preserve"> </w:t>
      </w:r>
      <w:proofErr w:type="spellStart"/>
      <w:r w:rsidRPr="00AB2539">
        <w:rPr>
          <w:color w:val="auto"/>
        </w:rPr>
        <w:t>Dirección</w:t>
      </w:r>
      <w:proofErr w:type="spellEnd"/>
      <w:r w:rsidRPr="00AB2539">
        <w:rPr>
          <w:color w:val="auto"/>
        </w:rPr>
        <w:t xml:space="preserve"> de </w:t>
      </w:r>
      <w:proofErr w:type="spellStart"/>
      <w:r w:rsidRPr="00AB2539">
        <w:rPr>
          <w:color w:val="auto"/>
        </w:rPr>
        <w:t>Investigación</w:t>
      </w:r>
      <w:proofErr w:type="spellEnd"/>
      <w:r w:rsidRPr="00AB2539">
        <w:rPr>
          <w:color w:val="auto"/>
        </w:rPr>
        <w:t xml:space="preserve"> y </w:t>
      </w:r>
      <w:proofErr w:type="spellStart"/>
      <w:r w:rsidRPr="00AB2539">
        <w:rPr>
          <w:color w:val="auto"/>
        </w:rPr>
        <w:t>Posgrado</w:t>
      </w:r>
      <w:proofErr w:type="spellEnd"/>
      <w:r w:rsidRPr="00AB2539">
        <w:rPr>
          <w:color w:val="auto"/>
        </w:rPr>
        <w:t xml:space="preserve"> of the Universidad </w:t>
      </w:r>
      <w:proofErr w:type="spellStart"/>
      <w:r w:rsidRPr="00AB2539">
        <w:rPr>
          <w:color w:val="auto"/>
        </w:rPr>
        <w:t>Iberoamericana</w:t>
      </w:r>
      <w:proofErr w:type="spellEnd"/>
      <w:r w:rsidRPr="00AB2539">
        <w:rPr>
          <w:color w:val="auto"/>
        </w:rPr>
        <w:t xml:space="preserve"> Ciudad de México for </w:t>
      </w:r>
      <w:r w:rsidR="00730CE7" w:rsidRPr="00AB2539">
        <w:rPr>
          <w:color w:val="auto"/>
        </w:rPr>
        <w:t xml:space="preserve">providing funding for the performance of this work and for covering video production expenses. </w:t>
      </w:r>
    </w:p>
    <w:p w14:paraId="4C075D7B" w14:textId="77777777" w:rsidR="004E07EF" w:rsidRPr="00AB2539" w:rsidRDefault="004E07EF" w:rsidP="00AB2539">
      <w:pPr>
        <w:widowControl/>
        <w:contextualSpacing/>
        <w:rPr>
          <w:b/>
          <w:bCs/>
        </w:rPr>
      </w:pPr>
    </w:p>
    <w:p w14:paraId="519A15F1" w14:textId="77777777" w:rsidR="004E07EF" w:rsidRPr="00AB2539" w:rsidRDefault="004E07EF" w:rsidP="00AB2539">
      <w:pPr>
        <w:pStyle w:val="NormalWeb"/>
        <w:widowControl/>
        <w:spacing w:before="0" w:beforeAutospacing="0" w:after="0" w:afterAutospacing="0"/>
        <w:contextualSpacing/>
        <w:rPr>
          <w:color w:val="808080"/>
        </w:rPr>
      </w:pPr>
      <w:r w:rsidRPr="00AB2539">
        <w:rPr>
          <w:b/>
        </w:rPr>
        <w:t>DISCLOSURES</w:t>
      </w:r>
      <w:r w:rsidRPr="00AB2539">
        <w:rPr>
          <w:b/>
          <w:bCs/>
        </w:rPr>
        <w:t xml:space="preserve">: </w:t>
      </w:r>
    </w:p>
    <w:p w14:paraId="1F48ABB9" w14:textId="08D0F71B" w:rsidR="004E07EF" w:rsidRPr="00AB2539" w:rsidRDefault="004E07EF" w:rsidP="00AB2539">
      <w:pPr>
        <w:pStyle w:val="NormalWeb"/>
        <w:widowControl/>
        <w:spacing w:before="0" w:beforeAutospacing="0" w:after="0" w:afterAutospacing="0"/>
        <w:contextualSpacing/>
        <w:rPr>
          <w:color w:val="auto"/>
        </w:rPr>
      </w:pPr>
      <w:r w:rsidRPr="00AB2539">
        <w:rPr>
          <w:color w:val="auto"/>
        </w:rPr>
        <w:t>The authors have nothing to disclose.</w:t>
      </w:r>
    </w:p>
    <w:p w14:paraId="41F0A4A2" w14:textId="77777777" w:rsidR="004E07EF" w:rsidRPr="00AB2539" w:rsidRDefault="004E07EF" w:rsidP="00AB2539">
      <w:pPr>
        <w:widowControl/>
        <w:contextualSpacing/>
        <w:rPr>
          <w:color w:val="auto"/>
        </w:rPr>
      </w:pPr>
    </w:p>
    <w:p w14:paraId="47E8BF2E" w14:textId="77777777" w:rsidR="004E07EF" w:rsidRPr="00AB2539" w:rsidRDefault="004E07EF" w:rsidP="00AB2539">
      <w:pPr>
        <w:widowControl/>
        <w:contextualSpacing/>
        <w:rPr>
          <w:color w:val="808080"/>
        </w:rPr>
      </w:pPr>
      <w:r w:rsidRPr="00AB2539">
        <w:rPr>
          <w:b/>
          <w:bCs/>
        </w:rPr>
        <w:t>REFERENCES:</w:t>
      </w:r>
    </w:p>
    <w:p w14:paraId="46FB29DE" w14:textId="77777777" w:rsidR="004E07EF" w:rsidRPr="00AB2539" w:rsidRDefault="004E07EF" w:rsidP="00AB2539">
      <w:pPr>
        <w:widowControl/>
        <w:contextualSpacing/>
      </w:pPr>
    </w:p>
    <w:p w14:paraId="26273228" w14:textId="5D1CAC6D" w:rsidR="00AE2045" w:rsidRPr="00AB2539" w:rsidRDefault="004E07EF" w:rsidP="00AB2539">
      <w:pPr>
        <w:widowControl/>
        <w:rPr>
          <w:noProof/>
        </w:rPr>
      </w:pPr>
      <w:r w:rsidRPr="00AB2539">
        <w:fldChar w:fldCharType="begin" w:fldLock="1"/>
      </w:r>
      <w:r w:rsidRPr="00AB2539">
        <w:instrText xml:space="preserve">ADDIN Mendeley Bibliography CSL_BIBLIOGRAPHY </w:instrText>
      </w:r>
      <w:r w:rsidRPr="00AB2539">
        <w:fldChar w:fldCharType="separate"/>
      </w:r>
      <w:r w:rsidR="00AE2045" w:rsidRPr="00AB2539">
        <w:rPr>
          <w:noProof/>
        </w:rPr>
        <w:t>1.</w:t>
      </w:r>
      <w:r w:rsidR="00AE2045" w:rsidRPr="00AB2539">
        <w:rPr>
          <w:noProof/>
        </w:rPr>
        <w:tab/>
        <w:t xml:space="preserve">Altman, J. Are new neurons formed in the brains of adult mammals? </w:t>
      </w:r>
      <w:r w:rsidR="00AE2045" w:rsidRPr="00AB2539">
        <w:rPr>
          <w:i/>
          <w:iCs/>
          <w:noProof/>
        </w:rPr>
        <w:t>Science</w:t>
      </w:r>
      <w:r w:rsidR="00AE2045" w:rsidRPr="00AB2539">
        <w:rPr>
          <w:noProof/>
        </w:rPr>
        <w:t xml:space="preserve">. </w:t>
      </w:r>
      <w:r w:rsidR="00AE2045" w:rsidRPr="00AB2539">
        <w:rPr>
          <w:b/>
          <w:bCs/>
          <w:noProof/>
        </w:rPr>
        <w:t>135</w:t>
      </w:r>
      <w:r w:rsidR="00AE2045" w:rsidRPr="00AB2539">
        <w:rPr>
          <w:noProof/>
        </w:rPr>
        <w:t xml:space="preserve"> (3509), 1127–1128 (1962).</w:t>
      </w:r>
    </w:p>
    <w:p w14:paraId="48BBF69B" w14:textId="30E38F13" w:rsidR="00AE2045" w:rsidRPr="00AB2539" w:rsidRDefault="00AE2045" w:rsidP="00AB2539">
      <w:pPr>
        <w:widowControl/>
        <w:rPr>
          <w:noProof/>
        </w:rPr>
      </w:pPr>
      <w:r w:rsidRPr="00AB2539">
        <w:rPr>
          <w:noProof/>
        </w:rPr>
        <w:t>2.</w:t>
      </w:r>
      <w:r w:rsidRPr="00AB2539">
        <w:rPr>
          <w:noProof/>
        </w:rPr>
        <w:tab/>
        <w:t>Altman, J., Das, G.</w:t>
      </w:r>
      <w:r w:rsidR="0089383B" w:rsidRPr="00AB2539">
        <w:rPr>
          <w:noProof/>
        </w:rPr>
        <w:t xml:space="preserve"> </w:t>
      </w:r>
      <w:r w:rsidRPr="00AB2539">
        <w:rPr>
          <w:noProof/>
        </w:rPr>
        <w:t xml:space="preserve">D. Autoradiographic and histological evidence of postnatal hippocampal neurogenesis in rats. </w:t>
      </w:r>
      <w:r w:rsidRPr="00AB2539">
        <w:rPr>
          <w:i/>
          <w:iCs/>
          <w:noProof/>
        </w:rPr>
        <w:t>The Journal of Comparative Neurology</w:t>
      </w:r>
      <w:r w:rsidRPr="00AB2539">
        <w:rPr>
          <w:noProof/>
        </w:rPr>
        <w:t xml:space="preserve">. </w:t>
      </w:r>
      <w:r w:rsidRPr="00AB2539">
        <w:rPr>
          <w:b/>
          <w:bCs/>
          <w:noProof/>
        </w:rPr>
        <w:t>124</w:t>
      </w:r>
      <w:r w:rsidRPr="00AB2539">
        <w:rPr>
          <w:noProof/>
        </w:rPr>
        <w:t xml:space="preserve"> (3), 319–335 (1965).</w:t>
      </w:r>
    </w:p>
    <w:p w14:paraId="6DF07C7C" w14:textId="0CA96D6F" w:rsidR="00AE2045" w:rsidRPr="00AB2539" w:rsidRDefault="00AE2045" w:rsidP="00AB2539">
      <w:pPr>
        <w:widowControl/>
        <w:rPr>
          <w:noProof/>
        </w:rPr>
      </w:pPr>
      <w:r w:rsidRPr="00AB2539">
        <w:rPr>
          <w:noProof/>
        </w:rPr>
        <w:t>3.</w:t>
      </w:r>
      <w:r w:rsidRPr="00AB2539">
        <w:rPr>
          <w:noProof/>
        </w:rPr>
        <w:tab/>
        <w:t>Miller, M.</w:t>
      </w:r>
      <w:r w:rsidR="0089383B" w:rsidRPr="00AB2539">
        <w:rPr>
          <w:noProof/>
        </w:rPr>
        <w:t xml:space="preserve"> </w:t>
      </w:r>
      <w:r w:rsidRPr="00AB2539">
        <w:rPr>
          <w:noProof/>
        </w:rPr>
        <w:t>W., Nowakowski, R.</w:t>
      </w:r>
      <w:r w:rsidR="0089383B" w:rsidRPr="00AB2539">
        <w:rPr>
          <w:noProof/>
        </w:rPr>
        <w:t xml:space="preserve"> </w:t>
      </w:r>
      <w:r w:rsidRPr="00AB2539">
        <w:rPr>
          <w:noProof/>
        </w:rPr>
        <w:t xml:space="preserve">S. Use of bromodeoxyuridine-immunohistochemistry to examine the proliferation, migration and time of origin of cells in the central nervous system. </w:t>
      </w:r>
      <w:r w:rsidRPr="00AB2539">
        <w:rPr>
          <w:i/>
          <w:iCs/>
          <w:noProof/>
        </w:rPr>
        <w:t>Brain Research</w:t>
      </w:r>
      <w:r w:rsidRPr="00AB2539">
        <w:rPr>
          <w:noProof/>
        </w:rPr>
        <w:t xml:space="preserve">. </w:t>
      </w:r>
      <w:r w:rsidRPr="00AB2539">
        <w:rPr>
          <w:b/>
          <w:bCs/>
          <w:noProof/>
        </w:rPr>
        <w:t>457</w:t>
      </w:r>
      <w:r w:rsidRPr="00AB2539">
        <w:rPr>
          <w:noProof/>
        </w:rPr>
        <w:t xml:space="preserve"> (1), 44–52 (1988).</w:t>
      </w:r>
    </w:p>
    <w:p w14:paraId="3DE49BA1" w14:textId="4813183B" w:rsidR="00AE2045" w:rsidRPr="00AB2539" w:rsidRDefault="00AE2045" w:rsidP="00AB2539">
      <w:pPr>
        <w:widowControl/>
        <w:rPr>
          <w:noProof/>
        </w:rPr>
      </w:pPr>
      <w:r w:rsidRPr="00AB2539">
        <w:rPr>
          <w:noProof/>
        </w:rPr>
        <w:lastRenderedPageBreak/>
        <w:t>4.</w:t>
      </w:r>
      <w:r w:rsidRPr="00AB2539">
        <w:rPr>
          <w:noProof/>
        </w:rPr>
        <w:tab/>
        <w:t>Eriksson, P.</w:t>
      </w:r>
      <w:r w:rsidR="0089383B" w:rsidRPr="00AB2539">
        <w:rPr>
          <w:noProof/>
        </w:rPr>
        <w:t xml:space="preserve"> </w:t>
      </w:r>
      <w:r w:rsidRPr="00AB2539">
        <w:rPr>
          <w:noProof/>
        </w:rPr>
        <w:t xml:space="preserve">S. et al. Neurogenesis in the adult human hippocampus. </w:t>
      </w:r>
      <w:r w:rsidRPr="00AB2539">
        <w:rPr>
          <w:i/>
          <w:iCs/>
          <w:noProof/>
        </w:rPr>
        <w:t>Nature Medicine</w:t>
      </w:r>
      <w:r w:rsidRPr="00AB2539">
        <w:rPr>
          <w:noProof/>
        </w:rPr>
        <w:t xml:space="preserve">. </w:t>
      </w:r>
      <w:r w:rsidRPr="00AB2539">
        <w:rPr>
          <w:b/>
          <w:bCs/>
          <w:noProof/>
        </w:rPr>
        <w:t>4</w:t>
      </w:r>
      <w:r w:rsidRPr="00AB2539">
        <w:rPr>
          <w:noProof/>
        </w:rPr>
        <w:t xml:space="preserve"> (11), 1313–1317 (1998).</w:t>
      </w:r>
    </w:p>
    <w:p w14:paraId="06334FA0" w14:textId="18BA7916" w:rsidR="00AE2045" w:rsidRPr="00AB2539" w:rsidRDefault="00AE2045" w:rsidP="00AB2539">
      <w:pPr>
        <w:widowControl/>
        <w:rPr>
          <w:noProof/>
        </w:rPr>
      </w:pPr>
      <w:r w:rsidRPr="00AB2539">
        <w:rPr>
          <w:noProof/>
        </w:rPr>
        <w:t>5.</w:t>
      </w:r>
      <w:r w:rsidRPr="00AB2539">
        <w:rPr>
          <w:noProof/>
        </w:rPr>
        <w:tab/>
        <w:t xml:space="preserve">Filippov, V. et al. Subpopulation of nestin-expressing progenitor cells in the adult murine hippocampus shows electrophysiological and morphological characteristics of astrocytes. </w:t>
      </w:r>
      <w:r w:rsidRPr="00AB2539">
        <w:rPr>
          <w:i/>
          <w:iCs/>
          <w:noProof/>
        </w:rPr>
        <w:t>Molecular and Cellular Neuroscience</w:t>
      </w:r>
      <w:r w:rsidRPr="00AB2539">
        <w:rPr>
          <w:noProof/>
        </w:rPr>
        <w:t xml:space="preserve">. </w:t>
      </w:r>
      <w:r w:rsidRPr="00AB2539">
        <w:rPr>
          <w:b/>
          <w:bCs/>
          <w:noProof/>
        </w:rPr>
        <w:t>23</w:t>
      </w:r>
      <w:r w:rsidRPr="00AB2539">
        <w:rPr>
          <w:noProof/>
        </w:rPr>
        <w:t xml:space="preserve"> (3), 373–382 (2003).</w:t>
      </w:r>
    </w:p>
    <w:p w14:paraId="79826252" w14:textId="6CBC9194" w:rsidR="00AE2045" w:rsidRPr="00AB2539" w:rsidRDefault="00AE2045" w:rsidP="00AB2539">
      <w:pPr>
        <w:widowControl/>
        <w:rPr>
          <w:noProof/>
        </w:rPr>
      </w:pPr>
      <w:r w:rsidRPr="00AB2539">
        <w:rPr>
          <w:noProof/>
        </w:rPr>
        <w:t>6.</w:t>
      </w:r>
      <w:r w:rsidRPr="00AB2539">
        <w:rPr>
          <w:noProof/>
        </w:rPr>
        <w:tab/>
        <w:t xml:space="preserve">Kempermann, G., Jessberger, S., Steiner, B., Kronenberg, G. Milestones of neuronal development in the adult hippocampus. </w:t>
      </w:r>
      <w:r w:rsidRPr="00AB2539">
        <w:rPr>
          <w:i/>
          <w:iCs/>
          <w:noProof/>
        </w:rPr>
        <w:t>Trends in Neurosciences</w:t>
      </w:r>
      <w:r w:rsidRPr="00AB2539">
        <w:rPr>
          <w:noProof/>
        </w:rPr>
        <w:t xml:space="preserve">. </w:t>
      </w:r>
      <w:r w:rsidRPr="00AB2539">
        <w:rPr>
          <w:b/>
          <w:bCs/>
          <w:noProof/>
        </w:rPr>
        <w:t>27</w:t>
      </w:r>
      <w:r w:rsidRPr="00AB2539">
        <w:rPr>
          <w:noProof/>
        </w:rPr>
        <w:t xml:space="preserve"> (8), 447–452 (2004).</w:t>
      </w:r>
    </w:p>
    <w:p w14:paraId="1A02E2A5" w14:textId="4CD31F18" w:rsidR="00AE2045" w:rsidRPr="00AB2539" w:rsidRDefault="00AE2045" w:rsidP="00AB2539">
      <w:pPr>
        <w:widowControl/>
        <w:rPr>
          <w:noProof/>
        </w:rPr>
      </w:pPr>
      <w:r w:rsidRPr="00AB2539">
        <w:rPr>
          <w:noProof/>
        </w:rPr>
        <w:t>7.</w:t>
      </w:r>
      <w:r w:rsidRPr="00AB2539">
        <w:rPr>
          <w:noProof/>
        </w:rPr>
        <w:tab/>
        <w:t>Matiašová, A.</w:t>
      </w:r>
      <w:r w:rsidR="0089383B" w:rsidRPr="00AB2539">
        <w:rPr>
          <w:noProof/>
        </w:rPr>
        <w:t xml:space="preserve"> et al.</w:t>
      </w:r>
      <w:r w:rsidRPr="00AB2539">
        <w:rPr>
          <w:noProof/>
        </w:rPr>
        <w:t xml:space="preserve"> Flow cytometric determination of 5-bromo-2ʹ-deoxyuridine pharmacokinetics in blood serum after intraperitoneal administration to rats and mice. </w:t>
      </w:r>
      <w:r w:rsidRPr="00AB2539">
        <w:rPr>
          <w:i/>
          <w:iCs/>
          <w:noProof/>
        </w:rPr>
        <w:t>Histochemistry and Cell Biology</w:t>
      </w:r>
      <w:r w:rsidRPr="00AB2539">
        <w:rPr>
          <w:noProof/>
        </w:rPr>
        <w:t xml:space="preserve">. </w:t>
      </w:r>
      <w:r w:rsidRPr="00AB2539">
        <w:rPr>
          <w:b/>
          <w:bCs/>
          <w:noProof/>
        </w:rPr>
        <w:t>142</w:t>
      </w:r>
      <w:r w:rsidRPr="00AB2539">
        <w:rPr>
          <w:noProof/>
        </w:rPr>
        <w:t xml:space="preserve"> (6), 703–712 (2014).</w:t>
      </w:r>
    </w:p>
    <w:p w14:paraId="7BBD9B58" w14:textId="66192361" w:rsidR="00AE2045" w:rsidRPr="00AB2539" w:rsidRDefault="00AE2045" w:rsidP="00AB2539">
      <w:pPr>
        <w:widowControl/>
        <w:rPr>
          <w:noProof/>
        </w:rPr>
      </w:pPr>
      <w:r w:rsidRPr="00AB2539">
        <w:rPr>
          <w:noProof/>
        </w:rPr>
        <w:t>8.</w:t>
      </w:r>
      <w:r w:rsidRPr="00AB2539">
        <w:rPr>
          <w:noProof/>
        </w:rPr>
        <w:tab/>
        <w:t xml:space="preserve">Von Bohlen Und Halbach, O. Immunohistological markers for proliferative events, gliogenesis, and neurogenesis within the adult hippocampus. </w:t>
      </w:r>
      <w:r w:rsidRPr="00AB2539">
        <w:rPr>
          <w:i/>
          <w:iCs/>
          <w:noProof/>
        </w:rPr>
        <w:t>Cell and Tissue Research</w:t>
      </w:r>
      <w:r w:rsidRPr="00AB2539">
        <w:rPr>
          <w:noProof/>
        </w:rPr>
        <w:t xml:space="preserve">. </w:t>
      </w:r>
      <w:r w:rsidRPr="00AB2539">
        <w:rPr>
          <w:b/>
          <w:bCs/>
          <w:noProof/>
        </w:rPr>
        <w:t>345</w:t>
      </w:r>
      <w:r w:rsidRPr="00AB2539">
        <w:rPr>
          <w:noProof/>
        </w:rPr>
        <w:t xml:space="preserve"> (1), 1–19 (2011).</w:t>
      </w:r>
    </w:p>
    <w:p w14:paraId="33FD8325" w14:textId="69CF01A1" w:rsidR="00AE2045" w:rsidRPr="00AB2539" w:rsidRDefault="00AE2045" w:rsidP="00AB2539">
      <w:pPr>
        <w:widowControl/>
        <w:rPr>
          <w:noProof/>
        </w:rPr>
      </w:pPr>
      <w:r w:rsidRPr="00AB2539">
        <w:rPr>
          <w:noProof/>
        </w:rPr>
        <w:t>9.</w:t>
      </w:r>
      <w:r w:rsidRPr="00AB2539">
        <w:rPr>
          <w:noProof/>
        </w:rPr>
        <w:tab/>
        <w:t xml:space="preserve">Sage, D. et al. DeconvolutionLab2: An open-source software for deconvolution microscopy. </w:t>
      </w:r>
      <w:r w:rsidRPr="00AB2539">
        <w:rPr>
          <w:i/>
          <w:iCs/>
          <w:noProof/>
        </w:rPr>
        <w:t>Methods</w:t>
      </w:r>
      <w:r w:rsidRPr="00AB2539">
        <w:rPr>
          <w:noProof/>
        </w:rPr>
        <w:t xml:space="preserve">. </w:t>
      </w:r>
      <w:r w:rsidRPr="00AB2539">
        <w:rPr>
          <w:b/>
          <w:bCs/>
          <w:noProof/>
        </w:rPr>
        <w:t>115</w:t>
      </w:r>
      <w:r w:rsidRPr="00AB2539">
        <w:rPr>
          <w:noProof/>
        </w:rPr>
        <w:t>, 28–41 (2017).</w:t>
      </w:r>
    </w:p>
    <w:p w14:paraId="1F9CE5CE" w14:textId="2749590E" w:rsidR="00AE2045" w:rsidRPr="00AB2539" w:rsidRDefault="00AE2045" w:rsidP="00AB2539">
      <w:pPr>
        <w:widowControl/>
        <w:rPr>
          <w:noProof/>
        </w:rPr>
      </w:pPr>
      <w:r w:rsidRPr="00AB2539">
        <w:rPr>
          <w:noProof/>
        </w:rPr>
        <w:t>10.</w:t>
      </w:r>
      <w:r w:rsidRPr="00AB2539">
        <w:rPr>
          <w:noProof/>
        </w:rPr>
        <w:tab/>
        <w:t xml:space="preserve">Manz, W., Arp, G., Schumann-Kindel, G., Szewzyk, U., Reitner, J. Widefield deconvolution epifluorescence microscopy combined with fluorescence in situ hybridization reveals the spatial arrangement of bacteria in sponge tissue. </w:t>
      </w:r>
      <w:r w:rsidRPr="00AB2539">
        <w:rPr>
          <w:i/>
          <w:iCs/>
          <w:noProof/>
        </w:rPr>
        <w:t>Journal of Microbiological Methods</w:t>
      </w:r>
      <w:r w:rsidRPr="00AB2539">
        <w:rPr>
          <w:noProof/>
        </w:rPr>
        <w:t xml:space="preserve">. </w:t>
      </w:r>
      <w:r w:rsidRPr="00AB2539">
        <w:rPr>
          <w:b/>
          <w:bCs/>
          <w:noProof/>
        </w:rPr>
        <w:t>40</w:t>
      </w:r>
      <w:r w:rsidRPr="00AB2539">
        <w:rPr>
          <w:noProof/>
        </w:rPr>
        <w:t xml:space="preserve"> (2), 125–134 (2000).</w:t>
      </w:r>
    </w:p>
    <w:p w14:paraId="6128CEA0" w14:textId="091BC038" w:rsidR="00AE2045" w:rsidRPr="00AB2539" w:rsidRDefault="00AE2045" w:rsidP="00AB2539">
      <w:pPr>
        <w:widowControl/>
        <w:rPr>
          <w:noProof/>
        </w:rPr>
      </w:pPr>
      <w:r w:rsidRPr="00AB2539">
        <w:rPr>
          <w:noProof/>
        </w:rPr>
        <w:t>11.</w:t>
      </w:r>
      <w:r w:rsidRPr="00AB2539">
        <w:rPr>
          <w:noProof/>
        </w:rPr>
        <w:tab/>
        <w:t xml:space="preserve">Schindelin, J. et al. Fiji: An open-source platform for biological-image analysis. </w:t>
      </w:r>
      <w:r w:rsidRPr="00AB2539">
        <w:rPr>
          <w:i/>
          <w:iCs/>
          <w:noProof/>
        </w:rPr>
        <w:t>Nature Methods</w:t>
      </w:r>
      <w:r w:rsidRPr="00AB2539">
        <w:rPr>
          <w:noProof/>
        </w:rPr>
        <w:t xml:space="preserve">. </w:t>
      </w:r>
      <w:r w:rsidRPr="00AB2539">
        <w:rPr>
          <w:b/>
          <w:bCs/>
          <w:noProof/>
        </w:rPr>
        <w:t>9</w:t>
      </w:r>
      <w:r w:rsidRPr="00AB2539">
        <w:rPr>
          <w:noProof/>
        </w:rPr>
        <w:t xml:space="preserve"> (7), 676–682 (2012).</w:t>
      </w:r>
    </w:p>
    <w:p w14:paraId="758BB234" w14:textId="6E5BB754" w:rsidR="00AE2045" w:rsidRPr="00AB2539" w:rsidRDefault="00AE2045" w:rsidP="00AB2539">
      <w:pPr>
        <w:widowControl/>
        <w:rPr>
          <w:noProof/>
        </w:rPr>
      </w:pPr>
      <w:r w:rsidRPr="00AB2539">
        <w:rPr>
          <w:noProof/>
        </w:rPr>
        <w:t>12.</w:t>
      </w:r>
      <w:r w:rsidRPr="00AB2539">
        <w:rPr>
          <w:noProof/>
        </w:rPr>
        <w:tab/>
        <w:t>Abràmoff, M.</w:t>
      </w:r>
      <w:r w:rsidR="0089383B" w:rsidRPr="00AB2539">
        <w:rPr>
          <w:noProof/>
        </w:rPr>
        <w:t xml:space="preserve"> </w:t>
      </w:r>
      <w:r w:rsidRPr="00AB2539">
        <w:rPr>
          <w:noProof/>
        </w:rPr>
        <w:t>D., Magalhães, P.</w:t>
      </w:r>
      <w:r w:rsidR="0089383B" w:rsidRPr="00AB2539">
        <w:rPr>
          <w:noProof/>
        </w:rPr>
        <w:t xml:space="preserve"> </w:t>
      </w:r>
      <w:r w:rsidRPr="00AB2539">
        <w:rPr>
          <w:noProof/>
        </w:rPr>
        <w:t>J., Ram, S.</w:t>
      </w:r>
      <w:r w:rsidR="0089383B" w:rsidRPr="00AB2539">
        <w:rPr>
          <w:noProof/>
        </w:rPr>
        <w:t xml:space="preserve"> </w:t>
      </w:r>
      <w:r w:rsidRPr="00AB2539">
        <w:rPr>
          <w:noProof/>
        </w:rPr>
        <w:t xml:space="preserve">J. Image processing with imageJ. </w:t>
      </w:r>
      <w:r w:rsidRPr="00AB2539">
        <w:rPr>
          <w:i/>
          <w:iCs/>
          <w:noProof/>
        </w:rPr>
        <w:t>Biophotonics International</w:t>
      </w:r>
      <w:r w:rsidRPr="00AB2539">
        <w:rPr>
          <w:noProof/>
        </w:rPr>
        <w:t xml:space="preserve">. </w:t>
      </w:r>
      <w:r w:rsidRPr="00AB2539">
        <w:rPr>
          <w:b/>
          <w:bCs/>
          <w:noProof/>
        </w:rPr>
        <w:t>11</w:t>
      </w:r>
      <w:r w:rsidRPr="00AB2539">
        <w:rPr>
          <w:noProof/>
        </w:rPr>
        <w:t xml:space="preserve"> (7), 36–41 (2004).</w:t>
      </w:r>
    </w:p>
    <w:p w14:paraId="0B406C2E" w14:textId="583D2794" w:rsidR="00AE2045" w:rsidRPr="00AB2539" w:rsidRDefault="00AE2045" w:rsidP="00AB2539">
      <w:pPr>
        <w:widowControl/>
        <w:rPr>
          <w:noProof/>
        </w:rPr>
      </w:pPr>
      <w:r w:rsidRPr="00AB2539">
        <w:rPr>
          <w:noProof/>
        </w:rPr>
        <w:t>13.</w:t>
      </w:r>
      <w:r w:rsidRPr="00AB2539">
        <w:rPr>
          <w:noProof/>
        </w:rPr>
        <w:tab/>
        <w:t>Giannini A.,</w:t>
      </w:r>
      <w:r w:rsidR="0089383B" w:rsidRPr="00AB2539">
        <w:rPr>
          <w:noProof/>
        </w:rPr>
        <w:t xml:space="preserve"> </w:t>
      </w:r>
      <w:r w:rsidRPr="00AB2539">
        <w:rPr>
          <w:noProof/>
        </w:rPr>
        <w:t xml:space="preserve">Giannini, J. </w:t>
      </w:r>
      <w:r w:rsidRPr="00AB2539">
        <w:rPr>
          <w:i/>
          <w:iCs/>
          <w:noProof/>
        </w:rPr>
        <w:t>2D and 3D Fluorescence Deconvolution Manual</w:t>
      </w:r>
      <w:r w:rsidRPr="00AB2539">
        <w:rPr>
          <w:noProof/>
        </w:rPr>
        <w:t>. at &lt;https://pages.stolaf.edu/wp-content/uploads/sites/803/2016/12/Giannini_Giannini_Deconvolution_Manual_20161215.pdf&gt;. (2016).</w:t>
      </w:r>
    </w:p>
    <w:p w14:paraId="4182DAC8" w14:textId="256869E8" w:rsidR="00AE2045" w:rsidRPr="00AB2539" w:rsidRDefault="00AE2045" w:rsidP="00AB2539">
      <w:pPr>
        <w:widowControl/>
        <w:rPr>
          <w:noProof/>
        </w:rPr>
      </w:pPr>
      <w:r w:rsidRPr="00AB2539">
        <w:rPr>
          <w:noProof/>
        </w:rPr>
        <w:t>14.</w:t>
      </w:r>
      <w:r w:rsidRPr="00AB2539">
        <w:rPr>
          <w:noProof/>
        </w:rPr>
        <w:tab/>
        <w:t xml:space="preserve">Taupin, P. BrdU immunohistochemistry for studying adult neurogenesis: Paradigms, pitfalls, limitations, and validation. </w:t>
      </w:r>
      <w:r w:rsidRPr="00AB2539">
        <w:rPr>
          <w:i/>
          <w:iCs/>
          <w:noProof/>
        </w:rPr>
        <w:t>Brain Research Reviews</w:t>
      </w:r>
      <w:r w:rsidRPr="00AB2539">
        <w:rPr>
          <w:noProof/>
        </w:rPr>
        <w:t xml:space="preserve">. </w:t>
      </w:r>
      <w:r w:rsidRPr="00AB2539">
        <w:rPr>
          <w:b/>
          <w:bCs/>
          <w:noProof/>
        </w:rPr>
        <w:t>53</w:t>
      </w:r>
      <w:r w:rsidRPr="00AB2539">
        <w:rPr>
          <w:noProof/>
        </w:rPr>
        <w:t xml:space="preserve"> (1), 198–214 (2007).</w:t>
      </w:r>
    </w:p>
    <w:p w14:paraId="540FFBBA" w14:textId="3920F76E" w:rsidR="00AE2045" w:rsidRPr="00AB2539" w:rsidRDefault="00AE2045" w:rsidP="00AB2539">
      <w:pPr>
        <w:widowControl/>
        <w:rPr>
          <w:noProof/>
        </w:rPr>
      </w:pPr>
      <w:r w:rsidRPr="00AB2539">
        <w:rPr>
          <w:noProof/>
        </w:rPr>
        <w:t>15.</w:t>
      </w:r>
      <w:r w:rsidRPr="00AB2539">
        <w:rPr>
          <w:noProof/>
        </w:rPr>
        <w:tab/>
        <w:t xml:space="preserve">Revilla, V., Jones, A. Cryostat sectioning of brains. </w:t>
      </w:r>
      <w:r w:rsidRPr="00AB2539">
        <w:rPr>
          <w:i/>
          <w:iCs/>
          <w:noProof/>
        </w:rPr>
        <w:t>International Review of Neurobiology</w:t>
      </w:r>
      <w:r w:rsidRPr="00AB2539">
        <w:rPr>
          <w:noProof/>
        </w:rPr>
        <w:t xml:space="preserve">. </w:t>
      </w:r>
      <w:r w:rsidRPr="00AB2539">
        <w:rPr>
          <w:b/>
          <w:bCs/>
          <w:noProof/>
        </w:rPr>
        <w:t>47</w:t>
      </w:r>
      <w:r w:rsidRPr="00AB2539">
        <w:rPr>
          <w:noProof/>
        </w:rPr>
        <w:t>, 61–70 (2002).</w:t>
      </w:r>
    </w:p>
    <w:p w14:paraId="0438FCF2" w14:textId="0DDAFFCB" w:rsidR="00AE2045" w:rsidRPr="00AB2539" w:rsidRDefault="00AE2045" w:rsidP="00AB2539">
      <w:pPr>
        <w:widowControl/>
        <w:rPr>
          <w:noProof/>
        </w:rPr>
      </w:pPr>
      <w:r w:rsidRPr="00AB2539">
        <w:rPr>
          <w:noProof/>
        </w:rPr>
        <w:t>16.</w:t>
      </w:r>
      <w:r w:rsidRPr="00AB2539">
        <w:rPr>
          <w:noProof/>
        </w:rPr>
        <w:tab/>
        <w:t>Amaral, D.</w:t>
      </w:r>
      <w:r w:rsidR="0089383B" w:rsidRPr="00AB2539">
        <w:rPr>
          <w:noProof/>
        </w:rPr>
        <w:t xml:space="preserve"> </w:t>
      </w:r>
      <w:r w:rsidRPr="00AB2539">
        <w:rPr>
          <w:noProof/>
        </w:rPr>
        <w:t>G., Scharfman, H.</w:t>
      </w:r>
      <w:r w:rsidR="0089383B" w:rsidRPr="00AB2539">
        <w:rPr>
          <w:noProof/>
        </w:rPr>
        <w:t xml:space="preserve"> </w:t>
      </w:r>
      <w:r w:rsidRPr="00AB2539">
        <w:rPr>
          <w:noProof/>
        </w:rPr>
        <w:t xml:space="preserve">E., Lavenex, P. The dentate gyrus: fundamental neuroanatomical organization (dentate gyrus for dummies). </w:t>
      </w:r>
      <w:r w:rsidRPr="00AB2539">
        <w:rPr>
          <w:i/>
          <w:iCs/>
          <w:noProof/>
        </w:rPr>
        <w:t>Progress in brain research</w:t>
      </w:r>
      <w:r w:rsidRPr="00AB2539">
        <w:rPr>
          <w:noProof/>
        </w:rPr>
        <w:t xml:space="preserve">. </w:t>
      </w:r>
      <w:r w:rsidRPr="00AB2539">
        <w:rPr>
          <w:b/>
          <w:bCs/>
          <w:noProof/>
        </w:rPr>
        <w:t>163</w:t>
      </w:r>
      <w:r w:rsidRPr="00AB2539">
        <w:rPr>
          <w:noProof/>
        </w:rPr>
        <w:t>, 3–22 (2007).</w:t>
      </w:r>
    </w:p>
    <w:p w14:paraId="194C7262" w14:textId="2D24043E" w:rsidR="00AE2045" w:rsidRPr="00AB2539" w:rsidRDefault="00AE2045" w:rsidP="00AB2539">
      <w:pPr>
        <w:widowControl/>
        <w:rPr>
          <w:noProof/>
        </w:rPr>
      </w:pPr>
      <w:r w:rsidRPr="00AB2539">
        <w:rPr>
          <w:noProof/>
        </w:rPr>
        <w:t>17.</w:t>
      </w:r>
      <w:r w:rsidRPr="00AB2539">
        <w:rPr>
          <w:noProof/>
        </w:rPr>
        <w:tab/>
        <w:t>Eadie, B.</w:t>
      </w:r>
      <w:r w:rsidR="0089383B" w:rsidRPr="00AB2539">
        <w:rPr>
          <w:noProof/>
        </w:rPr>
        <w:t xml:space="preserve"> </w:t>
      </w:r>
      <w:r w:rsidRPr="00AB2539">
        <w:rPr>
          <w:noProof/>
        </w:rPr>
        <w:t>D., Redila, V.</w:t>
      </w:r>
      <w:r w:rsidR="0089383B" w:rsidRPr="00AB2539">
        <w:rPr>
          <w:noProof/>
        </w:rPr>
        <w:t xml:space="preserve"> </w:t>
      </w:r>
      <w:r w:rsidRPr="00AB2539">
        <w:rPr>
          <w:noProof/>
        </w:rPr>
        <w:t>A., Christie, B.</w:t>
      </w:r>
      <w:r w:rsidR="0089383B" w:rsidRPr="00AB2539">
        <w:rPr>
          <w:noProof/>
        </w:rPr>
        <w:t xml:space="preserve"> </w:t>
      </w:r>
      <w:r w:rsidRPr="00AB2539">
        <w:rPr>
          <w:noProof/>
        </w:rPr>
        <w:t xml:space="preserve">R. Voluntary exercise alters the cytoarchitecture of the adult dentate gyrus by increasing cellular proliferation, dendritic complexity, and spine density. </w:t>
      </w:r>
      <w:r w:rsidRPr="00AB2539">
        <w:rPr>
          <w:i/>
          <w:iCs/>
          <w:noProof/>
        </w:rPr>
        <w:t>Journal of Comparative Neurology</w:t>
      </w:r>
      <w:r w:rsidRPr="00AB2539">
        <w:rPr>
          <w:noProof/>
        </w:rPr>
        <w:t xml:space="preserve">. </w:t>
      </w:r>
      <w:r w:rsidRPr="00AB2539">
        <w:rPr>
          <w:b/>
          <w:bCs/>
          <w:noProof/>
        </w:rPr>
        <w:t>486</w:t>
      </w:r>
      <w:r w:rsidRPr="00AB2539">
        <w:rPr>
          <w:noProof/>
        </w:rPr>
        <w:t xml:space="preserve"> (1), 39–47 (2005).</w:t>
      </w:r>
    </w:p>
    <w:p w14:paraId="24CCE25C" w14:textId="0B3480D4" w:rsidR="00AE2045" w:rsidRPr="00AB2539" w:rsidRDefault="00AE2045" w:rsidP="00AB2539">
      <w:pPr>
        <w:widowControl/>
        <w:rPr>
          <w:noProof/>
        </w:rPr>
      </w:pPr>
      <w:r w:rsidRPr="00AB2539">
        <w:rPr>
          <w:noProof/>
        </w:rPr>
        <w:t>18.</w:t>
      </w:r>
      <w:r w:rsidRPr="00AB2539">
        <w:rPr>
          <w:noProof/>
        </w:rPr>
        <w:tab/>
        <w:t>Leal-Galicia, P., Romo-Parra, H., Rodríguez-Serrano, L.</w:t>
      </w:r>
      <w:r w:rsidR="0089383B" w:rsidRPr="00AB2539">
        <w:rPr>
          <w:noProof/>
        </w:rPr>
        <w:t xml:space="preserve"> </w:t>
      </w:r>
      <w:r w:rsidRPr="00AB2539">
        <w:rPr>
          <w:noProof/>
        </w:rPr>
        <w:t xml:space="preserve">M., Buenrostro-Jáuregui, M. Regulation of adult hippocampal neurogenesis exerted by sexual, cognitive and physical activity: An update. </w:t>
      </w:r>
      <w:r w:rsidRPr="00AB2539">
        <w:rPr>
          <w:i/>
          <w:iCs/>
          <w:noProof/>
        </w:rPr>
        <w:t>Journal of Chemical Neuroanatomy</w:t>
      </w:r>
      <w:r w:rsidRPr="00AB2539">
        <w:rPr>
          <w:noProof/>
        </w:rPr>
        <w:t xml:space="preserve">. </w:t>
      </w:r>
      <w:r w:rsidRPr="00AB2539">
        <w:rPr>
          <w:b/>
          <w:bCs/>
          <w:noProof/>
        </w:rPr>
        <w:t>101</w:t>
      </w:r>
      <w:r w:rsidRPr="00AB2539">
        <w:rPr>
          <w:noProof/>
        </w:rPr>
        <w:t xml:space="preserve"> (August), 101667</w:t>
      </w:r>
      <w:r w:rsidR="0089383B" w:rsidRPr="00AB2539">
        <w:rPr>
          <w:noProof/>
        </w:rPr>
        <w:t xml:space="preserve"> </w:t>
      </w:r>
      <w:r w:rsidRPr="00AB2539">
        <w:rPr>
          <w:noProof/>
        </w:rPr>
        <w:t>(2019).</w:t>
      </w:r>
    </w:p>
    <w:p w14:paraId="6314A535" w14:textId="098E6838" w:rsidR="00AE2045" w:rsidRPr="00AB2539" w:rsidRDefault="00AE2045" w:rsidP="00AB2539">
      <w:pPr>
        <w:widowControl/>
        <w:rPr>
          <w:noProof/>
        </w:rPr>
      </w:pPr>
      <w:r w:rsidRPr="00AB2539">
        <w:rPr>
          <w:noProof/>
        </w:rPr>
        <w:t>19.</w:t>
      </w:r>
      <w:r w:rsidRPr="00AB2539">
        <w:rPr>
          <w:noProof/>
        </w:rPr>
        <w:tab/>
        <w:t xml:space="preserve">Gould, E. How widespread is adult neurogenesis in mammals? </w:t>
      </w:r>
      <w:r w:rsidRPr="00AB2539">
        <w:rPr>
          <w:i/>
          <w:iCs/>
          <w:noProof/>
        </w:rPr>
        <w:t>Nature Reviews Neuroscience</w:t>
      </w:r>
      <w:r w:rsidRPr="00AB2539">
        <w:rPr>
          <w:noProof/>
        </w:rPr>
        <w:t xml:space="preserve">. </w:t>
      </w:r>
      <w:r w:rsidRPr="00AB2539">
        <w:rPr>
          <w:b/>
          <w:bCs/>
          <w:noProof/>
        </w:rPr>
        <w:t>8</w:t>
      </w:r>
      <w:r w:rsidRPr="00AB2539">
        <w:rPr>
          <w:noProof/>
        </w:rPr>
        <w:t xml:space="preserve"> (6), 481–488 (2007).</w:t>
      </w:r>
    </w:p>
    <w:p w14:paraId="2A12CE87" w14:textId="226A86AC" w:rsidR="00AE2045" w:rsidRPr="00AB2539" w:rsidRDefault="00AE2045" w:rsidP="00AB2539">
      <w:pPr>
        <w:widowControl/>
        <w:rPr>
          <w:noProof/>
        </w:rPr>
      </w:pPr>
      <w:r w:rsidRPr="00AB2539">
        <w:rPr>
          <w:noProof/>
        </w:rPr>
        <w:t>20.</w:t>
      </w:r>
      <w:r w:rsidRPr="00AB2539">
        <w:rPr>
          <w:noProof/>
        </w:rPr>
        <w:tab/>
        <w:t>Ngwenya, L.</w:t>
      </w:r>
      <w:r w:rsidR="0089383B" w:rsidRPr="00AB2539">
        <w:rPr>
          <w:noProof/>
        </w:rPr>
        <w:t xml:space="preserve"> </w:t>
      </w:r>
      <w:r w:rsidRPr="00AB2539">
        <w:rPr>
          <w:noProof/>
        </w:rPr>
        <w:t>B., Peters, A., Rosene, D.</w:t>
      </w:r>
      <w:r w:rsidR="0089383B" w:rsidRPr="00AB2539">
        <w:rPr>
          <w:noProof/>
        </w:rPr>
        <w:t xml:space="preserve"> </w:t>
      </w:r>
      <w:r w:rsidRPr="00AB2539">
        <w:rPr>
          <w:noProof/>
        </w:rPr>
        <w:t xml:space="preserve">L. Light and electron microscopic immunohistochemical detection of bromodeoxyuridine-labeled cells in the brain: Different </w:t>
      </w:r>
      <w:r w:rsidRPr="00AB2539">
        <w:rPr>
          <w:noProof/>
        </w:rPr>
        <w:lastRenderedPageBreak/>
        <w:t xml:space="preserve">fixation and processing protocols. </w:t>
      </w:r>
      <w:r w:rsidRPr="00AB2539">
        <w:rPr>
          <w:i/>
          <w:iCs/>
          <w:noProof/>
        </w:rPr>
        <w:t>Journal of Histochemistry and Cytochemistry</w:t>
      </w:r>
      <w:r w:rsidRPr="00AB2539">
        <w:rPr>
          <w:noProof/>
        </w:rPr>
        <w:t xml:space="preserve">. </w:t>
      </w:r>
      <w:r w:rsidRPr="00AB2539">
        <w:rPr>
          <w:b/>
          <w:bCs/>
          <w:noProof/>
        </w:rPr>
        <w:t>53</w:t>
      </w:r>
      <w:r w:rsidRPr="00AB2539">
        <w:rPr>
          <w:noProof/>
        </w:rPr>
        <w:t xml:space="preserve"> (7), 821–832</w:t>
      </w:r>
      <w:r w:rsidR="0089383B" w:rsidRPr="00AB2539">
        <w:rPr>
          <w:noProof/>
        </w:rPr>
        <w:t xml:space="preserve"> (</w:t>
      </w:r>
      <w:r w:rsidRPr="00AB2539">
        <w:rPr>
          <w:noProof/>
        </w:rPr>
        <w:t>2005).</w:t>
      </w:r>
    </w:p>
    <w:p w14:paraId="2E89D694" w14:textId="71592416" w:rsidR="00AE2045" w:rsidRPr="00AB2539" w:rsidRDefault="00AE2045" w:rsidP="00AB2539">
      <w:pPr>
        <w:widowControl/>
        <w:rPr>
          <w:noProof/>
        </w:rPr>
      </w:pPr>
      <w:r w:rsidRPr="00AB2539">
        <w:rPr>
          <w:noProof/>
        </w:rPr>
        <w:t>21.</w:t>
      </w:r>
      <w:r w:rsidRPr="00AB2539">
        <w:rPr>
          <w:noProof/>
        </w:rPr>
        <w:tab/>
        <w:t>Ansorg, A., Bornkessel, K., Witte, O.</w:t>
      </w:r>
      <w:r w:rsidR="0089383B" w:rsidRPr="00AB2539">
        <w:rPr>
          <w:noProof/>
        </w:rPr>
        <w:t xml:space="preserve"> </w:t>
      </w:r>
      <w:r w:rsidRPr="00AB2539">
        <w:rPr>
          <w:noProof/>
        </w:rPr>
        <w:t xml:space="preserve">W., Urbach, A. Immunohistochemistry and multiple labeling with antibodies from the same host species to study adult hippocampal neurogenesis. </w:t>
      </w:r>
      <w:r w:rsidRPr="00AB2539">
        <w:rPr>
          <w:i/>
          <w:iCs/>
          <w:noProof/>
        </w:rPr>
        <w:t>Journal of Visualized Experiments</w:t>
      </w:r>
      <w:r w:rsidRPr="00AB2539">
        <w:rPr>
          <w:noProof/>
        </w:rPr>
        <w:t>. (98),</w:t>
      </w:r>
      <w:r w:rsidR="0089383B" w:rsidRPr="00AB2539">
        <w:rPr>
          <w:noProof/>
        </w:rPr>
        <w:t xml:space="preserve"> e</w:t>
      </w:r>
      <w:r w:rsidRPr="00AB2539">
        <w:rPr>
          <w:noProof/>
        </w:rPr>
        <w:t>52551 (2015).</w:t>
      </w:r>
    </w:p>
    <w:p w14:paraId="78F9B4D1" w14:textId="5995588F" w:rsidR="00AE2045" w:rsidRPr="00AB2539" w:rsidRDefault="00AE2045" w:rsidP="00AB2539">
      <w:pPr>
        <w:widowControl/>
        <w:rPr>
          <w:noProof/>
        </w:rPr>
      </w:pPr>
      <w:r w:rsidRPr="00AB2539">
        <w:rPr>
          <w:noProof/>
        </w:rPr>
        <w:t>22.</w:t>
      </w:r>
      <w:r w:rsidRPr="00AB2539">
        <w:rPr>
          <w:noProof/>
        </w:rPr>
        <w:tab/>
        <w:t>Tuttle, A.</w:t>
      </w:r>
      <w:r w:rsidR="0089383B" w:rsidRPr="00AB2539">
        <w:rPr>
          <w:noProof/>
        </w:rPr>
        <w:t xml:space="preserve"> </w:t>
      </w:r>
      <w:r w:rsidRPr="00AB2539">
        <w:rPr>
          <w:noProof/>
        </w:rPr>
        <w:t xml:space="preserve">H. et al. Immunofluorescent detection of two thymidine analogues (CldU and IdU) in primary tissue. </w:t>
      </w:r>
      <w:r w:rsidRPr="00AB2539">
        <w:rPr>
          <w:i/>
          <w:iCs/>
          <w:noProof/>
        </w:rPr>
        <w:t>Journal of Visualized Experiments</w:t>
      </w:r>
      <w:r w:rsidRPr="00AB2539">
        <w:rPr>
          <w:noProof/>
        </w:rPr>
        <w:t xml:space="preserve">. (46), </w:t>
      </w:r>
      <w:r w:rsidR="0089383B" w:rsidRPr="00AB2539">
        <w:rPr>
          <w:noProof/>
        </w:rPr>
        <w:t>e</w:t>
      </w:r>
      <w:r w:rsidRPr="00AB2539">
        <w:rPr>
          <w:noProof/>
        </w:rPr>
        <w:t>2166 (2010).</w:t>
      </w:r>
    </w:p>
    <w:p w14:paraId="1E9AB9F4" w14:textId="10FA5FCA" w:rsidR="00AE2045" w:rsidRPr="00AB2539" w:rsidRDefault="00AE2045" w:rsidP="00AB2539">
      <w:pPr>
        <w:widowControl/>
        <w:rPr>
          <w:noProof/>
        </w:rPr>
      </w:pPr>
      <w:r w:rsidRPr="00AB2539">
        <w:rPr>
          <w:noProof/>
        </w:rPr>
        <w:t>23.</w:t>
      </w:r>
      <w:r w:rsidRPr="00AB2539">
        <w:rPr>
          <w:noProof/>
        </w:rPr>
        <w:tab/>
        <w:t>Tischler, A.</w:t>
      </w:r>
      <w:r w:rsidR="008348CD">
        <w:rPr>
          <w:noProof/>
        </w:rPr>
        <w:t xml:space="preserve"> </w:t>
      </w:r>
      <w:r w:rsidRPr="00AB2539">
        <w:rPr>
          <w:noProof/>
        </w:rPr>
        <w:t xml:space="preserve">S. Triple immunohistochemical staining for bromodeoxyuridine and catecholamine biosynthetic enzymes using microwave antigen retrieval. </w:t>
      </w:r>
      <w:r w:rsidRPr="00AB2539">
        <w:rPr>
          <w:i/>
          <w:iCs/>
          <w:noProof/>
        </w:rPr>
        <w:t>Journal of Histochemistry and Cytochemistry</w:t>
      </w:r>
      <w:r w:rsidRPr="00AB2539">
        <w:rPr>
          <w:noProof/>
        </w:rPr>
        <w:t xml:space="preserve">. </w:t>
      </w:r>
      <w:r w:rsidRPr="00AB2539">
        <w:rPr>
          <w:b/>
          <w:bCs/>
          <w:noProof/>
        </w:rPr>
        <w:t>43</w:t>
      </w:r>
      <w:r w:rsidRPr="00AB2539">
        <w:rPr>
          <w:noProof/>
        </w:rPr>
        <w:t xml:space="preserve"> (1), 1–4 (1995).</w:t>
      </w:r>
    </w:p>
    <w:p w14:paraId="30DC7B37" w14:textId="68EBBD0F" w:rsidR="00AE2045" w:rsidRPr="00AB2539" w:rsidRDefault="00AE2045" w:rsidP="00AB2539">
      <w:pPr>
        <w:widowControl/>
        <w:rPr>
          <w:noProof/>
        </w:rPr>
      </w:pPr>
      <w:r w:rsidRPr="00AB2539">
        <w:rPr>
          <w:noProof/>
        </w:rPr>
        <w:t>24.</w:t>
      </w:r>
      <w:r w:rsidRPr="00AB2539">
        <w:rPr>
          <w:noProof/>
        </w:rPr>
        <w:tab/>
        <w:t xml:space="preserve">Taupin, P. Protocols for studying adult neurogenesis: Insights and recent developments. </w:t>
      </w:r>
      <w:r w:rsidRPr="00AB2539">
        <w:rPr>
          <w:i/>
          <w:iCs/>
          <w:noProof/>
        </w:rPr>
        <w:t>Regenerative Medicine</w:t>
      </w:r>
      <w:r w:rsidRPr="00AB2539">
        <w:rPr>
          <w:noProof/>
        </w:rPr>
        <w:t xml:space="preserve">. </w:t>
      </w:r>
      <w:r w:rsidRPr="00AB2539">
        <w:rPr>
          <w:b/>
          <w:bCs/>
          <w:noProof/>
        </w:rPr>
        <w:t>2</w:t>
      </w:r>
      <w:r w:rsidRPr="00AB2539">
        <w:rPr>
          <w:noProof/>
        </w:rPr>
        <w:t xml:space="preserve"> (1), 51–62 (2007).</w:t>
      </w:r>
    </w:p>
    <w:p w14:paraId="156FC1F4" w14:textId="43EE1D61" w:rsidR="00AE2045" w:rsidRPr="00AB2539" w:rsidRDefault="00AE2045" w:rsidP="00AB2539">
      <w:pPr>
        <w:widowControl/>
        <w:rPr>
          <w:noProof/>
        </w:rPr>
      </w:pPr>
      <w:r w:rsidRPr="00AB2539">
        <w:rPr>
          <w:noProof/>
        </w:rPr>
        <w:t>25.</w:t>
      </w:r>
      <w:r w:rsidRPr="00AB2539">
        <w:rPr>
          <w:noProof/>
        </w:rPr>
        <w:tab/>
        <w:t>Leuner, B., Glasper, E.</w:t>
      </w:r>
      <w:r w:rsidR="001052D6" w:rsidRPr="00AB2539">
        <w:rPr>
          <w:noProof/>
        </w:rPr>
        <w:t xml:space="preserve"> </w:t>
      </w:r>
      <w:r w:rsidRPr="00AB2539">
        <w:rPr>
          <w:noProof/>
        </w:rPr>
        <w:t xml:space="preserve">R., Gould, E. Thymidine analog methods for studies of adult neurogenesis are not equally sensitive. </w:t>
      </w:r>
      <w:r w:rsidRPr="00AB2539">
        <w:rPr>
          <w:i/>
          <w:iCs/>
          <w:noProof/>
        </w:rPr>
        <w:t>Biosystems</w:t>
      </w:r>
      <w:r w:rsidRPr="00AB2539">
        <w:rPr>
          <w:noProof/>
        </w:rPr>
        <w:t xml:space="preserve">. </w:t>
      </w:r>
      <w:r w:rsidRPr="00AB2539">
        <w:rPr>
          <w:b/>
          <w:bCs/>
          <w:noProof/>
        </w:rPr>
        <w:t>517</w:t>
      </w:r>
      <w:r w:rsidRPr="00AB2539">
        <w:rPr>
          <w:noProof/>
        </w:rPr>
        <w:t xml:space="preserve"> (2), 123–133 (2010).</w:t>
      </w:r>
    </w:p>
    <w:p w14:paraId="7B70605D" w14:textId="09656A7E" w:rsidR="00AE2045" w:rsidRPr="00AB2539" w:rsidRDefault="00AE2045" w:rsidP="00AB2539">
      <w:pPr>
        <w:widowControl/>
        <w:rPr>
          <w:noProof/>
        </w:rPr>
      </w:pPr>
      <w:r w:rsidRPr="00AB2539">
        <w:rPr>
          <w:noProof/>
        </w:rPr>
        <w:t>26.</w:t>
      </w:r>
      <w:r w:rsidRPr="00AB2539">
        <w:rPr>
          <w:noProof/>
        </w:rPr>
        <w:tab/>
        <w:t>Magavi, S.</w:t>
      </w:r>
      <w:r w:rsidR="001052D6" w:rsidRPr="00AB2539">
        <w:rPr>
          <w:noProof/>
        </w:rPr>
        <w:t xml:space="preserve"> </w:t>
      </w:r>
      <w:r w:rsidRPr="00AB2539">
        <w:rPr>
          <w:noProof/>
        </w:rPr>
        <w:t>S., MacKlis, J.</w:t>
      </w:r>
      <w:r w:rsidR="001052D6" w:rsidRPr="00AB2539">
        <w:rPr>
          <w:noProof/>
        </w:rPr>
        <w:t xml:space="preserve"> </w:t>
      </w:r>
      <w:r w:rsidRPr="00AB2539">
        <w:rPr>
          <w:noProof/>
        </w:rPr>
        <w:t xml:space="preserve">D. Identification of newborn cells by BrdU labeling and immunocytochemistry in vivo. </w:t>
      </w:r>
      <w:r w:rsidRPr="00AB2539">
        <w:rPr>
          <w:i/>
          <w:iCs/>
          <w:noProof/>
        </w:rPr>
        <w:t>Methods in Molecular Biology</w:t>
      </w:r>
      <w:r w:rsidRPr="00AB2539">
        <w:rPr>
          <w:noProof/>
        </w:rPr>
        <w:t xml:space="preserve">. </w:t>
      </w:r>
      <w:r w:rsidRPr="00AB2539">
        <w:rPr>
          <w:b/>
          <w:bCs/>
          <w:noProof/>
        </w:rPr>
        <w:t>438</w:t>
      </w:r>
      <w:r w:rsidRPr="00AB2539">
        <w:rPr>
          <w:noProof/>
        </w:rPr>
        <w:t>, 335–343 (2008).</w:t>
      </w:r>
    </w:p>
    <w:p w14:paraId="212DCEDE" w14:textId="5DED7EF0" w:rsidR="00AE2045" w:rsidRPr="00AB2539" w:rsidRDefault="00AE2045" w:rsidP="00AB2539">
      <w:pPr>
        <w:widowControl/>
        <w:rPr>
          <w:noProof/>
        </w:rPr>
      </w:pPr>
      <w:r w:rsidRPr="00AB2539">
        <w:rPr>
          <w:noProof/>
        </w:rPr>
        <w:t>27.</w:t>
      </w:r>
      <w:r w:rsidRPr="00AB2539">
        <w:rPr>
          <w:noProof/>
        </w:rPr>
        <w:tab/>
        <w:t>Kempermann, G., Gast, D., Kronenberg, G., Yamaguchi, M., Gage, F.</w:t>
      </w:r>
      <w:r w:rsidR="001052D6" w:rsidRPr="00AB2539">
        <w:rPr>
          <w:noProof/>
        </w:rPr>
        <w:t xml:space="preserve"> </w:t>
      </w:r>
      <w:r w:rsidRPr="00AB2539">
        <w:rPr>
          <w:noProof/>
        </w:rPr>
        <w:t>H. Early determination and long-term persistence of adult-generated new neurons in the hippocampus of mice. 391–399 (2003).</w:t>
      </w:r>
    </w:p>
    <w:p w14:paraId="7565D085" w14:textId="0033D282" w:rsidR="00AE2045" w:rsidRPr="00AB2539" w:rsidRDefault="00AE2045" w:rsidP="00AB2539">
      <w:pPr>
        <w:widowControl/>
        <w:rPr>
          <w:noProof/>
        </w:rPr>
      </w:pPr>
      <w:r w:rsidRPr="00AB2539">
        <w:rPr>
          <w:noProof/>
        </w:rPr>
        <w:t>28.</w:t>
      </w:r>
      <w:r w:rsidRPr="00AB2539">
        <w:rPr>
          <w:noProof/>
        </w:rPr>
        <w:tab/>
        <w:t>Ramos-Vara, J.</w:t>
      </w:r>
      <w:r w:rsidR="001052D6" w:rsidRPr="00AB2539">
        <w:rPr>
          <w:noProof/>
        </w:rPr>
        <w:t xml:space="preserve"> </w:t>
      </w:r>
      <w:r w:rsidRPr="00AB2539">
        <w:rPr>
          <w:noProof/>
        </w:rPr>
        <w:t>A., Beissenherz, M.</w:t>
      </w:r>
      <w:r w:rsidR="001052D6" w:rsidRPr="00AB2539">
        <w:rPr>
          <w:noProof/>
        </w:rPr>
        <w:t xml:space="preserve"> </w:t>
      </w:r>
      <w:r w:rsidRPr="00AB2539">
        <w:rPr>
          <w:noProof/>
        </w:rPr>
        <w:t xml:space="preserve">E. Optimization of immunohistochemical methods using two different antigen retrieval methods on formalin-fixed, paraffin-embedded tissues: Experience with 63 markers. </w:t>
      </w:r>
      <w:r w:rsidRPr="00AB2539">
        <w:rPr>
          <w:i/>
          <w:iCs/>
          <w:noProof/>
        </w:rPr>
        <w:t>Journal of Veterinary Diagnostic Investigation</w:t>
      </w:r>
      <w:r w:rsidRPr="00AB2539">
        <w:rPr>
          <w:noProof/>
        </w:rPr>
        <w:t xml:space="preserve">. </w:t>
      </w:r>
      <w:r w:rsidRPr="00AB2539">
        <w:rPr>
          <w:b/>
          <w:bCs/>
          <w:noProof/>
        </w:rPr>
        <w:t>12</w:t>
      </w:r>
      <w:r w:rsidRPr="00AB2539">
        <w:rPr>
          <w:noProof/>
        </w:rPr>
        <w:t xml:space="preserve"> (4), 307–311 (2000).</w:t>
      </w:r>
    </w:p>
    <w:p w14:paraId="5DFD6F28" w14:textId="327250EE" w:rsidR="00AE2045" w:rsidRPr="00AB2539" w:rsidRDefault="00AE2045" w:rsidP="00AB2539">
      <w:pPr>
        <w:widowControl/>
        <w:rPr>
          <w:noProof/>
        </w:rPr>
      </w:pPr>
      <w:r w:rsidRPr="00AB2539">
        <w:rPr>
          <w:noProof/>
        </w:rPr>
        <w:t>29.</w:t>
      </w:r>
      <w:r w:rsidRPr="00AB2539">
        <w:rPr>
          <w:noProof/>
        </w:rPr>
        <w:tab/>
        <w:t>Ramos-Vara, J.</w:t>
      </w:r>
      <w:r w:rsidR="001052D6" w:rsidRPr="00AB2539">
        <w:rPr>
          <w:noProof/>
        </w:rPr>
        <w:t xml:space="preserve"> </w:t>
      </w:r>
      <w:r w:rsidRPr="00AB2539">
        <w:rPr>
          <w:noProof/>
        </w:rPr>
        <w:t xml:space="preserve">A. Principles and methods of immunohistochemistry. </w:t>
      </w:r>
      <w:r w:rsidRPr="00AB2539">
        <w:rPr>
          <w:i/>
          <w:iCs/>
          <w:noProof/>
        </w:rPr>
        <w:t>Methods in Molecular Biology</w:t>
      </w:r>
      <w:r w:rsidRPr="00AB2539">
        <w:rPr>
          <w:noProof/>
        </w:rPr>
        <w:t xml:space="preserve">. </w:t>
      </w:r>
      <w:r w:rsidRPr="00AB2539">
        <w:rPr>
          <w:b/>
          <w:bCs/>
          <w:noProof/>
        </w:rPr>
        <w:t>1641</w:t>
      </w:r>
      <w:r w:rsidRPr="00AB2539">
        <w:rPr>
          <w:noProof/>
        </w:rPr>
        <w:t>, 115–128 (2017).</w:t>
      </w:r>
    </w:p>
    <w:p w14:paraId="5E9E40A6" w14:textId="0481A282" w:rsidR="00AE2045" w:rsidRPr="00AB2539" w:rsidRDefault="00AE2045" w:rsidP="00AB2539">
      <w:pPr>
        <w:widowControl/>
        <w:rPr>
          <w:noProof/>
        </w:rPr>
      </w:pPr>
      <w:r w:rsidRPr="00AB2539">
        <w:rPr>
          <w:noProof/>
        </w:rPr>
        <w:t>30.</w:t>
      </w:r>
      <w:r w:rsidRPr="00AB2539">
        <w:rPr>
          <w:noProof/>
        </w:rPr>
        <w:tab/>
        <w:t>Wojtowicz, J.</w:t>
      </w:r>
      <w:r w:rsidR="001052D6" w:rsidRPr="00AB2539">
        <w:rPr>
          <w:noProof/>
        </w:rPr>
        <w:t xml:space="preserve"> </w:t>
      </w:r>
      <w:r w:rsidRPr="00AB2539">
        <w:rPr>
          <w:noProof/>
        </w:rPr>
        <w:t xml:space="preserve">M., Kee, N. BrdU assay for neurogenesis in rodents. </w:t>
      </w:r>
      <w:r w:rsidRPr="00AB2539">
        <w:rPr>
          <w:i/>
          <w:iCs/>
          <w:noProof/>
        </w:rPr>
        <w:t>Nature Protocols</w:t>
      </w:r>
      <w:r w:rsidRPr="00AB2539">
        <w:rPr>
          <w:noProof/>
        </w:rPr>
        <w:t xml:space="preserve">. </w:t>
      </w:r>
      <w:r w:rsidRPr="00AB2539">
        <w:rPr>
          <w:b/>
          <w:bCs/>
          <w:noProof/>
        </w:rPr>
        <w:t>1</w:t>
      </w:r>
      <w:r w:rsidRPr="00AB2539">
        <w:rPr>
          <w:noProof/>
        </w:rPr>
        <w:t xml:space="preserve"> (3), 1399–1405 (2006).</w:t>
      </w:r>
    </w:p>
    <w:p w14:paraId="626A41AB" w14:textId="78230874" w:rsidR="00C17BFF" w:rsidRPr="00AB2539" w:rsidRDefault="004E07EF" w:rsidP="00AB2539">
      <w:pPr>
        <w:widowControl/>
        <w:rPr>
          <w:color w:val="7F7F7F" w:themeColor="text1" w:themeTint="80"/>
        </w:rPr>
      </w:pPr>
      <w:r w:rsidRPr="00AB2539">
        <w:fldChar w:fldCharType="end"/>
      </w:r>
    </w:p>
    <w:sectPr w:rsidR="00C17BFF" w:rsidRPr="00AB2539" w:rsidSect="00AB2539">
      <w:headerReference w:type="default" r:id="rId19"/>
      <w:footerReference w:type="default" r:id="rId20"/>
      <w:headerReference w:type="first" r:id="rId21"/>
      <w:footerReference w:type="first" r:id="rId22"/>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95E36" w14:textId="77777777" w:rsidR="00EA3646" w:rsidRDefault="00EA3646" w:rsidP="00621C4E">
      <w:r>
        <w:separator/>
      </w:r>
    </w:p>
  </w:endnote>
  <w:endnote w:type="continuationSeparator" w:id="0">
    <w:p w14:paraId="6B4531BD" w14:textId="77777777" w:rsidR="00EA3646" w:rsidRDefault="00EA36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3F2478" w:rsidRPr="00494F77" w:rsidRDefault="003F247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F2478" w:rsidRDefault="003F247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15697" w14:textId="77777777" w:rsidR="00EA3646" w:rsidRDefault="00EA3646" w:rsidP="00621C4E">
      <w:r>
        <w:separator/>
      </w:r>
    </w:p>
  </w:footnote>
  <w:footnote w:type="continuationSeparator" w:id="0">
    <w:p w14:paraId="2EBC1D61" w14:textId="77777777" w:rsidR="00EA3646" w:rsidRDefault="00EA36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F2478" w:rsidRPr="006F06E4" w:rsidRDefault="003F247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F9AFC65" w:rsidR="003F2478" w:rsidRPr="006F06E4" w:rsidRDefault="003F247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95CDD"/>
    <w:multiLevelType w:val="hybridMultilevel"/>
    <w:tmpl w:val="BBEA8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1D98A40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12"/>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1NzIzNDKxNDEysjRV0lEKTi0uzszPAykwqgUAmVX+eywAAAA="/>
  </w:docVars>
  <w:rsids>
    <w:rsidRoot w:val="00EE705F"/>
    <w:rsid w:val="00000CBC"/>
    <w:rsid w:val="00001169"/>
    <w:rsid w:val="000012A7"/>
    <w:rsid w:val="00001806"/>
    <w:rsid w:val="00004F54"/>
    <w:rsid w:val="00005815"/>
    <w:rsid w:val="00006E68"/>
    <w:rsid w:val="00007DBC"/>
    <w:rsid w:val="00007EA1"/>
    <w:rsid w:val="000100F0"/>
    <w:rsid w:val="000129B2"/>
    <w:rsid w:val="00012FF9"/>
    <w:rsid w:val="0001389C"/>
    <w:rsid w:val="00014107"/>
    <w:rsid w:val="00014314"/>
    <w:rsid w:val="00020595"/>
    <w:rsid w:val="00020F3C"/>
    <w:rsid w:val="000212AE"/>
    <w:rsid w:val="00021434"/>
    <w:rsid w:val="00021774"/>
    <w:rsid w:val="00021DF3"/>
    <w:rsid w:val="0002358F"/>
    <w:rsid w:val="00023869"/>
    <w:rsid w:val="00024598"/>
    <w:rsid w:val="00027217"/>
    <w:rsid w:val="000279B0"/>
    <w:rsid w:val="00030360"/>
    <w:rsid w:val="00030B19"/>
    <w:rsid w:val="00031159"/>
    <w:rsid w:val="00032769"/>
    <w:rsid w:val="0003311E"/>
    <w:rsid w:val="000332FD"/>
    <w:rsid w:val="00033BEF"/>
    <w:rsid w:val="00037B58"/>
    <w:rsid w:val="00037DB1"/>
    <w:rsid w:val="00043A08"/>
    <w:rsid w:val="000459FD"/>
    <w:rsid w:val="00051B73"/>
    <w:rsid w:val="000530A2"/>
    <w:rsid w:val="000575CF"/>
    <w:rsid w:val="00060ABE"/>
    <w:rsid w:val="00061A50"/>
    <w:rsid w:val="0006361B"/>
    <w:rsid w:val="00064104"/>
    <w:rsid w:val="00064C1E"/>
    <w:rsid w:val="00064F32"/>
    <w:rsid w:val="000652E3"/>
    <w:rsid w:val="00065A31"/>
    <w:rsid w:val="00065F92"/>
    <w:rsid w:val="00066025"/>
    <w:rsid w:val="00067A8F"/>
    <w:rsid w:val="00067C5C"/>
    <w:rsid w:val="000701D1"/>
    <w:rsid w:val="00073485"/>
    <w:rsid w:val="0007463D"/>
    <w:rsid w:val="00074FB1"/>
    <w:rsid w:val="00080A20"/>
    <w:rsid w:val="00082796"/>
    <w:rsid w:val="00082DF4"/>
    <w:rsid w:val="00086780"/>
    <w:rsid w:val="00086A15"/>
    <w:rsid w:val="00086ADB"/>
    <w:rsid w:val="00086FF5"/>
    <w:rsid w:val="00087C0A"/>
    <w:rsid w:val="00091788"/>
    <w:rsid w:val="00092732"/>
    <w:rsid w:val="000927BA"/>
    <w:rsid w:val="000930D8"/>
    <w:rsid w:val="00093BC4"/>
    <w:rsid w:val="000943E6"/>
    <w:rsid w:val="00095750"/>
    <w:rsid w:val="00095C4D"/>
    <w:rsid w:val="0009653F"/>
    <w:rsid w:val="00097929"/>
    <w:rsid w:val="000A0F2D"/>
    <w:rsid w:val="000A1E80"/>
    <w:rsid w:val="000A3B70"/>
    <w:rsid w:val="000A5153"/>
    <w:rsid w:val="000A645B"/>
    <w:rsid w:val="000A6E6F"/>
    <w:rsid w:val="000B10AE"/>
    <w:rsid w:val="000B30BF"/>
    <w:rsid w:val="000B3623"/>
    <w:rsid w:val="000B39CF"/>
    <w:rsid w:val="000B566B"/>
    <w:rsid w:val="000B595C"/>
    <w:rsid w:val="000B662E"/>
    <w:rsid w:val="000B7294"/>
    <w:rsid w:val="000B75D0"/>
    <w:rsid w:val="000C10F9"/>
    <w:rsid w:val="000C1CF8"/>
    <w:rsid w:val="000C450D"/>
    <w:rsid w:val="000C49CF"/>
    <w:rsid w:val="000C52E9"/>
    <w:rsid w:val="000C5B8B"/>
    <w:rsid w:val="000C5BAF"/>
    <w:rsid w:val="000C5CDC"/>
    <w:rsid w:val="000C65DC"/>
    <w:rsid w:val="000C66F3"/>
    <w:rsid w:val="000C6900"/>
    <w:rsid w:val="000D28BF"/>
    <w:rsid w:val="000D31E8"/>
    <w:rsid w:val="000D6660"/>
    <w:rsid w:val="000D76E4"/>
    <w:rsid w:val="000E3816"/>
    <w:rsid w:val="000E428D"/>
    <w:rsid w:val="000E4E87"/>
    <w:rsid w:val="000E4F77"/>
    <w:rsid w:val="000E687A"/>
    <w:rsid w:val="000E6E78"/>
    <w:rsid w:val="000F15DF"/>
    <w:rsid w:val="000F265C"/>
    <w:rsid w:val="000F35A9"/>
    <w:rsid w:val="000F3AFA"/>
    <w:rsid w:val="000F3DB7"/>
    <w:rsid w:val="000F3F77"/>
    <w:rsid w:val="000F5712"/>
    <w:rsid w:val="000F6611"/>
    <w:rsid w:val="000F7003"/>
    <w:rsid w:val="000F7E22"/>
    <w:rsid w:val="0010186D"/>
    <w:rsid w:val="00104FB2"/>
    <w:rsid w:val="001052D6"/>
    <w:rsid w:val="0010581E"/>
    <w:rsid w:val="00107554"/>
    <w:rsid w:val="001075E9"/>
    <w:rsid w:val="001104F3"/>
    <w:rsid w:val="00112EEB"/>
    <w:rsid w:val="001147F1"/>
    <w:rsid w:val="001173FF"/>
    <w:rsid w:val="0012563A"/>
    <w:rsid w:val="001264DE"/>
    <w:rsid w:val="001313A7"/>
    <w:rsid w:val="001319AF"/>
    <w:rsid w:val="0013276F"/>
    <w:rsid w:val="00132C8D"/>
    <w:rsid w:val="001342B5"/>
    <w:rsid w:val="0013621E"/>
    <w:rsid w:val="0013642E"/>
    <w:rsid w:val="0014018F"/>
    <w:rsid w:val="00140C11"/>
    <w:rsid w:val="0014191C"/>
    <w:rsid w:val="00142EFE"/>
    <w:rsid w:val="00146CA2"/>
    <w:rsid w:val="00152A23"/>
    <w:rsid w:val="00154C76"/>
    <w:rsid w:val="00155D9B"/>
    <w:rsid w:val="00156B11"/>
    <w:rsid w:val="00157838"/>
    <w:rsid w:val="00161AB2"/>
    <w:rsid w:val="00162CB7"/>
    <w:rsid w:val="00162DDF"/>
    <w:rsid w:val="00164263"/>
    <w:rsid w:val="00165D76"/>
    <w:rsid w:val="001665C9"/>
    <w:rsid w:val="00166B89"/>
    <w:rsid w:val="00166F32"/>
    <w:rsid w:val="001713AF"/>
    <w:rsid w:val="001718C0"/>
    <w:rsid w:val="00171E5B"/>
    <w:rsid w:val="00171F94"/>
    <w:rsid w:val="00174832"/>
    <w:rsid w:val="00175097"/>
    <w:rsid w:val="00175D4E"/>
    <w:rsid w:val="0017668A"/>
    <w:rsid w:val="001766FE"/>
    <w:rsid w:val="001771E7"/>
    <w:rsid w:val="00177A66"/>
    <w:rsid w:val="00183661"/>
    <w:rsid w:val="001840EA"/>
    <w:rsid w:val="001911FF"/>
    <w:rsid w:val="00192006"/>
    <w:rsid w:val="00193180"/>
    <w:rsid w:val="0019530C"/>
    <w:rsid w:val="00196792"/>
    <w:rsid w:val="001A0093"/>
    <w:rsid w:val="001A073F"/>
    <w:rsid w:val="001A208C"/>
    <w:rsid w:val="001A2686"/>
    <w:rsid w:val="001A6CC3"/>
    <w:rsid w:val="001B0D2D"/>
    <w:rsid w:val="001B0FBC"/>
    <w:rsid w:val="001B1519"/>
    <w:rsid w:val="001B2C9B"/>
    <w:rsid w:val="001B2E2D"/>
    <w:rsid w:val="001B5CD2"/>
    <w:rsid w:val="001C0BEE"/>
    <w:rsid w:val="001C0F98"/>
    <w:rsid w:val="001C1E49"/>
    <w:rsid w:val="001C27C1"/>
    <w:rsid w:val="001C2A98"/>
    <w:rsid w:val="001C3B86"/>
    <w:rsid w:val="001C4D95"/>
    <w:rsid w:val="001C52C2"/>
    <w:rsid w:val="001D1110"/>
    <w:rsid w:val="001D3084"/>
    <w:rsid w:val="001D3D7D"/>
    <w:rsid w:val="001D3F2A"/>
    <w:rsid w:val="001D3FFF"/>
    <w:rsid w:val="001D4997"/>
    <w:rsid w:val="001D625F"/>
    <w:rsid w:val="001D68A4"/>
    <w:rsid w:val="001D7576"/>
    <w:rsid w:val="001E029D"/>
    <w:rsid w:val="001E0E3F"/>
    <w:rsid w:val="001E14A0"/>
    <w:rsid w:val="001E5B43"/>
    <w:rsid w:val="001E7376"/>
    <w:rsid w:val="001E79E6"/>
    <w:rsid w:val="001F0287"/>
    <w:rsid w:val="001F225C"/>
    <w:rsid w:val="001F584F"/>
    <w:rsid w:val="001F5ECC"/>
    <w:rsid w:val="002004E4"/>
    <w:rsid w:val="00200792"/>
    <w:rsid w:val="00201CFA"/>
    <w:rsid w:val="0020220D"/>
    <w:rsid w:val="00202448"/>
    <w:rsid w:val="00202D15"/>
    <w:rsid w:val="00205B3F"/>
    <w:rsid w:val="00206997"/>
    <w:rsid w:val="00212EAE"/>
    <w:rsid w:val="00213174"/>
    <w:rsid w:val="00214BEE"/>
    <w:rsid w:val="002205B8"/>
    <w:rsid w:val="00222C85"/>
    <w:rsid w:val="0022525F"/>
    <w:rsid w:val="00225720"/>
    <w:rsid w:val="002259E5"/>
    <w:rsid w:val="002260D3"/>
    <w:rsid w:val="00226140"/>
    <w:rsid w:val="002274F3"/>
    <w:rsid w:val="00227F57"/>
    <w:rsid w:val="0023094C"/>
    <w:rsid w:val="0023122C"/>
    <w:rsid w:val="00233484"/>
    <w:rsid w:val="00234303"/>
    <w:rsid w:val="00234BE3"/>
    <w:rsid w:val="00235A90"/>
    <w:rsid w:val="0023624F"/>
    <w:rsid w:val="00240A3A"/>
    <w:rsid w:val="00241E48"/>
    <w:rsid w:val="0024214E"/>
    <w:rsid w:val="002425B0"/>
    <w:rsid w:val="00242623"/>
    <w:rsid w:val="00243E29"/>
    <w:rsid w:val="00246210"/>
    <w:rsid w:val="00250558"/>
    <w:rsid w:val="0025357C"/>
    <w:rsid w:val="00253C0C"/>
    <w:rsid w:val="00256084"/>
    <w:rsid w:val="00257E0E"/>
    <w:rsid w:val="002605D1"/>
    <w:rsid w:val="00260652"/>
    <w:rsid w:val="00261606"/>
    <w:rsid w:val="00261F25"/>
    <w:rsid w:val="002648A9"/>
    <w:rsid w:val="0026536F"/>
    <w:rsid w:val="0026553C"/>
    <w:rsid w:val="002661A0"/>
    <w:rsid w:val="00266A35"/>
    <w:rsid w:val="0026790A"/>
    <w:rsid w:val="00267DD5"/>
    <w:rsid w:val="00270889"/>
    <w:rsid w:val="00274204"/>
    <w:rsid w:val="00274A0A"/>
    <w:rsid w:val="002759C7"/>
    <w:rsid w:val="00277593"/>
    <w:rsid w:val="00280909"/>
    <w:rsid w:val="00280918"/>
    <w:rsid w:val="0028100A"/>
    <w:rsid w:val="002817E8"/>
    <w:rsid w:val="00282AF6"/>
    <w:rsid w:val="00284F2B"/>
    <w:rsid w:val="0028570C"/>
    <w:rsid w:val="0028596A"/>
    <w:rsid w:val="00287085"/>
    <w:rsid w:val="00287DC0"/>
    <w:rsid w:val="00290AF9"/>
    <w:rsid w:val="00291131"/>
    <w:rsid w:val="0029355E"/>
    <w:rsid w:val="002949EE"/>
    <w:rsid w:val="00296348"/>
    <w:rsid w:val="002967CF"/>
    <w:rsid w:val="00297788"/>
    <w:rsid w:val="00297DCC"/>
    <w:rsid w:val="002A0106"/>
    <w:rsid w:val="002A1660"/>
    <w:rsid w:val="002A3285"/>
    <w:rsid w:val="002A34F9"/>
    <w:rsid w:val="002A3FBF"/>
    <w:rsid w:val="002A484B"/>
    <w:rsid w:val="002A64A6"/>
    <w:rsid w:val="002B01AB"/>
    <w:rsid w:val="002B1FE3"/>
    <w:rsid w:val="002B3301"/>
    <w:rsid w:val="002B56E3"/>
    <w:rsid w:val="002B5CB1"/>
    <w:rsid w:val="002B7B3D"/>
    <w:rsid w:val="002C1445"/>
    <w:rsid w:val="002C47D4"/>
    <w:rsid w:val="002D0F38"/>
    <w:rsid w:val="002D77E3"/>
    <w:rsid w:val="002E3049"/>
    <w:rsid w:val="002E509B"/>
    <w:rsid w:val="002E7703"/>
    <w:rsid w:val="002F2859"/>
    <w:rsid w:val="002F2FCA"/>
    <w:rsid w:val="002F6E16"/>
    <w:rsid w:val="002F6E3C"/>
    <w:rsid w:val="002F781E"/>
    <w:rsid w:val="0030117D"/>
    <w:rsid w:val="00301F30"/>
    <w:rsid w:val="003038FD"/>
    <w:rsid w:val="003039EF"/>
    <w:rsid w:val="00303C87"/>
    <w:rsid w:val="003040DD"/>
    <w:rsid w:val="003074A2"/>
    <w:rsid w:val="003108E5"/>
    <w:rsid w:val="003115A8"/>
    <w:rsid w:val="003120CB"/>
    <w:rsid w:val="003121D3"/>
    <w:rsid w:val="00312D84"/>
    <w:rsid w:val="003168CF"/>
    <w:rsid w:val="003176B9"/>
    <w:rsid w:val="00320153"/>
    <w:rsid w:val="00320367"/>
    <w:rsid w:val="00322342"/>
    <w:rsid w:val="00322871"/>
    <w:rsid w:val="003233F3"/>
    <w:rsid w:val="003240B0"/>
    <w:rsid w:val="00326FB3"/>
    <w:rsid w:val="00327618"/>
    <w:rsid w:val="003316D4"/>
    <w:rsid w:val="003321B2"/>
    <w:rsid w:val="003328FF"/>
    <w:rsid w:val="00332957"/>
    <w:rsid w:val="00332BBE"/>
    <w:rsid w:val="00333822"/>
    <w:rsid w:val="00334CD6"/>
    <w:rsid w:val="00336715"/>
    <w:rsid w:val="003401EC"/>
    <w:rsid w:val="00340957"/>
    <w:rsid w:val="00340DFD"/>
    <w:rsid w:val="0034283C"/>
    <w:rsid w:val="00344954"/>
    <w:rsid w:val="00345DE8"/>
    <w:rsid w:val="0034741C"/>
    <w:rsid w:val="00347E2F"/>
    <w:rsid w:val="00350CD7"/>
    <w:rsid w:val="00353630"/>
    <w:rsid w:val="00354934"/>
    <w:rsid w:val="00354DCA"/>
    <w:rsid w:val="00357798"/>
    <w:rsid w:val="00360C17"/>
    <w:rsid w:val="003621C6"/>
    <w:rsid w:val="003622B8"/>
    <w:rsid w:val="00363A81"/>
    <w:rsid w:val="00366B76"/>
    <w:rsid w:val="00366D54"/>
    <w:rsid w:val="00367BCA"/>
    <w:rsid w:val="003724E1"/>
    <w:rsid w:val="00373051"/>
    <w:rsid w:val="00373B8F"/>
    <w:rsid w:val="00376D95"/>
    <w:rsid w:val="00377FBB"/>
    <w:rsid w:val="00383526"/>
    <w:rsid w:val="00385140"/>
    <w:rsid w:val="0039007F"/>
    <w:rsid w:val="00393CC7"/>
    <w:rsid w:val="003941D2"/>
    <w:rsid w:val="00396302"/>
    <w:rsid w:val="003971F7"/>
    <w:rsid w:val="00397445"/>
    <w:rsid w:val="003A1149"/>
    <w:rsid w:val="003A16FC"/>
    <w:rsid w:val="003A2C8A"/>
    <w:rsid w:val="003A3221"/>
    <w:rsid w:val="003A4FCD"/>
    <w:rsid w:val="003B0944"/>
    <w:rsid w:val="003B1593"/>
    <w:rsid w:val="003B4381"/>
    <w:rsid w:val="003B4440"/>
    <w:rsid w:val="003B4A6C"/>
    <w:rsid w:val="003C1043"/>
    <w:rsid w:val="003C1A30"/>
    <w:rsid w:val="003C5505"/>
    <w:rsid w:val="003C6779"/>
    <w:rsid w:val="003C6AB8"/>
    <w:rsid w:val="003C71BE"/>
    <w:rsid w:val="003D033C"/>
    <w:rsid w:val="003D163E"/>
    <w:rsid w:val="003D2998"/>
    <w:rsid w:val="003D2F0A"/>
    <w:rsid w:val="003D3891"/>
    <w:rsid w:val="003D3FE9"/>
    <w:rsid w:val="003D5D84"/>
    <w:rsid w:val="003E0F4F"/>
    <w:rsid w:val="003E18AC"/>
    <w:rsid w:val="003E210B"/>
    <w:rsid w:val="003E2A12"/>
    <w:rsid w:val="003E3384"/>
    <w:rsid w:val="003E399D"/>
    <w:rsid w:val="003E3CA4"/>
    <w:rsid w:val="003E3FED"/>
    <w:rsid w:val="003E548E"/>
    <w:rsid w:val="003E7E5C"/>
    <w:rsid w:val="003E7EFE"/>
    <w:rsid w:val="003F2478"/>
    <w:rsid w:val="003F472A"/>
    <w:rsid w:val="00403AE6"/>
    <w:rsid w:val="00407EC8"/>
    <w:rsid w:val="0041110A"/>
    <w:rsid w:val="00411624"/>
    <w:rsid w:val="004119EA"/>
    <w:rsid w:val="004148E1"/>
    <w:rsid w:val="00414CFA"/>
    <w:rsid w:val="00415EC0"/>
    <w:rsid w:val="00420BE9"/>
    <w:rsid w:val="00423AD8"/>
    <w:rsid w:val="00423F0C"/>
    <w:rsid w:val="00423FDD"/>
    <w:rsid w:val="00424B25"/>
    <w:rsid w:val="00424C85"/>
    <w:rsid w:val="00424F80"/>
    <w:rsid w:val="004260BD"/>
    <w:rsid w:val="0043012F"/>
    <w:rsid w:val="00430F1F"/>
    <w:rsid w:val="00431131"/>
    <w:rsid w:val="004326EA"/>
    <w:rsid w:val="00435A81"/>
    <w:rsid w:val="0043683F"/>
    <w:rsid w:val="0044434C"/>
    <w:rsid w:val="0044456B"/>
    <w:rsid w:val="00447BD1"/>
    <w:rsid w:val="004507F3"/>
    <w:rsid w:val="00450AF4"/>
    <w:rsid w:val="00452D3C"/>
    <w:rsid w:val="004543D8"/>
    <w:rsid w:val="0045494F"/>
    <w:rsid w:val="00456A57"/>
    <w:rsid w:val="004572A8"/>
    <w:rsid w:val="00460377"/>
    <w:rsid w:val="0046037F"/>
    <w:rsid w:val="004607DE"/>
    <w:rsid w:val="004621AB"/>
    <w:rsid w:val="00462E1F"/>
    <w:rsid w:val="0046515C"/>
    <w:rsid w:val="004671C7"/>
    <w:rsid w:val="00471C61"/>
    <w:rsid w:val="00472F4D"/>
    <w:rsid w:val="004730BF"/>
    <w:rsid w:val="00474DCB"/>
    <w:rsid w:val="0047535C"/>
    <w:rsid w:val="004762F6"/>
    <w:rsid w:val="00477F89"/>
    <w:rsid w:val="00482C16"/>
    <w:rsid w:val="00483F77"/>
    <w:rsid w:val="0048550A"/>
    <w:rsid w:val="0048579A"/>
    <w:rsid w:val="00485870"/>
    <w:rsid w:val="00485FE8"/>
    <w:rsid w:val="00486D47"/>
    <w:rsid w:val="004912A3"/>
    <w:rsid w:val="004917AF"/>
    <w:rsid w:val="00491BE5"/>
    <w:rsid w:val="00491C87"/>
    <w:rsid w:val="00492473"/>
    <w:rsid w:val="004927DB"/>
    <w:rsid w:val="00492EB5"/>
    <w:rsid w:val="0049415F"/>
    <w:rsid w:val="00494F77"/>
    <w:rsid w:val="00496C54"/>
    <w:rsid w:val="00497721"/>
    <w:rsid w:val="004A0229"/>
    <w:rsid w:val="004A045F"/>
    <w:rsid w:val="004A127F"/>
    <w:rsid w:val="004A35D2"/>
    <w:rsid w:val="004A5D8E"/>
    <w:rsid w:val="004A71E4"/>
    <w:rsid w:val="004B1D7F"/>
    <w:rsid w:val="004B2F00"/>
    <w:rsid w:val="004B3573"/>
    <w:rsid w:val="004B634B"/>
    <w:rsid w:val="004B667A"/>
    <w:rsid w:val="004B69F6"/>
    <w:rsid w:val="004B6E31"/>
    <w:rsid w:val="004B71D8"/>
    <w:rsid w:val="004B74E0"/>
    <w:rsid w:val="004C1D66"/>
    <w:rsid w:val="004C1DD4"/>
    <w:rsid w:val="004C22AB"/>
    <w:rsid w:val="004C31D7"/>
    <w:rsid w:val="004C3DF2"/>
    <w:rsid w:val="004C4AD2"/>
    <w:rsid w:val="004C5266"/>
    <w:rsid w:val="004C6981"/>
    <w:rsid w:val="004D002B"/>
    <w:rsid w:val="004D1C7F"/>
    <w:rsid w:val="004D1F21"/>
    <w:rsid w:val="004D268C"/>
    <w:rsid w:val="004D2BED"/>
    <w:rsid w:val="004D52EF"/>
    <w:rsid w:val="004D59D8"/>
    <w:rsid w:val="004D5DA1"/>
    <w:rsid w:val="004D6923"/>
    <w:rsid w:val="004D6CBC"/>
    <w:rsid w:val="004D7910"/>
    <w:rsid w:val="004E07EF"/>
    <w:rsid w:val="004E150F"/>
    <w:rsid w:val="004E1DCA"/>
    <w:rsid w:val="004E23A1"/>
    <w:rsid w:val="004E3489"/>
    <w:rsid w:val="004E358A"/>
    <w:rsid w:val="004E3AFA"/>
    <w:rsid w:val="004E5330"/>
    <w:rsid w:val="004E6588"/>
    <w:rsid w:val="004F2742"/>
    <w:rsid w:val="004F40D6"/>
    <w:rsid w:val="004F4EC5"/>
    <w:rsid w:val="004F5372"/>
    <w:rsid w:val="004F5C73"/>
    <w:rsid w:val="005001CC"/>
    <w:rsid w:val="00500B89"/>
    <w:rsid w:val="00500F8F"/>
    <w:rsid w:val="005012F6"/>
    <w:rsid w:val="00502A0A"/>
    <w:rsid w:val="00503712"/>
    <w:rsid w:val="00505229"/>
    <w:rsid w:val="0050751E"/>
    <w:rsid w:val="00507C50"/>
    <w:rsid w:val="0051159E"/>
    <w:rsid w:val="0051207F"/>
    <w:rsid w:val="00514D40"/>
    <w:rsid w:val="00516AA9"/>
    <w:rsid w:val="00517C3A"/>
    <w:rsid w:val="00517D8A"/>
    <w:rsid w:val="005203D4"/>
    <w:rsid w:val="00521CE5"/>
    <w:rsid w:val="00527BF4"/>
    <w:rsid w:val="00530ED4"/>
    <w:rsid w:val="00531F74"/>
    <w:rsid w:val="005324BE"/>
    <w:rsid w:val="00532566"/>
    <w:rsid w:val="00534F6C"/>
    <w:rsid w:val="00535994"/>
    <w:rsid w:val="0053646D"/>
    <w:rsid w:val="00536D67"/>
    <w:rsid w:val="00537107"/>
    <w:rsid w:val="00540AAD"/>
    <w:rsid w:val="00541F38"/>
    <w:rsid w:val="00543EC1"/>
    <w:rsid w:val="0054534F"/>
    <w:rsid w:val="00546458"/>
    <w:rsid w:val="0055087C"/>
    <w:rsid w:val="00552CA4"/>
    <w:rsid w:val="00553413"/>
    <w:rsid w:val="00555983"/>
    <w:rsid w:val="005568C0"/>
    <w:rsid w:val="00557272"/>
    <w:rsid w:val="00560E31"/>
    <w:rsid w:val="00561BDA"/>
    <w:rsid w:val="00565A99"/>
    <w:rsid w:val="00566B36"/>
    <w:rsid w:val="00567DBF"/>
    <w:rsid w:val="00570802"/>
    <w:rsid w:val="005721ED"/>
    <w:rsid w:val="005761DA"/>
    <w:rsid w:val="00577EF5"/>
    <w:rsid w:val="005806C8"/>
    <w:rsid w:val="00580C07"/>
    <w:rsid w:val="00581B23"/>
    <w:rsid w:val="0058219C"/>
    <w:rsid w:val="0058335D"/>
    <w:rsid w:val="005843CF"/>
    <w:rsid w:val="0058707F"/>
    <w:rsid w:val="0058770B"/>
    <w:rsid w:val="005904BC"/>
    <w:rsid w:val="00590A3E"/>
    <w:rsid w:val="00591DBD"/>
    <w:rsid w:val="005931FE"/>
    <w:rsid w:val="00593459"/>
    <w:rsid w:val="00595C4C"/>
    <w:rsid w:val="005974F6"/>
    <w:rsid w:val="005A0028"/>
    <w:rsid w:val="005A0ACC"/>
    <w:rsid w:val="005A2F7A"/>
    <w:rsid w:val="005A6328"/>
    <w:rsid w:val="005A6902"/>
    <w:rsid w:val="005B0072"/>
    <w:rsid w:val="005B0732"/>
    <w:rsid w:val="005B1956"/>
    <w:rsid w:val="005B38A0"/>
    <w:rsid w:val="005B3B77"/>
    <w:rsid w:val="005B491C"/>
    <w:rsid w:val="005B4DBF"/>
    <w:rsid w:val="005B5DE2"/>
    <w:rsid w:val="005B674C"/>
    <w:rsid w:val="005C130B"/>
    <w:rsid w:val="005C187F"/>
    <w:rsid w:val="005C24F2"/>
    <w:rsid w:val="005C54A8"/>
    <w:rsid w:val="005C7561"/>
    <w:rsid w:val="005C763C"/>
    <w:rsid w:val="005D1E57"/>
    <w:rsid w:val="005D2F57"/>
    <w:rsid w:val="005D34F6"/>
    <w:rsid w:val="005D3EAD"/>
    <w:rsid w:val="005D4762"/>
    <w:rsid w:val="005D4F1A"/>
    <w:rsid w:val="005D6A20"/>
    <w:rsid w:val="005D7641"/>
    <w:rsid w:val="005E124C"/>
    <w:rsid w:val="005E1884"/>
    <w:rsid w:val="005E3DCE"/>
    <w:rsid w:val="005E7E69"/>
    <w:rsid w:val="005F1C3F"/>
    <w:rsid w:val="005F373A"/>
    <w:rsid w:val="005F4F87"/>
    <w:rsid w:val="005F6B0E"/>
    <w:rsid w:val="005F760E"/>
    <w:rsid w:val="005F7B1D"/>
    <w:rsid w:val="0060221D"/>
    <w:rsid w:val="0060222A"/>
    <w:rsid w:val="006070C4"/>
    <w:rsid w:val="006072F3"/>
    <w:rsid w:val="00610508"/>
    <w:rsid w:val="00610C21"/>
    <w:rsid w:val="0061156C"/>
    <w:rsid w:val="00611907"/>
    <w:rsid w:val="00611949"/>
    <w:rsid w:val="00613116"/>
    <w:rsid w:val="00615962"/>
    <w:rsid w:val="006202A6"/>
    <w:rsid w:val="0062054B"/>
    <w:rsid w:val="00620926"/>
    <w:rsid w:val="00621C4E"/>
    <w:rsid w:val="00624EAE"/>
    <w:rsid w:val="00626ABC"/>
    <w:rsid w:val="006305D7"/>
    <w:rsid w:val="00632F63"/>
    <w:rsid w:val="0063347D"/>
    <w:rsid w:val="00633A01"/>
    <w:rsid w:val="00633B97"/>
    <w:rsid w:val="006341F7"/>
    <w:rsid w:val="00634585"/>
    <w:rsid w:val="00635014"/>
    <w:rsid w:val="006355C9"/>
    <w:rsid w:val="006369CE"/>
    <w:rsid w:val="00636BF0"/>
    <w:rsid w:val="006377B2"/>
    <w:rsid w:val="006411CA"/>
    <w:rsid w:val="006450C9"/>
    <w:rsid w:val="00645BA2"/>
    <w:rsid w:val="0064605E"/>
    <w:rsid w:val="00646E9E"/>
    <w:rsid w:val="0064765A"/>
    <w:rsid w:val="006505B1"/>
    <w:rsid w:val="00650C98"/>
    <w:rsid w:val="00651999"/>
    <w:rsid w:val="006555DC"/>
    <w:rsid w:val="00657BC4"/>
    <w:rsid w:val="006619C8"/>
    <w:rsid w:val="00661C10"/>
    <w:rsid w:val="00665AA5"/>
    <w:rsid w:val="00671143"/>
    <w:rsid w:val="00671710"/>
    <w:rsid w:val="00673414"/>
    <w:rsid w:val="00676070"/>
    <w:rsid w:val="00676079"/>
    <w:rsid w:val="006761CB"/>
    <w:rsid w:val="00676301"/>
    <w:rsid w:val="00676ECD"/>
    <w:rsid w:val="00677D0A"/>
    <w:rsid w:val="0068182E"/>
    <w:rsid w:val="0068185F"/>
    <w:rsid w:val="00686511"/>
    <w:rsid w:val="00693A4D"/>
    <w:rsid w:val="00693B2F"/>
    <w:rsid w:val="00693D8C"/>
    <w:rsid w:val="00693FB8"/>
    <w:rsid w:val="006A01CF"/>
    <w:rsid w:val="006A441A"/>
    <w:rsid w:val="006A60DD"/>
    <w:rsid w:val="006A6C32"/>
    <w:rsid w:val="006B0679"/>
    <w:rsid w:val="006B074C"/>
    <w:rsid w:val="006B2FD3"/>
    <w:rsid w:val="006B39D6"/>
    <w:rsid w:val="006B3B84"/>
    <w:rsid w:val="006B4E7C"/>
    <w:rsid w:val="006B5D8C"/>
    <w:rsid w:val="006B72D4"/>
    <w:rsid w:val="006C11CC"/>
    <w:rsid w:val="006C171F"/>
    <w:rsid w:val="006C1AEB"/>
    <w:rsid w:val="006C2108"/>
    <w:rsid w:val="006C57FE"/>
    <w:rsid w:val="006C668E"/>
    <w:rsid w:val="006D0361"/>
    <w:rsid w:val="006D50E5"/>
    <w:rsid w:val="006D6A87"/>
    <w:rsid w:val="006D6F2D"/>
    <w:rsid w:val="006D7B01"/>
    <w:rsid w:val="006E47F9"/>
    <w:rsid w:val="006E4B63"/>
    <w:rsid w:val="006E6C56"/>
    <w:rsid w:val="006E7330"/>
    <w:rsid w:val="006E7E71"/>
    <w:rsid w:val="006F06B0"/>
    <w:rsid w:val="006F06E4"/>
    <w:rsid w:val="006F2316"/>
    <w:rsid w:val="006F30FB"/>
    <w:rsid w:val="006F4F72"/>
    <w:rsid w:val="006F51AF"/>
    <w:rsid w:val="006F7B41"/>
    <w:rsid w:val="006F7D9B"/>
    <w:rsid w:val="007003E1"/>
    <w:rsid w:val="0070073B"/>
    <w:rsid w:val="00702B5D"/>
    <w:rsid w:val="00702E6F"/>
    <w:rsid w:val="00703ED2"/>
    <w:rsid w:val="007046AC"/>
    <w:rsid w:val="00705235"/>
    <w:rsid w:val="00706E68"/>
    <w:rsid w:val="00707B8D"/>
    <w:rsid w:val="00713636"/>
    <w:rsid w:val="007140F1"/>
    <w:rsid w:val="00714B8C"/>
    <w:rsid w:val="0071675D"/>
    <w:rsid w:val="00717656"/>
    <w:rsid w:val="00717736"/>
    <w:rsid w:val="00717E62"/>
    <w:rsid w:val="00721934"/>
    <w:rsid w:val="00722988"/>
    <w:rsid w:val="007229F0"/>
    <w:rsid w:val="0073039B"/>
    <w:rsid w:val="00730CE7"/>
    <w:rsid w:val="00732B47"/>
    <w:rsid w:val="00734CE1"/>
    <w:rsid w:val="00735CF5"/>
    <w:rsid w:val="0074063A"/>
    <w:rsid w:val="00740C31"/>
    <w:rsid w:val="00741719"/>
    <w:rsid w:val="00742AA4"/>
    <w:rsid w:val="00743BA1"/>
    <w:rsid w:val="00745F1E"/>
    <w:rsid w:val="00747078"/>
    <w:rsid w:val="007515FE"/>
    <w:rsid w:val="00754F51"/>
    <w:rsid w:val="00756EC4"/>
    <w:rsid w:val="007601D0"/>
    <w:rsid w:val="007603BB"/>
    <w:rsid w:val="0076109D"/>
    <w:rsid w:val="007654B3"/>
    <w:rsid w:val="00767107"/>
    <w:rsid w:val="00767785"/>
    <w:rsid w:val="007678D9"/>
    <w:rsid w:val="00773617"/>
    <w:rsid w:val="0077390D"/>
    <w:rsid w:val="00773BFD"/>
    <w:rsid w:val="00773D46"/>
    <w:rsid w:val="007743B3"/>
    <w:rsid w:val="00774490"/>
    <w:rsid w:val="0077581E"/>
    <w:rsid w:val="0077597B"/>
    <w:rsid w:val="007773DF"/>
    <w:rsid w:val="0078031A"/>
    <w:rsid w:val="007819FF"/>
    <w:rsid w:val="00782E97"/>
    <w:rsid w:val="0078360C"/>
    <w:rsid w:val="00784A4C"/>
    <w:rsid w:val="00784BC6"/>
    <w:rsid w:val="00784E4D"/>
    <w:rsid w:val="0078523D"/>
    <w:rsid w:val="007872D1"/>
    <w:rsid w:val="00790674"/>
    <w:rsid w:val="0079090E"/>
    <w:rsid w:val="007931DF"/>
    <w:rsid w:val="00794763"/>
    <w:rsid w:val="00796684"/>
    <w:rsid w:val="00797B8F"/>
    <w:rsid w:val="007A0172"/>
    <w:rsid w:val="007A1804"/>
    <w:rsid w:val="007A1BA0"/>
    <w:rsid w:val="007A215A"/>
    <w:rsid w:val="007A2511"/>
    <w:rsid w:val="007A260E"/>
    <w:rsid w:val="007A2D80"/>
    <w:rsid w:val="007A457B"/>
    <w:rsid w:val="007A4D4C"/>
    <w:rsid w:val="007A4DD6"/>
    <w:rsid w:val="007A5CB9"/>
    <w:rsid w:val="007B20AE"/>
    <w:rsid w:val="007B4900"/>
    <w:rsid w:val="007B6B07"/>
    <w:rsid w:val="007B6D43"/>
    <w:rsid w:val="007B749A"/>
    <w:rsid w:val="007B7C6E"/>
    <w:rsid w:val="007C2AAD"/>
    <w:rsid w:val="007C3721"/>
    <w:rsid w:val="007C3D0C"/>
    <w:rsid w:val="007D3C68"/>
    <w:rsid w:val="007D44D7"/>
    <w:rsid w:val="007D621A"/>
    <w:rsid w:val="007D7C58"/>
    <w:rsid w:val="007E058A"/>
    <w:rsid w:val="007E2887"/>
    <w:rsid w:val="007E36C7"/>
    <w:rsid w:val="007E5278"/>
    <w:rsid w:val="007E6562"/>
    <w:rsid w:val="007E749C"/>
    <w:rsid w:val="007F1023"/>
    <w:rsid w:val="007F1B5C"/>
    <w:rsid w:val="007F21B6"/>
    <w:rsid w:val="007F250B"/>
    <w:rsid w:val="00801257"/>
    <w:rsid w:val="00802AE3"/>
    <w:rsid w:val="00803B0A"/>
    <w:rsid w:val="00804DED"/>
    <w:rsid w:val="00805B96"/>
    <w:rsid w:val="00806027"/>
    <w:rsid w:val="008064B1"/>
    <w:rsid w:val="008105BE"/>
    <w:rsid w:val="008115A5"/>
    <w:rsid w:val="00811D46"/>
    <w:rsid w:val="00813F5C"/>
    <w:rsid w:val="0081415D"/>
    <w:rsid w:val="00815A0E"/>
    <w:rsid w:val="00820229"/>
    <w:rsid w:val="00821611"/>
    <w:rsid w:val="00822448"/>
    <w:rsid w:val="00822700"/>
    <w:rsid w:val="00822ABE"/>
    <w:rsid w:val="00822B37"/>
    <w:rsid w:val="008244D1"/>
    <w:rsid w:val="00824739"/>
    <w:rsid w:val="00824B8C"/>
    <w:rsid w:val="008277DF"/>
    <w:rsid w:val="00827F51"/>
    <w:rsid w:val="0083104E"/>
    <w:rsid w:val="00833D4A"/>
    <w:rsid w:val="00834155"/>
    <w:rsid w:val="008343BE"/>
    <w:rsid w:val="008348CD"/>
    <w:rsid w:val="00836535"/>
    <w:rsid w:val="00840FB4"/>
    <w:rsid w:val="008410B2"/>
    <w:rsid w:val="00841780"/>
    <w:rsid w:val="00841F3A"/>
    <w:rsid w:val="00842720"/>
    <w:rsid w:val="008500A0"/>
    <w:rsid w:val="008524E5"/>
    <w:rsid w:val="0085351C"/>
    <w:rsid w:val="0085435A"/>
    <w:rsid w:val="008549CA"/>
    <w:rsid w:val="008556C3"/>
    <w:rsid w:val="0085687C"/>
    <w:rsid w:val="00856F72"/>
    <w:rsid w:val="008579E5"/>
    <w:rsid w:val="008611C1"/>
    <w:rsid w:val="00864C4C"/>
    <w:rsid w:val="0086528B"/>
    <w:rsid w:val="00866E96"/>
    <w:rsid w:val="008670A7"/>
    <w:rsid w:val="008706C5"/>
    <w:rsid w:val="00872B63"/>
    <w:rsid w:val="00872F1A"/>
    <w:rsid w:val="00872F38"/>
    <w:rsid w:val="008731D8"/>
    <w:rsid w:val="00873707"/>
    <w:rsid w:val="0087436E"/>
    <w:rsid w:val="00874B20"/>
    <w:rsid w:val="008757C6"/>
    <w:rsid w:val="008763E1"/>
    <w:rsid w:val="0087775C"/>
    <w:rsid w:val="00877EC8"/>
    <w:rsid w:val="00880F36"/>
    <w:rsid w:val="00885530"/>
    <w:rsid w:val="00887B84"/>
    <w:rsid w:val="008910D1"/>
    <w:rsid w:val="00891435"/>
    <w:rsid w:val="0089296C"/>
    <w:rsid w:val="0089383B"/>
    <w:rsid w:val="0089419A"/>
    <w:rsid w:val="00894927"/>
    <w:rsid w:val="008950FE"/>
    <w:rsid w:val="008954D6"/>
    <w:rsid w:val="0089614A"/>
    <w:rsid w:val="00896ABD"/>
    <w:rsid w:val="00897AB6"/>
    <w:rsid w:val="00897DA8"/>
    <w:rsid w:val="008A1F74"/>
    <w:rsid w:val="008A3380"/>
    <w:rsid w:val="008A59F2"/>
    <w:rsid w:val="008A7826"/>
    <w:rsid w:val="008A7A9C"/>
    <w:rsid w:val="008B5218"/>
    <w:rsid w:val="008B7102"/>
    <w:rsid w:val="008B7B74"/>
    <w:rsid w:val="008C2937"/>
    <w:rsid w:val="008C3B7D"/>
    <w:rsid w:val="008D0F90"/>
    <w:rsid w:val="008D2A9E"/>
    <w:rsid w:val="008D3715"/>
    <w:rsid w:val="008D5360"/>
    <w:rsid w:val="008D5465"/>
    <w:rsid w:val="008D5E61"/>
    <w:rsid w:val="008D60C3"/>
    <w:rsid w:val="008D7EB7"/>
    <w:rsid w:val="008D7EC5"/>
    <w:rsid w:val="008E05EA"/>
    <w:rsid w:val="008E3684"/>
    <w:rsid w:val="008E43FA"/>
    <w:rsid w:val="008E57F5"/>
    <w:rsid w:val="008E6BE7"/>
    <w:rsid w:val="008E7606"/>
    <w:rsid w:val="008F19FD"/>
    <w:rsid w:val="008F1DAA"/>
    <w:rsid w:val="008F22E4"/>
    <w:rsid w:val="008F3EBD"/>
    <w:rsid w:val="008F5D28"/>
    <w:rsid w:val="008F5FFE"/>
    <w:rsid w:val="008F60B2"/>
    <w:rsid w:val="008F6EBB"/>
    <w:rsid w:val="008F7C41"/>
    <w:rsid w:val="008F7DEE"/>
    <w:rsid w:val="00901AB7"/>
    <w:rsid w:val="00901C70"/>
    <w:rsid w:val="00901E11"/>
    <w:rsid w:val="009031E2"/>
    <w:rsid w:val="00905085"/>
    <w:rsid w:val="0091276C"/>
    <w:rsid w:val="009145BE"/>
    <w:rsid w:val="00914974"/>
    <w:rsid w:val="00914D39"/>
    <w:rsid w:val="009165AC"/>
    <w:rsid w:val="00916FFC"/>
    <w:rsid w:val="0092053F"/>
    <w:rsid w:val="0092340A"/>
    <w:rsid w:val="0092566A"/>
    <w:rsid w:val="009313D9"/>
    <w:rsid w:val="00935B7F"/>
    <w:rsid w:val="00941293"/>
    <w:rsid w:val="00942508"/>
    <w:rsid w:val="00946372"/>
    <w:rsid w:val="00946F59"/>
    <w:rsid w:val="0095032B"/>
    <w:rsid w:val="00950B13"/>
    <w:rsid w:val="00950C17"/>
    <w:rsid w:val="009516C1"/>
    <w:rsid w:val="00951FAF"/>
    <w:rsid w:val="009538A7"/>
    <w:rsid w:val="00954681"/>
    <w:rsid w:val="00954740"/>
    <w:rsid w:val="009557BC"/>
    <w:rsid w:val="00955AE5"/>
    <w:rsid w:val="00955D98"/>
    <w:rsid w:val="00956F7B"/>
    <w:rsid w:val="00960978"/>
    <w:rsid w:val="00962122"/>
    <w:rsid w:val="00962E71"/>
    <w:rsid w:val="00963ABC"/>
    <w:rsid w:val="00965D21"/>
    <w:rsid w:val="00967764"/>
    <w:rsid w:val="00970B0E"/>
    <w:rsid w:val="00970BB9"/>
    <w:rsid w:val="009726EE"/>
    <w:rsid w:val="00972846"/>
    <w:rsid w:val="00972CDE"/>
    <w:rsid w:val="009733DD"/>
    <w:rsid w:val="00975573"/>
    <w:rsid w:val="00976D03"/>
    <w:rsid w:val="00976D5A"/>
    <w:rsid w:val="00977B30"/>
    <w:rsid w:val="00980DFD"/>
    <w:rsid w:val="00982F41"/>
    <w:rsid w:val="00984B53"/>
    <w:rsid w:val="00985090"/>
    <w:rsid w:val="00986101"/>
    <w:rsid w:val="00987710"/>
    <w:rsid w:val="009904AB"/>
    <w:rsid w:val="00992833"/>
    <w:rsid w:val="00995688"/>
    <w:rsid w:val="009958A6"/>
    <w:rsid w:val="00996456"/>
    <w:rsid w:val="009A04F5"/>
    <w:rsid w:val="009A08E0"/>
    <w:rsid w:val="009A144E"/>
    <w:rsid w:val="009A15EF"/>
    <w:rsid w:val="009A38A5"/>
    <w:rsid w:val="009A463A"/>
    <w:rsid w:val="009A5B73"/>
    <w:rsid w:val="009A5F32"/>
    <w:rsid w:val="009A6169"/>
    <w:rsid w:val="009B118B"/>
    <w:rsid w:val="009B1737"/>
    <w:rsid w:val="009B3D4B"/>
    <w:rsid w:val="009B4E63"/>
    <w:rsid w:val="009B5B99"/>
    <w:rsid w:val="009B6EFC"/>
    <w:rsid w:val="009C1FD0"/>
    <w:rsid w:val="009C2DF8"/>
    <w:rsid w:val="009C31BF"/>
    <w:rsid w:val="009C45C1"/>
    <w:rsid w:val="009C496C"/>
    <w:rsid w:val="009C5531"/>
    <w:rsid w:val="009C5999"/>
    <w:rsid w:val="009C6065"/>
    <w:rsid w:val="009C68B7"/>
    <w:rsid w:val="009C725E"/>
    <w:rsid w:val="009C7C1B"/>
    <w:rsid w:val="009D0834"/>
    <w:rsid w:val="009D095A"/>
    <w:rsid w:val="009D0A1E"/>
    <w:rsid w:val="009D2AE3"/>
    <w:rsid w:val="009D52BC"/>
    <w:rsid w:val="009D6347"/>
    <w:rsid w:val="009D79BE"/>
    <w:rsid w:val="009D7D0A"/>
    <w:rsid w:val="009E09D9"/>
    <w:rsid w:val="009E216A"/>
    <w:rsid w:val="009E77E3"/>
    <w:rsid w:val="009E78E4"/>
    <w:rsid w:val="009F01B1"/>
    <w:rsid w:val="009F0DBB"/>
    <w:rsid w:val="009F0DD2"/>
    <w:rsid w:val="009F3887"/>
    <w:rsid w:val="009F3E27"/>
    <w:rsid w:val="009F40DC"/>
    <w:rsid w:val="009F659A"/>
    <w:rsid w:val="009F732B"/>
    <w:rsid w:val="009F7D16"/>
    <w:rsid w:val="00A01FE0"/>
    <w:rsid w:val="00A02FE9"/>
    <w:rsid w:val="00A0524A"/>
    <w:rsid w:val="00A064A9"/>
    <w:rsid w:val="00A06945"/>
    <w:rsid w:val="00A07A70"/>
    <w:rsid w:val="00A10656"/>
    <w:rsid w:val="00A113C0"/>
    <w:rsid w:val="00A11BC1"/>
    <w:rsid w:val="00A12FA6"/>
    <w:rsid w:val="00A1339B"/>
    <w:rsid w:val="00A134CC"/>
    <w:rsid w:val="00A14ABA"/>
    <w:rsid w:val="00A14F8E"/>
    <w:rsid w:val="00A21AAD"/>
    <w:rsid w:val="00A22314"/>
    <w:rsid w:val="00A24CB6"/>
    <w:rsid w:val="00A25865"/>
    <w:rsid w:val="00A26CD2"/>
    <w:rsid w:val="00A27667"/>
    <w:rsid w:val="00A276EA"/>
    <w:rsid w:val="00A32979"/>
    <w:rsid w:val="00A33A30"/>
    <w:rsid w:val="00A34A67"/>
    <w:rsid w:val="00A37462"/>
    <w:rsid w:val="00A4021C"/>
    <w:rsid w:val="00A4044C"/>
    <w:rsid w:val="00A4256C"/>
    <w:rsid w:val="00A431AD"/>
    <w:rsid w:val="00A43C1B"/>
    <w:rsid w:val="00A43D39"/>
    <w:rsid w:val="00A444CB"/>
    <w:rsid w:val="00A459E1"/>
    <w:rsid w:val="00A46483"/>
    <w:rsid w:val="00A46AC4"/>
    <w:rsid w:val="00A478A5"/>
    <w:rsid w:val="00A50305"/>
    <w:rsid w:val="00A51193"/>
    <w:rsid w:val="00A52296"/>
    <w:rsid w:val="00A546BF"/>
    <w:rsid w:val="00A55661"/>
    <w:rsid w:val="00A56A7D"/>
    <w:rsid w:val="00A57F7A"/>
    <w:rsid w:val="00A60309"/>
    <w:rsid w:val="00A61B70"/>
    <w:rsid w:val="00A61FA8"/>
    <w:rsid w:val="00A62A70"/>
    <w:rsid w:val="00A636A8"/>
    <w:rsid w:val="00A637F4"/>
    <w:rsid w:val="00A64240"/>
    <w:rsid w:val="00A64DF2"/>
    <w:rsid w:val="00A65485"/>
    <w:rsid w:val="00A66257"/>
    <w:rsid w:val="00A66920"/>
    <w:rsid w:val="00A66E05"/>
    <w:rsid w:val="00A67655"/>
    <w:rsid w:val="00A70753"/>
    <w:rsid w:val="00A712D2"/>
    <w:rsid w:val="00A76D61"/>
    <w:rsid w:val="00A8080B"/>
    <w:rsid w:val="00A80BF0"/>
    <w:rsid w:val="00A82A9F"/>
    <w:rsid w:val="00A82C8A"/>
    <w:rsid w:val="00A8346B"/>
    <w:rsid w:val="00A84080"/>
    <w:rsid w:val="00A852FF"/>
    <w:rsid w:val="00A87337"/>
    <w:rsid w:val="00A90C97"/>
    <w:rsid w:val="00A915BB"/>
    <w:rsid w:val="00A92818"/>
    <w:rsid w:val="00A92DDC"/>
    <w:rsid w:val="00A95B56"/>
    <w:rsid w:val="00A9605A"/>
    <w:rsid w:val="00A960C8"/>
    <w:rsid w:val="00A96604"/>
    <w:rsid w:val="00A96BBA"/>
    <w:rsid w:val="00A96F8E"/>
    <w:rsid w:val="00AA03DF"/>
    <w:rsid w:val="00AA1B4F"/>
    <w:rsid w:val="00AA21D8"/>
    <w:rsid w:val="00AA271A"/>
    <w:rsid w:val="00AA3270"/>
    <w:rsid w:val="00AA375A"/>
    <w:rsid w:val="00AA54F3"/>
    <w:rsid w:val="00AA6B43"/>
    <w:rsid w:val="00AA720D"/>
    <w:rsid w:val="00AA7B1F"/>
    <w:rsid w:val="00AB2539"/>
    <w:rsid w:val="00AB3145"/>
    <w:rsid w:val="00AB367A"/>
    <w:rsid w:val="00AB7BF8"/>
    <w:rsid w:val="00AC01D1"/>
    <w:rsid w:val="00AC0AB2"/>
    <w:rsid w:val="00AC0E9F"/>
    <w:rsid w:val="00AC3A4C"/>
    <w:rsid w:val="00AC4161"/>
    <w:rsid w:val="00AC52A5"/>
    <w:rsid w:val="00AC650D"/>
    <w:rsid w:val="00AC6E28"/>
    <w:rsid w:val="00AC6EFD"/>
    <w:rsid w:val="00AC7151"/>
    <w:rsid w:val="00AD460A"/>
    <w:rsid w:val="00AD50C8"/>
    <w:rsid w:val="00AD5BEC"/>
    <w:rsid w:val="00AD6A05"/>
    <w:rsid w:val="00AE0792"/>
    <w:rsid w:val="00AE118B"/>
    <w:rsid w:val="00AE2045"/>
    <w:rsid w:val="00AE272B"/>
    <w:rsid w:val="00AE3E3A"/>
    <w:rsid w:val="00AE7322"/>
    <w:rsid w:val="00AE77B4"/>
    <w:rsid w:val="00AE7C1A"/>
    <w:rsid w:val="00AE7DF8"/>
    <w:rsid w:val="00AF0D9C"/>
    <w:rsid w:val="00AF13AB"/>
    <w:rsid w:val="00AF1D36"/>
    <w:rsid w:val="00AF280B"/>
    <w:rsid w:val="00AF3FE8"/>
    <w:rsid w:val="00AF4A59"/>
    <w:rsid w:val="00AF5F75"/>
    <w:rsid w:val="00AF6001"/>
    <w:rsid w:val="00AF7B59"/>
    <w:rsid w:val="00B01A16"/>
    <w:rsid w:val="00B079FE"/>
    <w:rsid w:val="00B07F45"/>
    <w:rsid w:val="00B1021A"/>
    <w:rsid w:val="00B10271"/>
    <w:rsid w:val="00B12A3D"/>
    <w:rsid w:val="00B140D9"/>
    <w:rsid w:val="00B1481A"/>
    <w:rsid w:val="00B15A1F"/>
    <w:rsid w:val="00B15F2B"/>
    <w:rsid w:val="00B15FE9"/>
    <w:rsid w:val="00B2148A"/>
    <w:rsid w:val="00B220C2"/>
    <w:rsid w:val="00B2276E"/>
    <w:rsid w:val="00B23B30"/>
    <w:rsid w:val="00B2400A"/>
    <w:rsid w:val="00B24E4F"/>
    <w:rsid w:val="00B25B32"/>
    <w:rsid w:val="00B25CA1"/>
    <w:rsid w:val="00B2616A"/>
    <w:rsid w:val="00B313D4"/>
    <w:rsid w:val="00B32616"/>
    <w:rsid w:val="00B32AA2"/>
    <w:rsid w:val="00B32D57"/>
    <w:rsid w:val="00B357CB"/>
    <w:rsid w:val="00B36AF0"/>
    <w:rsid w:val="00B36C42"/>
    <w:rsid w:val="00B36C6B"/>
    <w:rsid w:val="00B36FB0"/>
    <w:rsid w:val="00B37305"/>
    <w:rsid w:val="00B41851"/>
    <w:rsid w:val="00B42EA7"/>
    <w:rsid w:val="00B51845"/>
    <w:rsid w:val="00B51923"/>
    <w:rsid w:val="00B5337C"/>
    <w:rsid w:val="00B53FDE"/>
    <w:rsid w:val="00B56397"/>
    <w:rsid w:val="00B571DA"/>
    <w:rsid w:val="00B6027B"/>
    <w:rsid w:val="00B6070F"/>
    <w:rsid w:val="00B61BDC"/>
    <w:rsid w:val="00B61E0F"/>
    <w:rsid w:val="00B636C8"/>
    <w:rsid w:val="00B647D3"/>
    <w:rsid w:val="00B65EDB"/>
    <w:rsid w:val="00B66D33"/>
    <w:rsid w:val="00B67AFF"/>
    <w:rsid w:val="00B67C41"/>
    <w:rsid w:val="00B70B59"/>
    <w:rsid w:val="00B72D52"/>
    <w:rsid w:val="00B73657"/>
    <w:rsid w:val="00B739B3"/>
    <w:rsid w:val="00B741AF"/>
    <w:rsid w:val="00B742A5"/>
    <w:rsid w:val="00B74554"/>
    <w:rsid w:val="00B74A1E"/>
    <w:rsid w:val="00B817DD"/>
    <w:rsid w:val="00B81B15"/>
    <w:rsid w:val="00B8417B"/>
    <w:rsid w:val="00B86CAB"/>
    <w:rsid w:val="00B900F1"/>
    <w:rsid w:val="00B915AE"/>
    <w:rsid w:val="00B9163E"/>
    <w:rsid w:val="00B93F3A"/>
    <w:rsid w:val="00B97A8F"/>
    <w:rsid w:val="00BA1283"/>
    <w:rsid w:val="00BA1735"/>
    <w:rsid w:val="00BA19FA"/>
    <w:rsid w:val="00BA3BC5"/>
    <w:rsid w:val="00BA4288"/>
    <w:rsid w:val="00BA6907"/>
    <w:rsid w:val="00BB05AC"/>
    <w:rsid w:val="00BB0902"/>
    <w:rsid w:val="00BB1F9C"/>
    <w:rsid w:val="00BB35FB"/>
    <w:rsid w:val="00BB41DF"/>
    <w:rsid w:val="00BB48E5"/>
    <w:rsid w:val="00BB5607"/>
    <w:rsid w:val="00BB5ACA"/>
    <w:rsid w:val="00BB627F"/>
    <w:rsid w:val="00BC0C17"/>
    <w:rsid w:val="00BC134C"/>
    <w:rsid w:val="00BC2169"/>
    <w:rsid w:val="00BC244A"/>
    <w:rsid w:val="00BC3823"/>
    <w:rsid w:val="00BC5841"/>
    <w:rsid w:val="00BC5E38"/>
    <w:rsid w:val="00BC683D"/>
    <w:rsid w:val="00BD201A"/>
    <w:rsid w:val="00BD2A70"/>
    <w:rsid w:val="00BD2DC4"/>
    <w:rsid w:val="00BD2EF0"/>
    <w:rsid w:val="00BD35C5"/>
    <w:rsid w:val="00BD42EF"/>
    <w:rsid w:val="00BD60B4"/>
    <w:rsid w:val="00BD6CF4"/>
    <w:rsid w:val="00BD796B"/>
    <w:rsid w:val="00BD7DB9"/>
    <w:rsid w:val="00BE40C0"/>
    <w:rsid w:val="00BE445C"/>
    <w:rsid w:val="00BE5F4A"/>
    <w:rsid w:val="00BE7AEF"/>
    <w:rsid w:val="00BF09B0"/>
    <w:rsid w:val="00BF1544"/>
    <w:rsid w:val="00BF1B53"/>
    <w:rsid w:val="00BF246D"/>
    <w:rsid w:val="00BF2682"/>
    <w:rsid w:val="00C00AB0"/>
    <w:rsid w:val="00C03196"/>
    <w:rsid w:val="00C0386B"/>
    <w:rsid w:val="00C04830"/>
    <w:rsid w:val="00C057A3"/>
    <w:rsid w:val="00C06D78"/>
    <w:rsid w:val="00C06F06"/>
    <w:rsid w:val="00C12288"/>
    <w:rsid w:val="00C16479"/>
    <w:rsid w:val="00C16859"/>
    <w:rsid w:val="00C16B6C"/>
    <w:rsid w:val="00C17BFF"/>
    <w:rsid w:val="00C20FAD"/>
    <w:rsid w:val="00C2375F"/>
    <w:rsid w:val="00C247CB"/>
    <w:rsid w:val="00C25EE3"/>
    <w:rsid w:val="00C32D8C"/>
    <w:rsid w:val="00C32E66"/>
    <w:rsid w:val="00C3355F"/>
    <w:rsid w:val="00C33A04"/>
    <w:rsid w:val="00C355C3"/>
    <w:rsid w:val="00C3569A"/>
    <w:rsid w:val="00C35718"/>
    <w:rsid w:val="00C357D5"/>
    <w:rsid w:val="00C4062E"/>
    <w:rsid w:val="00C42D5D"/>
    <w:rsid w:val="00C43F48"/>
    <w:rsid w:val="00C448FF"/>
    <w:rsid w:val="00C45E57"/>
    <w:rsid w:val="00C4688B"/>
    <w:rsid w:val="00C46B18"/>
    <w:rsid w:val="00C47D0F"/>
    <w:rsid w:val="00C52463"/>
    <w:rsid w:val="00C52F29"/>
    <w:rsid w:val="00C54429"/>
    <w:rsid w:val="00C54778"/>
    <w:rsid w:val="00C54F88"/>
    <w:rsid w:val="00C55298"/>
    <w:rsid w:val="00C56CE6"/>
    <w:rsid w:val="00C5745F"/>
    <w:rsid w:val="00C60005"/>
    <w:rsid w:val="00C60BFF"/>
    <w:rsid w:val="00C61A98"/>
    <w:rsid w:val="00C63201"/>
    <w:rsid w:val="00C64124"/>
    <w:rsid w:val="00C64E62"/>
    <w:rsid w:val="00C651D5"/>
    <w:rsid w:val="00C6595A"/>
    <w:rsid w:val="00C65CCC"/>
    <w:rsid w:val="00C65DA9"/>
    <w:rsid w:val="00C70109"/>
    <w:rsid w:val="00C7064D"/>
    <w:rsid w:val="00C74F1A"/>
    <w:rsid w:val="00C7618F"/>
    <w:rsid w:val="00C765A9"/>
    <w:rsid w:val="00C81157"/>
    <w:rsid w:val="00C8162D"/>
    <w:rsid w:val="00C830BB"/>
    <w:rsid w:val="00C83878"/>
    <w:rsid w:val="00C83A0B"/>
    <w:rsid w:val="00C842D0"/>
    <w:rsid w:val="00C84ED1"/>
    <w:rsid w:val="00C85B4D"/>
    <w:rsid w:val="00C863CC"/>
    <w:rsid w:val="00C86BCC"/>
    <w:rsid w:val="00C87719"/>
    <w:rsid w:val="00C9038F"/>
    <w:rsid w:val="00C9065C"/>
    <w:rsid w:val="00C91341"/>
    <w:rsid w:val="00C92AAB"/>
    <w:rsid w:val="00C95D4C"/>
    <w:rsid w:val="00C9637F"/>
    <w:rsid w:val="00C9708A"/>
    <w:rsid w:val="00C97FE9"/>
    <w:rsid w:val="00CA2435"/>
    <w:rsid w:val="00CA3ABC"/>
    <w:rsid w:val="00CA4044"/>
    <w:rsid w:val="00CA4068"/>
    <w:rsid w:val="00CA67F4"/>
    <w:rsid w:val="00CA766C"/>
    <w:rsid w:val="00CB009A"/>
    <w:rsid w:val="00CB0D06"/>
    <w:rsid w:val="00CB37F8"/>
    <w:rsid w:val="00CB48FB"/>
    <w:rsid w:val="00CB4BCC"/>
    <w:rsid w:val="00CB55D4"/>
    <w:rsid w:val="00CB7DC3"/>
    <w:rsid w:val="00CC0367"/>
    <w:rsid w:val="00CC2318"/>
    <w:rsid w:val="00CC2D43"/>
    <w:rsid w:val="00CC5BE1"/>
    <w:rsid w:val="00CC5EC1"/>
    <w:rsid w:val="00CC745E"/>
    <w:rsid w:val="00CC75A2"/>
    <w:rsid w:val="00CC7A18"/>
    <w:rsid w:val="00CD0E2F"/>
    <w:rsid w:val="00CD1A86"/>
    <w:rsid w:val="00CD1D49"/>
    <w:rsid w:val="00CD2F20"/>
    <w:rsid w:val="00CD6B20"/>
    <w:rsid w:val="00CD74D9"/>
    <w:rsid w:val="00CE1339"/>
    <w:rsid w:val="00CE4217"/>
    <w:rsid w:val="00CE61CC"/>
    <w:rsid w:val="00CE6E42"/>
    <w:rsid w:val="00CF01FC"/>
    <w:rsid w:val="00CF20B7"/>
    <w:rsid w:val="00CF283B"/>
    <w:rsid w:val="00CF2902"/>
    <w:rsid w:val="00CF5CFA"/>
    <w:rsid w:val="00CF6692"/>
    <w:rsid w:val="00CF704C"/>
    <w:rsid w:val="00CF7441"/>
    <w:rsid w:val="00D007DD"/>
    <w:rsid w:val="00D00D16"/>
    <w:rsid w:val="00D03C6C"/>
    <w:rsid w:val="00D04760"/>
    <w:rsid w:val="00D04A95"/>
    <w:rsid w:val="00D06288"/>
    <w:rsid w:val="00D068C7"/>
    <w:rsid w:val="00D0711C"/>
    <w:rsid w:val="00D128A4"/>
    <w:rsid w:val="00D147C8"/>
    <w:rsid w:val="00D15131"/>
    <w:rsid w:val="00D16FA2"/>
    <w:rsid w:val="00D17406"/>
    <w:rsid w:val="00D20954"/>
    <w:rsid w:val="00D21C39"/>
    <w:rsid w:val="00D21FC6"/>
    <w:rsid w:val="00D22177"/>
    <w:rsid w:val="00D2243A"/>
    <w:rsid w:val="00D23089"/>
    <w:rsid w:val="00D2319A"/>
    <w:rsid w:val="00D254A9"/>
    <w:rsid w:val="00D30663"/>
    <w:rsid w:val="00D306CD"/>
    <w:rsid w:val="00D30CF4"/>
    <w:rsid w:val="00D3104C"/>
    <w:rsid w:val="00D31B14"/>
    <w:rsid w:val="00D32758"/>
    <w:rsid w:val="00D33393"/>
    <w:rsid w:val="00D33D36"/>
    <w:rsid w:val="00D34BF2"/>
    <w:rsid w:val="00D34CF6"/>
    <w:rsid w:val="00D34D94"/>
    <w:rsid w:val="00D35E2E"/>
    <w:rsid w:val="00D36388"/>
    <w:rsid w:val="00D409E2"/>
    <w:rsid w:val="00D427D7"/>
    <w:rsid w:val="00D42AF8"/>
    <w:rsid w:val="00D43390"/>
    <w:rsid w:val="00D44E62"/>
    <w:rsid w:val="00D51570"/>
    <w:rsid w:val="00D51F3C"/>
    <w:rsid w:val="00D548FD"/>
    <w:rsid w:val="00D54950"/>
    <w:rsid w:val="00D5502D"/>
    <w:rsid w:val="00D556AD"/>
    <w:rsid w:val="00D56480"/>
    <w:rsid w:val="00D60381"/>
    <w:rsid w:val="00D616DE"/>
    <w:rsid w:val="00D62201"/>
    <w:rsid w:val="00D651D1"/>
    <w:rsid w:val="00D651E1"/>
    <w:rsid w:val="00D6690A"/>
    <w:rsid w:val="00D70A16"/>
    <w:rsid w:val="00D70A6B"/>
    <w:rsid w:val="00D717BB"/>
    <w:rsid w:val="00D71A50"/>
    <w:rsid w:val="00D7226B"/>
    <w:rsid w:val="00D72707"/>
    <w:rsid w:val="00D749D2"/>
    <w:rsid w:val="00D7524D"/>
    <w:rsid w:val="00D75A9C"/>
    <w:rsid w:val="00D829C8"/>
    <w:rsid w:val="00D8726D"/>
    <w:rsid w:val="00D87917"/>
    <w:rsid w:val="00D90871"/>
    <w:rsid w:val="00D9155F"/>
    <w:rsid w:val="00D918A2"/>
    <w:rsid w:val="00D9403F"/>
    <w:rsid w:val="00D959B4"/>
    <w:rsid w:val="00D97DDF"/>
    <w:rsid w:val="00DA3F54"/>
    <w:rsid w:val="00DA44DE"/>
    <w:rsid w:val="00DA4F1C"/>
    <w:rsid w:val="00DA750B"/>
    <w:rsid w:val="00DB0234"/>
    <w:rsid w:val="00DB0FB1"/>
    <w:rsid w:val="00DB330A"/>
    <w:rsid w:val="00DB620A"/>
    <w:rsid w:val="00DB6A96"/>
    <w:rsid w:val="00DC2AC9"/>
    <w:rsid w:val="00DC381B"/>
    <w:rsid w:val="00DC3832"/>
    <w:rsid w:val="00DC434A"/>
    <w:rsid w:val="00DC6BE8"/>
    <w:rsid w:val="00DC7A51"/>
    <w:rsid w:val="00DD3B1E"/>
    <w:rsid w:val="00DD5EEC"/>
    <w:rsid w:val="00DD64F6"/>
    <w:rsid w:val="00DE06B2"/>
    <w:rsid w:val="00DE1A93"/>
    <w:rsid w:val="00DE2A18"/>
    <w:rsid w:val="00DE402C"/>
    <w:rsid w:val="00DE528B"/>
    <w:rsid w:val="00DE5B5F"/>
    <w:rsid w:val="00DF26E7"/>
    <w:rsid w:val="00DF614E"/>
    <w:rsid w:val="00E00696"/>
    <w:rsid w:val="00E0245B"/>
    <w:rsid w:val="00E03651"/>
    <w:rsid w:val="00E03808"/>
    <w:rsid w:val="00E03FE1"/>
    <w:rsid w:val="00E060C2"/>
    <w:rsid w:val="00E06324"/>
    <w:rsid w:val="00E07564"/>
    <w:rsid w:val="00E07B81"/>
    <w:rsid w:val="00E07FF4"/>
    <w:rsid w:val="00E10AFD"/>
    <w:rsid w:val="00E10CB3"/>
    <w:rsid w:val="00E112C1"/>
    <w:rsid w:val="00E12B11"/>
    <w:rsid w:val="00E12FB0"/>
    <w:rsid w:val="00E14814"/>
    <w:rsid w:val="00E15578"/>
    <w:rsid w:val="00E1591B"/>
    <w:rsid w:val="00E16A50"/>
    <w:rsid w:val="00E176D3"/>
    <w:rsid w:val="00E17B0D"/>
    <w:rsid w:val="00E20297"/>
    <w:rsid w:val="00E2231D"/>
    <w:rsid w:val="00E23351"/>
    <w:rsid w:val="00E238BB"/>
    <w:rsid w:val="00E23D3A"/>
    <w:rsid w:val="00E249D5"/>
    <w:rsid w:val="00E25017"/>
    <w:rsid w:val="00E25AE0"/>
    <w:rsid w:val="00E26F73"/>
    <w:rsid w:val="00E30A34"/>
    <w:rsid w:val="00E31B2C"/>
    <w:rsid w:val="00E33C68"/>
    <w:rsid w:val="00E34EEB"/>
    <w:rsid w:val="00E3687C"/>
    <w:rsid w:val="00E418DC"/>
    <w:rsid w:val="00E4495F"/>
    <w:rsid w:val="00E44EB9"/>
    <w:rsid w:val="00E45461"/>
    <w:rsid w:val="00E45BD9"/>
    <w:rsid w:val="00E45BDC"/>
    <w:rsid w:val="00E460B7"/>
    <w:rsid w:val="00E46358"/>
    <w:rsid w:val="00E471DC"/>
    <w:rsid w:val="00E50EB4"/>
    <w:rsid w:val="00E518BE"/>
    <w:rsid w:val="00E5239B"/>
    <w:rsid w:val="00E532FC"/>
    <w:rsid w:val="00E559B4"/>
    <w:rsid w:val="00E55BB0"/>
    <w:rsid w:val="00E609E5"/>
    <w:rsid w:val="00E60F27"/>
    <w:rsid w:val="00E61651"/>
    <w:rsid w:val="00E64D93"/>
    <w:rsid w:val="00E65EDB"/>
    <w:rsid w:val="00E668C2"/>
    <w:rsid w:val="00E66927"/>
    <w:rsid w:val="00E677B8"/>
    <w:rsid w:val="00E67E9E"/>
    <w:rsid w:val="00E67FA1"/>
    <w:rsid w:val="00E70DB5"/>
    <w:rsid w:val="00E7115E"/>
    <w:rsid w:val="00E7387D"/>
    <w:rsid w:val="00E73D53"/>
    <w:rsid w:val="00E75111"/>
    <w:rsid w:val="00E758D3"/>
    <w:rsid w:val="00E77296"/>
    <w:rsid w:val="00E80C73"/>
    <w:rsid w:val="00E826E7"/>
    <w:rsid w:val="00E84B58"/>
    <w:rsid w:val="00E87527"/>
    <w:rsid w:val="00E87BDD"/>
    <w:rsid w:val="00E87EF7"/>
    <w:rsid w:val="00E93763"/>
    <w:rsid w:val="00E94314"/>
    <w:rsid w:val="00E948FA"/>
    <w:rsid w:val="00E96C4C"/>
    <w:rsid w:val="00EA257C"/>
    <w:rsid w:val="00EA2AAE"/>
    <w:rsid w:val="00EA2EC0"/>
    <w:rsid w:val="00EA2F79"/>
    <w:rsid w:val="00EA3646"/>
    <w:rsid w:val="00EA427A"/>
    <w:rsid w:val="00EA723B"/>
    <w:rsid w:val="00EB0961"/>
    <w:rsid w:val="00EB35C9"/>
    <w:rsid w:val="00EB388B"/>
    <w:rsid w:val="00EB6350"/>
    <w:rsid w:val="00EB687A"/>
    <w:rsid w:val="00EC13AD"/>
    <w:rsid w:val="00EC2F62"/>
    <w:rsid w:val="00EC2F99"/>
    <w:rsid w:val="00EC349D"/>
    <w:rsid w:val="00EC5B0C"/>
    <w:rsid w:val="00EC612A"/>
    <w:rsid w:val="00EC62EB"/>
    <w:rsid w:val="00EC6885"/>
    <w:rsid w:val="00EC6E9F"/>
    <w:rsid w:val="00ED3130"/>
    <w:rsid w:val="00ED418A"/>
    <w:rsid w:val="00ED44F0"/>
    <w:rsid w:val="00ED4865"/>
    <w:rsid w:val="00ED4B33"/>
    <w:rsid w:val="00ED5993"/>
    <w:rsid w:val="00ED5E82"/>
    <w:rsid w:val="00ED7DD6"/>
    <w:rsid w:val="00EE060B"/>
    <w:rsid w:val="00EE15A1"/>
    <w:rsid w:val="00EE2A7C"/>
    <w:rsid w:val="00EE2C42"/>
    <w:rsid w:val="00EE341B"/>
    <w:rsid w:val="00EE3909"/>
    <w:rsid w:val="00EE4453"/>
    <w:rsid w:val="00EE5FCE"/>
    <w:rsid w:val="00EE6BBD"/>
    <w:rsid w:val="00EE6E1E"/>
    <w:rsid w:val="00EE705F"/>
    <w:rsid w:val="00EF1462"/>
    <w:rsid w:val="00EF33D0"/>
    <w:rsid w:val="00EF52D5"/>
    <w:rsid w:val="00EF54FD"/>
    <w:rsid w:val="00EF64FC"/>
    <w:rsid w:val="00EF7001"/>
    <w:rsid w:val="00F02707"/>
    <w:rsid w:val="00F0360B"/>
    <w:rsid w:val="00F07F0D"/>
    <w:rsid w:val="00F13112"/>
    <w:rsid w:val="00F14C04"/>
    <w:rsid w:val="00F16308"/>
    <w:rsid w:val="00F164AC"/>
    <w:rsid w:val="00F16FE6"/>
    <w:rsid w:val="00F202CE"/>
    <w:rsid w:val="00F238BD"/>
    <w:rsid w:val="00F23BEE"/>
    <w:rsid w:val="00F24992"/>
    <w:rsid w:val="00F254D5"/>
    <w:rsid w:val="00F25D52"/>
    <w:rsid w:val="00F32F2F"/>
    <w:rsid w:val="00F33F3F"/>
    <w:rsid w:val="00F35BDD"/>
    <w:rsid w:val="00F35EF0"/>
    <w:rsid w:val="00F35EFB"/>
    <w:rsid w:val="00F3781F"/>
    <w:rsid w:val="00F37F5B"/>
    <w:rsid w:val="00F403FD"/>
    <w:rsid w:val="00F4073F"/>
    <w:rsid w:val="00F407B9"/>
    <w:rsid w:val="00F4093A"/>
    <w:rsid w:val="00F415C0"/>
    <w:rsid w:val="00F41E72"/>
    <w:rsid w:val="00F45BDF"/>
    <w:rsid w:val="00F50300"/>
    <w:rsid w:val="00F5254F"/>
    <w:rsid w:val="00F5414B"/>
    <w:rsid w:val="00F553EE"/>
    <w:rsid w:val="00F55AC6"/>
    <w:rsid w:val="00F5676E"/>
    <w:rsid w:val="00F56E39"/>
    <w:rsid w:val="00F577FC"/>
    <w:rsid w:val="00F623E9"/>
    <w:rsid w:val="00F63951"/>
    <w:rsid w:val="00F63C86"/>
    <w:rsid w:val="00F7003F"/>
    <w:rsid w:val="00F72FBA"/>
    <w:rsid w:val="00F766BE"/>
    <w:rsid w:val="00F77693"/>
    <w:rsid w:val="00F77EB9"/>
    <w:rsid w:val="00F80635"/>
    <w:rsid w:val="00F8115F"/>
    <w:rsid w:val="00F815D1"/>
    <w:rsid w:val="00F81E7E"/>
    <w:rsid w:val="00F81F0F"/>
    <w:rsid w:val="00F825F4"/>
    <w:rsid w:val="00F83244"/>
    <w:rsid w:val="00F838DF"/>
    <w:rsid w:val="00F85648"/>
    <w:rsid w:val="00F8625C"/>
    <w:rsid w:val="00F913A8"/>
    <w:rsid w:val="00F92AA1"/>
    <w:rsid w:val="00F92C37"/>
    <w:rsid w:val="00F932DE"/>
    <w:rsid w:val="00F94337"/>
    <w:rsid w:val="00F94AD5"/>
    <w:rsid w:val="00F963DD"/>
    <w:rsid w:val="00F9641A"/>
    <w:rsid w:val="00F97004"/>
    <w:rsid w:val="00FA067D"/>
    <w:rsid w:val="00FA0EB1"/>
    <w:rsid w:val="00FA2045"/>
    <w:rsid w:val="00FA357F"/>
    <w:rsid w:val="00FA67FD"/>
    <w:rsid w:val="00FA7A66"/>
    <w:rsid w:val="00FB1AA9"/>
    <w:rsid w:val="00FB23AD"/>
    <w:rsid w:val="00FB4397"/>
    <w:rsid w:val="00FB4B5A"/>
    <w:rsid w:val="00FB5963"/>
    <w:rsid w:val="00FB5DAA"/>
    <w:rsid w:val="00FC0408"/>
    <w:rsid w:val="00FC04B9"/>
    <w:rsid w:val="00FC1342"/>
    <w:rsid w:val="00FC161A"/>
    <w:rsid w:val="00FC23D5"/>
    <w:rsid w:val="00FC339D"/>
    <w:rsid w:val="00FC4337"/>
    <w:rsid w:val="00FC4583"/>
    <w:rsid w:val="00FC4C1A"/>
    <w:rsid w:val="00FC628F"/>
    <w:rsid w:val="00FC6468"/>
    <w:rsid w:val="00FC6D49"/>
    <w:rsid w:val="00FD17B3"/>
    <w:rsid w:val="00FD4922"/>
    <w:rsid w:val="00FD6461"/>
    <w:rsid w:val="00FE0281"/>
    <w:rsid w:val="00FE28F6"/>
    <w:rsid w:val="00FE49C6"/>
    <w:rsid w:val="00FE7083"/>
    <w:rsid w:val="00FF0088"/>
    <w:rsid w:val="00FF019F"/>
    <w:rsid w:val="00FF078E"/>
    <w:rsid w:val="00FF0B55"/>
    <w:rsid w:val="00FF1B2A"/>
    <w:rsid w:val="00FF2160"/>
    <w:rsid w:val="00FF2E31"/>
    <w:rsid w:val="00FF30DE"/>
    <w:rsid w:val="00FF5633"/>
    <w:rsid w:val="00FF644B"/>
    <w:rsid w:val="00FF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43547">
      <w:bodyDiv w:val="1"/>
      <w:marLeft w:val="0"/>
      <w:marRight w:val="0"/>
      <w:marTop w:val="0"/>
      <w:marBottom w:val="0"/>
      <w:divBdr>
        <w:top w:val="none" w:sz="0" w:space="0" w:color="auto"/>
        <w:left w:val="none" w:sz="0" w:space="0" w:color="auto"/>
        <w:bottom w:val="none" w:sz="0" w:space="0" w:color="auto"/>
        <w:right w:val="none" w:sz="0" w:space="0" w:color="auto"/>
      </w:divBdr>
      <w:divsChild>
        <w:div w:id="2132480855">
          <w:marLeft w:val="0"/>
          <w:marRight w:val="0"/>
          <w:marTop w:val="0"/>
          <w:marBottom w:val="0"/>
          <w:divBdr>
            <w:top w:val="none" w:sz="0" w:space="0" w:color="auto"/>
            <w:left w:val="none" w:sz="0" w:space="0" w:color="auto"/>
            <w:bottom w:val="none" w:sz="0" w:space="0" w:color="auto"/>
            <w:right w:val="none" w:sz="0" w:space="0" w:color="auto"/>
          </w:divBdr>
          <w:divsChild>
            <w:div w:id="625545574">
              <w:marLeft w:val="0"/>
              <w:marRight w:val="0"/>
              <w:marTop w:val="0"/>
              <w:marBottom w:val="0"/>
              <w:divBdr>
                <w:top w:val="none" w:sz="0" w:space="0" w:color="auto"/>
                <w:left w:val="none" w:sz="0" w:space="0" w:color="auto"/>
                <w:bottom w:val="none" w:sz="0" w:space="0" w:color="auto"/>
                <w:right w:val="none" w:sz="0" w:space="0" w:color="auto"/>
              </w:divBdr>
              <w:divsChild>
                <w:div w:id="1072117031">
                  <w:marLeft w:val="0"/>
                  <w:marRight w:val="0"/>
                  <w:marTop w:val="0"/>
                  <w:marBottom w:val="0"/>
                  <w:divBdr>
                    <w:top w:val="none" w:sz="0" w:space="0" w:color="auto"/>
                    <w:left w:val="none" w:sz="0" w:space="0" w:color="auto"/>
                    <w:bottom w:val="none" w:sz="0" w:space="0" w:color="auto"/>
                    <w:right w:val="none" w:sz="0" w:space="0" w:color="auto"/>
                  </w:divBdr>
                  <w:divsChild>
                    <w:div w:id="13131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7408286">
      <w:bodyDiv w:val="1"/>
      <w:marLeft w:val="0"/>
      <w:marRight w:val="0"/>
      <w:marTop w:val="0"/>
      <w:marBottom w:val="0"/>
      <w:divBdr>
        <w:top w:val="none" w:sz="0" w:space="0" w:color="auto"/>
        <w:left w:val="none" w:sz="0" w:space="0" w:color="auto"/>
        <w:bottom w:val="none" w:sz="0" w:space="0" w:color="auto"/>
        <w:right w:val="none" w:sz="0" w:space="0" w:color="auto"/>
      </w:divBdr>
      <w:divsChild>
        <w:div w:id="388043484">
          <w:marLeft w:val="0"/>
          <w:marRight w:val="0"/>
          <w:marTop w:val="0"/>
          <w:marBottom w:val="0"/>
          <w:divBdr>
            <w:top w:val="none" w:sz="0" w:space="0" w:color="auto"/>
            <w:left w:val="none" w:sz="0" w:space="0" w:color="auto"/>
            <w:bottom w:val="none" w:sz="0" w:space="0" w:color="auto"/>
            <w:right w:val="none" w:sz="0" w:space="0" w:color="auto"/>
          </w:divBdr>
          <w:divsChild>
            <w:div w:id="703290672">
              <w:marLeft w:val="0"/>
              <w:marRight w:val="0"/>
              <w:marTop w:val="0"/>
              <w:marBottom w:val="0"/>
              <w:divBdr>
                <w:top w:val="none" w:sz="0" w:space="0" w:color="auto"/>
                <w:left w:val="none" w:sz="0" w:space="0" w:color="auto"/>
                <w:bottom w:val="none" w:sz="0" w:space="0" w:color="auto"/>
                <w:right w:val="none" w:sz="0" w:space="0" w:color="auto"/>
              </w:divBdr>
              <w:divsChild>
                <w:div w:id="10759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50422">
      <w:bodyDiv w:val="1"/>
      <w:marLeft w:val="0"/>
      <w:marRight w:val="0"/>
      <w:marTop w:val="0"/>
      <w:marBottom w:val="0"/>
      <w:divBdr>
        <w:top w:val="none" w:sz="0" w:space="0" w:color="auto"/>
        <w:left w:val="none" w:sz="0" w:space="0" w:color="auto"/>
        <w:bottom w:val="none" w:sz="0" w:space="0" w:color="auto"/>
        <w:right w:val="none" w:sz="0" w:space="0" w:color="auto"/>
      </w:divBdr>
    </w:div>
    <w:div w:id="458883949">
      <w:bodyDiv w:val="1"/>
      <w:marLeft w:val="0"/>
      <w:marRight w:val="0"/>
      <w:marTop w:val="0"/>
      <w:marBottom w:val="0"/>
      <w:divBdr>
        <w:top w:val="none" w:sz="0" w:space="0" w:color="auto"/>
        <w:left w:val="none" w:sz="0" w:space="0" w:color="auto"/>
        <w:bottom w:val="none" w:sz="0" w:space="0" w:color="auto"/>
        <w:right w:val="none" w:sz="0" w:space="0" w:color="auto"/>
      </w:divBdr>
      <w:divsChild>
        <w:div w:id="578517451">
          <w:marLeft w:val="0"/>
          <w:marRight w:val="0"/>
          <w:marTop w:val="0"/>
          <w:marBottom w:val="0"/>
          <w:divBdr>
            <w:top w:val="none" w:sz="0" w:space="0" w:color="auto"/>
            <w:left w:val="none" w:sz="0" w:space="0" w:color="auto"/>
            <w:bottom w:val="none" w:sz="0" w:space="0" w:color="auto"/>
            <w:right w:val="none" w:sz="0" w:space="0" w:color="auto"/>
          </w:divBdr>
          <w:divsChild>
            <w:div w:id="38215449">
              <w:marLeft w:val="0"/>
              <w:marRight w:val="0"/>
              <w:marTop w:val="0"/>
              <w:marBottom w:val="0"/>
              <w:divBdr>
                <w:top w:val="none" w:sz="0" w:space="0" w:color="auto"/>
                <w:left w:val="none" w:sz="0" w:space="0" w:color="auto"/>
                <w:bottom w:val="none" w:sz="0" w:space="0" w:color="auto"/>
                <w:right w:val="none" w:sz="0" w:space="0" w:color="auto"/>
              </w:divBdr>
              <w:divsChild>
                <w:div w:id="12701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4184">
      <w:bodyDiv w:val="1"/>
      <w:marLeft w:val="0"/>
      <w:marRight w:val="0"/>
      <w:marTop w:val="0"/>
      <w:marBottom w:val="0"/>
      <w:divBdr>
        <w:top w:val="none" w:sz="0" w:space="0" w:color="auto"/>
        <w:left w:val="none" w:sz="0" w:space="0" w:color="auto"/>
        <w:bottom w:val="none" w:sz="0" w:space="0" w:color="auto"/>
        <w:right w:val="none" w:sz="0" w:space="0" w:color="auto"/>
      </w:divBdr>
      <w:divsChild>
        <w:div w:id="1655258174">
          <w:marLeft w:val="0"/>
          <w:marRight w:val="0"/>
          <w:marTop w:val="0"/>
          <w:marBottom w:val="0"/>
          <w:divBdr>
            <w:top w:val="none" w:sz="0" w:space="0" w:color="auto"/>
            <w:left w:val="none" w:sz="0" w:space="0" w:color="auto"/>
            <w:bottom w:val="none" w:sz="0" w:space="0" w:color="auto"/>
            <w:right w:val="none" w:sz="0" w:space="0" w:color="auto"/>
          </w:divBdr>
          <w:divsChild>
            <w:div w:id="590162796">
              <w:marLeft w:val="0"/>
              <w:marRight w:val="0"/>
              <w:marTop w:val="0"/>
              <w:marBottom w:val="0"/>
              <w:divBdr>
                <w:top w:val="none" w:sz="0" w:space="0" w:color="auto"/>
                <w:left w:val="none" w:sz="0" w:space="0" w:color="auto"/>
                <w:bottom w:val="none" w:sz="0" w:space="0" w:color="auto"/>
                <w:right w:val="none" w:sz="0" w:space="0" w:color="auto"/>
              </w:divBdr>
              <w:divsChild>
                <w:div w:id="1148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8105">
      <w:bodyDiv w:val="1"/>
      <w:marLeft w:val="0"/>
      <w:marRight w:val="0"/>
      <w:marTop w:val="0"/>
      <w:marBottom w:val="0"/>
      <w:divBdr>
        <w:top w:val="none" w:sz="0" w:space="0" w:color="auto"/>
        <w:left w:val="none" w:sz="0" w:space="0" w:color="auto"/>
        <w:bottom w:val="none" w:sz="0" w:space="0" w:color="auto"/>
        <w:right w:val="none" w:sz="0" w:space="0" w:color="auto"/>
      </w:divBdr>
      <w:divsChild>
        <w:div w:id="1010065325">
          <w:marLeft w:val="0"/>
          <w:marRight w:val="0"/>
          <w:marTop w:val="0"/>
          <w:marBottom w:val="0"/>
          <w:divBdr>
            <w:top w:val="none" w:sz="0" w:space="0" w:color="auto"/>
            <w:left w:val="none" w:sz="0" w:space="0" w:color="auto"/>
            <w:bottom w:val="none" w:sz="0" w:space="0" w:color="auto"/>
            <w:right w:val="none" w:sz="0" w:space="0" w:color="auto"/>
          </w:divBdr>
          <w:divsChild>
            <w:div w:id="1713458720">
              <w:marLeft w:val="0"/>
              <w:marRight w:val="0"/>
              <w:marTop w:val="0"/>
              <w:marBottom w:val="0"/>
              <w:divBdr>
                <w:top w:val="none" w:sz="0" w:space="0" w:color="auto"/>
                <w:left w:val="none" w:sz="0" w:space="0" w:color="auto"/>
                <w:bottom w:val="none" w:sz="0" w:space="0" w:color="auto"/>
                <w:right w:val="none" w:sz="0" w:space="0" w:color="auto"/>
              </w:divBdr>
              <w:divsChild>
                <w:div w:id="15599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6382">
      <w:bodyDiv w:val="1"/>
      <w:marLeft w:val="0"/>
      <w:marRight w:val="0"/>
      <w:marTop w:val="0"/>
      <w:marBottom w:val="0"/>
      <w:divBdr>
        <w:top w:val="none" w:sz="0" w:space="0" w:color="auto"/>
        <w:left w:val="none" w:sz="0" w:space="0" w:color="auto"/>
        <w:bottom w:val="none" w:sz="0" w:space="0" w:color="auto"/>
        <w:right w:val="none" w:sz="0" w:space="0" w:color="auto"/>
      </w:divBdr>
      <w:divsChild>
        <w:div w:id="1289121327">
          <w:marLeft w:val="0"/>
          <w:marRight w:val="0"/>
          <w:marTop w:val="0"/>
          <w:marBottom w:val="0"/>
          <w:divBdr>
            <w:top w:val="none" w:sz="0" w:space="0" w:color="auto"/>
            <w:left w:val="none" w:sz="0" w:space="0" w:color="auto"/>
            <w:bottom w:val="none" w:sz="0" w:space="0" w:color="auto"/>
            <w:right w:val="none" w:sz="0" w:space="0" w:color="auto"/>
          </w:divBdr>
          <w:divsChild>
            <w:div w:id="1648783920">
              <w:marLeft w:val="0"/>
              <w:marRight w:val="0"/>
              <w:marTop w:val="0"/>
              <w:marBottom w:val="0"/>
              <w:divBdr>
                <w:top w:val="none" w:sz="0" w:space="0" w:color="auto"/>
                <w:left w:val="none" w:sz="0" w:space="0" w:color="auto"/>
                <w:bottom w:val="none" w:sz="0" w:space="0" w:color="auto"/>
                <w:right w:val="none" w:sz="0" w:space="0" w:color="auto"/>
              </w:divBdr>
              <w:divsChild>
                <w:div w:id="1958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0502">
      <w:bodyDiv w:val="1"/>
      <w:marLeft w:val="0"/>
      <w:marRight w:val="0"/>
      <w:marTop w:val="0"/>
      <w:marBottom w:val="0"/>
      <w:divBdr>
        <w:top w:val="none" w:sz="0" w:space="0" w:color="auto"/>
        <w:left w:val="none" w:sz="0" w:space="0" w:color="auto"/>
        <w:bottom w:val="none" w:sz="0" w:space="0" w:color="auto"/>
        <w:right w:val="none" w:sz="0" w:space="0" w:color="auto"/>
      </w:divBdr>
      <w:divsChild>
        <w:div w:id="1749500990">
          <w:marLeft w:val="0"/>
          <w:marRight w:val="0"/>
          <w:marTop w:val="0"/>
          <w:marBottom w:val="0"/>
          <w:divBdr>
            <w:top w:val="none" w:sz="0" w:space="0" w:color="auto"/>
            <w:left w:val="none" w:sz="0" w:space="0" w:color="auto"/>
            <w:bottom w:val="none" w:sz="0" w:space="0" w:color="auto"/>
            <w:right w:val="none" w:sz="0" w:space="0" w:color="auto"/>
          </w:divBdr>
          <w:divsChild>
            <w:div w:id="37318093">
              <w:marLeft w:val="0"/>
              <w:marRight w:val="0"/>
              <w:marTop w:val="0"/>
              <w:marBottom w:val="0"/>
              <w:divBdr>
                <w:top w:val="none" w:sz="0" w:space="0" w:color="auto"/>
                <w:left w:val="none" w:sz="0" w:space="0" w:color="auto"/>
                <w:bottom w:val="none" w:sz="0" w:space="0" w:color="auto"/>
                <w:right w:val="none" w:sz="0" w:space="0" w:color="auto"/>
              </w:divBdr>
              <w:divsChild>
                <w:div w:id="3516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8826">
      <w:bodyDiv w:val="1"/>
      <w:marLeft w:val="0"/>
      <w:marRight w:val="0"/>
      <w:marTop w:val="0"/>
      <w:marBottom w:val="0"/>
      <w:divBdr>
        <w:top w:val="none" w:sz="0" w:space="0" w:color="auto"/>
        <w:left w:val="none" w:sz="0" w:space="0" w:color="auto"/>
        <w:bottom w:val="none" w:sz="0" w:space="0" w:color="auto"/>
        <w:right w:val="none" w:sz="0" w:space="0" w:color="auto"/>
      </w:divBdr>
      <w:divsChild>
        <w:div w:id="1223911032">
          <w:marLeft w:val="0"/>
          <w:marRight w:val="0"/>
          <w:marTop w:val="0"/>
          <w:marBottom w:val="0"/>
          <w:divBdr>
            <w:top w:val="none" w:sz="0" w:space="0" w:color="auto"/>
            <w:left w:val="none" w:sz="0" w:space="0" w:color="auto"/>
            <w:bottom w:val="none" w:sz="0" w:space="0" w:color="auto"/>
            <w:right w:val="none" w:sz="0" w:space="0" w:color="auto"/>
          </w:divBdr>
          <w:divsChild>
            <w:div w:id="1617954378">
              <w:marLeft w:val="0"/>
              <w:marRight w:val="0"/>
              <w:marTop w:val="0"/>
              <w:marBottom w:val="0"/>
              <w:divBdr>
                <w:top w:val="none" w:sz="0" w:space="0" w:color="auto"/>
                <w:left w:val="none" w:sz="0" w:space="0" w:color="auto"/>
                <w:bottom w:val="none" w:sz="0" w:space="0" w:color="auto"/>
                <w:right w:val="none" w:sz="0" w:space="0" w:color="auto"/>
              </w:divBdr>
              <w:divsChild>
                <w:div w:id="21022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83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4396426">
      <w:bodyDiv w:val="1"/>
      <w:marLeft w:val="0"/>
      <w:marRight w:val="0"/>
      <w:marTop w:val="0"/>
      <w:marBottom w:val="0"/>
      <w:divBdr>
        <w:top w:val="none" w:sz="0" w:space="0" w:color="auto"/>
        <w:left w:val="none" w:sz="0" w:space="0" w:color="auto"/>
        <w:bottom w:val="none" w:sz="0" w:space="0" w:color="auto"/>
        <w:right w:val="none" w:sz="0" w:space="0" w:color="auto"/>
      </w:divBdr>
      <w:divsChild>
        <w:div w:id="37751474">
          <w:marLeft w:val="0"/>
          <w:marRight w:val="0"/>
          <w:marTop w:val="0"/>
          <w:marBottom w:val="0"/>
          <w:divBdr>
            <w:top w:val="none" w:sz="0" w:space="0" w:color="auto"/>
            <w:left w:val="none" w:sz="0" w:space="0" w:color="auto"/>
            <w:bottom w:val="none" w:sz="0" w:space="0" w:color="auto"/>
            <w:right w:val="none" w:sz="0" w:space="0" w:color="auto"/>
          </w:divBdr>
          <w:divsChild>
            <w:div w:id="1398283790">
              <w:marLeft w:val="0"/>
              <w:marRight w:val="0"/>
              <w:marTop w:val="0"/>
              <w:marBottom w:val="0"/>
              <w:divBdr>
                <w:top w:val="none" w:sz="0" w:space="0" w:color="auto"/>
                <w:left w:val="none" w:sz="0" w:space="0" w:color="auto"/>
                <w:bottom w:val="none" w:sz="0" w:space="0" w:color="auto"/>
                <w:right w:val="none" w:sz="0" w:space="0" w:color="auto"/>
              </w:divBdr>
              <w:divsChild>
                <w:div w:id="10224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67645">
      <w:bodyDiv w:val="1"/>
      <w:marLeft w:val="0"/>
      <w:marRight w:val="0"/>
      <w:marTop w:val="0"/>
      <w:marBottom w:val="0"/>
      <w:divBdr>
        <w:top w:val="none" w:sz="0" w:space="0" w:color="auto"/>
        <w:left w:val="none" w:sz="0" w:space="0" w:color="auto"/>
        <w:bottom w:val="none" w:sz="0" w:space="0" w:color="auto"/>
        <w:right w:val="none" w:sz="0" w:space="0" w:color="auto"/>
      </w:divBdr>
    </w:div>
    <w:div w:id="1698776001">
      <w:bodyDiv w:val="1"/>
      <w:marLeft w:val="0"/>
      <w:marRight w:val="0"/>
      <w:marTop w:val="0"/>
      <w:marBottom w:val="0"/>
      <w:divBdr>
        <w:top w:val="none" w:sz="0" w:space="0" w:color="auto"/>
        <w:left w:val="none" w:sz="0" w:space="0" w:color="auto"/>
        <w:bottom w:val="none" w:sz="0" w:space="0" w:color="auto"/>
        <w:right w:val="none" w:sz="0" w:space="0" w:color="auto"/>
      </w:divBdr>
    </w:div>
    <w:div w:id="17989167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5753428">
      <w:bodyDiv w:val="1"/>
      <w:marLeft w:val="0"/>
      <w:marRight w:val="0"/>
      <w:marTop w:val="0"/>
      <w:marBottom w:val="0"/>
      <w:divBdr>
        <w:top w:val="none" w:sz="0" w:space="0" w:color="auto"/>
        <w:left w:val="none" w:sz="0" w:space="0" w:color="auto"/>
        <w:bottom w:val="none" w:sz="0" w:space="0" w:color="auto"/>
        <w:right w:val="none" w:sz="0" w:space="0" w:color="auto"/>
      </w:divBdr>
      <w:divsChild>
        <w:div w:id="786851012">
          <w:marLeft w:val="0"/>
          <w:marRight w:val="0"/>
          <w:marTop w:val="0"/>
          <w:marBottom w:val="0"/>
          <w:divBdr>
            <w:top w:val="none" w:sz="0" w:space="0" w:color="auto"/>
            <w:left w:val="none" w:sz="0" w:space="0" w:color="auto"/>
            <w:bottom w:val="none" w:sz="0" w:space="0" w:color="auto"/>
            <w:right w:val="none" w:sz="0" w:space="0" w:color="auto"/>
          </w:divBdr>
          <w:divsChild>
            <w:div w:id="282540374">
              <w:marLeft w:val="0"/>
              <w:marRight w:val="0"/>
              <w:marTop w:val="0"/>
              <w:marBottom w:val="0"/>
              <w:divBdr>
                <w:top w:val="none" w:sz="0" w:space="0" w:color="auto"/>
                <w:left w:val="none" w:sz="0" w:space="0" w:color="auto"/>
                <w:bottom w:val="none" w:sz="0" w:space="0" w:color="auto"/>
                <w:right w:val="none" w:sz="0" w:space="0" w:color="auto"/>
              </w:divBdr>
              <w:divsChild>
                <w:div w:id="434592558">
                  <w:marLeft w:val="0"/>
                  <w:marRight w:val="0"/>
                  <w:marTop w:val="0"/>
                  <w:marBottom w:val="0"/>
                  <w:divBdr>
                    <w:top w:val="none" w:sz="0" w:space="0" w:color="auto"/>
                    <w:left w:val="none" w:sz="0" w:space="0" w:color="auto"/>
                    <w:bottom w:val="none" w:sz="0" w:space="0" w:color="auto"/>
                    <w:right w:val="none" w:sz="0" w:space="0" w:color="auto"/>
                  </w:divBdr>
                  <w:divsChild>
                    <w:div w:id="421727413">
                      <w:marLeft w:val="0"/>
                      <w:marRight w:val="0"/>
                      <w:marTop w:val="105"/>
                      <w:marBottom w:val="255"/>
                      <w:divBdr>
                        <w:top w:val="none" w:sz="0" w:space="0" w:color="auto"/>
                        <w:left w:val="none" w:sz="0" w:space="0" w:color="auto"/>
                        <w:bottom w:val="none" w:sz="0" w:space="0" w:color="auto"/>
                        <w:right w:val="none" w:sz="0" w:space="0" w:color="auto"/>
                      </w:divBdr>
                    </w:div>
                  </w:divsChild>
                </w:div>
              </w:divsChild>
            </w:div>
          </w:divsChild>
        </w:div>
        <w:div w:id="2098016042">
          <w:marLeft w:val="0"/>
          <w:marRight w:val="0"/>
          <w:marTop w:val="0"/>
          <w:marBottom w:val="0"/>
          <w:divBdr>
            <w:top w:val="none" w:sz="0" w:space="0" w:color="auto"/>
            <w:left w:val="none" w:sz="0" w:space="0" w:color="auto"/>
            <w:bottom w:val="none" w:sz="0" w:space="0" w:color="auto"/>
            <w:right w:val="none" w:sz="0" w:space="0" w:color="auto"/>
          </w:divBdr>
          <w:divsChild>
            <w:div w:id="979305866">
              <w:marLeft w:val="0"/>
              <w:marRight w:val="0"/>
              <w:marTop w:val="0"/>
              <w:marBottom w:val="0"/>
              <w:divBdr>
                <w:top w:val="none" w:sz="0" w:space="0" w:color="auto"/>
                <w:left w:val="none" w:sz="0" w:space="0" w:color="auto"/>
                <w:bottom w:val="none" w:sz="0" w:space="0" w:color="auto"/>
                <w:right w:val="none" w:sz="0" w:space="0" w:color="auto"/>
              </w:divBdr>
              <w:divsChild>
                <w:div w:id="1868785462">
                  <w:marLeft w:val="0"/>
                  <w:marRight w:val="0"/>
                  <w:marTop w:val="0"/>
                  <w:marBottom w:val="0"/>
                  <w:divBdr>
                    <w:top w:val="none" w:sz="0" w:space="0" w:color="auto"/>
                    <w:left w:val="none" w:sz="0" w:space="0" w:color="auto"/>
                    <w:bottom w:val="none" w:sz="0" w:space="0" w:color="auto"/>
                    <w:right w:val="none" w:sz="0" w:space="0" w:color="auto"/>
                  </w:divBdr>
                  <w:divsChild>
                    <w:div w:id="1125200602">
                      <w:marLeft w:val="0"/>
                      <w:marRight w:val="0"/>
                      <w:marTop w:val="90"/>
                      <w:marBottom w:val="0"/>
                      <w:divBdr>
                        <w:top w:val="none" w:sz="0" w:space="0" w:color="auto"/>
                        <w:left w:val="none" w:sz="0" w:space="0" w:color="auto"/>
                        <w:bottom w:val="none" w:sz="0" w:space="0" w:color="auto"/>
                        <w:right w:val="none" w:sz="0" w:space="0" w:color="auto"/>
                      </w:divBdr>
                      <w:divsChild>
                        <w:div w:id="1215778793">
                          <w:marLeft w:val="0"/>
                          <w:marRight w:val="0"/>
                          <w:marTop w:val="0"/>
                          <w:marBottom w:val="420"/>
                          <w:divBdr>
                            <w:top w:val="none" w:sz="0" w:space="0" w:color="auto"/>
                            <w:left w:val="none" w:sz="0" w:space="0" w:color="auto"/>
                            <w:bottom w:val="none" w:sz="0" w:space="0" w:color="auto"/>
                            <w:right w:val="none" w:sz="0" w:space="0" w:color="auto"/>
                          </w:divBdr>
                          <w:divsChild>
                            <w:div w:id="1232275091">
                              <w:marLeft w:val="0"/>
                              <w:marRight w:val="0"/>
                              <w:marTop w:val="0"/>
                              <w:marBottom w:val="0"/>
                              <w:divBdr>
                                <w:top w:val="none" w:sz="0" w:space="0" w:color="auto"/>
                                <w:left w:val="none" w:sz="0" w:space="0" w:color="auto"/>
                                <w:bottom w:val="none" w:sz="0" w:space="0" w:color="auto"/>
                                <w:right w:val="none" w:sz="0" w:space="0" w:color="auto"/>
                              </w:divBdr>
                              <w:divsChild>
                                <w:div w:id="3987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627544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IA.NEUROPSIC@GMAIL.COM" TargetMode="External"/><Relationship Id="rId13" Type="http://schemas.openxmlformats.org/officeDocument/2006/relationships/hyperlink" Target="mailto:aixchell2001@gmail.com" TargetMode="External"/><Relationship Id="rId18" Type="http://schemas.openxmlformats.org/officeDocument/2006/relationships/hyperlink" Target="http://bigwww.epfl.ch/deconvolution/deconvolutionlab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ria.florencia@ibero.mx" TargetMode="External"/><Relationship Id="rId17" Type="http://schemas.openxmlformats.org/officeDocument/2006/relationships/hyperlink" Target="https://imagej.net/Diffraction_PSF_3D" TargetMode="External"/><Relationship Id="rId2" Type="http://schemas.openxmlformats.org/officeDocument/2006/relationships/numbering" Target="numbering.xml"/><Relationship Id="rId16" Type="http://schemas.openxmlformats.org/officeDocument/2006/relationships/hyperlink" Target="mailto:perlalealgalicia@hot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le_chavez@yahoo.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io.buenrostro@ibero.mx" TargetMode="External"/><Relationship Id="rId23" Type="http://schemas.openxmlformats.org/officeDocument/2006/relationships/fontTable" Target="fontTable.xml"/><Relationship Id="rId10" Type="http://schemas.openxmlformats.org/officeDocument/2006/relationships/hyperlink" Target="mailto:cosmonauta84@yahoo.com.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mando.luevanos@gmail.com" TargetMode="External"/><Relationship Id="rId14" Type="http://schemas.openxmlformats.org/officeDocument/2006/relationships/hyperlink" Target="mailto:marcosmmp22@hot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35FE-035D-480E-8F02-0562A493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23310</Words>
  <Characters>132868</Characters>
  <Application>Microsoft Office Word</Application>
  <DocSecurity>0</DocSecurity>
  <Lines>1107</Lines>
  <Paragraphs>311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155867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2020-08-05T20:39:00Z</dcterms:created>
  <dcterms:modified xsi:type="dcterms:W3CDTF">2020-08-05T20:45:00Z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8d6e5334-01f5-32bf-8b2e-c5745d82b18f</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