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A6FE8" w14:textId="37574261" w:rsidR="0005453F" w:rsidRDefault="00711F2B">
      <w:pPr>
        <w:rPr>
          <w:b/>
          <w:bCs/>
        </w:rPr>
      </w:pPr>
      <w:r w:rsidRPr="00711F2B">
        <w:rPr>
          <w:b/>
          <w:bCs/>
        </w:rPr>
        <w:t xml:space="preserve">Jove Reviewer Comments </w:t>
      </w:r>
    </w:p>
    <w:p w14:paraId="05A5F009" w14:textId="510C7E40" w:rsidR="005061E7" w:rsidRPr="00C229A0" w:rsidRDefault="005061E7">
      <w:pPr>
        <w:rPr>
          <w:bCs/>
        </w:rPr>
      </w:pPr>
      <w:r w:rsidRPr="00C229A0">
        <w:rPr>
          <w:bCs/>
        </w:rPr>
        <w:t>We appreciate editorial and reviewer comments and have made the necessary changes. We believe the manuscript is much improved as a result of these revisions. All changes to the manuscript have been highlighted in cyan. Below is a point-wise response to editorial and reviewer comments.</w:t>
      </w:r>
    </w:p>
    <w:p w14:paraId="0BC781AD" w14:textId="00770A12" w:rsidR="00711F2B" w:rsidRPr="00711F2B" w:rsidRDefault="00711F2B">
      <w:pPr>
        <w:rPr>
          <w:b/>
          <w:bCs/>
        </w:rPr>
      </w:pPr>
      <w:r w:rsidRPr="00711F2B">
        <w:rPr>
          <w:b/>
          <w:bCs/>
        </w:rPr>
        <w:t>Editorial comments:</w:t>
      </w:r>
    </w:p>
    <w:p w14:paraId="6E9BDA24" w14:textId="5DAF9C19" w:rsidR="00711F2B" w:rsidRDefault="00711F2B">
      <w:pPr>
        <w:rPr>
          <w:b/>
          <w:bCs/>
        </w:rPr>
      </w:pPr>
      <w:r w:rsidRPr="00711F2B">
        <w:rPr>
          <w:b/>
          <w:bCs/>
        </w:rPr>
        <w:t xml:space="preserve">Comment: </w:t>
      </w:r>
      <w:r w:rsidRPr="00711F2B">
        <w:t>Please take this opportunity to thoroughly proofread the manuscript to ensure that there are no spelling or grammar issues. The JoVE editor will not copy-edit your manuscript and any errors in the submitted revision may be present in the published version</w:t>
      </w:r>
      <w:r w:rsidRPr="00711F2B">
        <w:rPr>
          <w:b/>
          <w:bCs/>
        </w:rPr>
        <w:t>.</w:t>
      </w:r>
    </w:p>
    <w:p w14:paraId="3D18FDB2" w14:textId="3800EF98" w:rsidR="00711F2B" w:rsidRDefault="00711F2B">
      <w:r>
        <w:rPr>
          <w:b/>
          <w:bCs/>
        </w:rPr>
        <w:t xml:space="preserve">Response: </w:t>
      </w:r>
      <w:r>
        <w:t xml:space="preserve">We have taken to time to review the manuscript for spelling and grammar issues. We are happy with the current state of the manuscript. </w:t>
      </w:r>
    </w:p>
    <w:p w14:paraId="16F47988" w14:textId="77777777" w:rsidR="00711F2B" w:rsidRDefault="00711F2B"/>
    <w:p w14:paraId="03A80679" w14:textId="471BDA29" w:rsidR="00711F2B" w:rsidRDefault="00711F2B">
      <w:r w:rsidRPr="00711F2B">
        <w:rPr>
          <w:b/>
          <w:bCs/>
        </w:rPr>
        <w:t>Comment:</w:t>
      </w:r>
      <w:r>
        <w:rPr>
          <w:b/>
          <w:bCs/>
        </w:rPr>
        <w:t xml:space="preserve"> </w:t>
      </w:r>
      <w:r w:rsidRPr="00711F2B">
        <w:t>Please rephrase the Summary to clearly describe the protocol and its applications in complete sentences between 10-50 words: “Here, we present a protocol to …”</w:t>
      </w:r>
    </w:p>
    <w:p w14:paraId="128D1F5A" w14:textId="1E86E641" w:rsidR="00711F2B" w:rsidRDefault="00711F2B">
      <w:r w:rsidRPr="00711F2B">
        <w:rPr>
          <w:b/>
          <w:bCs/>
        </w:rPr>
        <w:t>Response:</w:t>
      </w:r>
      <w:r>
        <w:rPr>
          <w:b/>
          <w:bCs/>
        </w:rPr>
        <w:t xml:space="preserve"> </w:t>
      </w:r>
      <w:r>
        <w:t xml:space="preserve">The summary has been rephrased as suggested and now fits within the 10-50 word limit. </w:t>
      </w:r>
    </w:p>
    <w:p w14:paraId="383C1844" w14:textId="747BBB92" w:rsidR="00711F2B" w:rsidRDefault="00711F2B"/>
    <w:p w14:paraId="49D7CC32" w14:textId="2EB1E06D" w:rsidR="00711F2B" w:rsidRPr="00711F2B" w:rsidRDefault="00711F2B">
      <w:r w:rsidRPr="00711F2B">
        <w:rPr>
          <w:b/>
          <w:bCs/>
        </w:rPr>
        <w:t>Comment:</w:t>
      </w:r>
      <w:r>
        <w:rPr>
          <w:b/>
          <w:bCs/>
        </w:rPr>
        <w:t xml:space="preserve"> </w:t>
      </w:r>
      <w:r w:rsidRPr="00711F2B">
        <w:t>Please add more details to your protocol steps. Please ensure you answer the “how” question, i.e., how is the step performed? Alternatively, add references to published material specifying how to perform the protocol action.</w:t>
      </w:r>
    </w:p>
    <w:p w14:paraId="4FAC3AC9" w14:textId="50AB150D" w:rsidR="00711F2B" w:rsidRDefault="00711F2B">
      <w:r w:rsidRPr="00711F2B">
        <w:rPr>
          <w:b/>
          <w:bCs/>
        </w:rPr>
        <w:t>Response:</w:t>
      </w:r>
      <w:r>
        <w:rPr>
          <w:b/>
          <w:bCs/>
        </w:rPr>
        <w:t xml:space="preserve"> </w:t>
      </w:r>
      <w:r w:rsidRPr="00711F2B">
        <w:rPr>
          <w:b/>
          <w:bCs/>
        </w:rPr>
        <w:t xml:space="preserve"> </w:t>
      </w:r>
      <w:r>
        <w:t xml:space="preserve">For protocol steps lacking detail or the “how” questions we have taken time to elaborate on these steps adding more descriptive information on how to actively perform the task. </w:t>
      </w:r>
    </w:p>
    <w:p w14:paraId="4E537D39" w14:textId="73F7C3F4" w:rsidR="00711F2B" w:rsidRDefault="00711F2B"/>
    <w:p w14:paraId="03255617" w14:textId="3A9F9350" w:rsidR="00711F2B" w:rsidRDefault="00711F2B">
      <w:r w:rsidRPr="00711F2B">
        <w:rPr>
          <w:b/>
          <w:bCs/>
        </w:rPr>
        <w:t xml:space="preserve">Comment: </w:t>
      </w:r>
      <w:r w:rsidRPr="00711F2B">
        <w:t>2:</w:t>
      </w:r>
      <w:r>
        <w:t xml:space="preserve"> P</w:t>
      </w:r>
      <w:r w:rsidRPr="00711F2B">
        <w:t>lease specify the concentrations of all solutions used in the manuscript.</w:t>
      </w:r>
    </w:p>
    <w:p w14:paraId="6CFED2E4" w14:textId="60194F66" w:rsidR="00711F2B" w:rsidRDefault="00711F2B">
      <w:r w:rsidRPr="00711F2B">
        <w:rPr>
          <w:b/>
          <w:bCs/>
        </w:rPr>
        <w:t xml:space="preserve">Response: </w:t>
      </w:r>
      <w:r>
        <w:t xml:space="preserve">All missing concentrations of solutions have been added where necessary. </w:t>
      </w:r>
    </w:p>
    <w:p w14:paraId="4607E361" w14:textId="623E312B" w:rsidR="00711F2B" w:rsidRDefault="00711F2B"/>
    <w:p w14:paraId="06F1176A" w14:textId="321D72E8" w:rsidR="00711F2B" w:rsidRDefault="00711F2B">
      <w:r w:rsidRPr="00711F2B">
        <w:rPr>
          <w:b/>
          <w:bCs/>
        </w:rPr>
        <w:t>Comment:</w:t>
      </w:r>
      <w:r>
        <w:rPr>
          <w:b/>
          <w:bCs/>
        </w:rPr>
        <w:t xml:space="preserve"> </w:t>
      </w:r>
      <w:r w:rsidRPr="00711F2B">
        <w:t>2.1: Please specify the desired amount. We need specific values in order to film.</w:t>
      </w:r>
    </w:p>
    <w:p w14:paraId="2ECDF10B" w14:textId="48E63101" w:rsidR="00711F2B" w:rsidRDefault="00711F2B">
      <w:r w:rsidRPr="00711F2B">
        <w:rPr>
          <w:b/>
          <w:bCs/>
        </w:rPr>
        <w:t xml:space="preserve">Response: </w:t>
      </w:r>
      <w:r>
        <w:t xml:space="preserve">We have specified the exact amount of 35mm petri dishes to be used at this step. </w:t>
      </w:r>
    </w:p>
    <w:p w14:paraId="41F2E0C2" w14:textId="1DA553D0" w:rsidR="00711F2B" w:rsidRDefault="00711F2B"/>
    <w:p w14:paraId="6A8D042A" w14:textId="3BE70BAE" w:rsidR="00711F2B" w:rsidRDefault="00711F2B">
      <w:r>
        <w:rPr>
          <w:b/>
          <w:bCs/>
        </w:rPr>
        <w:t xml:space="preserve">Comment: </w:t>
      </w:r>
      <w:r w:rsidRPr="00711F2B">
        <w:t>What is the age/sex/gender of the mouse used?</w:t>
      </w:r>
    </w:p>
    <w:p w14:paraId="29B7F1AC" w14:textId="551E226E" w:rsidR="00711F2B" w:rsidRDefault="00711F2B">
      <w:r w:rsidRPr="00711F2B">
        <w:rPr>
          <w:b/>
          <w:bCs/>
        </w:rPr>
        <w:t xml:space="preserve">Response: </w:t>
      </w:r>
      <w:r>
        <w:t xml:space="preserve">The age of the timed pregnant mice </w:t>
      </w:r>
      <w:r w:rsidR="00B8090E">
        <w:t>h</w:t>
      </w:r>
      <w:r>
        <w:t xml:space="preserve">as been added. As these are pregnant </w:t>
      </w:r>
      <w:r w:rsidR="00F51204">
        <w:t>mice,</w:t>
      </w:r>
      <w:r>
        <w:t xml:space="preserve"> they are female. </w:t>
      </w:r>
    </w:p>
    <w:p w14:paraId="72AF1DBE" w14:textId="4314F590" w:rsidR="00375B0F" w:rsidRDefault="00375B0F"/>
    <w:p w14:paraId="1576B69B" w14:textId="77777777" w:rsidR="004B43FF" w:rsidRDefault="004B43FF">
      <w:pPr>
        <w:rPr>
          <w:b/>
          <w:bCs/>
        </w:rPr>
      </w:pPr>
    </w:p>
    <w:p w14:paraId="161D72C0" w14:textId="4977D6C2" w:rsidR="00375B0F" w:rsidRDefault="00375B0F">
      <w:pPr>
        <w:rPr>
          <w:b/>
          <w:bCs/>
        </w:rPr>
      </w:pPr>
      <w:r w:rsidRPr="00375B0F">
        <w:rPr>
          <w:b/>
          <w:bCs/>
        </w:rPr>
        <w:lastRenderedPageBreak/>
        <w:t>Reviewer #1 comments:</w:t>
      </w:r>
    </w:p>
    <w:p w14:paraId="04D42512" w14:textId="7F3E120C" w:rsidR="00375B0F" w:rsidRDefault="00375B0F">
      <w:r>
        <w:rPr>
          <w:b/>
          <w:bCs/>
        </w:rPr>
        <w:t xml:space="preserve">Comment: </w:t>
      </w:r>
      <w:r w:rsidRPr="00375B0F">
        <w:t>The introduction (lines 58-67) mentions that glutamate-mediated excitotoxicity occurs mainly through NMDA receptor activation. Yet, the authors used NBQX, a blocker of AMPA receptors to mitigate the calcium response of midbrain neurons challenged with glutamate. What is the rational for that?</w:t>
      </w:r>
    </w:p>
    <w:p w14:paraId="0B4765B4" w14:textId="62465281" w:rsidR="00375B0F" w:rsidRDefault="00375B0F">
      <w:r w:rsidRPr="00375B0F">
        <w:rPr>
          <w:b/>
          <w:bCs/>
        </w:rPr>
        <w:t xml:space="preserve">Response: </w:t>
      </w:r>
      <w:r>
        <w:t xml:space="preserve">We have added references and an explanation for the involvement of AMPARs in glutamate-mediated excitotoxicity. Our rational was to determine the AMPAR component of glutamate-mediated excitotoxicity within a cell culture model of midbrain neurons. </w:t>
      </w:r>
    </w:p>
    <w:p w14:paraId="3ED805BD" w14:textId="00610C90" w:rsidR="004051F1" w:rsidRDefault="004051F1"/>
    <w:p w14:paraId="262BAF2E" w14:textId="49BF715D" w:rsidR="004051F1" w:rsidRDefault="004051F1">
      <w:r>
        <w:rPr>
          <w:b/>
          <w:bCs/>
        </w:rPr>
        <w:t xml:space="preserve">Comment: </w:t>
      </w:r>
      <w:r w:rsidRPr="004051F1">
        <w:t>The authors mentioned the fact that "while much of the previous work on excitotoxicity has been done within cell culture models, many studies have used cortical neurons or other, more easily cultured, cell lines" (lines 558-560). This is only partially true. See for instance the following references [</w:t>
      </w:r>
      <w:bookmarkStart w:id="0" w:name="_Hlk42439363"/>
      <w:r w:rsidRPr="004051F1">
        <w:t>Douhou</w:t>
      </w:r>
      <w:bookmarkEnd w:id="0"/>
      <w:r w:rsidRPr="004051F1">
        <w:t xml:space="preserve"> A, J Neurochem. 2001 78(1):163-74; Lavaur J, et J Neurochem. 2017 142(1):14-28]. What is true, however, is that genetically encoded calcium indicators have not been commonly used for monitoring calcium when midbrain cultures are used to assess excitotoxic processes.</w:t>
      </w:r>
    </w:p>
    <w:p w14:paraId="4FBA63A2" w14:textId="444BBAE7" w:rsidR="004051F1" w:rsidRPr="004051F1" w:rsidRDefault="004051F1">
      <w:r>
        <w:rPr>
          <w:b/>
          <w:bCs/>
        </w:rPr>
        <w:t xml:space="preserve">Response: </w:t>
      </w:r>
      <w:r w:rsidR="00C50AFF">
        <w:t>We appreciate this insight and have included the references listed in the comment above. We have rewritten this section</w:t>
      </w:r>
      <w:r w:rsidR="00D5325A">
        <w:t xml:space="preserve"> (lines 587 to 594)</w:t>
      </w:r>
      <w:r w:rsidR="00C50AFF">
        <w:t xml:space="preserve"> to focus on the novelty of using GECIs to monitor calcium activity of midbrain neurons following glutamate challenge. </w:t>
      </w:r>
    </w:p>
    <w:p w14:paraId="19564646" w14:textId="77777777" w:rsidR="00711F2B" w:rsidRPr="00711F2B" w:rsidRDefault="00711F2B"/>
    <w:p w14:paraId="334302FF" w14:textId="10D669E6" w:rsidR="00711F2B" w:rsidRDefault="00C7795C">
      <w:r>
        <w:rPr>
          <w:b/>
          <w:bCs/>
        </w:rPr>
        <w:t xml:space="preserve">Comment: </w:t>
      </w:r>
      <w:r w:rsidRPr="00C7795C">
        <w:t>Calcium measurements were performed on the whole population of midbrain neurons and not specifically on dopamine neurons, which most likely represent a small percentage of neuronal cells in this model system. Therefore, the authors should mention the fact that it would be also technically possible to perform calcium imaging specifically in dopamine neurons using field relocation protocols after TH immunocytochemistry.</w:t>
      </w:r>
    </w:p>
    <w:p w14:paraId="0CA94CE3" w14:textId="29FE6FE2" w:rsidR="00C7795C" w:rsidRDefault="00C7795C">
      <w:r>
        <w:rPr>
          <w:b/>
          <w:bCs/>
        </w:rPr>
        <w:t>Response:</w:t>
      </w:r>
      <w:r>
        <w:t xml:space="preserve"> We have added a short explanation of the potential for differentiating TH+ from TH- neurons </w:t>
      </w:r>
      <w:r w:rsidR="003D0F03">
        <w:t>within our culture model</w:t>
      </w:r>
      <w:r w:rsidR="00336E42">
        <w:t xml:space="preserve"> as follows: “</w:t>
      </w:r>
      <w:r w:rsidR="00336E42" w:rsidRPr="00660DD4">
        <w:rPr>
          <w:rFonts w:cstheme="minorHAnsi"/>
        </w:rPr>
        <w:t xml:space="preserve">By using different field relocation techniques, </w:t>
      </w:r>
      <w:r w:rsidR="000D5FDA" w:rsidRPr="00660DD4">
        <w:rPr>
          <w:rFonts w:cstheme="minorHAnsi"/>
        </w:rPr>
        <w:t xml:space="preserve">such as </w:t>
      </w:r>
      <w:r w:rsidR="000D5FDA" w:rsidRPr="00C229A0">
        <w:rPr>
          <w:rFonts w:cstheme="minorHAnsi"/>
        </w:rPr>
        <w:t>grid</w:t>
      </w:r>
      <w:r w:rsidR="00AC0B7A" w:rsidRPr="00C229A0">
        <w:rPr>
          <w:rFonts w:cstheme="minorHAnsi"/>
        </w:rPr>
        <w:t>d</w:t>
      </w:r>
      <w:r w:rsidR="000D5FDA" w:rsidRPr="00C229A0">
        <w:rPr>
          <w:rFonts w:cstheme="minorHAnsi"/>
        </w:rPr>
        <w:t>ed</w:t>
      </w:r>
      <w:r w:rsidR="000D5FDA" w:rsidRPr="00660DD4">
        <w:rPr>
          <w:rFonts w:cstheme="minorHAnsi"/>
        </w:rPr>
        <w:t xml:space="preserve"> coverslips or a</w:t>
      </w:r>
      <w:r w:rsidR="00336E42" w:rsidRPr="00660DD4">
        <w:rPr>
          <w:rFonts w:cstheme="minorHAnsi"/>
        </w:rPr>
        <w:t xml:space="preserve"> motorized XY microscope stage, </w:t>
      </w:r>
      <w:r w:rsidR="000D5FDA" w:rsidRPr="00660DD4">
        <w:rPr>
          <w:rFonts w:cstheme="minorHAnsi"/>
        </w:rPr>
        <w:t>combined with</w:t>
      </w:r>
      <w:r w:rsidR="00336E42" w:rsidRPr="00660DD4">
        <w:rPr>
          <w:rFonts w:cstheme="minorHAnsi"/>
        </w:rPr>
        <w:t xml:space="preserve"> TH immunostaining, we can</w:t>
      </w:r>
      <w:r w:rsidR="00336E42">
        <w:rPr>
          <w:rFonts w:cstheme="minorHAnsi"/>
        </w:rPr>
        <w:t xml:space="preserve"> </w:t>
      </w:r>
      <w:r w:rsidR="004638C2">
        <w:rPr>
          <w:rFonts w:cstheme="minorHAnsi"/>
        </w:rPr>
        <w:t xml:space="preserve">directly </w:t>
      </w:r>
      <w:r w:rsidR="00336E42">
        <w:rPr>
          <w:rFonts w:cstheme="minorHAnsi"/>
        </w:rPr>
        <w:t xml:space="preserve">study the cell type specific effects of glutamate-mediated excitotoxicity in </w:t>
      </w:r>
      <w:r w:rsidR="004638C2">
        <w:rPr>
          <w:rFonts w:cstheme="minorHAnsi"/>
        </w:rPr>
        <w:t>DA</w:t>
      </w:r>
      <w:r w:rsidR="00336E42">
        <w:rPr>
          <w:rFonts w:cstheme="minorHAnsi"/>
        </w:rPr>
        <w:t xml:space="preserve"> neurons”</w:t>
      </w:r>
    </w:p>
    <w:p w14:paraId="1C3D81B5" w14:textId="7EA5AC2E" w:rsidR="003D0F03" w:rsidRDefault="003D0F03"/>
    <w:p w14:paraId="34CB6017" w14:textId="48EA82D2" w:rsidR="003D0F03" w:rsidRDefault="003D0F03">
      <w:r>
        <w:rPr>
          <w:b/>
          <w:bCs/>
        </w:rPr>
        <w:t xml:space="preserve">Comment: </w:t>
      </w:r>
      <w:r w:rsidRPr="003D0F03">
        <w:t>Section 6. (line 269) "Infection of cell culture with adeno-associated viral (AAV) vectors": It is not clearly stated at what stage of maturation, cultured cells are transduced with viral vector particles. Besides, the age of the cultures, which are used for calcium imaging, is mentioned nowhere. This is of importance, as the response to a glutamate challenge will vary dramatically as a function of the degree of maturation of these cultures.</w:t>
      </w:r>
    </w:p>
    <w:p w14:paraId="200E6004" w14:textId="157F4E2E" w:rsidR="003D0F03" w:rsidRDefault="003D0F03">
      <w:r>
        <w:rPr>
          <w:b/>
          <w:bCs/>
        </w:rPr>
        <w:t xml:space="preserve">Response: </w:t>
      </w:r>
      <w:r w:rsidR="00A85017">
        <w:t xml:space="preserve">We have </w:t>
      </w:r>
      <w:r w:rsidR="00FC74D5">
        <w:t xml:space="preserve">now </w:t>
      </w:r>
      <w:r w:rsidR="00A85017">
        <w:t>added info</w:t>
      </w:r>
      <w:r w:rsidR="00FC74D5">
        <w:t>rmation</w:t>
      </w:r>
      <w:r w:rsidR="00A85017">
        <w:t xml:space="preserve"> on the number of days </w:t>
      </w:r>
      <w:r w:rsidR="00A85017" w:rsidRPr="00A85017">
        <w:rPr>
          <w:i/>
          <w:iCs/>
        </w:rPr>
        <w:t>in vitro</w:t>
      </w:r>
      <w:r w:rsidR="00A85017">
        <w:t xml:space="preserve"> for the cells </w:t>
      </w:r>
      <w:r w:rsidR="00FC74D5">
        <w:t>in section 6 and section 7</w:t>
      </w:r>
      <w:r w:rsidR="00A85017">
        <w:t>. In the discussion we also mention that by 2-3 weeks, the timeframe of AAV infections and Ca</w:t>
      </w:r>
      <w:r w:rsidR="00A85017" w:rsidRPr="00A85017">
        <w:rPr>
          <w:vertAlign w:val="superscript"/>
        </w:rPr>
        <w:t>2+</w:t>
      </w:r>
      <w:r w:rsidR="00A85017">
        <w:t xml:space="preserve"> imaging, the cells are fully matured based on their molecular profile. Appropriate references are included. </w:t>
      </w:r>
    </w:p>
    <w:p w14:paraId="3BB4DD06" w14:textId="77777777" w:rsidR="00D21734" w:rsidRPr="00D21734" w:rsidRDefault="00D21734"/>
    <w:p w14:paraId="505F792B" w14:textId="4AC29F94" w:rsidR="003D0F03" w:rsidRDefault="003D0F03">
      <w:r>
        <w:rPr>
          <w:b/>
          <w:bCs/>
        </w:rPr>
        <w:t xml:space="preserve">Comment: </w:t>
      </w:r>
      <w:r w:rsidRPr="003D0F03">
        <w:t>Section 3.12 (lines 209-216) An illustration for the dissection protocol would be welcome. Alternatively, cite previously described protocols for this section.</w:t>
      </w:r>
    </w:p>
    <w:p w14:paraId="2770C4D6" w14:textId="46F583EF" w:rsidR="003D0F03" w:rsidRDefault="003D0F03">
      <w:r>
        <w:rPr>
          <w:b/>
          <w:bCs/>
        </w:rPr>
        <w:t xml:space="preserve">Response: </w:t>
      </w:r>
      <w:r>
        <w:t>A previously published protocol of the dissection process is referenced at the beginning of section 3 as it outlines the entire process from 3.1 through 3.14</w:t>
      </w:r>
    </w:p>
    <w:p w14:paraId="53D34688" w14:textId="6B45C005" w:rsidR="00D21734" w:rsidRDefault="00D21734"/>
    <w:p w14:paraId="0778600C" w14:textId="700BAF13" w:rsidR="00D21734" w:rsidRDefault="00D21734">
      <w:r>
        <w:rPr>
          <w:b/>
          <w:bCs/>
        </w:rPr>
        <w:t>Comment</w:t>
      </w:r>
      <w:r w:rsidRPr="00D21734">
        <w:t>: As a perspective, the authors could also mention the possibility of comparing the impact of test compounds on glutamate-evoked responses to their rescuing effect for dopamine neurons.</w:t>
      </w:r>
    </w:p>
    <w:p w14:paraId="0B4868D0" w14:textId="69215B0C" w:rsidR="00D21734" w:rsidRDefault="00D21734">
      <w:r>
        <w:rPr>
          <w:b/>
          <w:bCs/>
        </w:rPr>
        <w:t xml:space="preserve">Response: </w:t>
      </w:r>
      <w:r>
        <w:t xml:space="preserve">We completely agree and have added </w:t>
      </w:r>
      <w:r w:rsidR="008F5142">
        <w:t xml:space="preserve">the following </w:t>
      </w:r>
      <w:r>
        <w:t>sentence at the end of the discussion</w:t>
      </w:r>
      <w:r w:rsidR="008F5142">
        <w:t>: “</w:t>
      </w:r>
      <w:r w:rsidR="008F5142" w:rsidRPr="00660DD4">
        <w:rPr>
          <w:rFonts w:cstheme="minorHAnsi"/>
        </w:rPr>
        <w:t>this model could be an effective tool to screen novel compounds for anti-apoptotic effects and their ability to preserve DA neuron health.</w:t>
      </w:r>
      <w:r w:rsidR="008F5142">
        <w:rPr>
          <w:rFonts w:cstheme="minorHAnsi"/>
        </w:rPr>
        <w:t>”</w:t>
      </w:r>
      <w:r>
        <w:t xml:space="preserve">. </w:t>
      </w:r>
    </w:p>
    <w:p w14:paraId="3AF34533" w14:textId="21B281BB" w:rsidR="00715AC7" w:rsidRDefault="00715AC7"/>
    <w:p w14:paraId="5827B25B" w14:textId="66953FE4" w:rsidR="00715AC7" w:rsidRDefault="00715AC7">
      <w:r>
        <w:rPr>
          <w:b/>
          <w:bCs/>
        </w:rPr>
        <w:t>Comment</w:t>
      </w:r>
      <w:r w:rsidRPr="00D21734">
        <w:t>:</w:t>
      </w:r>
      <w:r>
        <w:t xml:space="preserve"> I</w:t>
      </w:r>
      <w:r w:rsidRPr="00715AC7">
        <w:t>n the abstract (line 33), the authors describe the degeneration of dopaminergic neurons as "rapid" which is probably not true. It may be rapid at the level of a single neuron but slow if considering the whole population of vulnerable dopamine neurons.</w:t>
      </w:r>
    </w:p>
    <w:p w14:paraId="06C10079" w14:textId="2FDCAF7F" w:rsidR="00715AC7" w:rsidRDefault="00715AC7">
      <w:r>
        <w:rPr>
          <w:b/>
          <w:bCs/>
        </w:rPr>
        <w:t xml:space="preserve">Response: </w:t>
      </w:r>
      <w:r>
        <w:t xml:space="preserve">We agree that the use of the word rapid here is slightly misleading about the progressive nature of PD </w:t>
      </w:r>
      <w:r w:rsidRPr="00715AC7">
        <w:rPr>
          <w:i/>
          <w:iCs/>
        </w:rPr>
        <w:t>in vivo</w:t>
      </w:r>
      <w:r>
        <w:t xml:space="preserve">. We have removed the word. </w:t>
      </w:r>
    </w:p>
    <w:p w14:paraId="0366EDA7" w14:textId="1EB7C5A9" w:rsidR="00715AC7" w:rsidRDefault="00715AC7"/>
    <w:p w14:paraId="0B269B65" w14:textId="40E22E5F" w:rsidR="00715AC7" w:rsidRDefault="00715AC7">
      <w:r>
        <w:rPr>
          <w:b/>
          <w:bCs/>
        </w:rPr>
        <w:t xml:space="preserve">Comment: </w:t>
      </w:r>
      <w:r w:rsidRPr="00715AC7">
        <w:t>In the abstract (line 39): "under control of the neuron-specific promoter, hSyn" hSyn stands for what? Synapsin?</w:t>
      </w:r>
    </w:p>
    <w:p w14:paraId="4019DBC9" w14:textId="7D51628B" w:rsidR="00715AC7" w:rsidRDefault="00715AC7">
      <w:r>
        <w:rPr>
          <w:b/>
          <w:bCs/>
        </w:rPr>
        <w:t xml:space="preserve">Response: </w:t>
      </w:r>
      <w:r>
        <w:t xml:space="preserve">We have added the full spelling of the promotor to prevent any confusion. </w:t>
      </w:r>
    </w:p>
    <w:p w14:paraId="363E5F7D" w14:textId="11E214F5" w:rsidR="003968A5" w:rsidRDefault="003968A5"/>
    <w:p w14:paraId="2FE6A3F0" w14:textId="3F67E85F" w:rsidR="003968A5" w:rsidRDefault="003968A5" w:rsidP="003968A5">
      <w:pPr>
        <w:rPr>
          <w:b/>
          <w:bCs/>
        </w:rPr>
      </w:pPr>
      <w:r w:rsidRPr="00375B0F">
        <w:rPr>
          <w:b/>
          <w:bCs/>
        </w:rPr>
        <w:t>Reviewer #</w:t>
      </w:r>
      <w:r>
        <w:rPr>
          <w:b/>
          <w:bCs/>
        </w:rPr>
        <w:t>2</w:t>
      </w:r>
      <w:r w:rsidRPr="00375B0F">
        <w:rPr>
          <w:b/>
          <w:bCs/>
        </w:rPr>
        <w:t xml:space="preserve"> comments:</w:t>
      </w:r>
    </w:p>
    <w:p w14:paraId="104A5FB4" w14:textId="779F032B" w:rsidR="003968A5" w:rsidRDefault="003968A5" w:rsidP="003968A5">
      <w:r>
        <w:rPr>
          <w:b/>
          <w:bCs/>
        </w:rPr>
        <w:t xml:space="preserve">Comment: </w:t>
      </w:r>
      <w:r w:rsidRPr="003968A5">
        <w:t>The authors claim that this is a model for evaluate excitotoxic cell death in dopaminergic neurons. There are not enough results about cell viability/intoxication/death, the unique result related to cell intoxication is the evaluation of Caspase 3 activation by imaging techniques. In order to make this method suitable to evaluate dopaminergic cells toxicity and death, more experiments need to be added to the method, e.g. TH expression evaluation and cell counts. However, considering that the method is suitable for measuring Ca flux, instead of adding further experiments the authors could modify the title and the discussion focusing on the efficacy as a method for screening drugs that interfere with Ca flux.</w:t>
      </w:r>
    </w:p>
    <w:p w14:paraId="2A4981EF" w14:textId="63A0089D" w:rsidR="003968A5" w:rsidRDefault="003968A5" w:rsidP="003968A5">
      <w:r>
        <w:rPr>
          <w:b/>
          <w:bCs/>
        </w:rPr>
        <w:t xml:space="preserve">Response: </w:t>
      </w:r>
      <w:r>
        <w:t xml:space="preserve">We agree that Caspase-3 activation alone is not a complete measure of cell death. We have reworded title </w:t>
      </w:r>
      <w:r w:rsidR="00CF62C3">
        <w:t>as follows: “</w:t>
      </w:r>
      <w:r w:rsidR="00CF62C3" w:rsidRPr="00660DD4">
        <w:t>A method to quantify spontaneous Ca</w:t>
      </w:r>
      <w:r w:rsidR="00CF62C3" w:rsidRPr="00660DD4">
        <w:rPr>
          <w:vertAlign w:val="superscript"/>
        </w:rPr>
        <w:t>2+</w:t>
      </w:r>
      <w:r w:rsidR="00CF62C3" w:rsidRPr="00660DD4">
        <w:t xml:space="preserve"> fluxes and their downstream effects in primary mouse midbrain neurons</w:t>
      </w:r>
      <w:r w:rsidR="00CF62C3">
        <w:t>”</w:t>
      </w:r>
      <w:r>
        <w:t>.</w:t>
      </w:r>
      <w:r w:rsidR="00CF62C3">
        <w:t xml:space="preserve"> We have also reworded parts of the introduction and discussion to focus on the downstream effects of Ca</w:t>
      </w:r>
      <w:r w:rsidR="00CF62C3" w:rsidRPr="00660DD4">
        <w:rPr>
          <w:vertAlign w:val="superscript"/>
        </w:rPr>
        <w:t>2+</w:t>
      </w:r>
      <w:r w:rsidR="00CF62C3">
        <w:t xml:space="preserve"> influx in midbrain neurons, rather than excitotoxic cell death.  </w:t>
      </w:r>
      <w:r>
        <w:t xml:space="preserve"> </w:t>
      </w:r>
    </w:p>
    <w:p w14:paraId="6F3E6B68" w14:textId="48AB73A2" w:rsidR="002D0C2D" w:rsidRDefault="002D0C2D" w:rsidP="003968A5"/>
    <w:p w14:paraId="747FFB9E" w14:textId="49F2E53B" w:rsidR="002D0C2D" w:rsidRDefault="002D0C2D" w:rsidP="003968A5">
      <w:r>
        <w:rPr>
          <w:b/>
          <w:bCs/>
        </w:rPr>
        <w:lastRenderedPageBreak/>
        <w:t xml:space="preserve">Comment: </w:t>
      </w:r>
      <w:r w:rsidRPr="002D0C2D">
        <w:t>It's appropriate to add a brief description of NBQX effects in the introduction.</w:t>
      </w:r>
    </w:p>
    <w:p w14:paraId="0650DF48" w14:textId="0D116A43" w:rsidR="002D0C2D" w:rsidRDefault="002D0C2D" w:rsidP="003968A5">
      <w:r>
        <w:rPr>
          <w:b/>
          <w:bCs/>
        </w:rPr>
        <w:t xml:space="preserve">Response: </w:t>
      </w:r>
      <w:r>
        <w:t>We agree and have added a short description of NBQX pharmacology</w:t>
      </w:r>
      <w:r w:rsidR="00DC32AE">
        <w:t xml:space="preserve"> along with a reference</w:t>
      </w:r>
      <w:r>
        <w:t xml:space="preserve">. </w:t>
      </w:r>
    </w:p>
    <w:p w14:paraId="111DD2EB" w14:textId="4031306D" w:rsidR="002D0C2D" w:rsidRDefault="002D0C2D" w:rsidP="003968A5"/>
    <w:p w14:paraId="3A1BA223" w14:textId="39F4A41D" w:rsidR="002D0C2D" w:rsidRDefault="002D0C2D" w:rsidP="003968A5">
      <w:r>
        <w:rPr>
          <w:b/>
          <w:bCs/>
        </w:rPr>
        <w:t xml:space="preserve">Comment: </w:t>
      </w:r>
      <w:r w:rsidRPr="002D0C2D">
        <w:t>The approx total number of the cells obtained (adjusted to the number of embryos) could be an useful data.</w:t>
      </w:r>
    </w:p>
    <w:p w14:paraId="7948C912" w14:textId="457C26FB" w:rsidR="002D0C2D" w:rsidRPr="00660DD4" w:rsidRDefault="002D0C2D" w:rsidP="00660DD4">
      <w:pPr>
        <w:pStyle w:val="NormalWeb"/>
        <w:spacing w:before="0" w:beforeAutospacing="0" w:after="0" w:afterAutospacing="0"/>
        <w:rPr>
          <w:rFonts w:cstheme="minorHAnsi"/>
          <w:bCs/>
          <w:sz w:val="22"/>
          <w:szCs w:val="22"/>
        </w:rPr>
      </w:pPr>
      <w:r w:rsidRPr="00660DD4">
        <w:rPr>
          <w:b/>
          <w:bCs/>
          <w:sz w:val="22"/>
          <w:szCs w:val="22"/>
        </w:rPr>
        <w:t xml:space="preserve">Response: </w:t>
      </w:r>
      <w:r w:rsidRPr="00660DD4">
        <w:rPr>
          <w:sz w:val="22"/>
          <w:szCs w:val="22"/>
        </w:rPr>
        <w:t>We agree and have added this information at the beginning of protocol step 5</w:t>
      </w:r>
      <w:r w:rsidR="00F7611C" w:rsidRPr="00660DD4">
        <w:rPr>
          <w:sz w:val="22"/>
          <w:szCs w:val="22"/>
        </w:rPr>
        <w:t xml:space="preserve"> as follows: “</w:t>
      </w:r>
      <w:r w:rsidR="00F7611C" w:rsidRPr="00660DD4">
        <w:rPr>
          <w:rFonts w:asciiTheme="minorHAnsi" w:hAnsiTheme="minorHAnsi" w:cstheme="minorHAnsi"/>
          <w:bCs/>
          <w:color w:val="auto"/>
          <w:sz w:val="22"/>
          <w:szCs w:val="22"/>
        </w:rPr>
        <w:t>Note: Based on our experience, about 100,000 viable cells per embryo are collected. 2-3 mo old timed pregnant mice typically have litters sizes of 8-10 embryos, therefore, a rough estimate for total yield of cells per timed pregnant mouse is approximately 1 million cells.”</w:t>
      </w:r>
    </w:p>
    <w:p w14:paraId="0DA098D9" w14:textId="64C8E503" w:rsidR="002D0C2D" w:rsidRDefault="002D0C2D" w:rsidP="003968A5"/>
    <w:p w14:paraId="0A0680C8" w14:textId="02E66E86" w:rsidR="003300DA" w:rsidRDefault="003300DA" w:rsidP="003968A5">
      <w:r>
        <w:rPr>
          <w:b/>
          <w:bCs/>
        </w:rPr>
        <w:t xml:space="preserve">Comment: </w:t>
      </w:r>
      <w:r w:rsidRPr="003300DA">
        <w:t>Many substances are dissolved in H2O, the authors mean distilled water?</w:t>
      </w:r>
    </w:p>
    <w:p w14:paraId="5D2AC559" w14:textId="58194376" w:rsidR="003300DA" w:rsidRDefault="003300DA" w:rsidP="003968A5">
      <w:r>
        <w:rPr>
          <w:b/>
          <w:bCs/>
        </w:rPr>
        <w:t xml:space="preserve">Response: </w:t>
      </w:r>
      <w:r>
        <w:t xml:space="preserve">We have clarified throughout the protocol that distilled water was used in these steps. </w:t>
      </w:r>
    </w:p>
    <w:p w14:paraId="5C3DE925" w14:textId="4E262421" w:rsidR="003300DA" w:rsidRDefault="003300DA" w:rsidP="003968A5"/>
    <w:p w14:paraId="2844F136" w14:textId="147DC8E0" w:rsidR="003300DA" w:rsidRDefault="003300DA" w:rsidP="003968A5">
      <w:r>
        <w:rPr>
          <w:b/>
          <w:bCs/>
        </w:rPr>
        <w:t xml:space="preserve">Comment: </w:t>
      </w:r>
      <w:r w:rsidRPr="003300DA">
        <w:t>In step 4.2.1 the approx number of "up and down" with pipette should be indicated.</w:t>
      </w:r>
    </w:p>
    <w:p w14:paraId="388FED87" w14:textId="0258CA9F" w:rsidR="003300DA" w:rsidRDefault="003300DA" w:rsidP="003968A5">
      <w:r>
        <w:rPr>
          <w:b/>
          <w:bCs/>
        </w:rPr>
        <w:t xml:space="preserve">Response: </w:t>
      </w:r>
      <w:r>
        <w:t xml:space="preserve">We have added the exact number of </w:t>
      </w:r>
      <w:r>
        <w:rPr>
          <w:rFonts w:cstheme="minorHAnsi"/>
          <w:bCs/>
        </w:rPr>
        <w:t>trituration steps</w:t>
      </w:r>
      <w:r>
        <w:t xml:space="preserve"> to perform. </w:t>
      </w:r>
    </w:p>
    <w:p w14:paraId="2361D89B" w14:textId="7BBF778B" w:rsidR="00754DC3" w:rsidRDefault="00754DC3" w:rsidP="003968A5"/>
    <w:p w14:paraId="45DA5D39" w14:textId="13258B27" w:rsidR="00754DC3" w:rsidRDefault="00754DC3" w:rsidP="00754DC3">
      <w:pPr>
        <w:rPr>
          <w:b/>
          <w:bCs/>
        </w:rPr>
      </w:pPr>
      <w:r w:rsidRPr="00375B0F">
        <w:rPr>
          <w:b/>
          <w:bCs/>
        </w:rPr>
        <w:t>Reviewer #</w:t>
      </w:r>
      <w:r>
        <w:rPr>
          <w:b/>
          <w:bCs/>
        </w:rPr>
        <w:t>3</w:t>
      </w:r>
      <w:r w:rsidRPr="00375B0F">
        <w:rPr>
          <w:b/>
          <w:bCs/>
        </w:rPr>
        <w:t xml:space="preserve"> comments:</w:t>
      </w:r>
    </w:p>
    <w:p w14:paraId="7B59FA0A" w14:textId="0A08982D" w:rsidR="00754DC3" w:rsidRDefault="00754DC3" w:rsidP="003968A5">
      <w:r>
        <w:rPr>
          <w:b/>
          <w:bCs/>
        </w:rPr>
        <w:t xml:space="preserve">Comment: </w:t>
      </w:r>
      <w:r w:rsidRPr="00754DC3">
        <w:t>Why is the dissection done outside a biological safety cabinet as it increases the risk of contamination? Did the authors consider adding an antibiotic to the HBSS.</w:t>
      </w:r>
    </w:p>
    <w:p w14:paraId="06C2A854" w14:textId="365460BE" w:rsidR="00754DC3" w:rsidRDefault="00754DC3" w:rsidP="003968A5">
      <w:r>
        <w:rPr>
          <w:b/>
          <w:bCs/>
        </w:rPr>
        <w:t xml:space="preserve">Response: </w:t>
      </w:r>
      <w:r>
        <w:t>We use 4 separate antibiotics in our culture medium therefore the risk of contamination is minimal. However, if the use of antibiotics is unwarranted the dissection setup can be moved into a sterile hood. We have addressed this</w:t>
      </w:r>
      <w:r w:rsidR="00E141FD">
        <w:t xml:space="preserve"> issue</w:t>
      </w:r>
      <w:r>
        <w:t xml:space="preserve"> in section #3 of the protocol</w:t>
      </w:r>
      <w:r w:rsidR="00E141FD">
        <w:t xml:space="preserve"> as follows: “</w:t>
      </w:r>
      <w:r w:rsidR="00E141FD">
        <w:rPr>
          <w:rFonts w:cstheme="minorHAnsi"/>
          <w:bCs/>
        </w:rPr>
        <w:t xml:space="preserve">Plentiful use of 70% EtOH on surfaces near the dissection microscope and on surgical tools is ideal. A mask may also be worn during the dissection to further prevent contamination. </w:t>
      </w:r>
      <w:r w:rsidR="00E141FD" w:rsidRPr="00660DD4">
        <w:rPr>
          <w:rFonts w:cstheme="minorHAnsi"/>
          <w:bCs/>
        </w:rPr>
        <w:t>Additionally, we use 4 separate antibiotics in our culture medium, so contamination is unlikely. However, if use of antibiotics is problematic, this dissection setup could be moved inside a sterile hood</w:t>
      </w:r>
      <w:r w:rsidR="00E141FD">
        <w:rPr>
          <w:rFonts w:cstheme="minorHAnsi"/>
          <w:bCs/>
        </w:rPr>
        <w:t>”</w:t>
      </w:r>
      <w:r>
        <w:t xml:space="preserve">.  </w:t>
      </w:r>
    </w:p>
    <w:p w14:paraId="77719856" w14:textId="5BEE129A" w:rsidR="00882C7D" w:rsidRDefault="00882C7D" w:rsidP="003968A5"/>
    <w:p w14:paraId="574C856C" w14:textId="11183AE0" w:rsidR="00882C7D" w:rsidRDefault="00882C7D" w:rsidP="003968A5">
      <w:r>
        <w:rPr>
          <w:b/>
          <w:bCs/>
        </w:rPr>
        <w:t xml:space="preserve">Comment: </w:t>
      </w:r>
      <w:r w:rsidRPr="00882C7D">
        <w:t>For this method, is it necessary to use 3 coating reagents (PDL, PLO, laminin) for the plate?</w:t>
      </w:r>
    </w:p>
    <w:p w14:paraId="69975114" w14:textId="3C183AD1" w:rsidR="00882C7D" w:rsidRDefault="00882C7D" w:rsidP="003968A5">
      <w:r>
        <w:rPr>
          <w:b/>
          <w:bCs/>
        </w:rPr>
        <w:t xml:space="preserve">Response: </w:t>
      </w:r>
      <w:r>
        <w:t>While it is not necessary, it is ideal. We have added a brief note at the beginning of section #2 of the protocol</w:t>
      </w:r>
      <w:r w:rsidR="00782017">
        <w:t xml:space="preserve"> as follows: “</w:t>
      </w:r>
      <w:r w:rsidR="00782017" w:rsidRPr="00660DD4">
        <w:rPr>
          <w:rFonts w:cstheme="minorHAnsi"/>
          <w:bCs/>
        </w:rPr>
        <w:t>Note: We have found that combining three coating agents, poly-L-lysine, poly-L-ornithine, and laminin allows for ideal cell adhesion and viability</w:t>
      </w:r>
      <w:r w:rsidR="00782017">
        <w:rPr>
          <w:rFonts w:cstheme="minorHAnsi"/>
          <w:bCs/>
        </w:rPr>
        <w:t>”</w:t>
      </w:r>
      <w:r>
        <w:t xml:space="preserve">. </w:t>
      </w:r>
    </w:p>
    <w:p w14:paraId="4D9AEAAA" w14:textId="4B296362" w:rsidR="00882C7D" w:rsidRDefault="00882C7D" w:rsidP="003968A5"/>
    <w:p w14:paraId="0DD68876" w14:textId="3F2F3516" w:rsidR="00882C7D" w:rsidRDefault="00882C7D" w:rsidP="003968A5">
      <w:r>
        <w:rPr>
          <w:b/>
          <w:bCs/>
        </w:rPr>
        <w:t xml:space="preserve">Comment: </w:t>
      </w:r>
      <w:r w:rsidRPr="00882C7D">
        <w:t>concentration of hydrochloric acid that is best? Adding "small amount" is a bit ambiguous</w:t>
      </w:r>
    </w:p>
    <w:p w14:paraId="11146C3B" w14:textId="350579D4" w:rsidR="00882C7D" w:rsidRDefault="00882C7D" w:rsidP="003968A5">
      <w:r>
        <w:rPr>
          <w:b/>
          <w:bCs/>
        </w:rPr>
        <w:lastRenderedPageBreak/>
        <w:t xml:space="preserve">Response: </w:t>
      </w:r>
      <w:r>
        <w:t>We have provided more accurate information on the volume and concentration of hydrochloric acid used.</w:t>
      </w:r>
    </w:p>
    <w:p w14:paraId="2E1F8ADD" w14:textId="0B1F19C1" w:rsidR="00882C7D" w:rsidRDefault="00882C7D" w:rsidP="003968A5"/>
    <w:p w14:paraId="432BAFF2" w14:textId="21F6F9DD" w:rsidR="00882C7D" w:rsidRDefault="00882C7D" w:rsidP="003968A5">
      <w:r>
        <w:rPr>
          <w:b/>
          <w:bCs/>
        </w:rPr>
        <w:t>Comment</w:t>
      </w:r>
      <w:r w:rsidRPr="00FD2677">
        <w:t xml:space="preserve">: </w:t>
      </w:r>
      <w:r w:rsidR="00FD2677" w:rsidRPr="00FD2677">
        <w:t>It is not clear where to leave the embryos after collecting them (HBSS?). Were embryos kept on ice throughout collection and midbrain dissection?</w:t>
      </w:r>
    </w:p>
    <w:p w14:paraId="5C47787A" w14:textId="61BCCADF" w:rsidR="002D0C2D" w:rsidRDefault="00FD2677" w:rsidP="003770B8">
      <w:r>
        <w:rPr>
          <w:b/>
          <w:bCs/>
        </w:rPr>
        <w:t xml:space="preserve">Response: </w:t>
      </w:r>
      <w:r w:rsidR="003770B8">
        <w:t>In</w:t>
      </w:r>
      <w:r w:rsidR="003770B8">
        <w:rPr>
          <w:b/>
          <w:bCs/>
        </w:rPr>
        <w:t xml:space="preserve"> </w:t>
      </w:r>
      <w:r w:rsidR="003770B8">
        <w:t>t</w:t>
      </w:r>
      <w:r>
        <w:t xml:space="preserve">he note at the beginning of </w:t>
      </w:r>
      <w:r w:rsidR="003770B8">
        <w:t xml:space="preserve">protocol step 3# we have added more descriptive information </w:t>
      </w:r>
      <w:r w:rsidR="00920E99">
        <w:t>as follows: “</w:t>
      </w:r>
      <w:r w:rsidR="00920E99">
        <w:rPr>
          <w:rFonts w:cstheme="minorHAnsi"/>
          <w:bCs/>
        </w:rPr>
        <w:t xml:space="preserve">To preserve cell viability all dissection solutions should </w:t>
      </w:r>
      <w:r w:rsidR="00920E99" w:rsidRPr="00660DD4">
        <w:rPr>
          <w:rFonts w:cstheme="minorHAnsi"/>
          <w:bCs/>
        </w:rPr>
        <w:t>be chilled at 4˚C, and dissections should be completed as quickly as possible. We do not perform the dissections on ice.”</w:t>
      </w:r>
      <w:r w:rsidR="00933472" w:rsidRPr="00660DD4">
        <w:rPr>
          <w:rFonts w:cstheme="minorHAnsi"/>
          <w:bCs/>
        </w:rPr>
        <w:t xml:space="preserve"> We have also clarified the method to preserve dissected embryos by adding the following statement in the manuscript “Embryos should be left in HBSS throughout this process”</w:t>
      </w:r>
    </w:p>
    <w:p w14:paraId="19E7493C" w14:textId="58F15405" w:rsidR="003770B8" w:rsidRDefault="003770B8" w:rsidP="003770B8"/>
    <w:p w14:paraId="3D3119C2" w14:textId="08F86DF3" w:rsidR="003770B8" w:rsidRDefault="003770B8" w:rsidP="003770B8">
      <w:r>
        <w:rPr>
          <w:b/>
          <w:bCs/>
        </w:rPr>
        <w:t>Comment</w:t>
      </w:r>
      <w:r w:rsidRPr="00FD2677">
        <w:t>:</w:t>
      </w:r>
      <w:r>
        <w:t xml:space="preserve"> </w:t>
      </w:r>
      <w:r w:rsidRPr="003770B8">
        <w:t>what is the control? Would it be a no glutamate addition, or no virus addition? Point 6.2 states two AAVs, but 6.1 only describes 1. This is confusing.</w:t>
      </w:r>
    </w:p>
    <w:p w14:paraId="3D9EB58E" w14:textId="1A6B5138" w:rsidR="003770B8" w:rsidRDefault="003770B8" w:rsidP="003770B8">
      <w:r>
        <w:rPr>
          <w:b/>
          <w:bCs/>
        </w:rPr>
        <w:t xml:space="preserve">Response: </w:t>
      </w:r>
      <w:r w:rsidR="001F5A61">
        <w:t xml:space="preserve">The control condition are cultures infected with the AAV but with no glutamate exposure. </w:t>
      </w:r>
      <w:r>
        <w:t xml:space="preserve">We apologize for </w:t>
      </w:r>
      <w:r w:rsidR="001F5A61">
        <w:t>the error</w:t>
      </w:r>
      <w:r>
        <w:t xml:space="preserve"> </w:t>
      </w:r>
      <w:r w:rsidR="001F5A61">
        <w:t>in</w:t>
      </w:r>
      <w:r>
        <w:t xml:space="preserve"> step 6.2 suggesting there are two AAVs. Only one AAV, hSyn-GCaMP6f was added and we have made changes to the protocol to reflect this. </w:t>
      </w:r>
    </w:p>
    <w:p w14:paraId="42A42BCA" w14:textId="2F30AAE4" w:rsidR="00B95F90" w:rsidRDefault="00B95F90" w:rsidP="003770B8"/>
    <w:p w14:paraId="7918C3BE" w14:textId="7870002B" w:rsidR="00B95F90" w:rsidRDefault="00B95F90" w:rsidP="003770B8">
      <w:r>
        <w:rPr>
          <w:b/>
          <w:bCs/>
        </w:rPr>
        <w:t>Comment</w:t>
      </w:r>
      <w:r w:rsidRPr="00FD2677">
        <w:t>:</w:t>
      </w:r>
      <w:r w:rsidR="00A72644">
        <w:t xml:space="preserve"> </w:t>
      </w:r>
      <w:r w:rsidR="00A72644" w:rsidRPr="00A72644">
        <w:t>How do researchers know if viral expression is ready after 5 or 7 days? Are there any steps for confirmation of effective viral expression? "Continue to change the medium every 2-3 days" does this mean during the 5-7 days of viral expression? If so this should be made clear</w:t>
      </w:r>
    </w:p>
    <w:p w14:paraId="7BC374BE" w14:textId="084B54CA" w:rsidR="00A72644" w:rsidRPr="00A72644" w:rsidRDefault="00A72644" w:rsidP="003770B8">
      <w:r>
        <w:rPr>
          <w:b/>
          <w:bCs/>
        </w:rPr>
        <w:t xml:space="preserve">Response: </w:t>
      </w:r>
      <w:r>
        <w:t xml:space="preserve">We have clarified </w:t>
      </w:r>
      <w:r w:rsidR="003A00F6">
        <w:t xml:space="preserve">the question by adding the following sentence to the </w:t>
      </w:r>
      <w:r w:rsidR="00660DD4">
        <w:t>manuscript</w:t>
      </w:r>
      <w:r w:rsidR="003A00F6">
        <w:t>: “</w:t>
      </w:r>
      <w:r w:rsidR="003A00F6" w:rsidRPr="00660DD4">
        <w:rPr>
          <w:rFonts w:cstheme="minorHAnsi"/>
          <w:bCs/>
        </w:rPr>
        <w:t>We have found that 5-7 days of AAV infection allows for ideal levels of GCaMP expression. Continue to change medium every 2-3 days throughout this period of viral infection</w:t>
      </w:r>
      <w:r w:rsidR="003A00F6">
        <w:rPr>
          <w:rFonts w:cstheme="minorHAnsi"/>
          <w:bCs/>
        </w:rPr>
        <w:t>”</w:t>
      </w:r>
      <w:r>
        <w:t xml:space="preserve">. </w:t>
      </w:r>
    </w:p>
    <w:p w14:paraId="22C87E60" w14:textId="0A986C05" w:rsidR="002D0C2D" w:rsidRPr="002D0C2D" w:rsidRDefault="002D0C2D" w:rsidP="002D0C2D">
      <w:pPr>
        <w:jc w:val="right"/>
        <w:rPr>
          <w:b/>
          <w:bCs/>
        </w:rPr>
      </w:pPr>
    </w:p>
    <w:p w14:paraId="294AA69D" w14:textId="1C269F5B" w:rsidR="003968A5" w:rsidRDefault="00E53088">
      <w:r>
        <w:rPr>
          <w:b/>
          <w:bCs/>
        </w:rPr>
        <w:t>Comment</w:t>
      </w:r>
      <w:r w:rsidRPr="00FD2677">
        <w:t>:</w:t>
      </w:r>
      <w:r>
        <w:t xml:space="preserve"> w</w:t>
      </w:r>
      <w:r w:rsidRPr="00E53088">
        <w:t>hy are 2 lasers being used during the calcium recording? Are they going to be recording different things or is this specific for the AAV used? As this part is not being conducted on cells that have been stained with different antibodies then why the two wavelengths. A general reader will not understand</w:t>
      </w:r>
    </w:p>
    <w:p w14:paraId="43DB4312" w14:textId="6F920756" w:rsidR="00ED6C75" w:rsidRDefault="00E53088">
      <w:r>
        <w:rPr>
          <w:b/>
          <w:bCs/>
        </w:rPr>
        <w:t xml:space="preserve">Response: </w:t>
      </w:r>
      <w:r>
        <w:t xml:space="preserve">Again we apologize for this mistake. Only was laser was used to visualize GCaMP and the protocol has been updated to reflect this. </w:t>
      </w:r>
    </w:p>
    <w:p w14:paraId="50305AAA" w14:textId="6A12FF4D" w:rsidR="00ED6C75" w:rsidRDefault="00ED6C75"/>
    <w:p w14:paraId="75D91B1D" w14:textId="28D79644" w:rsidR="00ED6C75" w:rsidRDefault="00ED6C75">
      <w:r>
        <w:rPr>
          <w:b/>
          <w:bCs/>
        </w:rPr>
        <w:t xml:space="preserve">Comment: </w:t>
      </w:r>
      <w:r w:rsidRPr="00ED6C75">
        <w:t>are there still 2 coverslips per 35mm dish at this point? How is the formalin addition managed at this point. If there are multiple coverslips being imaged are there any points at which the coverslips can be kept in solution (such as in PBS wash) so that staining canbe performed at the same time?</w:t>
      </w:r>
    </w:p>
    <w:p w14:paraId="71AC8864" w14:textId="1BC1E27D" w:rsidR="00ED6C75" w:rsidRPr="00660DD4" w:rsidRDefault="00ED6C75">
      <w:pPr>
        <w:rPr>
          <w:rFonts w:cstheme="minorHAnsi"/>
          <w:bCs/>
        </w:rPr>
      </w:pPr>
      <w:r>
        <w:rPr>
          <w:b/>
          <w:bCs/>
        </w:rPr>
        <w:lastRenderedPageBreak/>
        <w:t xml:space="preserve">Response: </w:t>
      </w:r>
      <w:r>
        <w:t>As mentioned in step 7.2.2. only one coverslip is brought down to the microscope at a time. We have made a few changes to this step to make this more clear. We have also modified step 7.2.15 to read, “</w:t>
      </w:r>
      <w:r w:rsidRPr="00660DD4">
        <w:rPr>
          <w:rFonts w:cstheme="minorHAnsi"/>
          <w:bCs/>
        </w:rPr>
        <w:t xml:space="preserve">Following the additional 5 min of 20 µM Glutamate exposure the coverslip can be removed from the bath and placed back into the 35mm petri dish containing recording buffer until the day of imaging is completed. When finished, proceed to step 8. Additionally, in the note following step 8 we have added the sentence, “Following fixation with formalin, coverslips can be stored in 1x PBS at 4°C until ready to be processed for immunostaining.  </w:t>
      </w:r>
      <w:r w:rsidR="00C339AB" w:rsidRPr="00660DD4">
        <w:rPr>
          <w:rFonts w:cstheme="minorHAnsi"/>
          <w:bCs/>
        </w:rPr>
        <w:t xml:space="preserve"> </w:t>
      </w:r>
    </w:p>
    <w:p w14:paraId="781A9B8A" w14:textId="2FCDFDF0" w:rsidR="00C339AB" w:rsidRPr="00660DD4" w:rsidRDefault="00C339AB">
      <w:pPr>
        <w:rPr>
          <w:rFonts w:cstheme="minorHAnsi"/>
          <w:bCs/>
        </w:rPr>
      </w:pPr>
    </w:p>
    <w:p w14:paraId="0C939CF5" w14:textId="186B19B4" w:rsidR="00C339AB" w:rsidRPr="00660DD4" w:rsidRDefault="00C339AB">
      <w:r w:rsidRPr="00660DD4">
        <w:rPr>
          <w:b/>
          <w:bCs/>
        </w:rPr>
        <w:t xml:space="preserve">Comment: </w:t>
      </w:r>
      <w:r w:rsidRPr="00660DD4">
        <w:t>anti-caspase-3 antibody is not a measure of excitotoxicity but a measure of apoptosis. Suggestion would be to alter this phrase to excitotoxicity-mediated apoptosis.</w:t>
      </w:r>
    </w:p>
    <w:p w14:paraId="5FC5C7A2" w14:textId="28E12C10" w:rsidR="009A1DC1" w:rsidRDefault="009A1DC1">
      <w:pPr>
        <w:rPr>
          <w:rFonts w:cstheme="minorHAnsi"/>
        </w:rPr>
      </w:pPr>
      <w:r w:rsidRPr="00660DD4">
        <w:rPr>
          <w:b/>
          <w:bCs/>
        </w:rPr>
        <w:t xml:space="preserve">Response: </w:t>
      </w:r>
      <w:r w:rsidRPr="00660DD4">
        <w:t>We agree with the reviewer that caspase-3 activation is a measure of apoptosis, not excitotoxicity. We have changed the sentence to read, “</w:t>
      </w:r>
      <w:r w:rsidRPr="00660DD4">
        <w:rPr>
          <w:rFonts w:cstheme="minorHAnsi"/>
        </w:rPr>
        <w:t>In addition to quantifying the Ca</w:t>
      </w:r>
      <w:r w:rsidRPr="00660DD4">
        <w:rPr>
          <w:rFonts w:cstheme="minorHAnsi"/>
          <w:vertAlign w:val="superscript"/>
        </w:rPr>
        <w:t xml:space="preserve">2+ </w:t>
      </w:r>
      <w:r w:rsidRPr="00660DD4">
        <w:rPr>
          <w:rFonts w:cstheme="minorHAnsi"/>
        </w:rPr>
        <w:t>response to glutamate treatment, we fixed and stained samples with an anti-caspase-3 antibody as a measure of glutamate-mediated apoptosis.”</w:t>
      </w:r>
      <w:r w:rsidR="009D4E4B">
        <w:rPr>
          <w:rFonts w:cstheme="minorHAnsi"/>
        </w:rPr>
        <w:t xml:space="preserve"> We have also reworded the manuscript to state “glutamate-mediated apoptosis” rather than “glutamate-mediated excitotoxicity”</w:t>
      </w:r>
    </w:p>
    <w:p w14:paraId="104EC713" w14:textId="3937EA1C" w:rsidR="00882DFE" w:rsidRDefault="00882DFE">
      <w:pPr>
        <w:rPr>
          <w:rFonts w:cstheme="minorHAnsi"/>
        </w:rPr>
      </w:pPr>
    </w:p>
    <w:p w14:paraId="3A03273D" w14:textId="77777777" w:rsidR="00882DFE" w:rsidRDefault="00882DFE">
      <w:r>
        <w:rPr>
          <w:rFonts w:cstheme="minorHAnsi"/>
          <w:b/>
          <w:bCs/>
        </w:rPr>
        <w:t xml:space="preserve">Comment: </w:t>
      </w:r>
      <w:r>
        <w:t>"as we can study the cell type specific effects of glutamate-mediated excitotoxicity in dopaminergic neurons directly." Have the authors examined the purity of the cultures for dopamine neurons? Only the apoptosis was confirmed in TH positive cells. Without purity information is it possible the calcium imaging is picking up differences in non dopaminergic cells?</w:t>
      </w:r>
    </w:p>
    <w:p w14:paraId="5F1B8D61" w14:textId="5438CFEC" w:rsidR="001C7FFC" w:rsidRDefault="00882DFE">
      <w:r>
        <w:rPr>
          <w:b/>
          <w:bCs/>
        </w:rPr>
        <w:t>Response:</w:t>
      </w:r>
      <w:r>
        <w:t xml:space="preserve"> We appreciate this insight and while yes, the cultures are not pure, we have addressed this issue </w:t>
      </w:r>
      <w:r w:rsidR="000301F5">
        <w:t xml:space="preserve">in </w:t>
      </w:r>
      <w:r>
        <w:t>lines 588-592, “</w:t>
      </w:r>
      <w:r w:rsidRPr="00660DD4">
        <w:rPr>
          <w:rFonts w:cstheme="minorHAnsi"/>
        </w:rPr>
        <w:t xml:space="preserve">As we have particular interest in excitotoxicity within the context of Parkinson’s disease, using primary VM cell cultures is ideal. By using different field relocation techniques, such as </w:t>
      </w:r>
      <w:r w:rsidRPr="00F10370">
        <w:rPr>
          <w:rFonts w:cstheme="minorHAnsi"/>
        </w:rPr>
        <w:t>grid</w:t>
      </w:r>
      <w:r w:rsidR="00AC0B7A" w:rsidRPr="00F10370">
        <w:rPr>
          <w:rFonts w:cstheme="minorHAnsi"/>
        </w:rPr>
        <w:t>d</w:t>
      </w:r>
      <w:r w:rsidRPr="00F10370">
        <w:rPr>
          <w:rFonts w:cstheme="minorHAnsi"/>
        </w:rPr>
        <w:t>ed</w:t>
      </w:r>
      <w:r w:rsidRPr="00660DD4">
        <w:rPr>
          <w:rFonts w:cstheme="minorHAnsi"/>
        </w:rPr>
        <w:t xml:space="preserve"> coverslips or a motorized XY microscope stage combined with TH immunostaining, we can directly study the cell type specific effects of glutamate-mediated excitotoxicity in DA neurons.”</w:t>
      </w:r>
      <w:r>
        <w:rPr>
          <w:rFonts w:cstheme="minorHAnsi"/>
        </w:rPr>
        <w:t xml:space="preserve"> While we did not differentiate cell type for calcium imaging data in this study we outline above how this can be achieved. </w:t>
      </w:r>
      <w:r>
        <w:br/>
      </w:r>
    </w:p>
    <w:p w14:paraId="3D246948" w14:textId="4C8B20F7" w:rsidR="001C7FFC" w:rsidRDefault="001C7FFC">
      <w:r>
        <w:rPr>
          <w:b/>
          <w:bCs/>
        </w:rPr>
        <w:t xml:space="preserve">Comments: </w:t>
      </w:r>
      <w:r w:rsidRPr="001C7FFC">
        <w:t>Is a 2 week period considered a long-term cell experiment, given this timeframe is standard for neurons. Can the authors clarify what they mean by "shorter-term" methods and provide a more appropriate reference as current reference used describes a 3 week protocol.</w:t>
      </w:r>
    </w:p>
    <w:p w14:paraId="107C7ACD" w14:textId="132A8560" w:rsidR="001C7FFC" w:rsidRDefault="001C7FFC">
      <w:r>
        <w:rPr>
          <w:b/>
          <w:bCs/>
        </w:rPr>
        <w:t xml:space="preserve">Response: </w:t>
      </w:r>
      <w:r>
        <w:t>We apologize for the confusion and have reworded this section for clarity</w:t>
      </w:r>
      <w:r w:rsidR="00E44D63">
        <w:t>, “</w:t>
      </w:r>
      <w:r w:rsidR="00E44D63" w:rsidRPr="00791348">
        <w:rPr>
          <w:rFonts w:cstheme="minorHAnsi"/>
        </w:rPr>
        <w:t xml:space="preserve">Additionally, our 3-week cell culture model allows for neurons to develop their full, mature molecular profile, reflecting adult DA neurons </w:t>
      </w:r>
      <w:r w:rsidR="00E44D63" w:rsidRPr="00791348">
        <w:rPr>
          <w:rFonts w:cstheme="minorHAnsi"/>
        </w:rPr>
        <w:fldChar w:fldCharType="begin">
          <w:fldData xml:space="preserve">PEVuZE5vdGU+PENpdGU+PEF1dGhvcj5TcmluaXZhc2FuPC9BdXRob3I+PFllYXI+MjAxNjwvWWVh
cj48UmVjTnVtPjczMDwvUmVjTnVtPjxEaXNwbGF5VGV4dD48c3R5bGUgZmFjZT0ic3VwZXJzY3Jp
cHQiPjk8L3N0eWxlPjwvRGlzcGxheVRleHQ+PHJlY29yZD48cmVjLW51bWJlcj43MzA8L3JlYy1u
dW1iZXI+PGZvcmVpZ24ta2V5cz48a2V5IGFwcD0iRU4iIGRiLWlkPSI5ZjBhd3M1Zng5MnR6MWV6
emFweGE1ZmJkYTVyenI1MDV0YXAiIHRpbWVzdGFtcD0iMTU4NDM5MjE2NSI+NzMwPC9rZXk+PC9m
b3JlaWduLWtleXM+PHJlZi10eXBlIG5hbWU9IkpvdXJuYWwgQXJ0aWNsZSI+MTc8L3JlZi10eXBl
Pjxjb250cmlidXRvcnM+PGF1dGhvcnM+PGF1dGhvcj5TcmluaXZhc2FuLCBSLjwvYXV0aG9yPjxh
dXRob3I+SGVubGV5LCBCLiBNLjwvYXV0aG9yPjxhdXRob3I+SGVuZGVyc29uLCBCLiBKLjwvYXV0
aG9yPjxhdXRob3I+SW5kZXJzbWl0dGVuLCBULjwvYXV0aG9yPjxhdXRob3I+Q29oZW4sIEIuIE4u
PC9hdXRob3I+PGF1dGhvcj5LaW0sIEMuIEguPC9hdXRob3I+PGF1dGhvcj5NY0tpbm5leSwgUy48
L2F1dGhvcj48YXV0aG9yPkRlc2hwYW5kZSwgUC48L2F1dGhvcj48YXV0aG9yPlhpYW8sIEMuPC9h
dXRob3I+PGF1dGhvcj5MZXN0ZXIsIEguIEEuPC9hdXRob3I+PC9hdXRob3JzPjwvY29udHJpYnV0
b3JzPjxhdXRoLWFkZHJlc3M+RGl2aXNpb24gb2YgQmlvbG9neSBhbmQgQmlvbG9naWNhbCBFbmdp
bmVlcmluZywgQ2FsaWZvcm5pYSBJbnN0aXR1dGUgb2YgVGVjaG5vbG9neSwgUGFzYWRlbmEsIENh
bGlmb3JuaWEgOTExMjUuJiN4RDtEaXZpc2lvbiBvZiBCaW9sb2d5IGFuZCBCaW9sb2dpY2FsIEVu
Z2luZWVyaW5nLCBDYWxpZm9ybmlhIEluc3RpdHV0ZSBvZiBUZWNobm9sb2d5LCBQYXNhZGVuYSwg
Q2FsaWZvcm5pYSA5MTEyNSBsZXN0ZXJAY2FsdGVjaC5lZHUuPC9hdXRoLWFkZHJlc3M+PHRpdGxl
cz48dGl0bGU+U21va2luZy1SZWxldmFudCBOaWNvdGluZSBDb25jZW50cmF0aW9uIEF0dGVudWF0
ZXMgdGhlIFVuZm9sZGVkIFByb3RlaW4gUmVzcG9uc2UgaW4gRG9wYW1pbmVyZ2ljIE5ldXJvbnM8
L3RpdGxlPjxzZWNvbmRhcnktdGl0bGU+SiBOZXVyb3NjaTwvc2Vjb25kYXJ5LXRpdGxlPjwvdGl0
bGVzPjxwZXJpb2RpY2FsPjxmdWxsLXRpdGxlPkogTmV1cm9zY2k8L2Z1bGwtdGl0bGU+PC9wZXJp
b2RpY2FsPjxwYWdlcz42NS03OTwvcGFnZXM+PHZvbHVtZT4zNjwvdm9sdW1lPjxudW1iZXI+MTwv
bnVtYmVyPjxlZGl0aW9uPjIwMTYvMDEvMDg8L2VkaXRpb24+PGtleXdvcmRzPjxrZXl3b3JkPkFj
dGlvbiBQb3RlbnRpYWxzL2RydWcgZWZmZWN0cy8qcGh5c2lvbG9neTwva2V5d29yZD48a2V5d29y
ZD5BbmltYWxzPC9rZXl3b3JkPjxrZXl3b3JkPkNlbGxzLCBDdWx0dXJlZDwva2V5d29yZD48a2V5
d29yZD5Eb3BhbWluZXJnaWMgTmV1cm9ucy9kcnVnIGVmZmVjdHMvKnBoeXNpb2xvZ3k8L2tleXdv
cmQ+PGtleXdvcmQ+RG9zZS1SZXNwb25zZSBSZWxhdGlvbnNoaXAsIERydWc8L2tleXdvcmQ+PGtl
eXdvcmQ+RmVtYWxlPC9rZXl3b3JkPjxrZXl3b3JkPk1hbGU8L2tleXdvcmQ+PGtleXdvcmQ+TWlj
ZTwva2V5d29yZD48a2V5d29yZD5NaWNlLCBJbmJyZWQgQzU3Qkw8L2tleXdvcmQ+PGtleXdvcmQ+
TmV1cm9wcm90ZWN0aXZlIEFnZW50cy9hZG1pbmlzdHJhdGlvbiAmYW1wOyBkb3NhZ2U8L2tleXdv
cmQ+PGtleXdvcmQ+Tmljb3RpbmUvKmFkbWluaXN0cmF0aW9uICZhbXA7IGRvc2FnZTwva2V5d29y
ZD48a2V5d29yZD4qU21va2U8L2tleXdvcmQ+PGtleXdvcmQ+VG9iYWNjby8qY2hlbWlzdHJ5PC9r
ZXl3b3JkPjxrZXl3b3JkPlVuZm9sZGVkIFByb3RlaW4gUmVzcG9uc2UvZHJ1ZyBlZmZlY3RzLypw
aHlzaW9sb2d5PC9rZXl3b3JkPjxrZXl3b3JkPkNob3A8L2tleXdvcmQ+PGtleXdvcmQ+UGVyazwv
a2V5d29yZD48a2V5d29yZD5QYXJraW5zb24mYXBvcztzIGRpc2Vhc2U8L2tleXdvcmQ+PGtleXdv
cmQ+WGJwMTwva2V5d29yZD48a2V5d29yZD5laWYyYWxwaGE8L2tleXdvcmQ+PGtleXdvcmQ+bmV1
cm9wcm90ZWN0aW9uPC9rZXl3b3JkPjwva2V5d29yZHM+PGRhdGVzPjx5ZWFyPjIwMTY8L3llYXI+
PHB1Yi1kYXRlcz48ZGF0ZT5KYW4gNjwvZGF0ZT48L3B1Yi1kYXRlcz48L2RhdGVzPjxpc2JuPjE1
MjktMjQwMSAoRWxlY3Ryb25pYykmI3hEOzAyNzAtNjQ3NCAoTGlua2luZyk8L2lzYm4+PGFjY2Vz
c2lvbi1udW0+MjY3NDA2NTA8L2FjY2Vzc2lvbi1udW0+PHVybHM+PHJlbGF0ZWQtdXJscz48dXJs
Pmh0dHBzOi8vd3d3Lm5jYmkubmxtLm5paC5nb3YvcHVibWVkLzI2NzQwNjUwPC91cmw+PC9yZWxh
dGVkLXVybHM+PC91cmxzPjxjdXN0b20yPlBNQzQ3MDE5NjY8L2N1c3RvbTI+PGVsZWN0cm9uaWMt
cmVzb3VyY2UtbnVtPjEwLjE1MjMvSk5FVVJPU0NJLjIxMjYtMTUuMjAxNjwvZWxlY3Ryb25pYy1y
ZXNvdXJjZS1udW0+PC9yZWNvcmQ+PC9DaXRlPjwvRW5kTm90ZT4A
</w:fldData>
        </w:fldChar>
      </w:r>
      <w:r w:rsidR="00E44D63" w:rsidRPr="00791348">
        <w:rPr>
          <w:rFonts w:cstheme="minorHAnsi"/>
        </w:rPr>
        <w:instrText xml:space="preserve"> ADDIN EN.CITE </w:instrText>
      </w:r>
      <w:r w:rsidR="00E44D63" w:rsidRPr="00791348">
        <w:rPr>
          <w:rFonts w:cstheme="minorHAnsi"/>
        </w:rPr>
        <w:fldChar w:fldCharType="begin">
          <w:fldData xml:space="preserve">PEVuZE5vdGU+PENpdGU+PEF1dGhvcj5TcmluaXZhc2FuPC9BdXRob3I+PFllYXI+MjAxNjwvWWVh
cj48UmVjTnVtPjczMDwvUmVjTnVtPjxEaXNwbGF5VGV4dD48c3R5bGUgZmFjZT0ic3VwZXJzY3Jp
cHQiPjk8L3N0eWxlPjwvRGlzcGxheVRleHQ+PHJlY29yZD48cmVjLW51bWJlcj43MzA8L3JlYy1u
dW1iZXI+PGZvcmVpZ24ta2V5cz48a2V5IGFwcD0iRU4iIGRiLWlkPSI5ZjBhd3M1Zng5MnR6MWV6
emFweGE1ZmJkYTVyenI1MDV0YXAiIHRpbWVzdGFtcD0iMTU4NDM5MjE2NSI+NzMwPC9rZXk+PC9m
b3JlaWduLWtleXM+PHJlZi10eXBlIG5hbWU9IkpvdXJuYWwgQXJ0aWNsZSI+MTc8L3JlZi10eXBl
Pjxjb250cmlidXRvcnM+PGF1dGhvcnM+PGF1dGhvcj5TcmluaXZhc2FuLCBSLjwvYXV0aG9yPjxh
dXRob3I+SGVubGV5LCBCLiBNLjwvYXV0aG9yPjxhdXRob3I+SGVuZGVyc29uLCBCLiBKLjwvYXV0
aG9yPjxhdXRob3I+SW5kZXJzbWl0dGVuLCBULjwvYXV0aG9yPjxhdXRob3I+Q29oZW4sIEIuIE4u
PC9hdXRob3I+PGF1dGhvcj5LaW0sIEMuIEguPC9hdXRob3I+PGF1dGhvcj5NY0tpbm5leSwgUy48
L2F1dGhvcj48YXV0aG9yPkRlc2hwYW5kZSwgUC48L2F1dGhvcj48YXV0aG9yPlhpYW8sIEMuPC9h
dXRob3I+PGF1dGhvcj5MZXN0ZXIsIEguIEEuPC9hdXRob3I+PC9hdXRob3JzPjwvY29udHJpYnV0
b3JzPjxhdXRoLWFkZHJlc3M+RGl2aXNpb24gb2YgQmlvbG9neSBhbmQgQmlvbG9naWNhbCBFbmdp
bmVlcmluZywgQ2FsaWZvcm5pYSBJbnN0aXR1dGUgb2YgVGVjaG5vbG9neSwgUGFzYWRlbmEsIENh
bGlmb3JuaWEgOTExMjUuJiN4RDtEaXZpc2lvbiBvZiBCaW9sb2d5IGFuZCBCaW9sb2dpY2FsIEVu
Z2luZWVyaW5nLCBDYWxpZm9ybmlhIEluc3RpdHV0ZSBvZiBUZWNobm9sb2d5LCBQYXNhZGVuYSwg
Q2FsaWZvcm5pYSA5MTEyNSBsZXN0ZXJAY2FsdGVjaC5lZHUuPC9hdXRoLWFkZHJlc3M+PHRpdGxl
cz48dGl0bGU+U21va2luZy1SZWxldmFudCBOaWNvdGluZSBDb25jZW50cmF0aW9uIEF0dGVudWF0
ZXMgdGhlIFVuZm9sZGVkIFByb3RlaW4gUmVzcG9uc2UgaW4gRG9wYW1pbmVyZ2ljIE5ldXJvbnM8
L3RpdGxlPjxzZWNvbmRhcnktdGl0bGU+SiBOZXVyb3NjaTwvc2Vjb25kYXJ5LXRpdGxlPjwvdGl0
bGVzPjxwZXJpb2RpY2FsPjxmdWxsLXRpdGxlPkogTmV1cm9zY2k8L2Z1bGwtdGl0bGU+PC9wZXJp
b2RpY2FsPjxwYWdlcz42NS03OTwvcGFnZXM+PHZvbHVtZT4zNjwvdm9sdW1lPjxudW1iZXI+MTwv
bnVtYmVyPjxlZGl0aW9uPjIwMTYvMDEvMDg8L2VkaXRpb24+PGtleXdvcmRzPjxrZXl3b3JkPkFj
dGlvbiBQb3RlbnRpYWxzL2RydWcgZWZmZWN0cy8qcGh5c2lvbG9neTwva2V5d29yZD48a2V5d29y
ZD5BbmltYWxzPC9rZXl3b3JkPjxrZXl3b3JkPkNlbGxzLCBDdWx0dXJlZDwva2V5d29yZD48a2V5
d29yZD5Eb3BhbWluZXJnaWMgTmV1cm9ucy9kcnVnIGVmZmVjdHMvKnBoeXNpb2xvZ3k8L2tleXdv
cmQ+PGtleXdvcmQ+RG9zZS1SZXNwb25zZSBSZWxhdGlvbnNoaXAsIERydWc8L2tleXdvcmQ+PGtl
eXdvcmQ+RmVtYWxlPC9rZXl3b3JkPjxrZXl3b3JkPk1hbGU8L2tleXdvcmQ+PGtleXdvcmQ+TWlj
ZTwva2V5d29yZD48a2V5d29yZD5NaWNlLCBJbmJyZWQgQzU3Qkw8L2tleXdvcmQ+PGtleXdvcmQ+
TmV1cm9wcm90ZWN0aXZlIEFnZW50cy9hZG1pbmlzdHJhdGlvbiAmYW1wOyBkb3NhZ2U8L2tleXdv
cmQ+PGtleXdvcmQ+Tmljb3RpbmUvKmFkbWluaXN0cmF0aW9uICZhbXA7IGRvc2FnZTwva2V5d29y
ZD48a2V5d29yZD4qU21va2U8L2tleXdvcmQ+PGtleXdvcmQ+VG9iYWNjby8qY2hlbWlzdHJ5PC9r
ZXl3b3JkPjxrZXl3b3JkPlVuZm9sZGVkIFByb3RlaW4gUmVzcG9uc2UvZHJ1ZyBlZmZlY3RzLypw
aHlzaW9sb2d5PC9rZXl3b3JkPjxrZXl3b3JkPkNob3A8L2tleXdvcmQ+PGtleXdvcmQ+UGVyazwv
a2V5d29yZD48a2V5d29yZD5QYXJraW5zb24mYXBvcztzIGRpc2Vhc2U8L2tleXdvcmQ+PGtleXdv
cmQ+WGJwMTwva2V5d29yZD48a2V5d29yZD5laWYyYWxwaGE8L2tleXdvcmQ+PGtleXdvcmQ+bmV1
cm9wcm90ZWN0aW9uPC9rZXl3b3JkPjwva2V5d29yZHM+PGRhdGVzPjx5ZWFyPjIwMTY8L3llYXI+
PHB1Yi1kYXRlcz48ZGF0ZT5KYW4gNjwvZGF0ZT48L3B1Yi1kYXRlcz48L2RhdGVzPjxpc2JuPjE1
MjktMjQwMSAoRWxlY3Ryb25pYykmI3hEOzAyNzAtNjQ3NCAoTGlua2luZyk8L2lzYm4+PGFjY2Vz
c2lvbi1udW0+MjY3NDA2NTA8L2FjY2Vzc2lvbi1udW0+PHVybHM+PHJlbGF0ZWQtdXJscz48dXJs
Pmh0dHBzOi8vd3d3Lm5jYmkubmxtLm5paC5nb3YvcHVibWVkLzI2NzQwNjUwPC91cmw+PC9yZWxh
dGVkLXVybHM+PC91cmxzPjxjdXN0b20yPlBNQzQ3MDE5NjY8L2N1c3RvbTI+PGVsZWN0cm9uaWMt
cmVzb3VyY2UtbnVtPjEwLjE1MjMvSk5FVVJPU0NJLjIxMjYtMTUuMjAxNjwvZWxlY3Ryb25pYy1y
ZXNvdXJjZS1udW0+PC9yZWNvcmQ+PC9DaXRlPjwvRW5kTm90ZT4A
</w:fldData>
        </w:fldChar>
      </w:r>
      <w:r w:rsidR="00E44D63" w:rsidRPr="00791348">
        <w:rPr>
          <w:rFonts w:cstheme="minorHAnsi"/>
        </w:rPr>
        <w:instrText xml:space="preserve"> ADDIN EN.CITE.DATA </w:instrText>
      </w:r>
      <w:r w:rsidR="00E44D63" w:rsidRPr="00791348">
        <w:rPr>
          <w:rFonts w:cstheme="minorHAnsi"/>
        </w:rPr>
      </w:r>
      <w:r w:rsidR="00E44D63" w:rsidRPr="00791348">
        <w:rPr>
          <w:rFonts w:cstheme="minorHAnsi"/>
        </w:rPr>
        <w:fldChar w:fldCharType="end"/>
      </w:r>
      <w:r w:rsidR="00E44D63" w:rsidRPr="00791348">
        <w:rPr>
          <w:rFonts w:cstheme="minorHAnsi"/>
        </w:rPr>
      </w:r>
      <w:r w:rsidR="00E44D63" w:rsidRPr="00791348">
        <w:rPr>
          <w:rFonts w:cstheme="minorHAnsi"/>
        </w:rPr>
        <w:fldChar w:fldCharType="separate"/>
      </w:r>
      <w:r w:rsidR="00E44D63" w:rsidRPr="00791348">
        <w:rPr>
          <w:rFonts w:cstheme="minorHAnsi"/>
          <w:noProof/>
          <w:vertAlign w:val="superscript"/>
        </w:rPr>
        <w:t>9</w:t>
      </w:r>
      <w:r w:rsidR="00E44D63" w:rsidRPr="00791348">
        <w:rPr>
          <w:rFonts w:cstheme="minorHAnsi"/>
        </w:rPr>
        <w:fldChar w:fldCharType="end"/>
      </w:r>
      <w:r w:rsidR="00E44D63">
        <w:rPr>
          <w:rFonts w:cstheme="minorHAnsi"/>
        </w:rPr>
        <w:t>”.</w:t>
      </w:r>
      <w:r>
        <w:t xml:space="preserve"> The protocol we describe here takes place across 3-weeks. As PD typically manifests late in life, more mature neurons would be most reflective of the PD condition. Based on the reference listed, at 3 weeks </w:t>
      </w:r>
      <w:r w:rsidRPr="001C7FFC">
        <w:rPr>
          <w:i/>
          <w:iCs/>
        </w:rPr>
        <w:t>in vitro</w:t>
      </w:r>
      <w:r>
        <w:t xml:space="preserve"> the neurons have fully matured and contain</w:t>
      </w:r>
      <w:r w:rsidR="00F62754">
        <w:t xml:space="preserve"> the molecular machinery of a typical adult neuron. </w:t>
      </w:r>
    </w:p>
    <w:p w14:paraId="614B6CAB" w14:textId="2594D030" w:rsidR="00662970" w:rsidRDefault="00662970"/>
    <w:p w14:paraId="6A8CFE9F" w14:textId="77777777" w:rsidR="007A2131" w:rsidRDefault="007A2131" w:rsidP="00662970">
      <w:pPr>
        <w:rPr>
          <w:b/>
          <w:bCs/>
        </w:rPr>
      </w:pPr>
    </w:p>
    <w:p w14:paraId="76BCCEC0" w14:textId="460C8D13" w:rsidR="00662970" w:rsidRDefault="00662970" w:rsidP="00662970">
      <w:pPr>
        <w:rPr>
          <w:b/>
          <w:bCs/>
        </w:rPr>
      </w:pPr>
      <w:r w:rsidRPr="00375B0F">
        <w:rPr>
          <w:b/>
          <w:bCs/>
        </w:rPr>
        <w:lastRenderedPageBreak/>
        <w:t>Reviewer #</w:t>
      </w:r>
      <w:r>
        <w:rPr>
          <w:b/>
          <w:bCs/>
        </w:rPr>
        <w:t>4</w:t>
      </w:r>
      <w:r w:rsidRPr="00375B0F">
        <w:rPr>
          <w:b/>
          <w:bCs/>
        </w:rPr>
        <w:t xml:space="preserve"> comments:</w:t>
      </w:r>
    </w:p>
    <w:p w14:paraId="4F7253C4" w14:textId="6B95F204" w:rsidR="00662970" w:rsidRDefault="00662970" w:rsidP="00662970">
      <w:r>
        <w:rPr>
          <w:b/>
          <w:bCs/>
        </w:rPr>
        <w:t xml:space="preserve">Comment: </w:t>
      </w:r>
      <w:r w:rsidRPr="00662970">
        <w:t>The cultures contain both GABAergic and dopaminergic neurons, all of which are expressing GCaMP after infection. Both cell types can pace spontaneously and respond to glutamate. Furthermore, you have at least two types of dopamine neurons, those of the VTA and those of the SNc. Those dopamine neurons are fundamentally different in their calcium handling and sensitivity to excitotoxicity. Dopamine neurons of the SNc are sensitive to calcium dependent apoptosis while those of the VTA are resistant. Therefore, the results of the calcium imaging part of the experiment is from a mixture of three different populations of neurons.</w:t>
      </w:r>
    </w:p>
    <w:p w14:paraId="72726D19" w14:textId="0768DED9" w:rsidR="00662970" w:rsidRDefault="00662970" w:rsidP="00662970">
      <w:r>
        <w:rPr>
          <w:b/>
          <w:bCs/>
        </w:rPr>
        <w:t xml:space="preserve">Response: </w:t>
      </w:r>
      <w:r>
        <w:t xml:space="preserve">We appreciate your insight and are aware of this limitation. To address the </w:t>
      </w:r>
      <w:r w:rsidR="007A2131">
        <w:t>issue of differentiating GABAer</w:t>
      </w:r>
      <w:r>
        <w:t>gic neurons, we have added a brief explanation of possible methods to differentiate DA vs. GABA neurons, “</w:t>
      </w:r>
      <w:r w:rsidR="00D41FB1" w:rsidRPr="00791348">
        <w:rPr>
          <w:rFonts w:cstheme="minorHAnsi"/>
        </w:rPr>
        <w:t xml:space="preserve">By using different field relocation techniques, such as </w:t>
      </w:r>
      <w:r w:rsidR="00D41FB1" w:rsidRPr="00F10370">
        <w:rPr>
          <w:rFonts w:cstheme="minorHAnsi"/>
        </w:rPr>
        <w:t>grid</w:t>
      </w:r>
      <w:r w:rsidR="00AC0B7A" w:rsidRPr="00F10370">
        <w:rPr>
          <w:rFonts w:cstheme="minorHAnsi"/>
        </w:rPr>
        <w:t>d</w:t>
      </w:r>
      <w:r w:rsidR="00D41FB1" w:rsidRPr="00F10370">
        <w:rPr>
          <w:rFonts w:cstheme="minorHAnsi"/>
        </w:rPr>
        <w:t>ed</w:t>
      </w:r>
      <w:r w:rsidR="00D41FB1" w:rsidRPr="008F2B7A">
        <w:rPr>
          <w:rFonts w:cstheme="minorHAnsi"/>
          <w:highlight w:val="cyan"/>
        </w:rPr>
        <w:t xml:space="preserve"> </w:t>
      </w:r>
      <w:r w:rsidR="00D41FB1" w:rsidRPr="00791348">
        <w:rPr>
          <w:rFonts w:cstheme="minorHAnsi"/>
        </w:rPr>
        <w:t>coverslips or a motorized XY microscope stage combined with TH immunostaining, we can directly study the cell type specific effects of glutamate-mediated excitotoxicity in DA neurons.</w:t>
      </w:r>
      <w:r w:rsidR="00D41FB1" w:rsidRPr="00791348">
        <w:t>”</w:t>
      </w:r>
      <w:r w:rsidR="00D41FB1">
        <w:t xml:space="preserve"> Unfortunately with the dissection technique we use it is </w:t>
      </w:r>
      <w:r w:rsidR="007C2566">
        <w:t xml:space="preserve">near </w:t>
      </w:r>
      <w:r w:rsidR="00D41FB1">
        <w:t xml:space="preserve">impossible to differentiate SNc vs VTA DA neurons in our cultures. We agree that this is one of the main limitations as their physiology is quite distinct. </w:t>
      </w:r>
      <w:r w:rsidR="007C2566">
        <w:t>We have added the following passage to address this, “</w:t>
      </w:r>
      <w:r w:rsidR="007C2566" w:rsidRPr="00791348">
        <w:t>O</w:t>
      </w:r>
      <w:bookmarkStart w:id="1" w:name="_GoBack"/>
      <w:bookmarkEnd w:id="1"/>
      <w:r w:rsidR="007C2566" w:rsidRPr="00791348">
        <w:t>ne limitation of our primary culture model i</w:t>
      </w:r>
      <w:r w:rsidR="007A2131">
        <w:t>s that our dissection technique</w:t>
      </w:r>
      <w:r w:rsidR="007C2566" w:rsidRPr="00791348">
        <w:t xml:space="preserve"> captures the entire ventral midbrain, including </w:t>
      </w:r>
      <w:r w:rsidR="007A2131">
        <w:t xml:space="preserve">DA and GABAergic neurons as well as neurons from </w:t>
      </w:r>
      <w:r w:rsidR="007C2566" w:rsidRPr="00791348">
        <w:t>the SNc and VTA. Evidence now suggests that DA neurons of the SNc have selective vulnerability to calcium and eventual cell death compared to DA neurons of the neighboring VTA {Surmeier, 2017}.</w:t>
      </w:r>
      <w:r w:rsidR="007A2131">
        <w:t>”</w:t>
      </w:r>
      <w:r w:rsidR="007C2566" w:rsidRPr="00791348">
        <w:t xml:space="preserve"> Differentiating SNc from VTA neurons in embryonic cultures has proven difficult with few anatomical landmarks to define these structures in the embryonic brain.</w:t>
      </w:r>
    </w:p>
    <w:p w14:paraId="7C0DA24F" w14:textId="3218B7DF" w:rsidR="007C2566" w:rsidRDefault="007C2566" w:rsidP="00662970"/>
    <w:p w14:paraId="7952B38F" w14:textId="40149D95" w:rsidR="007C2566" w:rsidRDefault="007C2566" w:rsidP="00662970">
      <w:r>
        <w:rPr>
          <w:b/>
          <w:bCs/>
        </w:rPr>
        <w:t>Comment</w:t>
      </w:r>
      <w:r w:rsidRPr="001E5BEC">
        <w:t>: In lines 522-525 "Together………in the same cells", suggests that the same cells measured in the calcium imaging were measured for caspase-3 and TH positive. By the description in the protocol, it is not clear that the same cells/fields of view were aligned and measured for calcium signal, caspase-3 fluorescence and tyrosine hydroxylase fluorescence. Unless you are aligning the same cells in the calcium images and caspase-3/TH images, the dopamine neuron signals of the calcium imaging cannot be separated from those of the GABA (see 1). Please clarify if "the same cells" are the exact same cells/fields of view or if they are just from the same coverslip.</w:t>
      </w:r>
    </w:p>
    <w:p w14:paraId="71EE3B63" w14:textId="0ED0142D" w:rsidR="001E5BEC" w:rsidRPr="00A65C30" w:rsidRDefault="001E5BEC" w:rsidP="00662970">
      <w:r>
        <w:rPr>
          <w:b/>
          <w:bCs/>
        </w:rPr>
        <w:t xml:space="preserve">Response: </w:t>
      </w:r>
      <w:r w:rsidR="00A65C30">
        <w:t>We apologize and agree that this sentence is confusing. We have now changed the sentence to read, “</w:t>
      </w:r>
      <w:r w:rsidR="00A65C30" w:rsidRPr="00791348">
        <w:rPr>
          <w:rFonts w:cstheme="minorHAnsi"/>
        </w:rPr>
        <w:t>Together, these results demonstrate a high-content framework in which apoptosis of neurons can be measured by quantifying Ca</w:t>
      </w:r>
      <w:r w:rsidR="00A65C30" w:rsidRPr="00791348">
        <w:rPr>
          <w:rFonts w:cstheme="minorHAnsi"/>
          <w:vertAlign w:val="superscript"/>
        </w:rPr>
        <w:t>2+</w:t>
      </w:r>
      <w:r w:rsidR="00A65C30" w:rsidRPr="00791348">
        <w:rPr>
          <w:rFonts w:cstheme="minorHAnsi"/>
        </w:rPr>
        <w:t xml:space="preserve"> responses to excitotoxic agents and followed up with an analysis of downstream apoptotic events such as caspase-3 activation </w:t>
      </w:r>
      <w:r w:rsidR="00A65C30" w:rsidRPr="00CF611C">
        <w:rPr>
          <w:rFonts w:cstheme="minorHAnsi"/>
          <w:u w:val="single"/>
        </w:rPr>
        <w:t>in the same set of cultures</w:t>
      </w:r>
      <w:r w:rsidR="00A65C30" w:rsidRPr="00791348">
        <w:rPr>
          <w:rFonts w:cstheme="minorHAnsi"/>
        </w:rPr>
        <w:t>.</w:t>
      </w:r>
      <w:r w:rsidR="00A65C30">
        <w:rPr>
          <w:rFonts w:cstheme="minorHAnsi"/>
        </w:rPr>
        <w:t>” As mentioned in the above comment, we discus possibilities to allow for alignment of Ca</w:t>
      </w:r>
      <w:r w:rsidR="00A65C30" w:rsidRPr="00A65C30">
        <w:rPr>
          <w:rFonts w:cstheme="minorHAnsi"/>
          <w:vertAlign w:val="superscript"/>
        </w:rPr>
        <w:t>2+</w:t>
      </w:r>
      <w:r w:rsidR="00A65C30">
        <w:rPr>
          <w:rFonts w:cstheme="minorHAnsi"/>
        </w:rPr>
        <w:t xml:space="preserve"> imaging and capase-3 activation data at a single cell resolution. </w:t>
      </w:r>
    </w:p>
    <w:p w14:paraId="590382C6" w14:textId="773FBD2B" w:rsidR="00662970" w:rsidRDefault="00662970"/>
    <w:p w14:paraId="57848576" w14:textId="77777777" w:rsidR="00FD23C1" w:rsidRPr="00FD23C1" w:rsidRDefault="00BD4594" w:rsidP="00FD23C1">
      <w:pPr>
        <w:shd w:val="clear" w:color="auto" w:fill="FFFFFF"/>
        <w:spacing w:before="100" w:beforeAutospacing="1" w:after="100" w:afterAutospacing="1"/>
        <w:rPr>
          <w:rFonts w:eastAsia="Times New Roman" w:cstheme="minorHAnsi"/>
          <w:color w:val="212121"/>
        </w:rPr>
      </w:pPr>
      <w:r>
        <w:rPr>
          <w:b/>
          <w:bCs/>
        </w:rPr>
        <w:t xml:space="preserve">Comment: </w:t>
      </w:r>
      <w:r w:rsidR="00FD23C1" w:rsidRPr="00FD23C1">
        <w:rPr>
          <w:rFonts w:eastAsia="Times New Roman" w:cstheme="minorHAnsi"/>
          <w:color w:val="212121"/>
        </w:rPr>
        <w:t>what are the concentrations of poly-L-lysine and poly-L-ornithine?</w:t>
      </w:r>
    </w:p>
    <w:p w14:paraId="18E56D00" w14:textId="4510753B" w:rsidR="00662970" w:rsidRDefault="00BD4594" w:rsidP="009B6D4A">
      <w:pPr>
        <w:shd w:val="clear" w:color="auto" w:fill="FFFFFF"/>
        <w:spacing w:before="100" w:beforeAutospacing="1" w:after="100" w:afterAutospacing="1"/>
      </w:pPr>
      <w:r>
        <w:rPr>
          <w:b/>
          <w:bCs/>
        </w:rPr>
        <w:t xml:space="preserve">Response: </w:t>
      </w:r>
      <w:r w:rsidR="00FD23C1">
        <w:t>W</w:t>
      </w:r>
      <w:r>
        <w:t xml:space="preserve">e apologize for this oversight and have added the concentrations of both poly-L-Lysine and poly-L-ornithine where appropriate. </w:t>
      </w:r>
    </w:p>
    <w:p w14:paraId="236E313A" w14:textId="77777777" w:rsidR="009B6D4A" w:rsidRDefault="009B6D4A" w:rsidP="009B6D4A">
      <w:pPr>
        <w:shd w:val="clear" w:color="auto" w:fill="FFFFFF"/>
        <w:spacing w:before="100" w:beforeAutospacing="1" w:after="100" w:afterAutospacing="1"/>
      </w:pPr>
    </w:p>
    <w:p w14:paraId="47002FC0" w14:textId="70CC6952" w:rsidR="00FD23C1" w:rsidRPr="00FD23C1" w:rsidRDefault="00FD23C1" w:rsidP="00FD23C1">
      <w:pPr>
        <w:shd w:val="clear" w:color="auto" w:fill="FFFFFF"/>
        <w:spacing w:before="100" w:beforeAutospacing="1" w:after="100" w:afterAutospacing="1"/>
        <w:rPr>
          <w:rFonts w:ascii="Segoe UI" w:eastAsia="Times New Roman" w:hAnsi="Segoe UI" w:cs="Segoe UI"/>
          <w:color w:val="212121"/>
          <w:sz w:val="23"/>
          <w:szCs w:val="23"/>
        </w:rPr>
      </w:pPr>
      <w:r>
        <w:rPr>
          <w:b/>
          <w:bCs/>
        </w:rPr>
        <w:t xml:space="preserve">Comment: </w:t>
      </w:r>
      <w:r w:rsidRPr="00FD23C1">
        <w:t>"mice" should be mouse unless you use more than one pregnant mouse per culture</w:t>
      </w:r>
    </w:p>
    <w:p w14:paraId="403FA5D0" w14:textId="400C8B21" w:rsidR="00FD23C1" w:rsidRDefault="00FD23C1">
      <w:r>
        <w:rPr>
          <w:b/>
          <w:bCs/>
        </w:rPr>
        <w:t xml:space="preserve">Response: </w:t>
      </w:r>
      <w:r w:rsidR="004761A6">
        <w:t>We have included the statement “</w:t>
      </w:r>
      <w:r w:rsidR="004761A6">
        <w:rPr>
          <w:rFonts w:cstheme="minorHAnsi"/>
          <w:bCs/>
        </w:rPr>
        <w:t>We use between 4 to 6 timed pregnant mice per culture</w:t>
      </w:r>
      <w:r w:rsidR="004761A6">
        <w:rPr>
          <w:rFonts w:cstheme="minorHAnsi"/>
          <w:bCs/>
        </w:rPr>
        <w:t>” in section 3</w:t>
      </w:r>
      <w:r>
        <w:t xml:space="preserve">. </w:t>
      </w:r>
      <w:r w:rsidR="004761A6">
        <w:t>Therefore, we have retained the wording as mice.</w:t>
      </w:r>
    </w:p>
    <w:p w14:paraId="50A31250" w14:textId="1B0275F5" w:rsidR="00FD23C1" w:rsidRDefault="00FD23C1"/>
    <w:p w14:paraId="48740B40" w14:textId="788684B2" w:rsidR="00FD23C1" w:rsidRDefault="00FD23C1">
      <w:r>
        <w:rPr>
          <w:b/>
          <w:bCs/>
        </w:rPr>
        <w:t xml:space="preserve">Comment: </w:t>
      </w:r>
      <w:r w:rsidRPr="00FD23C1">
        <w:t>What is the thickness of the section? Give an estimate.</w:t>
      </w:r>
    </w:p>
    <w:p w14:paraId="5B9DA7D5" w14:textId="03B7B9AA" w:rsidR="00FD23C1" w:rsidRPr="00FD23C1" w:rsidRDefault="00FD23C1">
      <w:r>
        <w:rPr>
          <w:b/>
          <w:bCs/>
        </w:rPr>
        <w:t xml:space="preserve">Response: </w:t>
      </w:r>
      <w:r>
        <w:t xml:space="preserve"> We have added a rough estimate to the thickness of the initial midbrain segments, “</w:t>
      </w:r>
      <w:r w:rsidRPr="00791348">
        <w:rPr>
          <w:rFonts w:cstheme="minorHAnsi"/>
          <w:bCs/>
        </w:rPr>
        <w:t xml:space="preserve">The midbrain segment should be approximately </w:t>
      </w:r>
      <w:r w:rsidR="00775172" w:rsidRPr="00775172">
        <w:rPr>
          <w:rFonts w:cstheme="minorHAnsi"/>
          <w:bCs/>
        </w:rPr>
        <w:t>0.5 mm</w:t>
      </w:r>
      <w:r w:rsidRPr="00775172">
        <w:rPr>
          <w:rFonts w:cstheme="minorHAnsi"/>
          <w:bCs/>
        </w:rPr>
        <w:t xml:space="preserve"> </w:t>
      </w:r>
      <w:r w:rsidRPr="00791348">
        <w:rPr>
          <w:rFonts w:cstheme="minorHAnsi"/>
          <w:bCs/>
        </w:rPr>
        <w:t>thick</w:t>
      </w:r>
      <w:r w:rsidR="00775172">
        <w:rPr>
          <w:rFonts w:cstheme="minorHAnsi"/>
          <w:bCs/>
        </w:rPr>
        <w:t>.”</w:t>
      </w:r>
    </w:p>
    <w:p w14:paraId="40E76A9D" w14:textId="08F1EC05" w:rsidR="00FD23C1" w:rsidRDefault="00FD23C1"/>
    <w:p w14:paraId="43F82D45" w14:textId="3DCEA25C" w:rsidR="00FD23C1" w:rsidRDefault="00FD23C1">
      <w:r>
        <w:rPr>
          <w:b/>
          <w:bCs/>
        </w:rPr>
        <w:t>Comment</w:t>
      </w:r>
      <w:r w:rsidRPr="00FD23C1">
        <w:t>: tissue will be less dense" what do you mean by this?</w:t>
      </w:r>
    </w:p>
    <w:p w14:paraId="3B377924" w14:textId="0D71557D" w:rsidR="00FD23C1" w:rsidRDefault="00FD23C1">
      <w:pPr>
        <w:rPr>
          <w:rFonts w:cstheme="minorHAnsi"/>
          <w:bCs/>
        </w:rPr>
      </w:pPr>
      <w:r>
        <w:rPr>
          <w:b/>
          <w:bCs/>
        </w:rPr>
        <w:t xml:space="preserve">Response: </w:t>
      </w:r>
      <w:r>
        <w:t xml:space="preserve">We appreciate </w:t>
      </w:r>
      <w:r w:rsidR="009B6D4A">
        <w:t>this</w:t>
      </w:r>
      <w:r>
        <w:t xml:space="preserve"> comment and have reworded this sentence in an attempt to be more visually descriptive, “</w:t>
      </w:r>
      <w:r>
        <w:rPr>
          <w:rFonts w:cstheme="minorHAnsi"/>
          <w:bCs/>
        </w:rPr>
        <w:t xml:space="preserve">The remaining inferior quadrants will have excess tissue laterally on the dorsal side, this tissue </w:t>
      </w:r>
      <w:r w:rsidRPr="00791348">
        <w:rPr>
          <w:rFonts w:cstheme="minorHAnsi"/>
          <w:bCs/>
        </w:rPr>
        <w:t>will look less opaque than</w:t>
      </w:r>
      <w:r>
        <w:rPr>
          <w:rFonts w:cstheme="minorHAnsi"/>
          <w:bCs/>
        </w:rPr>
        <w:t xml:space="preserve"> the remaining ventral tissue.” </w:t>
      </w:r>
    </w:p>
    <w:p w14:paraId="4FE94C10" w14:textId="4417EFBB" w:rsidR="009B6D4A" w:rsidRDefault="009B6D4A">
      <w:pPr>
        <w:rPr>
          <w:rFonts w:cstheme="minorHAnsi"/>
          <w:bCs/>
        </w:rPr>
      </w:pPr>
    </w:p>
    <w:p w14:paraId="6554C4AE" w14:textId="30EB92DD" w:rsidR="009B6D4A" w:rsidRDefault="009B6D4A">
      <w:pPr>
        <w:rPr>
          <w:rFonts w:cstheme="minorHAnsi"/>
          <w:bCs/>
        </w:rPr>
      </w:pPr>
      <w:r>
        <w:rPr>
          <w:rFonts w:cstheme="minorHAnsi"/>
          <w:b/>
        </w:rPr>
        <w:t xml:space="preserve">Comment: </w:t>
      </w:r>
      <w:r w:rsidRPr="009B6D4A">
        <w:rPr>
          <w:rFonts w:cstheme="minorHAnsi"/>
          <w:bCs/>
        </w:rPr>
        <w:t>Aspirate the remaining laminin" is the laminin left on the coverslips until use or are the coverslips in the incubator in rinse water? Please clarify.</w:t>
      </w:r>
    </w:p>
    <w:p w14:paraId="586DE5F3" w14:textId="55AA4EEC" w:rsidR="009B6D4A" w:rsidRDefault="009B6D4A">
      <w:pPr>
        <w:rPr>
          <w:rFonts w:cstheme="minorHAnsi"/>
          <w:bCs/>
        </w:rPr>
      </w:pPr>
      <w:r>
        <w:rPr>
          <w:rFonts w:cstheme="minorHAnsi"/>
          <w:b/>
        </w:rPr>
        <w:t xml:space="preserve">Response: </w:t>
      </w:r>
      <w:r>
        <w:rPr>
          <w:rFonts w:cstheme="minorHAnsi"/>
          <w:bCs/>
        </w:rPr>
        <w:t>We have rewritten step 5.2 to reiterate that laminin solution should be left on the coverslips at the end of section 2 of the protocol, “</w:t>
      </w:r>
      <w:r w:rsidRPr="00791348">
        <w:rPr>
          <w:rFonts w:cstheme="minorHAnsi"/>
          <w:bCs/>
        </w:rPr>
        <w:t>Remove coverslips with laminin solution from step 2 from the incubator and aspirate the remaining laminin solution from the coated coverslips using a vacuum.</w:t>
      </w:r>
      <w:r>
        <w:rPr>
          <w:rFonts w:cstheme="minorHAnsi"/>
          <w:bCs/>
        </w:rPr>
        <w:t>”</w:t>
      </w:r>
    </w:p>
    <w:p w14:paraId="01A2893B" w14:textId="53775993" w:rsidR="00791348" w:rsidRDefault="00791348">
      <w:pPr>
        <w:rPr>
          <w:rFonts w:cstheme="minorHAnsi"/>
          <w:bCs/>
        </w:rPr>
      </w:pPr>
    </w:p>
    <w:p w14:paraId="24B43EA3" w14:textId="2BB6D1AF" w:rsidR="00791348" w:rsidRDefault="00791348">
      <w:pPr>
        <w:rPr>
          <w:bCs/>
        </w:rPr>
      </w:pPr>
      <w:r>
        <w:rPr>
          <w:b/>
        </w:rPr>
        <w:t xml:space="preserve">Comment: </w:t>
      </w:r>
      <w:r w:rsidRPr="00791348">
        <w:rPr>
          <w:bCs/>
        </w:rPr>
        <w:t>"both AAVs" is there more than hSyn-GCaMP6f AAV? Please clarify</w:t>
      </w:r>
    </w:p>
    <w:p w14:paraId="5F7F3D2B" w14:textId="4EDFC360" w:rsidR="00791348" w:rsidRPr="00791348" w:rsidRDefault="00791348" w:rsidP="00791348">
      <w:pPr>
        <w:pStyle w:val="NormalWeb"/>
        <w:spacing w:before="0" w:beforeAutospacing="0" w:after="0" w:afterAutospacing="0"/>
        <w:rPr>
          <w:rFonts w:asciiTheme="minorHAnsi" w:hAnsiTheme="minorHAnsi" w:cstheme="minorHAnsi"/>
          <w:bCs/>
          <w:color w:val="auto"/>
          <w:sz w:val="22"/>
          <w:szCs w:val="22"/>
        </w:rPr>
      </w:pPr>
      <w:r w:rsidRPr="00791348">
        <w:rPr>
          <w:b/>
          <w:sz w:val="22"/>
          <w:szCs w:val="22"/>
        </w:rPr>
        <w:t>Response</w:t>
      </w:r>
      <w:r>
        <w:rPr>
          <w:b/>
        </w:rPr>
        <w:t xml:space="preserve">: </w:t>
      </w:r>
      <w:r w:rsidRPr="00791348">
        <w:rPr>
          <w:bCs/>
          <w:sz w:val="22"/>
          <w:szCs w:val="22"/>
        </w:rPr>
        <w:t>We thank the reviewers for catching this mistake and have corrected it as follows, “</w:t>
      </w:r>
      <w:r w:rsidRPr="00791348">
        <w:rPr>
          <w:rFonts w:asciiTheme="minorHAnsi" w:hAnsiTheme="minorHAnsi" w:cstheme="minorHAnsi"/>
          <w:bCs/>
          <w:color w:val="auto"/>
          <w:sz w:val="22"/>
          <w:szCs w:val="22"/>
        </w:rPr>
        <w:t>Aspirate the cell culture medium from each dish and replace with 1 mL serum free DMEM containing hSyn-GCaMP6f. Place dishes back into the 37 °C incubator for 1 h.</w:t>
      </w:r>
      <w:r>
        <w:rPr>
          <w:rFonts w:asciiTheme="minorHAnsi" w:hAnsiTheme="minorHAnsi" w:cstheme="minorHAnsi"/>
          <w:bCs/>
          <w:color w:val="auto"/>
          <w:sz w:val="22"/>
          <w:szCs w:val="22"/>
        </w:rPr>
        <w:t>”</w:t>
      </w:r>
    </w:p>
    <w:p w14:paraId="1F96FF24" w14:textId="6200AAAA" w:rsidR="00791348" w:rsidRPr="00791348" w:rsidRDefault="00791348">
      <w:pPr>
        <w:rPr>
          <w:bCs/>
        </w:rPr>
      </w:pPr>
    </w:p>
    <w:sectPr w:rsidR="00791348" w:rsidRPr="0079134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0A4C88" w16cid:durableId="2289FA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3A0C"/>
    <w:multiLevelType w:val="multilevel"/>
    <w:tmpl w:val="40FEBEAA"/>
    <w:lvl w:ilvl="0">
      <w:start w:val="1"/>
      <w:numFmt w:val="decimal"/>
      <w:lvlText w:val="%1."/>
      <w:lvlJc w:val="left"/>
      <w:pPr>
        <w:ind w:left="360" w:hanging="360"/>
      </w:pPr>
      <w:rPr>
        <w:rFonts w:hint="default"/>
        <w:b w:val="0"/>
        <w:bCs/>
        <w:color w:val="00000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2B"/>
    <w:rsid w:val="00020F8C"/>
    <w:rsid w:val="000301F5"/>
    <w:rsid w:val="000D5FDA"/>
    <w:rsid w:val="00136A12"/>
    <w:rsid w:val="001C7FFC"/>
    <w:rsid w:val="001E5BEC"/>
    <w:rsid w:val="001F5A61"/>
    <w:rsid w:val="002C0FA1"/>
    <w:rsid w:val="002D0C2D"/>
    <w:rsid w:val="003300DA"/>
    <w:rsid w:val="00336E42"/>
    <w:rsid w:val="00375B0F"/>
    <w:rsid w:val="003770B8"/>
    <w:rsid w:val="003968A5"/>
    <w:rsid w:val="003A00F6"/>
    <w:rsid w:val="003D0F03"/>
    <w:rsid w:val="004051F1"/>
    <w:rsid w:val="004638C2"/>
    <w:rsid w:val="004761A6"/>
    <w:rsid w:val="004A22BC"/>
    <w:rsid w:val="004B43FF"/>
    <w:rsid w:val="005061E7"/>
    <w:rsid w:val="00660DD4"/>
    <w:rsid w:val="00662970"/>
    <w:rsid w:val="00711F2B"/>
    <w:rsid w:val="00715AC7"/>
    <w:rsid w:val="00726FCF"/>
    <w:rsid w:val="00754DC3"/>
    <w:rsid w:val="00775172"/>
    <w:rsid w:val="00782017"/>
    <w:rsid w:val="00791348"/>
    <w:rsid w:val="007A2131"/>
    <w:rsid w:val="007C2566"/>
    <w:rsid w:val="00882C7D"/>
    <w:rsid w:val="00882DFE"/>
    <w:rsid w:val="008F5142"/>
    <w:rsid w:val="00920E99"/>
    <w:rsid w:val="00933472"/>
    <w:rsid w:val="009A1DC1"/>
    <w:rsid w:val="009B6D4A"/>
    <w:rsid w:val="009D4E4B"/>
    <w:rsid w:val="00A562BB"/>
    <w:rsid w:val="00A65C30"/>
    <w:rsid w:val="00A72644"/>
    <w:rsid w:val="00A85017"/>
    <w:rsid w:val="00AC0B7A"/>
    <w:rsid w:val="00AE2637"/>
    <w:rsid w:val="00B8090E"/>
    <w:rsid w:val="00B95F90"/>
    <w:rsid w:val="00BD4594"/>
    <w:rsid w:val="00C229A0"/>
    <w:rsid w:val="00C339AB"/>
    <w:rsid w:val="00C50AFF"/>
    <w:rsid w:val="00C7795C"/>
    <w:rsid w:val="00C9281D"/>
    <w:rsid w:val="00CE672B"/>
    <w:rsid w:val="00CF611C"/>
    <w:rsid w:val="00CF62C3"/>
    <w:rsid w:val="00D21734"/>
    <w:rsid w:val="00D41FB1"/>
    <w:rsid w:val="00D5325A"/>
    <w:rsid w:val="00DC32AE"/>
    <w:rsid w:val="00E141FD"/>
    <w:rsid w:val="00E44D63"/>
    <w:rsid w:val="00E53088"/>
    <w:rsid w:val="00E739D4"/>
    <w:rsid w:val="00ED6C75"/>
    <w:rsid w:val="00F10370"/>
    <w:rsid w:val="00F51204"/>
    <w:rsid w:val="00F62754"/>
    <w:rsid w:val="00F657A1"/>
    <w:rsid w:val="00F7611C"/>
    <w:rsid w:val="00FC74D5"/>
    <w:rsid w:val="00FD23C1"/>
    <w:rsid w:val="00FD2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00B8"/>
  <w15:chartTrackingRefBased/>
  <w15:docId w15:val="{265F2555-AA32-4CC0-81DD-C7B4D639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AFF"/>
    <w:rPr>
      <w:rFonts w:ascii="Segoe UI" w:hAnsi="Segoe UI" w:cs="Segoe UI"/>
      <w:sz w:val="18"/>
      <w:szCs w:val="18"/>
    </w:rPr>
  </w:style>
  <w:style w:type="paragraph" w:styleId="NormalWeb">
    <w:name w:val="Normal (Web)"/>
    <w:basedOn w:val="Normal"/>
    <w:rsid w:val="00F7611C"/>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660DD4"/>
    <w:rPr>
      <w:sz w:val="16"/>
      <w:szCs w:val="16"/>
    </w:rPr>
  </w:style>
  <w:style w:type="paragraph" w:styleId="CommentText">
    <w:name w:val="annotation text"/>
    <w:basedOn w:val="Normal"/>
    <w:link w:val="CommentTextChar"/>
    <w:uiPriority w:val="99"/>
    <w:semiHidden/>
    <w:unhideWhenUsed/>
    <w:rsid w:val="00660DD4"/>
    <w:pPr>
      <w:spacing w:line="240" w:lineRule="auto"/>
    </w:pPr>
    <w:rPr>
      <w:sz w:val="20"/>
      <w:szCs w:val="20"/>
    </w:rPr>
  </w:style>
  <w:style w:type="character" w:customStyle="1" w:styleId="CommentTextChar">
    <w:name w:val="Comment Text Char"/>
    <w:basedOn w:val="DefaultParagraphFont"/>
    <w:link w:val="CommentText"/>
    <w:uiPriority w:val="99"/>
    <w:semiHidden/>
    <w:rsid w:val="00660DD4"/>
    <w:rPr>
      <w:sz w:val="20"/>
      <w:szCs w:val="20"/>
    </w:rPr>
  </w:style>
  <w:style w:type="paragraph" w:styleId="CommentSubject">
    <w:name w:val="annotation subject"/>
    <w:basedOn w:val="CommentText"/>
    <w:next w:val="CommentText"/>
    <w:link w:val="CommentSubjectChar"/>
    <w:uiPriority w:val="99"/>
    <w:semiHidden/>
    <w:unhideWhenUsed/>
    <w:rsid w:val="00660DD4"/>
    <w:rPr>
      <w:b/>
      <w:bCs/>
    </w:rPr>
  </w:style>
  <w:style w:type="character" w:customStyle="1" w:styleId="CommentSubjectChar">
    <w:name w:val="Comment Subject Char"/>
    <w:basedOn w:val="CommentTextChar"/>
    <w:link w:val="CommentSubject"/>
    <w:uiPriority w:val="99"/>
    <w:semiHidden/>
    <w:rsid w:val="00660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0845">
      <w:bodyDiv w:val="1"/>
      <w:marLeft w:val="0"/>
      <w:marRight w:val="0"/>
      <w:marTop w:val="0"/>
      <w:marBottom w:val="0"/>
      <w:divBdr>
        <w:top w:val="none" w:sz="0" w:space="0" w:color="auto"/>
        <w:left w:val="none" w:sz="0" w:space="0" w:color="auto"/>
        <w:bottom w:val="none" w:sz="0" w:space="0" w:color="auto"/>
        <w:right w:val="none" w:sz="0" w:space="0" w:color="auto"/>
      </w:divBdr>
      <w:divsChild>
        <w:div w:id="1823962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820326">
              <w:marLeft w:val="0"/>
              <w:marRight w:val="0"/>
              <w:marTop w:val="0"/>
              <w:marBottom w:val="0"/>
              <w:divBdr>
                <w:top w:val="none" w:sz="0" w:space="0" w:color="auto"/>
                <w:left w:val="none" w:sz="0" w:space="0" w:color="auto"/>
                <w:bottom w:val="none" w:sz="0" w:space="0" w:color="auto"/>
                <w:right w:val="none" w:sz="0" w:space="0" w:color="auto"/>
              </w:divBdr>
              <w:divsChild>
                <w:div w:id="1319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1231">
      <w:bodyDiv w:val="1"/>
      <w:marLeft w:val="0"/>
      <w:marRight w:val="0"/>
      <w:marTop w:val="0"/>
      <w:marBottom w:val="0"/>
      <w:divBdr>
        <w:top w:val="none" w:sz="0" w:space="0" w:color="auto"/>
        <w:left w:val="none" w:sz="0" w:space="0" w:color="auto"/>
        <w:bottom w:val="none" w:sz="0" w:space="0" w:color="auto"/>
        <w:right w:val="none" w:sz="0" w:space="0" w:color="auto"/>
      </w:divBdr>
      <w:divsChild>
        <w:div w:id="205326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92551">
              <w:marLeft w:val="0"/>
              <w:marRight w:val="0"/>
              <w:marTop w:val="0"/>
              <w:marBottom w:val="0"/>
              <w:divBdr>
                <w:top w:val="none" w:sz="0" w:space="0" w:color="auto"/>
                <w:left w:val="none" w:sz="0" w:space="0" w:color="auto"/>
                <w:bottom w:val="none" w:sz="0" w:space="0" w:color="auto"/>
                <w:right w:val="none" w:sz="0" w:space="0" w:color="auto"/>
              </w:divBdr>
              <w:divsChild>
                <w:div w:id="1037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31265">
      <w:bodyDiv w:val="1"/>
      <w:marLeft w:val="0"/>
      <w:marRight w:val="0"/>
      <w:marTop w:val="0"/>
      <w:marBottom w:val="0"/>
      <w:divBdr>
        <w:top w:val="none" w:sz="0" w:space="0" w:color="auto"/>
        <w:left w:val="none" w:sz="0" w:space="0" w:color="auto"/>
        <w:bottom w:val="none" w:sz="0" w:space="0" w:color="auto"/>
        <w:right w:val="none" w:sz="0" w:space="0" w:color="auto"/>
      </w:divBdr>
      <w:divsChild>
        <w:div w:id="642082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90468">
              <w:marLeft w:val="0"/>
              <w:marRight w:val="0"/>
              <w:marTop w:val="0"/>
              <w:marBottom w:val="0"/>
              <w:divBdr>
                <w:top w:val="none" w:sz="0" w:space="0" w:color="auto"/>
                <w:left w:val="none" w:sz="0" w:space="0" w:color="auto"/>
                <w:bottom w:val="none" w:sz="0" w:space="0" w:color="auto"/>
                <w:right w:val="none" w:sz="0" w:space="0" w:color="auto"/>
              </w:divBdr>
              <w:divsChild>
                <w:div w:id="9027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00747">
      <w:bodyDiv w:val="1"/>
      <w:marLeft w:val="0"/>
      <w:marRight w:val="0"/>
      <w:marTop w:val="0"/>
      <w:marBottom w:val="0"/>
      <w:divBdr>
        <w:top w:val="none" w:sz="0" w:space="0" w:color="auto"/>
        <w:left w:val="none" w:sz="0" w:space="0" w:color="auto"/>
        <w:bottom w:val="none" w:sz="0" w:space="0" w:color="auto"/>
        <w:right w:val="none" w:sz="0" w:space="0" w:color="auto"/>
      </w:divBdr>
      <w:divsChild>
        <w:div w:id="1406344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66745">
              <w:marLeft w:val="0"/>
              <w:marRight w:val="0"/>
              <w:marTop w:val="0"/>
              <w:marBottom w:val="0"/>
              <w:divBdr>
                <w:top w:val="none" w:sz="0" w:space="0" w:color="auto"/>
                <w:left w:val="none" w:sz="0" w:space="0" w:color="auto"/>
                <w:bottom w:val="none" w:sz="0" w:space="0" w:color="auto"/>
                <w:right w:val="none" w:sz="0" w:space="0" w:color="auto"/>
              </w:divBdr>
              <w:divsChild>
                <w:div w:id="9853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55404">
      <w:bodyDiv w:val="1"/>
      <w:marLeft w:val="0"/>
      <w:marRight w:val="0"/>
      <w:marTop w:val="0"/>
      <w:marBottom w:val="0"/>
      <w:divBdr>
        <w:top w:val="none" w:sz="0" w:space="0" w:color="auto"/>
        <w:left w:val="none" w:sz="0" w:space="0" w:color="auto"/>
        <w:bottom w:val="none" w:sz="0" w:space="0" w:color="auto"/>
        <w:right w:val="none" w:sz="0" w:space="0" w:color="auto"/>
      </w:divBdr>
      <w:divsChild>
        <w:div w:id="2087221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138564">
              <w:marLeft w:val="0"/>
              <w:marRight w:val="0"/>
              <w:marTop w:val="0"/>
              <w:marBottom w:val="0"/>
              <w:divBdr>
                <w:top w:val="none" w:sz="0" w:space="0" w:color="auto"/>
                <w:left w:val="none" w:sz="0" w:space="0" w:color="auto"/>
                <w:bottom w:val="none" w:sz="0" w:space="0" w:color="auto"/>
                <w:right w:val="none" w:sz="0" w:space="0" w:color="auto"/>
              </w:divBdr>
              <w:divsChild>
                <w:div w:id="15723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174911">
      <w:bodyDiv w:val="1"/>
      <w:marLeft w:val="0"/>
      <w:marRight w:val="0"/>
      <w:marTop w:val="0"/>
      <w:marBottom w:val="0"/>
      <w:divBdr>
        <w:top w:val="none" w:sz="0" w:space="0" w:color="auto"/>
        <w:left w:val="none" w:sz="0" w:space="0" w:color="auto"/>
        <w:bottom w:val="none" w:sz="0" w:space="0" w:color="auto"/>
        <w:right w:val="none" w:sz="0" w:space="0" w:color="auto"/>
      </w:divBdr>
      <w:divsChild>
        <w:div w:id="25258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841306">
              <w:marLeft w:val="0"/>
              <w:marRight w:val="0"/>
              <w:marTop w:val="0"/>
              <w:marBottom w:val="0"/>
              <w:divBdr>
                <w:top w:val="none" w:sz="0" w:space="0" w:color="auto"/>
                <w:left w:val="none" w:sz="0" w:space="0" w:color="auto"/>
                <w:bottom w:val="none" w:sz="0" w:space="0" w:color="auto"/>
                <w:right w:val="none" w:sz="0" w:space="0" w:color="auto"/>
              </w:divBdr>
              <w:divsChild>
                <w:div w:id="6884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3066</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dc:creator>
  <cp:keywords/>
  <dc:description/>
  <cp:lastModifiedBy>Srinivasan, Rahul</cp:lastModifiedBy>
  <cp:revision>3</cp:revision>
  <dcterms:created xsi:type="dcterms:W3CDTF">2020-06-09T19:40:00Z</dcterms:created>
  <dcterms:modified xsi:type="dcterms:W3CDTF">2020-06-09T20:02:00Z</dcterms:modified>
</cp:coreProperties>
</file>