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F0" w:rsidRPr="00043BD9" w:rsidRDefault="00B66ED8" w:rsidP="00BF7BF0">
      <w:pPr>
        <w:pStyle w:val="ListParagraph"/>
        <w:numPr>
          <w:ilvl w:val="0"/>
          <w:numId w:val="32"/>
        </w:numPr>
        <w:ind w:hanging="270"/>
        <w:jc w:val="both"/>
      </w:pPr>
      <w:r w:rsidRPr="00043BD9">
        <w:t xml:space="preserve">We sincerely thank the reviewers for their time and </w:t>
      </w:r>
      <w:r w:rsidR="00BF7BF0" w:rsidRPr="00043BD9">
        <w:t xml:space="preserve">valuable suggestions that helped us to </w:t>
      </w:r>
      <w:r w:rsidR="00803521">
        <w:t>improve</w:t>
      </w:r>
      <w:r w:rsidR="00BF7BF0" w:rsidRPr="00043BD9">
        <w:t xml:space="preserve"> the</w:t>
      </w:r>
      <w:r w:rsidRPr="00043BD9">
        <w:t xml:space="preserve"> manuscript.  </w:t>
      </w:r>
    </w:p>
    <w:p w:rsidR="00BF7BF0" w:rsidRPr="00043BD9" w:rsidRDefault="00BF7BF0" w:rsidP="00BF7BF0">
      <w:pPr>
        <w:ind w:left="720" w:hanging="270"/>
        <w:jc w:val="both"/>
      </w:pPr>
    </w:p>
    <w:p w:rsidR="00BF7BF0" w:rsidRPr="00043BD9" w:rsidRDefault="00BF7BF0" w:rsidP="00BF7BF0">
      <w:pPr>
        <w:pStyle w:val="ListParagraph"/>
        <w:numPr>
          <w:ilvl w:val="0"/>
          <w:numId w:val="32"/>
        </w:numPr>
        <w:ind w:hanging="270"/>
        <w:jc w:val="both"/>
      </w:pPr>
      <w:r w:rsidRPr="00043BD9">
        <w:t>We also made some a</w:t>
      </w:r>
      <w:r w:rsidR="00B66ED8" w:rsidRPr="00043BD9">
        <w:t>dditional edits beyond those requested by the reviewers to correct mistakes or formatting inconsistencies</w:t>
      </w:r>
      <w:r w:rsidR="00043BD9" w:rsidRPr="00043BD9">
        <w:t>,</w:t>
      </w:r>
      <w:r w:rsidR="00B66ED8" w:rsidRPr="00043BD9">
        <w:t xml:space="preserve"> </w:t>
      </w:r>
      <w:r w:rsidRPr="00043BD9">
        <w:t xml:space="preserve">which </w:t>
      </w:r>
      <w:r w:rsidR="00B66ED8" w:rsidRPr="00043BD9">
        <w:t>we did not notice before the first sub</w:t>
      </w:r>
      <w:r w:rsidR="00043BD9" w:rsidRPr="00043BD9">
        <w:t>mission.</w:t>
      </w:r>
      <w:r w:rsidR="0097281C">
        <w:t xml:space="preserve"> For example, Figure 3 has been modified.</w:t>
      </w:r>
    </w:p>
    <w:p w:rsidR="00043BD9" w:rsidRPr="00043BD9" w:rsidRDefault="00043BD9" w:rsidP="00043BD9">
      <w:pPr>
        <w:pStyle w:val="ListParagraph"/>
      </w:pPr>
    </w:p>
    <w:p w:rsidR="00043BD9" w:rsidRPr="00043BD9" w:rsidRDefault="00043BD9" w:rsidP="00043BD9">
      <w:pPr>
        <w:pStyle w:val="ListParagraph"/>
        <w:widowControl w:val="0"/>
        <w:numPr>
          <w:ilvl w:val="0"/>
          <w:numId w:val="32"/>
        </w:numPr>
        <w:autoSpaceDE w:val="0"/>
        <w:autoSpaceDN w:val="0"/>
        <w:adjustRightInd w:val="0"/>
        <w:jc w:val="both"/>
        <w:rPr>
          <w:color w:val="000000" w:themeColor="text1"/>
        </w:rPr>
      </w:pPr>
      <w:r w:rsidRPr="00043BD9">
        <w:rPr>
          <w:color w:val="000000" w:themeColor="text1"/>
        </w:rPr>
        <w:t>We have</w:t>
      </w:r>
      <w:r>
        <w:rPr>
          <w:color w:val="000000" w:themeColor="text1"/>
        </w:rPr>
        <w:t xml:space="preserve"> replaced the reference number 15 </w:t>
      </w:r>
      <w:r w:rsidRPr="00043BD9">
        <w:rPr>
          <w:color w:val="000000" w:themeColor="text1"/>
        </w:rPr>
        <w:t>(</w:t>
      </w:r>
      <w:proofErr w:type="spellStart"/>
      <w:r w:rsidRPr="00043BD9">
        <w:rPr>
          <w:color w:val="000000" w:themeColor="text1"/>
        </w:rPr>
        <w:t>Kohnken</w:t>
      </w:r>
      <w:proofErr w:type="spellEnd"/>
      <w:r w:rsidRPr="00043BD9">
        <w:rPr>
          <w:color w:val="000000" w:themeColor="text1"/>
        </w:rPr>
        <w:t>, R. et al. Sézary Syndrome: Clinical and Biological Aspects. Current Hematological Malignancy Reports. 11, 468-479 (2016))</w:t>
      </w:r>
      <w:r w:rsidR="00281B50">
        <w:rPr>
          <w:color w:val="000000" w:themeColor="text1"/>
        </w:rPr>
        <w:t xml:space="preserve">, which is now </w:t>
      </w:r>
      <w:r w:rsidR="00281B50" w:rsidRPr="00281B50">
        <w:rPr>
          <w:color w:val="FF0000"/>
        </w:rPr>
        <w:t>Reference no. 17</w:t>
      </w:r>
      <w:r>
        <w:rPr>
          <w:b/>
          <w:color w:val="000000" w:themeColor="text1"/>
        </w:rPr>
        <w:t xml:space="preserve"> </w:t>
      </w:r>
      <w:r w:rsidRPr="00043BD9">
        <w:rPr>
          <w:color w:val="000000" w:themeColor="text1"/>
        </w:rPr>
        <w:t>with</w:t>
      </w:r>
      <w:r>
        <w:rPr>
          <w:b/>
          <w:color w:val="000000" w:themeColor="text1"/>
        </w:rPr>
        <w:t xml:space="preserve"> </w:t>
      </w:r>
      <w:proofErr w:type="spellStart"/>
      <w:r w:rsidRPr="00043BD9">
        <w:rPr>
          <w:color w:val="FF0000"/>
        </w:rPr>
        <w:t>Dulmage</w:t>
      </w:r>
      <w:proofErr w:type="spellEnd"/>
      <w:r w:rsidRPr="00043BD9">
        <w:rPr>
          <w:color w:val="FF0000"/>
        </w:rPr>
        <w:t>, B. et al. The biomarker landscape in mycosis fungoides and Sézary syndrome. Experimental Dermatology. 26 (8), 668‐676 (2017).</w:t>
      </w:r>
    </w:p>
    <w:p w:rsidR="00BF7BF0" w:rsidRPr="00043BD9" w:rsidRDefault="00BF7BF0" w:rsidP="00BF7BF0">
      <w:pPr>
        <w:pStyle w:val="ListParagraph"/>
      </w:pPr>
    </w:p>
    <w:p w:rsidR="002D12CF" w:rsidRPr="00043BD9" w:rsidRDefault="00BF7BF0" w:rsidP="00BF7BF0">
      <w:pPr>
        <w:pStyle w:val="ListParagraph"/>
        <w:numPr>
          <w:ilvl w:val="0"/>
          <w:numId w:val="32"/>
        </w:numPr>
        <w:ind w:hanging="270"/>
        <w:jc w:val="both"/>
      </w:pPr>
      <w:r w:rsidRPr="00043BD9">
        <w:t>All the changes are tracked.</w:t>
      </w:r>
      <w:r w:rsidR="00B66ED8" w:rsidRPr="00043BD9">
        <w:t xml:space="preserve">  </w:t>
      </w:r>
    </w:p>
    <w:p w:rsidR="002D12CF" w:rsidRPr="00043BD9" w:rsidRDefault="002D12CF" w:rsidP="00BF7BF0">
      <w:pPr>
        <w:jc w:val="both"/>
        <w:rPr>
          <w:b/>
        </w:rPr>
      </w:pPr>
    </w:p>
    <w:p w:rsidR="002D12CF" w:rsidRPr="00043BD9" w:rsidRDefault="002D12CF" w:rsidP="00BF7BF0">
      <w:pPr>
        <w:jc w:val="both"/>
        <w:rPr>
          <w:b/>
        </w:rPr>
      </w:pPr>
      <w:r w:rsidRPr="00043BD9">
        <w:rPr>
          <w:b/>
        </w:rPr>
        <w:t>Editorial Comments:</w:t>
      </w:r>
    </w:p>
    <w:p w:rsidR="002D12CF" w:rsidRPr="00043BD9" w:rsidRDefault="002D12CF" w:rsidP="00BF7BF0">
      <w:pPr>
        <w:jc w:val="both"/>
      </w:pPr>
    </w:p>
    <w:p w:rsidR="002D12CF" w:rsidRPr="00043BD9" w:rsidRDefault="002D12CF" w:rsidP="00BF7BF0">
      <w:pPr>
        <w:pStyle w:val="ListParagraph"/>
        <w:numPr>
          <w:ilvl w:val="0"/>
          <w:numId w:val="1"/>
        </w:numPr>
        <w:jc w:val="both"/>
      </w:pPr>
      <w:r w:rsidRPr="00043BD9">
        <w:t>Please take this opportunity to thoroughly proofread the manuscript to ensure that there are no spelling or grammatical errors.</w:t>
      </w:r>
    </w:p>
    <w:p w:rsidR="002D12CF" w:rsidRPr="00043BD9" w:rsidRDefault="002D12CF" w:rsidP="00BF7BF0">
      <w:pPr>
        <w:pStyle w:val="ListParagraph"/>
        <w:numPr>
          <w:ilvl w:val="0"/>
          <w:numId w:val="3"/>
        </w:numPr>
        <w:jc w:val="both"/>
        <w:rPr>
          <w:color w:val="FF0000"/>
        </w:rPr>
      </w:pPr>
      <w:r w:rsidRPr="00043BD9">
        <w:rPr>
          <w:color w:val="FF0000"/>
        </w:rPr>
        <w:t xml:space="preserve">The manuscript was thoroughly read to </w:t>
      </w:r>
      <w:r w:rsidR="008E79B1" w:rsidRPr="00043BD9">
        <w:rPr>
          <w:color w:val="FF0000"/>
        </w:rPr>
        <w:t>assure</w:t>
      </w:r>
      <w:r w:rsidRPr="00043BD9">
        <w:rPr>
          <w:color w:val="FF0000"/>
        </w:rPr>
        <w:t xml:space="preserve"> no spelling and grammatical errors.</w:t>
      </w:r>
    </w:p>
    <w:p w:rsidR="002D12CF" w:rsidRPr="00043BD9" w:rsidRDefault="002D12CF" w:rsidP="00BF7BF0">
      <w:pPr>
        <w:pStyle w:val="ListParagraph"/>
        <w:ind w:left="1440"/>
        <w:jc w:val="both"/>
        <w:rPr>
          <w:color w:val="FF0000"/>
        </w:rPr>
      </w:pPr>
    </w:p>
    <w:p w:rsidR="002D12CF" w:rsidRPr="00043BD9" w:rsidRDefault="002D12CF" w:rsidP="00BF7BF0">
      <w:pPr>
        <w:pStyle w:val="ListParagraph"/>
        <w:numPr>
          <w:ilvl w:val="0"/>
          <w:numId w:val="1"/>
        </w:numPr>
        <w:jc w:val="both"/>
      </w:pPr>
      <w:r w:rsidRPr="00043BD9">
        <w:t xml:space="preserve">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1) Lines 84-90 should be a note. Please renumber </w:t>
      </w:r>
      <w:proofErr w:type="gramStart"/>
      <w:r w:rsidRPr="00043BD9">
        <w:t>your</w:t>
      </w:r>
      <w:proofErr w:type="gramEnd"/>
      <w:r w:rsidRPr="00043BD9">
        <w:t xml:space="preserve"> steps accordingly.</w:t>
      </w:r>
    </w:p>
    <w:p w:rsidR="002D12CF" w:rsidRPr="00043BD9" w:rsidRDefault="002D12CF" w:rsidP="00BF7BF0">
      <w:pPr>
        <w:pStyle w:val="ListParagraph"/>
        <w:numPr>
          <w:ilvl w:val="0"/>
          <w:numId w:val="3"/>
        </w:numPr>
        <w:jc w:val="both"/>
        <w:rPr>
          <w:color w:val="FF0000"/>
        </w:rPr>
      </w:pPr>
      <w:r w:rsidRPr="00043BD9">
        <w:rPr>
          <w:color w:val="FF0000"/>
        </w:rPr>
        <w:t>All the text in the protocol section has been written in the imperative tense</w:t>
      </w:r>
      <w:r w:rsidR="008E79B1" w:rsidRPr="00043BD9">
        <w:rPr>
          <w:color w:val="FF0000"/>
        </w:rPr>
        <w:t>,</w:t>
      </w:r>
      <w:r w:rsidRPr="00043BD9">
        <w:rPr>
          <w:color w:val="FF0000"/>
        </w:rPr>
        <w:t xml:space="preserve"> as needed. Some of the notes</w:t>
      </w:r>
      <w:r w:rsidR="008E79B1" w:rsidRPr="00043BD9">
        <w:rPr>
          <w:color w:val="FF0000"/>
        </w:rPr>
        <w:t>,</w:t>
      </w:r>
      <w:r w:rsidRPr="00043BD9">
        <w:rPr>
          <w:color w:val="FF0000"/>
        </w:rPr>
        <w:t xml:space="preserve"> which cannot be written in the imperative tense, have been </w:t>
      </w:r>
      <w:r w:rsidR="004F0746" w:rsidRPr="00043BD9">
        <w:rPr>
          <w:color w:val="FF0000"/>
        </w:rPr>
        <w:t>moved to</w:t>
      </w:r>
      <w:r w:rsidRPr="00043BD9">
        <w:rPr>
          <w:color w:val="FF0000"/>
        </w:rPr>
        <w:t xml:space="preserve"> discussion s</w:t>
      </w:r>
      <w:r w:rsidR="001854DB" w:rsidRPr="00043BD9">
        <w:rPr>
          <w:color w:val="FF0000"/>
        </w:rPr>
        <w:t>ection between line</w:t>
      </w:r>
      <w:r w:rsidR="008E79B1" w:rsidRPr="00043BD9">
        <w:rPr>
          <w:color w:val="FF0000"/>
        </w:rPr>
        <w:t>s</w:t>
      </w:r>
      <w:r w:rsidR="001854DB" w:rsidRPr="00043BD9">
        <w:rPr>
          <w:color w:val="FF0000"/>
        </w:rPr>
        <w:t xml:space="preserve"> 3</w:t>
      </w:r>
      <w:r w:rsidR="002F629C">
        <w:rPr>
          <w:color w:val="FF0000"/>
        </w:rPr>
        <w:t>36-339</w:t>
      </w:r>
      <w:r w:rsidR="001854DB" w:rsidRPr="00043BD9">
        <w:rPr>
          <w:color w:val="FF0000"/>
        </w:rPr>
        <w:t xml:space="preserve">, </w:t>
      </w:r>
      <w:r w:rsidR="002F629C">
        <w:rPr>
          <w:color w:val="FF0000"/>
        </w:rPr>
        <w:t>347-349 and 358-359</w:t>
      </w:r>
      <w:r w:rsidRPr="00043BD9">
        <w:rPr>
          <w:color w:val="FF0000"/>
        </w:rPr>
        <w:t xml:space="preserve">. </w:t>
      </w:r>
      <w:r w:rsidR="008E79B1" w:rsidRPr="00043BD9">
        <w:rPr>
          <w:color w:val="FF0000"/>
        </w:rPr>
        <w:t>Notes have been provided where it is needed in the protocol</w:t>
      </w:r>
      <w:r w:rsidR="004F0746" w:rsidRPr="00043BD9">
        <w:rPr>
          <w:color w:val="FF0000"/>
        </w:rPr>
        <w:t>. Part of the l</w:t>
      </w:r>
      <w:r w:rsidRPr="00043BD9">
        <w:rPr>
          <w:color w:val="FF0000"/>
        </w:rPr>
        <w:t xml:space="preserve">ines 84-90 </w:t>
      </w:r>
      <w:r w:rsidR="008E79B1" w:rsidRPr="00043BD9">
        <w:rPr>
          <w:color w:val="FF0000"/>
        </w:rPr>
        <w:t>have been moved to under headin</w:t>
      </w:r>
      <w:r w:rsidR="002F629C">
        <w:rPr>
          <w:color w:val="FF0000"/>
        </w:rPr>
        <w:t>g “Protocol” between lines 115-117</w:t>
      </w:r>
      <w:r w:rsidR="001854DB" w:rsidRPr="00043BD9">
        <w:rPr>
          <w:color w:val="FF0000"/>
        </w:rPr>
        <w:t>. Line 88-90 have been written as a step 1.1</w:t>
      </w:r>
      <w:r w:rsidR="004E6ACA" w:rsidRPr="00043BD9">
        <w:rPr>
          <w:color w:val="FF0000"/>
        </w:rPr>
        <w:t xml:space="preserve"> and 1.2</w:t>
      </w:r>
      <w:r w:rsidR="001854DB" w:rsidRPr="00043BD9">
        <w:rPr>
          <w:color w:val="FF0000"/>
        </w:rPr>
        <w:t>.</w:t>
      </w:r>
    </w:p>
    <w:p w:rsidR="002D12CF" w:rsidRPr="00043BD9" w:rsidRDefault="002D12CF" w:rsidP="00BF7BF0">
      <w:pPr>
        <w:jc w:val="both"/>
      </w:pPr>
    </w:p>
    <w:p w:rsidR="002D12CF" w:rsidRPr="00043BD9" w:rsidRDefault="002D12CF" w:rsidP="00BF7BF0">
      <w:pPr>
        <w:pStyle w:val="ListParagraph"/>
        <w:numPr>
          <w:ilvl w:val="0"/>
          <w:numId w:val="1"/>
        </w:numPr>
        <w:jc w:val="both"/>
      </w:pPr>
      <w:r w:rsidRPr="00043BD9">
        <w:t xml:space="preserve">Protocol Detail: Please note that your protocol will be used to generate the script for the video, and must contain everything that you would like shown in the video. Please ensure all specific details (e.g. button clicks for software actions, numerical values for settings, </w:t>
      </w:r>
      <w:proofErr w:type="spellStart"/>
      <w:r w:rsidRPr="00043BD9">
        <w:t>etc</w:t>
      </w:r>
      <w:proofErr w:type="spellEnd"/>
      <w:r w:rsidRPr="00043BD9">
        <w:t>) have been added to your protocol steps. There should be enough detail in each step to supplement the actions seen in the video so that viewers can easily replicate the protocol.</w:t>
      </w:r>
    </w:p>
    <w:p w:rsidR="001854DB" w:rsidRPr="00043BD9" w:rsidRDefault="001854DB" w:rsidP="00BF7BF0">
      <w:pPr>
        <w:pStyle w:val="ListParagraph"/>
        <w:numPr>
          <w:ilvl w:val="0"/>
          <w:numId w:val="5"/>
        </w:numPr>
        <w:jc w:val="both"/>
        <w:rPr>
          <w:color w:val="FF0000"/>
        </w:rPr>
      </w:pPr>
      <w:r w:rsidRPr="00043BD9">
        <w:rPr>
          <w:color w:val="FF0000"/>
        </w:rPr>
        <w:t xml:space="preserve">Every </w:t>
      </w:r>
      <w:r w:rsidR="008E79B1" w:rsidRPr="00043BD9">
        <w:rPr>
          <w:color w:val="FF0000"/>
        </w:rPr>
        <w:t>required details has been written as a step</w:t>
      </w:r>
      <w:r w:rsidRPr="00043BD9">
        <w:rPr>
          <w:color w:val="FF0000"/>
        </w:rPr>
        <w:t xml:space="preserve"> in the protocol so that it can easily be replicated.</w:t>
      </w:r>
    </w:p>
    <w:p w:rsidR="002D12CF" w:rsidRPr="00043BD9" w:rsidRDefault="002D12CF" w:rsidP="00BF7BF0">
      <w:pPr>
        <w:jc w:val="both"/>
      </w:pPr>
    </w:p>
    <w:p w:rsidR="002D12CF" w:rsidRPr="00043BD9" w:rsidRDefault="002D12CF" w:rsidP="00BF7BF0">
      <w:pPr>
        <w:pStyle w:val="ListParagraph"/>
        <w:numPr>
          <w:ilvl w:val="0"/>
          <w:numId w:val="1"/>
        </w:numPr>
        <w:jc w:val="both"/>
      </w:pPr>
      <w:r w:rsidRPr="00043BD9">
        <w:t>Protocol Numbering: There must be a one-line space between each protocol step.</w:t>
      </w:r>
    </w:p>
    <w:p w:rsidR="002D12CF" w:rsidRPr="00043BD9" w:rsidRDefault="001854DB" w:rsidP="00BF7BF0">
      <w:pPr>
        <w:pStyle w:val="ListParagraph"/>
        <w:numPr>
          <w:ilvl w:val="0"/>
          <w:numId w:val="6"/>
        </w:numPr>
        <w:jc w:val="both"/>
        <w:rPr>
          <w:color w:val="FF0000"/>
        </w:rPr>
      </w:pPr>
      <w:r w:rsidRPr="00043BD9">
        <w:rPr>
          <w:color w:val="FF0000"/>
        </w:rPr>
        <w:t>Protocol numbering has been updated and one-line space has been inserted between each protocol step.</w:t>
      </w:r>
    </w:p>
    <w:p w:rsidR="001854DB" w:rsidRPr="00043BD9" w:rsidRDefault="001854DB" w:rsidP="00BF7BF0">
      <w:pPr>
        <w:pStyle w:val="ListParagraph"/>
        <w:ind w:left="1440"/>
        <w:jc w:val="both"/>
        <w:rPr>
          <w:color w:val="FF0000"/>
        </w:rPr>
      </w:pPr>
    </w:p>
    <w:p w:rsidR="002D12CF" w:rsidRPr="00043BD9" w:rsidRDefault="002D12CF" w:rsidP="00BF7BF0">
      <w:pPr>
        <w:pStyle w:val="ListParagraph"/>
        <w:numPr>
          <w:ilvl w:val="0"/>
          <w:numId w:val="1"/>
        </w:numPr>
        <w:jc w:val="both"/>
      </w:pPr>
      <w:r w:rsidRPr="00043BD9">
        <w:lastRenderedPageBreak/>
        <w:t>Protocol Highlight: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rsidR="006E52B1" w:rsidRPr="00043BD9" w:rsidRDefault="006E52B1" w:rsidP="00BF7BF0">
      <w:pPr>
        <w:pStyle w:val="ListParagraph"/>
        <w:numPr>
          <w:ilvl w:val="0"/>
          <w:numId w:val="26"/>
        </w:numPr>
        <w:jc w:val="both"/>
        <w:rPr>
          <w:color w:val="FF0000"/>
        </w:rPr>
      </w:pPr>
      <w:r w:rsidRPr="00043BD9">
        <w:rPr>
          <w:color w:val="FF0000"/>
        </w:rPr>
        <w:t>2.5 pages including the headings and spaces have been highlighted.</w:t>
      </w:r>
    </w:p>
    <w:p w:rsidR="002D12CF" w:rsidRPr="00043BD9" w:rsidRDefault="002D12CF" w:rsidP="00BF7BF0">
      <w:pPr>
        <w:jc w:val="both"/>
      </w:pPr>
    </w:p>
    <w:p w:rsidR="002D12CF" w:rsidRPr="00043BD9" w:rsidRDefault="002D12CF" w:rsidP="00BF7BF0">
      <w:pPr>
        <w:pStyle w:val="ListParagraph"/>
        <w:numPr>
          <w:ilvl w:val="0"/>
          <w:numId w:val="8"/>
        </w:numPr>
        <w:jc w:val="both"/>
      </w:pPr>
      <w:r w:rsidRPr="00043BD9">
        <w:t>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7A01E2" w:rsidRPr="00043BD9" w:rsidRDefault="008E79B1" w:rsidP="00BF7BF0">
      <w:pPr>
        <w:pStyle w:val="ListParagraph"/>
        <w:numPr>
          <w:ilvl w:val="0"/>
          <w:numId w:val="24"/>
        </w:numPr>
        <w:jc w:val="both"/>
        <w:rPr>
          <w:color w:val="FF0000"/>
        </w:rPr>
      </w:pPr>
      <w:r w:rsidRPr="00043BD9">
        <w:rPr>
          <w:color w:val="FF0000"/>
        </w:rPr>
        <w:t>All the relevant details</w:t>
      </w:r>
      <w:r w:rsidR="007A01E2" w:rsidRPr="00043BD9">
        <w:rPr>
          <w:color w:val="FF0000"/>
        </w:rPr>
        <w:t xml:space="preserve"> </w:t>
      </w:r>
      <w:r w:rsidRPr="00043BD9">
        <w:rPr>
          <w:color w:val="FF0000"/>
        </w:rPr>
        <w:t>required to perform the step have</w:t>
      </w:r>
      <w:r w:rsidR="007A01E2" w:rsidRPr="00043BD9">
        <w:rPr>
          <w:color w:val="FF0000"/>
        </w:rPr>
        <w:t xml:space="preserve"> been highlighted and the necessary sub-steps are also included in the highlighted steps for filming.</w:t>
      </w:r>
    </w:p>
    <w:p w:rsidR="0060151A" w:rsidRPr="00043BD9" w:rsidRDefault="0060151A" w:rsidP="00BF7BF0">
      <w:pPr>
        <w:pStyle w:val="ListParagraph"/>
        <w:ind w:left="1800"/>
        <w:jc w:val="both"/>
      </w:pPr>
    </w:p>
    <w:p w:rsidR="002D12CF" w:rsidRPr="00043BD9" w:rsidRDefault="002D12CF" w:rsidP="00BF7BF0">
      <w:pPr>
        <w:ind w:left="1440"/>
        <w:jc w:val="both"/>
      </w:pPr>
      <w:r w:rsidRPr="00043BD9">
        <w:t>2) Some of your shorter protocol steps can be combined so that individual steps contain 2-3 actions and maximum of 4 sentences per step.</w:t>
      </w:r>
    </w:p>
    <w:p w:rsidR="0060151A" w:rsidRPr="00043BD9" w:rsidRDefault="0060151A" w:rsidP="00BF7BF0">
      <w:pPr>
        <w:pStyle w:val="ListParagraph"/>
        <w:numPr>
          <w:ilvl w:val="0"/>
          <w:numId w:val="7"/>
        </w:numPr>
        <w:jc w:val="both"/>
        <w:rPr>
          <w:color w:val="FF0000"/>
        </w:rPr>
      </w:pPr>
      <w:r w:rsidRPr="00043BD9">
        <w:rPr>
          <w:color w:val="FF0000"/>
        </w:rPr>
        <w:t>Shorter protocol steps have been merged with not more than 4 sentences per step.</w:t>
      </w:r>
    </w:p>
    <w:p w:rsidR="0060151A" w:rsidRPr="00043BD9" w:rsidRDefault="0060151A" w:rsidP="00BF7BF0">
      <w:pPr>
        <w:pStyle w:val="ListParagraph"/>
        <w:ind w:left="2160"/>
        <w:jc w:val="both"/>
        <w:rPr>
          <w:color w:val="FF0000"/>
        </w:rPr>
      </w:pPr>
    </w:p>
    <w:p w:rsidR="002D12CF" w:rsidRPr="00043BD9" w:rsidRDefault="002D12CF" w:rsidP="00BF7BF0">
      <w:pPr>
        <w:pStyle w:val="ListParagraph"/>
        <w:numPr>
          <w:ilvl w:val="0"/>
          <w:numId w:val="8"/>
        </w:numPr>
        <w:jc w:val="both"/>
      </w:pPr>
      <w:r w:rsidRPr="00043BD9">
        <w:t>The highlighted steps should form a cohesive narrative, that is, there must be a logical flow from one highlighted step to the next.</w:t>
      </w:r>
    </w:p>
    <w:p w:rsidR="007A01E2" w:rsidRPr="00043BD9" w:rsidRDefault="007A01E2" w:rsidP="00BF7BF0">
      <w:pPr>
        <w:pStyle w:val="ListParagraph"/>
        <w:numPr>
          <w:ilvl w:val="0"/>
          <w:numId w:val="25"/>
        </w:numPr>
        <w:jc w:val="both"/>
        <w:rPr>
          <w:color w:val="FF0000"/>
        </w:rPr>
      </w:pPr>
      <w:r w:rsidRPr="00043BD9">
        <w:rPr>
          <w:color w:val="FF0000"/>
        </w:rPr>
        <w:t>Highlighted steps form a logical flow and are in continuation to their previous steps.</w:t>
      </w:r>
    </w:p>
    <w:p w:rsidR="0060151A" w:rsidRPr="00043BD9" w:rsidRDefault="0060151A" w:rsidP="00BF7BF0">
      <w:pPr>
        <w:pStyle w:val="ListParagraph"/>
        <w:ind w:left="1800"/>
        <w:jc w:val="both"/>
      </w:pPr>
    </w:p>
    <w:p w:rsidR="002D12CF" w:rsidRPr="00043BD9" w:rsidRDefault="002D12CF" w:rsidP="00BF7BF0">
      <w:pPr>
        <w:pStyle w:val="ListParagraph"/>
        <w:numPr>
          <w:ilvl w:val="0"/>
          <w:numId w:val="8"/>
        </w:numPr>
        <w:jc w:val="both"/>
      </w:pPr>
      <w:r w:rsidRPr="00043BD9">
        <w:t>Please highlight complete sentences (not parts of sentences). Include sub-headings and spaces when calculating the final highlighted length.</w:t>
      </w:r>
    </w:p>
    <w:p w:rsidR="007A01E2" w:rsidRPr="00043BD9" w:rsidRDefault="006E52B1" w:rsidP="00BF7BF0">
      <w:pPr>
        <w:pStyle w:val="ListParagraph"/>
        <w:numPr>
          <w:ilvl w:val="0"/>
          <w:numId w:val="27"/>
        </w:numPr>
        <w:jc w:val="both"/>
        <w:rPr>
          <w:color w:val="FF0000"/>
        </w:rPr>
      </w:pPr>
      <w:r w:rsidRPr="00043BD9">
        <w:rPr>
          <w:color w:val="FF0000"/>
        </w:rPr>
        <w:t>Complete sentences including sub-headings and spaces have been highlighted.</w:t>
      </w:r>
    </w:p>
    <w:p w:rsidR="0060151A" w:rsidRPr="00043BD9" w:rsidRDefault="0060151A" w:rsidP="00BF7BF0">
      <w:pPr>
        <w:jc w:val="both"/>
      </w:pPr>
    </w:p>
    <w:p w:rsidR="002D12CF" w:rsidRPr="00043BD9" w:rsidRDefault="002D12CF" w:rsidP="00BF7BF0">
      <w:pPr>
        <w:pStyle w:val="ListParagraph"/>
        <w:numPr>
          <w:ilvl w:val="0"/>
          <w:numId w:val="8"/>
        </w:numPr>
        <w:jc w:val="both"/>
      </w:pPr>
      <w:r w:rsidRPr="00043BD9">
        <w:t>Notes cannot be filmed and should be excluded from highlighting.</w:t>
      </w:r>
    </w:p>
    <w:p w:rsidR="006E52B1" w:rsidRPr="00043BD9" w:rsidRDefault="006E52B1" w:rsidP="00BF7BF0">
      <w:pPr>
        <w:pStyle w:val="ListParagraph"/>
        <w:numPr>
          <w:ilvl w:val="0"/>
          <w:numId w:val="28"/>
        </w:numPr>
        <w:jc w:val="both"/>
        <w:rPr>
          <w:color w:val="FF0000"/>
        </w:rPr>
      </w:pPr>
      <w:r w:rsidRPr="00043BD9">
        <w:rPr>
          <w:color w:val="FF0000"/>
        </w:rPr>
        <w:t xml:space="preserve">Most of the notes have removed from the protocol steps. There </w:t>
      </w:r>
      <w:r w:rsidR="004E6ACA" w:rsidRPr="00043BD9">
        <w:rPr>
          <w:color w:val="FF0000"/>
        </w:rPr>
        <w:t>is</w:t>
      </w:r>
      <w:r w:rsidRPr="00043BD9">
        <w:rPr>
          <w:color w:val="FF0000"/>
        </w:rPr>
        <w:t xml:space="preserve"> only </w:t>
      </w:r>
      <w:r w:rsidR="004E6ACA" w:rsidRPr="00043BD9">
        <w:rPr>
          <w:color w:val="FF0000"/>
        </w:rPr>
        <w:t>one note</w:t>
      </w:r>
      <w:r w:rsidRPr="00043BD9">
        <w:rPr>
          <w:color w:val="FF0000"/>
        </w:rPr>
        <w:t xml:space="preserve"> remaining in the protocol</w:t>
      </w:r>
      <w:r w:rsidR="008E79B1" w:rsidRPr="00043BD9">
        <w:rPr>
          <w:color w:val="FF0000"/>
        </w:rPr>
        <w:t>,</w:t>
      </w:r>
      <w:r w:rsidRPr="00043BD9">
        <w:rPr>
          <w:color w:val="FF0000"/>
        </w:rPr>
        <w:t xml:space="preserve"> which </w:t>
      </w:r>
      <w:r w:rsidR="008E79B1" w:rsidRPr="00043BD9">
        <w:rPr>
          <w:color w:val="FF0000"/>
        </w:rPr>
        <w:t>is not highlighted</w:t>
      </w:r>
      <w:r w:rsidRPr="00043BD9">
        <w:rPr>
          <w:color w:val="FF0000"/>
        </w:rPr>
        <w:t>.</w:t>
      </w:r>
    </w:p>
    <w:p w:rsidR="002D12CF" w:rsidRPr="00043BD9" w:rsidRDefault="002D12CF" w:rsidP="00BF7BF0">
      <w:pPr>
        <w:pStyle w:val="ListParagraph"/>
        <w:jc w:val="both"/>
      </w:pPr>
    </w:p>
    <w:p w:rsidR="002D12CF" w:rsidRPr="00043BD9" w:rsidRDefault="002D12CF" w:rsidP="00BF7BF0">
      <w:pPr>
        <w:pStyle w:val="ListParagraph"/>
        <w:numPr>
          <w:ilvl w:val="0"/>
          <w:numId w:val="2"/>
        </w:numPr>
        <w:jc w:val="both"/>
      </w:pPr>
      <w:r w:rsidRPr="00043BD9">
        <w:t xml:space="preserve">Discussion: </w:t>
      </w:r>
      <w:proofErr w:type="spellStart"/>
      <w:r w:rsidRPr="00043BD9">
        <w:t>JoVE</w:t>
      </w:r>
      <w:proofErr w:type="spellEnd"/>
      <w:r w:rsidRPr="00043BD9">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60151A" w:rsidRPr="00043BD9" w:rsidRDefault="0060151A" w:rsidP="00BF7BF0">
      <w:pPr>
        <w:pStyle w:val="ListParagraph"/>
        <w:numPr>
          <w:ilvl w:val="0"/>
          <w:numId w:val="9"/>
        </w:numPr>
        <w:jc w:val="both"/>
        <w:rPr>
          <w:color w:val="FF0000"/>
        </w:rPr>
      </w:pPr>
      <w:r w:rsidRPr="00043BD9">
        <w:rPr>
          <w:color w:val="FF0000"/>
        </w:rPr>
        <w:t xml:space="preserve">The suggested change has been made. Discussion has been modified based on the critical steps, limitations, modifications and </w:t>
      </w:r>
      <w:proofErr w:type="spellStart"/>
      <w:r w:rsidRPr="00043BD9">
        <w:rPr>
          <w:color w:val="FF0000"/>
        </w:rPr>
        <w:t>troubleshootings</w:t>
      </w:r>
      <w:proofErr w:type="spellEnd"/>
      <w:r w:rsidRPr="00043BD9">
        <w:rPr>
          <w:color w:val="FF0000"/>
        </w:rPr>
        <w:t xml:space="preserve">. Changes can been seen between line </w:t>
      </w:r>
      <w:r w:rsidR="002F629C">
        <w:rPr>
          <w:color w:val="FF0000"/>
        </w:rPr>
        <w:t>336-339,347-349,356-365and 392-405.</w:t>
      </w:r>
    </w:p>
    <w:p w:rsidR="002D12CF" w:rsidRPr="00043BD9" w:rsidRDefault="002D12CF" w:rsidP="00BF7BF0">
      <w:pPr>
        <w:jc w:val="both"/>
      </w:pPr>
    </w:p>
    <w:p w:rsidR="002D12CF" w:rsidRPr="00043BD9" w:rsidRDefault="002D12CF" w:rsidP="00BF7BF0">
      <w:pPr>
        <w:pStyle w:val="ListParagraph"/>
        <w:numPr>
          <w:ilvl w:val="0"/>
          <w:numId w:val="2"/>
        </w:numPr>
        <w:jc w:val="both"/>
      </w:pPr>
      <w:r w:rsidRPr="00043BD9">
        <w:t xml:space="preserve">Commercial Language: </w:t>
      </w:r>
      <w:proofErr w:type="spellStart"/>
      <w:r w:rsidRPr="00043BD9">
        <w:t>JoVE</w:t>
      </w:r>
      <w:proofErr w:type="spellEnd"/>
      <w:r w:rsidRPr="00043BD9">
        <w:t xml:space="preserve"> is unable to publish manuscripts containing commercial sounding language, including trademark or registered trademark symbols (TM/R) and the </w:t>
      </w:r>
      <w:r w:rsidRPr="00043BD9">
        <w:lastRenderedPageBreak/>
        <w:t xml:space="preserve">mention of company brand names before an instrument or reagent. Examples of commercial sounding language in your manuscript are vacutainer, </w:t>
      </w:r>
      <w:proofErr w:type="spellStart"/>
      <w:r w:rsidRPr="00043BD9">
        <w:t>EasySepTM</w:t>
      </w:r>
      <w:proofErr w:type="spellEnd"/>
      <w:r w:rsidRPr="00043BD9">
        <w:t xml:space="preserve">, e RNeasy </w:t>
      </w:r>
      <w:proofErr w:type="gramStart"/>
      <w:r w:rsidRPr="00043BD9">
        <w:t>Plus</w:t>
      </w:r>
      <w:proofErr w:type="gramEnd"/>
      <w:r w:rsidRPr="00043BD9">
        <w:t xml:space="preserve"> Mini kit (</w:t>
      </w:r>
      <w:proofErr w:type="spellStart"/>
      <w:r w:rsidRPr="00043BD9">
        <w:t>Qiagen</w:t>
      </w:r>
      <w:proofErr w:type="spellEnd"/>
      <w:r w:rsidRPr="00043BD9">
        <w:t>, (</w:t>
      </w:r>
      <w:proofErr w:type="spellStart"/>
      <w:r w:rsidRPr="00043BD9">
        <w:t>Zymo</w:t>
      </w:r>
      <w:proofErr w:type="spellEnd"/>
      <w:r w:rsidRPr="00043BD9">
        <w:t xml:space="preserve"> Research). 1) Please use MS Word’s find function (</w:t>
      </w:r>
      <w:proofErr w:type="spellStart"/>
      <w:r w:rsidRPr="00043BD9">
        <w:t>Ctrl+F</w:t>
      </w:r>
      <w:proofErr w:type="spellEnd"/>
      <w:r w:rsidRPr="00043BD9">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60151A" w:rsidRPr="00043BD9" w:rsidRDefault="008E79B1" w:rsidP="00BF7BF0">
      <w:pPr>
        <w:pStyle w:val="ListParagraph"/>
        <w:numPr>
          <w:ilvl w:val="0"/>
          <w:numId w:val="10"/>
        </w:numPr>
        <w:jc w:val="both"/>
        <w:rPr>
          <w:color w:val="FF0000"/>
        </w:rPr>
      </w:pPr>
      <w:r w:rsidRPr="00043BD9">
        <w:rPr>
          <w:color w:val="FF0000"/>
        </w:rPr>
        <w:t>All the commercial language has</w:t>
      </w:r>
      <w:r w:rsidR="00717F0E" w:rsidRPr="00043BD9">
        <w:rPr>
          <w:color w:val="FF0000"/>
        </w:rPr>
        <w:t xml:space="preserve"> been modified to generic names of the materials/reagents</w:t>
      </w:r>
      <w:r w:rsidRPr="00043BD9">
        <w:rPr>
          <w:color w:val="FF0000"/>
        </w:rPr>
        <w:t>,</w:t>
      </w:r>
      <w:r w:rsidR="00717F0E" w:rsidRPr="00043BD9">
        <w:rPr>
          <w:color w:val="FF0000"/>
        </w:rPr>
        <w:t xml:space="preserve"> as per suggestion.</w:t>
      </w:r>
    </w:p>
    <w:p w:rsidR="002D12CF" w:rsidRPr="00043BD9" w:rsidRDefault="002D12CF" w:rsidP="00BF7BF0">
      <w:pPr>
        <w:jc w:val="both"/>
      </w:pPr>
    </w:p>
    <w:p w:rsidR="002D12CF" w:rsidRPr="00043BD9" w:rsidRDefault="002D12CF" w:rsidP="00BF7BF0">
      <w:pPr>
        <w:pStyle w:val="ListParagraph"/>
        <w:numPr>
          <w:ilvl w:val="0"/>
          <w:numId w:val="2"/>
        </w:numPr>
        <w:jc w:val="both"/>
      </w:pPr>
      <w:r w:rsidRPr="00043BD9">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43BD9">
        <w:t>JoVE</w:t>
      </w:r>
      <w:proofErr w:type="spellEnd"/>
      <w:r w:rsidRPr="00043BD9">
        <w:t>)" section. Please also cite the figure appropriately in the figure legend, i.e. "This figure has been modified from [citation]."</w:t>
      </w:r>
    </w:p>
    <w:p w:rsidR="00717F0E" w:rsidRPr="00043BD9" w:rsidRDefault="00717F0E" w:rsidP="00BF7BF0">
      <w:pPr>
        <w:pStyle w:val="ListParagraph"/>
        <w:numPr>
          <w:ilvl w:val="0"/>
          <w:numId w:val="11"/>
        </w:numPr>
        <w:jc w:val="both"/>
        <w:rPr>
          <w:color w:val="FF0000"/>
        </w:rPr>
      </w:pPr>
      <w:r w:rsidRPr="00043BD9">
        <w:rPr>
          <w:color w:val="FF0000"/>
        </w:rPr>
        <w:t>Figures and tables in the manuscript are original.</w:t>
      </w:r>
    </w:p>
    <w:p w:rsidR="00717F0E" w:rsidRPr="00043BD9" w:rsidRDefault="00717F0E" w:rsidP="00BF7BF0">
      <w:pPr>
        <w:jc w:val="both"/>
        <w:rPr>
          <w:color w:val="FF0000"/>
        </w:rPr>
      </w:pPr>
    </w:p>
    <w:p w:rsidR="00717F0E" w:rsidRPr="00043BD9" w:rsidRDefault="00717F0E" w:rsidP="00BF7BF0">
      <w:pPr>
        <w:jc w:val="both"/>
        <w:rPr>
          <w:color w:val="FF0000"/>
        </w:rPr>
      </w:pPr>
    </w:p>
    <w:p w:rsidR="00717F0E" w:rsidRPr="00043BD9" w:rsidRDefault="00717F0E" w:rsidP="00BF7BF0">
      <w:pPr>
        <w:jc w:val="both"/>
        <w:rPr>
          <w:b/>
        </w:rPr>
      </w:pPr>
      <w:r w:rsidRPr="00043BD9">
        <w:rPr>
          <w:b/>
        </w:rPr>
        <w:t xml:space="preserve">Comments from Peer-Reviewers: </w:t>
      </w:r>
    </w:p>
    <w:p w:rsidR="00717F0E" w:rsidRPr="00043BD9" w:rsidRDefault="00717F0E" w:rsidP="00BF7BF0">
      <w:pPr>
        <w:jc w:val="both"/>
      </w:pPr>
    </w:p>
    <w:p w:rsidR="00717F0E" w:rsidRPr="00043BD9" w:rsidRDefault="00717F0E" w:rsidP="00BF7BF0">
      <w:pPr>
        <w:jc w:val="both"/>
        <w:rPr>
          <w:b/>
        </w:rPr>
      </w:pPr>
      <w:r w:rsidRPr="00043BD9">
        <w:rPr>
          <w:b/>
        </w:rPr>
        <w:t>Reviewer #1:</w:t>
      </w:r>
    </w:p>
    <w:p w:rsidR="00717F0E" w:rsidRPr="00043BD9" w:rsidRDefault="00717F0E" w:rsidP="00BF7BF0">
      <w:pPr>
        <w:jc w:val="both"/>
      </w:pPr>
      <w:r w:rsidRPr="00043BD9">
        <w:rPr>
          <w:b/>
        </w:rPr>
        <w:t>General comments:</w:t>
      </w:r>
      <w:r w:rsidRPr="00043BD9">
        <w:t xml:space="preserve"> The manuscript describes in detail a useful to isolate and study malignant T cells from </w:t>
      </w:r>
      <w:proofErr w:type="spellStart"/>
      <w:r w:rsidRPr="00043BD9">
        <w:t>Sezary</w:t>
      </w:r>
      <w:proofErr w:type="spellEnd"/>
      <w:r w:rsidRPr="00043BD9">
        <w:t xml:space="preserve"> Syndrome patients. This protocol would be used by scientists since it provides adequate information and is very targeted, useful and specific for clinician scientists, who wish to study this deadly disease.</w:t>
      </w:r>
    </w:p>
    <w:p w:rsidR="00717F0E" w:rsidRPr="00043BD9" w:rsidRDefault="00717F0E" w:rsidP="00BF7BF0">
      <w:pPr>
        <w:jc w:val="both"/>
      </w:pPr>
    </w:p>
    <w:p w:rsidR="008A08B4" w:rsidRPr="00043BD9" w:rsidRDefault="008A08B4" w:rsidP="00BF7BF0">
      <w:pPr>
        <w:jc w:val="both"/>
        <w:rPr>
          <w:b/>
        </w:rPr>
      </w:pPr>
      <w:r w:rsidRPr="00043BD9">
        <w:rPr>
          <w:b/>
        </w:rPr>
        <w:t>Specific comments:</w:t>
      </w:r>
    </w:p>
    <w:p w:rsidR="00717F0E" w:rsidRPr="00043BD9" w:rsidRDefault="00717F0E" w:rsidP="00BF7BF0">
      <w:pPr>
        <w:jc w:val="both"/>
        <w:rPr>
          <w:b/>
        </w:rPr>
      </w:pPr>
    </w:p>
    <w:p w:rsidR="00717F0E" w:rsidRPr="00043BD9" w:rsidRDefault="00717F0E" w:rsidP="00BF7BF0">
      <w:pPr>
        <w:pStyle w:val="ListParagraph"/>
        <w:numPr>
          <w:ilvl w:val="0"/>
          <w:numId w:val="12"/>
        </w:numPr>
        <w:jc w:val="both"/>
      </w:pPr>
      <w:r w:rsidRPr="00043BD9">
        <w:t xml:space="preserve">Throughout the protocol and in the tables please spell out all acronyms at least once e.g., HBBS -- Hanks' balanced salt solution; </w:t>
      </w:r>
      <w:proofErr w:type="spellStart"/>
      <w:r w:rsidRPr="00043BD9">
        <w:t>Affymetrix</w:t>
      </w:r>
      <w:proofErr w:type="spellEnd"/>
      <w:r w:rsidRPr="00043BD9">
        <w:t xml:space="preserve"> HG (human Genome), ACK, EDTA, DMSO, RT -- room temperature; PMA -- </w:t>
      </w:r>
      <w:proofErr w:type="spellStart"/>
      <w:r w:rsidRPr="00043BD9">
        <w:t>phorbol</w:t>
      </w:r>
      <w:proofErr w:type="spellEnd"/>
      <w:r w:rsidRPr="00043BD9">
        <w:t xml:space="preserve"> </w:t>
      </w:r>
      <w:proofErr w:type="spellStart"/>
      <w:r w:rsidRPr="00043BD9">
        <w:t>myristate</w:t>
      </w:r>
      <w:proofErr w:type="spellEnd"/>
      <w:r w:rsidRPr="00043BD9">
        <w:t xml:space="preserve"> acetate, ND -- normal donor cells, etc. Please do this for every abbreviation or chemical name used.</w:t>
      </w:r>
    </w:p>
    <w:p w:rsidR="008A08B4" w:rsidRPr="00043BD9" w:rsidRDefault="008A08B4" w:rsidP="00BF7BF0">
      <w:pPr>
        <w:pStyle w:val="ListParagraph"/>
        <w:numPr>
          <w:ilvl w:val="0"/>
          <w:numId w:val="15"/>
        </w:numPr>
        <w:jc w:val="both"/>
        <w:rPr>
          <w:color w:val="FF0000"/>
        </w:rPr>
      </w:pPr>
      <w:r w:rsidRPr="00043BD9">
        <w:rPr>
          <w:color w:val="FF0000"/>
        </w:rPr>
        <w:t>Thank you for alerting us to this oversight. The suggested edits were made.</w:t>
      </w:r>
    </w:p>
    <w:p w:rsidR="008A08B4" w:rsidRPr="00043BD9" w:rsidRDefault="008A08B4" w:rsidP="00BF7BF0">
      <w:pPr>
        <w:pStyle w:val="ListParagraph"/>
        <w:ind w:left="1440"/>
        <w:jc w:val="both"/>
        <w:rPr>
          <w:color w:val="FF0000"/>
        </w:rPr>
      </w:pPr>
    </w:p>
    <w:p w:rsidR="00717F0E" w:rsidRPr="00043BD9" w:rsidRDefault="00717F0E" w:rsidP="00BF7BF0">
      <w:pPr>
        <w:pStyle w:val="ListParagraph"/>
        <w:numPr>
          <w:ilvl w:val="0"/>
          <w:numId w:val="12"/>
        </w:numPr>
        <w:jc w:val="both"/>
      </w:pPr>
      <w:r w:rsidRPr="00043BD9">
        <w:t>Please specify "T" cells every time you are referring to CD4+ o CD4+CD45RO+ cells. Please specify "T" cells throughout the manuscript/figures.</w:t>
      </w:r>
    </w:p>
    <w:p w:rsidR="008A08B4" w:rsidRPr="00043BD9" w:rsidRDefault="008A08B4" w:rsidP="00BF7BF0">
      <w:pPr>
        <w:pStyle w:val="ListParagraph"/>
        <w:numPr>
          <w:ilvl w:val="0"/>
          <w:numId w:val="16"/>
        </w:numPr>
        <w:jc w:val="both"/>
        <w:rPr>
          <w:color w:val="FF0000"/>
        </w:rPr>
      </w:pPr>
      <w:r w:rsidRPr="00043BD9">
        <w:rPr>
          <w:color w:val="FF0000"/>
        </w:rPr>
        <w:t>Thank you for the suggestion. Necessary changes have been made.</w:t>
      </w:r>
    </w:p>
    <w:p w:rsidR="008A08B4" w:rsidRPr="00043BD9" w:rsidRDefault="008A08B4" w:rsidP="00BF7BF0">
      <w:pPr>
        <w:jc w:val="both"/>
        <w:rPr>
          <w:color w:val="FF0000"/>
        </w:rPr>
      </w:pPr>
    </w:p>
    <w:p w:rsidR="00717F0E" w:rsidRPr="00043BD9" w:rsidRDefault="00717F0E" w:rsidP="00BF7BF0">
      <w:pPr>
        <w:pStyle w:val="ListParagraph"/>
        <w:numPr>
          <w:ilvl w:val="0"/>
          <w:numId w:val="12"/>
        </w:numPr>
        <w:jc w:val="both"/>
      </w:pPr>
      <w:r w:rsidRPr="00043BD9">
        <w:t xml:space="preserve">The authors clarify that many T cells loose classic T cell markers including CD3 -- please in the discussion elaborate that this is the reason why CD3+ CD28+ </w:t>
      </w:r>
      <w:proofErr w:type="spellStart"/>
      <w:r w:rsidRPr="00043BD9">
        <w:t>Dynabeads</w:t>
      </w:r>
      <w:proofErr w:type="spellEnd"/>
      <w:r w:rsidRPr="00043BD9">
        <w:t xml:space="preserve"> -- may not be optimal to activate </w:t>
      </w:r>
      <w:proofErr w:type="spellStart"/>
      <w:r w:rsidRPr="00043BD9">
        <w:t>Sezary</w:t>
      </w:r>
      <w:proofErr w:type="spellEnd"/>
      <w:r w:rsidRPr="00043BD9">
        <w:t xml:space="preserve"> cells.</w:t>
      </w:r>
    </w:p>
    <w:p w:rsidR="008A08B4" w:rsidRPr="00043BD9" w:rsidRDefault="008A08B4" w:rsidP="00BF7BF0">
      <w:pPr>
        <w:pStyle w:val="ListParagraph"/>
        <w:numPr>
          <w:ilvl w:val="0"/>
          <w:numId w:val="17"/>
        </w:numPr>
        <w:jc w:val="both"/>
        <w:rPr>
          <w:color w:val="FF0000"/>
        </w:rPr>
      </w:pPr>
      <w:r w:rsidRPr="00043BD9">
        <w:rPr>
          <w:color w:val="FF0000"/>
        </w:rPr>
        <w:lastRenderedPageBreak/>
        <w:t xml:space="preserve">Thank you for the comment. </w:t>
      </w:r>
      <w:r w:rsidR="003A5946" w:rsidRPr="00043BD9">
        <w:rPr>
          <w:color w:val="FF0000"/>
        </w:rPr>
        <w:t>The discussion section has been updated and the required changes</w:t>
      </w:r>
      <w:r w:rsidR="002F629C">
        <w:rPr>
          <w:color w:val="FF0000"/>
        </w:rPr>
        <w:t xml:space="preserve"> have been made between </w:t>
      </w:r>
      <w:proofErr w:type="gramStart"/>
      <w:r w:rsidR="002F629C">
        <w:rPr>
          <w:color w:val="FF0000"/>
        </w:rPr>
        <w:t>line</w:t>
      </w:r>
      <w:proofErr w:type="gramEnd"/>
      <w:r w:rsidR="002F629C">
        <w:rPr>
          <w:color w:val="FF0000"/>
        </w:rPr>
        <w:t xml:space="preserve"> 3</w:t>
      </w:r>
      <w:r w:rsidR="00925DD0" w:rsidRPr="00043BD9">
        <w:rPr>
          <w:color w:val="FF0000"/>
        </w:rPr>
        <w:t>83</w:t>
      </w:r>
      <w:r w:rsidR="002F629C">
        <w:rPr>
          <w:color w:val="FF0000"/>
        </w:rPr>
        <w:t>-405</w:t>
      </w:r>
      <w:r w:rsidR="003A5946" w:rsidRPr="00043BD9">
        <w:rPr>
          <w:color w:val="FF0000"/>
        </w:rPr>
        <w:t>.</w:t>
      </w:r>
    </w:p>
    <w:p w:rsidR="00D506ED" w:rsidRPr="00043BD9" w:rsidRDefault="00D506ED" w:rsidP="00BF7BF0">
      <w:pPr>
        <w:pStyle w:val="ListParagraph"/>
        <w:ind w:left="1440"/>
        <w:jc w:val="both"/>
        <w:rPr>
          <w:color w:val="FF0000"/>
        </w:rPr>
      </w:pPr>
    </w:p>
    <w:p w:rsidR="00717F0E" w:rsidRPr="00043BD9" w:rsidRDefault="00717F0E" w:rsidP="00BF7BF0">
      <w:pPr>
        <w:pStyle w:val="ListParagraph"/>
        <w:numPr>
          <w:ilvl w:val="0"/>
          <w:numId w:val="12"/>
        </w:numPr>
        <w:jc w:val="both"/>
      </w:pPr>
      <w:r w:rsidRPr="00043BD9">
        <w:t xml:space="preserve">Please specify that another name for A23187 is </w:t>
      </w:r>
      <w:proofErr w:type="spellStart"/>
      <w:r w:rsidRPr="00043BD9">
        <w:t>Ionomycin</w:t>
      </w:r>
      <w:proofErr w:type="spellEnd"/>
      <w:r w:rsidRPr="00043BD9">
        <w:t>.</w:t>
      </w:r>
    </w:p>
    <w:p w:rsidR="00D506ED" w:rsidRPr="00043BD9" w:rsidRDefault="006F646F" w:rsidP="00BF7BF0">
      <w:pPr>
        <w:pStyle w:val="ListParagraph"/>
        <w:numPr>
          <w:ilvl w:val="0"/>
          <w:numId w:val="18"/>
        </w:numPr>
        <w:jc w:val="both"/>
        <w:rPr>
          <w:color w:val="FF0000"/>
        </w:rPr>
      </w:pPr>
      <w:r w:rsidRPr="00043BD9">
        <w:rPr>
          <w:color w:val="FF0000"/>
        </w:rPr>
        <w:t>Thank y</w:t>
      </w:r>
      <w:r w:rsidR="00925DD0" w:rsidRPr="00043BD9">
        <w:rPr>
          <w:color w:val="FF0000"/>
        </w:rPr>
        <w:t>ou for the comment</w:t>
      </w:r>
      <w:r w:rsidRPr="00043BD9">
        <w:rPr>
          <w:color w:val="FF0000"/>
        </w:rPr>
        <w:t xml:space="preserve">. A23187 is </w:t>
      </w:r>
      <w:r w:rsidR="00803521">
        <w:rPr>
          <w:color w:val="FF0000"/>
        </w:rPr>
        <w:t xml:space="preserve">an </w:t>
      </w:r>
      <w:proofErr w:type="spellStart"/>
      <w:r w:rsidR="00803521">
        <w:rPr>
          <w:color w:val="FF0000"/>
        </w:rPr>
        <w:t>ionophore</w:t>
      </w:r>
      <w:proofErr w:type="spellEnd"/>
      <w:r w:rsidR="00803521">
        <w:rPr>
          <w:color w:val="FF0000"/>
        </w:rPr>
        <w:t xml:space="preserve"> but is </w:t>
      </w:r>
      <w:r w:rsidRPr="00043BD9">
        <w:rPr>
          <w:color w:val="FF0000"/>
        </w:rPr>
        <w:t xml:space="preserve">not </w:t>
      </w:r>
      <w:proofErr w:type="spellStart"/>
      <w:r w:rsidRPr="00043BD9">
        <w:rPr>
          <w:color w:val="FF0000"/>
        </w:rPr>
        <w:t>Ionomycin</w:t>
      </w:r>
      <w:proofErr w:type="spellEnd"/>
      <w:r w:rsidR="00D506ED" w:rsidRPr="00043BD9">
        <w:rPr>
          <w:color w:val="FF0000"/>
        </w:rPr>
        <w:t>.</w:t>
      </w:r>
      <w:r w:rsidRPr="00043BD9">
        <w:rPr>
          <w:color w:val="FF0000"/>
        </w:rPr>
        <w:t xml:space="preserve"> </w:t>
      </w:r>
      <w:proofErr w:type="spellStart"/>
      <w:r w:rsidRPr="00043BD9">
        <w:rPr>
          <w:color w:val="FF0000"/>
        </w:rPr>
        <w:t>Ionomycin</w:t>
      </w:r>
      <w:proofErr w:type="spellEnd"/>
      <w:r w:rsidRPr="00043BD9">
        <w:rPr>
          <w:color w:val="FF0000"/>
        </w:rPr>
        <w:t xml:space="preserve"> and A23187 (</w:t>
      </w:r>
      <w:proofErr w:type="spellStart"/>
      <w:r w:rsidRPr="00043BD9">
        <w:rPr>
          <w:color w:val="FF0000"/>
        </w:rPr>
        <w:t>Calcimycin</w:t>
      </w:r>
      <w:proofErr w:type="spellEnd"/>
      <w:r w:rsidRPr="00043BD9">
        <w:rPr>
          <w:color w:val="FF0000"/>
        </w:rPr>
        <w:t>) are two different compounds with formula weight 747.06 and 523.6, respectively</w:t>
      </w:r>
      <w:r w:rsidR="00803521">
        <w:rPr>
          <w:color w:val="FF0000"/>
        </w:rPr>
        <w:t xml:space="preserve"> that can both increase intracellular calcium</w:t>
      </w:r>
      <w:r w:rsidRPr="00043BD9">
        <w:rPr>
          <w:color w:val="FF0000"/>
        </w:rPr>
        <w:t>.</w:t>
      </w:r>
    </w:p>
    <w:p w:rsidR="00D506ED" w:rsidRPr="00043BD9" w:rsidRDefault="00D506ED" w:rsidP="00BF7BF0">
      <w:pPr>
        <w:jc w:val="both"/>
        <w:rPr>
          <w:color w:val="FF0000"/>
        </w:rPr>
      </w:pPr>
    </w:p>
    <w:p w:rsidR="00717F0E" w:rsidRPr="00043BD9" w:rsidRDefault="00717F0E" w:rsidP="00BF7BF0">
      <w:pPr>
        <w:pStyle w:val="ListParagraph"/>
        <w:numPr>
          <w:ilvl w:val="0"/>
          <w:numId w:val="12"/>
        </w:numPr>
        <w:jc w:val="both"/>
      </w:pPr>
      <w:r w:rsidRPr="00043BD9">
        <w:t xml:space="preserve">Please change 37oC Co2 --&gt; 37 </w:t>
      </w:r>
      <w:proofErr w:type="spellStart"/>
      <w:r w:rsidRPr="00043BD9">
        <w:t>oC</w:t>
      </w:r>
      <w:proofErr w:type="spellEnd"/>
      <w:r w:rsidRPr="00043BD9">
        <w:t xml:space="preserve"> 5% CO2 throughout the paper.</w:t>
      </w:r>
    </w:p>
    <w:p w:rsidR="00D506ED" w:rsidRPr="00043BD9" w:rsidRDefault="00D506ED" w:rsidP="00BF7BF0">
      <w:pPr>
        <w:pStyle w:val="ListParagraph"/>
        <w:numPr>
          <w:ilvl w:val="0"/>
          <w:numId w:val="19"/>
        </w:numPr>
        <w:jc w:val="both"/>
        <w:rPr>
          <w:color w:val="FF0000"/>
        </w:rPr>
      </w:pPr>
      <w:r w:rsidRPr="00043BD9">
        <w:rPr>
          <w:color w:val="FF0000"/>
        </w:rPr>
        <w:t xml:space="preserve">Thank you for </w:t>
      </w:r>
      <w:r w:rsidR="00803521">
        <w:rPr>
          <w:color w:val="FF0000"/>
        </w:rPr>
        <w:t>highlighting</w:t>
      </w:r>
      <w:bookmarkStart w:id="0" w:name="_GoBack"/>
      <w:bookmarkEnd w:id="0"/>
      <w:r w:rsidRPr="00043BD9">
        <w:rPr>
          <w:color w:val="FF0000"/>
        </w:rPr>
        <w:t xml:space="preserve"> this oversight.  It has been corrected.</w:t>
      </w:r>
    </w:p>
    <w:p w:rsidR="00D506ED" w:rsidRPr="00043BD9" w:rsidRDefault="00D506ED" w:rsidP="00BF7BF0">
      <w:pPr>
        <w:pStyle w:val="ListParagraph"/>
        <w:ind w:left="1440"/>
        <w:jc w:val="both"/>
        <w:rPr>
          <w:color w:val="FF0000"/>
        </w:rPr>
      </w:pPr>
    </w:p>
    <w:p w:rsidR="00717F0E" w:rsidRPr="00043BD9" w:rsidRDefault="00717F0E" w:rsidP="00BF7BF0">
      <w:pPr>
        <w:pStyle w:val="ListParagraph"/>
        <w:numPr>
          <w:ilvl w:val="0"/>
          <w:numId w:val="12"/>
        </w:numPr>
        <w:jc w:val="both"/>
      </w:pPr>
      <w:proofErr w:type="gramStart"/>
      <w:r w:rsidRPr="00043BD9">
        <w:t>in</w:t>
      </w:r>
      <w:proofErr w:type="gramEnd"/>
      <w:r w:rsidRPr="00043BD9">
        <w:t xml:space="preserve"> 3.15 should be 10 ml "of" selection media.</w:t>
      </w:r>
    </w:p>
    <w:p w:rsidR="00D506ED" w:rsidRPr="00043BD9" w:rsidRDefault="00D506ED" w:rsidP="00BF7BF0">
      <w:pPr>
        <w:pStyle w:val="ListParagraph"/>
        <w:numPr>
          <w:ilvl w:val="0"/>
          <w:numId w:val="20"/>
        </w:numPr>
        <w:jc w:val="both"/>
      </w:pPr>
      <w:r w:rsidRPr="00043BD9">
        <w:rPr>
          <w:color w:val="FF0000"/>
        </w:rPr>
        <w:t>The suggested edit w</w:t>
      </w:r>
      <w:r w:rsidR="004F0746" w:rsidRPr="00043BD9">
        <w:rPr>
          <w:color w:val="FF0000"/>
        </w:rPr>
        <w:t>as</w:t>
      </w:r>
      <w:r w:rsidRPr="00043BD9">
        <w:rPr>
          <w:color w:val="FF0000"/>
        </w:rPr>
        <w:t xml:space="preserve"> made.</w:t>
      </w:r>
    </w:p>
    <w:p w:rsidR="00717F0E" w:rsidRPr="00043BD9" w:rsidRDefault="00717F0E" w:rsidP="00BF7BF0">
      <w:pPr>
        <w:jc w:val="both"/>
      </w:pPr>
    </w:p>
    <w:p w:rsidR="00717F0E" w:rsidRPr="00043BD9" w:rsidRDefault="00717F0E" w:rsidP="00BF7BF0">
      <w:pPr>
        <w:jc w:val="both"/>
        <w:rPr>
          <w:b/>
        </w:rPr>
      </w:pPr>
      <w:r w:rsidRPr="00043BD9">
        <w:rPr>
          <w:b/>
        </w:rPr>
        <w:t>Reviewer #2:</w:t>
      </w:r>
    </w:p>
    <w:p w:rsidR="00717F0E" w:rsidRPr="00043BD9" w:rsidRDefault="00D506ED" w:rsidP="00BF7BF0">
      <w:pPr>
        <w:jc w:val="both"/>
      </w:pPr>
      <w:r w:rsidRPr="00043BD9">
        <w:rPr>
          <w:b/>
        </w:rPr>
        <w:t xml:space="preserve">General Comments: </w:t>
      </w:r>
      <w:r w:rsidR="00717F0E" w:rsidRPr="00043BD9">
        <w:t xml:space="preserve">This is a methodological paper describing in details a method of Sézary cells purification and activation, although it is not novel. Isolation of PBMCs from whole blood and CD4/CD45RO cells purification are widely used in many laboratories. Also the method of T cell activation has been already 40 years ago by Pick et al: "Intracellular mediation of </w:t>
      </w:r>
      <w:proofErr w:type="spellStart"/>
      <w:r w:rsidR="00717F0E" w:rsidRPr="00043BD9">
        <w:t>lymphokine</w:t>
      </w:r>
      <w:proofErr w:type="spellEnd"/>
      <w:r w:rsidR="00717F0E" w:rsidRPr="00043BD9">
        <w:t xml:space="preserve"> action: mimicry of migration inhibitory factor (MIF) action by </w:t>
      </w:r>
      <w:proofErr w:type="spellStart"/>
      <w:r w:rsidR="00717F0E" w:rsidRPr="00043BD9">
        <w:t>phorbol</w:t>
      </w:r>
      <w:proofErr w:type="spellEnd"/>
      <w:r w:rsidR="00717F0E" w:rsidRPr="00043BD9">
        <w:t xml:space="preserve"> </w:t>
      </w:r>
      <w:proofErr w:type="spellStart"/>
      <w:r w:rsidR="00717F0E" w:rsidRPr="00043BD9">
        <w:t>myristate</w:t>
      </w:r>
      <w:proofErr w:type="spellEnd"/>
      <w:r w:rsidR="00717F0E" w:rsidRPr="00043BD9">
        <w:t xml:space="preserve"> acetate (PMA) and the </w:t>
      </w:r>
      <w:proofErr w:type="spellStart"/>
      <w:r w:rsidR="00717F0E" w:rsidRPr="00043BD9">
        <w:t>ionophore</w:t>
      </w:r>
      <w:proofErr w:type="spellEnd"/>
      <w:r w:rsidR="00717F0E" w:rsidRPr="00043BD9">
        <w:t xml:space="preserve"> A23187." Ann N Y </w:t>
      </w:r>
      <w:proofErr w:type="spellStart"/>
      <w:r w:rsidR="00717F0E" w:rsidRPr="00043BD9">
        <w:t>Acad</w:t>
      </w:r>
      <w:proofErr w:type="spellEnd"/>
      <w:r w:rsidR="00717F0E" w:rsidRPr="00043BD9">
        <w:t xml:space="preserve"> Sci. 1979</w:t>
      </w:r>
      <w:proofErr w:type="gramStart"/>
      <w:r w:rsidR="00717F0E" w:rsidRPr="00043BD9">
        <w:t>;332:378</w:t>
      </w:r>
      <w:proofErr w:type="gramEnd"/>
      <w:r w:rsidR="00717F0E" w:rsidRPr="00043BD9">
        <w:t xml:space="preserve">-94. The first author Wong used this method in his paper "Induced Sézary Syndrome PBMCs poorly express </w:t>
      </w:r>
      <w:proofErr w:type="spellStart"/>
      <w:r w:rsidR="00717F0E" w:rsidRPr="00043BD9">
        <w:t>immuneresponse</w:t>
      </w:r>
      <w:proofErr w:type="spellEnd"/>
      <w:r w:rsidR="00717F0E" w:rsidRPr="00043BD9">
        <w:t xml:space="preserve"> genes up-regulated in stimulated memory T cells. J </w:t>
      </w:r>
      <w:proofErr w:type="spellStart"/>
      <w:r w:rsidR="00717F0E" w:rsidRPr="00043BD9">
        <w:t>Dermatol</w:t>
      </w:r>
      <w:proofErr w:type="spellEnd"/>
      <w:r w:rsidR="00717F0E" w:rsidRPr="00043BD9">
        <w:t xml:space="preserve"> Sci. 2010 </w:t>
      </w:r>
      <w:proofErr w:type="gramStart"/>
      <w:r w:rsidR="00717F0E" w:rsidRPr="00043BD9">
        <w:t>October ;</w:t>
      </w:r>
      <w:proofErr w:type="gramEnd"/>
      <w:r w:rsidR="00717F0E" w:rsidRPr="00043BD9">
        <w:t xml:space="preserve"> 60(1): 8-20. Those papers should been cited in the current typescript.</w:t>
      </w:r>
    </w:p>
    <w:p w:rsidR="00D506ED" w:rsidRPr="00043BD9" w:rsidRDefault="00D506ED" w:rsidP="00BF7BF0">
      <w:pPr>
        <w:pStyle w:val="ListParagraph"/>
        <w:numPr>
          <w:ilvl w:val="0"/>
          <w:numId w:val="21"/>
        </w:numPr>
        <w:jc w:val="both"/>
        <w:rPr>
          <w:b/>
          <w:color w:val="FF0000"/>
        </w:rPr>
      </w:pPr>
      <w:r w:rsidRPr="00043BD9">
        <w:rPr>
          <w:color w:val="FF0000"/>
        </w:rPr>
        <w:t xml:space="preserve">Thank you for the comments. </w:t>
      </w:r>
      <w:r w:rsidR="006E52B1" w:rsidRPr="00043BD9">
        <w:rPr>
          <w:color w:val="FF0000"/>
        </w:rPr>
        <w:t>Suggested</w:t>
      </w:r>
      <w:r w:rsidRPr="00043BD9">
        <w:rPr>
          <w:color w:val="FF0000"/>
        </w:rPr>
        <w:t xml:space="preserve"> references have </w:t>
      </w:r>
      <w:r w:rsidR="00B66ED8" w:rsidRPr="00043BD9">
        <w:rPr>
          <w:color w:val="FF0000"/>
        </w:rPr>
        <w:t>been added to the manuscript (Reference:</w:t>
      </w:r>
      <w:r w:rsidR="002F629C">
        <w:rPr>
          <w:color w:val="FF0000"/>
        </w:rPr>
        <w:t xml:space="preserve"> 18, 19</w:t>
      </w:r>
      <w:r w:rsidRPr="00043BD9">
        <w:rPr>
          <w:color w:val="FF0000"/>
        </w:rPr>
        <w:t>).</w:t>
      </w:r>
    </w:p>
    <w:p w:rsidR="00717F0E" w:rsidRPr="00043BD9" w:rsidRDefault="00717F0E" w:rsidP="00BF7BF0">
      <w:pPr>
        <w:jc w:val="both"/>
      </w:pPr>
    </w:p>
    <w:p w:rsidR="00717F0E" w:rsidRPr="00043BD9" w:rsidRDefault="00D506ED" w:rsidP="00BF7BF0">
      <w:pPr>
        <w:jc w:val="both"/>
        <w:rPr>
          <w:b/>
        </w:rPr>
      </w:pPr>
      <w:r w:rsidRPr="00043BD9">
        <w:rPr>
          <w:b/>
        </w:rPr>
        <w:t>Specific comments:</w:t>
      </w:r>
    </w:p>
    <w:p w:rsidR="00717F0E" w:rsidRPr="00043BD9" w:rsidRDefault="00717F0E" w:rsidP="00BF7BF0">
      <w:pPr>
        <w:jc w:val="both"/>
      </w:pPr>
      <w:r w:rsidRPr="00043BD9">
        <w:t>Rows:</w:t>
      </w:r>
      <w:r w:rsidR="00D506ED" w:rsidRPr="00043BD9">
        <w:t xml:space="preserve"> </w:t>
      </w:r>
      <w:r w:rsidRPr="00043BD9">
        <w:t>28-40. The abstract consists almost exclusively of the introduction part, and only the lasts sentence reports the current invention. Since the same information is repeated in the introduction it should be removed from the abstract and substituted by the description of the new method.</w:t>
      </w:r>
    </w:p>
    <w:p w:rsidR="00D506ED" w:rsidRPr="00043BD9" w:rsidRDefault="00D506ED" w:rsidP="00BF7BF0">
      <w:pPr>
        <w:pStyle w:val="ListParagraph"/>
        <w:numPr>
          <w:ilvl w:val="0"/>
          <w:numId w:val="22"/>
        </w:numPr>
        <w:jc w:val="both"/>
        <w:rPr>
          <w:color w:val="FF0000"/>
        </w:rPr>
      </w:pPr>
      <w:r w:rsidRPr="00043BD9">
        <w:rPr>
          <w:color w:val="FF0000"/>
        </w:rPr>
        <w:t xml:space="preserve">We thank the reviewer for this helpful suggestion. </w:t>
      </w:r>
      <w:r w:rsidR="00764546" w:rsidRPr="00043BD9">
        <w:rPr>
          <w:color w:val="FF0000"/>
        </w:rPr>
        <w:t xml:space="preserve">The suggested changes have been made and the abstract has been modified. </w:t>
      </w:r>
    </w:p>
    <w:p w:rsidR="00717F0E" w:rsidRPr="00043BD9" w:rsidRDefault="00717F0E" w:rsidP="00BF7BF0">
      <w:pPr>
        <w:jc w:val="both"/>
      </w:pPr>
    </w:p>
    <w:p w:rsidR="00717F0E" w:rsidRPr="00043BD9" w:rsidRDefault="00717F0E" w:rsidP="00BF7BF0">
      <w:pPr>
        <w:jc w:val="both"/>
      </w:pPr>
    </w:p>
    <w:p w:rsidR="00717F0E" w:rsidRPr="00043BD9" w:rsidRDefault="00717F0E" w:rsidP="00BF7BF0">
      <w:pPr>
        <w:jc w:val="both"/>
        <w:rPr>
          <w:b/>
        </w:rPr>
      </w:pPr>
      <w:r w:rsidRPr="00043BD9">
        <w:rPr>
          <w:b/>
        </w:rPr>
        <w:t xml:space="preserve">Reviewer #3: </w:t>
      </w:r>
    </w:p>
    <w:p w:rsidR="00F03818" w:rsidRPr="00043BD9" w:rsidRDefault="00F03818" w:rsidP="00BF7BF0">
      <w:pPr>
        <w:jc w:val="both"/>
        <w:rPr>
          <w:b/>
        </w:rPr>
      </w:pPr>
      <w:r w:rsidRPr="00043BD9">
        <w:rPr>
          <w:b/>
        </w:rPr>
        <w:t>Specific comments:</w:t>
      </w:r>
    </w:p>
    <w:p w:rsidR="00717F0E" w:rsidRPr="00043BD9" w:rsidRDefault="00717F0E" w:rsidP="00BF7BF0">
      <w:pPr>
        <w:jc w:val="both"/>
        <w:rPr>
          <w:b/>
        </w:rPr>
      </w:pPr>
      <w:r w:rsidRPr="00043BD9">
        <w:rPr>
          <w:b/>
        </w:rPr>
        <w:t>Major:</w:t>
      </w:r>
    </w:p>
    <w:p w:rsidR="00717F0E" w:rsidRPr="00043BD9" w:rsidRDefault="00717F0E" w:rsidP="00BF7BF0">
      <w:pPr>
        <w:pStyle w:val="ListParagraph"/>
        <w:numPr>
          <w:ilvl w:val="0"/>
          <w:numId w:val="14"/>
        </w:numPr>
        <w:jc w:val="both"/>
      </w:pPr>
      <w:r w:rsidRPr="00043BD9">
        <w:t xml:space="preserve">The original technique may be of </w:t>
      </w:r>
      <w:proofErr w:type="spellStart"/>
      <w:r w:rsidRPr="00043BD9">
        <w:t>intestest</w:t>
      </w:r>
      <w:proofErr w:type="spellEnd"/>
      <w:r w:rsidRPr="00043BD9">
        <w:t xml:space="preserve"> for researchers who want to perform either functional or molecular analyses of </w:t>
      </w:r>
      <w:proofErr w:type="spellStart"/>
      <w:r w:rsidRPr="00043BD9">
        <w:t>Sezary</w:t>
      </w:r>
      <w:proofErr w:type="spellEnd"/>
      <w:r w:rsidRPr="00043BD9">
        <w:t xml:space="preserve"> syndrome cells (SC) such as genomic profiling. However as evidenced by several </w:t>
      </w:r>
      <w:proofErr w:type="spellStart"/>
      <w:r w:rsidRPr="00043BD9">
        <w:t>authours</w:t>
      </w:r>
      <w:proofErr w:type="spellEnd"/>
      <w:r w:rsidRPr="00043BD9">
        <w:t xml:space="preserve"> (</w:t>
      </w:r>
      <w:proofErr w:type="spellStart"/>
      <w:r w:rsidRPr="00043BD9">
        <w:t>Roelens</w:t>
      </w:r>
      <w:proofErr w:type="spellEnd"/>
      <w:r w:rsidRPr="00043BD9">
        <w:t xml:space="preserve"> et al for example); SC may exhibit </w:t>
      </w:r>
      <w:proofErr w:type="spellStart"/>
      <w:r w:rsidRPr="00043BD9">
        <w:t>interindividual</w:t>
      </w:r>
      <w:proofErr w:type="spellEnd"/>
      <w:r w:rsidRPr="00043BD9">
        <w:t xml:space="preserve"> or </w:t>
      </w:r>
      <w:proofErr w:type="spellStart"/>
      <w:r w:rsidRPr="00043BD9">
        <w:t>intraindividual</w:t>
      </w:r>
      <w:proofErr w:type="spellEnd"/>
      <w:r w:rsidRPr="00043BD9">
        <w:t xml:space="preserve"> heterogeneity or plasticity. Gating and selecting SC cells on CD4 and CD45RO will only be suitable for memory cells and therefore not adapted for other SC displaying a CD45RA or CD45ROneg or low phenotype. This should be definitively addressed. The authors could indicate how many SS cases were indeed found </w:t>
      </w:r>
      <w:r w:rsidRPr="00043BD9">
        <w:lastRenderedPageBreak/>
        <w:t>CD45RA or CD45RO positive in their experience and refer to the fact that SC cells phenotype and maturation stage seems to be heterogeneous.</w:t>
      </w:r>
    </w:p>
    <w:p w:rsidR="007A01E2" w:rsidRPr="00043BD9" w:rsidRDefault="00F03818" w:rsidP="00BF7BF0">
      <w:pPr>
        <w:pStyle w:val="ListParagraph"/>
        <w:numPr>
          <w:ilvl w:val="0"/>
          <w:numId w:val="30"/>
        </w:numPr>
        <w:jc w:val="both"/>
        <w:rPr>
          <w:color w:val="FF0000"/>
        </w:rPr>
      </w:pPr>
      <w:r w:rsidRPr="00043BD9">
        <w:rPr>
          <w:color w:val="FF0000"/>
        </w:rPr>
        <w:t xml:space="preserve">We appreciate reviewer’s comment. It is reported in several studies that SS cells do have heterogeneity and express CD45RA and CD45RO population or both. However, same studies have shown that the TCM is the characteristic feature of SS cells with </w:t>
      </w:r>
      <w:r w:rsidR="008E79B1" w:rsidRPr="00043BD9">
        <w:rPr>
          <w:color w:val="FF0000"/>
        </w:rPr>
        <w:t>rare</w:t>
      </w:r>
      <w:r w:rsidRPr="00043BD9">
        <w:rPr>
          <w:color w:val="FF0000"/>
        </w:rPr>
        <w:t xml:space="preserve"> SS </w:t>
      </w:r>
      <w:r w:rsidR="008E79B1" w:rsidRPr="00043BD9">
        <w:rPr>
          <w:color w:val="FF0000"/>
        </w:rPr>
        <w:t>population that</w:t>
      </w:r>
      <w:r w:rsidRPr="00043BD9">
        <w:rPr>
          <w:color w:val="FF0000"/>
        </w:rPr>
        <w:t xml:space="preserve"> is CD45RA+. Based on this, the discussion section has been modified (Line </w:t>
      </w:r>
      <w:r w:rsidR="002F629C">
        <w:rPr>
          <w:color w:val="FF0000"/>
        </w:rPr>
        <w:t>367-379</w:t>
      </w:r>
      <w:r w:rsidR="00B66ED8" w:rsidRPr="00043BD9">
        <w:rPr>
          <w:color w:val="FF0000"/>
        </w:rPr>
        <w:t xml:space="preserve">; Reference: </w:t>
      </w:r>
      <w:r w:rsidR="002F629C">
        <w:rPr>
          <w:color w:val="FF0000"/>
        </w:rPr>
        <w:t>29-31</w:t>
      </w:r>
      <w:r w:rsidRPr="00043BD9">
        <w:rPr>
          <w:color w:val="FF0000"/>
        </w:rPr>
        <w:t xml:space="preserve">). </w:t>
      </w:r>
    </w:p>
    <w:p w:rsidR="00F03818" w:rsidRPr="00043BD9" w:rsidRDefault="00F03818" w:rsidP="00BF7BF0">
      <w:pPr>
        <w:pStyle w:val="ListParagraph"/>
        <w:ind w:left="1440"/>
        <w:jc w:val="both"/>
        <w:rPr>
          <w:color w:val="FF0000"/>
        </w:rPr>
      </w:pPr>
    </w:p>
    <w:p w:rsidR="00717F0E" w:rsidRPr="00043BD9" w:rsidRDefault="00717F0E" w:rsidP="00BF7BF0">
      <w:pPr>
        <w:pStyle w:val="ListParagraph"/>
        <w:numPr>
          <w:ilvl w:val="0"/>
          <w:numId w:val="14"/>
        </w:numPr>
        <w:jc w:val="both"/>
      </w:pPr>
      <w:r w:rsidRPr="00043BD9">
        <w:t xml:space="preserve">In the </w:t>
      </w:r>
      <w:proofErr w:type="spellStart"/>
      <w:r w:rsidRPr="00043BD9">
        <w:t>Roelens</w:t>
      </w:r>
      <w:proofErr w:type="spellEnd"/>
      <w:r w:rsidRPr="00043BD9">
        <w:t xml:space="preserve"> paper (Blood 2017) up to 70% of SC displayed a CD45RO negative phenotype (should be discussed page 3 line 75).</w:t>
      </w:r>
    </w:p>
    <w:p w:rsidR="00717F0E" w:rsidRPr="00043BD9" w:rsidRDefault="00F03818" w:rsidP="00BF7BF0">
      <w:pPr>
        <w:pStyle w:val="ListParagraph"/>
        <w:numPr>
          <w:ilvl w:val="0"/>
          <w:numId w:val="31"/>
        </w:numPr>
        <w:jc w:val="both"/>
        <w:rPr>
          <w:color w:val="FF0000"/>
        </w:rPr>
      </w:pPr>
      <w:r w:rsidRPr="00043BD9">
        <w:rPr>
          <w:color w:val="FF0000"/>
        </w:rPr>
        <w:t xml:space="preserve">Thank you for the comments. We reviewed the mentioned paper and the modification has been added to the discussion (Line </w:t>
      </w:r>
      <w:r w:rsidR="002F629C">
        <w:rPr>
          <w:color w:val="FF0000"/>
        </w:rPr>
        <w:t>372-375</w:t>
      </w:r>
      <w:r w:rsidR="00B66ED8" w:rsidRPr="00043BD9">
        <w:rPr>
          <w:color w:val="FF0000"/>
        </w:rPr>
        <w:t xml:space="preserve">; Reference: </w:t>
      </w:r>
      <w:r w:rsidR="002F629C">
        <w:rPr>
          <w:color w:val="FF0000"/>
        </w:rPr>
        <w:t>31</w:t>
      </w:r>
      <w:r w:rsidRPr="00043BD9">
        <w:rPr>
          <w:color w:val="FF0000"/>
        </w:rPr>
        <w:t>).</w:t>
      </w:r>
    </w:p>
    <w:p w:rsidR="00717F0E" w:rsidRPr="00043BD9" w:rsidRDefault="00717F0E" w:rsidP="00BF7BF0">
      <w:pPr>
        <w:jc w:val="both"/>
        <w:rPr>
          <w:b/>
        </w:rPr>
      </w:pPr>
    </w:p>
    <w:p w:rsidR="00B66ED8" w:rsidRPr="00043BD9" w:rsidRDefault="00B66ED8" w:rsidP="00BF7BF0">
      <w:pPr>
        <w:jc w:val="both"/>
        <w:rPr>
          <w:b/>
        </w:rPr>
      </w:pPr>
    </w:p>
    <w:p w:rsidR="00717F0E" w:rsidRPr="00043BD9" w:rsidRDefault="00717F0E" w:rsidP="00BF7BF0">
      <w:pPr>
        <w:jc w:val="both"/>
        <w:rPr>
          <w:b/>
        </w:rPr>
      </w:pPr>
      <w:r w:rsidRPr="00043BD9">
        <w:rPr>
          <w:b/>
        </w:rPr>
        <w:t>Minor:</w:t>
      </w:r>
    </w:p>
    <w:p w:rsidR="00717F0E" w:rsidRPr="00043BD9" w:rsidRDefault="00717F0E" w:rsidP="00BF7BF0">
      <w:pPr>
        <w:pStyle w:val="ListParagraph"/>
        <w:numPr>
          <w:ilvl w:val="0"/>
          <w:numId w:val="13"/>
        </w:numPr>
        <w:jc w:val="both"/>
      </w:pPr>
      <w:r w:rsidRPr="00043BD9">
        <w:t xml:space="preserve">Line 139 to 141: It could be important to check by flow cytometry that the protocol permits to recover SC with the original CD4+CD45RO+ phenotype. Did the authors check this point and also how many living cells they obtain as indicated by </w:t>
      </w:r>
      <w:proofErr w:type="spellStart"/>
      <w:r w:rsidRPr="00043BD9">
        <w:t>Trypan</w:t>
      </w:r>
      <w:proofErr w:type="spellEnd"/>
      <w:r w:rsidRPr="00043BD9">
        <w:t xml:space="preserve"> blue line </w:t>
      </w:r>
      <w:proofErr w:type="gramStart"/>
      <w:r w:rsidRPr="00043BD9">
        <w:t>161</w:t>
      </w:r>
      <w:r w:rsidR="003C6C2E" w:rsidRPr="00043BD9">
        <w:t>.</w:t>
      </w:r>
      <w:proofErr w:type="gramEnd"/>
    </w:p>
    <w:p w:rsidR="00764546" w:rsidRPr="00043BD9" w:rsidRDefault="00F03818" w:rsidP="00BF7BF0">
      <w:pPr>
        <w:pStyle w:val="ListParagraph"/>
        <w:numPr>
          <w:ilvl w:val="0"/>
          <w:numId w:val="29"/>
        </w:numPr>
        <w:jc w:val="both"/>
        <w:rPr>
          <w:color w:val="FF0000"/>
        </w:rPr>
      </w:pPr>
      <w:r w:rsidRPr="00043BD9">
        <w:rPr>
          <w:color w:val="FF0000"/>
        </w:rPr>
        <w:t>We thank reviewer for his concern. However, it is mentioned in the protocol to confirm the purity with flow cy</w:t>
      </w:r>
      <w:r w:rsidR="00B66ED8" w:rsidRPr="00043BD9">
        <w:rPr>
          <w:color w:val="FF0000"/>
        </w:rPr>
        <w:t>t</w:t>
      </w:r>
      <w:r w:rsidR="002F629C">
        <w:rPr>
          <w:color w:val="FF0000"/>
        </w:rPr>
        <w:t>ometer as we have done (Line 248</w:t>
      </w:r>
      <w:r w:rsidRPr="00043BD9">
        <w:rPr>
          <w:color w:val="FF0000"/>
        </w:rPr>
        <w:t>; Figure 3).</w:t>
      </w:r>
    </w:p>
    <w:p w:rsidR="00F03818" w:rsidRPr="00043BD9" w:rsidRDefault="00F03818" w:rsidP="00BF7BF0">
      <w:pPr>
        <w:pStyle w:val="ListParagraph"/>
        <w:ind w:left="1440"/>
        <w:jc w:val="both"/>
        <w:rPr>
          <w:color w:val="C00000"/>
        </w:rPr>
      </w:pPr>
    </w:p>
    <w:p w:rsidR="00717F0E" w:rsidRPr="00043BD9" w:rsidRDefault="00717F0E" w:rsidP="00BF7BF0">
      <w:pPr>
        <w:pStyle w:val="ListParagraph"/>
        <w:numPr>
          <w:ilvl w:val="0"/>
          <w:numId w:val="13"/>
        </w:numPr>
        <w:jc w:val="both"/>
      </w:pPr>
      <w:r w:rsidRPr="00043BD9">
        <w:t xml:space="preserve">Line 178 and below: What is the rationale for the chemical stimulation by </w:t>
      </w:r>
      <w:proofErr w:type="gramStart"/>
      <w:r w:rsidRPr="00043BD9">
        <w:t>PMA ?</w:t>
      </w:r>
      <w:proofErr w:type="gramEnd"/>
      <w:r w:rsidRPr="00043BD9">
        <w:t xml:space="preserve"> If the authors want to characterize SC expression profile they may introduce important bias in stimulating the proliferation of cells that may be at a relative quiescent stage. As discussed line 256 </w:t>
      </w:r>
      <w:proofErr w:type="spellStart"/>
      <w:r w:rsidRPr="00043BD9">
        <w:t>costimulation</w:t>
      </w:r>
      <w:proofErr w:type="spellEnd"/>
      <w:r w:rsidRPr="00043BD9">
        <w:t xml:space="preserve"> by antiCD3/antiCD28 seems more appropriate and could have been compared. </w:t>
      </w:r>
    </w:p>
    <w:p w:rsidR="0064496A" w:rsidRPr="00043BD9" w:rsidRDefault="009265BB" w:rsidP="00BF7BF0">
      <w:pPr>
        <w:pStyle w:val="ListParagraph"/>
        <w:numPr>
          <w:ilvl w:val="0"/>
          <w:numId w:val="23"/>
        </w:numPr>
        <w:jc w:val="both"/>
        <w:rPr>
          <w:color w:val="FF0000"/>
        </w:rPr>
      </w:pPr>
      <w:r w:rsidRPr="00043BD9">
        <w:rPr>
          <w:color w:val="FF0000"/>
        </w:rPr>
        <w:t xml:space="preserve">Thank you for the nice comment. We are more interested in gene activity </w:t>
      </w:r>
      <w:r w:rsidR="005977F0">
        <w:rPr>
          <w:color w:val="FF0000"/>
        </w:rPr>
        <w:t>in the nucleus</w:t>
      </w:r>
      <w:r w:rsidRPr="00043BD9">
        <w:rPr>
          <w:color w:val="FF0000"/>
        </w:rPr>
        <w:t xml:space="preserve">. Therefore, chemical activation is a best option. However, the reason for not using </w:t>
      </w:r>
      <w:proofErr w:type="spellStart"/>
      <w:r w:rsidRPr="00043BD9">
        <w:rPr>
          <w:color w:val="FF0000"/>
        </w:rPr>
        <w:t>costimulation</w:t>
      </w:r>
      <w:proofErr w:type="spellEnd"/>
      <w:r w:rsidRPr="00043BD9">
        <w:rPr>
          <w:color w:val="FF0000"/>
        </w:rPr>
        <w:t xml:space="preserve"> by antiCD3/antiCD28 in the present study is mentioned in the discussion section </w:t>
      </w:r>
      <w:r w:rsidR="00B66ED8" w:rsidRPr="00043BD9">
        <w:rPr>
          <w:color w:val="FF0000"/>
        </w:rPr>
        <w:t>(L</w:t>
      </w:r>
      <w:r w:rsidRPr="00043BD9">
        <w:rPr>
          <w:color w:val="FF0000"/>
        </w:rPr>
        <w:t xml:space="preserve">ine </w:t>
      </w:r>
      <w:r w:rsidR="005977F0">
        <w:rPr>
          <w:color w:val="FF0000"/>
        </w:rPr>
        <w:t>391-405</w:t>
      </w:r>
      <w:r w:rsidR="00B66ED8" w:rsidRPr="00043BD9">
        <w:rPr>
          <w:color w:val="FF0000"/>
        </w:rPr>
        <w:t>) (Reference:</w:t>
      </w:r>
      <w:r w:rsidR="00925DD0" w:rsidRPr="00043BD9">
        <w:rPr>
          <w:color w:val="FF0000"/>
        </w:rPr>
        <w:t xml:space="preserve"> </w:t>
      </w:r>
      <w:r w:rsidR="005977F0">
        <w:rPr>
          <w:color w:val="FF0000"/>
        </w:rPr>
        <w:t>18-21</w:t>
      </w:r>
      <w:r w:rsidR="00B66ED8" w:rsidRPr="00043BD9">
        <w:rPr>
          <w:color w:val="FF0000"/>
        </w:rPr>
        <w:t>)</w:t>
      </w:r>
      <w:r w:rsidR="007A01E2" w:rsidRPr="00043BD9">
        <w:rPr>
          <w:color w:val="FF0000"/>
        </w:rPr>
        <w:t>.</w:t>
      </w:r>
    </w:p>
    <w:sectPr w:rsidR="0064496A" w:rsidRPr="0004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888"/>
    <w:multiLevelType w:val="hybridMultilevel"/>
    <w:tmpl w:val="C108EC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69B"/>
    <w:multiLevelType w:val="hybridMultilevel"/>
    <w:tmpl w:val="25B4F2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11C6F"/>
    <w:multiLevelType w:val="hybridMultilevel"/>
    <w:tmpl w:val="FDBEFC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4572C"/>
    <w:multiLevelType w:val="hybridMultilevel"/>
    <w:tmpl w:val="18DAA9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0C5F3F"/>
    <w:multiLevelType w:val="hybridMultilevel"/>
    <w:tmpl w:val="91365FD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3A0AEF"/>
    <w:multiLevelType w:val="hybridMultilevel"/>
    <w:tmpl w:val="41E694C2"/>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1D97348"/>
    <w:multiLevelType w:val="hybridMultilevel"/>
    <w:tmpl w:val="C816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B324D"/>
    <w:multiLevelType w:val="hybridMultilevel"/>
    <w:tmpl w:val="FAC01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C20E5"/>
    <w:multiLevelType w:val="hybridMultilevel"/>
    <w:tmpl w:val="2D461C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C70A0"/>
    <w:multiLevelType w:val="hybridMultilevel"/>
    <w:tmpl w:val="134488A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67E5EE4"/>
    <w:multiLevelType w:val="hybridMultilevel"/>
    <w:tmpl w:val="419C5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DA3284"/>
    <w:multiLevelType w:val="hybridMultilevel"/>
    <w:tmpl w:val="A9EC6A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DF1121"/>
    <w:multiLevelType w:val="hybridMultilevel"/>
    <w:tmpl w:val="CB48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0D51"/>
    <w:multiLevelType w:val="hybridMultilevel"/>
    <w:tmpl w:val="41745448"/>
    <w:lvl w:ilvl="0" w:tplc="1C9296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E24DCB"/>
    <w:multiLevelType w:val="hybridMultilevel"/>
    <w:tmpl w:val="60D441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16195E"/>
    <w:multiLevelType w:val="hybridMultilevel"/>
    <w:tmpl w:val="686E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A312B"/>
    <w:multiLevelType w:val="hybridMultilevel"/>
    <w:tmpl w:val="EEBAEB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BC5805"/>
    <w:multiLevelType w:val="hybridMultilevel"/>
    <w:tmpl w:val="E13E91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F46DDC"/>
    <w:multiLevelType w:val="hybridMultilevel"/>
    <w:tmpl w:val="DBD2C0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240A11"/>
    <w:multiLevelType w:val="hybridMultilevel"/>
    <w:tmpl w:val="48A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F76A2"/>
    <w:multiLevelType w:val="hybridMultilevel"/>
    <w:tmpl w:val="F1EA28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4B0494"/>
    <w:multiLevelType w:val="hybridMultilevel"/>
    <w:tmpl w:val="C0A657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A11B3F"/>
    <w:multiLevelType w:val="hybridMultilevel"/>
    <w:tmpl w:val="3D0C7FBC"/>
    <w:lvl w:ilvl="0" w:tplc="F690A58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581872"/>
    <w:multiLevelType w:val="hybridMultilevel"/>
    <w:tmpl w:val="1562CEF2"/>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C712867"/>
    <w:multiLevelType w:val="hybridMultilevel"/>
    <w:tmpl w:val="8AB61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04D1D"/>
    <w:multiLevelType w:val="hybridMultilevel"/>
    <w:tmpl w:val="2864F2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1B4193"/>
    <w:multiLevelType w:val="hybridMultilevel"/>
    <w:tmpl w:val="050C1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C457E"/>
    <w:multiLevelType w:val="hybridMultilevel"/>
    <w:tmpl w:val="5BEAB0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F01A84"/>
    <w:multiLevelType w:val="hybridMultilevel"/>
    <w:tmpl w:val="01940B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E5674D"/>
    <w:multiLevelType w:val="hybridMultilevel"/>
    <w:tmpl w:val="894C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F011E"/>
    <w:multiLevelType w:val="hybridMultilevel"/>
    <w:tmpl w:val="1E064B8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72E7C5F"/>
    <w:multiLevelType w:val="hybridMultilevel"/>
    <w:tmpl w:val="410E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16015"/>
    <w:multiLevelType w:val="hybridMultilevel"/>
    <w:tmpl w:val="AD7C03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2"/>
  </w:num>
  <w:num w:numId="3">
    <w:abstractNumId w:val="11"/>
  </w:num>
  <w:num w:numId="4">
    <w:abstractNumId w:val="29"/>
  </w:num>
  <w:num w:numId="5">
    <w:abstractNumId w:val="3"/>
  </w:num>
  <w:num w:numId="6">
    <w:abstractNumId w:val="14"/>
  </w:num>
  <w:num w:numId="7">
    <w:abstractNumId w:val="4"/>
  </w:num>
  <w:num w:numId="8">
    <w:abstractNumId w:val="13"/>
  </w:num>
  <w:num w:numId="9">
    <w:abstractNumId w:val="32"/>
  </w:num>
  <w:num w:numId="10">
    <w:abstractNumId w:val="28"/>
  </w:num>
  <w:num w:numId="11">
    <w:abstractNumId w:val="17"/>
  </w:num>
  <w:num w:numId="12">
    <w:abstractNumId w:val="15"/>
  </w:num>
  <w:num w:numId="13">
    <w:abstractNumId w:val="31"/>
  </w:num>
  <w:num w:numId="14">
    <w:abstractNumId w:val="24"/>
  </w:num>
  <w:num w:numId="15">
    <w:abstractNumId w:val="20"/>
  </w:num>
  <w:num w:numId="16">
    <w:abstractNumId w:val="21"/>
  </w:num>
  <w:num w:numId="17">
    <w:abstractNumId w:val="27"/>
  </w:num>
  <w:num w:numId="18">
    <w:abstractNumId w:val="8"/>
  </w:num>
  <w:num w:numId="19">
    <w:abstractNumId w:val="16"/>
  </w:num>
  <w:num w:numId="20">
    <w:abstractNumId w:val="22"/>
  </w:num>
  <w:num w:numId="21">
    <w:abstractNumId w:val="0"/>
  </w:num>
  <w:num w:numId="22">
    <w:abstractNumId w:val="7"/>
  </w:num>
  <w:num w:numId="23">
    <w:abstractNumId w:val="2"/>
  </w:num>
  <w:num w:numId="24">
    <w:abstractNumId w:val="30"/>
  </w:num>
  <w:num w:numId="25">
    <w:abstractNumId w:val="23"/>
  </w:num>
  <w:num w:numId="26">
    <w:abstractNumId w:val="1"/>
  </w:num>
  <w:num w:numId="27">
    <w:abstractNumId w:val="9"/>
  </w:num>
  <w:num w:numId="28">
    <w:abstractNumId w:val="5"/>
  </w:num>
  <w:num w:numId="29">
    <w:abstractNumId w:val="25"/>
  </w:num>
  <w:num w:numId="30">
    <w:abstractNumId w:val="18"/>
  </w:num>
  <w:num w:numId="31">
    <w:abstractNumId w:val="10"/>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CF"/>
    <w:rsid w:val="00043BD9"/>
    <w:rsid w:val="001854DB"/>
    <w:rsid w:val="00281B50"/>
    <w:rsid w:val="002D12CF"/>
    <w:rsid w:val="002F629C"/>
    <w:rsid w:val="003A5946"/>
    <w:rsid w:val="003C6C2E"/>
    <w:rsid w:val="004E6ACA"/>
    <w:rsid w:val="004F0746"/>
    <w:rsid w:val="004F6977"/>
    <w:rsid w:val="005977F0"/>
    <w:rsid w:val="0060151A"/>
    <w:rsid w:val="0064496A"/>
    <w:rsid w:val="006E52B1"/>
    <w:rsid w:val="006F646F"/>
    <w:rsid w:val="00717F0E"/>
    <w:rsid w:val="00764546"/>
    <w:rsid w:val="007A01E2"/>
    <w:rsid w:val="00803521"/>
    <w:rsid w:val="008A08B4"/>
    <w:rsid w:val="008E79B1"/>
    <w:rsid w:val="00925DD0"/>
    <w:rsid w:val="009265BB"/>
    <w:rsid w:val="0097281C"/>
    <w:rsid w:val="00B66ED8"/>
    <w:rsid w:val="00BF7BF0"/>
    <w:rsid w:val="00D506ED"/>
    <w:rsid w:val="00F0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40C3"/>
  <w15:chartTrackingRefBased/>
  <w15:docId w15:val="{547A9180-9B45-47A6-9985-BA2D043E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2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5</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Syed Jafar</dc:creator>
  <cp:keywords/>
  <dc:description/>
  <cp:lastModifiedBy>Wong, Henry K</cp:lastModifiedBy>
  <cp:revision>10</cp:revision>
  <dcterms:created xsi:type="dcterms:W3CDTF">2020-05-26T19:16:00Z</dcterms:created>
  <dcterms:modified xsi:type="dcterms:W3CDTF">2020-06-03T04:52:00Z</dcterms:modified>
</cp:coreProperties>
</file>