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Dear Author(s),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This document is divided into sections in which you can add your comments to the video and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i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rtl w:val="0"/>
        </w:rPr>
        <w:t xml:space="preserve">Have fun!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sz w:val="36"/>
          <w:szCs w:val="36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u w:val="single"/>
          <w:rtl w:val="0"/>
        </w:rPr>
        <w:t xml:space="preserve">Protocol Name: In Vivo Intracellular Recording of Type-Identified Rat Spinal Motoneurons During Trans-Spinal Direct Current Stimulation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36"/>
          <w:szCs w:val="36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u w:val="single"/>
          <w:rtl w:val="0"/>
        </w:rPr>
        <w:t xml:space="preserve">Date: 30/06/2020</w:t>
      </w:r>
    </w:p>
    <w:p w:rsidR="00000000" w:rsidDel="00000000" w:rsidP="00000000" w:rsidRDefault="00000000" w:rsidRPr="00000000" w14:paraId="00000006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u w:val="single"/>
          <w:rtl w:val="0"/>
        </w:rPr>
        <w:t xml:space="preserve">Authors and Affiliations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fill in any missing author information not included in the video.</w:t>
      </w:r>
    </w:p>
    <w:tbl>
      <w:tblPr>
        <w:tblStyle w:val="Table1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2640"/>
        <w:gridCol w:w="5940"/>
        <w:tblGridChange w:id="0">
          <w:tblGrid>
            <w:gridCol w:w="1065"/>
            <w:gridCol w:w="2640"/>
            <w:gridCol w:w="5940"/>
          </w:tblGrid>
        </w:tblGridChange>
      </w:tblGrid>
      <w:tr>
        <w:trPr>
          <w:trHeight w:val="564" w:hRule="atLeast"/>
        </w:trPr>
        <w:tc>
          <w:tcPr/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Order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Affiliation</w:t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" w:hRule="atLeast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" w:hRule="atLeast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u w:val="single"/>
          <w:rtl w:val="0"/>
        </w:rPr>
        <w:t xml:space="preserve">Video Comments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fill in any comments you wish to make using the table below using the example as a guide.  If you need more space to write, please do so below the table. 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DO NOT ADD CORRECTIONS TO THE NARRATION HERE.  PLEASE DO THIS IN THE AUDIO COMMENTS SECTION.</w:t>
      </w:r>
    </w:p>
    <w:tbl>
      <w:tblPr>
        <w:tblStyle w:val="Table2"/>
        <w:tblW w:w="88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"/>
        <w:gridCol w:w="1471"/>
        <w:gridCol w:w="2970"/>
        <w:gridCol w:w="3348"/>
        <w:tblGridChange w:id="0">
          <w:tblGrid>
            <w:gridCol w:w="1072"/>
            <w:gridCol w:w="1471"/>
            <w:gridCol w:w="2970"/>
            <w:gridCol w:w="3348"/>
          </w:tblGrid>
        </w:tblGridChange>
      </w:tblGrid>
      <w:tr>
        <w:tc>
          <w:tcPr/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Time code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Comment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Helvetica Neue" w:cs="Helvetica Neue" w:eastAsia="Helvetica Neue" w:hAnsi="Helvetica Neue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8"/>
                <w:szCs w:val="28"/>
                <w:rtl w:val="0"/>
              </w:rPr>
              <w:t xml:space="preserve">Requested Change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ind w:left="-90" w:firstLine="0"/>
        <w:rPr>
          <w:rFonts w:ascii="Helvetica Neue" w:cs="Helvetica Neue" w:eastAsia="Helvetica Neue" w:hAnsi="Helvetica Neue"/>
          <w:b w:val="1"/>
          <w:color w:val="231f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-9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Helvetica Neue" w:cs="Helvetica Neue" w:eastAsia="Helvetica Neue" w:hAnsi="Helvetica Neue"/>
          <w:b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u w:val="single"/>
          <w:rtl w:val="0"/>
        </w:rPr>
        <w:t xml:space="preserve">Audio Comments</w:t>
      </w:r>
    </w:p>
    <w:p w:rsidR="00000000" w:rsidDel="00000000" w:rsidP="00000000" w:rsidRDefault="00000000" w:rsidRPr="00000000" w14:paraId="000000A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 w:rsidR="00000000" w:rsidDel="00000000" w:rsidP="00000000" w:rsidRDefault="00000000" w:rsidRPr="00000000" w14:paraId="000000A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810"/>
        <w:gridCol w:w="2520"/>
        <w:gridCol w:w="1080"/>
        <w:gridCol w:w="3870"/>
        <w:tblGridChange w:id="0">
          <w:tblGrid>
            <w:gridCol w:w="1080"/>
            <w:gridCol w:w="810"/>
            <w:gridCol w:w="2520"/>
            <w:gridCol w:w="1080"/>
            <w:gridCol w:w="3870"/>
          </w:tblGrid>
        </w:tblGridChange>
      </w:tblGrid>
      <w:tr>
        <w:tc>
          <w:tcPr/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Time code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Comment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Step(s) in Shotlist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Rewritten Text or Corrected Pronunciation (highlight in bold)</w:t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2:40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The audio says: Moving upwards, cut two heads of the biceps femoris all the way to the hip to expose the sciatic nerve…..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4.2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Please remove “Moving upwards” and “all the way to the hip” so that it says: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Cut two heads of the biceps femoris to expose the sciatic nerve…..</w:t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Rule="auto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F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4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spacing w:after="0"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634" w:top="2606" w:left="864" w:right="864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667500" cy="10858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0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