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9796" w14:textId="77777777" w:rsidR="006625BB" w:rsidRPr="003A3E7D" w:rsidRDefault="00616243" w:rsidP="006625BB">
      <w:pPr>
        <w:rPr>
          <w:rFonts w:asciiTheme="majorHAnsi" w:hAnsiTheme="majorHAnsi"/>
          <w:sz w:val="24"/>
        </w:rPr>
      </w:pPr>
      <w:r w:rsidRPr="003A3E7D">
        <w:rPr>
          <w:rFonts w:asciiTheme="majorHAnsi" w:hAnsiTheme="majorHAnsi"/>
          <w:sz w:val="24"/>
        </w:rPr>
        <w:t xml:space="preserve">Dr. </w:t>
      </w:r>
      <w:r w:rsidR="00724090" w:rsidRPr="003A3E7D">
        <w:rPr>
          <w:rFonts w:asciiTheme="majorHAnsi" w:hAnsiTheme="majorHAnsi"/>
          <w:sz w:val="24"/>
        </w:rPr>
        <w:t>Lidija Malic</w:t>
      </w:r>
    </w:p>
    <w:p w14:paraId="6FE543B6" w14:textId="77777777" w:rsidR="006625BB" w:rsidRPr="003A3E7D" w:rsidRDefault="006625BB" w:rsidP="006625BB">
      <w:pPr>
        <w:rPr>
          <w:rFonts w:asciiTheme="majorHAnsi" w:hAnsiTheme="majorHAnsi"/>
          <w:sz w:val="24"/>
        </w:rPr>
      </w:pPr>
      <w:r w:rsidRPr="003A3E7D">
        <w:rPr>
          <w:rFonts w:asciiTheme="majorHAnsi" w:hAnsiTheme="majorHAnsi"/>
          <w:sz w:val="24"/>
        </w:rPr>
        <w:t>Life Sciences Division</w:t>
      </w:r>
    </w:p>
    <w:p w14:paraId="49637E73" w14:textId="77777777" w:rsidR="006625BB" w:rsidRPr="003A3E7D" w:rsidRDefault="006625BB" w:rsidP="006625BB">
      <w:pPr>
        <w:rPr>
          <w:rFonts w:asciiTheme="majorHAnsi" w:hAnsiTheme="majorHAnsi"/>
          <w:sz w:val="24"/>
        </w:rPr>
      </w:pPr>
      <w:r w:rsidRPr="003A3E7D">
        <w:rPr>
          <w:rFonts w:asciiTheme="majorHAnsi" w:hAnsiTheme="majorHAnsi"/>
          <w:sz w:val="24"/>
        </w:rPr>
        <w:t>National Research Council of Canada</w:t>
      </w:r>
    </w:p>
    <w:p w14:paraId="08F6D9D2" w14:textId="77777777" w:rsidR="006625BB" w:rsidRPr="003A3E7D" w:rsidRDefault="006625BB" w:rsidP="006625BB">
      <w:pPr>
        <w:rPr>
          <w:rFonts w:asciiTheme="majorHAnsi" w:hAnsiTheme="majorHAnsi"/>
          <w:sz w:val="24"/>
          <w:lang w:val="fr-CA"/>
        </w:rPr>
      </w:pPr>
      <w:r w:rsidRPr="003A3E7D">
        <w:rPr>
          <w:rFonts w:asciiTheme="majorHAnsi" w:hAnsiTheme="majorHAnsi"/>
          <w:sz w:val="24"/>
          <w:lang w:val="fr-CA"/>
        </w:rPr>
        <w:t>75, de Mortagne</w:t>
      </w:r>
    </w:p>
    <w:p w14:paraId="010F112E" w14:textId="77777777" w:rsidR="006625BB" w:rsidRPr="003A3E7D" w:rsidRDefault="00724090" w:rsidP="006625BB">
      <w:pPr>
        <w:rPr>
          <w:rFonts w:asciiTheme="majorHAnsi" w:hAnsiTheme="majorHAnsi"/>
          <w:sz w:val="24"/>
          <w:lang w:val="fr-CA"/>
        </w:rPr>
      </w:pPr>
      <w:r w:rsidRPr="003A3E7D">
        <w:rPr>
          <w:rFonts w:asciiTheme="majorHAnsi" w:hAnsiTheme="majorHAnsi"/>
          <w:sz w:val="24"/>
          <w:lang w:val="fr-CA"/>
        </w:rPr>
        <w:t xml:space="preserve">Boucherville, QC J4B 6Y4, </w:t>
      </w:r>
      <w:r w:rsidR="006625BB" w:rsidRPr="003A3E7D">
        <w:rPr>
          <w:rFonts w:asciiTheme="majorHAnsi" w:hAnsiTheme="majorHAnsi"/>
          <w:sz w:val="24"/>
          <w:lang w:val="fr-CA"/>
        </w:rPr>
        <w:t>Canada</w:t>
      </w:r>
    </w:p>
    <w:p w14:paraId="3A12B48E" w14:textId="77777777" w:rsidR="008B11FE" w:rsidRPr="003A3E7D" w:rsidRDefault="008B11FE" w:rsidP="006625BB">
      <w:pPr>
        <w:rPr>
          <w:rFonts w:asciiTheme="majorHAnsi" w:hAnsiTheme="majorHAnsi"/>
          <w:sz w:val="24"/>
          <w:lang w:val="de-DE"/>
        </w:rPr>
      </w:pPr>
    </w:p>
    <w:p w14:paraId="7AA570D1" w14:textId="77777777" w:rsidR="006625BB" w:rsidRPr="003A3E7D" w:rsidRDefault="00724090" w:rsidP="006625BB">
      <w:pPr>
        <w:rPr>
          <w:rFonts w:asciiTheme="majorHAnsi" w:hAnsiTheme="majorHAnsi"/>
          <w:sz w:val="24"/>
          <w:lang w:val="de-DE"/>
        </w:rPr>
      </w:pPr>
      <w:r w:rsidRPr="003A3E7D">
        <w:rPr>
          <w:rFonts w:asciiTheme="majorHAnsi" w:hAnsiTheme="majorHAnsi"/>
          <w:sz w:val="24"/>
          <w:lang w:val="de-DE"/>
        </w:rPr>
        <w:t>Tel.: 450-641-</w:t>
      </w:r>
      <w:r w:rsidR="00D60D82" w:rsidRPr="003A3E7D">
        <w:rPr>
          <w:rFonts w:asciiTheme="majorHAnsi" w:hAnsiTheme="majorHAnsi"/>
          <w:sz w:val="24"/>
          <w:lang w:val="de-DE"/>
        </w:rPr>
        <w:t>5127</w:t>
      </w:r>
    </w:p>
    <w:p w14:paraId="37E6074D" w14:textId="77777777" w:rsidR="006625BB" w:rsidRPr="003A3E7D" w:rsidRDefault="006625BB" w:rsidP="006625BB">
      <w:pPr>
        <w:rPr>
          <w:rFonts w:asciiTheme="majorHAnsi" w:hAnsiTheme="majorHAnsi"/>
          <w:sz w:val="24"/>
          <w:lang w:val="de-DE"/>
        </w:rPr>
      </w:pPr>
      <w:r w:rsidRPr="003A3E7D">
        <w:rPr>
          <w:rFonts w:asciiTheme="majorHAnsi" w:hAnsiTheme="majorHAnsi"/>
          <w:sz w:val="24"/>
          <w:lang w:val="de-DE"/>
        </w:rPr>
        <w:t>Fax: 450 641-5105</w:t>
      </w:r>
    </w:p>
    <w:p w14:paraId="0EB2D4BD" w14:textId="77777777" w:rsidR="006625BB" w:rsidRPr="003A3E7D" w:rsidRDefault="00724090" w:rsidP="006625BB">
      <w:pPr>
        <w:rPr>
          <w:rFonts w:asciiTheme="majorHAnsi" w:hAnsiTheme="majorHAnsi"/>
          <w:sz w:val="24"/>
          <w:lang w:val="de-DE"/>
        </w:rPr>
      </w:pPr>
      <w:r w:rsidRPr="003A3E7D">
        <w:rPr>
          <w:rFonts w:asciiTheme="majorHAnsi" w:hAnsiTheme="majorHAnsi"/>
          <w:sz w:val="24"/>
          <w:lang w:val="de-DE"/>
        </w:rPr>
        <w:t>E-mail: Lidija.Malic</w:t>
      </w:r>
      <w:r w:rsidR="006625BB" w:rsidRPr="003A3E7D">
        <w:rPr>
          <w:rFonts w:asciiTheme="majorHAnsi" w:hAnsiTheme="majorHAnsi"/>
          <w:sz w:val="24"/>
          <w:lang w:val="de-DE"/>
        </w:rPr>
        <w:t xml:space="preserve">@cnrc-nrc.gc.ca </w:t>
      </w:r>
    </w:p>
    <w:p w14:paraId="7D98203C" w14:textId="77777777" w:rsidR="003624EA" w:rsidRPr="003A3E7D" w:rsidRDefault="003624EA" w:rsidP="00486901">
      <w:pPr>
        <w:jc w:val="right"/>
        <w:rPr>
          <w:rFonts w:asciiTheme="majorHAnsi" w:hAnsiTheme="majorHAnsi"/>
          <w:sz w:val="24"/>
          <w:lang w:val="de-DE"/>
        </w:rPr>
      </w:pPr>
    </w:p>
    <w:p w14:paraId="5019AC3C" w14:textId="77777777" w:rsidR="006625BB" w:rsidRPr="003A3E7D" w:rsidRDefault="006625BB" w:rsidP="002F789D">
      <w:pPr>
        <w:rPr>
          <w:rFonts w:asciiTheme="majorHAnsi" w:hAnsiTheme="majorHAnsi"/>
          <w:b/>
          <w:sz w:val="24"/>
          <w:lang w:val="de-DE"/>
        </w:rPr>
      </w:pPr>
    </w:p>
    <w:p w14:paraId="03F15F2E" w14:textId="77777777" w:rsidR="00F2672D" w:rsidRPr="003A3E7D" w:rsidRDefault="00F2672D" w:rsidP="002F789D">
      <w:pPr>
        <w:rPr>
          <w:rFonts w:asciiTheme="majorHAnsi" w:hAnsiTheme="majorHAnsi"/>
          <w:b/>
          <w:sz w:val="24"/>
          <w:lang w:val="de-DE"/>
        </w:rPr>
      </w:pPr>
    </w:p>
    <w:p w14:paraId="5DDD11F8" w14:textId="77777777" w:rsidR="00CA7797" w:rsidRPr="003A3E7D" w:rsidRDefault="00CA7797" w:rsidP="002F789D">
      <w:pPr>
        <w:rPr>
          <w:rFonts w:asciiTheme="majorHAnsi" w:hAnsiTheme="majorHAnsi"/>
          <w:b/>
          <w:sz w:val="24"/>
          <w:lang w:val="de-DE"/>
        </w:rPr>
      </w:pPr>
    </w:p>
    <w:p w14:paraId="05074205" w14:textId="77777777" w:rsidR="00710564" w:rsidRDefault="00BB6600" w:rsidP="009E50E1">
      <w:pPr>
        <w:rPr>
          <w:rFonts w:asciiTheme="majorHAnsi" w:hAnsiTheme="majorHAnsi"/>
          <w:b/>
          <w:sz w:val="24"/>
          <w:lang w:val="de-DE"/>
        </w:rPr>
      </w:pPr>
      <w:r>
        <w:rPr>
          <w:rFonts w:asciiTheme="majorHAnsi" w:hAnsiTheme="majorHAnsi"/>
          <w:b/>
          <w:sz w:val="24"/>
          <w:lang w:val="de-DE"/>
        </w:rPr>
        <w:t>D</w:t>
      </w:r>
      <w:r w:rsidR="003E72CE">
        <w:rPr>
          <w:rFonts w:asciiTheme="majorHAnsi" w:hAnsiTheme="majorHAnsi"/>
          <w:b/>
          <w:sz w:val="24"/>
          <w:lang w:val="de-DE"/>
        </w:rPr>
        <w:t>r</w:t>
      </w:r>
      <w:r>
        <w:rPr>
          <w:rFonts w:asciiTheme="majorHAnsi" w:hAnsiTheme="majorHAnsi"/>
          <w:b/>
          <w:sz w:val="24"/>
          <w:lang w:val="de-DE"/>
        </w:rPr>
        <w:t xml:space="preserve">. </w:t>
      </w:r>
      <w:r w:rsidR="00710564" w:rsidRPr="00710564">
        <w:rPr>
          <w:rFonts w:asciiTheme="majorHAnsi" w:hAnsiTheme="majorHAnsi"/>
          <w:b/>
          <w:sz w:val="24"/>
          <w:lang w:val="de-DE"/>
        </w:rPr>
        <w:t xml:space="preserve">Vineeta Bajaj </w:t>
      </w:r>
    </w:p>
    <w:p w14:paraId="027C7504" w14:textId="77777777" w:rsidR="006625BB" w:rsidRPr="003A3E7D" w:rsidRDefault="00710564" w:rsidP="009E50E1">
      <w:pPr>
        <w:rPr>
          <w:rFonts w:asciiTheme="majorHAnsi" w:hAnsiTheme="majorHAnsi"/>
          <w:sz w:val="24"/>
        </w:rPr>
      </w:pPr>
      <w:r>
        <w:rPr>
          <w:rFonts w:asciiTheme="majorHAnsi" w:hAnsiTheme="majorHAnsi"/>
          <w:b/>
          <w:sz w:val="24"/>
          <w:lang w:val="en-GB"/>
        </w:rPr>
        <w:t>Review</w:t>
      </w:r>
      <w:r w:rsidR="003E72CE" w:rsidRPr="003E72CE">
        <w:rPr>
          <w:rFonts w:asciiTheme="majorHAnsi" w:hAnsiTheme="majorHAnsi"/>
          <w:b/>
          <w:sz w:val="24"/>
          <w:lang w:val="en-GB"/>
        </w:rPr>
        <w:t xml:space="preserve"> Editor</w:t>
      </w:r>
      <w:r w:rsidR="003E72CE">
        <w:rPr>
          <w:rFonts w:asciiTheme="majorHAnsi" w:hAnsiTheme="majorHAnsi"/>
          <w:b/>
          <w:sz w:val="24"/>
          <w:lang w:val="en-GB"/>
        </w:rPr>
        <w:t xml:space="preserve"> - JoVE</w:t>
      </w:r>
    </w:p>
    <w:p w14:paraId="7BA1BA98" w14:textId="77777777" w:rsidR="00210362" w:rsidRPr="003A3E7D" w:rsidRDefault="00210362" w:rsidP="009E50E1">
      <w:pPr>
        <w:rPr>
          <w:rFonts w:asciiTheme="majorHAnsi" w:hAnsiTheme="majorHAnsi"/>
          <w:sz w:val="24"/>
        </w:rPr>
      </w:pPr>
    </w:p>
    <w:p w14:paraId="06805681" w14:textId="77777777" w:rsidR="008B11FE" w:rsidRPr="003A3E7D" w:rsidRDefault="008B11FE" w:rsidP="009E50E1">
      <w:pPr>
        <w:rPr>
          <w:rFonts w:asciiTheme="majorHAnsi" w:hAnsiTheme="majorHAnsi"/>
          <w:sz w:val="24"/>
        </w:rPr>
      </w:pPr>
    </w:p>
    <w:p w14:paraId="04835208" w14:textId="77777777" w:rsidR="008B11FE" w:rsidRPr="003A3E7D" w:rsidRDefault="008B11FE" w:rsidP="009E50E1">
      <w:pPr>
        <w:rPr>
          <w:rFonts w:asciiTheme="majorHAnsi" w:hAnsiTheme="majorHAnsi"/>
          <w:sz w:val="24"/>
        </w:rPr>
      </w:pPr>
    </w:p>
    <w:p w14:paraId="3CEEB51A" w14:textId="77777777" w:rsidR="00210362" w:rsidRPr="003A3E7D" w:rsidRDefault="00E73146" w:rsidP="00210362">
      <w:pPr>
        <w:jc w:val="right"/>
        <w:rPr>
          <w:rFonts w:asciiTheme="majorHAnsi" w:hAnsiTheme="majorHAnsi"/>
          <w:sz w:val="24"/>
        </w:rPr>
      </w:pPr>
      <w:r>
        <w:rPr>
          <w:rFonts w:asciiTheme="majorHAnsi" w:hAnsiTheme="majorHAnsi"/>
          <w:sz w:val="24"/>
        </w:rPr>
        <w:t>April 30</w:t>
      </w:r>
      <w:r w:rsidR="00724090" w:rsidRPr="003A3E7D">
        <w:rPr>
          <w:rFonts w:asciiTheme="majorHAnsi" w:hAnsiTheme="majorHAnsi"/>
          <w:sz w:val="24"/>
        </w:rPr>
        <w:t>, 20</w:t>
      </w:r>
      <w:r w:rsidR="003E72CE">
        <w:rPr>
          <w:rFonts w:asciiTheme="majorHAnsi" w:hAnsiTheme="majorHAnsi"/>
          <w:sz w:val="24"/>
        </w:rPr>
        <w:t>20</w:t>
      </w:r>
    </w:p>
    <w:p w14:paraId="2CA68921" w14:textId="77777777" w:rsidR="00CA7797" w:rsidRPr="003A3E7D" w:rsidRDefault="00CA7797" w:rsidP="009E50E1">
      <w:pPr>
        <w:rPr>
          <w:rFonts w:asciiTheme="majorHAnsi" w:hAnsiTheme="majorHAnsi"/>
          <w:sz w:val="24"/>
        </w:rPr>
      </w:pPr>
    </w:p>
    <w:p w14:paraId="0BE772EF" w14:textId="77777777" w:rsidR="00616243" w:rsidRPr="003A3E7D" w:rsidRDefault="00616243" w:rsidP="009E50E1">
      <w:pPr>
        <w:rPr>
          <w:rFonts w:asciiTheme="majorHAnsi" w:hAnsiTheme="majorHAnsi"/>
          <w:sz w:val="24"/>
        </w:rPr>
      </w:pPr>
      <w:r w:rsidRPr="003A3E7D">
        <w:rPr>
          <w:rFonts w:asciiTheme="majorHAnsi" w:hAnsiTheme="majorHAnsi"/>
          <w:sz w:val="24"/>
        </w:rPr>
        <w:t xml:space="preserve">Dear </w:t>
      </w:r>
      <w:r w:rsidR="003E72CE">
        <w:rPr>
          <w:rFonts w:asciiTheme="majorHAnsi" w:hAnsiTheme="majorHAnsi"/>
          <w:sz w:val="24"/>
        </w:rPr>
        <w:t>Dr</w:t>
      </w:r>
      <w:r w:rsidR="001A5BE0" w:rsidRPr="003A3E7D">
        <w:rPr>
          <w:rFonts w:asciiTheme="majorHAnsi" w:hAnsiTheme="majorHAnsi"/>
          <w:sz w:val="24"/>
        </w:rPr>
        <w:t xml:space="preserve">. </w:t>
      </w:r>
      <w:r w:rsidR="00710564">
        <w:rPr>
          <w:rFonts w:asciiTheme="majorHAnsi" w:hAnsiTheme="majorHAnsi"/>
          <w:sz w:val="24"/>
        </w:rPr>
        <w:t>Bajaj</w:t>
      </w:r>
      <w:r w:rsidR="003E72CE">
        <w:rPr>
          <w:rFonts w:asciiTheme="majorHAnsi" w:hAnsiTheme="majorHAnsi"/>
          <w:sz w:val="24"/>
        </w:rPr>
        <w:t>,</w:t>
      </w:r>
    </w:p>
    <w:p w14:paraId="4930FA4A" w14:textId="77777777" w:rsidR="006625BB" w:rsidRPr="003A3E7D" w:rsidRDefault="006625BB" w:rsidP="009E50E1">
      <w:pPr>
        <w:rPr>
          <w:rFonts w:asciiTheme="majorHAnsi" w:hAnsiTheme="majorHAnsi"/>
          <w:sz w:val="24"/>
        </w:rPr>
      </w:pPr>
    </w:p>
    <w:p w14:paraId="76FEBCF3" w14:textId="77777777" w:rsidR="00FF1854" w:rsidRPr="00FF1854" w:rsidRDefault="00710564" w:rsidP="00FF1854">
      <w:pPr>
        <w:rPr>
          <w:rFonts w:asciiTheme="majorHAnsi" w:hAnsiTheme="majorHAnsi"/>
          <w:sz w:val="24"/>
          <w:lang w:val="en-CA"/>
        </w:rPr>
      </w:pPr>
      <w:r>
        <w:rPr>
          <w:rFonts w:asciiTheme="majorHAnsi" w:hAnsiTheme="majorHAnsi"/>
          <w:sz w:val="24"/>
        </w:rPr>
        <w:t xml:space="preserve">We thank the Editor and Reviewers for their time and comments. We found the suggestions and comments valuable and helpful in our revision, allowing us to improve the quality of the article. </w:t>
      </w:r>
      <w:r w:rsidRPr="00710564">
        <w:rPr>
          <w:rFonts w:asciiTheme="majorHAnsi" w:hAnsiTheme="majorHAnsi"/>
          <w:sz w:val="24"/>
        </w:rPr>
        <w:t xml:space="preserve">Our responses to the Reviewers’ comment are described below in a point-to-point manner. Appropriated changes, suggested by the </w:t>
      </w:r>
      <w:r>
        <w:rPr>
          <w:rFonts w:asciiTheme="majorHAnsi" w:hAnsiTheme="majorHAnsi"/>
          <w:sz w:val="24"/>
        </w:rPr>
        <w:t xml:space="preserve">Editor and the </w:t>
      </w:r>
      <w:r w:rsidRPr="00710564">
        <w:rPr>
          <w:rFonts w:asciiTheme="majorHAnsi" w:hAnsiTheme="majorHAnsi"/>
          <w:sz w:val="24"/>
        </w:rPr>
        <w:t>Reviewers, ha</w:t>
      </w:r>
      <w:r w:rsidR="00FF1854">
        <w:rPr>
          <w:rFonts w:asciiTheme="majorHAnsi" w:hAnsiTheme="majorHAnsi"/>
          <w:sz w:val="24"/>
        </w:rPr>
        <w:t>ve</w:t>
      </w:r>
      <w:r w:rsidRPr="00710564">
        <w:rPr>
          <w:rFonts w:asciiTheme="majorHAnsi" w:hAnsiTheme="majorHAnsi"/>
          <w:sz w:val="24"/>
        </w:rPr>
        <w:t xml:space="preserve"> been introduced to the manuscript </w:t>
      </w:r>
      <w:r>
        <w:rPr>
          <w:rFonts w:asciiTheme="majorHAnsi" w:hAnsiTheme="majorHAnsi"/>
          <w:sz w:val="24"/>
        </w:rPr>
        <w:t>submitted in tracked changes format</w:t>
      </w:r>
      <w:r w:rsidRPr="00710564">
        <w:rPr>
          <w:rFonts w:asciiTheme="majorHAnsi" w:hAnsiTheme="majorHAnsi"/>
          <w:sz w:val="24"/>
        </w:rPr>
        <w:t>.</w:t>
      </w:r>
      <w:r w:rsidR="00FF1854">
        <w:rPr>
          <w:rFonts w:asciiTheme="majorHAnsi" w:hAnsiTheme="majorHAnsi"/>
          <w:sz w:val="24"/>
          <w:lang w:val="en-CA"/>
        </w:rPr>
        <w:t xml:space="preserve"> </w:t>
      </w:r>
      <w:r w:rsidR="00FF1854" w:rsidRPr="00FF1854">
        <w:rPr>
          <w:rFonts w:asciiTheme="majorHAnsi" w:hAnsiTheme="majorHAnsi"/>
          <w:sz w:val="24"/>
          <w:lang w:val="en-CA"/>
        </w:rPr>
        <w:t>We hope you find them appropriate and the manuscript suitable for publication.</w:t>
      </w:r>
    </w:p>
    <w:p w14:paraId="25A3AED7" w14:textId="77777777" w:rsidR="00FF1854" w:rsidRPr="00FF1854" w:rsidRDefault="00FF1854" w:rsidP="00FF1854">
      <w:pPr>
        <w:rPr>
          <w:rFonts w:asciiTheme="majorHAnsi" w:hAnsiTheme="majorHAnsi"/>
          <w:sz w:val="24"/>
          <w:lang w:val="en-CA"/>
        </w:rPr>
      </w:pPr>
    </w:p>
    <w:p w14:paraId="13772BA0" w14:textId="77777777" w:rsidR="00FF1854" w:rsidRPr="00FF1854" w:rsidRDefault="00FF1854" w:rsidP="00FF1854">
      <w:pPr>
        <w:rPr>
          <w:rFonts w:asciiTheme="majorHAnsi" w:hAnsiTheme="majorHAnsi"/>
          <w:sz w:val="24"/>
          <w:lang w:val="en-CA"/>
        </w:rPr>
      </w:pPr>
      <w:r w:rsidRPr="00FF1854">
        <w:rPr>
          <w:rFonts w:asciiTheme="majorHAnsi" w:hAnsiTheme="majorHAnsi"/>
          <w:sz w:val="24"/>
          <w:lang w:val="en-CA"/>
        </w:rPr>
        <w:t xml:space="preserve">On behalf of all authors, </w:t>
      </w:r>
    </w:p>
    <w:p w14:paraId="5DD15178" w14:textId="77777777" w:rsidR="00FF1854" w:rsidRPr="00FF1854" w:rsidRDefault="00FF1854" w:rsidP="00FF1854">
      <w:pPr>
        <w:rPr>
          <w:rFonts w:asciiTheme="majorHAnsi" w:hAnsiTheme="majorHAnsi"/>
          <w:sz w:val="24"/>
          <w:lang w:val="en-CA"/>
        </w:rPr>
      </w:pPr>
    </w:p>
    <w:p w14:paraId="422F5936" w14:textId="77777777" w:rsidR="00FF1854" w:rsidRPr="00FF1854" w:rsidRDefault="00FF1854" w:rsidP="00FF1854">
      <w:pPr>
        <w:rPr>
          <w:rFonts w:asciiTheme="majorHAnsi" w:hAnsiTheme="majorHAnsi"/>
          <w:sz w:val="24"/>
          <w:lang w:val="en-CA"/>
        </w:rPr>
      </w:pPr>
    </w:p>
    <w:p w14:paraId="2D7E46AF" w14:textId="77777777" w:rsidR="00FF1854" w:rsidRPr="00FF1854" w:rsidRDefault="00FF1854" w:rsidP="00FF1854">
      <w:pPr>
        <w:rPr>
          <w:rFonts w:asciiTheme="majorHAnsi" w:hAnsiTheme="majorHAnsi"/>
          <w:sz w:val="24"/>
          <w:lang w:val="en-CA"/>
        </w:rPr>
      </w:pPr>
    </w:p>
    <w:p w14:paraId="606A67C9" w14:textId="77777777" w:rsidR="003A3E7D" w:rsidRDefault="001A5BE0" w:rsidP="003E72CE">
      <w:pPr>
        <w:rPr>
          <w:rFonts w:asciiTheme="majorHAnsi" w:hAnsiTheme="majorHAnsi"/>
          <w:sz w:val="24"/>
        </w:rPr>
      </w:pPr>
      <w:r w:rsidRPr="001176BF">
        <w:rPr>
          <w:rFonts w:asciiTheme="majorHAnsi" w:hAnsiTheme="majorHAnsi"/>
          <w:sz w:val="24"/>
        </w:rPr>
        <w:t>Lidija Malic</w:t>
      </w:r>
      <w:r w:rsidR="00F2672D" w:rsidRPr="001176BF">
        <w:rPr>
          <w:rFonts w:asciiTheme="majorHAnsi" w:hAnsiTheme="majorHAnsi"/>
          <w:sz w:val="24"/>
        </w:rPr>
        <w:t xml:space="preserve"> </w:t>
      </w:r>
    </w:p>
    <w:p w14:paraId="6D1C7D68" w14:textId="77777777" w:rsidR="00710564" w:rsidRDefault="00710564">
      <w:pPr>
        <w:rPr>
          <w:rFonts w:asciiTheme="majorHAnsi" w:hAnsiTheme="majorHAnsi"/>
          <w:sz w:val="24"/>
        </w:rPr>
      </w:pPr>
      <w:r>
        <w:rPr>
          <w:rFonts w:asciiTheme="majorHAnsi" w:hAnsiTheme="majorHAnsi"/>
          <w:sz w:val="24"/>
        </w:rPr>
        <w:br w:type="page"/>
      </w:r>
    </w:p>
    <w:p w14:paraId="7903F47E" w14:textId="77777777" w:rsidR="00897CA5" w:rsidRPr="00897CA5" w:rsidRDefault="00897CA5" w:rsidP="00897CA5">
      <w:r w:rsidRPr="00897CA5">
        <w:lastRenderedPageBreak/>
        <w:t>Editorial comments:</w:t>
      </w:r>
      <w:r w:rsidRPr="00897CA5">
        <w:br/>
      </w:r>
    </w:p>
    <w:p w14:paraId="27C76D67" w14:textId="77777777" w:rsidR="00897CA5" w:rsidRPr="00897CA5" w:rsidRDefault="00897CA5" w:rsidP="00897CA5">
      <w:r w:rsidRPr="00897CA5">
        <w:t>Changes to be made by the Author(s):</w:t>
      </w:r>
    </w:p>
    <w:p w14:paraId="28BCC3FD" w14:textId="77777777" w:rsidR="00897CA5" w:rsidRPr="00897CA5" w:rsidRDefault="00897CA5" w:rsidP="00897CA5">
      <w:r w:rsidRPr="00897CA5">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6CB783E5" w14:textId="77777777" w:rsidR="00897CA5" w:rsidRPr="00897CA5" w:rsidRDefault="00897CA5" w:rsidP="00897CA5">
      <w:bookmarkStart w:id="0" w:name="_heading=h.6l6tfyoc64iy" w:colFirst="0" w:colLast="0"/>
      <w:bookmarkEnd w:id="0"/>
    </w:p>
    <w:p w14:paraId="574BD0DD" w14:textId="77777777" w:rsidR="00897CA5" w:rsidRPr="00897CA5" w:rsidRDefault="00897CA5" w:rsidP="00897CA5">
      <w:pPr>
        <w:rPr>
          <w:i/>
          <w:color w:val="4F81BD" w:themeColor="accent1"/>
        </w:rPr>
      </w:pPr>
      <w:r w:rsidRPr="00897CA5">
        <w:rPr>
          <w:i/>
          <w:color w:val="4F81BD" w:themeColor="accent1"/>
        </w:rPr>
        <w:t xml:space="preserve">The authors have thoroughly proofread the manuscript for spelling and grammar issues. </w:t>
      </w:r>
    </w:p>
    <w:p w14:paraId="1298A50D" w14:textId="77777777" w:rsidR="00897CA5" w:rsidRPr="00897CA5" w:rsidRDefault="00897CA5" w:rsidP="00897CA5">
      <w:bookmarkStart w:id="1" w:name="_heading=h.qhlrrdj0n5hv" w:colFirst="0" w:colLast="0"/>
      <w:bookmarkEnd w:id="1"/>
      <w:r w:rsidRPr="00897CA5">
        <w:br/>
        <w:t>2. Please format the manuscript as: paragraph Indentation: 0 for both left and right and special: none, Line spacings: single. Please include a single line space between each step, substep and note in the protocol section. Please use Calibri 12 points</w:t>
      </w:r>
    </w:p>
    <w:p w14:paraId="05009362" w14:textId="77777777" w:rsidR="00897CA5" w:rsidRPr="00897CA5" w:rsidRDefault="00897CA5" w:rsidP="00897CA5">
      <w:pPr>
        <w:rPr>
          <w:highlight w:val="yellow"/>
        </w:rPr>
      </w:pPr>
      <w:bookmarkStart w:id="2" w:name="_heading=h.g30fitozys1s" w:colFirst="0" w:colLast="0"/>
      <w:bookmarkEnd w:id="2"/>
    </w:p>
    <w:p w14:paraId="0222B7CD" w14:textId="77777777" w:rsidR="00897CA5" w:rsidRPr="00897CA5" w:rsidRDefault="00897CA5" w:rsidP="00897CA5">
      <w:pPr>
        <w:rPr>
          <w:i/>
          <w:color w:val="4F81BD" w:themeColor="accent1"/>
          <w:highlight w:val="yellow"/>
        </w:rPr>
      </w:pPr>
      <w:r w:rsidRPr="00897CA5">
        <w:rPr>
          <w:i/>
          <w:color w:val="4F81BD" w:themeColor="accent1"/>
        </w:rPr>
        <w:t>The manuscript has been formatted as per requirements.</w:t>
      </w:r>
    </w:p>
    <w:p w14:paraId="08F1D27F" w14:textId="77777777" w:rsidR="00897CA5" w:rsidRPr="00897CA5" w:rsidRDefault="00897CA5" w:rsidP="00897CA5">
      <w:bookmarkStart w:id="3" w:name="_heading=h.vyquir662weu" w:colFirst="0" w:colLast="0"/>
      <w:bookmarkEnd w:id="3"/>
      <w:r w:rsidRPr="00897CA5">
        <w:br/>
        <w:t>3. Please provide an email address for each author.</w:t>
      </w:r>
    </w:p>
    <w:p w14:paraId="40250D42" w14:textId="77777777" w:rsidR="00897CA5" w:rsidRDefault="00897CA5" w:rsidP="00897CA5">
      <w:bookmarkStart w:id="4" w:name="_heading=h.79pm909wo9bw" w:colFirst="0" w:colLast="0"/>
      <w:bookmarkEnd w:id="4"/>
    </w:p>
    <w:p w14:paraId="687A7382" w14:textId="77777777" w:rsidR="00897CA5" w:rsidRPr="00897CA5" w:rsidRDefault="00897CA5" w:rsidP="00897CA5">
      <w:pPr>
        <w:rPr>
          <w:i/>
          <w:color w:val="4F81BD" w:themeColor="accent1"/>
        </w:rPr>
      </w:pPr>
      <w:r w:rsidRPr="00897CA5">
        <w:rPr>
          <w:i/>
          <w:color w:val="4F81BD" w:themeColor="accent1"/>
        </w:rPr>
        <w:t xml:space="preserve">Email addresses of each author have been added to </w:t>
      </w:r>
      <w:r w:rsidR="00BE0219">
        <w:rPr>
          <w:i/>
          <w:color w:val="4F81BD" w:themeColor="accent1"/>
        </w:rPr>
        <w:t xml:space="preserve">the </w:t>
      </w:r>
      <w:r w:rsidRPr="00897CA5">
        <w:rPr>
          <w:i/>
          <w:color w:val="4F81BD" w:themeColor="accent1"/>
        </w:rPr>
        <w:t xml:space="preserve">manuscript. </w:t>
      </w:r>
    </w:p>
    <w:p w14:paraId="3CAE2B47" w14:textId="77777777" w:rsidR="00897CA5" w:rsidRPr="00897CA5" w:rsidRDefault="00897CA5" w:rsidP="00897CA5">
      <w:bookmarkStart w:id="5" w:name="_heading=h.fempudjasrzx" w:colFirst="0" w:colLast="0"/>
      <w:bookmarkEnd w:id="5"/>
      <w:r w:rsidRPr="00897CA5">
        <w:br/>
        <w:t>4. Please define all abbreviations during the first time use.</w:t>
      </w:r>
    </w:p>
    <w:p w14:paraId="00BF0F99" w14:textId="77777777" w:rsidR="00897CA5" w:rsidRPr="00897CA5" w:rsidRDefault="00897CA5" w:rsidP="00897CA5">
      <w:bookmarkStart w:id="6" w:name="_heading=h.wzgq6arudtp5" w:colFirst="0" w:colLast="0"/>
      <w:bookmarkEnd w:id="6"/>
    </w:p>
    <w:p w14:paraId="3CC61B07" w14:textId="77777777" w:rsidR="00897CA5" w:rsidRPr="00897CA5" w:rsidRDefault="00897CA5" w:rsidP="00897CA5">
      <w:pPr>
        <w:rPr>
          <w:i/>
          <w:color w:val="4F81BD" w:themeColor="accent1"/>
          <w:highlight w:val="yellow"/>
        </w:rPr>
      </w:pPr>
      <w:bookmarkStart w:id="7" w:name="_heading=h.mbdsrsdg7px1" w:colFirst="0" w:colLast="0"/>
      <w:bookmarkEnd w:id="7"/>
      <w:r w:rsidRPr="00897CA5">
        <w:rPr>
          <w:i/>
          <w:color w:val="4F81BD" w:themeColor="accent1"/>
        </w:rPr>
        <w:t>All abbreviations have been defined during first time use.</w:t>
      </w:r>
    </w:p>
    <w:p w14:paraId="1707A919" w14:textId="77777777" w:rsidR="00897CA5" w:rsidRPr="00897CA5" w:rsidRDefault="00897CA5" w:rsidP="00897CA5">
      <w:pPr>
        <w:rPr>
          <w:highlight w:val="yellow"/>
        </w:rPr>
      </w:pPr>
      <w:bookmarkStart w:id="8" w:name="_heading=h.ef60gqoi91k6" w:colFirst="0" w:colLast="0"/>
      <w:bookmarkEnd w:id="8"/>
    </w:p>
    <w:p w14:paraId="1BEEE2F3" w14:textId="77777777" w:rsidR="00897CA5" w:rsidRPr="00897CA5" w:rsidRDefault="00897CA5" w:rsidP="00897CA5">
      <w:bookmarkStart w:id="9" w:name="_heading=h.t1abrc154awl" w:colFirst="0" w:colLast="0"/>
      <w:bookmarkEnd w:id="9"/>
      <w:r w:rsidRPr="00897CA5">
        <w:t>5. Please ensure the Short Abstract/Summary clearly describes the protocol and its applications in complete sentences between 10-50 words: “This protocol presents…”</w:t>
      </w:r>
    </w:p>
    <w:p w14:paraId="368546F7" w14:textId="77777777" w:rsidR="00897CA5" w:rsidRDefault="00897CA5" w:rsidP="00897CA5"/>
    <w:p w14:paraId="32003E88" w14:textId="77777777" w:rsidR="00897CA5" w:rsidRPr="00897CA5" w:rsidRDefault="00897CA5" w:rsidP="00897CA5">
      <w:pPr>
        <w:rPr>
          <w:i/>
          <w:color w:val="4F81BD" w:themeColor="accent1"/>
        </w:rPr>
      </w:pPr>
      <w:r w:rsidRPr="00897CA5">
        <w:rPr>
          <w:i/>
          <w:color w:val="4F81BD" w:themeColor="accent1"/>
        </w:rPr>
        <w:t xml:space="preserve">Summary has been reduced to 49 words and described in complete sentences. </w:t>
      </w:r>
    </w:p>
    <w:p w14:paraId="4E6BC837" w14:textId="77777777" w:rsidR="00897CA5" w:rsidRPr="00897CA5" w:rsidRDefault="00897CA5" w:rsidP="00897CA5">
      <w:bookmarkStart w:id="10" w:name="_heading=h.okd6z4nlmxyu" w:colFirst="0" w:colLast="0"/>
      <w:bookmarkEnd w:id="10"/>
      <w:r w:rsidRPr="00897CA5">
        <w:br/>
        <w:t>6. Please ensure that the long Abstract is within 150-300 word limit and clearly states the goal of the protocol.</w:t>
      </w:r>
    </w:p>
    <w:p w14:paraId="17ECB389" w14:textId="77777777" w:rsidR="00897CA5" w:rsidRDefault="00897CA5" w:rsidP="00897CA5"/>
    <w:p w14:paraId="6EB0422B" w14:textId="77777777" w:rsidR="00897CA5" w:rsidRPr="00897CA5" w:rsidRDefault="00897CA5" w:rsidP="00897CA5">
      <w:pPr>
        <w:rPr>
          <w:i/>
          <w:color w:val="4F81BD" w:themeColor="accent1"/>
          <w:highlight w:val="yellow"/>
        </w:rPr>
      </w:pPr>
      <w:r w:rsidRPr="00897CA5">
        <w:rPr>
          <w:i/>
          <w:color w:val="4F81BD" w:themeColor="accent1"/>
        </w:rPr>
        <w:t>The abstract is within the word limit and states the goal of the protocol.</w:t>
      </w:r>
    </w:p>
    <w:p w14:paraId="7AE75CAF" w14:textId="77777777" w:rsidR="00897CA5" w:rsidRDefault="00897CA5" w:rsidP="00897CA5">
      <w:bookmarkStart w:id="11" w:name="_heading=h.afjrf6sezxcf" w:colFirst="0" w:colLast="0"/>
      <w:bookmarkEnd w:id="11"/>
    </w:p>
    <w:p w14:paraId="18DBA987" w14:textId="77777777" w:rsidR="00897CA5" w:rsidRPr="00897CA5" w:rsidRDefault="00897CA5" w:rsidP="00897CA5">
      <w:r w:rsidRPr="00897CA5">
        <w:t>7. Unfortunately, there are a few sections of the manuscript that show significant overlap with previously published work. Though there may be a limited number of ways to describe a technique, please use original language throughout the manuscript. Please see lines: 48-53, 544-57, 65-68,</w:t>
      </w:r>
    </w:p>
    <w:p w14:paraId="3E034E93" w14:textId="77777777" w:rsidR="00897CA5" w:rsidRPr="00897CA5" w:rsidRDefault="00897CA5" w:rsidP="00897CA5">
      <w:bookmarkStart w:id="12" w:name="_heading=h.l9xmzffulk7t" w:colFirst="0" w:colLast="0"/>
      <w:bookmarkEnd w:id="12"/>
    </w:p>
    <w:p w14:paraId="1FEA2F87" w14:textId="77777777" w:rsidR="00897CA5" w:rsidRPr="00897CA5" w:rsidRDefault="00897CA5" w:rsidP="00897CA5">
      <w:pPr>
        <w:rPr>
          <w:i/>
          <w:color w:val="4F81BD" w:themeColor="accent1"/>
        </w:rPr>
      </w:pPr>
      <w:r w:rsidRPr="00897CA5">
        <w:rPr>
          <w:i/>
          <w:color w:val="4F81BD" w:themeColor="accent1"/>
        </w:rPr>
        <w:t xml:space="preserve">Lines 48-53 </w:t>
      </w:r>
      <w:r w:rsidR="00BE0219">
        <w:rPr>
          <w:i/>
          <w:color w:val="4F81BD" w:themeColor="accent1"/>
        </w:rPr>
        <w:t xml:space="preserve">were </w:t>
      </w:r>
      <w:r w:rsidRPr="00897CA5">
        <w:rPr>
          <w:i/>
          <w:color w:val="4F81BD" w:themeColor="accent1"/>
        </w:rPr>
        <w:t>changed to: “Epigenetic markers have recently emerged as powerful analytic tools for the study of phenotypic variations. Subsequently, human leukocyte populations have shown to have cell-lineage DNA methylation patterns that allow for the precise characterization of white blood cell (WBC) subset. Subtyping based on epigenetic markers provides a promising alternative that does not depend on fresh blood sample collection or expensive antibodies and can be exploited as a biomarker for disease onset and susceptibility.”</w:t>
      </w:r>
    </w:p>
    <w:p w14:paraId="762E0483" w14:textId="77777777" w:rsidR="00897CA5" w:rsidRPr="00897CA5" w:rsidRDefault="00897CA5" w:rsidP="00897CA5">
      <w:pPr>
        <w:rPr>
          <w:i/>
          <w:color w:val="4F81BD" w:themeColor="accent1"/>
        </w:rPr>
      </w:pPr>
      <w:r w:rsidRPr="00897CA5">
        <w:rPr>
          <w:i/>
          <w:color w:val="4F81BD" w:themeColor="accent1"/>
        </w:rPr>
        <w:lastRenderedPageBreak/>
        <w:t>Line</w:t>
      </w:r>
      <w:r w:rsidR="00BE0219">
        <w:rPr>
          <w:i/>
          <w:color w:val="4F81BD" w:themeColor="accent1"/>
        </w:rPr>
        <w:t>s</w:t>
      </w:r>
      <w:r w:rsidRPr="00897CA5">
        <w:rPr>
          <w:i/>
          <w:color w:val="4F81BD" w:themeColor="accent1"/>
        </w:rPr>
        <w:t xml:space="preserve"> 65-68 </w:t>
      </w:r>
      <w:r w:rsidR="00BE0219">
        <w:rPr>
          <w:i/>
          <w:color w:val="4F81BD" w:themeColor="accent1"/>
        </w:rPr>
        <w:t xml:space="preserve">were </w:t>
      </w:r>
      <w:r w:rsidRPr="00897CA5">
        <w:rPr>
          <w:i/>
          <w:color w:val="4F81BD" w:themeColor="accent1"/>
        </w:rPr>
        <w:t>changed to: “</w:t>
      </w:r>
      <w:r>
        <w:rPr>
          <w:i/>
          <w:color w:val="4F81BD" w:themeColor="accent1"/>
        </w:rPr>
        <w:t>m</w:t>
      </w:r>
      <w:r w:rsidRPr="00897CA5">
        <w:rPr>
          <w:i/>
          <w:color w:val="4F81BD" w:themeColor="accent1"/>
        </w:rPr>
        <w:t>dPCR has been established to be more precise, accurate, and technically simpler than standard qPCR, making it a more favorable DNA methylation based method for clinical valuation of T-Cells.”</w:t>
      </w:r>
    </w:p>
    <w:p w14:paraId="5E7017D0" w14:textId="77777777" w:rsidR="00897CA5" w:rsidRDefault="00897CA5" w:rsidP="00897CA5">
      <w:bookmarkStart w:id="13" w:name="_heading=h.d3hgh9niylu" w:colFirst="0" w:colLast="0"/>
      <w:bookmarkEnd w:id="13"/>
    </w:p>
    <w:p w14:paraId="0D4E7B14" w14:textId="554995F9" w:rsidR="00897CA5" w:rsidRPr="00897CA5" w:rsidRDefault="00897CA5" w:rsidP="00897CA5">
      <w:pPr>
        <w:rPr>
          <w:i/>
          <w:color w:val="4F81BD" w:themeColor="accent1"/>
        </w:rPr>
      </w:pPr>
      <w:r w:rsidRPr="00897CA5">
        <w:rPr>
          <w:i/>
          <w:color w:val="4F81BD" w:themeColor="accent1"/>
        </w:rPr>
        <w:t xml:space="preserve">Lines 544-57 correspond mostly to Figure 5 caption which does not share any overlap with published work. </w:t>
      </w:r>
    </w:p>
    <w:p w14:paraId="16D4730D" w14:textId="77777777" w:rsidR="00897CA5" w:rsidRPr="00897CA5" w:rsidRDefault="00897CA5" w:rsidP="00897CA5">
      <w:bookmarkStart w:id="14" w:name="_heading=h.km0q4ermx12u" w:colFirst="0" w:colLast="0"/>
      <w:bookmarkEnd w:id="14"/>
      <w:r w:rsidRPr="00897CA5">
        <w:br/>
        <w:t>8. ddPCR is trademarked, please reword this to be generic.</w:t>
      </w:r>
    </w:p>
    <w:p w14:paraId="6F4E89D2" w14:textId="77777777" w:rsidR="00897CA5" w:rsidRPr="00897CA5" w:rsidRDefault="00897CA5" w:rsidP="00897CA5">
      <w:pPr>
        <w:rPr>
          <w:highlight w:val="yellow"/>
        </w:rPr>
      </w:pPr>
      <w:bookmarkStart w:id="15" w:name="_heading=h.mvtonfa5q3ru" w:colFirst="0" w:colLast="0"/>
      <w:bookmarkEnd w:id="15"/>
    </w:p>
    <w:p w14:paraId="330A1DCC" w14:textId="77777777" w:rsidR="00897CA5" w:rsidRPr="00897CA5" w:rsidRDefault="00897CA5" w:rsidP="00897CA5">
      <w:pPr>
        <w:rPr>
          <w:i/>
          <w:color w:val="4F81BD" w:themeColor="accent1"/>
          <w:highlight w:val="yellow"/>
        </w:rPr>
      </w:pPr>
      <w:r w:rsidRPr="00897CA5">
        <w:rPr>
          <w:i/>
          <w:color w:val="4F81BD" w:themeColor="accent1"/>
        </w:rPr>
        <w:t>A generic term has been used to describe the technique, multiplex</w:t>
      </w:r>
      <w:r w:rsidRPr="00897CA5">
        <w:rPr>
          <w:i/>
          <w:color w:val="4F81BD" w:themeColor="accent1"/>
          <w:highlight w:val="white"/>
        </w:rPr>
        <w:t xml:space="preserve"> droplet </w:t>
      </w:r>
      <w:r w:rsidRPr="00897CA5">
        <w:rPr>
          <w:i/>
          <w:color w:val="4F81BD" w:themeColor="accent1"/>
        </w:rPr>
        <w:t xml:space="preserve">PCR abbreviated by mdPCR. </w:t>
      </w:r>
    </w:p>
    <w:p w14:paraId="2625F327" w14:textId="77777777" w:rsidR="00897CA5" w:rsidRPr="00897CA5" w:rsidRDefault="00897CA5" w:rsidP="00897CA5">
      <w:bookmarkStart w:id="16" w:name="_heading=h.ms7nirt5i2tu" w:colFirst="0" w:colLast="0"/>
      <w:bookmarkEnd w:id="16"/>
      <w:r w:rsidRPr="00897CA5">
        <w:br/>
        <w:t>9. JoVE cannot publish manuscripts containing commercial language. Please remove all commercial language from your manuscript and use generic terms instead. All commercial products should be sufficiently referenced in the Table of Materials and Reagents.</w:t>
      </w:r>
      <w:r w:rsidRPr="00897CA5">
        <w:br/>
        <w:t>For example: Thermo Fisher Scientific, Waltham, MA, NucBlue Live Cell Stain, Ti Eclipse inverted microscope (Nikon), Andor iXon Ultra EMCCD camera (Oxford Instruments, Abingdon, UK), Magnetic Blood and Cell DNA extraction kit (Galenvs, Canada), Lightening Conversion Reagent, EZ DNA Methylation-Lightening Kit (Zymo Research, US), NanoDrop, GM1070 (Gersteltec, Pully, Switzerland), (Silicon Quest International, Santa Clara, CA), (Silicon Quest International, Santa Clara, CA), photomask (Fineline Imaging, Colorado Springs, CO), PGMEA; Sigma-Aldrich, Oakville, ON, (Anachemia, Montreal, QC), S (Sylgard 184; Dow Corning, Midland, MI), Conapoxy FR-1080; Cytec Industries, Woodland Park, NJ, Binder Series VD 275 Vacuum Drying Chambers, Fisher, Canada, Hexpol TPE, Åmål, Swed, EV Group, Schärding, Austria, Mediprene sheet, Cell Profiler, etc.</w:t>
      </w:r>
    </w:p>
    <w:p w14:paraId="18EDE30E" w14:textId="77777777" w:rsidR="00897CA5" w:rsidRPr="00897CA5" w:rsidRDefault="00897CA5" w:rsidP="00897CA5">
      <w:bookmarkStart w:id="17" w:name="_heading=h.1cb598kqepd3" w:colFirst="0" w:colLast="0"/>
      <w:bookmarkEnd w:id="17"/>
    </w:p>
    <w:p w14:paraId="792C594A" w14:textId="77777777" w:rsidR="00897CA5" w:rsidRPr="00897CA5" w:rsidRDefault="00897CA5" w:rsidP="00897CA5">
      <w:pPr>
        <w:rPr>
          <w:i/>
          <w:color w:val="4F81BD" w:themeColor="accent1"/>
        </w:rPr>
      </w:pPr>
      <w:bookmarkStart w:id="18" w:name="_heading=h.n0k47fck3hps" w:colFirst="0" w:colLast="0"/>
      <w:bookmarkEnd w:id="18"/>
      <w:r w:rsidRPr="00897CA5">
        <w:rPr>
          <w:i/>
          <w:color w:val="4F81BD" w:themeColor="accent1"/>
        </w:rPr>
        <w:t xml:space="preserve">Commercial language has been removed and referenced in the Table of Material and Reagents. </w:t>
      </w:r>
    </w:p>
    <w:p w14:paraId="356A577B" w14:textId="77777777" w:rsidR="00897CA5" w:rsidRPr="00897CA5" w:rsidRDefault="00897CA5" w:rsidP="00897CA5">
      <w:bookmarkStart w:id="19" w:name="_heading=h.y2ozhugddpdd" w:colFirst="0" w:colLast="0"/>
      <w:bookmarkEnd w:id="19"/>
      <w:r w:rsidRPr="00897CA5">
        <w:br/>
        <w:t>10. Please include an ethics statement before the numbered protocol steps, indicating that the protocol follows the guidelines of your institution’s human research ethics committee.</w:t>
      </w:r>
    </w:p>
    <w:p w14:paraId="4BAADD3A" w14:textId="77777777" w:rsidR="00897CA5" w:rsidRPr="00897CA5" w:rsidRDefault="00897CA5" w:rsidP="00897CA5">
      <w:pPr>
        <w:rPr>
          <w:highlight w:val="yellow"/>
        </w:rPr>
      </w:pPr>
      <w:bookmarkStart w:id="20" w:name="_heading=h.q1j8n5f2x4hu" w:colFirst="0" w:colLast="0"/>
      <w:bookmarkEnd w:id="20"/>
    </w:p>
    <w:p w14:paraId="74F5E836" w14:textId="77777777" w:rsidR="00897CA5" w:rsidRPr="00897CA5" w:rsidRDefault="00897CA5" w:rsidP="00897CA5">
      <w:pPr>
        <w:rPr>
          <w:i/>
          <w:color w:val="4F81BD" w:themeColor="accent1"/>
        </w:rPr>
      </w:pPr>
      <w:r w:rsidRPr="00897CA5">
        <w:rPr>
          <w:i/>
          <w:color w:val="4F81BD" w:themeColor="accent1"/>
        </w:rPr>
        <w:t>An ethics statement has been included before the numbered protocol steps.</w:t>
      </w:r>
    </w:p>
    <w:p w14:paraId="18DA6046" w14:textId="77777777" w:rsidR="00897CA5" w:rsidRPr="00897CA5" w:rsidRDefault="00897CA5" w:rsidP="00897CA5">
      <w:pPr>
        <w:rPr>
          <w:highlight w:val="yellow"/>
        </w:rPr>
      </w:pPr>
      <w:bookmarkStart w:id="21" w:name="_heading=h.s594sk3qvz2l" w:colFirst="0" w:colLast="0"/>
      <w:bookmarkEnd w:id="21"/>
    </w:p>
    <w:p w14:paraId="0CAC0C43" w14:textId="030B5AE3" w:rsidR="00897CA5" w:rsidRPr="00897CA5" w:rsidRDefault="00897CA5" w:rsidP="00897CA5">
      <w:bookmarkStart w:id="22" w:name="_heading=h.4nptdnb2cot7" w:colFirst="0" w:colLast="0"/>
      <w:bookmarkEnd w:id="22"/>
      <w:r w:rsidRPr="00897CA5">
        <w:t>11.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F5F2DF9" w14:textId="77777777" w:rsidR="00897CA5" w:rsidRPr="00897CA5" w:rsidRDefault="00897CA5" w:rsidP="00897CA5">
      <w:bookmarkStart w:id="23" w:name="_heading=h.q8wb9gfwdv8v" w:colFirst="0" w:colLast="0"/>
      <w:bookmarkEnd w:id="23"/>
    </w:p>
    <w:p w14:paraId="417375CF" w14:textId="77777777" w:rsidR="00897CA5" w:rsidRPr="00897CA5" w:rsidRDefault="00897CA5" w:rsidP="00897CA5">
      <w:pPr>
        <w:rPr>
          <w:i/>
          <w:color w:val="4F81BD" w:themeColor="accent1"/>
        </w:rPr>
      </w:pPr>
      <w:bookmarkStart w:id="24" w:name="_heading=h.dpvqkkilgg7o" w:colFirst="0" w:colLast="0"/>
      <w:bookmarkEnd w:id="24"/>
      <w:r w:rsidRPr="00897CA5">
        <w:rPr>
          <w:i/>
          <w:color w:val="4F81BD" w:themeColor="accent1"/>
        </w:rPr>
        <w:t xml:space="preserve">Protocol section has been written in the imperative tense. </w:t>
      </w:r>
    </w:p>
    <w:p w14:paraId="057B6390" w14:textId="77777777" w:rsidR="00897CA5" w:rsidRPr="00897CA5" w:rsidRDefault="00897CA5" w:rsidP="00897CA5">
      <w:bookmarkStart w:id="25" w:name="_heading=h.12ek77fzt6xi" w:colFirst="0" w:colLast="0"/>
      <w:bookmarkEnd w:id="25"/>
      <w:r w:rsidRPr="00897CA5">
        <w:br/>
        <w:t>12. The Protocol should contain only action items that direct the reader to do something.</w:t>
      </w:r>
    </w:p>
    <w:p w14:paraId="69A74B39" w14:textId="77777777" w:rsidR="00897CA5" w:rsidRPr="00897CA5" w:rsidRDefault="00897CA5" w:rsidP="00897CA5">
      <w:pPr>
        <w:rPr>
          <w:highlight w:val="yellow"/>
        </w:rPr>
      </w:pPr>
      <w:bookmarkStart w:id="26" w:name="_heading=h.6t5zq56fjj8" w:colFirst="0" w:colLast="0"/>
      <w:bookmarkEnd w:id="26"/>
    </w:p>
    <w:p w14:paraId="51FDC796" w14:textId="77777777" w:rsidR="00897CA5" w:rsidRPr="00897CA5" w:rsidRDefault="00897CA5" w:rsidP="00897CA5">
      <w:pPr>
        <w:rPr>
          <w:i/>
          <w:color w:val="4F81BD" w:themeColor="accent1"/>
          <w:highlight w:val="yellow"/>
        </w:rPr>
      </w:pPr>
      <w:r w:rsidRPr="00897CA5">
        <w:rPr>
          <w:i/>
          <w:color w:val="4F81BD" w:themeColor="accent1"/>
        </w:rPr>
        <w:t>Only action words have been used in the Protocol section.</w:t>
      </w:r>
    </w:p>
    <w:p w14:paraId="0FDEA554" w14:textId="77777777" w:rsidR="00897CA5" w:rsidRPr="00897CA5" w:rsidRDefault="00897CA5" w:rsidP="00897CA5">
      <w:bookmarkStart w:id="27" w:name="_heading=h.4xflh6k7w56b" w:colFirst="0" w:colLast="0"/>
      <w:bookmarkEnd w:id="27"/>
      <w:r w:rsidRPr="00897CA5">
        <w:lastRenderedPageBreak/>
        <w:br/>
        <w:t>13. Please ensure that individual steps of the protocol should only contain 2-3 actions sentences per step.</w:t>
      </w:r>
    </w:p>
    <w:p w14:paraId="6B794734" w14:textId="77777777" w:rsidR="00897CA5" w:rsidRPr="00897CA5" w:rsidRDefault="00897CA5" w:rsidP="00897CA5">
      <w:bookmarkStart w:id="28" w:name="_heading=h.6zvx2q5k96gc" w:colFirst="0" w:colLast="0"/>
      <w:bookmarkEnd w:id="28"/>
    </w:p>
    <w:p w14:paraId="26AD7EDE" w14:textId="77777777" w:rsidR="00897CA5" w:rsidRPr="00897CA5" w:rsidRDefault="00897CA5" w:rsidP="00897CA5">
      <w:pPr>
        <w:rPr>
          <w:i/>
          <w:color w:val="4F81BD" w:themeColor="accent1"/>
        </w:rPr>
      </w:pPr>
      <w:r w:rsidRPr="00897CA5">
        <w:rPr>
          <w:i/>
          <w:color w:val="4F81BD" w:themeColor="accent1"/>
        </w:rPr>
        <w:t xml:space="preserve">The protocol steps have been modified to only contain 2-3 action sentences. </w:t>
      </w:r>
    </w:p>
    <w:p w14:paraId="68E8D08E" w14:textId="77777777" w:rsidR="00897CA5" w:rsidRPr="00897CA5" w:rsidRDefault="00897CA5" w:rsidP="00897CA5">
      <w:bookmarkStart w:id="29" w:name="_heading=h.g9em2gpbcfba" w:colFirst="0" w:colLast="0"/>
      <w:bookmarkEnd w:id="29"/>
      <w:r w:rsidRPr="00897CA5">
        <w:br/>
        <w:t>14. Please add more details to your protocol steps. Please ensure you answer the “how” question, i.e., how is the step performed?</w:t>
      </w:r>
    </w:p>
    <w:p w14:paraId="4695C37C" w14:textId="77777777" w:rsidR="00897CA5" w:rsidRPr="00897CA5" w:rsidRDefault="00897CA5" w:rsidP="00897CA5">
      <w:bookmarkStart w:id="30" w:name="_heading=h.ll8vo7f6jid4" w:colFirst="0" w:colLast="0"/>
      <w:bookmarkEnd w:id="30"/>
    </w:p>
    <w:p w14:paraId="7A793519" w14:textId="77777777" w:rsidR="00897CA5" w:rsidRPr="00897CA5" w:rsidRDefault="00897CA5" w:rsidP="00897CA5">
      <w:pPr>
        <w:rPr>
          <w:i/>
          <w:color w:val="4F81BD" w:themeColor="accent1"/>
          <w:highlight w:val="yellow"/>
        </w:rPr>
      </w:pPr>
      <w:bookmarkStart w:id="31" w:name="_heading=h.i8af52mu4wq6" w:colFirst="0" w:colLast="0"/>
      <w:bookmarkEnd w:id="31"/>
      <w:r w:rsidRPr="00897CA5">
        <w:rPr>
          <w:i/>
          <w:color w:val="4F81BD" w:themeColor="accent1"/>
        </w:rPr>
        <w:t xml:space="preserve">The protocol steps have been modified to include more details.  </w:t>
      </w:r>
    </w:p>
    <w:p w14:paraId="16F7041C" w14:textId="77777777" w:rsidR="00897CA5" w:rsidRPr="00897CA5" w:rsidRDefault="00897CA5" w:rsidP="00897CA5">
      <w:bookmarkStart w:id="32" w:name="_heading=h.l3362isz0kv7" w:colFirst="0" w:colLast="0"/>
      <w:bookmarkEnd w:id="32"/>
      <w:r w:rsidRPr="00897CA5">
        <w:br/>
        <w:t>15. 1: Source of PBMCs?</w:t>
      </w:r>
    </w:p>
    <w:p w14:paraId="1D655BBF" w14:textId="77777777" w:rsidR="00897CA5" w:rsidRPr="00897CA5" w:rsidRDefault="00897CA5" w:rsidP="00897CA5">
      <w:bookmarkStart w:id="33" w:name="_heading=h.fw3jiq144yrj" w:colFirst="0" w:colLast="0"/>
      <w:bookmarkEnd w:id="33"/>
    </w:p>
    <w:p w14:paraId="547D835B" w14:textId="77777777" w:rsidR="00897CA5" w:rsidRPr="00897CA5" w:rsidRDefault="00897CA5" w:rsidP="00897CA5">
      <w:pPr>
        <w:rPr>
          <w:i/>
          <w:color w:val="4F81BD" w:themeColor="accent1"/>
        </w:rPr>
      </w:pPr>
      <w:bookmarkStart w:id="34" w:name="_heading=h.ng48kg8a1czn" w:colFirst="0" w:colLast="0"/>
      <w:bookmarkEnd w:id="34"/>
      <w:r w:rsidRPr="00897CA5">
        <w:rPr>
          <w:i/>
          <w:color w:val="4F81BD" w:themeColor="accent1"/>
        </w:rPr>
        <w:t xml:space="preserve">Supplier of the PBMCs is listed in the list of materials. </w:t>
      </w:r>
    </w:p>
    <w:p w14:paraId="6E251325" w14:textId="77777777" w:rsidR="00897CA5" w:rsidRPr="00897CA5" w:rsidRDefault="00897CA5" w:rsidP="00897CA5">
      <w:pPr>
        <w:rPr>
          <w:highlight w:val="yellow"/>
        </w:rPr>
      </w:pPr>
      <w:bookmarkStart w:id="35" w:name="_heading=h.q0ndcl9xze6w" w:colFirst="0" w:colLast="0"/>
      <w:bookmarkEnd w:id="35"/>
      <w:r w:rsidRPr="00897CA5">
        <w:br/>
        <w:t>16. 2.13: How is the imaging performed? Please include all button clicks in the software, knob turns, etc.</w:t>
      </w:r>
    </w:p>
    <w:p w14:paraId="1F5C7186" w14:textId="77777777" w:rsidR="00897CA5" w:rsidRPr="00897CA5" w:rsidRDefault="00897CA5" w:rsidP="00897CA5">
      <w:bookmarkStart w:id="36" w:name="_heading=h.egw84enuifyz" w:colFirst="0" w:colLast="0"/>
      <w:bookmarkEnd w:id="36"/>
    </w:p>
    <w:p w14:paraId="387BD78E" w14:textId="77777777" w:rsidR="00897CA5" w:rsidRPr="00897CA5" w:rsidRDefault="00897CA5" w:rsidP="00897CA5">
      <w:pPr>
        <w:rPr>
          <w:i/>
          <w:color w:val="4F81BD" w:themeColor="accent1"/>
        </w:rPr>
      </w:pPr>
      <w:r w:rsidRPr="00897CA5">
        <w:rPr>
          <w:i/>
          <w:color w:val="4F81BD" w:themeColor="accent1"/>
        </w:rPr>
        <w:t>All the detailed steps for imaging have been included.</w:t>
      </w:r>
    </w:p>
    <w:p w14:paraId="02092D12" w14:textId="77777777" w:rsidR="00897CA5" w:rsidRPr="00897CA5" w:rsidRDefault="00897CA5" w:rsidP="00897CA5">
      <w:bookmarkStart w:id="37" w:name="_heading=h.mq9lda4m2iiv" w:colFirst="0" w:colLast="0"/>
      <w:bookmarkEnd w:id="37"/>
      <w:r w:rsidRPr="00897CA5">
        <w:br/>
        <w:t>17. 3: Is this performed from fluorescently labelled cells?</w:t>
      </w:r>
    </w:p>
    <w:p w14:paraId="3512ADC8" w14:textId="77777777" w:rsidR="00897CA5" w:rsidRPr="00897CA5" w:rsidRDefault="00897CA5" w:rsidP="00897CA5">
      <w:bookmarkStart w:id="38" w:name="_heading=h.h6kiu7ro2awp" w:colFirst="0" w:colLast="0"/>
      <w:bookmarkEnd w:id="38"/>
    </w:p>
    <w:p w14:paraId="28A1ABE0" w14:textId="77777777" w:rsidR="00897CA5" w:rsidRPr="00897CA5" w:rsidRDefault="00897CA5" w:rsidP="00897CA5">
      <w:pPr>
        <w:rPr>
          <w:i/>
          <w:color w:val="4F81BD" w:themeColor="accent1"/>
        </w:rPr>
      </w:pPr>
      <w:bookmarkStart w:id="39" w:name="_heading=h.sdxuu9zarntz" w:colFirst="0" w:colLast="0"/>
      <w:bookmarkEnd w:id="39"/>
      <w:r w:rsidRPr="00897CA5">
        <w:rPr>
          <w:i/>
          <w:color w:val="4F81BD" w:themeColor="accent1"/>
        </w:rPr>
        <w:t>This was not done on the fluorescently labelled cells from step 2 but rather the remaining unstained cells from the same frozen PBMCs used for step 2.</w:t>
      </w:r>
      <w:r>
        <w:rPr>
          <w:i/>
          <w:color w:val="4F81BD" w:themeColor="accent1"/>
        </w:rPr>
        <w:t xml:space="preserve"> This is clarified in the revised protocol.</w:t>
      </w:r>
      <w:r w:rsidRPr="00897CA5">
        <w:rPr>
          <w:i/>
          <w:color w:val="4F81BD" w:themeColor="accent1"/>
        </w:rPr>
        <w:t xml:space="preserve"> </w:t>
      </w:r>
    </w:p>
    <w:p w14:paraId="5D4B6F2A" w14:textId="77777777" w:rsidR="00897CA5" w:rsidRDefault="00897CA5" w:rsidP="00897CA5">
      <w:bookmarkStart w:id="40" w:name="_heading=h.u2h1nrnyuu8w" w:colFirst="0" w:colLast="0"/>
      <w:bookmarkEnd w:id="40"/>
      <w:r w:rsidRPr="00897CA5">
        <w:br/>
        <w:t>18. 4: Please include the AUTOCAD design files as supplementary materials. 4.2.8: What is the volume of the solutions used? How do you perform the hard bake?</w:t>
      </w:r>
      <w:bookmarkStart w:id="41" w:name="_heading=h.22ur1h2wrdc2" w:colFirst="0" w:colLast="0"/>
      <w:bookmarkEnd w:id="41"/>
    </w:p>
    <w:p w14:paraId="31F48057" w14:textId="77777777" w:rsidR="00897CA5" w:rsidRDefault="00897CA5" w:rsidP="00897CA5"/>
    <w:p w14:paraId="0BEC5A88" w14:textId="77777777" w:rsidR="00897CA5" w:rsidRPr="00E974E3" w:rsidRDefault="00897CA5" w:rsidP="00897CA5">
      <w:pPr>
        <w:rPr>
          <w:i/>
          <w:color w:val="4F81BD" w:themeColor="accent1"/>
        </w:rPr>
      </w:pPr>
      <w:r w:rsidRPr="00E974E3">
        <w:rPr>
          <w:i/>
          <w:color w:val="4F81BD" w:themeColor="accent1"/>
        </w:rPr>
        <w:t xml:space="preserve">Autocad design file </w:t>
      </w:r>
      <w:r w:rsidR="00E974E3" w:rsidRPr="00E974E3">
        <w:rPr>
          <w:i/>
          <w:color w:val="4F81BD" w:themeColor="accent1"/>
        </w:rPr>
        <w:t xml:space="preserve">of the device </w:t>
      </w:r>
      <w:r w:rsidRPr="00E974E3">
        <w:rPr>
          <w:i/>
          <w:color w:val="4F81BD" w:themeColor="accent1"/>
        </w:rPr>
        <w:t>has been included as supplementary information</w:t>
      </w:r>
      <w:r w:rsidR="00E974E3" w:rsidRPr="00E974E3">
        <w:rPr>
          <w:i/>
          <w:color w:val="4F81BD" w:themeColor="accent1"/>
        </w:rPr>
        <w:t xml:space="preserve"> and the design section has been removed from the protocol to avoid redundancy</w:t>
      </w:r>
      <w:r w:rsidRPr="00E974E3">
        <w:rPr>
          <w:i/>
          <w:color w:val="4F81BD" w:themeColor="accent1"/>
        </w:rPr>
        <w:t>.</w:t>
      </w:r>
    </w:p>
    <w:p w14:paraId="0559CD7B" w14:textId="77777777" w:rsidR="00E974E3" w:rsidRPr="00E974E3" w:rsidRDefault="00E974E3" w:rsidP="00897CA5">
      <w:pPr>
        <w:rPr>
          <w:i/>
          <w:color w:val="4F81BD" w:themeColor="accent1"/>
        </w:rPr>
      </w:pPr>
    </w:p>
    <w:p w14:paraId="612C9264" w14:textId="5333D0CE" w:rsidR="00897CA5" w:rsidRPr="00E974E3" w:rsidRDefault="00BE0219" w:rsidP="00897CA5">
      <w:pPr>
        <w:rPr>
          <w:i/>
          <w:color w:val="4F81BD" w:themeColor="accent1"/>
        </w:rPr>
      </w:pPr>
      <w:r>
        <w:rPr>
          <w:i/>
          <w:color w:val="4F81BD" w:themeColor="accent1"/>
        </w:rPr>
        <w:t>“</w:t>
      </w:r>
      <w:r w:rsidR="00897CA5" w:rsidRPr="00E974E3">
        <w:rPr>
          <w:i/>
          <w:color w:val="4F81BD" w:themeColor="accent1"/>
        </w:rPr>
        <w:t>Rinsing with PGMEA and IPA is performed using a squirt bottle</w:t>
      </w:r>
      <w:r w:rsidR="00E974E3" w:rsidRPr="00E974E3">
        <w:rPr>
          <w:i/>
          <w:color w:val="4F81BD" w:themeColor="accent1"/>
        </w:rPr>
        <w:t xml:space="preserve"> (volume is not measured)</w:t>
      </w:r>
      <w:r>
        <w:rPr>
          <w:i/>
          <w:color w:val="4F81BD" w:themeColor="accent1"/>
        </w:rPr>
        <w:t>.”</w:t>
      </w:r>
      <w:r w:rsidR="00897CA5" w:rsidRPr="00E974E3">
        <w:rPr>
          <w:i/>
          <w:color w:val="4F81BD" w:themeColor="accent1"/>
        </w:rPr>
        <w:t xml:space="preserve"> has been added to the 4.2.8.</w:t>
      </w:r>
    </w:p>
    <w:p w14:paraId="05F8F4B4" w14:textId="77777777" w:rsidR="00E974E3" w:rsidRPr="00E974E3" w:rsidRDefault="00E974E3" w:rsidP="00897CA5">
      <w:pPr>
        <w:rPr>
          <w:i/>
          <w:color w:val="4F81BD" w:themeColor="accent1"/>
        </w:rPr>
      </w:pPr>
    </w:p>
    <w:p w14:paraId="3AD03FDC" w14:textId="05DE5544" w:rsidR="00897CA5" w:rsidRPr="00E974E3" w:rsidRDefault="00BE0219" w:rsidP="00897CA5">
      <w:pPr>
        <w:rPr>
          <w:i/>
          <w:color w:val="4F81BD" w:themeColor="accent1"/>
        </w:rPr>
      </w:pPr>
      <w:r>
        <w:rPr>
          <w:i/>
          <w:color w:val="4F81BD" w:themeColor="accent1"/>
        </w:rPr>
        <w:t>“</w:t>
      </w:r>
      <w:r w:rsidR="00897CA5" w:rsidRPr="00E974E3">
        <w:rPr>
          <w:i/>
          <w:color w:val="4F81BD" w:themeColor="accent1"/>
        </w:rPr>
        <w:t>The hard bake was performed by heating on a hot plate.</w:t>
      </w:r>
      <w:r>
        <w:rPr>
          <w:i/>
          <w:color w:val="4F81BD" w:themeColor="accent1"/>
        </w:rPr>
        <w:t>”</w:t>
      </w:r>
      <w:r w:rsidR="00897CA5" w:rsidRPr="00E974E3">
        <w:rPr>
          <w:i/>
          <w:color w:val="4F81BD" w:themeColor="accent1"/>
        </w:rPr>
        <w:t xml:space="preserve"> was added to the protocol.</w:t>
      </w:r>
    </w:p>
    <w:p w14:paraId="622EA3AD" w14:textId="77777777" w:rsidR="00897CA5" w:rsidRPr="00897CA5" w:rsidRDefault="00897CA5" w:rsidP="00897CA5">
      <w:bookmarkStart w:id="42" w:name="_heading=h.ctzdt2v3knw0" w:colFirst="0" w:colLast="0"/>
      <w:bookmarkEnd w:id="42"/>
      <w:r w:rsidRPr="00897CA5">
        <w:rPr>
          <w:highlight w:val="yellow"/>
        </w:rPr>
        <w:br/>
      </w:r>
      <w:r w:rsidRPr="00897CA5">
        <w:t xml:space="preserve">19. 5.3: What is the appropriate volume? </w:t>
      </w:r>
    </w:p>
    <w:p w14:paraId="324A0C00" w14:textId="77777777" w:rsidR="00897CA5" w:rsidRPr="00897CA5" w:rsidRDefault="00897CA5" w:rsidP="00897CA5">
      <w:bookmarkStart w:id="43" w:name="_heading=h.vvsm4bvz8b6f" w:colFirst="0" w:colLast="0"/>
      <w:bookmarkEnd w:id="43"/>
    </w:p>
    <w:p w14:paraId="5DBB21E8" w14:textId="3D79D0CB" w:rsidR="00897CA5" w:rsidRPr="00E974E3" w:rsidRDefault="00897CA5" w:rsidP="00897CA5">
      <w:pPr>
        <w:rPr>
          <w:i/>
          <w:color w:val="4F81BD" w:themeColor="accent1"/>
        </w:rPr>
      </w:pPr>
      <w:bookmarkStart w:id="44" w:name="_heading=h.q3g89qgy8g5h" w:colFirst="0" w:colLast="0"/>
      <w:bookmarkEnd w:id="44"/>
      <w:r w:rsidRPr="00E974E3">
        <w:rPr>
          <w:i/>
          <w:color w:val="4F81BD" w:themeColor="accent1"/>
        </w:rPr>
        <w:t>The appropriate volume is 1</w:t>
      </w:r>
      <w:r w:rsidR="00BE0219">
        <w:rPr>
          <w:i/>
          <w:color w:val="4F81BD" w:themeColor="accent1"/>
        </w:rPr>
        <w:t xml:space="preserve"> </w:t>
      </w:r>
      <w:r w:rsidR="00BE0219">
        <w:rPr>
          <w:rFonts w:cs="Arial"/>
          <w:i/>
          <w:color w:val="4F81BD" w:themeColor="accent1"/>
        </w:rPr>
        <w:t>μ</w:t>
      </w:r>
      <w:r w:rsidRPr="00E974E3">
        <w:rPr>
          <w:i/>
          <w:color w:val="4F81BD" w:themeColor="accent1"/>
        </w:rPr>
        <w:t xml:space="preserve">L. This has been added to the protocol. </w:t>
      </w:r>
    </w:p>
    <w:p w14:paraId="6F10AD2D" w14:textId="77777777" w:rsidR="00897CA5" w:rsidRPr="00897CA5" w:rsidRDefault="00897CA5" w:rsidP="00897CA5">
      <w:pPr>
        <w:rPr>
          <w:highlight w:val="yellow"/>
        </w:rPr>
      </w:pPr>
      <w:bookmarkStart w:id="45" w:name="_heading=h.rv90dp1r7863" w:colFirst="0" w:colLast="0"/>
      <w:bookmarkEnd w:id="45"/>
      <w:r w:rsidRPr="00897CA5">
        <w:br/>
        <w:t>20. 5:15: For all steps involving software usage, please include all the button clicks, knob turns etc.</w:t>
      </w:r>
    </w:p>
    <w:p w14:paraId="6DD086C3" w14:textId="77777777" w:rsidR="00897CA5" w:rsidRPr="00897CA5" w:rsidRDefault="00897CA5" w:rsidP="00897CA5">
      <w:bookmarkStart w:id="46" w:name="_heading=h.59ngq7h4lwgf" w:colFirst="0" w:colLast="0"/>
      <w:bookmarkEnd w:id="46"/>
    </w:p>
    <w:p w14:paraId="73CEEAF0" w14:textId="77777777" w:rsidR="00897CA5" w:rsidRPr="00E974E3" w:rsidRDefault="00897CA5" w:rsidP="00897CA5">
      <w:pPr>
        <w:rPr>
          <w:i/>
          <w:color w:val="4F81BD" w:themeColor="accent1"/>
        </w:rPr>
      </w:pPr>
      <w:bookmarkStart w:id="47" w:name="_heading=h.itechr981xg9" w:colFirst="0" w:colLast="0"/>
      <w:bookmarkEnd w:id="47"/>
      <w:r w:rsidRPr="00E974E3">
        <w:rPr>
          <w:i/>
          <w:color w:val="4F81BD" w:themeColor="accent1"/>
        </w:rPr>
        <w:t>All the detailed steps for software usage have been included.</w:t>
      </w:r>
    </w:p>
    <w:p w14:paraId="6417DC04" w14:textId="77777777" w:rsidR="00897CA5" w:rsidRPr="00897CA5" w:rsidRDefault="00897CA5" w:rsidP="00897CA5">
      <w:bookmarkStart w:id="48" w:name="_heading=h.xp5tnxe7ydrf" w:colFirst="0" w:colLast="0"/>
      <w:bookmarkEnd w:id="48"/>
      <w:r w:rsidRPr="00897CA5">
        <w:lastRenderedPageBreak/>
        <w:br/>
        <w:t>21.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026075C6" w14:textId="77777777" w:rsidR="00897CA5" w:rsidRPr="00897CA5" w:rsidRDefault="00897CA5" w:rsidP="00897CA5">
      <w:bookmarkStart w:id="49" w:name="_heading=h.9tqh7k1zqzkj" w:colFirst="0" w:colLast="0"/>
      <w:bookmarkEnd w:id="49"/>
    </w:p>
    <w:p w14:paraId="4992EB1F" w14:textId="77777777" w:rsidR="00897CA5" w:rsidRPr="00E974E3" w:rsidRDefault="00E974E3" w:rsidP="00897CA5">
      <w:pPr>
        <w:rPr>
          <w:i/>
          <w:color w:val="4F81BD" w:themeColor="accent1"/>
        </w:rPr>
      </w:pPr>
      <w:bookmarkStart w:id="50" w:name="_heading=h.5o40b2asfvwd" w:colFirst="0" w:colLast="0"/>
      <w:bookmarkEnd w:id="50"/>
      <w:r w:rsidRPr="00E974E3">
        <w:rPr>
          <w:i/>
          <w:color w:val="4F81BD" w:themeColor="accent1"/>
        </w:rPr>
        <w:t>In order to tell the most cohesive story of the protocol, sections that describe the assay workflow from DNA extraction, bisulfite treatment, droplet generation, thermal cycling, and droplet imaging have been selected in a 2.75-page limit.</w:t>
      </w:r>
    </w:p>
    <w:p w14:paraId="2452D4F7" w14:textId="77777777" w:rsidR="00897CA5" w:rsidRPr="00897CA5" w:rsidRDefault="00897CA5" w:rsidP="00897CA5">
      <w:pPr>
        <w:rPr>
          <w:highlight w:val="yellow"/>
        </w:rPr>
      </w:pPr>
      <w:bookmarkStart w:id="51" w:name="_heading=h.ia3p1rm6ml14" w:colFirst="0" w:colLast="0"/>
      <w:bookmarkEnd w:id="51"/>
      <w:r w:rsidRPr="00897CA5">
        <w:br/>
        <w:t>22.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8C0C3E7" w14:textId="77777777" w:rsidR="00897CA5" w:rsidRPr="00897CA5" w:rsidRDefault="00897CA5" w:rsidP="00897CA5">
      <w:pPr>
        <w:rPr>
          <w:highlight w:val="yellow"/>
        </w:rPr>
      </w:pPr>
      <w:bookmarkStart w:id="52" w:name="_heading=h.61a4lzfm2p6j" w:colFirst="0" w:colLast="0"/>
      <w:bookmarkEnd w:id="52"/>
    </w:p>
    <w:p w14:paraId="362822ED" w14:textId="77777777" w:rsidR="00897CA5" w:rsidRPr="00E974E3" w:rsidRDefault="00897CA5" w:rsidP="00897CA5">
      <w:pPr>
        <w:rPr>
          <w:i/>
          <w:color w:val="4F81BD" w:themeColor="accent1"/>
          <w:highlight w:val="white"/>
        </w:rPr>
      </w:pPr>
      <w:bookmarkStart w:id="53" w:name="_heading=h.s4buyn4pfjzv" w:colFirst="0" w:colLast="0"/>
      <w:bookmarkEnd w:id="53"/>
      <w:r w:rsidRPr="00E974E3">
        <w:rPr>
          <w:i/>
          <w:color w:val="4F81BD" w:themeColor="accent1"/>
          <w:highlight w:val="white"/>
        </w:rPr>
        <w:t xml:space="preserve">The data and figures presented in this article </w:t>
      </w:r>
      <w:r w:rsidR="00E974E3">
        <w:rPr>
          <w:i/>
          <w:color w:val="4F81BD" w:themeColor="accent1"/>
          <w:highlight w:val="white"/>
        </w:rPr>
        <w:t xml:space="preserve">have been generated for the purpose of this article and </w:t>
      </w:r>
      <w:r w:rsidRPr="00E974E3">
        <w:rPr>
          <w:i/>
          <w:color w:val="4F81BD" w:themeColor="accent1"/>
          <w:highlight w:val="white"/>
        </w:rPr>
        <w:t>are new. There was no reused material that requires explicit copyright permission.</w:t>
      </w:r>
    </w:p>
    <w:p w14:paraId="3CD0A5CE" w14:textId="77777777" w:rsidR="00897CA5" w:rsidRPr="00897CA5" w:rsidRDefault="00897CA5" w:rsidP="00897CA5">
      <w:bookmarkStart w:id="54" w:name="_heading=h.4g8kkv25maco" w:colFirst="0" w:colLast="0"/>
      <w:bookmarkEnd w:id="54"/>
      <w:r w:rsidRPr="00897CA5">
        <w:rPr>
          <w:highlight w:val="white"/>
        </w:rPr>
        <w:br/>
      </w:r>
      <w:r w:rsidRPr="00897CA5">
        <w:t>23. Each Figure Legend should include a title and a short description of the data presented in the Figure and relevant symbols</w:t>
      </w:r>
    </w:p>
    <w:p w14:paraId="2B75A328" w14:textId="77777777" w:rsidR="00897CA5" w:rsidRPr="00897CA5" w:rsidRDefault="00897CA5" w:rsidP="00897CA5">
      <w:bookmarkStart w:id="55" w:name="_heading=h.7ufxrva7p1v8" w:colFirst="0" w:colLast="0"/>
      <w:bookmarkEnd w:id="55"/>
    </w:p>
    <w:p w14:paraId="5B010EC5" w14:textId="77777777" w:rsidR="00897CA5" w:rsidRPr="00E974E3" w:rsidRDefault="00897CA5" w:rsidP="00897CA5">
      <w:pPr>
        <w:rPr>
          <w:i/>
          <w:color w:val="4F81BD" w:themeColor="accent1"/>
        </w:rPr>
      </w:pPr>
      <w:r w:rsidRPr="00E974E3">
        <w:rPr>
          <w:i/>
          <w:color w:val="4F81BD" w:themeColor="accent1"/>
        </w:rPr>
        <w:t xml:space="preserve">All figure legends have a title and short descriptions of data with relevant symbols. </w:t>
      </w:r>
    </w:p>
    <w:p w14:paraId="52A08238" w14:textId="77777777" w:rsidR="00897CA5" w:rsidRPr="00897CA5" w:rsidRDefault="00897CA5" w:rsidP="00897CA5">
      <w:pPr>
        <w:rPr>
          <w:highlight w:val="yellow"/>
        </w:rPr>
      </w:pPr>
      <w:bookmarkStart w:id="56" w:name="_heading=h.7wp0qzjn9e6g" w:colFirst="0" w:colLast="0"/>
      <w:bookmarkEnd w:id="56"/>
      <w:r w:rsidRPr="00897CA5">
        <w:br/>
        <w:t>24. As we are a methods journal, please revise the Discussion to explicitly cover the following in detail in 3-6 paragraphs with citations:</w:t>
      </w:r>
      <w:r w:rsidRPr="00897CA5">
        <w:br/>
        <w:t>a) Critical steps within the protocol</w:t>
      </w:r>
      <w:r w:rsidRPr="00897CA5">
        <w:br/>
        <w:t>b) Any modifications and troubleshooting of the technique</w:t>
      </w:r>
      <w:r w:rsidRPr="00897CA5">
        <w:br/>
        <w:t>c) Any limitations of the technique</w:t>
      </w:r>
      <w:r w:rsidRPr="00897CA5">
        <w:br/>
        <w:t>d) The significance with respect to existing methods</w:t>
      </w:r>
      <w:r w:rsidRPr="00897CA5">
        <w:br/>
        <w:t>e) Any future applications of the technique</w:t>
      </w:r>
    </w:p>
    <w:p w14:paraId="72B07256" w14:textId="77777777" w:rsidR="00897CA5" w:rsidRPr="00897CA5" w:rsidRDefault="00897CA5" w:rsidP="00897CA5">
      <w:pPr>
        <w:rPr>
          <w:highlight w:val="yellow"/>
        </w:rPr>
      </w:pPr>
      <w:bookmarkStart w:id="57" w:name="_heading=h.s4pe509jmv49" w:colFirst="0" w:colLast="0"/>
      <w:bookmarkEnd w:id="57"/>
    </w:p>
    <w:p w14:paraId="761F3ED5" w14:textId="77777777" w:rsidR="00897CA5" w:rsidRPr="00E974E3" w:rsidRDefault="00897CA5" w:rsidP="00897CA5">
      <w:pPr>
        <w:rPr>
          <w:i/>
          <w:color w:val="4F81BD" w:themeColor="accent1"/>
          <w:highlight w:val="yellow"/>
        </w:rPr>
      </w:pPr>
      <w:bookmarkStart w:id="58" w:name="_heading=h.54o0ck3m5uun" w:colFirst="0" w:colLast="0"/>
      <w:bookmarkEnd w:id="58"/>
      <w:r w:rsidRPr="00E974E3">
        <w:rPr>
          <w:i/>
          <w:color w:val="4F81BD" w:themeColor="accent1"/>
        </w:rPr>
        <w:t xml:space="preserve">Discussion has been modified to address the points above. </w:t>
      </w:r>
    </w:p>
    <w:p w14:paraId="27BA594E" w14:textId="77777777" w:rsidR="00897CA5" w:rsidRPr="00897CA5" w:rsidRDefault="00897CA5" w:rsidP="00897CA5">
      <w:bookmarkStart w:id="59" w:name="_heading=h.cdetdz6pcc4f" w:colFirst="0" w:colLast="0"/>
      <w:bookmarkEnd w:id="59"/>
      <w:r w:rsidRPr="00897CA5">
        <w:br/>
        <w:t>25. Please ensure that the references appear as the following: [Lastname, F.I., LastName, F.I., LastName, F.I. Article Title. Source. Volume (Issue), FirstPage – LastPage, (YEAR).] For more than 6 authors, list only the first author then et al.</w:t>
      </w:r>
      <w:r w:rsidRPr="00897CA5">
        <w:br/>
      </w:r>
    </w:p>
    <w:p w14:paraId="3300DCC7" w14:textId="77777777" w:rsidR="00E974E3" w:rsidRDefault="00E974E3" w:rsidP="00897CA5">
      <w:bookmarkStart w:id="60" w:name="_heading=h.err7zapcuspy" w:colFirst="0" w:colLast="0"/>
      <w:bookmarkEnd w:id="60"/>
      <w:r w:rsidRPr="00E974E3">
        <w:rPr>
          <w:i/>
          <w:color w:val="4F81BD" w:themeColor="accent1"/>
        </w:rPr>
        <w:t>All the references have been changed to the correct format.</w:t>
      </w:r>
      <w:r w:rsidR="00897CA5" w:rsidRPr="00897CA5">
        <w:br/>
      </w:r>
      <w:r w:rsidR="00897CA5" w:rsidRPr="00897CA5">
        <w:br/>
      </w:r>
    </w:p>
    <w:p w14:paraId="43229728" w14:textId="77777777" w:rsidR="00E974E3" w:rsidRDefault="00E974E3">
      <w:r>
        <w:br w:type="page"/>
      </w:r>
    </w:p>
    <w:p w14:paraId="210DC3B5" w14:textId="77777777" w:rsidR="00E974E3" w:rsidRDefault="00897CA5" w:rsidP="00897CA5">
      <w:r w:rsidRPr="00E974E3">
        <w:rPr>
          <w:b/>
        </w:rPr>
        <w:lastRenderedPageBreak/>
        <w:t>Reviewers' comments:</w:t>
      </w:r>
      <w:r w:rsidRPr="00897CA5">
        <w:br/>
      </w:r>
    </w:p>
    <w:p w14:paraId="2819B8FE" w14:textId="77777777" w:rsidR="00E974E3" w:rsidRDefault="00897CA5" w:rsidP="00897CA5">
      <w:r w:rsidRPr="00E974E3">
        <w:rPr>
          <w:b/>
        </w:rPr>
        <w:t>Reviewer #1:</w:t>
      </w:r>
      <w:r w:rsidRPr="00897CA5">
        <w:t xml:space="preserve"> </w:t>
      </w:r>
      <w:r w:rsidRPr="00897CA5">
        <w:br/>
        <w:t>Manuscript Summary:</w:t>
      </w:r>
      <w:r w:rsidRPr="00897CA5">
        <w:br/>
        <w:t>In this study M. Malic et al. describe an alternative method for the ddPCR. The study is carefully performed and well-written. However, raw data about the quantification of WBC using the new ddPCR device at least as supplementary informations are necessary.</w:t>
      </w:r>
      <w:r w:rsidRPr="00897CA5">
        <w:br/>
      </w:r>
      <w:r w:rsidRPr="00897CA5">
        <w:br/>
        <w:t>Major Concerns:</w:t>
      </w:r>
      <w:r w:rsidRPr="00897CA5">
        <w:br/>
        <w:t>Without the inclusion of raw data received using the new ddPCR device the performance of the ddPCR can not be determined and reproduced.</w:t>
      </w:r>
    </w:p>
    <w:p w14:paraId="7DDAB1A0" w14:textId="77777777" w:rsidR="00E974E3" w:rsidRDefault="00E974E3" w:rsidP="00897CA5"/>
    <w:p w14:paraId="49DD40A9" w14:textId="48F7710B" w:rsidR="00897CA5" w:rsidRPr="00897CA5" w:rsidRDefault="00E56818" w:rsidP="00897CA5">
      <w:r>
        <w:rPr>
          <w:i/>
          <w:color w:val="4F81BD" w:themeColor="accent1"/>
        </w:rPr>
        <w:t>We would like to t</w:t>
      </w:r>
      <w:r w:rsidRPr="00E56818">
        <w:rPr>
          <w:i/>
          <w:color w:val="4F81BD" w:themeColor="accent1"/>
        </w:rPr>
        <w:t xml:space="preserve">hank </w:t>
      </w:r>
      <w:r>
        <w:rPr>
          <w:i/>
          <w:color w:val="4F81BD" w:themeColor="accent1"/>
        </w:rPr>
        <w:t>the reviewer</w:t>
      </w:r>
      <w:r w:rsidRPr="00E56818">
        <w:rPr>
          <w:i/>
          <w:color w:val="4F81BD" w:themeColor="accent1"/>
        </w:rPr>
        <w:t xml:space="preserve"> for this observation. </w:t>
      </w:r>
      <w:r>
        <w:rPr>
          <w:i/>
          <w:color w:val="4F81BD" w:themeColor="accent1"/>
        </w:rPr>
        <w:t>In order to provide the audience with complete information allowing them to easily reproduce the assay and data analysis, w</w:t>
      </w:r>
      <w:r w:rsidRPr="00E56818">
        <w:rPr>
          <w:i/>
          <w:color w:val="4F81BD" w:themeColor="accent1"/>
        </w:rPr>
        <w:t xml:space="preserve">e have included </w:t>
      </w:r>
      <w:r>
        <w:rPr>
          <w:i/>
          <w:color w:val="4F81BD" w:themeColor="accent1"/>
        </w:rPr>
        <w:t xml:space="preserve">in the revised manuscript </w:t>
      </w:r>
      <w:r w:rsidRPr="00E56818">
        <w:rPr>
          <w:i/>
          <w:color w:val="4F81BD" w:themeColor="accent1"/>
        </w:rPr>
        <w:t>as supplementary information experimental raw data</w:t>
      </w:r>
      <w:r>
        <w:rPr>
          <w:i/>
          <w:color w:val="4F81BD" w:themeColor="accent1"/>
        </w:rPr>
        <w:t xml:space="preserve"> from ddPCR and immunofluorescence</w:t>
      </w:r>
      <w:r w:rsidR="00B2560A">
        <w:rPr>
          <w:i/>
          <w:color w:val="4F81BD" w:themeColor="accent1"/>
        </w:rPr>
        <w:t xml:space="preserve"> </w:t>
      </w:r>
      <w:r w:rsidR="003C158C">
        <w:rPr>
          <w:i/>
          <w:color w:val="4F81BD" w:themeColor="accent1"/>
        </w:rPr>
        <w:t xml:space="preserve">experiments </w:t>
      </w:r>
      <w:r w:rsidR="00B2560A">
        <w:rPr>
          <w:i/>
          <w:color w:val="4F81BD" w:themeColor="accent1"/>
        </w:rPr>
        <w:t xml:space="preserve">in two separate Excel </w:t>
      </w:r>
      <w:r w:rsidR="00D47843">
        <w:rPr>
          <w:i/>
          <w:color w:val="4F81BD" w:themeColor="accent1"/>
        </w:rPr>
        <w:t>Documents</w:t>
      </w:r>
      <w:r w:rsidRPr="00E56818">
        <w:rPr>
          <w:i/>
          <w:color w:val="4F81BD" w:themeColor="accent1"/>
        </w:rPr>
        <w:t>.</w:t>
      </w:r>
      <w:r w:rsidR="00D47843">
        <w:rPr>
          <w:i/>
          <w:color w:val="4F81BD" w:themeColor="accent1"/>
        </w:rPr>
        <w:t xml:space="preserve"> </w:t>
      </w:r>
      <w:r w:rsidR="003C158C">
        <w:rPr>
          <w:i/>
          <w:color w:val="4F81BD" w:themeColor="accent1"/>
        </w:rPr>
        <w:t>In addition to the raw data, all the appropriate calculations are included to facilitate data analysis.</w:t>
      </w:r>
      <w:r w:rsidR="00D47843">
        <w:rPr>
          <w:i/>
          <w:color w:val="4F81BD" w:themeColor="accent1"/>
        </w:rPr>
        <w:t xml:space="preserve"> </w:t>
      </w:r>
      <w:r w:rsidR="00897CA5" w:rsidRPr="00E56818">
        <w:br/>
      </w:r>
      <w:r w:rsidR="00897CA5" w:rsidRPr="00897CA5">
        <w:br/>
      </w:r>
      <w:r w:rsidR="00897CA5" w:rsidRPr="00897CA5">
        <w:br/>
        <w:t xml:space="preserve">Reviewer #2: </w:t>
      </w:r>
      <w:r w:rsidR="00897CA5" w:rsidRPr="00897CA5">
        <w:br/>
        <w:t>The authors developed a thermoplastic microfluidic droplet generator device and described a digital droplet PCR-based protocol able to distinguish and count WBC subpopulations based on specific epigenetic characteristics. DNA from blood samples was bisulfite-converted and encapsulated in water-in-oil droplets, as microreactors of the PCR reaction. In each droplet are also included primers and TaqMan fluorescent probes specific for CpG loci correlated with WBC sub-population types. This type of analysis is feasible not only from fresh blood but also from frozen sample. Results from the custom workflow were then compared to immunofluorescence staining which is the gold standard for WBC subtyping.</w:t>
      </w:r>
      <w:r w:rsidR="00897CA5" w:rsidRPr="00897CA5">
        <w:br/>
      </w:r>
      <w:r w:rsidR="00897CA5" w:rsidRPr="00897CA5">
        <w:br/>
        <w:t>Minor concerns:</w:t>
      </w:r>
      <w:r w:rsidR="00897CA5" w:rsidRPr="00897CA5">
        <w:br/>
        <w:t>The authors should mention the critical steps and the possible pitfalls of the submitted protocol and underline the advantages/disadvantages of this custom device compared to other commercialized digital droplet PCR devices……</w:t>
      </w:r>
    </w:p>
    <w:p w14:paraId="48065ED9" w14:textId="77777777" w:rsidR="005C0C6E" w:rsidRDefault="00897CA5" w:rsidP="00897CA5">
      <w:r w:rsidRPr="00897CA5">
        <w:t xml:space="preserve"> As useful information for the reader, instruments/reagents catalogue numbers used in the protocol should be also provided.</w:t>
      </w:r>
    </w:p>
    <w:p w14:paraId="3771814D" w14:textId="77777777" w:rsidR="005C0C6E" w:rsidRDefault="005C0C6E" w:rsidP="00897CA5"/>
    <w:p w14:paraId="187A31FB" w14:textId="77777777" w:rsidR="00897CA5" w:rsidRPr="00897CA5" w:rsidRDefault="005C0C6E" w:rsidP="005C0C6E">
      <w:r w:rsidRPr="00961486">
        <w:rPr>
          <w:i/>
          <w:color w:val="4F81BD" w:themeColor="accent1"/>
        </w:rPr>
        <w:t xml:space="preserve">We thank the reviewer for his time and </w:t>
      </w:r>
      <w:r>
        <w:rPr>
          <w:i/>
          <w:color w:val="4F81BD" w:themeColor="accent1"/>
        </w:rPr>
        <w:t xml:space="preserve">encouraging </w:t>
      </w:r>
      <w:r w:rsidRPr="00961486">
        <w:rPr>
          <w:i/>
          <w:color w:val="4F81BD" w:themeColor="accent1"/>
        </w:rPr>
        <w:t xml:space="preserve">comments. </w:t>
      </w:r>
      <w:r>
        <w:rPr>
          <w:i/>
          <w:color w:val="4F81BD" w:themeColor="accent1"/>
        </w:rPr>
        <w:t>In the discussion section, we have highlighted the c</w:t>
      </w:r>
      <w:r w:rsidRPr="005C0C6E">
        <w:rPr>
          <w:i/>
          <w:color w:val="4F81BD" w:themeColor="accent1"/>
        </w:rPr>
        <w:t>ritical steps</w:t>
      </w:r>
      <w:r>
        <w:rPr>
          <w:i/>
          <w:color w:val="4F81BD" w:themeColor="accent1"/>
        </w:rPr>
        <w:t xml:space="preserve"> of the protocol, including device material selection, PCR mix optimization, including p</w:t>
      </w:r>
      <w:r w:rsidRPr="005C0C6E">
        <w:rPr>
          <w:i/>
          <w:color w:val="4F81BD" w:themeColor="accent1"/>
        </w:rPr>
        <w:t xml:space="preserve">olymerase concentration and </w:t>
      </w:r>
      <w:r>
        <w:rPr>
          <w:i/>
          <w:color w:val="4F81BD" w:themeColor="accent1"/>
        </w:rPr>
        <w:t xml:space="preserve">inclusion of </w:t>
      </w:r>
      <w:r w:rsidRPr="005C0C6E">
        <w:rPr>
          <w:i/>
          <w:color w:val="4F81BD" w:themeColor="accent1"/>
        </w:rPr>
        <w:t xml:space="preserve">a ramp </w:t>
      </w:r>
      <w:r>
        <w:rPr>
          <w:i/>
          <w:color w:val="4F81BD" w:themeColor="accent1"/>
        </w:rPr>
        <w:t xml:space="preserve">rate </w:t>
      </w:r>
      <w:r w:rsidRPr="005C0C6E">
        <w:rPr>
          <w:i/>
          <w:color w:val="4F81BD" w:themeColor="accent1"/>
        </w:rPr>
        <w:t>in thermal cycling program to ensure droplet stability</w:t>
      </w:r>
      <w:r>
        <w:rPr>
          <w:i/>
          <w:color w:val="4F81BD" w:themeColor="accent1"/>
        </w:rPr>
        <w:t>. We have also highlighted that t</w:t>
      </w:r>
      <w:r w:rsidRPr="00961486">
        <w:rPr>
          <w:i/>
          <w:color w:val="4F81BD" w:themeColor="accent1"/>
        </w:rPr>
        <w:t xml:space="preserve">he advantage of the presented devices and protocols is the </w:t>
      </w:r>
      <w:r w:rsidR="00742E92">
        <w:rPr>
          <w:i/>
          <w:color w:val="4F81BD" w:themeColor="accent1"/>
        </w:rPr>
        <w:t xml:space="preserve">cost reduction as well as </w:t>
      </w:r>
      <w:r w:rsidRPr="00961486">
        <w:rPr>
          <w:i/>
          <w:color w:val="4F81BD" w:themeColor="accent1"/>
        </w:rPr>
        <w:t xml:space="preserve">flexibility in customizing the </w:t>
      </w:r>
      <w:r>
        <w:rPr>
          <w:i/>
          <w:color w:val="4F81BD" w:themeColor="accent1"/>
        </w:rPr>
        <w:t xml:space="preserve">device design and </w:t>
      </w:r>
      <w:r w:rsidRPr="00961486">
        <w:rPr>
          <w:i/>
          <w:color w:val="4F81BD" w:themeColor="accent1"/>
        </w:rPr>
        <w:t xml:space="preserve">reagents used to a particular application, which is difficult to </w:t>
      </w:r>
      <w:r>
        <w:rPr>
          <w:i/>
          <w:color w:val="4F81BD" w:themeColor="accent1"/>
        </w:rPr>
        <w:t xml:space="preserve">achieve </w:t>
      </w:r>
      <w:r w:rsidRPr="00961486">
        <w:rPr>
          <w:i/>
          <w:color w:val="4F81BD" w:themeColor="accent1"/>
        </w:rPr>
        <w:t xml:space="preserve">with </w:t>
      </w:r>
      <w:r>
        <w:rPr>
          <w:i/>
          <w:color w:val="4F81BD" w:themeColor="accent1"/>
        </w:rPr>
        <w:t xml:space="preserve">commercial products and </w:t>
      </w:r>
      <w:r w:rsidRPr="00961486">
        <w:rPr>
          <w:i/>
          <w:color w:val="4F81BD" w:themeColor="accent1"/>
        </w:rPr>
        <w:t>proprietary formulations.</w:t>
      </w:r>
      <w:r>
        <w:rPr>
          <w:i/>
          <w:color w:val="4F81BD" w:themeColor="accent1"/>
        </w:rPr>
        <w:t xml:space="preserve"> </w:t>
      </w:r>
      <w:r w:rsidRPr="00961486">
        <w:rPr>
          <w:i/>
          <w:color w:val="4F81BD" w:themeColor="accent1"/>
        </w:rPr>
        <w:t xml:space="preserve">A disadvantage </w:t>
      </w:r>
      <w:r>
        <w:rPr>
          <w:i/>
          <w:color w:val="4F81BD" w:themeColor="accent1"/>
        </w:rPr>
        <w:t xml:space="preserve">of this approach, as well as some existing ddPCR commercial instruments </w:t>
      </w:r>
      <w:r w:rsidRPr="00961486">
        <w:rPr>
          <w:i/>
          <w:color w:val="4F81BD" w:themeColor="accent1"/>
        </w:rPr>
        <w:t xml:space="preserve">is that </w:t>
      </w:r>
      <w:r>
        <w:rPr>
          <w:i/>
          <w:color w:val="4F81BD" w:themeColor="accent1"/>
        </w:rPr>
        <w:t>both</w:t>
      </w:r>
      <w:r w:rsidRPr="00961486">
        <w:rPr>
          <w:i/>
          <w:color w:val="4F81BD" w:themeColor="accent1"/>
        </w:rPr>
        <w:t xml:space="preserve"> still require manual sample preparation as well as three separate instruments</w:t>
      </w:r>
      <w:r>
        <w:rPr>
          <w:i/>
          <w:color w:val="4F81BD" w:themeColor="accent1"/>
        </w:rPr>
        <w:t xml:space="preserve">. As such, it </w:t>
      </w:r>
      <w:r>
        <w:rPr>
          <w:i/>
          <w:color w:val="4F81BD" w:themeColor="accent1"/>
        </w:rPr>
        <w:lastRenderedPageBreak/>
        <w:t>necessitates</w:t>
      </w:r>
      <w:r w:rsidRPr="00961486">
        <w:rPr>
          <w:i/>
          <w:color w:val="4F81BD" w:themeColor="accent1"/>
        </w:rPr>
        <w:t xml:space="preserve"> manual sample transfer from droplet generator to PCR tube for thermal cycling and to droplet imaging device for fluorescence microscopy. Our future work is directed towards integration of these steps into an automated format. A paragraph describing these</w:t>
      </w:r>
      <w:r w:rsidR="00742E92">
        <w:rPr>
          <w:i/>
          <w:color w:val="4F81BD" w:themeColor="accent1"/>
        </w:rPr>
        <w:t xml:space="preserve"> disadvantages</w:t>
      </w:r>
      <w:r w:rsidRPr="00961486">
        <w:rPr>
          <w:i/>
          <w:color w:val="4F81BD" w:themeColor="accent1"/>
        </w:rPr>
        <w:t xml:space="preserve"> has </w:t>
      </w:r>
      <w:r w:rsidR="00742E92">
        <w:rPr>
          <w:i/>
          <w:color w:val="4F81BD" w:themeColor="accent1"/>
        </w:rPr>
        <w:t xml:space="preserve">also </w:t>
      </w:r>
      <w:r w:rsidRPr="00961486">
        <w:rPr>
          <w:i/>
          <w:color w:val="4F81BD" w:themeColor="accent1"/>
        </w:rPr>
        <w:t>been included in the discussion section.</w:t>
      </w:r>
      <w:r w:rsidR="00897CA5" w:rsidRPr="00897CA5">
        <w:br/>
      </w:r>
      <w:r w:rsidR="00897CA5" w:rsidRPr="00897CA5">
        <w:br/>
      </w:r>
      <w:r w:rsidR="00897CA5" w:rsidRPr="00897CA5">
        <w:br/>
        <w:t xml:space="preserve">Reviewer #3: </w:t>
      </w:r>
      <w:r w:rsidR="00897CA5" w:rsidRPr="00897CA5">
        <w:br/>
        <w:t>The manuscript by malic et al. is very interesting at both the technical level and at the molecular genetics level.</w:t>
      </w:r>
      <w:r w:rsidR="00897CA5" w:rsidRPr="00897CA5">
        <w:br/>
        <w:t>Though I cannot judge the merits of the thermoplastic device generation it appears effective. Moreover, it embodies a means to disclose the ddPCR field that is dominated by one company. Access to more platforms would increase the innovation in the field and a diverse custom design market. The blood cell counting is a nice example of such a custom design that is not covered by the dominant parties in the field. Epigenetics is not a major subject and cell counting neither. By combining those two niches, the paper by Malic et al. serves a new public by providing both a custom design and platform. The robustness of this approach is not evident from the provided results and requires more extensive validation. Calibration curves of diluted cells would be an option as well as the comparison to facs analyzed clinical samples.</w:t>
      </w:r>
    </w:p>
    <w:p w14:paraId="22DC16D8" w14:textId="77777777" w:rsidR="00710564" w:rsidRDefault="00710564" w:rsidP="00897CA5"/>
    <w:p w14:paraId="706519D5" w14:textId="77777777" w:rsidR="00742E92" w:rsidRPr="00742E92" w:rsidRDefault="00742E92" w:rsidP="00742E92">
      <w:pPr>
        <w:rPr>
          <w:i/>
          <w:color w:val="4F81BD" w:themeColor="accent1"/>
        </w:rPr>
      </w:pPr>
      <w:r w:rsidRPr="00742E92">
        <w:rPr>
          <w:i/>
          <w:color w:val="4F81BD" w:themeColor="accent1"/>
        </w:rPr>
        <w:t xml:space="preserve">We thank the reviewer for his observation. Indeed, the main goal of this manuscript is to provide the framework for the average bench scientist to conduct ddPCR – from TPE device fabrication/assembly, to operation, as well as ‘home-brew’ mix of PCR reagents. It is therefore our motivation to de-mystify the current ‘black box’ of ddPCR operation, by further simplifying the parameters inherent to droplet generation, PCR reagent formulations, as well as downstream analysis. </w:t>
      </w:r>
    </w:p>
    <w:p w14:paraId="719CF783" w14:textId="77777777" w:rsidR="00742E92" w:rsidRPr="00742E92" w:rsidRDefault="00742E92" w:rsidP="00742E92">
      <w:pPr>
        <w:rPr>
          <w:i/>
          <w:color w:val="4F81BD" w:themeColor="accent1"/>
        </w:rPr>
      </w:pPr>
    </w:p>
    <w:p w14:paraId="2DD0559A" w14:textId="57B894ED" w:rsidR="00742E92" w:rsidRPr="00742E92" w:rsidRDefault="00742E92" w:rsidP="00742E92">
      <w:pPr>
        <w:rPr>
          <w:i/>
          <w:color w:val="4F81BD" w:themeColor="accent1"/>
        </w:rPr>
      </w:pPr>
      <w:r w:rsidRPr="00742E92">
        <w:rPr>
          <w:i/>
          <w:color w:val="4F81BD" w:themeColor="accent1"/>
        </w:rPr>
        <w:t>We do agree that a more comprehensive quantitative measure using multiplexing may be better served by performing the ddPCR experiments using a standard curve of known WBC subset populations. To accomplish this, a very pure cell population (for CD4+ CD25+ Tregs, for example) would need to be isolated efficiently. However, when using commercial kits for Treg isolation, the sample purity was very questionable. This was the case for magnetic based purification of Tregs with ThermoFisher kits, as well as bead-based filtration approaches from PluriSelect. Given that the isolation efficiency and purity was always variable at best, we felt that performing such standard curves would not be very effectual in delineating the quantitative capacity of our approach. Instead, using various samples from frozen PBMCs provided enough variation in WBC subset cell ratios and quantities that were confirmed with immunofluorescence (IF). Given that we were able to correlate (using IF and ddPCR) varying ratios of WBC subsets from PBMCs and Whole Blood samples, we were confident in assessing the quantitative efficacy through this approach. It is also important to note that various concentrations for total cell number (C-LESS gene</w:t>
      </w:r>
      <w:bookmarkStart w:id="61" w:name="_GoBack"/>
      <w:bookmarkEnd w:id="61"/>
      <w:r w:rsidR="00EB5647">
        <w:rPr>
          <w:i/>
          <w:color w:val="4F81BD" w:themeColor="accent1"/>
        </w:rPr>
        <w:t>)</w:t>
      </w:r>
      <w:r w:rsidRPr="00742E92">
        <w:rPr>
          <w:i/>
          <w:color w:val="4F81BD" w:themeColor="accent1"/>
        </w:rPr>
        <w:t xml:space="preserve"> were also verified with excellent correlation to IF quantification, in addition to the frequency of the other 2 genes of interest (FOXP3, CD3Z).</w:t>
      </w:r>
    </w:p>
    <w:p w14:paraId="2C70B5E9" w14:textId="77777777" w:rsidR="00742E92" w:rsidRPr="00742E92" w:rsidRDefault="00742E92" w:rsidP="00742E92">
      <w:pPr>
        <w:rPr>
          <w:i/>
          <w:color w:val="4F81BD" w:themeColor="accent1"/>
        </w:rPr>
      </w:pPr>
    </w:p>
    <w:p w14:paraId="7AFF71A0" w14:textId="77777777" w:rsidR="00742E92" w:rsidRPr="00742E92" w:rsidRDefault="00742E92" w:rsidP="00742E92">
      <w:pPr>
        <w:rPr>
          <w:i/>
          <w:color w:val="4F81BD" w:themeColor="accent1"/>
        </w:rPr>
      </w:pPr>
      <w:r w:rsidRPr="00742E92">
        <w:rPr>
          <w:i/>
          <w:color w:val="4F81BD" w:themeColor="accent1"/>
        </w:rPr>
        <w:t xml:space="preserve">In terms of IF vs FACS, we opted for IF evaluation especially for CD4+ CD25+ Tregs for several reasons. First, in order to perform ddPCR and IF using the same sample, we were </w:t>
      </w:r>
      <w:r w:rsidRPr="00742E92">
        <w:rPr>
          <w:i/>
          <w:color w:val="4F81BD" w:themeColor="accent1"/>
        </w:rPr>
        <w:lastRenderedPageBreak/>
        <w:t xml:space="preserve">limited by the cell number for either IF or FACS analysis. This is especially true for Tregs that – due to their low quantity – would not register reliable signals using FACS. Secondly, Tregs require 2 different stains (CD4 and CD25), in addition to the fact that discriminating between bright and dim CD25 signals is quite unreliable using FACS (coupled with low cell numbers). The resulting artifacts and high noise/signal ratio renders FACS unsuitable for this particular application – while using IF, a simple imaging threshold can be used to deduce the resulting cell ratios. And finally, the fluorescent antibodies used for IF were also the same FACS grade products. All staining and IF analysis was performed in parallel with the ddPCR experiments within the same day – circumventing the need to optimize any FACS protocols for later sample analysis that may be influenced by sample freshness. </w:t>
      </w:r>
    </w:p>
    <w:p w14:paraId="34B6F9FE" w14:textId="77777777" w:rsidR="00742E92" w:rsidRPr="00742E92" w:rsidRDefault="00742E92" w:rsidP="00742E92">
      <w:pPr>
        <w:rPr>
          <w:i/>
          <w:color w:val="4F81BD" w:themeColor="accent1"/>
        </w:rPr>
      </w:pPr>
    </w:p>
    <w:p w14:paraId="6AA14A48" w14:textId="77777777" w:rsidR="00742E92" w:rsidRPr="00742E92" w:rsidRDefault="00742E92" w:rsidP="00742E92">
      <w:pPr>
        <w:rPr>
          <w:i/>
          <w:color w:val="4F81BD" w:themeColor="accent1"/>
        </w:rPr>
      </w:pPr>
    </w:p>
    <w:p w14:paraId="48AB9129" w14:textId="77777777" w:rsidR="00742E92" w:rsidRPr="00742E92" w:rsidRDefault="00742E92" w:rsidP="00897CA5">
      <w:pPr>
        <w:rPr>
          <w:i/>
          <w:color w:val="4F81BD" w:themeColor="accent1"/>
        </w:rPr>
      </w:pPr>
    </w:p>
    <w:sectPr w:rsidR="00742E92" w:rsidRPr="00742E92" w:rsidSect="008841E9">
      <w:footerReference w:type="default" r:id="rId8"/>
      <w:headerReference w:type="first" r:id="rId9"/>
      <w:pgSz w:w="12240" w:h="15840"/>
      <w:pgMar w:top="2520" w:right="1080" w:bottom="1440" w:left="21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C765B" w14:textId="77777777" w:rsidR="004627BD" w:rsidRDefault="004627BD" w:rsidP="00782CDF">
      <w:r>
        <w:separator/>
      </w:r>
    </w:p>
  </w:endnote>
  <w:endnote w:type="continuationSeparator" w:id="0">
    <w:p w14:paraId="7206F504" w14:textId="77777777" w:rsidR="004627BD" w:rsidRDefault="004627BD" w:rsidP="0078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969819"/>
      <w:docPartObj>
        <w:docPartGallery w:val="Page Numbers (Bottom of Page)"/>
        <w:docPartUnique/>
      </w:docPartObj>
    </w:sdtPr>
    <w:sdtEndPr>
      <w:rPr>
        <w:rFonts w:asciiTheme="majorHAnsi" w:hAnsiTheme="majorHAnsi"/>
        <w:noProof/>
      </w:rPr>
    </w:sdtEndPr>
    <w:sdtContent>
      <w:p w14:paraId="014AC648" w14:textId="77777777" w:rsidR="00841D4A" w:rsidRPr="008B11FE" w:rsidRDefault="00841D4A">
        <w:pPr>
          <w:pStyle w:val="Footer"/>
          <w:jc w:val="center"/>
          <w:rPr>
            <w:rFonts w:asciiTheme="majorHAnsi" w:hAnsiTheme="majorHAnsi"/>
          </w:rPr>
        </w:pPr>
        <w:r w:rsidRPr="008B11FE">
          <w:rPr>
            <w:rFonts w:asciiTheme="majorHAnsi" w:hAnsiTheme="majorHAnsi"/>
          </w:rPr>
          <w:fldChar w:fldCharType="begin"/>
        </w:r>
        <w:r w:rsidRPr="008B11FE">
          <w:rPr>
            <w:rFonts w:asciiTheme="majorHAnsi" w:hAnsiTheme="majorHAnsi"/>
          </w:rPr>
          <w:instrText xml:space="preserve"> PAGE   \* MERGEFORMAT </w:instrText>
        </w:r>
        <w:r w:rsidRPr="008B11FE">
          <w:rPr>
            <w:rFonts w:asciiTheme="majorHAnsi" w:hAnsiTheme="majorHAnsi"/>
          </w:rPr>
          <w:fldChar w:fldCharType="separate"/>
        </w:r>
        <w:r w:rsidR="00EB5647">
          <w:rPr>
            <w:rFonts w:asciiTheme="majorHAnsi" w:hAnsiTheme="majorHAnsi"/>
            <w:noProof/>
          </w:rPr>
          <w:t>2</w:t>
        </w:r>
        <w:r w:rsidRPr="008B11FE">
          <w:rPr>
            <w:rFonts w:asciiTheme="majorHAnsi" w:hAnsiTheme="majorHAnsi"/>
            <w:noProof/>
          </w:rPr>
          <w:fldChar w:fldCharType="end"/>
        </w:r>
      </w:p>
    </w:sdtContent>
  </w:sdt>
  <w:p w14:paraId="2CA55FF2" w14:textId="77777777" w:rsidR="00841D4A" w:rsidRDefault="00841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8BE4A" w14:textId="77777777" w:rsidR="004627BD" w:rsidRDefault="004627BD" w:rsidP="00782CDF">
      <w:r>
        <w:separator/>
      </w:r>
    </w:p>
  </w:footnote>
  <w:footnote w:type="continuationSeparator" w:id="0">
    <w:p w14:paraId="33B2D0F9" w14:textId="77777777" w:rsidR="004627BD" w:rsidRDefault="004627BD" w:rsidP="00782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22DA0" w14:textId="77777777" w:rsidR="00841D4A" w:rsidRDefault="00841D4A">
    <w:pPr>
      <w:pStyle w:val="Header"/>
    </w:pPr>
    <w:r>
      <w:rPr>
        <w:noProof/>
        <w:lang w:val="en-CA" w:eastAsia="en-CA"/>
      </w:rPr>
      <w:drawing>
        <wp:anchor distT="0" distB="0" distL="114300" distR="114300" simplePos="0" relativeHeight="251657216" behindDoc="1" locked="0" layoutInCell="1" allowOverlap="1" wp14:anchorId="4ABC18A5" wp14:editId="2D0A5E37">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424F"/>
    <w:multiLevelType w:val="multilevel"/>
    <w:tmpl w:val="07081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416E5"/>
    <w:multiLevelType w:val="multilevel"/>
    <w:tmpl w:val="04A4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334EF"/>
    <w:multiLevelType w:val="multilevel"/>
    <w:tmpl w:val="C9AC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29C3"/>
    <w:multiLevelType w:val="multilevel"/>
    <w:tmpl w:val="B08C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1378A"/>
    <w:multiLevelType w:val="multilevel"/>
    <w:tmpl w:val="B28A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84802"/>
    <w:multiLevelType w:val="multilevel"/>
    <w:tmpl w:val="5D84E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E3DD5"/>
    <w:multiLevelType w:val="multilevel"/>
    <w:tmpl w:val="A716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47439"/>
    <w:multiLevelType w:val="hybridMultilevel"/>
    <w:tmpl w:val="098240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5086036"/>
    <w:multiLevelType w:val="hybridMultilevel"/>
    <w:tmpl w:val="AB88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45CE2"/>
    <w:multiLevelType w:val="multilevel"/>
    <w:tmpl w:val="2202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5"/>
  </w:num>
  <w:num w:numId="5">
    <w:abstractNumId w:val="6"/>
  </w:num>
  <w:num w:numId="6">
    <w:abstractNumId w:val="1"/>
  </w:num>
  <w:num w:numId="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E5"/>
    <w:rsid w:val="00002C1B"/>
    <w:rsid w:val="00010B73"/>
    <w:rsid w:val="00017248"/>
    <w:rsid w:val="00017EFF"/>
    <w:rsid w:val="00023A6B"/>
    <w:rsid w:val="0003043F"/>
    <w:rsid w:val="000422B4"/>
    <w:rsid w:val="00045393"/>
    <w:rsid w:val="00046DFF"/>
    <w:rsid w:val="000531D3"/>
    <w:rsid w:val="0005685F"/>
    <w:rsid w:val="00070573"/>
    <w:rsid w:val="00084971"/>
    <w:rsid w:val="00090058"/>
    <w:rsid w:val="000A101F"/>
    <w:rsid w:val="000A1D7B"/>
    <w:rsid w:val="000A4DA5"/>
    <w:rsid w:val="000B50A3"/>
    <w:rsid w:val="000C0EB6"/>
    <w:rsid w:val="000C566F"/>
    <w:rsid w:val="000D412E"/>
    <w:rsid w:val="000E7823"/>
    <w:rsid w:val="00110530"/>
    <w:rsid w:val="00114CEE"/>
    <w:rsid w:val="001176BF"/>
    <w:rsid w:val="00126A04"/>
    <w:rsid w:val="00142E70"/>
    <w:rsid w:val="00150BFC"/>
    <w:rsid w:val="001524DE"/>
    <w:rsid w:val="0018363A"/>
    <w:rsid w:val="0019092C"/>
    <w:rsid w:val="00195EA3"/>
    <w:rsid w:val="001A5BE0"/>
    <w:rsid w:val="001B070C"/>
    <w:rsid w:val="001E2B87"/>
    <w:rsid w:val="001E58FB"/>
    <w:rsid w:val="001E5BEA"/>
    <w:rsid w:val="00206FE3"/>
    <w:rsid w:val="00210362"/>
    <w:rsid w:val="002158C3"/>
    <w:rsid w:val="00222A28"/>
    <w:rsid w:val="0022495A"/>
    <w:rsid w:val="00252BD8"/>
    <w:rsid w:val="00285AFE"/>
    <w:rsid w:val="0029617B"/>
    <w:rsid w:val="002B32DA"/>
    <w:rsid w:val="002B7F78"/>
    <w:rsid w:val="002C22E7"/>
    <w:rsid w:val="002E034B"/>
    <w:rsid w:val="002E7CB5"/>
    <w:rsid w:val="002F789D"/>
    <w:rsid w:val="00305C07"/>
    <w:rsid w:val="00306188"/>
    <w:rsid w:val="00323D82"/>
    <w:rsid w:val="00324648"/>
    <w:rsid w:val="0032616B"/>
    <w:rsid w:val="003355DC"/>
    <w:rsid w:val="003433AF"/>
    <w:rsid w:val="00361BB9"/>
    <w:rsid w:val="003624EA"/>
    <w:rsid w:val="00365AA0"/>
    <w:rsid w:val="00367399"/>
    <w:rsid w:val="00370904"/>
    <w:rsid w:val="00374DCA"/>
    <w:rsid w:val="00390850"/>
    <w:rsid w:val="003A3E63"/>
    <w:rsid w:val="003A3E7D"/>
    <w:rsid w:val="003B3285"/>
    <w:rsid w:val="003C158C"/>
    <w:rsid w:val="003E72CE"/>
    <w:rsid w:val="00401854"/>
    <w:rsid w:val="00414081"/>
    <w:rsid w:val="00425522"/>
    <w:rsid w:val="00426848"/>
    <w:rsid w:val="00432F44"/>
    <w:rsid w:val="004627BD"/>
    <w:rsid w:val="0046416E"/>
    <w:rsid w:val="00486901"/>
    <w:rsid w:val="004A4082"/>
    <w:rsid w:val="004B4895"/>
    <w:rsid w:val="004D00E6"/>
    <w:rsid w:val="0051792D"/>
    <w:rsid w:val="005223E5"/>
    <w:rsid w:val="0052583E"/>
    <w:rsid w:val="00533402"/>
    <w:rsid w:val="005355C2"/>
    <w:rsid w:val="00545B60"/>
    <w:rsid w:val="00550C72"/>
    <w:rsid w:val="0055691C"/>
    <w:rsid w:val="005669EB"/>
    <w:rsid w:val="00584457"/>
    <w:rsid w:val="005C0C6E"/>
    <w:rsid w:val="005D17F7"/>
    <w:rsid w:val="005D237E"/>
    <w:rsid w:val="005D5592"/>
    <w:rsid w:val="005F1BF3"/>
    <w:rsid w:val="00601DA6"/>
    <w:rsid w:val="0060354A"/>
    <w:rsid w:val="0061468F"/>
    <w:rsid w:val="00616243"/>
    <w:rsid w:val="0061718E"/>
    <w:rsid w:val="0061764E"/>
    <w:rsid w:val="006552B5"/>
    <w:rsid w:val="006625BB"/>
    <w:rsid w:val="006744F7"/>
    <w:rsid w:val="00685C09"/>
    <w:rsid w:val="00685DE4"/>
    <w:rsid w:val="00695309"/>
    <w:rsid w:val="006A15DF"/>
    <w:rsid w:val="006C03F4"/>
    <w:rsid w:val="006C5F0A"/>
    <w:rsid w:val="006D4CE6"/>
    <w:rsid w:val="006D5015"/>
    <w:rsid w:val="006D5B5A"/>
    <w:rsid w:val="006F2642"/>
    <w:rsid w:val="006F6735"/>
    <w:rsid w:val="0070124C"/>
    <w:rsid w:val="00701327"/>
    <w:rsid w:val="00707220"/>
    <w:rsid w:val="00710564"/>
    <w:rsid w:val="00724090"/>
    <w:rsid w:val="0073068B"/>
    <w:rsid w:val="00731627"/>
    <w:rsid w:val="00737061"/>
    <w:rsid w:val="00742E92"/>
    <w:rsid w:val="00747B0B"/>
    <w:rsid w:val="00771470"/>
    <w:rsid w:val="00782B63"/>
    <w:rsid w:val="00782CDF"/>
    <w:rsid w:val="007B0BA9"/>
    <w:rsid w:val="007C483D"/>
    <w:rsid w:val="007C4960"/>
    <w:rsid w:val="007C5C0A"/>
    <w:rsid w:val="007C5F6B"/>
    <w:rsid w:val="007C5F77"/>
    <w:rsid w:val="007E7BF4"/>
    <w:rsid w:val="00802798"/>
    <w:rsid w:val="00817BA2"/>
    <w:rsid w:val="00825B2C"/>
    <w:rsid w:val="00841D4A"/>
    <w:rsid w:val="00842A89"/>
    <w:rsid w:val="008455C1"/>
    <w:rsid w:val="008501C0"/>
    <w:rsid w:val="00866199"/>
    <w:rsid w:val="008841E9"/>
    <w:rsid w:val="00894E0F"/>
    <w:rsid w:val="00897CA5"/>
    <w:rsid w:val="008B11FE"/>
    <w:rsid w:val="008C1BD5"/>
    <w:rsid w:val="008D74FC"/>
    <w:rsid w:val="008E17E6"/>
    <w:rsid w:val="009017B1"/>
    <w:rsid w:val="0090592B"/>
    <w:rsid w:val="00907023"/>
    <w:rsid w:val="00925F5B"/>
    <w:rsid w:val="00930516"/>
    <w:rsid w:val="00931020"/>
    <w:rsid w:val="00951CAA"/>
    <w:rsid w:val="00962425"/>
    <w:rsid w:val="009717E8"/>
    <w:rsid w:val="00971CFA"/>
    <w:rsid w:val="00973B94"/>
    <w:rsid w:val="00987978"/>
    <w:rsid w:val="009C10AE"/>
    <w:rsid w:val="009C1EA6"/>
    <w:rsid w:val="009C489D"/>
    <w:rsid w:val="009C7BD2"/>
    <w:rsid w:val="009E50E1"/>
    <w:rsid w:val="00A008BD"/>
    <w:rsid w:val="00A226EA"/>
    <w:rsid w:val="00A23F3B"/>
    <w:rsid w:val="00A30DB5"/>
    <w:rsid w:val="00A31E1A"/>
    <w:rsid w:val="00A34796"/>
    <w:rsid w:val="00A56EB5"/>
    <w:rsid w:val="00A6417D"/>
    <w:rsid w:val="00A658F5"/>
    <w:rsid w:val="00A85215"/>
    <w:rsid w:val="00AA0A23"/>
    <w:rsid w:val="00AA0B2B"/>
    <w:rsid w:val="00AA1806"/>
    <w:rsid w:val="00AA75E6"/>
    <w:rsid w:val="00AC08CE"/>
    <w:rsid w:val="00AC1370"/>
    <w:rsid w:val="00AC6FCF"/>
    <w:rsid w:val="00AD0932"/>
    <w:rsid w:val="00AD0B13"/>
    <w:rsid w:val="00AE668B"/>
    <w:rsid w:val="00AF0B61"/>
    <w:rsid w:val="00B02C18"/>
    <w:rsid w:val="00B052A6"/>
    <w:rsid w:val="00B13D12"/>
    <w:rsid w:val="00B2560A"/>
    <w:rsid w:val="00B2595C"/>
    <w:rsid w:val="00B30364"/>
    <w:rsid w:val="00B315BE"/>
    <w:rsid w:val="00B634F2"/>
    <w:rsid w:val="00B800C8"/>
    <w:rsid w:val="00B9562F"/>
    <w:rsid w:val="00BB6600"/>
    <w:rsid w:val="00BC3D53"/>
    <w:rsid w:val="00BD4BDB"/>
    <w:rsid w:val="00BD73DC"/>
    <w:rsid w:val="00BE0219"/>
    <w:rsid w:val="00BF7259"/>
    <w:rsid w:val="00C218B3"/>
    <w:rsid w:val="00C21997"/>
    <w:rsid w:val="00C459A3"/>
    <w:rsid w:val="00C66155"/>
    <w:rsid w:val="00C718B5"/>
    <w:rsid w:val="00C73312"/>
    <w:rsid w:val="00C80B10"/>
    <w:rsid w:val="00C91F8F"/>
    <w:rsid w:val="00C93C46"/>
    <w:rsid w:val="00C97B50"/>
    <w:rsid w:val="00CA0358"/>
    <w:rsid w:val="00CA7797"/>
    <w:rsid w:val="00CB6A86"/>
    <w:rsid w:val="00CD77E0"/>
    <w:rsid w:val="00CF2D1C"/>
    <w:rsid w:val="00D36FC1"/>
    <w:rsid w:val="00D47843"/>
    <w:rsid w:val="00D60D82"/>
    <w:rsid w:val="00D65567"/>
    <w:rsid w:val="00D72DFB"/>
    <w:rsid w:val="00D73B1C"/>
    <w:rsid w:val="00D77FAC"/>
    <w:rsid w:val="00D8065E"/>
    <w:rsid w:val="00D81C92"/>
    <w:rsid w:val="00D82437"/>
    <w:rsid w:val="00D82E2C"/>
    <w:rsid w:val="00DA546F"/>
    <w:rsid w:val="00DB6825"/>
    <w:rsid w:val="00E00FC2"/>
    <w:rsid w:val="00E10A48"/>
    <w:rsid w:val="00E11846"/>
    <w:rsid w:val="00E32330"/>
    <w:rsid w:val="00E33574"/>
    <w:rsid w:val="00E411C0"/>
    <w:rsid w:val="00E50CE1"/>
    <w:rsid w:val="00E54D87"/>
    <w:rsid w:val="00E56818"/>
    <w:rsid w:val="00E65AA2"/>
    <w:rsid w:val="00E73146"/>
    <w:rsid w:val="00E76C9D"/>
    <w:rsid w:val="00E9408E"/>
    <w:rsid w:val="00E974E3"/>
    <w:rsid w:val="00EA04A9"/>
    <w:rsid w:val="00EB5647"/>
    <w:rsid w:val="00EB735F"/>
    <w:rsid w:val="00ED23C3"/>
    <w:rsid w:val="00EE6D7F"/>
    <w:rsid w:val="00F057DD"/>
    <w:rsid w:val="00F05B87"/>
    <w:rsid w:val="00F23793"/>
    <w:rsid w:val="00F2672D"/>
    <w:rsid w:val="00F45B21"/>
    <w:rsid w:val="00F76459"/>
    <w:rsid w:val="00F820E9"/>
    <w:rsid w:val="00FC6A54"/>
    <w:rsid w:val="00FC7E29"/>
    <w:rsid w:val="00FD18F0"/>
    <w:rsid w:val="00FD791B"/>
    <w:rsid w:val="00FF1854"/>
    <w:rsid w:val="00FF44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6BE7602"/>
  <w15:docId w15:val="{447B3338-DC3F-4BB4-B1D3-65F69228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CEF"/>
    <w:rPr>
      <w:rFonts w:ascii="Arial" w:hAnsi="Arial"/>
      <w:sz w:val="22"/>
      <w:szCs w:val="24"/>
      <w:lang w:val="en-US" w:eastAsia="en-US"/>
    </w:rPr>
  </w:style>
  <w:style w:type="paragraph" w:styleId="Heading1">
    <w:name w:val="heading 1"/>
    <w:basedOn w:val="Normal"/>
    <w:next w:val="Normal"/>
    <w:link w:val="Heading1Char"/>
    <w:uiPriority w:val="9"/>
    <w:qFormat/>
    <w:rsid w:val="002F789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AC8"/>
    <w:rPr>
      <w:rFonts w:ascii="Lucida Grande" w:hAnsi="Lucida Grande"/>
      <w:sz w:val="18"/>
      <w:szCs w:val="18"/>
    </w:rPr>
  </w:style>
  <w:style w:type="paragraph" w:styleId="Header">
    <w:name w:val="header"/>
    <w:basedOn w:val="Normal"/>
    <w:rsid w:val="007B6CEF"/>
    <w:pPr>
      <w:tabs>
        <w:tab w:val="center" w:pos="4320"/>
        <w:tab w:val="right" w:pos="8640"/>
      </w:tabs>
    </w:pPr>
  </w:style>
  <w:style w:type="paragraph" w:styleId="Footer">
    <w:name w:val="footer"/>
    <w:basedOn w:val="Normal"/>
    <w:link w:val="FooterChar"/>
    <w:uiPriority w:val="99"/>
    <w:rsid w:val="007B6CEF"/>
    <w:pPr>
      <w:tabs>
        <w:tab w:val="center" w:pos="4320"/>
        <w:tab w:val="right" w:pos="8640"/>
      </w:tabs>
    </w:pPr>
  </w:style>
  <w:style w:type="character" w:customStyle="1" w:styleId="Heading1Char">
    <w:name w:val="Heading 1 Char"/>
    <w:basedOn w:val="DefaultParagraphFont"/>
    <w:link w:val="Heading1"/>
    <w:uiPriority w:val="9"/>
    <w:rsid w:val="002F789D"/>
    <w:rPr>
      <w:rFonts w:asciiTheme="majorHAnsi" w:eastAsiaTheme="majorEastAsia" w:hAnsiTheme="majorHAnsi" w:cstheme="majorBidi"/>
      <w:b/>
      <w:bCs/>
      <w:color w:val="365F91" w:themeColor="accent1" w:themeShade="BF"/>
      <w:sz w:val="28"/>
      <w:szCs w:val="28"/>
    </w:rPr>
  </w:style>
  <w:style w:type="paragraph" w:customStyle="1" w:styleId="01PaperTitle">
    <w:name w:val="01 Paper Title"/>
    <w:qFormat/>
    <w:rsid w:val="002F789D"/>
    <w:pPr>
      <w:spacing w:after="180" w:line="360" w:lineRule="exact"/>
    </w:pPr>
    <w:rPr>
      <w:b/>
      <w:position w:val="7"/>
      <w:sz w:val="32"/>
      <w:szCs w:val="32"/>
      <w:lang w:val="en-GB" w:eastAsia="en-GB"/>
    </w:rPr>
  </w:style>
  <w:style w:type="character" w:customStyle="1" w:styleId="FooterChar">
    <w:name w:val="Footer Char"/>
    <w:basedOn w:val="DefaultParagraphFont"/>
    <w:link w:val="Footer"/>
    <w:uiPriority w:val="99"/>
    <w:rsid w:val="002F789D"/>
    <w:rPr>
      <w:rFonts w:ascii="Arial" w:hAnsi="Arial"/>
      <w:sz w:val="22"/>
      <w:szCs w:val="24"/>
      <w:lang w:val="en-US" w:eastAsia="en-US"/>
    </w:rPr>
  </w:style>
  <w:style w:type="paragraph" w:styleId="BodyText">
    <w:name w:val="Body Text"/>
    <w:basedOn w:val="Normal"/>
    <w:link w:val="BodyTextChar"/>
    <w:rsid w:val="0070124C"/>
    <w:pPr>
      <w:spacing w:after="120"/>
    </w:pPr>
    <w:rPr>
      <w:sz w:val="20"/>
      <w:szCs w:val="20"/>
      <w:lang w:val="fr-CA"/>
    </w:rPr>
  </w:style>
  <w:style w:type="character" w:customStyle="1" w:styleId="BodyTextChar">
    <w:name w:val="Body Text Char"/>
    <w:basedOn w:val="DefaultParagraphFont"/>
    <w:link w:val="BodyText"/>
    <w:rsid w:val="0070124C"/>
    <w:rPr>
      <w:rFonts w:ascii="Arial" w:hAnsi="Arial"/>
      <w:lang w:val="fr-CA" w:eastAsia="en-US"/>
    </w:rPr>
  </w:style>
  <w:style w:type="paragraph" w:customStyle="1" w:styleId="BATitle">
    <w:name w:val="BA_Title"/>
    <w:next w:val="Normal"/>
    <w:rsid w:val="0070124C"/>
    <w:pPr>
      <w:spacing w:before="1380" w:line="250" w:lineRule="exact"/>
      <w:ind w:left="360" w:right="360"/>
      <w:jc w:val="center"/>
    </w:pPr>
    <w:rPr>
      <w:rFonts w:ascii="Helvetica" w:hAnsi="Helvetica"/>
      <w:b/>
      <w:noProof/>
      <w:sz w:val="23"/>
      <w:lang w:val="en-US" w:eastAsia="en-US"/>
    </w:rPr>
  </w:style>
  <w:style w:type="character" w:styleId="Strong">
    <w:name w:val="Strong"/>
    <w:uiPriority w:val="22"/>
    <w:qFormat/>
    <w:rsid w:val="0070124C"/>
    <w:rPr>
      <w:b/>
      <w:bCs/>
    </w:rPr>
  </w:style>
  <w:style w:type="paragraph" w:styleId="Title">
    <w:name w:val="Title"/>
    <w:basedOn w:val="Normal"/>
    <w:next w:val="Normal"/>
    <w:link w:val="TitleChar"/>
    <w:uiPriority w:val="10"/>
    <w:qFormat/>
    <w:rsid w:val="00616243"/>
    <w:pPr>
      <w:spacing w:after="300"/>
      <w:contextualSpacing/>
      <w:jc w:val="center"/>
    </w:pPr>
    <w:rPr>
      <w:rFonts w:ascii="Times New Roman" w:eastAsiaTheme="majorEastAsia" w:hAnsi="Times New Roman" w:cstheme="majorBidi"/>
      <w:spacing w:val="5"/>
      <w:kern w:val="28"/>
      <w:sz w:val="52"/>
      <w:szCs w:val="52"/>
    </w:rPr>
  </w:style>
  <w:style w:type="character" w:customStyle="1" w:styleId="TitleChar">
    <w:name w:val="Title Char"/>
    <w:basedOn w:val="DefaultParagraphFont"/>
    <w:link w:val="Title"/>
    <w:uiPriority w:val="10"/>
    <w:rsid w:val="00616243"/>
    <w:rPr>
      <w:rFonts w:eastAsiaTheme="majorEastAsia" w:cstheme="majorBidi"/>
      <w:spacing w:val="5"/>
      <w:kern w:val="28"/>
      <w:sz w:val="52"/>
      <w:szCs w:val="52"/>
      <w:lang w:val="en-US" w:eastAsia="en-US"/>
    </w:rPr>
  </w:style>
  <w:style w:type="character" w:styleId="CommentReference">
    <w:name w:val="annotation reference"/>
    <w:basedOn w:val="DefaultParagraphFont"/>
    <w:uiPriority w:val="99"/>
    <w:unhideWhenUsed/>
    <w:rsid w:val="00616243"/>
    <w:rPr>
      <w:sz w:val="16"/>
      <w:szCs w:val="16"/>
    </w:rPr>
  </w:style>
  <w:style w:type="paragraph" w:styleId="CommentText">
    <w:name w:val="annotation text"/>
    <w:basedOn w:val="Normal"/>
    <w:link w:val="CommentTextChar"/>
    <w:uiPriority w:val="99"/>
    <w:unhideWhenUsed/>
    <w:rsid w:val="00616243"/>
    <w:pPr>
      <w:spacing w:after="200"/>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rsid w:val="00616243"/>
    <w:rPr>
      <w:rFonts w:eastAsiaTheme="minorHAnsi" w:cstheme="minorBidi"/>
      <w:lang w:val="en-US" w:eastAsia="en-US"/>
    </w:rPr>
  </w:style>
  <w:style w:type="character" w:styleId="Hyperlink">
    <w:name w:val="Hyperlink"/>
    <w:basedOn w:val="DefaultParagraphFont"/>
    <w:unhideWhenUsed/>
    <w:rsid w:val="00616243"/>
    <w:rPr>
      <w:color w:val="0000FF"/>
      <w:u w:val="single"/>
    </w:rPr>
  </w:style>
  <w:style w:type="paragraph" w:styleId="NormalWeb">
    <w:name w:val="Normal (Web)"/>
    <w:basedOn w:val="Normal"/>
    <w:uiPriority w:val="99"/>
    <w:unhideWhenUsed/>
    <w:rsid w:val="00390850"/>
    <w:pPr>
      <w:spacing w:before="100" w:beforeAutospacing="1" w:after="100" w:afterAutospacing="1"/>
    </w:pPr>
    <w:rPr>
      <w:rFonts w:ascii="Times New Roman" w:eastAsiaTheme="minorHAnsi" w:hAnsi="Times New Roman"/>
      <w:sz w:val="24"/>
      <w:lang w:val="en-CA" w:eastAsia="en-CA"/>
    </w:rPr>
  </w:style>
  <w:style w:type="character" w:customStyle="1" w:styleId="sectiontitles1">
    <w:name w:val="section_titles1"/>
    <w:basedOn w:val="DefaultParagraphFont"/>
    <w:rsid w:val="00390850"/>
    <w:rPr>
      <w:b/>
      <w:bCs/>
      <w:color w:val="256BB6"/>
      <w:sz w:val="27"/>
      <w:szCs w:val="27"/>
    </w:rPr>
  </w:style>
  <w:style w:type="character" w:customStyle="1" w:styleId="apple-converted-space">
    <w:name w:val="apple-converted-space"/>
    <w:basedOn w:val="DefaultParagraphFont"/>
    <w:rsid w:val="005D237E"/>
  </w:style>
  <w:style w:type="character" w:customStyle="1" w:styleId="highlightedsearchterm">
    <w:name w:val="highlightedsearchterm"/>
    <w:basedOn w:val="DefaultParagraphFont"/>
    <w:rsid w:val="00401854"/>
  </w:style>
  <w:style w:type="paragraph" w:customStyle="1" w:styleId="02authors">
    <w:name w:val="02.authors"/>
    <w:basedOn w:val="Normal"/>
    <w:next w:val="Normal"/>
    <w:uiPriority w:val="99"/>
    <w:rsid w:val="00724090"/>
    <w:pPr>
      <w:spacing w:line="480" w:lineRule="auto"/>
      <w:jc w:val="center"/>
    </w:pPr>
    <w:rPr>
      <w:rFonts w:ascii="Times New Roman" w:hAnsi="Times New Roman"/>
      <w:b/>
      <w:sz w:val="24"/>
    </w:rPr>
  </w:style>
  <w:style w:type="character" w:styleId="Emphasis">
    <w:name w:val="Emphasis"/>
    <w:uiPriority w:val="20"/>
    <w:qFormat/>
    <w:rsid w:val="00724090"/>
    <w:rPr>
      <w:b/>
      <w:bCs/>
      <w:i w:val="0"/>
      <w:iCs w:val="0"/>
    </w:rPr>
  </w:style>
  <w:style w:type="character" w:customStyle="1" w:styleId="link-">
    <w:name w:val="link-"/>
    <w:rsid w:val="00724090"/>
  </w:style>
  <w:style w:type="paragraph" w:styleId="PlainText">
    <w:name w:val="Plain Text"/>
    <w:basedOn w:val="Normal"/>
    <w:link w:val="PlainTextChar"/>
    <w:uiPriority w:val="99"/>
    <w:unhideWhenUsed/>
    <w:rsid w:val="002E7CB5"/>
    <w:rPr>
      <w:rFonts w:ascii="Calibri" w:eastAsia="Calibri" w:hAnsi="Calibri"/>
      <w:szCs w:val="21"/>
      <w:lang w:val="en-CA"/>
    </w:rPr>
  </w:style>
  <w:style w:type="character" w:customStyle="1" w:styleId="PlainTextChar">
    <w:name w:val="Plain Text Char"/>
    <w:basedOn w:val="DefaultParagraphFont"/>
    <w:link w:val="PlainText"/>
    <w:uiPriority w:val="99"/>
    <w:rsid w:val="002E7CB5"/>
    <w:rPr>
      <w:rFonts w:ascii="Calibri" w:eastAsia="Calibri" w:hAnsi="Calibri"/>
      <w:sz w:val="22"/>
      <w:szCs w:val="21"/>
      <w:lang w:eastAsia="en-US"/>
    </w:rPr>
  </w:style>
  <w:style w:type="paragraph" w:customStyle="1" w:styleId="RSCB06BHeadingSub-Section">
    <w:name w:val="RSC B06 B Heading (Sub-Section)"/>
    <w:link w:val="RSCB06BHeadingSub-SectionChar"/>
    <w:qFormat/>
    <w:rsid w:val="00FF44D2"/>
    <w:pPr>
      <w:spacing w:after="80" w:line="240" w:lineRule="exact"/>
    </w:pPr>
    <w:rPr>
      <w:rFonts w:asciiTheme="minorHAnsi" w:eastAsiaTheme="minorHAnsi" w:hAnsiTheme="minorHAnsi" w:cstheme="minorBidi"/>
      <w:b/>
      <w:sz w:val="18"/>
      <w:szCs w:val="22"/>
      <w:lang w:val="en-GB" w:eastAsia="en-US"/>
    </w:rPr>
  </w:style>
  <w:style w:type="character" w:customStyle="1" w:styleId="RSCB06BHeadingSub-SectionChar">
    <w:name w:val="RSC B06 B Heading (Sub-Section) Char"/>
    <w:basedOn w:val="DefaultParagraphFont"/>
    <w:link w:val="RSCB06BHeadingSub-Section"/>
    <w:rsid w:val="00FF44D2"/>
    <w:rPr>
      <w:rFonts w:asciiTheme="minorHAnsi" w:eastAsiaTheme="minorHAnsi" w:hAnsiTheme="minorHAnsi" w:cstheme="minorBidi"/>
      <w:b/>
      <w:sz w:val="18"/>
      <w:szCs w:val="22"/>
      <w:lang w:val="en-GB" w:eastAsia="en-US"/>
    </w:rPr>
  </w:style>
  <w:style w:type="paragraph" w:styleId="CommentSubject">
    <w:name w:val="annotation subject"/>
    <w:basedOn w:val="CommentText"/>
    <w:next w:val="CommentText"/>
    <w:link w:val="CommentSubjectChar"/>
    <w:uiPriority w:val="99"/>
    <w:semiHidden/>
    <w:unhideWhenUsed/>
    <w:rsid w:val="000E7823"/>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0E7823"/>
    <w:rPr>
      <w:rFonts w:ascii="Arial" w:eastAsiaTheme="minorHAnsi" w:hAnsi="Arial"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07898">
      <w:bodyDiv w:val="1"/>
      <w:marLeft w:val="0"/>
      <w:marRight w:val="0"/>
      <w:marTop w:val="0"/>
      <w:marBottom w:val="0"/>
      <w:divBdr>
        <w:top w:val="none" w:sz="0" w:space="0" w:color="auto"/>
        <w:left w:val="none" w:sz="0" w:space="0" w:color="auto"/>
        <w:bottom w:val="none" w:sz="0" w:space="0" w:color="auto"/>
        <w:right w:val="none" w:sz="0" w:space="0" w:color="auto"/>
      </w:divBdr>
    </w:div>
    <w:div w:id="545486420">
      <w:bodyDiv w:val="1"/>
      <w:marLeft w:val="0"/>
      <w:marRight w:val="0"/>
      <w:marTop w:val="0"/>
      <w:marBottom w:val="0"/>
      <w:divBdr>
        <w:top w:val="none" w:sz="0" w:space="0" w:color="auto"/>
        <w:left w:val="none" w:sz="0" w:space="0" w:color="auto"/>
        <w:bottom w:val="none" w:sz="0" w:space="0" w:color="auto"/>
        <w:right w:val="none" w:sz="0" w:space="0" w:color="auto"/>
      </w:divBdr>
    </w:div>
    <w:div w:id="1106273669">
      <w:bodyDiv w:val="1"/>
      <w:marLeft w:val="0"/>
      <w:marRight w:val="0"/>
      <w:marTop w:val="0"/>
      <w:marBottom w:val="0"/>
      <w:divBdr>
        <w:top w:val="none" w:sz="0" w:space="0" w:color="auto"/>
        <w:left w:val="none" w:sz="0" w:space="0" w:color="auto"/>
        <w:bottom w:val="none" w:sz="0" w:space="0" w:color="auto"/>
        <w:right w:val="none" w:sz="0" w:space="0" w:color="auto"/>
      </w:divBdr>
    </w:div>
    <w:div w:id="1234703842">
      <w:bodyDiv w:val="1"/>
      <w:marLeft w:val="0"/>
      <w:marRight w:val="0"/>
      <w:marTop w:val="0"/>
      <w:marBottom w:val="0"/>
      <w:divBdr>
        <w:top w:val="none" w:sz="0" w:space="0" w:color="auto"/>
        <w:left w:val="none" w:sz="0" w:space="0" w:color="auto"/>
        <w:bottom w:val="none" w:sz="0" w:space="0" w:color="auto"/>
        <w:right w:val="none" w:sz="0" w:space="0" w:color="auto"/>
      </w:divBdr>
    </w:div>
    <w:div w:id="1320112003">
      <w:bodyDiv w:val="1"/>
      <w:marLeft w:val="0"/>
      <w:marRight w:val="0"/>
      <w:marTop w:val="0"/>
      <w:marBottom w:val="0"/>
      <w:divBdr>
        <w:top w:val="none" w:sz="0" w:space="0" w:color="auto"/>
        <w:left w:val="none" w:sz="0" w:space="0" w:color="auto"/>
        <w:bottom w:val="none" w:sz="0" w:space="0" w:color="auto"/>
        <w:right w:val="none" w:sz="0" w:space="0" w:color="auto"/>
      </w:divBdr>
    </w:div>
    <w:div w:id="1418012789">
      <w:bodyDiv w:val="1"/>
      <w:marLeft w:val="0"/>
      <w:marRight w:val="0"/>
      <w:marTop w:val="0"/>
      <w:marBottom w:val="0"/>
      <w:divBdr>
        <w:top w:val="none" w:sz="0" w:space="0" w:color="auto"/>
        <w:left w:val="none" w:sz="0" w:space="0" w:color="auto"/>
        <w:bottom w:val="none" w:sz="0" w:space="0" w:color="auto"/>
        <w:right w:val="none" w:sz="0" w:space="0" w:color="auto"/>
      </w:divBdr>
    </w:div>
    <w:div w:id="1795565025">
      <w:bodyDiv w:val="1"/>
      <w:marLeft w:val="0"/>
      <w:marRight w:val="0"/>
      <w:marTop w:val="0"/>
      <w:marBottom w:val="0"/>
      <w:divBdr>
        <w:top w:val="none" w:sz="0" w:space="0" w:color="auto"/>
        <w:left w:val="none" w:sz="0" w:space="0" w:color="auto"/>
        <w:bottom w:val="none" w:sz="0" w:space="0" w:color="auto"/>
        <w:right w:val="none" w:sz="0" w:space="0" w:color="auto"/>
      </w:divBdr>
    </w:div>
    <w:div w:id="1843157468">
      <w:bodyDiv w:val="1"/>
      <w:marLeft w:val="0"/>
      <w:marRight w:val="0"/>
      <w:marTop w:val="0"/>
      <w:marBottom w:val="0"/>
      <w:divBdr>
        <w:top w:val="none" w:sz="0" w:space="0" w:color="auto"/>
        <w:left w:val="none" w:sz="0" w:space="0" w:color="auto"/>
        <w:bottom w:val="none" w:sz="0" w:space="0" w:color="auto"/>
        <w:right w:val="none" w:sz="0" w:space="0" w:color="auto"/>
      </w:divBdr>
    </w:div>
    <w:div w:id="1856990875">
      <w:bodyDiv w:val="1"/>
      <w:marLeft w:val="0"/>
      <w:marRight w:val="0"/>
      <w:marTop w:val="0"/>
      <w:marBottom w:val="0"/>
      <w:divBdr>
        <w:top w:val="none" w:sz="0" w:space="0" w:color="auto"/>
        <w:left w:val="none" w:sz="0" w:space="0" w:color="auto"/>
        <w:bottom w:val="none" w:sz="0" w:space="0" w:color="auto"/>
        <w:right w:val="none" w:sz="0" w:space="0" w:color="auto"/>
      </w:divBdr>
      <w:divsChild>
        <w:div w:id="261229600">
          <w:marLeft w:val="0"/>
          <w:marRight w:val="0"/>
          <w:marTop w:val="0"/>
          <w:marBottom w:val="0"/>
          <w:divBdr>
            <w:top w:val="none" w:sz="0" w:space="0" w:color="auto"/>
            <w:left w:val="none" w:sz="0" w:space="0" w:color="auto"/>
            <w:bottom w:val="none" w:sz="0" w:space="0" w:color="auto"/>
            <w:right w:val="none" w:sz="0" w:space="0" w:color="auto"/>
          </w:divBdr>
        </w:div>
        <w:div w:id="642202260">
          <w:marLeft w:val="0"/>
          <w:marRight w:val="0"/>
          <w:marTop w:val="0"/>
          <w:marBottom w:val="0"/>
          <w:divBdr>
            <w:top w:val="none" w:sz="0" w:space="0" w:color="auto"/>
            <w:left w:val="none" w:sz="0" w:space="0" w:color="auto"/>
            <w:bottom w:val="none" w:sz="0" w:space="0" w:color="auto"/>
            <w:right w:val="none" w:sz="0" w:space="0" w:color="auto"/>
          </w:divBdr>
        </w:div>
        <w:div w:id="1710957572">
          <w:marLeft w:val="0"/>
          <w:marRight w:val="0"/>
          <w:marTop w:val="0"/>
          <w:marBottom w:val="0"/>
          <w:divBdr>
            <w:top w:val="none" w:sz="0" w:space="0" w:color="auto"/>
            <w:left w:val="none" w:sz="0" w:space="0" w:color="auto"/>
            <w:bottom w:val="none" w:sz="0" w:space="0" w:color="auto"/>
            <w:right w:val="none" w:sz="0" w:space="0" w:color="auto"/>
          </w:divBdr>
        </w:div>
        <w:div w:id="942030735">
          <w:marLeft w:val="0"/>
          <w:marRight w:val="0"/>
          <w:marTop w:val="0"/>
          <w:marBottom w:val="0"/>
          <w:divBdr>
            <w:top w:val="none" w:sz="0" w:space="0" w:color="auto"/>
            <w:left w:val="none" w:sz="0" w:space="0" w:color="auto"/>
            <w:bottom w:val="none" w:sz="0" w:space="0" w:color="auto"/>
            <w:right w:val="none" w:sz="0" w:space="0" w:color="auto"/>
          </w:divBdr>
        </w:div>
        <w:div w:id="2071734141">
          <w:marLeft w:val="0"/>
          <w:marRight w:val="0"/>
          <w:marTop w:val="0"/>
          <w:marBottom w:val="0"/>
          <w:divBdr>
            <w:top w:val="none" w:sz="0" w:space="0" w:color="auto"/>
            <w:left w:val="none" w:sz="0" w:space="0" w:color="auto"/>
            <w:bottom w:val="none" w:sz="0" w:space="0" w:color="auto"/>
            <w:right w:val="none" w:sz="0" w:space="0" w:color="auto"/>
          </w:divBdr>
        </w:div>
      </w:divsChild>
    </w:div>
    <w:div w:id="20211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ax\AppData\Local\Microsoft\Windows\Temporary%20Internet%20Files\Content.IE5\ZJFFVUYH\NRC_letterhead_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0E6DD-73C0-44AE-8786-BD9AA48F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NRC_letterhead_e.dotx</Template>
  <TotalTime>0</TotalTime>
  <Pages>8</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{Date}</vt:lpstr>
    </vt:vector>
  </TitlesOfParts>
  <Company>NRC-CNRC</Company>
  <LinksUpToDate>false</LinksUpToDate>
  <CharactersWithSpaces>16532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administrator</dc:creator>
  <cp:lastModifiedBy>Malic, Lidija</cp:lastModifiedBy>
  <cp:revision>2</cp:revision>
  <dcterms:created xsi:type="dcterms:W3CDTF">2020-04-30T02:20:00Z</dcterms:created>
  <dcterms:modified xsi:type="dcterms:W3CDTF">2020-04-30T02:20:00Z</dcterms:modified>
</cp:coreProperties>
</file>