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5980586" w:rsidR="006305D7" w:rsidRPr="001B1519" w:rsidRDefault="006305D7" w:rsidP="006A148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5C76424" w:rsidR="007A4DD6" w:rsidRDefault="006A1488" w:rsidP="006A1488">
      <w:pPr>
        <w:rPr>
          <w:rFonts w:asciiTheme="minorHAnsi" w:hAnsiTheme="minorHAnsi" w:cstheme="minorHAnsi"/>
          <w:color w:val="000000" w:themeColor="text1"/>
        </w:rPr>
      </w:pPr>
      <w:r w:rsidRPr="002E534B">
        <w:rPr>
          <w:rFonts w:asciiTheme="minorHAnsi" w:hAnsiTheme="minorHAnsi" w:cstheme="minorHAnsi"/>
          <w:color w:val="000000" w:themeColor="text1"/>
        </w:rPr>
        <w:t xml:space="preserve">Methylation Specific </w:t>
      </w:r>
      <w:r>
        <w:rPr>
          <w:rFonts w:asciiTheme="minorHAnsi" w:hAnsiTheme="minorHAnsi" w:cstheme="minorHAnsi"/>
          <w:color w:val="000000" w:themeColor="text1"/>
        </w:rPr>
        <w:t xml:space="preserve">Multiplex Droplet </w:t>
      </w:r>
      <w:r w:rsidRPr="002E534B">
        <w:rPr>
          <w:rFonts w:asciiTheme="minorHAnsi" w:hAnsiTheme="minorHAnsi" w:cstheme="minorHAnsi"/>
          <w:color w:val="000000" w:themeColor="text1"/>
        </w:rPr>
        <w:t>P</w:t>
      </w:r>
      <w:r>
        <w:rPr>
          <w:rFonts w:asciiTheme="minorHAnsi" w:hAnsiTheme="minorHAnsi" w:cstheme="minorHAnsi"/>
          <w:color w:val="000000" w:themeColor="text1"/>
        </w:rPr>
        <w:t>CR</w:t>
      </w:r>
      <w:r w:rsidRPr="002E534B">
        <w:rPr>
          <w:rFonts w:asciiTheme="minorHAnsi" w:hAnsiTheme="minorHAnsi" w:cstheme="minorHAnsi"/>
          <w:color w:val="000000" w:themeColor="text1"/>
        </w:rPr>
        <w:t xml:space="preserve"> </w:t>
      </w:r>
      <w:r>
        <w:rPr>
          <w:rFonts w:asciiTheme="minorHAnsi" w:hAnsiTheme="minorHAnsi" w:cstheme="minorHAnsi"/>
          <w:color w:val="000000" w:themeColor="text1"/>
        </w:rPr>
        <w:t>U</w:t>
      </w:r>
      <w:r w:rsidRPr="002E534B">
        <w:rPr>
          <w:rFonts w:asciiTheme="minorHAnsi" w:hAnsiTheme="minorHAnsi" w:cstheme="minorHAnsi"/>
          <w:color w:val="000000" w:themeColor="text1"/>
        </w:rPr>
        <w:t xml:space="preserve">sing Polymer Droplet Generator Device </w:t>
      </w:r>
      <w:r>
        <w:rPr>
          <w:rFonts w:asciiTheme="minorHAnsi" w:hAnsiTheme="minorHAnsi" w:cstheme="minorHAnsi"/>
          <w:color w:val="000000" w:themeColor="text1"/>
        </w:rPr>
        <w:t>f</w:t>
      </w:r>
      <w:r w:rsidRPr="002E534B">
        <w:rPr>
          <w:rFonts w:asciiTheme="minorHAnsi" w:hAnsiTheme="minorHAnsi" w:cstheme="minorHAnsi"/>
          <w:color w:val="000000" w:themeColor="text1"/>
        </w:rPr>
        <w:t>or Hematological Diagnostics</w:t>
      </w:r>
    </w:p>
    <w:p w14:paraId="50EED7C3" w14:textId="77777777" w:rsidR="002E534B" w:rsidRDefault="002E534B" w:rsidP="006A1488">
      <w:pPr>
        <w:rPr>
          <w:rFonts w:asciiTheme="minorHAnsi" w:hAnsiTheme="minorHAnsi" w:cstheme="minorHAnsi"/>
          <w:b/>
          <w:bCs/>
        </w:rPr>
      </w:pPr>
    </w:p>
    <w:p w14:paraId="3D080DA3" w14:textId="0F1DE8A5" w:rsidR="006305D7" w:rsidRPr="001B1519" w:rsidRDefault="006305D7" w:rsidP="006A1488">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FC08A4F" w14:textId="75FEA9E9" w:rsidR="0087168D" w:rsidRPr="0087168D" w:rsidRDefault="0087168D" w:rsidP="006A1488">
      <w:pPr>
        <w:rPr>
          <w:rFonts w:asciiTheme="minorHAnsi" w:hAnsiTheme="minorHAnsi" w:cstheme="minorHAnsi"/>
          <w:color w:val="000000" w:themeColor="text1"/>
          <w:lang w:val="en-CA"/>
        </w:rPr>
      </w:pPr>
      <w:r w:rsidRPr="0087168D">
        <w:rPr>
          <w:rFonts w:asciiTheme="minorHAnsi" w:hAnsiTheme="minorHAnsi" w:cstheme="minorHAnsi"/>
          <w:color w:val="000000" w:themeColor="text1"/>
          <w:lang w:val="en-CA"/>
        </w:rPr>
        <w:t>Lidija Malic</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Abdelrahman Elmanzalawy</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Jamal Daoud</w:t>
      </w:r>
      <w:r w:rsidR="00CA2A1B">
        <w:rPr>
          <w:rFonts w:asciiTheme="minorHAnsi" w:hAnsiTheme="minorHAnsi" w:cstheme="minorHAnsi"/>
          <w:color w:val="000000" w:themeColor="text1"/>
          <w:vertAlign w:val="superscript"/>
          <w:lang w:val="en-CA"/>
        </w:rPr>
        <w:t>2</w:t>
      </w:r>
      <w:r w:rsidRPr="0087168D">
        <w:rPr>
          <w:rFonts w:asciiTheme="minorHAnsi" w:hAnsiTheme="minorHAnsi" w:cstheme="minorHAnsi"/>
          <w:color w:val="000000" w:themeColor="text1"/>
          <w:lang w:val="en-CA"/>
        </w:rPr>
        <w:t>, Matthias Geissler</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Alex Boutin</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xml:space="preserve">, </w:t>
      </w:r>
      <w:proofErr w:type="spellStart"/>
      <w:r w:rsidRPr="0087168D">
        <w:rPr>
          <w:rFonts w:asciiTheme="minorHAnsi" w:hAnsiTheme="minorHAnsi" w:cstheme="minorHAnsi"/>
          <w:color w:val="000000" w:themeColor="text1"/>
          <w:lang w:val="en-CA"/>
        </w:rPr>
        <w:t>Ljuboje</w:t>
      </w:r>
      <w:proofErr w:type="spellEnd"/>
      <w:r w:rsidRPr="0087168D">
        <w:rPr>
          <w:rFonts w:asciiTheme="minorHAnsi" w:hAnsiTheme="minorHAnsi" w:cstheme="minorHAnsi"/>
          <w:color w:val="000000" w:themeColor="text1"/>
          <w:lang w:val="en-CA"/>
        </w:rPr>
        <w:t xml:space="preserve"> Lukic</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xml:space="preserve">, </w:t>
      </w:r>
      <w:proofErr w:type="spellStart"/>
      <w:r w:rsidRPr="0087168D">
        <w:rPr>
          <w:rFonts w:asciiTheme="minorHAnsi" w:hAnsiTheme="minorHAnsi" w:cstheme="minorHAnsi"/>
          <w:color w:val="000000" w:themeColor="text1"/>
          <w:lang w:val="en-CA"/>
        </w:rPr>
        <w:t>Mojra</w:t>
      </w:r>
      <w:proofErr w:type="spellEnd"/>
      <w:r w:rsidRPr="0087168D">
        <w:rPr>
          <w:rFonts w:asciiTheme="minorHAnsi" w:hAnsiTheme="minorHAnsi" w:cstheme="minorHAnsi"/>
          <w:color w:val="000000" w:themeColor="text1"/>
          <w:lang w:val="en-CA"/>
        </w:rPr>
        <w:t xml:space="preserve"> Janta</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Dillon Da Fonte</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Christina Nassif</w:t>
      </w: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 Teodor Veres</w:t>
      </w:r>
      <w:r w:rsidRPr="0087168D">
        <w:rPr>
          <w:rFonts w:asciiTheme="minorHAnsi" w:hAnsiTheme="minorHAnsi" w:cstheme="minorHAnsi"/>
          <w:color w:val="000000" w:themeColor="text1"/>
          <w:vertAlign w:val="superscript"/>
          <w:lang w:val="en-CA"/>
        </w:rPr>
        <w:t>1</w:t>
      </w:r>
    </w:p>
    <w:p w14:paraId="3ED55472" w14:textId="1CA6B705" w:rsidR="0087168D" w:rsidRDefault="0087168D" w:rsidP="006A1488">
      <w:pPr>
        <w:rPr>
          <w:rFonts w:asciiTheme="minorHAnsi" w:hAnsiTheme="minorHAnsi" w:cstheme="minorHAnsi"/>
          <w:color w:val="808080"/>
          <w:lang w:val="en-CA"/>
        </w:rPr>
      </w:pPr>
    </w:p>
    <w:p w14:paraId="74FC1533" w14:textId="0B07F221" w:rsidR="00CA2A1B" w:rsidRDefault="0087168D" w:rsidP="006A1488">
      <w:pPr>
        <w:rPr>
          <w:rFonts w:asciiTheme="minorHAnsi" w:hAnsiTheme="minorHAnsi" w:cstheme="minorHAnsi"/>
          <w:color w:val="000000" w:themeColor="text1"/>
          <w:lang w:val="en-CA"/>
        </w:rPr>
      </w:pPr>
      <w:r w:rsidRPr="0087168D">
        <w:rPr>
          <w:rFonts w:asciiTheme="minorHAnsi" w:hAnsiTheme="minorHAnsi" w:cstheme="minorHAnsi"/>
          <w:color w:val="000000" w:themeColor="text1"/>
          <w:vertAlign w:val="superscript"/>
          <w:lang w:val="en-CA"/>
        </w:rPr>
        <w:t>1</w:t>
      </w:r>
      <w:r w:rsidRPr="0087168D">
        <w:rPr>
          <w:rFonts w:asciiTheme="minorHAnsi" w:hAnsiTheme="minorHAnsi" w:cstheme="minorHAnsi"/>
          <w:color w:val="000000" w:themeColor="text1"/>
          <w:lang w:val="en-CA"/>
        </w:rPr>
        <w:t>Life Sciences Division, National Research Council of Canada, Boucherville, QC</w:t>
      </w:r>
      <w:r w:rsidR="006A1488">
        <w:rPr>
          <w:rFonts w:asciiTheme="minorHAnsi" w:hAnsiTheme="minorHAnsi" w:cstheme="minorHAnsi"/>
          <w:color w:val="000000" w:themeColor="text1"/>
          <w:lang w:val="en-CA"/>
        </w:rPr>
        <w:t xml:space="preserve">, </w:t>
      </w:r>
      <w:r w:rsidRPr="0087168D">
        <w:rPr>
          <w:rFonts w:asciiTheme="minorHAnsi" w:hAnsiTheme="minorHAnsi" w:cstheme="minorHAnsi"/>
          <w:color w:val="000000" w:themeColor="text1"/>
          <w:lang w:val="en-CA"/>
        </w:rPr>
        <w:t>Canada</w:t>
      </w:r>
    </w:p>
    <w:p w14:paraId="30E8A853" w14:textId="321CA9F6" w:rsidR="00CA2A1B" w:rsidRPr="0066619D" w:rsidRDefault="00CA2A1B" w:rsidP="006A1488">
      <w:pPr>
        <w:rPr>
          <w:rFonts w:asciiTheme="minorHAnsi" w:hAnsiTheme="minorHAnsi" w:cstheme="minorHAnsi"/>
          <w:color w:val="auto"/>
          <w:lang w:val="en-CA"/>
        </w:rPr>
      </w:pPr>
      <w:r w:rsidRPr="00B95165">
        <w:rPr>
          <w:rFonts w:asciiTheme="minorHAnsi" w:hAnsiTheme="minorHAnsi" w:cstheme="minorHAnsi"/>
          <w:color w:val="000000" w:themeColor="text1"/>
          <w:vertAlign w:val="superscript"/>
          <w:lang w:val="en-CA"/>
        </w:rPr>
        <w:t>2</w:t>
      </w:r>
      <w:r>
        <w:rPr>
          <w:rFonts w:asciiTheme="minorHAnsi" w:hAnsiTheme="minorHAnsi" w:cstheme="minorHAnsi"/>
          <w:color w:val="000000" w:themeColor="text1"/>
          <w:lang w:val="en-CA"/>
        </w:rPr>
        <w:t xml:space="preserve">Galenvs </w:t>
      </w:r>
      <w:r w:rsidRPr="0066619D">
        <w:rPr>
          <w:rFonts w:asciiTheme="minorHAnsi" w:hAnsiTheme="minorHAnsi" w:cstheme="minorHAnsi"/>
          <w:color w:val="auto"/>
          <w:lang w:val="en-CA"/>
        </w:rPr>
        <w:t>Sciences</w:t>
      </w:r>
      <w:r w:rsidR="000A0A08" w:rsidRPr="0066619D">
        <w:rPr>
          <w:rFonts w:asciiTheme="minorHAnsi" w:hAnsiTheme="minorHAnsi" w:cstheme="minorHAnsi"/>
          <w:color w:val="auto"/>
          <w:lang w:val="en-CA"/>
        </w:rPr>
        <w:t>,</w:t>
      </w:r>
      <w:r w:rsidRPr="0066619D">
        <w:rPr>
          <w:rFonts w:asciiTheme="minorHAnsi" w:hAnsiTheme="minorHAnsi" w:cstheme="minorHAnsi"/>
          <w:color w:val="auto"/>
          <w:lang w:val="en-CA"/>
        </w:rPr>
        <w:t xml:space="preserve"> Inc.</w:t>
      </w:r>
      <w:r w:rsidR="000A0A08" w:rsidRPr="0066619D">
        <w:rPr>
          <w:rFonts w:cs="Arial"/>
          <w:color w:val="auto"/>
          <w:lang w:val="en-CA"/>
        </w:rPr>
        <w:t>,</w:t>
      </w:r>
      <w:r w:rsidR="000A0A08" w:rsidRPr="0066619D">
        <w:rPr>
          <w:color w:val="auto"/>
        </w:rPr>
        <w:t xml:space="preserve"> </w:t>
      </w:r>
      <w:r w:rsidRPr="0066619D">
        <w:rPr>
          <w:rFonts w:asciiTheme="minorHAnsi" w:hAnsiTheme="minorHAnsi" w:cstheme="minorHAnsi"/>
          <w:color w:val="auto"/>
          <w:lang w:val="en-CA"/>
        </w:rPr>
        <w:t>Montreal, QC, Canada</w:t>
      </w:r>
    </w:p>
    <w:p w14:paraId="42C7F3C3" w14:textId="2BC06AAD" w:rsidR="0087168D" w:rsidRDefault="0087168D" w:rsidP="006A1488">
      <w:pPr>
        <w:rPr>
          <w:rFonts w:asciiTheme="minorHAnsi" w:hAnsiTheme="minorHAnsi" w:cstheme="minorHAnsi"/>
          <w:color w:val="808080"/>
          <w:lang w:val="en-CA"/>
        </w:rPr>
      </w:pPr>
    </w:p>
    <w:p w14:paraId="0FC94671" w14:textId="5E48609A" w:rsidR="0087168D" w:rsidRPr="0087168D" w:rsidRDefault="0087168D" w:rsidP="006A1488">
      <w:pPr>
        <w:rPr>
          <w:rFonts w:asciiTheme="minorHAnsi" w:hAnsiTheme="minorHAnsi" w:cstheme="minorHAnsi"/>
          <w:color w:val="000000" w:themeColor="text1"/>
          <w:lang w:val="en-CA"/>
        </w:rPr>
      </w:pPr>
      <w:r w:rsidRPr="0087168D">
        <w:rPr>
          <w:rFonts w:asciiTheme="minorHAnsi" w:hAnsiTheme="minorHAnsi" w:cstheme="minorHAnsi"/>
          <w:color w:val="000000" w:themeColor="text1"/>
          <w:lang w:val="en-CA"/>
        </w:rPr>
        <w:t>Corresponding author:</w:t>
      </w:r>
    </w:p>
    <w:p w14:paraId="19AEDD86" w14:textId="4751D51C" w:rsidR="0087168D" w:rsidRDefault="006A1488" w:rsidP="006A1488">
      <w:pPr>
        <w:rPr>
          <w:rFonts w:asciiTheme="minorHAnsi" w:hAnsiTheme="minorHAnsi" w:cstheme="minorHAnsi"/>
          <w:color w:val="000000" w:themeColor="text1"/>
          <w:lang w:val="en-CA"/>
        </w:rPr>
      </w:pPr>
      <w:r w:rsidRPr="0087168D">
        <w:rPr>
          <w:rFonts w:asciiTheme="minorHAnsi" w:hAnsiTheme="minorHAnsi" w:cstheme="minorHAnsi"/>
          <w:color w:val="000000" w:themeColor="text1"/>
          <w:lang w:val="en-CA"/>
        </w:rPr>
        <w:t>Lidija Malic</w:t>
      </w:r>
      <w:r>
        <w:t xml:space="preserve"> </w:t>
      </w:r>
      <w:r>
        <w:tab/>
      </w:r>
      <w:r>
        <w:tab/>
      </w:r>
      <w:r>
        <w:tab/>
        <w:t>(</w:t>
      </w:r>
      <w:r w:rsidRPr="006A1488">
        <w:rPr>
          <w:rFonts w:asciiTheme="minorHAnsi" w:hAnsiTheme="minorHAnsi" w:cstheme="minorHAnsi"/>
          <w:lang w:val="en-CA"/>
        </w:rPr>
        <w:t>lidija.malic@cnrc-nrc.gc.ca</w:t>
      </w:r>
      <w:r>
        <w:rPr>
          <w:rFonts w:asciiTheme="minorHAnsi" w:hAnsiTheme="minorHAnsi" w:cstheme="minorHAnsi"/>
          <w:lang w:val="en-CA"/>
        </w:rPr>
        <w:t>)</w:t>
      </w:r>
    </w:p>
    <w:p w14:paraId="55275EA2" w14:textId="77777777" w:rsidR="00D05913" w:rsidRDefault="00D05913" w:rsidP="006A1488">
      <w:pPr>
        <w:rPr>
          <w:rFonts w:asciiTheme="minorHAnsi" w:hAnsiTheme="minorHAnsi" w:cstheme="minorHAnsi"/>
          <w:color w:val="000000" w:themeColor="text1"/>
          <w:lang w:val="en-CA"/>
        </w:rPr>
      </w:pPr>
    </w:p>
    <w:p w14:paraId="00038AAE" w14:textId="39283310" w:rsidR="00D05913" w:rsidRDefault="006A1488" w:rsidP="006A1488">
      <w:pPr>
        <w:rPr>
          <w:rFonts w:asciiTheme="minorHAnsi" w:hAnsiTheme="minorHAnsi" w:cstheme="minorHAnsi"/>
          <w:color w:val="000000" w:themeColor="text1"/>
          <w:lang w:val="en-CA"/>
        </w:rPr>
      </w:pPr>
      <w:r>
        <w:rPr>
          <w:rFonts w:asciiTheme="minorHAnsi" w:hAnsiTheme="minorHAnsi" w:cstheme="minorHAnsi"/>
          <w:color w:val="000000" w:themeColor="text1"/>
          <w:lang w:val="en-CA"/>
        </w:rPr>
        <w:t>Email Addresses of Co-Authors:</w:t>
      </w:r>
    </w:p>
    <w:p w14:paraId="4FA3D15F" w14:textId="66E603AB" w:rsidR="006A1488" w:rsidRDefault="006A1488" w:rsidP="006A1488">
      <w:r w:rsidRPr="0087168D">
        <w:rPr>
          <w:rFonts w:asciiTheme="minorHAnsi" w:hAnsiTheme="minorHAnsi" w:cstheme="minorHAnsi"/>
          <w:color w:val="000000" w:themeColor="text1"/>
          <w:lang w:val="en-CA"/>
        </w:rPr>
        <w:t>Abdelrahman Elmanzalawy</w:t>
      </w:r>
      <w:r w:rsidRPr="00955DB4">
        <w:t xml:space="preserve"> </w:t>
      </w:r>
      <w:r>
        <w:tab/>
        <w:t>(</w:t>
      </w:r>
      <w:r w:rsidR="00955DB4" w:rsidRPr="00955DB4">
        <w:t>Abdelrahman.Elmanzalawy@nrc-cnrc.gc.ca</w:t>
      </w:r>
      <w:r>
        <w:t>)</w:t>
      </w:r>
      <w:r w:rsidR="00D05913">
        <w:t xml:space="preserve"> </w:t>
      </w:r>
    </w:p>
    <w:p w14:paraId="6A123ADD" w14:textId="51A3BD84" w:rsidR="006A1488" w:rsidRPr="007A2FC5" w:rsidRDefault="006A1488" w:rsidP="006A1488">
      <w:pPr>
        <w:rPr>
          <w:lang w:val="fr-CA"/>
        </w:rPr>
      </w:pPr>
      <w:r w:rsidRPr="007A2FC5">
        <w:rPr>
          <w:rFonts w:asciiTheme="minorHAnsi" w:hAnsiTheme="minorHAnsi" w:cstheme="minorHAnsi"/>
          <w:color w:val="000000" w:themeColor="text1"/>
          <w:lang w:val="fr-CA"/>
        </w:rPr>
        <w:t>Jamal Daoud</w:t>
      </w:r>
      <w:r w:rsidRPr="007A2FC5">
        <w:rPr>
          <w:lang w:val="fr-CA"/>
        </w:rPr>
        <w:t xml:space="preserve"> </w:t>
      </w:r>
      <w:r w:rsidRPr="007A2FC5">
        <w:rPr>
          <w:lang w:val="fr-CA"/>
        </w:rPr>
        <w:tab/>
      </w:r>
      <w:r w:rsidRPr="007A2FC5">
        <w:rPr>
          <w:lang w:val="fr-CA"/>
        </w:rPr>
        <w:tab/>
      </w:r>
      <w:r w:rsidRPr="007A2FC5">
        <w:rPr>
          <w:lang w:val="fr-CA"/>
        </w:rPr>
        <w:tab/>
        <w:t>(</w:t>
      </w:r>
      <w:r w:rsidR="00955DB4" w:rsidRPr="007A2FC5">
        <w:rPr>
          <w:lang w:val="fr-CA"/>
        </w:rPr>
        <w:t>jdaoud@galenvs.com</w:t>
      </w:r>
      <w:r w:rsidRPr="007A2FC5">
        <w:rPr>
          <w:lang w:val="fr-CA"/>
        </w:rPr>
        <w:t>)</w:t>
      </w:r>
      <w:r w:rsidR="00D05913" w:rsidRPr="007A2FC5">
        <w:rPr>
          <w:lang w:val="fr-CA"/>
        </w:rPr>
        <w:t xml:space="preserve"> </w:t>
      </w:r>
    </w:p>
    <w:p w14:paraId="04CC1D24" w14:textId="5EE59785" w:rsidR="006A1488" w:rsidRDefault="006A1488" w:rsidP="006A1488">
      <w:r w:rsidRPr="0087168D">
        <w:rPr>
          <w:rFonts w:asciiTheme="minorHAnsi" w:hAnsiTheme="minorHAnsi" w:cstheme="minorHAnsi"/>
          <w:color w:val="000000" w:themeColor="text1"/>
          <w:lang w:val="en-CA"/>
        </w:rPr>
        <w:t>Matthias Geissler</w:t>
      </w:r>
      <w:r>
        <w:t xml:space="preserve"> </w:t>
      </w:r>
      <w:r>
        <w:tab/>
      </w:r>
      <w:r>
        <w:tab/>
        <w:t>(</w:t>
      </w:r>
      <w:r w:rsidR="00D05913">
        <w:t>Matthias.Geissler@cnrc-nrc.gc.ca</w:t>
      </w:r>
      <w:r>
        <w:t>)</w:t>
      </w:r>
      <w:r w:rsidR="00D05913">
        <w:t xml:space="preserve"> </w:t>
      </w:r>
    </w:p>
    <w:p w14:paraId="20CF029D" w14:textId="25D0104D" w:rsidR="006A1488" w:rsidRDefault="006A1488" w:rsidP="006A1488">
      <w:r w:rsidRPr="0087168D">
        <w:rPr>
          <w:rFonts w:asciiTheme="minorHAnsi" w:hAnsiTheme="minorHAnsi" w:cstheme="minorHAnsi"/>
          <w:color w:val="000000" w:themeColor="text1"/>
          <w:lang w:val="en-CA"/>
        </w:rPr>
        <w:t>Alex Boutin</w:t>
      </w:r>
      <w:r>
        <w:t xml:space="preserve"> </w:t>
      </w:r>
      <w:r>
        <w:tab/>
      </w:r>
      <w:r>
        <w:tab/>
      </w:r>
      <w:r>
        <w:tab/>
        <w:t>(</w:t>
      </w:r>
      <w:r w:rsidR="00D05913">
        <w:t>Alex.Boutin@cnrc-nrc.gc.ca</w:t>
      </w:r>
      <w:r>
        <w:t>)</w:t>
      </w:r>
      <w:r w:rsidR="00D05913">
        <w:t xml:space="preserve"> </w:t>
      </w:r>
    </w:p>
    <w:p w14:paraId="54FE1FCE" w14:textId="4F10F329" w:rsidR="006A1488" w:rsidRDefault="006A1488" w:rsidP="006A1488">
      <w:proofErr w:type="spellStart"/>
      <w:r w:rsidRPr="0087168D">
        <w:rPr>
          <w:rFonts w:asciiTheme="minorHAnsi" w:hAnsiTheme="minorHAnsi" w:cstheme="minorHAnsi"/>
          <w:color w:val="000000" w:themeColor="text1"/>
          <w:lang w:val="en-CA"/>
        </w:rPr>
        <w:t>Ljuboje</w:t>
      </w:r>
      <w:proofErr w:type="spellEnd"/>
      <w:r w:rsidRPr="0087168D">
        <w:rPr>
          <w:rFonts w:asciiTheme="minorHAnsi" w:hAnsiTheme="minorHAnsi" w:cstheme="minorHAnsi"/>
          <w:color w:val="000000" w:themeColor="text1"/>
          <w:lang w:val="en-CA"/>
        </w:rPr>
        <w:t xml:space="preserve"> </w:t>
      </w:r>
      <w:proofErr w:type="spellStart"/>
      <w:r w:rsidRPr="0087168D">
        <w:rPr>
          <w:rFonts w:asciiTheme="minorHAnsi" w:hAnsiTheme="minorHAnsi" w:cstheme="minorHAnsi"/>
          <w:color w:val="000000" w:themeColor="text1"/>
          <w:lang w:val="en-CA"/>
        </w:rPr>
        <w:t>Lukic</w:t>
      </w:r>
      <w:proofErr w:type="spellEnd"/>
      <w:r>
        <w:t xml:space="preserve"> </w:t>
      </w:r>
      <w:r>
        <w:tab/>
      </w:r>
      <w:r>
        <w:tab/>
      </w:r>
      <w:r>
        <w:tab/>
        <w:t>(</w:t>
      </w:r>
      <w:r w:rsidR="00D05913">
        <w:t>Ljuboje.Lukic@nrc-cnrc.gc.ca</w:t>
      </w:r>
      <w:r>
        <w:t>)</w:t>
      </w:r>
      <w:r w:rsidR="00D05913">
        <w:t xml:space="preserve"> </w:t>
      </w:r>
    </w:p>
    <w:p w14:paraId="2643D956" w14:textId="439B54CF" w:rsidR="006A1488" w:rsidRDefault="006A1488" w:rsidP="006A1488">
      <w:proofErr w:type="spellStart"/>
      <w:r w:rsidRPr="0087168D">
        <w:rPr>
          <w:rFonts w:asciiTheme="minorHAnsi" w:hAnsiTheme="minorHAnsi" w:cstheme="minorHAnsi"/>
          <w:color w:val="000000" w:themeColor="text1"/>
          <w:lang w:val="en-CA"/>
        </w:rPr>
        <w:t>Mojra</w:t>
      </w:r>
      <w:proofErr w:type="spellEnd"/>
      <w:r w:rsidRPr="0087168D">
        <w:rPr>
          <w:rFonts w:asciiTheme="minorHAnsi" w:hAnsiTheme="minorHAnsi" w:cstheme="minorHAnsi"/>
          <w:color w:val="000000" w:themeColor="text1"/>
          <w:lang w:val="en-CA"/>
        </w:rPr>
        <w:t xml:space="preserve"> </w:t>
      </w:r>
      <w:proofErr w:type="spellStart"/>
      <w:r w:rsidRPr="0087168D">
        <w:rPr>
          <w:rFonts w:asciiTheme="minorHAnsi" w:hAnsiTheme="minorHAnsi" w:cstheme="minorHAnsi"/>
          <w:color w:val="000000" w:themeColor="text1"/>
          <w:lang w:val="en-CA"/>
        </w:rPr>
        <w:t>Janta</w:t>
      </w:r>
      <w:proofErr w:type="spellEnd"/>
      <w:r>
        <w:t xml:space="preserve"> </w:t>
      </w:r>
      <w:r>
        <w:tab/>
      </w:r>
      <w:r>
        <w:tab/>
      </w:r>
      <w:r>
        <w:tab/>
        <w:t>(</w:t>
      </w:r>
      <w:r w:rsidR="00D05913">
        <w:t>Mojra.Janta-Polczynski@cnrc-nrc.gc.ca</w:t>
      </w:r>
      <w:r>
        <w:t>)</w:t>
      </w:r>
      <w:r w:rsidR="00D05913">
        <w:t xml:space="preserve"> </w:t>
      </w:r>
    </w:p>
    <w:p w14:paraId="2A7E3B74" w14:textId="2909DC0F" w:rsidR="006A1488" w:rsidRPr="007A2FC5" w:rsidRDefault="006A1488" w:rsidP="006A1488">
      <w:pPr>
        <w:rPr>
          <w:lang w:val="fr-CA"/>
        </w:rPr>
      </w:pPr>
      <w:r w:rsidRPr="007A2FC5">
        <w:rPr>
          <w:rFonts w:asciiTheme="minorHAnsi" w:hAnsiTheme="minorHAnsi" w:cstheme="minorHAnsi"/>
          <w:color w:val="000000" w:themeColor="text1"/>
          <w:lang w:val="fr-CA"/>
        </w:rPr>
        <w:t>Dillon Da Fonte</w:t>
      </w:r>
      <w:r w:rsidRPr="007A2FC5">
        <w:rPr>
          <w:lang w:val="fr-CA"/>
        </w:rPr>
        <w:t xml:space="preserve"> </w:t>
      </w:r>
      <w:r w:rsidRPr="007A2FC5">
        <w:rPr>
          <w:lang w:val="fr-CA"/>
        </w:rPr>
        <w:tab/>
      </w:r>
      <w:r w:rsidRPr="007A2FC5">
        <w:rPr>
          <w:lang w:val="fr-CA"/>
        </w:rPr>
        <w:tab/>
        <w:t>(</w:t>
      </w:r>
      <w:r w:rsidR="00D05913" w:rsidRPr="007A2FC5">
        <w:rPr>
          <w:lang w:val="fr-CA"/>
        </w:rPr>
        <w:t>Dillon.DaFonte@cnrc-nrc.gc.ca</w:t>
      </w:r>
      <w:r w:rsidRPr="007A2FC5">
        <w:rPr>
          <w:lang w:val="fr-CA"/>
        </w:rPr>
        <w:t>)</w:t>
      </w:r>
      <w:r w:rsidR="00D05913" w:rsidRPr="007A2FC5">
        <w:rPr>
          <w:lang w:val="fr-CA"/>
        </w:rPr>
        <w:t xml:space="preserve"> </w:t>
      </w:r>
    </w:p>
    <w:p w14:paraId="27DC4263" w14:textId="07703FAA" w:rsidR="006A1488" w:rsidRPr="007A2FC5" w:rsidRDefault="006A1488" w:rsidP="006A1488">
      <w:pPr>
        <w:rPr>
          <w:lang w:val="fr-CA"/>
        </w:rPr>
      </w:pPr>
      <w:r w:rsidRPr="007A2FC5">
        <w:rPr>
          <w:rFonts w:asciiTheme="minorHAnsi" w:hAnsiTheme="minorHAnsi" w:cstheme="minorHAnsi"/>
          <w:color w:val="000000" w:themeColor="text1"/>
          <w:lang w:val="fr-CA"/>
        </w:rPr>
        <w:t>Christina Nassif</w:t>
      </w:r>
      <w:r w:rsidRPr="007A2FC5">
        <w:rPr>
          <w:lang w:val="fr-CA"/>
        </w:rPr>
        <w:t xml:space="preserve"> </w:t>
      </w:r>
      <w:r w:rsidRPr="007A2FC5">
        <w:rPr>
          <w:lang w:val="fr-CA"/>
        </w:rPr>
        <w:tab/>
      </w:r>
      <w:r w:rsidRPr="007A2FC5">
        <w:rPr>
          <w:lang w:val="fr-CA"/>
        </w:rPr>
        <w:tab/>
        <w:t>(</w:t>
      </w:r>
      <w:r w:rsidR="00D05913" w:rsidRPr="007A2FC5">
        <w:rPr>
          <w:lang w:val="fr-CA"/>
        </w:rPr>
        <w:t>Christina.Nassif@cnrc-nrc.gc.ca</w:t>
      </w:r>
      <w:r w:rsidRPr="007A2FC5">
        <w:rPr>
          <w:lang w:val="fr-CA"/>
        </w:rPr>
        <w:t>)</w:t>
      </w:r>
      <w:r w:rsidR="00D05913" w:rsidRPr="007A2FC5">
        <w:rPr>
          <w:lang w:val="fr-CA"/>
        </w:rPr>
        <w:t xml:space="preserve"> </w:t>
      </w:r>
    </w:p>
    <w:p w14:paraId="5CEE733A" w14:textId="1C8D5F44" w:rsidR="00D05913" w:rsidRPr="0087168D" w:rsidRDefault="006A1488" w:rsidP="006A1488">
      <w:pPr>
        <w:rPr>
          <w:rFonts w:asciiTheme="minorHAnsi" w:hAnsiTheme="minorHAnsi" w:cstheme="minorHAnsi"/>
          <w:color w:val="000000" w:themeColor="text1"/>
          <w:lang w:val="en-CA"/>
        </w:rPr>
      </w:pPr>
      <w:r w:rsidRPr="0087168D">
        <w:rPr>
          <w:rFonts w:asciiTheme="minorHAnsi" w:hAnsiTheme="minorHAnsi" w:cstheme="minorHAnsi"/>
          <w:color w:val="000000" w:themeColor="text1"/>
          <w:lang w:val="en-CA"/>
        </w:rPr>
        <w:t>Teodor Veres</w:t>
      </w:r>
      <w:r>
        <w:t xml:space="preserve"> </w:t>
      </w:r>
      <w:r>
        <w:tab/>
      </w:r>
      <w:r>
        <w:tab/>
      </w:r>
      <w:r>
        <w:tab/>
        <w:t>(</w:t>
      </w:r>
      <w:r w:rsidR="00D05913">
        <w:t>Teodor.Veres@cnrc-nrc.gc.ca</w:t>
      </w:r>
      <w:r>
        <w:t>)</w:t>
      </w:r>
    </w:p>
    <w:p w14:paraId="60FCB589" w14:textId="42D11221" w:rsidR="00D04A95" w:rsidRPr="001B1519" w:rsidRDefault="00D04A95" w:rsidP="006A1488">
      <w:pPr>
        <w:rPr>
          <w:rFonts w:asciiTheme="minorHAnsi" w:hAnsiTheme="minorHAnsi" w:cstheme="minorHAnsi"/>
          <w:bCs/>
          <w:color w:val="808080" w:themeColor="background1" w:themeShade="80"/>
        </w:rPr>
      </w:pPr>
    </w:p>
    <w:p w14:paraId="71B79AC9" w14:textId="1A0A84A5" w:rsidR="006305D7" w:rsidRPr="001B1519" w:rsidRDefault="006305D7" w:rsidP="006A148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5451526B" w:rsidR="007A4DD6" w:rsidRPr="00A60A62" w:rsidRDefault="006A1488" w:rsidP="006A1488">
      <w:pPr>
        <w:rPr>
          <w:rFonts w:asciiTheme="minorHAnsi" w:hAnsiTheme="minorHAnsi" w:cstheme="minorHAnsi"/>
          <w:color w:val="000000" w:themeColor="text1"/>
        </w:rPr>
      </w:pPr>
      <w:r>
        <w:rPr>
          <w:rFonts w:asciiTheme="minorHAnsi" w:hAnsiTheme="minorHAnsi" w:cstheme="minorHAnsi"/>
          <w:color w:val="000000" w:themeColor="text1"/>
        </w:rPr>
        <w:t>m</w:t>
      </w:r>
      <w:r w:rsidR="0087168D" w:rsidRPr="00A60A62">
        <w:rPr>
          <w:rFonts w:asciiTheme="minorHAnsi" w:hAnsiTheme="minorHAnsi" w:cstheme="minorHAnsi"/>
          <w:color w:val="000000" w:themeColor="text1"/>
        </w:rPr>
        <w:t xml:space="preserve">ethylation, </w:t>
      </w:r>
      <w:r>
        <w:rPr>
          <w:rFonts w:asciiTheme="minorHAnsi" w:hAnsiTheme="minorHAnsi" w:cstheme="minorHAnsi"/>
          <w:color w:val="000000" w:themeColor="text1"/>
        </w:rPr>
        <w:t>m</w:t>
      </w:r>
      <w:r w:rsidR="00D05913">
        <w:rPr>
          <w:rFonts w:asciiTheme="minorHAnsi" w:hAnsiTheme="minorHAnsi" w:cstheme="minorHAnsi"/>
          <w:color w:val="000000" w:themeColor="text1"/>
        </w:rPr>
        <w:t>ultiplex</w:t>
      </w:r>
      <w:r w:rsidR="00D05913" w:rsidRPr="00A60A62">
        <w:rPr>
          <w:rFonts w:asciiTheme="minorHAnsi" w:hAnsiTheme="minorHAnsi" w:cstheme="minorHAnsi"/>
          <w:color w:val="000000" w:themeColor="text1"/>
        </w:rPr>
        <w:t xml:space="preserve"> </w:t>
      </w:r>
      <w:r w:rsidR="0087168D" w:rsidRPr="00A60A62">
        <w:rPr>
          <w:rFonts w:asciiTheme="minorHAnsi" w:hAnsiTheme="minorHAnsi" w:cstheme="minorHAnsi"/>
          <w:color w:val="000000" w:themeColor="text1"/>
        </w:rPr>
        <w:t xml:space="preserve">droplet PCR, </w:t>
      </w:r>
      <w:r>
        <w:rPr>
          <w:rFonts w:asciiTheme="minorHAnsi" w:hAnsiTheme="minorHAnsi" w:cstheme="minorHAnsi"/>
          <w:color w:val="000000" w:themeColor="text1"/>
        </w:rPr>
        <w:t>w</w:t>
      </w:r>
      <w:r w:rsidR="0087168D" w:rsidRPr="00A60A62">
        <w:rPr>
          <w:rFonts w:asciiTheme="minorHAnsi" w:hAnsiTheme="minorHAnsi" w:cstheme="minorHAnsi"/>
          <w:color w:val="000000" w:themeColor="text1"/>
        </w:rPr>
        <w:t xml:space="preserve">hite blood cell subtyping, </w:t>
      </w:r>
      <w:r>
        <w:rPr>
          <w:rFonts w:asciiTheme="minorHAnsi" w:hAnsiTheme="minorHAnsi" w:cstheme="minorHAnsi"/>
          <w:color w:val="000000" w:themeColor="text1"/>
        </w:rPr>
        <w:t>e</w:t>
      </w:r>
      <w:r w:rsidR="0087168D" w:rsidRPr="00A60A62">
        <w:rPr>
          <w:rFonts w:asciiTheme="minorHAnsi" w:hAnsiTheme="minorHAnsi" w:cstheme="minorHAnsi"/>
          <w:color w:val="000000" w:themeColor="text1"/>
        </w:rPr>
        <w:t xml:space="preserve">pigenetics, </w:t>
      </w:r>
      <w:r>
        <w:rPr>
          <w:rFonts w:asciiTheme="minorHAnsi" w:hAnsiTheme="minorHAnsi" w:cstheme="minorHAnsi"/>
          <w:color w:val="000000" w:themeColor="text1"/>
        </w:rPr>
        <w:t>d</w:t>
      </w:r>
      <w:r w:rsidR="0087168D" w:rsidRPr="00A60A62">
        <w:rPr>
          <w:rFonts w:asciiTheme="minorHAnsi" w:hAnsiTheme="minorHAnsi" w:cstheme="minorHAnsi"/>
          <w:color w:val="000000" w:themeColor="text1"/>
        </w:rPr>
        <w:t xml:space="preserve">roplet generation, </w:t>
      </w:r>
      <w:r>
        <w:rPr>
          <w:rFonts w:asciiTheme="minorHAnsi" w:hAnsiTheme="minorHAnsi" w:cstheme="minorHAnsi"/>
          <w:color w:val="000000" w:themeColor="text1"/>
        </w:rPr>
        <w:t>t</w:t>
      </w:r>
      <w:r w:rsidR="0087168D" w:rsidRPr="00A60A62">
        <w:rPr>
          <w:rFonts w:asciiTheme="minorHAnsi" w:hAnsiTheme="minorHAnsi" w:cstheme="minorHAnsi"/>
          <w:color w:val="000000" w:themeColor="text1"/>
        </w:rPr>
        <w:t xml:space="preserve">hermoplastic elastomer, </w:t>
      </w:r>
      <w:r>
        <w:rPr>
          <w:rFonts w:asciiTheme="minorHAnsi" w:hAnsiTheme="minorHAnsi" w:cstheme="minorHAnsi"/>
          <w:color w:val="000000" w:themeColor="text1"/>
        </w:rPr>
        <w:t>b</w:t>
      </w:r>
      <w:r w:rsidR="000A0A08">
        <w:rPr>
          <w:rFonts w:asciiTheme="minorHAnsi" w:hAnsiTheme="minorHAnsi" w:cstheme="minorHAnsi"/>
          <w:color w:val="000000" w:themeColor="text1"/>
        </w:rPr>
        <w:t>isulfite</w:t>
      </w:r>
      <w:r>
        <w:rPr>
          <w:rFonts w:asciiTheme="minorHAnsi" w:hAnsiTheme="minorHAnsi" w:cstheme="minorHAnsi"/>
          <w:color w:val="FF0000"/>
        </w:rPr>
        <w:t xml:space="preserve"> </w:t>
      </w:r>
      <w:r w:rsidR="006F1654" w:rsidRPr="00A60A62">
        <w:rPr>
          <w:rFonts w:asciiTheme="minorHAnsi" w:hAnsiTheme="minorHAnsi" w:cstheme="minorHAnsi"/>
          <w:color w:val="000000" w:themeColor="text1"/>
        </w:rPr>
        <w:t>treated DNA</w:t>
      </w:r>
    </w:p>
    <w:p w14:paraId="1CB4E390" w14:textId="77777777" w:rsidR="006305D7" w:rsidRPr="001B1519" w:rsidRDefault="006305D7" w:rsidP="006A1488">
      <w:pPr>
        <w:pStyle w:val="NormalWeb"/>
        <w:spacing w:before="0" w:beforeAutospacing="0" w:after="0" w:afterAutospacing="0"/>
        <w:rPr>
          <w:rFonts w:asciiTheme="minorHAnsi" w:hAnsiTheme="minorHAnsi" w:cstheme="minorHAnsi"/>
        </w:rPr>
      </w:pPr>
    </w:p>
    <w:p w14:paraId="628AC4B5" w14:textId="52739D27" w:rsidR="006305D7" w:rsidRPr="001B1519" w:rsidRDefault="00086FF5" w:rsidP="006A1488">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2C7D5B8" w14:textId="19CAAC46" w:rsidR="00D05913" w:rsidRDefault="00D05913" w:rsidP="006A1488">
      <w:pPr>
        <w:widowControl/>
        <w:autoSpaceDE/>
        <w:autoSpaceDN/>
        <w:adjustRightInd/>
        <w:rPr>
          <w:color w:val="000000" w:themeColor="text1"/>
          <w:lang w:val="en-CA"/>
        </w:rPr>
      </w:pPr>
      <w:r>
        <w:t xml:space="preserve">Epigenetic markers are used for white blood cell (WBC) subtyping through the quantification of DNA methylation patterns. This protocol presents a multiplex droplet </w:t>
      </w:r>
      <w:r w:rsidR="000A0A08">
        <w:t>p</w:t>
      </w:r>
      <w:r>
        <w:t xml:space="preserve">olymerase </w:t>
      </w:r>
      <w:r w:rsidR="000A0A08">
        <w:t>c</w:t>
      </w:r>
      <w:r>
        <w:t xml:space="preserve">hain </w:t>
      </w:r>
      <w:r w:rsidR="000A0A08">
        <w:t>r</w:t>
      </w:r>
      <w:r>
        <w:t>eaction (</w:t>
      </w:r>
      <w:proofErr w:type="spellStart"/>
      <w:r>
        <w:t>mdPCR</w:t>
      </w:r>
      <w:proofErr w:type="spellEnd"/>
      <w:r>
        <w:t>) method using a thermoplastic elastomer (TPE)-based microfluidic device for droplet generation allowing for precise and multiplex methylation-specific target quantification of WBC differential counts</w:t>
      </w:r>
      <w:r w:rsidR="00D1090F">
        <w:t>.</w:t>
      </w:r>
    </w:p>
    <w:p w14:paraId="5060AA40" w14:textId="77777777" w:rsidR="00CA49FF" w:rsidRDefault="00CA49FF" w:rsidP="006A1488">
      <w:pPr>
        <w:rPr>
          <w:rFonts w:asciiTheme="minorHAnsi" w:hAnsiTheme="minorHAnsi" w:cstheme="minorHAnsi"/>
          <w:b/>
          <w:bCs/>
        </w:rPr>
      </w:pPr>
    </w:p>
    <w:p w14:paraId="64FB8590" w14:textId="3B517906" w:rsidR="006305D7" w:rsidRPr="001B1519" w:rsidRDefault="006305D7" w:rsidP="006A1488">
      <w:pPr>
        <w:rPr>
          <w:rFonts w:asciiTheme="minorHAnsi" w:hAnsiTheme="minorHAnsi" w:cstheme="minorHAnsi"/>
          <w:color w:val="808080"/>
        </w:rPr>
      </w:pPr>
      <w:r w:rsidRPr="001B1519">
        <w:rPr>
          <w:rFonts w:asciiTheme="minorHAnsi" w:hAnsiTheme="minorHAnsi" w:cstheme="minorHAnsi"/>
          <w:b/>
          <w:bCs/>
        </w:rPr>
        <w:t>ABSTRACT:</w:t>
      </w:r>
    </w:p>
    <w:p w14:paraId="3C3841A8" w14:textId="61B2341E" w:rsidR="00A60A62" w:rsidRDefault="00A60A62" w:rsidP="006A1488">
      <w:r>
        <w:t>A</w:t>
      </w:r>
      <w:r w:rsidRPr="00D048BF">
        <w:t xml:space="preserve"> multiplex</w:t>
      </w:r>
      <w:r>
        <w:t>ed</w:t>
      </w:r>
      <w:r w:rsidRPr="00D048BF">
        <w:t xml:space="preserve"> droplet PCR (</w:t>
      </w:r>
      <w:proofErr w:type="spellStart"/>
      <w:r w:rsidR="00D05913">
        <w:t>mdPCR</w:t>
      </w:r>
      <w:proofErr w:type="spellEnd"/>
      <w:r w:rsidRPr="00D048BF">
        <w:t xml:space="preserve">) workflow </w:t>
      </w:r>
      <w:r>
        <w:t xml:space="preserve">and detailed protocol </w:t>
      </w:r>
      <w:r w:rsidRPr="00D048BF">
        <w:t xml:space="preserve">for determining </w:t>
      </w:r>
      <w:r>
        <w:t>epigenetic-based</w:t>
      </w:r>
      <w:r w:rsidRPr="00D048BF">
        <w:t xml:space="preserve"> </w:t>
      </w:r>
      <w:r>
        <w:t>white blood cell (WBC)</w:t>
      </w:r>
      <w:r w:rsidRPr="00D048BF">
        <w:t xml:space="preserve"> differential count</w:t>
      </w:r>
      <w:r>
        <w:t xml:space="preserve"> is described, </w:t>
      </w:r>
      <w:r w:rsidR="006A1488">
        <w:t>along</w:t>
      </w:r>
      <w:r>
        <w:t xml:space="preserve"> with a thermoplastic elastomer</w:t>
      </w:r>
      <w:r w:rsidR="00D05913">
        <w:t xml:space="preserve"> (TPE)</w:t>
      </w:r>
      <w:r w:rsidRPr="00D048BF">
        <w:t xml:space="preserve"> microfluidic </w:t>
      </w:r>
      <w:r>
        <w:t>droplet generation device.</w:t>
      </w:r>
      <w:r w:rsidR="00D05913">
        <w:t xml:space="preserve"> Epigenetic markers are used for white blood cell (WBC) subtyping which is of important prognostic value in different diseases. This is achieved through the quantification of DNA methylation patterns of specific CG-rich regions in the genome (CpG loci). In this paper,</w:t>
      </w:r>
      <w:r>
        <w:t xml:space="preserve"> </w:t>
      </w:r>
      <w:r w:rsidR="00D05913">
        <w:t>b</w:t>
      </w:r>
      <w:r w:rsidRPr="00A556A0">
        <w:t xml:space="preserve">isulfite-treated DNA from </w:t>
      </w:r>
      <w:r w:rsidR="003F2F06" w:rsidRPr="003F2F06">
        <w:t>peripheral blood mononuclear cell</w:t>
      </w:r>
      <w:r w:rsidR="003F2F06">
        <w:t>s</w:t>
      </w:r>
      <w:r w:rsidR="003F2F06" w:rsidRPr="003F2F06">
        <w:t xml:space="preserve"> </w:t>
      </w:r>
      <w:r w:rsidR="003F2F06">
        <w:t>(</w:t>
      </w:r>
      <w:r w:rsidR="00D1090F">
        <w:t>PBMCs</w:t>
      </w:r>
      <w:r w:rsidR="003F2F06">
        <w:t>)</w:t>
      </w:r>
      <w:r w:rsidRPr="00A556A0">
        <w:t xml:space="preserve"> is encapsulated in droplets with </w:t>
      </w:r>
      <w:proofErr w:type="spellStart"/>
      <w:r w:rsidR="00D05913">
        <w:t>mdPCR</w:t>
      </w:r>
      <w:proofErr w:type="spellEnd"/>
      <w:r w:rsidRPr="00A556A0">
        <w:t xml:space="preserve"> reagents </w:t>
      </w:r>
      <w:r w:rsidR="00152FB3">
        <w:t xml:space="preserve">including </w:t>
      </w:r>
      <w:r w:rsidRPr="00A556A0">
        <w:t xml:space="preserve">primers and </w:t>
      </w:r>
      <w:r w:rsidR="003F2F06" w:rsidRPr="003F2F06">
        <w:t xml:space="preserve">hydrolysis </w:t>
      </w:r>
      <w:r w:rsidRPr="00A556A0">
        <w:lastRenderedPageBreak/>
        <w:t>fluorescent probes specific for CpG loci</w:t>
      </w:r>
      <w:r w:rsidR="00D05913">
        <w:t xml:space="preserve"> that</w:t>
      </w:r>
      <w:r w:rsidRPr="00A556A0">
        <w:t xml:space="preserve"> correlate with WBC sub-populations. The multiplex approach allows </w:t>
      </w:r>
      <w:r w:rsidR="00E13309">
        <w:t xml:space="preserve">for </w:t>
      </w:r>
      <w:r w:rsidRPr="00A556A0">
        <w:t xml:space="preserve">the interrogation of many CpG loci without the need for separate </w:t>
      </w:r>
      <w:proofErr w:type="spellStart"/>
      <w:r w:rsidR="00D05913">
        <w:t>mdPCR</w:t>
      </w:r>
      <w:proofErr w:type="spellEnd"/>
      <w:r w:rsidRPr="00A556A0">
        <w:t xml:space="preserve"> reactions, </w:t>
      </w:r>
      <w:r w:rsidR="00152FB3">
        <w:t xml:space="preserve">enabling </w:t>
      </w:r>
      <w:r w:rsidRPr="00A556A0">
        <w:t xml:space="preserve">more accurate parametric determination of WBC sub-populations using epigenetic analysis of methylation sites. </w:t>
      </w:r>
      <w:r w:rsidR="00D05913">
        <w:t xml:space="preserve">This precise quantification can be extended to different applications and highlights the benefits for clinical diagnosis and subsequent prognosis. </w:t>
      </w:r>
    </w:p>
    <w:p w14:paraId="4C7D5FD5" w14:textId="77777777" w:rsidR="006305D7" w:rsidRPr="001B1519" w:rsidRDefault="006305D7" w:rsidP="006A1488">
      <w:pPr>
        <w:rPr>
          <w:rFonts w:asciiTheme="minorHAnsi" w:hAnsiTheme="minorHAnsi" w:cstheme="minorHAnsi"/>
        </w:rPr>
      </w:pPr>
    </w:p>
    <w:p w14:paraId="00D25F73" w14:textId="7ED0E2CC" w:rsidR="006305D7" w:rsidRPr="001B1519" w:rsidRDefault="006305D7" w:rsidP="006A1488">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8091192" w14:textId="22332768" w:rsidR="006A1488" w:rsidRDefault="00A60A62" w:rsidP="006A1488">
      <w:r w:rsidRPr="00A556A0">
        <w:t>Analysis of white blood cells</w:t>
      </w:r>
      <w:r>
        <w:t xml:space="preserve"> (WBCs)</w:t>
      </w:r>
      <w:r w:rsidR="00CC3F47">
        <w:t xml:space="preserve"> </w:t>
      </w:r>
      <w:r w:rsidR="00CC3F47" w:rsidRPr="00A556A0">
        <w:t>composition</w:t>
      </w:r>
      <w:r w:rsidRPr="00A556A0">
        <w:t xml:space="preserve"> is among the most frequently requested laboratory tests in hematological diagnostics. Differential leukocyte count serves as </w:t>
      </w:r>
      <w:r w:rsidR="00D05913">
        <w:t xml:space="preserve">an </w:t>
      </w:r>
      <w:r w:rsidRPr="00A556A0">
        <w:t xml:space="preserve">indicator for a spectrum of diseases including infection, inflammation, anemia, and leukemia, and is under investigation as </w:t>
      </w:r>
      <w:r w:rsidR="00852B09">
        <w:t xml:space="preserve">an </w:t>
      </w:r>
      <w:r w:rsidRPr="00A556A0">
        <w:t xml:space="preserve">early prognostic biomarker for several </w:t>
      </w:r>
      <w:r w:rsidR="00152FB3">
        <w:t>other conditions as well</w:t>
      </w:r>
      <w:r w:rsidRPr="00A556A0">
        <w:t xml:space="preserve">. </w:t>
      </w:r>
      <w:r>
        <w:t>Gold standard in</w:t>
      </w:r>
      <w:r w:rsidRPr="00832AF8">
        <w:t xml:space="preserve"> WBC subtyping involves immunostaining and/or flow cytometry </w:t>
      </w:r>
      <w:r w:rsidR="00152FB3">
        <w:t xml:space="preserve">both of which </w:t>
      </w:r>
      <w:r w:rsidRPr="00832AF8">
        <w:t xml:space="preserve">require costly, stability-prone fluorescent antibodies and </w:t>
      </w:r>
      <w:r w:rsidR="00152FB3">
        <w:t>are</w:t>
      </w:r>
      <w:r w:rsidR="00152FB3" w:rsidRPr="00832AF8">
        <w:t xml:space="preserve"> </w:t>
      </w:r>
      <w:r w:rsidRPr="00832AF8">
        <w:t>often highly dependent on operator proficiency in sample preparation.</w:t>
      </w:r>
      <w:r>
        <w:t xml:space="preserve"> Moreover, this method is </w:t>
      </w:r>
      <w:r w:rsidRPr="00832AF8">
        <w:t>applicable to fresh blood samples</w:t>
      </w:r>
      <w:r w:rsidR="00152FB3">
        <w:t xml:space="preserve"> only</w:t>
      </w:r>
      <w:r>
        <w:t>, such that the</w:t>
      </w:r>
      <w:r w:rsidRPr="00832AF8">
        <w:t xml:space="preserve"> samples cannot be frozen for shipment or later</w:t>
      </w:r>
      <w:r>
        <w:t xml:space="preserve"> a</w:t>
      </w:r>
      <w:r w:rsidRPr="00832AF8">
        <w:t>nalysis.</w:t>
      </w:r>
    </w:p>
    <w:p w14:paraId="3DDF62EC" w14:textId="77777777" w:rsidR="006A1488" w:rsidRDefault="006A1488" w:rsidP="006A1488"/>
    <w:p w14:paraId="6D108C18" w14:textId="09972CC8" w:rsidR="00A60A62" w:rsidRDefault="00852B09" w:rsidP="006A1488">
      <w:r>
        <w:t>Epigenetic markers have recently emerged as powerful analytic</w:t>
      </w:r>
      <w:r w:rsidR="00BD499C">
        <w:t>al</w:t>
      </w:r>
      <w:r>
        <w:t xml:space="preserve"> tools for the study of phenotypic variations.</w:t>
      </w:r>
      <w:r w:rsidR="00E13309">
        <w:t xml:space="preserve"> </w:t>
      </w:r>
      <w:r>
        <w:t>Subsequently, human leukocyte populations have been shown to have cell-lineage DNA methylation patterns that allow for the precise characterization of WBC subsets. Subtyping based on epigenetic markers provides a promising alternative that does not depend on fresh blood sample collection or expensive antibodies and can be exploited as a biomarker for disease onset and susceptibility</w:t>
      </w:r>
      <w:r w:rsidR="003623AB">
        <w:fldChar w:fldCharType="begin" w:fldLock="1"/>
      </w:r>
      <w:r w:rsidR="00F51227">
        <w:instrText>ADDIN CSL_CITATION {"citationItems":[{"id":"ITEM-1","itemData":{"DOI":"10.1016/S1521-6616(03)00224-9","ISSN":"15216616","PMID":"14585270","author":[{"dropping-particle":"","family":"Teitell","given":"Michael","non-dropping-particle":"","parse-names":false,"suffix":""},{"dropping-particle":"","family":"Richardson","given":"Bruce","non-dropping-particle":"","parse-names":false,"suffix":""}],"container-title":"Clinical Immunology","id":"ITEM-1","issued":{"date-parts":[["2003"]]},"title":"DNA methylation in the immune system","type":"article-journal"},"uris":["http://www.mendeley.com/documents/?uuid=bbf9e7c9-0532-498c-a7c4-55d5aeff6a97"]},{"id":"ITEM-2","itemData":{"DOI":"10.1016/j.tig.2012.06.005","ISSN":"01689525","abstract":"During hematopoiesis, a unique hematopoietic stem cell (HSC) from the bone marrow gives rise to a subset of mature blood cells that directs all the immune responses. Recent studies have shown that this well-defined, hierarchical process is regulated in part by epigenetic mechanisms. Changes in the DNA methylation profile have a critical role in the division of these stem cells into the myeloid and lymphoid lineages and in the establishment of a specific phenotype and functionality in each terminally differentiated cell type. In this review, we describe how the DNA methylation patterns are modified during hematopoietic differentiation and what their role is in cell plasticity and immune function. An in-depth knowledge of these epigenetic mechanisms will help clarify how cell type-specific gene programs are established, and how they can be leveraged in the development of novel strategies for treating immune system-related pathologies. © 2012 Elsevier Ltd.","author":[{"dropping-particle":"","family":"Suarez-Alvarez","given":"Beatriz","non-dropping-particle":"","parse-names":false,"suffix":""},{"dropping-particle":"","family":"Rodriguez","given":"Ramon M.","non-dropping-particle":"","parse-names":false,"suffix":""},{"dropping-particle":"","family":"Fraga","given":"Mario F.","non-dropping-particle":"","parse-names":false,"suffix":""},{"dropping-particle":"","family":"López-Larrea","given":"Carlos","non-dropping-particle":"","parse-names":false,"suffix":""}],"container-title":"Trends in Genetics","id":"ITEM-2","issued":{"date-parts":[["2012"]]},"title":"DNA methylation: A promising landscape for immune system-related diseases","type":"article"},"uris":["http://www.mendeley.com/documents/?uuid=cecdcdb4-91a9-4263-8ffb-c0c5a414c7ea"]},{"id":"ITEM-3","itemData":{"DOI":"10.4161/epi.25201","ISSN":"15592308","abstract":"Great efforts in the field of solid organ transplantation are being devoted to identifying biomarkers that allow a transplanted patient's immune status to be established. Recently, it has been well documented that epigenetic mechanisms like DNA methylation and histone modifications regulate the expression of immune system-related genes, modifying the development of the innate and adaptive immune responses. An in-depth knowledge of these epigenetic mechanisms could modulate the immune response after transplantation and to develop new therapeutic strategies. Epigenetic modifiers, such as histone deacetylase (HDAC) inhibitors have considerable potential as anti-inflammatory and immunosuppressive agents, but their effect on transplantation has not hitherto been known. Moreover, the detection of epigenetic marks in key immune genes could be useful as biomarkers of rejection and progression among transplanted patients. Here, we describe recent discoveries concerning the epigenetic regulation of the immune system, and how this knowledge could be translated to the field of transplantation. © 2013 Landes Bioscience.","author":[{"dropping-particle":"","family":"Suárez-Álvarez","given":"Beatriz","non-dropping-particle":"","parse-names":false,"suffix":""},{"dropping-particle":"","family":"Raneros","given":"Aroa Baragaño","non-dropping-particle":"","parse-names":false,"suffix":""},{"dropping-particle":"","family":"Ortega","given":"Francisco","non-dropping-particle":"","parse-names":false,"suffix":""},{"dropping-particle":"","family":"López-Larrea","given":"Carlos","non-dropping-particle":"","parse-names":false,"suffix":""}],"container-title":"Epigenetics","id":"ITEM-3","issued":{"date-parts":[["2013"]]},"title":"Epigenetic modulation of the immune function: A potential target for tolerance","type":"article-journal"},"uris":["http://www.mendeley.com/documents/?uuid=4210d707-fb5f-4862-a450-5c6d487df2bb"]},{"id":"ITEM-4","itemData":{"DOI":"10.1016/j.mam.2012.06.008","ISSN":"00982997","abstract":"Cells of the adaptive immune response undergo dynamic epigenetic changes as they develop and respond to immune challenge. Plasticity is a necessary prerequisite for the chromosomal dynamics of lineage specification, development, and the immune effector function of the mature cell types. The alterations in DNA methylation and histone modification that characterize activation may be integral to the generation of immunologic memory, thereby providing an advantage on secondary exposure to pathogens. While the immune system benefits from the dynamic nature of the epigenome, such benefit comes at a cost-increased likelihood of disease-causing mutation.","author":[{"dropping-particle":"","family":"Kondilis-Mangum","given":"Hrisavgi D.","non-dropping-particle":"","parse-names":false,"suffix":""},{"dropping-particle":"","family":"Wade","given":"Paul A.","non-dropping-particle":"","parse-names":false,"suffix":""}],"container-title":"Molecular Aspects of Medicine","id":"ITEM-4","issued":{"date-parts":[["2013"]]},"title":"Epigenetics and the adaptive immune response","type":"article"},"uris":["http://www.mendeley.com/documents/?uuid=5a5999a7-6541-4242-b896-8318443b7a77"]},{"id":"ITEM-5","itemData":{"author":[{"dropping-particle":"","family":"Zouali","given":"Moncef","non-dropping-particle":"","parse-names":false,"suffix":""}],"edition":"5th","editor":[{"dropping-particle":"","family":"Mackay","given":"I.","non-dropping-particle":"","parse-names":false,"suffix":""},{"dropping-particle":"","family":"Rose","given":"N. R.","non-dropping-particle":"","parse-names":false,"suffix":""}],"id":"ITEM-5","issued":{"date-parts":[["2014"]]},"number-of-pages":"381-401","publisher":"Academic Press","publisher-place":"Cambridge, MA","title":"The Autoimmune Diseases","type":"book"},"uris":["http://www.mendeley.com/documents/?uuid=f6ccf188-cf60-4bf0-a0e0-4a490a13c062"]}],"mendeley":{"formattedCitation":"&lt;sup&gt;1–5&lt;/sup&gt;","plainTextFormattedCitation":"1–5","previouslyFormattedCitation":"&lt;sup&gt;1–5&lt;/sup&gt;"},"properties":{"noteIndex":0},"schema":"https://github.com/citation-style-language/schema/raw/master/csl-citation.json"}</w:instrText>
      </w:r>
      <w:r w:rsidR="003623AB">
        <w:fldChar w:fldCharType="separate"/>
      </w:r>
      <w:r w:rsidR="003623AB" w:rsidRPr="003623AB">
        <w:rPr>
          <w:noProof/>
          <w:vertAlign w:val="superscript"/>
        </w:rPr>
        <w:t>1–5</w:t>
      </w:r>
      <w:r w:rsidR="003623AB">
        <w:fldChar w:fldCharType="end"/>
      </w:r>
      <w:r w:rsidR="00E13309">
        <w:t>.</w:t>
      </w:r>
      <w:r w:rsidR="00A60A62" w:rsidRPr="00330FA3">
        <w:t xml:space="preserve"> </w:t>
      </w:r>
    </w:p>
    <w:p w14:paraId="1BB378B5" w14:textId="77777777" w:rsidR="006A1488" w:rsidRDefault="006A1488" w:rsidP="006A1488">
      <w:pPr>
        <w:pStyle w:val="NormalWeb"/>
        <w:spacing w:before="0" w:beforeAutospacing="0" w:after="0" w:afterAutospacing="0"/>
      </w:pPr>
    </w:p>
    <w:p w14:paraId="467F1B5B" w14:textId="41B1E6A4" w:rsidR="00852B09" w:rsidRPr="00852B09" w:rsidRDefault="00CC3F47" w:rsidP="006A1488">
      <w:pPr>
        <w:pStyle w:val="NormalWeb"/>
        <w:spacing w:before="0" w:beforeAutospacing="0" w:after="0" w:afterAutospacing="0"/>
        <w:rPr>
          <w:rFonts w:ascii="Times New Roman" w:hAnsi="Times New Roman" w:cs="Times New Roman"/>
          <w:color w:val="auto"/>
          <w:lang w:val="en-CA" w:eastAsia="en-CA"/>
        </w:rPr>
      </w:pPr>
      <w:r>
        <w:t>Genome-wide studies have been performed for</w:t>
      </w:r>
      <w:r w:rsidRPr="00330FA3">
        <w:t xml:space="preserve"> </w:t>
      </w:r>
      <w:r>
        <w:t>e</w:t>
      </w:r>
      <w:r w:rsidR="00A60A62" w:rsidRPr="00330FA3">
        <w:t>xtensive mapping of methylated</w:t>
      </w:r>
      <w:r w:rsidR="00852B09">
        <w:t xml:space="preserve"> specific CG-rich regions in the genome (</w:t>
      </w:r>
      <w:r w:rsidR="00A60A62" w:rsidRPr="00330FA3">
        <w:t>CpG islands</w:t>
      </w:r>
      <w:r w:rsidR="00852B09">
        <w:t>)</w:t>
      </w:r>
      <w:r>
        <w:t xml:space="preserve"> in leukocyte subtypes</w:t>
      </w:r>
      <w:r w:rsidR="00112A31">
        <w:t xml:space="preserve"> </w:t>
      </w:r>
      <w:r w:rsidR="00A60A62" w:rsidRPr="00330FA3">
        <w:t xml:space="preserve">to identify candidate epigenetic markers specific to leukocyte subtypes. </w:t>
      </w:r>
      <w:r w:rsidR="002C4599">
        <w:t xml:space="preserve">PCR protocols have been developed because of this reason </w:t>
      </w:r>
      <w:r w:rsidR="00A60A62" w:rsidRPr="00330FA3">
        <w:t xml:space="preserve">for methylated gene regions </w:t>
      </w:r>
      <w:r w:rsidR="002C4599">
        <w:t>e.g.,</w:t>
      </w:r>
      <w:r w:rsidR="00A60A62" w:rsidRPr="00330FA3">
        <w:t xml:space="preserve"> CD3Z and FOXP3, corresponding to CD3</w:t>
      </w:r>
      <w:r w:rsidR="00A60A62" w:rsidRPr="003623AB">
        <w:rPr>
          <w:vertAlign w:val="superscript"/>
        </w:rPr>
        <w:t>+</w:t>
      </w:r>
      <w:r w:rsidR="00A60A62" w:rsidRPr="00330FA3">
        <w:t xml:space="preserve"> T-Cells and CD4</w:t>
      </w:r>
      <w:r w:rsidR="00A60A62" w:rsidRPr="00C84AF9">
        <w:rPr>
          <w:vertAlign w:val="superscript"/>
        </w:rPr>
        <w:t>+</w:t>
      </w:r>
      <w:r w:rsidR="00A60A62" w:rsidRPr="00330FA3">
        <w:t xml:space="preserve"> CD25</w:t>
      </w:r>
      <w:r w:rsidR="00A60A62" w:rsidRPr="00C84AF9">
        <w:rPr>
          <w:vertAlign w:val="superscript"/>
        </w:rPr>
        <w:t>+</w:t>
      </w:r>
      <w:r w:rsidR="00A60A62" w:rsidRPr="00330FA3">
        <w:t xml:space="preserve"> Regulatory T-Cells</w:t>
      </w:r>
      <w:r w:rsidR="00C84AF9">
        <w:t xml:space="preserve"> (T-Regs)</w:t>
      </w:r>
      <w:r w:rsidR="00A60A62" w:rsidRPr="00330FA3">
        <w:t>, respectively.</w:t>
      </w:r>
      <w:r w:rsidR="00A60A62">
        <w:t xml:space="preserve"> </w:t>
      </w:r>
      <w:proofErr w:type="spellStart"/>
      <w:r w:rsidR="00A60A62" w:rsidRPr="00330FA3">
        <w:t>Wiencke</w:t>
      </w:r>
      <w:proofErr w:type="spellEnd"/>
      <w:r w:rsidR="00A60A62" w:rsidRPr="00330FA3">
        <w:t xml:space="preserve"> et al</w:t>
      </w:r>
      <w:r w:rsidR="00737548">
        <w:t>.</w:t>
      </w:r>
      <w:r w:rsidR="00A60A62" w:rsidRPr="00330FA3">
        <w:t xml:space="preserve"> </w:t>
      </w:r>
      <w:r w:rsidR="00A60A62">
        <w:t xml:space="preserve">have demonstrated the utility of </w:t>
      </w:r>
      <w:r w:rsidR="00112A31">
        <w:t>duplex</w:t>
      </w:r>
      <w:r w:rsidR="00852B09">
        <w:t xml:space="preserve"> </w:t>
      </w:r>
      <w:r w:rsidR="00A60A62">
        <w:t>droplet PCR</w:t>
      </w:r>
      <w:r w:rsidR="00A60A62" w:rsidRPr="00330FA3">
        <w:t xml:space="preserve"> for epigenetic subtyping of T-Cells, yielding results that highly correlate with flow activated cell sorting (FACS) analysis</w:t>
      </w:r>
      <w:r w:rsidR="003623AB">
        <w:fldChar w:fldCharType="begin" w:fldLock="1"/>
      </w:r>
      <w:r w:rsidR="00F51227">
        <w:instrText>ADDIN CSL_CITATION {"citationItems":[{"id":"ITEM-1","itemData":{"DOI":"10.4161/15592294.2014.967589","ISSN":"15592308","abstract":"Quantitating the copy number of demethylated CpG promoter sites of the CD3Z gene can be used to estimate the numbers and proportions of T cells in human blood and tissue. Quantitative methylation specific PCR (qPCR) is useful for studying T cells but requires extensive calibration and is imprecise at low copy numbers. Here we compared the performance of a new digital PCR platform (droplet digital PCR or ddPCR) to qPCR using bisulfite converted DNA from 157 blood specimens obtained from ambulatory care controls and patients with primary glioma. We compared both ddPCR and qPCR with conventional flow cytometry (FACS) evaluation of CD3 positive T cells. Repeated measures on the same blood sample revealed ddPCR to be less variable than qPCR. Both qPCR and ddPCR correlated significantly with FACS evaluation of peripheral blood CD3 counts and CD3/total leukocyte values. However, statistical measures of agreement showed that linear concordance was stronger for ddPCR than for qPCR and the absolute values were closer to FACS for ddPCR. Both qPCR and ddPCR could distinguish clinically significant differences in T cell proportions and performed similarly to FACS. Given the higher precision, greater accuracy, and technical simplicity of ddPCR, this approach appears to be a superior DNA methylation based method than conventional qPCR for the assessment of T cells.","author":[{"dropping-particle":"","family":"Wiencke","given":"John K.","non-dropping-particle":"","parse-names":false,"suffix":""},{"dropping-particle":"","family":"Bracci","given":"Paige M.","non-dropping-particle":"","parse-names":false,"suffix":""},{"dropping-particle":"","family":"Hsuang","given":"George","non-dropping-particle":"","parse-names":false,"suffix":""},{"dropping-particle":"","family":"Zheng","given":"Shichun","non-dropping-particle":"","parse-names":false,"suffix":""},{"dropping-particle":"","family":"Hansen","given":"Helen","non-dropping-particle":"","parse-names":false,"suffix":""},{"dropping-particle":"","family":"Wrensch","given":"Margaret R.","non-dropping-particle":"","parse-names":false,"suffix":""},{"dropping-particle":"","family":"Rice","given":"Terri","non-dropping-particle":"","parse-names":false,"suffix":""},{"dropping-particle":"","family":"Eliot","given":"Melissa","non-dropping-particle":"","parse-names":false,"suffix":""},{"dropping-particle":"","family":"Kelsey","given":"Karl T.","non-dropping-particle":"","parse-names":false,"suffix":""}],"container-title":"Epigenetics","id":"ITEM-1","issued":{"date-parts":[["2014"]]},"title":"A comparison of DNA methylation specific droplet digital PCR (ddPCR) and real time qPCR with flow cytometry in characterizing human T cells in peripheral blood","type":"article-journal"},"uris":["http://www.mendeley.com/documents/?uuid=e043121b-5f93-42f8-a333-07b0dada90ef"]}],"mendeley":{"formattedCitation":"&lt;sup&gt;6&lt;/sup&gt;","plainTextFormattedCitation":"6","previouslyFormattedCitation":"&lt;sup&gt;6&lt;/sup&gt;"},"properties":{"noteIndex":0},"schema":"https://github.com/citation-style-language/schema/raw/master/csl-citation.json"}</w:instrText>
      </w:r>
      <w:r w:rsidR="003623AB">
        <w:fldChar w:fldCharType="separate"/>
      </w:r>
      <w:r w:rsidR="003623AB" w:rsidRPr="003623AB">
        <w:rPr>
          <w:noProof/>
          <w:vertAlign w:val="superscript"/>
        </w:rPr>
        <w:t>6</w:t>
      </w:r>
      <w:r w:rsidR="003623AB">
        <w:fldChar w:fldCharType="end"/>
      </w:r>
      <w:r w:rsidR="00A60A62" w:rsidRPr="00330FA3">
        <w:t xml:space="preserve">. </w:t>
      </w:r>
      <w:r w:rsidR="00A60A62">
        <w:t xml:space="preserve">This quantitative genetic analysis </w:t>
      </w:r>
      <w:r w:rsidR="002C4599">
        <w:t xml:space="preserve">method </w:t>
      </w:r>
      <w:r w:rsidR="00A60A62">
        <w:t>r</w:t>
      </w:r>
      <w:r w:rsidR="00A60A62" w:rsidRPr="00CF6A40">
        <w:rPr>
          <w:bCs/>
        </w:rPr>
        <w:t xml:space="preserve">elies on partitioning the template nucleic acid </w:t>
      </w:r>
      <w:r w:rsidR="00A60A62" w:rsidRPr="00CF6A40">
        <w:t xml:space="preserve">molecules </w:t>
      </w:r>
      <w:r w:rsidR="00A60A62">
        <w:t xml:space="preserve">and PCR reagents </w:t>
      </w:r>
      <w:r w:rsidR="00A60A62" w:rsidRPr="00CF6A40">
        <w:t>into thousands of discrete, volumetrically defined, sub-nanoliter sized droplets containing zero, one or more target nucleic acid copies, using water-in-oil emulsions enabled by microfluidics</w:t>
      </w:r>
      <w:r w:rsidR="003623AB">
        <w:fldChar w:fldCharType="begin" w:fldLock="1"/>
      </w:r>
      <w:r w:rsidR="00F51227">
        <w:instrText xml:space="preserve">ADDIN CSL_CITATION {"citationItems":[{"id":"ITEM-1","itemData":{"DOI":"10.1021/ac202028g","ISSN":"00032700","PMID":"22035192","abstract":"Digital PCR enables the absolute quantitation of nucleic acids in a sample. The lack of scalable and practical technologies for digital PCR implementation has hampered the widespread adoption of this inherently powerful technique. Here we describe a high-throughput droplet digital PCR (ddPCR) system that enables processing of </w:instrText>
      </w:r>
      <w:r w:rsidR="00F51227">
        <w:rPr>
          <w:rFonts w:ascii="Cambria Math" w:hAnsi="Cambria Math" w:cs="Cambria Math"/>
        </w:rPr>
        <w:instrText>∼</w:instrText>
      </w:r>
      <w:r w:rsidR="00F51227">
        <w:instrText>2 million PCR reactions using conventional TaqMan assays with a 96-well plate workflow. Three applications demonstrate that the massive partitioning afforded by our ddPCR system provides orders of magnitude more precision and sensitivity than real-time PCR. First, we show the accurate measurement of germline copy number variation. Second, for rare alleles, we show sensitive detection of mutant DNA in a 100 000-fold excess of wildtype background. Third, we demonstrate absolute quantitation of circulating fetal and maternal DNA from cell-free plasma. We anticipate this ddPCR system will allow researchers to explore complex genetic landscapes, discover and validate new disease associations, and define a new era of molecular diagnostics. © 2011 American Chemical Society.","author":[{"dropping-particle":"","family":"Hindson","given":"Benjamin J.","non-dropping-particle":"","parse-names":false,"suffix":""},{"dropping-particle":"","family":"Ness","given":"Kevin D.","non-dropping-particle":"","parse-names":false,"suffix":""},{"dropping-particle":"","family":"Masquelier","given":"Donald A.","non-dropping-particle":"","parse-names":false,"suffix":""},{"dropping-particle":"","family":"Belgrader","given":"Phillip","non-dropping-particle":"","parse-names":false,"suffix":""},{"dropping-particle":"","family":"Heredia","given":"Nicholas J.","non-dropping-particle":"","parse-names":false,"suffix":""},{"dropping-particle":"","family":"Makarewicz","given":"Anthony J.","non-dropping-particle":"","parse-names":false,"suffix":""},{"dropping-particle":"","family":"Bright","given":"Isaac J.","non-dropping-particle":"","parse-names":false,"suffix":""},{"dropping-particle":"","family":"Lucero","given":"Michael Y.","non-dropping-particle":"","parse-names":false,"suffix":""},{"dropping-particle":"","family":"Hiddessen","given":"Amy L.","non-dropping-particle":"","parse-names":false,"suffix":""},{"dropping-particle":"","family":"Legler","given":"Tina C.","non-dropping-particle":"","parse-names":false,"suffix":""},{"dropping-particle":"","family":"Kitano","given":"Tyler K.","non-dropping-particle":"","parse-names":false,"suffix":""},{"dropping-particle":"","family":"Hodel","given":"Michael R.","non-dropping-particle":"","parse-names":false,"suffix":""},{"dropping-particle":"","family":"Petersen","given":"Jonathan F.","non-dropping-particle":"","parse-names":false,"suffix":""},{"dropping-particle":"","family":"Wyatt","given":"Paul W.","non-dropping-particle":"","parse-names":false,"suffix":""},{"dropping-particle":"","family":"Steenblock","given":"Erin R.","non-dropping-particle":"","parse-names":false,"suffix":""},{"dropping-particle":"","family":"Shah","given":"Pallavi H.","non-dropping-particle":"","parse-names":false,"suffix":""},{"dropping-particle":"","family":"Bousse","given":"Luc J.","non-dropping-particle":"","parse-names":false,"suffix":""},{"dropping-particle":"","family":"Troup","given":"Camille B.","non-dropping-particle":"","parse-names":false,"suffix":""},{"dropping-particle":"","family":"Mellen","given":"Jeffrey C.","non-dropping-particle":"","parse-names":false,"suffix":""},{"dropping-particle":"","family":"Wittmann","given":"Dean K.","non-dropping-particle":"","parse-names":false,"suffix":""},{"dropping-particle":"","family":"Erndt","given":"Nicholas G.","non-dropping-particle":"","parse-names":false,"suffix":""},{"dropping-particle":"","family":"Cauley","given":"Thomas H.","non-dropping-particle":"","parse-names":false,"suffix":""},{"dropping-particle":"","family":"Koehler","given":"Ryan T.","non-dropping-particle":"","parse-names":false,"suffix":""},{"dropping-particle":"","family":"So","given":"Austin P.","non-dropping-particle":"","parse-names":false,"suffix":""},{"dropping-particle":"","family":"Dube","given":"Simant","non-dropping-particle":"","parse-names":false,"suffix":""},{"dropping-particle":"","family":"Rose","given":"Klint A.","non-dropping-particle":"","parse-names":false,"suffix":""},{"dropping-particle":"","family":"Montesclaros","given":"Luz","non-dropping-particle":"","parse-names":false,"suffix":""},{"dropping-particle":"","family":"Wang","given":"Shenglong","non-dropping-particle":"","parse-names":false,"suffix":""},{"dropping-particle":"","family":"Stumbo","given":"David P.","non-dropping-particle":"","parse-names":false,"suffix":""},{"dropping-particle":"","family":"Hodges","given":"Shawn P.","non-dropping-particle":"","parse-names":false,"suffix":""},{"dropping-particle":"","family":"Romine","given":"Steven","non-dropping-particle":"","parse-names":false,"suffix":""},{"dropping-particle":"","family":"Milanovich","given":"Fred P.","non-dropping-particle":"","parse-names":false,"suffix":""},{"dropping-particle":"","family":"White","given":"Helen E.","non-dropping-particle":"","parse-names":false,"suffix":""},{"dropping-particle":"","family":"Regan","given":"John F.","non-dropping-particle":"","parse-names":false,"suffix":""},{"dropping-particle":"","family":"Karlin-Neumann","given":"George A.","non-dropping-particle":"","parse-names":false,"suffix":""},{"dropping-particle":"","family":"Hindson","given":"Christopher M.","non-dropping-particle":"","parse-names":false,"suffix":""},{"dropping-particle":"","family":"Saxonov","given":"Serge","non-dropping-particle":"","parse-names":false,"suffix":""},{"dropping-particle":"","family":"Colston","given":"Bill W.","non-dropping-particle":"","parse-names":false,"suffix":""}],"container-title":"Analytical Chemistry","id":"ITEM-1","issued":{"date-parts":[["2011"]]},"title":"High-throughput droplet digital PCR system for absolute quantitation of DNA copy number","type":"article-journal"},"uris":["http://www.mendeley.com/documents/?uuid=83c90e56-b619-4062-aae3-b3185aafbc29"]},{"id":"ITEM-2","itemData":{"DOI":"10.1021/ac202578x","ISSN":"00032700","abstract":"Droplet digital polymerase chain reaction (ddPCR) is a new technology that was recently commercialized to enable the precise quantification of target nucleic acids in a sample. ddPCR measures absolute quantities by counting nucleic acid molecules encapsulated in discrete, volumetrically defined, water-in-oil droplet partitions. This novel ddPCR format offers a simple workflow capable of generating highly stable partitioning of DNA molecules. In this study, we assessed key performance parameters of the ddPCR system. A linear ddPCR response to DNA concentration was obtained from 0.16% through to 99.6% saturation in a 20,000 droplet assay corresponding to more than 4 orders of magnitude of target DNA copy number per ddPCR. Analysis of simplex and duplex assays targeting two distinct loci in the Lambda DNA genome using the ddPCR platform agreed, within their expanded uncertainties, with values obtained using a lower density microfluidic chamber based digital PCR (cdPCR). A relative expanded uncertainty under 5% was achieved for copy number concentration using ddPCR. This level of uncertainty is much lower than values typically observed for quantification of specific DNA target sequences using currently commercially available real-time and digital cdPCR technologies. © 2011 American Chemical Society.","author":[{"dropping-particle":"","family":"Pinheiro","given":"Leonardo B.","non-dropping-particle":"","parse-names":false,"suffix":""},{"dropping-particle":"","family":"Coleman","given":"Victoria A.","non-dropping-particle":"","parse-names":false,"suffix":""},{"dropping-particle":"","family":"Hindson","given":"Christopher M.","non-dropping-particle":"","parse-names":false,"suffix":""},{"dropping-particle":"","family":"Herrmann","given":"Jan","non-dropping-particle":"","parse-names":false,"suffix":""},{"dropping-particle":"","family":"Hindson","given":"Benjamin J.","non-dropping-particle":"","parse-names":false,"suffix":""},{"dropping-particle":"","family":"Bhat","given":"Somanath","non-dropping-particle":"","parse-names":false,"suffix":""},{"dropping-particle":"","family":"Emslie","given":"Kerry R.","non-dropping-particle":"","parse-names":false,"suffix":""}],"container-title":"Analytical Chemistry","id":"ITEM-2","issued":{"date-parts":[["2012"]]},"title":"Evaluation of a droplet digital polymerase chain reaction format for DNA copy number quantification","type":"article-journal"},"uris":["http://www.mendeley.com/documents/?uuid=817c9964-2ea0-4d3d-a611-cfc4e89ac06a"]}],"mendeley":{"formattedCitation":"&lt;sup&gt;7, 8&lt;/sup&gt;","plainTextFormattedCitation":"7, 8","previouslyFormattedCitation":"&lt;sup&gt;7, 8&lt;/sup&gt;"},"properties":{"noteIndex":0},"schema":"https://github.com/citation-style-language/schema/raw/master/csl-citation.json"}</w:instrText>
      </w:r>
      <w:r w:rsidR="003623AB">
        <w:fldChar w:fldCharType="separate"/>
      </w:r>
      <w:r w:rsidR="003623AB" w:rsidRPr="003623AB">
        <w:rPr>
          <w:noProof/>
          <w:vertAlign w:val="superscript"/>
        </w:rPr>
        <w:t>7,8</w:t>
      </w:r>
      <w:r w:rsidR="003623AB">
        <w:fldChar w:fldCharType="end"/>
      </w:r>
      <w:r w:rsidR="00A60A62" w:rsidRPr="00CF6A40">
        <w:t xml:space="preserve">. The PCR amplification is performed within </w:t>
      </w:r>
      <w:r w:rsidR="00A60A62" w:rsidRPr="00CF6A40">
        <w:rPr>
          <w:bCs/>
        </w:rPr>
        <w:t>each individual droplet</w:t>
      </w:r>
      <w:r w:rsidR="00A60A62">
        <w:t xml:space="preserve"> and</w:t>
      </w:r>
      <w:r w:rsidR="00A60A62" w:rsidRPr="00CF6A40">
        <w:t xml:space="preserve"> the endpoint fluorescence intensity of each droplet </w:t>
      </w:r>
      <w:r w:rsidR="00A60A62">
        <w:t>is</w:t>
      </w:r>
      <w:r w:rsidR="00A60A62" w:rsidRPr="00CF6A40">
        <w:t xml:space="preserve"> measured</w:t>
      </w:r>
      <w:r w:rsidR="00A60A62">
        <w:t>, allowing</w:t>
      </w:r>
      <w:r w:rsidR="00A60A62" w:rsidRPr="00CF6A40">
        <w:t xml:space="preserve"> absolute quantification of targets present in the sample.</w:t>
      </w:r>
      <w:r w:rsidR="00A60A62">
        <w:t xml:space="preserve"> </w:t>
      </w:r>
      <w:r w:rsidR="00112A31">
        <w:rPr>
          <w:lang w:val="en-CA" w:eastAsia="en-CA"/>
        </w:rPr>
        <w:t xml:space="preserve">Droplet </w:t>
      </w:r>
      <w:r w:rsidR="00852B09" w:rsidRPr="00852B09">
        <w:rPr>
          <w:lang w:val="en-CA" w:eastAsia="en-CA"/>
        </w:rPr>
        <w:t xml:space="preserve">PCR has been established to be more precise, accurate, and technically simpler than standard qPCR, making it a </w:t>
      </w:r>
      <w:r w:rsidR="00852B09">
        <w:rPr>
          <w:lang w:val="en-CA" w:eastAsia="en-CA"/>
        </w:rPr>
        <w:t>more favorable DNA methylation-</w:t>
      </w:r>
      <w:r w:rsidR="00852B09" w:rsidRPr="00852B09">
        <w:rPr>
          <w:lang w:val="en-CA" w:eastAsia="en-CA"/>
        </w:rPr>
        <w:t xml:space="preserve">based method for </w:t>
      </w:r>
      <w:r w:rsidR="00852B09">
        <w:rPr>
          <w:lang w:val="en-CA" w:eastAsia="en-CA"/>
        </w:rPr>
        <w:t>clinical evaluation of T-Cells.</w:t>
      </w:r>
      <w:r w:rsidR="00852B09" w:rsidRPr="00852B09">
        <w:rPr>
          <w:lang w:val="en-CA" w:eastAsia="en-CA"/>
        </w:rPr>
        <w:t xml:space="preserve"> Although a rapidly emerging subtyping methodology, multiplexed epigenetic analysis to probe for various methylated CpG regions simultaneously</w:t>
      </w:r>
      <w:r>
        <w:rPr>
          <w:lang w:val="en-CA" w:eastAsia="en-CA"/>
        </w:rPr>
        <w:t xml:space="preserve"> is lacking.</w:t>
      </w:r>
      <w:r w:rsidR="00852B09" w:rsidRPr="00852B09">
        <w:rPr>
          <w:lang w:val="en-CA" w:eastAsia="en-CA"/>
        </w:rPr>
        <w:t xml:space="preserve"> </w:t>
      </w:r>
      <w:r>
        <w:rPr>
          <w:lang w:val="en-CA" w:eastAsia="en-CA"/>
        </w:rPr>
        <w:t xml:space="preserve">This </w:t>
      </w:r>
      <w:r w:rsidR="00852B09" w:rsidRPr="00852B09">
        <w:rPr>
          <w:lang w:val="en-CA" w:eastAsia="en-CA"/>
        </w:rPr>
        <w:t>is necessary for routine leukocyte differential counts.</w:t>
      </w:r>
    </w:p>
    <w:p w14:paraId="2EDB5DB2" w14:textId="20445E22" w:rsidR="00A60A62" w:rsidRDefault="00A60A62" w:rsidP="006A1488"/>
    <w:p w14:paraId="45FFBA19" w14:textId="097872D7" w:rsidR="007A4DD6" w:rsidRPr="001B1519" w:rsidRDefault="00A60A62" w:rsidP="006A1488">
      <w:pPr>
        <w:rPr>
          <w:rFonts w:asciiTheme="minorHAnsi" w:hAnsiTheme="minorHAnsi" w:cstheme="minorHAnsi"/>
          <w:color w:val="808080" w:themeColor="background1" w:themeShade="80"/>
        </w:rPr>
      </w:pPr>
      <w:r w:rsidRPr="00A556A0">
        <w:t>Herein, a thermoplastic elastomer</w:t>
      </w:r>
      <w:r w:rsidR="00852B09">
        <w:t xml:space="preserve"> (TPE)</w:t>
      </w:r>
      <w:r w:rsidRPr="00A556A0">
        <w:t xml:space="preserve"> droplet microfluidic device is presented and employed for methylation</w:t>
      </w:r>
      <w:r w:rsidR="00630072">
        <w:t>-</w:t>
      </w:r>
      <w:r w:rsidRPr="00A556A0">
        <w:t xml:space="preserve">specific </w:t>
      </w:r>
      <w:r w:rsidR="00112A31">
        <w:t>multiplex droplet PCR (</w:t>
      </w:r>
      <w:proofErr w:type="spellStart"/>
      <w:r w:rsidR="00852B09">
        <w:t>mdPCR</w:t>
      </w:r>
      <w:proofErr w:type="spellEnd"/>
      <w:r w:rsidR="00112A31">
        <w:t>)</w:t>
      </w:r>
      <w:r w:rsidRPr="00A556A0">
        <w:t>. The technology has been used to delineate specific leukocyte subtypes</w:t>
      </w:r>
      <w:r>
        <w:t>, CD3</w:t>
      </w:r>
      <w:r w:rsidRPr="00C84AF9">
        <w:rPr>
          <w:vertAlign w:val="superscript"/>
        </w:rPr>
        <w:t>+</w:t>
      </w:r>
      <w:r>
        <w:t xml:space="preserve"> T-Cells and CD4</w:t>
      </w:r>
      <w:r w:rsidRPr="00C84AF9">
        <w:rPr>
          <w:vertAlign w:val="superscript"/>
        </w:rPr>
        <w:t>+</w:t>
      </w:r>
      <w:r>
        <w:t xml:space="preserve"> CD25</w:t>
      </w:r>
      <w:r w:rsidRPr="00C84AF9">
        <w:rPr>
          <w:vertAlign w:val="superscript"/>
        </w:rPr>
        <w:t>+</w:t>
      </w:r>
      <w:r>
        <w:t xml:space="preserve"> </w:t>
      </w:r>
      <w:r w:rsidR="00561B3F">
        <w:t>T-Regs</w:t>
      </w:r>
      <w:r>
        <w:t>,</w:t>
      </w:r>
      <w:r w:rsidRPr="00A556A0">
        <w:t xml:space="preserve"> based on cell-lineage </w:t>
      </w:r>
      <w:r w:rsidRPr="00A556A0">
        <w:lastRenderedPageBreak/>
        <w:t>DNA methylation patterns</w:t>
      </w:r>
      <w:r>
        <w:t>, i.e.</w:t>
      </w:r>
      <w:r w:rsidR="00E13309">
        <w:t>,</w:t>
      </w:r>
      <w:r>
        <w:t xml:space="preserve"> epigenetic variation of CD3Z and FOXP3 CpG regions, respectively</w:t>
      </w:r>
      <w:r w:rsidRPr="00A556A0">
        <w:t xml:space="preserve">. </w:t>
      </w:r>
      <w:r w:rsidR="00852B09">
        <w:t>A d</w:t>
      </w:r>
      <w:r>
        <w:t xml:space="preserve">etailed protocol for DNA extraction, bisulfite conversion and </w:t>
      </w:r>
      <w:proofErr w:type="spellStart"/>
      <w:r w:rsidR="00D05913">
        <w:t>mdPCR</w:t>
      </w:r>
      <w:proofErr w:type="spellEnd"/>
      <w:r>
        <w:t xml:space="preserve"> is described in concert with</w:t>
      </w:r>
      <w:r w:rsidR="00852B09">
        <w:t xml:space="preserve"> a</w:t>
      </w:r>
      <w:r>
        <w:t xml:space="preserve"> fabrication method for </w:t>
      </w:r>
      <w:r w:rsidR="00852B09">
        <w:t xml:space="preserve">a </w:t>
      </w:r>
      <w:r>
        <w:t>TPE droplet generation device. Representative results of the method are compared to those of immunofluorescence staining highlighting the utility of the proposed approach.</w:t>
      </w:r>
    </w:p>
    <w:p w14:paraId="66B57EDE" w14:textId="77777777" w:rsidR="006A1488" w:rsidRDefault="006A1488" w:rsidP="006A1488">
      <w:pPr>
        <w:rPr>
          <w:rFonts w:asciiTheme="minorHAnsi" w:hAnsiTheme="minorHAnsi" w:cstheme="minorHAnsi"/>
          <w:b/>
        </w:rPr>
      </w:pPr>
      <w:bookmarkStart w:id="0" w:name="_Hlk39587242"/>
    </w:p>
    <w:p w14:paraId="3D4CD2F3" w14:textId="40BB2634" w:rsidR="006305D7" w:rsidRDefault="006305D7" w:rsidP="006A1488">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D1B9C31" w14:textId="5A2D0DD5" w:rsidR="00852B09" w:rsidRDefault="00852B09" w:rsidP="006A1488">
      <w:pPr>
        <w:rPr>
          <w:rFonts w:asciiTheme="minorHAnsi" w:hAnsiTheme="minorHAnsi" w:cstheme="minorHAnsi"/>
        </w:rPr>
      </w:pPr>
      <w:r>
        <w:t>All the experiments performed in this study involving human samples were approved by the NRC’s Ethics Board and were done according to NRC’s policies governing human subjects that follow applicable research guidelines and are compliant with the laws in Québec, Canada.</w:t>
      </w:r>
    </w:p>
    <w:p w14:paraId="412B15E1" w14:textId="77777777" w:rsidR="00784F37" w:rsidRPr="001B1519" w:rsidRDefault="00784F37" w:rsidP="006A1488">
      <w:pPr>
        <w:rPr>
          <w:rFonts w:asciiTheme="minorHAnsi" w:hAnsiTheme="minorHAnsi" w:cstheme="minorHAnsi"/>
          <w:color w:val="808080" w:themeColor="background1" w:themeShade="80"/>
        </w:rPr>
      </w:pPr>
    </w:p>
    <w:p w14:paraId="0D545D44" w14:textId="772717B1" w:rsidR="00784F37" w:rsidRDefault="00784F37" w:rsidP="006A1488">
      <w:pPr>
        <w:pStyle w:val="Heading2"/>
        <w:numPr>
          <w:ilvl w:val="0"/>
          <w:numId w:val="18"/>
        </w:numPr>
      </w:pPr>
      <w:r>
        <w:t xml:space="preserve">Cell </w:t>
      </w:r>
      <w:r w:rsidR="00E13309">
        <w:t>p</w:t>
      </w:r>
      <w:r>
        <w:t>reparation</w:t>
      </w:r>
    </w:p>
    <w:p w14:paraId="7B91C7D8" w14:textId="77777777" w:rsidR="00784F37" w:rsidRPr="00784F37" w:rsidRDefault="00784F37" w:rsidP="006A1488"/>
    <w:p w14:paraId="788AA89B" w14:textId="1636EE5C" w:rsidR="00784F37" w:rsidRDefault="00852B09" w:rsidP="006A1488">
      <w:pPr>
        <w:pStyle w:val="ListParagraph"/>
        <w:widowControl/>
        <w:numPr>
          <w:ilvl w:val="1"/>
          <w:numId w:val="18"/>
        </w:numPr>
        <w:autoSpaceDE/>
        <w:autoSpaceDN/>
        <w:adjustRightInd/>
      </w:pPr>
      <w:r>
        <w:t xml:space="preserve">Thaw the frozen human </w:t>
      </w:r>
      <w:r w:rsidR="00CC3737">
        <w:t>p</w:t>
      </w:r>
      <w:r>
        <w:t xml:space="preserve">eripheral </w:t>
      </w:r>
      <w:r w:rsidR="00CC3737">
        <w:t>b</w:t>
      </w:r>
      <w:r>
        <w:t xml:space="preserve">lood </w:t>
      </w:r>
      <w:r w:rsidR="00CC3737">
        <w:t>m</w:t>
      </w:r>
      <w:r>
        <w:t xml:space="preserve">ononuclear </w:t>
      </w:r>
      <w:r w:rsidR="00CC3737">
        <w:t>c</w:t>
      </w:r>
      <w:r>
        <w:t>ells (PBMCs) immediately by placing the cryovial in a water bath at 37</w:t>
      </w:r>
      <w:r w:rsidR="00A549AA">
        <w:t xml:space="preserve"> </w:t>
      </w:r>
      <w:r w:rsidR="005359BF">
        <w:t>°</w:t>
      </w:r>
      <w:r>
        <w:t>C for 5 min.</w:t>
      </w:r>
      <w:r w:rsidR="00784F37">
        <w:t xml:space="preserve"> </w:t>
      </w:r>
    </w:p>
    <w:p w14:paraId="101D72A7" w14:textId="77777777" w:rsidR="00784F37" w:rsidRDefault="00784F37" w:rsidP="006A1488">
      <w:pPr>
        <w:pStyle w:val="ListParagraph"/>
        <w:widowControl/>
        <w:autoSpaceDE/>
        <w:autoSpaceDN/>
        <w:adjustRightInd/>
        <w:ind w:left="0"/>
      </w:pPr>
    </w:p>
    <w:p w14:paraId="311C40BD" w14:textId="38952FC0" w:rsidR="00784F37" w:rsidRDefault="00852B09" w:rsidP="006A1488">
      <w:pPr>
        <w:pStyle w:val="ListParagraph"/>
        <w:widowControl/>
        <w:numPr>
          <w:ilvl w:val="1"/>
          <w:numId w:val="18"/>
        </w:numPr>
        <w:autoSpaceDE/>
        <w:autoSpaceDN/>
        <w:adjustRightInd/>
      </w:pPr>
      <w:r>
        <w:t xml:space="preserve">Invert </w:t>
      </w:r>
      <w:r w:rsidR="00784F37">
        <w:t>the cryovial twice</w:t>
      </w:r>
      <w:r>
        <w:t xml:space="preserve"> </w:t>
      </w:r>
      <w:r w:rsidR="00784F37">
        <w:t>to</w:t>
      </w:r>
      <w:r>
        <w:t xml:space="preserve"> gently</w:t>
      </w:r>
      <w:r w:rsidR="00784F37">
        <w:t xml:space="preserve"> resuspend the cells</w:t>
      </w:r>
      <w:r w:rsidR="0063771F">
        <w:t xml:space="preserve"> and using</w:t>
      </w:r>
      <w:r>
        <w:t xml:space="preserve"> a</w:t>
      </w:r>
      <w:r w:rsidR="00784F37">
        <w:t xml:space="preserve"> 1 m</w:t>
      </w:r>
      <w:r w:rsidR="00E13309">
        <w:t>L</w:t>
      </w:r>
      <w:r w:rsidR="00784F37">
        <w:t xml:space="preserve"> pipette transfer</w:t>
      </w:r>
      <w:r>
        <w:t xml:space="preserve"> the cell suspension</w:t>
      </w:r>
      <w:r w:rsidR="00784F37">
        <w:t xml:space="preserve"> into a 15 m</w:t>
      </w:r>
      <w:r w:rsidR="00E13309">
        <w:t>L</w:t>
      </w:r>
      <w:r w:rsidR="00784F37">
        <w:t xml:space="preserve"> conical tube.</w:t>
      </w:r>
    </w:p>
    <w:p w14:paraId="00AFC6CE" w14:textId="77777777" w:rsidR="00E1233A" w:rsidRDefault="00E1233A" w:rsidP="006A1488">
      <w:pPr>
        <w:pStyle w:val="ListParagraph"/>
        <w:widowControl/>
        <w:autoSpaceDE/>
        <w:autoSpaceDN/>
        <w:adjustRightInd/>
        <w:ind w:left="0"/>
      </w:pPr>
    </w:p>
    <w:p w14:paraId="23EC5114" w14:textId="7BD8CB92" w:rsidR="00784F37" w:rsidRDefault="00852B09" w:rsidP="006A1488">
      <w:pPr>
        <w:pStyle w:val="ListParagraph"/>
        <w:widowControl/>
        <w:numPr>
          <w:ilvl w:val="1"/>
          <w:numId w:val="18"/>
        </w:numPr>
        <w:autoSpaceDE/>
        <w:autoSpaceDN/>
        <w:adjustRightInd/>
      </w:pPr>
      <w:r>
        <w:t>Add 10 m</w:t>
      </w:r>
      <w:r w:rsidR="00E13309">
        <w:t>L</w:t>
      </w:r>
      <w:r>
        <w:t xml:space="preserve"> of pre-warmed</w:t>
      </w:r>
      <w:r w:rsidR="00784F37" w:rsidRPr="007023D4">
        <w:t xml:space="preserve"> (37</w:t>
      </w:r>
      <w:r w:rsidR="00A549AA">
        <w:t xml:space="preserve"> </w:t>
      </w:r>
      <w:r w:rsidR="005359BF">
        <w:t>°</w:t>
      </w:r>
      <w:r w:rsidR="00784F37" w:rsidRPr="007023D4">
        <w:t xml:space="preserve">C) </w:t>
      </w:r>
      <w:r>
        <w:t xml:space="preserve">growth </w:t>
      </w:r>
      <w:r w:rsidR="00784F37" w:rsidRPr="007023D4">
        <w:t xml:space="preserve">medium </w:t>
      </w:r>
      <w:r>
        <w:t xml:space="preserve">supplemented with 10% </w:t>
      </w:r>
      <w:r w:rsidR="00CC3737">
        <w:t>f</w:t>
      </w:r>
      <w:r>
        <w:t xml:space="preserve">etal </w:t>
      </w:r>
      <w:r w:rsidR="00CC3737">
        <w:t>b</w:t>
      </w:r>
      <w:r>
        <w:t xml:space="preserve">ovine </w:t>
      </w:r>
      <w:r w:rsidR="00CC3737">
        <w:t>s</w:t>
      </w:r>
      <w:r>
        <w:t xml:space="preserve">erum </w:t>
      </w:r>
      <w:r w:rsidR="00784F37" w:rsidRPr="007023D4">
        <w:t>(RPMI-1640</w:t>
      </w:r>
      <w:r w:rsidR="00E13309">
        <w:t xml:space="preserve"> </w:t>
      </w:r>
      <w:r w:rsidR="00784F37" w:rsidRPr="007023D4">
        <w:t>+</w:t>
      </w:r>
      <w:r w:rsidR="00E13309">
        <w:t xml:space="preserve"> </w:t>
      </w:r>
      <w:r w:rsidR="00784F37" w:rsidRPr="007023D4">
        <w:t>10% FBS)</w:t>
      </w:r>
      <w:r w:rsidR="00784F37">
        <w:t xml:space="preserve"> </w:t>
      </w:r>
      <w:r w:rsidR="00784F37" w:rsidRPr="007023D4">
        <w:t xml:space="preserve">to the </w:t>
      </w:r>
      <w:r w:rsidR="00784F37">
        <w:t xml:space="preserve">15 </w:t>
      </w:r>
      <w:r w:rsidR="00784F37" w:rsidRPr="007023D4">
        <w:t>m</w:t>
      </w:r>
      <w:r w:rsidR="00E13309">
        <w:t>L</w:t>
      </w:r>
      <w:r w:rsidR="00784F37" w:rsidRPr="007023D4">
        <w:t xml:space="preserve"> tube</w:t>
      </w:r>
      <w:r>
        <w:t xml:space="preserve"> containing the PBMCs</w:t>
      </w:r>
      <w:r w:rsidR="00784F37" w:rsidRPr="007023D4">
        <w:t>.</w:t>
      </w:r>
    </w:p>
    <w:p w14:paraId="7EEBCBCD" w14:textId="77777777" w:rsidR="00E1233A" w:rsidRDefault="00E1233A" w:rsidP="006A1488">
      <w:pPr>
        <w:pStyle w:val="ListParagraph"/>
        <w:widowControl/>
        <w:autoSpaceDE/>
        <w:autoSpaceDN/>
        <w:adjustRightInd/>
        <w:ind w:left="0"/>
      </w:pPr>
    </w:p>
    <w:p w14:paraId="3BEF2B81" w14:textId="45E874CA" w:rsidR="00784F37" w:rsidRDefault="00784F37" w:rsidP="006A1488">
      <w:pPr>
        <w:pStyle w:val="ListParagraph"/>
        <w:widowControl/>
        <w:numPr>
          <w:ilvl w:val="1"/>
          <w:numId w:val="18"/>
        </w:numPr>
        <w:autoSpaceDE/>
        <w:autoSpaceDN/>
        <w:adjustRightInd/>
      </w:pPr>
      <w:r w:rsidRPr="00430655">
        <w:t xml:space="preserve">Centrifuge </w:t>
      </w:r>
      <w:r w:rsidR="00852B09">
        <w:t xml:space="preserve">the </w:t>
      </w:r>
      <w:r w:rsidRPr="00430655">
        <w:t xml:space="preserve">cell suspension </w:t>
      </w:r>
      <w:r w:rsidR="00852B09">
        <w:t xml:space="preserve">in a swinging bucket centrifuge </w:t>
      </w:r>
      <w:r w:rsidRPr="00430655">
        <w:t xml:space="preserve">at room temperature at </w:t>
      </w:r>
      <w:r w:rsidR="00852B09">
        <w:t xml:space="preserve">a speed of </w:t>
      </w:r>
      <w:r w:rsidRPr="00430655">
        <w:t>330</w:t>
      </w:r>
      <w:r>
        <w:t xml:space="preserve"> </w:t>
      </w:r>
      <w:r w:rsidR="00E13309" w:rsidRPr="00E13309">
        <w:rPr>
          <w:i/>
          <w:iCs/>
        </w:rPr>
        <w:t>x</w:t>
      </w:r>
      <w:r w:rsidR="00CC3737" w:rsidRPr="00E13309">
        <w:rPr>
          <w:i/>
          <w:iCs/>
        </w:rPr>
        <w:t xml:space="preserve"> </w:t>
      </w:r>
      <w:r w:rsidRPr="00E13309">
        <w:rPr>
          <w:i/>
          <w:iCs/>
        </w:rPr>
        <w:t xml:space="preserve">g </w:t>
      </w:r>
      <w:r w:rsidRPr="00430655">
        <w:t xml:space="preserve">for 10 min with rapid acceleration and </w:t>
      </w:r>
      <w:r w:rsidR="00852B09">
        <w:t xml:space="preserve">the </w:t>
      </w:r>
      <w:r w:rsidRPr="00430655">
        <w:t>brake on high.</w:t>
      </w:r>
    </w:p>
    <w:p w14:paraId="15A190B7" w14:textId="77777777" w:rsidR="00E1233A" w:rsidRDefault="00E1233A" w:rsidP="006A1488">
      <w:pPr>
        <w:pStyle w:val="ListParagraph"/>
        <w:widowControl/>
        <w:autoSpaceDE/>
        <w:autoSpaceDN/>
        <w:adjustRightInd/>
        <w:ind w:left="0"/>
      </w:pPr>
    </w:p>
    <w:p w14:paraId="401EAA10" w14:textId="2504B66D" w:rsidR="00A44DF4" w:rsidRDefault="00ED55ED" w:rsidP="006A1488">
      <w:pPr>
        <w:pStyle w:val="ListParagraph"/>
        <w:widowControl/>
        <w:numPr>
          <w:ilvl w:val="1"/>
          <w:numId w:val="18"/>
        </w:numPr>
        <w:autoSpaceDE/>
        <w:autoSpaceDN/>
        <w:adjustRightInd/>
      </w:pPr>
      <w:r>
        <w:t>Once the spin is over, carefully decant the supernatant</w:t>
      </w:r>
      <w:r w:rsidR="00691EB2">
        <w:t>.</w:t>
      </w:r>
      <w:r>
        <w:t xml:space="preserve"> </w:t>
      </w:r>
      <w:r w:rsidR="00691EB2">
        <w:t>R</w:t>
      </w:r>
      <w:r>
        <w:t>esuspend the cell pellet in 3 m</w:t>
      </w:r>
      <w:r w:rsidR="00E13309">
        <w:t>L</w:t>
      </w:r>
      <w:r>
        <w:t xml:space="preserve"> of </w:t>
      </w:r>
      <w:r w:rsidR="00CC3737">
        <w:t>p</w:t>
      </w:r>
      <w:r>
        <w:t>hosphate</w:t>
      </w:r>
      <w:r w:rsidR="00CC3737">
        <w:t>-b</w:t>
      </w:r>
      <w:r>
        <w:t>uffer</w:t>
      </w:r>
      <w:r w:rsidR="00CC3737">
        <w:t>ed</w:t>
      </w:r>
      <w:r>
        <w:t xml:space="preserve"> </w:t>
      </w:r>
      <w:r w:rsidR="00CC3737">
        <w:t>s</w:t>
      </w:r>
      <w:r>
        <w:t xml:space="preserve">aline (PBS) </w:t>
      </w:r>
      <w:r>
        <w:rPr>
          <w:shd w:val="clear" w:color="auto" w:fill="FFFFFF"/>
        </w:rPr>
        <w:t>pH 7.2, containing 2</w:t>
      </w:r>
      <w:r w:rsidR="00691EB2">
        <w:rPr>
          <w:shd w:val="clear" w:color="auto" w:fill="FFFFFF"/>
        </w:rPr>
        <w:t xml:space="preserve"> </w:t>
      </w:r>
      <w:r>
        <w:rPr>
          <w:shd w:val="clear" w:color="auto" w:fill="FFFFFF"/>
        </w:rPr>
        <w:t xml:space="preserve">mM ethylenediaminetetraacetic acid (EDTA) </w:t>
      </w:r>
      <w:r w:rsidR="00691EB2">
        <w:rPr>
          <w:shd w:val="clear" w:color="auto" w:fill="FFFFFF"/>
        </w:rPr>
        <w:t xml:space="preserve">by </w:t>
      </w:r>
      <w:r>
        <w:rPr>
          <w:shd w:val="clear" w:color="auto" w:fill="FFFFFF"/>
        </w:rPr>
        <w:t>tapping the side of the tubes</w:t>
      </w:r>
      <w:r>
        <w:t xml:space="preserve">. </w:t>
      </w:r>
    </w:p>
    <w:p w14:paraId="2C0320BF" w14:textId="77777777" w:rsidR="00A44DF4" w:rsidRDefault="00A44DF4" w:rsidP="006A1488">
      <w:pPr>
        <w:pStyle w:val="ListParagraph"/>
        <w:ind w:left="0"/>
      </w:pPr>
    </w:p>
    <w:p w14:paraId="55A12D7D" w14:textId="7ED0E16B" w:rsidR="00ED55ED" w:rsidRDefault="00ED55ED" w:rsidP="006A1488">
      <w:pPr>
        <w:pStyle w:val="ListParagraph"/>
        <w:widowControl/>
        <w:numPr>
          <w:ilvl w:val="1"/>
          <w:numId w:val="18"/>
        </w:numPr>
        <w:autoSpaceDE/>
        <w:autoSpaceDN/>
        <w:adjustRightInd/>
      </w:pPr>
      <w:r>
        <w:t xml:space="preserve">Mix the cells by inverting the tube with the cap tightly closed. </w:t>
      </w:r>
    </w:p>
    <w:p w14:paraId="18DC7174" w14:textId="77777777" w:rsidR="00ED55ED" w:rsidRDefault="00ED55ED" w:rsidP="006A1488">
      <w:pPr>
        <w:pStyle w:val="ListParagraph"/>
        <w:ind w:left="0"/>
      </w:pPr>
    </w:p>
    <w:p w14:paraId="25E3DCAC" w14:textId="666AD74E" w:rsidR="00ED55ED" w:rsidRDefault="00ED55ED" w:rsidP="006A1488">
      <w:pPr>
        <w:pStyle w:val="ListParagraph"/>
        <w:widowControl/>
        <w:numPr>
          <w:ilvl w:val="1"/>
          <w:numId w:val="18"/>
        </w:numPr>
        <w:autoSpaceDE/>
        <w:autoSpaceDN/>
        <w:adjustRightInd/>
      </w:pPr>
      <w:r>
        <w:t>Prepare two 1.5 m</w:t>
      </w:r>
      <w:r w:rsidR="00E13309">
        <w:t>L of</w:t>
      </w:r>
      <w:r>
        <w:t xml:space="preserve"> microtubes and using a pipette aliquot 1.5 m</w:t>
      </w:r>
      <w:r w:rsidR="00E13309">
        <w:t>L</w:t>
      </w:r>
      <w:r>
        <w:t xml:space="preserve"> of the cell suspension in each tube, one of which is used for subsequent immunofluorescence staining and one for</w:t>
      </w:r>
      <w:r w:rsidR="00E13309">
        <w:t xml:space="preserve"> the</w:t>
      </w:r>
      <w:r>
        <w:t xml:space="preserve"> DNA extraction. </w:t>
      </w:r>
    </w:p>
    <w:p w14:paraId="2A21EE7E" w14:textId="77777777" w:rsidR="00E13309" w:rsidRDefault="00E13309" w:rsidP="00E13309">
      <w:pPr>
        <w:pStyle w:val="ListParagraph"/>
        <w:widowControl/>
        <w:autoSpaceDE/>
        <w:autoSpaceDN/>
        <w:adjustRightInd/>
        <w:ind w:left="0"/>
      </w:pPr>
    </w:p>
    <w:p w14:paraId="74F4AFE2" w14:textId="2702E094" w:rsidR="00784F37" w:rsidRPr="00BD499C" w:rsidRDefault="00784F37" w:rsidP="006A1488">
      <w:pPr>
        <w:pStyle w:val="Heading2"/>
        <w:numPr>
          <w:ilvl w:val="0"/>
          <w:numId w:val="18"/>
        </w:numPr>
        <w:rPr>
          <w:highlight w:val="yellow"/>
        </w:rPr>
      </w:pPr>
      <w:r w:rsidRPr="00BD499C">
        <w:rPr>
          <w:highlight w:val="yellow"/>
        </w:rPr>
        <w:t xml:space="preserve">Immunofluorescence </w:t>
      </w:r>
      <w:r w:rsidR="00E13309" w:rsidRPr="00BD499C">
        <w:rPr>
          <w:highlight w:val="yellow"/>
        </w:rPr>
        <w:t>s</w:t>
      </w:r>
      <w:r w:rsidRPr="00BD499C">
        <w:rPr>
          <w:highlight w:val="yellow"/>
        </w:rPr>
        <w:t xml:space="preserve">taining and </w:t>
      </w:r>
      <w:r w:rsidR="00E13309" w:rsidRPr="00BD499C">
        <w:rPr>
          <w:highlight w:val="yellow"/>
        </w:rPr>
        <w:t>i</w:t>
      </w:r>
      <w:r w:rsidRPr="00BD499C">
        <w:rPr>
          <w:highlight w:val="yellow"/>
        </w:rPr>
        <w:t xml:space="preserve">maging </w:t>
      </w:r>
      <w:r w:rsidR="00E13309" w:rsidRPr="00BD499C">
        <w:rPr>
          <w:highlight w:val="yellow"/>
        </w:rPr>
        <w:t>p</w:t>
      </w:r>
      <w:r w:rsidRPr="00BD499C">
        <w:rPr>
          <w:highlight w:val="yellow"/>
        </w:rPr>
        <w:t>rotocol</w:t>
      </w:r>
    </w:p>
    <w:p w14:paraId="01F9EC72" w14:textId="77777777" w:rsidR="00784F37" w:rsidRPr="00784F37" w:rsidRDefault="00784F37" w:rsidP="006A1488"/>
    <w:p w14:paraId="6A0C7A25" w14:textId="45454873" w:rsidR="00784F37" w:rsidRDefault="00784F37" w:rsidP="006A1488">
      <w:pPr>
        <w:pStyle w:val="ListParagraph"/>
        <w:widowControl/>
        <w:numPr>
          <w:ilvl w:val="1"/>
          <w:numId w:val="18"/>
        </w:numPr>
        <w:autoSpaceDE/>
        <w:autoSpaceDN/>
        <w:adjustRightInd/>
      </w:pPr>
      <w:r w:rsidRPr="00B62EFA">
        <w:t xml:space="preserve">Resuspend cells </w:t>
      </w:r>
      <w:r w:rsidR="00C97B9F">
        <w:t>(from</w:t>
      </w:r>
      <w:r w:rsidR="00112A31">
        <w:t xml:space="preserve"> 1.</w:t>
      </w:r>
      <w:r w:rsidR="00A44DF4">
        <w:t>7</w:t>
      </w:r>
      <w:r w:rsidR="00C97B9F">
        <w:t>)</w:t>
      </w:r>
      <w:r w:rsidR="00112A31">
        <w:t xml:space="preserve"> </w:t>
      </w:r>
      <w:r w:rsidRPr="00B62EFA">
        <w:t xml:space="preserve">in </w:t>
      </w:r>
      <w:r>
        <w:t>200 μ</w:t>
      </w:r>
      <w:r w:rsidR="00E13309">
        <w:t>L of</w:t>
      </w:r>
      <w:r>
        <w:t xml:space="preserve"> </w:t>
      </w:r>
      <w:r w:rsidRPr="00B62EFA">
        <w:t>PBS</w:t>
      </w:r>
      <w:r>
        <w:t xml:space="preserve"> buffer</w:t>
      </w:r>
      <w:r w:rsidRPr="00B62EFA">
        <w:t xml:space="preserve"> containing 0.1% sodium </w:t>
      </w:r>
      <w:proofErr w:type="spellStart"/>
      <w:r w:rsidRPr="00B62EFA">
        <w:t>azide</w:t>
      </w:r>
      <w:proofErr w:type="spellEnd"/>
      <w:r w:rsidRPr="00B62EFA">
        <w:t xml:space="preserve"> and 2% </w:t>
      </w:r>
      <w:r w:rsidR="00ED55ED">
        <w:t>FBS</w:t>
      </w:r>
      <w:r w:rsidRPr="00B62EFA">
        <w:t xml:space="preserve"> and adjust</w:t>
      </w:r>
      <w:r w:rsidR="00ED55ED">
        <w:t xml:space="preserve"> the final</w:t>
      </w:r>
      <w:r w:rsidRPr="00B62EFA">
        <w:t xml:space="preserve"> concentration of</w:t>
      </w:r>
      <w:r w:rsidR="00ED55ED">
        <w:t xml:space="preserve"> the</w:t>
      </w:r>
      <w:r w:rsidRPr="00B62EFA">
        <w:t xml:space="preserve"> cell suspension to </w:t>
      </w:r>
      <w:r>
        <w:t xml:space="preserve">a maximum of </w:t>
      </w:r>
      <w:r w:rsidRPr="00B62EFA">
        <w:t>2 x 10</w:t>
      </w:r>
      <w:r w:rsidRPr="00784F37">
        <w:rPr>
          <w:vertAlign w:val="superscript"/>
        </w:rPr>
        <w:t>7</w:t>
      </w:r>
      <w:r w:rsidRPr="00B62EFA">
        <w:t xml:space="preserve"> cells/</w:t>
      </w:r>
      <w:proofErr w:type="spellStart"/>
      <w:r w:rsidRPr="00B62EFA">
        <w:t>m</w:t>
      </w:r>
      <w:r w:rsidR="00E13309">
        <w:t>L</w:t>
      </w:r>
      <w:r w:rsidRPr="00B62EFA">
        <w:t>.</w:t>
      </w:r>
      <w:proofErr w:type="spellEnd"/>
      <w:r w:rsidRPr="00B62EFA">
        <w:t xml:space="preserve"> </w:t>
      </w:r>
    </w:p>
    <w:p w14:paraId="3F959893" w14:textId="77777777" w:rsidR="00E1233A" w:rsidRDefault="00E1233A" w:rsidP="006A1488">
      <w:pPr>
        <w:pStyle w:val="ListParagraph"/>
        <w:widowControl/>
        <w:autoSpaceDE/>
        <w:autoSpaceDN/>
        <w:adjustRightInd/>
        <w:ind w:left="0"/>
      </w:pPr>
    </w:p>
    <w:p w14:paraId="1B8CFDF1" w14:textId="399515B5" w:rsidR="00E1233A" w:rsidRPr="00BE6FED" w:rsidRDefault="00784F37" w:rsidP="006A1488">
      <w:pPr>
        <w:pStyle w:val="ListParagraph"/>
        <w:widowControl/>
        <w:numPr>
          <w:ilvl w:val="1"/>
          <w:numId w:val="18"/>
        </w:numPr>
        <w:autoSpaceDE/>
        <w:autoSpaceDN/>
        <w:adjustRightInd/>
        <w:rPr>
          <w:highlight w:val="yellow"/>
        </w:rPr>
      </w:pPr>
      <w:r w:rsidRPr="00BE6FED">
        <w:rPr>
          <w:highlight w:val="yellow"/>
        </w:rPr>
        <w:t>Divide the cell suspension by pipetting 100 μ</w:t>
      </w:r>
      <w:r w:rsidR="00E13309">
        <w:rPr>
          <w:highlight w:val="yellow"/>
        </w:rPr>
        <w:t>L</w:t>
      </w:r>
      <w:r w:rsidRPr="00BE6FED">
        <w:rPr>
          <w:highlight w:val="yellow"/>
        </w:rPr>
        <w:t xml:space="preserve"> volume in two separate 1.5 m</w:t>
      </w:r>
      <w:r w:rsidR="00E13309">
        <w:rPr>
          <w:highlight w:val="yellow"/>
        </w:rPr>
        <w:t>L</w:t>
      </w:r>
      <w:r w:rsidRPr="00BE6FED">
        <w:rPr>
          <w:highlight w:val="yellow"/>
        </w:rPr>
        <w:t xml:space="preserve"> </w:t>
      </w:r>
      <w:r w:rsidR="00ED55ED" w:rsidRPr="00BE6FED">
        <w:rPr>
          <w:highlight w:val="yellow"/>
        </w:rPr>
        <w:t>micro</w:t>
      </w:r>
      <w:r w:rsidRPr="00BE6FED">
        <w:rPr>
          <w:highlight w:val="yellow"/>
        </w:rPr>
        <w:t>tubes.</w:t>
      </w:r>
    </w:p>
    <w:p w14:paraId="7A638D47" w14:textId="77777777" w:rsidR="00E1233A" w:rsidRPr="00BE6FED" w:rsidRDefault="00E1233A" w:rsidP="006A1488">
      <w:pPr>
        <w:pStyle w:val="ListParagraph"/>
        <w:widowControl/>
        <w:autoSpaceDE/>
        <w:autoSpaceDN/>
        <w:adjustRightInd/>
        <w:ind w:left="0"/>
        <w:rPr>
          <w:highlight w:val="yellow"/>
        </w:rPr>
      </w:pPr>
    </w:p>
    <w:p w14:paraId="2CE9C816" w14:textId="1A08D14B" w:rsidR="00784F37" w:rsidRPr="00BE6FED" w:rsidRDefault="00784F37" w:rsidP="006A1488">
      <w:pPr>
        <w:pStyle w:val="ListParagraph"/>
        <w:widowControl/>
        <w:numPr>
          <w:ilvl w:val="1"/>
          <w:numId w:val="18"/>
        </w:numPr>
        <w:autoSpaceDE/>
        <w:autoSpaceDN/>
        <w:adjustRightInd/>
        <w:rPr>
          <w:highlight w:val="yellow"/>
        </w:rPr>
      </w:pPr>
      <w:r w:rsidRPr="00BE6FED">
        <w:rPr>
          <w:highlight w:val="yellow"/>
        </w:rPr>
        <w:lastRenderedPageBreak/>
        <w:t>Add 20 μ</w:t>
      </w:r>
      <w:r w:rsidR="00E13309">
        <w:rPr>
          <w:highlight w:val="yellow"/>
        </w:rPr>
        <w:t>L</w:t>
      </w:r>
      <w:r w:rsidRPr="00BE6FED">
        <w:rPr>
          <w:highlight w:val="yellow"/>
        </w:rPr>
        <w:t xml:space="preserve"> volume of </w:t>
      </w:r>
      <w:r w:rsidR="00CC3737" w:rsidRPr="00BE6FED">
        <w:rPr>
          <w:highlight w:val="yellow"/>
        </w:rPr>
        <w:t>a</w:t>
      </w:r>
      <w:r w:rsidRPr="00BE6FED">
        <w:rPr>
          <w:highlight w:val="yellow"/>
        </w:rPr>
        <w:t xml:space="preserve">nti-Hu CD3/CD4 </w:t>
      </w:r>
      <w:r w:rsidR="00F42C73" w:rsidRPr="00BE6FED">
        <w:rPr>
          <w:highlight w:val="yellow"/>
        </w:rPr>
        <w:t xml:space="preserve">conjugated with </w:t>
      </w:r>
      <w:proofErr w:type="spellStart"/>
      <w:r w:rsidR="00F42C73" w:rsidRPr="00BE6FED">
        <w:rPr>
          <w:highlight w:val="yellow"/>
        </w:rPr>
        <w:t>Fluorescin</w:t>
      </w:r>
      <w:proofErr w:type="spellEnd"/>
      <w:r w:rsidR="00F42C73" w:rsidRPr="00BE6FED">
        <w:rPr>
          <w:highlight w:val="yellow"/>
        </w:rPr>
        <w:t xml:space="preserve"> isothiocyanate (FITC) and Phycoerythrin (PE) to one tube </w:t>
      </w:r>
      <w:r w:rsidRPr="00BE6FED">
        <w:rPr>
          <w:highlight w:val="yellow"/>
        </w:rPr>
        <w:t xml:space="preserve">and </w:t>
      </w:r>
      <w:r w:rsidR="00CC3737" w:rsidRPr="00BE6FED">
        <w:rPr>
          <w:highlight w:val="yellow"/>
        </w:rPr>
        <w:t>a</w:t>
      </w:r>
      <w:r w:rsidRPr="00BE6FED">
        <w:rPr>
          <w:highlight w:val="yellow"/>
        </w:rPr>
        <w:t>nti-Hu CD4/CD25</w:t>
      </w:r>
      <w:r w:rsidR="00F42C73" w:rsidRPr="00BE6FED">
        <w:rPr>
          <w:highlight w:val="yellow"/>
        </w:rPr>
        <w:t xml:space="preserve"> conjugated with FITC and PE (see </w:t>
      </w:r>
      <w:r w:rsidR="00F42C73" w:rsidRPr="00E13309">
        <w:rPr>
          <w:b/>
          <w:bCs/>
          <w:highlight w:val="yellow"/>
        </w:rPr>
        <w:t>Table of Materials</w:t>
      </w:r>
      <w:r w:rsidR="00F42C73" w:rsidRPr="00BE6FED">
        <w:rPr>
          <w:highlight w:val="yellow"/>
        </w:rPr>
        <w:t>) to the second tube</w:t>
      </w:r>
      <w:r w:rsidR="006A222B" w:rsidRPr="00BE6FED">
        <w:rPr>
          <w:highlight w:val="yellow"/>
        </w:rPr>
        <w:t>, respectively.</w:t>
      </w:r>
    </w:p>
    <w:p w14:paraId="3DA76AD8" w14:textId="77777777" w:rsidR="00E1233A" w:rsidRPr="00BE6FED" w:rsidRDefault="00E1233A" w:rsidP="006A1488">
      <w:pPr>
        <w:pStyle w:val="ListParagraph"/>
        <w:widowControl/>
        <w:autoSpaceDE/>
        <w:autoSpaceDN/>
        <w:adjustRightInd/>
        <w:ind w:left="0"/>
        <w:rPr>
          <w:highlight w:val="yellow"/>
        </w:rPr>
      </w:pPr>
    </w:p>
    <w:p w14:paraId="1FADC3F1" w14:textId="758E983B" w:rsidR="00784F37" w:rsidRPr="00BE6FED" w:rsidRDefault="00784F37" w:rsidP="006A1488">
      <w:pPr>
        <w:pStyle w:val="ListParagraph"/>
        <w:widowControl/>
        <w:numPr>
          <w:ilvl w:val="1"/>
          <w:numId w:val="18"/>
        </w:numPr>
        <w:autoSpaceDE/>
        <w:autoSpaceDN/>
        <w:adjustRightInd/>
        <w:rPr>
          <w:highlight w:val="yellow"/>
        </w:rPr>
      </w:pPr>
      <w:r w:rsidRPr="00BE6FED">
        <w:rPr>
          <w:highlight w:val="yellow"/>
        </w:rPr>
        <w:t xml:space="preserve">Add 1 drop of </w:t>
      </w:r>
      <w:r w:rsidR="00F042EB" w:rsidRPr="00BE6FED">
        <w:rPr>
          <w:highlight w:val="yellow"/>
        </w:rPr>
        <w:t>blue</w:t>
      </w:r>
      <w:r w:rsidR="00ED55ED" w:rsidRPr="00BE6FED">
        <w:rPr>
          <w:highlight w:val="yellow"/>
        </w:rPr>
        <w:t xml:space="preserve"> fluorescent live cell stain</w:t>
      </w:r>
      <w:r w:rsidR="00F042EB" w:rsidRPr="00BE6FED">
        <w:rPr>
          <w:highlight w:val="yellow"/>
        </w:rPr>
        <w:t xml:space="preserve"> (</w:t>
      </w:r>
      <w:r w:rsidR="00E13309">
        <w:rPr>
          <w:highlight w:val="yellow"/>
        </w:rPr>
        <w:t xml:space="preserve">see </w:t>
      </w:r>
      <w:r w:rsidR="00F042EB" w:rsidRPr="00E13309">
        <w:rPr>
          <w:b/>
          <w:bCs/>
          <w:highlight w:val="yellow"/>
        </w:rPr>
        <w:t>Table of Materials</w:t>
      </w:r>
      <w:r w:rsidR="00F042EB" w:rsidRPr="00BE6FED">
        <w:rPr>
          <w:highlight w:val="yellow"/>
        </w:rPr>
        <w:t>)</w:t>
      </w:r>
      <w:r w:rsidR="00ED55ED" w:rsidRPr="00BE6FED">
        <w:rPr>
          <w:highlight w:val="yellow"/>
        </w:rPr>
        <w:t xml:space="preserve"> </w:t>
      </w:r>
      <w:r w:rsidRPr="00BE6FED">
        <w:rPr>
          <w:highlight w:val="yellow"/>
        </w:rPr>
        <w:t>to each tube.</w:t>
      </w:r>
    </w:p>
    <w:p w14:paraId="0ABC7259" w14:textId="77777777" w:rsidR="00E1233A" w:rsidRPr="00BE6FED" w:rsidRDefault="00E1233A" w:rsidP="006A1488">
      <w:pPr>
        <w:pStyle w:val="ListParagraph"/>
        <w:widowControl/>
        <w:autoSpaceDE/>
        <w:autoSpaceDN/>
        <w:adjustRightInd/>
        <w:ind w:left="0"/>
        <w:rPr>
          <w:highlight w:val="yellow"/>
        </w:rPr>
      </w:pPr>
    </w:p>
    <w:p w14:paraId="6842C71F" w14:textId="1B779588" w:rsidR="00784F37" w:rsidRPr="00BE6FED" w:rsidRDefault="00784F37" w:rsidP="006A1488">
      <w:pPr>
        <w:pStyle w:val="ListParagraph"/>
        <w:widowControl/>
        <w:numPr>
          <w:ilvl w:val="1"/>
          <w:numId w:val="18"/>
        </w:numPr>
        <w:autoSpaceDE/>
        <w:autoSpaceDN/>
        <w:adjustRightInd/>
        <w:rPr>
          <w:highlight w:val="yellow"/>
        </w:rPr>
      </w:pPr>
      <w:r w:rsidRPr="00BE6FED">
        <w:rPr>
          <w:highlight w:val="yellow"/>
        </w:rPr>
        <w:t xml:space="preserve">Incubate at room temperature using </w:t>
      </w:r>
      <w:r w:rsidR="00ED55ED" w:rsidRPr="00BE6FED">
        <w:rPr>
          <w:highlight w:val="yellow"/>
        </w:rPr>
        <w:t xml:space="preserve">a </w:t>
      </w:r>
      <w:r w:rsidRPr="00BE6FED">
        <w:rPr>
          <w:highlight w:val="yellow"/>
        </w:rPr>
        <w:t>tube rotator for 2 h.</w:t>
      </w:r>
      <w:r w:rsidR="00ED55ED" w:rsidRPr="00BE6FED">
        <w:rPr>
          <w:highlight w:val="yellow"/>
        </w:rPr>
        <w:t xml:space="preserve"> Protect from light. </w:t>
      </w:r>
    </w:p>
    <w:p w14:paraId="4F8E4CA9" w14:textId="77777777" w:rsidR="00E1233A" w:rsidRPr="00BE6FED" w:rsidRDefault="00E1233A" w:rsidP="006A1488">
      <w:pPr>
        <w:pStyle w:val="ListParagraph"/>
        <w:widowControl/>
        <w:autoSpaceDE/>
        <w:autoSpaceDN/>
        <w:adjustRightInd/>
        <w:ind w:left="0"/>
        <w:rPr>
          <w:highlight w:val="yellow"/>
        </w:rPr>
      </w:pPr>
    </w:p>
    <w:p w14:paraId="64DDD08B" w14:textId="66226E37" w:rsidR="00784F37" w:rsidRPr="00BE6FED" w:rsidRDefault="00784F37" w:rsidP="006A1488">
      <w:pPr>
        <w:pStyle w:val="ListParagraph"/>
        <w:widowControl/>
        <w:numPr>
          <w:ilvl w:val="1"/>
          <w:numId w:val="18"/>
        </w:numPr>
        <w:autoSpaceDE/>
        <w:autoSpaceDN/>
        <w:adjustRightInd/>
        <w:rPr>
          <w:highlight w:val="yellow"/>
        </w:rPr>
      </w:pPr>
      <w:r w:rsidRPr="00BE6FED">
        <w:rPr>
          <w:highlight w:val="yellow"/>
        </w:rPr>
        <w:t>Centrifuge</w:t>
      </w:r>
      <w:r w:rsidR="00ED55ED" w:rsidRPr="00BE6FED">
        <w:rPr>
          <w:highlight w:val="yellow"/>
        </w:rPr>
        <w:t xml:space="preserve"> the</w:t>
      </w:r>
      <w:r w:rsidRPr="00BE6FED">
        <w:rPr>
          <w:highlight w:val="yellow"/>
        </w:rPr>
        <w:t xml:space="preserve"> cell suspension at room temperature at 330</w:t>
      </w:r>
      <w:r w:rsidR="00CC3737" w:rsidRPr="00BE6FED">
        <w:rPr>
          <w:highlight w:val="yellow"/>
        </w:rPr>
        <w:t xml:space="preserve"> </w:t>
      </w:r>
      <w:r w:rsidR="00E13309" w:rsidRPr="00E13309">
        <w:rPr>
          <w:i/>
          <w:iCs/>
          <w:highlight w:val="yellow"/>
        </w:rPr>
        <w:t>x</w:t>
      </w:r>
      <w:r w:rsidRPr="00E13309">
        <w:rPr>
          <w:i/>
          <w:iCs/>
          <w:highlight w:val="yellow"/>
        </w:rPr>
        <w:t xml:space="preserve"> g </w:t>
      </w:r>
      <w:r w:rsidRPr="00BE6FED">
        <w:rPr>
          <w:highlight w:val="yellow"/>
        </w:rPr>
        <w:t>for 10 min with rapid acceleration and</w:t>
      </w:r>
      <w:r w:rsidR="00ED55ED" w:rsidRPr="00BE6FED">
        <w:rPr>
          <w:highlight w:val="yellow"/>
        </w:rPr>
        <w:t xml:space="preserve"> the</w:t>
      </w:r>
      <w:r w:rsidRPr="00BE6FED">
        <w:rPr>
          <w:highlight w:val="yellow"/>
        </w:rPr>
        <w:t xml:space="preserve"> brake on high.</w:t>
      </w:r>
    </w:p>
    <w:p w14:paraId="42428891" w14:textId="77777777" w:rsidR="00E1233A" w:rsidRPr="00BE6FED" w:rsidRDefault="00E1233A" w:rsidP="006A1488">
      <w:pPr>
        <w:pStyle w:val="ListParagraph"/>
        <w:widowControl/>
        <w:autoSpaceDE/>
        <w:autoSpaceDN/>
        <w:adjustRightInd/>
        <w:ind w:left="0"/>
        <w:rPr>
          <w:highlight w:val="yellow"/>
        </w:rPr>
      </w:pPr>
    </w:p>
    <w:p w14:paraId="2C964DFF" w14:textId="5D5E90FE" w:rsidR="00784F37" w:rsidRPr="00BE6FED" w:rsidRDefault="00784F37" w:rsidP="006A1488">
      <w:pPr>
        <w:pStyle w:val="ListParagraph"/>
        <w:widowControl/>
        <w:numPr>
          <w:ilvl w:val="1"/>
          <w:numId w:val="18"/>
        </w:numPr>
        <w:autoSpaceDE/>
        <w:autoSpaceDN/>
        <w:adjustRightInd/>
        <w:rPr>
          <w:highlight w:val="yellow"/>
        </w:rPr>
      </w:pPr>
      <w:r w:rsidRPr="00BE6FED">
        <w:rPr>
          <w:highlight w:val="yellow"/>
        </w:rPr>
        <w:t>Decant the supernatant and carefully resuspend the cell pellet by tapping the tube. Add 1 m</w:t>
      </w:r>
      <w:r w:rsidR="00E13309">
        <w:rPr>
          <w:highlight w:val="yellow"/>
        </w:rPr>
        <w:t>L</w:t>
      </w:r>
      <w:r w:rsidRPr="00BE6FED">
        <w:rPr>
          <w:highlight w:val="yellow"/>
        </w:rPr>
        <w:t xml:space="preserve"> </w:t>
      </w:r>
      <w:r w:rsidR="00ED55ED" w:rsidRPr="00BE6FED">
        <w:rPr>
          <w:highlight w:val="yellow"/>
        </w:rPr>
        <w:t>of PBS</w:t>
      </w:r>
      <w:r w:rsidR="00E13309">
        <w:rPr>
          <w:highlight w:val="yellow"/>
        </w:rPr>
        <w:t xml:space="preserve">, </w:t>
      </w:r>
      <w:r w:rsidRPr="00BE6FED">
        <w:rPr>
          <w:highlight w:val="yellow"/>
        </w:rPr>
        <w:t xml:space="preserve">pH 7.2 containing 2 mM EDTA. </w:t>
      </w:r>
      <w:r w:rsidR="002C4599">
        <w:rPr>
          <w:highlight w:val="yellow"/>
        </w:rPr>
        <w:t>Ensuring that the cap is tightly closed, m</w:t>
      </w:r>
      <w:r w:rsidRPr="00BE6FED">
        <w:rPr>
          <w:highlight w:val="yellow"/>
        </w:rPr>
        <w:t xml:space="preserve">ix the cells by </w:t>
      </w:r>
      <w:r w:rsidR="00ED55ED" w:rsidRPr="00BE6FED">
        <w:rPr>
          <w:highlight w:val="yellow"/>
        </w:rPr>
        <w:t xml:space="preserve">inverting </w:t>
      </w:r>
      <w:r w:rsidRPr="00BE6FED">
        <w:rPr>
          <w:highlight w:val="yellow"/>
        </w:rPr>
        <w:t xml:space="preserve">the tube </w:t>
      </w:r>
      <w:r w:rsidR="002C4599">
        <w:rPr>
          <w:highlight w:val="yellow"/>
        </w:rPr>
        <w:t>2x</w:t>
      </w:r>
      <w:r w:rsidRPr="00BE6FED">
        <w:rPr>
          <w:highlight w:val="yellow"/>
        </w:rPr>
        <w:t xml:space="preserve">. </w:t>
      </w:r>
    </w:p>
    <w:p w14:paraId="223CDC84" w14:textId="77777777" w:rsidR="00E1233A" w:rsidRDefault="00E1233A" w:rsidP="006A1488">
      <w:pPr>
        <w:pStyle w:val="ListParagraph"/>
        <w:widowControl/>
        <w:autoSpaceDE/>
        <w:autoSpaceDN/>
        <w:adjustRightInd/>
        <w:ind w:left="0"/>
      </w:pPr>
    </w:p>
    <w:p w14:paraId="1D3AFFE3" w14:textId="0B006FED" w:rsidR="00784F37" w:rsidRDefault="00784F37" w:rsidP="006A1488">
      <w:pPr>
        <w:pStyle w:val="ListParagraph"/>
        <w:widowControl/>
        <w:numPr>
          <w:ilvl w:val="1"/>
          <w:numId w:val="18"/>
        </w:numPr>
        <w:autoSpaceDE/>
        <w:autoSpaceDN/>
        <w:adjustRightInd/>
      </w:pPr>
      <w:r>
        <w:t xml:space="preserve">Repeat steps </w:t>
      </w:r>
      <w:r w:rsidR="00A44DF4">
        <w:t>2.</w:t>
      </w:r>
      <w:r>
        <w:t xml:space="preserve">6 and </w:t>
      </w:r>
      <w:r w:rsidR="00A44DF4">
        <w:t>2.</w:t>
      </w:r>
      <w:r>
        <w:t xml:space="preserve">7 </w:t>
      </w:r>
      <w:r w:rsidR="00E13309">
        <w:t xml:space="preserve">for </w:t>
      </w:r>
      <w:r>
        <w:t>three times.</w:t>
      </w:r>
    </w:p>
    <w:p w14:paraId="711480A1" w14:textId="77777777" w:rsidR="00E1233A" w:rsidRDefault="00E1233A" w:rsidP="006A1488">
      <w:pPr>
        <w:pStyle w:val="ListParagraph"/>
        <w:widowControl/>
        <w:autoSpaceDE/>
        <w:autoSpaceDN/>
        <w:adjustRightInd/>
        <w:ind w:left="0"/>
      </w:pPr>
    </w:p>
    <w:p w14:paraId="7B776F8B" w14:textId="4B299CE2" w:rsidR="00784F37" w:rsidRPr="00BE6FED" w:rsidRDefault="00784F37" w:rsidP="006A1488">
      <w:pPr>
        <w:pStyle w:val="ListParagraph"/>
        <w:widowControl/>
        <w:numPr>
          <w:ilvl w:val="1"/>
          <w:numId w:val="18"/>
        </w:numPr>
        <w:autoSpaceDE/>
        <w:autoSpaceDN/>
        <w:adjustRightInd/>
        <w:rPr>
          <w:highlight w:val="yellow"/>
        </w:rPr>
      </w:pPr>
      <w:r w:rsidRPr="00BE6FED">
        <w:rPr>
          <w:highlight w:val="yellow"/>
        </w:rPr>
        <w:t>Resuspend cells in 20 μ</w:t>
      </w:r>
      <w:r w:rsidR="00E13309">
        <w:rPr>
          <w:highlight w:val="yellow"/>
        </w:rPr>
        <w:t>L of</w:t>
      </w:r>
      <w:r w:rsidRPr="00BE6FED">
        <w:rPr>
          <w:highlight w:val="yellow"/>
        </w:rPr>
        <w:t xml:space="preserve"> PBS pH 7.2</w:t>
      </w:r>
      <w:r w:rsidR="00ED55ED" w:rsidRPr="00BE6FED">
        <w:rPr>
          <w:highlight w:val="yellow"/>
        </w:rPr>
        <w:t xml:space="preserve"> </w:t>
      </w:r>
      <w:r w:rsidRPr="00BE6FED">
        <w:rPr>
          <w:highlight w:val="yellow"/>
        </w:rPr>
        <w:t>containing 2 mM EDTA.</w:t>
      </w:r>
    </w:p>
    <w:p w14:paraId="1AB8A28D" w14:textId="77777777" w:rsidR="00E1233A" w:rsidRPr="00BE6FED" w:rsidRDefault="00E1233A" w:rsidP="006A1488">
      <w:pPr>
        <w:pStyle w:val="ListParagraph"/>
        <w:widowControl/>
        <w:autoSpaceDE/>
        <w:autoSpaceDN/>
        <w:adjustRightInd/>
        <w:ind w:left="0"/>
        <w:rPr>
          <w:highlight w:val="yellow"/>
        </w:rPr>
      </w:pPr>
    </w:p>
    <w:p w14:paraId="5DFF1378" w14:textId="77777777" w:rsidR="00723BC6" w:rsidRDefault="00784F37" w:rsidP="00723BC6">
      <w:pPr>
        <w:pStyle w:val="ListParagraph"/>
        <w:widowControl/>
        <w:numPr>
          <w:ilvl w:val="1"/>
          <w:numId w:val="18"/>
        </w:numPr>
        <w:autoSpaceDE/>
        <w:autoSpaceDN/>
        <w:adjustRightInd/>
        <w:rPr>
          <w:highlight w:val="yellow"/>
        </w:rPr>
      </w:pPr>
      <w:r w:rsidRPr="00BE6FED">
        <w:rPr>
          <w:highlight w:val="yellow"/>
        </w:rPr>
        <w:t>Pipette 10 μ</w:t>
      </w:r>
      <w:r w:rsidR="00E13309">
        <w:rPr>
          <w:highlight w:val="yellow"/>
        </w:rPr>
        <w:t>L</w:t>
      </w:r>
      <w:r w:rsidRPr="00BE6FED">
        <w:rPr>
          <w:highlight w:val="yellow"/>
        </w:rPr>
        <w:t xml:space="preserve"> drop of </w:t>
      </w:r>
      <w:r w:rsidR="00BD499C">
        <w:rPr>
          <w:highlight w:val="yellow"/>
        </w:rPr>
        <w:t xml:space="preserve">the </w:t>
      </w:r>
      <w:r w:rsidRPr="00BE6FED">
        <w:rPr>
          <w:highlight w:val="yellow"/>
        </w:rPr>
        <w:t>cell suspension onto a borosilicate microscope slide</w:t>
      </w:r>
      <w:r w:rsidR="006A222B" w:rsidRPr="00BE6FED">
        <w:rPr>
          <w:highlight w:val="yellow"/>
        </w:rPr>
        <w:t xml:space="preserve"> and</w:t>
      </w:r>
      <w:r w:rsidR="00950944" w:rsidRPr="00BE6FED">
        <w:rPr>
          <w:highlight w:val="yellow"/>
        </w:rPr>
        <w:t xml:space="preserve"> </w:t>
      </w:r>
      <w:r w:rsidR="006A222B" w:rsidRPr="00BE6FED">
        <w:rPr>
          <w:highlight w:val="yellow"/>
        </w:rPr>
        <w:t>w</w:t>
      </w:r>
      <w:r w:rsidRPr="00BE6FED">
        <w:rPr>
          <w:highlight w:val="yellow"/>
        </w:rPr>
        <w:t>ait</w:t>
      </w:r>
      <w:r w:rsidR="00E13309">
        <w:rPr>
          <w:highlight w:val="yellow"/>
        </w:rPr>
        <w:t xml:space="preserve"> for</w:t>
      </w:r>
      <w:r w:rsidRPr="00BE6FED">
        <w:rPr>
          <w:highlight w:val="yellow"/>
        </w:rPr>
        <w:t xml:space="preserve"> 2 min for cells to slowly sediment to the bottom of the drop.</w:t>
      </w:r>
    </w:p>
    <w:p w14:paraId="1C9A5848" w14:textId="77777777" w:rsidR="00723BC6" w:rsidRPr="00723BC6" w:rsidRDefault="00723BC6" w:rsidP="00723BC6">
      <w:pPr>
        <w:pStyle w:val="ListParagraph"/>
        <w:rPr>
          <w:highlight w:val="yellow"/>
        </w:rPr>
      </w:pPr>
    </w:p>
    <w:p w14:paraId="4A2E51F0" w14:textId="4A23E46D" w:rsidR="00784F37" w:rsidRPr="00723BC6" w:rsidRDefault="00784F37" w:rsidP="00723BC6">
      <w:pPr>
        <w:pStyle w:val="ListParagraph"/>
        <w:widowControl/>
        <w:numPr>
          <w:ilvl w:val="1"/>
          <w:numId w:val="18"/>
        </w:numPr>
        <w:autoSpaceDE/>
        <w:autoSpaceDN/>
        <w:adjustRightInd/>
        <w:rPr>
          <w:highlight w:val="yellow"/>
        </w:rPr>
      </w:pPr>
      <w:r w:rsidRPr="00723BC6">
        <w:rPr>
          <w:highlight w:val="yellow"/>
        </w:rPr>
        <w:t>Carefully place a glass cover slip on top of the microscope slide</w:t>
      </w:r>
      <w:r w:rsidR="006A222B" w:rsidRPr="00723BC6">
        <w:rPr>
          <w:highlight w:val="yellow"/>
        </w:rPr>
        <w:t xml:space="preserve"> and place the slide on the stage of an inverted microscope</w:t>
      </w:r>
      <w:r w:rsidRPr="00723BC6">
        <w:rPr>
          <w:highlight w:val="yellow"/>
        </w:rPr>
        <w:t>.</w:t>
      </w:r>
    </w:p>
    <w:p w14:paraId="67E1B0B0" w14:textId="77777777" w:rsidR="00E1233A" w:rsidRPr="00BE6FED" w:rsidRDefault="00E1233A" w:rsidP="006A1488">
      <w:pPr>
        <w:pStyle w:val="ListParagraph"/>
        <w:widowControl/>
        <w:autoSpaceDE/>
        <w:autoSpaceDN/>
        <w:adjustRightInd/>
        <w:ind w:left="0"/>
        <w:rPr>
          <w:highlight w:val="yellow"/>
        </w:rPr>
      </w:pPr>
    </w:p>
    <w:p w14:paraId="1B985198" w14:textId="7BCCD5ED" w:rsidR="00784F37" w:rsidRPr="00BE6FED" w:rsidRDefault="00DB06B6" w:rsidP="006A1488">
      <w:pPr>
        <w:pStyle w:val="ListParagraph"/>
        <w:widowControl/>
        <w:numPr>
          <w:ilvl w:val="1"/>
          <w:numId w:val="18"/>
        </w:numPr>
        <w:autoSpaceDE/>
        <w:autoSpaceDN/>
        <w:adjustRightInd/>
        <w:rPr>
          <w:highlight w:val="yellow"/>
        </w:rPr>
      </w:pPr>
      <w:r w:rsidRPr="00BE6FED">
        <w:rPr>
          <w:highlight w:val="yellow"/>
        </w:rPr>
        <w:t xml:space="preserve">Record images of the </w:t>
      </w:r>
      <w:r w:rsidR="00784F37" w:rsidRPr="00BE6FED">
        <w:rPr>
          <w:highlight w:val="yellow"/>
        </w:rPr>
        <w:t xml:space="preserve">cells using </w:t>
      </w:r>
      <w:r w:rsidR="006A222B" w:rsidRPr="00BE6FED">
        <w:rPr>
          <w:highlight w:val="yellow"/>
        </w:rPr>
        <w:t xml:space="preserve">a </w:t>
      </w:r>
      <w:r w:rsidR="00784F37" w:rsidRPr="00BE6FED">
        <w:rPr>
          <w:highlight w:val="yellow"/>
        </w:rPr>
        <w:t>10</w:t>
      </w:r>
      <w:r w:rsidR="00E13309">
        <w:rPr>
          <w:highlight w:val="yellow"/>
        </w:rPr>
        <w:t>x</w:t>
      </w:r>
      <w:r w:rsidR="00784F37" w:rsidRPr="00BE6FED">
        <w:rPr>
          <w:highlight w:val="yellow"/>
        </w:rPr>
        <w:t xml:space="preserve"> </w:t>
      </w:r>
      <w:r w:rsidR="00F042EB" w:rsidRPr="00BE6FED">
        <w:rPr>
          <w:highlight w:val="yellow"/>
        </w:rPr>
        <w:t xml:space="preserve">objective </w:t>
      </w:r>
      <w:r w:rsidR="006A222B" w:rsidRPr="00BE6FED">
        <w:rPr>
          <w:highlight w:val="yellow"/>
        </w:rPr>
        <w:t xml:space="preserve">and an EMCCD camera connected to the microscope </w:t>
      </w:r>
      <w:r w:rsidR="00784F37" w:rsidRPr="00BE6FED">
        <w:rPr>
          <w:highlight w:val="yellow"/>
        </w:rPr>
        <w:t>for each of the fluorophores for both cell suspension samples.</w:t>
      </w:r>
    </w:p>
    <w:p w14:paraId="3A8EF045" w14:textId="77777777" w:rsidR="00E1233A" w:rsidRDefault="00E1233A" w:rsidP="006A1488">
      <w:pPr>
        <w:pStyle w:val="ListParagraph"/>
        <w:widowControl/>
        <w:autoSpaceDE/>
        <w:autoSpaceDN/>
        <w:adjustRightInd/>
        <w:ind w:left="0"/>
      </w:pPr>
    </w:p>
    <w:p w14:paraId="3D7EFBC7" w14:textId="1CA8325C" w:rsidR="00784F37" w:rsidRDefault="00784F37" w:rsidP="006A1488">
      <w:pPr>
        <w:pStyle w:val="ListParagraph"/>
        <w:widowControl/>
        <w:numPr>
          <w:ilvl w:val="1"/>
          <w:numId w:val="18"/>
        </w:numPr>
        <w:autoSpaceDE/>
        <w:autoSpaceDN/>
        <w:adjustRightInd/>
      </w:pPr>
      <w:r>
        <w:t>Manually count fluorescently</w:t>
      </w:r>
      <w:r w:rsidR="00E13309">
        <w:t xml:space="preserve"> </w:t>
      </w:r>
      <w:r>
        <w:t>labeled cells</w:t>
      </w:r>
      <w:r w:rsidR="008921DA">
        <w:t xml:space="preserve"> (see </w:t>
      </w:r>
      <w:r w:rsidR="008921DA" w:rsidRPr="00E13309">
        <w:rPr>
          <w:b/>
          <w:bCs/>
        </w:rPr>
        <w:t>Supplementary Information</w:t>
      </w:r>
      <w:r w:rsidR="008921DA">
        <w:t xml:space="preserve"> for raw data)</w:t>
      </w:r>
      <w:r>
        <w:t>.</w:t>
      </w:r>
    </w:p>
    <w:p w14:paraId="5AF09931" w14:textId="77777777" w:rsidR="00E1233A" w:rsidRDefault="00E1233A" w:rsidP="006A1488">
      <w:pPr>
        <w:pStyle w:val="ListParagraph"/>
        <w:widowControl/>
        <w:autoSpaceDE/>
        <w:autoSpaceDN/>
        <w:adjustRightInd/>
        <w:ind w:left="0"/>
      </w:pPr>
    </w:p>
    <w:p w14:paraId="4B8DC6AD" w14:textId="2214D37E" w:rsidR="00784F37" w:rsidRDefault="00ED55ED" w:rsidP="006A1488">
      <w:pPr>
        <w:pStyle w:val="ListParagraph"/>
        <w:widowControl/>
        <w:numPr>
          <w:ilvl w:val="1"/>
          <w:numId w:val="18"/>
        </w:numPr>
        <w:autoSpaceDE/>
        <w:autoSpaceDN/>
        <w:adjustRightInd/>
      </w:pPr>
      <w:r>
        <w:t xml:space="preserve">Take the ratio of </w:t>
      </w:r>
      <w:r w:rsidR="00CC3737">
        <w:t>a</w:t>
      </w:r>
      <w:r>
        <w:t xml:space="preserve">nti-Hu CD3 and </w:t>
      </w:r>
      <w:r w:rsidR="00CC3737">
        <w:t>a</w:t>
      </w:r>
      <w:r>
        <w:t>nti-Hu CD4/CD25 labeled-cells to DAPI-stained cells to obtain the proportions of CD</w:t>
      </w:r>
      <w:r w:rsidRPr="004F41AB">
        <w:t>3</w:t>
      </w:r>
      <w:r w:rsidRPr="00CC3F47">
        <w:rPr>
          <w:vertAlign w:val="superscript"/>
        </w:rPr>
        <w:t>+</w:t>
      </w:r>
      <w:r>
        <w:t xml:space="preserve"> T-Cells and </w:t>
      </w:r>
      <w:r w:rsidRPr="004F41AB">
        <w:t>CD4</w:t>
      </w:r>
      <w:r w:rsidRPr="00CC3F47">
        <w:rPr>
          <w:vertAlign w:val="superscript"/>
        </w:rPr>
        <w:t>+</w:t>
      </w:r>
      <w:r w:rsidRPr="004F41AB">
        <w:t xml:space="preserve"> </w:t>
      </w:r>
      <w:r w:rsidR="00CC3F47">
        <w:t>CD</w:t>
      </w:r>
      <w:r w:rsidRPr="004F41AB">
        <w:t>25</w:t>
      </w:r>
      <w:r w:rsidRPr="00CC3F47">
        <w:rPr>
          <w:vertAlign w:val="superscript"/>
        </w:rPr>
        <w:t>+</w:t>
      </w:r>
      <w:r>
        <w:t xml:space="preserve"> T-Regs to total leukocyte.</w:t>
      </w:r>
    </w:p>
    <w:p w14:paraId="472ACFBE" w14:textId="77777777" w:rsidR="004F41AB" w:rsidRPr="005F59CA" w:rsidRDefault="004F41AB" w:rsidP="004F41AB">
      <w:pPr>
        <w:pStyle w:val="ListParagraph"/>
        <w:widowControl/>
        <w:autoSpaceDE/>
        <w:autoSpaceDN/>
        <w:adjustRightInd/>
        <w:ind w:left="0"/>
      </w:pPr>
    </w:p>
    <w:p w14:paraId="190BBC55" w14:textId="1DFCF5BE" w:rsidR="00784F37" w:rsidRPr="00BD499C" w:rsidRDefault="00784F37" w:rsidP="006A1488">
      <w:pPr>
        <w:pStyle w:val="Heading2"/>
        <w:numPr>
          <w:ilvl w:val="0"/>
          <w:numId w:val="18"/>
        </w:numPr>
        <w:rPr>
          <w:highlight w:val="yellow"/>
        </w:rPr>
      </w:pPr>
      <w:r w:rsidRPr="00BD499C">
        <w:rPr>
          <w:highlight w:val="yellow"/>
        </w:rPr>
        <w:t xml:space="preserve">DNA </w:t>
      </w:r>
      <w:r w:rsidR="00BD499C" w:rsidRPr="00BD499C">
        <w:rPr>
          <w:highlight w:val="yellow"/>
        </w:rPr>
        <w:t>e</w:t>
      </w:r>
      <w:r w:rsidRPr="00BD499C">
        <w:rPr>
          <w:highlight w:val="yellow"/>
        </w:rPr>
        <w:t xml:space="preserve">xtraction and </w:t>
      </w:r>
      <w:r w:rsidR="00BD499C" w:rsidRPr="00BD499C">
        <w:rPr>
          <w:highlight w:val="yellow"/>
        </w:rPr>
        <w:t>b</w:t>
      </w:r>
      <w:r w:rsidRPr="00BD499C">
        <w:rPr>
          <w:highlight w:val="yellow"/>
        </w:rPr>
        <w:t xml:space="preserve">isulfite </w:t>
      </w:r>
      <w:r w:rsidR="00BD499C" w:rsidRPr="00BD499C">
        <w:rPr>
          <w:highlight w:val="yellow"/>
        </w:rPr>
        <w:t>c</w:t>
      </w:r>
      <w:r w:rsidRPr="00BD499C">
        <w:rPr>
          <w:highlight w:val="yellow"/>
        </w:rPr>
        <w:t xml:space="preserve">onversion </w:t>
      </w:r>
    </w:p>
    <w:p w14:paraId="59678ABF" w14:textId="77777777" w:rsidR="00B32B52" w:rsidRPr="00BD499C" w:rsidRDefault="00B32B52" w:rsidP="006A1488">
      <w:pPr>
        <w:pStyle w:val="ListParagraph"/>
        <w:ind w:left="0"/>
        <w:rPr>
          <w:b/>
          <w:bCs/>
          <w:highlight w:val="yellow"/>
        </w:rPr>
      </w:pPr>
    </w:p>
    <w:p w14:paraId="53C98BE8" w14:textId="59DE37FE" w:rsidR="00784F37" w:rsidRPr="00D37F04" w:rsidRDefault="00784F37" w:rsidP="006A1488">
      <w:pPr>
        <w:pStyle w:val="ListParagraph"/>
        <w:numPr>
          <w:ilvl w:val="1"/>
          <w:numId w:val="19"/>
        </w:numPr>
        <w:rPr>
          <w:highlight w:val="yellow"/>
        </w:rPr>
      </w:pPr>
      <w:r w:rsidRPr="00D37F04">
        <w:rPr>
          <w:highlight w:val="yellow"/>
        </w:rPr>
        <w:t xml:space="preserve">DNA </w:t>
      </w:r>
      <w:r w:rsidR="00BD499C" w:rsidRPr="00D37F04">
        <w:rPr>
          <w:highlight w:val="yellow"/>
        </w:rPr>
        <w:t>e</w:t>
      </w:r>
      <w:r w:rsidRPr="00D37F04">
        <w:rPr>
          <w:highlight w:val="yellow"/>
        </w:rPr>
        <w:t>xtraction</w:t>
      </w:r>
    </w:p>
    <w:p w14:paraId="1BC26ADE" w14:textId="77777777" w:rsidR="00B32B52" w:rsidRDefault="00B32B52" w:rsidP="006A1488">
      <w:pPr>
        <w:pStyle w:val="ListParagraph"/>
        <w:ind w:left="0"/>
        <w:rPr>
          <w:rFonts w:cs="Arial"/>
        </w:rPr>
      </w:pPr>
    </w:p>
    <w:p w14:paraId="760937CB" w14:textId="6F087BE6" w:rsidR="00784F37" w:rsidRPr="002C2D92" w:rsidRDefault="004F41AB" w:rsidP="006A1488">
      <w:pPr>
        <w:rPr>
          <w:rFonts w:cs="Arial"/>
        </w:rPr>
      </w:pPr>
      <w:r>
        <w:rPr>
          <w:rFonts w:cs="Arial"/>
        </w:rPr>
        <w:t xml:space="preserve">NOTE: </w:t>
      </w:r>
      <w:r w:rsidR="00784F37" w:rsidRPr="002C2D92">
        <w:rPr>
          <w:rFonts w:cs="Arial"/>
        </w:rPr>
        <w:t xml:space="preserve">Extract DNA from PBMCs </w:t>
      </w:r>
      <w:r w:rsidR="00887AAE">
        <w:rPr>
          <w:rFonts w:cs="Arial"/>
        </w:rPr>
        <w:t xml:space="preserve">prepared in </w:t>
      </w:r>
      <w:r>
        <w:rPr>
          <w:rFonts w:cs="Arial"/>
        </w:rPr>
        <w:t>s</w:t>
      </w:r>
      <w:r w:rsidR="00887AAE">
        <w:rPr>
          <w:rFonts w:cs="Arial"/>
        </w:rPr>
        <w:t xml:space="preserve">ection 1 </w:t>
      </w:r>
      <w:r w:rsidR="00784F37" w:rsidRPr="002C2D92">
        <w:rPr>
          <w:rFonts w:cs="Arial"/>
        </w:rPr>
        <w:t xml:space="preserve">using </w:t>
      </w:r>
      <w:r w:rsidR="00887AAE">
        <w:rPr>
          <w:rFonts w:cs="Arial"/>
        </w:rPr>
        <w:t>a magnetic DNA purification kit (</w:t>
      </w:r>
      <w:r>
        <w:rPr>
          <w:rFonts w:cs="Arial"/>
        </w:rPr>
        <w:t xml:space="preserve">see </w:t>
      </w:r>
      <w:r w:rsidR="00887AAE" w:rsidRPr="004F41AB">
        <w:rPr>
          <w:rFonts w:cs="Arial"/>
          <w:b/>
          <w:bCs/>
        </w:rPr>
        <w:t>Table of Materials</w:t>
      </w:r>
      <w:r w:rsidR="00887AAE">
        <w:rPr>
          <w:rFonts w:cs="Arial"/>
        </w:rPr>
        <w:t xml:space="preserve">) </w:t>
      </w:r>
      <w:r w:rsidR="00784F37" w:rsidRPr="002C2D92">
        <w:rPr>
          <w:rFonts w:cs="Arial"/>
        </w:rPr>
        <w:t>following procedures provided by the manufacture</w:t>
      </w:r>
      <w:r w:rsidR="00A549AA">
        <w:rPr>
          <w:rFonts w:cs="Arial"/>
        </w:rPr>
        <w:t>r</w:t>
      </w:r>
      <w:r w:rsidR="00784F37" w:rsidRPr="002C2D92">
        <w:rPr>
          <w:rFonts w:cs="Arial"/>
        </w:rPr>
        <w:t xml:space="preserve">. </w:t>
      </w:r>
    </w:p>
    <w:p w14:paraId="2840B310" w14:textId="77777777" w:rsidR="00B32B52" w:rsidRDefault="00B32B52" w:rsidP="006A1488">
      <w:pPr>
        <w:pStyle w:val="ListParagraph"/>
        <w:widowControl/>
        <w:autoSpaceDE/>
        <w:autoSpaceDN/>
        <w:adjustRightInd/>
        <w:ind w:left="0"/>
        <w:rPr>
          <w:rFonts w:cs="Arial"/>
        </w:rPr>
      </w:pPr>
    </w:p>
    <w:p w14:paraId="5AAE51E4" w14:textId="0C7E946B"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In a 1.5</w:t>
      </w:r>
      <w:r w:rsidR="00A549AA" w:rsidRPr="00BE6FED">
        <w:rPr>
          <w:rFonts w:cs="Arial"/>
          <w:highlight w:val="yellow"/>
        </w:rPr>
        <w:t xml:space="preserve"> </w:t>
      </w:r>
      <w:r w:rsidRPr="00BE6FED">
        <w:rPr>
          <w:rFonts w:cs="Arial"/>
          <w:highlight w:val="yellow"/>
        </w:rPr>
        <w:t>m</w:t>
      </w:r>
      <w:r w:rsidR="004F41AB">
        <w:rPr>
          <w:rFonts w:cs="Arial"/>
          <w:highlight w:val="yellow"/>
        </w:rPr>
        <w:t>L</w:t>
      </w:r>
      <w:r w:rsidRPr="00BE6FED">
        <w:rPr>
          <w:rFonts w:cs="Arial"/>
          <w:highlight w:val="yellow"/>
        </w:rPr>
        <w:t xml:space="preserve"> tube suspend cells in 100</w:t>
      </w:r>
      <w:r w:rsidR="00A549AA" w:rsidRPr="00BE6FED">
        <w:rPr>
          <w:rFonts w:cs="Arial"/>
          <w:highlight w:val="yellow"/>
        </w:rPr>
        <w:t xml:space="preserve"> </w:t>
      </w:r>
      <w:r w:rsidRPr="00BE6FED">
        <w:rPr>
          <w:rFonts w:cs="Arial"/>
          <w:highlight w:val="yellow"/>
        </w:rPr>
        <w:t>µ</w:t>
      </w:r>
      <w:r w:rsidR="004F41AB">
        <w:rPr>
          <w:rFonts w:cs="Arial"/>
          <w:highlight w:val="yellow"/>
        </w:rPr>
        <w:t>L</w:t>
      </w:r>
      <w:r w:rsidRPr="00BE6FED">
        <w:rPr>
          <w:rFonts w:cs="Arial"/>
          <w:highlight w:val="yellow"/>
        </w:rPr>
        <w:t xml:space="preserve"> of PBS and add 20</w:t>
      </w:r>
      <w:r w:rsidR="00A549AA" w:rsidRPr="00BE6FED">
        <w:rPr>
          <w:rFonts w:cs="Arial"/>
          <w:highlight w:val="yellow"/>
        </w:rPr>
        <w:t xml:space="preserve"> </w:t>
      </w:r>
      <w:r w:rsidRPr="00BE6FED">
        <w:rPr>
          <w:rFonts w:cs="Arial"/>
          <w:highlight w:val="yellow"/>
        </w:rPr>
        <w:t>µ</w:t>
      </w:r>
      <w:r w:rsidR="004F41AB">
        <w:rPr>
          <w:rFonts w:cs="Arial"/>
          <w:highlight w:val="yellow"/>
        </w:rPr>
        <w:t>L</w:t>
      </w:r>
      <w:r w:rsidRPr="00BE6FED">
        <w:rPr>
          <w:rFonts w:cs="Arial"/>
          <w:highlight w:val="yellow"/>
        </w:rPr>
        <w:t xml:space="preserve"> of Proteinase K and 400</w:t>
      </w:r>
      <w:r w:rsidR="00A549AA" w:rsidRPr="00BE6FED">
        <w:rPr>
          <w:rFonts w:cs="Arial"/>
          <w:highlight w:val="yellow"/>
        </w:rPr>
        <w:t xml:space="preserve"> </w:t>
      </w:r>
      <w:r w:rsidRPr="00BE6FED">
        <w:rPr>
          <w:rFonts w:cs="Arial"/>
          <w:highlight w:val="yellow"/>
        </w:rPr>
        <w:t>µ</w:t>
      </w:r>
      <w:r w:rsidR="004F41AB">
        <w:rPr>
          <w:rFonts w:cs="Arial"/>
          <w:highlight w:val="yellow"/>
        </w:rPr>
        <w:t>L</w:t>
      </w:r>
      <w:r w:rsidRPr="00BE6FED">
        <w:rPr>
          <w:rFonts w:cs="Arial"/>
          <w:highlight w:val="yellow"/>
        </w:rPr>
        <w:t xml:space="preserve"> of Lysis/Binding buffer</w:t>
      </w:r>
      <w:r w:rsidR="00691EB2" w:rsidRPr="00BE6FED">
        <w:rPr>
          <w:rFonts w:cs="Arial"/>
          <w:highlight w:val="yellow"/>
        </w:rPr>
        <w:t>.</w:t>
      </w:r>
      <w:r w:rsidRPr="00BE6FED">
        <w:rPr>
          <w:rFonts w:cs="Arial"/>
          <w:highlight w:val="yellow"/>
        </w:rPr>
        <w:t xml:space="preserve"> </w:t>
      </w:r>
      <w:r w:rsidR="00691EB2" w:rsidRPr="00BE6FED">
        <w:rPr>
          <w:rFonts w:cs="Arial"/>
          <w:highlight w:val="yellow"/>
        </w:rPr>
        <w:t>M</w:t>
      </w:r>
      <w:r w:rsidRPr="00BE6FED">
        <w:rPr>
          <w:rFonts w:cs="Arial"/>
          <w:highlight w:val="yellow"/>
        </w:rPr>
        <w:t>ix by pipetting up-down 10x, then</w:t>
      </w:r>
      <w:r w:rsidR="002C4599">
        <w:rPr>
          <w:rFonts w:cs="Arial"/>
          <w:highlight w:val="yellow"/>
        </w:rPr>
        <w:t xml:space="preserve"> perform</w:t>
      </w:r>
      <w:r w:rsidRPr="00BE6FED">
        <w:rPr>
          <w:rFonts w:cs="Arial"/>
          <w:highlight w:val="yellow"/>
        </w:rPr>
        <w:t xml:space="preserve"> incubat</w:t>
      </w:r>
      <w:r w:rsidR="002C4599">
        <w:rPr>
          <w:rFonts w:cs="Arial"/>
          <w:highlight w:val="yellow"/>
        </w:rPr>
        <w:t>ion</w:t>
      </w:r>
      <w:r w:rsidR="0019013A" w:rsidRPr="00BE6FED">
        <w:rPr>
          <w:rFonts w:cs="Arial"/>
          <w:highlight w:val="yellow"/>
        </w:rPr>
        <w:t xml:space="preserve"> at room temperature</w:t>
      </w:r>
      <w:r w:rsidRPr="00BE6FED">
        <w:rPr>
          <w:rFonts w:cs="Arial"/>
          <w:highlight w:val="yellow"/>
        </w:rPr>
        <w:t xml:space="preserve"> for 5</w:t>
      </w:r>
      <w:r w:rsidR="00CC3737" w:rsidRPr="00BE6FED">
        <w:rPr>
          <w:rFonts w:cs="Arial"/>
          <w:highlight w:val="yellow"/>
        </w:rPr>
        <w:t xml:space="preserve"> </w:t>
      </w:r>
      <w:r w:rsidRPr="00BE6FED">
        <w:rPr>
          <w:rFonts w:cs="Arial"/>
          <w:highlight w:val="yellow"/>
        </w:rPr>
        <w:t>min.</w:t>
      </w:r>
    </w:p>
    <w:p w14:paraId="4F572FC6" w14:textId="77777777" w:rsidR="00B32B52" w:rsidRPr="00BE6FED" w:rsidRDefault="00B32B52" w:rsidP="006A1488">
      <w:pPr>
        <w:pStyle w:val="ListParagraph"/>
        <w:widowControl/>
        <w:autoSpaceDE/>
        <w:autoSpaceDN/>
        <w:adjustRightInd/>
        <w:ind w:left="0"/>
        <w:rPr>
          <w:rFonts w:cs="Arial"/>
          <w:highlight w:val="yellow"/>
        </w:rPr>
      </w:pPr>
    </w:p>
    <w:p w14:paraId="6C888E70" w14:textId="602CD2E8"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lastRenderedPageBreak/>
        <w:t xml:space="preserve">Capture </w:t>
      </w:r>
      <w:r w:rsidR="0019013A" w:rsidRPr="00BE6FED">
        <w:rPr>
          <w:rFonts w:cs="Arial"/>
          <w:highlight w:val="yellow"/>
        </w:rPr>
        <w:t xml:space="preserve">the </w:t>
      </w:r>
      <w:r w:rsidRPr="00BE6FED">
        <w:rPr>
          <w:rFonts w:cs="Arial"/>
          <w:highlight w:val="yellow"/>
        </w:rPr>
        <w:t xml:space="preserve">DNA-bead complex by placing </w:t>
      </w:r>
      <w:r w:rsidR="0019013A" w:rsidRPr="00BE6FED">
        <w:rPr>
          <w:rFonts w:cs="Arial"/>
          <w:highlight w:val="yellow"/>
        </w:rPr>
        <w:t xml:space="preserve">the </w:t>
      </w:r>
      <w:r w:rsidRPr="00BE6FED">
        <w:rPr>
          <w:rFonts w:cs="Arial"/>
          <w:highlight w:val="yellow"/>
        </w:rPr>
        <w:t xml:space="preserve">tube on </w:t>
      </w:r>
      <w:r w:rsidR="0019013A" w:rsidRPr="00BE6FED">
        <w:rPr>
          <w:rFonts w:cs="Arial"/>
          <w:highlight w:val="yellow"/>
        </w:rPr>
        <w:t xml:space="preserve">a </w:t>
      </w:r>
      <w:r w:rsidRPr="00BE6FED">
        <w:rPr>
          <w:rFonts w:cs="Arial"/>
          <w:highlight w:val="yellow"/>
        </w:rPr>
        <w:t>magnetic rack for 1-2</w:t>
      </w:r>
      <w:r w:rsidR="004F41AB">
        <w:rPr>
          <w:rFonts w:cs="Arial"/>
          <w:highlight w:val="yellow"/>
        </w:rPr>
        <w:t xml:space="preserve"> </w:t>
      </w:r>
      <w:r w:rsidRPr="00BE6FED">
        <w:rPr>
          <w:rFonts w:cs="Arial"/>
          <w:highlight w:val="yellow"/>
        </w:rPr>
        <w:t xml:space="preserve">min, then </w:t>
      </w:r>
      <w:r w:rsidR="00C05A09" w:rsidRPr="00BE6FED">
        <w:rPr>
          <w:rFonts w:cs="Arial"/>
          <w:highlight w:val="yellow"/>
        </w:rPr>
        <w:t xml:space="preserve">carefully </w:t>
      </w:r>
      <w:r w:rsidRPr="00BE6FED">
        <w:rPr>
          <w:rFonts w:cs="Arial"/>
          <w:highlight w:val="yellow"/>
        </w:rPr>
        <w:t>remove</w:t>
      </w:r>
      <w:r w:rsidR="00C05A09" w:rsidRPr="00BE6FED">
        <w:rPr>
          <w:rFonts w:cs="Arial"/>
          <w:highlight w:val="yellow"/>
        </w:rPr>
        <w:t xml:space="preserve"> and discard the</w:t>
      </w:r>
      <w:r w:rsidRPr="00BE6FED">
        <w:rPr>
          <w:rFonts w:cs="Arial"/>
          <w:highlight w:val="yellow"/>
        </w:rPr>
        <w:t xml:space="preserve"> supernatant. </w:t>
      </w:r>
    </w:p>
    <w:p w14:paraId="457D2788" w14:textId="77777777" w:rsidR="00B32B52" w:rsidRPr="00BE6FED" w:rsidRDefault="00B32B52" w:rsidP="006A1488">
      <w:pPr>
        <w:pStyle w:val="ListParagraph"/>
        <w:widowControl/>
        <w:autoSpaceDE/>
        <w:autoSpaceDN/>
        <w:adjustRightInd/>
        <w:ind w:left="0"/>
        <w:rPr>
          <w:rFonts w:cs="Arial"/>
          <w:highlight w:val="yellow"/>
        </w:rPr>
      </w:pPr>
    </w:p>
    <w:p w14:paraId="4DCD4D22" w14:textId="0F66B169"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Remove</w:t>
      </w:r>
      <w:r w:rsidR="00C05A09" w:rsidRPr="00BE6FED">
        <w:rPr>
          <w:rFonts w:cs="Arial"/>
          <w:highlight w:val="yellow"/>
        </w:rPr>
        <w:t xml:space="preserve"> the</w:t>
      </w:r>
      <w:r w:rsidRPr="00BE6FED">
        <w:rPr>
          <w:rFonts w:cs="Arial"/>
          <w:highlight w:val="yellow"/>
        </w:rPr>
        <w:t xml:space="preserve"> tube</w:t>
      </w:r>
      <w:r w:rsidR="00C05A09" w:rsidRPr="00BE6FED">
        <w:rPr>
          <w:rFonts w:cs="Arial"/>
          <w:highlight w:val="yellow"/>
        </w:rPr>
        <w:t xml:space="preserve"> containing the DNA-bead complex</w:t>
      </w:r>
      <w:r w:rsidRPr="00BE6FED">
        <w:rPr>
          <w:rFonts w:cs="Arial"/>
          <w:highlight w:val="yellow"/>
        </w:rPr>
        <w:t xml:space="preserve"> from magnetic rack and resuspend </w:t>
      </w:r>
      <w:r w:rsidR="00C05A09" w:rsidRPr="00BE6FED">
        <w:rPr>
          <w:rFonts w:cs="Arial"/>
          <w:highlight w:val="yellow"/>
        </w:rPr>
        <w:t>the beads</w:t>
      </w:r>
      <w:r w:rsidRPr="00BE6FED">
        <w:rPr>
          <w:rFonts w:cs="Arial"/>
          <w:highlight w:val="yellow"/>
        </w:rPr>
        <w:t xml:space="preserve"> in 600</w:t>
      </w:r>
      <w:r w:rsidR="00A549AA" w:rsidRPr="00BE6FED">
        <w:rPr>
          <w:rFonts w:cs="Arial"/>
          <w:highlight w:val="yellow"/>
        </w:rPr>
        <w:t xml:space="preserve"> </w:t>
      </w:r>
      <w:r w:rsidRPr="00BE6FED">
        <w:rPr>
          <w:rFonts w:cs="Arial"/>
          <w:highlight w:val="yellow"/>
        </w:rPr>
        <w:t>µ</w:t>
      </w:r>
      <w:r w:rsidR="004F41AB">
        <w:rPr>
          <w:rFonts w:cs="Arial"/>
          <w:highlight w:val="yellow"/>
        </w:rPr>
        <w:t>L</w:t>
      </w:r>
      <w:r w:rsidRPr="00BE6FED">
        <w:rPr>
          <w:rFonts w:cs="Arial"/>
          <w:highlight w:val="yellow"/>
        </w:rPr>
        <w:t xml:space="preserve"> of Wash Buffer #1</w:t>
      </w:r>
      <w:r w:rsidR="00C05A09" w:rsidRPr="00BE6FED">
        <w:rPr>
          <w:rFonts w:cs="Arial"/>
          <w:highlight w:val="yellow"/>
        </w:rPr>
        <w:t xml:space="preserve"> to wash away any non-specific binding</w:t>
      </w:r>
      <w:r w:rsidRPr="00BE6FED">
        <w:rPr>
          <w:rFonts w:cs="Arial"/>
          <w:highlight w:val="yellow"/>
        </w:rPr>
        <w:t xml:space="preserve">. </w:t>
      </w:r>
    </w:p>
    <w:p w14:paraId="444188A1" w14:textId="77777777" w:rsidR="00B32B52" w:rsidRPr="00BE6FED" w:rsidRDefault="00B32B52" w:rsidP="006A1488">
      <w:pPr>
        <w:pStyle w:val="ListParagraph"/>
        <w:widowControl/>
        <w:autoSpaceDE/>
        <w:autoSpaceDN/>
        <w:adjustRightInd/>
        <w:ind w:left="0"/>
        <w:rPr>
          <w:rFonts w:cs="Arial"/>
          <w:highlight w:val="yellow"/>
        </w:rPr>
      </w:pPr>
    </w:p>
    <w:p w14:paraId="2B324546" w14:textId="24B6D194" w:rsidR="00C97B9F" w:rsidRPr="00BE6FED" w:rsidRDefault="00C05A09" w:rsidP="006A1488">
      <w:pPr>
        <w:pStyle w:val="ListParagraph"/>
        <w:widowControl/>
        <w:numPr>
          <w:ilvl w:val="2"/>
          <w:numId w:val="19"/>
        </w:numPr>
        <w:autoSpaceDE/>
        <w:autoSpaceDN/>
        <w:adjustRightInd/>
        <w:rPr>
          <w:rFonts w:cs="Arial"/>
          <w:highlight w:val="yellow"/>
        </w:rPr>
      </w:pPr>
      <w:r w:rsidRPr="00BE6FED">
        <w:rPr>
          <w:rFonts w:cs="Arial"/>
          <w:highlight w:val="yellow"/>
        </w:rPr>
        <w:t>Place the tube again on the</w:t>
      </w:r>
      <w:r w:rsidR="00784F37" w:rsidRPr="00BE6FED">
        <w:rPr>
          <w:rFonts w:cs="Arial"/>
          <w:highlight w:val="yellow"/>
        </w:rPr>
        <w:t xml:space="preserve"> magnetic rack and </w:t>
      </w:r>
      <w:r w:rsidRPr="00BE6FED">
        <w:rPr>
          <w:rFonts w:cs="Arial"/>
          <w:highlight w:val="yellow"/>
        </w:rPr>
        <w:t xml:space="preserve">carefully </w:t>
      </w:r>
      <w:r w:rsidR="00784F37" w:rsidRPr="00BE6FED">
        <w:rPr>
          <w:rFonts w:cs="Arial"/>
          <w:highlight w:val="yellow"/>
        </w:rPr>
        <w:t xml:space="preserve">remove </w:t>
      </w:r>
      <w:r w:rsidRPr="00BE6FED">
        <w:rPr>
          <w:rFonts w:cs="Arial"/>
          <w:highlight w:val="yellow"/>
        </w:rPr>
        <w:t xml:space="preserve">and </w:t>
      </w:r>
      <w:r w:rsidR="00C97B9F" w:rsidRPr="00BE6FED">
        <w:rPr>
          <w:rFonts w:cs="Arial"/>
          <w:highlight w:val="yellow"/>
        </w:rPr>
        <w:t>discard</w:t>
      </w:r>
      <w:r w:rsidRPr="00BE6FED">
        <w:rPr>
          <w:rFonts w:cs="Arial"/>
          <w:highlight w:val="yellow"/>
        </w:rPr>
        <w:t xml:space="preserve"> the </w:t>
      </w:r>
      <w:r w:rsidR="00784F37" w:rsidRPr="00BE6FED">
        <w:rPr>
          <w:rFonts w:cs="Arial"/>
          <w:highlight w:val="yellow"/>
        </w:rPr>
        <w:t>supernatant</w:t>
      </w:r>
      <w:r w:rsidR="00C97B9F" w:rsidRPr="00BE6FED">
        <w:rPr>
          <w:rFonts w:cs="Arial"/>
          <w:highlight w:val="yellow"/>
        </w:rPr>
        <w:t>.</w:t>
      </w:r>
    </w:p>
    <w:p w14:paraId="782DB785" w14:textId="77777777" w:rsidR="00C97B9F" w:rsidRPr="00BE6FED" w:rsidRDefault="00C97B9F" w:rsidP="006A1488">
      <w:pPr>
        <w:pStyle w:val="ListParagraph"/>
        <w:ind w:left="0"/>
        <w:rPr>
          <w:rFonts w:cs="Arial"/>
          <w:highlight w:val="yellow"/>
        </w:rPr>
      </w:pPr>
    </w:p>
    <w:p w14:paraId="59E5FBAB" w14:textId="1B9B282A" w:rsidR="00C05A09" w:rsidRPr="00BE6FED" w:rsidRDefault="00C97B9F" w:rsidP="006A1488">
      <w:pPr>
        <w:pStyle w:val="ListParagraph"/>
        <w:widowControl/>
        <w:numPr>
          <w:ilvl w:val="2"/>
          <w:numId w:val="19"/>
        </w:numPr>
        <w:autoSpaceDE/>
        <w:autoSpaceDN/>
        <w:adjustRightInd/>
        <w:rPr>
          <w:rFonts w:cs="Arial"/>
          <w:highlight w:val="yellow"/>
        </w:rPr>
      </w:pPr>
      <w:r w:rsidRPr="00BE6FED">
        <w:rPr>
          <w:rFonts w:cs="Arial"/>
          <w:highlight w:val="yellow"/>
        </w:rPr>
        <w:t>R</w:t>
      </w:r>
      <w:r w:rsidR="00784F37" w:rsidRPr="00BE6FED">
        <w:rPr>
          <w:rFonts w:cs="Arial"/>
          <w:highlight w:val="yellow"/>
        </w:rPr>
        <w:t xml:space="preserve">epeat </w:t>
      </w:r>
      <w:r w:rsidR="00C05A09" w:rsidRPr="00BE6FED">
        <w:rPr>
          <w:rFonts w:cs="Arial"/>
          <w:highlight w:val="yellow"/>
        </w:rPr>
        <w:t>steps 3</w:t>
      </w:r>
      <w:r w:rsidRPr="00BE6FED">
        <w:rPr>
          <w:rFonts w:cs="Arial"/>
          <w:highlight w:val="yellow"/>
        </w:rPr>
        <w:t>.1.3</w:t>
      </w:r>
      <w:r w:rsidR="00C05A09" w:rsidRPr="00BE6FED">
        <w:rPr>
          <w:rFonts w:cs="Arial"/>
          <w:highlight w:val="yellow"/>
        </w:rPr>
        <w:t xml:space="preserve"> and </w:t>
      </w:r>
      <w:r w:rsidRPr="00BE6FED">
        <w:rPr>
          <w:rFonts w:cs="Arial"/>
          <w:highlight w:val="yellow"/>
        </w:rPr>
        <w:t>3.1.4</w:t>
      </w:r>
      <w:r w:rsidR="00C05A09" w:rsidRPr="00BE6FED">
        <w:rPr>
          <w:rFonts w:cs="Arial"/>
          <w:highlight w:val="yellow"/>
        </w:rPr>
        <w:t xml:space="preserve"> </w:t>
      </w:r>
      <w:r w:rsidR="00784F37" w:rsidRPr="00BE6FED">
        <w:rPr>
          <w:rFonts w:cs="Arial"/>
          <w:highlight w:val="yellow"/>
        </w:rPr>
        <w:t>with 600</w:t>
      </w:r>
      <w:r w:rsidR="00F42C73" w:rsidRPr="00BE6FED">
        <w:rPr>
          <w:rFonts w:cs="Arial"/>
          <w:highlight w:val="yellow"/>
        </w:rPr>
        <w:t xml:space="preserve"> </w:t>
      </w:r>
      <w:r w:rsidR="00784F37" w:rsidRPr="00BE6FED">
        <w:rPr>
          <w:rFonts w:cs="Arial"/>
          <w:highlight w:val="yellow"/>
        </w:rPr>
        <w:t>µ</w:t>
      </w:r>
      <w:r w:rsidR="004F41AB">
        <w:rPr>
          <w:rFonts w:cs="Arial"/>
          <w:highlight w:val="yellow"/>
        </w:rPr>
        <w:t>L</w:t>
      </w:r>
      <w:r w:rsidR="00784F37" w:rsidRPr="00BE6FED">
        <w:rPr>
          <w:rFonts w:cs="Arial"/>
          <w:highlight w:val="yellow"/>
        </w:rPr>
        <w:t xml:space="preserve"> of Wash Buffer #2</w:t>
      </w:r>
      <w:r w:rsidR="00C05A09" w:rsidRPr="00BE6FED">
        <w:rPr>
          <w:rFonts w:cs="Arial"/>
          <w:highlight w:val="yellow"/>
        </w:rPr>
        <w:t>.</w:t>
      </w:r>
      <w:r w:rsidR="00784F37" w:rsidRPr="00BE6FED">
        <w:rPr>
          <w:rFonts w:cs="Arial"/>
          <w:highlight w:val="yellow"/>
        </w:rPr>
        <w:t xml:space="preserve"> </w:t>
      </w:r>
      <w:r w:rsidR="00C05A09" w:rsidRPr="00BE6FED">
        <w:rPr>
          <w:rFonts w:cs="Arial"/>
          <w:highlight w:val="yellow"/>
        </w:rPr>
        <w:t xml:space="preserve"> </w:t>
      </w:r>
    </w:p>
    <w:p w14:paraId="224BF1B3" w14:textId="77777777" w:rsidR="00C05A09" w:rsidRPr="00BE6FED" w:rsidRDefault="00C05A09" w:rsidP="006A1488">
      <w:pPr>
        <w:pStyle w:val="ListParagraph"/>
        <w:ind w:left="0"/>
        <w:rPr>
          <w:rFonts w:cs="Arial"/>
          <w:highlight w:val="yellow"/>
        </w:rPr>
      </w:pPr>
    </w:p>
    <w:p w14:paraId="78A3825F" w14:textId="4A8755E5" w:rsidR="00C05A09" w:rsidRPr="00BE6FED" w:rsidRDefault="00C05A09" w:rsidP="006A1488">
      <w:pPr>
        <w:pStyle w:val="ListParagraph"/>
        <w:widowControl/>
        <w:numPr>
          <w:ilvl w:val="2"/>
          <w:numId w:val="19"/>
        </w:numPr>
        <w:autoSpaceDE/>
        <w:autoSpaceDN/>
        <w:adjustRightInd/>
        <w:rPr>
          <w:rFonts w:cs="Arial"/>
          <w:highlight w:val="yellow"/>
        </w:rPr>
      </w:pPr>
      <w:r w:rsidRPr="00BE6FED">
        <w:rPr>
          <w:rFonts w:cs="Arial"/>
          <w:highlight w:val="yellow"/>
        </w:rPr>
        <w:t>Leave the tube open to air</w:t>
      </w:r>
      <w:r w:rsidR="00C97B9F" w:rsidRPr="00BE6FED">
        <w:rPr>
          <w:rFonts w:cs="Arial"/>
          <w:highlight w:val="yellow"/>
        </w:rPr>
        <w:t>-</w:t>
      </w:r>
      <w:r w:rsidRPr="00BE6FED">
        <w:rPr>
          <w:rFonts w:cs="Arial"/>
          <w:highlight w:val="yellow"/>
        </w:rPr>
        <w:t xml:space="preserve">dry for 1 min. </w:t>
      </w:r>
    </w:p>
    <w:p w14:paraId="57D223E2" w14:textId="77777777" w:rsidR="00B32B52" w:rsidRPr="00BE6FED" w:rsidRDefault="00B32B52" w:rsidP="006A1488">
      <w:pPr>
        <w:pStyle w:val="ListParagraph"/>
        <w:widowControl/>
        <w:autoSpaceDE/>
        <w:autoSpaceDN/>
        <w:adjustRightInd/>
        <w:ind w:left="0"/>
        <w:rPr>
          <w:rFonts w:cs="Arial"/>
          <w:highlight w:val="yellow"/>
        </w:rPr>
      </w:pPr>
    </w:p>
    <w:p w14:paraId="3414198B" w14:textId="111A7F15"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 xml:space="preserve">Remove </w:t>
      </w:r>
      <w:r w:rsidR="00C05A09" w:rsidRPr="00BE6FED">
        <w:rPr>
          <w:rFonts w:cs="Arial"/>
          <w:highlight w:val="yellow"/>
        </w:rPr>
        <w:t xml:space="preserve">the </w:t>
      </w:r>
      <w:r w:rsidRPr="00BE6FED">
        <w:rPr>
          <w:rFonts w:cs="Arial"/>
          <w:highlight w:val="yellow"/>
        </w:rPr>
        <w:t xml:space="preserve">tube from </w:t>
      </w:r>
      <w:r w:rsidR="00C05A09" w:rsidRPr="00BE6FED">
        <w:rPr>
          <w:rFonts w:cs="Arial"/>
          <w:highlight w:val="yellow"/>
        </w:rPr>
        <w:t xml:space="preserve">the </w:t>
      </w:r>
      <w:r w:rsidRPr="00BE6FED">
        <w:rPr>
          <w:rFonts w:cs="Arial"/>
          <w:highlight w:val="yellow"/>
        </w:rPr>
        <w:t>magnetic rack and</w:t>
      </w:r>
      <w:r w:rsidR="00C05A09" w:rsidRPr="00BE6FED">
        <w:rPr>
          <w:rFonts w:cs="Arial"/>
          <w:highlight w:val="yellow"/>
        </w:rPr>
        <w:t xml:space="preserve"> elute the DNA </w:t>
      </w:r>
      <w:r w:rsidR="00C97B9F" w:rsidRPr="00BE6FED">
        <w:rPr>
          <w:rFonts w:cs="Arial"/>
          <w:highlight w:val="yellow"/>
        </w:rPr>
        <w:t xml:space="preserve">by </w:t>
      </w:r>
      <w:r w:rsidR="00056270" w:rsidRPr="00BE6FED">
        <w:rPr>
          <w:rFonts w:cs="Arial"/>
          <w:highlight w:val="yellow"/>
        </w:rPr>
        <w:t>dispensing 100</w:t>
      </w:r>
      <w:r w:rsidR="00A549AA" w:rsidRPr="00BE6FED">
        <w:rPr>
          <w:rFonts w:cs="Arial"/>
          <w:highlight w:val="yellow"/>
        </w:rPr>
        <w:t xml:space="preserve"> </w:t>
      </w:r>
      <w:r w:rsidR="00056270" w:rsidRPr="00BE6FED">
        <w:rPr>
          <w:rFonts w:cs="Arial"/>
          <w:highlight w:val="yellow"/>
        </w:rPr>
        <w:t>µ</w:t>
      </w:r>
      <w:r w:rsidR="004F41AB">
        <w:rPr>
          <w:rFonts w:cs="Arial"/>
          <w:highlight w:val="yellow"/>
        </w:rPr>
        <w:t>L</w:t>
      </w:r>
      <w:r w:rsidR="00056270" w:rsidRPr="00BE6FED">
        <w:rPr>
          <w:rFonts w:cs="Arial"/>
          <w:highlight w:val="yellow"/>
        </w:rPr>
        <w:t xml:space="preserve"> of </w:t>
      </w:r>
      <w:r w:rsidR="004F41AB">
        <w:rPr>
          <w:rFonts w:cs="Arial"/>
          <w:highlight w:val="yellow"/>
        </w:rPr>
        <w:t>E</w:t>
      </w:r>
      <w:r w:rsidR="00056270" w:rsidRPr="00BE6FED">
        <w:rPr>
          <w:rFonts w:cs="Arial"/>
          <w:highlight w:val="yellow"/>
        </w:rPr>
        <w:t xml:space="preserve">lution Buffer and </w:t>
      </w:r>
      <w:r w:rsidRPr="00BE6FED">
        <w:rPr>
          <w:rFonts w:cs="Arial"/>
          <w:highlight w:val="yellow"/>
        </w:rPr>
        <w:t xml:space="preserve">pipetting </w:t>
      </w:r>
      <w:r w:rsidR="00BD499C" w:rsidRPr="00BE6FED">
        <w:rPr>
          <w:rFonts w:cs="Arial"/>
          <w:highlight w:val="yellow"/>
        </w:rPr>
        <w:t xml:space="preserve">the DNA/bead complex </w:t>
      </w:r>
      <w:r w:rsidRPr="00BE6FED">
        <w:rPr>
          <w:rFonts w:cs="Arial"/>
          <w:highlight w:val="yellow"/>
        </w:rPr>
        <w:t>up</w:t>
      </w:r>
      <w:r w:rsidR="00BD499C">
        <w:rPr>
          <w:rFonts w:cs="Arial"/>
          <w:highlight w:val="yellow"/>
        </w:rPr>
        <w:t xml:space="preserve"> and </w:t>
      </w:r>
      <w:r w:rsidRPr="00BE6FED">
        <w:rPr>
          <w:rFonts w:cs="Arial"/>
          <w:highlight w:val="yellow"/>
        </w:rPr>
        <w:t xml:space="preserve">down 20x. </w:t>
      </w:r>
    </w:p>
    <w:p w14:paraId="0FDCF25C" w14:textId="77777777" w:rsidR="00B32B52" w:rsidRPr="00BE6FED" w:rsidRDefault="00B32B52" w:rsidP="006A1488">
      <w:pPr>
        <w:pStyle w:val="ListParagraph"/>
        <w:widowControl/>
        <w:autoSpaceDE/>
        <w:autoSpaceDN/>
        <w:adjustRightInd/>
        <w:ind w:left="0"/>
        <w:rPr>
          <w:rFonts w:cs="Arial"/>
          <w:highlight w:val="yellow"/>
        </w:rPr>
      </w:pPr>
    </w:p>
    <w:p w14:paraId="0224C9C8" w14:textId="50C44A81" w:rsidR="00784F37" w:rsidRPr="00BE6FED" w:rsidRDefault="00C05A09" w:rsidP="006A1488">
      <w:pPr>
        <w:pStyle w:val="ListParagraph"/>
        <w:widowControl/>
        <w:numPr>
          <w:ilvl w:val="2"/>
          <w:numId w:val="19"/>
        </w:numPr>
        <w:autoSpaceDE/>
        <w:autoSpaceDN/>
        <w:adjustRightInd/>
        <w:rPr>
          <w:rFonts w:cs="Arial"/>
          <w:highlight w:val="yellow"/>
        </w:rPr>
      </w:pPr>
      <w:r w:rsidRPr="00BE6FED">
        <w:rPr>
          <w:rFonts w:cs="Arial"/>
          <w:highlight w:val="yellow"/>
        </w:rPr>
        <w:t>Place the tube containing the eluted DNA again on the magnetic rack and i</w:t>
      </w:r>
      <w:r w:rsidR="00784F37" w:rsidRPr="00BE6FED">
        <w:rPr>
          <w:rFonts w:cs="Arial"/>
          <w:highlight w:val="yellow"/>
        </w:rPr>
        <w:t>ncubate for 1-2 min</w:t>
      </w:r>
      <w:r w:rsidRPr="00BE6FED">
        <w:rPr>
          <w:rFonts w:cs="Arial"/>
          <w:highlight w:val="yellow"/>
        </w:rPr>
        <w:t xml:space="preserve"> to separate the magnetic beads from the eluted DNA.</w:t>
      </w:r>
    </w:p>
    <w:p w14:paraId="7D3611B9" w14:textId="77777777" w:rsidR="00B32B52" w:rsidRPr="00BE6FED" w:rsidRDefault="00B32B52" w:rsidP="006A1488">
      <w:pPr>
        <w:pStyle w:val="ListParagraph"/>
        <w:widowControl/>
        <w:autoSpaceDE/>
        <w:autoSpaceDN/>
        <w:adjustRightInd/>
        <w:ind w:left="0"/>
        <w:rPr>
          <w:rFonts w:cs="Arial"/>
          <w:highlight w:val="yellow"/>
        </w:rPr>
      </w:pPr>
    </w:p>
    <w:p w14:paraId="585DC0CA" w14:textId="5B0E98A6"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 xml:space="preserve">Transfer </w:t>
      </w:r>
      <w:r w:rsidR="00C05A09" w:rsidRPr="00BE6FED">
        <w:rPr>
          <w:rFonts w:cs="Arial"/>
          <w:highlight w:val="yellow"/>
        </w:rPr>
        <w:t xml:space="preserve">the </w:t>
      </w:r>
      <w:r w:rsidRPr="00BE6FED">
        <w:rPr>
          <w:rFonts w:cs="Arial"/>
          <w:highlight w:val="yellow"/>
        </w:rPr>
        <w:t>eluted</w:t>
      </w:r>
      <w:r w:rsidR="00C05A09" w:rsidRPr="00BE6FED">
        <w:rPr>
          <w:rFonts w:cs="Arial"/>
          <w:highlight w:val="yellow"/>
        </w:rPr>
        <w:t xml:space="preserve"> purified</w:t>
      </w:r>
      <w:r w:rsidRPr="00BE6FED">
        <w:rPr>
          <w:rFonts w:cs="Arial"/>
          <w:highlight w:val="yellow"/>
        </w:rPr>
        <w:t xml:space="preserve"> DNA solution to</w:t>
      </w:r>
      <w:r w:rsidR="00C05A09" w:rsidRPr="00BE6FED">
        <w:rPr>
          <w:rFonts w:cs="Arial"/>
          <w:highlight w:val="yellow"/>
        </w:rPr>
        <w:t xml:space="preserve"> a new</w:t>
      </w:r>
      <w:r w:rsidRPr="00BE6FED">
        <w:rPr>
          <w:rFonts w:cs="Arial"/>
          <w:highlight w:val="yellow"/>
        </w:rPr>
        <w:t xml:space="preserve"> clean tube. </w:t>
      </w:r>
    </w:p>
    <w:p w14:paraId="02F66E8A" w14:textId="77777777" w:rsidR="00B32B52" w:rsidRDefault="00B32B52" w:rsidP="006A1488">
      <w:pPr>
        <w:pStyle w:val="ListParagraph"/>
        <w:widowControl/>
        <w:autoSpaceDE/>
        <w:autoSpaceDN/>
        <w:adjustRightInd/>
        <w:ind w:left="0"/>
        <w:rPr>
          <w:rFonts w:cs="Arial"/>
        </w:rPr>
      </w:pPr>
    </w:p>
    <w:p w14:paraId="1FB9FC00" w14:textId="332E72D5" w:rsidR="00784F37" w:rsidRPr="00443059" w:rsidRDefault="00784F37" w:rsidP="006A1488">
      <w:pPr>
        <w:pStyle w:val="ListParagraph"/>
        <w:widowControl/>
        <w:numPr>
          <w:ilvl w:val="2"/>
          <w:numId w:val="19"/>
        </w:numPr>
        <w:autoSpaceDE/>
        <w:autoSpaceDN/>
        <w:adjustRightInd/>
        <w:rPr>
          <w:rFonts w:cs="Arial"/>
        </w:rPr>
      </w:pPr>
      <w:r w:rsidRPr="00443059">
        <w:rPr>
          <w:rFonts w:cs="Arial"/>
        </w:rPr>
        <w:t xml:space="preserve">Assess the concentration of </w:t>
      </w:r>
      <w:r w:rsidR="00C05A09">
        <w:rPr>
          <w:rFonts w:cs="Arial"/>
        </w:rPr>
        <w:t xml:space="preserve">the </w:t>
      </w:r>
      <w:r w:rsidRPr="00443059">
        <w:rPr>
          <w:rFonts w:cs="Arial"/>
        </w:rPr>
        <w:t xml:space="preserve">purified DNA sample </w:t>
      </w:r>
      <w:r w:rsidR="00C05A09">
        <w:rPr>
          <w:rFonts w:cs="Arial"/>
        </w:rPr>
        <w:t xml:space="preserve">by measuring the </w:t>
      </w:r>
      <w:r w:rsidRPr="00443059">
        <w:rPr>
          <w:rFonts w:cs="Arial"/>
        </w:rPr>
        <w:t xml:space="preserve">absorbance </w:t>
      </w:r>
      <w:r w:rsidR="00C05A09">
        <w:rPr>
          <w:rFonts w:cs="Arial"/>
        </w:rPr>
        <w:t xml:space="preserve">at </w:t>
      </w:r>
      <w:r w:rsidRPr="00443059">
        <w:rPr>
          <w:rFonts w:cs="Arial"/>
        </w:rPr>
        <w:t>260</w:t>
      </w:r>
      <w:r w:rsidR="00056270">
        <w:rPr>
          <w:rFonts w:cs="Arial"/>
        </w:rPr>
        <w:t xml:space="preserve"> </w:t>
      </w:r>
      <w:r w:rsidRPr="00443059">
        <w:rPr>
          <w:rFonts w:cs="Arial"/>
        </w:rPr>
        <w:t xml:space="preserve">nm using </w:t>
      </w:r>
      <w:r w:rsidR="00C05A09">
        <w:rPr>
          <w:rFonts w:cs="Arial"/>
        </w:rPr>
        <w:t>a spectrophotometer</w:t>
      </w:r>
      <w:r w:rsidRPr="00443059">
        <w:rPr>
          <w:rFonts w:cs="Arial"/>
        </w:rPr>
        <w:t xml:space="preserve">. </w:t>
      </w:r>
    </w:p>
    <w:p w14:paraId="5681FDA3" w14:textId="77777777" w:rsidR="00B32B52" w:rsidRPr="00D37F04" w:rsidRDefault="00B32B52" w:rsidP="006A1488">
      <w:pPr>
        <w:pStyle w:val="ListParagraph"/>
        <w:ind w:left="0"/>
      </w:pPr>
    </w:p>
    <w:p w14:paraId="3D0544B9" w14:textId="2965958A" w:rsidR="00784F37" w:rsidRPr="00D37F04" w:rsidRDefault="00784F37" w:rsidP="006A1488">
      <w:pPr>
        <w:pStyle w:val="ListParagraph"/>
        <w:numPr>
          <w:ilvl w:val="1"/>
          <w:numId w:val="19"/>
        </w:numPr>
        <w:rPr>
          <w:highlight w:val="yellow"/>
        </w:rPr>
      </w:pPr>
      <w:r w:rsidRPr="00D37F04">
        <w:rPr>
          <w:highlight w:val="yellow"/>
        </w:rPr>
        <w:t xml:space="preserve">Bisulfite </w:t>
      </w:r>
      <w:r w:rsidR="00723BC6" w:rsidRPr="00D37F04">
        <w:rPr>
          <w:highlight w:val="yellow"/>
        </w:rPr>
        <w:t>c</w:t>
      </w:r>
      <w:r w:rsidRPr="00D37F04">
        <w:rPr>
          <w:highlight w:val="yellow"/>
        </w:rPr>
        <w:t xml:space="preserve">onversion </w:t>
      </w:r>
    </w:p>
    <w:p w14:paraId="2175A718" w14:textId="77777777" w:rsidR="00B32B52" w:rsidRDefault="00B32B52" w:rsidP="006A1488">
      <w:pPr>
        <w:pStyle w:val="ListParagraph"/>
        <w:ind w:left="0"/>
        <w:rPr>
          <w:rFonts w:cs="Arial"/>
        </w:rPr>
      </w:pPr>
    </w:p>
    <w:p w14:paraId="0E2A33F1" w14:textId="718288D8" w:rsidR="00784F37" w:rsidRPr="002C2D92" w:rsidRDefault="004F41AB" w:rsidP="006A1488">
      <w:pPr>
        <w:rPr>
          <w:rFonts w:cs="Arial"/>
        </w:rPr>
      </w:pPr>
      <w:r>
        <w:rPr>
          <w:rFonts w:cs="Arial"/>
        </w:rPr>
        <w:t xml:space="preserve">NOTE: </w:t>
      </w:r>
      <w:r w:rsidR="00784F37" w:rsidRPr="002C2D92">
        <w:rPr>
          <w:rFonts w:cs="Arial"/>
        </w:rPr>
        <w:t xml:space="preserve">Perform </w:t>
      </w:r>
      <w:r w:rsidR="00C05A09">
        <w:rPr>
          <w:rFonts w:cs="Arial"/>
        </w:rPr>
        <w:t xml:space="preserve">the </w:t>
      </w:r>
      <w:r w:rsidR="00784F37" w:rsidRPr="002C2D92">
        <w:rPr>
          <w:rFonts w:cs="Arial"/>
        </w:rPr>
        <w:t xml:space="preserve">bisulfite conversion on purified DNA using </w:t>
      </w:r>
      <w:r w:rsidR="00C05A09">
        <w:rPr>
          <w:rFonts w:cs="Arial"/>
        </w:rPr>
        <w:t>a m</w:t>
      </w:r>
      <w:r w:rsidR="00784F37" w:rsidRPr="002C2D92">
        <w:rPr>
          <w:rFonts w:cs="Arial"/>
        </w:rPr>
        <w:t>ethylatio</w:t>
      </w:r>
      <w:r w:rsidR="00C05A09">
        <w:rPr>
          <w:rFonts w:cs="Arial"/>
        </w:rPr>
        <w:t>n kit (</w:t>
      </w:r>
      <w:r>
        <w:rPr>
          <w:rFonts w:cs="Arial"/>
        </w:rPr>
        <w:t xml:space="preserve">see </w:t>
      </w:r>
      <w:r w:rsidR="00C05A09" w:rsidRPr="004F41AB">
        <w:rPr>
          <w:rFonts w:cs="Arial"/>
          <w:b/>
          <w:bCs/>
        </w:rPr>
        <w:t>Table of Materials</w:t>
      </w:r>
      <w:r w:rsidR="00C05A09">
        <w:rPr>
          <w:rFonts w:cs="Arial"/>
        </w:rPr>
        <w:t>)</w:t>
      </w:r>
      <w:r w:rsidR="00C05A09" w:rsidRPr="002C2D92" w:rsidDel="00C05A09">
        <w:rPr>
          <w:rFonts w:cs="Arial"/>
        </w:rPr>
        <w:t xml:space="preserve"> </w:t>
      </w:r>
      <w:r w:rsidR="00C05A09">
        <w:rPr>
          <w:rFonts w:cs="Arial"/>
        </w:rPr>
        <w:t>following procedures provided by the manufacture</w:t>
      </w:r>
      <w:r w:rsidR="00A549AA">
        <w:rPr>
          <w:rFonts w:cs="Arial"/>
        </w:rPr>
        <w:t>r</w:t>
      </w:r>
      <w:r w:rsidR="00C05A09">
        <w:rPr>
          <w:rFonts w:cs="Arial"/>
        </w:rPr>
        <w:t xml:space="preserve">. </w:t>
      </w:r>
    </w:p>
    <w:p w14:paraId="7FE705B0" w14:textId="77777777" w:rsidR="00B32B52" w:rsidRDefault="00B32B52" w:rsidP="006A1488">
      <w:pPr>
        <w:pStyle w:val="ListParagraph"/>
        <w:widowControl/>
        <w:autoSpaceDE/>
        <w:autoSpaceDN/>
        <w:adjustRightInd/>
        <w:ind w:left="0"/>
        <w:rPr>
          <w:rFonts w:cs="Arial"/>
        </w:rPr>
      </w:pPr>
    </w:p>
    <w:p w14:paraId="04176A03" w14:textId="3BE7BC2C" w:rsidR="00784F37" w:rsidRPr="00BE6FED" w:rsidRDefault="002C4599" w:rsidP="006A1488">
      <w:pPr>
        <w:pStyle w:val="ListParagraph"/>
        <w:widowControl/>
        <w:numPr>
          <w:ilvl w:val="2"/>
          <w:numId w:val="19"/>
        </w:numPr>
        <w:autoSpaceDE/>
        <w:autoSpaceDN/>
        <w:adjustRightInd/>
        <w:rPr>
          <w:rFonts w:cs="Arial"/>
          <w:highlight w:val="yellow"/>
        </w:rPr>
      </w:pPr>
      <w:r>
        <w:rPr>
          <w:rFonts w:cs="Arial"/>
          <w:highlight w:val="yellow"/>
        </w:rPr>
        <w:t>T</w:t>
      </w:r>
      <w:r w:rsidR="00784F37" w:rsidRPr="00BE6FED">
        <w:rPr>
          <w:rFonts w:cs="Arial"/>
          <w:highlight w:val="yellow"/>
        </w:rPr>
        <w:t>o 20</w:t>
      </w:r>
      <w:r w:rsidR="00C84AF9" w:rsidRPr="00BE6FED">
        <w:rPr>
          <w:rFonts w:cs="Arial"/>
          <w:highlight w:val="yellow"/>
        </w:rPr>
        <w:t xml:space="preserve"> </w:t>
      </w:r>
      <w:r w:rsidR="00784F37" w:rsidRPr="00BE6FED">
        <w:rPr>
          <w:rFonts w:cs="Arial"/>
          <w:highlight w:val="yellow"/>
        </w:rPr>
        <w:t>µ</w:t>
      </w:r>
      <w:r w:rsidR="004F41AB">
        <w:rPr>
          <w:rFonts w:cs="Arial"/>
          <w:highlight w:val="yellow"/>
        </w:rPr>
        <w:t>L</w:t>
      </w:r>
      <w:r w:rsidR="00784F37" w:rsidRPr="00BE6FED">
        <w:rPr>
          <w:rFonts w:cs="Arial"/>
          <w:highlight w:val="yellow"/>
        </w:rPr>
        <w:t xml:space="preserve"> of DNA sample (</w:t>
      </w:r>
      <w:r w:rsidR="00C84AF9" w:rsidRPr="00BE6FED">
        <w:rPr>
          <w:rFonts w:cs="Arial"/>
          <w:highlight w:val="yellow"/>
        </w:rPr>
        <w:t>200-</w:t>
      </w:r>
      <w:r w:rsidR="00784F37" w:rsidRPr="00BE6FED">
        <w:rPr>
          <w:rFonts w:cs="Arial"/>
          <w:highlight w:val="yellow"/>
        </w:rPr>
        <w:t>500</w:t>
      </w:r>
      <w:r w:rsidR="00C84AF9" w:rsidRPr="00BE6FED">
        <w:rPr>
          <w:rFonts w:cs="Arial"/>
          <w:highlight w:val="yellow"/>
        </w:rPr>
        <w:t xml:space="preserve"> </w:t>
      </w:r>
      <w:r w:rsidR="00784F37" w:rsidRPr="00BE6FED">
        <w:rPr>
          <w:rFonts w:cs="Arial"/>
          <w:highlight w:val="yellow"/>
        </w:rPr>
        <w:t>ng) in a PCR tube</w:t>
      </w:r>
      <w:r>
        <w:rPr>
          <w:rFonts w:cs="Arial"/>
          <w:highlight w:val="yellow"/>
        </w:rPr>
        <w:t xml:space="preserve"> a</w:t>
      </w:r>
      <w:r w:rsidRPr="00BE6FED">
        <w:rPr>
          <w:rFonts w:cs="Arial"/>
          <w:highlight w:val="yellow"/>
        </w:rPr>
        <w:t>dd 130 µ</w:t>
      </w:r>
      <w:r>
        <w:rPr>
          <w:rFonts w:cs="Arial"/>
          <w:highlight w:val="yellow"/>
        </w:rPr>
        <w:t>L</w:t>
      </w:r>
      <w:r w:rsidRPr="00BE6FED">
        <w:rPr>
          <w:rFonts w:cs="Arial"/>
          <w:highlight w:val="yellow"/>
        </w:rPr>
        <w:t xml:space="preserve"> of Conversion Reagent</w:t>
      </w:r>
      <w:r w:rsidR="00784F37" w:rsidRPr="00BE6FED">
        <w:rPr>
          <w:rFonts w:cs="Arial"/>
          <w:highlight w:val="yellow"/>
        </w:rPr>
        <w:t>. Mix</w:t>
      </w:r>
      <w:r>
        <w:rPr>
          <w:rFonts w:cs="Arial"/>
          <w:highlight w:val="yellow"/>
        </w:rPr>
        <w:t xml:space="preserve"> well</w:t>
      </w:r>
      <w:r w:rsidR="00784F37" w:rsidRPr="00BE6FED">
        <w:rPr>
          <w:rFonts w:cs="Arial"/>
          <w:highlight w:val="yellow"/>
        </w:rPr>
        <w:t xml:space="preserve"> and </w:t>
      </w:r>
      <w:r w:rsidR="00C05A09" w:rsidRPr="00BE6FED">
        <w:rPr>
          <w:rFonts w:cs="Arial"/>
          <w:highlight w:val="yellow"/>
        </w:rPr>
        <w:t xml:space="preserve">spin down </w:t>
      </w:r>
      <w:r w:rsidR="00784F37" w:rsidRPr="00BE6FED">
        <w:rPr>
          <w:rFonts w:cs="Arial"/>
          <w:highlight w:val="yellow"/>
        </w:rPr>
        <w:t xml:space="preserve">briefly. </w:t>
      </w:r>
    </w:p>
    <w:p w14:paraId="2C534D86" w14:textId="77777777" w:rsidR="00B32B52" w:rsidRPr="00BE6FED" w:rsidRDefault="00B32B52" w:rsidP="006A1488">
      <w:pPr>
        <w:pStyle w:val="ListParagraph"/>
        <w:widowControl/>
        <w:autoSpaceDE/>
        <w:autoSpaceDN/>
        <w:adjustRightInd/>
        <w:ind w:left="0"/>
        <w:rPr>
          <w:rFonts w:cs="Arial"/>
          <w:highlight w:val="yellow"/>
        </w:rPr>
      </w:pPr>
    </w:p>
    <w:p w14:paraId="3EF7E5F9" w14:textId="60F421F6" w:rsidR="00784F37" w:rsidRPr="004F41AB"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 xml:space="preserve">Transfer </w:t>
      </w:r>
      <w:r w:rsidR="00C05A09" w:rsidRPr="00BE6FED">
        <w:rPr>
          <w:rFonts w:cs="Arial"/>
          <w:highlight w:val="yellow"/>
        </w:rPr>
        <w:t xml:space="preserve">the </w:t>
      </w:r>
      <w:r w:rsidRPr="00BE6FED">
        <w:rPr>
          <w:rFonts w:cs="Arial"/>
          <w:highlight w:val="yellow"/>
        </w:rPr>
        <w:t xml:space="preserve">PCR tube to a thermal cycler and perform the cycling protocol as follows: </w:t>
      </w:r>
      <w:r w:rsidRPr="004F41AB">
        <w:rPr>
          <w:rFonts w:cs="Arial"/>
          <w:highlight w:val="yellow"/>
        </w:rPr>
        <w:t>98</w:t>
      </w:r>
      <w:r w:rsidR="00A549AA" w:rsidRPr="004F41AB">
        <w:rPr>
          <w:rFonts w:cs="Arial"/>
          <w:highlight w:val="yellow"/>
        </w:rPr>
        <w:t xml:space="preserve"> </w:t>
      </w:r>
      <w:r w:rsidR="005359BF" w:rsidRPr="004F41AB">
        <w:rPr>
          <w:rFonts w:cs="Arial"/>
          <w:highlight w:val="yellow"/>
        </w:rPr>
        <w:t>°</w:t>
      </w:r>
      <w:r w:rsidRPr="004F41AB">
        <w:rPr>
          <w:rFonts w:cs="Arial"/>
          <w:highlight w:val="yellow"/>
        </w:rPr>
        <w:t>C for 8</w:t>
      </w:r>
      <w:r w:rsidR="00C84AF9" w:rsidRPr="004F41AB">
        <w:rPr>
          <w:rFonts w:cs="Arial"/>
          <w:highlight w:val="yellow"/>
        </w:rPr>
        <w:t xml:space="preserve"> </w:t>
      </w:r>
      <w:r w:rsidRPr="004F41AB">
        <w:rPr>
          <w:rFonts w:cs="Arial"/>
          <w:highlight w:val="yellow"/>
        </w:rPr>
        <w:t>min</w:t>
      </w:r>
      <w:r w:rsidR="00B32B52" w:rsidRPr="004F41AB">
        <w:rPr>
          <w:rFonts w:cs="Arial"/>
          <w:highlight w:val="yellow"/>
        </w:rPr>
        <w:t xml:space="preserve">; </w:t>
      </w:r>
      <w:r w:rsidRPr="004F41AB">
        <w:rPr>
          <w:rFonts w:cs="Arial"/>
          <w:highlight w:val="yellow"/>
        </w:rPr>
        <w:t>54</w:t>
      </w:r>
      <w:r w:rsidR="00C84AF9" w:rsidRPr="004F41AB">
        <w:rPr>
          <w:rFonts w:cs="Arial"/>
          <w:highlight w:val="yellow"/>
        </w:rPr>
        <w:t xml:space="preserve"> </w:t>
      </w:r>
      <w:r w:rsidR="005359BF" w:rsidRPr="004F41AB">
        <w:rPr>
          <w:rFonts w:cs="Arial"/>
          <w:highlight w:val="yellow"/>
        </w:rPr>
        <w:t>°</w:t>
      </w:r>
      <w:r w:rsidRPr="004F41AB">
        <w:rPr>
          <w:rFonts w:cs="Arial"/>
          <w:highlight w:val="yellow"/>
        </w:rPr>
        <w:t>C for 60</w:t>
      </w:r>
      <w:r w:rsidR="00C84AF9" w:rsidRPr="004F41AB">
        <w:rPr>
          <w:rFonts w:cs="Arial"/>
          <w:highlight w:val="yellow"/>
        </w:rPr>
        <w:t xml:space="preserve"> </w:t>
      </w:r>
      <w:r w:rsidRPr="004F41AB">
        <w:rPr>
          <w:rFonts w:cs="Arial"/>
          <w:highlight w:val="yellow"/>
        </w:rPr>
        <w:t>min</w:t>
      </w:r>
      <w:r w:rsidR="00EA3F99" w:rsidRPr="004F41AB">
        <w:rPr>
          <w:rFonts w:cs="Arial"/>
          <w:highlight w:val="yellow"/>
        </w:rPr>
        <w:t xml:space="preserve"> and</w:t>
      </w:r>
      <w:r w:rsidR="00B32B52" w:rsidRPr="004F41AB">
        <w:rPr>
          <w:rFonts w:cs="Arial"/>
          <w:highlight w:val="yellow"/>
        </w:rPr>
        <w:t xml:space="preserve"> h</w:t>
      </w:r>
      <w:r w:rsidRPr="004F41AB">
        <w:rPr>
          <w:rFonts w:cs="Arial"/>
          <w:highlight w:val="yellow"/>
        </w:rPr>
        <w:t>old at 4</w:t>
      </w:r>
      <w:r w:rsidR="00C84AF9" w:rsidRPr="004F41AB">
        <w:rPr>
          <w:rFonts w:cs="Arial"/>
          <w:highlight w:val="yellow"/>
        </w:rPr>
        <w:t xml:space="preserve"> </w:t>
      </w:r>
      <w:r w:rsidR="005359BF" w:rsidRPr="004F41AB">
        <w:rPr>
          <w:rFonts w:cs="Arial"/>
          <w:highlight w:val="yellow"/>
        </w:rPr>
        <w:t>°</w:t>
      </w:r>
      <w:r w:rsidRPr="004F41AB">
        <w:rPr>
          <w:rFonts w:cs="Arial"/>
          <w:highlight w:val="yellow"/>
        </w:rPr>
        <w:t xml:space="preserve">C. </w:t>
      </w:r>
    </w:p>
    <w:p w14:paraId="2B20869B" w14:textId="77777777" w:rsidR="00B32B52" w:rsidRPr="00BE6FED" w:rsidRDefault="00B32B52" w:rsidP="006A1488">
      <w:pPr>
        <w:pStyle w:val="ListParagraph"/>
        <w:widowControl/>
        <w:autoSpaceDE/>
        <w:autoSpaceDN/>
        <w:adjustRightInd/>
        <w:ind w:left="0"/>
        <w:rPr>
          <w:rFonts w:cs="Arial"/>
          <w:highlight w:val="yellow"/>
        </w:rPr>
      </w:pPr>
    </w:p>
    <w:p w14:paraId="473E5108" w14:textId="5DBC99EA"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Add 600</w:t>
      </w:r>
      <w:r w:rsidR="00C84AF9" w:rsidRPr="00BE6FED">
        <w:rPr>
          <w:rFonts w:cs="Arial"/>
          <w:highlight w:val="yellow"/>
        </w:rPr>
        <w:t xml:space="preserve"> </w:t>
      </w:r>
      <w:r w:rsidRPr="00BE6FED">
        <w:rPr>
          <w:rFonts w:cs="Arial"/>
          <w:highlight w:val="yellow"/>
        </w:rPr>
        <w:t>µ</w:t>
      </w:r>
      <w:r w:rsidR="004F41AB">
        <w:rPr>
          <w:rFonts w:cs="Arial"/>
          <w:highlight w:val="yellow"/>
        </w:rPr>
        <w:t>L</w:t>
      </w:r>
      <w:r w:rsidRPr="00BE6FED">
        <w:rPr>
          <w:rFonts w:cs="Arial"/>
          <w:highlight w:val="yellow"/>
        </w:rPr>
        <w:t xml:space="preserve"> of </w:t>
      </w:r>
      <w:r w:rsidR="00BD499C">
        <w:rPr>
          <w:rFonts w:cs="Arial"/>
          <w:highlight w:val="yellow"/>
        </w:rPr>
        <w:t xml:space="preserve">the </w:t>
      </w:r>
      <w:r w:rsidRPr="00BE6FED">
        <w:rPr>
          <w:rFonts w:cs="Arial"/>
          <w:highlight w:val="yellow"/>
        </w:rPr>
        <w:t xml:space="preserve">Binding buffer to an </w:t>
      </w:r>
      <w:r w:rsidR="00EA3F99" w:rsidRPr="00BE6FED">
        <w:rPr>
          <w:rFonts w:cs="Arial"/>
          <w:highlight w:val="yellow"/>
        </w:rPr>
        <w:t>ion chromatography (</w:t>
      </w:r>
      <w:r w:rsidRPr="00BE6FED">
        <w:rPr>
          <w:rFonts w:cs="Arial"/>
          <w:highlight w:val="yellow"/>
        </w:rPr>
        <w:t>IC</w:t>
      </w:r>
      <w:r w:rsidR="00EA3F99" w:rsidRPr="00BE6FED">
        <w:rPr>
          <w:rFonts w:cs="Arial"/>
          <w:highlight w:val="yellow"/>
        </w:rPr>
        <w:t>)</w:t>
      </w:r>
      <w:r w:rsidRPr="00BE6FED">
        <w:rPr>
          <w:rFonts w:cs="Arial"/>
          <w:highlight w:val="yellow"/>
        </w:rPr>
        <w:t xml:space="preserve"> column placed into a collection tube. </w:t>
      </w:r>
    </w:p>
    <w:p w14:paraId="16B2FBC5" w14:textId="77777777" w:rsidR="00B32B52" w:rsidRPr="00BE6FED" w:rsidRDefault="00B32B52" w:rsidP="006A1488">
      <w:pPr>
        <w:pStyle w:val="ListParagraph"/>
        <w:widowControl/>
        <w:autoSpaceDE/>
        <w:autoSpaceDN/>
        <w:adjustRightInd/>
        <w:ind w:left="0"/>
        <w:rPr>
          <w:rFonts w:cs="Arial"/>
          <w:highlight w:val="yellow"/>
        </w:rPr>
      </w:pPr>
    </w:p>
    <w:p w14:paraId="3CB77600" w14:textId="3268FF96" w:rsidR="00784F37"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 xml:space="preserve">Add </w:t>
      </w:r>
      <w:r w:rsidR="00EA3F99" w:rsidRPr="00BE6FED">
        <w:rPr>
          <w:rFonts w:cs="Arial"/>
          <w:highlight w:val="yellow"/>
        </w:rPr>
        <w:t xml:space="preserve">the </w:t>
      </w:r>
      <w:r w:rsidRPr="00BE6FED">
        <w:rPr>
          <w:rFonts w:cs="Arial"/>
          <w:highlight w:val="yellow"/>
        </w:rPr>
        <w:t xml:space="preserve">DNA sample to the IC column </w:t>
      </w:r>
      <w:r w:rsidR="00EA3F99" w:rsidRPr="00BE6FED">
        <w:rPr>
          <w:rFonts w:cs="Arial"/>
          <w:highlight w:val="yellow"/>
        </w:rPr>
        <w:t xml:space="preserve">containing the binding buffer </w:t>
      </w:r>
      <w:r w:rsidRPr="00BE6FED">
        <w:rPr>
          <w:rFonts w:cs="Arial"/>
          <w:highlight w:val="yellow"/>
        </w:rPr>
        <w:t xml:space="preserve">and mix by inverting the </w:t>
      </w:r>
      <w:r w:rsidR="00EA3F99" w:rsidRPr="00BE6FED">
        <w:rPr>
          <w:rFonts w:cs="Arial"/>
          <w:highlight w:val="yellow"/>
        </w:rPr>
        <w:t xml:space="preserve">tube </w:t>
      </w:r>
      <w:r w:rsidRPr="00BE6FED">
        <w:rPr>
          <w:rFonts w:cs="Arial"/>
          <w:highlight w:val="yellow"/>
        </w:rPr>
        <w:t>several times. Centrifuge for 30</w:t>
      </w:r>
      <w:r w:rsidR="00C84AF9" w:rsidRPr="00BE6FED">
        <w:rPr>
          <w:rFonts w:cs="Arial"/>
          <w:highlight w:val="yellow"/>
        </w:rPr>
        <w:t xml:space="preserve"> </w:t>
      </w:r>
      <w:r w:rsidRPr="00BE6FED">
        <w:rPr>
          <w:rFonts w:cs="Arial"/>
          <w:highlight w:val="yellow"/>
        </w:rPr>
        <w:t>s</w:t>
      </w:r>
      <w:r w:rsidR="002C4599">
        <w:rPr>
          <w:rFonts w:cs="Arial"/>
          <w:highlight w:val="yellow"/>
        </w:rPr>
        <w:t xml:space="preserve"> at full speed. D</w:t>
      </w:r>
      <w:r w:rsidRPr="00BE6FED">
        <w:rPr>
          <w:rFonts w:cs="Arial"/>
          <w:highlight w:val="yellow"/>
        </w:rPr>
        <w:t xml:space="preserve">iscard </w:t>
      </w:r>
      <w:r w:rsidR="00EA3F99" w:rsidRPr="00BE6FED">
        <w:rPr>
          <w:rFonts w:cs="Arial"/>
          <w:highlight w:val="yellow"/>
        </w:rPr>
        <w:t xml:space="preserve">the </w:t>
      </w:r>
      <w:r w:rsidR="002C4599">
        <w:rPr>
          <w:rFonts w:cs="Arial"/>
          <w:highlight w:val="yellow"/>
        </w:rPr>
        <w:t xml:space="preserve">collected </w:t>
      </w:r>
      <w:r w:rsidRPr="00BE6FED">
        <w:rPr>
          <w:rFonts w:cs="Arial"/>
          <w:highlight w:val="yellow"/>
        </w:rPr>
        <w:t>flow-through</w:t>
      </w:r>
      <w:r w:rsidR="00EA3F99" w:rsidRPr="00BE6FED">
        <w:rPr>
          <w:rFonts w:cs="Arial"/>
          <w:highlight w:val="yellow"/>
        </w:rPr>
        <w:t>.</w:t>
      </w:r>
    </w:p>
    <w:p w14:paraId="06B1DE94" w14:textId="77777777" w:rsidR="00B32B52" w:rsidRPr="00BE6FED" w:rsidRDefault="00B32B52" w:rsidP="006A1488">
      <w:pPr>
        <w:pStyle w:val="ListParagraph"/>
        <w:widowControl/>
        <w:autoSpaceDE/>
        <w:autoSpaceDN/>
        <w:adjustRightInd/>
        <w:ind w:left="0"/>
        <w:rPr>
          <w:rFonts w:cs="Arial"/>
          <w:highlight w:val="yellow"/>
        </w:rPr>
      </w:pPr>
    </w:p>
    <w:p w14:paraId="6536AC86" w14:textId="18D75984" w:rsidR="00784F37" w:rsidRPr="00BE6FED" w:rsidRDefault="002C4599" w:rsidP="006A1488">
      <w:pPr>
        <w:pStyle w:val="ListParagraph"/>
        <w:widowControl/>
        <w:numPr>
          <w:ilvl w:val="2"/>
          <w:numId w:val="19"/>
        </w:numPr>
        <w:autoSpaceDE/>
        <w:autoSpaceDN/>
        <w:adjustRightInd/>
        <w:rPr>
          <w:rFonts w:cs="Arial"/>
          <w:highlight w:val="yellow"/>
        </w:rPr>
      </w:pPr>
      <w:r>
        <w:rPr>
          <w:rFonts w:cs="Arial"/>
          <w:highlight w:val="yellow"/>
        </w:rPr>
        <w:t>To the column now a</w:t>
      </w:r>
      <w:r w:rsidR="00784F37" w:rsidRPr="00BE6FED">
        <w:rPr>
          <w:rFonts w:cs="Arial"/>
          <w:highlight w:val="yellow"/>
        </w:rPr>
        <w:t>dd 100</w:t>
      </w:r>
      <w:r w:rsidR="00C84AF9" w:rsidRPr="00BE6FED">
        <w:rPr>
          <w:rFonts w:cs="Arial"/>
          <w:highlight w:val="yellow"/>
        </w:rPr>
        <w:t xml:space="preserve"> </w:t>
      </w:r>
      <w:r w:rsidR="00784F37" w:rsidRPr="00BE6FED">
        <w:rPr>
          <w:rFonts w:cs="Arial"/>
          <w:highlight w:val="yellow"/>
        </w:rPr>
        <w:t>µ</w:t>
      </w:r>
      <w:r w:rsidR="004F41AB">
        <w:rPr>
          <w:rFonts w:cs="Arial"/>
          <w:highlight w:val="yellow"/>
        </w:rPr>
        <w:t>L</w:t>
      </w:r>
      <w:r w:rsidR="00784F37" w:rsidRPr="00BE6FED">
        <w:rPr>
          <w:rFonts w:cs="Arial"/>
          <w:highlight w:val="yellow"/>
        </w:rPr>
        <w:t xml:space="preserve"> of Wash Buffer</w:t>
      </w:r>
      <w:r>
        <w:rPr>
          <w:rFonts w:cs="Arial"/>
          <w:highlight w:val="yellow"/>
        </w:rPr>
        <w:t>. Perform cent</w:t>
      </w:r>
      <w:r w:rsidR="00784F37" w:rsidRPr="00BE6FED">
        <w:rPr>
          <w:rFonts w:cs="Arial"/>
          <w:highlight w:val="yellow"/>
        </w:rPr>
        <w:t>rifug</w:t>
      </w:r>
      <w:r>
        <w:rPr>
          <w:rFonts w:cs="Arial"/>
          <w:highlight w:val="yellow"/>
        </w:rPr>
        <w:t xml:space="preserve">ation as described in step 3.2.4 and </w:t>
      </w:r>
      <w:r w:rsidR="00EA3F99" w:rsidRPr="00BE6FED">
        <w:rPr>
          <w:rFonts w:cs="Arial"/>
          <w:highlight w:val="yellow"/>
        </w:rPr>
        <w:t>discard the flow-through.</w:t>
      </w:r>
      <w:r w:rsidR="00784F37" w:rsidRPr="00BE6FED">
        <w:rPr>
          <w:rFonts w:cs="Arial"/>
          <w:highlight w:val="yellow"/>
        </w:rPr>
        <w:t xml:space="preserve"> </w:t>
      </w:r>
    </w:p>
    <w:p w14:paraId="2F92EB38" w14:textId="77777777" w:rsidR="00B32B52" w:rsidRPr="00BE6FED" w:rsidRDefault="00B32B52" w:rsidP="006A1488">
      <w:pPr>
        <w:pStyle w:val="ListParagraph"/>
        <w:widowControl/>
        <w:autoSpaceDE/>
        <w:autoSpaceDN/>
        <w:adjustRightInd/>
        <w:ind w:left="0"/>
        <w:rPr>
          <w:rFonts w:cs="Arial"/>
          <w:highlight w:val="yellow"/>
        </w:rPr>
      </w:pPr>
    </w:p>
    <w:p w14:paraId="7D85784D" w14:textId="0F3DC6E8" w:rsidR="00784F37" w:rsidRPr="00BE6FED" w:rsidRDefault="006A3672" w:rsidP="006A1488">
      <w:pPr>
        <w:pStyle w:val="ListParagraph"/>
        <w:widowControl/>
        <w:numPr>
          <w:ilvl w:val="2"/>
          <w:numId w:val="19"/>
        </w:numPr>
        <w:autoSpaceDE/>
        <w:autoSpaceDN/>
        <w:adjustRightInd/>
        <w:rPr>
          <w:rFonts w:cs="Arial"/>
          <w:highlight w:val="yellow"/>
        </w:rPr>
      </w:pPr>
      <w:r>
        <w:rPr>
          <w:rFonts w:cs="Arial"/>
          <w:highlight w:val="yellow"/>
        </w:rPr>
        <w:lastRenderedPageBreak/>
        <w:t>A</w:t>
      </w:r>
      <w:r w:rsidR="00784F37" w:rsidRPr="00BE6FED">
        <w:rPr>
          <w:rFonts w:cs="Arial"/>
          <w:highlight w:val="yellow"/>
        </w:rPr>
        <w:t>dd 200</w:t>
      </w:r>
      <w:r w:rsidR="00C84AF9" w:rsidRPr="00BE6FED">
        <w:rPr>
          <w:rFonts w:cs="Arial"/>
          <w:highlight w:val="yellow"/>
        </w:rPr>
        <w:t xml:space="preserve"> </w:t>
      </w:r>
      <w:r w:rsidR="00784F37" w:rsidRPr="00BE6FED">
        <w:rPr>
          <w:rFonts w:cs="Arial"/>
          <w:highlight w:val="yellow"/>
        </w:rPr>
        <w:t>µ</w:t>
      </w:r>
      <w:r w:rsidR="00660C1F" w:rsidRPr="00BE6FED">
        <w:rPr>
          <w:rFonts w:cs="Arial"/>
          <w:highlight w:val="yellow"/>
        </w:rPr>
        <w:t>l</w:t>
      </w:r>
      <w:r w:rsidR="00784F37" w:rsidRPr="00BE6FED">
        <w:rPr>
          <w:rFonts w:cs="Arial"/>
          <w:highlight w:val="yellow"/>
        </w:rPr>
        <w:t xml:space="preserve"> of </w:t>
      </w:r>
      <w:proofErr w:type="spellStart"/>
      <w:r w:rsidR="00784F37" w:rsidRPr="00BE6FED">
        <w:rPr>
          <w:rFonts w:cs="Arial"/>
          <w:highlight w:val="yellow"/>
        </w:rPr>
        <w:t>Desul</w:t>
      </w:r>
      <w:r w:rsidR="004F41AB">
        <w:rPr>
          <w:rFonts w:cs="Arial"/>
          <w:highlight w:val="yellow"/>
        </w:rPr>
        <w:t>fon</w:t>
      </w:r>
      <w:r w:rsidR="00784F37" w:rsidRPr="00BE6FED">
        <w:rPr>
          <w:rFonts w:cs="Arial"/>
          <w:highlight w:val="yellow"/>
        </w:rPr>
        <w:t>ation</w:t>
      </w:r>
      <w:proofErr w:type="spellEnd"/>
      <w:r w:rsidR="00784F37" w:rsidRPr="00BE6FED">
        <w:rPr>
          <w:rFonts w:cs="Arial"/>
          <w:highlight w:val="yellow"/>
        </w:rPr>
        <w:t xml:space="preserve"> Buffer and </w:t>
      </w:r>
      <w:r>
        <w:rPr>
          <w:rFonts w:cs="Arial"/>
          <w:highlight w:val="yellow"/>
        </w:rPr>
        <w:t xml:space="preserve">perform </w:t>
      </w:r>
      <w:r w:rsidR="00784F37" w:rsidRPr="00BE6FED">
        <w:rPr>
          <w:rFonts w:cs="Arial"/>
          <w:highlight w:val="yellow"/>
        </w:rPr>
        <w:t>incubat</w:t>
      </w:r>
      <w:r>
        <w:rPr>
          <w:rFonts w:cs="Arial"/>
          <w:highlight w:val="yellow"/>
        </w:rPr>
        <w:t>ion</w:t>
      </w:r>
      <w:r w:rsidR="00784F37" w:rsidRPr="00BE6FED">
        <w:rPr>
          <w:rFonts w:cs="Arial"/>
          <w:highlight w:val="yellow"/>
        </w:rPr>
        <w:t xml:space="preserve"> at room temperature for 15-20</w:t>
      </w:r>
      <w:r w:rsidR="00C84AF9" w:rsidRPr="00BE6FED">
        <w:rPr>
          <w:rFonts w:cs="Arial"/>
          <w:highlight w:val="yellow"/>
        </w:rPr>
        <w:t xml:space="preserve"> </w:t>
      </w:r>
      <w:r w:rsidR="00784F37" w:rsidRPr="00BE6FED">
        <w:rPr>
          <w:rFonts w:cs="Arial"/>
          <w:highlight w:val="yellow"/>
        </w:rPr>
        <w:t xml:space="preserve">min. Centrifuge </w:t>
      </w:r>
      <w:r w:rsidR="00EA3F99" w:rsidRPr="00BE6FED">
        <w:rPr>
          <w:rFonts w:cs="Arial"/>
          <w:highlight w:val="yellow"/>
        </w:rPr>
        <w:t xml:space="preserve">and discard </w:t>
      </w:r>
      <w:r>
        <w:rPr>
          <w:rFonts w:cs="Arial"/>
          <w:highlight w:val="yellow"/>
        </w:rPr>
        <w:t xml:space="preserve">the </w:t>
      </w:r>
      <w:r w:rsidR="00EA3F99" w:rsidRPr="00BE6FED">
        <w:rPr>
          <w:rFonts w:cs="Arial"/>
          <w:highlight w:val="yellow"/>
        </w:rPr>
        <w:t>flow-through</w:t>
      </w:r>
      <w:r>
        <w:rPr>
          <w:rFonts w:cs="Arial"/>
          <w:highlight w:val="yellow"/>
        </w:rPr>
        <w:t xml:space="preserve"> as described in steps above</w:t>
      </w:r>
      <w:r w:rsidR="00EA3F99" w:rsidRPr="00BE6FED">
        <w:rPr>
          <w:rFonts w:cs="Arial"/>
          <w:highlight w:val="yellow"/>
        </w:rPr>
        <w:t>.</w:t>
      </w:r>
    </w:p>
    <w:p w14:paraId="4443E0F1" w14:textId="77777777" w:rsidR="00B32B52" w:rsidRDefault="00B32B52" w:rsidP="006A1488">
      <w:pPr>
        <w:pStyle w:val="ListParagraph"/>
        <w:widowControl/>
        <w:autoSpaceDE/>
        <w:autoSpaceDN/>
        <w:adjustRightInd/>
        <w:ind w:left="0"/>
        <w:rPr>
          <w:rFonts w:cs="Arial"/>
        </w:rPr>
      </w:pPr>
    </w:p>
    <w:p w14:paraId="1F02AFA9" w14:textId="4F1AC336" w:rsidR="00B32B52" w:rsidRDefault="00784F37" w:rsidP="006A1488">
      <w:pPr>
        <w:pStyle w:val="ListParagraph"/>
        <w:widowControl/>
        <w:numPr>
          <w:ilvl w:val="2"/>
          <w:numId w:val="19"/>
        </w:numPr>
        <w:autoSpaceDE/>
        <w:autoSpaceDN/>
        <w:adjustRightInd/>
        <w:rPr>
          <w:rFonts w:cs="Arial"/>
        </w:rPr>
      </w:pPr>
      <w:r w:rsidRPr="00443059">
        <w:rPr>
          <w:rFonts w:cs="Arial"/>
        </w:rPr>
        <w:t>Add 200</w:t>
      </w:r>
      <w:r w:rsidR="00C84AF9">
        <w:rPr>
          <w:rFonts w:cs="Arial"/>
        </w:rPr>
        <w:t xml:space="preserve"> </w:t>
      </w:r>
      <w:r w:rsidRPr="00443059">
        <w:rPr>
          <w:rFonts w:cs="Arial"/>
        </w:rPr>
        <w:t>µ</w:t>
      </w:r>
      <w:r w:rsidR="004F41AB">
        <w:rPr>
          <w:rFonts w:cs="Arial"/>
        </w:rPr>
        <w:t>L</w:t>
      </w:r>
      <w:r w:rsidRPr="00443059">
        <w:rPr>
          <w:rFonts w:cs="Arial"/>
        </w:rPr>
        <w:t xml:space="preserve"> of Wash Buffer to the column. Centrifuge at full speed for 30</w:t>
      </w:r>
      <w:r w:rsidR="00F42C73">
        <w:rPr>
          <w:rFonts w:cs="Arial"/>
        </w:rPr>
        <w:t xml:space="preserve"> </w:t>
      </w:r>
      <w:r w:rsidRPr="00443059">
        <w:rPr>
          <w:rFonts w:cs="Arial"/>
        </w:rPr>
        <w:t>s</w:t>
      </w:r>
      <w:r w:rsidR="00EA3F99">
        <w:rPr>
          <w:rFonts w:cs="Arial"/>
        </w:rPr>
        <w:t xml:space="preserve"> and discard the flow-through.</w:t>
      </w:r>
      <w:r w:rsidRPr="00443059">
        <w:rPr>
          <w:rFonts w:cs="Arial"/>
        </w:rPr>
        <w:t xml:space="preserve"> </w:t>
      </w:r>
    </w:p>
    <w:p w14:paraId="5E1A10AA" w14:textId="77777777" w:rsidR="00B32B52" w:rsidRDefault="00B32B52" w:rsidP="006A1488">
      <w:pPr>
        <w:pStyle w:val="ListParagraph"/>
        <w:widowControl/>
        <w:autoSpaceDE/>
        <w:autoSpaceDN/>
        <w:adjustRightInd/>
        <w:ind w:left="0"/>
        <w:rPr>
          <w:rFonts w:cs="Arial"/>
        </w:rPr>
      </w:pPr>
    </w:p>
    <w:p w14:paraId="38107C55" w14:textId="39504626" w:rsidR="00784F37" w:rsidRPr="00B32B52" w:rsidRDefault="00784F37" w:rsidP="006A1488">
      <w:pPr>
        <w:pStyle w:val="ListParagraph"/>
        <w:widowControl/>
        <w:numPr>
          <w:ilvl w:val="2"/>
          <w:numId w:val="19"/>
        </w:numPr>
        <w:autoSpaceDE/>
        <w:autoSpaceDN/>
        <w:adjustRightInd/>
        <w:rPr>
          <w:rFonts w:cs="Arial"/>
        </w:rPr>
      </w:pPr>
      <w:r w:rsidRPr="00B32B52">
        <w:rPr>
          <w:rFonts w:cs="Arial"/>
        </w:rPr>
        <w:t xml:space="preserve">Repeat step </w:t>
      </w:r>
      <w:r w:rsidR="004F41AB">
        <w:rPr>
          <w:rFonts w:cs="Arial"/>
        </w:rPr>
        <w:t>3.2.</w:t>
      </w:r>
      <w:r w:rsidRPr="00B32B52">
        <w:rPr>
          <w:rFonts w:cs="Arial"/>
        </w:rPr>
        <w:t xml:space="preserve">7. </w:t>
      </w:r>
    </w:p>
    <w:p w14:paraId="356A12E9" w14:textId="77777777" w:rsidR="00B32B52" w:rsidRDefault="00B32B52" w:rsidP="006A1488">
      <w:pPr>
        <w:pStyle w:val="ListParagraph"/>
        <w:widowControl/>
        <w:autoSpaceDE/>
        <w:autoSpaceDN/>
        <w:adjustRightInd/>
        <w:ind w:left="0"/>
        <w:rPr>
          <w:rFonts w:cs="Arial"/>
        </w:rPr>
      </w:pPr>
    </w:p>
    <w:p w14:paraId="1690B940" w14:textId="5EB1ED1A" w:rsidR="00B32B52" w:rsidRPr="00BE6FED" w:rsidRDefault="00784F37" w:rsidP="006A1488">
      <w:pPr>
        <w:pStyle w:val="ListParagraph"/>
        <w:widowControl/>
        <w:numPr>
          <w:ilvl w:val="2"/>
          <w:numId w:val="19"/>
        </w:numPr>
        <w:autoSpaceDE/>
        <w:autoSpaceDN/>
        <w:adjustRightInd/>
        <w:rPr>
          <w:rFonts w:cs="Arial"/>
          <w:highlight w:val="yellow"/>
        </w:rPr>
      </w:pPr>
      <w:r w:rsidRPr="00BE6FED">
        <w:rPr>
          <w:rFonts w:cs="Arial"/>
          <w:highlight w:val="yellow"/>
        </w:rPr>
        <w:t>Transfer the column to a new 1.5</w:t>
      </w:r>
      <w:r w:rsidR="00C84AF9" w:rsidRPr="00BE6FED">
        <w:rPr>
          <w:rFonts w:cs="Arial"/>
          <w:highlight w:val="yellow"/>
        </w:rPr>
        <w:t xml:space="preserve"> </w:t>
      </w:r>
      <w:r w:rsidRPr="00BE6FED">
        <w:rPr>
          <w:rFonts w:cs="Arial"/>
          <w:highlight w:val="yellow"/>
        </w:rPr>
        <w:t>m</w:t>
      </w:r>
      <w:r w:rsidR="004F41AB">
        <w:rPr>
          <w:rFonts w:cs="Arial"/>
          <w:highlight w:val="yellow"/>
        </w:rPr>
        <w:t>L</w:t>
      </w:r>
      <w:r w:rsidRPr="00BE6FED">
        <w:rPr>
          <w:rFonts w:cs="Arial"/>
          <w:highlight w:val="yellow"/>
        </w:rPr>
        <w:t xml:space="preserve"> collection tube and add 100</w:t>
      </w:r>
      <w:r w:rsidR="00C84AF9" w:rsidRPr="00BE6FED">
        <w:rPr>
          <w:rFonts w:cs="Arial"/>
          <w:highlight w:val="yellow"/>
        </w:rPr>
        <w:t xml:space="preserve"> </w:t>
      </w:r>
      <w:r w:rsidRPr="00BE6FED">
        <w:rPr>
          <w:rFonts w:cs="Arial"/>
          <w:highlight w:val="yellow"/>
        </w:rPr>
        <w:t>µ</w:t>
      </w:r>
      <w:r w:rsidR="004F41AB">
        <w:rPr>
          <w:rFonts w:cs="Arial"/>
          <w:highlight w:val="yellow"/>
        </w:rPr>
        <w:t>L of</w:t>
      </w:r>
      <w:r w:rsidRPr="00BE6FED">
        <w:rPr>
          <w:rFonts w:cs="Arial"/>
          <w:highlight w:val="yellow"/>
        </w:rPr>
        <w:t xml:space="preserve"> PCR</w:t>
      </w:r>
      <w:r w:rsidR="00EA3F99" w:rsidRPr="00BE6FED">
        <w:rPr>
          <w:rFonts w:cs="Arial"/>
          <w:highlight w:val="yellow"/>
        </w:rPr>
        <w:t>-</w:t>
      </w:r>
      <w:r w:rsidRPr="00BE6FED">
        <w:rPr>
          <w:rFonts w:cs="Arial"/>
          <w:highlight w:val="yellow"/>
        </w:rPr>
        <w:t>grade water on the membrane of the column. Centrifuge at full speed for 1</w:t>
      </w:r>
      <w:r w:rsidR="00C84AF9" w:rsidRPr="00BE6FED">
        <w:rPr>
          <w:rFonts w:cs="Arial"/>
          <w:highlight w:val="yellow"/>
        </w:rPr>
        <w:t xml:space="preserve"> </w:t>
      </w:r>
      <w:r w:rsidRPr="00BE6FED">
        <w:rPr>
          <w:rFonts w:cs="Arial"/>
          <w:highlight w:val="yellow"/>
        </w:rPr>
        <w:t>min to elute the DNA.</w:t>
      </w:r>
    </w:p>
    <w:p w14:paraId="05238837" w14:textId="77777777" w:rsidR="00B32B52" w:rsidRDefault="00B32B52" w:rsidP="006A1488">
      <w:pPr>
        <w:pStyle w:val="ListParagraph"/>
        <w:widowControl/>
        <w:autoSpaceDE/>
        <w:autoSpaceDN/>
        <w:adjustRightInd/>
        <w:ind w:left="0"/>
        <w:rPr>
          <w:rFonts w:cs="Arial"/>
        </w:rPr>
      </w:pPr>
    </w:p>
    <w:p w14:paraId="4B058B99" w14:textId="5B7320C7" w:rsidR="00691EB2" w:rsidRDefault="00784F37" w:rsidP="006A1488">
      <w:pPr>
        <w:pStyle w:val="ListParagraph"/>
        <w:widowControl/>
        <w:numPr>
          <w:ilvl w:val="2"/>
          <w:numId w:val="19"/>
        </w:numPr>
        <w:autoSpaceDE/>
        <w:autoSpaceDN/>
        <w:adjustRightInd/>
        <w:rPr>
          <w:rFonts w:cs="Arial"/>
        </w:rPr>
      </w:pPr>
      <w:r w:rsidRPr="00B32B52">
        <w:rPr>
          <w:rFonts w:cs="Arial"/>
        </w:rPr>
        <w:t>Assess the concentration of bisulf</w:t>
      </w:r>
      <w:r w:rsidR="00691EB2">
        <w:rPr>
          <w:rFonts w:cs="Arial"/>
        </w:rPr>
        <w:t>i</w:t>
      </w:r>
      <w:r w:rsidRPr="00B32B52">
        <w:rPr>
          <w:rFonts w:cs="Arial"/>
        </w:rPr>
        <w:t>te</w:t>
      </w:r>
      <w:r w:rsidR="00EA3F99">
        <w:rPr>
          <w:rFonts w:cs="Arial"/>
        </w:rPr>
        <w:t>-</w:t>
      </w:r>
      <w:r w:rsidRPr="00B32B52">
        <w:rPr>
          <w:rFonts w:cs="Arial"/>
        </w:rPr>
        <w:t xml:space="preserve">converted DNA sample </w:t>
      </w:r>
      <w:r w:rsidR="00EA3F99">
        <w:rPr>
          <w:rFonts w:cs="Arial"/>
        </w:rPr>
        <w:t xml:space="preserve">by measuring the </w:t>
      </w:r>
      <w:r w:rsidRPr="00B32B52">
        <w:rPr>
          <w:rFonts w:cs="Arial"/>
        </w:rPr>
        <w:t>absorbance</w:t>
      </w:r>
      <w:r w:rsidR="00EA3F99">
        <w:rPr>
          <w:rFonts w:cs="Arial"/>
        </w:rPr>
        <w:t xml:space="preserve"> at</w:t>
      </w:r>
      <w:r w:rsidRPr="00B32B52">
        <w:rPr>
          <w:rFonts w:cs="Arial"/>
        </w:rPr>
        <w:t xml:space="preserve"> 260</w:t>
      </w:r>
      <w:r w:rsidR="00C84AF9">
        <w:rPr>
          <w:rFonts w:cs="Arial"/>
        </w:rPr>
        <w:t xml:space="preserve"> </w:t>
      </w:r>
      <w:r w:rsidRPr="00B32B52">
        <w:rPr>
          <w:rFonts w:cs="Arial"/>
        </w:rPr>
        <w:t xml:space="preserve">nm using </w:t>
      </w:r>
      <w:r w:rsidR="00EA3F99">
        <w:rPr>
          <w:rFonts w:cs="Arial"/>
        </w:rPr>
        <w:t>a spectrophotometer</w:t>
      </w:r>
      <w:r w:rsidRPr="00B32B52">
        <w:rPr>
          <w:rFonts w:cs="Arial"/>
        </w:rPr>
        <w:t xml:space="preserve">. </w:t>
      </w:r>
    </w:p>
    <w:p w14:paraId="6ABD6C6C" w14:textId="77777777" w:rsidR="004F41AB" w:rsidRDefault="004F41AB" w:rsidP="004F41AB">
      <w:pPr>
        <w:pStyle w:val="ListParagraph"/>
        <w:widowControl/>
        <w:autoSpaceDE/>
        <w:autoSpaceDN/>
        <w:adjustRightInd/>
        <w:ind w:left="0"/>
        <w:rPr>
          <w:rFonts w:cs="Arial"/>
        </w:rPr>
      </w:pPr>
    </w:p>
    <w:p w14:paraId="69DA0F46" w14:textId="22288984" w:rsidR="00B32B52" w:rsidRPr="00BE6FED" w:rsidRDefault="00630311" w:rsidP="006A1488">
      <w:pPr>
        <w:pStyle w:val="ListParagraph"/>
        <w:widowControl/>
        <w:autoSpaceDE/>
        <w:autoSpaceDN/>
        <w:adjustRightInd/>
        <w:ind w:left="0"/>
        <w:rPr>
          <w:rFonts w:cs="Arial"/>
        </w:rPr>
      </w:pPr>
      <w:r w:rsidRPr="00BE6FED">
        <w:t>NOTE</w:t>
      </w:r>
      <w:r w:rsidR="00784F37" w:rsidRPr="00BE6FED">
        <w:t xml:space="preserve">: </w:t>
      </w:r>
      <w:r w:rsidR="004F41AB">
        <w:t>U</w:t>
      </w:r>
      <w:r w:rsidR="00784F37" w:rsidRPr="00BE6FED">
        <w:t>se a value of 40</w:t>
      </w:r>
      <w:r w:rsidR="00C84AF9" w:rsidRPr="00BE6FED">
        <w:t xml:space="preserve"> </w:t>
      </w:r>
      <w:r w:rsidR="00784F37" w:rsidRPr="00BE6FED">
        <w:t>µg/m</w:t>
      </w:r>
      <w:r w:rsidR="004F41AB">
        <w:t>L</w:t>
      </w:r>
      <w:r w:rsidR="00784F37" w:rsidRPr="00BE6FED">
        <w:t xml:space="preserve"> for absorbance at 260 </w:t>
      </w:r>
      <w:r w:rsidR="00660C1F" w:rsidRPr="00BE6FED">
        <w:t xml:space="preserve">nm </w:t>
      </w:r>
      <w:r w:rsidR="00784F37" w:rsidRPr="00BE6FED">
        <w:t>= 1.0</w:t>
      </w:r>
      <w:r w:rsidR="00660C1F" w:rsidRPr="00BE6FED">
        <w:t>.</w:t>
      </w:r>
      <w:r w:rsidR="00784F37" w:rsidRPr="00BE6FED">
        <w:t xml:space="preserve"> </w:t>
      </w:r>
    </w:p>
    <w:p w14:paraId="673337DE" w14:textId="77777777" w:rsidR="00B32B52" w:rsidRDefault="00B32B52" w:rsidP="006A1488">
      <w:pPr>
        <w:pStyle w:val="ListParagraph"/>
        <w:widowControl/>
        <w:autoSpaceDE/>
        <w:autoSpaceDN/>
        <w:adjustRightInd/>
        <w:ind w:left="0"/>
        <w:rPr>
          <w:rFonts w:cs="Arial"/>
        </w:rPr>
      </w:pPr>
    </w:p>
    <w:p w14:paraId="4797F566" w14:textId="50D4A37F" w:rsidR="00784F37" w:rsidRPr="00B32B52" w:rsidRDefault="00EA3F99" w:rsidP="006A1488">
      <w:pPr>
        <w:pStyle w:val="ListParagraph"/>
        <w:widowControl/>
        <w:numPr>
          <w:ilvl w:val="2"/>
          <w:numId w:val="19"/>
        </w:numPr>
        <w:autoSpaceDE/>
        <w:autoSpaceDN/>
        <w:adjustRightInd/>
        <w:rPr>
          <w:rFonts w:cs="Arial"/>
        </w:rPr>
      </w:pPr>
      <w:r>
        <w:rPr>
          <w:rFonts w:cs="Arial"/>
        </w:rPr>
        <w:t xml:space="preserve">Store DNA </w:t>
      </w:r>
      <w:r w:rsidR="00784F37" w:rsidRPr="00B32B52">
        <w:rPr>
          <w:rFonts w:cs="Arial"/>
        </w:rPr>
        <w:t>at -20</w:t>
      </w:r>
      <w:r w:rsidR="00C84AF9">
        <w:rPr>
          <w:rFonts w:cs="Arial"/>
        </w:rPr>
        <w:t xml:space="preserve"> </w:t>
      </w:r>
      <w:r w:rsidR="005359BF">
        <w:rPr>
          <w:rFonts w:cs="Arial"/>
        </w:rPr>
        <w:t>°</w:t>
      </w:r>
      <w:r w:rsidR="00784F37" w:rsidRPr="00B32B52">
        <w:rPr>
          <w:rFonts w:cs="Arial"/>
        </w:rPr>
        <w:t xml:space="preserve">C </w:t>
      </w:r>
      <w:r>
        <w:rPr>
          <w:rFonts w:cs="Arial"/>
        </w:rPr>
        <w:t xml:space="preserve">for short term storage </w:t>
      </w:r>
      <w:r w:rsidR="00784F37" w:rsidRPr="00B32B52">
        <w:rPr>
          <w:rFonts w:cs="Arial"/>
        </w:rPr>
        <w:t>or</w:t>
      </w:r>
      <w:r>
        <w:rPr>
          <w:rFonts w:cs="Arial"/>
        </w:rPr>
        <w:t xml:space="preserve"> at </w:t>
      </w:r>
      <w:r w:rsidRPr="00B32B52">
        <w:rPr>
          <w:rFonts w:cs="Arial"/>
        </w:rPr>
        <w:t>-70</w:t>
      </w:r>
      <w:r>
        <w:rPr>
          <w:rFonts w:cs="Arial"/>
        </w:rPr>
        <w:t xml:space="preserve"> </w:t>
      </w:r>
      <w:r w:rsidR="005359BF">
        <w:rPr>
          <w:rFonts w:cs="Arial"/>
        </w:rPr>
        <w:t>°</w:t>
      </w:r>
      <w:r w:rsidRPr="00B32B52">
        <w:rPr>
          <w:rFonts w:cs="Arial"/>
        </w:rPr>
        <w:t>C</w:t>
      </w:r>
      <w:r w:rsidR="00784F37" w:rsidRPr="00B32B52">
        <w:rPr>
          <w:rFonts w:cs="Arial"/>
        </w:rPr>
        <w:t xml:space="preserve"> for long term storage</w:t>
      </w:r>
      <w:r>
        <w:rPr>
          <w:rFonts w:cs="Arial"/>
        </w:rPr>
        <w:t>.</w:t>
      </w:r>
    </w:p>
    <w:p w14:paraId="2BAE2A57" w14:textId="77777777" w:rsidR="00784F37" w:rsidRPr="00443059" w:rsidRDefault="00784F37" w:rsidP="006A1488">
      <w:pPr>
        <w:pStyle w:val="Heading2"/>
        <w:rPr>
          <w:rFonts w:asciiTheme="minorHAnsi" w:hAnsiTheme="minorHAnsi"/>
          <w:sz w:val="22"/>
          <w:szCs w:val="22"/>
        </w:rPr>
      </w:pPr>
    </w:p>
    <w:p w14:paraId="69545A17" w14:textId="0B31E17F" w:rsidR="00B32B52" w:rsidRDefault="00784F37" w:rsidP="006A1488">
      <w:pPr>
        <w:pStyle w:val="Heading2"/>
        <w:numPr>
          <w:ilvl w:val="0"/>
          <w:numId w:val="19"/>
        </w:numPr>
      </w:pPr>
      <w:r w:rsidRPr="00B65B92">
        <w:t xml:space="preserve">Droplet </w:t>
      </w:r>
      <w:r w:rsidR="00BD499C">
        <w:t>g</w:t>
      </w:r>
      <w:r w:rsidRPr="00B65B92">
        <w:t xml:space="preserve">eneration </w:t>
      </w:r>
      <w:r w:rsidR="00BD499C">
        <w:t>d</w:t>
      </w:r>
      <w:r w:rsidRPr="00B65B92">
        <w:t xml:space="preserve">evice </w:t>
      </w:r>
      <w:r w:rsidR="00BD499C">
        <w:t>f</w:t>
      </w:r>
      <w:r w:rsidRPr="00B65B92">
        <w:t>abrication</w:t>
      </w:r>
    </w:p>
    <w:p w14:paraId="4D98D8E8" w14:textId="77777777" w:rsidR="009041C9" w:rsidRDefault="009041C9" w:rsidP="006A1488">
      <w:pPr>
        <w:pStyle w:val="ListParagraph"/>
        <w:ind w:left="0"/>
        <w:rPr>
          <w:lang w:eastAsia="en-CA"/>
        </w:rPr>
      </w:pPr>
    </w:p>
    <w:p w14:paraId="2A00C883" w14:textId="08F0E87F" w:rsidR="00784F37" w:rsidRPr="00D37F04" w:rsidRDefault="004F41AB" w:rsidP="006A1488">
      <w:pPr>
        <w:pStyle w:val="ListParagraph"/>
        <w:ind w:left="0"/>
        <w:rPr>
          <w:b/>
          <w:bCs/>
          <w:lang w:eastAsia="en-CA"/>
        </w:rPr>
      </w:pPr>
      <w:r>
        <w:rPr>
          <w:lang w:eastAsia="en-CA"/>
        </w:rPr>
        <w:t xml:space="preserve">NOTE: </w:t>
      </w:r>
      <w:r w:rsidR="00F50F5D">
        <w:rPr>
          <w:lang w:eastAsia="en-CA"/>
        </w:rPr>
        <w:t>A m</w:t>
      </w:r>
      <w:r w:rsidR="00784F37">
        <w:rPr>
          <w:lang w:eastAsia="en-CA"/>
        </w:rPr>
        <w:t>icrofluidic device</w:t>
      </w:r>
      <w:r w:rsidR="00784F37" w:rsidRPr="00DC3410">
        <w:rPr>
          <w:lang w:eastAsia="en-CA"/>
        </w:rPr>
        <w:t xml:space="preserve"> </w:t>
      </w:r>
      <w:r w:rsidR="00784F37">
        <w:rPr>
          <w:lang w:eastAsia="en-CA"/>
        </w:rPr>
        <w:t>used for droplet generation</w:t>
      </w:r>
      <w:r w:rsidR="00D73F3E">
        <w:rPr>
          <w:lang w:eastAsia="en-CA"/>
        </w:rPr>
        <w:t xml:space="preserve"> (CAD file provided in the </w:t>
      </w:r>
      <w:r w:rsidR="00F42C73" w:rsidRPr="00BD499C">
        <w:rPr>
          <w:b/>
          <w:bCs/>
          <w:lang w:eastAsia="en-CA"/>
        </w:rPr>
        <w:t>S</w:t>
      </w:r>
      <w:r w:rsidR="00D73F3E" w:rsidRPr="00BD499C">
        <w:rPr>
          <w:b/>
          <w:bCs/>
          <w:lang w:eastAsia="en-CA"/>
        </w:rPr>
        <w:t xml:space="preserve">upplementary </w:t>
      </w:r>
      <w:r w:rsidR="00F42C73" w:rsidRPr="00BD499C">
        <w:rPr>
          <w:b/>
          <w:bCs/>
          <w:lang w:eastAsia="en-CA"/>
        </w:rPr>
        <w:t>I</w:t>
      </w:r>
      <w:r w:rsidR="00D73F3E" w:rsidRPr="00BD499C">
        <w:rPr>
          <w:b/>
          <w:bCs/>
          <w:lang w:eastAsia="en-CA"/>
        </w:rPr>
        <w:t>nformation</w:t>
      </w:r>
      <w:r w:rsidR="00D73F3E">
        <w:rPr>
          <w:lang w:eastAsia="en-CA"/>
        </w:rPr>
        <w:t>)</w:t>
      </w:r>
      <w:r w:rsidR="00784F37">
        <w:rPr>
          <w:lang w:eastAsia="en-CA"/>
        </w:rPr>
        <w:t xml:space="preserve"> </w:t>
      </w:r>
      <w:r w:rsidR="00784F37" w:rsidRPr="00DC3410">
        <w:rPr>
          <w:lang w:eastAsia="en-CA"/>
        </w:rPr>
        <w:t xml:space="preserve">was fabricated </w:t>
      </w:r>
      <w:r w:rsidR="00784F37" w:rsidRPr="00B45E31">
        <w:rPr>
          <w:lang w:eastAsia="en-CA"/>
        </w:rPr>
        <w:t>in a clean room (class</w:t>
      </w:r>
      <w:r w:rsidR="00B32B52">
        <w:rPr>
          <w:lang w:eastAsia="en-CA"/>
        </w:rPr>
        <w:t xml:space="preserve"> </w:t>
      </w:r>
      <w:r w:rsidR="00784F37" w:rsidRPr="00B45E31">
        <w:rPr>
          <w:lang w:eastAsia="en-CA"/>
        </w:rPr>
        <w:t>1,000) environ</w:t>
      </w:r>
      <w:r w:rsidR="00784F37">
        <w:rPr>
          <w:lang w:eastAsia="en-CA"/>
        </w:rPr>
        <w:t>ment in thermoplastic elastomer</w:t>
      </w:r>
      <w:r w:rsidR="00DF4BD7">
        <w:rPr>
          <w:lang w:eastAsia="en-CA"/>
        </w:rPr>
        <w:t xml:space="preserve"> (</w:t>
      </w:r>
      <w:r>
        <w:rPr>
          <w:lang w:eastAsia="en-CA"/>
        </w:rPr>
        <w:t xml:space="preserve">see </w:t>
      </w:r>
      <w:r w:rsidR="00DF4BD7" w:rsidRPr="004F41AB">
        <w:rPr>
          <w:b/>
          <w:bCs/>
          <w:lang w:eastAsia="en-CA"/>
        </w:rPr>
        <w:t>Table of Materials</w:t>
      </w:r>
      <w:r w:rsidR="00DF4BD7">
        <w:rPr>
          <w:lang w:eastAsia="en-CA"/>
        </w:rPr>
        <w:t>)</w:t>
      </w:r>
      <w:r w:rsidR="00784F37">
        <w:rPr>
          <w:lang w:eastAsia="en-CA"/>
        </w:rPr>
        <w:t xml:space="preserve"> using </w:t>
      </w:r>
      <w:r w:rsidR="00784F37" w:rsidRPr="00DC3410">
        <w:rPr>
          <w:lang w:eastAsia="en-CA"/>
        </w:rPr>
        <w:t>hot</w:t>
      </w:r>
      <w:r>
        <w:rPr>
          <w:lang w:eastAsia="en-CA"/>
        </w:rPr>
        <w:t xml:space="preserve"> </w:t>
      </w:r>
      <w:r w:rsidR="00784F37" w:rsidRPr="00DC3410">
        <w:rPr>
          <w:lang w:eastAsia="en-CA"/>
        </w:rPr>
        <w:t>embossing</w:t>
      </w:r>
      <w:r w:rsidR="00784F37">
        <w:rPr>
          <w:lang w:eastAsia="en-CA"/>
        </w:rPr>
        <w:t xml:space="preserve"> generated by the following protocol</w:t>
      </w:r>
      <w:r w:rsidR="009041C9" w:rsidRPr="00D37F04">
        <w:rPr>
          <w:b/>
          <w:bCs/>
          <w:lang w:eastAsia="en-CA"/>
        </w:rPr>
        <w:t>.</w:t>
      </w:r>
    </w:p>
    <w:p w14:paraId="1D1402F1" w14:textId="77777777" w:rsidR="004F41AB" w:rsidRPr="00D37F04" w:rsidRDefault="004F41AB" w:rsidP="006A1488">
      <w:pPr>
        <w:pStyle w:val="ListParagraph"/>
        <w:ind w:left="0"/>
      </w:pPr>
    </w:p>
    <w:p w14:paraId="7B191989" w14:textId="19AB11F4" w:rsidR="00784F37" w:rsidRPr="00D37F04" w:rsidRDefault="00784F37" w:rsidP="006A1488">
      <w:pPr>
        <w:pStyle w:val="Heading3"/>
        <w:numPr>
          <w:ilvl w:val="1"/>
          <w:numId w:val="19"/>
        </w:numPr>
        <w:spacing w:before="0"/>
        <w:rPr>
          <w:rFonts w:ascii="Calibri" w:hAnsi="Calibri" w:cs="Calibri"/>
          <w:b w:val="0"/>
          <w:bCs w:val="0"/>
          <w:color w:val="000000" w:themeColor="text1"/>
        </w:rPr>
      </w:pPr>
      <w:r w:rsidRPr="00D37F04">
        <w:rPr>
          <w:rFonts w:ascii="Calibri" w:hAnsi="Calibri" w:cs="Calibri"/>
          <w:b w:val="0"/>
          <w:bCs w:val="0"/>
          <w:color w:val="000000" w:themeColor="text1"/>
        </w:rPr>
        <w:t xml:space="preserve">SU-8 </w:t>
      </w:r>
      <w:r w:rsidR="00BD499C" w:rsidRPr="00D37F04">
        <w:rPr>
          <w:rFonts w:ascii="Calibri" w:hAnsi="Calibri" w:cs="Calibri"/>
          <w:b w:val="0"/>
          <w:bCs w:val="0"/>
          <w:color w:val="000000" w:themeColor="text1"/>
        </w:rPr>
        <w:t>m</w:t>
      </w:r>
      <w:r w:rsidRPr="00D37F04">
        <w:rPr>
          <w:rFonts w:ascii="Calibri" w:hAnsi="Calibri" w:cs="Calibri"/>
          <w:b w:val="0"/>
          <w:bCs w:val="0"/>
          <w:color w:val="000000" w:themeColor="text1"/>
        </w:rPr>
        <w:t>old</w:t>
      </w:r>
      <w:r w:rsidR="00950944" w:rsidRPr="00D37F04">
        <w:rPr>
          <w:rFonts w:ascii="Calibri" w:hAnsi="Calibri" w:cs="Calibri"/>
          <w:b w:val="0"/>
          <w:bCs w:val="0"/>
          <w:color w:val="000000" w:themeColor="text1"/>
        </w:rPr>
        <w:t xml:space="preserve"> </w:t>
      </w:r>
      <w:r w:rsidR="00BD499C" w:rsidRPr="00D37F04">
        <w:rPr>
          <w:rFonts w:ascii="Calibri" w:hAnsi="Calibri" w:cs="Calibri"/>
          <w:b w:val="0"/>
          <w:bCs w:val="0"/>
          <w:color w:val="000000" w:themeColor="text1"/>
        </w:rPr>
        <w:t>f</w:t>
      </w:r>
      <w:r w:rsidR="00950944" w:rsidRPr="00D37F04">
        <w:rPr>
          <w:rFonts w:ascii="Calibri" w:hAnsi="Calibri" w:cs="Calibri"/>
          <w:b w:val="0"/>
          <w:bCs w:val="0"/>
          <w:color w:val="000000" w:themeColor="text1"/>
        </w:rPr>
        <w:t xml:space="preserve">abrication </w:t>
      </w:r>
    </w:p>
    <w:p w14:paraId="40C74FD2" w14:textId="77777777" w:rsidR="009041C9" w:rsidRPr="009041C9" w:rsidRDefault="009041C9" w:rsidP="006A1488">
      <w:pPr>
        <w:pStyle w:val="ListParagraph"/>
        <w:widowControl/>
        <w:autoSpaceDE/>
        <w:autoSpaceDN/>
        <w:adjustRightInd/>
        <w:ind w:left="0"/>
        <w:rPr>
          <w:color w:val="000000" w:themeColor="text1"/>
        </w:rPr>
      </w:pPr>
    </w:p>
    <w:p w14:paraId="0CF595B5" w14:textId="6E089478" w:rsidR="00784F37" w:rsidRPr="00645104" w:rsidRDefault="00784F37" w:rsidP="006A1488">
      <w:pPr>
        <w:pStyle w:val="ListParagraph"/>
        <w:widowControl/>
        <w:numPr>
          <w:ilvl w:val="2"/>
          <w:numId w:val="19"/>
        </w:numPr>
        <w:autoSpaceDE/>
        <w:autoSpaceDN/>
        <w:adjustRightInd/>
        <w:rPr>
          <w:color w:val="000000" w:themeColor="text1"/>
        </w:rPr>
      </w:pPr>
      <w:r>
        <w:rPr>
          <w:lang w:eastAsia="en-CA"/>
        </w:rPr>
        <w:t xml:space="preserve">Prepare an </w:t>
      </w:r>
      <w:r w:rsidRPr="004A723D">
        <w:t>SU-8 mold</w:t>
      </w:r>
      <w:r>
        <w:t xml:space="preserve"> </w:t>
      </w:r>
      <w:r w:rsidRPr="004A723D">
        <w:t xml:space="preserve">on </w:t>
      </w:r>
      <w:r>
        <w:t>a 6″ silicon wafer</w:t>
      </w:r>
      <w:r w:rsidRPr="004A723D">
        <w:t xml:space="preserve"> using standard photolithography</w:t>
      </w:r>
      <w:r w:rsidR="00950944">
        <w:t xml:space="preserve"> as detailed below</w:t>
      </w:r>
      <w:r w:rsidRPr="004A723D">
        <w:t xml:space="preserve">. </w:t>
      </w:r>
    </w:p>
    <w:p w14:paraId="71A0E839" w14:textId="77777777" w:rsidR="009041C9" w:rsidRPr="009041C9" w:rsidRDefault="009041C9" w:rsidP="006A1488">
      <w:pPr>
        <w:pStyle w:val="ListParagraph"/>
        <w:widowControl/>
        <w:autoSpaceDE/>
        <w:autoSpaceDN/>
        <w:adjustRightInd/>
        <w:ind w:left="0"/>
        <w:rPr>
          <w:color w:val="000000" w:themeColor="text1"/>
        </w:rPr>
      </w:pPr>
    </w:p>
    <w:p w14:paraId="447CFAD3" w14:textId="5A34AA4A" w:rsidR="00784F37" w:rsidRPr="008D0F59" w:rsidRDefault="00784F37" w:rsidP="006A1488">
      <w:pPr>
        <w:pStyle w:val="ListParagraph"/>
        <w:widowControl/>
        <w:numPr>
          <w:ilvl w:val="2"/>
          <w:numId w:val="19"/>
        </w:numPr>
        <w:autoSpaceDE/>
        <w:autoSpaceDN/>
        <w:adjustRightInd/>
        <w:rPr>
          <w:color w:val="000000" w:themeColor="text1"/>
        </w:rPr>
      </w:pPr>
      <w:r>
        <w:t xml:space="preserve">Clean </w:t>
      </w:r>
      <w:r w:rsidR="00950944">
        <w:t xml:space="preserve">a 6” </w:t>
      </w:r>
      <w:r>
        <w:t>silicon wafer using oxygen plasma at 500 W for 10 s.</w:t>
      </w:r>
    </w:p>
    <w:p w14:paraId="1831A68D" w14:textId="77777777" w:rsidR="009041C9" w:rsidRPr="009041C9" w:rsidRDefault="009041C9" w:rsidP="006A1488">
      <w:pPr>
        <w:pStyle w:val="ListParagraph"/>
        <w:widowControl/>
        <w:autoSpaceDE/>
        <w:autoSpaceDN/>
        <w:adjustRightInd/>
        <w:ind w:left="0"/>
        <w:rPr>
          <w:color w:val="000000" w:themeColor="text1"/>
        </w:rPr>
      </w:pPr>
    </w:p>
    <w:p w14:paraId="09AF41BA" w14:textId="3175CBE6" w:rsidR="00784F37" w:rsidRPr="00645104" w:rsidRDefault="00784F37" w:rsidP="006A1488">
      <w:pPr>
        <w:pStyle w:val="ListParagraph"/>
        <w:widowControl/>
        <w:numPr>
          <w:ilvl w:val="2"/>
          <w:numId w:val="19"/>
        </w:numPr>
        <w:autoSpaceDE/>
        <w:autoSpaceDN/>
        <w:adjustRightInd/>
        <w:rPr>
          <w:color w:val="000000" w:themeColor="text1"/>
        </w:rPr>
      </w:pPr>
      <w:r>
        <w:t xml:space="preserve">Spin-coat SU-8 resist onto the silicon wafer at 900 rpm for 40 s </w:t>
      </w:r>
      <w:r w:rsidRPr="004A723D">
        <w:t>to achi</w:t>
      </w:r>
      <w:r>
        <w:t>eve a total film thickness of 10</w:t>
      </w:r>
      <w:r w:rsidRPr="004A723D">
        <w:t>0 µm</w:t>
      </w:r>
      <w:r>
        <w:t>.</w:t>
      </w:r>
    </w:p>
    <w:p w14:paraId="35D5DA1E" w14:textId="77777777" w:rsidR="009041C9" w:rsidRPr="009041C9" w:rsidRDefault="009041C9" w:rsidP="006A1488">
      <w:pPr>
        <w:pStyle w:val="ListParagraph"/>
        <w:widowControl/>
        <w:autoSpaceDE/>
        <w:autoSpaceDN/>
        <w:adjustRightInd/>
        <w:ind w:left="0"/>
        <w:rPr>
          <w:color w:val="000000" w:themeColor="text1"/>
        </w:rPr>
      </w:pPr>
    </w:p>
    <w:p w14:paraId="23794494" w14:textId="0F8816D7" w:rsidR="00784F37" w:rsidRPr="00645104" w:rsidRDefault="00950944" w:rsidP="006A1488">
      <w:pPr>
        <w:pStyle w:val="ListParagraph"/>
        <w:widowControl/>
        <w:numPr>
          <w:ilvl w:val="2"/>
          <w:numId w:val="19"/>
        </w:numPr>
        <w:autoSpaceDE/>
        <w:autoSpaceDN/>
        <w:adjustRightInd/>
        <w:rPr>
          <w:color w:val="000000" w:themeColor="text1"/>
        </w:rPr>
      </w:pPr>
      <w:r>
        <w:rPr>
          <w:color w:val="000000" w:themeColor="text1"/>
        </w:rPr>
        <w:t xml:space="preserve">Place the wafer on a hot plate and </w:t>
      </w:r>
      <w:r>
        <w:t>p</w:t>
      </w:r>
      <w:r w:rsidR="00784F37" w:rsidRPr="004A723D">
        <w:t xml:space="preserve">re-bake </w:t>
      </w:r>
      <w:r w:rsidR="00784F37">
        <w:t xml:space="preserve">for 15 min at 65 </w:t>
      </w:r>
      <w:r w:rsidR="00784F37" w:rsidRPr="004A723D">
        <w:t>°C</w:t>
      </w:r>
      <w:r w:rsidR="00784F37">
        <w:t>, followed by 2 h at 95</w:t>
      </w:r>
      <w:r w:rsidR="00784F37" w:rsidRPr="004A723D">
        <w:t xml:space="preserve"> </w:t>
      </w:r>
      <w:r w:rsidR="005359BF">
        <w:t>°</w:t>
      </w:r>
      <w:r w:rsidR="00784F37" w:rsidRPr="004A723D">
        <w:t>C</w:t>
      </w:r>
      <w:r w:rsidR="00784F37">
        <w:t xml:space="preserve">. </w:t>
      </w:r>
    </w:p>
    <w:p w14:paraId="02FD6CEC" w14:textId="77777777" w:rsidR="009041C9" w:rsidRDefault="009041C9" w:rsidP="006A1488">
      <w:pPr>
        <w:pStyle w:val="ListParagraph"/>
        <w:widowControl/>
        <w:autoSpaceDE/>
        <w:autoSpaceDN/>
        <w:adjustRightInd/>
        <w:ind w:left="0"/>
        <w:rPr>
          <w:color w:val="000000" w:themeColor="text1"/>
        </w:rPr>
      </w:pPr>
    </w:p>
    <w:p w14:paraId="7E48AA98" w14:textId="41A9F1ED"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 xml:space="preserve">Expose </w:t>
      </w:r>
      <w:r w:rsidRPr="004A723D">
        <w:t xml:space="preserve">to UV light at </w:t>
      </w:r>
      <w:r w:rsidRPr="008D0F59">
        <w:rPr>
          <w:spacing w:val="-3"/>
        </w:rPr>
        <w:t>365 nm</w:t>
      </w:r>
      <w:r>
        <w:t xml:space="preserve"> (Hg </w:t>
      </w:r>
      <w:proofErr w:type="spellStart"/>
      <w:r>
        <w:t>i</w:t>
      </w:r>
      <w:proofErr w:type="spellEnd"/>
      <w:r>
        <w:t>-line) through a h</w:t>
      </w:r>
      <w:r w:rsidRPr="004A723D">
        <w:t>igh-definition transparency photomask</w:t>
      </w:r>
      <w:r>
        <w:t xml:space="preserve"> </w:t>
      </w:r>
      <w:r>
        <w:rPr>
          <w:color w:val="000000" w:themeColor="text1"/>
        </w:rPr>
        <w:t>using an exposure dose of 1</w:t>
      </w:r>
      <w:r w:rsidR="00BD499C">
        <w:rPr>
          <w:color w:val="000000" w:themeColor="text1"/>
        </w:rPr>
        <w:t>,</w:t>
      </w:r>
      <w:r>
        <w:rPr>
          <w:color w:val="000000" w:themeColor="text1"/>
        </w:rPr>
        <w:t xml:space="preserve">000 </w:t>
      </w:r>
      <w:proofErr w:type="spellStart"/>
      <w:r>
        <w:rPr>
          <w:color w:val="000000" w:themeColor="text1"/>
        </w:rPr>
        <w:t>mJ</w:t>
      </w:r>
      <w:proofErr w:type="spellEnd"/>
      <w:r>
        <w:rPr>
          <w:color w:val="000000" w:themeColor="text1"/>
        </w:rPr>
        <w:t>/cm</w:t>
      </w:r>
      <w:r>
        <w:rPr>
          <w:color w:val="000000" w:themeColor="text1"/>
          <w:vertAlign w:val="superscript"/>
        </w:rPr>
        <w:t>2</w:t>
      </w:r>
      <w:r>
        <w:rPr>
          <w:color w:val="000000" w:themeColor="text1"/>
        </w:rPr>
        <w:t>.</w:t>
      </w:r>
    </w:p>
    <w:p w14:paraId="331B7EEB" w14:textId="77777777" w:rsidR="009041C9" w:rsidRDefault="009041C9" w:rsidP="006A1488">
      <w:pPr>
        <w:pStyle w:val="ListParagraph"/>
        <w:widowControl/>
        <w:autoSpaceDE/>
        <w:autoSpaceDN/>
        <w:adjustRightInd/>
        <w:ind w:left="0"/>
        <w:rPr>
          <w:color w:val="000000" w:themeColor="text1"/>
        </w:rPr>
      </w:pPr>
    </w:p>
    <w:p w14:paraId="44C57856" w14:textId="2ECC05C8" w:rsidR="00784F37" w:rsidRPr="00FB69CA" w:rsidRDefault="00950944" w:rsidP="006A1488">
      <w:pPr>
        <w:pStyle w:val="ListParagraph"/>
        <w:widowControl/>
        <w:numPr>
          <w:ilvl w:val="2"/>
          <w:numId w:val="19"/>
        </w:numPr>
        <w:autoSpaceDE/>
        <w:autoSpaceDN/>
        <w:adjustRightInd/>
        <w:rPr>
          <w:color w:val="000000" w:themeColor="text1"/>
        </w:rPr>
      </w:pPr>
      <w:r w:rsidRPr="00950944">
        <w:rPr>
          <w:color w:val="000000" w:themeColor="text1"/>
        </w:rPr>
        <w:t xml:space="preserve">Place the wafer on a hot plate and </w:t>
      </w:r>
      <w:r>
        <w:rPr>
          <w:color w:val="000000" w:themeColor="text1"/>
        </w:rPr>
        <w:t>p</w:t>
      </w:r>
      <w:r w:rsidR="00784F37">
        <w:rPr>
          <w:color w:val="000000" w:themeColor="text1"/>
        </w:rPr>
        <w:t xml:space="preserve">ost-bake for </w:t>
      </w:r>
      <w:r w:rsidR="00784F37">
        <w:t xml:space="preserve">15 min at 65 </w:t>
      </w:r>
      <w:r w:rsidR="005359BF">
        <w:t>°</w:t>
      </w:r>
      <w:r w:rsidR="00784F37" w:rsidRPr="004A723D">
        <w:t>C</w:t>
      </w:r>
      <w:r w:rsidR="00784F37">
        <w:t>, followed by 40 min at 95</w:t>
      </w:r>
      <w:r w:rsidR="00784F37" w:rsidRPr="004A723D">
        <w:t xml:space="preserve"> </w:t>
      </w:r>
      <w:r w:rsidR="005359BF">
        <w:t>°</w:t>
      </w:r>
      <w:r w:rsidR="00784F37" w:rsidRPr="004A723D">
        <w:t>C</w:t>
      </w:r>
      <w:r w:rsidR="00784F37">
        <w:t>.</w:t>
      </w:r>
    </w:p>
    <w:p w14:paraId="2684BED5" w14:textId="77777777" w:rsidR="009041C9" w:rsidRDefault="009041C9" w:rsidP="006A1488">
      <w:pPr>
        <w:pStyle w:val="ListParagraph"/>
        <w:widowControl/>
        <w:autoSpaceDE/>
        <w:autoSpaceDN/>
        <w:adjustRightInd/>
        <w:ind w:left="0"/>
        <w:rPr>
          <w:color w:val="000000" w:themeColor="text1"/>
        </w:rPr>
      </w:pPr>
    </w:p>
    <w:p w14:paraId="66A66377" w14:textId="62765067"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 xml:space="preserve">Develop </w:t>
      </w:r>
      <w:r w:rsidR="00950944">
        <w:rPr>
          <w:color w:val="000000" w:themeColor="text1"/>
        </w:rPr>
        <w:t xml:space="preserve">by immersing </w:t>
      </w:r>
      <w:r>
        <w:rPr>
          <w:color w:val="000000" w:themeColor="text1"/>
        </w:rPr>
        <w:t xml:space="preserve">in </w:t>
      </w:r>
      <w:r w:rsidRPr="008D0F59">
        <w:rPr>
          <w:spacing w:val="-3"/>
        </w:rPr>
        <w:t>propylene glycol monomethyl ether acetate (PGMEA</w:t>
      </w:r>
      <w:r w:rsidR="00D73F3E">
        <w:rPr>
          <w:spacing w:val="-3"/>
        </w:rPr>
        <w:t xml:space="preserve">) </w:t>
      </w:r>
      <w:r>
        <w:rPr>
          <w:color w:val="000000" w:themeColor="text1"/>
        </w:rPr>
        <w:t>for 5 min.</w:t>
      </w:r>
    </w:p>
    <w:p w14:paraId="75840535" w14:textId="77777777" w:rsidR="009041C9" w:rsidRPr="009041C9" w:rsidRDefault="009041C9" w:rsidP="006A1488">
      <w:pPr>
        <w:pStyle w:val="ListParagraph"/>
        <w:widowControl/>
        <w:autoSpaceDE/>
        <w:autoSpaceDN/>
        <w:adjustRightInd/>
        <w:ind w:left="0"/>
        <w:rPr>
          <w:color w:val="000000" w:themeColor="text1"/>
        </w:rPr>
      </w:pPr>
    </w:p>
    <w:p w14:paraId="1842BF79" w14:textId="6FF77A13" w:rsidR="00784F37" w:rsidRDefault="00784F37" w:rsidP="006A1488">
      <w:pPr>
        <w:pStyle w:val="ListParagraph"/>
        <w:widowControl/>
        <w:numPr>
          <w:ilvl w:val="2"/>
          <w:numId w:val="19"/>
        </w:numPr>
        <w:autoSpaceDE/>
        <w:autoSpaceDN/>
        <w:adjustRightInd/>
        <w:rPr>
          <w:color w:val="000000" w:themeColor="text1"/>
        </w:rPr>
      </w:pPr>
      <w:r>
        <w:rPr>
          <w:spacing w:val="-3"/>
        </w:rPr>
        <w:lastRenderedPageBreak/>
        <w:t>Rinse</w:t>
      </w:r>
      <w:r w:rsidRPr="008D0F59">
        <w:rPr>
          <w:spacing w:val="-3"/>
        </w:rPr>
        <w:t xml:space="preserve"> with PGMEA and isopropanol and </w:t>
      </w:r>
      <w:r>
        <w:rPr>
          <w:spacing w:val="-3"/>
        </w:rPr>
        <w:t>dry</w:t>
      </w:r>
      <w:r w:rsidRPr="008D0F59">
        <w:rPr>
          <w:spacing w:val="-3"/>
        </w:rPr>
        <w:t xml:space="preserve"> with a stream of nitrogen gas.</w:t>
      </w:r>
    </w:p>
    <w:p w14:paraId="42F40B80" w14:textId="77777777" w:rsidR="009041C9" w:rsidRDefault="009041C9" w:rsidP="006A1488">
      <w:pPr>
        <w:pStyle w:val="ListParagraph"/>
        <w:widowControl/>
        <w:autoSpaceDE/>
        <w:autoSpaceDN/>
        <w:adjustRightInd/>
        <w:ind w:left="0"/>
        <w:rPr>
          <w:color w:val="000000" w:themeColor="text1"/>
        </w:rPr>
      </w:pPr>
    </w:p>
    <w:p w14:paraId="53B8465E" w14:textId="2583A36E" w:rsidR="00784F37" w:rsidRPr="00FB69CA" w:rsidRDefault="00D73F3E" w:rsidP="006A1488">
      <w:pPr>
        <w:pStyle w:val="ListParagraph"/>
        <w:widowControl/>
        <w:numPr>
          <w:ilvl w:val="2"/>
          <w:numId w:val="19"/>
        </w:numPr>
        <w:autoSpaceDE/>
        <w:autoSpaceDN/>
        <w:adjustRightInd/>
        <w:rPr>
          <w:color w:val="000000" w:themeColor="text1"/>
        </w:rPr>
      </w:pPr>
      <w:r>
        <w:rPr>
          <w:color w:val="000000" w:themeColor="text1"/>
        </w:rPr>
        <w:t>Place the wafer on a hot plate and h</w:t>
      </w:r>
      <w:r w:rsidR="00784F37">
        <w:rPr>
          <w:color w:val="000000" w:themeColor="text1"/>
        </w:rPr>
        <w:t xml:space="preserve">ard-bake for 2 h at </w:t>
      </w:r>
      <w:r w:rsidR="00784F37">
        <w:t xml:space="preserve">135 </w:t>
      </w:r>
      <w:r w:rsidR="005359BF">
        <w:t>°</w:t>
      </w:r>
      <w:r w:rsidR="00784F37" w:rsidRPr="004A723D">
        <w:t>C</w:t>
      </w:r>
      <w:r w:rsidR="00784F37">
        <w:t>.</w:t>
      </w:r>
    </w:p>
    <w:p w14:paraId="17AC065B" w14:textId="77777777" w:rsidR="009041C9" w:rsidRPr="009041C9" w:rsidRDefault="009041C9" w:rsidP="006A1488">
      <w:pPr>
        <w:pStyle w:val="ListParagraph"/>
        <w:widowControl/>
        <w:autoSpaceDE/>
        <w:autoSpaceDN/>
        <w:adjustRightInd/>
        <w:ind w:left="0"/>
        <w:rPr>
          <w:color w:val="000000" w:themeColor="text1"/>
        </w:rPr>
      </w:pPr>
    </w:p>
    <w:p w14:paraId="4EBAC4F7" w14:textId="77777777" w:rsidR="004F41AB" w:rsidRPr="004F41AB" w:rsidRDefault="00784F37" w:rsidP="006A1488">
      <w:pPr>
        <w:pStyle w:val="ListParagraph"/>
        <w:widowControl/>
        <w:numPr>
          <w:ilvl w:val="2"/>
          <w:numId w:val="19"/>
        </w:numPr>
        <w:autoSpaceDE/>
        <w:autoSpaceDN/>
        <w:adjustRightInd/>
        <w:rPr>
          <w:color w:val="000000" w:themeColor="text1"/>
        </w:rPr>
      </w:pPr>
      <w:proofErr w:type="spellStart"/>
      <w:r>
        <w:t>Silanize</w:t>
      </w:r>
      <w:proofErr w:type="spellEnd"/>
      <w:r>
        <w:t xml:space="preserve"> the wafer in the vacuum desiccator containing a drop of </w:t>
      </w:r>
      <w:proofErr w:type="spellStart"/>
      <w:r>
        <w:t>sil</w:t>
      </w:r>
      <w:r w:rsidR="004B2260">
        <w:t>a</w:t>
      </w:r>
      <w:r>
        <w:t>nizing</w:t>
      </w:r>
      <w:proofErr w:type="spellEnd"/>
      <w:r>
        <w:t xml:space="preserve"> agent (</w:t>
      </w:r>
      <w:proofErr w:type="spellStart"/>
      <w:r w:rsidR="00660C1F">
        <w:t>t</w:t>
      </w:r>
      <w:r>
        <w:t>richoloro</w:t>
      </w:r>
      <w:proofErr w:type="spellEnd"/>
      <w:r>
        <w:t xml:space="preserve"> </w:t>
      </w:r>
      <w:proofErr w:type="spellStart"/>
      <w:r>
        <w:t>perfluoroctyl</w:t>
      </w:r>
      <w:proofErr w:type="spellEnd"/>
      <w:r>
        <w:t xml:space="preserve"> silane</w:t>
      </w:r>
      <w:r w:rsidR="004B2260">
        <w:t>)</w:t>
      </w:r>
      <w:r w:rsidR="00950944">
        <w:t xml:space="preserve"> </w:t>
      </w:r>
      <w:r>
        <w:t>placed on an adjacent glass microscope slide for 2 h</w:t>
      </w:r>
      <w:r w:rsidR="004B2260">
        <w:t>.</w:t>
      </w:r>
    </w:p>
    <w:p w14:paraId="7F04BB22" w14:textId="4798DF49" w:rsidR="004B2260" w:rsidRPr="00BE6FED" w:rsidRDefault="004B2260" w:rsidP="004F41AB">
      <w:pPr>
        <w:pStyle w:val="ListParagraph"/>
        <w:widowControl/>
        <w:autoSpaceDE/>
        <w:autoSpaceDN/>
        <w:adjustRightInd/>
        <w:ind w:left="0"/>
        <w:rPr>
          <w:color w:val="000000" w:themeColor="text1"/>
        </w:rPr>
      </w:pPr>
      <w:r>
        <w:t xml:space="preserve"> </w:t>
      </w:r>
    </w:p>
    <w:p w14:paraId="781CBEB0" w14:textId="0A41A3FD" w:rsidR="00784F37" w:rsidRDefault="00630311" w:rsidP="006A1488">
      <w:pPr>
        <w:pStyle w:val="ListParagraph"/>
        <w:ind w:left="0"/>
      </w:pPr>
      <w:r>
        <w:t>NOTE</w:t>
      </w:r>
      <w:r w:rsidR="004B2260">
        <w:t xml:space="preserve">: This is done </w:t>
      </w:r>
      <w:r w:rsidR="00784F37">
        <w:t>to make the silanes form a monolayer on the surface of the SU-8 master</w:t>
      </w:r>
      <w:r w:rsidR="004B2260">
        <w:t>.</w:t>
      </w:r>
      <w:r w:rsidR="00DF4BD7">
        <w:t xml:space="preserve"> </w:t>
      </w:r>
      <w:proofErr w:type="spellStart"/>
      <w:r w:rsidR="00784F37">
        <w:t>Tricholoro</w:t>
      </w:r>
      <w:proofErr w:type="spellEnd"/>
      <w:r w:rsidR="00784F37">
        <w:t xml:space="preserve"> </w:t>
      </w:r>
      <w:proofErr w:type="spellStart"/>
      <w:r w:rsidR="00784F37">
        <w:t>perfluoroctyl</w:t>
      </w:r>
      <w:proofErr w:type="spellEnd"/>
      <w:r w:rsidR="00784F37">
        <w:t xml:space="preserve"> silane should be always handled in the fume hood and kept away from water sources.</w:t>
      </w:r>
    </w:p>
    <w:p w14:paraId="2066CCF0" w14:textId="77777777" w:rsidR="004F41AB" w:rsidRPr="00D37F04" w:rsidRDefault="004F41AB" w:rsidP="004F41AB">
      <w:pPr>
        <w:pStyle w:val="Heading3"/>
        <w:spacing w:before="0"/>
        <w:rPr>
          <w:rFonts w:ascii="Calibri" w:hAnsi="Calibri" w:cs="Calibri"/>
          <w:b w:val="0"/>
          <w:bCs w:val="0"/>
          <w:color w:val="000000" w:themeColor="text1"/>
        </w:rPr>
      </w:pPr>
    </w:p>
    <w:p w14:paraId="01CC537D" w14:textId="5E8D3B44" w:rsidR="00784F37" w:rsidRPr="00D37F04" w:rsidRDefault="004B2260" w:rsidP="006A1488">
      <w:pPr>
        <w:pStyle w:val="Heading3"/>
        <w:numPr>
          <w:ilvl w:val="1"/>
          <w:numId w:val="19"/>
        </w:numPr>
        <w:spacing w:before="0"/>
        <w:rPr>
          <w:rFonts w:ascii="Calibri" w:hAnsi="Calibri" w:cs="Calibri"/>
          <w:b w:val="0"/>
          <w:bCs w:val="0"/>
          <w:color w:val="000000" w:themeColor="text1"/>
        </w:rPr>
      </w:pPr>
      <w:r w:rsidRPr="00D37F04">
        <w:rPr>
          <w:rFonts w:ascii="Calibri" w:hAnsi="Calibri" w:cs="Calibri"/>
          <w:b w:val="0"/>
          <w:bCs w:val="0"/>
          <w:color w:val="000000" w:themeColor="text1"/>
        </w:rPr>
        <w:t>Polydimethylsiloxane (</w:t>
      </w:r>
      <w:r w:rsidR="00784F37" w:rsidRPr="00D37F04">
        <w:rPr>
          <w:rFonts w:ascii="Calibri" w:hAnsi="Calibri" w:cs="Calibri"/>
          <w:b w:val="0"/>
          <w:bCs w:val="0"/>
          <w:color w:val="000000" w:themeColor="text1"/>
        </w:rPr>
        <w:t>PDMS</w:t>
      </w:r>
      <w:r w:rsidRPr="00D37F04">
        <w:rPr>
          <w:rFonts w:ascii="Calibri" w:hAnsi="Calibri" w:cs="Calibri"/>
          <w:b w:val="0"/>
          <w:bCs w:val="0"/>
          <w:color w:val="000000" w:themeColor="text1"/>
        </w:rPr>
        <w:t>)</w:t>
      </w:r>
      <w:r w:rsidR="00784F37" w:rsidRPr="00D37F04">
        <w:rPr>
          <w:rFonts w:ascii="Calibri" w:hAnsi="Calibri" w:cs="Calibri"/>
          <w:b w:val="0"/>
          <w:bCs w:val="0"/>
          <w:color w:val="000000" w:themeColor="text1"/>
        </w:rPr>
        <w:t xml:space="preserve"> </w:t>
      </w:r>
      <w:r w:rsidR="00BD499C" w:rsidRPr="00D37F04">
        <w:rPr>
          <w:rFonts w:ascii="Calibri" w:hAnsi="Calibri" w:cs="Calibri"/>
          <w:b w:val="0"/>
          <w:bCs w:val="0"/>
          <w:color w:val="000000" w:themeColor="text1"/>
        </w:rPr>
        <w:t>r</w:t>
      </w:r>
      <w:r w:rsidR="00784F37" w:rsidRPr="00D37F04">
        <w:rPr>
          <w:rFonts w:ascii="Calibri" w:hAnsi="Calibri" w:cs="Calibri"/>
          <w:b w:val="0"/>
          <w:bCs w:val="0"/>
          <w:color w:val="000000" w:themeColor="text1"/>
        </w:rPr>
        <w:t>eplica</w:t>
      </w:r>
    </w:p>
    <w:p w14:paraId="25908ABB" w14:textId="77777777" w:rsidR="00380945" w:rsidRPr="00380945" w:rsidRDefault="00380945" w:rsidP="006A1488"/>
    <w:p w14:paraId="16AB851B" w14:textId="015DBDE3" w:rsidR="00784F37" w:rsidRPr="004512F7" w:rsidRDefault="00784F37" w:rsidP="006A1488">
      <w:pPr>
        <w:pStyle w:val="ListParagraph"/>
        <w:widowControl/>
        <w:numPr>
          <w:ilvl w:val="2"/>
          <w:numId w:val="19"/>
        </w:numPr>
        <w:autoSpaceDE/>
        <w:autoSpaceDN/>
        <w:adjustRightInd/>
        <w:rPr>
          <w:color w:val="000000" w:themeColor="text1"/>
        </w:rPr>
      </w:pPr>
      <w:r w:rsidRPr="004512F7">
        <w:rPr>
          <w:lang w:eastAsia="en-CA"/>
        </w:rPr>
        <w:t>Prepare liquid prepolymers of PDMS</w:t>
      </w:r>
      <w:r>
        <w:rPr>
          <w:lang w:eastAsia="en-CA"/>
        </w:rPr>
        <w:t xml:space="preserve"> </w:t>
      </w:r>
      <w:r w:rsidRPr="00CD7451">
        <w:rPr>
          <w:lang w:eastAsia="en-CA"/>
        </w:rPr>
        <w:t>(</w:t>
      </w:r>
      <w:r w:rsidR="004F41AB">
        <w:rPr>
          <w:lang w:eastAsia="en-CA"/>
        </w:rPr>
        <w:t xml:space="preserve">see </w:t>
      </w:r>
      <w:r w:rsidR="00DF4BD7" w:rsidRPr="004F41AB">
        <w:rPr>
          <w:b/>
          <w:bCs/>
          <w:lang w:eastAsia="en-CA"/>
        </w:rPr>
        <w:t>Table of Materials</w:t>
      </w:r>
      <w:r w:rsidR="004B2260">
        <w:rPr>
          <w:lang w:eastAsia="en-CA"/>
        </w:rPr>
        <w:t>)</w:t>
      </w:r>
      <w:r w:rsidR="00DF4BD7">
        <w:rPr>
          <w:lang w:eastAsia="en-CA"/>
        </w:rPr>
        <w:t xml:space="preserve"> </w:t>
      </w:r>
      <w:r w:rsidRPr="004512F7">
        <w:rPr>
          <w:lang w:eastAsia="en-CA"/>
        </w:rPr>
        <w:t xml:space="preserve">at a </w:t>
      </w:r>
      <w:r w:rsidRPr="004512F7">
        <w:t>10:1</w:t>
      </w:r>
      <w:r w:rsidRPr="004512F7">
        <w:rPr>
          <w:lang w:eastAsia="en-CA"/>
        </w:rPr>
        <w:t xml:space="preserve"> ratio w/w of elastomer base to curing agent in a </w:t>
      </w:r>
      <w:r w:rsidR="00DF4BD7">
        <w:rPr>
          <w:lang w:eastAsia="en-CA"/>
        </w:rPr>
        <w:t xml:space="preserve">plastic </w:t>
      </w:r>
      <w:r w:rsidRPr="004512F7">
        <w:rPr>
          <w:lang w:eastAsia="en-CA"/>
        </w:rPr>
        <w:t xml:space="preserve">cup. </w:t>
      </w:r>
    </w:p>
    <w:p w14:paraId="1E2A3FC7" w14:textId="77777777" w:rsidR="00C84AF9" w:rsidRDefault="00C84AF9" w:rsidP="006A1488">
      <w:pPr>
        <w:pStyle w:val="ListParagraph"/>
        <w:widowControl/>
        <w:autoSpaceDE/>
        <w:autoSpaceDN/>
        <w:adjustRightInd/>
        <w:ind w:left="0"/>
        <w:rPr>
          <w:color w:val="000000" w:themeColor="text1"/>
        </w:rPr>
      </w:pPr>
    </w:p>
    <w:p w14:paraId="4D1E141C" w14:textId="61C4E14D" w:rsidR="00784F37" w:rsidRPr="004512F7" w:rsidRDefault="00784F37" w:rsidP="006A1488">
      <w:pPr>
        <w:pStyle w:val="ListParagraph"/>
        <w:widowControl/>
        <w:numPr>
          <w:ilvl w:val="2"/>
          <w:numId w:val="19"/>
        </w:numPr>
        <w:autoSpaceDE/>
        <w:autoSpaceDN/>
        <w:adjustRightInd/>
        <w:rPr>
          <w:color w:val="000000" w:themeColor="text1"/>
        </w:rPr>
      </w:pPr>
      <w:r w:rsidRPr="004512F7">
        <w:rPr>
          <w:color w:val="000000" w:themeColor="text1"/>
        </w:rPr>
        <w:t xml:space="preserve">Place the cup in </w:t>
      </w:r>
      <w:r w:rsidR="004B2260">
        <w:rPr>
          <w:color w:val="000000" w:themeColor="text1"/>
        </w:rPr>
        <w:t xml:space="preserve">a </w:t>
      </w:r>
      <w:r w:rsidRPr="004512F7">
        <w:rPr>
          <w:color w:val="000000" w:themeColor="text1"/>
        </w:rPr>
        <w:t xml:space="preserve">planetary centrifugal vacuum </w:t>
      </w:r>
      <w:r w:rsidR="004B2260">
        <w:rPr>
          <w:color w:val="000000" w:themeColor="text1"/>
        </w:rPr>
        <w:t>m</w:t>
      </w:r>
      <w:r w:rsidRPr="004512F7">
        <w:rPr>
          <w:color w:val="000000" w:themeColor="text1"/>
        </w:rPr>
        <w:t>ixer</w:t>
      </w:r>
      <w:r w:rsidR="004B2260">
        <w:rPr>
          <w:color w:val="000000" w:themeColor="text1"/>
        </w:rPr>
        <w:t xml:space="preserve"> </w:t>
      </w:r>
      <w:r w:rsidRPr="004512F7">
        <w:rPr>
          <w:color w:val="000000" w:themeColor="text1"/>
        </w:rPr>
        <w:t xml:space="preserve">to mix and degas </w:t>
      </w:r>
      <w:r w:rsidR="004B2260">
        <w:rPr>
          <w:color w:val="000000" w:themeColor="text1"/>
        </w:rPr>
        <w:t xml:space="preserve">the </w:t>
      </w:r>
      <w:r w:rsidRPr="004512F7">
        <w:rPr>
          <w:color w:val="000000" w:themeColor="text1"/>
        </w:rPr>
        <w:t>PDMS mixture.</w:t>
      </w:r>
    </w:p>
    <w:p w14:paraId="4F295F89" w14:textId="77777777" w:rsidR="00C84AF9" w:rsidRPr="00C84AF9" w:rsidRDefault="00C84AF9" w:rsidP="006A1488">
      <w:pPr>
        <w:pStyle w:val="ListParagraph"/>
        <w:widowControl/>
        <w:autoSpaceDE/>
        <w:autoSpaceDN/>
        <w:adjustRightInd/>
        <w:ind w:left="0"/>
        <w:rPr>
          <w:color w:val="000000" w:themeColor="text1"/>
        </w:rPr>
      </w:pPr>
    </w:p>
    <w:p w14:paraId="15F6429A" w14:textId="524BA7F9" w:rsidR="00784F37" w:rsidRPr="00D37F04" w:rsidRDefault="00784F37" w:rsidP="006A1488">
      <w:pPr>
        <w:pStyle w:val="ListParagraph"/>
        <w:widowControl/>
        <w:numPr>
          <w:ilvl w:val="2"/>
          <w:numId w:val="19"/>
        </w:numPr>
        <w:autoSpaceDE/>
        <w:autoSpaceDN/>
        <w:adjustRightInd/>
        <w:rPr>
          <w:color w:val="000000" w:themeColor="text1"/>
        </w:rPr>
      </w:pPr>
      <w:r w:rsidRPr="004512F7">
        <w:rPr>
          <w:lang w:eastAsia="en-CA"/>
        </w:rPr>
        <w:t>Pour PDMS mixture onto the m</w:t>
      </w:r>
      <w:r w:rsidR="00723BC6">
        <w:rPr>
          <w:lang w:eastAsia="en-CA"/>
        </w:rPr>
        <w:t>old</w:t>
      </w:r>
      <w:r w:rsidRPr="004512F7">
        <w:rPr>
          <w:lang w:eastAsia="en-CA"/>
        </w:rPr>
        <w:t xml:space="preserve"> placed in the custom metal holder that prevents resin leakage and cure at 65 </w:t>
      </w:r>
      <w:r w:rsidR="005359BF">
        <w:rPr>
          <w:lang w:eastAsia="en-CA"/>
        </w:rPr>
        <w:t>°</w:t>
      </w:r>
      <w:r w:rsidRPr="004512F7">
        <w:rPr>
          <w:lang w:eastAsia="en-CA"/>
        </w:rPr>
        <w:t>C for 2 h.</w:t>
      </w:r>
      <w:r w:rsidRPr="00D37F04">
        <w:rPr>
          <w:lang w:eastAsia="en-CA"/>
        </w:rPr>
        <w:t xml:space="preserve"> </w:t>
      </w:r>
    </w:p>
    <w:p w14:paraId="1E9F7175" w14:textId="77777777" w:rsidR="00C84AF9" w:rsidRPr="00D37F04" w:rsidRDefault="00C84AF9" w:rsidP="006A1488">
      <w:pPr>
        <w:pStyle w:val="ListParagraph"/>
        <w:widowControl/>
        <w:autoSpaceDE/>
        <w:autoSpaceDN/>
        <w:adjustRightInd/>
        <w:ind w:left="0"/>
        <w:rPr>
          <w:color w:val="000000" w:themeColor="text1"/>
        </w:rPr>
      </w:pPr>
    </w:p>
    <w:p w14:paraId="7F0A34AA" w14:textId="1D1CCB14" w:rsidR="004F41AB" w:rsidRPr="00D37F04" w:rsidRDefault="00784F37" w:rsidP="004F41AB">
      <w:pPr>
        <w:pStyle w:val="ListParagraph"/>
        <w:widowControl/>
        <w:numPr>
          <w:ilvl w:val="2"/>
          <w:numId w:val="19"/>
        </w:numPr>
        <w:autoSpaceDE/>
        <w:autoSpaceDN/>
        <w:adjustRightInd/>
        <w:rPr>
          <w:color w:val="000000" w:themeColor="text1"/>
        </w:rPr>
      </w:pPr>
      <w:r w:rsidRPr="00D37F04">
        <w:rPr>
          <w:color w:val="000000" w:themeColor="text1"/>
        </w:rPr>
        <w:t>Using tweezers, carefully peel off the PDMS mold from the SU-8 master.</w:t>
      </w:r>
    </w:p>
    <w:p w14:paraId="74A7837F" w14:textId="77777777" w:rsidR="004F41AB" w:rsidRPr="00D37F04" w:rsidRDefault="004F41AB" w:rsidP="004F41AB">
      <w:pPr>
        <w:pStyle w:val="ListParagraph"/>
        <w:widowControl/>
        <w:autoSpaceDE/>
        <w:autoSpaceDN/>
        <w:adjustRightInd/>
        <w:ind w:left="0"/>
        <w:rPr>
          <w:color w:val="000000" w:themeColor="text1"/>
        </w:rPr>
      </w:pPr>
    </w:p>
    <w:p w14:paraId="134C8BCE" w14:textId="5E0CA094" w:rsidR="00784F37" w:rsidRPr="00D37F04" w:rsidRDefault="00784F37" w:rsidP="006A1488">
      <w:pPr>
        <w:pStyle w:val="Heading3"/>
        <w:numPr>
          <w:ilvl w:val="1"/>
          <w:numId w:val="19"/>
        </w:numPr>
        <w:spacing w:before="0"/>
        <w:rPr>
          <w:rFonts w:ascii="Calibri" w:hAnsi="Calibri" w:cs="Calibri"/>
          <w:b w:val="0"/>
          <w:bCs w:val="0"/>
          <w:color w:val="000000" w:themeColor="text1"/>
          <w:lang w:eastAsia="en-CA"/>
        </w:rPr>
      </w:pPr>
      <w:r w:rsidRPr="00D37F04">
        <w:rPr>
          <w:rFonts w:ascii="Calibri" w:hAnsi="Calibri" w:cs="Calibri"/>
          <w:b w:val="0"/>
          <w:bCs w:val="0"/>
          <w:color w:val="000000" w:themeColor="text1"/>
        </w:rPr>
        <w:t xml:space="preserve">Epoxy </w:t>
      </w:r>
      <w:r w:rsidR="00723BC6" w:rsidRPr="00D37F04">
        <w:rPr>
          <w:rFonts w:ascii="Calibri" w:hAnsi="Calibri" w:cs="Calibri"/>
          <w:b w:val="0"/>
          <w:bCs w:val="0"/>
          <w:color w:val="000000" w:themeColor="text1"/>
        </w:rPr>
        <w:t>m</w:t>
      </w:r>
      <w:r w:rsidRPr="00D37F04">
        <w:rPr>
          <w:rFonts w:ascii="Calibri" w:hAnsi="Calibri" w:cs="Calibri"/>
          <w:b w:val="0"/>
          <w:bCs w:val="0"/>
          <w:color w:val="000000" w:themeColor="text1"/>
        </w:rPr>
        <w:t>old</w:t>
      </w:r>
      <w:r w:rsidRPr="00D37F04">
        <w:rPr>
          <w:rFonts w:ascii="Calibri" w:hAnsi="Calibri" w:cs="Calibri"/>
          <w:b w:val="0"/>
          <w:bCs w:val="0"/>
          <w:color w:val="000000" w:themeColor="text1"/>
          <w:lang w:eastAsia="en-CA"/>
        </w:rPr>
        <w:t xml:space="preserve"> </w:t>
      </w:r>
    </w:p>
    <w:p w14:paraId="44055DC7" w14:textId="77777777" w:rsidR="00FC67D9" w:rsidRDefault="00FC67D9" w:rsidP="006A1488">
      <w:pPr>
        <w:rPr>
          <w:lang w:eastAsia="en-CA"/>
        </w:rPr>
      </w:pPr>
    </w:p>
    <w:p w14:paraId="441850A0" w14:textId="7F600A81" w:rsidR="00FC67D9" w:rsidRDefault="004F41AB" w:rsidP="006A1488">
      <w:pPr>
        <w:rPr>
          <w:lang w:eastAsia="en-CA"/>
        </w:rPr>
      </w:pPr>
      <w:r>
        <w:rPr>
          <w:lang w:eastAsia="en-CA"/>
        </w:rPr>
        <w:t xml:space="preserve">NOTE: </w:t>
      </w:r>
      <w:r w:rsidR="00784F37" w:rsidRPr="00CD7451">
        <w:rPr>
          <w:lang w:eastAsia="en-CA"/>
        </w:rPr>
        <w:t xml:space="preserve">An epoxy mold </w:t>
      </w:r>
      <w:r w:rsidR="00723BC6">
        <w:rPr>
          <w:lang w:eastAsia="en-CA"/>
        </w:rPr>
        <w:t xml:space="preserve">was </w:t>
      </w:r>
      <w:r w:rsidR="00784F37" w:rsidRPr="00CD7451">
        <w:rPr>
          <w:lang w:eastAsia="en-CA"/>
        </w:rPr>
        <w:t>fabricated from the SU-8/silicon master using an intermediate replication process with PDMS.</w:t>
      </w:r>
    </w:p>
    <w:p w14:paraId="7A9C0F5C" w14:textId="0C76C961" w:rsidR="00784F37" w:rsidRPr="00CD7451" w:rsidRDefault="00784F37" w:rsidP="006A1488">
      <w:pPr>
        <w:rPr>
          <w:b/>
          <w:color w:val="000000" w:themeColor="text1"/>
        </w:rPr>
      </w:pPr>
      <w:r w:rsidRPr="00CD7451">
        <w:rPr>
          <w:lang w:eastAsia="en-CA"/>
        </w:rPr>
        <w:t xml:space="preserve"> </w:t>
      </w:r>
    </w:p>
    <w:p w14:paraId="50063F19" w14:textId="2A704D3B" w:rsidR="00784F37" w:rsidRPr="00047513" w:rsidRDefault="00784F37" w:rsidP="006A1488">
      <w:pPr>
        <w:pStyle w:val="ListParagraph"/>
        <w:widowControl/>
        <w:numPr>
          <w:ilvl w:val="2"/>
          <w:numId w:val="19"/>
        </w:numPr>
        <w:autoSpaceDE/>
        <w:autoSpaceDN/>
        <w:adjustRightInd/>
        <w:rPr>
          <w:color w:val="000000" w:themeColor="text1"/>
        </w:rPr>
      </w:pPr>
      <w:r>
        <w:rPr>
          <w:lang w:eastAsia="en-CA"/>
        </w:rPr>
        <w:t xml:space="preserve">Prepare </w:t>
      </w:r>
      <w:r w:rsidR="004B2260">
        <w:rPr>
          <w:lang w:eastAsia="en-CA"/>
        </w:rPr>
        <w:t xml:space="preserve">the </w:t>
      </w:r>
      <w:r>
        <w:rPr>
          <w:lang w:eastAsia="en-CA"/>
        </w:rPr>
        <w:t>e</w:t>
      </w:r>
      <w:r w:rsidRPr="004A723D">
        <w:rPr>
          <w:lang w:eastAsia="en-CA"/>
        </w:rPr>
        <w:t>poxy resin</w:t>
      </w:r>
      <w:r w:rsidR="00DF4BD7">
        <w:rPr>
          <w:lang w:eastAsia="en-CA"/>
        </w:rPr>
        <w:t xml:space="preserve"> (</w:t>
      </w:r>
      <w:r w:rsidR="004F41AB">
        <w:rPr>
          <w:lang w:eastAsia="en-CA"/>
        </w:rPr>
        <w:t xml:space="preserve">see </w:t>
      </w:r>
      <w:r w:rsidR="00DF4BD7" w:rsidRPr="004F41AB">
        <w:rPr>
          <w:b/>
          <w:bCs/>
          <w:lang w:eastAsia="en-CA"/>
        </w:rPr>
        <w:t>Table of Materials</w:t>
      </w:r>
      <w:r w:rsidR="00DF4BD7">
        <w:rPr>
          <w:lang w:eastAsia="en-CA"/>
        </w:rPr>
        <w:t>)</w:t>
      </w:r>
      <w:r w:rsidRPr="004A723D">
        <w:rPr>
          <w:lang w:eastAsia="en-CA"/>
        </w:rPr>
        <w:t xml:space="preserve"> using a </w:t>
      </w:r>
      <w:r w:rsidRPr="00DC3410">
        <w:t xml:space="preserve">100/83 </w:t>
      </w:r>
      <w:r>
        <w:t xml:space="preserve">w/w </w:t>
      </w:r>
      <w:r w:rsidRPr="004A723D">
        <w:rPr>
          <w:lang w:eastAsia="en-CA"/>
        </w:rPr>
        <w:t>ratio of resin/hardener</w:t>
      </w:r>
      <w:r>
        <w:rPr>
          <w:lang w:eastAsia="en-CA"/>
        </w:rPr>
        <w:t>.</w:t>
      </w:r>
    </w:p>
    <w:p w14:paraId="3557D002" w14:textId="77777777" w:rsidR="00FC67D9" w:rsidRPr="00FC67D9" w:rsidRDefault="00FC67D9" w:rsidP="006A1488">
      <w:pPr>
        <w:pStyle w:val="ListParagraph"/>
        <w:widowControl/>
        <w:autoSpaceDE/>
        <w:autoSpaceDN/>
        <w:adjustRightInd/>
        <w:ind w:left="0"/>
        <w:rPr>
          <w:color w:val="000000" w:themeColor="text1"/>
        </w:rPr>
      </w:pPr>
    </w:p>
    <w:p w14:paraId="1AAF7388" w14:textId="0869DAA9" w:rsidR="00784F37" w:rsidRPr="0056186A" w:rsidRDefault="00784F37" w:rsidP="006A1488">
      <w:pPr>
        <w:pStyle w:val="ListParagraph"/>
        <w:widowControl/>
        <w:numPr>
          <w:ilvl w:val="2"/>
          <w:numId w:val="19"/>
        </w:numPr>
        <w:autoSpaceDE/>
        <w:autoSpaceDN/>
        <w:adjustRightInd/>
        <w:rPr>
          <w:color w:val="000000" w:themeColor="text1"/>
        </w:rPr>
      </w:pPr>
      <w:r>
        <w:rPr>
          <w:lang w:eastAsia="en-CA"/>
        </w:rPr>
        <w:t>Degas the mixture</w:t>
      </w:r>
      <w:r w:rsidRPr="004A723D">
        <w:rPr>
          <w:lang w:eastAsia="en-CA"/>
        </w:rPr>
        <w:t xml:space="preserve"> under reduced pressure</w:t>
      </w:r>
      <w:r>
        <w:rPr>
          <w:lang w:eastAsia="en-CA"/>
        </w:rPr>
        <w:t xml:space="preserve"> using a </w:t>
      </w:r>
      <w:r w:rsidRPr="00047513">
        <w:rPr>
          <w:lang w:eastAsia="en-CA"/>
        </w:rPr>
        <w:t>vacuum drying oven</w:t>
      </w:r>
      <w:r>
        <w:rPr>
          <w:lang w:eastAsia="en-CA"/>
        </w:rPr>
        <w:t xml:space="preserve"> for 30 min.</w:t>
      </w:r>
    </w:p>
    <w:p w14:paraId="69190E64" w14:textId="77777777" w:rsidR="00FC67D9" w:rsidRPr="00FC67D9" w:rsidRDefault="00FC67D9" w:rsidP="006A1488">
      <w:pPr>
        <w:pStyle w:val="ListParagraph"/>
        <w:widowControl/>
        <w:autoSpaceDE/>
        <w:autoSpaceDN/>
        <w:adjustRightInd/>
        <w:ind w:left="0"/>
        <w:rPr>
          <w:color w:val="000000" w:themeColor="text1"/>
        </w:rPr>
      </w:pPr>
    </w:p>
    <w:p w14:paraId="57EFECE4" w14:textId="45CDD597" w:rsidR="00784F37" w:rsidRPr="006B6475" w:rsidRDefault="00784F37" w:rsidP="006A1488">
      <w:pPr>
        <w:pStyle w:val="ListParagraph"/>
        <w:widowControl/>
        <w:numPr>
          <w:ilvl w:val="2"/>
          <w:numId w:val="19"/>
        </w:numPr>
        <w:autoSpaceDE/>
        <w:autoSpaceDN/>
        <w:adjustRightInd/>
        <w:rPr>
          <w:color w:val="000000" w:themeColor="text1"/>
        </w:rPr>
      </w:pPr>
      <w:r>
        <w:rPr>
          <w:lang w:eastAsia="en-CA"/>
        </w:rPr>
        <w:t>Pour the resin over</w:t>
      </w:r>
      <w:r w:rsidRPr="004A723D">
        <w:rPr>
          <w:lang w:eastAsia="en-CA"/>
        </w:rPr>
        <w:t xml:space="preserve"> </w:t>
      </w:r>
      <w:r>
        <w:rPr>
          <w:lang w:eastAsia="en-CA"/>
        </w:rPr>
        <w:t>th</w:t>
      </w:r>
      <w:r w:rsidRPr="004A723D">
        <w:rPr>
          <w:lang w:eastAsia="en-CA"/>
        </w:rPr>
        <w:t>e PDM</w:t>
      </w:r>
      <w:r>
        <w:rPr>
          <w:lang w:eastAsia="en-CA"/>
        </w:rPr>
        <w:t>S replica and cure at 8</w:t>
      </w:r>
      <w:r w:rsidRPr="004A723D">
        <w:rPr>
          <w:lang w:eastAsia="en-CA"/>
        </w:rPr>
        <w:t xml:space="preserve">0 </w:t>
      </w:r>
      <w:r w:rsidRPr="004A723D">
        <w:t>°</w:t>
      </w:r>
      <w:r w:rsidRPr="004A723D">
        <w:rPr>
          <w:lang w:eastAsia="en-CA"/>
        </w:rPr>
        <w:t xml:space="preserve">C for 12 h. </w:t>
      </w:r>
    </w:p>
    <w:p w14:paraId="77E0C273" w14:textId="77777777" w:rsidR="00FC67D9" w:rsidRPr="00FC67D9" w:rsidRDefault="00FC67D9" w:rsidP="006A1488">
      <w:pPr>
        <w:pStyle w:val="ListParagraph"/>
        <w:widowControl/>
        <w:autoSpaceDE/>
        <w:autoSpaceDN/>
        <w:adjustRightInd/>
        <w:ind w:left="0"/>
        <w:rPr>
          <w:color w:val="000000" w:themeColor="text1"/>
        </w:rPr>
      </w:pPr>
    </w:p>
    <w:p w14:paraId="2A5FC16B" w14:textId="30025623" w:rsidR="00784F37" w:rsidRPr="00D37F04" w:rsidRDefault="00784F37" w:rsidP="006A1488">
      <w:pPr>
        <w:pStyle w:val="ListParagraph"/>
        <w:widowControl/>
        <w:numPr>
          <w:ilvl w:val="2"/>
          <w:numId w:val="19"/>
        </w:numPr>
        <w:autoSpaceDE/>
        <w:autoSpaceDN/>
        <w:adjustRightInd/>
        <w:rPr>
          <w:color w:val="000000" w:themeColor="text1"/>
        </w:rPr>
      </w:pPr>
      <w:r>
        <w:rPr>
          <w:lang w:eastAsia="en-CA"/>
        </w:rPr>
        <w:t>R</w:t>
      </w:r>
      <w:r w:rsidRPr="004A723D">
        <w:rPr>
          <w:lang w:eastAsia="en-CA"/>
        </w:rPr>
        <w:t>emov</w:t>
      </w:r>
      <w:r>
        <w:rPr>
          <w:lang w:eastAsia="en-CA"/>
        </w:rPr>
        <w:t xml:space="preserve">e the </w:t>
      </w:r>
      <w:r w:rsidRPr="004A723D">
        <w:rPr>
          <w:lang w:eastAsia="en-CA"/>
        </w:rPr>
        <w:t>cured</w:t>
      </w:r>
      <w:r>
        <w:rPr>
          <w:lang w:eastAsia="en-CA"/>
        </w:rPr>
        <w:t xml:space="preserve"> epoxy mold from the PDMS replica</w:t>
      </w:r>
      <w:r w:rsidR="00E466EA">
        <w:rPr>
          <w:lang w:eastAsia="en-CA"/>
        </w:rPr>
        <w:t>, place</w:t>
      </w:r>
      <w:r w:rsidR="004B2260">
        <w:rPr>
          <w:color w:val="000000" w:themeColor="text1"/>
        </w:rPr>
        <w:t xml:space="preserve"> on a hot plate and hard-bake for 2 h at </w:t>
      </w:r>
      <w:r w:rsidR="00E466EA">
        <w:t>120</w:t>
      </w:r>
      <w:r w:rsidR="004B2260">
        <w:t xml:space="preserve"> </w:t>
      </w:r>
      <w:r w:rsidR="004B2260" w:rsidRPr="004A723D">
        <w:t>°C</w:t>
      </w:r>
      <w:r w:rsidR="00E466EA">
        <w:rPr>
          <w:lang w:eastAsia="en-CA"/>
        </w:rPr>
        <w:t>.</w:t>
      </w:r>
    </w:p>
    <w:p w14:paraId="64AF3822" w14:textId="77777777" w:rsidR="004F41AB" w:rsidRPr="00D37F04" w:rsidRDefault="004F41AB" w:rsidP="004F41AB">
      <w:pPr>
        <w:pStyle w:val="ListParagraph"/>
        <w:widowControl/>
        <w:autoSpaceDE/>
        <w:autoSpaceDN/>
        <w:adjustRightInd/>
        <w:ind w:left="0"/>
        <w:rPr>
          <w:color w:val="000000" w:themeColor="text1"/>
        </w:rPr>
      </w:pPr>
    </w:p>
    <w:p w14:paraId="1078D0A1" w14:textId="745B71CB" w:rsidR="00D441A0" w:rsidRPr="00D37F04" w:rsidRDefault="00E466EA" w:rsidP="006A1488">
      <w:pPr>
        <w:pStyle w:val="Heading3"/>
        <w:numPr>
          <w:ilvl w:val="1"/>
          <w:numId w:val="19"/>
        </w:numPr>
        <w:spacing w:before="0"/>
        <w:rPr>
          <w:rFonts w:ascii="Calibri" w:hAnsi="Calibri" w:cs="Calibri"/>
          <w:b w:val="0"/>
          <w:bCs w:val="0"/>
          <w:color w:val="000000" w:themeColor="text1"/>
        </w:rPr>
      </w:pPr>
      <w:r w:rsidRPr="00D37F04">
        <w:rPr>
          <w:rFonts w:ascii="Calibri" w:hAnsi="Calibri" w:cs="Calibri"/>
          <w:b w:val="0"/>
          <w:bCs w:val="0"/>
          <w:color w:val="000000" w:themeColor="text1"/>
        </w:rPr>
        <w:t xml:space="preserve">TPE </w:t>
      </w:r>
      <w:r w:rsidR="00723BC6" w:rsidRPr="00D37F04">
        <w:rPr>
          <w:rFonts w:ascii="Calibri" w:hAnsi="Calibri" w:cs="Calibri"/>
          <w:b w:val="0"/>
          <w:bCs w:val="0"/>
          <w:color w:val="000000" w:themeColor="text1"/>
        </w:rPr>
        <w:t>d</w:t>
      </w:r>
      <w:r w:rsidR="00784F37" w:rsidRPr="00D37F04">
        <w:rPr>
          <w:rFonts w:ascii="Calibri" w:hAnsi="Calibri" w:cs="Calibri"/>
          <w:b w:val="0"/>
          <w:bCs w:val="0"/>
          <w:color w:val="000000" w:themeColor="text1"/>
        </w:rPr>
        <w:t>evice</w:t>
      </w:r>
    </w:p>
    <w:p w14:paraId="7806128E" w14:textId="77777777" w:rsidR="00D441A0" w:rsidRPr="00D441A0" w:rsidRDefault="00D441A0" w:rsidP="006A1488"/>
    <w:p w14:paraId="3196350B" w14:textId="23C0BEFC" w:rsidR="00784F37" w:rsidRPr="00E101A3" w:rsidRDefault="00784F37" w:rsidP="006A1488">
      <w:pPr>
        <w:pStyle w:val="ListParagraph"/>
        <w:widowControl/>
        <w:numPr>
          <w:ilvl w:val="2"/>
          <w:numId w:val="19"/>
        </w:numPr>
        <w:autoSpaceDE/>
        <w:autoSpaceDN/>
        <w:adjustRightInd/>
        <w:rPr>
          <w:color w:val="000000" w:themeColor="text1"/>
        </w:rPr>
      </w:pPr>
      <w:r>
        <w:t xml:space="preserve">Extrude pellets of </w:t>
      </w:r>
      <w:r w:rsidR="00E466EA">
        <w:t>TPE (</w:t>
      </w:r>
      <w:r w:rsidR="004F41AB">
        <w:t xml:space="preserve">see </w:t>
      </w:r>
      <w:r w:rsidR="00AF1DF8" w:rsidRPr="004F41AB">
        <w:rPr>
          <w:b/>
          <w:bCs/>
          <w:lang w:eastAsia="en-CA"/>
        </w:rPr>
        <w:t>Table of Materials</w:t>
      </w:r>
      <w:r w:rsidR="00E466EA">
        <w:t>)</w:t>
      </w:r>
      <w:r>
        <w:t xml:space="preserve"> </w:t>
      </w:r>
      <w:r w:rsidRPr="004A723D">
        <w:t xml:space="preserve">at 165 °C </w:t>
      </w:r>
      <w:r>
        <w:t>in</w:t>
      </w:r>
      <w:r w:rsidRPr="004A723D">
        <w:t xml:space="preserve"> </w:t>
      </w:r>
      <w:r>
        <w:t>2.0 mm thick and 7</w:t>
      </w:r>
      <w:r w:rsidR="00537339">
        <w:rPr>
          <w:color w:val="000000" w:themeColor="text1"/>
        </w:rPr>
        <w:t>”</w:t>
      </w:r>
      <w:r>
        <w:t xml:space="preserve"> wide </w:t>
      </w:r>
      <w:r w:rsidRPr="004A723D">
        <w:t xml:space="preserve">sheets of several meters in length </w:t>
      </w:r>
      <w:r>
        <w:t>and store them as a roll for future use</w:t>
      </w:r>
      <w:r w:rsidRPr="004A723D">
        <w:t>.</w:t>
      </w:r>
    </w:p>
    <w:p w14:paraId="09AADD6A" w14:textId="77777777" w:rsidR="00B43B8E" w:rsidRDefault="00B43B8E" w:rsidP="006A1488">
      <w:pPr>
        <w:pStyle w:val="ListParagraph"/>
        <w:widowControl/>
        <w:autoSpaceDE/>
        <w:autoSpaceDN/>
        <w:adjustRightInd/>
        <w:ind w:left="0"/>
        <w:rPr>
          <w:color w:val="000000" w:themeColor="text1"/>
        </w:rPr>
      </w:pPr>
    </w:p>
    <w:p w14:paraId="6A7DB8F7" w14:textId="2E614A36"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 xml:space="preserve">Cut the </w:t>
      </w:r>
      <w:r w:rsidR="00E466EA">
        <w:rPr>
          <w:color w:val="000000" w:themeColor="text1"/>
        </w:rPr>
        <w:t xml:space="preserve">TPE </w:t>
      </w:r>
      <w:r>
        <w:rPr>
          <w:color w:val="000000" w:themeColor="text1"/>
        </w:rPr>
        <w:t xml:space="preserve">sheet from the roll using scissors </w:t>
      </w:r>
      <w:r w:rsidR="00E466EA">
        <w:rPr>
          <w:color w:val="000000" w:themeColor="text1"/>
        </w:rPr>
        <w:t>in</w:t>
      </w:r>
      <w:r>
        <w:rPr>
          <w:color w:val="000000" w:themeColor="text1"/>
        </w:rPr>
        <w:t>to a 7” square.</w:t>
      </w:r>
    </w:p>
    <w:p w14:paraId="36E4DCCA" w14:textId="77777777" w:rsidR="00B43B8E" w:rsidRDefault="00B43B8E" w:rsidP="006A1488">
      <w:pPr>
        <w:pStyle w:val="ListParagraph"/>
        <w:widowControl/>
        <w:autoSpaceDE/>
        <w:autoSpaceDN/>
        <w:adjustRightInd/>
        <w:ind w:left="0"/>
        <w:rPr>
          <w:color w:val="000000" w:themeColor="text1"/>
        </w:rPr>
      </w:pPr>
    </w:p>
    <w:p w14:paraId="742DD0FE" w14:textId="3770D72B"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 xml:space="preserve">Place the </w:t>
      </w:r>
      <w:r w:rsidR="00E466EA">
        <w:rPr>
          <w:color w:val="000000" w:themeColor="text1"/>
        </w:rPr>
        <w:t xml:space="preserve">TPE </w:t>
      </w:r>
      <w:r>
        <w:rPr>
          <w:color w:val="000000" w:themeColor="text1"/>
        </w:rPr>
        <w:t xml:space="preserve">sheet between the </w:t>
      </w:r>
      <w:r w:rsidR="006A3672">
        <w:rPr>
          <w:color w:val="000000" w:themeColor="text1"/>
        </w:rPr>
        <w:t>e</w:t>
      </w:r>
      <w:r>
        <w:rPr>
          <w:color w:val="000000" w:themeColor="text1"/>
        </w:rPr>
        <w:t xml:space="preserve">poxy mold and a non-patterned </w:t>
      </w:r>
      <w:proofErr w:type="spellStart"/>
      <w:r>
        <w:rPr>
          <w:color w:val="000000" w:themeColor="text1"/>
        </w:rPr>
        <w:t>sil</w:t>
      </w:r>
      <w:r w:rsidR="00DC2E81">
        <w:rPr>
          <w:color w:val="000000" w:themeColor="text1"/>
        </w:rPr>
        <w:t>a</w:t>
      </w:r>
      <w:r>
        <w:rPr>
          <w:color w:val="000000" w:themeColor="text1"/>
        </w:rPr>
        <w:t>nized</w:t>
      </w:r>
      <w:proofErr w:type="spellEnd"/>
      <w:r>
        <w:rPr>
          <w:color w:val="000000" w:themeColor="text1"/>
        </w:rPr>
        <w:t xml:space="preserve"> silicon wafer (see step </w:t>
      </w:r>
      <w:r w:rsidR="00AF1DF8">
        <w:rPr>
          <w:color w:val="000000" w:themeColor="text1"/>
        </w:rPr>
        <w:t>4.1.</w:t>
      </w:r>
      <w:r>
        <w:rPr>
          <w:color w:val="000000" w:themeColor="text1"/>
        </w:rPr>
        <w:t xml:space="preserve">10 for wafer </w:t>
      </w:r>
      <w:proofErr w:type="spellStart"/>
      <w:r>
        <w:rPr>
          <w:color w:val="000000" w:themeColor="text1"/>
        </w:rPr>
        <w:t>sil</w:t>
      </w:r>
      <w:r w:rsidR="00DC2E81">
        <w:rPr>
          <w:color w:val="000000" w:themeColor="text1"/>
        </w:rPr>
        <w:t>a</w:t>
      </w:r>
      <w:r>
        <w:rPr>
          <w:color w:val="000000" w:themeColor="text1"/>
        </w:rPr>
        <w:t>nization</w:t>
      </w:r>
      <w:proofErr w:type="spellEnd"/>
      <w:r>
        <w:rPr>
          <w:color w:val="000000" w:themeColor="text1"/>
        </w:rPr>
        <w:t xml:space="preserve"> procedure).</w:t>
      </w:r>
    </w:p>
    <w:p w14:paraId="5D15400F" w14:textId="77777777" w:rsidR="00B43B8E" w:rsidRPr="00B43B8E" w:rsidRDefault="00B43B8E" w:rsidP="006A1488">
      <w:pPr>
        <w:pStyle w:val="ListParagraph"/>
        <w:widowControl/>
        <w:autoSpaceDE/>
        <w:autoSpaceDN/>
        <w:adjustRightInd/>
        <w:ind w:left="0"/>
        <w:rPr>
          <w:color w:val="000000" w:themeColor="text1"/>
        </w:rPr>
      </w:pPr>
    </w:p>
    <w:p w14:paraId="1CB78461" w14:textId="21C9BA94" w:rsidR="00784F37" w:rsidRPr="00A83F0A" w:rsidRDefault="00784F37" w:rsidP="006A1488">
      <w:pPr>
        <w:pStyle w:val="ListParagraph"/>
        <w:widowControl/>
        <w:numPr>
          <w:ilvl w:val="2"/>
          <w:numId w:val="19"/>
        </w:numPr>
        <w:autoSpaceDE/>
        <w:autoSpaceDN/>
        <w:adjustRightInd/>
        <w:rPr>
          <w:color w:val="000000" w:themeColor="text1"/>
        </w:rPr>
      </w:pPr>
      <w:r>
        <w:t>Perform h</w:t>
      </w:r>
      <w:r w:rsidRPr="004A723D">
        <w:t xml:space="preserve">ot-embossing </w:t>
      </w:r>
      <w:r>
        <w:t>at a temperature of 125 °C, an applied force of 10</w:t>
      </w:r>
      <w:r w:rsidRPr="004A723D">
        <w:t xml:space="preserve"> </w:t>
      </w:r>
      <w:proofErr w:type="spellStart"/>
      <w:r w:rsidRPr="004A723D">
        <w:t>kN</w:t>
      </w:r>
      <w:proofErr w:type="spellEnd"/>
      <w:r w:rsidRPr="004A723D">
        <w:t>, and a pressure of 10</w:t>
      </w:r>
      <w:r w:rsidRPr="008D0F59">
        <w:rPr>
          <w:vertAlign w:val="superscript"/>
        </w:rPr>
        <w:t>–2</w:t>
      </w:r>
      <w:r w:rsidRPr="004A723D">
        <w:t xml:space="preserve"> mbar</w:t>
      </w:r>
      <w:r>
        <w:t xml:space="preserve"> for 10 min</w:t>
      </w:r>
      <w:r w:rsidRPr="004A723D">
        <w:t xml:space="preserve">. </w:t>
      </w:r>
    </w:p>
    <w:p w14:paraId="7CD03AD4" w14:textId="77777777" w:rsidR="00B43B8E" w:rsidRPr="00B43B8E" w:rsidRDefault="00B43B8E" w:rsidP="006A1488">
      <w:pPr>
        <w:pStyle w:val="ListParagraph"/>
        <w:widowControl/>
        <w:autoSpaceDE/>
        <w:autoSpaceDN/>
        <w:adjustRightInd/>
        <w:ind w:left="0"/>
        <w:rPr>
          <w:color w:val="000000" w:themeColor="text1"/>
        </w:rPr>
      </w:pPr>
    </w:p>
    <w:p w14:paraId="475E4A7D" w14:textId="530792A3" w:rsidR="00784F37" w:rsidRPr="00E101A3" w:rsidRDefault="00784F37" w:rsidP="006A1488">
      <w:pPr>
        <w:pStyle w:val="ListParagraph"/>
        <w:widowControl/>
        <w:numPr>
          <w:ilvl w:val="2"/>
          <w:numId w:val="19"/>
        </w:numPr>
        <w:autoSpaceDE/>
        <w:autoSpaceDN/>
        <w:adjustRightInd/>
        <w:rPr>
          <w:color w:val="000000" w:themeColor="text1"/>
        </w:rPr>
      </w:pPr>
      <w:r>
        <w:t xml:space="preserve">Demold carefully at room temperature using methanol spray to separate the embossed </w:t>
      </w:r>
      <w:r w:rsidR="00E466EA">
        <w:t xml:space="preserve">TPE </w:t>
      </w:r>
      <w:r>
        <w:t>from the silicon wafer and the epoxy mold.</w:t>
      </w:r>
    </w:p>
    <w:p w14:paraId="59814AF3" w14:textId="77777777" w:rsidR="00B43B8E" w:rsidRPr="00B43B8E" w:rsidRDefault="00B43B8E" w:rsidP="006A1488">
      <w:pPr>
        <w:pStyle w:val="ListParagraph"/>
        <w:widowControl/>
        <w:autoSpaceDE/>
        <w:autoSpaceDN/>
        <w:adjustRightInd/>
        <w:ind w:left="0"/>
        <w:rPr>
          <w:color w:val="000000" w:themeColor="text1"/>
        </w:rPr>
      </w:pPr>
    </w:p>
    <w:p w14:paraId="075C81AB" w14:textId="64915882" w:rsidR="00784F37" w:rsidRPr="008A79B7" w:rsidRDefault="00784F37" w:rsidP="006A1488">
      <w:pPr>
        <w:pStyle w:val="ListParagraph"/>
        <w:widowControl/>
        <w:numPr>
          <w:ilvl w:val="2"/>
          <w:numId w:val="19"/>
        </w:numPr>
        <w:autoSpaceDE/>
        <w:autoSpaceDN/>
        <w:adjustRightInd/>
        <w:rPr>
          <w:color w:val="000000" w:themeColor="text1"/>
        </w:rPr>
      </w:pPr>
      <w:r>
        <w:t>Cut another</w:t>
      </w:r>
      <w:r>
        <w:rPr>
          <w:lang w:eastAsia="en-CA"/>
        </w:rPr>
        <w:t xml:space="preserve"> </w:t>
      </w:r>
      <w:r>
        <w:rPr>
          <w:color w:val="000000" w:themeColor="text1"/>
        </w:rPr>
        <w:t>7” square</w:t>
      </w:r>
      <w:r>
        <w:rPr>
          <w:lang w:eastAsia="en-CA"/>
        </w:rPr>
        <w:t xml:space="preserve"> sheet of </w:t>
      </w:r>
      <w:r w:rsidR="00E466EA">
        <w:rPr>
          <w:lang w:eastAsia="en-CA"/>
        </w:rPr>
        <w:t xml:space="preserve">TPE </w:t>
      </w:r>
      <w:r>
        <w:rPr>
          <w:lang w:eastAsia="en-CA"/>
        </w:rPr>
        <w:t xml:space="preserve">and place it between two non-patterned </w:t>
      </w:r>
      <w:proofErr w:type="spellStart"/>
      <w:r>
        <w:rPr>
          <w:color w:val="000000" w:themeColor="text1"/>
        </w:rPr>
        <w:t>sil</w:t>
      </w:r>
      <w:r w:rsidR="00DC2E81">
        <w:rPr>
          <w:color w:val="000000" w:themeColor="text1"/>
        </w:rPr>
        <w:t>a</w:t>
      </w:r>
      <w:r>
        <w:rPr>
          <w:color w:val="000000" w:themeColor="text1"/>
        </w:rPr>
        <w:t>nized</w:t>
      </w:r>
      <w:proofErr w:type="spellEnd"/>
      <w:r>
        <w:rPr>
          <w:lang w:eastAsia="en-CA"/>
        </w:rPr>
        <w:t xml:space="preserve"> silicon wafers.</w:t>
      </w:r>
    </w:p>
    <w:p w14:paraId="6E462278" w14:textId="77777777" w:rsidR="00B43B8E" w:rsidRPr="00B43B8E" w:rsidRDefault="00B43B8E" w:rsidP="006A1488">
      <w:pPr>
        <w:pStyle w:val="ListParagraph"/>
        <w:widowControl/>
        <w:autoSpaceDE/>
        <w:autoSpaceDN/>
        <w:adjustRightInd/>
        <w:ind w:left="0"/>
        <w:rPr>
          <w:color w:val="000000" w:themeColor="text1"/>
        </w:rPr>
      </w:pPr>
    </w:p>
    <w:p w14:paraId="02E731F3" w14:textId="30961EEC" w:rsidR="00784F37" w:rsidRPr="00825DF0" w:rsidRDefault="00784F37" w:rsidP="006A1488">
      <w:pPr>
        <w:pStyle w:val="ListParagraph"/>
        <w:widowControl/>
        <w:numPr>
          <w:ilvl w:val="2"/>
          <w:numId w:val="19"/>
        </w:numPr>
        <w:autoSpaceDE/>
        <w:autoSpaceDN/>
        <w:adjustRightInd/>
        <w:rPr>
          <w:color w:val="000000" w:themeColor="text1"/>
        </w:rPr>
      </w:pPr>
      <w:r>
        <w:rPr>
          <w:lang w:eastAsia="en-CA"/>
        </w:rPr>
        <w:t xml:space="preserve">Perform hot-embossing </w:t>
      </w:r>
      <w:r>
        <w:t>at</w:t>
      </w:r>
      <w:r>
        <w:rPr>
          <w:lang w:eastAsia="en-CA"/>
        </w:rPr>
        <w:t xml:space="preserve"> </w:t>
      </w:r>
      <w:r>
        <w:t xml:space="preserve">a temperature of </w:t>
      </w:r>
      <w:r>
        <w:rPr>
          <w:lang w:eastAsia="en-CA"/>
        </w:rPr>
        <w:t>14</w:t>
      </w:r>
      <w:r w:rsidRPr="00DC3410">
        <w:rPr>
          <w:lang w:eastAsia="en-CA"/>
        </w:rPr>
        <w:t>0 °C</w:t>
      </w:r>
      <w:r>
        <w:rPr>
          <w:lang w:eastAsia="en-CA"/>
        </w:rPr>
        <w:t xml:space="preserve">, </w:t>
      </w:r>
      <w:r>
        <w:t>an applied force of 10</w:t>
      </w:r>
      <w:r w:rsidRPr="004A723D">
        <w:t xml:space="preserve"> </w:t>
      </w:r>
      <w:proofErr w:type="spellStart"/>
      <w:r w:rsidRPr="004A723D">
        <w:t>kN</w:t>
      </w:r>
      <w:proofErr w:type="spellEnd"/>
      <w:r w:rsidRPr="004A723D">
        <w:t>, and a pressure of 10</w:t>
      </w:r>
      <w:r w:rsidRPr="008D0F59">
        <w:rPr>
          <w:vertAlign w:val="superscript"/>
        </w:rPr>
        <w:t>–2</w:t>
      </w:r>
      <w:r w:rsidRPr="004A723D">
        <w:t xml:space="preserve"> mbar</w:t>
      </w:r>
      <w:r>
        <w:t xml:space="preserve"> for 10 min </w:t>
      </w:r>
      <w:r w:rsidRPr="00DC3410">
        <w:rPr>
          <w:lang w:eastAsia="en-CA"/>
        </w:rPr>
        <w:t xml:space="preserve">to form </w:t>
      </w:r>
      <w:r>
        <w:rPr>
          <w:lang w:eastAsia="en-CA"/>
        </w:rPr>
        <w:t>a planar surface for closing the channels and sealing the device</w:t>
      </w:r>
      <w:r w:rsidRPr="00DC3410">
        <w:rPr>
          <w:lang w:eastAsia="en-CA"/>
        </w:rPr>
        <w:t>.</w:t>
      </w:r>
      <w:r>
        <w:rPr>
          <w:lang w:eastAsia="en-CA"/>
        </w:rPr>
        <w:t xml:space="preserve"> </w:t>
      </w:r>
    </w:p>
    <w:p w14:paraId="2A0F3322" w14:textId="77777777" w:rsidR="00B43B8E" w:rsidRPr="00B43B8E" w:rsidRDefault="00B43B8E" w:rsidP="006A1488">
      <w:pPr>
        <w:pStyle w:val="ListParagraph"/>
        <w:widowControl/>
        <w:autoSpaceDE/>
        <w:autoSpaceDN/>
        <w:adjustRightInd/>
        <w:ind w:left="0"/>
        <w:rPr>
          <w:color w:val="000000" w:themeColor="text1"/>
        </w:rPr>
      </w:pPr>
    </w:p>
    <w:p w14:paraId="7A73ECEC" w14:textId="0A2D21FF" w:rsidR="00784F37" w:rsidRPr="00E101A3" w:rsidRDefault="00784F37" w:rsidP="006A1488">
      <w:pPr>
        <w:pStyle w:val="ListParagraph"/>
        <w:widowControl/>
        <w:numPr>
          <w:ilvl w:val="2"/>
          <w:numId w:val="19"/>
        </w:numPr>
        <w:autoSpaceDE/>
        <w:autoSpaceDN/>
        <w:adjustRightInd/>
        <w:rPr>
          <w:color w:val="000000" w:themeColor="text1"/>
        </w:rPr>
      </w:pPr>
      <w:r>
        <w:t xml:space="preserve">Demold carefully at room temperature using methanol spray to separate the embossed </w:t>
      </w:r>
      <w:r w:rsidR="00E466EA">
        <w:t xml:space="preserve">TPE </w:t>
      </w:r>
      <w:r>
        <w:t>from the two silicon wafers.</w:t>
      </w:r>
    </w:p>
    <w:p w14:paraId="102B431A" w14:textId="77777777" w:rsidR="00B43B8E" w:rsidRDefault="00B43B8E" w:rsidP="006A1488">
      <w:pPr>
        <w:pStyle w:val="ListParagraph"/>
        <w:widowControl/>
        <w:autoSpaceDE/>
        <w:autoSpaceDN/>
        <w:adjustRightInd/>
        <w:ind w:left="0"/>
        <w:rPr>
          <w:color w:val="000000" w:themeColor="text1"/>
        </w:rPr>
      </w:pPr>
    </w:p>
    <w:p w14:paraId="4C551C09" w14:textId="007DFA73"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 xml:space="preserve">Cut each of the embossed </w:t>
      </w:r>
      <w:r w:rsidR="00E466EA">
        <w:rPr>
          <w:color w:val="000000" w:themeColor="text1"/>
        </w:rPr>
        <w:t xml:space="preserve">TPE </w:t>
      </w:r>
      <w:r>
        <w:rPr>
          <w:color w:val="000000" w:themeColor="text1"/>
        </w:rPr>
        <w:t>sheets to device size using</w:t>
      </w:r>
      <w:r w:rsidR="00E466EA">
        <w:rPr>
          <w:color w:val="000000" w:themeColor="text1"/>
        </w:rPr>
        <w:t xml:space="preserve"> a</w:t>
      </w:r>
      <w:r>
        <w:rPr>
          <w:color w:val="000000" w:themeColor="text1"/>
        </w:rPr>
        <w:t xml:space="preserve"> doctor blade.</w:t>
      </w:r>
    </w:p>
    <w:p w14:paraId="43D24DE0" w14:textId="77777777" w:rsidR="00B43B8E" w:rsidRDefault="00B43B8E" w:rsidP="006A1488">
      <w:pPr>
        <w:pStyle w:val="ListParagraph"/>
        <w:widowControl/>
        <w:autoSpaceDE/>
        <w:autoSpaceDN/>
        <w:adjustRightInd/>
        <w:ind w:left="0"/>
        <w:rPr>
          <w:color w:val="000000" w:themeColor="text1"/>
        </w:rPr>
      </w:pPr>
    </w:p>
    <w:p w14:paraId="7821713D" w14:textId="7BFDB3D6"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Punch the access holes for the inlet and outlet channels in the structured device using a 1 mm</w:t>
      </w:r>
      <w:r w:rsidRPr="001C62DA">
        <w:rPr>
          <w:color w:val="000000" w:themeColor="text1"/>
        </w:rPr>
        <w:t xml:space="preserve"> </w:t>
      </w:r>
      <w:r>
        <w:rPr>
          <w:color w:val="000000" w:themeColor="text1"/>
        </w:rPr>
        <w:t>b</w:t>
      </w:r>
      <w:r w:rsidRPr="001C62DA">
        <w:rPr>
          <w:color w:val="000000" w:themeColor="text1"/>
        </w:rPr>
        <w:t xml:space="preserve">iopsy </w:t>
      </w:r>
      <w:r>
        <w:rPr>
          <w:color w:val="000000" w:themeColor="text1"/>
        </w:rPr>
        <w:t>p</w:t>
      </w:r>
      <w:r w:rsidRPr="001C62DA">
        <w:rPr>
          <w:color w:val="000000" w:themeColor="text1"/>
        </w:rPr>
        <w:t xml:space="preserve">unch </w:t>
      </w:r>
      <w:r>
        <w:rPr>
          <w:color w:val="000000" w:themeColor="text1"/>
        </w:rPr>
        <w:t>needle</w:t>
      </w:r>
      <w:r w:rsidRPr="001C62DA">
        <w:rPr>
          <w:color w:val="000000" w:themeColor="text1"/>
        </w:rPr>
        <w:t xml:space="preserve"> with</w:t>
      </w:r>
      <w:r w:rsidR="00415F71">
        <w:rPr>
          <w:color w:val="000000" w:themeColor="text1"/>
        </w:rPr>
        <w:t xml:space="preserve"> a</w:t>
      </w:r>
      <w:r w:rsidRPr="001C62DA">
        <w:rPr>
          <w:color w:val="000000" w:themeColor="text1"/>
        </w:rPr>
        <w:t xml:space="preserve"> </w:t>
      </w:r>
      <w:r>
        <w:rPr>
          <w:color w:val="000000" w:themeColor="text1"/>
        </w:rPr>
        <w:t>p</w:t>
      </w:r>
      <w:r w:rsidRPr="001C62DA">
        <w:rPr>
          <w:color w:val="000000" w:themeColor="text1"/>
        </w:rPr>
        <w:t>lunger</w:t>
      </w:r>
      <w:r>
        <w:rPr>
          <w:color w:val="000000" w:themeColor="text1"/>
        </w:rPr>
        <w:t>.</w:t>
      </w:r>
    </w:p>
    <w:p w14:paraId="3BAEC327" w14:textId="77777777" w:rsidR="00B43B8E" w:rsidRDefault="00B43B8E" w:rsidP="006A1488">
      <w:pPr>
        <w:pStyle w:val="ListParagraph"/>
        <w:widowControl/>
        <w:autoSpaceDE/>
        <w:autoSpaceDN/>
        <w:adjustRightInd/>
        <w:ind w:left="0"/>
        <w:rPr>
          <w:color w:val="000000" w:themeColor="text1"/>
        </w:rPr>
      </w:pPr>
    </w:p>
    <w:p w14:paraId="3602278C" w14:textId="4EE9236F" w:rsidR="00784F37" w:rsidRDefault="00784F37" w:rsidP="006A1488">
      <w:pPr>
        <w:pStyle w:val="ListParagraph"/>
        <w:widowControl/>
        <w:numPr>
          <w:ilvl w:val="2"/>
          <w:numId w:val="19"/>
        </w:numPr>
        <w:autoSpaceDE/>
        <w:autoSpaceDN/>
        <w:adjustRightInd/>
        <w:rPr>
          <w:color w:val="000000" w:themeColor="text1"/>
        </w:rPr>
      </w:pPr>
      <w:r>
        <w:rPr>
          <w:color w:val="000000" w:themeColor="text1"/>
        </w:rPr>
        <w:t xml:space="preserve">Enclose the channels by placing a planar </w:t>
      </w:r>
      <w:r w:rsidR="00E466EA">
        <w:rPr>
          <w:color w:val="000000" w:themeColor="text1"/>
        </w:rPr>
        <w:t xml:space="preserve">TPE </w:t>
      </w:r>
      <w:r>
        <w:rPr>
          <w:color w:val="000000" w:themeColor="text1"/>
        </w:rPr>
        <w:t>device in direct contact with the channels at room temperature.</w:t>
      </w:r>
    </w:p>
    <w:p w14:paraId="69DB265E" w14:textId="77777777" w:rsidR="00B43B8E" w:rsidRDefault="00B43B8E" w:rsidP="006A1488">
      <w:pPr>
        <w:pStyle w:val="ListParagraph"/>
        <w:widowControl/>
        <w:autoSpaceDE/>
        <w:autoSpaceDN/>
        <w:adjustRightInd/>
        <w:ind w:left="0"/>
        <w:rPr>
          <w:color w:val="000000" w:themeColor="text1"/>
        </w:rPr>
      </w:pPr>
    </w:p>
    <w:p w14:paraId="008EB07E" w14:textId="77777777" w:rsidR="00723BC6" w:rsidRDefault="00784F37" w:rsidP="00723BC6">
      <w:pPr>
        <w:pStyle w:val="ListParagraph"/>
        <w:widowControl/>
        <w:numPr>
          <w:ilvl w:val="2"/>
          <w:numId w:val="19"/>
        </w:numPr>
        <w:autoSpaceDE/>
        <w:autoSpaceDN/>
        <w:adjustRightInd/>
        <w:rPr>
          <w:color w:val="000000" w:themeColor="text1"/>
        </w:rPr>
      </w:pPr>
      <w:r>
        <w:rPr>
          <w:color w:val="000000" w:themeColor="text1"/>
        </w:rPr>
        <w:t>Optional</w:t>
      </w:r>
      <w:r w:rsidR="00723BC6">
        <w:rPr>
          <w:color w:val="000000" w:themeColor="text1"/>
        </w:rPr>
        <w:t>ly, p</w:t>
      </w:r>
      <w:r w:rsidR="00415F71">
        <w:rPr>
          <w:color w:val="000000" w:themeColor="text1"/>
        </w:rPr>
        <w:t>lace</w:t>
      </w:r>
      <w:r>
        <w:rPr>
          <w:color w:val="000000" w:themeColor="text1"/>
        </w:rPr>
        <w:t xml:space="preserve"> in an oven at 70 </w:t>
      </w:r>
      <w:r w:rsidRPr="00DC3410">
        <w:rPr>
          <w:lang w:eastAsia="en-CA"/>
        </w:rPr>
        <w:t>°C</w:t>
      </w:r>
      <w:r>
        <w:rPr>
          <w:lang w:eastAsia="en-CA"/>
        </w:rPr>
        <w:t xml:space="preserve"> for 2 </w:t>
      </w:r>
      <w:r w:rsidR="00415F71">
        <w:rPr>
          <w:lang w:eastAsia="en-CA"/>
        </w:rPr>
        <w:t>h</w:t>
      </w:r>
      <w:r w:rsidR="004F41AB">
        <w:rPr>
          <w:lang w:eastAsia="en-CA"/>
        </w:rPr>
        <w:t xml:space="preserve"> </w:t>
      </w:r>
      <w:r w:rsidR="00415F71">
        <w:rPr>
          <w:lang w:eastAsia="en-CA"/>
        </w:rPr>
        <w:t>to promote device bonding.</w:t>
      </w:r>
      <w:r w:rsidR="00723BC6">
        <w:rPr>
          <w:color w:val="000000" w:themeColor="text1"/>
        </w:rPr>
        <w:t xml:space="preserve"> </w:t>
      </w:r>
    </w:p>
    <w:p w14:paraId="0CCFBCF9" w14:textId="77777777" w:rsidR="00723BC6" w:rsidRDefault="00723BC6" w:rsidP="00723BC6">
      <w:pPr>
        <w:pStyle w:val="ListParagraph"/>
      </w:pPr>
    </w:p>
    <w:p w14:paraId="17DA523A" w14:textId="4A9CC39E" w:rsidR="004F41AB" w:rsidRPr="00723BC6" w:rsidRDefault="00784F37" w:rsidP="00723BC6">
      <w:pPr>
        <w:pStyle w:val="ListParagraph"/>
        <w:widowControl/>
        <w:numPr>
          <w:ilvl w:val="2"/>
          <w:numId w:val="19"/>
        </w:numPr>
        <w:autoSpaceDE/>
        <w:autoSpaceDN/>
        <w:adjustRightInd/>
        <w:rPr>
          <w:color w:val="000000" w:themeColor="text1"/>
        </w:rPr>
      </w:pPr>
      <w:r>
        <w:t xml:space="preserve">Fit the access holes with </w:t>
      </w:r>
      <w:r w:rsidR="001D07C9">
        <w:t xml:space="preserve">a </w:t>
      </w:r>
      <w:r>
        <w:t>disposable fluidic tubing</w:t>
      </w:r>
      <w:r w:rsidRPr="004A723D">
        <w:t xml:space="preserve"> (I.D. 0.</w:t>
      </w:r>
      <w:r>
        <w:t>2</w:t>
      </w:r>
      <w:r w:rsidRPr="004A723D">
        <w:t xml:space="preserve">5 mm, O.D. </w:t>
      </w:r>
      <w:r w:rsidR="004F4085">
        <w:t>0.8</w:t>
      </w:r>
      <w:r w:rsidRPr="004A723D">
        <w:t xml:space="preserve"> mm</w:t>
      </w:r>
      <w:r w:rsidR="001D07C9">
        <w:t xml:space="preserve">). </w:t>
      </w:r>
      <w:r>
        <w:t>Seal the j</w:t>
      </w:r>
      <w:r w:rsidRPr="004A723D">
        <w:t xml:space="preserve">oints using </w:t>
      </w:r>
      <w:r w:rsidR="00E04F84">
        <w:t xml:space="preserve">an </w:t>
      </w:r>
      <w:r w:rsidRPr="004A723D">
        <w:t>epoxy glue to ensure leak-proof manipulation.</w:t>
      </w:r>
    </w:p>
    <w:p w14:paraId="7EAB4907" w14:textId="1F4792E0" w:rsidR="00D441A0" w:rsidRPr="00D441A0" w:rsidRDefault="00784F37" w:rsidP="004F41AB">
      <w:pPr>
        <w:pStyle w:val="ListParagraph"/>
        <w:widowControl/>
        <w:autoSpaceDE/>
        <w:autoSpaceDN/>
        <w:adjustRightInd/>
        <w:ind w:left="0"/>
        <w:rPr>
          <w:color w:val="000000" w:themeColor="text1"/>
        </w:rPr>
      </w:pPr>
      <w:r w:rsidRPr="004A723D">
        <w:t xml:space="preserve"> </w:t>
      </w:r>
    </w:p>
    <w:p w14:paraId="47CCD149" w14:textId="2D530802" w:rsidR="00784F37" w:rsidRPr="0073570F" w:rsidRDefault="00784F37" w:rsidP="006A1488">
      <w:pPr>
        <w:pStyle w:val="Heading2"/>
        <w:numPr>
          <w:ilvl w:val="0"/>
          <w:numId w:val="19"/>
        </w:numPr>
        <w:rPr>
          <w:highlight w:val="yellow"/>
        </w:rPr>
      </w:pPr>
      <w:r w:rsidRPr="0073570F">
        <w:rPr>
          <w:highlight w:val="yellow"/>
        </w:rPr>
        <w:t xml:space="preserve">Droplet </w:t>
      </w:r>
      <w:r w:rsidR="00723BC6" w:rsidRPr="0073570F">
        <w:rPr>
          <w:highlight w:val="yellow"/>
        </w:rPr>
        <w:t>g</w:t>
      </w:r>
      <w:r w:rsidRPr="0073570F">
        <w:rPr>
          <w:highlight w:val="yellow"/>
        </w:rPr>
        <w:t>eneration and PCR</w:t>
      </w:r>
    </w:p>
    <w:p w14:paraId="5D823145" w14:textId="77777777" w:rsidR="00DC2E81" w:rsidRDefault="00DC2E81" w:rsidP="006A1488">
      <w:pPr>
        <w:rPr>
          <w:rFonts w:cs="Arial"/>
        </w:rPr>
      </w:pPr>
    </w:p>
    <w:p w14:paraId="1785B75D" w14:textId="2EE45F92" w:rsidR="00784F37" w:rsidRDefault="004F41AB" w:rsidP="006A1488">
      <w:pPr>
        <w:rPr>
          <w:rFonts w:cs="Arial"/>
        </w:rPr>
      </w:pPr>
      <w:r w:rsidRPr="004F41AB">
        <w:rPr>
          <w:rFonts w:cs="Arial"/>
        </w:rPr>
        <w:t xml:space="preserve">NOTE: </w:t>
      </w:r>
      <w:r w:rsidR="00784F37" w:rsidRPr="00B43B8E">
        <w:rPr>
          <w:rFonts w:cs="Arial"/>
          <w:b/>
          <w:bCs/>
        </w:rPr>
        <w:t>Table 1</w:t>
      </w:r>
      <w:r w:rsidR="00784F37" w:rsidRPr="00443059">
        <w:rPr>
          <w:rFonts w:cs="Arial"/>
        </w:rPr>
        <w:t xml:space="preserve"> outlines </w:t>
      </w:r>
      <w:r w:rsidR="001D07C9">
        <w:rPr>
          <w:rFonts w:cs="Arial"/>
        </w:rPr>
        <w:t xml:space="preserve">information on </w:t>
      </w:r>
      <w:r w:rsidR="00784F37" w:rsidRPr="00443059">
        <w:rPr>
          <w:rFonts w:cs="Arial"/>
        </w:rPr>
        <w:t xml:space="preserve">the forward and reverse primers along with the double-quenched </w:t>
      </w:r>
      <w:r w:rsidR="00AF1DF8">
        <w:rPr>
          <w:rFonts w:cs="Arial"/>
        </w:rPr>
        <w:t>hydrolysis</w:t>
      </w:r>
      <w:r w:rsidR="00AF1DF8" w:rsidRPr="00443059">
        <w:rPr>
          <w:rFonts w:cs="Arial"/>
        </w:rPr>
        <w:t xml:space="preserve"> </w:t>
      </w:r>
      <w:r w:rsidR="00784F37" w:rsidRPr="00443059">
        <w:rPr>
          <w:rFonts w:cs="Arial"/>
        </w:rPr>
        <w:t>probes for C-LESS, CD3Z and Foxp3</w:t>
      </w:r>
      <w:r w:rsidR="005359BF">
        <w:rPr>
          <w:rFonts w:cs="Arial"/>
        </w:rPr>
        <w:t xml:space="preserve"> genes</w:t>
      </w:r>
      <w:r w:rsidR="001D07C9">
        <w:rPr>
          <w:rFonts w:cs="Arial"/>
        </w:rPr>
        <w:t xml:space="preserve">, which </w:t>
      </w:r>
      <w:r w:rsidR="00723BC6">
        <w:rPr>
          <w:rFonts w:cs="Arial"/>
        </w:rPr>
        <w:t>are</w:t>
      </w:r>
      <w:r w:rsidR="001D07C9">
        <w:rPr>
          <w:rFonts w:cs="Arial"/>
        </w:rPr>
        <w:t xml:space="preserve"> required</w:t>
      </w:r>
      <w:r w:rsidR="00784F37" w:rsidRPr="00443059">
        <w:rPr>
          <w:rFonts w:cs="Arial"/>
        </w:rPr>
        <w:t xml:space="preserve"> for </w:t>
      </w:r>
      <w:r w:rsidR="001D07C9">
        <w:rPr>
          <w:rFonts w:cs="Arial"/>
        </w:rPr>
        <w:t>the</w:t>
      </w:r>
      <w:r w:rsidR="001D07C9" w:rsidRPr="00443059">
        <w:rPr>
          <w:rFonts w:cs="Arial"/>
        </w:rPr>
        <w:t xml:space="preserve"> </w:t>
      </w:r>
      <w:r w:rsidR="00784F37" w:rsidRPr="00443059">
        <w:rPr>
          <w:rFonts w:cs="Arial"/>
        </w:rPr>
        <w:t xml:space="preserve">multiplex </w:t>
      </w:r>
      <w:r w:rsidR="00AF1DF8">
        <w:rPr>
          <w:rFonts w:cs="Arial"/>
        </w:rPr>
        <w:t xml:space="preserve">amplification </w:t>
      </w:r>
      <w:r w:rsidR="00784F37" w:rsidRPr="00443059">
        <w:rPr>
          <w:rFonts w:cs="Arial"/>
        </w:rPr>
        <w:t>of demethylated gene targets</w:t>
      </w:r>
      <w:r w:rsidR="00AF1DF8">
        <w:rPr>
          <w:rFonts w:cs="Arial"/>
        </w:rPr>
        <w:t>.</w:t>
      </w:r>
      <w:r w:rsidR="00784F37" w:rsidRPr="00443059">
        <w:rPr>
          <w:rFonts w:cs="Arial"/>
        </w:rPr>
        <w:t xml:space="preserve"> </w:t>
      </w:r>
    </w:p>
    <w:p w14:paraId="105092BC" w14:textId="56E6AFAF" w:rsidR="00001169" w:rsidRDefault="00001169" w:rsidP="006A1488">
      <w:pPr>
        <w:rPr>
          <w:rFonts w:asciiTheme="minorHAnsi" w:hAnsiTheme="minorHAnsi" w:cstheme="minorHAnsi"/>
          <w:color w:val="808080" w:themeColor="background1" w:themeShade="80"/>
        </w:rPr>
      </w:pPr>
    </w:p>
    <w:p w14:paraId="66B83F8D" w14:textId="6F340A6A" w:rsidR="0009211E" w:rsidRDefault="0009211E" w:rsidP="006A1488">
      <w:pPr>
        <w:pStyle w:val="ListParagraph"/>
        <w:widowControl/>
        <w:numPr>
          <w:ilvl w:val="1"/>
          <w:numId w:val="19"/>
        </w:numPr>
        <w:autoSpaceDE/>
        <w:autoSpaceDN/>
        <w:adjustRightInd/>
        <w:rPr>
          <w:rFonts w:cs="Arial"/>
        </w:rPr>
      </w:pPr>
      <w:r w:rsidRPr="00443059">
        <w:rPr>
          <w:rFonts w:cs="Arial"/>
        </w:rPr>
        <w:t xml:space="preserve">Prepare the master mix as described in </w:t>
      </w:r>
      <w:r w:rsidRPr="00B43B8E">
        <w:rPr>
          <w:rFonts w:cs="Arial"/>
          <w:b/>
          <w:bCs/>
        </w:rPr>
        <w:t>Table 2</w:t>
      </w:r>
      <w:r w:rsidRPr="00443059">
        <w:rPr>
          <w:rFonts w:cs="Arial"/>
        </w:rPr>
        <w:t xml:space="preserve">. </w:t>
      </w:r>
    </w:p>
    <w:p w14:paraId="29254606" w14:textId="77777777" w:rsidR="00D441A0" w:rsidRDefault="00D441A0" w:rsidP="006A1488">
      <w:pPr>
        <w:pStyle w:val="ListParagraph"/>
        <w:widowControl/>
        <w:autoSpaceDE/>
        <w:autoSpaceDN/>
        <w:adjustRightInd/>
        <w:ind w:left="0"/>
        <w:rPr>
          <w:rFonts w:cs="Arial"/>
        </w:rPr>
      </w:pPr>
    </w:p>
    <w:p w14:paraId="35BCAB1C" w14:textId="2970F2F4" w:rsidR="0009211E" w:rsidRPr="00443059" w:rsidRDefault="0009211E" w:rsidP="006A1488">
      <w:pPr>
        <w:pStyle w:val="ListParagraph"/>
        <w:widowControl/>
        <w:numPr>
          <w:ilvl w:val="1"/>
          <w:numId w:val="19"/>
        </w:numPr>
        <w:autoSpaceDE/>
        <w:autoSpaceDN/>
        <w:adjustRightInd/>
        <w:rPr>
          <w:rFonts w:cs="Arial"/>
        </w:rPr>
      </w:pPr>
      <w:r w:rsidRPr="00443059">
        <w:rPr>
          <w:rFonts w:cs="Arial"/>
        </w:rPr>
        <w:t>Thaw all components of the master mix except for the enzyme mix. Mix the master mix thoroughly by pipetting up-down and spin down briefly</w:t>
      </w:r>
      <w:r w:rsidR="005359BF">
        <w:rPr>
          <w:rFonts w:cs="Arial"/>
        </w:rPr>
        <w:t>.</w:t>
      </w:r>
      <w:r w:rsidRPr="00443059">
        <w:rPr>
          <w:rFonts w:cs="Arial"/>
        </w:rPr>
        <w:t xml:space="preserve"> </w:t>
      </w:r>
    </w:p>
    <w:p w14:paraId="59290774" w14:textId="77777777" w:rsidR="00D441A0" w:rsidRDefault="00D441A0" w:rsidP="006A1488">
      <w:pPr>
        <w:pStyle w:val="ListParagraph"/>
        <w:widowControl/>
        <w:autoSpaceDE/>
        <w:autoSpaceDN/>
        <w:adjustRightInd/>
        <w:ind w:left="0"/>
        <w:rPr>
          <w:rFonts w:cs="Arial"/>
        </w:rPr>
      </w:pPr>
    </w:p>
    <w:p w14:paraId="21FD23D2" w14:textId="6A1C4424" w:rsidR="0009211E" w:rsidRPr="00BE6FED" w:rsidRDefault="0009211E" w:rsidP="006A1488">
      <w:pPr>
        <w:pStyle w:val="ListParagraph"/>
        <w:widowControl/>
        <w:numPr>
          <w:ilvl w:val="1"/>
          <w:numId w:val="19"/>
        </w:numPr>
        <w:autoSpaceDE/>
        <w:autoSpaceDN/>
        <w:adjustRightInd/>
        <w:rPr>
          <w:rFonts w:cs="Arial"/>
          <w:highlight w:val="yellow"/>
        </w:rPr>
      </w:pPr>
      <w:r w:rsidRPr="00BE6FED">
        <w:rPr>
          <w:rFonts w:cs="Arial"/>
          <w:highlight w:val="yellow"/>
        </w:rPr>
        <w:lastRenderedPageBreak/>
        <w:t>Add</w:t>
      </w:r>
      <w:r w:rsidR="001D07C9" w:rsidRPr="00BE6FED">
        <w:rPr>
          <w:rFonts w:cs="Arial"/>
          <w:highlight w:val="yellow"/>
        </w:rPr>
        <w:t xml:space="preserve"> the</w:t>
      </w:r>
      <w:r w:rsidRPr="00BE6FED">
        <w:rPr>
          <w:rFonts w:cs="Arial"/>
          <w:highlight w:val="yellow"/>
        </w:rPr>
        <w:t xml:space="preserve"> </w:t>
      </w:r>
      <w:r w:rsidR="00D441A0" w:rsidRPr="00BE6FED">
        <w:rPr>
          <w:rFonts w:cs="Arial"/>
          <w:highlight w:val="yellow"/>
        </w:rPr>
        <w:t>appropriate volume</w:t>
      </w:r>
      <w:r w:rsidRPr="00BE6FED">
        <w:rPr>
          <w:rFonts w:cs="Arial"/>
          <w:highlight w:val="yellow"/>
        </w:rPr>
        <w:t xml:space="preserve"> </w:t>
      </w:r>
      <w:r w:rsidR="001D07C9" w:rsidRPr="00BE6FED">
        <w:rPr>
          <w:rFonts w:cs="Arial"/>
          <w:highlight w:val="yellow"/>
        </w:rPr>
        <w:t>(1 μ</w:t>
      </w:r>
      <w:r w:rsidR="00723BC6">
        <w:rPr>
          <w:rFonts w:cs="Arial"/>
          <w:highlight w:val="yellow"/>
        </w:rPr>
        <w:t>L</w:t>
      </w:r>
      <w:r w:rsidR="001D07C9" w:rsidRPr="00BE6FED">
        <w:rPr>
          <w:rFonts w:cs="Arial"/>
          <w:highlight w:val="yellow"/>
        </w:rPr>
        <w:t xml:space="preserve">) </w:t>
      </w:r>
      <w:r w:rsidRPr="00BE6FED">
        <w:rPr>
          <w:rFonts w:cs="Arial"/>
          <w:highlight w:val="yellow"/>
        </w:rPr>
        <w:t>of bisulf</w:t>
      </w:r>
      <w:r w:rsidR="00E04F84" w:rsidRPr="00BE6FED">
        <w:rPr>
          <w:rFonts w:cs="Arial"/>
          <w:highlight w:val="yellow"/>
        </w:rPr>
        <w:t>i</w:t>
      </w:r>
      <w:r w:rsidRPr="00BE6FED">
        <w:rPr>
          <w:rFonts w:cs="Arial"/>
          <w:highlight w:val="yellow"/>
        </w:rPr>
        <w:t>te converted DNA</w:t>
      </w:r>
      <w:r w:rsidR="00E04F84" w:rsidRPr="00BE6FED">
        <w:rPr>
          <w:rFonts w:cs="Arial"/>
          <w:highlight w:val="yellow"/>
        </w:rPr>
        <w:t xml:space="preserve"> (from </w:t>
      </w:r>
      <w:r w:rsidR="00723BC6">
        <w:rPr>
          <w:rFonts w:cs="Arial"/>
          <w:highlight w:val="yellow"/>
        </w:rPr>
        <w:t>s</w:t>
      </w:r>
      <w:r w:rsidR="00E04F84" w:rsidRPr="00BE6FED">
        <w:rPr>
          <w:rFonts w:cs="Arial"/>
          <w:highlight w:val="yellow"/>
        </w:rPr>
        <w:t>ection 3.2)</w:t>
      </w:r>
      <w:r w:rsidRPr="00BE6FED">
        <w:rPr>
          <w:rFonts w:cs="Arial"/>
          <w:highlight w:val="yellow"/>
        </w:rPr>
        <w:t xml:space="preserve"> to master mix in a PCR tube.</w:t>
      </w:r>
      <w:r w:rsidR="00D441A0" w:rsidRPr="00BE6FED">
        <w:rPr>
          <w:rFonts w:cs="Arial"/>
          <w:highlight w:val="yellow"/>
        </w:rPr>
        <w:t xml:space="preserve"> </w:t>
      </w:r>
      <w:r w:rsidRPr="00BE6FED">
        <w:rPr>
          <w:rFonts w:cs="Arial"/>
          <w:highlight w:val="yellow"/>
        </w:rPr>
        <w:t>Mix the reaction by pipetting up-down and spin down briefly.</w:t>
      </w:r>
    </w:p>
    <w:p w14:paraId="7D530A3A" w14:textId="77777777" w:rsidR="00D441A0" w:rsidRPr="00BE6FED" w:rsidRDefault="00D441A0" w:rsidP="006A1488">
      <w:pPr>
        <w:pStyle w:val="ListParagraph"/>
        <w:widowControl/>
        <w:autoSpaceDE/>
        <w:autoSpaceDN/>
        <w:adjustRightInd/>
        <w:ind w:left="0"/>
        <w:rPr>
          <w:rFonts w:cs="Arial"/>
          <w:highlight w:val="yellow"/>
        </w:rPr>
      </w:pPr>
    </w:p>
    <w:p w14:paraId="6B531F5A" w14:textId="5DA141FF" w:rsidR="0047418E" w:rsidRPr="00BE6FED" w:rsidRDefault="0047418E" w:rsidP="006A1488">
      <w:pPr>
        <w:pStyle w:val="ListParagraph"/>
        <w:widowControl/>
        <w:numPr>
          <w:ilvl w:val="1"/>
          <w:numId w:val="19"/>
        </w:numPr>
        <w:autoSpaceDE/>
        <w:autoSpaceDN/>
        <w:adjustRightInd/>
        <w:rPr>
          <w:rFonts w:cs="Arial"/>
          <w:highlight w:val="yellow"/>
        </w:rPr>
      </w:pPr>
      <w:r w:rsidRPr="00BE6FED">
        <w:rPr>
          <w:rFonts w:cs="Arial"/>
          <w:highlight w:val="yellow"/>
        </w:rPr>
        <w:t>Connect disposable fluidic tubing (</w:t>
      </w:r>
      <w:r w:rsidRPr="00BE6FED">
        <w:rPr>
          <w:highlight w:val="yellow"/>
        </w:rPr>
        <w:t>I.D. 0.25 mm, O.D. 1.6 mm) to two precision glass syringes (250 μ</w:t>
      </w:r>
      <w:r w:rsidR="00723BC6">
        <w:rPr>
          <w:highlight w:val="yellow"/>
        </w:rPr>
        <w:t>L</w:t>
      </w:r>
      <w:r w:rsidRPr="00BE6FED">
        <w:rPr>
          <w:highlight w:val="yellow"/>
        </w:rPr>
        <w:t xml:space="preserve"> volume) using PEEK fittings.</w:t>
      </w:r>
    </w:p>
    <w:p w14:paraId="78DD5FAF" w14:textId="77777777" w:rsidR="0047418E" w:rsidRPr="00BE6FED" w:rsidRDefault="0047418E" w:rsidP="006A1488">
      <w:pPr>
        <w:pStyle w:val="ListParagraph"/>
        <w:ind w:left="0"/>
        <w:rPr>
          <w:rFonts w:cs="Arial"/>
          <w:highlight w:val="yellow"/>
        </w:rPr>
      </w:pPr>
    </w:p>
    <w:p w14:paraId="69B9F69F" w14:textId="676D7948" w:rsidR="00ED12E9" w:rsidRPr="00BE6FED" w:rsidRDefault="00A25A29" w:rsidP="006A1488">
      <w:pPr>
        <w:pStyle w:val="ListParagraph"/>
        <w:widowControl/>
        <w:numPr>
          <w:ilvl w:val="1"/>
          <w:numId w:val="19"/>
        </w:numPr>
        <w:autoSpaceDE/>
        <w:autoSpaceDN/>
        <w:adjustRightInd/>
        <w:rPr>
          <w:rFonts w:cs="Arial"/>
          <w:highlight w:val="yellow"/>
        </w:rPr>
      </w:pPr>
      <w:r w:rsidRPr="00BE6FED">
        <w:rPr>
          <w:rFonts w:cs="Arial"/>
          <w:highlight w:val="yellow"/>
        </w:rPr>
        <w:t>Pref</w:t>
      </w:r>
      <w:r w:rsidR="00AF1DF8" w:rsidRPr="00BE6FED">
        <w:rPr>
          <w:rFonts w:cs="Arial"/>
          <w:highlight w:val="yellow"/>
        </w:rPr>
        <w:t xml:space="preserve">ill </w:t>
      </w:r>
      <w:r w:rsidR="0047418E" w:rsidRPr="00BE6FED">
        <w:rPr>
          <w:rFonts w:cs="Arial"/>
          <w:highlight w:val="yellow"/>
        </w:rPr>
        <w:t>one</w:t>
      </w:r>
      <w:r w:rsidR="00AF1DF8" w:rsidRPr="00BE6FED">
        <w:rPr>
          <w:rFonts w:cs="Arial"/>
          <w:highlight w:val="yellow"/>
        </w:rPr>
        <w:t xml:space="preserve"> </w:t>
      </w:r>
      <w:r w:rsidR="00ED12E9" w:rsidRPr="00BE6FED">
        <w:rPr>
          <w:rFonts w:cs="Arial"/>
          <w:highlight w:val="yellow"/>
        </w:rPr>
        <w:t>precision glass syringe</w:t>
      </w:r>
      <w:r w:rsidR="001D07C9" w:rsidRPr="00BE6FED">
        <w:rPr>
          <w:rFonts w:cs="Arial"/>
          <w:highlight w:val="yellow"/>
        </w:rPr>
        <w:t xml:space="preserve"> with</w:t>
      </w:r>
      <w:r w:rsidR="00ED12E9" w:rsidRPr="00BE6FED">
        <w:rPr>
          <w:rFonts w:cs="Arial"/>
          <w:highlight w:val="yellow"/>
        </w:rPr>
        <w:t xml:space="preserve"> </w:t>
      </w:r>
      <w:r w:rsidRPr="00BE6FED">
        <w:rPr>
          <w:rFonts w:cs="Arial"/>
          <w:highlight w:val="yellow"/>
        </w:rPr>
        <w:t xml:space="preserve">250 μL of </w:t>
      </w:r>
      <w:r w:rsidR="00ED12E9" w:rsidRPr="00BE6FED">
        <w:rPr>
          <w:rFonts w:cs="Arial"/>
          <w:highlight w:val="yellow"/>
        </w:rPr>
        <w:t>carrier oil</w:t>
      </w:r>
      <w:r w:rsidR="00AF1DF8" w:rsidRPr="00BE6FED">
        <w:rPr>
          <w:rFonts w:cs="Arial"/>
          <w:highlight w:val="yellow"/>
        </w:rPr>
        <w:t xml:space="preserve"> containing 5% </w:t>
      </w:r>
      <w:proofErr w:type="spellStart"/>
      <w:r w:rsidR="008D1908" w:rsidRPr="00BE6FED">
        <w:rPr>
          <w:rFonts w:cs="Arial"/>
          <w:highlight w:val="yellow"/>
        </w:rPr>
        <w:t>fluoro</w:t>
      </w:r>
      <w:proofErr w:type="spellEnd"/>
      <w:r w:rsidR="00E04F84" w:rsidRPr="00BE6FED">
        <w:rPr>
          <w:rFonts w:cs="Arial"/>
          <w:highlight w:val="yellow"/>
        </w:rPr>
        <w:t>-</w:t>
      </w:r>
      <w:r w:rsidR="008D1908" w:rsidRPr="00BE6FED">
        <w:rPr>
          <w:rFonts w:cs="Arial"/>
          <w:highlight w:val="yellow"/>
        </w:rPr>
        <w:t>s</w:t>
      </w:r>
      <w:r w:rsidR="00AF1DF8" w:rsidRPr="00BE6FED">
        <w:rPr>
          <w:rFonts w:cs="Arial"/>
          <w:highlight w:val="yellow"/>
        </w:rPr>
        <w:t>urfactant</w:t>
      </w:r>
      <w:r w:rsidR="00ED12E9" w:rsidRPr="00BE6FED">
        <w:rPr>
          <w:rFonts w:cs="Arial"/>
          <w:highlight w:val="yellow"/>
        </w:rPr>
        <w:t xml:space="preserve">. </w:t>
      </w:r>
    </w:p>
    <w:p w14:paraId="2AE1F487" w14:textId="77777777" w:rsidR="00D441A0" w:rsidRPr="00BE6FED" w:rsidRDefault="00D441A0" w:rsidP="006A1488">
      <w:pPr>
        <w:pStyle w:val="ListParagraph"/>
        <w:widowControl/>
        <w:autoSpaceDE/>
        <w:autoSpaceDN/>
        <w:adjustRightInd/>
        <w:ind w:left="0"/>
        <w:rPr>
          <w:rFonts w:cs="Arial"/>
          <w:highlight w:val="yellow"/>
        </w:rPr>
      </w:pPr>
    </w:p>
    <w:p w14:paraId="3A31D3BA" w14:textId="49F614BD" w:rsidR="0009211E" w:rsidRPr="00BE6FED" w:rsidRDefault="0009211E" w:rsidP="006A1488">
      <w:pPr>
        <w:pStyle w:val="ListParagraph"/>
        <w:widowControl/>
        <w:numPr>
          <w:ilvl w:val="1"/>
          <w:numId w:val="19"/>
        </w:numPr>
        <w:autoSpaceDE/>
        <w:autoSpaceDN/>
        <w:adjustRightInd/>
        <w:rPr>
          <w:rFonts w:cs="Arial"/>
          <w:highlight w:val="yellow"/>
        </w:rPr>
      </w:pPr>
      <w:r w:rsidRPr="00BE6FED">
        <w:rPr>
          <w:rFonts w:cs="Arial"/>
          <w:highlight w:val="yellow"/>
        </w:rPr>
        <w:t>Prefill another precision glass syringe with 50</w:t>
      </w:r>
      <w:r w:rsidR="00D441A0" w:rsidRPr="00BE6FED">
        <w:rPr>
          <w:rFonts w:cs="Arial"/>
          <w:highlight w:val="yellow"/>
        </w:rPr>
        <w:t xml:space="preserve"> </w:t>
      </w:r>
      <w:r w:rsidRPr="00BE6FED">
        <w:rPr>
          <w:rFonts w:cs="Arial"/>
          <w:highlight w:val="yellow"/>
        </w:rPr>
        <w:t>µ</w:t>
      </w:r>
      <w:r w:rsidR="00723BC6">
        <w:rPr>
          <w:rFonts w:cs="Arial"/>
          <w:highlight w:val="yellow"/>
        </w:rPr>
        <w:t>L of</w:t>
      </w:r>
      <w:r w:rsidRPr="00BE6FED">
        <w:rPr>
          <w:rFonts w:cs="Arial"/>
          <w:highlight w:val="yellow"/>
        </w:rPr>
        <w:t xml:space="preserve"> carrier oil before loading </w:t>
      </w:r>
      <w:r w:rsidR="00B43B8E" w:rsidRPr="00BE6FED">
        <w:rPr>
          <w:rFonts w:cs="Arial"/>
          <w:highlight w:val="yellow"/>
        </w:rPr>
        <w:t>100</w:t>
      </w:r>
      <w:r w:rsidRPr="00BE6FED">
        <w:rPr>
          <w:rFonts w:cs="Arial"/>
          <w:highlight w:val="yellow"/>
        </w:rPr>
        <w:t xml:space="preserve"> µ</w:t>
      </w:r>
      <w:r w:rsidR="00723BC6">
        <w:rPr>
          <w:rFonts w:cs="Arial"/>
          <w:highlight w:val="yellow"/>
        </w:rPr>
        <w:t>L</w:t>
      </w:r>
      <w:r w:rsidRPr="00BE6FED">
        <w:rPr>
          <w:rFonts w:cs="Arial"/>
          <w:highlight w:val="yellow"/>
        </w:rPr>
        <w:t xml:space="preserve"> of the PCR mix to ensure dispensing of the entire sample volume</w:t>
      </w:r>
      <w:r w:rsidR="0047418E" w:rsidRPr="00BE6FED">
        <w:rPr>
          <w:rFonts w:cs="Arial"/>
          <w:highlight w:val="yellow"/>
        </w:rPr>
        <w:t xml:space="preserve"> during emulsification</w:t>
      </w:r>
      <w:r w:rsidRPr="00BE6FED">
        <w:rPr>
          <w:rFonts w:cs="Arial"/>
          <w:highlight w:val="yellow"/>
        </w:rPr>
        <w:t>.</w:t>
      </w:r>
    </w:p>
    <w:p w14:paraId="0AC0A47E" w14:textId="77777777" w:rsidR="00D441A0" w:rsidRPr="00BE6FED" w:rsidRDefault="00D441A0" w:rsidP="006A1488">
      <w:pPr>
        <w:pStyle w:val="ListParagraph"/>
        <w:widowControl/>
        <w:autoSpaceDE/>
        <w:autoSpaceDN/>
        <w:adjustRightInd/>
        <w:ind w:left="0"/>
        <w:rPr>
          <w:rFonts w:cs="Arial"/>
          <w:highlight w:val="yellow"/>
        </w:rPr>
      </w:pPr>
    </w:p>
    <w:p w14:paraId="4E09E1D8" w14:textId="7927DED7" w:rsidR="00ED12E9" w:rsidRPr="00BE6FED" w:rsidRDefault="00ED12E9" w:rsidP="006A1488">
      <w:pPr>
        <w:pStyle w:val="ListParagraph"/>
        <w:widowControl/>
        <w:numPr>
          <w:ilvl w:val="1"/>
          <w:numId w:val="19"/>
        </w:numPr>
        <w:autoSpaceDE/>
        <w:autoSpaceDN/>
        <w:adjustRightInd/>
        <w:rPr>
          <w:rFonts w:cs="Arial"/>
          <w:highlight w:val="yellow"/>
        </w:rPr>
      </w:pPr>
      <w:r w:rsidRPr="00BE6FED">
        <w:rPr>
          <w:rFonts w:cs="Arial"/>
          <w:highlight w:val="yellow"/>
        </w:rPr>
        <w:t>Set</w:t>
      </w:r>
      <w:r w:rsidR="001D07C9" w:rsidRPr="00BE6FED">
        <w:rPr>
          <w:rFonts w:cs="Arial"/>
          <w:highlight w:val="yellow"/>
        </w:rPr>
        <w:t>-</w:t>
      </w:r>
      <w:r w:rsidRPr="00BE6FED">
        <w:rPr>
          <w:rFonts w:cs="Arial"/>
          <w:highlight w:val="yellow"/>
        </w:rPr>
        <w:t>up a droplet microfluidic device on a</w:t>
      </w:r>
      <w:r w:rsidR="00D82F45" w:rsidRPr="00BE6FED">
        <w:rPr>
          <w:rFonts w:cs="Arial"/>
          <w:highlight w:val="yellow"/>
        </w:rPr>
        <w:t xml:space="preserve"> stage of a</w:t>
      </w:r>
      <w:r w:rsidRPr="00BE6FED">
        <w:rPr>
          <w:rFonts w:cs="Arial"/>
          <w:highlight w:val="yellow"/>
        </w:rPr>
        <w:t>n upright light microscope equipped with a high-speed camera to observe and record droplet formation in real-time.</w:t>
      </w:r>
    </w:p>
    <w:p w14:paraId="3F450E28" w14:textId="77777777" w:rsidR="00D441A0" w:rsidRPr="00BE6FED" w:rsidRDefault="00D441A0" w:rsidP="006A1488">
      <w:pPr>
        <w:pStyle w:val="ListParagraph"/>
        <w:widowControl/>
        <w:autoSpaceDE/>
        <w:autoSpaceDN/>
        <w:adjustRightInd/>
        <w:ind w:left="0"/>
        <w:rPr>
          <w:rFonts w:cs="Arial"/>
          <w:highlight w:val="yellow"/>
        </w:rPr>
      </w:pPr>
    </w:p>
    <w:p w14:paraId="69E1DDB9" w14:textId="55CE9452" w:rsidR="0009211E" w:rsidRPr="00BE6FED" w:rsidRDefault="00A25A29" w:rsidP="006A1488">
      <w:pPr>
        <w:pStyle w:val="ListParagraph"/>
        <w:widowControl/>
        <w:numPr>
          <w:ilvl w:val="1"/>
          <w:numId w:val="19"/>
        </w:numPr>
        <w:autoSpaceDE/>
        <w:autoSpaceDN/>
        <w:adjustRightInd/>
        <w:rPr>
          <w:rFonts w:cs="Arial"/>
          <w:highlight w:val="yellow"/>
        </w:rPr>
      </w:pPr>
      <w:r w:rsidRPr="00BE6FED">
        <w:rPr>
          <w:rFonts w:cs="Arial"/>
          <w:highlight w:val="yellow"/>
        </w:rPr>
        <w:t xml:space="preserve">Place </w:t>
      </w:r>
      <w:r w:rsidR="001D07C9" w:rsidRPr="00BE6FED">
        <w:rPr>
          <w:rFonts w:cs="Arial"/>
          <w:highlight w:val="yellow"/>
        </w:rPr>
        <w:t xml:space="preserve">the </w:t>
      </w:r>
      <w:r w:rsidR="0009211E" w:rsidRPr="00BE6FED">
        <w:rPr>
          <w:rFonts w:cs="Arial"/>
          <w:highlight w:val="yellow"/>
        </w:rPr>
        <w:t xml:space="preserve">prefilled syringes </w:t>
      </w:r>
      <w:r w:rsidRPr="00BE6FED">
        <w:rPr>
          <w:rFonts w:cs="Arial"/>
          <w:highlight w:val="yellow"/>
        </w:rPr>
        <w:t xml:space="preserve">onto the programmable syringe pump and using PEEK </w:t>
      </w:r>
      <w:r w:rsidR="004F4085" w:rsidRPr="00BE6FED">
        <w:rPr>
          <w:rFonts w:cs="Arial"/>
          <w:highlight w:val="yellow"/>
        </w:rPr>
        <w:t xml:space="preserve">union with </w:t>
      </w:r>
      <w:r w:rsidRPr="00BE6FED">
        <w:rPr>
          <w:rFonts w:cs="Arial"/>
          <w:highlight w:val="yellow"/>
        </w:rPr>
        <w:t>fittings</w:t>
      </w:r>
      <w:r w:rsidR="00393133" w:rsidRPr="00BE6FED">
        <w:rPr>
          <w:rFonts w:cs="Arial"/>
          <w:highlight w:val="yellow"/>
        </w:rPr>
        <w:t xml:space="preserve"> (</w:t>
      </w:r>
      <w:r w:rsidR="00723BC6">
        <w:rPr>
          <w:rFonts w:cs="Arial"/>
          <w:highlight w:val="yellow"/>
        </w:rPr>
        <w:t xml:space="preserve">see </w:t>
      </w:r>
      <w:r w:rsidR="00393133" w:rsidRPr="00723BC6">
        <w:rPr>
          <w:rFonts w:cs="Arial"/>
          <w:b/>
          <w:bCs/>
          <w:highlight w:val="yellow"/>
        </w:rPr>
        <w:t>Table of Materials</w:t>
      </w:r>
      <w:r w:rsidR="00393133" w:rsidRPr="00BE6FED">
        <w:rPr>
          <w:rFonts w:cs="Arial"/>
          <w:highlight w:val="yellow"/>
        </w:rPr>
        <w:t>)</w:t>
      </w:r>
      <w:r w:rsidRPr="00BE6FED">
        <w:rPr>
          <w:rFonts w:cs="Arial"/>
          <w:highlight w:val="yellow"/>
        </w:rPr>
        <w:t xml:space="preserve">, connect the tubing of the syringes to </w:t>
      </w:r>
      <w:r w:rsidR="0009211E" w:rsidRPr="00BE6FED">
        <w:rPr>
          <w:rFonts w:cs="Arial"/>
          <w:highlight w:val="yellow"/>
        </w:rPr>
        <w:t xml:space="preserve">the </w:t>
      </w:r>
      <w:r w:rsidR="004F4085" w:rsidRPr="00BE6FED">
        <w:rPr>
          <w:rFonts w:cs="Arial"/>
          <w:highlight w:val="yellow"/>
        </w:rPr>
        <w:t xml:space="preserve">tubing of the </w:t>
      </w:r>
      <w:r w:rsidR="0009211E" w:rsidRPr="00BE6FED">
        <w:rPr>
          <w:rFonts w:cs="Arial"/>
          <w:highlight w:val="yellow"/>
        </w:rPr>
        <w:t>respective inlet channels of the droplet microfluidic device</w:t>
      </w:r>
      <w:r w:rsidR="00ED12E9" w:rsidRPr="00BE6FED">
        <w:rPr>
          <w:rFonts w:cs="Arial"/>
          <w:highlight w:val="yellow"/>
        </w:rPr>
        <w:t>.</w:t>
      </w:r>
    </w:p>
    <w:p w14:paraId="5CF4EFED" w14:textId="77777777" w:rsidR="00D441A0" w:rsidRPr="00BE6FED" w:rsidRDefault="00D441A0" w:rsidP="006A1488">
      <w:pPr>
        <w:pStyle w:val="ListParagraph"/>
        <w:widowControl/>
        <w:autoSpaceDE/>
        <w:autoSpaceDN/>
        <w:adjustRightInd/>
        <w:ind w:left="0"/>
        <w:rPr>
          <w:rFonts w:cs="Arial"/>
          <w:highlight w:val="yellow"/>
        </w:rPr>
      </w:pPr>
    </w:p>
    <w:p w14:paraId="1903E3C4" w14:textId="63C197FB" w:rsidR="0009211E" w:rsidRPr="00BE6FED" w:rsidRDefault="00D82F45" w:rsidP="006A1488">
      <w:pPr>
        <w:pStyle w:val="ListParagraph"/>
        <w:widowControl/>
        <w:numPr>
          <w:ilvl w:val="1"/>
          <w:numId w:val="19"/>
        </w:numPr>
        <w:autoSpaceDE/>
        <w:autoSpaceDN/>
        <w:adjustRightInd/>
        <w:rPr>
          <w:rFonts w:cs="Arial"/>
          <w:highlight w:val="yellow"/>
        </w:rPr>
      </w:pPr>
      <w:r w:rsidRPr="00BE6FED">
        <w:rPr>
          <w:rFonts w:cs="Arial"/>
          <w:highlight w:val="yellow"/>
        </w:rPr>
        <w:t xml:space="preserve">Place the tubing </w:t>
      </w:r>
      <w:r w:rsidR="004F4085" w:rsidRPr="00BE6FED">
        <w:rPr>
          <w:rFonts w:cs="Arial"/>
          <w:highlight w:val="yellow"/>
        </w:rPr>
        <w:t>from the</w:t>
      </w:r>
      <w:r w:rsidR="0009211E" w:rsidRPr="00BE6FED">
        <w:rPr>
          <w:rFonts w:cs="Arial"/>
          <w:highlight w:val="yellow"/>
        </w:rPr>
        <w:t xml:space="preserve"> outlet of the droplet generator</w:t>
      </w:r>
      <w:r w:rsidRPr="00BE6FED">
        <w:rPr>
          <w:rFonts w:cs="Arial"/>
          <w:highlight w:val="yellow"/>
        </w:rPr>
        <w:t xml:space="preserve"> in</w:t>
      </w:r>
      <w:r w:rsidR="004F4085" w:rsidRPr="00BE6FED">
        <w:rPr>
          <w:rFonts w:cs="Arial"/>
          <w:highlight w:val="yellow"/>
        </w:rPr>
        <w:t>side</w:t>
      </w:r>
      <w:r w:rsidRPr="00BE6FED">
        <w:rPr>
          <w:rFonts w:cs="Arial"/>
          <w:highlight w:val="yellow"/>
        </w:rPr>
        <w:t xml:space="preserve"> a 0.5 m</w:t>
      </w:r>
      <w:r w:rsidR="00723BC6">
        <w:rPr>
          <w:rFonts w:cs="Arial"/>
          <w:highlight w:val="yellow"/>
        </w:rPr>
        <w:t>L</w:t>
      </w:r>
      <w:r w:rsidRPr="00BE6FED">
        <w:rPr>
          <w:rFonts w:cs="Arial"/>
          <w:highlight w:val="yellow"/>
        </w:rPr>
        <w:t xml:space="preserve"> PCR tube</w:t>
      </w:r>
      <w:r w:rsidR="00ED12E9" w:rsidRPr="00BE6FED">
        <w:rPr>
          <w:rFonts w:cs="Arial"/>
          <w:highlight w:val="yellow"/>
        </w:rPr>
        <w:t>.</w:t>
      </w:r>
      <w:r w:rsidR="0009211E" w:rsidRPr="00BE6FED">
        <w:rPr>
          <w:rFonts w:cs="Arial"/>
          <w:highlight w:val="yellow"/>
        </w:rPr>
        <w:t xml:space="preserve"> </w:t>
      </w:r>
    </w:p>
    <w:p w14:paraId="2C3CB590" w14:textId="77777777" w:rsidR="00D441A0" w:rsidRPr="00BE6FED" w:rsidRDefault="00D441A0" w:rsidP="006A1488">
      <w:pPr>
        <w:pStyle w:val="ListParagraph"/>
        <w:widowControl/>
        <w:autoSpaceDE/>
        <w:autoSpaceDN/>
        <w:adjustRightInd/>
        <w:ind w:left="0"/>
        <w:rPr>
          <w:rFonts w:cs="Arial"/>
          <w:highlight w:val="yellow"/>
        </w:rPr>
      </w:pPr>
    </w:p>
    <w:p w14:paraId="46EB0BE5" w14:textId="427C8763" w:rsidR="00ED12E9" w:rsidRPr="00BE6FED" w:rsidRDefault="0009211E" w:rsidP="006A1488">
      <w:pPr>
        <w:pStyle w:val="ListParagraph"/>
        <w:widowControl/>
        <w:numPr>
          <w:ilvl w:val="1"/>
          <w:numId w:val="19"/>
        </w:numPr>
        <w:autoSpaceDE/>
        <w:autoSpaceDN/>
        <w:adjustRightInd/>
        <w:rPr>
          <w:rFonts w:cs="Arial"/>
          <w:highlight w:val="yellow"/>
        </w:rPr>
      </w:pPr>
      <w:r w:rsidRPr="00BE6FED">
        <w:rPr>
          <w:rFonts w:cs="Arial"/>
          <w:highlight w:val="yellow"/>
        </w:rPr>
        <w:t xml:space="preserve">Adjust the flow rate </w:t>
      </w:r>
      <w:r w:rsidR="004F4085" w:rsidRPr="00BE6FED">
        <w:rPr>
          <w:rFonts w:cs="Arial"/>
          <w:highlight w:val="yellow"/>
        </w:rPr>
        <w:t xml:space="preserve">of the syringe pump </w:t>
      </w:r>
      <w:r w:rsidRPr="00BE6FED">
        <w:rPr>
          <w:rFonts w:cs="Arial"/>
          <w:highlight w:val="yellow"/>
        </w:rPr>
        <w:t>to 2</w:t>
      </w:r>
      <w:r w:rsidR="00D441A0" w:rsidRPr="00BE6FED">
        <w:rPr>
          <w:rFonts w:cs="Arial"/>
          <w:highlight w:val="yellow"/>
        </w:rPr>
        <w:t xml:space="preserve"> </w:t>
      </w:r>
      <w:r w:rsidRPr="00BE6FED">
        <w:rPr>
          <w:rFonts w:cs="Arial"/>
          <w:highlight w:val="yellow"/>
        </w:rPr>
        <w:t>µ</w:t>
      </w:r>
      <w:r w:rsidR="00723BC6">
        <w:rPr>
          <w:rFonts w:cs="Arial"/>
          <w:highlight w:val="yellow"/>
        </w:rPr>
        <w:t>L</w:t>
      </w:r>
      <w:r w:rsidRPr="00BE6FED">
        <w:rPr>
          <w:rFonts w:cs="Arial"/>
          <w:highlight w:val="yellow"/>
        </w:rPr>
        <w:t xml:space="preserve">/min and allow for </w:t>
      </w:r>
      <w:r w:rsidR="00723BC6">
        <w:rPr>
          <w:rFonts w:cs="Arial"/>
          <w:highlight w:val="yellow"/>
        </w:rPr>
        <w:t xml:space="preserve">the </w:t>
      </w:r>
      <w:r w:rsidRPr="00BE6FED">
        <w:rPr>
          <w:rFonts w:cs="Arial"/>
          <w:highlight w:val="yellow"/>
        </w:rPr>
        <w:t>droplet size to stabilize before collecting the resulting emulsion</w:t>
      </w:r>
      <w:r w:rsidR="00ED12E9" w:rsidRPr="00BE6FED">
        <w:rPr>
          <w:rFonts w:cs="Arial"/>
          <w:highlight w:val="yellow"/>
        </w:rPr>
        <w:t>.</w:t>
      </w:r>
    </w:p>
    <w:p w14:paraId="0CEE3BD5" w14:textId="77777777" w:rsidR="00ED12E9" w:rsidRPr="00BE6FED" w:rsidRDefault="00ED12E9" w:rsidP="006A1488">
      <w:pPr>
        <w:pStyle w:val="ListParagraph"/>
        <w:ind w:left="0"/>
        <w:rPr>
          <w:rFonts w:cs="Arial"/>
          <w:highlight w:val="yellow"/>
        </w:rPr>
      </w:pPr>
    </w:p>
    <w:p w14:paraId="0FD0D382" w14:textId="45326B06" w:rsidR="00ED12E9" w:rsidRPr="00BE6FED" w:rsidRDefault="00ED12E9" w:rsidP="006A1488">
      <w:pPr>
        <w:pStyle w:val="ListParagraph"/>
        <w:numPr>
          <w:ilvl w:val="1"/>
          <w:numId w:val="19"/>
        </w:numPr>
        <w:rPr>
          <w:rFonts w:cs="Arial"/>
          <w:highlight w:val="yellow"/>
        </w:rPr>
      </w:pPr>
      <w:r w:rsidRPr="00BE6FED">
        <w:rPr>
          <w:rFonts w:cs="Arial"/>
          <w:highlight w:val="yellow"/>
        </w:rPr>
        <w:t>Collect the emulsion and transfer 75 μ</w:t>
      </w:r>
      <w:r w:rsidR="00723BC6">
        <w:rPr>
          <w:rFonts w:cs="Arial"/>
          <w:highlight w:val="yellow"/>
        </w:rPr>
        <w:t>L</w:t>
      </w:r>
      <w:r w:rsidRPr="00BE6FED">
        <w:rPr>
          <w:rFonts w:cs="Arial"/>
          <w:highlight w:val="yellow"/>
        </w:rPr>
        <w:t xml:space="preserve"> to a 0.2 m</w:t>
      </w:r>
      <w:r w:rsidR="00723BC6">
        <w:rPr>
          <w:rFonts w:cs="Arial"/>
          <w:highlight w:val="yellow"/>
        </w:rPr>
        <w:t>L</w:t>
      </w:r>
      <w:r w:rsidRPr="00BE6FED">
        <w:rPr>
          <w:rFonts w:cs="Arial"/>
          <w:highlight w:val="yellow"/>
        </w:rPr>
        <w:t xml:space="preserve"> PCR tube for thermal cycling. </w:t>
      </w:r>
    </w:p>
    <w:p w14:paraId="594ED76D" w14:textId="77777777" w:rsidR="00ED12E9" w:rsidRPr="00BE6FED" w:rsidRDefault="00ED12E9" w:rsidP="006A1488">
      <w:pPr>
        <w:pStyle w:val="ListParagraph"/>
        <w:ind w:left="0"/>
        <w:rPr>
          <w:rFonts w:cs="Arial"/>
          <w:highlight w:val="yellow"/>
        </w:rPr>
      </w:pPr>
    </w:p>
    <w:p w14:paraId="40AB4917" w14:textId="564A7774" w:rsidR="00ED12E9" w:rsidRPr="00BE6FED" w:rsidRDefault="00ED12E9" w:rsidP="006A1488">
      <w:pPr>
        <w:pStyle w:val="ListParagraph"/>
        <w:numPr>
          <w:ilvl w:val="1"/>
          <w:numId w:val="19"/>
        </w:numPr>
        <w:rPr>
          <w:rFonts w:cs="Arial"/>
          <w:highlight w:val="yellow"/>
        </w:rPr>
      </w:pPr>
      <w:r w:rsidRPr="00BE6FED">
        <w:rPr>
          <w:rFonts w:cs="Arial"/>
          <w:highlight w:val="yellow"/>
        </w:rPr>
        <w:t xml:space="preserve">Ensure that the oil content in the PCR tube closely matches the volume of the dispersed phase in order to prevent coalescence of </w:t>
      </w:r>
      <w:r w:rsidR="001D07C9" w:rsidRPr="00BE6FED">
        <w:rPr>
          <w:rFonts w:cs="Arial"/>
          <w:highlight w:val="yellow"/>
        </w:rPr>
        <w:t xml:space="preserve">the </w:t>
      </w:r>
      <w:r w:rsidRPr="00BE6FED">
        <w:rPr>
          <w:rFonts w:cs="Arial"/>
          <w:highlight w:val="yellow"/>
        </w:rPr>
        <w:t>droplets during thermal cycling.</w:t>
      </w:r>
    </w:p>
    <w:p w14:paraId="061FBEB1" w14:textId="77777777" w:rsidR="00ED12E9" w:rsidRPr="00BE6FED" w:rsidRDefault="00ED12E9" w:rsidP="006A1488">
      <w:pPr>
        <w:pStyle w:val="ListParagraph"/>
        <w:ind w:left="0"/>
        <w:rPr>
          <w:rFonts w:cs="Arial"/>
          <w:highlight w:val="yellow"/>
        </w:rPr>
      </w:pPr>
    </w:p>
    <w:p w14:paraId="65CFFF7E" w14:textId="274BE9D7" w:rsidR="00ED12E9" w:rsidRPr="00723BC6" w:rsidRDefault="00ED12E9" w:rsidP="00723BC6">
      <w:pPr>
        <w:pStyle w:val="ListParagraph"/>
        <w:widowControl/>
        <w:numPr>
          <w:ilvl w:val="1"/>
          <w:numId w:val="19"/>
        </w:numPr>
        <w:autoSpaceDE/>
        <w:autoSpaceDN/>
        <w:adjustRightInd/>
        <w:rPr>
          <w:rFonts w:cs="Arial"/>
          <w:highlight w:val="yellow"/>
        </w:rPr>
      </w:pPr>
      <w:r w:rsidRPr="00BE6FED">
        <w:rPr>
          <w:rFonts w:cs="Arial"/>
          <w:highlight w:val="yellow"/>
        </w:rPr>
        <w:t>Place the 0.2 mL PCR tube in thermal cycler and perform the cycling protocol as follows:</w:t>
      </w:r>
      <w:r w:rsidR="00723BC6">
        <w:rPr>
          <w:rFonts w:cs="Arial"/>
          <w:highlight w:val="yellow"/>
        </w:rPr>
        <w:t xml:space="preserve"> p</w:t>
      </w:r>
      <w:r w:rsidRPr="00723BC6">
        <w:rPr>
          <w:rFonts w:cs="Arial"/>
          <w:highlight w:val="yellow"/>
        </w:rPr>
        <w:t xml:space="preserve">reheating at 95 </w:t>
      </w:r>
      <w:r w:rsidR="005359BF" w:rsidRPr="00723BC6">
        <w:rPr>
          <w:highlight w:val="yellow"/>
          <w:lang w:eastAsia="en-CA"/>
        </w:rPr>
        <w:t>°</w:t>
      </w:r>
      <w:r w:rsidRPr="00723BC6">
        <w:rPr>
          <w:rFonts w:cs="Arial"/>
          <w:highlight w:val="yellow"/>
        </w:rPr>
        <w:t>C for 5 min</w:t>
      </w:r>
      <w:r w:rsidR="00723BC6">
        <w:rPr>
          <w:rFonts w:cs="Arial"/>
          <w:highlight w:val="yellow"/>
        </w:rPr>
        <w:t xml:space="preserve">, then </w:t>
      </w:r>
      <w:r w:rsidRPr="00723BC6">
        <w:rPr>
          <w:rFonts w:cs="Arial"/>
          <w:highlight w:val="yellow"/>
        </w:rPr>
        <w:t xml:space="preserve">45 cycles of denaturation at 95 </w:t>
      </w:r>
      <w:r w:rsidR="005359BF" w:rsidRPr="00723BC6">
        <w:rPr>
          <w:rFonts w:cs="Arial"/>
          <w:highlight w:val="yellow"/>
        </w:rPr>
        <w:t>°</w:t>
      </w:r>
      <w:r w:rsidRPr="00723BC6">
        <w:rPr>
          <w:rFonts w:cs="Arial"/>
          <w:highlight w:val="yellow"/>
        </w:rPr>
        <w:t xml:space="preserve">C for 15 s and annealing/extension </w:t>
      </w:r>
      <w:r w:rsidR="00CD3B5D" w:rsidRPr="00723BC6">
        <w:rPr>
          <w:rFonts w:cs="Arial"/>
          <w:highlight w:val="yellow"/>
        </w:rPr>
        <w:t xml:space="preserve">at 60 </w:t>
      </w:r>
      <w:r w:rsidR="005359BF" w:rsidRPr="00723BC6">
        <w:rPr>
          <w:rFonts w:cs="Arial"/>
          <w:highlight w:val="yellow"/>
        </w:rPr>
        <w:t>°</w:t>
      </w:r>
      <w:r w:rsidR="00CD3B5D" w:rsidRPr="00723BC6">
        <w:rPr>
          <w:rFonts w:cs="Arial"/>
          <w:highlight w:val="yellow"/>
        </w:rPr>
        <w:t xml:space="preserve">C </w:t>
      </w:r>
      <w:r w:rsidRPr="00723BC6">
        <w:rPr>
          <w:rFonts w:cs="Arial"/>
          <w:highlight w:val="yellow"/>
        </w:rPr>
        <w:t>for 30 s.</w:t>
      </w:r>
    </w:p>
    <w:p w14:paraId="77896A60" w14:textId="77777777" w:rsidR="00ED12E9" w:rsidRPr="00443059" w:rsidRDefault="00ED12E9" w:rsidP="006A1488">
      <w:pPr>
        <w:pStyle w:val="ListParagraph"/>
        <w:widowControl/>
        <w:autoSpaceDE/>
        <w:autoSpaceDN/>
        <w:adjustRightInd/>
        <w:ind w:left="0"/>
        <w:rPr>
          <w:rFonts w:cs="Arial"/>
        </w:rPr>
      </w:pPr>
    </w:p>
    <w:p w14:paraId="6DC2CA66" w14:textId="708A95BC" w:rsidR="00ED12E9" w:rsidRPr="00076DCA" w:rsidRDefault="00ED12E9" w:rsidP="006A1488">
      <w:pPr>
        <w:pStyle w:val="ListParagraph"/>
        <w:numPr>
          <w:ilvl w:val="1"/>
          <w:numId w:val="19"/>
        </w:numPr>
      </w:pPr>
      <w:r w:rsidRPr="00076DCA">
        <w:t>Use the remaining emulsion to fill</w:t>
      </w:r>
      <w:r w:rsidR="001D07C9">
        <w:t xml:space="preserve"> a</w:t>
      </w:r>
      <w:r w:rsidRPr="00076DCA">
        <w:t xml:space="preserve"> borosilicate </w:t>
      </w:r>
      <w:r w:rsidR="005359BF">
        <w:t xml:space="preserve">capillary </w:t>
      </w:r>
      <w:r w:rsidRPr="00076DCA">
        <w:t>tube</w:t>
      </w:r>
      <w:r w:rsidR="00130191">
        <w:t xml:space="preserve"> (100 </w:t>
      </w:r>
      <w:proofErr w:type="spellStart"/>
      <w:r w:rsidR="00130191">
        <w:t>μm</w:t>
      </w:r>
      <w:proofErr w:type="spellEnd"/>
      <w:r w:rsidR="00130191">
        <w:t xml:space="preserve"> depth)</w:t>
      </w:r>
      <w:r w:rsidRPr="00076DCA">
        <w:t xml:space="preserve"> with a rectangular profile in order to image droplets and assess </w:t>
      </w:r>
      <w:r w:rsidR="001D07C9">
        <w:t xml:space="preserve">the </w:t>
      </w:r>
      <w:r w:rsidRPr="00076DCA">
        <w:t>droplet diameter.</w:t>
      </w:r>
    </w:p>
    <w:p w14:paraId="64DBB00D" w14:textId="77777777" w:rsidR="00ED12E9" w:rsidRPr="00EC39DE" w:rsidRDefault="00ED12E9" w:rsidP="006A1488">
      <w:pPr>
        <w:pStyle w:val="ListParagraph"/>
        <w:ind w:left="0"/>
        <w:rPr>
          <w:rFonts w:cs="Arial"/>
        </w:rPr>
      </w:pPr>
    </w:p>
    <w:p w14:paraId="5AFDCC72" w14:textId="2C11307B" w:rsidR="00ED12E9" w:rsidRDefault="00ED12E9" w:rsidP="006A1488">
      <w:pPr>
        <w:pStyle w:val="ListParagraph"/>
        <w:numPr>
          <w:ilvl w:val="1"/>
          <w:numId w:val="19"/>
        </w:numPr>
        <w:rPr>
          <w:rFonts w:cs="Arial"/>
        </w:rPr>
      </w:pPr>
      <w:r>
        <w:rPr>
          <w:rFonts w:cs="Arial"/>
        </w:rPr>
        <w:t xml:space="preserve">Place </w:t>
      </w:r>
      <w:r w:rsidR="001D07C9">
        <w:rPr>
          <w:rFonts w:cs="Arial"/>
        </w:rPr>
        <w:t xml:space="preserve">the </w:t>
      </w:r>
      <w:r>
        <w:rPr>
          <w:rFonts w:cs="Arial"/>
        </w:rPr>
        <w:t>borosilicate tube filled with the emulsion onto a microscope slide</w:t>
      </w:r>
      <w:r w:rsidR="001D07C9">
        <w:rPr>
          <w:rFonts w:cs="Arial"/>
        </w:rPr>
        <w:t>.</w:t>
      </w:r>
      <w:r>
        <w:rPr>
          <w:rFonts w:cs="Arial"/>
        </w:rPr>
        <w:t xml:space="preserve"> </w:t>
      </w:r>
      <w:r w:rsidR="001D07C9">
        <w:rPr>
          <w:rFonts w:cs="Arial"/>
        </w:rPr>
        <w:t xml:space="preserve">Use </w:t>
      </w:r>
      <w:r>
        <w:rPr>
          <w:rFonts w:cs="Arial"/>
        </w:rPr>
        <w:t xml:space="preserve">an inverted microscope </w:t>
      </w:r>
      <w:r>
        <w:rPr>
          <w:rFonts w:cs="Arial"/>
          <w:color w:val="000000" w:themeColor="text1"/>
        </w:rPr>
        <w:t>equipped with a</w:t>
      </w:r>
      <w:r w:rsidR="001D07C9">
        <w:rPr>
          <w:rFonts w:cs="Arial"/>
          <w:color w:val="000000" w:themeColor="text1"/>
        </w:rPr>
        <w:t>n EMCCD</w:t>
      </w:r>
      <w:r>
        <w:rPr>
          <w:rFonts w:cs="Arial"/>
          <w:color w:val="000000" w:themeColor="text1"/>
        </w:rPr>
        <w:t xml:space="preserve"> camera </w:t>
      </w:r>
      <w:r w:rsidR="00130191">
        <w:rPr>
          <w:rFonts w:cs="Arial"/>
          <w:color w:val="000000" w:themeColor="text1"/>
        </w:rPr>
        <w:t xml:space="preserve">and 10x objective </w:t>
      </w:r>
      <w:r w:rsidR="001D07C9">
        <w:rPr>
          <w:rFonts w:cs="Arial"/>
          <w:color w:val="000000" w:themeColor="text1"/>
        </w:rPr>
        <w:t>to</w:t>
      </w:r>
      <w:r>
        <w:rPr>
          <w:rFonts w:cs="Arial"/>
        </w:rPr>
        <w:t xml:space="preserve"> record bright field images of the droplets.</w:t>
      </w:r>
    </w:p>
    <w:p w14:paraId="55991691" w14:textId="77777777" w:rsidR="00ED12E9" w:rsidRPr="00EC39DE" w:rsidRDefault="00ED12E9" w:rsidP="006A1488">
      <w:pPr>
        <w:pStyle w:val="ListParagraph"/>
        <w:ind w:left="0"/>
        <w:rPr>
          <w:rFonts w:cs="Arial"/>
        </w:rPr>
      </w:pPr>
    </w:p>
    <w:p w14:paraId="6D039AC1" w14:textId="2F6574AB" w:rsidR="00ED12E9" w:rsidRDefault="00ED12E9" w:rsidP="006A1488">
      <w:pPr>
        <w:pStyle w:val="ListParagraph"/>
        <w:numPr>
          <w:ilvl w:val="1"/>
          <w:numId w:val="19"/>
        </w:numPr>
        <w:rPr>
          <w:rFonts w:cs="Arial"/>
        </w:rPr>
      </w:pPr>
      <w:r>
        <w:rPr>
          <w:rFonts w:cs="Arial"/>
        </w:rPr>
        <w:t>Measure</w:t>
      </w:r>
      <w:r w:rsidR="001D07C9">
        <w:rPr>
          <w:rFonts w:cs="Arial"/>
        </w:rPr>
        <w:t xml:space="preserve"> the</w:t>
      </w:r>
      <w:r>
        <w:rPr>
          <w:rFonts w:cs="Arial"/>
        </w:rPr>
        <w:t xml:space="preserve"> droplet diameter using</w:t>
      </w:r>
      <w:r w:rsidR="001D07C9">
        <w:rPr>
          <w:rFonts w:cs="Arial"/>
        </w:rPr>
        <w:t xml:space="preserve"> an image analysis software</w:t>
      </w:r>
      <w:r w:rsidR="00130191">
        <w:rPr>
          <w:rFonts w:cs="Arial"/>
        </w:rPr>
        <w:t xml:space="preserve"> as detailed below</w:t>
      </w:r>
      <w:r w:rsidR="001D07C9">
        <w:rPr>
          <w:rFonts w:cs="Arial"/>
        </w:rPr>
        <w:t>.</w:t>
      </w:r>
      <w:r>
        <w:rPr>
          <w:rFonts w:cs="Arial"/>
        </w:rPr>
        <w:t xml:space="preserve"> </w:t>
      </w:r>
      <w:r w:rsidRPr="00065577">
        <w:rPr>
          <w:rFonts w:cs="Arial"/>
        </w:rPr>
        <w:t xml:space="preserve"> </w:t>
      </w:r>
    </w:p>
    <w:p w14:paraId="3E54D566" w14:textId="77777777" w:rsidR="00ED12E9" w:rsidRPr="00EC39DE" w:rsidRDefault="00ED12E9" w:rsidP="006A1488">
      <w:pPr>
        <w:pStyle w:val="ListParagraph"/>
        <w:ind w:left="0"/>
        <w:rPr>
          <w:rFonts w:cs="Arial"/>
        </w:rPr>
      </w:pPr>
    </w:p>
    <w:p w14:paraId="578B8A7C" w14:textId="6239A201" w:rsidR="00ED12E9" w:rsidRDefault="00ED12E9" w:rsidP="006A1488">
      <w:pPr>
        <w:pStyle w:val="ListParagraph"/>
        <w:numPr>
          <w:ilvl w:val="1"/>
          <w:numId w:val="19"/>
        </w:numPr>
        <w:rPr>
          <w:rFonts w:cs="Arial"/>
        </w:rPr>
      </w:pPr>
      <w:r>
        <w:rPr>
          <w:rFonts w:cs="Arial"/>
        </w:rPr>
        <w:t>Set the scale of known distance in microns corresponding to the number of pixels in the image</w:t>
      </w:r>
      <w:r w:rsidR="000549ED">
        <w:rPr>
          <w:rFonts w:cs="Arial"/>
        </w:rPr>
        <w:t xml:space="preserve"> by selecting the ‘</w:t>
      </w:r>
      <w:r w:rsidR="000549ED" w:rsidRPr="00723BC6">
        <w:rPr>
          <w:rFonts w:cs="Arial"/>
          <w:b/>
          <w:bCs/>
        </w:rPr>
        <w:t>Analyze</w:t>
      </w:r>
      <w:r w:rsidR="000549ED">
        <w:rPr>
          <w:rFonts w:cs="Arial"/>
        </w:rPr>
        <w:t>’ button and then ‘</w:t>
      </w:r>
      <w:r w:rsidR="000549ED" w:rsidRPr="00723BC6">
        <w:rPr>
          <w:rFonts w:cs="Arial"/>
          <w:b/>
          <w:bCs/>
        </w:rPr>
        <w:t>Set Scale</w:t>
      </w:r>
      <w:r w:rsidR="000549ED">
        <w:rPr>
          <w:rFonts w:cs="Arial"/>
        </w:rPr>
        <w:t>’</w:t>
      </w:r>
      <w:r w:rsidR="0029678E">
        <w:rPr>
          <w:rFonts w:cs="Arial"/>
        </w:rPr>
        <w:t>.</w:t>
      </w:r>
    </w:p>
    <w:p w14:paraId="1F4CAE7C" w14:textId="77777777" w:rsidR="00ED12E9" w:rsidRPr="00EC39DE" w:rsidRDefault="00ED12E9" w:rsidP="006A1488">
      <w:pPr>
        <w:pStyle w:val="ListParagraph"/>
        <w:ind w:left="0"/>
        <w:rPr>
          <w:rFonts w:cs="Arial"/>
        </w:rPr>
      </w:pPr>
    </w:p>
    <w:p w14:paraId="5BCE930D" w14:textId="41A57C3F" w:rsidR="00ED12E9" w:rsidRDefault="00ED12E9" w:rsidP="006A1488">
      <w:pPr>
        <w:pStyle w:val="ListParagraph"/>
        <w:numPr>
          <w:ilvl w:val="1"/>
          <w:numId w:val="19"/>
        </w:numPr>
        <w:rPr>
          <w:rFonts w:cs="Arial"/>
        </w:rPr>
      </w:pPr>
      <w:r>
        <w:rPr>
          <w:rFonts w:cs="Arial"/>
        </w:rPr>
        <w:lastRenderedPageBreak/>
        <w:t>Convert the image to grayscale</w:t>
      </w:r>
      <w:r w:rsidR="000549ED">
        <w:rPr>
          <w:rFonts w:cs="Arial"/>
        </w:rPr>
        <w:t xml:space="preserve"> by selecting the ‘</w:t>
      </w:r>
      <w:r w:rsidR="000549ED" w:rsidRPr="00723BC6">
        <w:rPr>
          <w:rFonts w:cs="Arial"/>
          <w:b/>
          <w:bCs/>
        </w:rPr>
        <w:t>Image</w:t>
      </w:r>
      <w:r w:rsidR="000549ED">
        <w:rPr>
          <w:rFonts w:cs="Arial"/>
        </w:rPr>
        <w:t>’ button and then ‘</w:t>
      </w:r>
      <w:r w:rsidR="000549ED" w:rsidRPr="00723BC6">
        <w:rPr>
          <w:rFonts w:cs="Arial"/>
          <w:b/>
          <w:bCs/>
        </w:rPr>
        <w:t>Type</w:t>
      </w:r>
      <w:r w:rsidR="000549ED">
        <w:rPr>
          <w:rFonts w:cs="Arial"/>
        </w:rPr>
        <w:t>’.</w:t>
      </w:r>
      <w:r>
        <w:rPr>
          <w:rFonts w:cs="Arial"/>
        </w:rPr>
        <w:t xml:space="preserve"> </w:t>
      </w:r>
      <w:r w:rsidR="000549ED">
        <w:rPr>
          <w:rFonts w:cs="Arial"/>
        </w:rPr>
        <w:t>A</w:t>
      </w:r>
      <w:r>
        <w:rPr>
          <w:rFonts w:cs="Arial"/>
        </w:rPr>
        <w:t>djust brightness and contrast</w:t>
      </w:r>
      <w:r w:rsidR="000549ED">
        <w:rPr>
          <w:rFonts w:cs="Arial"/>
        </w:rPr>
        <w:t xml:space="preserve"> if needed</w:t>
      </w:r>
      <w:r w:rsidR="00723BC6">
        <w:rPr>
          <w:rFonts w:cs="Arial"/>
        </w:rPr>
        <w:t>.</w:t>
      </w:r>
      <w:r>
        <w:rPr>
          <w:rFonts w:cs="Arial"/>
        </w:rPr>
        <w:t xml:space="preserve"> </w:t>
      </w:r>
      <w:r w:rsidR="00723BC6">
        <w:rPr>
          <w:rFonts w:cs="Arial"/>
        </w:rPr>
        <w:t>S</w:t>
      </w:r>
      <w:r>
        <w:rPr>
          <w:rFonts w:cs="Arial"/>
        </w:rPr>
        <w:t>et a</w:t>
      </w:r>
      <w:r w:rsidRPr="00065577">
        <w:rPr>
          <w:rFonts w:cs="Arial"/>
        </w:rPr>
        <w:t xml:space="preserve"> manual threshold to delineate and fill the circles</w:t>
      </w:r>
      <w:r w:rsidR="000549ED">
        <w:rPr>
          <w:rFonts w:cs="Arial"/>
        </w:rPr>
        <w:t xml:space="preserve"> by selecting the ‘</w:t>
      </w:r>
      <w:r w:rsidR="000549ED" w:rsidRPr="00723BC6">
        <w:rPr>
          <w:rFonts w:cs="Arial"/>
          <w:b/>
          <w:bCs/>
        </w:rPr>
        <w:t>Image</w:t>
      </w:r>
      <w:r w:rsidR="000549ED">
        <w:rPr>
          <w:rFonts w:cs="Arial"/>
        </w:rPr>
        <w:t>’ button and then ‘</w:t>
      </w:r>
      <w:r w:rsidR="000549ED" w:rsidRPr="00723BC6">
        <w:rPr>
          <w:rFonts w:cs="Arial"/>
          <w:b/>
          <w:bCs/>
        </w:rPr>
        <w:t>Adjust Threshold</w:t>
      </w:r>
      <w:r w:rsidR="000549ED">
        <w:rPr>
          <w:rFonts w:cs="Arial"/>
        </w:rPr>
        <w:t>’.</w:t>
      </w:r>
    </w:p>
    <w:p w14:paraId="1EEC48EB" w14:textId="77777777" w:rsidR="00ED12E9" w:rsidRPr="00EC39DE" w:rsidRDefault="00ED12E9" w:rsidP="006A1488">
      <w:pPr>
        <w:pStyle w:val="ListParagraph"/>
        <w:ind w:left="0"/>
        <w:rPr>
          <w:rFonts w:cs="Arial"/>
        </w:rPr>
      </w:pPr>
    </w:p>
    <w:p w14:paraId="69B62820" w14:textId="4B6A459C" w:rsidR="00ED12E9" w:rsidRDefault="00ED12E9" w:rsidP="006A1488">
      <w:pPr>
        <w:pStyle w:val="ListParagraph"/>
        <w:numPr>
          <w:ilvl w:val="1"/>
          <w:numId w:val="19"/>
        </w:numPr>
        <w:rPr>
          <w:rFonts w:cs="Arial"/>
        </w:rPr>
      </w:pPr>
      <w:r>
        <w:rPr>
          <w:rFonts w:cs="Arial"/>
        </w:rPr>
        <w:t xml:space="preserve">Analyze </w:t>
      </w:r>
      <w:r w:rsidR="000549ED">
        <w:rPr>
          <w:rFonts w:cs="Arial"/>
        </w:rPr>
        <w:t xml:space="preserve">the </w:t>
      </w:r>
      <w:r>
        <w:rPr>
          <w:rFonts w:cs="Arial"/>
        </w:rPr>
        <w:t xml:space="preserve">particles by </w:t>
      </w:r>
      <w:r w:rsidR="000549ED">
        <w:rPr>
          <w:rFonts w:cs="Arial"/>
        </w:rPr>
        <w:t>selecting the ‘</w:t>
      </w:r>
      <w:r w:rsidR="000549ED" w:rsidRPr="00723BC6">
        <w:rPr>
          <w:rFonts w:cs="Arial"/>
          <w:b/>
          <w:bCs/>
        </w:rPr>
        <w:t>Analyze particles</w:t>
      </w:r>
      <w:r w:rsidR="000549ED">
        <w:rPr>
          <w:rFonts w:cs="Arial"/>
        </w:rPr>
        <w:t xml:space="preserve">’ button and </w:t>
      </w:r>
      <w:r>
        <w:rPr>
          <w:rFonts w:cs="Arial"/>
        </w:rPr>
        <w:t xml:space="preserve">setting the </w:t>
      </w:r>
      <w:r w:rsidRPr="00065577">
        <w:rPr>
          <w:rFonts w:cs="Arial"/>
        </w:rPr>
        <w:t xml:space="preserve">circularity </w:t>
      </w:r>
      <w:r>
        <w:rPr>
          <w:rFonts w:cs="Arial"/>
        </w:rPr>
        <w:t xml:space="preserve">to </w:t>
      </w:r>
      <w:r w:rsidRPr="00065577">
        <w:rPr>
          <w:rFonts w:cs="Arial"/>
        </w:rPr>
        <w:t>0.75</w:t>
      </w:r>
      <w:r>
        <w:rPr>
          <w:rFonts w:cs="Arial"/>
        </w:rPr>
        <w:t xml:space="preserve"> – 1.</w:t>
      </w:r>
    </w:p>
    <w:p w14:paraId="0C2E3BC7" w14:textId="77777777" w:rsidR="00ED12E9" w:rsidRPr="00EC39DE" w:rsidRDefault="00ED12E9" w:rsidP="006A1488">
      <w:pPr>
        <w:pStyle w:val="ListParagraph"/>
        <w:ind w:left="0"/>
        <w:rPr>
          <w:rFonts w:cs="Arial"/>
        </w:rPr>
      </w:pPr>
    </w:p>
    <w:p w14:paraId="64B80733" w14:textId="2F99AC76" w:rsidR="00ED12E9" w:rsidRDefault="00ED12E9" w:rsidP="006A1488">
      <w:pPr>
        <w:pStyle w:val="ListParagraph"/>
        <w:numPr>
          <w:ilvl w:val="1"/>
          <w:numId w:val="19"/>
        </w:numPr>
        <w:rPr>
          <w:rFonts w:cs="Arial"/>
        </w:rPr>
      </w:pPr>
      <w:r>
        <w:rPr>
          <w:rFonts w:cs="Arial"/>
        </w:rPr>
        <w:t>Obtain the resulting</w:t>
      </w:r>
      <w:r w:rsidRPr="00065577">
        <w:rPr>
          <w:rFonts w:cs="Arial"/>
        </w:rPr>
        <w:t xml:space="preserve"> area and the diameter of </w:t>
      </w:r>
      <w:r>
        <w:rPr>
          <w:rFonts w:cs="Arial"/>
        </w:rPr>
        <w:t>the measured droplets</w:t>
      </w:r>
      <w:r w:rsidR="000549ED">
        <w:rPr>
          <w:rFonts w:cs="Arial"/>
        </w:rPr>
        <w:t xml:space="preserve"> which is automatically displayed in the software</w:t>
      </w:r>
      <w:r w:rsidR="0029678E">
        <w:rPr>
          <w:rFonts w:cs="Arial"/>
        </w:rPr>
        <w:t>.</w:t>
      </w:r>
    </w:p>
    <w:p w14:paraId="02F91B6E" w14:textId="77777777" w:rsidR="00ED12E9" w:rsidRPr="00EC39DE" w:rsidRDefault="00ED12E9" w:rsidP="006A1488">
      <w:pPr>
        <w:pStyle w:val="ListParagraph"/>
        <w:ind w:left="0"/>
        <w:rPr>
          <w:rFonts w:cs="Arial"/>
        </w:rPr>
      </w:pPr>
    </w:p>
    <w:p w14:paraId="299DEDA8" w14:textId="78808CB8" w:rsidR="00ED12E9" w:rsidRDefault="00ED12E9" w:rsidP="006A1488">
      <w:pPr>
        <w:pStyle w:val="ListParagraph"/>
        <w:numPr>
          <w:ilvl w:val="1"/>
          <w:numId w:val="19"/>
        </w:numPr>
        <w:rPr>
          <w:rFonts w:cs="Arial"/>
        </w:rPr>
      </w:pPr>
      <w:r>
        <w:rPr>
          <w:rFonts w:cs="Arial"/>
        </w:rPr>
        <w:t>Compute the mean d</w:t>
      </w:r>
      <w:r w:rsidRPr="00065577">
        <w:rPr>
          <w:rFonts w:cs="Arial"/>
        </w:rPr>
        <w:t>roplet</w:t>
      </w:r>
      <w:r>
        <w:rPr>
          <w:rFonts w:cs="Arial"/>
        </w:rPr>
        <w:t xml:space="preserve"> </w:t>
      </w:r>
      <w:r w:rsidRPr="00065577">
        <w:rPr>
          <w:rFonts w:cs="Arial"/>
        </w:rPr>
        <w:t xml:space="preserve">diameter and </w:t>
      </w:r>
      <w:r>
        <w:rPr>
          <w:rFonts w:cs="Arial"/>
        </w:rPr>
        <w:t>a</w:t>
      </w:r>
      <w:r w:rsidRPr="00065577">
        <w:rPr>
          <w:rFonts w:cs="Arial"/>
        </w:rPr>
        <w:t>ssuming a spherical droplet, estimate the partition volume</w:t>
      </w:r>
      <w:r w:rsidR="000549ED">
        <w:rPr>
          <w:rFonts w:cs="Arial"/>
        </w:rPr>
        <w:t>,</w:t>
      </w:r>
      <w:r>
        <w:rPr>
          <w:rFonts w:cs="Arial"/>
        </w:rPr>
        <w:t xml:space="preserve"> which will be used to calculate absolute target concentration</w:t>
      </w:r>
      <w:r w:rsidRPr="00065577">
        <w:rPr>
          <w:rFonts w:cs="Arial"/>
        </w:rPr>
        <w:t xml:space="preserve">. </w:t>
      </w:r>
    </w:p>
    <w:p w14:paraId="2AB2FD55" w14:textId="77777777" w:rsidR="00ED12E9" w:rsidRPr="00EC39DE" w:rsidRDefault="00ED12E9" w:rsidP="006A1488">
      <w:pPr>
        <w:pStyle w:val="ListParagraph"/>
        <w:ind w:left="0"/>
        <w:rPr>
          <w:rFonts w:cs="Arial"/>
        </w:rPr>
      </w:pPr>
    </w:p>
    <w:p w14:paraId="2FAD724F" w14:textId="512FA0AD" w:rsidR="00ED12E9" w:rsidRPr="00065577" w:rsidRDefault="00ED12E9" w:rsidP="006A1488">
      <w:pPr>
        <w:pStyle w:val="ListParagraph"/>
        <w:numPr>
          <w:ilvl w:val="1"/>
          <w:numId w:val="19"/>
        </w:numPr>
        <w:rPr>
          <w:rFonts w:cs="Arial"/>
        </w:rPr>
      </w:pPr>
      <w:r>
        <w:rPr>
          <w:rFonts w:cs="Arial"/>
        </w:rPr>
        <w:t>Ensure that the droplets are monodisperse by analyzing the coefficient of variation</w:t>
      </w:r>
      <w:r w:rsidRPr="00065577">
        <w:rPr>
          <w:rFonts w:cs="Arial"/>
        </w:rPr>
        <w:t xml:space="preserve"> </w:t>
      </w:r>
      <w:r>
        <w:rPr>
          <w:rFonts w:cs="Arial"/>
        </w:rPr>
        <w:t>(</w:t>
      </w:r>
      <w:r w:rsidRPr="00065577">
        <w:rPr>
          <w:rFonts w:cs="Arial"/>
        </w:rPr>
        <w:t>CV</w:t>
      </w:r>
      <w:r>
        <w:rPr>
          <w:rFonts w:cs="Arial"/>
        </w:rPr>
        <w:t>)</w:t>
      </w:r>
      <w:r w:rsidRPr="00065577">
        <w:rPr>
          <w:rFonts w:cs="Arial"/>
        </w:rPr>
        <w:t xml:space="preserve"> </w:t>
      </w:r>
      <w:r w:rsidR="000549ED">
        <w:rPr>
          <w:rFonts w:cs="Arial"/>
        </w:rPr>
        <w:t xml:space="preserve">which is </w:t>
      </w:r>
      <w:r>
        <w:rPr>
          <w:rFonts w:cs="Arial"/>
        </w:rPr>
        <w:t xml:space="preserve">taken as </w:t>
      </w:r>
      <w:r w:rsidRPr="00065577">
        <w:rPr>
          <w:rFonts w:cs="Arial"/>
        </w:rPr>
        <w:t>the ratio of the standard deviations to the mean values (</w:t>
      </w:r>
      <w:r w:rsidRPr="00BE6FED">
        <w:rPr>
          <w:rFonts w:cs="Arial"/>
          <w:i/>
        </w:rPr>
        <w:t>k</w:t>
      </w:r>
      <w:r w:rsidRPr="00065577">
        <w:rPr>
          <w:rFonts w:cs="Arial"/>
        </w:rPr>
        <w:t xml:space="preserve"> = 1), for the droplet diameter</w:t>
      </w:r>
      <w:r>
        <w:rPr>
          <w:rFonts w:cs="Arial"/>
        </w:rPr>
        <w:t xml:space="preserve"> (&lt; 3%)</w:t>
      </w:r>
      <w:r w:rsidRPr="00065577">
        <w:rPr>
          <w:rFonts w:cs="Arial"/>
        </w:rPr>
        <w:t>.</w:t>
      </w:r>
    </w:p>
    <w:p w14:paraId="6C3A6F80" w14:textId="16D310E2" w:rsidR="0009211E" w:rsidRPr="00443059" w:rsidRDefault="0009211E" w:rsidP="006A1488">
      <w:pPr>
        <w:pStyle w:val="ListParagraph"/>
        <w:widowControl/>
        <w:autoSpaceDE/>
        <w:autoSpaceDN/>
        <w:adjustRightInd/>
        <w:ind w:left="0"/>
        <w:rPr>
          <w:rFonts w:cs="Arial"/>
        </w:rPr>
      </w:pPr>
    </w:p>
    <w:p w14:paraId="5684F92B" w14:textId="77777777" w:rsidR="00723BC6" w:rsidRPr="00D37F04" w:rsidRDefault="0009211E" w:rsidP="006A1488">
      <w:pPr>
        <w:pStyle w:val="Heading2"/>
        <w:numPr>
          <w:ilvl w:val="0"/>
          <w:numId w:val="19"/>
        </w:numPr>
        <w:rPr>
          <w:highlight w:val="yellow"/>
        </w:rPr>
      </w:pPr>
      <w:r w:rsidRPr="00D37F04">
        <w:rPr>
          <w:highlight w:val="yellow"/>
        </w:rPr>
        <w:t xml:space="preserve">Fluorescence </w:t>
      </w:r>
      <w:r w:rsidR="00723BC6" w:rsidRPr="00D37F04">
        <w:rPr>
          <w:highlight w:val="yellow"/>
        </w:rPr>
        <w:t>i</w:t>
      </w:r>
      <w:r w:rsidRPr="00D37F04">
        <w:rPr>
          <w:highlight w:val="yellow"/>
        </w:rPr>
        <w:t xml:space="preserve">maging and </w:t>
      </w:r>
      <w:r w:rsidR="00723BC6" w:rsidRPr="00D37F04">
        <w:rPr>
          <w:highlight w:val="yellow"/>
        </w:rPr>
        <w:t>i</w:t>
      </w:r>
      <w:r w:rsidRPr="00D37F04">
        <w:rPr>
          <w:highlight w:val="yellow"/>
        </w:rPr>
        <w:t xml:space="preserve">mage </w:t>
      </w:r>
      <w:r w:rsidR="00723BC6" w:rsidRPr="00D37F04">
        <w:rPr>
          <w:highlight w:val="yellow"/>
        </w:rPr>
        <w:t>a</w:t>
      </w:r>
      <w:r w:rsidRPr="00D37F04">
        <w:rPr>
          <w:highlight w:val="yellow"/>
        </w:rPr>
        <w:t>nalysis</w:t>
      </w:r>
    </w:p>
    <w:p w14:paraId="18D4677B" w14:textId="5EF0CA12" w:rsidR="0009211E" w:rsidRDefault="0009211E" w:rsidP="00723BC6">
      <w:pPr>
        <w:pStyle w:val="Heading2"/>
      </w:pPr>
      <w:r w:rsidRPr="00443059">
        <w:t xml:space="preserve"> </w:t>
      </w:r>
    </w:p>
    <w:p w14:paraId="27929567" w14:textId="2AEB7D68" w:rsidR="0009211E" w:rsidRPr="00D37F04" w:rsidRDefault="0009211E" w:rsidP="006A1488">
      <w:pPr>
        <w:pStyle w:val="Heading3"/>
        <w:numPr>
          <w:ilvl w:val="1"/>
          <w:numId w:val="19"/>
        </w:numPr>
        <w:spacing w:before="0"/>
        <w:rPr>
          <w:rFonts w:ascii="Calibri" w:hAnsi="Calibri" w:cs="Calibri"/>
          <w:b w:val="0"/>
          <w:bCs w:val="0"/>
          <w:color w:val="000000" w:themeColor="text1"/>
          <w:highlight w:val="yellow"/>
        </w:rPr>
      </w:pPr>
      <w:r w:rsidRPr="00D37F04">
        <w:rPr>
          <w:rFonts w:ascii="Calibri" w:hAnsi="Calibri" w:cs="Calibri"/>
          <w:b w:val="0"/>
          <w:bCs w:val="0"/>
          <w:color w:val="000000" w:themeColor="text1"/>
          <w:highlight w:val="yellow"/>
        </w:rPr>
        <w:t xml:space="preserve">Fluorescence </w:t>
      </w:r>
      <w:r w:rsidR="00D37F04">
        <w:rPr>
          <w:rFonts w:ascii="Calibri" w:hAnsi="Calibri" w:cs="Calibri"/>
          <w:b w:val="0"/>
          <w:bCs w:val="0"/>
          <w:color w:val="000000" w:themeColor="text1"/>
          <w:highlight w:val="yellow"/>
        </w:rPr>
        <w:t>i</w:t>
      </w:r>
      <w:r w:rsidRPr="00D37F04">
        <w:rPr>
          <w:rFonts w:ascii="Calibri" w:hAnsi="Calibri" w:cs="Calibri"/>
          <w:b w:val="0"/>
          <w:bCs w:val="0"/>
          <w:color w:val="000000" w:themeColor="text1"/>
          <w:highlight w:val="yellow"/>
        </w:rPr>
        <w:t>maging</w:t>
      </w:r>
    </w:p>
    <w:p w14:paraId="4DAE7878" w14:textId="77777777" w:rsidR="00D441A0" w:rsidRPr="00D441A0" w:rsidRDefault="00D441A0" w:rsidP="006A1488">
      <w:pPr>
        <w:pStyle w:val="ListParagraph"/>
        <w:widowControl/>
        <w:autoSpaceDE/>
        <w:autoSpaceDN/>
        <w:adjustRightInd/>
        <w:ind w:left="0"/>
        <w:rPr>
          <w:rFonts w:cs="Arial"/>
          <w:b/>
          <w:color w:val="000000" w:themeColor="text1"/>
        </w:rPr>
      </w:pPr>
    </w:p>
    <w:p w14:paraId="3D7A6157" w14:textId="7279A776" w:rsidR="0009211E" w:rsidRPr="00BE6FED" w:rsidRDefault="0029678E" w:rsidP="006A1488">
      <w:pPr>
        <w:pStyle w:val="ListParagraph"/>
        <w:widowControl/>
        <w:numPr>
          <w:ilvl w:val="2"/>
          <w:numId w:val="19"/>
        </w:numPr>
        <w:autoSpaceDE/>
        <w:autoSpaceDN/>
        <w:adjustRightInd/>
        <w:rPr>
          <w:rFonts w:cs="Arial"/>
          <w:color w:val="000000" w:themeColor="text1"/>
          <w:highlight w:val="yellow"/>
        </w:rPr>
      </w:pPr>
      <w:r w:rsidRPr="00BE6FED">
        <w:rPr>
          <w:rFonts w:cs="Arial"/>
          <w:color w:val="000000" w:themeColor="text1"/>
          <w:highlight w:val="yellow"/>
        </w:rPr>
        <w:t>After amplification, t</w:t>
      </w:r>
      <w:r w:rsidR="0009211E" w:rsidRPr="00BE6FED">
        <w:rPr>
          <w:rFonts w:cs="Arial"/>
          <w:color w:val="000000" w:themeColor="text1"/>
          <w:highlight w:val="yellow"/>
        </w:rPr>
        <w:t xml:space="preserve">ransfer </w:t>
      </w:r>
      <w:r w:rsidR="000549ED" w:rsidRPr="00BE6FED">
        <w:rPr>
          <w:rFonts w:cs="Arial"/>
          <w:color w:val="000000" w:themeColor="text1"/>
          <w:highlight w:val="yellow"/>
        </w:rPr>
        <w:t xml:space="preserve">the PCR </w:t>
      </w:r>
      <w:r w:rsidR="0009211E" w:rsidRPr="00BE6FED">
        <w:rPr>
          <w:rFonts w:cs="Arial"/>
          <w:color w:val="000000" w:themeColor="text1"/>
          <w:highlight w:val="yellow"/>
        </w:rPr>
        <w:t xml:space="preserve">emulsion into borosilicate </w:t>
      </w:r>
      <w:r w:rsidR="0072708B" w:rsidRPr="00BE6FED">
        <w:rPr>
          <w:highlight w:val="yellow"/>
        </w:rPr>
        <w:t xml:space="preserve">capillary tube (50 </w:t>
      </w:r>
      <w:proofErr w:type="spellStart"/>
      <w:r w:rsidR="0072708B" w:rsidRPr="00BE6FED">
        <w:rPr>
          <w:highlight w:val="yellow"/>
        </w:rPr>
        <w:t>μm</w:t>
      </w:r>
      <w:proofErr w:type="spellEnd"/>
      <w:r w:rsidR="0072708B" w:rsidRPr="00BE6FED">
        <w:rPr>
          <w:highlight w:val="yellow"/>
        </w:rPr>
        <w:t xml:space="preserve"> depth) </w:t>
      </w:r>
      <w:r w:rsidR="0009211E" w:rsidRPr="00BE6FED">
        <w:rPr>
          <w:rFonts w:cs="Arial"/>
          <w:color w:val="000000" w:themeColor="text1"/>
          <w:highlight w:val="yellow"/>
        </w:rPr>
        <w:t>with a rectangular profile in order to arrange droplets into a close-packed monolayer for imaging.</w:t>
      </w:r>
    </w:p>
    <w:p w14:paraId="2AC6D751" w14:textId="77777777" w:rsidR="00D441A0" w:rsidRPr="00D441A0" w:rsidRDefault="00D441A0" w:rsidP="006A1488">
      <w:pPr>
        <w:pStyle w:val="ListParagraph"/>
        <w:widowControl/>
        <w:autoSpaceDE/>
        <w:autoSpaceDN/>
        <w:adjustRightInd/>
        <w:ind w:left="0"/>
        <w:rPr>
          <w:rFonts w:cs="Arial"/>
          <w:color w:val="000000" w:themeColor="text1"/>
        </w:rPr>
      </w:pPr>
    </w:p>
    <w:p w14:paraId="1AF5270A" w14:textId="4843C281" w:rsidR="0009211E" w:rsidRPr="00D441A0" w:rsidRDefault="0009211E" w:rsidP="006A1488">
      <w:pPr>
        <w:pStyle w:val="ListParagraph"/>
        <w:widowControl/>
        <w:numPr>
          <w:ilvl w:val="2"/>
          <w:numId w:val="19"/>
        </w:numPr>
        <w:autoSpaceDE/>
        <w:autoSpaceDN/>
        <w:adjustRightInd/>
        <w:rPr>
          <w:rFonts w:cs="Arial"/>
          <w:color w:val="000000" w:themeColor="text1"/>
        </w:rPr>
      </w:pPr>
      <w:r w:rsidRPr="00D441A0">
        <w:rPr>
          <w:rFonts w:cs="Arial"/>
          <w:color w:val="000000" w:themeColor="text1"/>
        </w:rPr>
        <w:t xml:space="preserve">Fix </w:t>
      </w:r>
      <w:r w:rsidR="000549ED">
        <w:rPr>
          <w:rFonts w:cs="Arial"/>
          <w:color w:val="000000" w:themeColor="text1"/>
        </w:rPr>
        <w:t xml:space="preserve">the </w:t>
      </w:r>
      <w:r w:rsidRPr="00D441A0">
        <w:rPr>
          <w:rFonts w:cs="Arial"/>
          <w:color w:val="000000" w:themeColor="text1"/>
        </w:rPr>
        <w:t xml:space="preserve">filled capillaries on a microscope </w:t>
      </w:r>
      <w:r w:rsidR="0029678E">
        <w:rPr>
          <w:rFonts w:cs="Arial"/>
          <w:color w:val="000000" w:themeColor="text1"/>
        </w:rPr>
        <w:t>slide</w:t>
      </w:r>
      <w:r w:rsidR="0029678E" w:rsidRPr="00D441A0">
        <w:rPr>
          <w:rFonts w:cs="Arial"/>
          <w:color w:val="000000" w:themeColor="text1"/>
        </w:rPr>
        <w:t xml:space="preserve"> </w:t>
      </w:r>
      <w:r w:rsidRPr="00D441A0">
        <w:rPr>
          <w:rFonts w:cs="Arial"/>
          <w:color w:val="000000" w:themeColor="text1"/>
        </w:rPr>
        <w:t xml:space="preserve">and </w:t>
      </w:r>
      <w:r w:rsidR="000549ED">
        <w:rPr>
          <w:rFonts w:cs="Arial"/>
          <w:color w:val="000000" w:themeColor="text1"/>
        </w:rPr>
        <w:t>seal</w:t>
      </w:r>
      <w:r w:rsidR="000549ED" w:rsidRPr="00D441A0">
        <w:rPr>
          <w:rFonts w:cs="Arial"/>
          <w:color w:val="000000" w:themeColor="text1"/>
        </w:rPr>
        <w:t xml:space="preserve"> </w:t>
      </w:r>
      <w:r w:rsidRPr="00D441A0">
        <w:rPr>
          <w:rFonts w:cs="Arial"/>
          <w:color w:val="000000" w:themeColor="text1"/>
        </w:rPr>
        <w:t>both side</w:t>
      </w:r>
      <w:r w:rsidR="000549ED">
        <w:rPr>
          <w:rFonts w:cs="Arial"/>
          <w:color w:val="000000" w:themeColor="text1"/>
        </w:rPr>
        <w:t>s</w:t>
      </w:r>
      <w:r w:rsidRPr="00D441A0">
        <w:rPr>
          <w:rFonts w:cs="Arial"/>
          <w:color w:val="000000" w:themeColor="text1"/>
        </w:rPr>
        <w:t xml:space="preserve"> using </w:t>
      </w:r>
      <w:r w:rsidR="000549ED">
        <w:rPr>
          <w:rFonts w:cs="Arial"/>
          <w:color w:val="000000" w:themeColor="text1"/>
        </w:rPr>
        <w:t xml:space="preserve">an </w:t>
      </w:r>
      <w:r w:rsidRPr="00D441A0">
        <w:rPr>
          <w:rFonts w:cs="Arial"/>
          <w:color w:val="000000" w:themeColor="text1"/>
        </w:rPr>
        <w:t>UV acrylic adhesive. Apply a UV light source on the UV adhesive being careful not</w:t>
      </w:r>
      <w:r w:rsidR="000549ED">
        <w:rPr>
          <w:rFonts w:cs="Arial"/>
          <w:color w:val="000000" w:themeColor="text1"/>
        </w:rPr>
        <w:t xml:space="preserve"> to</w:t>
      </w:r>
      <w:r w:rsidRPr="00D441A0">
        <w:rPr>
          <w:rFonts w:cs="Arial"/>
          <w:color w:val="000000" w:themeColor="text1"/>
        </w:rPr>
        <w:t xml:space="preserve"> illuminate the emulsion </w:t>
      </w:r>
      <w:r w:rsidR="000549ED">
        <w:rPr>
          <w:rFonts w:cs="Arial"/>
          <w:color w:val="000000" w:themeColor="text1"/>
        </w:rPr>
        <w:t>to avoid</w:t>
      </w:r>
      <w:r w:rsidR="000549ED" w:rsidRPr="00D441A0">
        <w:rPr>
          <w:rFonts w:cs="Arial"/>
          <w:color w:val="000000" w:themeColor="text1"/>
        </w:rPr>
        <w:t xml:space="preserve"> </w:t>
      </w:r>
      <w:r w:rsidRPr="00D441A0">
        <w:rPr>
          <w:rFonts w:cs="Arial"/>
          <w:color w:val="000000" w:themeColor="text1"/>
        </w:rPr>
        <w:t>bleach</w:t>
      </w:r>
      <w:r w:rsidR="000549ED">
        <w:rPr>
          <w:rFonts w:cs="Arial"/>
          <w:color w:val="000000" w:themeColor="text1"/>
        </w:rPr>
        <w:t>ing</w:t>
      </w:r>
      <w:r w:rsidRPr="00D441A0">
        <w:rPr>
          <w:rFonts w:cs="Arial"/>
          <w:color w:val="000000" w:themeColor="text1"/>
        </w:rPr>
        <w:t xml:space="preserve"> the sample.  </w:t>
      </w:r>
    </w:p>
    <w:p w14:paraId="2D82BE05" w14:textId="77777777" w:rsidR="00D441A0" w:rsidRPr="00D441A0" w:rsidRDefault="00D441A0" w:rsidP="006A1488">
      <w:pPr>
        <w:pStyle w:val="ListParagraph"/>
        <w:widowControl/>
        <w:autoSpaceDE/>
        <w:autoSpaceDN/>
        <w:adjustRightInd/>
        <w:ind w:left="0"/>
        <w:rPr>
          <w:rFonts w:cs="Arial"/>
          <w:color w:val="000000" w:themeColor="text1"/>
        </w:rPr>
      </w:pPr>
    </w:p>
    <w:p w14:paraId="49E77BB4" w14:textId="35C970D5" w:rsidR="0009211E" w:rsidRPr="00BE6FED" w:rsidRDefault="0009211E" w:rsidP="006A1488">
      <w:pPr>
        <w:pStyle w:val="ListParagraph"/>
        <w:widowControl/>
        <w:numPr>
          <w:ilvl w:val="2"/>
          <w:numId w:val="19"/>
        </w:numPr>
        <w:autoSpaceDE/>
        <w:autoSpaceDN/>
        <w:adjustRightInd/>
        <w:rPr>
          <w:rFonts w:cs="Arial"/>
          <w:color w:val="000000" w:themeColor="text1"/>
          <w:highlight w:val="yellow"/>
        </w:rPr>
      </w:pPr>
      <w:r w:rsidRPr="00BE6FED">
        <w:rPr>
          <w:rFonts w:cs="Arial"/>
          <w:color w:val="000000" w:themeColor="text1"/>
          <w:highlight w:val="yellow"/>
        </w:rPr>
        <w:t>Load the glass slide on a</w:t>
      </w:r>
      <w:r w:rsidR="00E74A26" w:rsidRPr="00BE6FED">
        <w:rPr>
          <w:rFonts w:cs="Arial"/>
          <w:color w:val="000000" w:themeColor="text1"/>
          <w:highlight w:val="yellow"/>
        </w:rPr>
        <w:t>n inverted</w:t>
      </w:r>
      <w:r w:rsidRPr="00BE6FED">
        <w:rPr>
          <w:rFonts w:cs="Arial"/>
          <w:color w:val="000000" w:themeColor="text1"/>
          <w:highlight w:val="yellow"/>
        </w:rPr>
        <w:t xml:space="preserve"> microscope </w:t>
      </w:r>
      <w:r w:rsidR="00E74A26" w:rsidRPr="00BE6FED">
        <w:rPr>
          <w:rFonts w:cs="Arial"/>
          <w:color w:val="000000" w:themeColor="text1"/>
          <w:highlight w:val="yellow"/>
        </w:rPr>
        <w:t xml:space="preserve">equipped with an </w:t>
      </w:r>
      <w:r w:rsidRPr="00BE6FED">
        <w:rPr>
          <w:rFonts w:cs="Arial"/>
          <w:color w:val="000000" w:themeColor="text1"/>
          <w:highlight w:val="yellow"/>
        </w:rPr>
        <w:t>EMCCD camera</w:t>
      </w:r>
      <w:r w:rsidR="0072708B" w:rsidRPr="00BE6FED">
        <w:rPr>
          <w:rFonts w:cs="Arial"/>
          <w:color w:val="000000" w:themeColor="text1"/>
          <w:highlight w:val="yellow"/>
        </w:rPr>
        <w:t xml:space="preserve"> and a 10x objective</w:t>
      </w:r>
      <w:r w:rsidR="00E74A26" w:rsidRPr="00BE6FED">
        <w:rPr>
          <w:rFonts w:cs="Arial"/>
          <w:color w:val="000000" w:themeColor="text1"/>
          <w:highlight w:val="yellow"/>
        </w:rPr>
        <w:t xml:space="preserve">. </w:t>
      </w:r>
      <w:r w:rsidRPr="00BE6FED">
        <w:rPr>
          <w:rFonts w:cs="Arial"/>
          <w:color w:val="000000" w:themeColor="text1"/>
          <w:highlight w:val="yellow"/>
        </w:rPr>
        <w:t xml:space="preserve"> </w:t>
      </w:r>
    </w:p>
    <w:p w14:paraId="563C9A02" w14:textId="77777777" w:rsidR="00D441A0" w:rsidRPr="00BE6FED" w:rsidRDefault="00D441A0" w:rsidP="006A1488">
      <w:pPr>
        <w:pStyle w:val="ListParagraph"/>
        <w:widowControl/>
        <w:autoSpaceDE/>
        <w:autoSpaceDN/>
        <w:adjustRightInd/>
        <w:ind w:left="0"/>
        <w:rPr>
          <w:rFonts w:cs="Arial"/>
          <w:color w:val="000000" w:themeColor="text1"/>
          <w:highlight w:val="yellow"/>
        </w:rPr>
      </w:pPr>
    </w:p>
    <w:p w14:paraId="508196C2" w14:textId="428C08DC" w:rsidR="0009211E" w:rsidRPr="00BE6FED" w:rsidRDefault="0072708B" w:rsidP="006A1488">
      <w:pPr>
        <w:pStyle w:val="ListParagraph"/>
        <w:widowControl/>
        <w:numPr>
          <w:ilvl w:val="2"/>
          <w:numId w:val="19"/>
        </w:numPr>
        <w:autoSpaceDE/>
        <w:autoSpaceDN/>
        <w:adjustRightInd/>
        <w:rPr>
          <w:rFonts w:cs="Arial"/>
          <w:color w:val="000000" w:themeColor="text1"/>
          <w:highlight w:val="yellow"/>
        </w:rPr>
      </w:pPr>
      <w:r w:rsidRPr="00BE6FED">
        <w:rPr>
          <w:rFonts w:cs="Arial"/>
          <w:color w:val="000000" w:themeColor="text1"/>
          <w:highlight w:val="yellow"/>
        </w:rPr>
        <w:t xml:space="preserve">Using microscope imaging software, </w:t>
      </w:r>
      <w:r w:rsidR="001B5DC2" w:rsidRPr="00BE6FED">
        <w:rPr>
          <w:rFonts w:cs="Arial"/>
          <w:color w:val="000000" w:themeColor="text1"/>
          <w:highlight w:val="yellow"/>
        </w:rPr>
        <w:t xml:space="preserve">select </w:t>
      </w:r>
      <w:r w:rsidR="001B5DC2" w:rsidRPr="00723BC6">
        <w:rPr>
          <w:rFonts w:cs="Arial"/>
          <w:b/>
          <w:bCs/>
          <w:color w:val="000000" w:themeColor="text1"/>
          <w:highlight w:val="yellow"/>
        </w:rPr>
        <w:t xml:space="preserve">Acquire </w:t>
      </w:r>
      <w:r w:rsidR="00723BC6" w:rsidRPr="00D37F04">
        <w:rPr>
          <w:rFonts w:cs="Arial"/>
          <w:b/>
          <w:bCs/>
          <w:color w:val="000000" w:themeColor="text1"/>
          <w:highlight w:val="yellow"/>
        </w:rPr>
        <w:t>|</w:t>
      </w:r>
      <w:r w:rsidR="001B5DC2" w:rsidRPr="00BE6FED">
        <w:rPr>
          <w:rFonts w:cs="Arial"/>
          <w:color w:val="000000" w:themeColor="text1"/>
          <w:highlight w:val="yellow"/>
        </w:rPr>
        <w:t xml:space="preserve"> </w:t>
      </w:r>
      <w:r w:rsidR="001B5DC2" w:rsidRPr="00723BC6">
        <w:rPr>
          <w:rFonts w:cs="Arial"/>
          <w:b/>
          <w:bCs/>
          <w:color w:val="000000" w:themeColor="text1"/>
          <w:highlight w:val="yellow"/>
        </w:rPr>
        <w:t>Live - Fast</w:t>
      </w:r>
      <w:r w:rsidR="001B5DC2" w:rsidRPr="00BE6FED">
        <w:rPr>
          <w:rFonts w:cs="Arial"/>
          <w:color w:val="000000" w:themeColor="text1"/>
          <w:highlight w:val="yellow"/>
        </w:rPr>
        <w:t xml:space="preserve"> </w:t>
      </w:r>
      <w:r w:rsidRPr="00BE6FED">
        <w:rPr>
          <w:rFonts w:cs="Arial"/>
          <w:color w:val="000000" w:themeColor="text1"/>
          <w:highlight w:val="yellow"/>
        </w:rPr>
        <w:t>to start real-time camera acquisition, observe the sample, and ensure that the width of the capilla</w:t>
      </w:r>
      <w:r w:rsidR="0009211E" w:rsidRPr="00BE6FED">
        <w:rPr>
          <w:rFonts w:cs="Arial"/>
          <w:color w:val="000000" w:themeColor="text1"/>
          <w:highlight w:val="yellow"/>
        </w:rPr>
        <w:t>ry</w:t>
      </w:r>
      <w:r w:rsidR="00E74A26" w:rsidRPr="00BE6FED">
        <w:rPr>
          <w:rFonts w:cs="Arial"/>
          <w:color w:val="000000" w:themeColor="text1"/>
          <w:highlight w:val="yellow"/>
        </w:rPr>
        <w:t xml:space="preserve"> is captured</w:t>
      </w:r>
      <w:r w:rsidR="0009211E" w:rsidRPr="00BE6FED">
        <w:rPr>
          <w:rFonts w:cs="Arial"/>
          <w:color w:val="000000" w:themeColor="text1"/>
          <w:highlight w:val="yellow"/>
        </w:rPr>
        <w:t xml:space="preserve">. </w:t>
      </w:r>
    </w:p>
    <w:p w14:paraId="3FAD32DD" w14:textId="77777777" w:rsidR="00D441A0" w:rsidRDefault="00D441A0" w:rsidP="006A1488">
      <w:pPr>
        <w:pStyle w:val="ListParagraph"/>
        <w:widowControl/>
        <w:autoSpaceDE/>
        <w:autoSpaceDN/>
        <w:adjustRightInd/>
        <w:ind w:left="0"/>
        <w:rPr>
          <w:rFonts w:cs="Arial"/>
          <w:color w:val="000000" w:themeColor="text1"/>
        </w:rPr>
      </w:pPr>
    </w:p>
    <w:p w14:paraId="16817FAC" w14:textId="02F43E0B" w:rsidR="0009211E" w:rsidRPr="00D441A0" w:rsidRDefault="0009211E" w:rsidP="006A1488">
      <w:pPr>
        <w:pStyle w:val="ListParagraph"/>
        <w:widowControl/>
        <w:numPr>
          <w:ilvl w:val="2"/>
          <w:numId w:val="19"/>
        </w:numPr>
        <w:autoSpaceDE/>
        <w:autoSpaceDN/>
        <w:adjustRightInd/>
        <w:rPr>
          <w:rFonts w:cs="Arial"/>
          <w:color w:val="000000" w:themeColor="text1"/>
        </w:rPr>
      </w:pPr>
      <w:r w:rsidRPr="00D441A0">
        <w:rPr>
          <w:rFonts w:cs="Arial"/>
          <w:color w:val="000000" w:themeColor="text1"/>
        </w:rPr>
        <w:t xml:space="preserve">Set the bright field lamp for </w:t>
      </w:r>
      <w:proofErr w:type="spellStart"/>
      <w:r w:rsidRPr="00D441A0">
        <w:rPr>
          <w:rFonts w:cs="Arial"/>
          <w:color w:val="000000" w:themeColor="text1"/>
        </w:rPr>
        <w:t>diascopic</w:t>
      </w:r>
      <w:proofErr w:type="spellEnd"/>
      <w:r w:rsidRPr="00D441A0">
        <w:rPr>
          <w:rFonts w:cs="Arial"/>
          <w:color w:val="000000" w:themeColor="text1"/>
        </w:rPr>
        <w:t xml:space="preserve"> illumination at 3.5 V</w:t>
      </w:r>
      <w:r w:rsidR="00E74A26">
        <w:rPr>
          <w:rFonts w:cs="Arial"/>
          <w:color w:val="000000" w:themeColor="text1"/>
        </w:rPr>
        <w:t>.</w:t>
      </w:r>
    </w:p>
    <w:p w14:paraId="3945ADB2" w14:textId="77777777" w:rsidR="00D441A0" w:rsidRDefault="00D441A0" w:rsidP="006A1488">
      <w:pPr>
        <w:pStyle w:val="ListParagraph"/>
        <w:widowControl/>
        <w:autoSpaceDE/>
        <w:autoSpaceDN/>
        <w:adjustRightInd/>
        <w:ind w:left="0"/>
        <w:rPr>
          <w:rFonts w:cs="Arial"/>
          <w:color w:val="000000" w:themeColor="text1"/>
        </w:rPr>
      </w:pPr>
    </w:p>
    <w:p w14:paraId="010BB23E" w14:textId="29CF79F5" w:rsidR="0009211E" w:rsidRPr="00D441A0" w:rsidRDefault="0009211E" w:rsidP="006A1488">
      <w:pPr>
        <w:pStyle w:val="ListParagraph"/>
        <w:widowControl/>
        <w:numPr>
          <w:ilvl w:val="2"/>
          <w:numId w:val="19"/>
        </w:numPr>
        <w:autoSpaceDE/>
        <w:autoSpaceDN/>
        <w:adjustRightInd/>
        <w:rPr>
          <w:rFonts w:cs="Arial"/>
          <w:color w:val="000000" w:themeColor="text1"/>
        </w:rPr>
      </w:pPr>
      <w:r w:rsidRPr="00D441A0">
        <w:rPr>
          <w:rFonts w:cs="Arial"/>
          <w:color w:val="000000" w:themeColor="text1"/>
        </w:rPr>
        <w:t>Set the broad</w:t>
      </w:r>
      <w:r w:rsidR="0029678E">
        <w:rPr>
          <w:rFonts w:cs="Arial"/>
          <w:color w:val="000000" w:themeColor="text1"/>
        </w:rPr>
        <w:t>-</w:t>
      </w:r>
      <w:r w:rsidRPr="00D441A0">
        <w:rPr>
          <w:rFonts w:cs="Arial"/>
          <w:color w:val="000000" w:themeColor="text1"/>
        </w:rPr>
        <w:t>spectrum LED fl</w:t>
      </w:r>
      <w:r w:rsidR="0029678E">
        <w:rPr>
          <w:rFonts w:cs="Arial"/>
          <w:color w:val="000000" w:themeColor="text1"/>
        </w:rPr>
        <w:t>u</w:t>
      </w:r>
      <w:r w:rsidRPr="00D441A0">
        <w:rPr>
          <w:rFonts w:cs="Arial"/>
          <w:color w:val="000000" w:themeColor="text1"/>
        </w:rPr>
        <w:t xml:space="preserve">orescent lamp </w:t>
      </w:r>
      <w:r w:rsidR="0029678E">
        <w:rPr>
          <w:rFonts w:cs="Arial"/>
          <w:color w:val="000000" w:themeColor="text1"/>
        </w:rPr>
        <w:t xml:space="preserve">for </w:t>
      </w:r>
      <w:proofErr w:type="spellStart"/>
      <w:r w:rsidR="0029678E">
        <w:rPr>
          <w:rFonts w:cs="Arial"/>
          <w:color w:val="000000" w:themeColor="text1"/>
        </w:rPr>
        <w:t>episcopic</w:t>
      </w:r>
      <w:proofErr w:type="spellEnd"/>
      <w:r w:rsidRPr="00D441A0">
        <w:rPr>
          <w:rFonts w:cs="Arial"/>
          <w:color w:val="000000" w:themeColor="text1"/>
        </w:rPr>
        <w:t xml:space="preserve"> illumination at 20% intensity.</w:t>
      </w:r>
    </w:p>
    <w:p w14:paraId="73E2B2C3" w14:textId="77777777" w:rsidR="00D441A0" w:rsidRPr="00D441A0" w:rsidRDefault="00D441A0" w:rsidP="006A1488">
      <w:pPr>
        <w:pStyle w:val="ListParagraph"/>
        <w:widowControl/>
        <w:autoSpaceDE/>
        <w:autoSpaceDN/>
        <w:adjustRightInd/>
        <w:ind w:left="0"/>
        <w:rPr>
          <w:rFonts w:cs="Arial"/>
        </w:rPr>
      </w:pPr>
    </w:p>
    <w:p w14:paraId="281E808D" w14:textId="296CE3F6" w:rsidR="00570A3F" w:rsidRPr="00570A3F" w:rsidRDefault="00570A3F" w:rsidP="006A1488">
      <w:pPr>
        <w:pStyle w:val="ListParagraph"/>
        <w:numPr>
          <w:ilvl w:val="2"/>
          <w:numId w:val="19"/>
        </w:numPr>
        <w:rPr>
          <w:rFonts w:cs="Arial"/>
          <w:color w:val="000000" w:themeColor="text1"/>
        </w:rPr>
      </w:pPr>
      <w:r w:rsidRPr="00570A3F">
        <w:rPr>
          <w:rFonts w:cs="Arial"/>
          <w:color w:val="000000" w:themeColor="text1"/>
        </w:rPr>
        <w:t xml:space="preserve">Adjust the capture setting for all wavelengths (Bright field, FAM, HEX and Cy5) manually by selecting the </w:t>
      </w:r>
      <w:r w:rsidRPr="00D37F04">
        <w:rPr>
          <w:rFonts w:cs="Arial"/>
          <w:b/>
          <w:bCs/>
          <w:color w:val="000000" w:themeColor="text1"/>
        </w:rPr>
        <w:t>Calibration</w:t>
      </w:r>
      <w:r w:rsidRPr="00570A3F">
        <w:rPr>
          <w:rFonts w:cs="Arial"/>
          <w:color w:val="000000" w:themeColor="text1"/>
        </w:rPr>
        <w:t xml:space="preserve"> </w:t>
      </w:r>
      <w:r w:rsidR="00D37F04" w:rsidRPr="00D37F04">
        <w:rPr>
          <w:rFonts w:cs="Arial"/>
          <w:b/>
          <w:bCs/>
          <w:color w:val="000000" w:themeColor="text1"/>
        </w:rPr>
        <w:t>|</w:t>
      </w:r>
      <w:r w:rsidRPr="00570A3F">
        <w:rPr>
          <w:rFonts w:cs="Arial"/>
          <w:color w:val="000000" w:themeColor="text1"/>
        </w:rPr>
        <w:t xml:space="preserve"> </w:t>
      </w:r>
      <w:r w:rsidRPr="00D37F04">
        <w:rPr>
          <w:rFonts w:cs="Arial"/>
          <w:b/>
          <w:bCs/>
          <w:color w:val="000000" w:themeColor="text1"/>
        </w:rPr>
        <w:t>Optical Configurations</w:t>
      </w:r>
      <w:r w:rsidRPr="00570A3F">
        <w:rPr>
          <w:rFonts w:cs="Arial"/>
          <w:color w:val="000000" w:themeColor="text1"/>
        </w:rPr>
        <w:t xml:space="preserve"> command in the imaging software. For each fluorophore, the corresponding florescent filter cube </w:t>
      </w:r>
      <w:r w:rsidR="00D37F04">
        <w:rPr>
          <w:rFonts w:cs="Arial"/>
          <w:color w:val="000000" w:themeColor="text1"/>
        </w:rPr>
        <w:t>needs to be</w:t>
      </w:r>
      <w:r w:rsidRPr="00570A3F">
        <w:rPr>
          <w:rFonts w:cs="Arial"/>
          <w:color w:val="000000" w:themeColor="text1"/>
        </w:rPr>
        <w:t xml:space="preserve"> manually switched. A filter cube for the bright field imaging</w:t>
      </w:r>
      <w:r w:rsidR="00D37F04">
        <w:rPr>
          <w:rFonts w:cs="Arial"/>
          <w:color w:val="000000" w:themeColor="text1"/>
        </w:rPr>
        <w:t xml:space="preserve"> must be </w:t>
      </w:r>
      <w:r w:rsidRPr="00570A3F">
        <w:rPr>
          <w:rFonts w:cs="Arial"/>
          <w:color w:val="000000" w:themeColor="text1"/>
        </w:rPr>
        <w:t xml:space="preserve">used to keep the same optical path. </w:t>
      </w:r>
    </w:p>
    <w:p w14:paraId="35367A3D" w14:textId="77777777" w:rsidR="00570A3F" w:rsidRPr="00570A3F" w:rsidRDefault="00570A3F" w:rsidP="006A1488">
      <w:pPr>
        <w:pStyle w:val="ListParagraph"/>
        <w:ind w:left="0"/>
        <w:rPr>
          <w:rFonts w:cs="Arial"/>
          <w:color w:val="000000" w:themeColor="text1"/>
        </w:rPr>
      </w:pPr>
    </w:p>
    <w:p w14:paraId="05FC47E9" w14:textId="58F4C249" w:rsidR="00570A3F" w:rsidRPr="00570A3F" w:rsidRDefault="00570A3F" w:rsidP="006A1488">
      <w:pPr>
        <w:pStyle w:val="ListParagraph"/>
        <w:numPr>
          <w:ilvl w:val="2"/>
          <w:numId w:val="19"/>
        </w:numPr>
        <w:rPr>
          <w:rFonts w:cs="Arial"/>
          <w:color w:val="000000" w:themeColor="text1"/>
        </w:rPr>
      </w:pPr>
      <w:r w:rsidRPr="00570A3F">
        <w:rPr>
          <w:rFonts w:cs="Arial"/>
          <w:color w:val="000000" w:themeColor="text1"/>
        </w:rPr>
        <w:lastRenderedPageBreak/>
        <w:t>A</w:t>
      </w:r>
      <w:r w:rsidR="00A12209" w:rsidRPr="00570A3F">
        <w:rPr>
          <w:rFonts w:cs="Arial"/>
          <w:color w:val="000000" w:themeColor="text1"/>
        </w:rPr>
        <w:t>djust</w:t>
      </w:r>
      <w:r w:rsidR="00D37F04">
        <w:rPr>
          <w:rFonts w:cs="Arial"/>
          <w:color w:val="000000" w:themeColor="text1"/>
        </w:rPr>
        <w:t xml:space="preserve"> the</w:t>
      </w:r>
      <w:r w:rsidR="00A12209" w:rsidRPr="00570A3F">
        <w:rPr>
          <w:rFonts w:cs="Arial"/>
          <w:color w:val="000000" w:themeColor="text1"/>
        </w:rPr>
        <w:t xml:space="preserve"> </w:t>
      </w:r>
      <w:r w:rsidRPr="00570A3F">
        <w:rPr>
          <w:rFonts w:cs="Arial"/>
          <w:color w:val="000000" w:themeColor="text1"/>
        </w:rPr>
        <w:t>e</w:t>
      </w:r>
      <w:r w:rsidR="00A12209" w:rsidRPr="00570A3F">
        <w:rPr>
          <w:rFonts w:cs="Arial"/>
          <w:color w:val="000000" w:themeColor="text1"/>
        </w:rPr>
        <w:t>xposure time</w:t>
      </w:r>
      <w:r w:rsidR="00630311" w:rsidRPr="00570A3F">
        <w:rPr>
          <w:rFonts w:cs="Arial"/>
          <w:color w:val="000000" w:themeColor="text1"/>
        </w:rPr>
        <w:t xml:space="preserve"> </w:t>
      </w:r>
      <w:r w:rsidR="00A12209" w:rsidRPr="00570A3F">
        <w:rPr>
          <w:rFonts w:cs="Arial"/>
          <w:color w:val="000000" w:themeColor="text1"/>
        </w:rPr>
        <w:t xml:space="preserve">manually prior to image </w:t>
      </w:r>
      <w:r w:rsidR="00630311" w:rsidRPr="00570A3F">
        <w:rPr>
          <w:rFonts w:cs="Arial"/>
          <w:color w:val="000000" w:themeColor="text1"/>
        </w:rPr>
        <w:t>acquisition</w:t>
      </w:r>
      <w:r w:rsidR="00117341" w:rsidRPr="00570A3F">
        <w:rPr>
          <w:rFonts w:cs="Arial"/>
          <w:color w:val="000000" w:themeColor="text1"/>
        </w:rPr>
        <w:t xml:space="preserve"> </w:t>
      </w:r>
      <w:r w:rsidR="00F221DB" w:rsidRPr="00570A3F">
        <w:rPr>
          <w:rFonts w:cs="Arial"/>
          <w:color w:val="000000" w:themeColor="text1"/>
        </w:rPr>
        <w:t xml:space="preserve">using </w:t>
      </w:r>
      <w:r w:rsidR="00F221DB" w:rsidRPr="00D37F04">
        <w:rPr>
          <w:rFonts w:cs="Arial"/>
          <w:b/>
          <w:bCs/>
          <w:color w:val="000000" w:themeColor="text1"/>
        </w:rPr>
        <w:t>Acquire</w:t>
      </w:r>
      <w:r w:rsidR="00F221DB" w:rsidRPr="00570A3F">
        <w:rPr>
          <w:rFonts w:cs="Arial"/>
          <w:color w:val="000000" w:themeColor="text1"/>
        </w:rPr>
        <w:t xml:space="preserve"> </w:t>
      </w:r>
      <w:r w:rsidR="00D37F04" w:rsidRPr="00D37F04">
        <w:rPr>
          <w:rFonts w:cs="Arial"/>
          <w:b/>
          <w:bCs/>
          <w:color w:val="000000" w:themeColor="text1"/>
        </w:rPr>
        <w:t>|</w:t>
      </w:r>
      <w:r w:rsidR="00F221DB" w:rsidRPr="00D37F04">
        <w:rPr>
          <w:rFonts w:cs="Arial"/>
          <w:b/>
          <w:bCs/>
          <w:color w:val="000000" w:themeColor="text1"/>
        </w:rPr>
        <w:t xml:space="preserve"> Camera Settings</w:t>
      </w:r>
      <w:r w:rsidR="00F221DB" w:rsidRPr="00570A3F">
        <w:rPr>
          <w:rFonts w:cs="Arial"/>
          <w:color w:val="000000" w:themeColor="text1"/>
        </w:rPr>
        <w:t xml:space="preserve"> command</w:t>
      </w:r>
      <w:r w:rsidRPr="00570A3F">
        <w:rPr>
          <w:rFonts w:cs="Arial"/>
          <w:color w:val="000000" w:themeColor="text1"/>
        </w:rPr>
        <w:t xml:space="preserve"> for each fluorophore </w:t>
      </w:r>
      <w:r w:rsidR="0040398E">
        <w:rPr>
          <w:rFonts w:cs="Arial"/>
          <w:color w:val="000000" w:themeColor="text1"/>
        </w:rPr>
        <w:t xml:space="preserve">as summarized in </w:t>
      </w:r>
      <w:r w:rsidR="0040398E" w:rsidRPr="00570A3F">
        <w:rPr>
          <w:rFonts w:cs="Arial"/>
          <w:b/>
          <w:bCs/>
          <w:color w:val="000000" w:themeColor="text1"/>
        </w:rPr>
        <w:t>Table 3</w:t>
      </w:r>
      <w:r w:rsidR="00A12209" w:rsidRPr="00570A3F">
        <w:rPr>
          <w:rFonts w:cs="Arial"/>
          <w:color w:val="000000" w:themeColor="text1"/>
        </w:rPr>
        <w:t xml:space="preserve">. </w:t>
      </w:r>
      <w:r w:rsidRPr="00570A3F">
        <w:rPr>
          <w:rFonts w:cs="Arial"/>
          <w:color w:val="000000" w:themeColor="text1"/>
        </w:rPr>
        <w:t xml:space="preserve">Set the </w:t>
      </w:r>
      <w:r w:rsidR="00A12209" w:rsidRPr="00570A3F">
        <w:rPr>
          <w:rFonts w:cs="Arial"/>
          <w:color w:val="000000" w:themeColor="text1"/>
        </w:rPr>
        <w:t>readout mode EM gain 17 MHz at 16-bit with a gain multiplier of 100</w:t>
      </w:r>
      <w:r w:rsidR="00603840" w:rsidRPr="00570A3F">
        <w:rPr>
          <w:rFonts w:cs="Arial"/>
          <w:color w:val="000000" w:themeColor="text1"/>
        </w:rPr>
        <w:t xml:space="preserve"> </w:t>
      </w:r>
      <w:r w:rsidRPr="00570A3F">
        <w:rPr>
          <w:rFonts w:cs="Arial"/>
          <w:color w:val="000000" w:themeColor="text1"/>
        </w:rPr>
        <w:t>in</w:t>
      </w:r>
      <w:r w:rsidR="00A12209" w:rsidRPr="00570A3F">
        <w:rPr>
          <w:rFonts w:cs="Arial"/>
          <w:color w:val="000000" w:themeColor="text1"/>
        </w:rPr>
        <w:t xml:space="preserve"> the </w:t>
      </w:r>
      <w:r w:rsidR="00630311" w:rsidRPr="00570A3F">
        <w:rPr>
          <w:rFonts w:cs="Arial"/>
          <w:color w:val="000000" w:themeColor="text1"/>
        </w:rPr>
        <w:t>‘</w:t>
      </w:r>
      <w:r w:rsidR="00D37F04" w:rsidRPr="00D37F04">
        <w:rPr>
          <w:rFonts w:cs="Arial"/>
          <w:b/>
          <w:bCs/>
          <w:color w:val="000000" w:themeColor="text1"/>
        </w:rPr>
        <w:t>C</w:t>
      </w:r>
      <w:r w:rsidR="00A12209" w:rsidRPr="00D37F04">
        <w:rPr>
          <w:rFonts w:cs="Arial"/>
          <w:b/>
          <w:bCs/>
          <w:color w:val="000000" w:themeColor="text1"/>
        </w:rPr>
        <w:t xml:space="preserve">apture </w:t>
      </w:r>
      <w:r w:rsidR="00D37F04">
        <w:rPr>
          <w:rFonts w:cs="Arial"/>
          <w:b/>
          <w:bCs/>
          <w:color w:val="000000" w:themeColor="text1"/>
        </w:rPr>
        <w:t>S</w:t>
      </w:r>
      <w:r w:rsidR="00A12209" w:rsidRPr="00D37F04">
        <w:rPr>
          <w:rFonts w:cs="Arial"/>
          <w:b/>
          <w:bCs/>
          <w:color w:val="000000" w:themeColor="text1"/>
        </w:rPr>
        <w:t>ettings</w:t>
      </w:r>
      <w:r w:rsidR="00630311" w:rsidRPr="00570A3F">
        <w:rPr>
          <w:rFonts w:cs="Arial"/>
          <w:color w:val="000000" w:themeColor="text1"/>
        </w:rPr>
        <w:t>’</w:t>
      </w:r>
      <w:r w:rsidR="00A12209" w:rsidRPr="00570A3F">
        <w:rPr>
          <w:rFonts w:cs="Arial"/>
          <w:color w:val="000000" w:themeColor="text1"/>
        </w:rPr>
        <w:t xml:space="preserve"> </w:t>
      </w:r>
      <w:r w:rsidR="00630311" w:rsidRPr="00570A3F">
        <w:rPr>
          <w:rFonts w:cs="Arial"/>
          <w:color w:val="000000" w:themeColor="text1"/>
        </w:rPr>
        <w:t>menu</w:t>
      </w:r>
      <w:r w:rsidR="00A12209" w:rsidRPr="00570A3F">
        <w:rPr>
          <w:rFonts w:cs="Arial"/>
          <w:color w:val="000000" w:themeColor="text1"/>
        </w:rPr>
        <w:t xml:space="preserve"> of the software.</w:t>
      </w:r>
      <w:r w:rsidRPr="00570A3F" w:rsidDel="00A12209">
        <w:rPr>
          <w:rFonts w:cs="Arial"/>
          <w:color w:val="000000" w:themeColor="text1"/>
        </w:rPr>
        <w:t xml:space="preserve"> </w:t>
      </w:r>
    </w:p>
    <w:p w14:paraId="4F6B9AAF" w14:textId="77777777" w:rsidR="00B43B8E" w:rsidRDefault="00B43B8E" w:rsidP="006A1488">
      <w:pPr>
        <w:pStyle w:val="ListParagraph"/>
        <w:widowControl/>
        <w:autoSpaceDE/>
        <w:autoSpaceDN/>
        <w:adjustRightInd/>
        <w:ind w:left="0"/>
        <w:rPr>
          <w:rFonts w:cs="Arial"/>
        </w:rPr>
      </w:pPr>
    </w:p>
    <w:p w14:paraId="5ADA7A5E" w14:textId="55BF8305" w:rsidR="00D441A0" w:rsidRPr="00D37F04" w:rsidRDefault="002D0CFC" w:rsidP="006A1488">
      <w:pPr>
        <w:pStyle w:val="ListParagraph"/>
        <w:widowControl/>
        <w:numPr>
          <w:ilvl w:val="2"/>
          <w:numId w:val="19"/>
        </w:numPr>
        <w:autoSpaceDE/>
        <w:autoSpaceDN/>
        <w:adjustRightInd/>
        <w:rPr>
          <w:rFonts w:cs="Arial"/>
        </w:rPr>
      </w:pPr>
      <w:r>
        <w:rPr>
          <w:rFonts w:cs="Arial"/>
        </w:rPr>
        <w:t>In the LUT window of the software, s</w:t>
      </w:r>
      <w:r w:rsidR="00D441A0">
        <w:rPr>
          <w:rFonts w:cs="Arial"/>
        </w:rPr>
        <w:t xml:space="preserve">et </w:t>
      </w:r>
      <w:r w:rsidR="00225E97">
        <w:rPr>
          <w:rFonts w:cs="Arial"/>
        </w:rPr>
        <w:t xml:space="preserve">the </w:t>
      </w:r>
      <w:r w:rsidR="00D441A0" w:rsidRPr="00F83695">
        <w:rPr>
          <w:rFonts w:cs="Arial"/>
        </w:rPr>
        <w:t xml:space="preserve">LUTs </w:t>
      </w:r>
      <w:r w:rsidR="00225E97">
        <w:rPr>
          <w:rFonts w:cs="Arial"/>
        </w:rPr>
        <w:t xml:space="preserve">scale such that the </w:t>
      </w:r>
      <w:r w:rsidR="00D441A0">
        <w:rPr>
          <w:rFonts w:cs="Arial"/>
        </w:rPr>
        <w:t>transmission signal</w:t>
      </w:r>
      <w:r w:rsidR="00225E97">
        <w:rPr>
          <w:rFonts w:cs="Arial"/>
        </w:rPr>
        <w:t xml:space="preserve"> is encompassed within the set range</w:t>
      </w:r>
      <w:r>
        <w:rPr>
          <w:rFonts w:cs="Arial"/>
        </w:rPr>
        <w:t>.</w:t>
      </w:r>
      <w:r w:rsidR="00D37F04">
        <w:rPr>
          <w:rFonts w:cs="Arial"/>
        </w:rPr>
        <w:t xml:space="preserve"> </w:t>
      </w:r>
      <w:r w:rsidRPr="00D37F04">
        <w:rPr>
          <w:rFonts w:cs="Arial"/>
        </w:rPr>
        <w:t>I</w:t>
      </w:r>
      <w:r w:rsidR="00D441A0" w:rsidRPr="00D37F04">
        <w:rPr>
          <w:rFonts w:cs="Arial"/>
        </w:rPr>
        <w:t xml:space="preserve">n this </w:t>
      </w:r>
      <w:r w:rsidR="00D37F04">
        <w:rPr>
          <w:rFonts w:cs="Arial"/>
        </w:rPr>
        <w:t>experiment,</w:t>
      </w:r>
      <w:r w:rsidR="00D441A0" w:rsidRPr="00D37F04">
        <w:rPr>
          <w:rFonts w:cs="Arial"/>
        </w:rPr>
        <w:t xml:space="preserve"> the scale was set from 500 up to 12</w:t>
      </w:r>
      <w:r w:rsidR="00D37F04">
        <w:rPr>
          <w:rFonts w:cs="Arial"/>
        </w:rPr>
        <w:t>,</w:t>
      </w:r>
      <w:r w:rsidR="00D441A0" w:rsidRPr="00D37F04">
        <w:rPr>
          <w:rFonts w:cs="Arial"/>
        </w:rPr>
        <w:t xml:space="preserve">000 </w:t>
      </w:r>
      <w:r w:rsidRPr="00D37F04">
        <w:rPr>
          <w:rFonts w:cs="Arial"/>
        </w:rPr>
        <w:t>approximately</w:t>
      </w:r>
      <w:r w:rsidR="00D441A0" w:rsidRPr="00D37F04">
        <w:rPr>
          <w:rFonts w:cs="Arial"/>
        </w:rPr>
        <w:t xml:space="preserve">. </w:t>
      </w:r>
    </w:p>
    <w:p w14:paraId="20AB3798" w14:textId="77777777" w:rsidR="00B43B8E" w:rsidRPr="00B43B8E" w:rsidRDefault="00B43B8E" w:rsidP="006A1488">
      <w:pPr>
        <w:pStyle w:val="ListParagraph"/>
        <w:widowControl/>
        <w:autoSpaceDE/>
        <w:autoSpaceDN/>
        <w:adjustRightInd/>
        <w:ind w:left="0"/>
        <w:rPr>
          <w:rFonts w:cs="Arial"/>
          <w:b/>
        </w:rPr>
      </w:pPr>
    </w:p>
    <w:p w14:paraId="0A9541FE" w14:textId="04BE9C44" w:rsidR="00D441A0" w:rsidRPr="00D37F04" w:rsidRDefault="00D441A0" w:rsidP="006A1488">
      <w:pPr>
        <w:pStyle w:val="ListParagraph"/>
        <w:widowControl/>
        <w:numPr>
          <w:ilvl w:val="2"/>
          <w:numId w:val="19"/>
        </w:numPr>
        <w:autoSpaceDE/>
        <w:autoSpaceDN/>
        <w:adjustRightInd/>
        <w:rPr>
          <w:rFonts w:cs="Arial"/>
        </w:rPr>
      </w:pPr>
      <w:r w:rsidRPr="00B43B8E">
        <w:rPr>
          <w:rFonts w:cs="Arial"/>
        </w:rPr>
        <w:t>Automate the capture using</w:t>
      </w:r>
      <w:r w:rsidR="002D0CFC">
        <w:rPr>
          <w:rFonts w:cs="Arial"/>
        </w:rPr>
        <w:t xml:space="preserve"> a multipoint acquisition program</w:t>
      </w:r>
      <w:r w:rsidRPr="00B43B8E">
        <w:rPr>
          <w:rFonts w:cs="Arial"/>
        </w:rPr>
        <w:t xml:space="preserve"> using both XY scan and multiple wavelength options in that specific order</w:t>
      </w:r>
      <w:r w:rsidR="002D0CFC">
        <w:rPr>
          <w:rFonts w:cs="Arial"/>
        </w:rPr>
        <w:t xml:space="preserve">. </w:t>
      </w:r>
      <w:r w:rsidR="00D37F04">
        <w:rPr>
          <w:rFonts w:cs="Arial"/>
        </w:rPr>
        <w:t>Ensure that t</w:t>
      </w:r>
      <w:r w:rsidRPr="00D37F04">
        <w:rPr>
          <w:rFonts w:cs="Arial"/>
        </w:rPr>
        <w:t>he stage move to a position, capture all the different wavelength</w:t>
      </w:r>
      <w:r w:rsidR="002D0CFC" w:rsidRPr="00D37F04">
        <w:rPr>
          <w:rFonts w:cs="Arial"/>
        </w:rPr>
        <w:t>s</w:t>
      </w:r>
      <w:r w:rsidRPr="00D37F04">
        <w:rPr>
          <w:rFonts w:cs="Arial"/>
        </w:rPr>
        <w:t xml:space="preserve">, </w:t>
      </w:r>
      <w:r w:rsidR="002D0CFC" w:rsidRPr="00D37F04">
        <w:rPr>
          <w:rFonts w:cs="Arial"/>
        </w:rPr>
        <w:t>and then</w:t>
      </w:r>
      <w:r w:rsidRPr="00D37F04">
        <w:rPr>
          <w:rFonts w:cs="Arial"/>
        </w:rPr>
        <w:t xml:space="preserve"> proceed to the next position. </w:t>
      </w:r>
    </w:p>
    <w:p w14:paraId="4D6903B2" w14:textId="77777777" w:rsidR="00B43B8E" w:rsidRPr="00B43B8E" w:rsidRDefault="00B43B8E" w:rsidP="006A1488">
      <w:pPr>
        <w:pStyle w:val="ListParagraph"/>
        <w:widowControl/>
        <w:autoSpaceDE/>
        <w:autoSpaceDN/>
        <w:adjustRightInd/>
        <w:ind w:left="0"/>
        <w:rPr>
          <w:rFonts w:cs="Arial"/>
        </w:rPr>
      </w:pPr>
    </w:p>
    <w:p w14:paraId="1B115896" w14:textId="0B196A96" w:rsidR="00D441A0" w:rsidRPr="00B43B8E" w:rsidRDefault="00D441A0" w:rsidP="006A1488">
      <w:pPr>
        <w:pStyle w:val="ListParagraph"/>
        <w:widowControl/>
        <w:numPr>
          <w:ilvl w:val="2"/>
          <w:numId w:val="19"/>
        </w:numPr>
        <w:autoSpaceDE/>
        <w:autoSpaceDN/>
        <w:adjustRightInd/>
        <w:rPr>
          <w:rFonts w:cs="Arial"/>
        </w:rPr>
      </w:pPr>
      <w:r w:rsidRPr="00B43B8E">
        <w:rPr>
          <w:rFonts w:cs="Arial"/>
        </w:rPr>
        <w:t>First, set</w:t>
      </w:r>
      <w:r w:rsidR="002D0CFC">
        <w:rPr>
          <w:rFonts w:cs="Arial"/>
        </w:rPr>
        <w:t>-</w:t>
      </w:r>
      <w:r w:rsidRPr="00B43B8E">
        <w:rPr>
          <w:rFonts w:cs="Arial"/>
        </w:rPr>
        <w:t>up the XY scan by customizing the XY scan profile</w:t>
      </w:r>
      <w:r w:rsidR="002C3519">
        <w:rPr>
          <w:rFonts w:cs="Arial"/>
        </w:rPr>
        <w:t xml:space="preserve"> in the XY scan </w:t>
      </w:r>
      <w:r w:rsidR="00BC13E7">
        <w:rPr>
          <w:rFonts w:cs="Arial"/>
        </w:rPr>
        <w:t>menu</w:t>
      </w:r>
      <w:r w:rsidR="00225E97">
        <w:rPr>
          <w:rFonts w:cs="Arial"/>
        </w:rPr>
        <w:t xml:space="preserve"> of the software</w:t>
      </w:r>
      <w:r w:rsidRPr="00B43B8E">
        <w:rPr>
          <w:rFonts w:cs="Arial"/>
        </w:rPr>
        <w:t xml:space="preserve">. In </w:t>
      </w:r>
      <w:r w:rsidR="00225E97">
        <w:rPr>
          <w:rFonts w:cs="Arial"/>
        </w:rPr>
        <w:t>‘</w:t>
      </w:r>
      <w:r w:rsidR="00D37F04" w:rsidRPr="00D37F04">
        <w:rPr>
          <w:rFonts w:cs="Arial"/>
          <w:b/>
          <w:bCs/>
        </w:rPr>
        <w:t>C</w:t>
      </w:r>
      <w:r w:rsidRPr="00D37F04">
        <w:rPr>
          <w:rFonts w:cs="Arial"/>
          <w:b/>
          <w:bCs/>
        </w:rPr>
        <w:t xml:space="preserve">ustom </w:t>
      </w:r>
      <w:r w:rsidR="00D37F04" w:rsidRPr="00D37F04">
        <w:rPr>
          <w:rFonts w:cs="Arial"/>
          <w:b/>
          <w:bCs/>
        </w:rPr>
        <w:t>M</w:t>
      </w:r>
      <w:r w:rsidRPr="00D37F04">
        <w:rPr>
          <w:rFonts w:cs="Arial"/>
          <w:b/>
          <w:bCs/>
        </w:rPr>
        <w:t xml:space="preserve">ultipoint </w:t>
      </w:r>
      <w:r w:rsidR="00D37F04" w:rsidRPr="00D37F04">
        <w:rPr>
          <w:rFonts w:cs="Arial"/>
          <w:b/>
          <w:bCs/>
        </w:rPr>
        <w:t>D</w:t>
      </w:r>
      <w:r w:rsidRPr="00D37F04">
        <w:rPr>
          <w:rFonts w:cs="Arial"/>
          <w:b/>
          <w:bCs/>
        </w:rPr>
        <w:t>efinition</w:t>
      </w:r>
      <w:r w:rsidR="00225E97">
        <w:rPr>
          <w:rFonts w:cs="Arial"/>
        </w:rPr>
        <w:t>’</w:t>
      </w:r>
      <w:r w:rsidRPr="00B43B8E">
        <w:rPr>
          <w:rFonts w:cs="Arial"/>
        </w:rPr>
        <w:t xml:space="preserve">, choose the large image definition </w:t>
      </w:r>
      <w:r w:rsidR="00BC13E7">
        <w:rPr>
          <w:rFonts w:cs="Arial"/>
        </w:rPr>
        <w:t xml:space="preserve">box </w:t>
      </w:r>
      <w:r w:rsidRPr="00B43B8E">
        <w:rPr>
          <w:rFonts w:cs="Arial"/>
        </w:rPr>
        <w:t xml:space="preserve">and set it to 40.0 x 1.0 mm </w:t>
      </w:r>
      <w:r w:rsidR="002D0CFC" w:rsidRPr="00B43B8E">
        <w:rPr>
          <w:rFonts w:cs="Arial"/>
        </w:rPr>
        <w:t>approximately</w:t>
      </w:r>
      <w:r w:rsidRPr="00B43B8E">
        <w:rPr>
          <w:rFonts w:cs="Arial"/>
        </w:rPr>
        <w:t xml:space="preserve"> (the length of the emulsion filling). Use 1% overlap. </w:t>
      </w:r>
    </w:p>
    <w:p w14:paraId="65826645" w14:textId="77777777" w:rsidR="00B43B8E" w:rsidRPr="00B43B8E" w:rsidRDefault="00B43B8E" w:rsidP="006A1488">
      <w:pPr>
        <w:pStyle w:val="ListParagraph"/>
        <w:widowControl/>
        <w:autoSpaceDE/>
        <w:autoSpaceDN/>
        <w:adjustRightInd/>
        <w:ind w:left="0"/>
        <w:rPr>
          <w:rFonts w:cs="Arial"/>
        </w:rPr>
      </w:pPr>
    </w:p>
    <w:p w14:paraId="03802586" w14:textId="62639DF8" w:rsidR="00D441A0" w:rsidRPr="00B43B8E" w:rsidRDefault="00D441A0" w:rsidP="006A1488">
      <w:pPr>
        <w:pStyle w:val="ListParagraph"/>
        <w:widowControl/>
        <w:numPr>
          <w:ilvl w:val="2"/>
          <w:numId w:val="19"/>
        </w:numPr>
        <w:autoSpaceDE/>
        <w:autoSpaceDN/>
        <w:adjustRightInd/>
        <w:rPr>
          <w:rFonts w:cs="Arial"/>
        </w:rPr>
      </w:pPr>
      <w:r w:rsidRPr="00B43B8E">
        <w:rPr>
          <w:rFonts w:cs="Arial"/>
        </w:rPr>
        <w:t xml:space="preserve">Enable the </w:t>
      </w:r>
      <w:r w:rsidR="00BC13E7">
        <w:rPr>
          <w:rFonts w:cs="Arial"/>
        </w:rPr>
        <w:t>‘</w:t>
      </w:r>
      <w:r w:rsidR="00D37F04" w:rsidRPr="00D37F04">
        <w:rPr>
          <w:rFonts w:cs="Arial"/>
          <w:b/>
          <w:bCs/>
        </w:rPr>
        <w:t>U</w:t>
      </w:r>
      <w:r w:rsidRPr="00D37F04">
        <w:rPr>
          <w:rFonts w:cs="Arial"/>
          <w:b/>
          <w:bCs/>
        </w:rPr>
        <w:t xml:space="preserve">se </w:t>
      </w:r>
      <w:r w:rsidR="00D37F04" w:rsidRPr="00D37F04">
        <w:rPr>
          <w:rFonts w:cs="Arial"/>
          <w:b/>
          <w:bCs/>
        </w:rPr>
        <w:t>F</w:t>
      </w:r>
      <w:r w:rsidRPr="00D37F04">
        <w:rPr>
          <w:rFonts w:cs="Arial"/>
          <w:b/>
          <w:bCs/>
        </w:rPr>
        <w:t xml:space="preserve">ocus </w:t>
      </w:r>
      <w:r w:rsidR="00D37F04" w:rsidRPr="00D37F04">
        <w:rPr>
          <w:rFonts w:cs="Arial"/>
          <w:b/>
          <w:bCs/>
        </w:rPr>
        <w:t>S</w:t>
      </w:r>
      <w:r w:rsidRPr="00D37F04">
        <w:rPr>
          <w:rFonts w:cs="Arial"/>
          <w:b/>
          <w:bCs/>
        </w:rPr>
        <w:t>urface</w:t>
      </w:r>
      <w:r w:rsidR="00BC13E7">
        <w:rPr>
          <w:rFonts w:cs="Arial"/>
        </w:rPr>
        <w:t>’</w:t>
      </w:r>
      <w:r w:rsidRPr="00B43B8E">
        <w:rPr>
          <w:rFonts w:cs="Arial"/>
        </w:rPr>
        <w:t xml:space="preserve"> option and set up the focus surface curve by adjusting the focus plane at different point</w:t>
      </w:r>
      <w:r w:rsidR="00FC5768">
        <w:rPr>
          <w:rFonts w:cs="Arial"/>
        </w:rPr>
        <w:t>s</w:t>
      </w:r>
      <w:r w:rsidRPr="00B43B8E">
        <w:rPr>
          <w:rFonts w:cs="Arial"/>
        </w:rPr>
        <w:t xml:space="preserve"> on the sample</w:t>
      </w:r>
      <w:r w:rsidR="00BC13E7">
        <w:rPr>
          <w:rFonts w:cs="Arial"/>
        </w:rPr>
        <w:t xml:space="preserve"> using the focus knob on the microscope</w:t>
      </w:r>
      <w:r w:rsidRPr="00B43B8E">
        <w:rPr>
          <w:rFonts w:cs="Arial"/>
        </w:rPr>
        <w:t xml:space="preserve">. </w:t>
      </w:r>
    </w:p>
    <w:p w14:paraId="1D98F463" w14:textId="77777777" w:rsidR="00B43B8E" w:rsidRPr="00B43B8E" w:rsidRDefault="00B43B8E" w:rsidP="006A1488">
      <w:pPr>
        <w:pStyle w:val="ListParagraph"/>
        <w:widowControl/>
        <w:autoSpaceDE/>
        <w:autoSpaceDN/>
        <w:adjustRightInd/>
        <w:ind w:left="0"/>
        <w:rPr>
          <w:rFonts w:cs="Arial"/>
        </w:rPr>
      </w:pPr>
    </w:p>
    <w:p w14:paraId="662C2D8A" w14:textId="7EA15AA0" w:rsidR="00D441A0" w:rsidRPr="00B43B8E" w:rsidRDefault="00D441A0" w:rsidP="006A1488">
      <w:pPr>
        <w:pStyle w:val="ListParagraph"/>
        <w:widowControl/>
        <w:numPr>
          <w:ilvl w:val="2"/>
          <w:numId w:val="19"/>
        </w:numPr>
        <w:autoSpaceDE/>
        <w:autoSpaceDN/>
        <w:adjustRightInd/>
        <w:rPr>
          <w:rFonts w:cs="Arial"/>
        </w:rPr>
      </w:pPr>
      <w:r w:rsidRPr="00B43B8E">
        <w:rPr>
          <w:rFonts w:cs="Arial"/>
        </w:rPr>
        <w:t>Second, setup the multiple wavelength scan</w:t>
      </w:r>
      <w:r w:rsidR="00BC13E7">
        <w:rPr>
          <w:rFonts w:cs="Arial"/>
        </w:rPr>
        <w:t xml:space="preserve"> by selecting the scan tab</w:t>
      </w:r>
      <w:r w:rsidRPr="00B43B8E">
        <w:rPr>
          <w:rFonts w:cs="Arial"/>
        </w:rPr>
        <w:t>. Add each of the optical configuration</w:t>
      </w:r>
      <w:r w:rsidR="00FC5768">
        <w:rPr>
          <w:rFonts w:cs="Arial"/>
        </w:rPr>
        <w:t>s</w:t>
      </w:r>
      <w:r w:rsidRPr="00B43B8E">
        <w:rPr>
          <w:rFonts w:cs="Arial"/>
        </w:rPr>
        <w:t xml:space="preserve"> created </w:t>
      </w:r>
      <w:r w:rsidR="00FC5768">
        <w:rPr>
          <w:rFonts w:cs="Arial"/>
        </w:rPr>
        <w:t>in</w:t>
      </w:r>
      <w:r w:rsidRPr="00B43B8E">
        <w:rPr>
          <w:rFonts w:cs="Arial"/>
        </w:rPr>
        <w:t xml:space="preserve"> step </w:t>
      </w:r>
      <w:r w:rsidR="002C3519">
        <w:rPr>
          <w:rFonts w:cs="Arial"/>
        </w:rPr>
        <w:t>6.1.</w:t>
      </w:r>
      <w:r w:rsidRPr="00B43B8E">
        <w:rPr>
          <w:rFonts w:cs="Arial"/>
        </w:rPr>
        <w:t>7</w:t>
      </w:r>
      <w:r w:rsidR="00BC13E7">
        <w:rPr>
          <w:rFonts w:cs="Arial"/>
        </w:rPr>
        <w:t xml:space="preserve"> for each wavelength</w:t>
      </w:r>
      <w:r w:rsidRPr="00B43B8E">
        <w:rPr>
          <w:rFonts w:cs="Arial"/>
        </w:rPr>
        <w:t>.</w:t>
      </w:r>
    </w:p>
    <w:p w14:paraId="362B311F" w14:textId="77777777" w:rsidR="00B43B8E" w:rsidRPr="00B43B8E" w:rsidRDefault="00B43B8E" w:rsidP="006A1488">
      <w:pPr>
        <w:pStyle w:val="ListParagraph"/>
        <w:widowControl/>
        <w:autoSpaceDE/>
        <w:autoSpaceDN/>
        <w:adjustRightInd/>
        <w:ind w:left="0"/>
        <w:rPr>
          <w:rFonts w:cs="Arial"/>
        </w:rPr>
      </w:pPr>
    </w:p>
    <w:p w14:paraId="5E7509F3" w14:textId="7B0606B5" w:rsidR="00D441A0" w:rsidRPr="00D37F04" w:rsidRDefault="00D441A0" w:rsidP="00D37F04">
      <w:pPr>
        <w:pStyle w:val="ListParagraph"/>
        <w:widowControl/>
        <w:numPr>
          <w:ilvl w:val="2"/>
          <w:numId w:val="19"/>
        </w:numPr>
        <w:autoSpaceDE/>
        <w:autoSpaceDN/>
        <w:adjustRightInd/>
        <w:rPr>
          <w:rFonts w:cs="Arial"/>
        </w:rPr>
      </w:pPr>
      <w:r w:rsidRPr="00155B26">
        <w:rPr>
          <w:rFonts w:cs="Arial"/>
        </w:rPr>
        <w:t>Click the option to close active shutter during stage movement and during filter change to avoid bleaching the sample</w:t>
      </w:r>
      <w:r w:rsidR="00E003E7" w:rsidRPr="00155B26">
        <w:rPr>
          <w:rFonts w:cs="Arial"/>
        </w:rPr>
        <w:t xml:space="preserve"> and </w:t>
      </w:r>
      <w:r w:rsidR="00E003E7">
        <w:rPr>
          <w:rFonts w:cs="Arial"/>
        </w:rPr>
        <w:t>r</w:t>
      </w:r>
      <w:r w:rsidRPr="005132C5">
        <w:rPr>
          <w:rFonts w:cs="Arial"/>
        </w:rPr>
        <w:t>un the acquisition</w:t>
      </w:r>
      <w:r w:rsidR="00BC13E7">
        <w:rPr>
          <w:rFonts w:cs="Arial"/>
        </w:rPr>
        <w:t xml:space="preserve"> by pressing the </w:t>
      </w:r>
      <w:r w:rsidR="0012185F">
        <w:t>‘</w:t>
      </w:r>
      <w:r w:rsidR="0012185F" w:rsidRPr="00D37F04">
        <w:rPr>
          <w:rFonts w:cs="Arial"/>
          <w:b/>
          <w:bCs/>
        </w:rPr>
        <w:t>S</w:t>
      </w:r>
      <w:r w:rsidR="00BC13E7" w:rsidRPr="00D37F04">
        <w:rPr>
          <w:rFonts w:cs="Arial"/>
          <w:b/>
          <w:bCs/>
        </w:rPr>
        <w:t xml:space="preserve">tart </w:t>
      </w:r>
      <w:r w:rsidR="0012185F" w:rsidRPr="00D37F04">
        <w:rPr>
          <w:rFonts w:cs="Arial"/>
          <w:b/>
          <w:bCs/>
        </w:rPr>
        <w:t>R</w:t>
      </w:r>
      <w:r w:rsidR="00BC13E7" w:rsidRPr="00D37F04">
        <w:rPr>
          <w:rFonts w:cs="Arial"/>
          <w:b/>
          <w:bCs/>
        </w:rPr>
        <w:t>un</w:t>
      </w:r>
      <w:r w:rsidR="0012185F">
        <w:t>’</w:t>
      </w:r>
      <w:r w:rsidR="00BC13E7">
        <w:rPr>
          <w:rFonts w:cs="Arial"/>
        </w:rPr>
        <w:t xml:space="preserve"> button</w:t>
      </w:r>
      <w:r w:rsidRPr="005132C5">
        <w:rPr>
          <w:rFonts w:cs="Arial"/>
        </w:rPr>
        <w:t>.</w:t>
      </w:r>
      <w:r w:rsidR="00D37F04">
        <w:rPr>
          <w:rFonts w:cs="Arial"/>
        </w:rPr>
        <w:t xml:space="preserve"> </w:t>
      </w:r>
      <w:r w:rsidRPr="00D37F04">
        <w:rPr>
          <w:rFonts w:cs="Arial"/>
        </w:rPr>
        <w:t>Export each acquisition frame into tiff files</w:t>
      </w:r>
      <w:r w:rsidR="00BC13E7" w:rsidRPr="00D37F04">
        <w:rPr>
          <w:rFonts w:cs="Arial"/>
        </w:rPr>
        <w:t xml:space="preserve"> and s</w:t>
      </w:r>
      <w:r w:rsidRPr="00D37F04">
        <w:rPr>
          <w:rFonts w:cs="Arial"/>
        </w:rPr>
        <w:t xml:space="preserve">plit each channel into a separated file using split multiple files </w:t>
      </w:r>
      <w:r w:rsidR="00691EB2" w:rsidRPr="00D37F04">
        <w:rPr>
          <w:rFonts w:cs="Arial"/>
        </w:rPr>
        <w:t xml:space="preserve">option </w:t>
      </w:r>
      <w:r w:rsidRPr="00D37F04">
        <w:rPr>
          <w:rFonts w:cs="Arial"/>
        </w:rPr>
        <w:t>and by applying saved LUTs setting</w:t>
      </w:r>
      <w:r w:rsidR="00FC5768" w:rsidRPr="00D37F04">
        <w:rPr>
          <w:rFonts w:cs="Arial"/>
        </w:rPr>
        <w:t>s</w:t>
      </w:r>
      <w:r w:rsidRPr="00D37F04">
        <w:rPr>
          <w:rFonts w:cs="Arial"/>
        </w:rPr>
        <w:t xml:space="preserve">. Use point name and channel name option to </w:t>
      </w:r>
      <w:r w:rsidR="00D37F04" w:rsidRPr="00D37F04">
        <w:rPr>
          <w:rFonts w:cs="Arial"/>
        </w:rPr>
        <w:t>easily differentiate</w:t>
      </w:r>
      <w:r w:rsidRPr="00D37F04">
        <w:rPr>
          <w:rFonts w:cs="Arial"/>
        </w:rPr>
        <w:t xml:space="preserve"> each image file.  </w:t>
      </w:r>
    </w:p>
    <w:p w14:paraId="39D99AE2" w14:textId="77777777" w:rsidR="00D37F04" w:rsidRPr="00D37F04" w:rsidRDefault="00D37F04" w:rsidP="00D37F04">
      <w:pPr>
        <w:pStyle w:val="ListParagraph"/>
        <w:widowControl/>
        <w:autoSpaceDE/>
        <w:autoSpaceDN/>
        <w:adjustRightInd/>
        <w:ind w:left="0"/>
        <w:rPr>
          <w:rFonts w:cs="Arial"/>
        </w:rPr>
      </w:pPr>
    </w:p>
    <w:p w14:paraId="4B0BAA29" w14:textId="43BE7CDE" w:rsidR="00D441A0" w:rsidRPr="00D37F04" w:rsidRDefault="00D441A0" w:rsidP="006A1488">
      <w:pPr>
        <w:pStyle w:val="Heading3"/>
        <w:numPr>
          <w:ilvl w:val="1"/>
          <w:numId w:val="19"/>
        </w:numPr>
        <w:spacing w:before="0"/>
        <w:rPr>
          <w:rFonts w:ascii="Calibri" w:hAnsi="Calibri" w:cs="Calibri"/>
          <w:b w:val="0"/>
          <w:bCs w:val="0"/>
          <w:color w:val="000000" w:themeColor="text1"/>
        </w:rPr>
      </w:pPr>
      <w:r w:rsidRPr="00D37F04">
        <w:rPr>
          <w:rFonts w:ascii="Calibri" w:hAnsi="Calibri" w:cs="Calibri"/>
          <w:b w:val="0"/>
          <w:bCs w:val="0"/>
          <w:color w:val="000000" w:themeColor="text1"/>
        </w:rPr>
        <w:t xml:space="preserve">Image </w:t>
      </w:r>
      <w:r w:rsidR="00D37F04" w:rsidRPr="00D37F04">
        <w:rPr>
          <w:rFonts w:ascii="Calibri" w:hAnsi="Calibri" w:cs="Calibri"/>
          <w:b w:val="0"/>
          <w:bCs w:val="0"/>
          <w:color w:val="000000" w:themeColor="text1"/>
        </w:rPr>
        <w:t>a</w:t>
      </w:r>
      <w:r w:rsidRPr="00D37F04">
        <w:rPr>
          <w:rFonts w:ascii="Calibri" w:hAnsi="Calibri" w:cs="Calibri"/>
          <w:b w:val="0"/>
          <w:bCs w:val="0"/>
          <w:color w:val="000000" w:themeColor="text1"/>
        </w:rPr>
        <w:t>nalysis</w:t>
      </w:r>
    </w:p>
    <w:p w14:paraId="29A24224" w14:textId="77777777" w:rsidR="00B43B8E" w:rsidRDefault="00B43B8E" w:rsidP="006A1488">
      <w:pPr>
        <w:pStyle w:val="ListParagraph"/>
        <w:widowControl/>
        <w:autoSpaceDE/>
        <w:autoSpaceDN/>
        <w:adjustRightInd/>
        <w:ind w:left="0"/>
      </w:pPr>
    </w:p>
    <w:p w14:paraId="198BBC8A" w14:textId="6ADE1739" w:rsidR="00D441A0" w:rsidRDefault="00D441A0" w:rsidP="006A1488">
      <w:pPr>
        <w:pStyle w:val="ListParagraph"/>
        <w:widowControl/>
        <w:numPr>
          <w:ilvl w:val="2"/>
          <w:numId w:val="19"/>
        </w:numPr>
        <w:autoSpaceDE/>
        <w:autoSpaceDN/>
        <w:adjustRightInd/>
      </w:pPr>
      <w:r>
        <w:t xml:space="preserve">Sort all acquired images by brightfield and fluorescence filters to upload to </w:t>
      </w:r>
      <w:r w:rsidR="00FC5768">
        <w:t>an</w:t>
      </w:r>
      <w:r>
        <w:t xml:space="preserve"> open source image analysis software.</w:t>
      </w:r>
    </w:p>
    <w:p w14:paraId="00A6534C" w14:textId="77777777" w:rsidR="00B43B8E" w:rsidRDefault="00B43B8E" w:rsidP="006A1488">
      <w:pPr>
        <w:pStyle w:val="ListParagraph"/>
        <w:widowControl/>
        <w:autoSpaceDE/>
        <w:autoSpaceDN/>
        <w:adjustRightInd/>
        <w:ind w:left="0"/>
      </w:pPr>
    </w:p>
    <w:p w14:paraId="3D7DA4B0" w14:textId="5E7C74F1" w:rsidR="00CD2C65" w:rsidRDefault="00D441A0" w:rsidP="006A1488">
      <w:pPr>
        <w:pStyle w:val="ListParagraph"/>
        <w:widowControl/>
        <w:numPr>
          <w:ilvl w:val="2"/>
          <w:numId w:val="19"/>
        </w:numPr>
        <w:autoSpaceDE/>
        <w:autoSpaceDN/>
        <w:adjustRightInd/>
      </w:pPr>
      <w:r>
        <w:t>Us</w:t>
      </w:r>
      <w:r w:rsidR="00FC5768">
        <w:t xml:space="preserve">e image analysis software to create </w:t>
      </w:r>
      <w:r>
        <w:t>a pipeline</w:t>
      </w:r>
      <w:r w:rsidR="00FC5768">
        <w:t xml:space="preserve"> in order to</w:t>
      </w:r>
      <w:r>
        <w:t xml:space="preserve"> identify all droplets using brightfield images</w:t>
      </w:r>
      <w:r w:rsidR="00F92097">
        <w:t>, then measure intensity of associated fluorescent droplets</w:t>
      </w:r>
      <w:r w:rsidR="00FC5768">
        <w:t xml:space="preserve">. </w:t>
      </w:r>
    </w:p>
    <w:p w14:paraId="4BCD3417" w14:textId="77777777" w:rsidR="00CD2C65" w:rsidRDefault="00CD2C65" w:rsidP="006A1488">
      <w:pPr>
        <w:pStyle w:val="ListParagraph"/>
        <w:ind w:left="0"/>
      </w:pPr>
    </w:p>
    <w:p w14:paraId="6E650450" w14:textId="1642F9E5" w:rsidR="00F92097" w:rsidRDefault="00CD2C65" w:rsidP="006A1488">
      <w:pPr>
        <w:pStyle w:val="ListParagraph"/>
        <w:widowControl/>
        <w:numPr>
          <w:ilvl w:val="2"/>
          <w:numId w:val="19"/>
        </w:numPr>
        <w:autoSpaceDE/>
        <w:autoSpaceDN/>
        <w:adjustRightInd/>
      </w:pPr>
      <w:r>
        <w:t xml:space="preserve">To pipeline, upload </w:t>
      </w:r>
      <w:r w:rsidR="00F92097">
        <w:t xml:space="preserve">brightfield and fluorescent </w:t>
      </w:r>
      <w:r>
        <w:t xml:space="preserve">tiff images then add modules </w:t>
      </w:r>
      <w:r w:rsidR="00CC01DF">
        <w:t>‘</w:t>
      </w:r>
      <w:proofErr w:type="spellStart"/>
      <w:r w:rsidRPr="00D37F04">
        <w:rPr>
          <w:b/>
          <w:bCs/>
        </w:rPr>
        <w:t>ColorToGray</w:t>
      </w:r>
      <w:proofErr w:type="spellEnd"/>
      <w:r w:rsidR="00CC01DF">
        <w:t>’</w:t>
      </w:r>
      <w:r>
        <w:t xml:space="preserve">, </w:t>
      </w:r>
      <w:r w:rsidR="00CC01DF">
        <w:t>‘</w:t>
      </w:r>
      <w:proofErr w:type="spellStart"/>
      <w:r w:rsidRPr="00D37F04">
        <w:rPr>
          <w:b/>
          <w:bCs/>
        </w:rPr>
        <w:t>IdentifyPrimaryObjects</w:t>
      </w:r>
      <w:proofErr w:type="spellEnd"/>
      <w:r w:rsidR="00CC01DF">
        <w:t>’</w:t>
      </w:r>
      <w:r>
        <w:t xml:space="preserve">, </w:t>
      </w:r>
      <w:r w:rsidR="00CC01DF">
        <w:t>‘</w:t>
      </w:r>
      <w:proofErr w:type="spellStart"/>
      <w:r w:rsidRPr="00D37F04">
        <w:rPr>
          <w:b/>
          <w:bCs/>
        </w:rPr>
        <w:t>MeasureObjectIntensity</w:t>
      </w:r>
      <w:proofErr w:type="spellEnd"/>
      <w:r w:rsidR="00CC01DF">
        <w:t>’</w:t>
      </w:r>
      <w:r>
        <w:t xml:space="preserve">, and </w:t>
      </w:r>
      <w:r w:rsidR="00CC01DF">
        <w:t>‘</w:t>
      </w:r>
      <w:proofErr w:type="spellStart"/>
      <w:r w:rsidRPr="00D37F04">
        <w:rPr>
          <w:b/>
          <w:bCs/>
        </w:rPr>
        <w:t>ExportToSpreadsheet</w:t>
      </w:r>
      <w:proofErr w:type="spellEnd"/>
      <w:r w:rsidR="00CC01DF">
        <w:t>’</w:t>
      </w:r>
      <w:r w:rsidR="00F92097">
        <w:t>. Use brightfield droplet images to identify objects, then use objects as mask to measure intensity of fluorescent images.</w:t>
      </w:r>
    </w:p>
    <w:p w14:paraId="72B85C4B" w14:textId="77777777" w:rsidR="00F92097" w:rsidRDefault="00F92097" w:rsidP="006A1488">
      <w:pPr>
        <w:pStyle w:val="ListParagraph"/>
        <w:ind w:left="0"/>
      </w:pPr>
    </w:p>
    <w:p w14:paraId="20CCC537" w14:textId="764D7018" w:rsidR="00D441A0" w:rsidRDefault="00F92097" w:rsidP="006A1488">
      <w:pPr>
        <w:pStyle w:val="ListParagraph"/>
        <w:widowControl/>
        <w:numPr>
          <w:ilvl w:val="2"/>
          <w:numId w:val="19"/>
        </w:numPr>
        <w:autoSpaceDE/>
        <w:autoSpaceDN/>
        <w:adjustRightInd/>
      </w:pPr>
      <w:r>
        <w:t xml:space="preserve">Run pipeline with selected tiff images </w:t>
      </w:r>
      <w:r w:rsidR="00D441A0">
        <w:t xml:space="preserve">to extract average fluorescence intensity of fluorescent droplet images. </w:t>
      </w:r>
      <w:r w:rsidR="00FC5768">
        <w:t>Conduct t</w:t>
      </w:r>
      <w:r w:rsidR="00D441A0">
        <w:t>he experiment in triplicate, with each set consisting of ~5</w:t>
      </w:r>
      <w:r w:rsidR="00D37F04">
        <w:t>,</w:t>
      </w:r>
      <w:r w:rsidR="00D441A0">
        <w:t>000 droplets for analysis.</w:t>
      </w:r>
    </w:p>
    <w:p w14:paraId="73C41021" w14:textId="77777777" w:rsidR="00B43B8E" w:rsidRDefault="00B43B8E" w:rsidP="006A1488">
      <w:pPr>
        <w:pStyle w:val="ListParagraph"/>
        <w:widowControl/>
        <w:autoSpaceDE/>
        <w:autoSpaceDN/>
        <w:adjustRightInd/>
        <w:ind w:left="0"/>
      </w:pPr>
    </w:p>
    <w:p w14:paraId="6AB6829B" w14:textId="7D967CA9" w:rsidR="00D441A0" w:rsidRDefault="00D441A0" w:rsidP="006A1488">
      <w:pPr>
        <w:pStyle w:val="ListParagraph"/>
        <w:widowControl/>
        <w:numPr>
          <w:ilvl w:val="2"/>
          <w:numId w:val="19"/>
        </w:numPr>
        <w:autoSpaceDE/>
        <w:autoSpaceDN/>
        <w:adjustRightInd/>
      </w:pPr>
      <w:r>
        <w:t>Apply the ‘</w:t>
      </w:r>
      <w:proofErr w:type="spellStart"/>
      <w:r w:rsidRPr="00D37F04">
        <w:rPr>
          <w:b/>
          <w:bCs/>
        </w:rPr>
        <w:t>definetherain</w:t>
      </w:r>
      <w:proofErr w:type="spellEnd"/>
      <w:r>
        <w:t>’ algorithm (</w:t>
      </w:r>
      <w:r w:rsidRPr="00E050F2">
        <w:t>http://definetherain.org.uk/</w:t>
      </w:r>
      <w:r>
        <w:t>) to identify the positive and negative droplet clusters</w:t>
      </w:r>
      <w:r w:rsidR="00FC5768">
        <w:t xml:space="preserve">. The </w:t>
      </w:r>
      <w:r>
        <w:t xml:space="preserve">positives </w:t>
      </w:r>
      <w:r w:rsidR="00FC5768">
        <w:t xml:space="preserve">should be </w:t>
      </w:r>
      <w:r>
        <w:t>within 3 standard deviations of the mean. This determines the threshold intensity of positive droplets to be used for counting.</w:t>
      </w:r>
    </w:p>
    <w:p w14:paraId="29DDBB85" w14:textId="77777777" w:rsidR="00B43B8E" w:rsidRDefault="00B43B8E" w:rsidP="006A1488">
      <w:pPr>
        <w:pStyle w:val="ListParagraph"/>
        <w:widowControl/>
        <w:autoSpaceDE/>
        <w:autoSpaceDN/>
        <w:adjustRightInd/>
        <w:ind w:left="0"/>
      </w:pPr>
    </w:p>
    <w:p w14:paraId="5D120A94" w14:textId="4DC384A3" w:rsidR="002F6164" w:rsidRDefault="00D441A0" w:rsidP="006A1488">
      <w:pPr>
        <w:pStyle w:val="ListParagraph"/>
        <w:widowControl/>
        <w:numPr>
          <w:ilvl w:val="2"/>
          <w:numId w:val="19"/>
        </w:numPr>
        <w:autoSpaceDE/>
        <w:autoSpaceDN/>
        <w:adjustRightInd/>
      </w:pPr>
      <w:r>
        <w:t>Again us</w:t>
      </w:r>
      <w:r w:rsidR="00FC5768">
        <w:t>e the image analysis software to implement</w:t>
      </w:r>
      <w:r>
        <w:t xml:space="preserve"> a new pipeline where the fluorescence threshold for each gene target is set as defined in the previous step. </w:t>
      </w:r>
    </w:p>
    <w:p w14:paraId="7A1B2A15" w14:textId="77777777" w:rsidR="002F6164" w:rsidRDefault="002F6164" w:rsidP="006A1488">
      <w:pPr>
        <w:pStyle w:val="ListParagraph"/>
        <w:widowControl/>
        <w:autoSpaceDE/>
        <w:autoSpaceDN/>
        <w:adjustRightInd/>
        <w:ind w:left="0"/>
      </w:pPr>
    </w:p>
    <w:p w14:paraId="65283781" w14:textId="10D41E37" w:rsidR="002F6164" w:rsidRDefault="002F6164" w:rsidP="006A1488">
      <w:pPr>
        <w:pStyle w:val="ListParagraph"/>
        <w:widowControl/>
        <w:numPr>
          <w:ilvl w:val="2"/>
          <w:numId w:val="19"/>
        </w:numPr>
        <w:autoSpaceDE/>
        <w:autoSpaceDN/>
        <w:adjustRightInd/>
      </w:pPr>
      <w:r>
        <w:t>Upload brightfield and fluorescent images to pipeline. Add modules</w:t>
      </w:r>
      <w:r w:rsidR="00FC5768">
        <w:t xml:space="preserve"> </w:t>
      </w:r>
      <w:r w:rsidR="00CC01DF">
        <w:t>‘</w:t>
      </w:r>
      <w:proofErr w:type="spellStart"/>
      <w:r w:rsidRPr="00D37F04">
        <w:rPr>
          <w:b/>
          <w:bCs/>
        </w:rPr>
        <w:t>ColorToGray</w:t>
      </w:r>
      <w:proofErr w:type="spellEnd"/>
      <w:r w:rsidR="00CC01DF">
        <w:t>’</w:t>
      </w:r>
      <w:r>
        <w:t xml:space="preserve">, </w:t>
      </w:r>
      <w:r w:rsidR="00CC01DF">
        <w:t>‘</w:t>
      </w:r>
      <w:proofErr w:type="spellStart"/>
      <w:r w:rsidRPr="00D37F04">
        <w:rPr>
          <w:b/>
          <w:bCs/>
        </w:rPr>
        <w:t>RescaleIntensity</w:t>
      </w:r>
      <w:proofErr w:type="spellEnd"/>
      <w:r w:rsidR="00CC01DF">
        <w:t>’</w:t>
      </w:r>
      <w:r>
        <w:t xml:space="preserve">, </w:t>
      </w:r>
      <w:r w:rsidR="00CC01DF">
        <w:t>‘</w:t>
      </w:r>
      <w:r w:rsidRPr="00D37F04">
        <w:rPr>
          <w:b/>
          <w:bCs/>
        </w:rPr>
        <w:t>Threshold</w:t>
      </w:r>
      <w:r w:rsidR="00CC01DF">
        <w:t>’</w:t>
      </w:r>
      <w:r>
        <w:t xml:space="preserve">, </w:t>
      </w:r>
      <w:r w:rsidR="00CC01DF">
        <w:t>‘</w:t>
      </w:r>
      <w:proofErr w:type="spellStart"/>
      <w:r w:rsidRPr="00D37F04">
        <w:rPr>
          <w:b/>
          <w:bCs/>
        </w:rPr>
        <w:t>IdentifyPrimaryObjects</w:t>
      </w:r>
      <w:proofErr w:type="spellEnd"/>
      <w:r w:rsidR="00CC01DF">
        <w:t>’</w:t>
      </w:r>
      <w:r>
        <w:t xml:space="preserve">, </w:t>
      </w:r>
      <w:r w:rsidR="00CC01DF">
        <w:t>‘</w:t>
      </w:r>
      <w:proofErr w:type="spellStart"/>
      <w:r w:rsidRPr="00D37F04">
        <w:rPr>
          <w:b/>
          <w:bCs/>
        </w:rPr>
        <w:t>MeasureObjectSizeShape</w:t>
      </w:r>
      <w:proofErr w:type="spellEnd"/>
      <w:r w:rsidR="00CC01DF">
        <w:t>’</w:t>
      </w:r>
      <w:r>
        <w:t xml:space="preserve">, </w:t>
      </w:r>
      <w:r w:rsidR="00CC01DF">
        <w:t>‘</w:t>
      </w:r>
      <w:proofErr w:type="spellStart"/>
      <w:r w:rsidRPr="00D37F04">
        <w:rPr>
          <w:b/>
          <w:bCs/>
        </w:rPr>
        <w:t>FilterObjects</w:t>
      </w:r>
      <w:proofErr w:type="spellEnd"/>
      <w:r w:rsidR="00CC01DF">
        <w:t>’</w:t>
      </w:r>
      <w:r>
        <w:t xml:space="preserve">, and </w:t>
      </w:r>
      <w:r w:rsidR="00CC01DF">
        <w:t>‘</w:t>
      </w:r>
      <w:proofErr w:type="spellStart"/>
      <w:r w:rsidRPr="00D37F04">
        <w:rPr>
          <w:b/>
          <w:bCs/>
        </w:rPr>
        <w:t>ExportToSpreadsheet</w:t>
      </w:r>
      <w:proofErr w:type="spellEnd"/>
      <w:r w:rsidR="00CC01DF">
        <w:t>’</w:t>
      </w:r>
      <w:r>
        <w:t xml:space="preserve">. Create unique </w:t>
      </w:r>
      <w:r w:rsidR="00D441A0">
        <w:t xml:space="preserve">modules </w:t>
      </w:r>
      <w:r>
        <w:t xml:space="preserve">for brightfield images and each fluorescent filter for droplets. </w:t>
      </w:r>
    </w:p>
    <w:p w14:paraId="1562F88F" w14:textId="77777777" w:rsidR="002F6164" w:rsidRDefault="002F6164" w:rsidP="006A1488">
      <w:pPr>
        <w:pStyle w:val="ListParagraph"/>
        <w:ind w:left="0"/>
      </w:pPr>
    </w:p>
    <w:p w14:paraId="6C714292" w14:textId="7F2FDC60" w:rsidR="00B43B8E" w:rsidRDefault="00CC01DF" w:rsidP="006A1488">
      <w:pPr>
        <w:pStyle w:val="ListParagraph"/>
        <w:widowControl/>
        <w:numPr>
          <w:ilvl w:val="2"/>
          <w:numId w:val="19"/>
        </w:numPr>
        <w:autoSpaceDE/>
        <w:autoSpaceDN/>
        <w:adjustRightInd/>
      </w:pPr>
      <w:r>
        <w:t>Rescale image intensity scale from 0 to 1 for each fluorescent image group. Then s</w:t>
      </w:r>
      <w:r w:rsidR="002F6164">
        <w:t>et</w:t>
      </w:r>
      <w:r w:rsidR="00D37F04">
        <w:t xml:space="preserve"> the</w:t>
      </w:r>
      <w:r w:rsidR="002F6164">
        <w:t xml:space="preserve"> threshold </w:t>
      </w:r>
      <w:r w:rsidR="00D441A0">
        <w:t xml:space="preserve">to identify and count the objects above the established threshold. </w:t>
      </w:r>
      <w:r>
        <w:t>If necessary, add ‘</w:t>
      </w:r>
      <w:proofErr w:type="spellStart"/>
      <w:r w:rsidRPr="00D37F04">
        <w:rPr>
          <w:b/>
          <w:bCs/>
        </w:rPr>
        <w:t>ExpandOrShrinkObjects</w:t>
      </w:r>
      <w:proofErr w:type="spellEnd"/>
      <w:r>
        <w:t xml:space="preserve">’ module to </w:t>
      </w:r>
      <w:r w:rsidR="00AD4255">
        <w:t>shrink objects to facilitate the counting and identification of droplets in brightfield.</w:t>
      </w:r>
    </w:p>
    <w:p w14:paraId="090D1002" w14:textId="77777777" w:rsidR="00B43B8E" w:rsidRDefault="00B43B8E" w:rsidP="006A1488">
      <w:pPr>
        <w:pStyle w:val="ListParagraph"/>
        <w:ind w:left="0"/>
      </w:pPr>
    </w:p>
    <w:p w14:paraId="76BD53EA" w14:textId="3E15F444" w:rsidR="00D441A0" w:rsidRDefault="00CC01DF" w:rsidP="006A1488">
      <w:pPr>
        <w:pStyle w:val="ListParagraph"/>
        <w:widowControl/>
        <w:numPr>
          <w:ilvl w:val="2"/>
          <w:numId w:val="19"/>
        </w:numPr>
        <w:autoSpaceDE/>
        <w:autoSpaceDN/>
        <w:adjustRightInd/>
      </w:pPr>
      <w:r>
        <w:t xml:space="preserve">Only identify objects within selected size of 20-30 pixels and </w:t>
      </w:r>
      <w:r w:rsidR="00D441A0">
        <w:t xml:space="preserve">filter the counted objects </w:t>
      </w:r>
      <w:r w:rsidR="00FC5768">
        <w:t xml:space="preserve">to </w:t>
      </w:r>
      <w:r w:rsidR="00D441A0">
        <w:t>only retain those objects with a specific diameter (i</w:t>
      </w:r>
      <w:r w:rsidR="00D37F04">
        <w:t>.</w:t>
      </w:r>
      <w:r w:rsidR="00D441A0">
        <w:t>e.</w:t>
      </w:r>
      <w:r w:rsidR="00D37F04">
        <w:t>,</w:t>
      </w:r>
      <w:r w:rsidR="00D441A0">
        <w:t xml:space="preserve"> droplets in the 75</w:t>
      </w:r>
      <w:r w:rsidR="00561B3F">
        <w:t xml:space="preserve"> </w:t>
      </w:r>
      <w:r w:rsidR="00561B3F">
        <w:rPr>
          <w:rFonts w:cstheme="minorHAnsi"/>
        </w:rPr>
        <w:t>µ</w:t>
      </w:r>
      <w:r w:rsidR="00D441A0">
        <w:t>m diameter range) and a round spherical eccentricity</w:t>
      </w:r>
      <w:r>
        <w:t xml:space="preserve"> of 0.5 and below</w:t>
      </w:r>
      <w:r w:rsidR="00D441A0">
        <w:t xml:space="preserve">. </w:t>
      </w:r>
    </w:p>
    <w:p w14:paraId="1B92500D" w14:textId="77777777" w:rsidR="00B43B8E" w:rsidRDefault="00B43B8E" w:rsidP="006A1488">
      <w:pPr>
        <w:pStyle w:val="ListParagraph"/>
        <w:widowControl/>
        <w:autoSpaceDE/>
        <w:autoSpaceDN/>
        <w:adjustRightInd/>
        <w:ind w:left="0"/>
      </w:pPr>
    </w:p>
    <w:p w14:paraId="58492F84" w14:textId="3A77657E" w:rsidR="00D441A0" w:rsidRDefault="00FC5768" w:rsidP="006A1488">
      <w:pPr>
        <w:pStyle w:val="ListParagraph"/>
        <w:widowControl/>
        <w:numPr>
          <w:ilvl w:val="2"/>
          <w:numId w:val="19"/>
        </w:numPr>
        <w:autoSpaceDE/>
        <w:autoSpaceDN/>
        <w:adjustRightInd/>
      </w:pPr>
      <w:r>
        <w:t>Export t</w:t>
      </w:r>
      <w:r w:rsidR="00D441A0">
        <w:t xml:space="preserve">he results to a table that lists the total droplet count from brightfield images, as well as droplet counts of </w:t>
      </w:r>
      <w:r w:rsidR="00CC01DF">
        <w:t xml:space="preserve">all the </w:t>
      </w:r>
      <w:r w:rsidR="00D441A0">
        <w:t>fluorescent channels used; namely Cy5 for C-LESS gene, HEX for methylated CD3Z gene, and FAM for methylated FOXP3 gene</w:t>
      </w:r>
      <w:r w:rsidR="001A75A9">
        <w:t xml:space="preserve"> (see </w:t>
      </w:r>
      <w:r w:rsidR="001A75A9" w:rsidRPr="00D37F04">
        <w:rPr>
          <w:b/>
          <w:bCs/>
        </w:rPr>
        <w:t>Supplementary Information</w:t>
      </w:r>
      <w:r w:rsidR="001A75A9">
        <w:t xml:space="preserve"> for raw </w:t>
      </w:r>
      <w:r w:rsidR="00551FC6">
        <w:t xml:space="preserve">experimental </w:t>
      </w:r>
      <w:r w:rsidR="001A75A9">
        <w:t>data</w:t>
      </w:r>
      <w:r w:rsidR="00551FC6">
        <w:t xml:space="preserve"> obtained for the presented </w:t>
      </w:r>
      <w:proofErr w:type="spellStart"/>
      <w:r w:rsidR="00551FC6">
        <w:t>mdPCR</w:t>
      </w:r>
      <w:proofErr w:type="spellEnd"/>
      <w:r w:rsidR="00551FC6">
        <w:t xml:space="preserve"> assay</w:t>
      </w:r>
      <w:r w:rsidR="001A75A9">
        <w:t>)</w:t>
      </w:r>
      <w:r w:rsidR="00D441A0">
        <w:t xml:space="preserve">. </w:t>
      </w:r>
    </w:p>
    <w:p w14:paraId="5A5D4CC0" w14:textId="77777777" w:rsidR="00B43B8E" w:rsidRDefault="00B43B8E" w:rsidP="006A1488">
      <w:pPr>
        <w:pStyle w:val="ListParagraph"/>
        <w:widowControl/>
        <w:autoSpaceDE/>
        <w:autoSpaceDN/>
        <w:adjustRightInd/>
        <w:ind w:left="0"/>
      </w:pPr>
    </w:p>
    <w:p w14:paraId="22FED460" w14:textId="3C33BA8D" w:rsidR="00D37F04" w:rsidRDefault="00FC5768" w:rsidP="00D37F04">
      <w:pPr>
        <w:pStyle w:val="ListParagraph"/>
        <w:widowControl/>
        <w:numPr>
          <w:ilvl w:val="2"/>
          <w:numId w:val="19"/>
        </w:numPr>
        <w:autoSpaceDE/>
        <w:autoSpaceDN/>
        <w:adjustRightInd/>
      </w:pPr>
      <w:r>
        <w:t>Calculate t</w:t>
      </w:r>
      <w:r w:rsidR="00ED12E9">
        <w:t xml:space="preserve">he ratio of negative droplets for each gene target and </w:t>
      </w:r>
      <w:r>
        <w:t xml:space="preserve">apply </w:t>
      </w:r>
      <w:r w:rsidR="00ED12E9">
        <w:t xml:space="preserve">Poisson distribution to obtain the respective copies per droplet (CPD) using </w:t>
      </w:r>
      <w:r w:rsidR="00481D18">
        <w:t>E</w:t>
      </w:r>
      <w:r w:rsidR="00ED12E9">
        <w:t>quation</w:t>
      </w:r>
      <w:r w:rsidR="00481D18">
        <w:t xml:space="preserve"> </w:t>
      </w:r>
      <w:r w:rsidR="00D37F04">
        <w:t>1</w:t>
      </w:r>
    </w:p>
    <w:p w14:paraId="07D6774C" w14:textId="77777777" w:rsidR="00D37F04" w:rsidRDefault="00D37F04" w:rsidP="006A1488">
      <w:pPr>
        <w:pStyle w:val="ListParagraph"/>
        <w:ind w:left="0"/>
      </w:pPr>
    </w:p>
    <w:p w14:paraId="7CE80E5C" w14:textId="6ECB49AD" w:rsidR="00D37F04" w:rsidRDefault="00481D18" w:rsidP="006A1488">
      <w:pPr>
        <w:pStyle w:val="ListParagraph"/>
        <w:ind w:left="0"/>
      </w:pPr>
      <w:r>
        <w:t xml:space="preserve"> </w:t>
      </w:r>
      <m:oMath>
        <m:r>
          <w:rPr>
            <w:rFonts w:ascii="Cambria Math" w:hAnsi="Cambria Math"/>
          </w:rPr>
          <m:t>P(X=x) = (λ^x e^(-λ))/x</m:t>
        </m:r>
      </m:oMath>
      <w:r>
        <w:t xml:space="preserve">, </w:t>
      </w:r>
    </w:p>
    <w:p w14:paraId="60E24897" w14:textId="77777777" w:rsidR="00D37F04" w:rsidRDefault="00D37F04" w:rsidP="006A1488">
      <w:pPr>
        <w:pStyle w:val="ListParagraph"/>
        <w:ind w:left="0"/>
      </w:pPr>
    </w:p>
    <w:p w14:paraId="62D4F756" w14:textId="456222EA" w:rsidR="00ED12E9" w:rsidRDefault="00481D18" w:rsidP="006A1488">
      <w:pPr>
        <w:pStyle w:val="ListParagraph"/>
        <w:ind w:left="0"/>
      </w:pPr>
      <w:r>
        <w:t xml:space="preserve">where x represents the number of droplets containing 0, 1, 2 or more molecules, and λ represents the CPD value. </w:t>
      </w:r>
    </w:p>
    <w:p w14:paraId="7749B4CC" w14:textId="77777777" w:rsidR="00ED12E9" w:rsidRDefault="00ED12E9" w:rsidP="006A1488">
      <w:pPr>
        <w:pStyle w:val="ListParagraph"/>
        <w:widowControl/>
        <w:autoSpaceDE/>
        <w:autoSpaceDN/>
        <w:adjustRightInd/>
        <w:ind w:left="0"/>
      </w:pPr>
    </w:p>
    <w:p w14:paraId="4FBDC842" w14:textId="1A1461DC" w:rsidR="00ED12E9" w:rsidRDefault="00481D18" w:rsidP="006A1488">
      <w:pPr>
        <w:pStyle w:val="ListParagraph"/>
        <w:widowControl/>
        <w:numPr>
          <w:ilvl w:val="2"/>
          <w:numId w:val="19"/>
        </w:numPr>
        <w:autoSpaceDE/>
        <w:autoSpaceDN/>
        <w:adjustRightInd/>
      </w:pPr>
      <w:r>
        <w:t>Calculate</w:t>
      </w:r>
      <w:r w:rsidR="00ED12E9">
        <w:t xml:space="preserve">, </w:t>
      </w:r>
      <w:r>
        <w:t xml:space="preserve">the </w:t>
      </w:r>
      <w:r w:rsidR="00ED12E9">
        <w:t xml:space="preserve">absolute target concentration by taking the ratio of the CPD value and the droplet volume obtained in </w:t>
      </w:r>
      <w:r w:rsidR="00ED12E9" w:rsidRPr="002639FA">
        <w:t xml:space="preserve">step </w:t>
      </w:r>
      <w:r w:rsidR="00ED12E9" w:rsidRPr="00B95165">
        <w:t>5.20</w:t>
      </w:r>
      <w:r w:rsidR="00D37F04">
        <w:t xml:space="preserve"> with Equation 2</w:t>
      </w:r>
      <w:r w:rsidR="00ED12E9" w:rsidRPr="002639FA">
        <w:t>.</w:t>
      </w:r>
    </w:p>
    <w:p w14:paraId="42E5F396" w14:textId="77777777" w:rsidR="00D37F04" w:rsidRDefault="00D37F04" w:rsidP="006A1488">
      <w:pPr>
        <w:pStyle w:val="ListParagraph"/>
        <w:ind w:left="0"/>
      </w:pPr>
    </w:p>
    <w:p w14:paraId="2A467AB0" w14:textId="77777777" w:rsidR="00D37F04" w:rsidRDefault="00D37F04" w:rsidP="006A1488">
      <w:pPr>
        <w:pStyle w:val="ListParagraph"/>
        <w:ind w:left="0"/>
      </w:pPr>
      <m:oMath>
        <m:r>
          <w:rPr>
            <w:rFonts w:ascii="Cambria Math" w:hAnsi="Cambria Math"/>
          </w:rPr>
          <m:t>λ = CPD = -ln(1-p)</m:t>
        </m:r>
      </m:oMath>
      <w:r w:rsidR="00481D18">
        <w:t xml:space="preserve">, </w:t>
      </w:r>
    </w:p>
    <w:p w14:paraId="3EA8E941" w14:textId="77777777" w:rsidR="00D37F04" w:rsidRDefault="00D37F04" w:rsidP="006A1488">
      <w:pPr>
        <w:pStyle w:val="ListParagraph"/>
        <w:ind w:left="0"/>
      </w:pPr>
    </w:p>
    <w:p w14:paraId="3DFD436F" w14:textId="1195E618" w:rsidR="00481D18" w:rsidRDefault="00481D18" w:rsidP="006A1488">
      <w:pPr>
        <w:pStyle w:val="ListParagraph"/>
        <w:ind w:left="0"/>
      </w:pPr>
      <w:r>
        <w:t>where the value (1-p) represents the fraction of negative droplets.</w:t>
      </w:r>
    </w:p>
    <w:p w14:paraId="66F3A394" w14:textId="77777777" w:rsidR="00B43B8E" w:rsidRDefault="00B43B8E" w:rsidP="006A1488">
      <w:pPr>
        <w:pStyle w:val="ListParagraph"/>
        <w:widowControl/>
        <w:autoSpaceDE/>
        <w:autoSpaceDN/>
        <w:adjustRightInd/>
        <w:ind w:left="0"/>
      </w:pPr>
    </w:p>
    <w:p w14:paraId="3C3671D4" w14:textId="41A77971" w:rsidR="00D441A0" w:rsidRDefault="00481D18" w:rsidP="006A1488">
      <w:pPr>
        <w:pStyle w:val="ListParagraph"/>
        <w:widowControl/>
        <w:numPr>
          <w:ilvl w:val="2"/>
          <w:numId w:val="19"/>
        </w:numPr>
        <w:autoSpaceDE/>
        <w:autoSpaceDN/>
        <w:adjustRightInd/>
      </w:pPr>
      <w:r>
        <w:lastRenderedPageBreak/>
        <w:t>C</w:t>
      </w:r>
      <w:r w:rsidR="00D441A0">
        <w:t>alculate the percentage of CD3</w:t>
      </w:r>
      <w:r w:rsidR="00D441A0" w:rsidRPr="001748DD">
        <w:rPr>
          <w:vertAlign w:val="superscript"/>
        </w:rPr>
        <w:t>+</w:t>
      </w:r>
      <w:r w:rsidR="00D441A0">
        <w:t xml:space="preserve"> T-Cells and CD4</w:t>
      </w:r>
      <w:r w:rsidR="00D441A0" w:rsidRPr="001748DD">
        <w:rPr>
          <w:vertAlign w:val="superscript"/>
        </w:rPr>
        <w:t>+</w:t>
      </w:r>
      <w:r w:rsidR="00D441A0">
        <w:t xml:space="preserve"> </w:t>
      </w:r>
      <w:r w:rsidR="00CC3F47">
        <w:t>CD</w:t>
      </w:r>
      <w:r w:rsidR="00D441A0">
        <w:t>25</w:t>
      </w:r>
      <w:r w:rsidR="00D441A0" w:rsidRPr="001748DD">
        <w:rPr>
          <w:vertAlign w:val="superscript"/>
        </w:rPr>
        <w:t>+</w:t>
      </w:r>
      <w:r w:rsidR="00D441A0">
        <w:t xml:space="preserve"> T-Regs</w:t>
      </w:r>
      <w:r>
        <w:t xml:space="preserve"> by dividing</w:t>
      </w:r>
      <w:r w:rsidR="00D441A0">
        <w:t xml:space="preserve"> the respective CPD values of methylated CD3Z and FOXP3 genes by the C-LESS – or total cell – CPD value</w:t>
      </w:r>
      <w:r w:rsidR="001A75A9">
        <w:t xml:space="preserve"> (see </w:t>
      </w:r>
      <w:r w:rsidR="001A75A9" w:rsidRPr="00D37F04">
        <w:rPr>
          <w:b/>
          <w:bCs/>
        </w:rPr>
        <w:t>Supplementary Information</w:t>
      </w:r>
      <w:r w:rsidR="001A75A9">
        <w:t xml:space="preserve"> for CPD calculations from raw data)</w:t>
      </w:r>
      <w:r w:rsidR="00D441A0">
        <w:t xml:space="preserve">. </w:t>
      </w:r>
    </w:p>
    <w:p w14:paraId="78E904EA" w14:textId="77777777" w:rsidR="00B43B8E" w:rsidRDefault="00B43B8E" w:rsidP="006A1488">
      <w:pPr>
        <w:pStyle w:val="ListParagraph"/>
        <w:widowControl/>
        <w:autoSpaceDE/>
        <w:autoSpaceDN/>
        <w:adjustRightInd/>
        <w:ind w:left="0"/>
      </w:pPr>
    </w:p>
    <w:p w14:paraId="6AEEB3E6" w14:textId="5477F72F" w:rsidR="0009211E" w:rsidRPr="00B43B8E" w:rsidRDefault="00481D18" w:rsidP="006A1488">
      <w:pPr>
        <w:pStyle w:val="ListParagraph"/>
        <w:widowControl/>
        <w:numPr>
          <w:ilvl w:val="2"/>
          <w:numId w:val="19"/>
        </w:numPr>
        <w:autoSpaceDE/>
        <w:autoSpaceDN/>
        <w:adjustRightInd/>
      </w:pPr>
      <w:r>
        <w:t>Compare t</w:t>
      </w:r>
      <w:r w:rsidR="00D441A0">
        <w:t>hese percent values to those obtained from immunofluorescence imaging using antibodies for CD3</w:t>
      </w:r>
      <w:r w:rsidR="00D441A0" w:rsidRPr="00F115A4">
        <w:rPr>
          <w:vertAlign w:val="superscript"/>
        </w:rPr>
        <w:t>+</w:t>
      </w:r>
      <w:r w:rsidR="00D441A0">
        <w:t xml:space="preserve"> T-Cell and CD4</w:t>
      </w:r>
      <w:r w:rsidR="00D441A0" w:rsidRPr="00F115A4">
        <w:rPr>
          <w:vertAlign w:val="superscript"/>
        </w:rPr>
        <w:t>+</w:t>
      </w:r>
      <w:r w:rsidR="00D441A0">
        <w:t xml:space="preserve"> </w:t>
      </w:r>
      <w:r w:rsidR="00CC3F47">
        <w:t>CD</w:t>
      </w:r>
      <w:r w:rsidR="00D441A0">
        <w:t>25</w:t>
      </w:r>
      <w:r w:rsidR="00D441A0" w:rsidRPr="00F115A4">
        <w:rPr>
          <w:vertAlign w:val="superscript"/>
        </w:rPr>
        <w:t>+</w:t>
      </w:r>
      <w:r w:rsidR="00D441A0">
        <w:t xml:space="preserve"> T-Reg counting.</w:t>
      </w:r>
    </w:p>
    <w:bookmarkEnd w:id="0"/>
    <w:p w14:paraId="496AB0B4" w14:textId="77777777" w:rsidR="001C1E49" w:rsidRPr="001B1519" w:rsidRDefault="001C1E49" w:rsidP="006A1488">
      <w:pPr>
        <w:pStyle w:val="NormalWeb"/>
        <w:spacing w:before="0" w:beforeAutospacing="0" w:after="0" w:afterAutospacing="0"/>
        <w:rPr>
          <w:rFonts w:asciiTheme="minorHAnsi" w:hAnsiTheme="minorHAnsi" w:cstheme="minorHAnsi"/>
          <w:b/>
        </w:rPr>
      </w:pPr>
    </w:p>
    <w:p w14:paraId="3E79FCA8" w14:textId="059366C8" w:rsidR="006305D7" w:rsidRPr="001B1519" w:rsidRDefault="006305D7" w:rsidP="006A148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6868940" w14:textId="2E4636E8" w:rsidR="00872D65" w:rsidRDefault="0012185F" w:rsidP="006A1488">
      <w:r>
        <w:t xml:space="preserve">The </w:t>
      </w:r>
      <w:r w:rsidR="00ED12E9">
        <w:t>T</w:t>
      </w:r>
      <w:r>
        <w:t xml:space="preserve">PE-based </w:t>
      </w:r>
      <w:r w:rsidR="00ED12E9">
        <w:t xml:space="preserve">microfluidic droplet generator device </w:t>
      </w:r>
      <w:r w:rsidR="00B47EF5">
        <w:t>wa</w:t>
      </w:r>
      <w:r w:rsidR="00ED12E9">
        <w:t xml:space="preserve">s fabricated using the described protocol as shown in </w:t>
      </w:r>
      <w:r w:rsidR="00ED12E9" w:rsidRPr="00FF20FA">
        <w:rPr>
          <w:b/>
        </w:rPr>
        <w:t>Figure 1</w:t>
      </w:r>
      <w:r w:rsidR="00ED12E9">
        <w:t xml:space="preserve">. </w:t>
      </w:r>
      <w:r w:rsidR="00ED12E9" w:rsidRPr="00B95165">
        <w:t xml:space="preserve">A transparency mask </w:t>
      </w:r>
      <w:r w:rsidR="00B47EF5">
        <w:t>wa</w:t>
      </w:r>
      <w:r w:rsidR="00ED12E9" w:rsidRPr="00B95165">
        <w:t xml:space="preserve">s used in photolithography to obtain silicon (Si) master. Soft lithography </w:t>
      </w:r>
      <w:r w:rsidR="00B47EF5">
        <w:t>wa</w:t>
      </w:r>
      <w:r w:rsidR="00ED12E9" w:rsidRPr="00B95165">
        <w:t xml:space="preserve">s performed to obtain an inverse PDMS replica of the Si master which </w:t>
      </w:r>
      <w:r w:rsidR="00B47EF5">
        <w:t>wa</w:t>
      </w:r>
      <w:r w:rsidR="00ED12E9" w:rsidRPr="00B95165">
        <w:t xml:space="preserve">s then used to fabricate the epoxy mold. Epoxy precursor </w:t>
      </w:r>
      <w:r w:rsidR="00B47EF5">
        <w:t>wa</w:t>
      </w:r>
      <w:r w:rsidR="00ED12E9" w:rsidRPr="00B95165">
        <w:t xml:space="preserve">s poured onto the PDMS and cured to crosslink and harden. This mold, representing the exact replica of the Si master </w:t>
      </w:r>
      <w:r w:rsidR="00B47EF5">
        <w:t>wa</w:t>
      </w:r>
      <w:r w:rsidR="00ED12E9" w:rsidRPr="00B95165">
        <w:t xml:space="preserve">s more resilient for subsequent thermoforming of thermoplastics using hot embossing. Once the epoxy mold </w:t>
      </w:r>
      <w:r w:rsidR="00B47EF5">
        <w:t>wa</w:t>
      </w:r>
      <w:r w:rsidR="00ED12E9" w:rsidRPr="00B95165">
        <w:t xml:space="preserve">s obtained, thermoplastic elastomer </w:t>
      </w:r>
      <w:r w:rsidR="00B47EF5">
        <w:t>wa</w:t>
      </w:r>
      <w:r w:rsidR="00ED12E9" w:rsidRPr="00B95165">
        <w:t xml:space="preserve">s embossed. Following the embossing, the TPE </w:t>
      </w:r>
      <w:r w:rsidR="00B47EF5">
        <w:t>wa</w:t>
      </w:r>
      <w:r w:rsidR="00ED12E9" w:rsidRPr="00B95165">
        <w:t xml:space="preserve">s demolded, and devices </w:t>
      </w:r>
      <w:r w:rsidR="00B47EF5">
        <w:t>wer</w:t>
      </w:r>
      <w:r w:rsidR="00ED12E9" w:rsidRPr="00B95165">
        <w:t xml:space="preserve">e cut. A flat TPE substrate </w:t>
      </w:r>
      <w:r w:rsidR="00B47EF5">
        <w:t>wa</w:t>
      </w:r>
      <w:r w:rsidR="00ED12E9" w:rsidRPr="00B95165">
        <w:t xml:space="preserve">s used to seal the device. Holes </w:t>
      </w:r>
      <w:r w:rsidR="00B47EF5">
        <w:t>wer</w:t>
      </w:r>
      <w:r w:rsidR="00ED12E9" w:rsidRPr="00B95165">
        <w:t xml:space="preserve">e punched in the top cover, and the two substrates </w:t>
      </w:r>
      <w:r w:rsidR="00B47EF5">
        <w:t>we</w:t>
      </w:r>
      <w:r w:rsidR="00ED12E9" w:rsidRPr="00B95165">
        <w:t>re bonded. Finally, the necessary tubing for world</w:t>
      </w:r>
      <w:r w:rsidR="00F92D54">
        <w:t>-</w:t>
      </w:r>
      <w:r w:rsidR="00ED12E9" w:rsidRPr="00B95165">
        <w:t>to</w:t>
      </w:r>
      <w:r w:rsidR="00F92D54">
        <w:t>-</w:t>
      </w:r>
      <w:r w:rsidR="00ED12E9" w:rsidRPr="00B95165">
        <w:t xml:space="preserve">chip connections </w:t>
      </w:r>
      <w:r w:rsidR="00B47EF5">
        <w:t>we</w:t>
      </w:r>
      <w:r w:rsidR="00ED12E9" w:rsidRPr="00B95165">
        <w:t xml:space="preserve">re inserted and the device </w:t>
      </w:r>
      <w:r w:rsidR="00B47EF5">
        <w:t>wa</w:t>
      </w:r>
      <w:r w:rsidR="00ED12E9" w:rsidRPr="00B95165">
        <w:t>s ready for use.</w:t>
      </w:r>
      <w:r w:rsidR="00ED12E9">
        <w:t xml:space="preserve"> Sample images of fabricated master mold, TPE material and embossed devices are shown in </w:t>
      </w:r>
      <w:r w:rsidR="00ED12E9" w:rsidRPr="00FF20FA">
        <w:rPr>
          <w:b/>
        </w:rPr>
        <w:t>Figure 2</w:t>
      </w:r>
      <w:r w:rsidR="00ED12E9">
        <w:t xml:space="preserve">. Assembled device with tubing interconnects </w:t>
      </w:r>
      <w:r w:rsidR="00B47EF5">
        <w:t>wa</w:t>
      </w:r>
      <w:r w:rsidR="00ED12E9">
        <w:t xml:space="preserve">s operated with a pair of independent programmable syringe pumps to generate emulsions for </w:t>
      </w:r>
      <w:proofErr w:type="spellStart"/>
      <w:r w:rsidR="00D05913">
        <w:t>mdPCR</w:t>
      </w:r>
      <w:proofErr w:type="spellEnd"/>
      <w:r w:rsidR="00ED12E9">
        <w:t xml:space="preserve">. </w:t>
      </w:r>
      <w:r w:rsidR="008B33E5">
        <w:t xml:space="preserve">Methylation-specific </w:t>
      </w:r>
      <w:proofErr w:type="spellStart"/>
      <w:r w:rsidR="008B33E5">
        <w:t>mdPCR</w:t>
      </w:r>
      <w:proofErr w:type="spellEnd"/>
      <w:r w:rsidR="008B33E5">
        <w:t xml:space="preserve"> </w:t>
      </w:r>
      <w:r w:rsidR="00B47EF5">
        <w:t>wa</w:t>
      </w:r>
      <w:r w:rsidR="008B33E5">
        <w:t xml:space="preserve">s performed using bisulfite treated DNA extracted from frozen PBMCs. Appropriate primers and hydrolysis probes for CD3Z, FOXP3, and C-Less genes </w:t>
      </w:r>
      <w:r w:rsidR="00B47EF5">
        <w:t>wer</w:t>
      </w:r>
      <w:r w:rsidR="008B33E5">
        <w:t xml:space="preserve">e added to the PCR mix for emulsification. </w:t>
      </w:r>
      <w:r w:rsidR="00ED12E9">
        <w:t xml:space="preserve">Following droplet generation of appropriate size (approximately 72 </w:t>
      </w:r>
      <w:proofErr w:type="spellStart"/>
      <w:r w:rsidR="00ED12E9">
        <w:t>μm</w:t>
      </w:r>
      <w:proofErr w:type="spellEnd"/>
      <w:r w:rsidR="00ED12E9">
        <w:t xml:space="preserve"> diameter), the emulsion </w:t>
      </w:r>
      <w:r w:rsidR="00B47EF5">
        <w:t>wa</w:t>
      </w:r>
      <w:r w:rsidR="00ED12E9">
        <w:t xml:space="preserve">s subjected to a thermal cycling protocol. Finally, the droplets </w:t>
      </w:r>
      <w:r w:rsidR="00B47EF5">
        <w:t>wer</w:t>
      </w:r>
      <w:r w:rsidR="00ED12E9">
        <w:t xml:space="preserve">e introduced into a glass capillary </w:t>
      </w:r>
      <w:r w:rsidR="008B33E5">
        <w:t xml:space="preserve">having 1 mm width and </w:t>
      </w:r>
      <w:r w:rsidR="00ED12E9">
        <w:t xml:space="preserve">50 </w:t>
      </w:r>
      <w:r w:rsidR="00ED12E9" w:rsidRPr="00443059">
        <w:rPr>
          <w:rFonts w:cs="Arial"/>
        </w:rPr>
        <w:t>µ</w:t>
      </w:r>
      <w:r w:rsidR="00ED12E9">
        <w:rPr>
          <w:rFonts w:cs="Arial"/>
        </w:rPr>
        <w:t>m height for</w:t>
      </w:r>
      <w:r w:rsidR="00ED12E9">
        <w:t xml:space="preserve"> imaging. This results in a monolayer distribution of droplets ideal for fluorescence image acquisition (</w:t>
      </w:r>
      <w:r w:rsidR="00ED12E9" w:rsidRPr="000743BC">
        <w:rPr>
          <w:b/>
        </w:rPr>
        <w:t xml:space="preserve">Figure </w:t>
      </w:r>
      <w:r w:rsidR="00ED12E9">
        <w:rPr>
          <w:b/>
        </w:rPr>
        <w:t>3</w:t>
      </w:r>
      <w:r w:rsidR="00ED12E9">
        <w:t xml:space="preserve">). Images </w:t>
      </w:r>
      <w:r w:rsidR="00B47EF5">
        <w:t>wer</w:t>
      </w:r>
      <w:r w:rsidR="00ED12E9">
        <w:t>e recorded for each of the four wavelengths.</w:t>
      </w:r>
      <w:r w:rsidR="00872D65">
        <w:t xml:space="preserve"> </w:t>
      </w:r>
      <w:r w:rsidR="00481D18">
        <w:t xml:space="preserve">An image analysis </w:t>
      </w:r>
      <w:r w:rsidR="00B47EF5">
        <w:t>wa</w:t>
      </w:r>
      <w:r w:rsidR="00076880">
        <w:t xml:space="preserve">s then </w:t>
      </w:r>
      <w:r w:rsidR="00B47EF5">
        <w:t xml:space="preserve">performed </w:t>
      </w:r>
      <w:r w:rsidR="00076880">
        <w:t>to identify all droplets (</w:t>
      </w:r>
      <w:r w:rsidR="00076880" w:rsidRPr="00076880">
        <w:rPr>
          <w:b/>
          <w:bCs/>
        </w:rPr>
        <w:t xml:space="preserve">Figure </w:t>
      </w:r>
      <w:r w:rsidR="00ED12E9">
        <w:rPr>
          <w:b/>
          <w:bCs/>
        </w:rPr>
        <w:t>4</w:t>
      </w:r>
      <w:r w:rsidR="00076880">
        <w:t>) meeting the threshold criteria established through ‘</w:t>
      </w:r>
      <w:proofErr w:type="spellStart"/>
      <w:r w:rsidR="00076880">
        <w:t>definetherain</w:t>
      </w:r>
      <w:proofErr w:type="spellEnd"/>
      <w:r w:rsidR="00076880">
        <w:t xml:space="preserve">’ algorithm. </w:t>
      </w:r>
      <w:r w:rsidR="00872D65">
        <w:t xml:space="preserve">The fluorescence intensity of all droplets in their respective </w:t>
      </w:r>
      <w:r w:rsidR="008B33E5">
        <w:t xml:space="preserve">fluorophore </w:t>
      </w:r>
      <w:r w:rsidR="00872D65">
        <w:t xml:space="preserve">is then plotted and the threshold of positive and negative droplets </w:t>
      </w:r>
      <w:r w:rsidR="00B47EF5">
        <w:t>wa</w:t>
      </w:r>
      <w:r w:rsidR="00872D65">
        <w:t>s established (</w:t>
      </w:r>
      <w:r w:rsidR="00872D65" w:rsidRPr="005C71A8">
        <w:rPr>
          <w:b/>
        </w:rPr>
        <w:t xml:space="preserve">Figure </w:t>
      </w:r>
      <w:r w:rsidR="00ED12E9">
        <w:rPr>
          <w:b/>
        </w:rPr>
        <w:t>5</w:t>
      </w:r>
      <w:r w:rsidR="00872D65">
        <w:t>). Subsequently, identif</w:t>
      </w:r>
      <w:r w:rsidR="00D37F04">
        <w:t>ication</w:t>
      </w:r>
      <w:r w:rsidR="00872D65">
        <w:t xml:space="preserve"> and count</w:t>
      </w:r>
      <w:r w:rsidR="00D37F04">
        <w:t>ing of</w:t>
      </w:r>
      <w:r w:rsidR="00872D65">
        <w:t xml:space="preserve"> th</w:t>
      </w:r>
      <w:r w:rsidR="00D37F04">
        <w:t>e</w:t>
      </w:r>
      <w:r w:rsidR="00872D65">
        <w:t xml:space="preserve">se droplets </w:t>
      </w:r>
      <w:r w:rsidR="00B47EF5">
        <w:t>wer</w:t>
      </w:r>
      <w:r w:rsidR="00D37F04">
        <w:t xml:space="preserve">e performed which </w:t>
      </w:r>
      <w:r w:rsidR="00B47EF5">
        <w:t>wer</w:t>
      </w:r>
      <w:r w:rsidR="00D37F04">
        <w:t xml:space="preserve">e </w:t>
      </w:r>
      <w:r w:rsidR="00872D65">
        <w:t xml:space="preserve">above the selected threshold. The CPD values </w:t>
      </w:r>
      <w:r w:rsidR="00B47EF5">
        <w:t>wer</w:t>
      </w:r>
      <w:r w:rsidR="00872D65">
        <w:t xml:space="preserve">e then calculated and </w:t>
      </w:r>
      <w:r w:rsidR="00F92D54">
        <w:t xml:space="preserve">the </w:t>
      </w:r>
      <w:r w:rsidR="00872D65">
        <w:t>percent</w:t>
      </w:r>
      <w:r w:rsidR="00F92D54">
        <w:t>age</w:t>
      </w:r>
      <w:r w:rsidR="00872D65">
        <w:t xml:space="preserve"> of CD3</w:t>
      </w:r>
      <w:r w:rsidR="00872D65" w:rsidRPr="00D1739C">
        <w:rPr>
          <w:vertAlign w:val="superscript"/>
        </w:rPr>
        <w:t>+</w:t>
      </w:r>
      <w:r w:rsidR="00872D65">
        <w:t xml:space="preserve"> T-Cell and CD4</w:t>
      </w:r>
      <w:r w:rsidR="00872D65" w:rsidRPr="00D1739C">
        <w:rPr>
          <w:vertAlign w:val="superscript"/>
        </w:rPr>
        <w:t>+</w:t>
      </w:r>
      <w:r w:rsidR="00872D65">
        <w:t xml:space="preserve"> 25</w:t>
      </w:r>
      <w:r w:rsidR="00872D65" w:rsidRPr="00D1739C">
        <w:rPr>
          <w:vertAlign w:val="superscript"/>
        </w:rPr>
        <w:t>+</w:t>
      </w:r>
      <w:r w:rsidR="00872D65">
        <w:t xml:space="preserve"> T-Regs </w:t>
      </w:r>
      <w:r w:rsidR="00B47EF5">
        <w:t>wa</w:t>
      </w:r>
      <w:r w:rsidR="00872D65">
        <w:t xml:space="preserve">s established based on methylated CD3Z and FOXP3 copies, respectively, with respect to </w:t>
      </w:r>
      <w:r w:rsidR="008B33E5">
        <w:t xml:space="preserve">the </w:t>
      </w:r>
      <w:r w:rsidR="00872D65">
        <w:t>CPD of total cells, or C-LESS gene (</w:t>
      </w:r>
      <w:r w:rsidR="00872D65" w:rsidRPr="005C71A8">
        <w:rPr>
          <w:b/>
        </w:rPr>
        <w:t xml:space="preserve">Figure </w:t>
      </w:r>
      <w:r w:rsidR="00ED12E9">
        <w:rPr>
          <w:b/>
        </w:rPr>
        <w:t>6</w:t>
      </w:r>
      <w:r w:rsidR="00872D65">
        <w:t xml:space="preserve">). The percent values </w:t>
      </w:r>
      <w:r w:rsidR="00B47EF5">
        <w:t>wer</w:t>
      </w:r>
      <w:r w:rsidR="00872D65">
        <w:t xml:space="preserve">e then compared to those obtained through immunofluorescence imaging of T-Cell and </w:t>
      </w:r>
      <w:r w:rsidR="00076880">
        <w:t xml:space="preserve">T-Reg </w:t>
      </w:r>
      <w:r w:rsidR="00872D65">
        <w:t xml:space="preserve">populations using appropriate antibodies. </w:t>
      </w:r>
    </w:p>
    <w:p w14:paraId="7F5815FC" w14:textId="3133E33C" w:rsidR="004A71E4" w:rsidRPr="001B1519" w:rsidRDefault="004A71E4" w:rsidP="006A1488">
      <w:pPr>
        <w:rPr>
          <w:rFonts w:asciiTheme="minorHAnsi" w:hAnsiTheme="minorHAnsi" w:cstheme="minorHAnsi"/>
          <w:color w:val="808080" w:themeColor="background1" w:themeShade="80"/>
        </w:rPr>
      </w:pPr>
    </w:p>
    <w:p w14:paraId="3C9083F6" w14:textId="65FEC17D" w:rsidR="00B32616" w:rsidRDefault="00B32616" w:rsidP="006A1488">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951BD43" w14:textId="77777777" w:rsidR="00B43B8E" w:rsidRPr="001B1519" w:rsidRDefault="00B43B8E" w:rsidP="006A1488">
      <w:pPr>
        <w:rPr>
          <w:rFonts w:asciiTheme="minorHAnsi" w:hAnsiTheme="minorHAnsi" w:cstheme="minorHAnsi"/>
          <w:bCs/>
          <w:color w:val="808080"/>
        </w:rPr>
      </w:pPr>
    </w:p>
    <w:p w14:paraId="4B7F9209" w14:textId="1DB4B8D9" w:rsidR="00B43B8E" w:rsidRPr="004F601E" w:rsidRDefault="00B43B8E" w:rsidP="006A1488">
      <w:pPr>
        <w:jc w:val="left"/>
      </w:pPr>
      <w:r w:rsidRPr="004F601E">
        <w:rPr>
          <w:b/>
        </w:rPr>
        <w:t>Table 1</w:t>
      </w:r>
      <w:r w:rsidR="00B47EF5">
        <w:rPr>
          <w:b/>
        </w:rPr>
        <w:t xml:space="preserve">: </w:t>
      </w:r>
      <w:r w:rsidRPr="00B47EF5">
        <w:rPr>
          <w:b/>
          <w:bCs/>
        </w:rPr>
        <w:t xml:space="preserve">Primer and </w:t>
      </w:r>
      <w:r w:rsidR="00632274" w:rsidRPr="00B47EF5">
        <w:rPr>
          <w:b/>
          <w:bCs/>
        </w:rPr>
        <w:t>h</w:t>
      </w:r>
      <w:r w:rsidRPr="00B47EF5">
        <w:rPr>
          <w:b/>
          <w:bCs/>
        </w:rPr>
        <w:t xml:space="preserve">ydrolysis </w:t>
      </w:r>
      <w:r w:rsidR="00632274" w:rsidRPr="00B47EF5">
        <w:rPr>
          <w:b/>
          <w:bCs/>
        </w:rPr>
        <w:t>p</w:t>
      </w:r>
      <w:r w:rsidRPr="00B47EF5">
        <w:rPr>
          <w:b/>
          <w:bCs/>
        </w:rPr>
        <w:t xml:space="preserve">robe </w:t>
      </w:r>
      <w:r w:rsidR="00632274" w:rsidRPr="00B47EF5">
        <w:rPr>
          <w:b/>
          <w:bCs/>
        </w:rPr>
        <w:t>d</w:t>
      </w:r>
      <w:r w:rsidRPr="00B47EF5">
        <w:rPr>
          <w:b/>
          <w:bCs/>
        </w:rPr>
        <w:t>esign</w:t>
      </w:r>
    </w:p>
    <w:p w14:paraId="75182EC3" w14:textId="645CF30A" w:rsidR="00B32616" w:rsidRDefault="00B32616" w:rsidP="006A1488">
      <w:pPr>
        <w:jc w:val="left"/>
        <w:rPr>
          <w:rFonts w:asciiTheme="minorHAnsi" w:hAnsiTheme="minorHAnsi" w:cstheme="minorHAnsi"/>
          <w:color w:val="808080" w:themeColor="background1" w:themeShade="80"/>
        </w:rPr>
      </w:pPr>
    </w:p>
    <w:p w14:paraId="59434557" w14:textId="21674ECD" w:rsidR="00B43B8E" w:rsidRPr="00092F6A" w:rsidRDefault="00B43B8E" w:rsidP="006A1488">
      <w:pPr>
        <w:jc w:val="left"/>
      </w:pPr>
      <w:r w:rsidRPr="00092F6A">
        <w:rPr>
          <w:b/>
        </w:rPr>
        <w:t xml:space="preserve">Table </w:t>
      </w:r>
      <w:r>
        <w:rPr>
          <w:b/>
        </w:rPr>
        <w:t>2</w:t>
      </w:r>
      <w:r w:rsidR="00B47EF5">
        <w:rPr>
          <w:b/>
        </w:rPr>
        <w:t xml:space="preserve">: </w:t>
      </w:r>
      <w:r w:rsidRPr="00B47EF5">
        <w:rPr>
          <w:b/>
          <w:bCs/>
        </w:rPr>
        <w:t xml:space="preserve">Master mix recipe for </w:t>
      </w:r>
      <w:proofErr w:type="spellStart"/>
      <w:r w:rsidR="00D05913" w:rsidRPr="00B47EF5">
        <w:rPr>
          <w:b/>
          <w:bCs/>
        </w:rPr>
        <w:t>mdPCR</w:t>
      </w:r>
      <w:proofErr w:type="spellEnd"/>
    </w:p>
    <w:p w14:paraId="5CE4AE68" w14:textId="5F2D2726" w:rsidR="00B43B8E" w:rsidRDefault="00B43B8E" w:rsidP="006A1488">
      <w:pPr>
        <w:jc w:val="left"/>
        <w:rPr>
          <w:rFonts w:asciiTheme="minorHAnsi" w:hAnsiTheme="minorHAnsi" w:cstheme="minorHAnsi"/>
          <w:color w:val="808080" w:themeColor="background1" w:themeShade="80"/>
        </w:rPr>
      </w:pPr>
    </w:p>
    <w:p w14:paraId="6243D729" w14:textId="2363AC53" w:rsidR="00B43B8E" w:rsidRPr="00B43B8E" w:rsidRDefault="00B43B8E" w:rsidP="006A1488">
      <w:pPr>
        <w:jc w:val="left"/>
      </w:pPr>
      <w:r w:rsidRPr="00092F6A">
        <w:rPr>
          <w:b/>
        </w:rPr>
        <w:lastRenderedPageBreak/>
        <w:t xml:space="preserve">Table </w:t>
      </w:r>
      <w:r>
        <w:rPr>
          <w:b/>
        </w:rPr>
        <w:t>3</w:t>
      </w:r>
      <w:r w:rsidR="00B47EF5">
        <w:rPr>
          <w:b/>
        </w:rPr>
        <w:t>:</w:t>
      </w:r>
      <w:r w:rsidRPr="004F601E">
        <w:t xml:space="preserve"> </w:t>
      </w:r>
      <w:r w:rsidRPr="00B47EF5">
        <w:rPr>
          <w:b/>
          <w:bCs/>
        </w:rPr>
        <w:t>Settings for optical configuration and image acquisition</w:t>
      </w:r>
    </w:p>
    <w:p w14:paraId="42B1B15D" w14:textId="03625A78" w:rsidR="00872D65" w:rsidRDefault="00872D65" w:rsidP="006A1488"/>
    <w:p w14:paraId="433F5BA6" w14:textId="1DC2D5A1" w:rsidR="00ED12E9" w:rsidRDefault="00ED12E9" w:rsidP="006A1488">
      <w:r>
        <w:rPr>
          <w:b/>
        </w:rPr>
        <w:t xml:space="preserve">Figure 1: </w:t>
      </w:r>
      <w:r w:rsidR="00146545">
        <w:rPr>
          <w:b/>
        </w:rPr>
        <w:t xml:space="preserve">Rapid prototyping of the droplet generator. </w:t>
      </w:r>
      <w:r w:rsidRPr="00FF20FA">
        <w:t xml:space="preserve">Schematic illustration of the process used for the fabrication of </w:t>
      </w:r>
      <w:r>
        <w:t>(</w:t>
      </w:r>
      <w:r w:rsidRPr="00B47EF5">
        <w:rPr>
          <w:b/>
          <w:bCs/>
        </w:rPr>
        <w:t>A</w:t>
      </w:r>
      <w:r>
        <w:t>) master mold and (</w:t>
      </w:r>
      <w:r w:rsidRPr="00B47EF5">
        <w:rPr>
          <w:b/>
          <w:bCs/>
        </w:rPr>
        <w:t>B</w:t>
      </w:r>
      <w:r>
        <w:t xml:space="preserve">) </w:t>
      </w:r>
      <w:r w:rsidRPr="00FF20FA">
        <w:t>TPE-based microfluidic emulsification device.</w:t>
      </w:r>
    </w:p>
    <w:p w14:paraId="70ABB79C" w14:textId="77777777" w:rsidR="00ED12E9" w:rsidRDefault="00ED12E9" w:rsidP="006A1488"/>
    <w:p w14:paraId="6F354CFC" w14:textId="4CBDFBD7" w:rsidR="00ED12E9" w:rsidRPr="00B95165" w:rsidRDefault="00ED12E9" w:rsidP="006A1488">
      <w:pPr>
        <w:rPr>
          <w:b/>
        </w:rPr>
      </w:pPr>
      <w:r w:rsidRPr="00FF20FA">
        <w:rPr>
          <w:b/>
        </w:rPr>
        <w:t>Figure 2:</w:t>
      </w:r>
      <w:r>
        <w:t xml:space="preserve"> </w:t>
      </w:r>
      <w:r w:rsidR="00C0026B">
        <w:rPr>
          <w:b/>
        </w:rPr>
        <w:t xml:space="preserve">Components </w:t>
      </w:r>
      <w:r w:rsidRPr="00BE6FED">
        <w:rPr>
          <w:b/>
        </w:rPr>
        <w:t>involved in the fabrication process</w:t>
      </w:r>
      <w:r w:rsidR="00146545" w:rsidRPr="00BE6FED">
        <w:rPr>
          <w:b/>
        </w:rPr>
        <w:t>.</w:t>
      </w:r>
      <w:r>
        <w:t xml:space="preserve"> (</w:t>
      </w:r>
      <w:r w:rsidRPr="00B47EF5">
        <w:rPr>
          <w:b/>
          <w:bCs/>
        </w:rPr>
        <w:t>A</w:t>
      </w:r>
      <w:r>
        <w:t xml:space="preserve">) </w:t>
      </w:r>
      <w:r w:rsidR="00146545">
        <w:t>S</w:t>
      </w:r>
      <w:r>
        <w:t>ilicon master, (</w:t>
      </w:r>
      <w:r w:rsidRPr="00B47EF5">
        <w:rPr>
          <w:b/>
          <w:bCs/>
        </w:rPr>
        <w:t>B</w:t>
      </w:r>
      <w:r>
        <w:t>) PDMS replica, (</w:t>
      </w:r>
      <w:r w:rsidRPr="00B47EF5">
        <w:rPr>
          <w:b/>
          <w:bCs/>
        </w:rPr>
        <w:t>C</w:t>
      </w:r>
      <w:r>
        <w:t>) epoxy mold, (</w:t>
      </w:r>
      <w:r w:rsidRPr="00B47EF5">
        <w:rPr>
          <w:b/>
          <w:bCs/>
        </w:rPr>
        <w:t>D</w:t>
      </w:r>
      <w:r>
        <w:t xml:space="preserve">) </w:t>
      </w:r>
      <w:r w:rsidRPr="00FF5573">
        <w:t>TPE material extruded into sheets and packaged in rolls</w:t>
      </w:r>
      <w:r>
        <w:t>, (</w:t>
      </w:r>
      <w:r w:rsidRPr="00B47EF5">
        <w:rPr>
          <w:b/>
          <w:bCs/>
        </w:rPr>
        <w:t>E</w:t>
      </w:r>
      <w:r>
        <w:t>) embossed TPE and (</w:t>
      </w:r>
      <w:r w:rsidRPr="00B47EF5">
        <w:rPr>
          <w:b/>
          <w:bCs/>
        </w:rPr>
        <w:t>D</w:t>
      </w:r>
      <w:r>
        <w:t xml:space="preserve">) </w:t>
      </w:r>
      <w:r w:rsidRPr="00FF5573">
        <w:t>assembled device</w:t>
      </w:r>
      <w:r>
        <w:t>.</w:t>
      </w:r>
    </w:p>
    <w:p w14:paraId="7585A925" w14:textId="77777777" w:rsidR="00ED12E9" w:rsidRDefault="00ED12E9" w:rsidP="006A1488"/>
    <w:p w14:paraId="35EE0C23" w14:textId="0E516591" w:rsidR="00872D65" w:rsidRDefault="00872D65" w:rsidP="006A1488">
      <w:pPr>
        <w:rPr>
          <w:b/>
        </w:rPr>
      </w:pPr>
      <w:r w:rsidRPr="00FE4E06">
        <w:rPr>
          <w:b/>
        </w:rPr>
        <w:t xml:space="preserve">Figure </w:t>
      </w:r>
      <w:r w:rsidR="00ED12E9">
        <w:rPr>
          <w:b/>
        </w:rPr>
        <w:t>3</w:t>
      </w:r>
      <w:r w:rsidRPr="00FE4E06">
        <w:rPr>
          <w:b/>
        </w:rPr>
        <w:t xml:space="preserve">: Fluorescence image acquisition of droplets following thermal cycling. </w:t>
      </w:r>
      <w:r w:rsidRPr="00FE4E06">
        <w:t>(</w:t>
      </w:r>
      <w:r w:rsidRPr="00B47EF5">
        <w:rPr>
          <w:b/>
          <w:bCs/>
        </w:rPr>
        <w:t>A</w:t>
      </w:r>
      <w:r w:rsidRPr="00FE4E06">
        <w:t>) Brightfield image of the droplets in a capillary that allow</w:t>
      </w:r>
      <w:r w:rsidR="0073570F">
        <w:t>ed</w:t>
      </w:r>
      <w:r w:rsidRPr="00FE4E06">
        <w:t xml:space="preserve"> monolayer image acquisition. (</w:t>
      </w:r>
      <w:r w:rsidRPr="00B47EF5">
        <w:rPr>
          <w:b/>
          <w:bCs/>
        </w:rPr>
        <w:t>B</w:t>
      </w:r>
      <w:r w:rsidRPr="00FE4E06">
        <w:t>) Cy5 filter image of C-LESS gene targets representing total cell count. (</w:t>
      </w:r>
      <w:r w:rsidRPr="00B47EF5">
        <w:rPr>
          <w:b/>
          <w:bCs/>
        </w:rPr>
        <w:t>C</w:t>
      </w:r>
      <w:r w:rsidRPr="00FE4E06">
        <w:t>) HEX filter image of methylated CD3Z gene target correlated to CD3</w:t>
      </w:r>
      <w:r w:rsidRPr="00FE4E06">
        <w:rPr>
          <w:vertAlign w:val="superscript"/>
        </w:rPr>
        <w:t>+</w:t>
      </w:r>
      <w:r w:rsidRPr="00FE4E06">
        <w:t xml:space="preserve"> T-Cell count. (</w:t>
      </w:r>
      <w:r w:rsidRPr="00B47EF5">
        <w:rPr>
          <w:b/>
          <w:bCs/>
        </w:rPr>
        <w:t>D</w:t>
      </w:r>
      <w:r w:rsidRPr="00FE4E06">
        <w:t>) FAM filter image of methylated FOXP3 gene target correlated to CD4</w:t>
      </w:r>
      <w:r w:rsidRPr="00FE4E06">
        <w:rPr>
          <w:vertAlign w:val="superscript"/>
        </w:rPr>
        <w:t>+</w:t>
      </w:r>
      <w:r w:rsidRPr="00FE4E06">
        <w:t xml:space="preserve"> </w:t>
      </w:r>
      <w:r w:rsidR="00CC3F47">
        <w:t>CD</w:t>
      </w:r>
      <w:r w:rsidRPr="00FE4E06">
        <w:t>25</w:t>
      </w:r>
      <w:r w:rsidRPr="00FE4E06">
        <w:rPr>
          <w:vertAlign w:val="superscript"/>
        </w:rPr>
        <w:t>+</w:t>
      </w:r>
      <w:r w:rsidRPr="00FE4E06">
        <w:t xml:space="preserve"> T-Reg count. </w:t>
      </w:r>
      <w:r w:rsidR="007A2FC5">
        <w:t>Scale bar is 100 μm.</w:t>
      </w:r>
    </w:p>
    <w:p w14:paraId="45BAFD48" w14:textId="4E2204DD" w:rsidR="00076880" w:rsidRDefault="00076880" w:rsidP="006A1488">
      <w:pPr>
        <w:rPr>
          <w:b/>
        </w:rPr>
      </w:pPr>
    </w:p>
    <w:p w14:paraId="3E2F67FD" w14:textId="4D1B330C" w:rsidR="00076880" w:rsidRPr="00076880" w:rsidRDefault="00076880" w:rsidP="006A1488">
      <w:r w:rsidRPr="00B25680">
        <w:rPr>
          <w:b/>
        </w:rPr>
        <w:t xml:space="preserve">Figure </w:t>
      </w:r>
      <w:r w:rsidR="00ED12E9">
        <w:rPr>
          <w:b/>
        </w:rPr>
        <w:t>4</w:t>
      </w:r>
      <w:r w:rsidRPr="00B25680">
        <w:rPr>
          <w:b/>
        </w:rPr>
        <w:t xml:space="preserve">: </w:t>
      </w:r>
      <w:r w:rsidR="00B47EF5">
        <w:rPr>
          <w:b/>
        </w:rPr>
        <w:t>P</w:t>
      </w:r>
      <w:r>
        <w:rPr>
          <w:b/>
        </w:rPr>
        <w:t xml:space="preserve">ipeline used for identifying droplets </w:t>
      </w:r>
      <w:r w:rsidR="00481D18">
        <w:rPr>
          <w:b/>
        </w:rPr>
        <w:t xml:space="preserve">that meet </w:t>
      </w:r>
      <w:r>
        <w:rPr>
          <w:b/>
        </w:rPr>
        <w:t>threshold intensity</w:t>
      </w:r>
      <w:r w:rsidRPr="00B25680">
        <w:rPr>
          <w:b/>
        </w:rPr>
        <w:t>.</w:t>
      </w:r>
      <w:r>
        <w:t xml:space="preserve"> Images </w:t>
      </w:r>
      <w:r w:rsidR="00B47EF5">
        <w:t>wer</w:t>
      </w:r>
      <w:r>
        <w:t xml:space="preserve">e first organized into appropriate fluorescent filters using file naming. The images </w:t>
      </w:r>
      <w:r w:rsidR="00B47EF5">
        <w:t>wer</w:t>
      </w:r>
      <w:r>
        <w:t xml:space="preserve">e then converted to grayscale and relative intensities rescaled based on </w:t>
      </w:r>
      <w:r w:rsidR="00B47EF5">
        <w:t xml:space="preserve">the </w:t>
      </w:r>
      <w:r>
        <w:t xml:space="preserve">minimum and maximum droplet fluorescent intensities. The threshold </w:t>
      </w:r>
      <w:r w:rsidR="00B47EF5">
        <w:t>wa</w:t>
      </w:r>
      <w:r>
        <w:t>s then selected according to values obtained from ‘</w:t>
      </w:r>
      <w:proofErr w:type="spellStart"/>
      <w:r>
        <w:t>definetherain</w:t>
      </w:r>
      <w:proofErr w:type="spellEnd"/>
      <w:r>
        <w:t xml:space="preserve">’ algorithm and the objects – or droplets – meeting the defined criteria </w:t>
      </w:r>
      <w:r w:rsidR="00B47EF5">
        <w:t>wer</w:t>
      </w:r>
      <w:r>
        <w:t>e identified and quantified. Finally</w:t>
      </w:r>
      <w:r w:rsidR="00632274">
        <w:t>,</w:t>
      </w:r>
      <w:r>
        <w:t xml:space="preserve"> the objects </w:t>
      </w:r>
      <w:r w:rsidR="00B47EF5">
        <w:t>wer</w:t>
      </w:r>
      <w:r>
        <w:t xml:space="preserve">e filtered according to eccentricity and size to obtain the refined droplet count of spherical objects meeting 75 </w:t>
      </w:r>
      <w:r>
        <w:rPr>
          <w:rFonts w:cstheme="minorHAnsi"/>
        </w:rPr>
        <w:t>µ</w:t>
      </w:r>
      <w:r>
        <w:t xml:space="preserve">m diameter size. The quantified objects and their intensities </w:t>
      </w:r>
      <w:r w:rsidR="00B47EF5">
        <w:t>wer</w:t>
      </w:r>
      <w:r>
        <w:t xml:space="preserve">e then exported to </w:t>
      </w:r>
      <w:r w:rsidR="00B47EF5">
        <w:t>a spreadsheet software</w:t>
      </w:r>
      <w:r>
        <w:t xml:space="preserve"> for downstream analysis.</w:t>
      </w:r>
    </w:p>
    <w:p w14:paraId="651CF075" w14:textId="77777777" w:rsidR="00076880" w:rsidRPr="005C71A8" w:rsidRDefault="00076880" w:rsidP="006A1488">
      <w:pPr>
        <w:rPr>
          <w:b/>
        </w:rPr>
      </w:pPr>
    </w:p>
    <w:p w14:paraId="275687CF" w14:textId="1914F42B" w:rsidR="00872D65" w:rsidRDefault="00872D65" w:rsidP="006A1488">
      <w:r w:rsidRPr="00B25680">
        <w:rPr>
          <w:b/>
        </w:rPr>
        <w:t xml:space="preserve">Figure </w:t>
      </w:r>
      <w:r w:rsidR="00ED12E9">
        <w:rPr>
          <w:b/>
        </w:rPr>
        <w:t>5</w:t>
      </w:r>
      <w:r w:rsidRPr="00B25680">
        <w:rPr>
          <w:b/>
        </w:rPr>
        <w:t xml:space="preserve">: Intensity scatter plots for fluorescent intensity of droplets following </w:t>
      </w:r>
      <w:proofErr w:type="spellStart"/>
      <w:r w:rsidR="00D05913">
        <w:rPr>
          <w:b/>
        </w:rPr>
        <w:t>mdPCR</w:t>
      </w:r>
      <w:proofErr w:type="spellEnd"/>
      <w:r w:rsidRPr="00B25680">
        <w:rPr>
          <w:b/>
        </w:rPr>
        <w:t>.</w:t>
      </w:r>
      <w:r>
        <w:t xml:space="preserve"> (</w:t>
      </w:r>
      <w:r w:rsidRPr="00B47EF5">
        <w:rPr>
          <w:b/>
          <w:bCs/>
        </w:rPr>
        <w:t>A</w:t>
      </w:r>
      <w:r>
        <w:t xml:space="preserve">) C-LESS gene amplification with Cy5 </w:t>
      </w:r>
      <w:r w:rsidR="00955DB4">
        <w:t xml:space="preserve">hydrolysis </w:t>
      </w:r>
      <w:r>
        <w:t xml:space="preserve">probe representing the total cell count as the target region </w:t>
      </w:r>
      <w:r w:rsidR="00B47EF5">
        <w:t>wa</w:t>
      </w:r>
      <w:r>
        <w:t>s devoid of cytosine residues and</w:t>
      </w:r>
      <w:r w:rsidR="00B47EF5">
        <w:t>,</w:t>
      </w:r>
      <w:r>
        <w:t xml:space="preserve"> therefore</w:t>
      </w:r>
      <w:r w:rsidR="00B47EF5">
        <w:t>,</w:t>
      </w:r>
      <w:r>
        <w:t xml:space="preserve"> resistant to bisulfite treatment. (B) Methylated CD3Z gene amplification with HEX </w:t>
      </w:r>
      <w:r w:rsidR="00955DB4">
        <w:t>hydrolysis probe</w:t>
      </w:r>
      <w:r>
        <w:t>, indicative of CD3</w:t>
      </w:r>
      <w:r w:rsidRPr="00D1739C">
        <w:rPr>
          <w:vertAlign w:val="superscript"/>
        </w:rPr>
        <w:t>+</w:t>
      </w:r>
      <w:r>
        <w:t xml:space="preserve"> T-Cell population. (</w:t>
      </w:r>
      <w:r w:rsidRPr="00B47EF5">
        <w:rPr>
          <w:b/>
          <w:bCs/>
        </w:rPr>
        <w:t>C</w:t>
      </w:r>
      <w:r>
        <w:t xml:space="preserve">) Methylated FOXP3 gene amplification with FAM </w:t>
      </w:r>
      <w:r w:rsidR="00955DB4">
        <w:t>hydrolysis</w:t>
      </w:r>
      <w:r>
        <w:t xml:space="preserve"> probe, representing the CD4</w:t>
      </w:r>
      <w:r w:rsidRPr="00D1739C">
        <w:rPr>
          <w:vertAlign w:val="superscript"/>
        </w:rPr>
        <w:t>+</w:t>
      </w:r>
      <w:r>
        <w:t xml:space="preserve"> </w:t>
      </w:r>
      <w:r w:rsidR="00CC3F47">
        <w:t>CD</w:t>
      </w:r>
      <w:r>
        <w:t>25</w:t>
      </w:r>
      <w:r w:rsidRPr="00D1739C">
        <w:rPr>
          <w:vertAlign w:val="superscript"/>
        </w:rPr>
        <w:t>+</w:t>
      </w:r>
      <w:r>
        <w:t xml:space="preserve"> T-Reg population. All the scatter plots were subjected to ‘</w:t>
      </w:r>
      <w:proofErr w:type="spellStart"/>
      <w:r>
        <w:t>definetherain</w:t>
      </w:r>
      <w:proofErr w:type="spellEnd"/>
      <w:r>
        <w:t xml:space="preserve">’ algorithm to set the appropriate threshold whereby the positives </w:t>
      </w:r>
      <w:r w:rsidR="00B47EF5">
        <w:t>wer</w:t>
      </w:r>
      <w:r>
        <w:t xml:space="preserve">e within 3 standard deviations of the positive cluster mean. The amount of ‘rain’ </w:t>
      </w:r>
      <w:r w:rsidR="00B47EF5">
        <w:t>wa</w:t>
      </w:r>
      <w:r>
        <w:t xml:space="preserve">s also established so that it does exceed 1% of the positive defined droplets. </w:t>
      </w:r>
      <w:r w:rsidR="00955DB4" w:rsidRPr="00955DB4">
        <w:t>Each dataset for analysis consisted of ~5000 droplets and was run in triplicate</w:t>
      </w:r>
      <w:r w:rsidR="00955DB4">
        <w:t xml:space="preserve"> (see Supplementary Information for raw data and analysis)</w:t>
      </w:r>
      <w:r w:rsidR="00955DB4" w:rsidRPr="00955DB4">
        <w:t>.</w:t>
      </w:r>
    </w:p>
    <w:p w14:paraId="3DA4D057" w14:textId="4AF0C1ED" w:rsidR="00872D65" w:rsidRDefault="00872D65" w:rsidP="006A1488"/>
    <w:p w14:paraId="76D95FA9" w14:textId="7C7EF4D8" w:rsidR="00872D65" w:rsidRDefault="00872D65" w:rsidP="006A1488">
      <w:r w:rsidRPr="00206BBB">
        <w:rPr>
          <w:b/>
        </w:rPr>
        <w:t xml:space="preserve">Figure </w:t>
      </w:r>
      <w:r w:rsidR="00ED12E9">
        <w:rPr>
          <w:b/>
        </w:rPr>
        <w:t>6</w:t>
      </w:r>
      <w:r w:rsidRPr="00206BBB">
        <w:rPr>
          <w:b/>
        </w:rPr>
        <w:t>: CPD values of all gene targets and determination of white blood cell subset percentage.</w:t>
      </w:r>
      <w:r>
        <w:t xml:space="preserve"> (</w:t>
      </w:r>
      <w:r w:rsidRPr="00B47EF5">
        <w:rPr>
          <w:b/>
          <w:bCs/>
        </w:rPr>
        <w:t>A</w:t>
      </w:r>
      <w:r>
        <w:t xml:space="preserve">) The calculated CPD values based on </w:t>
      </w:r>
      <w:r w:rsidR="00481D18">
        <w:t>P</w:t>
      </w:r>
      <w:r>
        <w:t>oisson distribution of the positive droplet count as a ratio of total droplets. The input represents the theoretical CPD expected based on 740</w:t>
      </w:r>
      <w:r w:rsidR="00CE7D15">
        <w:t xml:space="preserve"> </w:t>
      </w:r>
      <w:r>
        <w:t>ng of bisulfite treated DNA, 75</w:t>
      </w:r>
      <w:r w:rsidR="00246BB9">
        <w:t xml:space="preserve"> </w:t>
      </w:r>
      <w:r w:rsidRPr="00443059">
        <w:rPr>
          <w:rFonts w:cs="Arial"/>
        </w:rPr>
        <w:t>µ</w:t>
      </w:r>
      <w:r>
        <w:t xml:space="preserve">m </w:t>
      </w:r>
      <w:r w:rsidR="00CE7D15">
        <w:t xml:space="preserve">diameter </w:t>
      </w:r>
      <w:r>
        <w:t>droplets, assuming 6.6</w:t>
      </w:r>
      <w:r w:rsidR="00246BB9">
        <w:t xml:space="preserve"> </w:t>
      </w:r>
      <w:proofErr w:type="spellStart"/>
      <w:r>
        <w:t>pg</w:t>
      </w:r>
      <w:proofErr w:type="spellEnd"/>
      <w:r>
        <w:t xml:space="preserve"> for 1 gene copy. The input theoretical CPD was 0.25 and correlated with the C-LESS CPD representing the total cell count. (</w:t>
      </w:r>
      <w:r w:rsidRPr="00B47EF5">
        <w:rPr>
          <w:b/>
          <w:bCs/>
        </w:rPr>
        <w:t>B</w:t>
      </w:r>
      <w:r>
        <w:t xml:space="preserve">) The ratio of CPD for CD3Z and FOXP3 with respect to C-LESS </w:t>
      </w:r>
      <w:r w:rsidR="00B47EF5">
        <w:t>wa</w:t>
      </w:r>
      <w:r>
        <w:t>s then used to obtain the percent of CD3</w:t>
      </w:r>
      <w:r w:rsidRPr="00D1739C">
        <w:rPr>
          <w:vertAlign w:val="superscript"/>
        </w:rPr>
        <w:t>+</w:t>
      </w:r>
      <w:r>
        <w:t xml:space="preserve"> T-Cells and CD4</w:t>
      </w:r>
      <w:r w:rsidRPr="00D1739C">
        <w:rPr>
          <w:vertAlign w:val="superscript"/>
        </w:rPr>
        <w:t>+</w:t>
      </w:r>
      <w:r>
        <w:t xml:space="preserve"> </w:t>
      </w:r>
      <w:r w:rsidR="00CC3F47">
        <w:t>CD</w:t>
      </w:r>
      <w:r>
        <w:t>25</w:t>
      </w:r>
      <w:r w:rsidRPr="00D1739C">
        <w:rPr>
          <w:vertAlign w:val="superscript"/>
        </w:rPr>
        <w:t>+</w:t>
      </w:r>
      <w:r>
        <w:t xml:space="preserve"> T-Regs, respectively. These ratios as percent of total leukocytes </w:t>
      </w:r>
      <w:r w:rsidR="00B47EF5">
        <w:t>were</w:t>
      </w:r>
      <w:r>
        <w:t xml:space="preserve"> then compared with values obtained by immunofluorescence imaging. As </w:t>
      </w:r>
      <w:r>
        <w:lastRenderedPageBreak/>
        <w:t xml:space="preserve">demonstrated, the values from </w:t>
      </w:r>
      <w:proofErr w:type="spellStart"/>
      <w:r w:rsidR="00D05913">
        <w:t>mdPCR</w:t>
      </w:r>
      <w:proofErr w:type="spellEnd"/>
      <w:r>
        <w:t xml:space="preserve"> and immunofluorescence analysis correlate with no significant difference, with standard deviation errors from </w:t>
      </w:r>
      <w:proofErr w:type="spellStart"/>
      <w:r w:rsidR="00D05913">
        <w:t>mdPCR</w:t>
      </w:r>
      <w:proofErr w:type="spellEnd"/>
      <w:r>
        <w:t xml:space="preserve"> being much less pronounced. </w:t>
      </w:r>
    </w:p>
    <w:p w14:paraId="011D253D" w14:textId="1BA719E4" w:rsidR="00D93D1B" w:rsidRDefault="00D93D1B" w:rsidP="006A1488"/>
    <w:p w14:paraId="64B8CF78" w14:textId="6E5A563F" w:rsidR="006305D7" w:rsidRPr="001B1519" w:rsidRDefault="006305D7" w:rsidP="006A1488">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5F24986" w14:textId="450EEAD0" w:rsidR="00246BB9" w:rsidRDefault="00872D65" w:rsidP="006A1488">
      <w:r>
        <w:t xml:space="preserve">The presented experimental protocol and methods allow for in-house </w:t>
      </w:r>
      <w:proofErr w:type="spellStart"/>
      <w:r w:rsidR="00D05913">
        <w:t>mdPCR</w:t>
      </w:r>
      <w:proofErr w:type="spellEnd"/>
      <w:r>
        <w:t xml:space="preserve"> using a fabricated </w:t>
      </w:r>
      <w:r w:rsidR="00246BB9">
        <w:t xml:space="preserve">TPE </w:t>
      </w:r>
      <w:r>
        <w:t>droplet generator, a thermal cycler, and fluorescen</w:t>
      </w:r>
      <w:r w:rsidR="00C0026B">
        <w:t>ce</w:t>
      </w:r>
      <w:r>
        <w:t xml:space="preserve"> microscope. </w:t>
      </w:r>
      <w:r w:rsidR="00246BB9">
        <w:t xml:space="preserve">The fabricated device using </w:t>
      </w:r>
      <w:r w:rsidR="00EC6242">
        <w:t xml:space="preserve">soft TPE to TPE </w:t>
      </w:r>
      <w:r w:rsidR="00246BB9">
        <w:t>bonding affords</w:t>
      </w:r>
      <w:r w:rsidR="00246BB9" w:rsidRPr="008A1EF3">
        <w:t xml:space="preserve"> </w:t>
      </w:r>
      <w:r w:rsidR="00246BB9">
        <w:t xml:space="preserve">hydrophobic surface properties that are uniform across all channel walls, such that </w:t>
      </w:r>
      <w:r w:rsidR="00246BB9" w:rsidRPr="008A1EF3">
        <w:t xml:space="preserve">the </w:t>
      </w:r>
      <w:r w:rsidR="00246BB9">
        <w:t xml:space="preserve">final </w:t>
      </w:r>
      <w:r w:rsidR="00246BB9" w:rsidRPr="008A1EF3">
        <w:t>device does not require any surface treatment for subsequent use as a droplet generator.</w:t>
      </w:r>
      <w:r w:rsidR="00246BB9">
        <w:t xml:space="preserve"> This material has been routinely employed in point-of-care platforms that necessitate compatibility with high throughput manufacturing</w:t>
      </w:r>
      <w:r w:rsidR="001F6566">
        <w:rPr>
          <w:vertAlign w:val="superscript"/>
        </w:rPr>
        <w:t>9-</w:t>
      </w:r>
      <w:r w:rsidR="00551FC6">
        <w:rPr>
          <w:vertAlign w:val="superscript"/>
        </w:rPr>
        <w:t>1</w:t>
      </w:r>
      <w:r w:rsidR="001F6566">
        <w:rPr>
          <w:vertAlign w:val="superscript"/>
        </w:rPr>
        <w:t>3</w:t>
      </w:r>
      <w:r w:rsidR="00246BB9">
        <w:t xml:space="preserve">. In addition, it is also optically clear and exhibits low fluorescence background in the visible spectrum which is an attractive feature for future integration of a complete </w:t>
      </w:r>
      <w:r w:rsidR="00246BB9" w:rsidRPr="00B44434">
        <w:t xml:space="preserve">sample-to-answer workflow using </w:t>
      </w:r>
      <w:proofErr w:type="spellStart"/>
      <w:r w:rsidR="00D05913">
        <w:t>mdPCR</w:t>
      </w:r>
      <w:proofErr w:type="spellEnd"/>
      <w:r w:rsidR="00246BB9" w:rsidRPr="00B44434">
        <w:t>.</w:t>
      </w:r>
      <w:r w:rsidR="00246BB9">
        <w:t xml:space="preserve"> </w:t>
      </w:r>
      <w:r>
        <w:t>The PCR reagent recipes are also provided in a homebrew format to allow for facile multiplex gene quantification</w:t>
      </w:r>
      <w:r w:rsidR="00B47EF5">
        <w:t xml:space="preserve">, </w:t>
      </w:r>
      <w:r>
        <w:t xml:space="preserve">while also maintaining stability throughout the thermal cycling protocol. </w:t>
      </w:r>
      <w:r w:rsidR="00CC6F6C">
        <w:t>As such one of the advantages of the presented devices and protocols is the flexibility in customizing the device design and reagents used for a particular application, which is difficult to achieve with commercial products and proprietary formulations. Furthermore, it removes the necessity of expensive instrumentation to perform the experiment.</w:t>
      </w:r>
    </w:p>
    <w:p w14:paraId="7A8B9D9D" w14:textId="77777777" w:rsidR="00D37F04" w:rsidRDefault="00D37F04" w:rsidP="006A1488"/>
    <w:p w14:paraId="2D892E72" w14:textId="4182052E" w:rsidR="00604755" w:rsidRDefault="00F613DF" w:rsidP="006A1488">
      <w:r>
        <w:t xml:space="preserve">Appropriate thermoplastic material selection of the microfluidic droplet generator is a critical parameter that can circumvent cumbersome surface treatment to render the device hydrophobic for efficient droplet formation. In addition, the selection of an optimized </w:t>
      </w:r>
      <w:proofErr w:type="spellStart"/>
      <w:r w:rsidR="00D05913">
        <w:t>mdPCR</w:t>
      </w:r>
      <w:proofErr w:type="spellEnd"/>
      <w:r>
        <w:t xml:space="preserve"> buffer is also critical for maintaining droplet stability through the thermal cycling process – whilst not compromising the PCR efficiency and hydrolysis probe functionality. Further modification and optimization of the </w:t>
      </w:r>
      <w:proofErr w:type="spellStart"/>
      <w:r w:rsidR="00D05913">
        <w:t>mdPCR</w:t>
      </w:r>
      <w:proofErr w:type="spellEnd"/>
      <w:r>
        <w:t xml:space="preserve"> </w:t>
      </w:r>
      <w:r w:rsidR="00A60BC8">
        <w:t>buffer is</w:t>
      </w:r>
      <w:r w:rsidR="00B47EF5">
        <w:t>,</w:t>
      </w:r>
      <w:r w:rsidR="00A60BC8">
        <w:t xml:space="preserve"> therefore</w:t>
      </w:r>
      <w:r w:rsidR="00B47EF5">
        <w:t>,</w:t>
      </w:r>
      <w:r w:rsidR="00A60BC8">
        <w:t xml:space="preserve"> encouraged to arrive at highly specific and sensitive PCR amplification of selected gene targets, coupled with fluorescent based probe detection. This serves to increase signal-to-noise ratios, reducing the instances of ‘rain’ and simplifying the experimental analysis and identification of positive droplet populations.</w:t>
      </w:r>
      <w:r w:rsidR="00051B01">
        <w:t xml:space="preserve"> </w:t>
      </w:r>
      <w:r w:rsidR="00604755">
        <w:t xml:space="preserve">Troubleshooting of the experiment depends on assessing the critical steps from thermoplastic material selection to </w:t>
      </w:r>
      <w:r w:rsidR="00EC6242">
        <w:t>p</w:t>
      </w:r>
      <w:r w:rsidR="00604755">
        <w:t>olymerase concentration to adapting the temperature ramp in the thermal cycling program in order to ensure droplet stability</w:t>
      </w:r>
      <w:r w:rsidR="00EC6242">
        <w:t>.</w:t>
      </w:r>
    </w:p>
    <w:p w14:paraId="674436D6" w14:textId="77777777" w:rsidR="00D37F04" w:rsidRDefault="00D37F04" w:rsidP="006A1488"/>
    <w:p w14:paraId="6999E4FE" w14:textId="2BCCB4E3" w:rsidR="00604755" w:rsidRDefault="00604755" w:rsidP="006A1488">
      <w:r>
        <w:t xml:space="preserve">The current limitation of the described protocol is that it still necessitates manual sample transfer from the droplet generator to the thermal cycler and finally to a droplet imaging device </w:t>
      </w:r>
      <w:r w:rsidR="00EC6242">
        <w:t xml:space="preserve">and instrument </w:t>
      </w:r>
      <w:r>
        <w:t xml:space="preserve">such as a fluorescence microscope. Future efforts however are directed at the miniaturization of </w:t>
      </w:r>
      <w:proofErr w:type="spellStart"/>
      <w:r>
        <w:t>mdPCR</w:t>
      </w:r>
      <w:proofErr w:type="spellEnd"/>
      <w:r>
        <w:t xml:space="preserve"> and integration of these steps whereby droplet generation, PCR and imaging can be performed on a single automated platform.</w:t>
      </w:r>
    </w:p>
    <w:p w14:paraId="1447E57F" w14:textId="77777777" w:rsidR="00D37F04" w:rsidRDefault="00D37F04" w:rsidP="006A1488"/>
    <w:p w14:paraId="32C0E30A" w14:textId="4D42A96C" w:rsidR="00604755" w:rsidRDefault="00872D65" w:rsidP="006A1488">
      <w:r>
        <w:t xml:space="preserve">The obtained results in </w:t>
      </w:r>
      <w:r w:rsidRPr="00F51227">
        <w:rPr>
          <w:b/>
          <w:bCs/>
        </w:rPr>
        <w:t xml:space="preserve">Figure </w:t>
      </w:r>
      <w:r w:rsidR="00246BB9">
        <w:rPr>
          <w:b/>
          <w:bCs/>
        </w:rPr>
        <w:t>6</w:t>
      </w:r>
      <w:r>
        <w:t xml:space="preserve"> demonstrate the versatility of this </w:t>
      </w:r>
      <w:proofErr w:type="spellStart"/>
      <w:r w:rsidR="00D05913">
        <w:t>mdPCR</w:t>
      </w:r>
      <w:proofErr w:type="spellEnd"/>
      <w:r>
        <w:t xml:space="preserve"> approach for performing differential white blood cell quantification</w:t>
      </w:r>
      <w:r w:rsidR="00604755">
        <w:t>.</w:t>
      </w:r>
      <w:r>
        <w:t xml:space="preserve"> </w:t>
      </w:r>
      <w:r w:rsidR="00604755">
        <w:t>Th</w:t>
      </w:r>
      <w:r w:rsidR="00EC6242">
        <w:t>e proposed</w:t>
      </w:r>
      <w:r>
        <w:t xml:space="preserve"> </w:t>
      </w:r>
      <w:r w:rsidR="00EC6242">
        <w:t xml:space="preserve">method </w:t>
      </w:r>
      <w:r>
        <w:t>is more precise and reproducible than immunofluorescence imaging, which</w:t>
      </w:r>
      <w:r w:rsidR="00604755">
        <w:t xml:space="preserve"> is</w:t>
      </w:r>
      <w:r>
        <w:t xml:space="preserve"> often affected by user manipulation, giving rise to unwanted</w:t>
      </w:r>
      <w:r w:rsidR="00604755">
        <w:t xml:space="preserve"> measurement</w:t>
      </w:r>
      <w:r>
        <w:t xml:space="preserve"> errors.</w:t>
      </w:r>
      <w:r w:rsidR="00F613DF">
        <w:t xml:space="preserve"> </w:t>
      </w:r>
      <w:r w:rsidR="008247E7">
        <w:t xml:space="preserve">This is also the case for flow cytometry techniques that also rely on an immune-based method of detection </w:t>
      </w:r>
      <w:r w:rsidR="00604755">
        <w:t xml:space="preserve">which </w:t>
      </w:r>
      <w:r w:rsidR="008247E7">
        <w:t xml:space="preserve">is highly dependent on cell viability, as well as multiple protocol steps prone to user error. </w:t>
      </w:r>
      <w:r w:rsidR="00F613DF">
        <w:t>Alternative methods such as real-</w:t>
      </w:r>
      <w:r w:rsidR="00F613DF">
        <w:lastRenderedPageBreak/>
        <w:t xml:space="preserve">time quantitative PCR (qPCR) for </w:t>
      </w:r>
      <w:r w:rsidR="00604755">
        <w:t xml:space="preserve">the </w:t>
      </w:r>
      <w:r w:rsidR="00F613DF">
        <w:t>quantif</w:t>
      </w:r>
      <w:r w:rsidR="00604755">
        <w:t>ication</w:t>
      </w:r>
      <w:r w:rsidR="00F613DF">
        <w:t xml:space="preserve"> are often adversely affected by low copy number gene targets, a drawback that is remedied through </w:t>
      </w:r>
      <w:proofErr w:type="spellStart"/>
      <w:r w:rsidR="00D05913">
        <w:t>mdPCR</w:t>
      </w:r>
      <w:proofErr w:type="spellEnd"/>
      <w:r w:rsidR="00F613DF">
        <w:t xml:space="preserve"> without</w:t>
      </w:r>
      <w:r w:rsidR="00604755">
        <w:t xml:space="preserve"> the</w:t>
      </w:r>
      <w:r w:rsidR="00F613DF">
        <w:t xml:space="preserve"> need for a dedicated calibration curve</w:t>
      </w:r>
      <w:r w:rsidR="001D6E6D">
        <w:fldChar w:fldCharType="begin" w:fldLock="1"/>
      </w:r>
      <w:r w:rsidR="00246BB9">
        <w:instrText>ADDIN CSL_CITATION {"citationItems":[{"id":"ITEM-1","itemData":{"DOI":"10.1039/c9an01316d","ISSN":"13645528","abstract":"Epigenetic markers attract increasing attention for the study of phenotypic variations, which has led to the investigation of cell-lineage DNA methylation patterns that correlate with human leukocyte populations for obtaining counts of white blood cell (WBC) subsets. Current methods of DNA methylation analysis involve genome sequencing or loci-specific quantitative PCR (qPCR). Herein, a multiplexed digital droplet PCR (ddPCR) workflow for determining epigenetic-based WBC differential count is described for the first time. A microfluidic emulsification device fabricated from a commercially available thermoplastic elastomer (e.g., Mediprene) promotes customizability and cost-effectiveness of the methodology, which are prerequisites for translation into clinical and point-of-care diagnostics. Bisulfite-treated DNA from peripheral blood mononuclear cells and whole blood is encapsulated in droplets with ddPCR reagents containing primers and fluorescent hydrolysis probes specific for CpG loci correlated with WBC sub-population types. The method enables multiplexed detection of various methylation sites within a single droplet. Both qPCR and immunofluorescence staining (IF) were conducted to validate the capacity of the ddPCR methodology to accurately determine WBC sub-populations using epigenetic analysis of methylation sites. ddPCR results correlated closely to cell proportions obtained using IF, whereas qPCR significantly underestimated these values for both high and low copy number gene targets.","author":[{"dropping-particle":"","family":"Malic","given":"Lidija","non-dropping-particle":"","parse-names":false,"suffix":""},{"dropping-particle":"","family":"Daoud","given":"Jamal","non-dropping-particle":"","parse-names":false,"suffix":""},{"dropping-particle":"","family":"Geissler","given":"Matthias","non-dropping-particle":"","parse-names":false,"suffix":""},{"dropping-particle":"","family":"Boutin","given":"Alex","non-dropping-particle":"","parse-names":false,"suffix":""},{"dropping-particle":"","family":"Lukic","given":"Ljuboje","non-dropping-particle":"","parse-names":false,"suffix":""},{"dropping-particle":"","family":"Janta","given":"Mojra","non-dropping-particle":"","parse-names":false,"suffix":""},{"dropping-particle":"","family":"Elmanzalawy","given":"Abdelrahman","non-dropping-particle":"","parse-names":false,"suffix":""},{"dropping-particle":"","family":"Veres","given":"Teodor","non-dropping-particle":"","parse-names":false,"suffix":""}],"container-title":"Analyst","id":"ITEM-1","issued":{"date-parts":[["2019"]]},"title":"Epigenetic subtyping of white blood cells using a thermoplastic elastomer-based microfluidic emulsification device for multiplexed, methylation-specific digital droplet PCR","type":"article-journal"},"uris":["http://www.mendeley.com/documents/?uuid=e72f81b5-5f2a-44ce-bd6d-b301f7dd675c"]}],"mendeley":{"formattedCitation":"&lt;sup&gt;11&lt;/sup&gt;","plainTextFormattedCitation":"11","previouslyFormattedCitation":"&lt;sup&gt;9&lt;/sup&gt;"},"properties":{"noteIndex":0},"schema":"https://github.com/citation-style-language/schema/raw/master/csl-citation.json"}</w:instrText>
      </w:r>
      <w:r w:rsidR="001D6E6D">
        <w:fldChar w:fldCharType="separate"/>
      </w:r>
      <w:r w:rsidR="00246BB9" w:rsidRPr="00246BB9">
        <w:rPr>
          <w:noProof/>
          <w:vertAlign w:val="superscript"/>
        </w:rPr>
        <w:t>11</w:t>
      </w:r>
      <w:r w:rsidR="001D6E6D">
        <w:fldChar w:fldCharType="end"/>
      </w:r>
      <w:r w:rsidR="00F613DF">
        <w:t xml:space="preserve">. </w:t>
      </w:r>
      <w:r>
        <w:t xml:space="preserve">The presented </w:t>
      </w:r>
      <w:proofErr w:type="spellStart"/>
      <w:r w:rsidR="00D05913">
        <w:t>mdPCR</w:t>
      </w:r>
      <w:proofErr w:type="spellEnd"/>
      <w:r>
        <w:t xml:space="preserve"> approach</w:t>
      </w:r>
      <w:r w:rsidR="00B47EF5">
        <w:t>,</w:t>
      </w:r>
      <w:r>
        <w:t xml:space="preserve"> </w:t>
      </w:r>
      <w:r w:rsidR="00F613DF">
        <w:t>therefore</w:t>
      </w:r>
      <w:r w:rsidR="00B47EF5">
        <w:t>,</w:t>
      </w:r>
      <w:r w:rsidR="00F613DF">
        <w:t xml:space="preserve"> </w:t>
      </w:r>
      <w:r>
        <w:t>presents a unique molecular approach to white blood cell differential counts that is based on methylation profiles of specific gene targets.</w:t>
      </w:r>
      <w:r w:rsidR="008247E7">
        <w:t xml:space="preserve"> Calibration curves for individual gene target</w:t>
      </w:r>
      <w:r w:rsidR="00604755">
        <w:t>s are</w:t>
      </w:r>
      <w:r w:rsidR="00EC6242">
        <w:t xml:space="preserve"> </w:t>
      </w:r>
      <w:r w:rsidR="008247E7">
        <w:t xml:space="preserve">also not necessary since </w:t>
      </w:r>
      <w:proofErr w:type="spellStart"/>
      <w:r w:rsidR="00D05913">
        <w:t>mdPCR</w:t>
      </w:r>
      <w:proofErr w:type="spellEnd"/>
      <w:r w:rsidR="008247E7">
        <w:t xml:space="preserve"> is based on an absolute quantification of binary positive and negative signals using </w:t>
      </w:r>
      <w:r w:rsidR="00604755">
        <w:t>P</w:t>
      </w:r>
      <w:r w:rsidR="008247E7">
        <w:t xml:space="preserve">oisson distribution for CPD </w:t>
      </w:r>
      <w:r w:rsidR="00EC6242">
        <w:t>calculation</w:t>
      </w:r>
      <w:r w:rsidR="008247E7">
        <w:t xml:space="preserve">. </w:t>
      </w:r>
      <w:r>
        <w:t xml:space="preserve"> </w:t>
      </w:r>
    </w:p>
    <w:p w14:paraId="497C014A" w14:textId="77777777" w:rsidR="00D37F04" w:rsidRDefault="00D37F04" w:rsidP="006A1488"/>
    <w:p w14:paraId="1BAD5E09" w14:textId="7FCFA6F0" w:rsidR="00F613DF" w:rsidRPr="002649D4" w:rsidRDefault="00872D65" w:rsidP="006A1488">
      <w:r>
        <w:t>The precise quantification of non-methylated gene islands</w:t>
      </w:r>
      <w:r w:rsidR="00B47EF5">
        <w:t>,</w:t>
      </w:r>
      <w:r>
        <w:t xml:space="preserve"> especially </w:t>
      </w:r>
      <w:r w:rsidR="00604755">
        <w:t xml:space="preserve">of </w:t>
      </w:r>
      <w:r>
        <w:t xml:space="preserve">low copy number genes such as FOXP3, presents a multitude of opportunities for clinical </w:t>
      </w:r>
      <w:r w:rsidR="00604755">
        <w:t>diagnosis.</w:t>
      </w:r>
      <w:r w:rsidR="00B47EF5">
        <w:t xml:space="preserve"> </w:t>
      </w:r>
      <w:r w:rsidR="00604755">
        <w:t xml:space="preserve">This is highlighted by the </w:t>
      </w:r>
      <w:r>
        <w:t>capacity of such an approach to identify known methylation patterns correlated to disease onset and progression.</w:t>
      </w:r>
      <w:r w:rsidR="00051B01">
        <w:t xml:space="preserve"> </w:t>
      </w:r>
      <w:proofErr w:type="spellStart"/>
      <w:r w:rsidR="00B47EF5">
        <w:t>m</w:t>
      </w:r>
      <w:r w:rsidR="00604755">
        <w:t>dPCR</w:t>
      </w:r>
      <w:proofErr w:type="spellEnd"/>
      <w:r w:rsidR="00604755">
        <w:t xml:space="preserve">, as a molecular approach with absolute quantification can be employed </w:t>
      </w:r>
      <w:r w:rsidR="00051B01">
        <w:t xml:space="preserve">beyond methylation studies </w:t>
      </w:r>
      <w:r w:rsidR="00604755">
        <w:t xml:space="preserve">and </w:t>
      </w:r>
      <w:r w:rsidR="00051B01">
        <w:t xml:space="preserve">can be applied to </w:t>
      </w:r>
      <w:r w:rsidR="00604755">
        <w:t xml:space="preserve">appropriately preserved </w:t>
      </w:r>
      <w:r w:rsidR="00051B01">
        <w:t>samples</w:t>
      </w:r>
      <w:r w:rsidR="00604755">
        <w:t>, therefore removing the dependence on fresh clinical samples</w:t>
      </w:r>
      <w:r w:rsidR="0021569A">
        <w:t>,</w:t>
      </w:r>
      <w:r w:rsidR="00604755">
        <w:t xml:space="preserve"> and further expanding its applications.</w:t>
      </w:r>
      <w:r w:rsidR="00051B01">
        <w:t xml:space="preserve"> </w:t>
      </w:r>
      <w:r w:rsidR="00604755" w:rsidRPr="00604755">
        <w:t xml:space="preserve"> </w:t>
      </w:r>
      <w:r w:rsidR="00604755">
        <w:t>Future automation and miniaturization of this technique will be of great value for rapid and accurate clinical diagnosis and subsequent prognosis. </w:t>
      </w:r>
    </w:p>
    <w:p w14:paraId="78728D18" w14:textId="706614AE" w:rsidR="00014314" w:rsidRPr="001B1519" w:rsidRDefault="00014314" w:rsidP="006A1488">
      <w:pPr>
        <w:rPr>
          <w:rFonts w:asciiTheme="minorHAnsi" w:hAnsiTheme="minorHAnsi" w:cstheme="minorHAnsi"/>
          <w:color w:val="auto"/>
        </w:rPr>
      </w:pPr>
    </w:p>
    <w:p w14:paraId="1734505F" w14:textId="08AF3E1B" w:rsidR="00AA03DF" w:rsidRPr="001B1519" w:rsidRDefault="00AA03DF" w:rsidP="006A148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83E3685" w14:textId="77777777" w:rsidR="00246BB9" w:rsidRPr="00FF20FA" w:rsidRDefault="00246BB9" w:rsidP="006A1488">
      <w:pPr>
        <w:rPr>
          <w:rFonts w:asciiTheme="minorHAnsi" w:hAnsiTheme="minorHAnsi" w:cstheme="minorHAnsi"/>
          <w:color w:val="auto"/>
        </w:rPr>
      </w:pPr>
      <w:r w:rsidRPr="00FF20FA">
        <w:rPr>
          <w:rFonts w:asciiTheme="minorHAnsi" w:hAnsiTheme="minorHAnsi" w:cstheme="minorHAnsi"/>
          <w:color w:val="auto"/>
        </w:rPr>
        <w:t>The authors acknowledge financial support from the National Research Council of Canada.</w:t>
      </w:r>
    </w:p>
    <w:p w14:paraId="2D96E92E" w14:textId="72F287DC" w:rsidR="00AA03DF" w:rsidRPr="001B1519" w:rsidRDefault="00AA03DF" w:rsidP="006A1488">
      <w:pPr>
        <w:rPr>
          <w:rFonts w:asciiTheme="minorHAnsi" w:hAnsiTheme="minorHAnsi" w:cstheme="minorHAnsi"/>
          <w:b/>
          <w:bCs/>
        </w:rPr>
      </w:pPr>
    </w:p>
    <w:p w14:paraId="5D52ED8B" w14:textId="6F79D6F7" w:rsidR="00AA03DF" w:rsidRPr="001B1519" w:rsidRDefault="00AA03DF" w:rsidP="006A148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30B11710" w14:textId="77777777" w:rsidR="00246BB9" w:rsidRPr="00FF20FA" w:rsidRDefault="00246BB9" w:rsidP="006A1488">
      <w:pPr>
        <w:rPr>
          <w:rFonts w:asciiTheme="minorHAnsi" w:hAnsiTheme="minorHAnsi" w:cstheme="minorHAnsi"/>
          <w:color w:val="auto"/>
        </w:rPr>
      </w:pPr>
      <w:r w:rsidRPr="00FF20FA">
        <w:rPr>
          <w:rFonts w:asciiTheme="minorHAnsi" w:hAnsiTheme="minorHAnsi" w:cstheme="minorHAnsi"/>
          <w:color w:val="auto"/>
        </w:rPr>
        <w:t>There are no conflicts to declare.</w:t>
      </w:r>
    </w:p>
    <w:p w14:paraId="66030076" w14:textId="77777777" w:rsidR="00AA03DF" w:rsidRPr="001B1519" w:rsidRDefault="00AA03DF" w:rsidP="006A1488">
      <w:pPr>
        <w:rPr>
          <w:rFonts w:asciiTheme="minorHAnsi" w:hAnsiTheme="minorHAnsi" w:cstheme="minorHAnsi"/>
          <w:color w:val="auto"/>
        </w:rPr>
      </w:pPr>
    </w:p>
    <w:p w14:paraId="315B4FAD" w14:textId="660CEE44" w:rsidR="00B32616" w:rsidRPr="001B1519" w:rsidRDefault="009726EE" w:rsidP="006A148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6B9A10C" w14:textId="188EF9C8" w:rsidR="00246BB9" w:rsidRPr="00155B26" w:rsidRDefault="00F51227" w:rsidP="006A1488">
      <w:pPr>
        <w:rPr>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246BB9" w:rsidRPr="00246BB9">
        <w:rPr>
          <w:noProof/>
        </w:rPr>
        <w:t>1.</w:t>
      </w:r>
      <w:r w:rsidR="00246BB9" w:rsidRPr="00246BB9">
        <w:rPr>
          <w:noProof/>
        </w:rPr>
        <w:tab/>
      </w:r>
      <w:r w:rsidR="00246BB9" w:rsidRPr="00155B26">
        <w:rPr>
          <w:noProof/>
        </w:rPr>
        <w:t xml:space="preserve">Teitell, M., Richardson, B. DNA methylation in the immune system. </w:t>
      </w:r>
      <w:r w:rsidR="00246BB9" w:rsidRPr="00D37F04">
        <w:rPr>
          <w:i/>
          <w:noProof/>
        </w:rPr>
        <w:t>Clinical Immunology</w:t>
      </w:r>
      <w:r w:rsidR="00246BB9" w:rsidRPr="00155B26">
        <w:rPr>
          <w:noProof/>
        </w:rPr>
        <w:t xml:space="preserve">. </w:t>
      </w:r>
      <w:r w:rsidR="00F236DF" w:rsidRPr="00D37F04">
        <w:rPr>
          <w:b/>
          <w:bCs/>
          <w:noProof/>
        </w:rPr>
        <w:t xml:space="preserve">109 </w:t>
      </w:r>
      <w:r w:rsidR="00F236DF" w:rsidRPr="00155B26">
        <w:rPr>
          <w:noProof/>
        </w:rPr>
        <w:t>(1), 2-5</w:t>
      </w:r>
      <w:r w:rsidR="00246BB9" w:rsidRPr="00155B26">
        <w:rPr>
          <w:noProof/>
        </w:rPr>
        <w:t xml:space="preserve"> (2003).</w:t>
      </w:r>
    </w:p>
    <w:p w14:paraId="2A641D5B" w14:textId="05B50CC5" w:rsidR="00246BB9" w:rsidRPr="00155B26" w:rsidRDefault="00246BB9" w:rsidP="006A1488">
      <w:pPr>
        <w:rPr>
          <w:noProof/>
        </w:rPr>
      </w:pPr>
      <w:r w:rsidRPr="00155B26">
        <w:rPr>
          <w:noProof/>
        </w:rPr>
        <w:t>2.</w:t>
      </w:r>
      <w:r w:rsidRPr="00155B26">
        <w:rPr>
          <w:noProof/>
        </w:rPr>
        <w:tab/>
        <w:t>Suarez-Alvarez, B., Rodriguez, R.</w:t>
      </w:r>
      <w:r w:rsidR="00D37F04">
        <w:rPr>
          <w:noProof/>
        </w:rPr>
        <w:t xml:space="preserve"> </w:t>
      </w:r>
      <w:r w:rsidRPr="00155B26">
        <w:rPr>
          <w:noProof/>
        </w:rPr>
        <w:t>M., Fraga, M.</w:t>
      </w:r>
      <w:r w:rsidR="00D37F04">
        <w:rPr>
          <w:noProof/>
        </w:rPr>
        <w:t xml:space="preserve"> </w:t>
      </w:r>
      <w:r w:rsidRPr="00155B26">
        <w:rPr>
          <w:noProof/>
        </w:rPr>
        <w:t xml:space="preserve">F., López-Larrea, C. DNA methylation: A promising landscape for immune system-related diseases. </w:t>
      </w:r>
      <w:r w:rsidRPr="00D37F04">
        <w:rPr>
          <w:i/>
          <w:noProof/>
        </w:rPr>
        <w:t>Trends in Genetics.</w:t>
      </w:r>
      <w:r w:rsidRPr="00155B26">
        <w:rPr>
          <w:noProof/>
        </w:rPr>
        <w:t xml:space="preserve"> </w:t>
      </w:r>
      <w:r w:rsidR="00F236DF" w:rsidRPr="00D37F04">
        <w:rPr>
          <w:b/>
          <w:bCs/>
          <w:noProof/>
        </w:rPr>
        <w:t>28</w:t>
      </w:r>
      <w:r w:rsidR="00F236DF" w:rsidRPr="00155B26">
        <w:rPr>
          <w:noProof/>
        </w:rPr>
        <w:t xml:space="preserve"> (10), 506-514</w:t>
      </w:r>
      <w:r w:rsidRPr="00155B26">
        <w:rPr>
          <w:noProof/>
        </w:rPr>
        <w:t xml:space="preserve"> (2012).</w:t>
      </w:r>
    </w:p>
    <w:p w14:paraId="5DC6F749" w14:textId="5B4F585A" w:rsidR="00246BB9" w:rsidRPr="00155B26" w:rsidRDefault="00246BB9" w:rsidP="006A1488">
      <w:pPr>
        <w:rPr>
          <w:noProof/>
        </w:rPr>
      </w:pPr>
      <w:r w:rsidRPr="00155B26">
        <w:rPr>
          <w:noProof/>
        </w:rPr>
        <w:t>3.</w:t>
      </w:r>
      <w:r w:rsidRPr="00155B26">
        <w:rPr>
          <w:noProof/>
        </w:rPr>
        <w:tab/>
        <w:t>Suárez-Álvarez, B., Raneros, A.B., Ortega, F., López-Larrea, C. Epigenetic modulation of the immune function: A potential target for tolerance.</w:t>
      </w:r>
      <w:r w:rsidRPr="00D37F04">
        <w:rPr>
          <w:i/>
          <w:iCs/>
          <w:noProof/>
        </w:rPr>
        <w:t xml:space="preserve"> Epigenetics.</w:t>
      </w:r>
      <w:r w:rsidRPr="00155B26">
        <w:rPr>
          <w:noProof/>
        </w:rPr>
        <w:t xml:space="preserve"> </w:t>
      </w:r>
      <w:r w:rsidR="00F236DF" w:rsidRPr="00D37F04">
        <w:rPr>
          <w:b/>
          <w:bCs/>
          <w:noProof/>
        </w:rPr>
        <w:t>8</w:t>
      </w:r>
      <w:r w:rsidR="00F236DF" w:rsidRPr="00155B26">
        <w:rPr>
          <w:noProof/>
        </w:rPr>
        <w:t xml:space="preserve"> (7), 694-702</w:t>
      </w:r>
      <w:r w:rsidRPr="00155B26">
        <w:rPr>
          <w:noProof/>
        </w:rPr>
        <w:t xml:space="preserve"> (2013).</w:t>
      </w:r>
    </w:p>
    <w:p w14:paraId="35099372" w14:textId="66297E0C" w:rsidR="00246BB9" w:rsidRPr="00155B26" w:rsidRDefault="00246BB9" w:rsidP="006A1488">
      <w:pPr>
        <w:rPr>
          <w:noProof/>
        </w:rPr>
      </w:pPr>
      <w:r w:rsidRPr="00155B26">
        <w:rPr>
          <w:noProof/>
        </w:rPr>
        <w:t>4.</w:t>
      </w:r>
      <w:r w:rsidRPr="00155B26">
        <w:rPr>
          <w:noProof/>
        </w:rPr>
        <w:tab/>
        <w:t>Kondilis-Mangum, H.</w:t>
      </w:r>
      <w:r w:rsidR="00D37F04">
        <w:rPr>
          <w:noProof/>
        </w:rPr>
        <w:t xml:space="preserve"> </w:t>
      </w:r>
      <w:r w:rsidRPr="00155B26">
        <w:rPr>
          <w:noProof/>
        </w:rPr>
        <w:t>D., Wade, P.</w:t>
      </w:r>
      <w:r w:rsidR="00D37F04">
        <w:rPr>
          <w:noProof/>
        </w:rPr>
        <w:t xml:space="preserve"> </w:t>
      </w:r>
      <w:r w:rsidRPr="00155B26">
        <w:rPr>
          <w:noProof/>
        </w:rPr>
        <w:t xml:space="preserve">A. Epigenetics and the adaptive immune response. </w:t>
      </w:r>
      <w:r w:rsidRPr="00D37F04">
        <w:rPr>
          <w:i/>
          <w:noProof/>
        </w:rPr>
        <w:t>Molecular Aspects of Medicine.</w:t>
      </w:r>
      <w:r w:rsidRPr="00155B26">
        <w:rPr>
          <w:noProof/>
        </w:rPr>
        <w:t xml:space="preserve"> </w:t>
      </w:r>
      <w:r w:rsidR="00A15CFC" w:rsidRPr="00D37F04">
        <w:rPr>
          <w:b/>
          <w:bCs/>
          <w:noProof/>
        </w:rPr>
        <w:t>34</w:t>
      </w:r>
      <w:r w:rsidR="00A15CFC" w:rsidRPr="00155B26">
        <w:rPr>
          <w:noProof/>
        </w:rPr>
        <w:t xml:space="preserve"> (4), 813-825</w:t>
      </w:r>
      <w:r w:rsidRPr="00155B26">
        <w:rPr>
          <w:noProof/>
        </w:rPr>
        <w:t xml:space="preserve"> (2013).</w:t>
      </w:r>
    </w:p>
    <w:p w14:paraId="4B6A53C8" w14:textId="77777777" w:rsidR="00246BB9" w:rsidRPr="00BE6FED" w:rsidRDefault="00246BB9" w:rsidP="006A1488">
      <w:pPr>
        <w:rPr>
          <w:noProof/>
          <w:lang w:val="fr-CA"/>
        </w:rPr>
      </w:pPr>
      <w:r w:rsidRPr="00155B26">
        <w:rPr>
          <w:noProof/>
        </w:rPr>
        <w:t>5.</w:t>
      </w:r>
      <w:r w:rsidRPr="00155B26">
        <w:rPr>
          <w:noProof/>
        </w:rPr>
        <w:tab/>
        <w:t xml:space="preserve">Zouali, M. </w:t>
      </w:r>
      <w:r w:rsidRPr="00BE6FED">
        <w:rPr>
          <w:iCs/>
          <w:noProof/>
        </w:rPr>
        <w:t>The Autoimmune Diseases</w:t>
      </w:r>
      <w:r w:rsidRPr="00155B26">
        <w:rPr>
          <w:noProof/>
        </w:rPr>
        <w:t xml:space="preserve">. Academic Press. </w:t>
      </w:r>
      <w:r w:rsidRPr="00BE6FED">
        <w:rPr>
          <w:noProof/>
          <w:lang w:val="fr-CA"/>
        </w:rPr>
        <w:t>Cambridge, MA. (2014).</w:t>
      </w:r>
    </w:p>
    <w:p w14:paraId="491CF18D" w14:textId="035B9F86" w:rsidR="00246BB9" w:rsidRPr="00155B26" w:rsidRDefault="00246BB9" w:rsidP="006A1488">
      <w:pPr>
        <w:rPr>
          <w:noProof/>
        </w:rPr>
      </w:pPr>
      <w:r w:rsidRPr="00BE6FED">
        <w:rPr>
          <w:noProof/>
          <w:lang w:val="fr-CA"/>
        </w:rPr>
        <w:t>6.</w:t>
      </w:r>
      <w:r w:rsidRPr="00BE6FED">
        <w:rPr>
          <w:noProof/>
          <w:lang w:val="fr-CA"/>
        </w:rPr>
        <w:tab/>
        <w:t>Wiencke, J.</w:t>
      </w:r>
      <w:r w:rsidR="00D37F04">
        <w:rPr>
          <w:noProof/>
          <w:lang w:val="fr-CA"/>
        </w:rPr>
        <w:t xml:space="preserve"> </w:t>
      </w:r>
      <w:r w:rsidRPr="00BE6FED">
        <w:rPr>
          <w:noProof/>
          <w:lang w:val="fr-CA"/>
        </w:rPr>
        <w:t xml:space="preserve">K. </w:t>
      </w:r>
      <w:r w:rsidRPr="00BE6FED">
        <w:rPr>
          <w:iCs/>
          <w:noProof/>
          <w:lang w:val="fr-CA"/>
        </w:rPr>
        <w:t>et al.</w:t>
      </w:r>
      <w:r w:rsidRPr="00BE6FED">
        <w:rPr>
          <w:noProof/>
          <w:lang w:val="fr-CA"/>
        </w:rPr>
        <w:t xml:space="preserve"> </w:t>
      </w:r>
      <w:r w:rsidRPr="00155B26">
        <w:rPr>
          <w:noProof/>
        </w:rPr>
        <w:t>A comparison of DNA methylation specific droplet digital PCR (</w:t>
      </w:r>
      <w:r w:rsidR="00D05913" w:rsidRPr="00155B26">
        <w:rPr>
          <w:noProof/>
        </w:rPr>
        <w:t>mdPCR</w:t>
      </w:r>
      <w:r w:rsidRPr="00155B26">
        <w:rPr>
          <w:noProof/>
        </w:rPr>
        <w:t>) and real time qPCR with flow cytometry in characterizing human T cells in peripheral blood.</w:t>
      </w:r>
      <w:r w:rsidRPr="00D37F04">
        <w:rPr>
          <w:i/>
          <w:iCs/>
          <w:noProof/>
        </w:rPr>
        <w:t xml:space="preserve"> Epigenetics.</w:t>
      </w:r>
      <w:r w:rsidRPr="00155B26">
        <w:rPr>
          <w:noProof/>
        </w:rPr>
        <w:t xml:space="preserve"> </w:t>
      </w:r>
      <w:r w:rsidR="00546853" w:rsidRPr="00D37F04">
        <w:rPr>
          <w:b/>
          <w:bCs/>
          <w:noProof/>
        </w:rPr>
        <w:t>9</w:t>
      </w:r>
      <w:r w:rsidR="00546853" w:rsidRPr="00155B26">
        <w:rPr>
          <w:noProof/>
        </w:rPr>
        <w:t xml:space="preserve"> (10), 1360-1365</w:t>
      </w:r>
      <w:r w:rsidRPr="00155B26">
        <w:rPr>
          <w:noProof/>
        </w:rPr>
        <w:t xml:space="preserve"> (2014).</w:t>
      </w:r>
    </w:p>
    <w:p w14:paraId="766B9C84" w14:textId="2717BCDB" w:rsidR="00246BB9" w:rsidRPr="00155B26" w:rsidRDefault="00246BB9" w:rsidP="006A1488">
      <w:pPr>
        <w:rPr>
          <w:noProof/>
        </w:rPr>
      </w:pPr>
      <w:r w:rsidRPr="00155B26">
        <w:rPr>
          <w:noProof/>
        </w:rPr>
        <w:t>7.</w:t>
      </w:r>
      <w:r w:rsidRPr="00155B26">
        <w:rPr>
          <w:noProof/>
        </w:rPr>
        <w:tab/>
        <w:t>Hindson, B.</w:t>
      </w:r>
      <w:r w:rsidR="00D37F04">
        <w:rPr>
          <w:noProof/>
        </w:rPr>
        <w:t xml:space="preserve"> </w:t>
      </w:r>
      <w:r w:rsidRPr="00155B26">
        <w:rPr>
          <w:noProof/>
        </w:rPr>
        <w:t xml:space="preserve">J. </w:t>
      </w:r>
      <w:r w:rsidRPr="00BE6FED">
        <w:rPr>
          <w:iCs/>
          <w:noProof/>
        </w:rPr>
        <w:t>et al.</w:t>
      </w:r>
      <w:r w:rsidRPr="00155B26">
        <w:rPr>
          <w:noProof/>
        </w:rPr>
        <w:t xml:space="preserve"> High-throughput droplet digital PCR system for absolute quantitation of DNA copy number. </w:t>
      </w:r>
      <w:r w:rsidRPr="00D37F04">
        <w:rPr>
          <w:i/>
          <w:noProof/>
        </w:rPr>
        <w:t>Analytical Chemistry.</w:t>
      </w:r>
      <w:r w:rsidRPr="00D37F04">
        <w:rPr>
          <w:b/>
          <w:bCs/>
          <w:noProof/>
        </w:rPr>
        <w:t xml:space="preserve"> </w:t>
      </w:r>
      <w:r w:rsidR="00764C97" w:rsidRPr="00D37F04">
        <w:rPr>
          <w:b/>
          <w:bCs/>
          <w:noProof/>
        </w:rPr>
        <w:t>83</w:t>
      </w:r>
      <w:r w:rsidR="00764C97" w:rsidRPr="00155B26">
        <w:rPr>
          <w:noProof/>
        </w:rPr>
        <w:t xml:space="preserve"> (22), 8604-8610</w:t>
      </w:r>
      <w:r w:rsidRPr="00155B26">
        <w:rPr>
          <w:noProof/>
        </w:rPr>
        <w:t xml:space="preserve"> (2011).</w:t>
      </w:r>
    </w:p>
    <w:p w14:paraId="19605C2E" w14:textId="033DB6A4" w:rsidR="00246BB9" w:rsidRPr="00155B26" w:rsidRDefault="00246BB9" w:rsidP="006A1488">
      <w:pPr>
        <w:rPr>
          <w:noProof/>
        </w:rPr>
      </w:pPr>
      <w:r w:rsidRPr="00155B26">
        <w:rPr>
          <w:noProof/>
        </w:rPr>
        <w:t>8.</w:t>
      </w:r>
      <w:r w:rsidRPr="00155B26">
        <w:rPr>
          <w:noProof/>
        </w:rPr>
        <w:tab/>
        <w:t>Pinheiro, L.</w:t>
      </w:r>
      <w:r w:rsidR="00D37F04">
        <w:rPr>
          <w:noProof/>
        </w:rPr>
        <w:t xml:space="preserve"> </w:t>
      </w:r>
      <w:r w:rsidRPr="00155B26">
        <w:rPr>
          <w:noProof/>
        </w:rPr>
        <w:t xml:space="preserve">B. </w:t>
      </w:r>
      <w:r w:rsidRPr="00BE6FED">
        <w:rPr>
          <w:iCs/>
          <w:noProof/>
        </w:rPr>
        <w:t>et al.</w:t>
      </w:r>
      <w:r w:rsidRPr="00155B26">
        <w:rPr>
          <w:noProof/>
        </w:rPr>
        <w:t xml:space="preserve"> Evaluation of a droplet digital polymerase chain reaction format for DNA copy number quantification. </w:t>
      </w:r>
      <w:r w:rsidRPr="00D37F04">
        <w:rPr>
          <w:i/>
          <w:noProof/>
        </w:rPr>
        <w:t>Analytical Chemistry.</w:t>
      </w:r>
      <w:r w:rsidRPr="00155B26">
        <w:rPr>
          <w:noProof/>
        </w:rPr>
        <w:t xml:space="preserve"> </w:t>
      </w:r>
      <w:r w:rsidR="00857C2B" w:rsidRPr="00D37F04">
        <w:rPr>
          <w:b/>
          <w:bCs/>
          <w:noProof/>
        </w:rPr>
        <w:t>84</w:t>
      </w:r>
      <w:r w:rsidR="00857C2B" w:rsidRPr="00155B26">
        <w:rPr>
          <w:noProof/>
        </w:rPr>
        <w:t xml:space="preserve"> (2), 1003-1011</w:t>
      </w:r>
      <w:r w:rsidRPr="00155B26">
        <w:rPr>
          <w:noProof/>
        </w:rPr>
        <w:t xml:space="preserve"> (2012).</w:t>
      </w:r>
    </w:p>
    <w:p w14:paraId="20BD1DAA" w14:textId="526D1F41" w:rsidR="00246BB9" w:rsidRPr="00155B26" w:rsidRDefault="00246BB9" w:rsidP="006A1488">
      <w:pPr>
        <w:rPr>
          <w:noProof/>
        </w:rPr>
      </w:pPr>
      <w:r w:rsidRPr="00155B26">
        <w:rPr>
          <w:noProof/>
        </w:rPr>
        <w:t>9.</w:t>
      </w:r>
      <w:r w:rsidRPr="00155B26">
        <w:rPr>
          <w:noProof/>
        </w:rPr>
        <w:tab/>
        <w:t>Roy, E., Galas, J.</w:t>
      </w:r>
      <w:r w:rsidR="00D37F04">
        <w:rPr>
          <w:noProof/>
        </w:rPr>
        <w:t xml:space="preserve"> </w:t>
      </w:r>
      <w:r w:rsidRPr="00155B26">
        <w:rPr>
          <w:noProof/>
        </w:rPr>
        <w:t xml:space="preserve">C., Veres, T. Thermoplastic elastomers for microfluidics: Towards a high-throughput fabrication method of multilayered microfluidic devices. </w:t>
      </w:r>
      <w:r w:rsidRPr="00D37F04">
        <w:rPr>
          <w:i/>
          <w:noProof/>
        </w:rPr>
        <w:t>Lab on a Chip</w:t>
      </w:r>
      <w:r w:rsidRPr="00155B26">
        <w:rPr>
          <w:noProof/>
        </w:rPr>
        <w:t xml:space="preserve">. </w:t>
      </w:r>
      <w:r w:rsidR="00857C2B" w:rsidRPr="00D37F04">
        <w:rPr>
          <w:b/>
          <w:bCs/>
          <w:noProof/>
        </w:rPr>
        <w:t xml:space="preserve">11 </w:t>
      </w:r>
      <w:r w:rsidR="00857C2B" w:rsidRPr="00155B26">
        <w:rPr>
          <w:noProof/>
        </w:rPr>
        <w:t>(18), 3193-3196</w:t>
      </w:r>
      <w:r w:rsidRPr="00155B26">
        <w:rPr>
          <w:noProof/>
        </w:rPr>
        <w:t xml:space="preserve"> (2011).</w:t>
      </w:r>
    </w:p>
    <w:p w14:paraId="1227CB24" w14:textId="47AD5AAE" w:rsidR="00246BB9" w:rsidRPr="00BE6FED" w:rsidRDefault="00246BB9" w:rsidP="006A1488">
      <w:pPr>
        <w:rPr>
          <w:noProof/>
          <w:lang w:val="en-CA"/>
        </w:rPr>
      </w:pPr>
      <w:r w:rsidRPr="00155B26">
        <w:rPr>
          <w:noProof/>
        </w:rPr>
        <w:lastRenderedPageBreak/>
        <w:t>10.</w:t>
      </w:r>
      <w:r w:rsidRPr="00155B26">
        <w:rPr>
          <w:noProof/>
        </w:rPr>
        <w:tab/>
        <w:t xml:space="preserve">Roy, E. </w:t>
      </w:r>
      <w:r w:rsidRPr="00BE6FED">
        <w:rPr>
          <w:iCs/>
          <w:noProof/>
        </w:rPr>
        <w:t>et al.</w:t>
      </w:r>
      <w:r w:rsidRPr="00155B26">
        <w:rPr>
          <w:noProof/>
        </w:rPr>
        <w:t xml:space="preserve"> From cellular lysis to microarray detection, an integrated thermoplastic elastomer (TPE) point of care Lab on a Disc.</w:t>
      </w:r>
      <w:r w:rsidRPr="00D37F04">
        <w:rPr>
          <w:i/>
          <w:iCs/>
          <w:noProof/>
        </w:rPr>
        <w:t xml:space="preserve"> </w:t>
      </w:r>
      <w:r w:rsidRPr="00D37F04">
        <w:rPr>
          <w:i/>
          <w:iCs/>
          <w:noProof/>
          <w:lang w:val="en-CA"/>
        </w:rPr>
        <w:t>Lab on a Chip.</w:t>
      </w:r>
      <w:r w:rsidRPr="00BE6FED">
        <w:rPr>
          <w:noProof/>
          <w:lang w:val="en-CA"/>
        </w:rPr>
        <w:t xml:space="preserve"> </w:t>
      </w:r>
      <w:r w:rsidR="00861F3A" w:rsidRPr="00D37F04">
        <w:rPr>
          <w:b/>
          <w:bCs/>
          <w:noProof/>
          <w:lang w:val="en-CA"/>
        </w:rPr>
        <w:t>15</w:t>
      </w:r>
      <w:r w:rsidR="00861F3A" w:rsidRPr="00BE6FED">
        <w:rPr>
          <w:noProof/>
          <w:lang w:val="en-CA"/>
        </w:rPr>
        <w:t xml:space="preserve"> (2), 406-416</w:t>
      </w:r>
      <w:r w:rsidRPr="00BE6FED">
        <w:rPr>
          <w:noProof/>
          <w:lang w:val="en-CA"/>
        </w:rPr>
        <w:t xml:space="preserve"> (2015).</w:t>
      </w:r>
    </w:p>
    <w:p w14:paraId="1BA8E964" w14:textId="1D00148F" w:rsidR="00246BB9" w:rsidRDefault="00246BB9" w:rsidP="006A1488">
      <w:pPr>
        <w:rPr>
          <w:noProof/>
        </w:rPr>
      </w:pPr>
      <w:r w:rsidRPr="00BE6FED">
        <w:rPr>
          <w:noProof/>
          <w:lang w:val="en-CA"/>
        </w:rPr>
        <w:t>11.</w:t>
      </w:r>
      <w:r w:rsidRPr="00BE6FED">
        <w:rPr>
          <w:noProof/>
          <w:lang w:val="en-CA"/>
        </w:rPr>
        <w:tab/>
        <w:t xml:space="preserve">Malic, L. </w:t>
      </w:r>
      <w:r w:rsidRPr="00BE6FED">
        <w:rPr>
          <w:iCs/>
          <w:noProof/>
          <w:lang w:val="en-CA"/>
        </w:rPr>
        <w:t>et al.</w:t>
      </w:r>
      <w:r w:rsidRPr="00BE6FED">
        <w:rPr>
          <w:noProof/>
          <w:lang w:val="en-CA"/>
        </w:rPr>
        <w:t xml:space="preserve"> </w:t>
      </w:r>
      <w:r w:rsidRPr="00155B26">
        <w:rPr>
          <w:noProof/>
        </w:rPr>
        <w:t xml:space="preserve">Epigenetic subtyping of white blood cells using a thermoplastic elastomer-based microfluidic emulsification device for multiplexed, methylation-specific digital droplet PCR. </w:t>
      </w:r>
      <w:r w:rsidRPr="00D37F04">
        <w:rPr>
          <w:i/>
          <w:noProof/>
        </w:rPr>
        <w:t>Analyst.</w:t>
      </w:r>
      <w:r w:rsidRPr="00155B26">
        <w:rPr>
          <w:noProof/>
        </w:rPr>
        <w:t xml:space="preserve"> </w:t>
      </w:r>
      <w:r w:rsidR="00861F3A" w:rsidRPr="00D37F04">
        <w:rPr>
          <w:b/>
          <w:bCs/>
          <w:noProof/>
        </w:rPr>
        <w:t>44</w:t>
      </w:r>
      <w:r w:rsidR="00861F3A" w:rsidRPr="00155B26">
        <w:rPr>
          <w:noProof/>
        </w:rPr>
        <w:t xml:space="preserve"> (22), 6541-6553</w:t>
      </w:r>
      <w:r w:rsidR="00D37F04">
        <w:rPr>
          <w:noProof/>
        </w:rPr>
        <w:t xml:space="preserve"> </w:t>
      </w:r>
      <w:r w:rsidRPr="00155B26">
        <w:rPr>
          <w:noProof/>
        </w:rPr>
        <w:t>(2019).</w:t>
      </w:r>
    </w:p>
    <w:p w14:paraId="4745860F" w14:textId="1584BD6C" w:rsidR="00551FC6" w:rsidRDefault="00551FC6" w:rsidP="006A1488">
      <w:pPr>
        <w:rPr>
          <w:noProof/>
        </w:rPr>
      </w:pPr>
      <w:r>
        <w:rPr>
          <w:noProof/>
        </w:rPr>
        <w:t xml:space="preserve">12. </w:t>
      </w:r>
      <w:r>
        <w:rPr>
          <w:noProof/>
        </w:rPr>
        <w:tab/>
        <w:t xml:space="preserve">Malic, L. et al. </w:t>
      </w:r>
      <w:r w:rsidRPr="00551FC6">
        <w:rPr>
          <w:noProof/>
        </w:rPr>
        <w:t>Polymer-based microfluidic chip for rapid and efficient immunomagnetic capture and release of Listeria monocytogenes</w:t>
      </w:r>
      <w:r w:rsidR="002867A0">
        <w:rPr>
          <w:noProof/>
        </w:rPr>
        <w:t xml:space="preserve">. </w:t>
      </w:r>
      <w:r w:rsidR="002867A0" w:rsidRPr="00D37F04">
        <w:rPr>
          <w:i/>
          <w:iCs/>
          <w:noProof/>
        </w:rPr>
        <w:t>Lab Chip.</w:t>
      </w:r>
      <w:r w:rsidR="002867A0">
        <w:rPr>
          <w:noProof/>
        </w:rPr>
        <w:t xml:space="preserve"> </w:t>
      </w:r>
      <w:r w:rsidR="002867A0" w:rsidRPr="00D37F04">
        <w:rPr>
          <w:b/>
          <w:bCs/>
          <w:noProof/>
        </w:rPr>
        <w:t xml:space="preserve">15 </w:t>
      </w:r>
      <w:r w:rsidR="002867A0">
        <w:rPr>
          <w:noProof/>
        </w:rPr>
        <w:t>(20), 3994-4007 (2015).</w:t>
      </w:r>
    </w:p>
    <w:p w14:paraId="313E6591" w14:textId="680B23A4" w:rsidR="002867A0" w:rsidRPr="00155B26" w:rsidRDefault="002867A0" w:rsidP="006A1488">
      <w:pPr>
        <w:rPr>
          <w:noProof/>
        </w:rPr>
      </w:pPr>
      <w:r>
        <w:rPr>
          <w:noProof/>
        </w:rPr>
        <w:t>13.</w:t>
      </w:r>
      <w:r>
        <w:rPr>
          <w:noProof/>
        </w:rPr>
        <w:tab/>
        <w:t xml:space="preserve">Malic, L., Morton, K., Clime, L., Veres, T. </w:t>
      </w:r>
      <w:r w:rsidRPr="002867A0">
        <w:rPr>
          <w:noProof/>
        </w:rPr>
        <w:t>All-thermoplastic nanoplasmonic microfluidic device for transmission SPR biosensing</w:t>
      </w:r>
      <w:r>
        <w:rPr>
          <w:noProof/>
        </w:rPr>
        <w:t xml:space="preserve">. </w:t>
      </w:r>
      <w:r w:rsidRPr="00D37F04">
        <w:rPr>
          <w:i/>
          <w:iCs/>
          <w:noProof/>
        </w:rPr>
        <w:t>Lab Chip.</w:t>
      </w:r>
      <w:r>
        <w:rPr>
          <w:noProof/>
        </w:rPr>
        <w:t xml:space="preserve"> </w:t>
      </w:r>
      <w:r w:rsidRPr="00D37F04">
        <w:rPr>
          <w:b/>
          <w:bCs/>
          <w:noProof/>
        </w:rPr>
        <w:t>13</w:t>
      </w:r>
      <w:r>
        <w:rPr>
          <w:noProof/>
        </w:rPr>
        <w:t xml:space="preserve"> (5), 798-810 (2013).</w:t>
      </w:r>
    </w:p>
    <w:p w14:paraId="626A41AB" w14:textId="3218020D" w:rsidR="00C17BFF" w:rsidRPr="001D4997" w:rsidRDefault="00F51227" w:rsidP="006A1488">
      <w:pPr>
        <w:rPr>
          <w:color w:val="7F7F7F" w:themeColor="text1" w:themeTint="80"/>
        </w:rPr>
      </w:pPr>
      <w:r>
        <w:rPr>
          <w:rFonts w:asciiTheme="minorHAnsi" w:hAnsiTheme="minorHAnsi" w:cstheme="minorHAnsi"/>
          <w:color w:val="808080" w:themeColor="background1" w:themeShade="80"/>
        </w:rPr>
        <w:fldChar w:fldCharType="end"/>
      </w:r>
    </w:p>
    <w:sectPr w:rsidR="00C17BFF" w:rsidRPr="001D4997"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5AA25" w14:textId="77777777" w:rsidR="000F20C3" w:rsidRDefault="000F20C3" w:rsidP="00621C4E">
      <w:r>
        <w:separator/>
      </w:r>
    </w:p>
  </w:endnote>
  <w:endnote w:type="continuationSeparator" w:id="0">
    <w:p w14:paraId="46FCA59C" w14:textId="77777777" w:rsidR="000F20C3" w:rsidRDefault="000F20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F41AB" w:rsidRDefault="004F41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CBAEB" w14:textId="77777777" w:rsidR="000F20C3" w:rsidRDefault="000F20C3" w:rsidP="00621C4E">
      <w:r>
        <w:separator/>
      </w:r>
    </w:p>
  </w:footnote>
  <w:footnote w:type="continuationSeparator" w:id="0">
    <w:p w14:paraId="5DDD9447" w14:textId="77777777" w:rsidR="000F20C3" w:rsidRDefault="000F20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F41AB" w:rsidRPr="006F06E4" w:rsidRDefault="004F41A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0B8A922" w:rsidR="004F41AB" w:rsidRPr="006F06E4" w:rsidRDefault="004F41A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4E6A"/>
    <w:multiLevelType w:val="multilevel"/>
    <w:tmpl w:val="90BE4C8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960F5"/>
    <w:multiLevelType w:val="hybridMultilevel"/>
    <w:tmpl w:val="B58414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B291FD0"/>
    <w:multiLevelType w:val="multilevel"/>
    <w:tmpl w:val="76B8F8B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3"/>
  </w:num>
  <w:num w:numId="4">
    <w:abstractNumId w:val="7"/>
  </w:num>
  <w:num w:numId="5">
    <w:abstractNumId w:val="14"/>
  </w:num>
  <w:num w:numId="6">
    <w:abstractNumId w:val="0"/>
  </w:num>
  <w:num w:numId="7">
    <w:abstractNumId w:val="9"/>
  </w:num>
  <w:num w:numId="8">
    <w:abstractNumId w:val="10"/>
  </w:num>
  <w:num w:numId="9">
    <w:abstractNumId w:val="15"/>
  </w:num>
  <w:num w:numId="10">
    <w:abstractNumId w:val="18"/>
  </w:num>
  <w:num w:numId="11">
    <w:abstractNumId w:val="2"/>
  </w:num>
  <w:num w:numId="12">
    <w:abstractNumId w:val="11"/>
  </w:num>
  <w:num w:numId="13">
    <w:abstractNumId w:val="6"/>
  </w:num>
  <w:num w:numId="14">
    <w:abstractNumId w:val="17"/>
  </w:num>
  <w:num w:numId="15">
    <w:abstractNumId w:val="12"/>
  </w:num>
  <w:num w:numId="16">
    <w:abstractNumId w:val="5"/>
  </w:num>
  <w:num w:numId="17">
    <w:abstractNumId w:val="19"/>
  </w:num>
  <w:num w:numId="18">
    <w:abstractNumId w:val="13"/>
  </w:num>
  <w:num w:numId="19">
    <w:abstractNumId w:val="1"/>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645"/>
    <w:rsid w:val="000129B2"/>
    <w:rsid w:val="00012E05"/>
    <w:rsid w:val="00012FF9"/>
    <w:rsid w:val="0001389C"/>
    <w:rsid w:val="00014314"/>
    <w:rsid w:val="000212AE"/>
    <w:rsid w:val="00021434"/>
    <w:rsid w:val="00021774"/>
    <w:rsid w:val="00021DF3"/>
    <w:rsid w:val="00023869"/>
    <w:rsid w:val="00023A0A"/>
    <w:rsid w:val="00024598"/>
    <w:rsid w:val="000279B0"/>
    <w:rsid w:val="00032769"/>
    <w:rsid w:val="0003311E"/>
    <w:rsid w:val="00037B58"/>
    <w:rsid w:val="00045E81"/>
    <w:rsid w:val="00051B01"/>
    <w:rsid w:val="00051B73"/>
    <w:rsid w:val="000549ED"/>
    <w:rsid w:val="00056270"/>
    <w:rsid w:val="000575CF"/>
    <w:rsid w:val="00060ABE"/>
    <w:rsid w:val="00061A50"/>
    <w:rsid w:val="0006361B"/>
    <w:rsid w:val="00064104"/>
    <w:rsid w:val="00064F32"/>
    <w:rsid w:val="000652E3"/>
    <w:rsid w:val="00066025"/>
    <w:rsid w:val="00067A8F"/>
    <w:rsid w:val="000701D1"/>
    <w:rsid w:val="00076880"/>
    <w:rsid w:val="00076A43"/>
    <w:rsid w:val="00080A20"/>
    <w:rsid w:val="00082796"/>
    <w:rsid w:val="00082DF4"/>
    <w:rsid w:val="00086FF5"/>
    <w:rsid w:val="00087C0A"/>
    <w:rsid w:val="00091788"/>
    <w:rsid w:val="0009211E"/>
    <w:rsid w:val="00093BC4"/>
    <w:rsid w:val="000943E6"/>
    <w:rsid w:val="00097929"/>
    <w:rsid w:val="000A0A08"/>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0C3"/>
    <w:rsid w:val="000F265C"/>
    <w:rsid w:val="000F3AFA"/>
    <w:rsid w:val="000F5712"/>
    <w:rsid w:val="000F6611"/>
    <w:rsid w:val="000F7E22"/>
    <w:rsid w:val="00107554"/>
    <w:rsid w:val="001075E9"/>
    <w:rsid w:val="001104F3"/>
    <w:rsid w:val="00112A31"/>
    <w:rsid w:val="00112EEB"/>
    <w:rsid w:val="00117341"/>
    <w:rsid w:val="001173FF"/>
    <w:rsid w:val="0012185F"/>
    <w:rsid w:val="0012563A"/>
    <w:rsid w:val="001264DE"/>
    <w:rsid w:val="00130191"/>
    <w:rsid w:val="001313A7"/>
    <w:rsid w:val="0013276F"/>
    <w:rsid w:val="001342B5"/>
    <w:rsid w:val="0013621E"/>
    <w:rsid w:val="0013642E"/>
    <w:rsid w:val="00142EFE"/>
    <w:rsid w:val="00146545"/>
    <w:rsid w:val="00152A23"/>
    <w:rsid w:val="00152FB3"/>
    <w:rsid w:val="00155585"/>
    <w:rsid w:val="00155B26"/>
    <w:rsid w:val="00156B11"/>
    <w:rsid w:val="00162CB7"/>
    <w:rsid w:val="001665C9"/>
    <w:rsid w:val="00166F32"/>
    <w:rsid w:val="001718C0"/>
    <w:rsid w:val="00171E5B"/>
    <w:rsid w:val="00171F94"/>
    <w:rsid w:val="00175D4E"/>
    <w:rsid w:val="0017668A"/>
    <w:rsid w:val="001766FE"/>
    <w:rsid w:val="001771E7"/>
    <w:rsid w:val="0019013A"/>
    <w:rsid w:val="001911FF"/>
    <w:rsid w:val="00192006"/>
    <w:rsid w:val="00193180"/>
    <w:rsid w:val="0019530C"/>
    <w:rsid w:val="00196792"/>
    <w:rsid w:val="001A75A9"/>
    <w:rsid w:val="001B1519"/>
    <w:rsid w:val="001B2E2D"/>
    <w:rsid w:val="001B5CD2"/>
    <w:rsid w:val="001B5DC2"/>
    <w:rsid w:val="001C0BEE"/>
    <w:rsid w:val="001C1E49"/>
    <w:rsid w:val="001C27C1"/>
    <w:rsid w:val="001C2A98"/>
    <w:rsid w:val="001C3B86"/>
    <w:rsid w:val="001C4D95"/>
    <w:rsid w:val="001D07C9"/>
    <w:rsid w:val="001D3D7D"/>
    <w:rsid w:val="001D3FFF"/>
    <w:rsid w:val="001D4997"/>
    <w:rsid w:val="001D625F"/>
    <w:rsid w:val="001D68A4"/>
    <w:rsid w:val="001D6E6D"/>
    <w:rsid w:val="001D7576"/>
    <w:rsid w:val="001E0E3F"/>
    <w:rsid w:val="001E14A0"/>
    <w:rsid w:val="001E48FC"/>
    <w:rsid w:val="001E722D"/>
    <w:rsid w:val="001E7376"/>
    <w:rsid w:val="001F225C"/>
    <w:rsid w:val="001F6566"/>
    <w:rsid w:val="00200792"/>
    <w:rsid w:val="00201CFA"/>
    <w:rsid w:val="0020220D"/>
    <w:rsid w:val="00202448"/>
    <w:rsid w:val="00202D15"/>
    <w:rsid w:val="00205B3F"/>
    <w:rsid w:val="00212EAE"/>
    <w:rsid w:val="00214BEE"/>
    <w:rsid w:val="0021569A"/>
    <w:rsid w:val="002205B8"/>
    <w:rsid w:val="00225720"/>
    <w:rsid w:val="002259E5"/>
    <w:rsid w:val="00225E97"/>
    <w:rsid w:val="00226140"/>
    <w:rsid w:val="002274F3"/>
    <w:rsid w:val="0023094C"/>
    <w:rsid w:val="00233484"/>
    <w:rsid w:val="00234303"/>
    <w:rsid w:val="00234BE3"/>
    <w:rsid w:val="00235A90"/>
    <w:rsid w:val="0023624F"/>
    <w:rsid w:val="00241E48"/>
    <w:rsid w:val="0024214E"/>
    <w:rsid w:val="00242623"/>
    <w:rsid w:val="00246BB9"/>
    <w:rsid w:val="00250558"/>
    <w:rsid w:val="0025357C"/>
    <w:rsid w:val="002605D1"/>
    <w:rsid w:val="00260652"/>
    <w:rsid w:val="00261F25"/>
    <w:rsid w:val="002639FA"/>
    <w:rsid w:val="002648A9"/>
    <w:rsid w:val="0026536F"/>
    <w:rsid w:val="0026553C"/>
    <w:rsid w:val="002661A0"/>
    <w:rsid w:val="0026790A"/>
    <w:rsid w:val="00267DD5"/>
    <w:rsid w:val="00274A0A"/>
    <w:rsid w:val="00277593"/>
    <w:rsid w:val="00277868"/>
    <w:rsid w:val="00280909"/>
    <w:rsid w:val="00280918"/>
    <w:rsid w:val="00282AF6"/>
    <w:rsid w:val="0028596A"/>
    <w:rsid w:val="002867A0"/>
    <w:rsid w:val="00287085"/>
    <w:rsid w:val="00287DC0"/>
    <w:rsid w:val="00290AF9"/>
    <w:rsid w:val="00291131"/>
    <w:rsid w:val="00292BEE"/>
    <w:rsid w:val="0029678E"/>
    <w:rsid w:val="002967CF"/>
    <w:rsid w:val="00297788"/>
    <w:rsid w:val="002A3285"/>
    <w:rsid w:val="002A34F9"/>
    <w:rsid w:val="002A484B"/>
    <w:rsid w:val="002A64A6"/>
    <w:rsid w:val="002B1FE3"/>
    <w:rsid w:val="002B3301"/>
    <w:rsid w:val="002B6400"/>
    <w:rsid w:val="002C1445"/>
    <w:rsid w:val="002C2D92"/>
    <w:rsid w:val="002C3519"/>
    <w:rsid w:val="002C4599"/>
    <w:rsid w:val="002C47D4"/>
    <w:rsid w:val="002D0CFC"/>
    <w:rsid w:val="002D0F38"/>
    <w:rsid w:val="002D77E3"/>
    <w:rsid w:val="002E534B"/>
    <w:rsid w:val="002F2859"/>
    <w:rsid w:val="002F6164"/>
    <w:rsid w:val="002F6E3C"/>
    <w:rsid w:val="0030117D"/>
    <w:rsid w:val="00301F30"/>
    <w:rsid w:val="003038FD"/>
    <w:rsid w:val="00303C87"/>
    <w:rsid w:val="003108E5"/>
    <w:rsid w:val="003115A8"/>
    <w:rsid w:val="003120CB"/>
    <w:rsid w:val="003176B9"/>
    <w:rsid w:val="00320153"/>
    <w:rsid w:val="00320367"/>
    <w:rsid w:val="00322871"/>
    <w:rsid w:val="00325F55"/>
    <w:rsid w:val="00326FB3"/>
    <w:rsid w:val="003316D4"/>
    <w:rsid w:val="003321B2"/>
    <w:rsid w:val="00332BBE"/>
    <w:rsid w:val="00333822"/>
    <w:rsid w:val="00336715"/>
    <w:rsid w:val="003401EC"/>
    <w:rsid w:val="00340DFD"/>
    <w:rsid w:val="00341ADA"/>
    <w:rsid w:val="00344954"/>
    <w:rsid w:val="00345DE8"/>
    <w:rsid w:val="00350CD7"/>
    <w:rsid w:val="00360C17"/>
    <w:rsid w:val="003621C6"/>
    <w:rsid w:val="003622B8"/>
    <w:rsid w:val="003623AB"/>
    <w:rsid w:val="00366B76"/>
    <w:rsid w:val="00373051"/>
    <w:rsid w:val="00373B8F"/>
    <w:rsid w:val="00376D95"/>
    <w:rsid w:val="00377FBB"/>
    <w:rsid w:val="00380945"/>
    <w:rsid w:val="00385140"/>
    <w:rsid w:val="00393133"/>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2F06"/>
    <w:rsid w:val="003F462A"/>
    <w:rsid w:val="0040398E"/>
    <w:rsid w:val="00407EC8"/>
    <w:rsid w:val="0041110A"/>
    <w:rsid w:val="00411624"/>
    <w:rsid w:val="004148E1"/>
    <w:rsid w:val="00414CFA"/>
    <w:rsid w:val="00415EC0"/>
    <w:rsid w:val="00415F71"/>
    <w:rsid w:val="00420BE9"/>
    <w:rsid w:val="00422C12"/>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18E"/>
    <w:rsid w:val="00474DCB"/>
    <w:rsid w:val="0047535C"/>
    <w:rsid w:val="004762F6"/>
    <w:rsid w:val="00481D18"/>
    <w:rsid w:val="00485870"/>
    <w:rsid w:val="00485FE8"/>
    <w:rsid w:val="00492473"/>
    <w:rsid w:val="00492EB5"/>
    <w:rsid w:val="00494F77"/>
    <w:rsid w:val="00497721"/>
    <w:rsid w:val="004A0229"/>
    <w:rsid w:val="004A35D2"/>
    <w:rsid w:val="004A5D8E"/>
    <w:rsid w:val="004A71E4"/>
    <w:rsid w:val="004B2260"/>
    <w:rsid w:val="004B2F00"/>
    <w:rsid w:val="004B667A"/>
    <w:rsid w:val="004B6E31"/>
    <w:rsid w:val="004C1D66"/>
    <w:rsid w:val="004C31D7"/>
    <w:rsid w:val="004C4AD2"/>
    <w:rsid w:val="004C6981"/>
    <w:rsid w:val="004D081D"/>
    <w:rsid w:val="004D1F21"/>
    <w:rsid w:val="004D268C"/>
    <w:rsid w:val="004D59D8"/>
    <w:rsid w:val="004D5DA1"/>
    <w:rsid w:val="004D7910"/>
    <w:rsid w:val="004E150F"/>
    <w:rsid w:val="004E1DCA"/>
    <w:rsid w:val="004E1F7F"/>
    <w:rsid w:val="004E23A1"/>
    <w:rsid w:val="004E3489"/>
    <w:rsid w:val="004E358A"/>
    <w:rsid w:val="004E3AFA"/>
    <w:rsid w:val="004E6588"/>
    <w:rsid w:val="004F2742"/>
    <w:rsid w:val="004F4085"/>
    <w:rsid w:val="004F41AB"/>
    <w:rsid w:val="004F66F0"/>
    <w:rsid w:val="00502A0A"/>
    <w:rsid w:val="00507C50"/>
    <w:rsid w:val="00514D40"/>
    <w:rsid w:val="00517C3A"/>
    <w:rsid w:val="00527BF4"/>
    <w:rsid w:val="005324BE"/>
    <w:rsid w:val="00534F6C"/>
    <w:rsid w:val="00535994"/>
    <w:rsid w:val="005359BF"/>
    <w:rsid w:val="0053646D"/>
    <w:rsid w:val="00536D67"/>
    <w:rsid w:val="00537339"/>
    <w:rsid w:val="00540AAD"/>
    <w:rsid w:val="00543EC1"/>
    <w:rsid w:val="00546458"/>
    <w:rsid w:val="00546853"/>
    <w:rsid w:val="0055087C"/>
    <w:rsid w:val="00551FC6"/>
    <w:rsid w:val="00553413"/>
    <w:rsid w:val="00554914"/>
    <w:rsid w:val="00555983"/>
    <w:rsid w:val="00560E31"/>
    <w:rsid w:val="00561B3F"/>
    <w:rsid w:val="00561BDA"/>
    <w:rsid w:val="00567DBF"/>
    <w:rsid w:val="00570A3F"/>
    <w:rsid w:val="00581B23"/>
    <w:rsid w:val="0058219C"/>
    <w:rsid w:val="00584FE3"/>
    <w:rsid w:val="0058707F"/>
    <w:rsid w:val="00591DBD"/>
    <w:rsid w:val="005931FE"/>
    <w:rsid w:val="005A0028"/>
    <w:rsid w:val="005A0ACC"/>
    <w:rsid w:val="005A2F7A"/>
    <w:rsid w:val="005A6F4E"/>
    <w:rsid w:val="005B0072"/>
    <w:rsid w:val="005B0732"/>
    <w:rsid w:val="005B38A0"/>
    <w:rsid w:val="005B491C"/>
    <w:rsid w:val="005B4DBF"/>
    <w:rsid w:val="005B5DE2"/>
    <w:rsid w:val="005B674C"/>
    <w:rsid w:val="005C24F2"/>
    <w:rsid w:val="005C7561"/>
    <w:rsid w:val="005D01D5"/>
    <w:rsid w:val="005D1E57"/>
    <w:rsid w:val="005D2F57"/>
    <w:rsid w:val="005D34F6"/>
    <w:rsid w:val="005D4F1A"/>
    <w:rsid w:val="005E1884"/>
    <w:rsid w:val="005F373A"/>
    <w:rsid w:val="005F4F87"/>
    <w:rsid w:val="005F6B0E"/>
    <w:rsid w:val="005F760E"/>
    <w:rsid w:val="005F7B1D"/>
    <w:rsid w:val="0060222A"/>
    <w:rsid w:val="00603840"/>
    <w:rsid w:val="00604755"/>
    <w:rsid w:val="006070C4"/>
    <w:rsid w:val="00610C21"/>
    <w:rsid w:val="00611907"/>
    <w:rsid w:val="00613116"/>
    <w:rsid w:val="006202A6"/>
    <w:rsid w:val="0062054B"/>
    <w:rsid w:val="00620926"/>
    <w:rsid w:val="00621C4E"/>
    <w:rsid w:val="00624EAE"/>
    <w:rsid w:val="006265D5"/>
    <w:rsid w:val="00630072"/>
    <w:rsid w:val="00630311"/>
    <w:rsid w:val="006305D7"/>
    <w:rsid w:val="00632274"/>
    <w:rsid w:val="00632F63"/>
    <w:rsid w:val="00633A01"/>
    <w:rsid w:val="00633B97"/>
    <w:rsid w:val="006341F7"/>
    <w:rsid w:val="00634585"/>
    <w:rsid w:val="00634BB2"/>
    <w:rsid w:val="00635014"/>
    <w:rsid w:val="006369CE"/>
    <w:rsid w:val="0063771F"/>
    <w:rsid w:val="006411CA"/>
    <w:rsid w:val="006450C9"/>
    <w:rsid w:val="0064605E"/>
    <w:rsid w:val="00657BC4"/>
    <w:rsid w:val="00660C1F"/>
    <w:rsid w:val="006619C8"/>
    <w:rsid w:val="0066619D"/>
    <w:rsid w:val="00671710"/>
    <w:rsid w:val="00673414"/>
    <w:rsid w:val="00676079"/>
    <w:rsid w:val="00676ECD"/>
    <w:rsid w:val="00677D0A"/>
    <w:rsid w:val="0068185F"/>
    <w:rsid w:val="006900B0"/>
    <w:rsid w:val="00691EB2"/>
    <w:rsid w:val="0069343E"/>
    <w:rsid w:val="006A01CF"/>
    <w:rsid w:val="006A1488"/>
    <w:rsid w:val="006A222B"/>
    <w:rsid w:val="006A3672"/>
    <w:rsid w:val="006A60DD"/>
    <w:rsid w:val="006B0679"/>
    <w:rsid w:val="006B074C"/>
    <w:rsid w:val="006B3B84"/>
    <w:rsid w:val="006B46BF"/>
    <w:rsid w:val="006B4E7C"/>
    <w:rsid w:val="006B5D8C"/>
    <w:rsid w:val="006B72D4"/>
    <w:rsid w:val="006C11CC"/>
    <w:rsid w:val="006C1AEB"/>
    <w:rsid w:val="006C57FE"/>
    <w:rsid w:val="006C668E"/>
    <w:rsid w:val="006E0180"/>
    <w:rsid w:val="006E41A5"/>
    <w:rsid w:val="006E4B63"/>
    <w:rsid w:val="006F06E4"/>
    <w:rsid w:val="006F1654"/>
    <w:rsid w:val="006F7B41"/>
    <w:rsid w:val="00702B5D"/>
    <w:rsid w:val="00703ED2"/>
    <w:rsid w:val="00706E68"/>
    <w:rsid w:val="00707B8D"/>
    <w:rsid w:val="00713636"/>
    <w:rsid w:val="00714B8C"/>
    <w:rsid w:val="0071675D"/>
    <w:rsid w:val="00717736"/>
    <w:rsid w:val="00723BC6"/>
    <w:rsid w:val="007242B4"/>
    <w:rsid w:val="0072708B"/>
    <w:rsid w:val="00732B47"/>
    <w:rsid w:val="0073570F"/>
    <w:rsid w:val="00735CF5"/>
    <w:rsid w:val="00737548"/>
    <w:rsid w:val="0074063A"/>
    <w:rsid w:val="00742AA4"/>
    <w:rsid w:val="00743BA1"/>
    <w:rsid w:val="00745F1E"/>
    <w:rsid w:val="007515FE"/>
    <w:rsid w:val="007553AE"/>
    <w:rsid w:val="0075637E"/>
    <w:rsid w:val="007601D0"/>
    <w:rsid w:val="007603BB"/>
    <w:rsid w:val="0076109D"/>
    <w:rsid w:val="00764C97"/>
    <w:rsid w:val="00767107"/>
    <w:rsid w:val="00773617"/>
    <w:rsid w:val="00773BFD"/>
    <w:rsid w:val="007743B3"/>
    <w:rsid w:val="00774490"/>
    <w:rsid w:val="0077581E"/>
    <w:rsid w:val="007819FF"/>
    <w:rsid w:val="0078360C"/>
    <w:rsid w:val="007838A0"/>
    <w:rsid w:val="00784A4C"/>
    <w:rsid w:val="00784BC6"/>
    <w:rsid w:val="00784F37"/>
    <w:rsid w:val="0078523D"/>
    <w:rsid w:val="007931DF"/>
    <w:rsid w:val="0079438C"/>
    <w:rsid w:val="007A0172"/>
    <w:rsid w:val="007A1804"/>
    <w:rsid w:val="007A215A"/>
    <w:rsid w:val="007A2511"/>
    <w:rsid w:val="007A260E"/>
    <w:rsid w:val="007A2FC5"/>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47E7"/>
    <w:rsid w:val="00827F51"/>
    <w:rsid w:val="0083104E"/>
    <w:rsid w:val="00834042"/>
    <w:rsid w:val="008343BE"/>
    <w:rsid w:val="00836535"/>
    <w:rsid w:val="00840FB4"/>
    <w:rsid w:val="008410B2"/>
    <w:rsid w:val="00841780"/>
    <w:rsid w:val="008500A0"/>
    <w:rsid w:val="008524E5"/>
    <w:rsid w:val="00852B09"/>
    <w:rsid w:val="0085351C"/>
    <w:rsid w:val="0085435A"/>
    <w:rsid w:val="008549CA"/>
    <w:rsid w:val="008556C3"/>
    <w:rsid w:val="0085687C"/>
    <w:rsid w:val="00857C2B"/>
    <w:rsid w:val="008611C1"/>
    <w:rsid w:val="00861F3A"/>
    <w:rsid w:val="008706C5"/>
    <w:rsid w:val="0087168D"/>
    <w:rsid w:val="00872D65"/>
    <w:rsid w:val="00873707"/>
    <w:rsid w:val="00874B20"/>
    <w:rsid w:val="008757C6"/>
    <w:rsid w:val="008763E1"/>
    <w:rsid w:val="0087775C"/>
    <w:rsid w:val="00877EC8"/>
    <w:rsid w:val="00880F36"/>
    <w:rsid w:val="00885530"/>
    <w:rsid w:val="00887AAE"/>
    <w:rsid w:val="008910D1"/>
    <w:rsid w:val="008921DA"/>
    <w:rsid w:val="0089296C"/>
    <w:rsid w:val="00896ABD"/>
    <w:rsid w:val="00897AB6"/>
    <w:rsid w:val="00897DA8"/>
    <w:rsid w:val="008A3380"/>
    <w:rsid w:val="008A7A9C"/>
    <w:rsid w:val="008B33E5"/>
    <w:rsid w:val="008B5218"/>
    <w:rsid w:val="008B68FA"/>
    <w:rsid w:val="008B7102"/>
    <w:rsid w:val="008C27AF"/>
    <w:rsid w:val="008C3B7D"/>
    <w:rsid w:val="008C3D3E"/>
    <w:rsid w:val="008D0F90"/>
    <w:rsid w:val="008D1908"/>
    <w:rsid w:val="008D3715"/>
    <w:rsid w:val="008D5465"/>
    <w:rsid w:val="008D5E61"/>
    <w:rsid w:val="008D7EB7"/>
    <w:rsid w:val="008D7EC5"/>
    <w:rsid w:val="008E3684"/>
    <w:rsid w:val="008E3B8D"/>
    <w:rsid w:val="008E57F5"/>
    <w:rsid w:val="008E7606"/>
    <w:rsid w:val="008F1DAA"/>
    <w:rsid w:val="008F3EBD"/>
    <w:rsid w:val="008F60B2"/>
    <w:rsid w:val="008F6EBB"/>
    <w:rsid w:val="008F7C41"/>
    <w:rsid w:val="00901C70"/>
    <w:rsid w:val="009031E2"/>
    <w:rsid w:val="009041C9"/>
    <w:rsid w:val="0091276C"/>
    <w:rsid w:val="009145BE"/>
    <w:rsid w:val="009165AC"/>
    <w:rsid w:val="00916FFC"/>
    <w:rsid w:val="0092053F"/>
    <w:rsid w:val="0092340A"/>
    <w:rsid w:val="009313D9"/>
    <w:rsid w:val="00935B7F"/>
    <w:rsid w:val="00941293"/>
    <w:rsid w:val="00946372"/>
    <w:rsid w:val="0095032B"/>
    <w:rsid w:val="00950944"/>
    <w:rsid w:val="00950B13"/>
    <w:rsid w:val="00950C17"/>
    <w:rsid w:val="00951FAF"/>
    <w:rsid w:val="00954740"/>
    <w:rsid w:val="009557BC"/>
    <w:rsid w:val="00955AE5"/>
    <w:rsid w:val="00955DB4"/>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669C"/>
    <w:rsid w:val="009F732B"/>
    <w:rsid w:val="00A01FE0"/>
    <w:rsid w:val="00A06945"/>
    <w:rsid w:val="00A10656"/>
    <w:rsid w:val="00A113C0"/>
    <w:rsid w:val="00A12209"/>
    <w:rsid w:val="00A12FA6"/>
    <w:rsid w:val="00A1339B"/>
    <w:rsid w:val="00A14ABA"/>
    <w:rsid w:val="00A15CFC"/>
    <w:rsid w:val="00A24CB6"/>
    <w:rsid w:val="00A25865"/>
    <w:rsid w:val="00A25A29"/>
    <w:rsid w:val="00A26CD2"/>
    <w:rsid w:val="00A27667"/>
    <w:rsid w:val="00A32979"/>
    <w:rsid w:val="00A34A67"/>
    <w:rsid w:val="00A37462"/>
    <w:rsid w:val="00A44DF4"/>
    <w:rsid w:val="00A459E1"/>
    <w:rsid w:val="00A46AC4"/>
    <w:rsid w:val="00A478A5"/>
    <w:rsid w:val="00A52296"/>
    <w:rsid w:val="00A549AA"/>
    <w:rsid w:val="00A55661"/>
    <w:rsid w:val="00A60A62"/>
    <w:rsid w:val="00A60BC8"/>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255"/>
    <w:rsid w:val="00AD460A"/>
    <w:rsid w:val="00AD6A05"/>
    <w:rsid w:val="00AE0792"/>
    <w:rsid w:val="00AE118B"/>
    <w:rsid w:val="00AE272B"/>
    <w:rsid w:val="00AE3E3A"/>
    <w:rsid w:val="00AE77B4"/>
    <w:rsid w:val="00AE7C1A"/>
    <w:rsid w:val="00AE7DF8"/>
    <w:rsid w:val="00AF0D9C"/>
    <w:rsid w:val="00AF13AB"/>
    <w:rsid w:val="00AF1D36"/>
    <w:rsid w:val="00AF1DF8"/>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0CDC"/>
    <w:rsid w:val="00B32616"/>
    <w:rsid w:val="00B32B52"/>
    <w:rsid w:val="00B36AF0"/>
    <w:rsid w:val="00B36C42"/>
    <w:rsid w:val="00B42EA7"/>
    <w:rsid w:val="00B43B8E"/>
    <w:rsid w:val="00B47EF5"/>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95165"/>
    <w:rsid w:val="00BA1735"/>
    <w:rsid w:val="00BA19FA"/>
    <w:rsid w:val="00BA4288"/>
    <w:rsid w:val="00BB0902"/>
    <w:rsid w:val="00BB1F9C"/>
    <w:rsid w:val="00BB48E5"/>
    <w:rsid w:val="00BB5607"/>
    <w:rsid w:val="00BB5ACA"/>
    <w:rsid w:val="00BB627F"/>
    <w:rsid w:val="00BC0C17"/>
    <w:rsid w:val="00BC13E7"/>
    <w:rsid w:val="00BC3823"/>
    <w:rsid w:val="00BC5841"/>
    <w:rsid w:val="00BC5E38"/>
    <w:rsid w:val="00BD171D"/>
    <w:rsid w:val="00BD201A"/>
    <w:rsid w:val="00BD2DC4"/>
    <w:rsid w:val="00BD2EF0"/>
    <w:rsid w:val="00BD499C"/>
    <w:rsid w:val="00BD60B4"/>
    <w:rsid w:val="00BD796B"/>
    <w:rsid w:val="00BE40C0"/>
    <w:rsid w:val="00BE445C"/>
    <w:rsid w:val="00BE5F4A"/>
    <w:rsid w:val="00BE6FED"/>
    <w:rsid w:val="00BE7AEF"/>
    <w:rsid w:val="00BF09B0"/>
    <w:rsid w:val="00BF1544"/>
    <w:rsid w:val="00BF1B53"/>
    <w:rsid w:val="00BF246D"/>
    <w:rsid w:val="00BF2682"/>
    <w:rsid w:val="00C0026B"/>
    <w:rsid w:val="00C05A09"/>
    <w:rsid w:val="00C06F06"/>
    <w:rsid w:val="00C17BFF"/>
    <w:rsid w:val="00C20FAD"/>
    <w:rsid w:val="00C2172C"/>
    <w:rsid w:val="00C2375F"/>
    <w:rsid w:val="00C247CB"/>
    <w:rsid w:val="00C26C36"/>
    <w:rsid w:val="00C32E66"/>
    <w:rsid w:val="00C3355F"/>
    <w:rsid w:val="00C33A04"/>
    <w:rsid w:val="00C3569A"/>
    <w:rsid w:val="00C43F48"/>
    <w:rsid w:val="00C448FF"/>
    <w:rsid w:val="00C45E57"/>
    <w:rsid w:val="00C47514"/>
    <w:rsid w:val="00C52F29"/>
    <w:rsid w:val="00C56CE6"/>
    <w:rsid w:val="00C5745F"/>
    <w:rsid w:val="00C60005"/>
    <w:rsid w:val="00C60BFF"/>
    <w:rsid w:val="00C61A98"/>
    <w:rsid w:val="00C63201"/>
    <w:rsid w:val="00C64E62"/>
    <w:rsid w:val="00C651D5"/>
    <w:rsid w:val="00C65CCC"/>
    <w:rsid w:val="00C65DA9"/>
    <w:rsid w:val="00C7618F"/>
    <w:rsid w:val="00C765A9"/>
    <w:rsid w:val="00C77435"/>
    <w:rsid w:val="00C81157"/>
    <w:rsid w:val="00C8162D"/>
    <w:rsid w:val="00C830BB"/>
    <w:rsid w:val="00C83A0B"/>
    <w:rsid w:val="00C842D0"/>
    <w:rsid w:val="00C84AF9"/>
    <w:rsid w:val="00C84ED1"/>
    <w:rsid w:val="00C863CC"/>
    <w:rsid w:val="00C86BCC"/>
    <w:rsid w:val="00C9038F"/>
    <w:rsid w:val="00C92AAB"/>
    <w:rsid w:val="00C95D4C"/>
    <w:rsid w:val="00C9637F"/>
    <w:rsid w:val="00C9708A"/>
    <w:rsid w:val="00C97B9F"/>
    <w:rsid w:val="00CA2435"/>
    <w:rsid w:val="00CA2A1B"/>
    <w:rsid w:val="00CA4068"/>
    <w:rsid w:val="00CA49FF"/>
    <w:rsid w:val="00CA67F4"/>
    <w:rsid w:val="00CB37F8"/>
    <w:rsid w:val="00CB7DC3"/>
    <w:rsid w:val="00CC01DF"/>
    <w:rsid w:val="00CC3737"/>
    <w:rsid w:val="00CC3F47"/>
    <w:rsid w:val="00CC5BE1"/>
    <w:rsid w:val="00CC6F6C"/>
    <w:rsid w:val="00CC75A2"/>
    <w:rsid w:val="00CC7A18"/>
    <w:rsid w:val="00CD0E2F"/>
    <w:rsid w:val="00CD1D49"/>
    <w:rsid w:val="00CD2C65"/>
    <w:rsid w:val="00CD2F20"/>
    <w:rsid w:val="00CD3B5D"/>
    <w:rsid w:val="00CD69AB"/>
    <w:rsid w:val="00CD6B20"/>
    <w:rsid w:val="00CE1339"/>
    <w:rsid w:val="00CE61CC"/>
    <w:rsid w:val="00CE6E42"/>
    <w:rsid w:val="00CE7D15"/>
    <w:rsid w:val="00CF1972"/>
    <w:rsid w:val="00CF20B7"/>
    <w:rsid w:val="00CF283B"/>
    <w:rsid w:val="00CF6692"/>
    <w:rsid w:val="00CF7441"/>
    <w:rsid w:val="00D00D16"/>
    <w:rsid w:val="00D03C6C"/>
    <w:rsid w:val="00D04760"/>
    <w:rsid w:val="00D04A95"/>
    <w:rsid w:val="00D05913"/>
    <w:rsid w:val="00D06288"/>
    <w:rsid w:val="00D068C7"/>
    <w:rsid w:val="00D1090F"/>
    <w:rsid w:val="00D128A4"/>
    <w:rsid w:val="00D147C8"/>
    <w:rsid w:val="00D15131"/>
    <w:rsid w:val="00D16FA2"/>
    <w:rsid w:val="00D20954"/>
    <w:rsid w:val="00D213E0"/>
    <w:rsid w:val="00D21C39"/>
    <w:rsid w:val="00D21FC6"/>
    <w:rsid w:val="00D2243A"/>
    <w:rsid w:val="00D33393"/>
    <w:rsid w:val="00D33D36"/>
    <w:rsid w:val="00D34D94"/>
    <w:rsid w:val="00D36E62"/>
    <w:rsid w:val="00D37F04"/>
    <w:rsid w:val="00D409E2"/>
    <w:rsid w:val="00D427D7"/>
    <w:rsid w:val="00D441A0"/>
    <w:rsid w:val="00D44E62"/>
    <w:rsid w:val="00D51570"/>
    <w:rsid w:val="00D556AD"/>
    <w:rsid w:val="00D60381"/>
    <w:rsid w:val="00D616DE"/>
    <w:rsid w:val="00D62201"/>
    <w:rsid w:val="00D651D1"/>
    <w:rsid w:val="00D717BB"/>
    <w:rsid w:val="00D7226B"/>
    <w:rsid w:val="00D72707"/>
    <w:rsid w:val="00D73F3E"/>
    <w:rsid w:val="00D75A9C"/>
    <w:rsid w:val="00D829C8"/>
    <w:rsid w:val="00D82F45"/>
    <w:rsid w:val="00D87917"/>
    <w:rsid w:val="00D90871"/>
    <w:rsid w:val="00D9155F"/>
    <w:rsid w:val="00D93D1B"/>
    <w:rsid w:val="00D9403F"/>
    <w:rsid w:val="00D959B4"/>
    <w:rsid w:val="00D97DDF"/>
    <w:rsid w:val="00DA44DE"/>
    <w:rsid w:val="00DA750B"/>
    <w:rsid w:val="00DB06B6"/>
    <w:rsid w:val="00DB372C"/>
    <w:rsid w:val="00DB620A"/>
    <w:rsid w:val="00DB6C34"/>
    <w:rsid w:val="00DC2E81"/>
    <w:rsid w:val="00DC3832"/>
    <w:rsid w:val="00DC7A51"/>
    <w:rsid w:val="00DD3B1E"/>
    <w:rsid w:val="00DE06B2"/>
    <w:rsid w:val="00DE5B5F"/>
    <w:rsid w:val="00DF4BD7"/>
    <w:rsid w:val="00DF614E"/>
    <w:rsid w:val="00E003E7"/>
    <w:rsid w:val="00E00696"/>
    <w:rsid w:val="00E03651"/>
    <w:rsid w:val="00E03808"/>
    <w:rsid w:val="00E04F84"/>
    <w:rsid w:val="00E060C2"/>
    <w:rsid w:val="00E06324"/>
    <w:rsid w:val="00E07B81"/>
    <w:rsid w:val="00E10AFD"/>
    <w:rsid w:val="00E1233A"/>
    <w:rsid w:val="00E12B11"/>
    <w:rsid w:val="00E12FB0"/>
    <w:rsid w:val="00E13309"/>
    <w:rsid w:val="00E14814"/>
    <w:rsid w:val="00E1591B"/>
    <w:rsid w:val="00E16A50"/>
    <w:rsid w:val="00E249D5"/>
    <w:rsid w:val="00E25017"/>
    <w:rsid w:val="00E26F73"/>
    <w:rsid w:val="00E30A34"/>
    <w:rsid w:val="00E33C68"/>
    <w:rsid w:val="00E34D91"/>
    <w:rsid w:val="00E34EEB"/>
    <w:rsid w:val="00E3687C"/>
    <w:rsid w:val="00E44EB9"/>
    <w:rsid w:val="00E45BDC"/>
    <w:rsid w:val="00E460B7"/>
    <w:rsid w:val="00E46358"/>
    <w:rsid w:val="00E466EA"/>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A26"/>
    <w:rsid w:val="00E75111"/>
    <w:rsid w:val="00E77296"/>
    <w:rsid w:val="00E8231D"/>
    <w:rsid w:val="00E87527"/>
    <w:rsid w:val="00E87EF7"/>
    <w:rsid w:val="00E93763"/>
    <w:rsid w:val="00E96C4C"/>
    <w:rsid w:val="00EA2AAE"/>
    <w:rsid w:val="00EA2EC0"/>
    <w:rsid w:val="00EA3F99"/>
    <w:rsid w:val="00EA427A"/>
    <w:rsid w:val="00EA723B"/>
    <w:rsid w:val="00EB6350"/>
    <w:rsid w:val="00EB687A"/>
    <w:rsid w:val="00EC1E46"/>
    <w:rsid w:val="00EC2F62"/>
    <w:rsid w:val="00EC6242"/>
    <w:rsid w:val="00EC62EB"/>
    <w:rsid w:val="00EC6E9F"/>
    <w:rsid w:val="00ED12E9"/>
    <w:rsid w:val="00ED44F0"/>
    <w:rsid w:val="00ED4B33"/>
    <w:rsid w:val="00ED55ED"/>
    <w:rsid w:val="00ED5993"/>
    <w:rsid w:val="00ED7CDF"/>
    <w:rsid w:val="00ED7DD6"/>
    <w:rsid w:val="00EE060B"/>
    <w:rsid w:val="00EE15A1"/>
    <w:rsid w:val="00EE2A7C"/>
    <w:rsid w:val="00EE2C42"/>
    <w:rsid w:val="00EE341B"/>
    <w:rsid w:val="00EE402A"/>
    <w:rsid w:val="00EE4453"/>
    <w:rsid w:val="00EE5FCE"/>
    <w:rsid w:val="00EE6BBD"/>
    <w:rsid w:val="00EE6E1E"/>
    <w:rsid w:val="00EE705F"/>
    <w:rsid w:val="00EE7526"/>
    <w:rsid w:val="00EF1462"/>
    <w:rsid w:val="00EF2030"/>
    <w:rsid w:val="00EF33D0"/>
    <w:rsid w:val="00EF54FD"/>
    <w:rsid w:val="00EF64FC"/>
    <w:rsid w:val="00F042EB"/>
    <w:rsid w:val="00F07F0D"/>
    <w:rsid w:val="00F13112"/>
    <w:rsid w:val="00F16FE6"/>
    <w:rsid w:val="00F221DB"/>
    <w:rsid w:val="00F236DF"/>
    <w:rsid w:val="00F238BD"/>
    <w:rsid w:val="00F24992"/>
    <w:rsid w:val="00F32F2F"/>
    <w:rsid w:val="00F33F3F"/>
    <w:rsid w:val="00F35BDD"/>
    <w:rsid w:val="00F35EF0"/>
    <w:rsid w:val="00F3781F"/>
    <w:rsid w:val="00F403FD"/>
    <w:rsid w:val="00F41E72"/>
    <w:rsid w:val="00F42C73"/>
    <w:rsid w:val="00F45BDF"/>
    <w:rsid w:val="00F50300"/>
    <w:rsid w:val="00F50F5D"/>
    <w:rsid w:val="00F51227"/>
    <w:rsid w:val="00F5414B"/>
    <w:rsid w:val="00F56E39"/>
    <w:rsid w:val="00F613DF"/>
    <w:rsid w:val="00F623E9"/>
    <w:rsid w:val="00F63951"/>
    <w:rsid w:val="00F63C86"/>
    <w:rsid w:val="00F766BE"/>
    <w:rsid w:val="00F77EB9"/>
    <w:rsid w:val="00F80635"/>
    <w:rsid w:val="00F8115F"/>
    <w:rsid w:val="00F815D1"/>
    <w:rsid w:val="00F81E7E"/>
    <w:rsid w:val="00F81F0F"/>
    <w:rsid w:val="00F825F4"/>
    <w:rsid w:val="00F838DF"/>
    <w:rsid w:val="00F92097"/>
    <w:rsid w:val="00F92AA1"/>
    <w:rsid w:val="00F92D54"/>
    <w:rsid w:val="00F932DE"/>
    <w:rsid w:val="00F963DD"/>
    <w:rsid w:val="00F9641A"/>
    <w:rsid w:val="00F97004"/>
    <w:rsid w:val="00FA051B"/>
    <w:rsid w:val="00FA067D"/>
    <w:rsid w:val="00FA2045"/>
    <w:rsid w:val="00FA46A2"/>
    <w:rsid w:val="00FA7A66"/>
    <w:rsid w:val="00FB1AA9"/>
    <w:rsid w:val="00FB4B5A"/>
    <w:rsid w:val="00FB5963"/>
    <w:rsid w:val="00FB5DAA"/>
    <w:rsid w:val="00FC04B9"/>
    <w:rsid w:val="00FC0B9B"/>
    <w:rsid w:val="00FC137F"/>
    <w:rsid w:val="00FC161A"/>
    <w:rsid w:val="00FC23D5"/>
    <w:rsid w:val="00FC4337"/>
    <w:rsid w:val="00FC4C1A"/>
    <w:rsid w:val="00FC5768"/>
    <w:rsid w:val="00FC628F"/>
    <w:rsid w:val="00FC6468"/>
    <w:rsid w:val="00FC67D9"/>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ListTable4">
    <w:name w:val="List Table 4"/>
    <w:basedOn w:val="TableNormal"/>
    <w:uiPriority w:val="49"/>
    <w:rsid w:val="00B43B8E"/>
    <w:rPr>
      <w:rFonts w:asciiTheme="minorHAnsi" w:eastAsiaTheme="minorHAnsi" w:hAnsiTheme="minorHAnsi" w:cstheme="minorBidi"/>
      <w:sz w:val="22"/>
      <w:szCs w:val="22"/>
      <w:lang w:val="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B43B8E"/>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3B8E"/>
    <w:pPr>
      <w:widowControl w:val="0"/>
      <w:autoSpaceDE w:val="0"/>
      <w:autoSpaceDN w:val="0"/>
      <w:adjustRightInd w:val="0"/>
      <w:jc w:val="both"/>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152FB3"/>
    <w:rPr>
      <w:sz w:val="20"/>
      <w:szCs w:val="20"/>
    </w:rPr>
  </w:style>
  <w:style w:type="character" w:customStyle="1" w:styleId="EndnoteTextChar">
    <w:name w:val="Endnote Text Char"/>
    <w:basedOn w:val="DefaultParagraphFont"/>
    <w:link w:val="EndnoteText"/>
    <w:uiPriority w:val="99"/>
    <w:semiHidden/>
    <w:rsid w:val="00152FB3"/>
    <w:rPr>
      <w:rFonts w:ascii="Calibri" w:hAnsi="Calibri" w:cs="Calibri"/>
      <w:color w:val="000000"/>
    </w:rPr>
  </w:style>
  <w:style w:type="character" w:styleId="EndnoteReference">
    <w:name w:val="endnote reference"/>
    <w:basedOn w:val="DefaultParagraphFont"/>
    <w:uiPriority w:val="99"/>
    <w:semiHidden/>
    <w:unhideWhenUsed/>
    <w:rsid w:val="00152FB3"/>
    <w:rPr>
      <w:vertAlign w:val="superscript"/>
    </w:rPr>
  </w:style>
  <w:style w:type="character" w:customStyle="1" w:styleId="UnresolvedMention2">
    <w:name w:val="Unresolved Mention2"/>
    <w:basedOn w:val="DefaultParagraphFont"/>
    <w:uiPriority w:val="99"/>
    <w:semiHidden/>
    <w:unhideWhenUsed/>
    <w:rsid w:val="006A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7081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2940">
      <w:bodyDiv w:val="1"/>
      <w:marLeft w:val="0"/>
      <w:marRight w:val="0"/>
      <w:marTop w:val="0"/>
      <w:marBottom w:val="0"/>
      <w:divBdr>
        <w:top w:val="none" w:sz="0" w:space="0" w:color="auto"/>
        <w:left w:val="none" w:sz="0" w:space="0" w:color="auto"/>
        <w:bottom w:val="none" w:sz="0" w:space="0" w:color="auto"/>
        <w:right w:val="none" w:sz="0" w:space="0" w:color="auto"/>
      </w:divBdr>
    </w:div>
    <w:div w:id="10299851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0899378">
      <w:bodyDiv w:val="1"/>
      <w:marLeft w:val="0"/>
      <w:marRight w:val="0"/>
      <w:marTop w:val="0"/>
      <w:marBottom w:val="0"/>
      <w:divBdr>
        <w:top w:val="none" w:sz="0" w:space="0" w:color="auto"/>
        <w:left w:val="none" w:sz="0" w:space="0" w:color="auto"/>
        <w:bottom w:val="none" w:sz="0" w:space="0" w:color="auto"/>
        <w:right w:val="none" w:sz="0" w:space="0" w:color="auto"/>
      </w:divBdr>
    </w:div>
    <w:div w:id="1274165709">
      <w:bodyDiv w:val="1"/>
      <w:marLeft w:val="0"/>
      <w:marRight w:val="0"/>
      <w:marTop w:val="0"/>
      <w:marBottom w:val="0"/>
      <w:divBdr>
        <w:top w:val="none" w:sz="0" w:space="0" w:color="auto"/>
        <w:left w:val="none" w:sz="0" w:space="0" w:color="auto"/>
        <w:bottom w:val="none" w:sz="0" w:space="0" w:color="auto"/>
        <w:right w:val="none" w:sz="0" w:space="0" w:color="auto"/>
      </w:divBdr>
    </w:div>
    <w:div w:id="13121707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34176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048507">
      <w:bodyDiv w:val="1"/>
      <w:marLeft w:val="0"/>
      <w:marRight w:val="0"/>
      <w:marTop w:val="0"/>
      <w:marBottom w:val="0"/>
      <w:divBdr>
        <w:top w:val="none" w:sz="0" w:space="0" w:color="auto"/>
        <w:left w:val="none" w:sz="0" w:space="0" w:color="auto"/>
        <w:bottom w:val="none" w:sz="0" w:space="0" w:color="auto"/>
        <w:right w:val="none" w:sz="0" w:space="0" w:color="auto"/>
      </w:divBdr>
    </w:div>
    <w:div w:id="209435206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8AAA-629E-4254-BE83-8B3F86D0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9268</Words>
  <Characters>52833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2020-05-06T14:31:00Z</dcterms:created>
  <dcterms:modified xsi:type="dcterms:W3CDTF">2020-05-06T14:54:00Z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7acede14-cbb9-365c-8dc7-bc60f73ae3f1</vt:lpwstr>
  </property>
  <property fmtid="{D5CDD505-2E9C-101B-9397-08002B2CF9AE}" pid="24" name="Mendeley Citation Style_1">
    <vt:lpwstr>http://www.zotero.org/styles/journal-of-visualized-experiments</vt:lpwstr>
  </property>
</Properties>
</file>