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41F2C88" w:rsidR="006305D7" w:rsidRPr="00FC6506" w:rsidRDefault="006305D7" w:rsidP="00393CC7">
      <w:pPr>
        <w:pStyle w:val="NormalWeb"/>
        <w:spacing w:before="0" w:beforeAutospacing="0" w:after="0" w:afterAutospacing="0"/>
        <w:rPr>
          <w:rFonts w:asciiTheme="minorHAnsi" w:hAnsiTheme="minorHAnsi" w:cstheme="minorHAnsi"/>
        </w:rPr>
      </w:pPr>
      <w:r w:rsidRPr="00FC6506">
        <w:rPr>
          <w:rFonts w:asciiTheme="minorHAnsi" w:hAnsiTheme="minorHAnsi" w:cstheme="minorHAnsi"/>
          <w:b/>
          <w:bCs/>
        </w:rPr>
        <w:t>TITLE:</w:t>
      </w:r>
    </w:p>
    <w:p w14:paraId="0C76090E" w14:textId="27059916" w:rsidR="007A4DD6" w:rsidRPr="00FC6506" w:rsidRDefault="002F577C" w:rsidP="007A4DD6">
      <w:pPr>
        <w:rPr>
          <w:rFonts w:asciiTheme="minorHAnsi" w:hAnsiTheme="minorHAnsi" w:cstheme="minorHAnsi"/>
          <w:color w:val="auto"/>
        </w:rPr>
      </w:pPr>
      <w:r w:rsidRPr="00FC6506">
        <w:rPr>
          <w:rFonts w:asciiTheme="minorHAnsi" w:hAnsiTheme="minorHAnsi" w:cstheme="minorHAnsi"/>
          <w:color w:val="auto"/>
        </w:rPr>
        <w:t>The Quantification of Injectability by Mechanical Testing</w:t>
      </w:r>
    </w:p>
    <w:p w14:paraId="2E300B21" w14:textId="77777777" w:rsidR="007A4DD6" w:rsidRPr="00FC6506" w:rsidRDefault="007A4DD6" w:rsidP="001B1519">
      <w:pPr>
        <w:rPr>
          <w:rFonts w:asciiTheme="minorHAnsi" w:hAnsiTheme="minorHAnsi" w:cstheme="minorHAnsi"/>
          <w:b/>
          <w:bCs/>
        </w:rPr>
      </w:pPr>
    </w:p>
    <w:p w14:paraId="3D080DA3" w14:textId="0EC79A59" w:rsidR="006305D7" w:rsidRPr="00FC6506" w:rsidRDefault="006305D7" w:rsidP="001B1519">
      <w:pPr>
        <w:rPr>
          <w:rFonts w:asciiTheme="minorHAnsi" w:hAnsiTheme="minorHAnsi" w:cstheme="minorHAnsi"/>
          <w:color w:val="808080" w:themeColor="background1" w:themeShade="80"/>
        </w:rPr>
      </w:pPr>
      <w:r w:rsidRPr="00FC6506">
        <w:rPr>
          <w:rFonts w:asciiTheme="minorHAnsi" w:hAnsiTheme="minorHAnsi" w:cstheme="minorHAnsi"/>
          <w:b/>
          <w:bCs/>
        </w:rPr>
        <w:t>AUTHORS</w:t>
      </w:r>
      <w:r w:rsidR="000B662E" w:rsidRPr="00FC6506">
        <w:rPr>
          <w:rFonts w:asciiTheme="minorHAnsi" w:hAnsiTheme="minorHAnsi" w:cstheme="minorHAnsi"/>
          <w:b/>
          <w:bCs/>
        </w:rPr>
        <w:t xml:space="preserve"> </w:t>
      </w:r>
      <w:r w:rsidR="00086FF5" w:rsidRPr="00FC6506">
        <w:rPr>
          <w:rFonts w:asciiTheme="minorHAnsi" w:hAnsiTheme="minorHAnsi" w:cstheme="minorHAnsi"/>
          <w:b/>
          <w:bCs/>
        </w:rPr>
        <w:t xml:space="preserve">AND </w:t>
      </w:r>
      <w:r w:rsidR="000B662E" w:rsidRPr="00FC6506">
        <w:rPr>
          <w:rFonts w:asciiTheme="minorHAnsi" w:hAnsiTheme="minorHAnsi" w:cstheme="minorHAnsi"/>
          <w:b/>
          <w:bCs/>
        </w:rPr>
        <w:t>AFFILIATIONS</w:t>
      </w:r>
      <w:r w:rsidRPr="00FC6506">
        <w:rPr>
          <w:rFonts w:asciiTheme="minorHAnsi" w:hAnsiTheme="minorHAnsi" w:cstheme="minorHAnsi"/>
          <w:b/>
          <w:bCs/>
        </w:rPr>
        <w:t>:</w:t>
      </w:r>
    </w:p>
    <w:p w14:paraId="4450D900" w14:textId="1EEEA966" w:rsidR="002F577C" w:rsidRPr="00FC6506" w:rsidRDefault="002F577C" w:rsidP="00FF5533">
      <w:pPr>
        <w:rPr>
          <w:vertAlign w:val="superscript"/>
        </w:rPr>
      </w:pPr>
      <w:r w:rsidRPr="00FC6506">
        <w:t>Thomas E. Robinson</w:t>
      </w:r>
      <w:r w:rsidRPr="00FC6506">
        <w:rPr>
          <w:vertAlign w:val="superscript"/>
        </w:rPr>
        <w:t>1</w:t>
      </w:r>
      <w:r w:rsidRPr="00FC6506">
        <w:t>, Erik A. B. Hughes</w:t>
      </w:r>
      <w:r w:rsidRPr="00FC6506">
        <w:rPr>
          <w:vertAlign w:val="superscript"/>
        </w:rPr>
        <w:t>1</w:t>
      </w:r>
      <w:r w:rsidRPr="00FC6506">
        <w:rPr>
          <w:vertAlign w:val="subscript"/>
        </w:rPr>
        <w:t>,</w:t>
      </w:r>
      <w:r w:rsidRPr="00FC6506">
        <w:rPr>
          <w:vertAlign w:val="superscript"/>
        </w:rPr>
        <w:t xml:space="preserve"> </w:t>
      </w:r>
      <w:r w:rsidR="003B2AD9">
        <w:t>Neil M. Eisenstein</w:t>
      </w:r>
      <w:r w:rsidR="003B2AD9" w:rsidRPr="003B2AD9">
        <w:rPr>
          <w:vertAlign w:val="superscript"/>
        </w:rPr>
        <w:t>1</w:t>
      </w:r>
      <w:r w:rsidR="003B2AD9">
        <w:t xml:space="preserve">, </w:t>
      </w:r>
      <w:r w:rsidRPr="00FC6506">
        <w:t>Liam M. Grover</w:t>
      </w:r>
      <w:r w:rsidRPr="00FC6506">
        <w:rPr>
          <w:vertAlign w:val="superscript"/>
        </w:rPr>
        <w:t>1</w:t>
      </w:r>
      <w:r w:rsidRPr="00FC6506">
        <w:t>, Sophie C. Cox</w:t>
      </w:r>
      <w:r w:rsidRPr="00FC6506">
        <w:rPr>
          <w:vertAlign w:val="superscript"/>
        </w:rPr>
        <w:t>1</w:t>
      </w:r>
    </w:p>
    <w:p w14:paraId="00E87C15" w14:textId="77777777" w:rsidR="001D6BCE" w:rsidRDefault="001D6BCE" w:rsidP="00FF5533">
      <w:pPr>
        <w:rPr>
          <w:vertAlign w:val="superscript"/>
        </w:rPr>
      </w:pPr>
      <w:bookmarkStart w:id="0" w:name="OLE_LINK1"/>
    </w:p>
    <w:p w14:paraId="110DBBBC" w14:textId="3B492A4C" w:rsidR="002F577C" w:rsidRPr="00FC6506" w:rsidRDefault="002F577C" w:rsidP="00FF5533">
      <w:r w:rsidRPr="00FC6506">
        <w:rPr>
          <w:vertAlign w:val="superscript"/>
        </w:rPr>
        <w:t>1</w:t>
      </w:r>
      <w:r w:rsidRPr="00FC6506">
        <w:t xml:space="preserve">School of Chemical Engineering, University of Birmingham, </w:t>
      </w:r>
      <w:proofErr w:type="spellStart"/>
      <w:r w:rsidRPr="00FC6506">
        <w:t>Edgbaston</w:t>
      </w:r>
      <w:proofErr w:type="spellEnd"/>
      <w:r w:rsidRPr="00FC6506">
        <w:t>, B15 2TT, UK</w:t>
      </w:r>
      <w:bookmarkEnd w:id="0"/>
    </w:p>
    <w:p w14:paraId="437814E6" w14:textId="77777777" w:rsidR="00FF5533" w:rsidRDefault="00FF5533" w:rsidP="00FF5533"/>
    <w:p w14:paraId="5700767B" w14:textId="092747DA" w:rsidR="002F577C" w:rsidRPr="00FC6506" w:rsidRDefault="002F577C" w:rsidP="00FF5533">
      <w:r w:rsidRPr="00FC6506">
        <w:t>Corresponding Author:</w:t>
      </w:r>
    </w:p>
    <w:p w14:paraId="35D1A635" w14:textId="11188442" w:rsidR="002F577C" w:rsidRPr="00FC6506" w:rsidRDefault="001D6BCE" w:rsidP="00FF5533">
      <w:r w:rsidRPr="00FC6506">
        <w:t>Thomas E. Robinson</w:t>
      </w:r>
      <w:r>
        <w:t xml:space="preserve"> </w:t>
      </w:r>
      <w:r w:rsidR="00C14330">
        <w:tab/>
      </w:r>
      <w:r>
        <w:t>(</w:t>
      </w:r>
      <w:r w:rsidRPr="001D6BCE">
        <w:rPr>
          <w:rFonts w:asciiTheme="minorHAnsi" w:hAnsiTheme="minorHAnsi" w:cstheme="minorHAnsi"/>
        </w:rPr>
        <w:t>TER281@bham.ac.uk</w:t>
      </w:r>
      <w:r>
        <w:rPr>
          <w:rFonts w:asciiTheme="minorHAnsi" w:hAnsiTheme="minorHAnsi" w:cstheme="minorHAnsi"/>
        </w:rPr>
        <w:t>)</w:t>
      </w:r>
    </w:p>
    <w:p w14:paraId="01964AFA" w14:textId="6E82E7FF" w:rsidR="00FF5533" w:rsidRDefault="00FF5533" w:rsidP="00FF5533"/>
    <w:p w14:paraId="53D84040" w14:textId="30732A16" w:rsidR="002F577C" w:rsidRPr="00FC6506" w:rsidRDefault="00C14330" w:rsidP="00FF5533">
      <w:r>
        <w:t>E</w:t>
      </w:r>
      <w:r w:rsidR="002F577C" w:rsidRPr="00FC6506">
        <w:t>mai</w:t>
      </w:r>
      <w:r>
        <w:t>l Addresses of Co-Authors</w:t>
      </w:r>
      <w:r w:rsidR="002F577C" w:rsidRPr="00FC6506">
        <w:t>:</w:t>
      </w:r>
    </w:p>
    <w:p w14:paraId="1A980CC3" w14:textId="6728016F" w:rsidR="002F577C" w:rsidRDefault="001D6BCE" w:rsidP="00FF5533">
      <w:pPr>
        <w:rPr>
          <w:rStyle w:val="Hyperlink"/>
          <w:rFonts w:asciiTheme="minorHAnsi" w:hAnsiTheme="minorHAnsi" w:cstheme="minorHAnsi"/>
        </w:rPr>
      </w:pPr>
      <w:r w:rsidRPr="00FC6506">
        <w:t>Erik A. B. Hughes</w:t>
      </w:r>
      <w:r>
        <w:t xml:space="preserve"> </w:t>
      </w:r>
      <w:r w:rsidR="00C14330">
        <w:tab/>
      </w:r>
      <w:r>
        <w:t>(</w:t>
      </w:r>
      <w:r w:rsidRPr="001D6BCE">
        <w:rPr>
          <w:rFonts w:asciiTheme="minorHAnsi" w:hAnsiTheme="minorHAnsi" w:cstheme="minorHAnsi"/>
        </w:rPr>
        <w:t>E.A.B.Hughes@bham.ac.uk</w:t>
      </w:r>
      <w:r>
        <w:rPr>
          <w:rFonts w:asciiTheme="minorHAnsi" w:hAnsiTheme="minorHAnsi" w:cstheme="minorHAnsi"/>
        </w:rPr>
        <w:t>)</w:t>
      </w:r>
    </w:p>
    <w:p w14:paraId="2205C59A" w14:textId="5B1E4B27" w:rsidR="003B2AD9" w:rsidRPr="00FC6506" w:rsidRDefault="001D6BCE" w:rsidP="00FF5533">
      <w:r>
        <w:t xml:space="preserve">Neil M. Eisenstein </w:t>
      </w:r>
      <w:r w:rsidR="00C14330">
        <w:tab/>
      </w:r>
      <w:r>
        <w:t>(</w:t>
      </w:r>
      <w:r w:rsidRPr="001D6BCE">
        <w:t>N.M.Eisenstein@bham.ac.uk</w:t>
      </w:r>
      <w:r>
        <w:t>)</w:t>
      </w:r>
    </w:p>
    <w:p w14:paraId="7B1C0F3D" w14:textId="493088C9" w:rsidR="002F577C" w:rsidRPr="00FC6506" w:rsidRDefault="001D6BCE" w:rsidP="00FF5533">
      <w:r w:rsidRPr="00FC6506">
        <w:t>Liam M. Grover</w:t>
      </w:r>
      <w:r>
        <w:t xml:space="preserve"> </w:t>
      </w:r>
      <w:r w:rsidR="00C14330">
        <w:tab/>
      </w:r>
      <w:r>
        <w:t>(</w:t>
      </w:r>
      <w:r w:rsidRPr="001D6BCE">
        <w:rPr>
          <w:rFonts w:asciiTheme="minorHAnsi" w:hAnsiTheme="minorHAnsi" w:cstheme="minorHAnsi"/>
        </w:rPr>
        <w:t>L.M.Grover@bham.ac.uk</w:t>
      </w:r>
      <w:r>
        <w:rPr>
          <w:rFonts w:asciiTheme="minorHAnsi" w:hAnsiTheme="minorHAnsi" w:cstheme="minorHAnsi"/>
        </w:rPr>
        <w:t>)</w:t>
      </w:r>
    </w:p>
    <w:p w14:paraId="2E9F48A1" w14:textId="5FDC1388" w:rsidR="002F577C" w:rsidRPr="00FC6506" w:rsidRDefault="001D6BCE" w:rsidP="00FF5533">
      <w:r w:rsidRPr="00FC6506">
        <w:t>Sophie C. Cox</w:t>
      </w:r>
      <w:r>
        <w:t xml:space="preserve"> </w:t>
      </w:r>
      <w:r w:rsidR="00C14330">
        <w:tab/>
      </w:r>
      <w:r w:rsidR="00C14330">
        <w:tab/>
      </w:r>
      <w:r>
        <w:t>(</w:t>
      </w:r>
      <w:r w:rsidRPr="001D6BCE">
        <w:rPr>
          <w:rFonts w:asciiTheme="minorHAnsi" w:hAnsiTheme="minorHAnsi" w:cstheme="minorHAnsi"/>
        </w:rPr>
        <w:t>S.C.Cox@bham.ac.uk</w:t>
      </w:r>
      <w:r>
        <w:rPr>
          <w:rFonts w:asciiTheme="minorHAnsi" w:hAnsiTheme="minorHAnsi" w:cstheme="minorHAnsi"/>
        </w:rPr>
        <w:t>)</w:t>
      </w:r>
    </w:p>
    <w:p w14:paraId="1DFF124C" w14:textId="77777777" w:rsidR="00FF5533" w:rsidRDefault="00FF5533" w:rsidP="001B1519">
      <w:pPr>
        <w:pStyle w:val="NormalWeb"/>
        <w:spacing w:before="0" w:beforeAutospacing="0" w:after="0" w:afterAutospacing="0"/>
        <w:rPr>
          <w:rFonts w:asciiTheme="minorHAnsi" w:hAnsiTheme="minorHAnsi" w:cstheme="minorHAnsi"/>
          <w:b/>
          <w:bCs/>
        </w:rPr>
      </w:pPr>
    </w:p>
    <w:p w14:paraId="71B79AC9" w14:textId="34335A71" w:rsidR="006305D7" w:rsidRPr="00FC6506" w:rsidRDefault="006305D7" w:rsidP="001B1519">
      <w:pPr>
        <w:pStyle w:val="NormalWeb"/>
        <w:spacing w:before="0" w:beforeAutospacing="0" w:after="0" w:afterAutospacing="0"/>
        <w:rPr>
          <w:rFonts w:asciiTheme="minorHAnsi" w:hAnsiTheme="minorHAnsi" w:cstheme="minorHAnsi"/>
        </w:rPr>
      </w:pPr>
      <w:r w:rsidRPr="00FC6506">
        <w:rPr>
          <w:rFonts w:asciiTheme="minorHAnsi" w:hAnsiTheme="minorHAnsi" w:cstheme="minorHAnsi"/>
          <w:b/>
          <w:bCs/>
        </w:rPr>
        <w:t>KEYWORDS:</w:t>
      </w:r>
    </w:p>
    <w:p w14:paraId="1D08989D" w14:textId="2E232C52" w:rsidR="002F577C" w:rsidRPr="00FC6506" w:rsidRDefault="00C14330" w:rsidP="002F577C">
      <w:pPr>
        <w:rPr>
          <w:rFonts w:asciiTheme="minorHAnsi" w:hAnsiTheme="minorHAnsi" w:cstheme="minorHAnsi"/>
        </w:rPr>
      </w:pPr>
      <w:r>
        <w:rPr>
          <w:rFonts w:asciiTheme="minorHAnsi" w:hAnsiTheme="minorHAnsi" w:cstheme="minorHAnsi"/>
        </w:rPr>
        <w:t>i</w:t>
      </w:r>
      <w:r w:rsidR="002F577C" w:rsidRPr="00FC6506">
        <w:rPr>
          <w:rFonts w:asciiTheme="minorHAnsi" w:hAnsiTheme="minorHAnsi" w:cstheme="minorHAnsi"/>
        </w:rPr>
        <w:t>njectability, testing method, biomaterial, extrusion, mechanical testing</w:t>
      </w:r>
      <w:r w:rsidR="00796BE0">
        <w:rPr>
          <w:rFonts w:asciiTheme="minorHAnsi" w:hAnsiTheme="minorHAnsi" w:cstheme="minorHAnsi"/>
        </w:rPr>
        <w:t>, force,</w:t>
      </w:r>
      <w:r w:rsidR="00796BE0" w:rsidRPr="00796BE0">
        <w:rPr>
          <w:rFonts w:asciiTheme="minorHAnsi" w:hAnsiTheme="minorHAnsi" w:cstheme="minorHAnsi"/>
        </w:rPr>
        <w:t xml:space="preserve"> </w:t>
      </w:r>
      <w:r w:rsidR="00796BE0">
        <w:rPr>
          <w:rFonts w:asciiTheme="minorHAnsi" w:hAnsiTheme="minorHAnsi" w:cstheme="minorHAnsi"/>
        </w:rPr>
        <w:t>hydrogel, cement</w:t>
      </w:r>
    </w:p>
    <w:p w14:paraId="1CB4E390" w14:textId="77777777" w:rsidR="006305D7" w:rsidRPr="00FC6506" w:rsidRDefault="006305D7" w:rsidP="001B1519">
      <w:pPr>
        <w:pStyle w:val="NormalWeb"/>
        <w:spacing w:before="0" w:beforeAutospacing="0" w:after="0" w:afterAutospacing="0"/>
        <w:rPr>
          <w:rFonts w:asciiTheme="minorHAnsi" w:hAnsiTheme="minorHAnsi" w:cstheme="minorHAnsi"/>
        </w:rPr>
      </w:pPr>
    </w:p>
    <w:p w14:paraId="628AC4B5" w14:textId="6B001098" w:rsidR="006305D7" w:rsidRPr="00FC6506" w:rsidRDefault="00086FF5" w:rsidP="001B1519">
      <w:pPr>
        <w:rPr>
          <w:rFonts w:asciiTheme="minorHAnsi" w:hAnsiTheme="minorHAnsi" w:cstheme="minorHAnsi"/>
        </w:rPr>
      </w:pPr>
      <w:r w:rsidRPr="00FC6506">
        <w:rPr>
          <w:rFonts w:asciiTheme="minorHAnsi" w:hAnsiTheme="minorHAnsi" w:cstheme="minorHAnsi"/>
          <w:b/>
          <w:bCs/>
        </w:rPr>
        <w:t>SUMMARY</w:t>
      </w:r>
      <w:r w:rsidR="006305D7" w:rsidRPr="00FC6506">
        <w:rPr>
          <w:rFonts w:asciiTheme="minorHAnsi" w:hAnsiTheme="minorHAnsi" w:cstheme="minorHAnsi"/>
          <w:b/>
          <w:bCs/>
        </w:rPr>
        <w:t>:</w:t>
      </w:r>
    </w:p>
    <w:p w14:paraId="32798D51" w14:textId="5C9C11EE" w:rsidR="007A4DD6" w:rsidRPr="00FC6506" w:rsidRDefault="002033C5" w:rsidP="007A4DD6">
      <w:pPr>
        <w:rPr>
          <w:rFonts w:asciiTheme="minorHAnsi" w:hAnsiTheme="minorHAnsi" w:cstheme="minorHAnsi"/>
          <w:color w:val="auto"/>
        </w:rPr>
      </w:pPr>
      <w:r>
        <w:rPr>
          <w:rFonts w:asciiTheme="minorHAnsi" w:hAnsiTheme="minorHAnsi" w:cstheme="minorHAnsi"/>
          <w:color w:val="auto"/>
        </w:rPr>
        <w:t>Presented here is a</w:t>
      </w:r>
      <w:r w:rsidRPr="00FC6506">
        <w:rPr>
          <w:rFonts w:asciiTheme="minorHAnsi" w:hAnsiTheme="minorHAnsi" w:cstheme="minorHAnsi"/>
          <w:color w:val="auto"/>
        </w:rPr>
        <w:t xml:space="preserve"> </w:t>
      </w:r>
      <w:r w:rsidR="00CE4EB5" w:rsidRPr="00FC6506">
        <w:rPr>
          <w:rFonts w:asciiTheme="minorHAnsi" w:hAnsiTheme="minorHAnsi" w:cstheme="minorHAnsi"/>
          <w:color w:val="auto"/>
        </w:rPr>
        <w:t xml:space="preserve">protocol for quantitatively evaluating </w:t>
      </w:r>
      <w:r w:rsidR="003E0E6D">
        <w:rPr>
          <w:rFonts w:asciiTheme="minorHAnsi" w:hAnsiTheme="minorHAnsi" w:cstheme="minorHAnsi"/>
          <w:color w:val="auto"/>
        </w:rPr>
        <w:t xml:space="preserve">the </w:t>
      </w:r>
      <w:r w:rsidR="00CE4EB5" w:rsidRPr="00FC6506">
        <w:rPr>
          <w:rFonts w:asciiTheme="minorHAnsi" w:hAnsiTheme="minorHAnsi" w:cstheme="minorHAnsi"/>
          <w:color w:val="auto"/>
        </w:rPr>
        <w:t>injectability of a material through a syringe-needle system using a standard mechanical testing rig</w:t>
      </w:r>
      <w:r w:rsidR="003E0E6D">
        <w:rPr>
          <w:rFonts w:asciiTheme="minorHAnsi" w:hAnsiTheme="minorHAnsi" w:cstheme="minorHAnsi"/>
          <w:color w:val="auto"/>
        </w:rPr>
        <w:t>.</w:t>
      </w:r>
    </w:p>
    <w:p w14:paraId="761028D6" w14:textId="77777777" w:rsidR="006305D7" w:rsidRPr="00FC6506" w:rsidRDefault="006305D7" w:rsidP="001B1519">
      <w:pPr>
        <w:rPr>
          <w:rFonts w:asciiTheme="minorHAnsi" w:hAnsiTheme="minorHAnsi" w:cstheme="minorHAnsi"/>
        </w:rPr>
      </w:pPr>
    </w:p>
    <w:p w14:paraId="64FB8590" w14:textId="5E3B455E" w:rsidR="006305D7" w:rsidRPr="00FC6506" w:rsidRDefault="006305D7" w:rsidP="001B1519">
      <w:pPr>
        <w:rPr>
          <w:rFonts w:asciiTheme="minorHAnsi" w:hAnsiTheme="minorHAnsi" w:cstheme="minorHAnsi"/>
          <w:color w:val="808080"/>
        </w:rPr>
      </w:pPr>
      <w:r w:rsidRPr="000C131C">
        <w:rPr>
          <w:rFonts w:asciiTheme="minorHAnsi" w:hAnsiTheme="minorHAnsi" w:cstheme="minorHAnsi"/>
          <w:b/>
          <w:bCs/>
        </w:rPr>
        <w:t>ABSTRACT:</w:t>
      </w:r>
    </w:p>
    <w:p w14:paraId="69D456B9" w14:textId="0166E3B4" w:rsidR="007A4DD6" w:rsidRPr="00FC6506" w:rsidRDefault="00CE4EB5" w:rsidP="007A4DD6">
      <w:pPr>
        <w:rPr>
          <w:rFonts w:asciiTheme="minorHAnsi" w:hAnsiTheme="minorHAnsi" w:cstheme="minorHAnsi"/>
          <w:color w:val="auto"/>
        </w:rPr>
      </w:pPr>
      <w:r w:rsidRPr="00FC6506">
        <w:rPr>
          <w:rFonts w:asciiTheme="minorHAnsi" w:hAnsiTheme="minorHAnsi" w:cstheme="minorHAnsi"/>
          <w:color w:val="auto"/>
        </w:rPr>
        <w:t>Injectable biomaterials are becoming increasingly popular for the minimally invasi</w:t>
      </w:r>
      <w:r w:rsidR="00B03B61" w:rsidRPr="00FC6506">
        <w:rPr>
          <w:rFonts w:asciiTheme="minorHAnsi" w:hAnsiTheme="minorHAnsi" w:cstheme="minorHAnsi"/>
          <w:color w:val="auto"/>
        </w:rPr>
        <w:t xml:space="preserve">ve delivery of drugs and cells. </w:t>
      </w:r>
      <w:r w:rsidR="00767A2B">
        <w:rPr>
          <w:rFonts w:asciiTheme="minorHAnsi" w:hAnsiTheme="minorHAnsi" w:cstheme="minorHAnsi"/>
          <w:color w:val="auto"/>
        </w:rPr>
        <w:t>These materials are typically more viscous than traditional aqueous injections and maybe semi-solid, therefore</w:t>
      </w:r>
      <w:r w:rsidR="00C14330">
        <w:rPr>
          <w:rFonts w:asciiTheme="minorHAnsi" w:hAnsiTheme="minorHAnsi" w:cstheme="minorHAnsi"/>
          <w:color w:val="auto"/>
        </w:rPr>
        <w:t>,</w:t>
      </w:r>
      <w:r w:rsidR="00767A2B">
        <w:rPr>
          <w:rFonts w:asciiTheme="minorHAnsi" w:hAnsiTheme="minorHAnsi" w:cstheme="minorHAnsi"/>
          <w:color w:val="auto"/>
        </w:rPr>
        <w:t xml:space="preserve"> their injectability cannot be assumed. </w:t>
      </w:r>
      <w:r w:rsidR="00352264">
        <w:rPr>
          <w:rFonts w:asciiTheme="minorHAnsi" w:hAnsiTheme="minorHAnsi" w:cstheme="minorHAnsi"/>
          <w:color w:val="auto"/>
        </w:rPr>
        <w:t>This protocol describes a method to objectively assess the injectability of these materials usin</w:t>
      </w:r>
      <w:r w:rsidR="00916D8F">
        <w:rPr>
          <w:rFonts w:asciiTheme="minorHAnsi" w:hAnsiTheme="minorHAnsi" w:cstheme="minorHAnsi"/>
          <w:color w:val="auto"/>
        </w:rPr>
        <w:t xml:space="preserve">g a standard mechanical tester. </w:t>
      </w:r>
      <w:r w:rsidR="00517CF8">
        <w:rPr>
          <w:rFonts w:asciiTheme="minorHAnsi" w:hAnsiTheme="minorHAnsi" w:cstheme="minorHAnsi"/>
          <w:color w:val="auto"/>
        </w:rPr>
        <w:t xml:space="preserve">The syringe plunger is compressed by the crosshead at a set rate, </w:t>
      </w:r>
      <w:r w:rsidR="00052327">
        <w:rPr>
          <w:rFonts w:asciiTheme="minorHAnsi" w:hAnsiTheme="minorHAnsi" w:cstheme="minorHAnsi"/>
          <w:color w:val="auto"/>
        </w:rPr>
        <w:t xml:space="preserve">and </w:t>
      </w:r>
      <w:r w:rsidR="00517CF8">
        <w:rPr>
          <w:rFonts w:asciiTheme="minorHAnsi" w:hAnsiTheme="minorHAnsi" w:cstheme="minorHAnsi"/>
          <w:color w:val="auto"/>
        </w:rPr>
        <w:t xml:space="preserve">the force </w:t>
      </w:r>
      <w:r w:rsidR="00052327">
        <w:rPr>
          <w:rFonts w:asciiTheme="minorHAnsi" w:hAnsiTheme="minorHAnsi" w:cstheme="minorHAnsi"/>
          <w:color w:val="auto"/>
        </w:rPr>
        <w:t>is measured.</w:t>
      </w:r>
      <w:r w:rsidR="00517CF8">
        <w:rPr>
          <w:rFonts w:asciiTheme="minorHAnsi" w:hAnsiTheme="minorHAnsi" w:cstheme="minorHAnsi"/>
          <w:color w:val="auto"/>
        </w:rPr>
        <w:t xml:space="preserve"> </w:t>
      </w:r>
      <w:r w:rsidR="00916D8F">
        <w:rPr>
          <w:rFonts w:asciiTheme="minorHAnsi" w:hAnsiTheme="minorHAnsi" w:cstheme="minorHAnsi"/>
          <w:color w:val="auto"/>
        </w:rPr>
        <w:t xml:space="preserve">The maximum or plateau force value can then be used for comparison between samples, or to an absolute force limit. </w:t>
      </w:r>
      <w:r w:rsidR="00352264">
        <w:rPr>
          <w:rFonts w:asciiTheme="minorHAnsi" w:hAnsiTheme="minorHAnsi" w:cstheme="minorHAnsi"/>
          <w:color w:val="auto"/>
        </w:rPr>
        <w:t>This protocol can be used with any material, and any syringe and needle size or geometry. The results obtained may be used to make decisions about formulations, syringe and needle sizes early in the translational process. Further, the effects of altering formulations on injectability may be quantified</w:t>
      </w:r>
      <w:r w:rsidR="00916D8F">
        <w:rPr>
          <w:rFonts w:asciiTheme="minorHAnsi" w:hAnsiTheme="minorHAnsi" w:cstheme="minorHAnsi"/>
          <w:color w:val="auto"/>
        </w:rPr>
        <w:t xml:space="preserve">, and the optimum time to inject temporally changing materials determined. This method is also suitable as a reproducible way to examine the effects of injection on material, to study phenomena such as </w:t>
      </w:r>
      <w:r w:rsidR="004C4C74">
        <w:rPr>
          <w:rFonts w:asciiTheme="minorHAnsi" w:hAnsiTheme="minorHAnsi" w:cstheme="minorHAnsi"/>
          <w:color w:val="auto"/>
        </w:rPr>
        <w:t>self-healing</w:t>
      </w:r>
      <w:r w:rsidR="000C131C">
        <w:rPr>
          <w:rFonts w:asciiTheme="minorHAnsi" w:hAnsiTheme="minorHAnsi" w:cstheme="minorHAnsi"/>
          <w:color w:val="auto"/>
        </w:rPr>
        <w:t xml:space="preserve"> and filter pressing</w:t>
      </w:r>
      <w:r w:rsidR="00151A91">
        <w:rPr>
          <w:rFonts w:asciiTheme="minorHAnsi" w:hAnsiTheme="minorHAnsi" w:cstheme="minorHAnsi"/>
          <w:color w:val="auto"/>
        </w:rPr>
        <w:t xml:space="preserve"> </w:t>
      </w:r>
      <w:r w:rsidR="000C131C">
        <w:rPr>
          <w:rFonts w:asciiTheme="minorHAnsi" w:hAnsiTheme="minorHAnsi" w:cstheme="minorHAnsi"/>
          <w:color w:val="auto"/>
        </w:rPr>
        <w:t xml:space="preserve">or study the effects of injection on cells. </w:t>
      </w:r>
      <w:r w:rsidR="00517CF8">
        <w:rPr>
          <w:rFonts w:asciiTheme="minorHAnsi" w:hAnsiTheme="minorHAnsi" w:cstheme="minorHAnsi"/>
          <w:color w:val="auto"/>
        </w:rPr>
        <w:t xml:space="preserve">This protocol is faster and more directly applicable to injectability than rotational rheology, </w:t>
      </w:r>
      <w:r w:rsidR="00F81485">
        <w:rPr>
          <w:rFonts w:asciiTheme="minorHAnsi" w:hAnsiTheme="minorHAnsi" w:cstheme="minorHAnsi"/>
          <w:color w:val="auto"/>
        </w:rPr>
        <w:t>and requires minimal post processing to obtain key</w:t>
      </w:r>
      <w:r w:rsidR="00052327">
        <w:rPr>
          <w:rFonts w:asciiTheme="minorHAnsi" w:hAnsiTheme="minorHAnsi" w:cstheme="minorHAnsi"/>
          <w:color w:val="auto"/>
        </w:rPr>
        <w:t xml:space="preserve"> values for direct comparisons.</w:t>
      </w:r>
    </w:p>
    <w:p w14:paraId="4C7D5FD5" w14:textId="77777777" w:rsidR="006305D7" w:rsidRPr="00FC6506" w:rsidRDefault="006305D7" w:rsidP="001B1519">
      <w:pPr>
        <w:rPr>
          <w:rFonts w:asciiTheme="minorHAnsi" w:hAnsiTheme="minorHAnsi" w:cstheme="minorHAnsi"/>
        </w:rPr>
      </w:pPr>
    </w:p>
    <w:p w14:paraId="1C6E5CB3" w14:textId="148129B9" w:rsidR="004550FF" w:rsidRPr="00491537" w:rsidRDefault="006305D7" w:rsidP="004550FF">
      <w:pPr>
        <w:rPr>
          <w:rFonts w:asciiTheme="minorHAnsi" w:hAnsiTheme="minorHAnsi" w:cstheme="minorHAnsi"/>
          <w:color w:val="808080"/>
        </w:rPr>
      </w:pPr>
      <w:r w:rsidRPr="00FC6506">
        <w:rPr>
          <w:rFonts w:asciiTheme="minorHAnsi" w:hAnsiTheme="minorHAnsi" w:cstheme="minorHAnsi"/>
          <w:b/>
        </w:rPr>
        <w:t>INTRODUCTION</w:t>
      </w:r>
      <w:r w:rsidRPr="00FC6506">
        <w:rPr>
          <w:rFonts w:asciiTheme="minorHAnsi" w:hAnsiTheme="minorHAnsi" w:cstheme="minorHAnsi"/>
          <w:b/>
          <w:bCs/>
        </w:rPr>
        <w:t>:</w:t>
      </w:r>
    </w:p>
    <w:p w14:paraId="6375BF58" w14:textId="04BAE9B4" w:rsidR="004550FF" w:rsidRPr="00FC6506" w:rsidRDefault="001375AE" w:rsidP="004550FF">
      <w:pPr>
        <w:rPr>
          <w:rFonts w:asciiTheme="minorHAnsi" w:hAnsiTheme="minorHAnsi" w:cstheme="minorHAnsi"/>
        </w:rPr>
      </w:pPr>
      <w:r w:rsidRPr="00FC6506">
        <w:rPr>
          <w:rFonts w:asciiTheme="minorHAnsi" w:hAnsiTheme="minorHAnsi" w:cstheme="minorHAnsi"/>
          <w:color w:val="auto"/>
        </w:rPr>
        <w:t xml:space="preserve">Biomaterials are often studied and used as scaffolds for cell-based tissue regeneration and depots for targeted, </w:t>
      </w:r>
      <w:r w:rsidR="00A966C4" w:rsidRPr="00FC6506">
        <w:rPr>
          <w:rFonts w:asciiTheme="minorHAnsi" w:hAnsiTheme="minorHAnsi" w:cstheme="minorHAnsi"/>
          <w:color w:val="auto"/>
        </w:rPr>
        <w:t>sustained</w:t>
      </w:r>
      <w:r w:rsidRPr="00FC6506">
        <w:rPr>
          <w:rFonts w:asciiTheme="minorHAnsi" w:hAnsiTheme="minorHAnsi" w:cstheme="minorHAnsi"/>
          <w:color w:val="auto"/>
        </w:rPr>
        <w:t xml:space="preserve"> delivery of therapeutics</w:t>
      </w:r>
      <w:r w:rsidRPr="00FC6506">
        <w:rPr>
          <w:rFonts w:asciiTheme="minorHAnsi" w:hAnsiTheme="minorHAnsi" w:cstheme="minorHAnsi"/>
          <w:color w:val="auto"/>
        </w:rPr>
        <w:fldChar w:fldCharType="begin" w:fldLock="1"/>
      </w:r>
      <w:r w:rsidR="00A665F9">
        <w:rPr>
          <w:rFonts w:asciiTheme="minorHAnsi" w:hAnsiTheme="minorHAnsi" w:cstheme="minorHAnsi"/>
          <w:color w:val="auto"/>
        </w:rPr>
        <w:instrText>ADDIN CSL_CITATION { "citationItems" : [ { "id" : "ITEM-1", "itemData" : { "DOI" : "10.1038/nmat4474", "ISSN" : "14764660", "abstract" : "Polymers, ceramics and metals have historically dominated the application of materials in medicine. Yet rationally designed materials that exploit specific, directional, tunable and reversible non-covalent interactions offer unprecedented advantages: they enable modular and generalizable platforms with tunable mechanical, chemical and biological properties. Indeed, the reversible nature of supramolecular interactions gives rise to biomaterials that can sense and respond to physiological cues, or that mimic the structural and functional aspects of biological signalling. In this Review, we discuss the properties of several supramolecular biomaterials, as well as their applications in drug delivery, tissue engineering, regenerative medicine and immunology. We envision that supramolecular biomaterials will contribute to the development of new therapies that combine highly functional materials with unmatched patient- and application-specific tailoring of both material and biological properties.", "author" : [ { "dropping-particle" : "", "family" : "Webber", "given" : "Matthew J.", "non-dropping-particle" : "", "parse-names" : false, "suffix" : "" }, { "dropping-particle" : "", "family" : "Appel", "given" : "Eric A.", "non-dropping-particle" : "", "parse-names" : false, "suffix" : "" }, { "dropping-particle" : "", "family" : "Meijer", "given" : "E. W.", "non-dropping-particle" : "", "parse-names" : false, "suffix" : "" }, { "dropping-particle" : "", "family" : "Langer", "given" : "Robert", "non-dropping-particle" : "", "parse-names" : false, "suffix" : "" } ], "container-title" : "Nature Materials", "id" : "ITEM-1", "issue" : "1", "issued" : { "date-parts" : [ [ "2015", "12", "18" ] ] }, "page" : "13-26", "publisher" : "Nature Publishing Group", "title" : "Supramolecular biomaterials", "type" : "article-journal", "volume" : "15" }, "uris" : [ "http://www.mendeley.com/documents/?uuid=b6b8bde0-3076-3f86-a35b-be7cfb24bff2" ] } ], "mendeley" : { "formattedCitation" : "&lt;sup&gt;1&lt;/sup&gt;", "plainTextFormattedCitation" : "1", "previouslyFormattedCitation" : "&lt;sup&gt;1&lt;/sup&gt;" }, "properties" : { "noteIndex" : 0 }, "schema" : "https://github.com/citation-style-language/schema/raw/master/csl-citation.json" }</w:instrText>
      </w:r>
      <w:r w:rsidRPr="00FC6506">
        <w:rPr>
          <w:rFonts w:asciiTheme="minorHAnsi" w:hAnsiTheme="minorHAnsi" w:cstheme="minorHAnsi"/>
          <w:color w:val="auto"/>
        </w:rPr>
        <w:fldChar w:fldCharType="separate"/>
      </w:r>
      <w:r w:rsidR="00A665F9" w:rsidRPr="00A665F9">
        <w:rPr>
          <w:rFonts w:asciiTheme="minorHAnsi" w:hAnsiTheme="minorHAnsi" w:cstheme="minorHAnsi"/>
          <w:noProof/>
          <w:color w:val="auto"/>
          <w:vertAlign w:val="superscript"/>
        </w:rPr>
        <w:t>1</w:t>
      </w:r>
      <w:r w:rsidRPr="00FC6506">
        <w:rPr>
          <w:rFonts w:asciiTheme="minorHAnsi" w:hAnsiTheme="minorHAnsi" w:cstheme="minorHAnsi"/>
          <w:color w:val="auto"/>
        </w:rPr>
        <w:fldChar w:fldCharType="end"/>
      </w:r>
      <w:r w:rsidRPr="00FC6506">
        <w:rPr>
          <w:rFonts w:asciiTheme="minorHAnsi" w:hAnsiTheme="minorHAnsi" w:cstheme="minorHAnsi"/>
          <w:color w:val="auto"/>
        </w:rPr>
        <w:t xml:space="preserve">. </w:t>
      </w:r>
      <w:r w:rsidR="00A966C4" w:rsidRPr="00FC6506">
        <w:rPr>
          <w:rFonts w:asciiTheme="minorHAnsi" w:hAnsiTheme="minorHAnsi" w:cstheme="minorHAnsi"/>
          <w:color w:val="auto"/>
        </w:rPr>
        <w:t xml:space="preserve">Within this field, injectable biomaterials </w:t>
      </w:r>
      <w:r w:rsidR="00A966C4" w:rsidRPr="00FC6506">
        <w:rPr>
          <w:rFonts w:asciiTheme="minorHAnsi" w:hAnsiTheme="minorHAnsi" w:cstheme="minorHAnsi"/>
          <w:color w:val="auto"/>
        </w:rPr>
        <w:lastRenderedPageBreak/>
        <w:t>are growing in popularity as they are minimally invasive, which reduces the risk of infection, pain and scarring associated with implantation</w:t>
      </w:r>
      <w:r w:rsidR="00A966C4" w:rsidRPr="00FC6506">
        <w:rPr>
          <w:rFonts w:asciiTheme="minorHAnsi" w:hAnsiTheme="minorHAnsi" w:cstheme="minorHAnsi"/>
        </w:rPr>
        <w:fldChar w:fldCharType="begin" w:fldLock="1"/>
      </w:r>
      <w:r w:rsidR="00A665F9">
        <w:rPr>
          <w:rFonts w:asciiTheme="minorHAnsi" w:hAnsiTheme="minorHAnsi" w:cstheme="minorHAnsi"/>
        </w:rPr>
        <w:instrText>ADDIN CSL_CITATION { "citationItems" : [ { "id" : "ITEM-1", "itemData" : { "DOI" : "10.1016/J.IJBIOMAC.2017.11.113", "ISSN" : "0141-8130", "abstract" : "To date, numerous delivery systems based on either organic or inorganic material have been developed to achieve efficient and sustained delivery of therapeutics. Hydrogels, which are three dimensional networks of crosslinked hydrophilic polymers, have a significant role in solving the clinical and pharmacological limitations of present systems because of their biocompatibility, ease of preparation and unique physical properties such as a tunable porous nature and affinity for biological fluids. Development of an in situ forming injectable hydrogel system has allowed excellent spatial and temporal control, unlike systemically administered therapeutics. Injectable hydrogel systems can offset difficulties with conventional hydrogel-based drug delivery systems in the clinic by forming a drug/gene delivery or cell-growing depot in the body with a single injection, thereby enabling patient compliance and comfort. Carbohydrate polymers are widely used for the synthesis of injectable in situ-forming hydrogels because of ready availability, presence of modifiable functional groups, biocompatibility and other physiochemical properties. In this review, we discuss different aspects of injectable hydrogels, such as bulk hydrogels/macrogels, microgels, and nanogels derived from natural polymers, and their importance in the delivery of therapeutics such as genes, drugs, cells or other biomolecules and how these revolutionary systems can complement existing therapeutic delivery systems.", "author" : [ { "dropping-particle" : "", "family" : "Mathew", "given" : "Ansuja Pulickal", "non-dropping-particle" : "", "parse-names" : false, "suffix" : "" }, { "dropping-particle" : "", "family" : "Uthaman", "given" : "Saji", "non-dropping-particle" : "", "parse-names" : false, "suffix" : "" }, { "dropping-particle" : "", "family" : "Cho", "given" : "Ki-Hyun", "non-dropping-particle" : "", "parse-names" : false, "suffix" : "" }, { "dropping-particle" : "", "family" : "Cho", "given" : "Chong-Su", "non-dropping-particle" : "", "parse-names" : false, "suffix" : "" }, { "dropping-particle" : "", "family" : "Park", "given" : "In-Kyu", "non-dropping-particle" : "", "parse-names" : false, "suffix" : "" } ], "container-title" : "International Journal of Biological Macromolecules", "id" : "ITEM-1", "issued" : { "date-parts" : [ [ "2018", "4", "15" ] ] }, "page" : "17-29", "publisher" : "Elsevier", "title" : "Injectable hydrogels for delivering biotherapeutic molecules", "type" : "article-journal", "volume" : "110" }, "uris" : [ "http://www.mendeley.com/documents/?uuid=689c637a-cc4a-3487-b50b-db979ce19882" ] } ], "mendeley" : { "formattedCitation" : "&lt;sup&gt;2&lt;/sup&gt;", "plainTextFormattedCitation" : "2", "previouslyFormattedCitation" : "&lt;sup&gt;2&lt;/sup&gt;" }, "properties" : { "noteIndex" : 0 }, "schema" : "https://github.com/citation-style-language/schema/raw/master/csl-citation.json" }</w:instrText>
      </w:r>
      <w:r w:rsidR="00A966C4" w:rsidRPr="00FC6506">
        <w:rPr>
          <w:rFonts w:asciiTheme="minorHAnsi" w:hAnsiTheme="minorHAnsi" w:cstheme="minorHAnsi"/>
        </w:rPr>
        <w:fldChar w:fldCharType="separate"/>
      </w:r>
      <w:r w:rsidR="00A665F9" w:rsidRPr="00A665F9">
        <w:rPr>
          <w:rFonts w:asciiTheme="minorHAnsi" w:hAnsiTheme="minorHAnsi" w:cstheme="minorHAnsi"/>
          <w:noProof/>
          <w:vertAlign w:val="superscript"/>
        </w:rPr>
        <w:t>2</w:t>
      </w:r>
      <w:r w:rsidR="00A966C4" w:rsidRPr="00FC6506">
        <w:rPr>
          <w:rFonts w:asciiTheme="minorHAnsi" w:hAnsiTheme="minorHAnsi" w:cstheme="minorHAnsi"/>
        </w:rPr>
        <w:fldChar w:fldCharType="end"/>
      </w:r>
      <w:r w:rsidR="00A966C4" w:rsidRPr="00FC6506">
        <w:rPr>
          <w:rFonts w:asciiTheme="minorHAnsi" w:hAnsiTheme="minorHAnsi" w:cstheme="minorHAnsi"/>
          <w:color w:val="auto"/>
        </w:rPr>
        <w:t xml:space="preserve">. Further, because they are usually applied as fluids, they conform perfectly to tissue defects, and drugs and cells may be mixed into them immediately prior to </w:t>
      </w:r>
      <w:r w:rsidR="00C14330">
        <w:rPr>
          <w:rFonts w:asciiTheme="minorHAnsi" w:hAnsiTheme="minorHAnsi" w:cstheme="minorHAnsi"/>
          <w:color w:val="auto"/>
        </w:rPr>
        <w:t xml:space="preserve">the </w:t>
      </w:r>
      <w:r w:rsidR="00A966C4" w:rsidRPr="00FC6506">
        <w:rPr>
          <w:rFonts w:asciiTheme="minorHAnsi" w:hAnsiTheme="minorHAnsi" w:cstheme="minorHAnsi"/>
          <w:color w:val="auto"/>
        </w:rPr>
        <w:t>application</w:t>
      </w:r>
      <w:r w:rsidR="00A966C4" w:rsidRPr="00FC6506">
        <w:rPr>
          <w:rFonts w:asciiTheme="minorHAnsi" w:hAnsiTheme="minorHAnsi" w:cstheme="minorHAnsi"/>
        </w:rPr>
        <w:fldChar w:fldCharType="begin" w:fldLock="1"/>
      </w:r>
      <w:r w:rsidR="00A665F9">
        <w:rPr>
          <w:rFonts w:asciiTheme="minorHAnsi" w:hAnsiTheme="minorHAnsi" w:cstheme="minorHAnsi"/>
        </w:rPr>
        <w:instrText>ADDIN CSL_CITATION { "citationItems" : [ { "id" : "ITEM-1", "itemData" : { "DOI" : "10.1016/j.mattod.2019.04.020", "ISSN" : "18734103", "abstract" : "Injectable therapeutics enabled by engineered biomaterials are becoming increasingly popular, transforming traditional clinical practice to become a minimally invasive and regenerative regime. Compared to preformed biomaterials, injectable biomaterials allow for more precise implantation into deeply enclosed anatomical locations and for the repair of irregularly shaped lesions, demonstrating great translational potential. Continuously emerging clinical needs and advances in materials science have driven an evolution in injectable biomaterials from structural fillers to multifunctional platforms. Integrating disparate functions to design injectable biomaterials for clinical translation remains a considerable challenge, as does the selection of the appropriate design considerations for specific applications. This article aims to review the design and fabrication considerations of injectable biomaterials in the context of medical translation, the engineering strategies used for new materials to meet the growing demands in regenerative and intelligent medicine, and the progress in their development for selected clinical applications. Specifically, three exemplary areas, injectable bone cements, hydrogels, and electronics, all of which demonstrate significant promise in terms of translation and commercialization, are reviewed in detail. In addition, their translational status and future challenges are discussed. It is also envisioned that the mutual collaboration between researchers, clinicians, entrepreneurs, engineers, and patients will inspire and catalyze the innovation and translation of injectable biomaterials.", "author" : [ { "dropping-particle" : "", "family" : "Zhou", "given" : "Huan", "non-dropping-particle" : "", "parse-names" : false, "suffix" : "" }, { "dropping-particle" : "", "family" : "Liang", "given" : "Chunyong", "non-dropping-particle" : "", "parse-names" : false, "suffix" : "" }, { "dropping-particle" : "", "family" : "Wei", "given" : "Zi", "non-dropping-particle" : "", "parse-names" : false, "suffix" : "" }, { "dropping-particle" : "", "family" : "Bai", "given" : "Yanjie", "non-dropping-particle" : "", "parse-names" : false, "suffix" : "" }, { "dropping-particle" : "", "family" : "Bhaduri", "given" : "Sarit B.", "non-dropping-particle" : "", "parse-names" : false, "suffix" : "" }, { "dropping-particle" : "", "family" : "Webster", "given" : "Thomas J.", "non-dropping-particle" : "", "parse-names" : false, "suffix" : "" }, { "dropping-particle" : "", "family" : "Bian", "given" : "Liming", "non-dropping-particle" : "", "parse-names" : false, "suffix" : "" }, { "dropping-particle" : "", "family" : "Yang", "given" : "Lei", "non-dropping-particle" : "", "parse-names" : false, "suffix" : "" } ], "container-title" : "Materials Today", "id" : "ITEM-1", "issued" : { "date-parts" : [ [ "2019", "5", "21" ] ] }, "page" : "81-97", "publisher" : "Elsevier", "title" : "Injectable biomaterials for translational medicine", "type" : "article-journal", "volume" : "28" }, "uris" : [ "http://www.mendeley.com/documents/?uuid=6ac730e3-e841-36f4-b401-8f5e8b2e8611" ] }, { "id" : "ITEM-2", "itemData" : { "DOI" : "10.1007/s10856-007-3329-6", "ISSN" : "0957-4530", "author" : [ { "dropping-particle" : "", "family" : "Alves", "given" : "Hugo Leonardo Rocha", "non-dropping-particle" : "", "parse-names" : false, "suffix" : "" }, { "dropping-particle" : "", "family" : "Santos", "given" : "Luis A.", "non-dropping-particle" : "dos", "parse-names" : false, "suffix" : "" }, { "dropping-particle" : "", "family" : "Bergmann", "given" : "Carlos P.", "non-dropping-particle" : "", "parse-names" : false, "suffix" : "" } ], "container-title" : "Journal of Materials Science: Materials in Medicine", "id" : "ITEM-2", "issue" : "5", "issued" : { "date-parts" : [ [ "2008", "5", "1" ] ] }, "page" : "2241-2246", "publisher" : "Springer US", "title" : "Injectability evaluation of tricalcium phosphate bone cement", "type" : "article-journal", "volume" : "19" }, "uris" : [ "http://www.mendeley.com/documents/?uuid=2bb0e195-0ffc-315e-ab02-49b96543c36d" ] }, { "id" : "ITEM-3", "itemData" : { "DOI" : "10.1039/b713009k", "ISSN" : "0306-0012", "author" : [ { "dropping-particle" : "", "family" : "Yu", "given" : "Lin", "non-dropping-particle" : "", "parse-names" : false, "suffix" : "" }, { "dropping-particle" : "", "family" : "Ding", "given" : "Jiandong", "non-dropping-particle" : "", "parse-names" : false, "suffix" : "" } ], "container-title" : "Chemical Society Reviews", "id" : "ITEM-3", "issue" : "8", "issued" : { "date-parts" : [ [ "2008", "7", "22" ] ] }, "page" : "1473", "publisher" : "Royal Society of Chemistry", "title" : "Injectable hydrogels as unique biomedical materials", "type" : "article-journal", "volume" : "37" }, "uris" : [ "http://www.mendeley.com/documents/?uuid=a49efe66-c3c5-375a-b7d4-408b88457bcc" ] } ], "mendeley" : { "formattedCitation" : "&lt;sup&gt;3\u20135&lt;/sup&gt;", "plainTextFormattedCitation" : "3\u20135", "previouslyFormattedCitation" : "&lt;sup&gt;3\u20135&lt;/sup&gt;" }, "properties" : { "noteIndex" : 0 }, "schema" : "https://github.com/citation-style-language/schema/raw/master/csl-citation.json" }</w:instrText>
      </w:r>
      <w:r w:rsidR="00A966C4" w:rsidRPr="00FC6506">
        <w:rPr>
          <w:rFonts w:asciiTheme="minorHAnsi" w:hAnsiTheme="minorHAnsi" w:cstheme="minorHAnsi"/>
        </w:rPr>
        <w:fldChar w:fldCharType="separate"/>
      </w:r>
      <w:r w:rsidR="00A665F9" w:rsidRPr="00A665F9">
        <w:rPr>
          <w:rFonts w:asciiTheme="minorHAnsi" w:hAnsiTheme="minorHAnsi" w:cstheme="minorHAnsi"/>
          <w:noProof/>
          <w:vertAlign w:val="superscript"/>
        </w:rPr>
        <w:t>3–5</w:t>
      </w:r>
      <w:r w:rsidR="00A966C4" w:rsidRPr="00FC6506">
        <w:rPr>
          <w:rFonts w:asciiTheme="minorHAnsi" w:hAnsiTheme="minorHAnsi" w:cstheme="minorHAnsi"/>
        </w:rPr>
        <w:fldChar w:fldCharType="end"/>
      </w:r>
      <w:r w:rsidR="00A5589B" w:rsidRPr="00FC6506">
        <w:rPr>
          <w:rFonts w:asciiTheme="minorHAnsi" w:hAnsiTheme="minorHAnsi" w:cstheme="minorHAnsi"/>
        </w:rPr>
        <w:t>. As such, while injectable biomaterials may be manufactured as pre-loaded syringes, they are often prepared by clinicians directly prior to application. For example, cements begin to set once the powder and liquid phases are mixed</w:t>
      </w:r>
      <w:r w:rsidR="00A715AF" w:rsidRPr="00FC6506">
        <w:rPr>
          <w:rFonts w:asciiTheme="minorHAnsi" w:hAnsiTheme="minorHAnsi" w:cstheme="minorHAnsi"/>
        </w:rPr>
        <w:t>, and so cannot be stored for long periods before use</w:t>
      </w:r>
      <w:r w:rsidR="00565ECA" w:rsidRPr="00FC6506">
        <w:rPr>
          <w:rFonts w:asciiTheme="minorHAnsi" w:hAnsiTheme="minorHAnsi" w:cstheme="minorHAnsi"/>
        </w:rPr>
        <w:fldChar w:fldCharType="begin" w:fldLock="1"/>
      </w:r>
      <w:r w:rsidR="00A665F9">
        <w:rPr>
          <w:rFonts w:asciiTheme="minorHAnsi" w:hAnsiTheme="minorHAnsi" w:cstheme="minorHAnsi"/>
        </w:rPr>
        <w:instrText>ADDIN CSL_CITATION { "citationItems" : [ { "id" : "ITEM-1", "itemData" : { "ISBN" : "0081024525", "abstract" : "Second edition. Bone Repair Biomaterials: Regeneration and Clinical Applications, Second Edition, provides comprehensive reviews on materials science, engineering principles and recent advances. Sections review the fundamentals of bone repair and regeneration, discuss the science and properties of biomaterials used for bone repair, including metals, ceramics, polymers and composites, and discuss clinical applications and considerations, with chapters on such topics as orthopedic surgery, tissue engineering, implant retrieval, and ethics of bone repair biomaterials. This second edition includes more chapters on relevant biomaterials and a greatly expanded section on clinical applications, including bone repair applications in dental surgery, spinal surgery, and maxilo-facial and skull surgery. In addition, the book features coverage of long-term performance and failure of orthopedic devices. It will be an invaluable resource for researchers, scientists and clinicians concerned with the repair and restoration of bone.", "author" : [ { "dropping-particle" : "", "family" : "Pawelec", "given" : "K.M.", "non-dropping-particle" : "", "parse-names" : false, "suffix" : "" }, { "dropping-particle" : "", "family" : "Planell", "given" : "J.A.", "non-dropping-particle" : "", "parse-names" : false, "suffix" : "" } ], "id" : "ITEM-1", "issued" : { "date-parts" : [ [ "2019" ] ] }, "title" : "Bone repair biomaterials : regeneration and clinical applications", "type" : "book" }, "uris" : [ "http://www.mendeley.com/documents/?uuid=3ad185e5-c485-30ac-9072-abfeb9edd8c5" ] } ], "mendeley" : { "formattedCitation" : "&lt;sup&gt;6&lt;/sup&gt;", "plainTextFormattedCitation" : "6", "previouslyFormattedCitation" : "&lt;sup&gt;6&lt;/sup&gt;" }, "properties" : { "noteIndex" : 0 }, "schema" : "https://github.com/citation-style-language/schema/raw/master/csl-citation.json" }</w:instrText>
      </w:r>
      <w:r w:rsidR="00565ECA" w:rsidRPr="00FC6506">
        <w:rPr>
          <w:rFonts w:asciiTheme="minorHAnsi" w:hAnsiTheme="minorHAnsi" w:cstheme="minorHAnsi"/>
        </w:rPr>
        <w:fldChar w:fldCharType="separate"/>
      </w:r>
      <w:r w:rsidR="00A665F9" w:rsidRPr="00A665F9">
        <w:rPr>
          <w:rFonts w:asciiTheme="minorHAnsi" w:hAnsiTheme="minorHAnsi" w:cstheme="minorHAnsi"/>
          <w:noProof/>
          <w:vertAlign w:val="superscript"/>
        </w:rPr>
        <w:t>6</w:t>
      </w:r>
      <w:r w:rsidR="00565ECA" w:rsidRPr="00FC6506">
        <w:rPr>
          <w:rFonts w:asciiTheme="minorHAnsi" w:hAnsiTheme="minorHAnsi" w:cstheme="minorHAnsi"/>
        </w:rPr>
        <w:fldChar w:fldCharType="end"/>
      </w:r>
      <w:r w:rsidR="00A715AF" w:rsidRPr="00FC6506">
        <w:rPr>
          <w:rFonts w:asciiTheme="minorHAnsi" w:hAnsiTheme="minorHAnsi" w:cstheme="minorHAnsi"/>
        </w:rPr>
        <w:t>.</w:t>
      </w:r>
      <w:r w:rsidR="00767A2B">
        <w:rPr>
          <w:rFonts w:asciiTheme="minorHAnsi" w:hAnsiTheme="minorHAnsi" w:cstheme="minorHAnsi"/>
        </w:rPr>
        <w:t xml:space="preserve"> The characterization of these materials is thus time dependent and inextricably linked to their preparation. </w:t>
      </w:r>
    </w:p>
    <w:p w14:paraId="6E0B26E5" w14:textId="6971B2A4" w:rsidR="00A715AF" w:rsidRPr="00FC6506" w:rsidRDefault="00A715AF" w:rsidP="004550FF">
      <w:pPr>
        <w:rPr>
          <w:rFonts w:asciiTheme="minorHAnsi" w:hAnsiTheme="minorHAnsi" w:cstheme="minorHAnsi"/>
        </w:rPr>
      </w:pPr>
    </w:p>
    <w:p w14:paraId="49DF3AA2" w14:textId="17781653" w:rsidR="00A715AF" w:rsidRPr="00FC6506" w:rsidRDefault="00BA41DE" w:rsidP="004550FF">
      <w:pPr>
        <w:rPr>
          <w:rFonts w:asciiTheme="minorHAnsi" w:hAnsiTheme="minorHAnsi" w:cstheme="minorHAnsi"/>
        </w:rPr>
      </w:pPr>
      <w:r w:rsidRPr="00FC6506">
        <w:rPr>
          <w:rFonts w:asciiTheme="minorHAnsi" w:hAnsiTheme="minorHAnsi" w:cstheme="minorHAnsi"/>
        </w:rPr>
        <w:t xml:space="preserve">Common injectable biomaterials include calcium cements, polymethyl methacrylate, </w:t>
      </w:r>
      <w:proofErr w:type="spellStart"/>
      <w:r w:rsidRPr="00FC6506">
        <w:rPr>
          <w:rFonts w:asciiTheme="minorHAnsi" w:hAnsiTheme="minorHAnsi" w:cstheme="minorHAnsi"/>
        </w:rPr>
        <w:t>bioglasses</w:t>
      </w:r>
      <w:proofErr w:type="spellEnd"/>
      <w:r w:rsidRPr="00FC6506">
        <w:rPr>
          <w:rFonts w:asciiTheme="minorHAnsi" w:hAnsiTheme="minorHAnsi" w:cstheme="minorHAnsi"/>
        </w:rPr>
        <w:t>, and various polymeric hydrogels</w:t>
      </w:r>
      <w:r w:rsidRPr="00FC6506">
        <w:rPr>
          <w:rFonts w:asciiTheme="minorHAnsi" w:hAnsiTheme="minorHAnsi" w:cstheme="minorHAnsi"/>
        </w:rPr>
        <w:fldChar w:fldCharType="begin" w:fldLock="1"/>
      </w:r>
      <w:r w:rsidR="00A665F9">
        <w:rPr>
          <w:rFonts w:asciiTheme="minorHAnsi" w:hAnsiTheme="minorHAnsi" w:cstheme="minorHAnsi"/>
        </w:rPr>
        <w:instrText>ADDIN CSL_CITATION { "citationItems" : [ { "id" : "ITEM-1", "itemData" : { "DOI" : "10.1016/j.mattod.2019.04.020", "ISSN" : "18734103", "abstract" : "Injectable therapeutics enabled by engineered biomaterials are becoming increasingly popular, transforming traditional clinical practice to become a minimally invasive and regenerative regime. Compared to preformed biomaterials, injectable biomaterials allow for more precise implantation into deeply enclosed anatomical locations and for the repair of irregularly shaped lesions, demonstrating great translational potential. Continuously emerging clinical needs and advances in materials science have driven an evolution in injectable biomaterials from structural fillers to multifunctional platforms. Integrating disparate functions to design injectable biomaterials for clinical translation remains a considerable challenge, as does the selection of the appropriate design considerations for specific applications. This article aims to review the design and fabrication considerations of injectable biomaterials in the context of medical translation, the engineering strategies used for new materials to meet the growing demands in regenerative and intelligent medicine, and the progress in their development for selected clinical applications. Specifically, three exemplary areas, injectable bone cements, hydrogels, and electronics, all of which demonstrate significant promise in terms of translation and commercialization, are reviewed in detail. In addition, their translational status and future challenges are discussed. It is also envisioned that the mutual collaboration between researchers, clinicians, entrepreneurs, engineers, and patients will inspire and catalyze the innovation and translation of injectable biomaterials.", "author" : [ { "dropping-particle" : "", "family" : "Zhou", "given" : "Huan", "non-dropping-particle" : "", "parse-names" : false, "suffix" : "" }, { "dropping-particle" : "", "family" : "Liang", "given" : "Chunyong", "non-dropping-particle" : "", "parse-names" : false, "suffix" : "" }, { "dropping-particle" : "", "family" : "Wei", "given" : "Zi", "non-dropping-particle" : "", "parse-names" : false, "suffix" : "" }, { "dropping-particle" : "", "family" : "Bai", "given" : "Yanjie", "non-dropping-particle" : "", "parse-names" : false, "suffix" : "" }, { "dropping-particle" : "", "family" : "Bhaduri", "given" : "Sarit B.", "non-dropping-particle" : "", "parse-names" : false, "suffix" : "" }, { "dropping-particle" : "", "family" : "Webster", "given" : "Thomas J.", "non-dropping-particle" : "", "parse-names" : false, "suffix" : "" }, { "dropping-particle" : "", "family" : "Bian", "given" : "Liming", "non-dropping-particle" : "", "parse-names" : false, "suffix" : "" }, { "dropping-particle" : "", "family" : "Yang", "given" : "Lei", "non-dropping-particle" : "", "parse-names" : false, "suffix" : "" } ], "container-title" : "Materials Today", "id" : "ITEM-1", "issued" : { "date-parts" : [ [ "2019", "5", "21" ] ] }, "page" : "81-97", "publisher" : "Elsevier", "title" : "Injectable biomaterials for translational medicine", "type" : "article-journal", "volume" : "28" }, "uris" : [ "http://www.mendeley.com/documents/?uuid=6ac730e3-e841-36f4-b401-8f5e8b2e8611" ] }, { "id" : "ITEM-2", "itemData" : { "DOI" : "10.1177/2041731418776819", "ISSN" : "2041-7314", "abstract" : "Bone replacement might have been practiced for centuries with various materials of natural origin, but had rarely met success until the late 19th century. Nowadays, many different bone substitutes can be used. They can be either derived from biological products such as demineralized bone matrix, platelet-rich plasma, hydroxyapatite, adjunction of growth factors (like bone morphogenetic protein) or synthetic such as calcium sulfate, tri-calcium phosphate ceramics, bioactive glasses, or polymer-based substitutes. All these substitutes are not suitable for every clinical use, and they have to be chosen selectively depending on their purpose. Thus, this review aims to highlight the principal characteristics of the most commonly used bone substitutes and to give some directions concerning their clinical use, as spine fusion, open-wedge tibial osteotomy, long bone fracture, oral and maxillofacial surgery, or periodontal treatments. However, the main limitations to bone substitutes use remain the management of l...", "author" : [ { "dropping-particle" : "", "family" : "Fernandez de Grado", "given" : "Gabriel", "non-dropping-particle" : "", "parse-names" : false, "suffix" : "" }, { "dropping-particle" : "", "family" : "Keller", "given" : "Laetitia", "non-dropping-particle" : "", "parse-names" : false, "suffix" : "" }, { "dropping-particle" : "", "family" : "Idoux-Gillet", "given" : "Ysia", "non-dropping-particle" : "", "parse-names" : false, "suffix" : "" }, { "dropping-particle" : "", "family" : "Wagner", "given" : "Quentin", "non-dropping-particle" : "", "parse-names" : false, "suffix" : "" }, { "dropping-particle" : "", "family" : "Musset", "given" : "Anne-Marie", "non-dropping-particle" : "", "parse-names" : false, "suffix" : "" }, { "dropping-particle" : "", "family" : "Benkirane-Jessel", "given" : "Nadia", "non-dropping-particle" : "", "parse-names" : false, "suffix" : "" }, { "dropping-particle" : "", "family" : "Bornert", "given" : "Fabien", "non-dropping-particle" : "", "parse-names" : false, "suffix" : "" }, { "dropping-particle" : "", "family" : "Offner", "given" : "Damien", "non-dropping-particle" : "", "parse-names" : false, "suffix" : "" } ], "container-title" : "Journal of Tissue Engineering", "id" : "ITEM-2", "issued" : { "date-parts" : [ [ "2018", "1", "4" ] ] }, "page" : "204173141877681", "publisher" : "SAGE PublicationsSage UK: London, England", "title" : "Bone substitutes: a review of their characteristics, clinical use, and perspectives for large bone defects management", "type" : "article-journal", "volume" : "9" }, "uris" : [ "http://www.mendeley.com/documents/?uuid=39361aab-06e3-3694-8c7c-c74a2fa95a41" ] } ], "mendeley" : { "formattedCitation" : "&lt;sup&gt;3,7&lt;/sup&gt;", "plainTextFormattedCitation" : "3,7", "previouslyFormattedCitation" : "&lt;sup&gt;3,7&lt;/sup&gt;" }, "properties" : { "noteIndex" : 0 }, "schema" : "https://github.com/citation-style-language/schema/raw/master/csl-citation.json" }</w:instrText>
      </w:r>
      <w:r w:rsidRPr="00FC6506">
        <w:rPr>
          <w:rFonts w:asciiTheme="minorHAnsi" w:hAnsiTheme="minorHAnsi" w:cstheme="minorHAnsi"/>
        </w:rPr>
        <w:fldChar w:fldCharType="separate"/>
      </w:r>
      <w:r w:rsidR="00A665F9" w:rsidRPr="00A665F9">
        <w:rPr>
          <w:rFonts w:asciiTheme="minorHAnsi" w:hAnsiTheme="minorHAnsi" w:cstheme="minorHAnsi"/>
          <w:noProof/>
          <w:vertAlign w:val="superscript"/>
        </w:rPr>
        <w:t>3,7</w:t>
      </w:r>
      <w:r w:rsidRPr="00FC6506">
        <w:rPr>
          <w:rFonts w:asciiTheme="minorHAnsi" w:hAnsiTheme="minorHAnsi" w:cstheme="minorHAnsi"/>
        </w:rPr>
        <w:fldChar w:fldCharType="end"/>
      </w:r>
      <w:r w:rsidRPr="00FC6506">
        <w:rPr>
          <w:rFonts w:asciiTheme="minorHAnsi" w:hAnsiTheme="minorHAnsi" w:cstheme="minorHAnsi"/>
        </w:rPr>
        <w:t xml:space="preserve">. Unlike traditional injections of drugs, which have the </w:t>
      </w:r>
      <w:r w:rsidR="009C2719" w:rsidRPr="00FC6506">
        <w:rPr>
          <w:rFonts w:asciiTheme="minorHAnsi" w:hAnsiTheme="minorHAnsi" w:cstheme="minorHAnsi"/>
        </w:rPr>
        <w:t xml:space="preserve">same </w:t>
      </w:r>
      <w:r w:rsidRPr="00FC6506">
        <w:rPr>
          <w:rFonts w:asciiTheme="minorHAnsi" w:hAnsiTheme="minorHAnsi" w:cstheme="minorHAnsi"/>
        </w:rPr>
        <w:t xml:space="preserve">rheological properties </w:t>
      </w:r>
      <w:r w:rsidR="009C2719" w:rsidRPr="00FC6506">
        <w:rPr>
          <w:rFonts w:asciiTheme="minorHAnsi" w:hAnsiTheme="minorHAnsi" w:cstheme="minorHAnsi"/>
        </w:rPr>
        <w:t>as</w:t>
      </w:r>
      <w:r w:rsidRPr="00FC6506">
        <w:rPr>
          <w:rFonts w:asciiTheme="minorHAnsi" w:hAnsiTheme="minorHAnsi" w:cstheme="minorHAnsi"/>
        </w:rPr>
        <w:t xml:space="preserve"> water, these injectable biomaterials are typically </w:t>
      </w:r>
      <w:r w:rsidR="00664D07" w:rsidRPr="00FC6506">
        <w:rPr>
          <w:rFonts w:asciiTheme="minorHAnsi" w:hAnsiTheme="minorHAnsi" w:cstheme="minorHAnsi"/>
        </w:rPr>
        <w:t>more viscous, non-Newtonian, may have some elastic character</w:t>
      </w:r>
      <w:r w:rsidR="00151A91">
        <w:rPr>
          <w:rFonts w:asciiTheme="minorHAnsi" w:hAnsiTheme="minorHAnsi" w:cstheme="minorHAnsi"/>
        </w:rPr>
        <w:t>,</w:t>
      </w:r>
      <w:r w:rsidR="000C131C">
        <w:rPr>
          <w:rFonts w:asciiTheme="minorHAnsi" w:hAnsiTheme="minorHAnsi" w:cstheme="minorHAnsi"/>
        </w:rPr>
        <w:t xml:space="preserve"> and</w:t>
      </w:r>
      <w:r w:rsidR="00664D07" w:rsidRPr="00FC6506">
        <w:rPr>
          <w:rFonts w:asciiTheme="minorHAnsi" w:hAnsiTheme="minorHAnsi" w:cstheme="minorHAnsi"/>
        </w:rPr>
        <w:t xml:space="preserve"> may als</w:t>
      </w:r>
      <w:r w:rsidR="000C131C">
        <w:rPr>
          <w:rFonts w:asciiTheme="minorHAnsi" w:hAnsiTheme="minorHAnsi" w:cstheme="minorHAnsi"/>
        </w:rPr>
        <w:t>o change over time</w:t>
      </w:r>
      <w:r w:rsidR="00664D07" w:rsidRPr="00FC6506">
        <w:rPr>
          <w:rFonts w:asciiTheme="minorHAnsi" w:hAnsiTheme="minorHAnsi" w:cstheme="minorHAnsi"/>
        </w:rPr>
        <w:t xml:space="preserve">. Therefore, the injectability of these materials cannot be assumed but must be assessed experimentally. </w:t>
      </w:r>
      <w:r w:rsidR="0006550E" w:rsidRPr="00FC6506">
        <w:rPr>
          <w:rFonts w:asciiTheme="minorHAnsi" w:hAnsiTheme="minorHAnsi" w:cstheme="minorHAnsi"/>
        </w:rPr>
        <w:t xml:space="preserve">By </w:t>
      </w:r>
      <w:r w:rsidR="0099723B" w:rsidRPr="00FC6506">
        <w:rPr>
          <w:rFonts w:asciiTheme="minorHAnsi" w:hAnsiTheme="minorHAnsi" w:cstheme="minorHAnsi"/>
        </w:rPr>
        <w:t>quantifying the force required for injection and correlating it to the ease of injection</w:t>
      </w:r>
      <w:r w:rsidR="0006550E" w:rsidRPr="00FC6506">
        <w:rPr>
          <w:rFonts w:asciiTheme="minorHAnsi" w:hAnsiTheme="minorHAnsi" w:cstheme="minorHAnsi"/>
        </w:rPr>
        <w:t xml:space="preserve">, </w:t>
      </w:r>
      <w:r w:rsidR="0099723B" w:rsidRPr="00FC6506">
        <w:rPr>
          <w:rFonts w:asciiTheme="minorHAnsi" w:hAnsiTheme="minorHAnsi" w:cstheme="minorHAnsi"/>
        </w:rPr>
        <w:t>early</w:t>
      </w:r>
      <w:r w:rsidR="0006550E" w:rsidRPr="00FC6506">
        <w:rPr>
          <w:rFonts w:asciiTheme="minorHAnsi" w:hAnsiTheme="minorHAnsi" w:cstheme="minorHAnsi"/>
        </w:rPr>
        <w:t xml:space="preserve"> decisions about which biomaterial formulations, syringe, and needle sizes to take forward may be made early in the developmental process</w:t>
      </w:r>
      <w:r w:rsidR="0099723B" w:rsidRPr="00FC6506">
        <w:rPr>
          <w:rFonts w:asciiTheme="minorHAnsi" w:hAnsiTheme="minorHAnsi" w:cstheme="minorHAnsi"/>
        </w:rPr>
        <w:fldChar w:fldCharType="begin" w:fldLock="1"/>
      </w:r>
      <w:r w:rsidR="00A665F9">
        <w:rPr>
          <w:rFonts w:asciiTheme="minorHAnsi" w:hAnsiTheme="minorHAnsi" w:cstheme="minorHAnsi"/>
        </w:rPr>
        <w:instrText>ADDIN CSL_CITATION { "citationItems" : [ { "id" : "ITEM-1", "itemData" : { "DOI" : "10.1002/adhm.201901521", "ISSN" : "21922659", "abstract" : "Various injectable biomaterials are developed for the minimally invasive delivery of therapeutics. Typically, a mechanical tester is used to ascertain the force required to inject these biomaterials through a given syringe-needle system. However, currently there is no method to correlate the force measured in the laboratory to the perceived effort required to perform that injection by the end user. In this article, the injection force (F) for a variety of biomaterials, displaying a range of rheological properties, is compared with the effort scores from a 50 person panel study. The maximum injection force measured at crosshead speed 1 mm s\u22121 is a good proxy for injection effort, with an R2 of 0.89. This correlation leads to the following conclusions: participants can easily inject 5 mL of substance for F &lt; 12 N; considerable effort is required to inject 5 mL for 12 N &lt; F &lt; 38 N; great effort is required and &lt;5 mL can be injected for 38 N &lt; F &lt; 64 N; and materials are entirely non-injectable for F &gt; 64 N. These values may be used by developers of injectable biomaterials to make decisions about formulations and needle sizes early in the translational process.", "author" : [ { "dropping-particle" : "", "family" : "Robinson", "given" : "Thomas E.", "non-dropping-particle" : "", "parse-names" : false, "suffix" : "" }, { "dropping-particle" : "", "family" : "Hughes", "given" : "Erik A.B.", "non-dropping-particle" : "", "parse-names" : false, "suffix" : "" }, { "dropping-particle" : "", "family" : "Bose", "given" : "Aniruddha", "non-dropping-particle" : "", "parse-names" : false, "suffix" : "" }, { "dropping-particle" : "", "family" : "Cornish", "given" : "Elizabeth A.", "non-dropping-particle" : "", "parse-names" : false, "suffix" : "" }, { "dropping-particle" : "", "family" : "Teo", "given" : "Jun Y.", "non-dropping-particle" : "", "parse-names" : false, "suffix" : "" }, { "dropping-particle" : "", "family" : "Eisenstein", "given" : "Neil M.", "non-dropping-particle" : "", "parse-names" : false, "suffix" : "" }, { "dropping-particle" : "", "family" : "Grover", "given" : "Liam M.", "non-dropping-particle" : "", "parse-names" : false, "suffix" : "" }, { "dropping-particle" : "", "family" : "Cox", "given" : "Sophie C.", "non-dropping-particle" : "", "parse-names" : false, "suffix" : "" } ], "container-title" : "Advanced Healthcare Materials", "id" : "ITEM-1", "issued" : { "date-parts" : [ [ "2020", "1", "24" ] ] }, "page" : "1901521", "publisher" : "Wiley-VCH Verlag", "title" : "Filling the Gap: A Correlation between Objective and Subjective Measures of Injectability", "type" : "article-journal" }, "uris" : [ "http://www.mendeley.com/documents/?uuid=fe362755-8d2a-356a-9a18-5fe980543701" ] } ], "mendeley" : { "formattedCitation" : "&lt;sup&gt;8&lt;/sup&gt;", "plainTextFormattedCitation" : "8", "previouslyFormattedCitation" : "&lt;sup&gt;8&lt;/sup&gt;" }, "properties" : { "noteIndex" : 0 }, "schema" : "https://github.com/citation-style-language/schema/raw/master/csl-citation.json" }</w:instrText>
      </w:r>
      <w:r w:rsidR="0099723B" w:rsidRPr="00FC6506">
        <w:rPr>
          <w:rFonts w:asciiTheme="minorHAnsi" w:hAnsiTheme="minorHAnsi" w:cstheme="minorHAnsi"/>
        </w:rPr>
        <w:fldChar w:fldCharType="separate"/>
      </w:r>
      <w:r w:rsidR="00A665F9" w:rsidRPr="00A665F9">
        <w:rPr>
          <w:rFonts w:asciiTheme="minorHAnsi" w:hAnsiTheme="minorHAnsi" w:cstheme="minorHAnsi"/>
          <w:noProof/>
          <w:vertAlign w:val="superscript"/>
        </w:rPr>
        <w:t>8</w:t>
      </w:r>
      <w:r w:rsidR="0099723B" w:rsidRPr="00FC6506">
        <w:rPr>
          <w:rFonts w:asciiTheme="minorHAnsi" w:hAnsiTheme="minorHAnsi" w:cstheme="minorHAnsi"/>
        </w:rPr>
        <w:fldChar w:fldCharType="end"/>
      </w:r>
      <w:r w:rsidR="0006550E" w:rsidRPr="00FC6506">
        <w:rPr>
          <w:rFonts w:asciiTheme="minorHAnsi" w:hAnsiTheme="minorHAnsi" w:cstheme="minorHAnsi"/>
        </w:rPr>
        <w:t xml:space="preserve">. </w:t>
      </w:r>
      <w:r w:rsidR="00637E9B" w:rsidRPr="00FC6506">
        <w:rPr>
          <w:rFonts w:asciiTheme="minorHAnsi" w:hAnsiTheme="minorHAnsi" w:cstheme="minorHAnsi"/>
        </w:rPr>
        <w:t>Such experiments may also quantify the effects of changing formulations</w:t>
      </w:r>
      <w:r w:rsidR="00E2731C">
        <w:rPr>
          <w:rFonts w:asciiTheme="minorHAnsi" w:hAnsiTheme="minorHAnsi" w:cstheme="minorHAnsi"/>
        </w:rPr>
        <w:t xml:space="preserve"> </w:t>
      </w:r>
      <w:r w:rsidR="00637E9B" w:rsidRPr="00FC6506">
        <w:rPr>
          <w:rFonts w:asciiTheme="minorHAnsi" w:hAnsiTheme="minorHAnsi" w:cstheme="minorHAnsi"/>
        </w:rPr>
        <w:t>on injectability</w:t>
      </w:r>
      <w:r w:rsidR="00637E9B" w:rsidRPr="00FC6506">
        <w:rPr>
          <w:rFonts w:asciiTheme="minorHAnsi" w:hAnsiTheme="minorHAnsi" w:cstheme="minorHAnsi"/>
        </w:rPr>
        <w:fldChar w:fldCharType="begin" w:fldLock="1"/>
      </w:r>
      <w:r w:rsidR="00A665F9">
        <w:rPr>
          <w:rFonts w:asciiTheme="minorHAnsi" w:hAnsiTheme="minorHAnsi" w:cstheme="minorHAnsi"/>
        </w:rPr>
        <w:instrText>ADDIN CSL_CITATION { "citationItems" : [ { "id" : "ITEM-1", "itemData" : { "DOI" : "10.1016/j.actbio.2016.11.019", "ISSN" : "18787568", "abstract" : "Calcium phosphate cements (CPC) have seen clinical success in many dental and orthopaedic applications in recent years. The properties of CPC essential for clinical success are reviewed in this article, which includes properties of the set cement (e.g. bioresorbability, biocompatibility, porosity and mechanical properties) and unset cement (e.g. setting time, cohesion, flow properties and ease of delivery to the surgical site). Emphasis is on the delivery of calcium phosphate (CaP) pastes and CPC, in particular the occurrence of separation of the liquid and solid components of the pastes and cements during injection; and established methods to reduce this phase separation. In addition a review of phase separation mechanisms observed during the extrusion of other biphasic paste systems and the theoretical models used to describe these mechanisms are discussed. Statement of Significance Occurrence of phase separation of calcium phosphate pastes and cements during injection limits their full exploitation as a bone substitute in minimally invasive surgical applications. Due to lack of theoretical understanding of the phase separation mechanism(s), optimisation of an injectable CPC that satisfies clinical requirements has proven difficult. However, phase separation of pastes during delivery has been the focus across several research fields. Therefore in addition to a review of methods to reduce phase separation of CPC and the associated constraints, a review of phase separation mechanisms observed during extrusion of other pastes and the theoretical models used to describe these mechanisms is presented. It is anticipated this review will benefit future attempts to develop injectable calcium phosphate based systems.", "author" : [ { "dropping-particle" : "", "family" : "O'Neill", "given" : "R.", "non-dropping-particle" : "", "parse-names" : false, "suffix" : "" }, { "dropping-particle" : "", "family" : "McCarthy", "given" : "H. O.", "non-dropping-particle" : "", "parse-names" : false, "suffix" : "" }, { "dropping-particle" : "", "family" : "Montufar", "given" : "E. B.", "non-dropping-particle" : "", "parse-names" : false, "suffix" : "" }, { "dropping-particle" : "", "family" : "Ginebra", "given" : "M. P.", "non-dropping-particle" : "", "parse-names" : false, "suffix" : "" }, { "dropping-particle" : "", "family" : "Wilson", "given" : "D. I.", "non-dropping-particle" : "", "parse-names" : false, "suffix" : "" }, { "dropping-particle" : "", "family" : "Lennon", "given" : "A.", "non-dropping-particle" : "", "parse-names" : false, "suffix" : "" }, { "dropping-particle" : "", "family" : "Dunne", "given" : "N.", "non-dropping-particle" : "", "parse-names" : false, "suffix" : "" } ], "container-title" : "Acta Biomaterialia", "id" : "ITEM-1", "issued" : { "date-parts" : [ [ "2017", "3", "1" ] ] }, "page" : "1-19", "publisher" : "Elsevier Ltd", "title" : "Critical review: Injectability of calcium phosphate pastes and cements", "type" : "article-journal", "volume" : "50" }, "uris" : [ "http://www.mendeley.com/documents/?uuid=8004e410-5c37-4982-b8c5-b07cd0cf3417" ] } ], "mendeley" : { "formattedCitation" : "&lt;sup&gt;9&lt;/sup&gt;", "plainTextFormattedCitation" : "9", "previouslyFormattedCitation" : "&lt;sup&gt;9&lt;/sup&gt;" }, "properties" : { "noteIndex" : 0 }, "schema" : "https://github.com/citation-style-language/schema/raw/master/csl-citation.json" }</w:instrText>
      </w:r>
      <w:r w:rsidR="00637E9B" w:rsidRPr="00FC6506">
        <w:rPr>
          <w:rFonts w:asciiTheme="minorHAnsi" w:hAnsiTheme="minorHAnsi" w:cstheme="minorHAnsi"/>
        </w:rPr>
        <w:fldChar w:fldCharType="separate"/>
      </w:r>
      <w:r w:rsidR="00A665F9" w:rsidRPr="00A665F9">
        <w:rPr>
          <w:rFonts w:asciiTheme="minorHAnsi" w:hAnsiTheme="minorHAnsi" w:cstheme="minorHAnsi"/>
          <w:noProof/>
          <w:vertAlign w:val="superscript"/>
        </w:rPr>
        <w:t>9</w:t>
      </w:r>
      <w:r w:rsidR="00637E9B" w:rsidRPr="00FC6506">
        <w:rPr>
          <w:rFonts w:asciiTheme="minorHAnsi" w:hAnsiTheme="minorHAnsi" w:cstheme="minorHAnsi"/>
        </w:rPr>
        <w:fldChar w:fldCharType="end"/>
      </w:r>
      <w:r w:rsidR="00FC6506" w:rsidRPr="00FC6506">
        <w:rPr>
          <w:rFonts w:asciiTheme="minorHAnsi" w:hAnsiTheme="minorHAnsi" w:cstheme="minorHAnsi"/>
        </w:rPr>
        <w:t>.</w:t>
      </w:r>
    </w:p>
    <w:p w14:paraId="4715D692" w14:textId="4E0340E5" w:rsidR="00FC6506" w:rsidRPr="00861B7F" w:rsidRDefault="00FC6506" w:rsidP="00861B7F">
      <w:pPr>
        <w:rPr>
          <w:rFonts w:asciiTheme="minorHAnsi" w:hAnsiTheme="minorHAnsi" w:cstheme="minorHAnsi"/>
        </w:rPr>
      </w:pPr>
    </w:p>
    <w:p w14:paraId="22036F8C" w14:textId="34B6C655" w:rsidR="00D14212" w:rsidRPr="00861B7F" w:rsidRDefault="00FC6506" w:rsidP="00861B7F">
      <w:pPr>
        <w:rPr>
          <w:rFonts w:asciiTheme="minorHAnsi" w:hAnsiTheme="minorHAnsi" w:cstheme="minorHAnsi"/>
        </w:rPr>
      </w:pPr>
      <w:r w:rsidRPr="00861B7F">
        <w:rPr>
          <w:rFonts w:asciiTheme="minorHAnsi" w:hAnsiTheme="minorHAnsi" w:cstheme="minorHAnsi"/>
          <w:color w:val="auto"/>
        </w:rPr>
        <w:t xml:space="preserve">There are several methods to assess the properties of injectable materials. </w:t>
      </w:r>
      <w:r w:rsidR="00C6178B" w:rsidRPr="00861B7F">
        <w:rPr>
          <w:rFonts w:asciiTheme="minorHAnsi" w:hAnsiTheme="minorHAnsi" w:cstheme="minorHAnsi"/>
          <w:color w:val="auto"/>
        </w:rPr>
        <w:t>Rotational rheology is often utilized to assess viscosity, non-Newtonian behavior, post-shear recovery, setting time, and other properties of these materials</w:t>
      </w:r>
      <w:r w:rsidR="00C6178B" w:rsidRPr="00861B7F">
        <w:rPr>
          <w:rFonts w:asciiTheme="minorHAnsi" w:hAnsiTheme="minorHAnsi" w:cstheme="minorHAnsi"/>
        </w:rPr>
        <w:fldChar w:fldCharType="begin" w:fldLock="1"/>
      </w:r>
      <w:r w:rsidR="00A665F9">
        <w:rPr>
          <w:rFonts w:asciiTheme="minorHAnsi" w:hAnsiTheme="minorHAnsi" w:cstheme="minorHAnsi"/>
        </w:rPr>
        <w:instrText>ADDIN CSL_CITATION { "citationItems" : [ { "id" : "ITEM-1", "itemData" : { "DOI" : "10.1039/C6RA17327F", "ISSN" : "2046-2069", "abstract" : "&lt;p&gt;Combination of Au-based dynamic hydrogel with 100 nm bioactive glass nanoparticles resulted in the formation of an injectable, self-healing and biocompatible hydrogel nanocomposites with osteoinductive properties and potential for bone regeneration.&lt;/p&gt;", "author" : [ { "dropping-particle" : "", "family" : "Gantar", "given" : "Ana", "non-dropping-particle" : "", "parse-names" : false, "suffix" : "" }, { "dropping-particle" : "", "family" : "Drnov\u0161ek", "given" : "Nata\u0161a", "non-dropping-particle" : "", "parse-names" : false, "suffix" : "" }, { "dropping-particle" : "", "family" : "Casuso", "given" : "Pablo", "non-dropping-particle" : "", "parse-names" : false, "suffix" : "" }, { "dropping-particle" : "", "family" : "P\u00e9rez-San Vicente", "given" : "Adri\u00e1n", "non-dropping-particle" : "", "parse-names" : false, "suffix" : "" }, { "dropping-particle" : "", "family" : "Rodriguez", "given" : "Javier", "non-dropping-particle" : "", "parse-names" : false, "suffix" : "" }, { "dropping-particle" : "", "family" : "Dupin", "given" : "Damien", "non-dropping-particle" : "", "parse-names" : false, "suffix" : "" }, { "dropping-particle" : "", "family" : "Novak", "given" : "Sa\u0161a", "non-dropping-particle" : "", "parse-names" : false, "suffix" : "" }, { "dropping-particle" : "", "family" : "Loinaz", "given" : "Iraida", "non-dropping-particle" : "", "parse-names" : false, "suffix" : "" } ], "container-title" : "RSC Advances", "id" : "ITEM-1", "issue" : "73", "issued" : { "date-parts" : [ [ "2016", "7", "20" ] ] }, "page" : "69156-69166", "publisher" : "Royal Society of Chemistry", "title" : "Injectable and self-healing dynamic hydrogel containing bioactive glass nanoparticles as a potential biomaterial for bone regeneration", "type" : "article-journal", "volume" : "6" }, "uris" : [ "http://www.mendeley.com/documents/?uuid=3d94eb0e-2be8-3b4c-9842-3e233766351f" ] }, { "id" : "ITEM-2", "itemData" : { "DOI" : "10.1016/J.BIOMATERIALS.2017.08.034", "ISSN" : "0142-9612", "abstract" : "There is a critical need for soft materials in the field of regenerative medicine and tissue engineering. However, designing injectable hydrogel scaffolds encompassing both adequate mechanical and biological properties remains a key challenge for in\u00a0vivo applications. Here we use a bottom-up approach for synthesizing supramolecular gels to generate novel biomaterial candidates. We evaluated the low molecular weight gels candidates in\u00a0vivo and identified one urea-containing molecule, compound 16, that avoid foreign body reactions in mice. The self-assembly of bolaamphiphiles creates a unique hydrogel supramolecular structures featuring fast gelation kinetics, high elastic moduli, thixotropic, and thermal reversibility properties. This soft material, which inhibits recognition by macrophages and fibrous deposition, exhibits long-term stability after in\u00a0vivo injection.", "author" : [ { "dropping-particle" : "", "family" : "Ramin", "given" : "Michael A.", "non-dropping-particle" : "", "parse-names" : false, "suffix" : "" }, { "dropping-particle" : "", "family" : "Latxague", "given" : "Laurent", "non-dropping-particle" : "", "parse-names" : false, "suffix" : "" }, { "dropping-particle" : "", "family" : "Sindhu", "given" : "Kotagudda Ranganath", "non-dropping-particle" : "", "parse-names" : false, "suffix" : "" }, { "dropping-particle" : "", "family" : "Chassande", "given" : "Olivier", "non-dropping-particle" : "", "parse-names" : false, "suffix" : "" }, { "dropping-particle" : "", "family" : "Barth\u00e9l\u00e9my", "given" : "Philippe", "non-dropping-particle" : "", "parse-names" : false, "suffix" : "" } ], "container-title" : "Biomaterials", "id" : "ITEM-2", "issued" : { "date-parts" : [ [ "2017", "11", "1" ] ] }, "page" : "72-80", "publisher" : "Elsevier", "title" : "Low molecular weight hydrogels derived from urea based-bolaamphiphiles as new injectable biomaterials", "type" : "article-journal", "volume" : "145" }, "uris" : [ "http://www.mendeley.com/documents/?uuid=e2f98ec3-4197-376d-9d69-3358f6abe190" ] }, { "id" : "ITEM-3", "itemData" : { "DOI" : "10.1016/J.BIOMATERIALS.2015.02.026", "ISSN" : "0142-9612", "abstract" : "Glycopolypeptides are an emerging class of bioinspired polymers that mimic naturally occurring glycopeptides or glycoproteins, and therefore are expected to exhibit great potential for biomedical applications. In this study, a glycopolypeptide was synthesized by conjugation of poly(\u03b3-propargyl-l-glutamate) (PPLG) with azido-modified mannose and 3-(4-hydroxyphenyl) propanamide (HPPA), via click chemistry. Injectable hydrogels based on the glycopolypeptide were developed through enzymatic crosslinking reaction in the presence of horseradish peroxidase (HRP) and hydrogen peroxide (H2O2). The physicochemical properties of the hydrogels, such as gelation time, storage modulus, swelling and degradation time, could be controlled by varying the concentrations of HRP and H2O2. The glycopolypetide copolymer as well as the extracts of the glycopolypetide hydrogels displayed good cytocompatibility in\u00a0vitro. After subcutaneous injection into rats, the glycopolypeptide hydrogels were rapidly formed in situ, and exhibited acceptable biocompatibility accompanying the degradation of the hydrogels in\u00a0vivo. The rabbit chondrocytes inside the glycopolypeptide hydrogels showed spherical morphology with high viability during the incubation period of 3 weeks in\u00a0vitro, and exhibited a higher proliferation rate than within the hydrogel counterparts of PPLG grafted with 2-(2-(2-methoxyethoxy)ethoxy)ethane (MEO3) and HPPA. Biochemical analysis demonstrated that the production of glycosaminoglycans (GAG) and type II collagen were significantly enhanced after incubation for 2 and 3 weeks in\u00a0vitro. Moreover, the chondrocyte-containing glycopolypeptide hydrogels in subcutaneous model of nude mice maintained chondrocyte phenotype and produced the cartilaginous specific matrix. These results indicated that the biomimetic glycopolypeptide-based hydrogels hold potential as three-dimensional scaffolds for cartilage tissue engineering.", "author" : [ { "dropping-particle" : "", "family" : "Ren", "given" : "Kaixuan", "non-dropping-particle" : "", "parse-names" : false, "suffix" : "" }, { "dropping-particle" : "", "family" : "He", "given" : "Chaoliang", "non-dropping-particle" : "", "parse-names" : false, "suffix" : "" }, { "dropping-particle" : "", "family" : "Xiao", "given" : "Chunsheng", "non-dropping-particle" : "", "parse-names" : false, "suffix" : "" }, { "dropping-particle" : "", "family" : "Li", "given" : "Gao", "non-dropping-particle" : "", "parse-names" : false, "suffix" : "" }, { "dropping-particle" : "", "family" : "Chen", "given" : "Xuesi", "non-dropping-particle" : "", "parse-names" : false, "suffix" : "" } ], "container-title" : "Biomaterials", "id" : "ITEM-3", "issued" : { "date-parts" : [ [ "2015", "5", "1" ] ] }, "page" : "238-249", "publisher" : "Elsevier", "title" : "Injectable glycopolypeptide hydrogels as biomimetic scaffolds for\u00a0cartilage tissue engineering", "type" : "article-journal", "volume" : "51" }, "uris" : [ "http://www.mendeley.com/documents/?uuid=f74bd2bc-413b-36b1-a457-26cf34d4b908" ] } ], "mendeley" : { "formattedCitation" : "&lt;sup&gt;10\u201312&lt;/sup&gt;", "plainTextFormattedCitation" : "10\u201312", "previouslyFormattedCitation" : "&lt;sup&gt;10\u201312&lt;/sup&gt;" }, "properties" : { "noteIndex" : 0 }, "schema" : "https://github.com/citation-style-language/schema/raw/master/csl-citation.json" }</w:instrText>
      </w:r>
      <w:r w:rsidR="00C6178B" w:rsidRPr="00861B7F">
        <w:rPr>
          <w:rFonts w:asciiTheme="minorHAnsi" w:hAnsiTheme="minorHAnsi" w:cstheme="minorHAnsi"/>
        </w:rPr>
        <w:fldChar w:fldCharType="separate"/>
      </w:r>
      <w:r w:rsidR="00A665F9" w:rsidRPr="00A665F9">
        <w:rPr>
          <w:rFonts w:asciiTheme="minorHAnsi" w:hAnsiTheme="minorHAnsi" w:cstheme="minorHAnsi"/>
          <w:noProof/>
          <w:vertAlign w:val="superscript"/>
        </w:rPr>
        <w:t>10–12</w:t>
      </w:r>
      <w:r w:rsidR="00C6178B" w:rsidRPr="00861B7F">
        <w:rPr>
          <w:rFonts w:asciiTheme="minorHAnsi" w:hAnsiTheme="minorHAnsi" w:cstheme="minorHAnsi"/>
        </w:rPr>
        <w:fldChar w:fldCharType="end"/>
      </w:r>
      <w:r w:rsidR="00C6178B" w:rsidRPr="00861B7F">
        <w:rPr>
          <w:rFonts w:asciiTheme="minorHAnsi" w:hAnsiTheme="minorHAnsi" w:cstheme="minorHAnsi"/>
        </w:rPr>
        <w:t xml:space="preserve">. Whilst this type of test is useful to establish fundamental properties of the materials, these properties </w:t>
      </w:r>
      <w:r w:rsidR="008F5DFA" w:rsidRPr="00861B7F">
        <w:rPr>
          <w:rFonts w:asciiTheme="minorHAnsi" w:hAnsiTheme="minorHAnsi" w:cstheme="minorHAnsi"/>
        </w:rPr>
        <w:t>do not corr</w:t>
      </w:r>
      <w:r w:rsidR="00D14212" w:rsidRPr="00861B7F">
        <w:rPr>
          <w:rFonts w:asciiTheme="minorHAnsi" w:hAnsiTheme="minorHAnsi" w:cstheme="minorHAnsi"/>
        </w:rPr>
        <w:t xml:space="preserve">elate directly to injectability. For a Newtonian fluid and cylindrical syringe and needle, the injection force can be  </w:t>
      </w:r>
      <w:r w:rsidR="000C131C">
        <w:rPr>
          <w:rFonts w:asciiTheme="minorHAnsi" w:hAnsiTheme="minorHAnsi" w:cstheme="minorHAnsi"/>
        </w:rPr>
        <w:t xml:space="preserve">estimated </w:t>
      </w:r>
      <w:r w:rsidR="00D14212" w:rsidRPr="00861B7F">
        <w:rPr>
          <w:rFonts w:asciiTheme="minorHAnsi" w:hAnsiTheme="minorHAnsi" w:cstheme="minorHAnsi"/>
        </w:rPr>
        <w:t>from a form of the Hagen–Poiseuille equation</w:t>
      </w:r>
      <w:r w:rsidR="00D14212" w:rsidRPr="00861B7F">
        <w:rPr>
          <w:rFonts w:asciiTheme="minorHAnsi" w:hAnsiTheme="minorHAnsi" w:cstheme="minorHAnsi"/>
        </w:rPr>
        <w:fldChar w:fldCharType="begin" w:fldLock="1"/>
      </w:r>
      <w:r w:rsidR="00A665F9">
        <w:rPr>
          <w:rFonts w:asciiTheme="minorHAnsi" w:hAnsiTheme="minorHAnsi" w:cstheme="minorHAnsi"/>
        </w:rPr>
        <w:instrText>ADDIN CSL_CITATION { "citationItems" : [ { "id" : "ITEM-1", "itemData" : { "DOI" : "10.1016/j.ejpb.2010.08.002", "ISSN" : "09396411", "abstract" : "This study of highly concentrated polyvalent immunoglobulin solutions, IgG, aimed at analyzing the relationships between protein concentration and aggregation on the one hand and viscosity on the other hand. Viscosity variations as a function of IgG concentration showed two well-defined behaviours: a Newtonian behaviour for low-concentrated solutions and a shear-thinning behaviour for highly concentrated ones. The viscosity data fitted very well with the Mooney model, suggesting the absence of intermolecular interactions in the IgG solutions that behaved like a non-interacting suspension of hard particles. The polyclonal nature of IgG seems to prevent intermolecular interaction. The shape factor, determined from Mooney fitting, revealed a non-spherical shape of the polyclonal IgG molecules. The rheological properties were also correlated with the injection force (F) through hypodermic needles by syringeability tests. Here, F was mainly affected by three parameters: the solution viscosity, the injection flow rate, and the needle characteristics. In fact, syringeability tests showed that F increased with IgG concentration and flow rate and decreased with the internal diameter of the needle. A zone for optimal injection conditions was then identified taking into account the different affecting parameters and mainly a maximum force for manual injection, which was fixed at 30. N. \u00a9 2010 Elsevier B.V.", "author" : [ { "dropping-particle" : "", "family" : "Burckbuchler", "given" : "V.", "non-dropping-particle" : "", "parse-names" : false, "suffix" : "" }, { "dropping-particle" : "", "family" : "Mekhloufi", "given" : "G.", "non-dropping-particle" : "", "parse-names" : false, "suffix" : "" }, { "dropping-particle" : "", "family" : "Giteau", "given" : "A. Paillard", "non-dropping-particle" : "", "parse-names" : false, "suffix" : "" }, { "dropping-particle" : "", "family" : "Grossiord", "given" : "J. L.", "non-dropping-particle" : "", "parse-names" : false, "suffix" : "" }, { "dropping-particle" : "", "family" : "Huille", "given" : "S.", "non-dropping-particle" : "", "parse-names" : false, "suffix" : "" }, { "dropping-particle" : "", "family" : "Agnely", "given" : "F.", "non-dropping-particle" : "", "parse-names" : false, "suffix" : "" } ], "container-title" : "European Journal of Pharmaceutics and Biopharmaceutics", "id" : "ITEM-1", "issue" : "3", "issued" : { "date-parts" : [ [ "2010", "11", "1" ] ] }, "page" : "351-356", "publisher" : "Elsevier", "title" : "Rheological and syringeability properties of highly concentrated human polyclonal immunoglobulin solutions", "type" : "article-journal", "volume" : "76" }, "uris" : [ "http://www.mendeley.com/documents/?uuid=dc7acdb4-c416-348a-889d-5457511f7c6d" ] } ], "mendeley" : { "formattedCitation" : "&lt;sup&gt;13&lt;/sup&gt;", "plainTextFormattedCitation" : "13", "previouslyFormattedCitation" : "&lt;sup&gt;13&lt;/sup&gt;" }, "properties" : { "noteIndex" : 0 }, "schema" : "https://github.com/citation-style-language/schema/raw/master/csl-citation.json" }</w:instrText>
      </w:r>
      <w:r w:rsidR="00D14212" w:rsidRPr="00861B7F">
        <w:rPr>
          <w:rFonts w:asciiTheme="minorHAnsi" w:hAnsiTheme="minorHAnsi" w:cstheme="minorHAnsi"/>
        </w:rPr>
        <w:fldChar w:fldCharType="separate"/>
      </w:r>
      <w:r w:rsidR="00A665F9" w:rsidRPr="00A665F9">
        <w:rPr>
          <w:rFonts w:asciiTheme="minorHAnsi" w:hAnsiTheme="minorHAnsi" w:cstheme="minorHAnsi"/>
          <w:noProof/>
          <w:vertAlign w:val="superscript"/>
        </w:rPr>
        <w:t>13</w:t>
      </w:r>
      <w:r w:rsidR="00D14212" w:rsidRPr="00861B7F">
        <w:rPr>
          <w:rFonts w:asciiTheme="minorHAnsi" w:hAnsiTheme="minorHAnsi" w:cstheme="minorHAnsi"/>
        </w:rPr>
        <w:fldChar w:fldCharType="end"/>
      </w:r>
      <w:r w:rsidR="00D14212" w:rsidRPr="00861B7F">
        <w:rPr>
          <w:rFonts w:asciiTheme="minorHAnsi" w:hAnsiTheme="minorHAnsi" w:cstheme="minorHAnsi"/>
        </w:rPr>
        <w:t>:</w:t>
      </w:r>
    </w:p>
    <w:p w14:paraId="6DDD5FDD" w14:textId="53298FFC" w:rsidR="00FC6506" w:rsidRPr="00861B7F" w:rsidRDefault="00D14212" w:rsidP="00861B7F">
      <w:pPr>
        <w:rPr>
          <w:rFonts w:asciiTheme="minorHAnsi" w:hAnsiTheme="minorHAnsi" w:cstheme="minorHAnsi"/>
        </w:rPr>
      </w:pPr>
      <m:oMathPara>
        <m:oMath>
          <m:r>
            <w:rPr>
              <w:rFonts w:ascii="Cambria Math" w:hAnsi="Cambria Math" w:cstheme="minorHAnsi"/>
            </w:rPr>
            <m:t>F=</m:t>
          </m:r>
          <m:f>
            <m:fPr>
              <m:ctrlPr>
                <w:rPr>
                  <w:rFonts w:ascii="Cambria Math" w:hAnsi="Cambria Math" w:cstheme="minorHAnsi"/>
                  <w:i/>
                </w:rPr>
              </m:ctrlPr>
            </m:fPr>
            <m:num>
              <m:r>
                <w:rPr>
                  <w:rFonts w:ascii="Cambria Math" w:hAnsi="Cambria Math" w:cstheme="minorHAnsi"/>
                </w:rPr>
                <m:t>8</m:t>
              </m:r>
              <m:sSup>
                <m:sSupPr>
                  <m:ctrlPr>
                    <w:rPr>
                      <w:rFonts w:ascii="Cambria Math" w:hAnsi="Cambria Math" w:cstheme="minorHAnsi"/>
                      <w:i/>
                    </w:rPr>
                  </m:ctrlPr>
                </m:sSupPr>
                <m:e>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s</m:t>
                      </m:r>
                    </m:sub>
                  </m:sSub>
                </m:e>
                <m:sup>
                  <m:r>
                    <w:rPr>
                      <w:rFonts w:ascii="Cambria Math" w:hAnsi="Cambria Math" w:cstheme="minorHAnsi"/>
                    </w:rPr>
                    <m:t>2</m:t>
                  </m:r>
                </m:sup>
              </m:sSup>
              <m:r>
                <w:rPr>
                  <w:rFonts w:ascii="Cambria Math" w:hAnsi="Cambria Math" w:cstheme="minorHAnsi"/>
                </w:rPr>
                <m:t>LQη</m:t>
              </m:r>
            </m:num>
            <m:den>
              <m:sSup>
                <m:sSupPr>
                  <m:ctrlPr>
                    <w:rPr>
                      <w:rFonts w:ascii="Cambria Math" w:hAnsi="Cambria Math" w:cstheme="minorHAnsi"/>
                      <w:i/>
                    </w:rPr>
                  </m:ctrlPr>
                </m:sSupPr>
                <m:e>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n</m:t>
                      </m:r>
                    </m:sub>
                  </m:sSub>
                </m:e>
                <m:sup>
                  <m:r>
                    <w:rPr>
                      <w:rFonts w:ascii="Cambria Math" w:hAnsi="Cambria Math" w:cstheme="minorHAnsi"/>
                    </w:rPr>
                    <m:t>4</m:t>
                  </m:r>
                </m:sup>
              </m:sSup>
            </m:den>
          </m:f>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F</m:t>
              </m:r>
            </m:e>
            <m:sub>
              <m:r>
                <w:rPr>
                  <w:rFonts w:ascii="Cambria Math" w:hAnsi="Cambria Math" w:cstheme="minorHAnsi"/>
                </w:rPr>
                <m:t>f</m:t>
              </m:r>
            </m:sub>
          </m:sSub>
        </m:oMath>
      </m:oMathPara>
    </w:p>
    <w:p w14:paraId="6C181AB2" w14:textId="77777777" w:rsidR="00C14330" w:rsidRDefault="00C14330" w:rsidP="00CC60C6">
      <w:pPr>
        <w:rPr>
          <w:rFonts w:eastAsiaTheme="minorEastAsia"/>
        </w:rPr>
      </w:pPr>
    </w:p>
    <w:p w14:paraId="239114FD" w14:textId="610085C1" w:rsidR="00CC60C6" w:rsidRPr="00CC60C6" w:rsidRDefault="00D14212" w:rsidP="00CC60C6">
      <w:pPr>
        <w:rPr>
          <w:rFonts w:asciiTheme="minorHAnsi" w:hAnsiTheme="minorHAnsi" w:cstheme="minorHAnsi"/>
        </w:rPr>
      </w:pPr>
      <w:r w:rsidRPr="00861B7F">
        <w:rPr>
          <w:rFonts w:eastAsiaTheme="minorEastAsia"/>
        </w:rPr>
        <w:t xml:space="preserve">Where </w:t>
      </w:r>
      <w:r w:rsidRPr="00861B7F">
        <w:rPr>
          <w:rFonts w:eastAsiaTheme="minorEastAsia"/>
          <w:i/>
        </w:rPr>
        <w:t>F</w:t>
      </w:r>
      <w:r w:rsidRPr="00861B7F">
        <w:rPr>
          <w:rFonts w:eastAsiaTheme="minorEastAsia"/>
        </w:rPr>
        <w:t xml:space="preserve"> is the force required for injection (N), </w:t>
      </w:r>
      <w:r w:rsidRPr="00861B7F">
        <w:rPr>
          <w:rFonts w:eastAsiaTheme="minorEastAsia"/>
          <w:i/>
        </w:rPr>
        <w:t>R</w:t>
      </w:r>
      <w:r w:rsidRPr="00861B7F">
        <w:rPr>
          <w:rFonts w:eastAsiaTheme="minorEastAsia"/>
          <w:i/>
          <w:vertAlign w:val="subscript"/>
        </w:rPr>
        <w:t>s</w:t>
      </w:r>
      <w:r w:rsidRPr="00861B7F">
        <w:rPr>
          <w:rFonts w:eastAsiaTheme="minorEastAsia"/>
        </w:rPr>
        <w:t xml:space="preserve"> is the internal syringe radius (m), </w:t>
      </w:r>
      <w:r w:rsidRPr="00861B7F">
        <w:rPr>
          <w:rFonts w:eastAsiaTheme="minorEastAsia"/>
          <w:i/>
        </w:rPr>
        <w:t>R</w:t>
      </w:r>
      <w:r w:rsidRPr="00861B7F">
        <w:rPr>
          <w:rFonts w:eastAsiaTheme="minorEastAsia"/>
          <w:i/>
          <w:vertAlign w:val="subscript"/>
        </w:rPr>
        <w:t>n</w:t>
      </w:r>
      <w:r w:rsidRPr="00861B7F">
        <w:rPr>
          <w:rFonts w:eastAsiaTheme="minorEastAsia"/>
        </w:rPr>
        <w:t xml:space="preserve"> is the internal needle radius (m), </w:t>
      </w:r>
      <w:r w:rsidRPr="00861B7F">
        <w:rPr>
          <w:rFonts w:eastAsiaTheme="minorEastAsia"/>
          <w:i/>
        </w:rPr>
        <w:t>L</w:t>
      </w:r>
      <w:r w:rsidRPr="00861B7F">
        <w:rPr>
          <w:rFonts w:eastAsiaTheme="minorEastAsia"/>
        </w:rPr>
        <w:t xml:space="preserve"> is </w:t>
      </w:r>
      <w:r w:rsidR="00861B7F" w:rsidRPr="00861B7F">
        <w:rPr>
          <w:rFonts w:eastAsiaTheme="minorEastAsia"/>
        </w:rPr>
        <w:t xml:space="preserve">the </w:t>
      </w:r>
      <w:r w:rsidR="00C14330">
        <w:rPr>
          <w:rFonts w:eastAsiaTheme="minorEastAsia"/>
        </w:rPr>
        <w:t>n</w:t>
      </w:r>
      <w:r w:rsidR="00861B7F">
        <w:rPr>
          <w:rFonts w:eastAsiaTheme="minorEastAsia"/>
        </w:rPr>
        <w:t xml:space="preserve">eedle </w:t>
      </w:r>
      <w:r w:rsidRPr="00861B7F">
        <w:rPr>
          <w:rFonts w:eastAsiaTheme="minorEastAsia"/>
        </w:rPr>
        <w:t xml:space="preserve">length (m), </w:t>
      </w:r>
      <w:r w:rsidRPr="00861B7F">
        <w:rPr>
          <w:rFonts w:eastAsiaTheme="minorEastAsia"/>
          <w:i/>
        </w:rPr>
        <w:t>Q</w:t>
      </w:r>
      <w:r w:rsidRPr="00861B7F">
        <w:rPr>
          <w:rFonts w:eastAsiaTheme="minorEastAsia"/>
        </w:rPr>
        <w:t xml:space="preserve"> is fluid flow rate (m</w:t>
      </w:r>
      <w:r w:rsidRPr="00861B7F">
        <w:rPr>
          <w:rFonts w:eastAsiaTheme="minorEastAsia"/>
          <w:vertAlign w:val="superscript"/>
        </w:rPr>
        <w:t>3</w:t>
      </w:r>
      <w:r w:rsidRPr="00861B7F">
        <w:rPr>
          <w:rFonts w:eastAsiaTheme="minorEastAsia"/>
        </w:rPr>
        <w:t xml:space="preserve"> s</w:t>
      </w:r>
      <w:r w:rsidRPr="00861B7F">
        <w:rPr>
          <w:rFonts w:eastAsiaTheme="minorEastAsia"/>
          <w:vertAlign w:val="superscript"/>
        </w:rPr>
        <w:t>-1</w:t>
      </w:r>
      <w:r w:rsidRPr="00861B7F">
        <w:rPr>
          <w:rFonts w:eastAsiaTheme="minorEastAsia"/>
        </w:rPr>
        <w:t>), η is the dynamic viscosity (</w:t>
      </w:r>
      <w:proofErr w:type="spellStart"/>
      <w:r w:rsidRPr="00861B7F">
        <w:rPr>
          <w:rFonts w:eastAsiaTheme="minorEastAsia"/>
        </w:rPr>
        <w:t>Pa.s</w:t>
      </w:r>
      <w:proofErr w:type="spellEnd"/>
      <w:r w:rsidRPr="00861B7F">
        <w:rPr>
          <w:rFonts w:eastAsiaTheme="minorEastAsia"/>
        </w:rPr>
        <w:t xml:space="preserve">) and </w:t>
      </w:r>
      <w:r w:rsidRPr="00861B7F">
        <w:rPr>
          <w:rFonts w:eastAsiaTheme="minorEastAsia"/>
          <w:i/>
        </w:rPr>
        <w:t>F</w:t>
      </w:r>
      <w:r w:rsidRPr="00861B7F">
        <w:rPr>
          <w:rFonts w:eastAsiaTheme="minorEastAsia"/>
          <w:i/>
          <w:vertAlign w:val="subscript"/>
        </w:rPr>
        <w:t>f</w:t>
      </w:r>
      <w:r w:rsidRPr="00861B7F">
        <w:rPr>
          <w:rFonts w:eastAsiaTheme="minorEastAsia"/>
        </w:rPr>
        <w:t xml:space="preserve"> is the friction force between the plunger and barrel wall (N)</w:t>
      </w:r>
      <w:r w:rsidR="00861B7F">
        <w:rPr>
          <w:rFonts w:eastAsiaTheme="minorEastAsia"/>
        </w:rPr>
        <w:t xml:space="preserve">. Thus, if the </w:t>
      </w:r>
      <w:r w:rsidR="008D0E9B">
        <w:rPr>
          <w:rFonts w:eastAsiaTheme="minorEastAsia"/>
        </w:rPr>
        <w:t xml:space="preserve">viscosity is measured via rotational rheology, </w:t>
      </w:r>
      <w:r w:rsidR="00CC60C6">
        <w:rPr>
          <w:rFonts w:eastAsiaTheme="minorEastAsia"/>
        </w:rPr>
        <w:t xml:space="preserve">the dimensions </w:t>
      </w:r>
      <w:r w:rsidR="00C23D94">
        <w:rPr>
          <w:rFonts w:eastAsiaTheme="minorEastAsia"/>
        </w:rPr>
        <w:t>of the syringe</w:t>
      </w:r>
      <w:r w:rsidR="00CC60C6">
        <w:rPr>
          <w:rFonts w:eastAsiaTheme="minorEastAsia"/>
        </w:rPr>
        <w:t xml:space="preserve"> and</w:t>
      </w:r>
      <w:r w:rsidR="00C23D94">
        <w:rPr>
          <w:rFonts w:eastAsiaTheme="minorEastAsia"/>
        </w:rPr>
        <w:t xml:space="preserve"> needle </w:t>
      </w:r>
      <w:r w:rsidR="00CC60C6">
        <w:rPr>
          <w:rFonts w:eastAsiaTheme="minorEastAsia"/>
        </w:rPr>
        <w:t>are</w:t>
      </w:r>
      <w:r w:rsidR="00C23D94">
        <w:rPr>
          <w:rFonts w:eastAsiaTheme="minorEastAsia"/>
        </w:rPr>
        <w:t xml:space="preserve"> known and the flow rate estimated, the injection force can </w:t>
      </w:r>
      <w:r w:rsidR="00CC60C6">
        <w:rPr>
          <w:rFonts w:eastAsiaTheme="minorEastAsia"/>
        </w:rPr>
        <w:t>b</w:t>
      </w:r>
      <w:r w:rsidR="00C23D94">
        <w:rPr>
          <w:rFonts w:eastAsiaTheme="minorEastAsia"/>
        </w:rPr>
        <w:t xml:space="preserve">e </w:t>
      </w:r>
      <w:r w:rsidR="00CC60C6">
        <w:rPr>
          <w:rFonts w:eastAsiaTheme="minorEastAsia"/>
        </w:rPr>
        <w:t>estimated</w:t>
      </w:r>
      <w:r w:rsidR="00C23D94">
        <w:rPr>
          <w:rFonts w:eastAsiaTheme="minorEastAsia"/>
        </w:rPr>
        <w:t xml:space="preserve">. However, this </w:t>
      </w:r>
      <w:r w:rsidR="00CC60C6">
        <w:rPr>
          <w:rFonts w:eastAsiaTheme="minorEastAsia"/>
        </w:rPr>
        <w:t>equation does not account for the conical end of the syringe or any other geometries,</w:t>
      </w:r>
      <w:r w:rsidR="00E56807">
        <w:rPr>
          <w:rFonts w:eastAsiaTheme="minorEastAsia"/>
        </w:rPr>
        <w:t xml:space="preserve"> such as off-cent</w:t>
      </w:r>
      <w:r w:rsidR="00C14330">
        <w:rPr>
          <w:rFonts w:eastAsiaTheme="minorEastAsia"/>
        </w:rPr>
        <w:t>er</w:t>
      </w:r>
      <w:r w:rsidR="00E56807">
        <w:rPr>
          <w:rFonts w:eastAsiaTheme="minorEastAsia"/>
        </w:rPr>
        <w:t xml:space="preserve"> outlets,</w:t>
      </w:r>
      <w:r w:rsidR="00CC60C6">
        <w:rPr>
          <w:rFonts w:eastAsiaTheme="minorEastAsia"/>
        </w:rPr>
        <w:t xml:space="preserve"> and </w:t>
      </w:r>
      <w:r w:rsidR="00CC60C6" w:rsidRPr="00861B7F">
        <w:rPr>
          <w:rFonts w:eastAsiaTheme="minorEastAsia"/>
          <w:i/>
        </w:rPr>
        <w:t>F</w:t>
      </w:r>
      <w:r w:rsidR="00CC60C6" w:rsidRPr="00861B7F">
        <w:rPr>
          <w:rFonts w:eastAsiaTheme="minorEastAsia"/>
          <w:i/>
          <w:vertAlign w:val="subscript"/>
        </w:rPr>
        <w:t>f</w:t>
      </w:r>
      <w:r w:rsidR="00CC60C6" w:rsidRPr="00CC60C6">
        <w:rPr>
          <w:rFonts w:eastAsiaTheme="minorEastAsia"/>
          <w:i/>
        </w:rPr>
        <w:t xml:space="preserve"> </w:t>
      </w:r>
      <w:r w:rsidR="00CC60C6">
        <w:t xml:space="preserve">must be estimated or found experimentally by mechanical testing. Further, biomaterials are typically not Newtonian, but exhibit complex rheological properties. For a simple shear thinning fluid, the equation </w:t>
      </w:r>
      <w:r w:rsidR="00CC60C6" w:rsidRPr="00CC60C6">
        <w:rPr>
          <w:rFonts w:asciiTheme="minorHAnsi" w:hAnsiTheme="minorHAnsi" w:cstheme="minorHAnsi"/>
        </w:rPr>
        <w:t>becomes</w:t>
      </w:r>
      <w:r w:rsidR="00CC60C6" w:rsidRPr="00CC60C6">
        <w:rPr>
          <w:rFonts w:asciiTheme="minorHAnsi" w:eastAsiaTheme="minorEastAsia" w:hAnsiTheme="minorHAnsi" w:cstheme="minorHAnsi"/>
        </w:rPr>
        <w:fldChar w:fldCharType="begin" w:fldLock="1"/>
      </w:r>
      <w:r w:rsidR="00A665F9">
        <w:rPr>
          <w:rFonts w:asciiTheme="minorHAnsi" w:eastAsiaTheme="minorEastAsia" w:hAnsiTheme="minorHAnsi" w:cstheme="minorHAnsi"/>
        </w:rPr>
        <w:instrText>ADDIN CSL_CITATION { "citationItems" : [ { "id" : "ITEM-1", "itemData" : { "DOI" : "10.1016/J.EJPB.2014.01.009", "ISSN" : "0939-6411", "abstract" : "Development of injection devices for subcutaneous drug administration requires a detailed understanding of user capability and forces occurring during the drug administration process. Injection forces of concentrated protein therapeutics are influenced by syringe properties (e.g., needle diameter) and injection speed, and are driven by solution properties such as rheology. In the present study, it is demonstrated that concentrated protein therapeutics may show significantly reduced injection forces because of shear-thinning (non-Newtonian) behavior. A mathematical model was thus established to predict/correlate injection forces of Newtonian and non-Newtonian solutions with viscosity data from plate/cone rheometry. The model was verified experimentally by glide-force measurements of reference and surrogate solutions. Application of the suggested model was demonstrated for injection force measurements of concentrated protein solutions to determine viscosity data at high shear rates (3\u00d7104\u20131.6\u00d7105s\u22121). By combining these data with viscosity data obtained by different viscosity methods (plate/cone and capillary rheometry), a viscosity\u2013shear rate profile of the protein solution between 102 and 1.6\u00d7105s\u22121 was obtained, which was mathematically described by the Carreau model. Characterization of rheological properties allows to accurately predict injection forces for different syringe\u2013needle combinations as well as injection rates, thus supporting the development of injection devices for combination products.", "author" : [ { "dropping-particle" : "", "family" : "Allmendinger", "given" : "Andrea", "non-dropping-particle" : "", "parse-names" : false, "suffix" : "" }, { "dropping-particle" : "", "family" : "Fischer", "given" : "Stefan", "non-dropping-particle" : "", "parse-names" : false, "suffix" : "" }, { "dropping-particle" : "", "family" : "Huwyler", "given" : "Joerg", "non-dropping-particle" : "", "parse-names" : false, "suffix" : "" }, { "dropping-particle" : "", "family" : "Mahler", "given" : "Hanns-Christian", "non-dropping-particle" : "", "parse-names" : false, "suffix" : "" }, { "dropping-particle" : "", "family" : "Schwarb", "given" : "Edward", "non-dropping-particle" : "", "parse-names" : false, "suffix" : "" }, { "dropping-particle" : "", "family" : "Zarraga", "given" : "Isidro E.", "non-dropping-particle" : "", "parse-names" : false, "suffix" : "" }, { "dropping-particle" : "", "family" : "Mueller", "given" : "Robert", "non-dropping-particle" : "", "parse-names" : false, "suffix" : "" } ], "container-title" : "European Journal of Pharmaceutics and Biopharmaceutics", "id" : "ITEM-1", "issue" : "2", "issued" : { "date-parts" : [ [ "2014", "7", "1" ] ] }, "page" : "318-328", "publisher" : "Elsevier", "title" : "Rheological characterization and injection forces of concentrated protein formulations: An alternative predictive model for non-Newtonian solutions", "type" : "article-journal", "volume" : "87" }, "uris" : [ "http://www.mendeley.com/documents/?uuid=4125ab24-006f-3ee1-941c-7382da0266f0" ] } ], "mendeley" : { "formattedCitation" : "&lt;sup&gt;14&lt;/sup&gt;", "plainTextFormattedCitation" : "14", "previouslyFormattedCitation" : "&lt;sup&gt;14&lt;/sup&gt;" }, "properties" : { "noteIndex" : 0 }, "schema" : "https://github.com/citation-style-language/schema/raw/master/csl-citation.json" }</w:instrText>
      </w:r>
      <w:r w:rsidR="00CC60C6" w:rsidRPr="00CC60C6">
        <w:rPr>
          <w:rFonts w:asciiTheme="minorHAnsi" w:eastAsiaTheme="minorEastAsia" w:hAnsiTheme="minorHAnsi" w:cstheme="minorHAnsi"/>
        </w:rPr>
        <w:fldChar w:fldCharType="separate"/>
      </w:r>
      <w:r w:rsidR="00A665F9" w:rsidRPr="00A665F9">
        <w:rPr>
          <w:rFonts w:asciiTheme="minorHAnsi" w:eastAsiaTheme="minorEastAsia" w:hAnsiTheme="minorHAnsi" w:cstheme="minorHAnsi"/>
          <w:noProof/>
          <w:vertAlign w:val="superscript"/>
        </w:rPr>
        <w:t>14</w:t>
      </w:r>
      <w:r w:rsidR="00CC60C6" w:rsidRPr="00CC60C6">
        <w:rPr>
          <w:rFonts w:asciiTheme="minorHAnsi" w:eastAsiaTheme="minorEastAsia" w:hAnsiTheme="minorHAnsi" w:cstheme="minorHAnsi"/>
        </w:rPr>
        <w:fldChar w:fldCharType="end"/>
      </w:r>
      <w:r w:rsidR="00CC60C6" w:rsidRPr="00CC60C6">
        <w:rPr>
          <w:rFonts w:asciiTheme="minorHAnsi" w:eastAsiaTheme="minorEastAsia" w:hAnsiTheme="minorHAnsi" w:cstheme="minorHAnsi"/>
        </w:rPr>
        <w:t>:</w:t>
      </w:r>
    </w:p>
    <w:p w14:paraId="74496126" w14:textId="3DD4750B" w:rsidR="00CC60C6" w:rsidRPr="00CC60C6" w:rsidRDefault="00CC60C6" w:rsidP="00CC60C6">
      <w:pPr>
        <w:rPr>
          <w:rFonts w:asciiTheme="minorHAnsi" w:eastAsiaTheme="minorEastAsia" w:hAnsiTheme="minorHAnsi" w:cstheme="minorHAnsi"/>
        </w:rPr>
      </w:pPr>
      <m:oMathPara>
        <m:oMath>
          <m:r>
            <w:rPr>
              <w:rFonts w:ascii="Cambria Math" w:eastAsiaTheme="minorEastAsia" w:hAnsi="Cambria Math" w:cstheme="minorHAnsi"/>
            </w:rPr>
            <m:t>F=</m:t>
          </m:r>
          <m:sSup>
            <m:sSupPr>
              <m:ctrlPr>
                <w:rPr>
                  <w:rFonts w:ascii="Cambria Math" w:eastAsiaTheme="minorEastAsia" w:hAnsi="Cambria Math" w:cstheme="minorHAnsi"/>
                  <w:i/>
                </w:rPr>
              </m:ctrlPr>
            </m:sSupPr>
            <m:e>
              <m:r>
                <w:rPr>
                  <w:rFonts w:ascii="Cambria Math" w:eastAsiaTheme="minorEastAsia" w:hAnsi="Cambria Math" w:cstheme="minorHAnsi"/>
                </w:rPr>
                <m:t>2</m:t>
              </m:r>
            </m:e>
            <m:sup>
              <m:r>
                <w:rPr>
                  <w:rFonts w:ascii="Cambria Math" w:eastAsiaTheme="minorEastAsia" w:hAnsi="Cambria Math" w:cstheme="minorHAnsi"/>
                </w:rPr>
                <m:t>n+2</m:t>
              </m:r>
            </m:sup>
          </m:sSup>
          <m:sSup>
            <m:sSupPr>
              <m:ctrlPr>
                <w:rPr>
                  <w:rFonts w:ascii="Cambria Math" w:eastAsiaTheme="minorEastAsia" w:hAnsi="Cambria Math" w:cstheme="minorHAnsi"/>
                  <w:i/>
                </w:rPr>
              </m:ctrlPr>
            </m:sSupPr>
            <m:e>
              <m:r>
                <w:rPr>
                  <w:rFonts w:ascii="Cambria Math" w:eastAsiaTheme="minorEastAsia" w:hAnsi="Cambria Math" w:cstheme="minorHAnsi"/>
                </w:rPr>
                <m:t>π</m:t>
              </m:r>
            </m:e>
            <m:sup>
              <m:r>
                <w:rPr>
                  <w:rFonts w:ascii="Cambria Math" w:eastAsiaTheme="minorEastAsia" w:hAnsi="Cambria Math" w:cstheme="minorHAnsi"/>
                </w:rPr>
                <m:t>1-n</m:t>
              </m:r>
            </m:sup>
          </m:sSup>
          <m:r>
            <w:rPr>
              <w:rFonts w:ascii="Cambria Math" w:eastAsiaTheme="minorEastAsia" w:hAnsi="Cambria Math" w:cstheme="minorHAnsi"/>
            </w:rPr>
            <m:t xml:space="preserve"> L </m:t>
          </m:r>
          <m:sSup>
            <m:sSupPr>
              <m:ctrlPr>
                <w:rPr>
                  <w:rFonts w:ascii="Cambria Math" w:eastAsiaTheme="minorEastAsia" w:hAnsi="Cambria Math" w:cstheme="minorHAnsi"/>
                  <w:i/>
                </w:rPr>
              </m:ctrlPr>
            </m:sSupPr>
            <m:e>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s</m:t>
                  </m:r>
                </m:sub>
              </m:sSub>
            </m:e>
            <m:sup>
              <m:r>
                <w:rPr>
                  <w:rFonts w:ascii="Cambria Math" w:eastAsiaTheme="minorEastAsia" w:hAnsi="Cambria Math" w:cstheme="minorHAnsi"/>
                </w:rPr>
                <m:t>2</m:t>
              </m:r>
            </m:sup>
          </m:sSup>
          <m:r>
            <w:rPr>
              <w:rFonts w:ascii="Cambria Math" w:eastAsiaTheme="minorEastAsia" w:hAnsi="Cambria Math" w:cstheme="minorHAnsi"/>
            </w:rPr>
            <m:t xml:space="preserve"> K</m:t>
          </m:r>
          <m:sSup>
            <m:sSupPr>
              <m:ctrlPr>
                <w:rPr>
                  <w:rFonts w:ascii="Cambria Math" w:eastAsiaTheme="minorEastAsia" w:hAnsi="Cambria Math" w:cstheme="minorHAnsi"/>
                  <w:i/>
                </w:rPr>
              </m:ctrlPr>
            </m:sSupPr>
            <m:e>
              <m:r>
                <w:rPr>
                  <w:rFonts w:ascii="Cambria Math" w:eastAsiaTheme="minorEastAsia" w:hAnsi="Cambria Math" w:cstheme="minorHAnsi"/>
                </w:rPr>
                <m:t>Q</m:t>
              </m:r>
            </m:e>
            <m:sup>
              <m:r>
                <w:rPr>
                  <w:rFonts w:ascii="Cambria Math" w:eastAsiaTheme="minorEastAsia" w:hAnsi="Cambria Math" w:cstheme="minorHAnsi"/>
                </w:rPr>
                <m:t>n</m:t>
              </m:r>
            </m:sup>
          </m:sSup>
          <m:sSubSup>
            <m:sSubSupPr>
              <m:ctrlPr>
                <w:rPr>
                  <w:rFonts w:ascii="Cambria Math" w:eastAsiaTheme="minorEastAsia" w:hAnsi="Cambria Math" w:cstheme="minorHAnsi"/>
                  <w:i/>
                </w:rPr>
              </m:ctrlPr>
            </m:sSubSupPr>
            <m:e>
              <m:r>
                <w:rPr>
                  <w:rFonts w:ascii="Cambria Math" w:eastAsiaTheme="minorEastAsia" w:hAnsi="Cambria Math" w:cstheme="minorHAnsi"/>
                </w:rPr>
                <m:t>R</m:t>
              </m:r>
            </m:e>
            <m:sub>
              <m:r>
                <w:rPr>
                  <w:rFonts w:ascii="Cambria Math" w:eastAsiaTheme="minorEastAsia" w:hAnsi="Cambria Math" w:cstheme="minorHAnsi"/>
                </w:rPr>
                <m:t>n</m:t>
              </m:r>
            </m:sub>
            <m:sup>
              <m:r>
                <w:rPr>
                  <w:rFonts w:ascii="Cambria Math" w:eastAsiaTheme="minorEastAsia" w:hAnsi="Cambria Math" w:cstheme="minorHAnsi"/>
                </w:rPr>
                <m:t>-(3n+1)</m:t>
              </m:r>
            </m:sup>
          </m:sSubSup>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f>
                    <m:fPr>
                      <m:ctrlPr>
                        <w:rPr>
                          <w:rFonts w:ascii="Cambria Math" w:eastAsiaTheme="minorEastAsia" w:hAnsi="Cambria Math" w:cstheme="minorHAnsi"/>
                          <w:i/>
                        </w:rPr>
                      </m:ctrlPr>
                    </m:fPr>
                    <m:num>
                      <m:r>
                        <w:rPr>
                          <w:rFonts w:ascii="Cambria Math" w:eastAsiaTheme="minorEastAsia" w:hAnsi="Cambria Math" w:cstheme="minorHAnsi"/>
                        </w:rPr>
                        <m:t>3n+1</m:t>
                      </m:r>
                    </m:num>
                    <m:den>
                      <m:r>
                        <w:rPr>
                          <w:rFonts w:ascii="Cambria Math" w:eastAsiaTheme="minorEastAsia" w:hAnsi="Cambria Math" w:cstheme="minorHAnsi"/>
                        </w:rPr>
                        <m:t>2n+1</m:t>
                      </m:r>
                    </m:den>
                  </m:f>
                </m:e>
              </m:d>
            </m:e>
            <m:sup>
              <m:r>
                <w:rPr>
                  <w:rFonts w:ascii="Cambria Math" w:eastAsiaTheme="minorEastAsia" w:hAnsi="Cambria Math" w:cstheme="minorHAnsi"/>
                </w:rPr>
                <m:t>n-1</m:t>
              </m:r>
            </m:sup>
          </m:sSup>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F</m:t>
              </m:r>
            </m:e>
            <m:sub>
              <m:r>
                <w:rPr>
                  <w:rFonts w:ascii="Cambria Math" w:eastAsiaTheme="minorEastAsia" w:hAnsi="Cambria Math" w:cstheme="minorHAnsi"/>
                </w:rPr>
                <m:t>f</m:t>
              </m:r>
            </m:sub>
          </m:sSub>
        </m:oMath>
      </m:oMathPara>
    </w:p>
    <w:p w14:paraId="22A66376" w14:textId="77777777" w:rsidR="00C14330" w:rsidRDefault="00C14330" w:rsidP="00CC60C6">
      <w:pPr>
        <w:rPr>
          <w:rFonts w:asciiTheme="minorHAnsi" w:hAnsiTheme="minorHAnsi" w:cstheme="minorHAnsi"/>
        </w:rPr>
      </w:pPr>
    </w:p>
    <w:p w14:paraId="01135BC5" w14:textId="075AF0C4" w:rsidR="00CC60C6" w:rsidRDefault="00CC60C6" w:rsidP="00CC60C6">
      <w:pPr>
        <w:rPr>
          <w:rFonts w:asciiTheme="minorHAnsi" w:eastAsiaTheme="minorEastAsia" w:hAnsiTheme="minorHAnsi" w:cstheme="minorHAnsi"/>
        </w:rPr>
      </w:pPr>
      <w:r w:rsidRPr="00CC60C6">
        <w:rPr>
          <w:rFonts w:asciiTheme="minorHAnsi" w:hAnsiTheme="minorHAnsi" w:cstheme="minorHAnsi"/>
        </w:rPr>
        <w:t xml:space="preserve">Where </w:t>
      </w:r>
      <w:r w:rsidRPr="00CC60C6">
        <w:rPr>
          <w:rFonts w:asciiTheme="minorHAnsi" w:hAnsiTheme="minorHAnsi" w:cstheme="minorHAnsi"/>
          <w:i/>
        </w:rPr>
        <w:t>n</w:t>
      </w:r>
      <w:r w:rsidRPr="00CC60C6">
        <w:rPr>
          <w:rFonts w:asciiTheme="minorHAnsi" w:hAnsiTheme="minorHAnsi" w:cstheme="minorHAnsi"/>
        </w:rPr>
        <w:t xml:space="preserve"> is the power index (-) and </w:t>
      </w:r>
      <w:r w:rsidRPr="00CC60C6">
        <w:rPr>
          <w:rFonts w:asciiTheme="minorHAnsi" w:hAnsiTheme="minorHAnsi" w:cstheme="minorHAnsi"/>
          <w:i/>
        </w:rPr>
        <w:t>K</w:t>
      </w:r>
      <w:r w:rsidRPr="00CC60C6">
        <w:rPr>
          <w:rFonts w:asciiTheme="minorHAnsi" w:hAnsiTheme="minorHAnsi" w:cstheme="minorHAnsi"/>
        </w:rPr>
        <w:t xml:space="preserve"> is the consistency index (Pa.s</w:t>
      </w:r>
      <w:r w:rsidRPr="00CC60C6">
        <w:rPr>
          <w:rFonts w:asciiTheme="minorHAnsi" w:hAnsiTheme="minorHAnsi" w:cstheme="minorHAnsi"/>
          <w:vertAlign w:val="superscript"/>
        </w:rPr>
        <w:t>n</w:t>
      </w:r>
      <w:r w:rsidRPr="00CC60C6">
        <w:rPr>
          <w:rFonts w:asciiTheme="minorHAnsi" w:hAnsiTheme="minorHAnsi" w:cstheme="minorHAnsi"/>
        </w:rPr>
        <w:t xml:space="preserve">) from the Ostwald de </w:t>
      </w:r>
      <w:proofErr w:type="spellStart"/>
      <w:r w:rsidRPr="00CC60C6">
        <w:rPr>
          <w:rFonts w:asciiTheme="minorHAnsi" w:hAnsiTheme="minorHAnsi" w:cstheme="minorHAnsi"/>
        </w:rPr>
        <w:t>Waele</w:t>
      </w:r>
      <w:proofErr w:type="spellEnd"/>
      <w:r w:rsidRPr="00CC60C6">
        <w:rPr>
          <w:rFonts w:asciiTheme="minorHAnsi" w:hAnsiTheme="minorHAnsi" w:cstheme="minorHAnsi"/>
        </w:rPr>
        <w:t xml:space="preserve"> expression:</w:t>
      </w:r>
      <w:r w:rsidR="0028771D">
        <w:rPr>
          <w:rFonts w:asciiTheme="minorHAnsi" w:hAnsiTheme="minorHAnsi" w:cstheme="minorHAnsi"/>
        </w:rPr>
        <w:t xml:space="preserve"> </w:t>
      </w:r>
      <m:oMath>
        <m:r>
          <w:rPr>
            <w:rFonts w:ascii="Cambria Math" w:hAnsi="Cambria Math" w:cstheme="minorHAnsi"/>
          </w:rPr>
          <m:t>η=K</m:t>
        </m:r>
        <m:sSup>
          <m:sSupPr>
            <m:ctrlPr>
              <w:rPr>
                <w:rFonts w:ascii="Cambria Math" w:hAnsi="Cambria Math" w:cstheme="minorHAnsi"/>
                <w:i/>
              </w:rPr>
            </m:ctrlPr>
          </m:sSupPr>
          <m:e>
            <m:acc>
              <m:accPr>
                <m:chr m:val="̇"/>
                <m:ctrlPr>
                  <w:rPr>
                    <w:rFonts w:ascii="Cambria Math" w:hAnsi="Cambria Math" w:cstheme="minorHAnsi"/>
                    <w:i/>
                  </w:rPr>
                </m:ctrlPr>
              </m:accPr>
              <m:e>
                <m:r>
                  <w:rPr>
                    <w:rFonts w:ascii="Cambria Math" w:hAnsi="Cambria Math" w:cstheme="minorHAnsi"/>
                  </w:rPr>
                  <m:t>γ</m:t>
                </m:r>
              </m:e>
            </m:acc>
          </m:e>
          <m:sup>
            <m:r>
              <w:rPr>
                <w:rFonts w:ascii="Cambria Math" w:hAnsi="Cambria Math" w:cstheme="minorHAnsi"/>
              </w:rPr>
              <m:t>n-1</m:t>
            </m:r>
          </m:sup>
        </m:sSup>
      </m:oMath>
      <w:r w:rsidRPr="00CC60C6">
        <w:rPr>
          <w:rFonts w:asciiTheme="minorHAnsi" w:eastAsiaTheme="minorEastAsia" w:hAnsiTheme="minorHAnsi" w:cstheme="minorHAnsi"/>
        </w:rPr>
        <w:t xml:space="preserve">, where </w:t>
      </w:r>
      <m:oMath>
        <m:acc>
          <m:accPr>
            <m:chr m:val="̇"/>
            <m:ctrlPr>
              <w:rPr>
                <w:rFonts w:ascii="Cambria Math" w:hAnsi="Cambria Math" w:cstheme="minorHAnsi"/>
                <w:i/>
              </w:rPr>
            </m:ctrlPr>
          </m:accPr>
          <m:e>
            <m:r>
              <w:rPr>
                <w:rFonts w:ascii="Cambria Math" w:hAnsi="Cambria Math" w:cstheme="minorHAnsi"/>
              </w:rPr>
              <m:t>γ</m:t>
            </m:r>
          </m:e>
        </m:acc>
      </m:oMath>
      <w:r w:rsidRPr="00CC60C6">
        <w:rPr>
          <w:rFonts w:asciiTheme="minorHAnsi" w:eastAsiaTheme="minorEastAsia" w:hAnsiTheme="minorHAnsi" w:cstheme="minorHAnsi"/>
        </w:rPr>
        <w:t xml:space="preserve"> is the shear rate (s</w:t>
      </w:r>
      <w:r w:rsidRPr="00CC60C6">
        <w:rPr>
          <w:rFonts w:asciiTheme="minorHAnsi" w:eastAsiaTheme="minorEastAsia" w:hAnsiTheme="minorHAnsi" w:cstheme="minorHAnsi"/>
          <w:vertAlign w:val="superscript"/>
        </w:rPr>
        <w:t>-1</w:t>
      </w:r>
      <w:r w:rsidRPr="00CC60C6">
        <w:rPr>
          <w:rFonts w:asciiTheme="minorHAnsi" w:eastAsiaTheme="minorEastAsia" w:hAnsiTheme="minorHAnsi" w:cstheme="minorHAnsi"/>
        </w:rPr>
        <w:t>).</w:t>
      </w:r>
      <w:r>
        <w:rPr>
          <w:rFonts w:asciiTheme="minorHAnsi" w:eastAsiaTheme="minorEastAsia" w:hAnsiTheme="minorHAnsi" w:cstheme="minorHAnsi"/>
        </w:rPr>
        <w:t xml:space="preserve"> The complexity vastly increases for materials whose rheological properties cannot be characteri</w:t>
      </w:r>
      <w:r w:rsidR="00477E3E">
        <w:rPr>
          <w:rFonts w:asciiTheme="minorHAnsi" w:eastAsiaTheme="minorEastAsia" w:hAnsiTheme="minorHAnsi" w:cstheme="minorHAnsi"/>
        </w:rPr>
        <w:t>z</w:t>
      </w:r>
      <w:r>
        <w:rPr>
          <w:rFonts w:asciiTheme="minorHAnsi" w:eastAsiaTheme="minorEastAsia" w:hAnsiTheme="minorHAnsi" w:cstheme="minorHAnsi"/>
        </w:rPr>
        <w:t xml:space="preserve">ed by two values, and particularly </w:t>
      </w:r>
      <w:r>
        <w:rPr>
          <w:rFonts w:asciiTheme="minorHAnsi" w:eastAsiaTheme="minorEastAsia" w:hAnsiTheme="minorHAnsi" w:cstheme="minorHAnsi"/>
        </w:rPr>
        <w:lastRenderedPageBreak/>
        <w:t>for time-dependent material</w:t>
      </w:r>
      <w:r w:rsidR="00896DD3">
        <w:rPr>
          <w:rFonts w:asciiTheme="minorHAnsi" w:eastAsiaTheme="minorEastAsia" w:hAnsiTheme="minorHAnsi" w:cstheme="minorHAnsi"/>
        </w:rPr>
        <w:t>s such as setting cements.</w:t>
      </w:r>
      <w:r w:rsidR="00517CF8">
        <w:rPr>
          <w:rFonts w:asciiTheme="minorHAnsi" w:eastAsiaTheme="minorEastAsia" w:hAnsiTheme="minorHAnsi" w:cstheme="minorHAnsi"/>
        </w:rPr>
        <w:t xml:space="preserve"> Additionally, if the material properties are shear dependent, then the material must be tested at the shear rate expected</w:t>
      </w:r>
      <w:r w:rsidR="00E54303">
        <w:rPr>
          <w:rFonts w:asciiTheme="minorHAnsi" w:eastAsiaTheme="minorEastAsia" w:hAnsiTheme="minorHAnsi" w:cstheme="minorHAnsi"/>
        </w:rPr>
        <w:t xml:space="preserve"> in the needle, which may far exceed the range of a rotational rheometer</w:t>
      </w:r>
      <w:r w:rsidR="00E54303">
        <w:rPr>
          <w:rFonts w:ascii="Times New Roman" w:eastAsiaTheme="minorEastAsia" w:hAnsi="Times New Roman" w:cs="Times New Roman"/>
          <w:vertAlign w:val="superscript"/>
        </w:rPr>
        <w:fldChar w:fldCharType="begin" w:fldLock="1"/>
      </w:r>
      <w:r w:rsidR="00A665F9">
        <w:rPr>
          <w:rFonts w:ascii="Times New Roman" w:eastAsiaTheme="minorEastAsia" w:hAnsi="Times New Roman" w:cs="Times New Roman"/>
          <w:vertAlign w:val="superscript"/>
        </w:rPr>
        <w:instrText>ADDIN CSL_CITATION { "citationItems" : [ { "id" : "ITEM-1", "itemData" : { "author" : [ { "dropping-particle" : "", "family" : "Davison", "given" : "Peter F.", "non-dropping-particle" : "", "parse-names" : false, "suffix" : "" } ], "container-title" : "Proceedings of the National Academy of Sciences of the United States of America", "id" : "ITEM-1", "issued" : { "date-parts" : [ [ "1959" ] ] }, "page" : "1560-1568", "title" : "The Effect of Hydrodynamic Shear on the Deoxyribonucleic Acid from T2 and T4 Bacteriophages", "type" : "article-journal", "volume" : "45" }, "uris" : [ "http://www.mendeley.com/documents/?uuid=006fab34-c6c5-3cf7-8637-aed7b6f6fe34" ] } ], "mendeley" : { "formattedCitation" : "&lt;sup&gt;15&lt;/sup&gt;", "plainTextFormattedCitation" : "15", "previouslyFormattedCitation" : "&lt;sup&gt;15&lt;/sup&gt;" }, "properties" : { "noteIndex" : 0 }, "schema" : "https://github.com/citation-style-language/schema/raw/master/csl-citation.json" }</w:instrText>
      </w:r>
      <w:r w:rsidR="00E54303">
        <w:rPr>
          <w:rFonts w:ascii="Times New Roman" w:eastAsiaTheme="minorEastAsia" w:hAnsi="Times New Roman" w:cs="Times New Roman"/>
          <w:vertAlign w:val="superscript"/>
        </w:rPr>
        <w:fldChar w:fldCharType="separate"/>
      </w:r>
      <w:r w:rsidR="00A665F9" w:rsidRPr="00A665F9">
        <w:rPr>
          <w:rFonts w:ascii="Times New Roman" w:eastAsiaTheme="minorEastAsia" w:hAnsi="Times New Roman" w:cs="Times New Roman"/>
          <w:noProof/>
          <w:vertAlign w:val="superscript"/>
        </w:rPr>
        <w:t>15</w:t>
      </w:r>
      <w:r w:rsidR="00E54303">
        <w:rPr>
          <w:rFonts w:ascii="Times New Roman" w:eastAsiaTheme="minorEastAsia" w:hAnsi="Times New Roman" w:cs="Times New Roman"/>
          <w:vertAlign w:val="superscript"/>
        </w:rPr>
        <w:fldChar w:fldCharType="end"/>
      </w:r>
      <w:r w:rsidR="00E54303">
        <w:rPr>
          <w:rFonts w:asciiTheme="minorHAnsi" w:eastAsiaTheme="minorEastAsia" w:hAnsiTheme="minorHAnsi" w:cstheme="minorHAnsi"/>
        </w:rPr>
        <w:t>.</w:t>
      </w:r>
    </w:p>
    <w:p w14:paraId="4D77E579" w14:textId="6F9567FA" w:rsidR="00896DD3" w:rsidRDefault="00896DD3" w:rsidP="00CC60C6">
      <w:pPr>
        <w:rPr>
          <w:rFonts w:asciiTheme="minorHAnsi" w:eastAsiaTheme="minorEastAsia" w:hAnsiTheme="minorHAnsi" w:cstheme="minorHAnsi"/>
        </w:rPr>
      </w:pPr>
    </w:p>
    <w:p w14:paraId="7D99DA68" w14:textId="6E54ECED" w:rsidR="00D67315" w:rsidRDefault="00896DD3" w:rsidP="00CC60C6">
      <w:pPr>
        <w:rPr>
          <w:rFonts w:asciiTheme="minorHAnsi" w:eastAsiaTheme="minorEastAsia" w:hAnsiTheme="minorHAnsi" w:cstheme="minorHAnsi"/>
        </w:rPr>
      </w:pPr>
      <w:r>
        <w:rPr>
          <w:rFonts w:asciiTheme="minorHAnsi" w:eastAsiaTheme="minorEastAsia" w:hAnsiTheme="minorHAnsi" w:cstheme="minorHAnsi"/>
        </w:rPr>
        <w:t xml:space="preserve">Another </w:t>
      </w:r>
      <w:r w:rsidR="00383AE9">
        <w:rPr>
          <w:rFonts w:asciiTheme="minorHAnsi" w:eastAsiaTheme="minorEastAsia" w:hAnsiTheme="minorHAnsi" w:cstheme="minorHAnsi"/>
        </w:rPr>
        <w:t xml:space="preserve">quantitative </w:t>
      </w:r>
      <w:r>
        <w:rPr>
          <w:rFonts w:asciiTheme="minorHAnsi" w:eastAsiaTheme="minorEastAsia" w:hAnsiTheme="minorHAnsi" w:cstheme="minorHAnsi"/>
        </w:rPr>
        <w:t xml:space="preserve">method for measuring injectability involves attaching pressure and displacement sensors to a </w:t>
      </w:r>
      <w:r w:rsidR="00853792">
        <w:rPr>
          <w:rFonts w:asciiTheme="minorHAnsi" w:eastAsiaTheme="minorEastAsia" w:hAnsiTheme="minorHAnsi" w:cstheme="minorHAnsi"/>
        </w:rPr>
        <w:t>syringe while performing an injection, either b</w:t>
      </w:r>
      <w:r w:rsidR="00316438">
        <w:rPr>
          <w:rFonts w:asciiTheme="minorHAnsi" w:eastAsiaTheme="minorEastAsia" w:hAnsiTheme="minorHAnsi" w:cstheme="minorHAnsi"/>
        </w:rPr>
        <w:t xml:space="preserve">y hand or using a syringe pump. </w:t>
      </w:r>
      <w:r w:rsidR="00D67315">
        <w:rPr>
          <w:rFonts w:asciiTheme="minorHAnsi" w:eastAsiaTheme="minorEastAsia" w:hAnsiTheme="minorHAnsi" w:cstheme="minorHAnsi"/>
        </w:rPr>
        <w:t xml:space="preserve">This equipment is </w:t>
      </w:r>
      <w:r w:rsidR="00426B33">
        <w:rPr>
          <w:rFonts w:asciiTheme="minorHAnsi" w:eastAsiaTheme="minorEastAsia" w:hAnsiTheme="minorHAnsi" w:cstheme="minorHAnsi"/>
        </w:rPr>
        <w:t>relatively inexpensive, however</w:t>
      </w:r>
      <w:r w:rsidR="00151A91">
        <w:rPr>
          <w:rFonts w:asciiTheme="minorHAnsi" w:eastAsiaTheme="minorEastAsia" w:hAnsiTheme="minorHAnsi" w:cstheme="minorHAnsi"/>
        </w:rPr>
        <w:t>,</w:t>
      </w:r>
      <w:r w:rsidR="00426B33">
        <w:rPr>
          <w:rFonts w:asciiTheme="minorHAnsi" w:eastAsiaTheme="minorEastAsia" w:hAnsiTheme="minorHAnsi" w:cstheme="minorHAnsi"/>
        </w:rPr>
        <w:t xml:space="preserve"> requires users to generate </w:t>
      </w:r>
      <w:r w:rsidR="004B158F">
        <w:rPr>
          <w:rFonts w:asciiTheme="minorHAnsi" w:eastAsiaTheme="minorEastAsia" w:hAnsiTheme="minorHAnsi" w:cstheme="minorHAnsi"/>
        </w:rPr>
        <w:t xml:space="preserve">scripts and </w:t>
      </w:r>
      <w:r w:rsidR="00426B33">
        <w:rPr>
          <w:rFonts w:asciiTheme="minorHAnsi" w:eastAsiaTheme="minorEastAsia" w:hAnsiTheme="minorHAnsi" w:cstheme="minorHAnsi"/>
        </w:rPr>
        <w:t xml:space="preserve">calibration curves to </w:t>
      </w:r>
      <w:r w:rsidR="004B158F">
        <w:rPr>
          <w:rFonts w:asciiTheme="minorHAnsi" w:eastAsiaTheme="minorEastAsia" w:hAnsiTheme="minorHAnsi" w:cstheme="minorHAnsi"/>
        </w:rPr>
        <w:t>convert into force data</w:t>
      </w:r>
      <w:r w:rsidR="00A605F4">
        <w:rPr>
          <w:rFonts w:asciiTheme="minorHAnsi" w:eastAsiaTheme="minorEastAsia" w:hAnsiTheme="minorHAnsi" w:cstheme="minorHAnsi"/>
        </w:rPr>
        <w:fldChar w:fldCharType="begin" w:fldLock="1"/>
      </w:r>
      <w:r w:rsidR="00A665F9">
        <w:rPr>
          <w:rFonts w:asciiTheme="minorHAnsi" w:eastAsiaTheme="minorEastAsia" w:hAnsiTheme="minorHAnsi" w:cstheme="minorHAnsi"/>
        </w:rPr>
        <w:instrText>ADDIN CSL_CITATION { "citationItems" : [ { "id" : "ITEM-1", "itemData" : { "DOI" : "10.1021/acsbiomaterials.7b00734", "ISSN" : "23739878", "abstract" : "Injectable hydrogels have gained popularity as a vehicle for the delivery of cells, growth factors, and other molecules to localize and improve their retention at the injection site, as well as for the mechanical bulking of tissues. However, there are many factors, such as viscosity, storage and loss moduli, and injection force, to consider when evaluating hydrogels for such applications. There are now numerous tools that can be used to quantitatively assess these factors, including for shear-thinning hydrogels because their properties change under mechanical load. Here, we describe relevant rheological tests and ways to measure injection force using a force sensor or a mechanical testing machine toward the evaluation of injectable hydrogels. Injectable, shear-thinning hydrogels can be used in a variety of clinical applications, and as an example we focus on methods for injection into the heart, where an understanding of injection properties and mechanical forces is imperative for consistent hydrogel delivery and retention. We discuss methods for delivery of hydrogels to mouse, rat, and pig hearts in models of myocardial infarction, and compare methods of tissue postprocessing for hydrogel preservation. Our intent is that the methods described herein can be helpful in the design and assessment of shear-thinning hydrogels for widespread biomedical applications.", "author" : [ { "dropping-particle" : "", "family" : "Chen", "given" : "Minna H.", "non-dropping-particle" : "", "parse-names" : false, "suffix" : "" }, { "dropping-particle" : "", "family" : "Wang", "given" : "Leo L.", "non-dropping-particle" : "", "parse-names" : false, "suffix" : "" }, { "dropping-particle" : "", "family" : "Chung", "given" : "Jennifer J.", "non-dropping-particle" : "", "parse-names" : false, "suffix" : "" }, { "dropping-particle" : "", "family" : "Kim", "given" : "Young Hun", "non-dropping-particle" : "", "parse-names" : false, "suffix" : "" }, { "dropping-particle" : "", "family" : "Atluri", "given" : "Pavan", "non-dropping-particle" : "", "parse-names" : false, "suffix" : "" }, { "dropping-particle" : "", "family" : "Burdick", "given" : "Jason A.", "non-dropping-particle" : "", "parse-names" : false, "suffix" : "" } ], "container-title" : "ACS Biomaterials Science and Engineering", "id" : "ITEM-1", "issue" : "12", "issued" : { "date-parts" : [ [ "2017", "12", "11" ] ] }, "page" : "3146-3160", "publisher" : "American Chemical Society", "title" : "Methods to Assess Shear-Thinning Hydrogels for Application As Injectable Biomaterials", "type" : "article-journal", "volume" : "3" }, "uris" : [ "http://www.mendeley.com/documents/?uuid=7a6741e7-4023-3eaf-bb1e-17f0373a8179" ] } ], "mendeley" : { "formattedCitation" : "&lt;sup&gt;16&lt;/sup&gt;", "plainTextFormattedCitation" : "16", "previouslyFormattedCitation" : "&lt;sup&gt;16&lt;/sup&gt;" }, "properties" : { "noteIndex" : 0 }, "schema" : "https://github.com/citation-style-language/schema/raw/master/csl-citation.json" }</w:instrText>
      </w:r>
      <w:r w:rsidR="00A605F4">
        <w:rPr>
          <w:rFonts w:asciiTheme="minorHAnsi" w:eastAsiaTheme="minorEastAsia" w:hAnsiTheme="minorHAnsi" w:cstheme="minorHAnsi"/>
        </w:rPr>
        <w:fldChar w:fldCharType="separate"/>
      </w:r>
      <w:r w:rsidR="00A665F9" w:rsidRPr="00A665F9">
        <w:rPr>
          <w:rFonts w:asciiTheme="minorHAnsi" w:eastAsiaTheme="minorEastAsia" w:hAnsiTheme="minorHAnsi" w:cstheme="minorHAnsi"/>
          <w:noProof/>
          <w:vertAlign w:val="superscript"/>
        </w:rPr>
        <w:t>16</w:t>
      </w:r>
      <w:r w:rsidR="00A605F4">
        <w:rPr>
          <w:rFonts w:asciiTheme="minorHAnsi" w:eastAsiaTheme="minorEastAsia" w:hAnsiTheme="minorHAnsi" w:cstheme="minorHAnsi"/>
        </w:rPr>
        <w:fldChar w:fldCharType="end"/>
      </w:r>
      <w:r w:rsidR="00A605F4">
        <w:rPr>
          <w:rFonts w:asciiTheme="minorHAnsi" w:eastAsiaTheme="minorEastAsia" w:hAnsiTheme="minorHAnsi" w:cstheme="minorHAnsi"/>
        </w:rPr>
        <w:t xml:space="preserve">. </w:t>
      </w:r>
      <w:r w:rsidR="00BF713A">
        <w:rPr>
          <w:rFonts w:asciiTheme="minorHAnsi" w:eastAsiaTheme="minorEastAsia" w:hAnsiTheme="minorHAnsi" w:cstheme="minorHAnsi"/>
        </w:rPr>
        <w:t xml:space="preserve">Further, a syringe pump may </w:t>
      </w:r>
      <w:r w:rsidR="00737D00">
        <w:rPr>
          <w:rFonts w:asciiTheme="minorHAnsi" w:eastAsiaTheme="minorEastAsia" w:hAnsiTheme="minorHAnsi" w:cstheme="minorHAnsi"/>
        </w:rPr>
        <w:t xml:space="preserve">not possess </w:t>
      </w:r>
      <w:proofErr w:type="gramStart"/>
      <w:r w:rsidR="00737D00">
        <w:rPr>
          <w:rFonts w:asciiTheme="minorHAnsi" w:eastAsiaTheme="minorEastAsia" w:hAnsiTheme="minorHAnsi" w:cstheme="minorHAnsi"/>
        </w:rPr>
        <w:t>sufficient</w:t>
      </w:r>
      <w:proofErr w:type="gramEnd"/>
      <w:r w:rsidR="00737D00">
        <w:rPr>
          <w:rFonts w:asciiTheme="minorHAnsi" w:eastAsiaTheme="minorEastAsia" w:hAnsiTheme="minorHAnsi" w:cstheme="minorHAnsi"/>
        </w:rPr>
        <w:t xml:space="preserve"> torque to compress the plunger</w:t>
      </w:r>
      <w:r w:rsidR="00BF713A">
        <w:rPr>
          <w:rFonts w:asciiTheme="minorHAnsi" w:eastAsiaTheme="minorEastAsia" w:hAnsiTheme="minorHAnsi" w:cstheme="minorHAnsi"/>
        </w:rPr>
        <w:t xml:space="preserve"> </w:t>
      </w:r>
      <w:r w:rsidR="00510B50">
        <w:rPr>
          <w:rFonts w:asciiTheme="minorHAnsi" w:eastAsiaTheme="minorEastAsia" w:hAnsiTheme="minorHAnsi" w:cstheme="minorHAnsi"/>
        </w:rPr>
        <w:t xml:space="preserve">at a precise rate if high forces are required </w:t>
      </w:r>
      <w:r w:rsidR="000C131C">
        <w:rPr>
          <w:rFonts w:asciiTheme="minorHAnsi" w:eastAsiaTheme="minorEastAsia" w:hAnsiTheme="minorHAnsi" w:cstheme="minorHAnsi"/>
        </w:rPr>
        <w:t>to extrude</w:t>
      </w:r>
      <w:r w:rsidR="00510B50">
        <w:rPr>
          <w:rFonts w:asciiTheme="minorHAnsi" w:eastAsiaTheme="minorEastAsia" w:hAnsiTheme="minorHAnsi" w:cstheme="minorHAnsi"/>
        </w:rPr>
        <w:t xml:space="preserve"> viscous </w:t>
      </w:r>
      <w:r w:rsidR="00737D00">
        <w:rPr>
          <w:rFonts w:asciiTheme="minorHAnsi" w:eastAsiaTheme="minorEastAsia" w:hAnsiTheme="minorHAnsi" w:cstheme="minorHAnsi"/>
        </w:rPr>
        <w:t xml:space="preserve">or semi-solid </w:t>
      </w:r>
      <w:r w:rsidR="00510B50">
        <w:rPr>
          <w:rFonts w:asciiTheme="minorHAnsi" w:eastAsiaTheme="minorEastAsia" w:hAnsiTheme="minorHAnsi" w:cstheme="minorHAnsi"/>
        </w:rPr>
        <w:t>materials. Alternatively, utilizing these sensors when injecting by hand may be useful as they can be used in a real clinical scenario, during clinical procedures</w:t>
      </w:r>
      <w:r w:rsidR="00510B50">
        <w:rPr>
          <w:rFonts w:asciiTheme="minorHAnsi" w:eastAsiaTheme="minorEastAsia" w:hAnsiTheme="minorHAnsi" w:cstheme="minorHAnsi"/>
        </w:rPr>
        <w:fldChar w:fldCharType="begin" w:fldLock="1"/>
      </w:r>
      <w:r w:rsidR="00A665F9">
        <w:rPr>
          <w:rFonts w:asciiTheme="minorHAnsi" w:eastAsiaTheme="minorEastAsia" w:hAnsiTheme="minorHAnsi" w:cstheme="minorHAnsi"/>
        </w:rPr>
        <w:instrText>ADDIN CSL_CITATION { "citationItems" : [ { "id" : "ITEM-1", "itemData" : { "DOI" : "10.1097/01.brs.0000154670.49227.65", "ISSN" : "15281159", "abstract" : "STUDY DESIGN: Clinical study of injection pressure during vertebroplasty. OBJECTIVES: To investigate the range of injection pressures during conventional vertebroplasty interventions and to study the influence of syringe design and cement polymerization time on injection pressure. SUMMARY OF BACKGROUND DATA: Vertebroplasty is an efficient procedure for the treatment of painful vertebral fractures. However, cement leakage is a potentially serious complication. Although injection pressure has been suggested as a factor for extravasation risk, to date, there are only anecdotal reports of pressure data for cement augmentation in the clinic. METHODS: Using a syringe holder instrumented with load and displacement transducers, injection pressure and volume were recorded in vivo during conventional cement augmentation. Wide (3 mm opening) and normal (1.8 mm opening) syringes were alternated such that each type was evaluated for early (300-500 seconds postmixing) and late (&gt;500 seconds postmixing) cement polymerization time. The influence of syringe type and polymerization time on injection pressure was evaluated using a multifactorial analysis of variance followed by Scheffe post hoc comparison. RESULTS: The maximum peak injection pressure measured was 3215 kPa. The average pressure peaks for normal and wide syringes were 1693 +/- 653 kPa and 1727 +/- 597 kPa, respectively. No statistically significant differences were found between injection pressures with wide and normal syringes. Higher injection pressures were observed later in the polymerization process. CONCLUSIONS: High injection pressures approaching 20 atmospheres are reached during conventional vertebroplasty. Widening the syringe tip diameter did not significantly change injection pressures, whereas elapsed time did. Further research is needed to improve injection equipment and materials for vertebroplasty.", "author" : [ { "dropping-particle" : "", "family" : "Krebs", "given" : "J\u00f6rg", "non-dropping-particle" : "", "parse-names" : false, "suffix" : "" }, { "dropping-particle" : "", "family" : "Ferguson", "given" : "Stephen J.", "non-dropping-particle" : "", "parse-names" : false, "suffix" : "" }, { "dropping-particle" : "", "family" : "Bohner", "given" : "Marc", "non-dropping-particle" : "", "parse-names" : false, "suffix" : "" }, { "dropping-particle" : "", "family" : "Baroud", "given" : "Gamal", "non-dropping-particle" : "", "parse-names" : false, "suffix" : "" }, { "dropping-particle" : "", "family" : "Steffen", "given" : "Thomas", "non-dropping-particle" : "", "parse-names" : false, "suffix" : "" }, { "dropping-particle" : "", "family" : "Heini", "given" : "Paul F.", "non-dropping-particle" : "", "parse-names" : false, "suffix" : "" } ], "container-title" : "Spine", "id" : "ITEM-1", "issue" : "5", "issued" : { "date-parts" : [ [ "2005" ] ] }, "title" : "Clinical measurements of cement injection pressure during vertebroplasty.", "type" : "article-journal", "volume" : "30" }, "uris" : [ "http://www.mendeley.com/documents/?uuid=1b1b28f3-a0f8-31fa-bfbd-24ec8b99e298" ] } ], "mendeley" : { "formattedCitation" : "&lt;sup&gt;17&lt;/sup&gt;", "plainTextFormattedCitation" : "17", "previouslyFormattedCitation" : "&lt;sup&gt;17&lt;/sup&gt;" }, "properties" : { "noteIndex" : 0 }, "schema" : "https://github.com/citation-style-language/schema/raw/master/csl-citation.json" }</w:instrText>
      </w:r>
      <w:r w:rsidR="00510B50">
        <w:rPr>
          <w:rFonts w:asciiTheme="minorHAnsi" w:eastAsiaTheme="minorEastAsia" w:hAnsiTheme="minorHAnsi" w:cstheme="minorHAnsi"/>
        </w:rPr>
        <w:fldChar w:fldCharType="separate"/>
      </w:r>
      <w:r w:rsidR="00A665F9" w:rsidRPr="00A665F9">
        <w:rPr>
          <w:rFonts w:asciiTheme="minorHAnsi" w:eastAsiaTheme="minorEastAsia" w:hAnsiTheme="minorHAnsi" w:cstheme="minorHAnsi"/>
          <w:noProof/>
          <w:vertAlign w:val="superscript"/>
        </w:rPr>
        <w:t>17</w:t>
      </w:r>
      <w:r w:rsidR="00510B50">
        <w:rPr>
          <w:rFonts w:asciiTheme="minorHAnsi" w:eastAsiaTheme="minorEastAsia" w:hAnsiTheme="minorHAnsi" w:cstheme="minorHAnsi"/>
        </w:rPr>
        <w:fldChar w:fldCharType="end"/>
      </w:r>
      <w:r w:rsidR="00510B50">
        <w:rPr>
          <w:rFonts w:asciiTheme="minorHAnsi" w:eastAsiaTheme="minorEastAsia" w:hAnsiTheme="minorHAnsi" w:cstheme="minorHAnsi"/>
        </w:rPr>
        <w:t>. However</w:t>
      </w:r>
      <w:r w:rsidR="001D6BCE">
        <w:rPr>
          <w:rFonts w:asciiTheme="minorHAnsi" w:eastAsiaTheme="minorEastAsia" w:hAnsiTheme="minorHAnsi" w:cstheme="minorHAnsi"/>
        </w:rPr>
        <w:t>,</w:t>
      </w:r>
      <w:r w:rsidR="00510B50">
        <w:rPr>
          <w:rFonts w:asciiTheme="minorHAnsi" w:eastAsiaTheme="minorEastAsia" w:hAnsiTheme="minorHAnsi" w:cstheme="minorHAnsi"/>
        </w:rPr>
        <w:t xml:space="preserve"> this will take much longer and </w:t>
      </w:r>
      <w:r w:rsidR="00477E3E">
        <w:rPr>
          <w:rFonts w:asciiTheme="minorHAnsi" w:eastAsiaTheme="minorEastAsia" w:hAnsiTheme="minorHAnsi" w:cstheme="minorHAnsi"/>
        </w:rPr>
        <w:t xml:space="preserve">may </w:t>
      </w:r>
      <w:r w:rsidR="00510B50">
        <w:rPr>
          <w:rFonts w:asciiTheme="minorHAnsi" w:eastAsiaTheme="minorEastAsia" w:hAnsiTheme="minorHAnsi" w:cstheme="minorHAnsi"/>
        </w:rPr>
        <w:t>introduce user bias, and will</w:t>
      </w:r>
      <w:r w:rsidR="00477E3E">
        <w:rPr>
          <w:rFonts w:asciiTheme="minorHAnsi" w:eastAsiaTheme="minorEastAsia" w:hAnsiTheme="minorHAnsi" w:cstheme="minorHAnsi"/>
        </w:rPr>
        <w:t>,</w:t>
      </w:r>
      <w:r w:rsidR="00510B50">
        <w:rPr>
          <w:rFonts w:asciiTheme="minorHAnsi" w:eastAsiaTheme="minorEastAsia" w:hAnsiTheme="minorHAnsi" w:cstheme="minorHAnsi"/>
        </w:rPr>
        <w:t xml:space="preserve"> </w:t>
      </w:r>
      <w:r w:rsidR="006B589A">
        <w:rPr>
          <w:rFonts w:asciiTheme="minorHAnsi" w:eastAsiaTheme="minorEastAsia" w:hAnsiTheme="minorHAnsi" w:cstheme="minorHAnsi"/>
        </w:rPr>
        <w:t>therefore</w:t>
      </w:r>
      <w:r w:rsidR="00477E3E">
        <w:rPr>
          <w:rFonts w:asciiTheme="minorHAnsi" w:eastAsiaTheme="minorEastAsia" w:hAnsiTheme="minorHAnsi" w:cstheme="minorHAnsi"/>
        </w:rPr>
        <w:t>,</w:t>
      </w:r>
      <w:r w:rsidR="00510B50">
        <w:rPr>
          <w:rFonts w:asciiTheme="minorHAnsi" w:eastAsiaTheme="minorEastAsia" w:hAnsiTheme="minorHAnsi" w:cstheme="minorHAnsi"/>
        </w:rPr>
        <w:t xml:space="preserve"> need larger numbers of repetitions with different users to obtain reliable results. This may</w:t>
      </w:r>
      <w:r w:rsidR="00477E3E">
        <w:rPr>
          <w:rFonts w:asciiTheme="minorHAnsi" w:eastAsiaTheme="minorEastAsia" w:hAnsiTheme="minorHAnsi" w:cstheme="minorHAnsi"/>
        </w:rPr>
        <w:t>,</w:t>
      </w:r>
      <w:r w:rsidR="00510B50">
        <w:rPr>
          <w:rFonts w:asciiTheme="minorHAnsi" w:eastAsiaTheme="minorEastAsia" w:hAnsiTheme="minorHAnsi" w:cstheme="minorHAnsi"/>
        </w:rPr>
        <w:t xml:space="preserve"> thus</w:t>
      </w:r>
      <w:r w:rsidR="00477E3E">
        <w:rPr>
          <w:rFonts w:asciiTheme="minorHAnsi" w:eastAsiaTheme="minorEastAsia" w:hAnsiTheme="minorHAnsi" w:cstheme="minorHAnsi"/>
        </w:rPr>
        <w:t>,</w:t>
      </w:r>
      <w:r w:rsidR="00510B50">
        <w:rPr>
          <w:rFonts w:asciiTheme="minorHAnsi" w:eastAsiaTheme="minorEastAsia" w:hAnsiTheme="minorHAnsi" w:cstheme="minorHAnsi"/>
        </w:rPr>
        <w:t xml:space="preserve"> be more appropriate for materials </w:t>
      </w:r>
      <w:r w:rsidR="00151A91">
        <w:rPr>
          <w:rFonts w:asciiTheme="minorHAnsi" w:eastAsiaTheme="minorEastAsia" w:hAnsiTheme="minorHAnsi" w:cstheme="minorHAnsi"/>
        </w:rPr>
        <w:t>that</w:t>
      </w:r>
      <w:r w:rsidR="00510B50">
        <w:rPr>
          <w:rFonts w:asciiTheme="minorHAnsi" w:eastAsiaTheme="minorEastAsia" w:hAnsiTheme="minorHAnsi" w:cstheme="minorHAnsi"/>
        </w:rPr>
        <w:t xml:space="preserve"> are further down the translational pipeline, or products already in clinical use.</w:t>
      </w:r>
    </w:p>
    <w:p w14:paraId="2C3AA05C" w14:textId="16562301" w:rsidR="00316438" w:rsidRDefault="00316438" w:rsidP="00CC60C6">
      <w:pPr>
        <w:rPr>
          <w:rFonts w:asciiTheme="minorHAnsi" w:eastAsiaTheme="minorEastAsia" w:hAnsiTheme="minorHAnsi" w:cstheme="minorHAnsi"/>
        </w:rPr>
      </w:pPr>
    </w:p>
    <w:p w14:paraId="018996FD" w14:textId="4A503A9F" w:rsidR="00316438" w:rsidRPr="00DA6D6F" w:rsidRDefault="00316438" w:rsidP="00DA6D6F">
      <w:pPr>
        <w:rPr>
          <w:rFonts w:asciiTheme="minorHAnsi" w:hAnsiTheme="minorHAnsi" w:cstheme="minorHAnsi"/>
        </w:rPr>
      </w:pPr>
      <w:r w:rsidRPr="00DA6D6F">
        <w:rPr>
          <w:rFonts w:asciiTheme="minorHAnsi" w:eastAsiaTheme="minorEastAsia" w:hAnsiTheme="minorHAnsi" w:cstheme="minorHAnsi"/>
        </w:rPr>
        <w:t xml:space="preserve">In this protocol, a mechanical tester is used to </w:t>
      </w:r>
      <w:r w:rsidR="00BE5CE2" w:rsidRPr="00DA6D6F">
        <w:rPr>
          <w:rFonts w:asciiTheme="minorHAnsi" w:eastAsiaTheme="minorEastAsia" w:hAnsiTheme="minorHAnsi" w:cstheme="minorHAnsi"/>
        </w:rPr>
        <w:t xml:space="preserve">compress the plunger at a set rate, </w:t>
      </w:r>
      <w:r w:rsidR="00B023E9" w:rsidRPr="00DA6D6F">
        <w:rPr>
          <w:rFonts w:asciiTheme="minorHAnsi" w:eastAsiaTheme="minorEastAsia" w:hAnsiTheme="minorHAnsi" w:cstheme="minorHAnsi"/>
        </w:rPr>
        <w:t xml:space="preserve">and measure the force required to do so. </w:t>
      </w:r>
      <w:r w:rsidR="00DA6D6F">
        <w:rPr>
          <w:rFonts w:asciiTheme="minorHAnsi" w:eastAsiaTheme="minorEastAsia" w:hAnsiTheme="minorHAnsi" w:cstheme="minorHAnsi"/>
        </w:rPr>
        <w:t>This type of mechanical tester</w:t>
      </w:r>
      <w:r w:rsidR="00B023E9" w:rsidRPr="00DA6D6F">
        <w:rPr>
          <w:rFonts w:asciiTheme="minorHAnsi" w:eastAsiaTheme="minorEastAsia" w:hAnsiTheme="minorHAnsi" w:cstheme="minorHAnsi"/>
        </w:rPr>
        <w:t xml:space="preserve"> </w:t>
      </w:r>
      <w:r w:rsidR="00DA6D6F">
        <w:rPr>
          <w:rFonts w:asciiTheme="minorHAnsi" w:eastAsiaTheme="minorEastAsia" w:hAnsiTheme="minorHAnsi" w:cstheme="minorHAnsi"/>
        </w:rPr>
        <w:t>is</w:t>
      </w:r>
      <w:r w:rsidR="00B023E9" w:rsidRPr="00DA6D6F">
        <w:rPr>
          <w:rFonts w:asciiTheme="minorHAnsi" w:eastAsiaTheme="minorEastAsia" w:hAnsiTheme="minorHAnsi" w:cstheme="minorHAnsi"/>
        </w:rPr>
        <w:t xml:space="preserve"> common in </w:t>
      </w:r>
      <w:r w:rsidR="00DA6D6F">
        <w:rPr>
          <w:rFonts w:asciiTheme="minorHAnsi" w:eastAsiaTheme="minorEastAsia" w:hAnsiTheme="minorHAnsi" w:cstheme="minorHAnsi"/>
        </w:rPr>
        <w:t>materials laboratories and has</w:t>
      </w:r>
      <w:r w:rsidR="00B023E9" w:rsidRPr="00DA6D6F">
        <w:rPr>
          <w:rFonts w:asciiTheme="minorHAnsi" w:eastAsiaTheme="minorEastAsia" w:hAnsiTheme="minorHAnsi" w:cstheme="minorHAnsi"/>
        </w:rPr>
        <w:t xml:space="preserve"> been</w:t>
      </w:r>
      <w:r w:rsidR="00B964A7" w:rsidRPr="00DA6D6F">
        <w:rPr>
          <w:rFonts w:asciiTheme="minorHAnsi" w:eastAsiaTheme="minorEastAsia" w:hAnsiTheme="minorHAnsi" w:cstheme="minorHAnsi"/>
        </w:rPr>
        <w:t xml:space="preserve"> used to quantify injectability for various biomaterials</w:t>
      </w:r>
      <w:r w:rsidR="00B964A7" w:rsidRPr="00DA6D6F">
        <w:rPr>
          <w:rFonts w:asciiTheme="minorHAnsi" w:hAnsiTheme="minorHAnsi" w:cstheme="minorHAnsi"/>
        </w:rPr>
        <w:fldChar w:fldCharType="begin" w:fldLock="1"/>
      </w:r>
      <w:r w:rsidR="00A665F9">
        <w:rPr>
          <w:rFonts w:asciiTheme="minorHAnsi" w:hAnsiTheme="minorHAnsi" w:cstheme="minorHAnsi"/>
        </w:rPr>
        <w:instrText>ADDIN CSL_CITATION { "citationItems" : [ { "id" : "ITEM-1", "itemData" : { "DOI" : "10.1016/J.BIOMATERIALS.2004.05.010", "ISSN" : "0142-9612", "abstract" : "A theoretical model was developed to assess ways to improve the injectability of calcium phosphate pastes. The theoretical results were then compared to experimental data obtained on calcium phosphate slips. The theoretical approach predicted that the injectability of a cement paste could be improved by an increase of the liquid-to-powder ratio, and a decrease of the particle size and the plastic limit (PL) of the powder. The theoretical results were confirmed by experimental data. Interestingly, an increase of the viscosity of the mixing liquid with small additions of xanthan had a positive effect on the paste injectability. This effect could be due to a change of the PL of the powder or to the lubricating effect of the polymer.", "author" : [ { "dropping-particle" : "", "family" : "Bohner", "given" : "Marc", "non-dropping-particle" : "", "parse-names" : false, "suffix" : "" }, { "dropping-particle" : "", "family" : "Baroud", "given" : "Gamal", "non-dropping-particle" : "", "parse-names" : false, "suffix" : "" } ], "container-title" : "Biomaterials", "id" : "ITEM-1", "issue" : "13", "issued" : { "date-parts" : [ [ "2005", "5", "1" ] ] }, "page" : "1553-1563", "publisher" : "Elsevier", "title" : "Injectability of calcium phosphate pastes", "type" : "article-journal", "volume" : "26" }, "uris" : [ "http://www.mendeley.com/documents/?uuid=f6d1f9bb-a760-3bfd-b280-3f8f933a07f1" ] }, { "id" : "ITEM-2", "itemData" : { "DOI" : "10.1016/j.biomaterials.2003.08.066", "ISBN" : "0142-9612 (Print)\\r0142-9612 (Linking)", "ISSN" : "01429612", "PMID" : "14741635", "abstract" : "A broadening of the indications for which calcium phosphate cements (CPC) can be used, for example, in the field of vertebroplasty, would require injectable and higher strength materials. Unmodified CPC are not injectable due to a filter-pressing effect during injection. In this work we demonstrated that an effective method for improving the injection properties of CPC was by the use of sodium citrate solution as a liquid component. Cement consisting of tetracalcium phosphate (TTCP) and monetite (DCPA) mixed with water up to a powder:liquid ratio (P:L) of 3.3g/ml had an injectability of \u223c60%. The use of 500mM trisodium citrate solution instead of water decreased the viscosity of the cement paste to a point, where complete injectability (&gt;95%) through an 800\u03bcm diameter hypodermic needle could be achieved at low loads. The reduction in water demand of the cement effected by the use of sodium citrate enabled high P:L mixes to be formed which were 400% stronger than cements made with water. The effect was less pronounced with compacted cements such that at 9MPa applied pressure, 58% improvement was obtained and at 50MPa 36% improvement was measured yielding a cement with a compressive strength of 154MPa. The liquefying effect of sodium citrate was thought to derive from a strong increase in the surface charge of both the reactants and the product as determined by zeta-potential measurement. \u00a9 2003 Elsevier Ltd. All rights reserved.", "author" : [ { "dropping-particle" : "", "family" : "Gbureck", "given" : "Uwe", "non-dropping-particle" : "", "parse-names" : false, "suffix" : "" }, { "dropping-particle" : "", "family" : "Barralet", "given" : "Jake E.", "non-dropping-particle" : "", "parse-names" : false, "suffix" : "" }, { "dropping-particle" : "", "family" : "Spatz", "given" : "Kerstin", "non-dropping-particle" : "", "parse-names" : false, "suffix" : "" }, { "dropping-particle" : "", "family" : "Grover", "given" : "Liam M.", "non-dropping-particle" : "", "parse-names" : false, "suffix" : "" }, { "dropping-particle" : "", "family" : "Thull", "given" : "Roger", "non-dropping-particle" : "", "parse-names" : false, "suffix" : "" } ], "container-title" : "Biomaterials", "id" : "ITEM-2", "issue" : "11", "issued" : { "date-parts" : [ [ "2004", "5", "1" ] ] }, "page" : "2187-2195", "publisher" : "Elsevier", "title" : "Ionic Modification of Calcium Phosphate Cement Viscosity. Part I: Hypodermic Injection and Strength Improvement of Apatite Cement", "type" : "article-journal", "volume" : "25" }, "uris" : [ "http://www.mendeley.com/documents/?uuid=2b8985d6-fb1d-3b27-b877-2dec46e65864" ] }, { "id" : "ITEM-3", "itemData" : { "DOI" : "10.1016/J.ACTBIO.2011.10.032", "ISSN" : "1742-7061", "abstract" : "This study examined the use of ultrasonication to improve the injectability of an aqueous calcium phosphate paste. Ultrasonication was applied to the paste through the plunger of the delivery syringe. A factorial design of experiments with three investigated factors, liquid to powder ratio (LPR) (38%, 39% and 40%), the size of the delivery syringe (5 and 10ml) and the amplitude of the 20kHz power ultrasonication (0\u201330\u03bcm), was used in this study. The volume fraction of the extruded paste was used to quantify injectability. Small injectability improvements were observed with an increase in LPR and decrease in syringe size, which is consistent with previously published results. The improvements due to ultrasonication were significant and remarkable. For example, when using the 5ml syringe the injected volume fraction of the 38% LPR paste improved from 63.4\u00b12.3% without ultrasonication to 97.3\u00b12.4% with 30%. This result shows that ultrasonication is an effective solution to improve injectability.", "author" : [ { "dropping-particle" : "", "family" : "Habib", "given" : "Mohamed", "non-dropping-particle" : "", "parse-names" : false, "suffix" : "" }, { "dropping-particle" : "", "family" : "Baroud", "given" : "Gamal", "non-dropping-particle" : "", "parse-names" : false, "suffix" : "" }, { "dropping-particle" : "", "family" : "Galea", "given" : "Laetitia", "non-dropping-particle" : "", "parse-names" : false, "suffix" : "" }, { "dropping-particle" : "", "family" : "Bohner", "given" : "Marc", "non-dropping-particle" : "", "parse-names" : false, "suffix" : "" } ], "container-title" : "Acta Biomaterialia", "id" : "ITEM-3", "issue" : "3", "issued" : { "date-parts" : [ [ "2012", "3", "1" ] ] }, "page" : "1164-1168", "publisher" : "Elsevier", "title" : "Evaluation of the ultrasonication process for injectability of hydraulic calcium phosphate pastes", "type" : "article-journal", "volume" : "8" }, "uris" : [ "http://www.mendeley.com/documents/?uuid=1d2bfbac-99a4-3b06-9c02-10947353607e" ] }, { "id" : "ITEM-4", "itemData" : { "DOI" : "10.1088/1741-2560/5/2/013", "ISSN" : "1741-2560", "author" : [ { "dropping-particle" : "", "family" : "Martin", "given" : "Benton C", "non-dropping-particle" : "", "parse-names" : false, "suffix" : "" }, { "dropping-particle" : "", "family" : "Minner", "given" : "Eric J", "non-dropping-particle" : "", "parse-names" : false, "suffix" : "" }, { "dropping-particle" : "", "family" : "Wiseman", "given" : "Sherri L", "non-dropping-particle" : "", "parse-names" : false, "suffix" : "" }, { "dropping-particle" : "", "family" : "Klank", "given" : "Rebecca L", "non-dropping-particle" : "", "parse-names" : false, "suffix" : "" }, { "dropping-particle" : "", "family" : "Gilbert", "given" : "Ryan J", "non-dropping-particle" : "", "parse-names" : false, "suffix" : "" } ], "container-title" : "Journal of Neural Engineering", "id" : "ITEM-4", "issue" : "2", "issued" : { "date-parts" : [ [ "2008", "6", "15" ] ] }, "page" : "221-231", "publisher" : "IOP Publishing", "title" : "Agarose and methylcellulose hydrogel blends for nerve regeneration applications", "type" : "article-journal", "volume" : "5" }, "uris" : [ "http://www.mendeley.com/documents/?uuid=1751843e-287d-37ee-ba3b-3acd56b82daf" ] }, { "id" : "ITEM-5", "itemData" : { "DOI" : "10.1155/2015/871218", "ISSN" : "2314-6141", "PMID" : "26090451", "abstract" : "Hyaluronic acid (HA) hydrogels, obtained by cross-linking HA molecules with divinyl sulfone (DVS) based on a simple, reproducible, and safe process that does not employ any organic solvents, were developed. Owing to an innovative preparation method the resulting homogeneous hydrogels do not contain any detectable residual cross-linking agent and are easier to inject through a fine needle. HA hydrogels were characterized in terms of degradation and biological properties, viscoelasticity, injectability, and network structural parameters. They exhibit a rheological behaviour typical of strong gels and show improved viscoelastic properties by increasing HA concentration and decreasing HA/DVS weight ratio. Furthermore, it was demonstrated that processes such as sterilization and extrusion through clinical needles do not imply significant alteration of viscoelastic properties. Both SANS and rheological tests indicated that the cross-links appear to compact the network, resulting in a reduction of the mesh size by increasing the cross-linker amount. In vitro degradation tests of the HA hydrogels demonstrated that these new hydrogels show a good stability against enzymatic degradation, which increases by increasing HA concentration and decreasing HA/DVS weight ratio. Finally, the hydrogels show a good biocompatibility confirmed by in vitro tests.", "author" : [ { "dropping-particle" : "", "family" : "Borzacchiello", "given" : "Assunta", "non-dropping-particle" : "", "parse-names" : false, "suffix" : "" }, { "dropping-particle" : "", "family" : "Russo", "given" : "Luisa", "non-dropping-particle" : "", "parse-names" : false, "suffix" : "" }, { "dropping-particle" : "", "family" : "Malle", "given" : "Birgitte M", "non-dropping-particle" : "", "parse-names" : false, "suffix" : "" }, { "dropping-particle" : "", "family" : "Schwach-Abdellaoui", "given" : "Khadija", "non-dropping-particle" : "", "parse-names" : false, "suffix" : "" }, { "dropping-particle" : "", "family" : "Ambrosio", "given" : "Luigi", "non-dropping-particle" : "", "parse-names" : false, "suffix" : "" } ], "container-title" : "BioMed research international", "id" : "ITEM-5", "issued" : { "date-parts" : [ [ "2015", "5", "19" ] ] }, "page" : "871218", "publisher" : "Hindawi", "title" : "Hyaluronic Acid Based Hydrogels for Regenerative Medicine Applications.", "type" : "article-journal", "volume" : "2015" }, "uris" : [ "http://www.mendeley.com/documents/?uuid=369015e5-fa67-324a-abfa-ef071525555d" ] }, { "id" : "ITEM-6", "itemData" : { "DOI" : "10.1016/J.BIOMATERIALS.2010.05.017", "ISSN" : "0142-9612", "abstract" : "The need for bone repair has increased as the population ages. Stem cell-scaffold approaches hold immense promise for bone tissue engineering. However, currently, preformed scaffolds for cell delivery have drawbacks including the difficulty to seed cells deep into the scaffold, and inability for injection in minimally-invasive surgeries. Current injectable polymeric carriers and hydrogels are too weak for load-bearing orthopedic applications. The objective of this study was to develop an injectable and mechanically-strong stem cell construct for bone tissue engineering. Calcium phosphate cement (CPC) paste was combined with hydrogel microbeads encapsulating human umbilical cord mesenchymal stem cells (hUCMSCs). The hUCMSC-encapsulating composite paste was fully injectable under small injection forces. Cell viability after injection matched that in hydrogel without CPC and without injection. Mechanical properties of the construct matched the reported values of cancellous bone, and were much higher than previous injectable polymeric and hydrogel carriers. hUCMSCs in the injectable constructs osteodifferentiated, yielding high alkaline phosphatase, osteocalcin, collagen type I, and osterix gene expressions at 7\u00a0d, which were 50\u201370 fold higher than those at 1\u00a0d. Mineralization by the hUCMSCs at 14\u00a0d was 100-fold that at 1\u00a0d. In conclusion, a fully injectable, mechanically-strong, stem cell\u2013CPC scaffold construct was developed. The encapsulated hUCMSCs remained viable, osteodifferentiated, and synthesized bone minerals. The new injectable stem cell construct with load-bearing capability may enhance bone regeneration in minimally-invasive and other orthopedic surgeries.", "author" : [ { "dropping-particle" : "", "family" : "Zhao", "given" : "Liang", "non-dropping-particle" : "", "parse-names" : false, "suffix" : "" }, { "dropping-particle" : "", "family" : "Weir", "given" : "Michael D.", "non-dropping-particle" : "", "parse-names" : false, "suffix" : "" }, { "dropping-particle" : "", "family" : "Xu", "given" : "Hockin H.K.", "non-dropping-particle" : "", "parse-names" : false, "suffix" : "" } ], "container-title" : "Biomaterials", "id" : "ITEM-6", "issue" : "25", "issued" : { "date-parts" : [ [ "2010", "9", "1" ] ] }, "page" : "6502-6510", "publisher" : "Elsevier", "title" : "An injectable calcium phosphate-alginate hydrogel-umbilical cord mesenchymal stem cell paste for bone tissue engineering", "type" : "article-journal", "volume" : "31" }, "uris" : [ "http://www.mendeley.com/documents/?uuid=8580b990-f8da-3a3a-85b3-92f5f1a87eb4" ] }, { "id" : "ITEM-7", "itemData" : { "DOI" : "10.1016/J.CARBPOL.2012.03.083", "ISSN" : "0144-8617", "abstract" : "This study demonstrated a chitosan (CS)/polyglutamate (PG) polyelectrolyte complex (PEC) hydrogel combined with spherical hydroxyapatite (HAp) particles as an injectable dermal filler for soft-tissue augmentation. The CS/PG PEC hydrogel with oppositely charged ionic cross-linking, a high gel content, and low degradation rate was introduced as a carrier to achieve high shape and volume stability. An MTT assay indicated that the CS/PG PEC had satisfactory cell biocompatibility. This PEC/HAp hydrogel showed good structural integrity in a PBS solution for up to 60 days. Clinical manageability was indexed by an injection force measurement through sterile 27-gauge needles using a texture analyzer. In an animal study, 0.2mL of the PEC and PEC/hydroxyapatite (HAp) were implanted within the dorsal dermis of a swine ear. Injected tissue areas were biopsied 2 weeks, and 2 and 6 months after the injection. According to the histomorphometric results, the PEC and PEC/HAp groups showed percentages of retention of the maximum height of the cross-section of about 44% and 73% at 6 months. New collagen was observed in the central position indicating a possible collagenesis effect. These results suggest that this PEC/HAp system can be used as an alternative for soft-tissue augmentation.", "author" : [ { "dropping-particle" : "", "family" : "Ji", "given" : "Dian-Yu", "non-dropping-particle" : "", "parse-names" : false, "suffix" : "" }, { "dropping-particle" : "", "family" : "Kuo", "given" : "Tzong-Fu", "non-dropping-particle" : "", "parse-names" : false, "suffix" : "" }, { "dropping-particle" : "", "family" : "Wu", "given" : "Hong-Da", "non-dropping-particle" : "", "parse-names" : false, "suffix" : "" }, { "dropping-particle" : "", "family" : "Yang", "given" : "Jen-Chang", "non-dropping-particle" : "", "parse-names" : false, "suffix" : "" }, { "dropping-particle" : "", "family" : "Lee", "given" : "Shang-Yang", "non-dropping-particle" : "", "parse-names" : false, "suffix" : "" } ], "container-title" : "Carbohydrate Polymers", "id" : "ITEM-7", "issue" : "4", "issued" : { "date-parts" : [ [ "2012", "8", "1" ] ] }, "page" : "1123-1130", "publisher" : "Elsevier", "title" : "A novel injectable chitosan/polyglutamate polyelectrolyte complex hydrogel with hydroxyapatite for soft-tissue augmentation", "type" : "article-journal", "volume" : "89" }, "uris" : [ "http://www.mendeley.com/documents/?uuid=a6c5ca91-f6d3-3003-80ad-460c1f0be109" ] } ], "mendeley" : { "formattedCitation" : "&lt;sup&gt;18\u201324&lt;/sup&gt;", "plainTextFormattedCitation" : "18\u201324", "previouslyFormattedCitation" : "&lt;sup&gt;18\u201324&lt;/sup&gt;" }, "properties" : { "noteIndex" : 0 }, "schema" : "https://github.com/citation-style-language/schema/raw/master/csl-citation.json" }</w:instrText>
      </w:r>
      <w:r w:rsidR="00B964A7" w:rsidRPr="00DA6D6F">
        <w:rPr>
          <w:rFonts w:asciiTheme="minorHAnsi" w:hAnsiTheme="minorHAnsi" w:cstheme="minorHAnsi"/>
        </w:rPr>
        <w:fldChar w:fldCharType="separate"/>
      </w:r>
      <w:r w:rsidR="00A665F9" w:rsidRPr="00A665F9">
        <w:rPr>
          <w:rFonts w:asciiTheme="minorHAnsi" w:hAnsiTheme="minorHAnsi" w:cstheme="minorHAnsi"/>
          <w:noProof/>
          <w:vertAlign w:val="superscript"/>
        </w:rPr>
        <w:t>18–24</w:t>
      </w:r>
      <w:r w:rsidR="00B964A7" w:rsidRPr="00DA6D6F">
        <w:rPr>
          <w:rFonts w:asciiTheme="minorHAnsi" w:hAnsiTheme="minorHAnsi" w:cstheme="minorHAnsi"/>
        </w:rPr>
        <w:fldChar w:fldCharType="end"/>
      </w:r>
      <w:r w:rsidR="00B964A7" w:rsidRPr="00DA6D6F">
        <w:rPr>
          <w:rFonts w:asciiTheme="minorHAnsi" w:hAnsiTheme="minorHAnsi" w:cstheme="minorHAnsi"/>
        </w:rPr>
        <w:t xml:space="preserve">. </w:t>
      </w:r>
      <w:r w:rsidR="00DA6D6F">
        <w:rPr>
          <w:rFonts w:asciiTheme="minorHAnsi" w:hAnsiTheme="minorHAnsi" w:cstheme="minorHAnsi"/>
        </w:rPr>
        <w:t>This</w:t>
      </w:r>
      <w:r w:rsidR="00DE551F" w:rsidRPr="00DA6D6F">
        <w:rPr>
          <w:rFonts w:asciiTheme="minorHAnsi" w:hAnsiTheme="minorHAnsi" w:cstheme="minorHAnsi"/>
        </w:rPr>
        <w:t xml:space="preserve"> test can be used with any size and geometry of syringe and needle, containing any material. Further, in the case of biomaterials that are made immediately prior to</w:t>
      </w:r>
      <w:r w:rsidR="00477E3E">
        <w:rPr>
          <w:rFonts w:asciiTheme="minorHAnsi" w:hAnsiTheme="minorHAnsi" w:cstheme="minorHAnsi"/>
        </w:rPr>
        <w:t xml:space="preserve"> the</w:t>
      </w:r>
      <w:r w:rsidR="00DE551F" w:rsidRPr="00DA6D6F">
        <w:rPr>
          <w:rFonts w:asciiTheme="minorHAnsi" w:hAnsiTheme="minorHAnsi" w:cstheme="minorHAnsi"/>
        </w:rPr>
        <w:t xml:space="preserve"> use, the exact formulation procedure that would be used in </w:t>
      </w:r>
      <w:r w:rsidR="00477E3E">
        <w:rPr>
          <w:rFonts w:asciiTheme="minorHAnsi" w:hAnsiTheme="minorHAnsi" w:cstheme="minorHAnsi"/>
        </w:rPr>
        <w:t xml:space="preserve">the </w:t>
      </w:r>
      <w:r w:rsidR="00DE551F" w:rsidRPr="00DA6D6F">
        <w:rPr>
          <w:rFonts w:asciiTheme="minorHAnsi" w:hAnsiTheme="minorHAnsi" w:cstheme="minorHAnsi"/>
        </w:rPr>
        <w:t xml:space="preserve">clinic or surgery can be followed prior to testing. A further advantage of this procedure is that it is relatively fast; once the mechanical tester is set up, </w:t>
      </w:r>
      <w:r w:rsidR="006B589A">
        <w:rPr>
          <w:rFonts w:asciiTheme="minorHAnsi" w:hAnsiTheme="minorHAnsi" w:cstheme="minorHAnsi"/>
        </w:rPr>
        <w:t>tens of</w:t>
      </w:r>
      <w:r w:rsidR="00DE551F" w:rsidRPr="00DA6D6F">
        <w:rPr>
          <w:rFonts w:asciiTheme="minorHAnsi" w:hAnsiTheme="minorHAnsi" w:cstheme="minorHAnsi"/>
        </w:rPr>
        <w:t xml:space="preserve"> samples can be studied in an hour</w:t>
      </w:r>
      <w:r w:rsidR="00411AA8">
        <w:rPr>
          <w:rFonts w:asciiTheme="minorHAnsi" w:hAnsiTheme="minorHAnsi" w:cstheme="minorHAnsi"/>
        </w:rPr>
        <w:t>, depending on extrusion speed and syringe volume</w:t>
      </w:r>
      <w:r w:rsidR="00DE551F" w:rsidRPr="00DA6D6F">
        <w:rPr>
          <w:rFonts w:asciiTheme="minorHAnsi" w:hAnsiTheme="minorHAnsi" w:cstheme="minorHAnsi"/>
        </w:rPr>
        <w:t xml:space="preserve">. This is in contrast to rotational rheology, which typically takes at least 5 – 10 minutes per test, plus loading, equilibration and cleaning time. Using a mechanical tester produces a reliable extrusion rate equally over the plunger, which </w:t>
      </w:r>
      <w:r w:rsidR="00C857F0">
        <w:rPr>
          <w:rFonts w:asciiTheme="minorHAnsi" w:hAnsiTheme="minorHAnsi" w:cstheme="minorHAnsi"/>
        </w:rPr>
        <w:t>is particularly advantageous</w:t>
      </w:r>
      <w:r w:rsidR="00DE551F" w:rsidRPr="00DA6D6F">
        <w:rPr>
          <w:rFonts w:asciiTheme="minorHAnsi" w:hAnsiTheme="minorHAnsi" w:cstheme="minorHAnsi"/>
        </w:rPr>
        <w:t xml:space="preserve"> for viscous formulations or those with time dependent properties. Following testing, minimal post-processing of data is required to pull out important values </w:t>
      </w:r>
      <w:r w:rsidR="00DA6D6F">
        <w:rPr>
          <w:rFonts w:asciiTheme="minorHAnsi" w:hAnsiTheme="minorHAnsi" w:cstheme="minorHAnsi"/>
        </w:rPr>
        <w:t>for objective comparisons.</w:t>
      </w:r>
    </w:p>
    <w:p w14:paraId="237AD7DD" w14:textId="77777777" w:rsidR="00D15131" w:rsidRPr="00FC6506" w:rsidRDefault="00D15131" w:rsidP="001B1519">
      <w:pPr>
        <w:rPr>
          <w:rFonts w:asciiTheme="minorHAnsi" w:hAnsiTheme="minorHAnsi" w:cstheme="minorHAnsi"/>
          <w:b/>
        </w:rPr>
      </w:pPr>
    </w:p>
    <w:p w14:paraId="3D4CD2F3" w14:textId="5DF0F874" w:rsidR="006305D7" w:rsidRPr="00990787" w:rsidRDefault="006305D7" w:rsidP="001B1519">
      <w:pPr>
        <w:rPr>
          <w:rFonts w:asciiTheme="minorHAnsi" w:hAnsiTheme="minorHAnsi" w:cstheme="minorHAnsi"/>
          <w:color w:val="808080" w:themeColor="background1" w:themeShade="80"/>
        </w:rPr>
      </w:pPr>
      <w:bookmarkStart w:id="1" w:name="_Hlk37164197"/>
      <w:r w:rsidRPr="00990787">
        <w:rPr>
          <w:rFonts w:asciiTheme="minorHAnsi" w:hAnsiTheme="minorHAnsi" w:cstheme="minorHAnsi"/>
          <w:b/>
        </w:rPr>
        <w:t>PROTOCOL:</w:t>
      </w:r>
    </w:p>
    <w:p w14:paraId="4982E4DB" w14:textId="1C96B8A0" w:rsidR="00C87E44" w:rsidRPr="00990787" w:rsidRDefault="00C87E44" w:rsidP="000C7727">
      <w:pPr>
        <w:pStyle w:val="ListParagraph"/>
        <w:numPr>
          <w:ilvl w:val="0"/>
          <w:numId w:val="33"/>
        </w:numPr>
        <w:rPr>
          <w:rFonts w:asciiTheme="minorHAnsi" w:hAnsiTheme="minorHAnsi" w:cstheme="minorHAnsi"/>
          <w:b/>
          <w:color w:val="auto"/>
        </w:rPr>
      </w:pPr>
      <w:r w:rsidRPr="00990787">
        <w:rPr>
          <w:rFonts w:asciiTheme="minorHAnsi" w:hAnsiTheme="minorHAnsi" w:cstheme="minorHAnsi"/>
          <w:b/>
          <w:color w:val="auto"/>
        </w:rPr>
        <w:t>Sample Preparation</w:t>
      </w:r>
    </w:p>
    <w:p w14:paraId="5D3589B8" w14:textId="77777777" w:rsidR="008B5CAC" w:rsidRPr="00990787" w:rsidRDefault="008B5CAC" w:rsidP="008B5CAC">
      <w:pPr>
        <w:ind w:left="360"/>
        <w:rPr>
          <w:rFonts w:asciiTheme="minorHAnsi" w:hAnsiTheme="minorHAnsi" w:cstheme="minorHAnsi"/>
          <w:b/>
          <w:color w:val="auto"/>
        </w:rPr>
      </w:pPr>
    </w:p>
    <w:p w14:paraId="4D3CC960" w14:textId="63B7599E" w:rsidR="00C87E44" w:rsidRPr="00990787" w:rsidRDefault="00C87E44" w:rsidP="00C87E44">
      <w:pPr>
        <w:pStyle w:val="ListParagraph"/>
        <w:numPr>
          <w:ilvl w:val="1"/>
          <w:numId w:val="33"/>
        </w:numPr>
        <w:rPr>
          <w:rFonts w:asciiTheme="minorHAnsi" w:hAnsiTheme="minorHAnsi" w:cstheme="minorHAnsi"/>
          <w:color w:val="auto"/>
        </w:rPr>
      </w:pPr>
      <w:r w:rsidRPr="00990787">
        <w:rPr>
          <w:rFonts w:asciiTheme="minorHAnsi" w:hAnsiTheme="minorHAnsi" w:cstheme="minorHAnsi"/>
          <w:color w:val="auto"/>
        </w:rPr>
        <w:t>Prepare the sample and load it into the syringe</w:t>
      </w:r>
      <w:r w:rsidR="000C7727" w:rsidRPr="00990787">
        <w:rPr>
          <w:rFonts w:asciiTheme="minorHAnsi" w:hAnsiTheme="minorHAnsi" w:cstheme="minorHAnsi"/>
          <w:color w:val="auto"/>
        </w:rPr>
        <w:t>.</w:t>
      </w:r>
    </w:p>
    <w:p w14:paraId="0BF5E5D5" w14:textId="77777777" w:rsidR="008B5CAC" w:rsidRPr="00990787" w:rsidRDefault="008B5CAC" w:rsidP="008B5CAC">
      <w:pPr>
        <w:ind w:left="360"/>
        <w:rPr>
          <w:rFonts w:asciiTheme="minorHAnsi" w:hAnsiTheme="minorHAnsi" w:cstheme="minorHAnsi"/>
          <w:color w:val="auto"/>
        </w:rPr>
      </w:pPr>
    </w:p>
    <w:p w14:paraId="2CC14F13" w14:textId="77777777" w:rsidR="00151A91" w:rsidRDefault="00C87E44" w:rsidP="00151A91">
      <w:pPr>
        <w:pStyle w:val="ListParagraph"/>
        <w:numPr>
          <w:ilvl w:val="2"/>
          <w:numId w:val="38"/>
        </w:numPr>
        <w:rPr>
          <w:rFonts w:asciiTheme="minorHAnsi" w:hAnsiTheme="minorHAnsi" w:cstheme="minorHAnsi"/>
          <w:color w:val="auto"/>
        </w:rPr>
      </w:pPr>
      <w:r w:rsidRPr="00990787">
        <w:rPr>
          <w:rFonts w:asciiTheme="minorHAnsi" w:hAnsiTheme="minorHAnsi" w:cstheme="minorHAnsi"/>
          <w:color w:val="auto"/>
        </w:rPr>
        <w:t xml:space="preserve">To simulate a pre-loaded syringe, </w:t>
      </w:r>
      <w:r w:rsidR="000C7727" w:rsidRPr="00990787">
        <w:rPr>
          <w:rFonts w:asciiTheme="minorHAnsi" w:hAnsiTheme="minorHAnsi" w:cstheme="minorHAnsi"/>
          <w:color w:val="auto"/>
        </w:rPr>
        <w:t>prepare the sample in advance, load it into the syringe, and attach the needle. Store as required, until testing.</w:t>
      </w:r>
      <w:r w:rsidR="004C4C74" w:rsidRPr="00990787">
        <w:rPr>
          <w:rFonts w:asciiTheme="minorHAnsi" w:hAnsiTheme="minorHAnsi" w:cstheme="minorHAnsi"/>
          <w:color w:val="auto"/>
        </w:rPr>
        <w:t xml:space="preserve"> This may be suitable for hydrogels and materials that do not change with time.</w:t>
      </w:r>
      <w:r w:rsidR="002033C5" w:rsidRPr="00990787">
        <w:rPr>
          <w:rFonts w:asciiTheme="minorHAnsi" w:hAnsiTheme="minorHAnsi" w:cstheme="minorHAnsi"/>
          <w:color w:val="auto"/>
        </w:rPr>
        <w:t xml:space="preserve"> </w:t>
      </w:r>
    </w:p>
    <w:p w14:paraId="4C74B7E1" w14:textId="77777777" w:rsidR="00151A91" w:rsidRDefault="00151A91" w:rsidP="00151A91">
      <w:pPr>
        <w:pStyle w:val="ListParagraph"/>
        <w:ind w:left="0"/>
        <w:rPr>
          <w:rFonts w:asciiTheme="minorHAnsi" w:hAnsiTheme="minorHAnsi" w:cstheme="minorHAnsi"/>
          <w:color w:val="auto"/>
        </w:rPr>
      </w:pPr>
    </w:p>
    <w:p w14:paraId="19444967" w14:textId="2695A8A2" w:rsidR="00C87E44" w:rsidRPr="00151A91" w:rsidRDefault="00151A91" w:rsidP="00151A91">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2033C5" w:rsidRPr="00151A91">
        <w:rPr>
          <w:rFonts w:asciiTheme="minorHAnsi" w:hAnsiTheme="minorHAnsi" w:cstheme="minorHAnsi"/>
          <w:color w:val="auto"/>
        </w:rPr>
        <w:t xml:space="preserve">For example, </w:t>
      </w:r>
      <w:r w:rsidR="00FB2621" w:rsidRPr="00151A91">
        <w:rPr>
          <w:rFonts w:asciiTheme="minorHAnsi" w:hAnsiTheme="minorHAnsi" w:cstheme="minorHAnsi"/>
          <w:color w:val="auto"/>
        </w:rPr>
        <w:t>to prepare 2</w:t>
      </w:r>
      <w:r w:rsidR="002033C5" w:rsidRPr="00151A91">
        <w:rPr>
          <w:rFonts w:asciiTheme="minorHAnsi" w:hAnsiTheme="minorHAnsi" w:cstheme="minorHAnsi"/>
          <w:color w:val="auto"/>
        </w:rPr>
        <w:t>% alginate solutions</w:t>
      </w:r>
      <w:r w:rsidR="00FB2621" w:rsidRPr="00151A91">
        <w:rPr>
          <w:rFonts w:asciiTheme="minorHAnsi" w:hAnsiTheme="minorHAnsi" w:cstheme="minorHAnsi"/>
          <w:color w:val="auto"/>
        </w:rPr>
        <w:t>, dissolve</w:t>
      </w:r>
      <w:r w:rsidR="002033C5" w:rsidRPr="00151A91">
        <w:rPr>
          <w:rFonts w:asciiTheme="minorHAnsi" w:hAnsiTheme="minorHAnsi" w:cstheme="minorHAnsi"/>
          <w:color w:val="auto"/>
        </w:rPr>
        <w:t xml:space="preserve"> </w:t>
      </w:r>
      <w:r w:rsidR="00FB2621" w:rsidRPr="00151A91">
        <w:rPr>
          <w:rFonts w:asciiTheme="minorHAnsi" w:hAnsiTheme="minorHAnsi" w:cstheme="minorHAnsi"/>
          <w:color w:val="auto"/>
        </w:rPr>
        <w:t>2</w:t>
      </w:r>
      <w:r w:rsidR="002033C5" w:rsidRPr="00151A91">
        <w:rPr>
          <w:rFonts w:asciiTheme="minorHAnsi" w:hAnsiTheme="minorHAnsi" w:cstheme="minorHAnsi"/>
          <w:color w:val="auto"/>
        </w:rPr>
        <w:t xml:space="preserve"> g of alginic acid sodium salt in 100 m</w:t>
      </w:r>
      <w:r w:rsidR="00477E3E" w:rsidRPr="00151A91">
        <w:rPr>
          <w:rFonts w:asciiTheme="minorHAnsi" w:hAnsiTheme="minorHAnsi" w:cstheme="minorHAnsi"/>
          <w:color w:val="auto"/>
        </w:rPr>
        <w:t>L</w:t>
      </w:r>
      <w:r w:rsidR="002033C5" w:rsidRPr="00151A91">
        <w:rPr>
          <w:rFonts w:asciiTheme="minorHAnsi" w:hAnsiTheme="minorHAnsi" w:cstheme="minorHAnsi"/>
          <w:color w:val="auto"/>
        </w:rPr>
        <w:t xml:space="preserve"> of deionized water, </w:t>
      </w:r>
      <w:r w:rsidR="00FB2621" w:rsidRPr="00151A91">
        <w:rPr>
          <w:rFonts w:asciiTheme="minorHAnsi" w:hAnsiTheme="minorHAnsi" w:cstheme="minorHAnsi"/>
          <w:color w:val="auto"/>
        </w:rPr>
        <w:t>by stirring at room temperature. Aspirate the solution into 5 m</w:t>
      </w:r>
      <w:r w:rsidR="00477E3E" w:rsidRPr="00151A91">
        <w:rPr>
          <w:rFonts w:asciiTheme="minorHAnsi" w:hAnsiTheme="minorHAnsi" w:cstheme="minorHAnsi"/>
          <w:color w:val="auto"/>
        </w:rPr>
        <w:t>L</w:t>
      </w:r>
      <w:r w:rsidR="00FB2621" w:rsidRPr="00151A91">
        <w:rPr>
          <w:rFonts w:asciiTheme="minorHAnsi" w:hAnsiTheme="minorHAnsi" w:cstheme="minorHAnsi"/>
          <w:color w:val="auto"/>
        </w:rPr>
        <w:t xml:space="preserve"> syringes, and store for 24 h at room temperature.</w:t>
      </w:r>
    </w:p>
    <w:p w14:paraId="7DBC2C17" w14:textId="77777777" w:rsidR="00624C3F" w:rsidRPr="00990787" w:rsidRDefault="00624C3F" w:rsidP="00477E3E">
      <w:pPr>
        <w:rPr>
          <w:rFonts w:asciiTheme="minorHAnsi" w:hAnsiTheme="minorHAnsi" w:cstheme="minorHAnsi"/>
          <w:color w:val="auto"/>
        </w:rPr>
      </w:pPr>
    </w:p>
    <w:p w14:paraId="0B6526F8" w14:textId="210DFBE0" w:rsidR="000C7727" w:rsidRPr="00990787" w:rsidRDefault="00477E3E" w:rsidP="00990787">
      <w:pPr>
        <w:pStyle w:val="ListParagraph"/>
        <w:numPr>
          <w:ilvl w:val="2"/>
          <w:numId w:val="38"/>
        </w:numPr>
        <w:rPr>
          <w:rFonts w:asciiTheme="minorHAnsi" w:hAnsiTheme="minorHAnsi" w:cstheme="minorHAnsi"/>
          <w:color w:val="auto"/>
        </w:rPr>
      </w:pPr>
      <w:r>
        <w:rPr>
          <w:rFonts w:asciiTheme="minorHAnsi" w:hAnsiTheme="minorHAnsi" w:cstheme="minorHAnsi"/>
          <w:color w:val="auto"/>
        </w:rPr>
        <w:t>Alternatively, t</w:t>
      </w:r>
      <w:r w:rsidR="000C7727" w:rsidRPr="00990787">
        <w:rPr>
          <w:rFonts w:asciiTheme="minorHAnsi" w:hAnsiTheme="minorHAnsi" w:cstheme="minorHAnsi"/>
          <w:color w:val="auto"/>
        </w:rPr>
        <w:t xml:space="preserve">o simulate an injection </w:t>
      </w:r>
      <w:r w:rsidR="00A40472" w:rsidRPr="00990787">
        <w:rPr>
          <w:rFonts w:asciiTheme="minorHAnsi" w:hAnsiTheme="minorHAnsi" w:cstheme="minorHAnsi"/>
          <w:color w:val="auto"/>
        </w:rPr>
        <w:t>formulated</w:t>
      </w:r>
      <w:r w:rsidR="000C7727" w:rsidRPr="00990787">
        <w:rPr>
          <w:rFonts w:asciiTheme="minorHAnsi" w:hAnsiTheme="minorHAnsi" w:cstheme="minorHAnsi"/>
          <w:color w:val="auto"/>
        </w:rPr>
        <w:t xml:space="preserve"> </w:t>
      </w:r>
      <w:r w:rsidR="00A40472" w:rsidRPr="00990787">
        <w:rPr>
          <w:rFonts w:asciiTheme="minorHAnsi" w:hAnsiTheme="minorHAnsi" w:cstheme="minorHAnsi"/>
          <w:color w:val="auto"/>
        </w:rPr>
        <w:t xml:space="preserve">directly prior to </w:t>
      </w:r>
      <w:r>
        <w:rPr>
          <w:rFonts w:asciiTheme="minorHAnsi" w:hAnsiTheme="minorHAnsi" w:cstheme="minorHAnsi"/>
          <w:color w:val="auto"/>
        </w:rPr>
        <w:t xml:space="preserve">the </w:t>
      </w:r>
      <w:r w:rsidR="00A40472" w:rsidRPr="00990787">
        <w:rPr>
          <w:rFonts w:asciiTheme="minorHAnsi" w:hAnsiTheme="minorHAnsi" w:cstheme="minorHAnsi"/>
          <w:color w:val="auto"/>
        </w:rPr>
        <w:t>application, prepare the sample in the same way it would be made in the clinic,</w:t>
      </w:r>
      <w:r w:rsidR="00006794" w:rsidRPr="00990787">
        <w:rPr>
          <w:rFonts w:asciiTheme="minorHAnsi" w:hAnsiTheme="minorHAnsi" w:cstheme="minorHAnsi"/>
          <w:color w:val="auto"/>
        </w:rPr>
        <w:t xml:space="preserve"> allowing for any setting times</w:t>
      </w:r>
      <w:r>
        <w:rPr>
          <w:rFonts w:asciiTheme="minorHAnsi" w:hAnsiTheme="minorHAnsi" w:cstheme="minorHAnsi"/>
          <w:color w:val="auto"/>
        </w:rPr>
        <w:t>. L</w:t>
      </w:r>
      <w:r w:rsidR="00006794" w:rsidRPr="00990787">
        <w:rPr>
          <w:rFonts w:asciiTheme="minorHAnsi" w:hAnsiTheme="minorHAnsi" w:cstheme="minorHAnsi"/>
          <w:color w:val="auto"/>
        </w:rPr>
        <w:t xml:space="preserve">oad </w:t>
      </w:r>
      <w:r w:rsidR="00006794" w:rsidRPr="00990787">
        <w:rPr>
          <w:rFonts w:asciiTheme="minorHAnsi" w:hAnsiTheme="minorHAnsi" w:cstheme="minorHAnsi"/>
          <w:color w:val="auto"/>
        </w:rPr>
        <w:lastRenderedPageBreak/>
        <w:t>into the syringe and attach the needle.</w:t>
      </w:r>
      <w:r w:rsidR="004C4C74" w:rsidRPr="00990787">
        <w:rPr>
          <w:rFonts w:asciiTheme="minorHAnsi" w:hAnsiTheme="minorHAnsi" w:cstheme="minorHAnsi"/>
          <w:color w:val="auto"/>
        </w:rPr>
        <w:t xml:space="preserve"> This may be suitable for cements, and materials whose properties change with time.</w:t>
      </w:r>
    </w:p>
    <w:p w14:paraId="4A6BAAC4" w14:textId="77777777" w:rsidR="00151A91" w:rsidRDefault="00151A91" w:rsidP="00151A91">
      <w:pPr>
        <w:pStyle w:val="ListParagraph"/>
        <w:ind w:left="0"/>
        <w:rPr>
          <w:rFonts w:asciiTheme="minorHAnsi" w:hAnsiTheme="minorHAnsi" w:cstheme="minorHAnsi"/>
          <w:color w:val="auto"/>
        </w:rPr>
      </w:pPr>
    </w:p>
    <w:p w14:paraId="574E7B20" w14:textId="0D67E8F7" w:rsidR="00FB2621" w:rsidRPr="00990787" w:rsidRDefault="00151A91" w:rsidP="00151A91">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FB2621" w:rsidRPr="00990787">
        <w:rPr>
          <w:rFonts w:asciiTheme="minorHAnsi" w:hAnsiTheme="minorHAnsi" w:cstheme="minorHAnsi"/>
          <w:color w:val="auto"/>
        </w:rPr>
        <w:t>For example, to prepare calcium sul</w:t>
      </w:r>
      <w:r>
        <w:rPr>
          <w:rFonts w:asciiTheme="minorHAnsi" w:hAnsiTheme="minorHAnsi" w:cstheme="minorHAnsi"/>
          <w:color w:val="auto"/>
        </w:rPr>
        <w:t>f</w:t>
      </w:r>
      <w:r w:rsidR="00FB2621" w:rsidRPr="00990787">
        <w:rPr>
          <w:rFonts w:asciiTheme="minorHAnsi" w:hAnsiTheme="minorHAnsi" w:cstheme="minorHAnsi"/>
          <w:color w:val="auto"/>
        </w:rPr>
        <w:t>ate cement, manually mix 4 g of calcium sul</w:t>
      </w:r>
      <w:r>
        <w:rPr>
          <w:rFonts w:asciiTheme="minorHAnsi" w:hAnsiTheme="minorHAnsi" w:cstheme="minorHAnsi"/>
          <w:color w:val="auto"/>
        </w:rPr>
        <w:t>f</w:t>
      </w:r>
      <w:r w:rsidR="00FB2621" w:rsidRPr="00990787">
        <w:rPr>
          <w:rFonts w:asciiTheme="minorHAnsi" w:hAnsiTheme="minorHAnsi" w:cstheme="minorHAnsi"/>
          <w:color w:val="auto"/>
        </w:rPr>
        <w:t>ate hemihydrate into 5 m</w:t>
      </w:r>
      <w:r w:rsidR="00477E3E">
        <w:rPr>
          <w:rFonts w:asciiTheme="minorHAnsi" w:hAnsiTheme="minorHAnsi" w:cstheme="minorHAnsi"/>
          <w:color w:val="auto"/>
        </w:rPr>
        <w:t>L</w:t>
      </w:r>
      <w:r w:rsidR="00FB2621" w:rsidRPr="00990787">
        <w:rPr>
          <w:rFonts w:asciiTheme="minorHAnsi" w:hAnsiTheme="minorHAnsi" w:cstheme="minorHAnsi"/>
          <w:color w:val="auto"/>
        </w:rPr>
        <w:t xml:space="preserve"> of deionized water with a spatula for 1 min. Remove the plunger from the syringe</w:t>
      </w:r>
      <w:r w:rsidR="00477E3E">
        <w:rPr>
          <w:rFonts w:asciiTheme="minorHAnsi" w:hAnsiTheme="minorHAnsi" w:cstheme="minorHAnsi"/>
          <w:color w:val="auto"/>
        </w:rPr>
        <w:t xml:space="preserve"> </w:t>
      </w:r>
      <w:r w:rsidR="00FB2621" w:rsidRPr="00990787">
        <w:rPr>
          <w:rFonts w:asciiTheme="minorHAnsi" w:hAnsiTheme="minorHAnsi" w:cstheme="minorHAnsi"/>
          <w:color w:val="auto"/>
        </w:rPr>
        <w:t>and load the cement into the syringe barrel with the spatula. Begin the mechanical testing after 4 min.</w:t>
      </w:r>
    </w:p>
    <w:p w14:paraId="497F7D80" w14:textId="77777777" w:rsidR="008B5CAC" w:rsidRPr="00990787" w:rsidRDefault="008B5CAC" w:rsidP="008B5CAC">
      <w:pPr>
        <w:ind w:left="360"/>
        <w:rPr>
          <w:rFonts w:asciiTheme="minorHAnsi" w:hAnsiTheme="minorHAnsi" w:cstheme="minorHAnsi"/>
          <w:color w:val="auto"/>
        </w:rPr>
      </w:pPr>
    </w:p>
    <w:p w14:paraId="1F1F1FDC" w14:textId="2409AC3C" w:rsidR="00006794" w:rsidRPr="00990787" w:rsidRDefault="00006794" w:rsidP="00477E3E">
      <w:pPr>
        <w:rPr>
          <w:rFonts w:asciiTheme="minorHAnsi" w:hAnsiTheme="minorHAnsi" w:cstheme="minorHAnsi"/>
          <w:color w:val="auto"/>
        </w:rPr>
      </w:pPr>
      <w:r w:rsidRPr="00990787">
        <w:rPr>
          <w:rFonts w:asciiTheme="minorHAnsi" w:hAnsiTheme="minorHAnsi" w:cstheme="minorHAnsi"/>
          <w:color w:val="auto"/>
        </w:rPr>
        <w:t>CAUTION: Needles pose a safety risk, use blunt needles if possible.</w:t>
      </w:r>
      <w:r w:rsidR="00605B45">
        <w:rPr>
          <w:rFonts w:asciiTheme="minorHAnsi" w:hAnsiTheme="minorHAnsi" w:cstheme="minorHAnsi"/>
          <w:color w:val="auto"/>
        </w:rPr>
        <w:t xml:space="preserve"> If the material contains cells or other biological materials, extra care should be taken to prevent sharps injuries.</w:t>
      </w:r>
    </w:p>
    <w:p w14:paraId="20914C65" w14:textId="77777777" w:rsidR="00C87E44" w:rsidRPr="00796BE0" w:rsidRDefault="00C87E44" w:rsidP="00C87E44">
      <w:pPr>
        <w:ind w:left="360"/>
        <w:rPr>
          <w:rFonts w:asciiTheme="minorHAnsi" w:hAnsiTheme="minorHAnsi" w:cstheme="minorHAnsi"/>
          <w:color w:val="auto"/>
          <w:highlight w:val="yellow"/>
        </w:rPr>
      </w:pPr>
    </w:p>
    <w:p w14:paraId="58EC6F80" w14:textId="147CE544" w:rsidR="000C7727" w:rsidRPr="00796BE0" w:rsidRDefault="000C7727" w:rsidP="00990787">
      <w:pPr>
        <w:pStyle w:val="ListParagraph"/>
        <w:numPr>
          <w:ilvl w:val="0"/>
          <w:numId w:val="38"/>
        </w:numPr>
        <w:rPr>
          <w:rFonts w:asciiTheme="minorHAnsi" w:hAnsiTheme="minorHAnsi" w:cstheme="minorHAnsi"/>
          <w:b/>
          <w:color w:val="auto"/>
          <w:highlight w:val="yellow"/>
        </w:rPr>
      </w:pPr>
      <w:r w:rsidRPr="00796BE0">
        <w:rPr>
          <w:rFonts w:asciiTheme="minorHAnsi" w:hAnsiTheme="minorHAnsi" w:cstheme="minorHAnsi"/>
          <w:b/>
          <w:color w:val="auto"/>
          <w:highlight w:val="yellow"/>
        </w:rPr>
        <w:t xml:space="preserve">Set up </w:t>
      </w:r>
      <w:r w:rsidR="00624C3F" w:rsidRPr="00796BE0">
        <w:rPr>
          <w:rFonts w:asciiTheme="minorHAnsi" w:hAnsiTheme="minorHAnsi" w:cstheme="minorHAnsi"/>
          <w:b/>
          <w:color w:val="auto"/>
          <w:highlight w:val="yellow"/>
        </w:rPr>
        <w:t xml:space="preserve">the </w:t>
      </w:r>
      <w:r w:rsidRPr="00796BE0">
        <w:rPr>
          <w:rFonts w:asciiTheme="minorHAnsi" w:hAnsiTheme="minorHAnsi" w:cstheme="minorHAnsi"/>
          <w:b/>
          <w:color w:val="auto"/>
          <w:highlight w:val="yellow"/>
        </w:rPr>
        <w:t>mechanical tester</w:t>
      </w:r>
    </w:p>
    <w:p w14:paraId="67E1E95D" w14:textId="77777777" w:rsidR="008B5CAC" w:rsidRPr="00796BE0" w:rsidRDefault="008B5CAC" w:rsidP="008B5CAC">
      <w:pPr>
        <w:ind w:left="360"/>
        <w:rPr>
          <w:rFonts w:asciiTheme="minorHAnsi" w:hAnsiTheme="minorHAnsi" w:cstheme="minorHAnsi"/>
          <w:b/>
          <w:color w:val="auto"/>
          <w:highlight w:val="yellow"/>
        </w:rPr>
      </w:pPr>
    </w:p>
    <w:p w14:paraId="716C33B4" w14:textId="161BCC13" w:rsidR="00C67B1E" w:rsidRPr="00796BE0" w:rsidRDefault="00B914F9" w:rsidP="00990787">
      <w:pPr>
        <w:pStyle w:val="ListParagraph"/>
        <w:numPr>
          <w:ilvl w:val="1"/>
          <w:numId w:val="38"/>
        </w:numPr>
        <w:rPr>
          <w:rFonts w:asciiTheme="minorHAnsi" w:hAnsiTheme="minorHAnsi" w:cstheme="minorHAnsi"/>
          <w:color w:val="auto"/>
          <w:highlight w:val="yellow"/>
        </w:rPr>
      </w:pPr>
      <w:r w:rsidRPr="00796BE0">
        <w:rPr>
          <w:rFonts w:asciiTheme="minorHAnsi" w:hAnsiTheme="minorHAnsi" w:cstheme="minorHAnsi"/>
          <w:color w:val="auto"/>
          <w:highlight w:val="yellow"/>
        </w:rPr>
        <w:t xml:space="preserve">Attach flat platens </w:t>
      </w:r>
      <w:r w:rsidR="00352EBC" w:rsidRPr="00796BE0">
        <w:rPr>
          <w:rFonts w:asciiTheme="minorHAnsi" w:hAnsiTheme="minorHAnsi" w:cstheme="minorHAnsi"/>
          <w:color w:val="auto"/>
          <w:highlight w:val="yellow"/>
        </w:rPr>
        <w:t>(</w:t>
      </w:r>
      <w:r w:rsidRPr="00796BE0">
        <w:rPr>
          <w:rFonts w:asciiTheme="minorHAnsi" w:hAnsiTheme="minorHAnsi" w:cstheme="minorHAnsi"/>
          <w:color w:val="auto"/>
          <w:highlight w:val="yellow"/>
        </w:rPr>
        <w:t>for compression testing</w:t>
      </w:r>
      <w:r w:rsidR="00352EBC" w:rsidRPr="00796BE0">
        <w:rPr>
          <w:rFonts w:asciiTheme="minorHAnsi" w:hAnsiTheme="minorHAnsi" w:cstheme="minorHAnsi"/>
          <w:color w:val="auto"/>
          <w:highlight w:val="yellow"/>
        </w:rPr>
        <w:t>)</w:t>
      </w:r>
      <w:r w:rsidRPr="00796BE0">
        <w:rPr>
          <w:rFonts w:asciiTheme="minorHAnsi" w:hAnsiTheme="minorHAnsi" w:cstheme="minorHAnsi"/>
          <w:color w:val="auto"/>
          <w:highlight w:val="yellow"/>
        </w:rPr>
        <w:t xml:space="preserve"> to the mechanical tester</w:t>
      </w:r>
      <w:r w:rsidR="00352EBC" w:rsidRPr="00796BE0">
        <w:rPr>
          <w:rFonts w:asciiTheme="minorHAnsi" w:hAnsiTheme="minorHAnsi" w:cstheme="minorHAnsi"/>
          <w:color w:val="auto"/>
          <w:highlight w:val="yellow"/>
        </w:rPr>
        <w:t>.</w:t>
      </w:r>
    </w:p>
    <w:p w14:paraId="4762E36A" w14:textId="77777777" w:rsidR="00B914F9" w:rsidRPr="00796BE0" w:rsidRDefault="00B914F9" w:rsidP="00B914F9">
      <w:pPr>
        <w:rPr>
          <w:rFonts w:asciiTheme="minorHAnsi" w:hAnsiTheme="minorHAnsi" w:cstheme="minorHAnsi"/>
          <w:color w:val="auto"/>
          <w:highlight w:val="yellow"/>
        </w:rPr>
      </w:pPr>
    </w:p>
    <w:p w14:paraId="11320CEE" w14:textId="6DBDD9B7" w:rsidR="000C7727" w:rsidRPr="00796BE0" w:rsidRDefault="000325F9" w:rsidP="00990787">
      <w:pPr>
        <w:pStyle w:val="ListParagraph"/>
        <w:numPr>
          <w:ilvl w:val="1"/>
          <w:numId w:val="38"/>
        </w:numPr>
        <w:rPr>
          <w:rFonts w:asciiTheme="minorHAnsi" w:hAnsiTheme="minorHAnsi" w:cstheme="minorHAnsi"/>
          <w:color w:val="auto"/>
          <w:highlight w:val="yellow"/>
        </w:rPr>
      </w:pPr>
      <w:r>
        <w:rPr>
          <w:rFonts w:asciiTheme="minorHAnsi" w:hAnsiTheme="minorHAnsi" w:cstheme="minorHAnsi"/>
          <w:color w:val="auto"/>
          <w:highlight w:val="yellow"/>
        </w:rPr>
        <w:t>Manually e</w:t>
      </w:r>
      <w:r w:rsidR="00C67B1E" w:rsidRPr="00796BE0">
        <w:rPr>
          <w:rFonts w:asciiTheme="minorHAnsi" w:hAnsiTheme="minorHAnsi" w:cstheme="minorHAnsi"/>
          <w:color w:val="auto"/>
          <w:highlight w:val="yellow"/>
        </w:rPr>
        <w:t>quip the mechanical tester with</w:t>
      </w:r>
      <w:r w:rsidR="000C7727" w:rsidRPr="00796BE0">
        <w:rPr>
          <w:rFonts w:asciiTheme="minorHAnsi" w:hAnsiTheme="minorHAnsi" w:cstheme="minorHAnsi"/>
          <w:color w:val="auto"/>
          <w:highlight w:val="yellow"/>
        </w:rPr>
        <w:t xml:space="preserve"> a load cell with a maximum </w:t>
      </w:r>
      <w:r w:rsidR="00477E3E">
        <w:rPr>
          <w:rFonts w:asciiTheme="minorHAnsi" w:hAnsiTheme="minorHAnsi" w:cstheme="minorHAnsi"/>
          <w:color w:val="auto"/>
          <w:highlight w:val="yellow"/>
        </w:rPr>
        <w:t xml:space="preserve">load </w:t>
      </w:r>
      <w:r w:rsidR="000C7727" w:rsidRPr="00796BE0">
        <w:rPr>
          <w:rFonts w:asciiTheme="minorHAnsi" w:hAnsiTheme="minorHAnsi" w:cstheme="minorHAnsi"/>
          <w:color w:val="auto"/>
          <w:highlight w:val="yellow"/>
        </w:rPr>
        <w:t>of 200 N.</w:t>
      </w:r>
    </w:p>
    <w:p w14:paraId="696A33CC" w14:textId="77777777" w:rsidR="008B5CAC" w:rsidRPr="00796BE0" w:rsidRDefault="008B5CAC" w:rsidP="008B5CAC">
      <w:pPr>
        <w:ind w:left="360"/>
        <w:rPr>
          <w:rFonts w:asciiTheme="minorHAnsi" w:hAnsiTheme="minorHAnsi" w:cstheme="minorHAnsi"/>
          <w:color w:val="auto"/>
          <w:highlight w:val="yellow"/>
        </w:rPr>
      </w:pPr>
    </w:p>
    <w:p w14:paraId="5D883114" w14:textId="66584551" w:rsidR="000C7727" w:rsidRPr="00796BE0" w:rsidRDefault="000C7727" w:rsidP="00477E3E">
      <w:pPr>
        <w:rPr>
          <w:rFonts w:asciiTheme="minorHAnsi" w:hAnsiTheme="minorHAnsi" w:cstheme="minorHAnsi"/>
          <w:color w:val="auto"/>
          <w:highlight w:val="yellow"/>
        </w:rPr>
      </w:pPr>
      <w:r w:rsidRPr="00796BE0">
        <w:rPr>
          <w:rFonts w:asciiTheme="minorHAnsi" w:hAnsiTheme="minorHAnsi" w:cstheme="minorHAnsi"/>
          <w:color w:val="auto"/>
          <w:highlight w:val="yellow"/>
        </w:rPr>
        <w:t xml:space="preserve">NOTE: A larger load cell </w:t>
      </w:r>
      <w:r w:rsidR="00AE17D1" w:rsidRPr="00796BE0">
        <w:rPr>
          <w:rFonts w:asciiTheme="minorHAnsi" w:hAnsiTheme="minorHAnsi" w:cstheme="minorHAnsi"/>
          <w:color w:val="auto"/>
          <w:highlight w:val="yellow"/>
        </w:rPr>
        <w:t>may</w:t>
      </w:r>
      <w:r w:rsidRPr="00796BE0">
        <w:rPr>
          <w:rFonts w:asciiTheme="minorHAnsi" w:hAnsiTheme="minorHAnsi" w:cstheme="minorHAnsi"/>
          <w:color w:val="auto"/>
          <w:highlight w:val="yellow"/>
        </w:rPr>
        <w:t xml:space="preserve"> be used, provided it has </w:t>
      </w:r>
      <w:proofErr w:type="gramStart"/>
      <w:r w:rsidRPr="00796BE0">
        <w:rPr>
          <w:rFonts w:asciiTheme="minorHAnsi" w:hAnsiTheme="minorHAnsi" w:cstheme="minorHAnsi"/>
          <w:color w:val="auto"/>
          <w:highlight w:val="yellow"/>
        </w:rPr>
        <w:t>sufficient</w:t>
      </w:r>
      <w:proofErr w:type="gramEnd"/>
      <w:r w:rsidRPr="00796BE0">
        <w:rPr>
          <w:rFonts w:asciiTheme="minorHAnsi" w:hAnsiTheme="minorHAnsi" w:cstheme="minorHAnsi"/>
          <w:color w:val="auto"/>
          <w:highlight w:val="yellow"/>
        </w:rPr>
        <w:t xml:space="preserve"> precision at the 1 – 200 N range.</w:t>
      </w:r>
      <w:r w:rsidR="00B134D9" w:rsidRPr="00796BE0">
        <w:rPr>
          <w:rFonts w:asciiTheme="minorHAnsi" w:hAnsiTheme="minorHAnsi" w:cstheme="minorHAnsi"/>
          <w:color w:val="auto"/>
          <w:highlight w:val="yellow"/>
        </w:rPr>
        <w:t xml:space="preserve"> </w:t>
      </w:r>
      <w:r w:rsidR="00AE17D1" w:rsidRPr="00796BE0">
        <w:rPr>
          <w:rFonts w:asciiTheme="minorHAnsi" w:hAnsiTheme="minorHAnsi" w:cstheme="minorHAnsi"/>
          <w:color w:val="auto"/>
          <w:highlight w:val="yellow"/>
        </w:rPr>
        <w:t>Samples that are more viscous</w:t>
      </w:r>
      <w:r w:rsidR="00B134D9" w:rsidRPr="00796BE0">
        <w:rPr>
          <w:rFonts w:asciiTheme="minorHAnsi" w:hAnsiTheme="minorHAnsi" w:cstheme="minorHAnsi"/>
          <w:color w:val="auto"/>
          <w:highlight w:val="yellow"/>
        </w:rPr>
        <w:t xml:space="preserve"> </w:t>
      </w:r>
      <w:r w:rsidR="00624C3F" w:rsidRPr="00796BE0">
        <w:rPr>
          <w:rFonts w:asciiTheme="minorHAnsi" w:hAnsiTheme="minorHAnsi" w:cstheme="minorHAnsi"/>
          <w:color w:val="auto"/>
          <w:highlight w:val="yellow"/>
        </w:rPr>
        <w:t xml:space="preserve">and not intended to be injected by hand </w:t>
      </w:r>
      <w:r w:rsidR="00B134D9" w:rsidRPr="00796BE0">
        <w:rPr>
          <w:rFonts w:asciiTheme="minorHAnsi" w:hAnsiTheme="minorHAnsi" w:cstheme="minorHAnsi"/>
          <w:color w:val="auto"/>
          <w:highlight w:val="yellow"/>
        </w:rPr>
        <w:t>may require a larger load cell.</w:t>
      </w:r>
    </w:p>
    <w:p w14:paraId="60F79360" w14:textId="4CFE749C" w:rsidR="00B914F9" w:rsidRPr="00796BE0" w:rsidRDefault="00B914F9" w:rsidP="00B914F9">
      <w:pPr>
        <w:rPr>
          <w:rFonts w:asciiTheme="minorHAnsi" w:hAnsiTheme="minorHAnsi" w:cstheme="minorHAnsi"/>
          <w:color w:val="auto"/>
          <w:highlight w:val="yellow"/>
        </w:rPr>
      </w:pPr>
    </w:p>
    <w:p w14:paraId="2C880B9F" w14:textId="2EB3A28E" w:rsidR="000C7727" w:rsidRPr="00796BE0" w:rsidRDefault="00A665F9" w:rsidP="00990787">
      <w:pPr>
        <w:pStyle w:val="ListParagraph"/>
        <w:numPr>
          <w:ilvl w:val="1"/>
          <w:numId w:val="38"/>
        </w:numPr>
        <w:rPr>
          <w:rFonts w:asciiTheme="minorHAnsi" w:hAnsiTheme="minorHAnsi" w:cstheme="minorHAnsi"/>
          <w:color w:val="auto"/>
          <w:highlight w:val="yellow"/>
        </w:rPr>
      </w:pPr>
      <w:r>
        <w:rPr>
          <w:rFonts w:asciiTheme="minorHAnsi" w:hAnsiTheme="minorHAnsi" w:cstheme="minorHAnsi"/>
          <w:color w:val="auto"/>
          <w:highlight w:val="yellow"/>
        </w:rPr>
        <w:t>S</w:t>
      </w:r>
      <w:r w:rsidR="00624C3F" w:rsidRPr="00796BE0">
        <w:rPr>
          <w:rFonts w:asciiTheme="minorHAnsi" w:hAnsiTheme="minorHAnsi" w:cstheme="minorHAnsi"/>
          <w:color w:val="auto"/>
          <w:highlight w:val="yellow"/>
        </w:rPr>
        <w:t>eparate the plates</w:t>
      </w:r>
      <w:r w:rsidR="00A40472" w:rsidRPr="00796BE0">
        <w:rPr>
          <w:rFonts w:asciiTheme="minorHAnsi" w:hAnsiTheme="minorHAnsi" w:cstheme="minorHAnsi"/>
          <w:color w:val="auto"/>
          <w:highlight w:val="yellow"/>
        </w:rPr>
        <w:t xml:space="preserve">, </w:t>
      </w:r>
      <w:r>
        <w:rPr>
          <w:rFonts w:asciiTheme="minorHAnsi" w:hAnsiTheme="minorHAnsi" w:cstheme="minorHAnsi"/>
          <w:color w:val="auto"/>
          <w:highlight w:val="yellow"/>
        </w:rPr>
        <w:t xml:space="preserve">using the manual control buttons, </w:t>
      </w:r>
      <w:r w:rsidR="00A40472" w:rsidRPr="00796BE0">
        <w:rPr>
          <w:rFonts w:asciiTheme="minorHAnsi" w:hAnsiTheme="minorHAnsi" w:cstheme="minorHAnsi"/>
          <w:color w:val="auto"/>
          <w:highlight w:val="yellow"/>
        </w:rPr>
        <w:t xml:space="preserve">to allow </w:t>
      </w:r>
      <w:r w:rsidR="00477E3E">
        <w:rPr>
          <w:rFonts w:asciiTheme="minorHAnsi" w:hAnsiTheme="minorHAnsi" w:cstheme="minorHAnsi"/>
          <w:color w:val="auto"/>
          <w:highlight w:val="yellow"/>
        </w:rPr>
        <w:t xml:space="preserve">for </w:t>
      </w:r>
      <w:proofErr w:type="gramStart"/>
      <w:r w:rsidR="00A40472" w:rsidRPr="00796BE0">
        <w:rPr>
          <w:rFonts w:asciiTheme="minorHAnsi" w:hAnsiTheme="minorHAnsi" w:cstheme="minorHAnsi"/>
          <w:color w:val="auto"/>
          <w:highlight w:val="yellow"/>
        </w:rPr>
        <w:t>sufficient</w:t>
      </w:r>
      <w:proofErr w:type="gramEnd"/>
      <w:r w:rsidR="00A40472" w:rsidRPr="00796BE0">
        <w:rPr>
          <w:rFonts w:asciiTheme="minorHAnsi" w:hAnsiTheme="minorHAnsi" w:cstheme="minorHAnsi"/>
          <w:color w:val="auto"/>
          <w:highlight w:val="yellow"/>
        </w:rPr>
        <w:t xml:space="preserve"> space for </w:t>
      </w:r>
      <w:r w:rsidR="00C67B1E" w:rsidRPr="00796BE0">
        <w:rPr>
          <w:rFonts w:asciiTheme="minorHAnsi" w:hAnsiTheme="minorHAnsi" w:cstheme="minorHAnsi"/>
          <w:color w:val="auto"/>
          <w:highlight w:val="yellow"/>
        </w:rPr>
        <w:t xml:space="preserve">the needle, syringe and plunger (around 30 cm </w:t>
      </w:r>
      <w:r w:rsidR="00477E3E">
        <w:rPr>
          <w:rFonts w:asciiTheme="minorHAnsi" w:hAnsiTheme="minorHAnsi" w:cstheme="minorHAnsi"/>
          <w:color w:val="auto"/>
          <w:highlight w:val="yellow"/>
        </w:rPr>
        <w:t>will</w:t>
      </w:r>
      <w:r w:rsidR="00C67B1E" w:rsidRPr="00796BE0">
        <w:rPr>
          <w:rFonts w:asciiTheme="minorHAnsi" w:hAnsiTheme="minorHAnsi" w:cstheme="minorHAnsi"/>
          <w:color w:val="auto"/>
          <w:highlight w:val="yellow"/>
        </w:rPr>
        <w:t xml:space="preserve"> be sufficient).</w:t>
      </w:r>
    </w:p>
    <w:p w14:paraId="14530176" w14:textId="77777777" w:rsidR="008B5CAC" w:rsidRPr="00796BE0" w:rsidRDefault="008B5CAC" w:rsidP="008B5CAC">
      <w:pPr>
        <w:ind w:left="360"/>
        <w:rPr>
          <w:rFonts w:asciiTheme="minorHAnsi" w:hAnsiTheme="minorHAnsi" w:cstheme="minorHAnsi"/>
          <w:color w:val="auto"/>
          <w:highlight w:val="yellow"/>
        </w:rPr>
      </w:pPr>
    </w:p>
    <w:p w14:paraId="40652EC3" w14:textId="6872F64B" w:rsidR="00A40472" w:rsidRPr="00796BE0" w:rsidRDefault="00A40472" w:rsidP="00990787">
      <w:pPr>
        <w:pStyle w:val="ListParagraph"/>
        <w:numPr>
          <w:ilvl w:val="1"/>
          <w:numId w:val="38"/>
        </w:numPr>
        <w:rPr>
          <w:rFonts w:asciiTheme="minorHAnsi" w:hAnsiTheme="minorHAnsi" w:cstheme="minorHAnsi"/>
          <w:color w:val="auto"/>
          <w:highlight w:val="yellow"/>
        </w:rPr>
      </w:pPr>
      <w:r w:rsidRPr="00796BE0">
        <w:rPr>
          <w:rFonts w:asciiTheme="minorHAnsi" w:hAnsiTheme="minorHAnsi" w:cstheme="minorHAnsi"/>
          <w:color w:val="auto"/>
          <w:highlight w:val="yellow"/>
        </w:rPr>
        <w:t>Create a testing protocol</w:t>
      </w:r>
      <w:r w:rsidR="00C224BE" w:rsidRPr="00796BE0">
        <w:rPr>
          <w:rFonts w:asciiTheme="minorHAnsi" w:hAnsiTheme="minorHAnsi" w:cstheme="minorHAnsi"/>
          <w:color w:val="auto"/>
          <w:highlight w:val="yellow"/>
        </w:rPr>
        <w:t>.</w:t>
      </w:r>
    </w:p>
    <w:p w14:paraId="0883A3CB" w14:textId="77777777" w:rsidR="00C67B1E" w:rsidRPr="00796BE0" w:rsidRDefault="00C67B1E" w:rsidP="00C67B1E">
      <w:pPr>
        <w:pStyle w:val="ListParagraph"/>
        <w:rPr>
          <w:rFonts w:asciiTheme="minorHAnsi" w:hAnsiTheme="minorHAnsi" w:cstheme="minorHAnsi"/>
          <w:color w:val="auto"/>
          <w:highlight w:val="yellow"/>
        </w:rPr>
      </w:pPr>
    </w:p>
    <w:p w14:paraId="1D5F924F" w14:textId="6ECB8F58" w:rsidR="00C67B1E" w:rsidRPr="00796BE0" w:rsidRDefault="00F12976" w:rsidP="00352EBC">
      <w:pPr>
        <w:pStyle w:val="ListParagraph"/>
        <w:numPr>
          <w:ilvl w:val="2"/>
          <w:numId w:val="37"/>
        </w:numPr>
        <w:rPr>
          <w:rFonts w:asciiTheme="minorHAnsi" w:hAnsiTheme="minorHAnsi" w:cstheme="minorHAnsi"/>
          <w:color w:val="auto"/>
          <w:highlight w:val="yellow"/>
        </w:rPr>
      </w:pPr>
      <w:r>
        <w:rPr>
          <w:rFonts w:asciiTheme="minorHAnsi" w:hAnsiTheme="minorHAnsi" w:cstheme="minorHAnsi"/>
          <w:color w:val="auto"/>
          <w:highlight w:val="yellow"/>
        </w:rPr>
        <w:t>Open the test wizard and s</w:t>
      </w:r>
      <w:r w:rsidR="00C67B1E" w:rsidRPr="00796BE0">
        <w:rPr>
          <w:rFonts w:asciiTheme="minorHAnsi" w:hAnsiTheme="minorHAnsi" w:cstheme="minorHAnsi"/>
          <w:color w:val="auto"/>
          <w:highlight w:val="yellow"/>
        </w:rPr>
        <w:t>et the test type to uniaxial compression</w:t>
      </w:r>
      <w:r>
        <w:rPr>
          <w:rFonts w:asciiTheme="minorHAnsi" w:hAnsiTheme="minorHAnsi" w:cstheme="minorHAnsi"/>
          <w:color w:val="auto"/>
          <w:highlight w:val="yellow"/>
        </w:rPr>
        <w:t>.</w:t>
      </w:r>
    </w:p>
    <w:p w14:paraId="45AB9117" w14:textId="59B808C3" w:rsidR="008B5CAC" w:rsidRPr="00796BE0" w:rsidRDefault="008B5CAC" w:rsidP="008B5CAC">
      <w:pPr>
        <w:rPr>
          <w:rFonts w:asciiTheme="minorHAnsi" w:hAnsiTheme="minorHAnsi" w:cstheme="minorHAnsi"/>
          <w:color w:val="auto"/>
          <w:highlight w:val="yellow"/>
        </w:rPr>
      </w:pPr>
    </w:p>
    <w:p w14:paraId="3C33C9C4" w14:textId="6A8ABA1E" w:rsidR="00A40472" w:rsidRPr="00796BE0" w:rsidRDefault="00A40472" w:rsidP="00352EBC">
      <w:pPr>
        <w:pStyle w:val="ListParagraph"/>
        <w:numPr>
          <w:ilvl w:val="2"/>
          <w:numId w:val="37"/>
        </w:numPr>
        <w:rPr>
          <w:rFonts w:asciiTheme="minorHAnsi" w:hAnsiTheme="minorHAnsi" w:cstheme="minorHAnsi"/>
          <w:color w:val="auto"/>
          <w:highlight w:val="yellow"/>
        </w:rPr>
      </w:pPr>
      <w:r w:rsidRPr="00796BE0">
        <w:rPr>
          <w:rFonts w:asciiTheme="minorHAnsi" w:hAnsiTheme="minorHAnsi" w:cstheme="minorHAnsi"/>
          <w:color w:val="auto"/>
          <w:highlight w:val="yellow"/>
        </w:rPr>
        <w:t>Set the pre-load.</w:t>
      </w:r>
      <w:r w:rsidR="006B589A" w:rsidRPr="00796BE0">
        <w:rPr>
          <w:rFonts w:asciiTheme="minorHAnsi" w:hAnsiTheme="minorHAnsi" w:cstheme="minorHAnsi"/>
          <w:color w:val="auto"/>
          <w:highlight w:val="yellow"/>
        </w:rPr>
        <w:t xml:space="preserve"> This is the measured force value at which testing will begin.</w:t>
      </w:r>
      <w:r w:rsidR="004C4C74">
        <w:rPr>
          <w:rFonts w:asciiTheme="minorHAnsi" w:hAnsiTheme="minorHAnsi" w:cstheme="minorHAnsi"/>
          <w:color w:val="auto"/>
          <w:highlight w:val="yellow"/>
        </w:rPr>
        <w:t xml:space="preserve"> 0.5 N is sufficient.</w:t>
      </w:r>
    </w:p>
    <w:p w14:paraId="60893F60" w14:textId="77777777" w:rsidR="00B914F9" w:rsidRPr="00796BE0" w:rsidRDefault="00B914F9" w:rsidP="00B914F9">
      <w:pPr>
        <w:ind w:left="360"/>
        <w:rPr>
          <w:rFonts w:asciiTheme="minorHAnsi" w:hAnsiTheme="minorHAnsi" w:cstheme="minorHAnsi"/>
          <w:color w:val="auto"/>
          <w:highlight w:val="yellow"/>
        </w:rPr>
      </w:pPr>
    </w:p>
    <w:p w14:paraId="11C99E6E" w14:textId="1B88B468" w:rsidR="00B914F9" w:rsidRPr="00796BE0" w:rsidRDefault="00B914F9" w:rsidP="00352EBC">
      <w:pPr>
        <w:pStyle w:val="ListParagraph"/>
        <w:numPr>
          <w:ilvl w:val="2"/>
          <w:numId w:val="37"/>
        </w:numPr>
        <w:rPr>
          <w:rFonts w:asciiTheme="minorHAnsi" w:hAnsiTheme="minorHAnsi" w:cstheme="minorHAnsi"/>
          <w:color w:val="auto"/>
          <w:highlight w:val="yellow"/>
        </w:rPr>
      </w:pPr>
      <w:r w:rsidRPr="00796BE0">
        <w:rPr>
          <w:rFonts w:asciiTheme="minorHAnsi" w:hAnsiTheme="minorHAnsi" w:cstheme="minorHAnsi"/>
          <w:color w:val="auto"/>
          <w:highlight w:val="yellow"/>
        </w:rPr>
        <w:t xml:space="preserve">Set the </w:t>
      </w:r>
      <w:r w:rsidRPr="00477E3E">
        <w:rPr>
          <w:rFonts w:asciiTheme="minorHAnsi" w:hAnsiTheme="minorHAnsi" w:cstheme="minorHAnsi"/>
          <w:b/>
          <w:bCs/>
          <w:color w:val="auto"/>
          <w:highlight w:val="yellow"/>
        </w:rPr>
        <w:t xml:space="preserve">speed </w:t>
      </w:r>
      <w:r w:rsidR="004C4C74" w:rsidRPr="00477E3E">
        <w:rPr>
          <w:rFonts w:asciiTheme="minorHAnsi" w:hAnsiTheme="minorHAnsi" w:cstheme="minorHAnsi"/>
          <w:b/>
          <w:bCs/>
          <w:color w:val="auto"/>
          <w:highlight w:val="yellow"/>
        </w:rPr>
        <w:t>to pre-load</w:t>
      </w:r>
      <w:r w:rsidR="004C4C74">
        <w:rPr>
          <w:rFonts w:asciiTheme="minorHAnsi" w:hAnsiTheme="minorHAnsi" w:cstheme="minorHAnsi"/>
          <w:color w:val="auto"/>
          <w:highlight w:val="yellow"/>
        </w:rPr>
        <w:t xml:space="preserve"> </w:t>
      </w:r>
      <w:r w:rsidRPr="00796BE0">
        <w:rPr>
          <w:rFonts w:asciiTheme="minorHAnsi" w:hAnsiTheme="minorHAnsi" w:cstheme="minorHAnsi"/>
          <w:color w:val="auto"/>
          <w:highlight w:val="yellow"/>
        </w:rPr>
        <w:t>to 5 mm</w:t>
      </w:r>
      <w:r w:rsidR="00477E3E">
        <w:rPr>
          <w:rFonts w:asciiTheme="minorHAnsi" w:hAnsiTheme="minorHAnsi" w:cstheme="minorHAnsi"/>
          <w:color w:val="auto"/>
          <w:highlight w:val="yellow"/>
        </w:rPr>
        <w:t>/</w:t>
      </w:r>
      <w:r w:rsidRPr="00796BE0">
        <w:rPr>
          <w:rFonts w:asciiTheme="minorHAnsi" w:hAnsiTheme="minorHAnsi" w:cstheme="minorHAnsi"/>
          <w:color w:val="auto"/>
          <w:highlight w:val="yellow"/>
        </w:rPr>
        <w:t>min. This is the speed the crosshead will move down until it encounters the pre-load.</w:t>
      </w:r>
    </w:p>
    <w:p w14:paraId="1233F516" w14:textId="77777777" w:rsidR="008B5CAC" w:rsidRPr="00796BE0" w:rsidRDefault="008B5CAC" w:rsidP="008B5CAC">
      <w:pPr>
        <w:rPr>
          <w:rFonts w:asciiTheme="minorHAnsi" w:hAnsiTheme="minorHAnsi" w:cstheme="minorHAnsi"/>
          <w:color w:val="auto"/>
          <w:highlight w:val="yellow"/>
        </w:rPr>
      </w:pPr>
    </w:p>
    <w:p w14:paraId="6F146C21" w14:textId="4949C5C4" w:rsidR="00FF5533" w:rsidRPr="00796BE0" w:rsidRDefault="00A40472" w:rsidP="00352EBC">
      <w:pPr>
        <w:pStyle w:val="ListParagraph"/>
        <w:numPr>
          <w:ilvl w:val="2"/>
          <w:numId w:val="37"/>
        </w:numPr>
        <w:rPr>
          <w:rFonts w:asciiTheme="minorHAnsi" w:hAnsiTheme="minorHAnsi" w:cstheme="minorHAnsi"/>
          <w:color w:val="auto"/>
          <w:highlight w:val="yellow"/>
        </w:rPr>
      </w:pPr>
      <w:r w:rsidRPr="00796BE0">
        <w:rPr>
          <w:rFonts w:asciiTheme="minorHAnsi" w:hAnsiTheme="minorHAnsi" w:cstheme="minorHAnsi"/>
          <w:color w:val="auto"/>
          <w:highlight w:val="yellow"/>
        </w:rPr>
        <w:t xml:space="preserve">Set the </w:t>
      </w:r>
      <w:r w:rsidR="004C4C74" w:rsidRPr="00477E3E">
        <w:rPr>
          <w:rFonts w:asciiTheme="minorHAnsi" w:hAnsiTheme="minorHAnsi" w:cstheme="minorHAnsi"/>
          <w:b/>
          <w:bCs/>
          <w:color w:val="auto"/>
          <w:highlight w:val="yellow"/>
        </w:rPr>
        <w:t>loading</w:t>
      </w:r>
      <w:r w:rsidRPr="00477E3E">
        <w:rPr>
          <w:rFonts w:asciiTheme="minorHAnsi" w:hAnsiTheme="minorHAnsi" w:cstheme="minorHAnsi"/>
          <w:b/>
          <w:bCs/>
          <w:color w:val="auto"/>
          <w:highlight w:val="yellow"/>
        </w:rPr>
        <w:t xml:space="preserve"> to displacement control</w:t>
      </w:r>
      <w:r w:rsidRPr="00796BE0">
        <w:rPr>
          <w:rFonts w:asciiTheme="minorHAnsi" w:hAnsiTheme="minorHAnsi" w:cstheme="minorHAnsi"/>
          <w:color w:val="auto"/>
          <w:highlight w:val="yellow"/>
        </w:rPr>
        <w:t xml:space="preserve"> and select an appropriate test speed. 1 mm</w:t>
      </w:r>
      <w:r w:rsidR="00477E3E">
        <w:rPr>
          <w:rFonts w:asciiTheme="minorHAnsi" w:hAnsiTheme="minorHAnsi" w:cstheme="minorHAnsi"/>
          <w:color w:val="auto"/>
          <w:highlight w:val="yellow"/>
        </w:rPr>
        <w:t>/</w:t>
      </w:r>
      <w:r w:rsidRPr="00796BE0">
        <w:rPr>
          <w:rFonts w:asciiTheme="minorHAnsi" w:hAnsiTheme="minorHAnsi" w:cstheme="minorHAnsi"/>
          <w:color w:val="auto"/>
          <w:highlight w:val="yellow"/>
        </w:rPr>
        <w:t>s is an appropriate speed for a standard 5 m</w:t>
      </w:r>
      <w:r w:rsidR="00477E3E">
        <w:rPr>
          <w:rFonts w:asciiTheme="minorHAnsi" w:hAnsiTheme="minorHAnsi" w:cstheme="minorHAnsi"/>
          <w:color w:val="auto"/>
          <w:highlight w:val="yellow"/>
        </w:rPr>
        <w:t>L</w:t>
      </w:r>
      <w:r w:rsidRPr="00796BE0">
        <w:rPr>
          <w:rFonts w:asciiTheme="minorHAnsi" w:hAnsiTheme="minorHAnsi" w:cstheme="minorHAnsi"/>
          <w:color w:val="auto"/>
          <w:highlight w:val="yellow"/>
        </w:rPr>
        <w:t xml:space="preserve"> syringe.</w:t>
      </w:r>
    </w:p>
    <w:p w14:paraId="1275F2F4" w14:textId="77777777" w:rsidR="00B914F9" w:rsidRPr="00796BE0" w:rsidRDefault="00B914F9" w:rsidP="00B914F9">
      <w:pPr>
        <w:pStyle w:val="ListParagraph"/>
        <w:rPr>
          <w:rFonts w:asciiTheme="minorHAnsi" w:hAnsiTheme="minorHAnsi" w:cstheme="minorHAnsi"/>
          <w:color w:val="auto"/>
          <w:highlight w:val="yellow"/>
        </w:rPr>
      </w:pPr>
    </w:p>
    <w:p w14:paraId="386F9BBE" w14:textId="58F0C859" w:rsidR="00B914F9" w:rsidRPr="00796BE0" w:rsidRDefault="00B914F9" w:rsidP="00352EBC">
      <w:pPr>
        <w:pStyle w:val="ListParagraph"/>
        <w:numPr>
          <w:ilvl w:val="2"/>
          <w:numId w:val="37"/>
        </w:numPr>
        <w:rPr>
          <w:rFonts w:asciiTheme="minorHAnsi" w:hAnsiTheme="minorHAnsi" w:cstheme="minorHAnsi"/>
          <w:color w:val="auto"/>
          <w:highlight w:val="yellow"/>
        </w:rPr>
      </w:pPr>
      <w:r w:rsidRPr="00796BE0">
        <w:rPr>
          <w:rFonts w:asciiTheme="minorHAnsi" w:hAnsiTheme="minorHAnsi" w:cstheme="minorHAnsi"/>
          <w:color w:val="auto"/>
          <w:highlight w:val="yellow"/>
        </w:rPr>
        <w:t xml:space="preserve">Set an </w:t>
      </w:r>
      <w:r w:rsidRPr="00477E3E">
        <w:rPr>
          <w:rFonts w:asciiTheme="minorHAnsi" w:hAnsiTheme="minorHAnsi" w:cstheme="minorHAnsi"/>
          <w:b/>
          <w:bCs/>
          <w:color w:val="auto"/>
          <w:highlight w:val="yellow"/>
        </w:rPr>
        <w:t>upper force limit</w:t>
      </w:r>
      <w:r w:rsidRPr="00796BE0">
        <w:rPr>
          <w:rFonts w:asciiTheme="minorHAnsi" w:hAnsiTheme="minorHAnsi" w:cstheme="minorHAnsi"/>
          <w:color w:val="auto"/>
          <w:highlight w:val="yellow"/>
        </w:rPr>
        <w:t xml:space="preserve"> at which to stop the test, </w:t>
      </w:r>
      <w:r w:rsidR="00151A91">
        <w:rPr>
          <w:rFonts w:asciiTheme="minorHAnsi" w:hAnsiTheme="minorHAnsi" w:cstheme="minorHAnsi"/>
          <w:color w:val="auto"/>
          <w:highlight w:val="yellow"/>
        </w:rPr>
        <w:t>e.g.,</w:t>
      </w:r>
      <w:r w:rsidRPr="00796BE0">
        <w:rPr>
          <w:rFonts w:asciiTheme="minorHAnsi" w:hAnsiTheme="minorHAnsi" w:cstheme="minorHAnsi"/>
          <w:color w:val="auto"/>
          <w:highlight w:val="yellow"/>
        </w:rPr>
        <w:t xml:space="preserve"> 200 N. This is primarily for safety reasons.</w:t>
      </w:r>
      <w:r w:rsidR="007243B7">
        <w:rPr>
          <w:rFonts w:asciiTheme="minorHAnsi" w:hAnsiTheme="minorHAnsi" w:cstheme="minorHAnsi"/>
          <w:color w:val="auto"/>
          <w:highlight w:val="yellow"/>
        </w:rPr>
        <w:t xml:space="preserve"> The test may also be stopped automatically at a given displacement, e.g.</w:t>
      </w:r>
      <w:r w:rsidR="00477E3E">
        <w:rPr>
          <w:rFonts w:asciiTheme="minorHAnsi" w:hAnsiTheme="minorHAnsi" w:cstheme="minorHAnsi"/>
          <w:color w:val="auto"/>
          <w:highlight w:val="yellow"/>
        </w:rPr>
        <w:t>,</w:t>
      </w:r>
      <w:r w:rsidR="007243B7">
        <w:rPr>
          <w:rFonts w:asciiTheme="minorHAnsi" w:hAnsiTheme="minorHAnsi" w:cstheme="minorHAnsi"/>
          <w:color w:val="auto"/>
          <w:highlight w:val="yellow"/>
        </w:rPr>
        <w:t xml:space="preserve"> the length of the syringe.</w:t>
      </w:r>
    </w:p>
    <w:p w14:paraId="53907098" w14:textId="5B2CE709" w:rsidR="00C224BE" w:rsidRPr="00796BE0" w:rsidRDefault="00C224BE" w:rsidP="008B5CAC">
      <w:pPr>
        <w:rPr>
          <w:rFonts w:asciiTheme="minorHAnsi" w:hAnsiTheme="minorHAnsi" w:cstheme="minorHAnsi"/>
          <w:color w:val="auto"/>
          <w:highlight w:val="yellow"/>
        </w:rPr>
      </w:pPr>
    </w:p>
    <w:p w14:paraId="5885709E" w14:textId="22426991" w:rsidR="00B10F77" w:rsidRPr="00796BE0" w:rsidRDefault="005D62A6" w:rsidP="00352EBC">
      <w:pPr>
        <w:pStyle w:val="ListParagraph"/>
        <w:numPr>
          <w:ilvl w:val="0"/>
          <w:numId w:val="37"/>
        </w:numPr>
        <w:rPr>
          <w:rFonts w:asciiTheme="minorHAnsi" w:hAnsiTheme="minorHAnsi" w:cstheme="minorHAnsi"/>
          <w:b/>
          <w:color w:val="auto"/>
          <w:highlight w:val="yellow"/>
        </w:rPr>
      </w:pPr>
      <w:r w:rsidRPr="00796BE0">
        <w:rPr>
          <w:rFonts w:asciiTheme="minorHAnsi" w:hAnsiTheme="minorHAnsi" w:cstheme="minorHAnsi"/>
          <w:b/>
          <w:color w:val="auto"/>
          <w:highlight w:val="yellow"/>
        </w:rPr>
        <w:t>Set up the clamping system</w:t>
      </w:r>
    </w:p>
    <w:p w14:paraId="68D89C11" w14:textId="77777777" w:rsidR="008B5CAC" w:rsidRPr="00796BE0" w:rsidRDefault="008B5CAC" w:rsidP="008B5CAC">
      <w:pPr>
        <w:rPr>
          <w:rFonts w:asciiTheme="minorHAnsi" w:hAnsiTheme="minorHAnsi" w:cstheme="minorHAnsi"/>
          <w:b/>
          <w:color w:val="auto"/>
          <w:highlight w:val="yellow"/>
        </w:rPr>
      </w:pPr>
    </w:p>
    <w:p w14:paraId="01A5E3D8" w14:textId="19375FED" w:rsidR="005D62A6" w:rsidRDefault="005D62A6" w:rsidP="00990787">
      <w:pPr>
        <w:pStyle w:val="ListParagraph"/>
        <w:numPr>
          <w:ilvl w:val="1"/>
          <w:numId w:val="40"/>
        </w:numPr>
        <w:rPr>
          <w:rFonts w:asciiTheme="minorHAnsi" w:hAnsiTheme="minorHAnsi" w:cstheme="minorHAnsi"/>
          <w:color w:val="auto"/>
          <w:highlight w:val="yellow"/>
        </w:rPr>
      </w:pPr>
      <w:r w:rsidRPr="00990787">
        <w:rPr>
          <w:rFonts w:asciiTheme="minorHAnsi" w:hAnsiTheme="minorHAnsi" w:cstheme="minorHAnsi"/>
          <w:color w:val="auto"/>
          <w:highlight w:val="yellow"/>
        </w:rPr>
        <w:t xml:space="preserve">Attach two sets of clamps to two stands, with </w:t>
      </w:r>
      <w:r w:rsidR="00B914F9" w:rsidRPr="00990787">
        <w:rPr>
          <w:rFonts w:asciiTheme="minorHAnsi" w:hAnsiTheme="minorHAnsi" w:cstheme="minorHAnsi"/>
          <w:color w:val="auto"/>
          <w:highlight w:val="yellow"/>
        </w:rPr>
        <w:t>grips</w:t>
      </w:r>
      <w:r w:rsidRPr="00990787">
        <w:rPr>
          <w:rFonts w:asciiTheme="minorHAnsi" w:hAnsiTheme="minorHAnsi" w:cstheme="minorHAnsi"/>
          <w:color w:val="auto"/>
          <w:highlight w:val="yellow"/>
        </w:rPr>
        <w:t xml:space="preserve"> large enough to securely ensconce the </w:t>
      </w:r>
      <w:r w:rsidRPr="00990787">
        <w:rPr>
          <w:rFonts w:asciiTheme="minorHAnsi" w:hAnsiTheme="minorHAnsi" w:cstheme="minorHAnsi"/>
          <w:color w:val="auto"/>
          <w:highlight w:val="yellow"/>
        </w:rPr>
        <w:lastRenderedPageBreak/>
        <w:t>chosen syringe</w:t>
      </w:r>
      <w:r w:rsidR="00B97ACA" w:rsidRPr="00990787">
        <w:rPr>
          <w:rFonts w:asciiTheme="minorHAnsi" w:hAnsiTheme="minorHAnsi" w:cstheme="minorHAnsi"/>
          <w:color w:val="auto"/>
          <w:highlight w:val="yellow"/>
        </w:rPr>
        <w:t>.</w:t>
      </w:r>
    </w:p>
    <w:p w14:paraId="7C67B6D3" w14:textId="77777777" w:rsidR="008B3EBC" w:rsidRPr="00990787" w:rsidRDefault="008B3EBC" w:rsidP="008B3EBC">
      <w:pPr>
        <w:pStyle w:val="ListParagraph"/>
        <w:ind w:left="0"/>
        <w:rPr>
          <w:rFonts w:asciiTheme="minorHAnsi" w:hAnsiTheme="minorHAnsi" w:cstheme="minorHAnsi"/>
          <w:color w:val="auto"/>
          <w:highlight w:val="yellow"/>
        </w:rPr>
      </w:pPr>
    </w:p>
    <w:p w14:paraId="7B95BA50" w14:textId="0FF2CF24" w:rsidR="00B6403B" w:rsidRPr="00796BE0" w:rsidRDefault="00B6403B" w:rsidP="00990787">
      <w:pPr>
        <w:pStyle w:val="ListParagraph"/>
        <w:numPr>
          <w:ilvl w:val="1"/>
          <w:numId w:val="40"/>
        </w:numPr>
        <w:rPr>
          <w:rFonts w:asciiTheme="minorHAnsi" w:hAnsiTheme="minorHAnsi" w:cstheme="minorHAnsi"/>
          <w:color w:val="auto"/>
          <w:highlight w:val="yellow"/>
        </w:rPr>
      </w:pPr>
      <w:r>
        <w:rPr>
          <w:rFonts w:asciiTheme="minorHAnsi" w:hAnsiTheme="minorHAnsi" w:cstheme="minorHAnsi"/>
          <w:color w:val="auto"/>
          <w:highlight w:val="yellow"/>
        </w:rPr>
        <w:t xml:space="preserve">Place the grips between the crosshead and baseplate, with enough space below the grips for the </w:t>
      </w:r>
      <w:r w:rsidR="00271386">
        <w:rPr>
          <w:rFonts w:asciiTheme="minorHAnsi" w:hAnsiTheme="minorHAnsi" w:cstheme="minorHAnsi"/>
          <w:color w:val="auto"/>
          <w:highlight w:val="yellow"/>
        </w:rPr>
        <w:t>syringe and needle.</w:t>
      </w:r>
    </w:p>
    <w:p w14:paraId="7D57DEA9" w14:textId="77777777" w:rsidR="008B5CAC" w:rsidRPr="00796BE0" w:rsidRDefault="008B5CAC" w:rsidP="008B5CAC">
      <w:pPr>
        <w:rPr>
          <w:rFonts w:asciiTheme="minorHAnsi" w:hAnsiTheme="minorHAnsi" w:cstheme="minorHAnsi"/>
          <w:color w:val="auto"/>
          <w:highlight w:val="yellow"/>
        </w:rPr>
      </w:pPr>
    </w:p>
    <w:p w14:paraId="0758F623" w14:textId="6B602EA6" w:rsidR="005D62A6" w:rsidRDefault="005D62A6" w:rsidP="00990787">
      <w:pPr>
        <w:pStyle w:val="ListParagraph"/>
        <w:numPr>
          <w:ilvl w:val="1"/>
          <w:numId w:val="40"/>
        </w:numPr>
        <w:rPr>
          <w:rFonts w:asciiTheme="minorHAnsi" w:hAnsiTheme="minorHAnsi" w:cstheme="minorHAnsi"/>
          <w:color w:val="auto"/>
          <w:highlight w:val="yellow"/>
        </w:rPr>
      </w:pPr>
      <w:r w:rsidRPr="00796BE0">
        <w:rPr>
          <w:rFonts w:asciiTheme="minorHAnsi" w:hAnsiTheme="minorHAnsi" w:cstheme="minorHAnsi"/>
          <w:color w:val="auto"/>
          <w:highlight w:val="yellow"/>
        </w:rPr>
        <w:t xml:space="preserve">Line up the centers of the two </w:t>
      </w:r>
      <w:r w:rsidR="00352EBC" w:rsidRPr="00796BE0">
        <w:rPr>
          <w:rFonts w:asciiTheme="minorHAnsi" w:hAnsiTheme="minorHAnsi" w:cstheme="minorHAnsi"/>
          <w:color w:val="auto"/>
          <w:highlight w:val="yellow"/>
        </w:rPr>
        <w:t>grips</w:t>
      </w:r>
      <w:r w:rsidRPr="00796BE0">
        <w:rPr>
          <w:rFonts w:asciiTheme="minorHAnsi" w:hAnsiTheme="minorHAnsi" w:cstheme="minorHAnsi"/>
          <w:color w:val="auto"/>
          <w:highlight w:val="yellow"/>
        </w:rPr>
        <w:t xml:space="preserve">, and line these up with the center of the </w:t>
      </w:r>
      <w:r w:rsidR="00FC0540" w:rsidRPr="00796BE0">
        <w:rPr>
          <w:rFonts w:asciiTheme="minorHAnsi" w:hAnsiTheme="minorHAnsi" w:cstheme="minorHAnsi"/>
          <w:color w:val="auto"/>
          <w:highlight w:val="yellow"/>
        </w:rPr>
        <w:t>crosshead.</w:t>
      </w:r>
    </w:p>
    <w:p w14:paraId="5B307CF2" w14:textId="77777777" w:rsidR="003F163F" w:rsidRPr="00990787" w:rsidRDefault="003F163F" w:rsidP="00990787">
      <w:pPr>
        <w:pStyle w:val="ListParagraph"/>
        <w:rPr>
          <w:rFonts w:asciiTheme="minorHAnsi" w:hAnsiTheme="minorHAnsi" w:cstheme="minorHAnsi"/>
          <w:color w:val="auto"/>
          <w:highlight w:val="yellow"/>
        </w:rPr>
      </w:pPr>
    </w:p>
    <w:p w14:paraId="63EA7709" w14:textId="6D27D438" w:rsidR="003F163F" w:rsidRPr="00990787" w:rsidRDefault="003F163F" w:rsidP="00990787">
      <w:pPr>
        <w:rPr>
          <w:rFonts w:asciiTheme="minorHAnsi" w:hAnsiTheme="minorHAnsi" w:cstheme="minorHAnsi"/>
          <w:color w:val="auto"/>
          <w:highlight w:val="yellow"/>
        </w:rPr>
      </w:pPr>
      <w:r>
        <w:rPr>
          <w:rFonts w:asciiTheme="minorHAnsi" w:hAnsiTheme="minorHAnsi" w:cstheme="minorHAnsi"/>
          <w:color w:val="auto"/>
          <w:highlight w:val="yellow"/>
        </w:rPr>
        <w:t>NOTE: Alignment of the clamp grips with each other and the center of the crosshead may take some time and iteration to achieve, but is important to acquire high quality data.</w:t>
      </w:r>
    </w:p>
    <w:p w14:paraId="13C3E9B0" w14:textId="3F0CD969" w:rsidR="008B5CAC" w:rsidRPr="00796BE0" w:rsidRDefault="008B5CAC" w:rsidP="008B5CAC">
      <w:pPr>
        <w:rPr>
          <w:rFonts w:asciiTheme="minorHAnsi" w:hAnsiTheme="minorHAnsi" w:cstheme="minorHAnsi"/>
          <w:color w:val="auto"/>
          <w:highlight w:val="yellow"/>
        </w:rPr>
      </w:pPr>
    </w:p>
    <w:p w14:paraId="64588138" w14:textId="3E3E727C" w:rsidR="00BF0C47" w:rsidRPr="00796BE0" w:rsidRDefault="00BF0C47" w:rsidP="00990787">
      <w:pPr>
        <w:pStyle w:val="ListParagraph"/>
        <w:numPr>
          <w:ilvl w:val="1"/>
          <w:numId w:val="40"/>
        </w:numPr>
        <w:rPr>
          <w:rFonts w:asciiTheme="minorHAnsi" w:hAnsiTheme="minorHAnsi" w:cstheme="minorHAnsi"/>
          <w:color w:val="auto"/>
          <w:highlight w:val="yellow"/>
        </w:rPr>
      </w:pPr>
      <w:r w:rsidRPr="00796BE0">
        <w:rPr>
          <w:rFonts w:asciiTheme="minorHAnsi" w:hAnsiTheme="minorHAnsi" w:cstheme="minorHAnsi"/>
          <w:color w:val="auto"/>
          <w:highlight w:val="yellow"/>
        </w:rPr>
        <w:t xml:space="preserve">Ensure the </w:t>
      </w:r>
      <w:r w:rsidR="00352EBC" w:rsidRPr="00796BE0">
        <w:rPr>
          <w:rFonts w:asciiTheme="minorHAnsi" w:hAnsiTheme="minorHAnsi" w:cstheme="minorHAnsi"/>
          <w:color w:val="auto"/>
          <w:highlight w:val="yellow"/>
        </w:rPr>
        <w:t>clamps</w:t>
      </w:r>
      <w:r w:rsidRPr="00796BE0">
        <w:rPr>
          <w:rFonts w:asciiTheme="minorHAnsi" w:hAnsiTheme="minorHAnsi" w:cstheme="minorHAnsi"/>
          <w:color w:val="auto"/>
          <w:highlight w:val="yellow"/>
        </w:rPr>
        <w:t xml:space="preserve"> are secured firmly so that there is no movement in the clamps when </w:t>
      </w:r>
      <w:r w:rsidR="00151A91">
        <w:rPr>
          <w:rFonts w:asciiTheme="minorHAnsi" w:hAnsiTheme="minorHAnsi" w:cstheme="minorHAnsi"/>
          <w:color w:val="auto"/>
          <w:highlight w:val="yellow"/>
        </w:rPr>
        <w:t xml:space="preserve">a </w:t>
      </w:r>
      <w:r w:rsidRPr="00796BE0">
        <w:rPr>
          <w:rFonts w:asciiTheme="minorHAnsi" w:hAnsiTheme="minorHAnsi" w:cstheme="minorHAnsi"/>
          <w:color w:val="auto"/>
          <w:highlight w:val="yellow"/>
        </w:rPr>
        <w:t>downward force is applied.</w:t>
      </w:r>
    </w:p>
    <w:p w14:paraId="5BB4D1C3" w14:textId="36F95A68" w:rsidR="008B5CAC" w:rsidRPr="00796BE0" w:rsidRDefault="008B5CAC" w:rsidP="008B5CAC">
      <w:pPr>
        <w:rPr>
          <w:rFonts w:asciiTheme="minorHAnsi" w:hAnsiTheme="minorHAnsi" w:cstheme="minorHAnsi"/>
          <w:color w:val="auto"/>
          <w:highlight w:val="yellow"/>
        </w:rPr>
      </w:pPr>
    </w:p>
    <w:p w14:paraId="676E69C3" w14:textId="735ECFBA" w:rsidR="00B97ACA" w:rsidRPr="00796BE0" w:rsidRDefault="00B97ACA" w:rsidP="00990787">
      <w:pPr>
        <w:pStyle w:val="ListParagraph"/>
        <w:numPr>
          <w:ilvl w:val="1"/>
          <w:numId w:val="40"/>
        </w:numPr>
        <w:rPr>
          <w:rFonts w:asciiTheme="minorHAnsi" w:hAnsiTheme="minorHAnsi" w:cstheme="minorHAnsi"/>
          <w:color w:val="auto"/>
          <w:highlight w:val="yellow"/>
        </w:rPr>
      </w:pPr>
      <w:r w:rsidRPr="00796BE0">
        <w:rPr>
          <w:rFonts w:asciiTheme="minorHAnsi" w:hAnsiTheme="minorHAnsi" w:cstheme="minorHAnsi"/>
          <w:color w:val="auto"/>
          <w:highlight w:val="yellow"/>
        </w:rPr>
        <w:t>Place a dish onto the bottom plate to</w:t>
      </w:r>
      <w:r w:rsidR="00FF5533" w:rsidRPr="00796BE0">
        <w:rPr>
          <w:rFonts w:asciiTheme="minorHAnsi" w:hAnsiTheme="minorHAnsi" w:cstheme="minorHAnsi"/>
          <w:color w:val="auto"/>
          <w:highlight w:val="yellow"/>
        </w:rPr>
        <w:t xml:space="preserve"> collect the extruded material.</w:t>
      </w:r>
    </w:p>
    <w:p w14:paraId="17540C68" w14:textId="77777777" w:rsidR="00FF5533" w:rsidRPr="00796BE0" w:rsidRDefault="00FF5533" w:rsidP="00FF5533">
      <w:pPr>
        <w:rPr>
          <w:rFonts w:asciiTheme="minorHAnsi" w:hAnsiTheme="minorHAnsi" w:cstheme="minorHAnsi"/>
          <w:color w:val="auto"/>
          <w:highlight w:val="yellow"/>
        </w:rPr>
      </w:pPr>
    </w:p>
    <w:p w14:paraId="3D5C9CA0" w14:textId="3DFE9BC4" w:rsidR="00BF0C47" w:rsidRPr="00796BE0" w:rsidRDefault="00BF0C47" w:rsidP="00990787">
      <w:pPr>
        <w:pStyle w:val="NormalWeb"/>
        <w:numPr>
          <w:ilvl w:val="0"/>
          <w:numId w:val="40"/>
        </w:numPr>
        <w:spacing w:before="0" w:beforeAutospacing="0" w:after="0" w:afterAutospacing="0"/>
        <w:rPr>
          <w:rFonts w:asciiTheme="minorHAnsi" w:hAnsiTheme="minorHAnsi" w:cstheme="minorHAnsi"/>
          <w:b/>
          <w:highlight w:val="yellow"/>
        </w:rPr>
      </w:pPr>
      <w:r w:rsidRPr="00796BE0">
        <w:rPr>
          <w:rFonts w:asciiTheme="minorHAnsi" w:hAnsiTheme="minorHAnsi" w:cstheme="minorHAnsi"/>
          <w:b/>
          <w:highlight w:val="yellow"/>
        </w:rPr>
        <w:t>Run the injectability protocol</w:t>
      </w:r>
    </w:p>
    <w:p w14:paraId="6BAA70F6" w14:textId="77777777" w:rsidR="008B5CAC" w:rsidRPr="00796BE0" w:rsidRDefault="008B5CAC" w:rsidP="008B5CAC">
      <w:pPr>
        <w:pStyle w:val="NormalWeb"/>
        <w:spacing w:before="0" w:beforeAutospacing="0" w:after="0" w:afterAutospacing="0"/>
        <w:rPr>
          <w:rFonts w:asciiTheme="minorHAnsi" w:hAnsiTheme="minorHAnsi" w:cstheme="minorHAnsi"/>
          <w:b/>
          <w:highlight w:val="yellow"/>
        </w:rPr>
      </w:pPr>
    </w:p>
    <w:p w14:paraId="0582DC1A" w14:textId="206DBAD2" w:rsidR="00BF0C47" w:rsidRPr="00796BE0" w:rsidRDefault="00BF0C47" w:rsidP="00990787">
      <w:pPr>
        <w:pStyle w:val="NormalWeb"/>
        <w:numPr>
          <w:ilvl w:val="1"/>
          <w:numId w:val="40"/>
        </w:numPr>
        <w:spacing w:before="0" w:beforeAutospacing="0" w:after="0" w:afterAutospacing="0"/>
        <w:rPr>
          <w:rFonts w:asciiTheme="minorHAnsi" w:hAnsiTheme="minorHAnsi" w:cstheme="minorHAnsi"/>
          <w:highlight w:val="yellow"/>
        </w:rPr>
      </w:pPr>
      <w:r w:rsidRPr="00796BE0">
        <w:rPr>
          <w:rFonts w:asciiTheme="minorHAnsi" w:hAnsiTheme="minorHAnsi" w:cstheme="minorHAnsi"/>
          <w:highlight w:val="yellow"/>
        </w:rPr>
        <w:t xml:space="preserve">Insert the syringe into the </w:t>
      </w:r>
      <w:r w:rsidR="00352EBC" w:rsidRPr="00796BE0">
        <w:rPr>
          <w:rFonts w:asciiTheme="minorHAnsi" w:hAnsiTheme="minorHAnsi" w:cstheme="minorHAnsi"/>
          <w:highlight w:val="yellow"/>
        </w:rPr>
        <w:t xml:space="preserve">clamp </w:t>
      </w:r>
      <w:r w:rsidR="00B914F9" w:rsidRPr="00796BE0">
        <w:rPr>
          <w:rFonts w:asciiTheme="minorHAnsi" w:hAnsiTheme="minorHAnsi" w:cstheme="minorHAnsi"/>
          <w:highlight w:val="yellow"/>
        </w:rPr>
        <w:t>grips</w:t>
      </w:r>
      <w:r w:rsidRPr="00796BE0">
        <w:rPr>
          <w:rFonts w:asciiTheme="minorHAnsi" w:hAnsiTheme="minorHAnsi" w:cstheme="minorHAnsi"/>
          <w:highlight w:val="yellow"/>
        </w:rPr>
        <w:t xml:space="preserve"> </w:t>
      </w:r>
      <w:r w:rsidR="00B914F9" w:rsidRPr="00796BE0">
        <w:rPr>
          <w:rFonts w:asciiTheme="minorHAnsi" w:hAnsiTheme="minorHAnsi" w:cstheme="minorHAnsi"/>
          <w:highlight w:val="yellow"/>
        </w:rPr>
        <w:t>and close the</w:t>
      </w:r>
      <w:r w:rsidR="00352EBC" w:rsidRPr="00796BE0">
        <w:rPr>
          <w:rFonts w:asciiTheme="minorHAnsi" w:hAnsiTheme="minorHAnsi" w:cstheme="minorHAnsi"/>
          <w:highlight w:val="yellow"/>
        </w:rPr>
        <w:t>m</w:t>
      </w:r>
      <w:r w:rsidR="00B914F9" w:rsidRPr="00796BE0">
        <w:rPr>
          <w:rFonts w:asciiTheme="minorHAnsi" w:hAnsiTheme="minorHAnsi" w:cstheme="minorHAnsi"/>
          <w:highlight w:val="yellow"/>
        </w:rPr>
        <w:t>. The grips should hold the syringe in place, but allow it to move up and down without resistance</w:t>
      </w:r>
      <w:r w:rsidR="00FC0540" w:rsidRPr="00796BE0">
        <w:rPr>
          <w:rFonts w:asciiTheme="minorHAnsi" w:hAnsiTheme="minorHAnsi" w:cstheme="minorHAnsi"/>
          <w:highlight w:val="yellow"/>
        </w:rPr>
        <w:t>.</w:t>
      </w:r>
    </w:p>
    <w:p w14:paraId="136733B1" w14:textId="77777777" w:rsidR="00FC0540" w:rsidRPr="00796BE0" w:rsidRDefault="00FC0540" w:rsidP="00FC0540">
      <w:pPr>
        <w:pStyle w:val="NormalWeb"/>
        <w:spacing w:before="0" w:beforeAutospacing="0" w:after="0" w:afterAutospacing="0"/>
        <w:ind w:left="360"/>
        <w:rPr>
          <w:rFonts w:asciiTheme="minorHAnsi" w:hAnsiTheme="minorHAnsi" w:cstheme="minorHAnsi"/>
          <w:highlight w:val="yellow"/>
        </w:rPr>
      </w:pPr>
    </w:p>
    <w:p w14:paraId="4DC450CF" w14:textId="2BF4774B" w:rsidR="00FC0540" w:rsidRDefault="00FC0540" w:rsidP="00990787">
      <w:pPr>
        <w:pStyle w:val="NormalWeb"/>
        <w:numPr>
          <w:ilvl w:val="1"/>
          <w:numId w:val="40"/>
        </w:numPr>
        <w:spacing w:before="0" w:beforeAutospacing="0" w:after="0" w:afterAutospacing="0"/>
        <w:rPr>
          <w:rFonts w:asciiTheme="minorHAnsi" w:hAnsiTheme="minorHAnsi" w:cstheme="minorHAnsi"/>
          <w:highlight w:val="yellow"/>
        </w:rPr>
      </w:pPr>
      <w:r w:rsidRPr="00796BE0">
        <w:rPr>
          <w:rFonts w:asciiTheme="minorHAnsi" w:hAnsiTheme="minorHAnsi" w:cstheme="minorHAnsi"/>
          <w:highlight w:val="yellow"/>
        </w:rPr>
        <w:t>Ensure the syringe and plunger are perpendicular to the crosshead. This ensures that only uniaxial compression of the material will be measured.</w:t>
      </w:r>
    </w:p>
    <w:p w14:paraId="36DDF86F" w14:textId="77777777" w:rsidR="007243B7" w:rsidRDefault="007243B7" w:rsidP="007243B7">
      <w:pPr>
        <w:pStyle w:val="ListParagraph"/>
        <w:rPr>
          <w:rFonts w:asciiTheme="minorHAnsi" w:hAnsiTheme="minorHAnsi" w:cstheme="minorHAnsi"/>
          <w:highlight w:val="yellow"/>
        </w:rPr>
      </w:pPr>
    </w:p>
    <w:p w14:paraId="5C9131A4" w14:textId="78DCCC2B" w:rsidR="007243B7" w:rsidRPr="00796BE0" w:rsidRDefault="007243B7" w:rsidP="007243B7">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NOTE: An empty syringe should be used to ensure checkpoints 4.4 and 4.5.</w:t>
      </w:r>
    </w:p>
    <w:p w14:paraId="77E3FBE1" w14:textId="77777777" w:rsidR="008B5CAC" w:rsidRPr="00796BE0" w:rsidRDefault="008B5CAC" w:rsidP="008B5CAC">
      <w:pPr>
        <w:pStyle w:val="NormalWeb"/>
        <w:spacing w:before="0" w:beforeAutospacing="0" w:after="0" w:afterAutospacing="0"/>
        <w:rPr>
          <w:rFonts w:asciiTheme="minorHAnsi" w:hAnsiTheme="minorHAnsi" w:cstheme="minorHAnsi"/>
          <w:highlight w:val="yellow"/>
        </w:rPr>
      </w:pPr>
    </w:p>
    <w:p w14:paraId="6F4FCE78" w14:textId="27E1F5EA" w:rsidR="00EA0A64" w:rsidRPr="00796BE0" w:rsidRDefault="00A665F9" w:rsidP="00990787">
      <w:pPr>
        <w:pStyle w:val="NormalWeb"/>
        <w:numPr>
          <w:ilvl w:val="1"/>
          <w:numId w:val="40"/>
        </w:numPr>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L</w:t>
      </w:r>
      <w:r w:rsidR="003743FF" w:rsidRPr="00796BE0">
        <w:rPr>
          <w:rFonts w:asciiTheme="minorHAnsi" w:hAnsiTheme="minorHAnsi" w:cstheme="minorHAnsi"/>
          <w:highlight w:val="yellow"/>
        </w:rPr>
        <w:t>ower the top plate to a position just above the plunger</w:t>
      </w:r>
      <w:r>
        <w:rPr>
          <w:rFonts w:asciiTheme="minorHAnsi" w:hAnsiTheme="minorHAnsi" w:cstheme="minorHAnsi"/>
          <w:highlight w:val="yellow"/>
        </w:rPr>
        <w:t>, using the manual movement buttons</w:t>
      </w:r>
      <w:r w:rsidR="008B5CAC" w:rsidRPr="00796BE0">
        <w:rPr>
          <w:rFonts w:asciiTheme="minorHAnsi" w:hAnsiTheme="minorHAnsi" w:cstheme="minorHAnsi"/>
          <w:highlight w:val="yellow"/>
        </w:rPr>
        <w:t>.</w:t>
      </w:r>
    </w:p>
    <w:p w14:paraId="56D47AC2" w14:textId="6301CA0F" w:rsidR="008B5CAC" w:rsidRPr="00796BE0" w:rsidRDefault="008B5CAC" w:rsidP="008B5CAC">
      <w:pPr>
        <w:pStyle w:val="NormalWeb"/>
        <w:spacing w:before="0" w:beforeAutospacing="0" w:after="0" w:afterAutospacing="0"/>
        <w:rPr>
          <w:rFonts w:asciiTheme="minorHAnsi" w:hAnsiTheme="minorHAnsi" w:cstheme="minorHAnsi"/>
          <w:highlight w:val="yellow"/>
        </w:rPr>
      </w:pPr>
    </w:p>
    <w:p w14:paraId="3DDBDC4E" w14:textId="59459478" w:rsidR="003743FF" w:rsidRPr="00796BE0" w:rsidRDefault="003743FF" w:rsidP="008B3EBC">
      <w:pPr>
        <w:pStyle w:val="NormalWeb"/>
        <w:spacing w:before="0" w:beforeAutospacing="0" w:after="0" w:afterAutospacing="0"/>
        <w:rPr>
          <w:rFonts w:asciiTheme="minorHAnsi" w:hAnsiTheme="minorHAnsi" w:cstheme="minorHAnsi"/>
          <w:highlight w:val="yellow"/>
        </w:rPr>
      </w:pPr>
      <w:r w:rsidRPr="00796BE0">
        <w:rPr>
          <w:rFonts w:asciiTheme="minorHAnsi" w:hAnsiTheme="minorHAnsi" w:cstheme="minorHAnsi"/>
          <w:highlight w:val="yellow"/>
        </w:rPr>
        <w:t xml:space="preserve">NOTE: </w:t>
      </w:r>
      <w:r w:rsidR="008B3EBC">
        <w:rPr>
          <w:rFonts w:asciiTheme="minorHAnsi" w:hAnsiTheme="minorHAnsi" w:cstheme="minorHAnsi"/>
          <w:highlight w:val="yellow"/>
        </w:rPr>
        <w:t>I</w:t>
      </w:r>
      <w:r w:rsidRPr="00796BE0">
        <w:rPr>
          <w:rFonts w:asciiTheme="minorHAnsi" w:hAnsiTheme="minorHAnsi" w:cstheme="minorHAnsi"/>
          <w:highlight w:val="yellow"/>
        </w:rPr>
        <w:t>t may be possible to select a ‘</w:t>
      </w:r>
      <w:r w:rsidR="008B3EBC" w:rsidRPr="008B3EBC">
        <w:rPr>
          <w:rFonts w:asciiTheme="minorHAnsi" w:hAnsiTheme="minorHAnsi" w:cstheme="minorHAnsi"/>
          <w:b/>
          <w:bCs/>
          <w:highlight w:val="yellow"/>
        </w:rPr>
        <w:t>S</w:t>
      </w:r>
      <w:r w:rsidRPr="008B3EBC">
        <w:rPr>
          <w:rFonts w:asciiTheme="minorHAnsi" w:hAnsiTheme="minorHAnsi" w:cstheme="minorHAnsi"/>
          <w:b/>
          <w:bCs/>
          <w:highlight w:val="yellow"/>
        </w:rPr>
        <w:t>tart position</w:t>
      </w:r>
      <w:r w:rsidRPr="00796BE0">
        <w:rPr>
          <w:rFonts w:asciiTheme="minorHAnsi" w:hAnsiTheme="minorHAnsi" w:cstheme="minorHAnsi"/>
          <w:highlight w:val="yellow"/>
        </w:rPr>
        <w:t>’ in the mechanical tester protocol, such that the original position above the plunger is reached automatically and is consistent throughout testing.</w:t>
      </w:r>
    </w:p>
    <w:p w14:paraId="3979F6E8" w14:textId="77777777" w:rsidR="008B5CAC" w:rsidRPr="00796BE0" w:rsidRDefault="008B5CAC" w:rsidP="003743FF">
      <w:pPr>
        <w:pStyle w:val="NormalWeb"/>
        <w:spacing w:before="0" w:beforeAutospacing="0" w:after="0" w:afterAutospacing="0"/>
        <w:ind w:left="360"/>
        <w:rPr>
          <w:rFonts w:asciiTheme="minorHAnsi" w:hAnsiTheme="minorHAnsi" w:cstheme="minorHAnsi"/>
          <w:highlight w:val="yellow"/>
        </w:rPr>
      </w:pPr>
    </w:p>
    <w:p w14:paraId="62F63892" w14:textId="22A3E8B4" w:rsidR="00EA0A64" w:rsidRPr="00796BE0" w:rsidRDefault="00EA0A64" w:rsidP="00990787">
      <w:pPr>
        <w:pStyle w:val="NormalWeb"/>
        <w:numPr>
          <w:ilvl w:val="1"/>
          <w:numId w:val="40"/>
        </w:numPr>
        <w:spacing w:before="0" w:beforeAutospacing="0" w:after="0" w:afterAutospacing="0"/>
        <w:rPr>
          <w:rFonts w:asciiTheme="minorHAnsi" w:hAnsiTheme="minorHAnsi" w:cstheme="minorHAnsi"/>
          <w:highlight w:val="yellow"/>
        </w:rPr>
      </w:pPr>
      <w:r w:rsidRPr="00796BE0">
        <w:rPr>
          <w:rFonts w:asciiTheme="minorHAnsi" w:hAnsiTheme="minorHAnsi" w:cstheme="minorHAnsi"/>
          <w:highlight w:val="yellow"/>
        </w:rPr>
        <w:t>Zero the measured force</w:t>
      </w:r>
      <w:r w:rsidR="00A665F9">
        <w:rPr>
          <w:rFonts w:asciiTheme="minorHAnsi" w:hAnsiTheme="minorHAnsi" w:cstheme="minorHAnsi"/>
          <w:highlight w:val="yellow"/>
        </w:rPr>
        <w:t xml:space="preserve"> by clicking ‘</w:t>
      </w:r>
      <w:r w:rsidR="00A665F9" w:rsidRPr="008B3EBC">
        <w:rPr>
          <w:rFonts w:asciiTheme="minorHAnsi" w:hAnsiTheme="minorHAnsi" w:cstheme="minorHAnsi"/>
          <w:b/>
          <w:bCs/>
          <w:highlight w:val="yellow"/>
        </w:rPr>
        <w:t>Zero Force</w:t>
      </w:r>
      <w:r w:rsidR="00A665F9">
        <w:rPr>
          <w:rFonts w:asciiTheme="minorHAnsi" w:hAnsiTheme="minorHAnsi" w:cstheme="minorHAnsi"/>
          <w:highlight w:val="yellow"/>
        </w:rPr>
        <w:t>’.</w:t>
      </w:r>
    </w:p>
    <w:p w14:paraId="01F190AA" w14:textId="77777777" w:rsidR="008B5CAC" w:rsidRPr="00796BE0" w:rsidRDefault="008B5CAC" w:rsidP="008B5CAC">
      <w:pPr>
        <w:pStyle w:val="NormalWeb"/>
        <w:spacing w:before="0" w:beforeAutospacing="0" w:after="0" w:afterAutospacing="0"/>
        <w:rPr>
          <w:rFonts w:asciiTheme="minorHAnsi" w:hAnsiTheme="minorHAnsi" w:cstheme="minorHAnsi"/>
          <w:highlight w:val="yellow"/>
        </w:rPr>
      </w:pPr>
    </w:p>
    <w:p w14:paraId="3BC6D27A" w14:textId="0522FAF1" w:rsidR="003743FF" w:rsidRPr="00796BE0" w:rsidRDefault="00B97ACA" w:rsidP="00990787">
      <w:pPr>
        <w:pStyle w:val="NormalWeb"/>
        <w:numPr>
          <w:ilvl w:val="1"/>
          <w:numId w:val="40"/>
        </w:numPr>
        <w:spacing w:before="0" w:beforeAutospacing="0" w:after="0" w:afterAutospacing="0"/>
        <w:rPr>
          <w:rFonts w:asciiTheme="minorHAnsi" w:hAnsiTheme="minorHAnsi" w:cstheme="minorHAnsi"/>
          <w:highlight w:val="yellow"/>
        </w:rPr>
      </w:pPr>
      <w:r w:rsidRPr="00796BE0">
        <w:rPr>
          <w:rFonts w:asciiTheme="minorHAnsi" w:hAnsiTheme="minorHAnsi" w:cstheme="minorHAnsi"/>
          <w:highlight w:val="yellow"/>
        </w:rPr>
        <w:t>Run the testing protocol</w:t>
      </w:r>
      <w:r w:rsidR="00A665F9">
        <w:rPr>
          <w:rFonts w:asciiTheme="minorHAnsi" w:hAnsiTheme="minorHAnsi" w:cstheme="minorHAnsi"/>
          <w:highlight w:val="yellow"/>
        </w:rPr>
        <w:t xml:space="preserve"> by pressing ‘</w:t>
      </w:r>
      <w:r w:rsidR="00A665F9" w:rsidRPr="008B3EBC">
        <w:rPr>
          <w:rFonts w:asciiTheme="minorHAnsi" w:hAnsiTheme="minorHAnsi" w:cstheme="minorHAnsi"/>
          <w:b/>
          <w:bCs/>
          <w:highlight w:val="yellow"/>
        </w:rPr>
        <w:t>Run</w:t>
      </w:r>
      <w:r w:rsidR="00A665F9">
        <w:rPr>
          <w:rFonts w:asciiTheme="minorHAnsi" w:hAnsiTheme="minorHAnsi" w:cstheme="minorHAnsi"/>
          <w:highlight w:val="yellow"/>
        </w:rPr>
        <w:t>’.</w:t>
      </w:r>
    </w:p>
    <w:p w14:paraId="639354C0" w14:textId="3F17AA40" w:rsidR="008B5CAC" w:rsidRPr="00796BE0" w:rsidRDefault="008B5CAC" w:rsidP="008B5CAC">
      <w:pPr>
        <w:pStyle w:val="NormalWeb"/>
        <w:spacing w:before="0" w:beforeAutospacing="0" w:after="0" w:afterAutospacing="0"/>
        <w:rPr>
          <w:rFonts w:asciiTheme="minorHAnsi" w:hAnsiTheme="minorHAnsi" w:cstheme="minorHAnsi"/>
          <w:highlight w:val="yellow"/>
        </w:rPr>
      </w:pPr>
    </w:p>
    <w:p w14:paraId="5574E961" w14:textId="453C1C3A" w:rsidR="008B5CAC" w:rsidRPr="00796BE0" w:rsidRDefault="00B97ACA" w:rsidP="008B3EBC">
      <w:pPr>
        <w:pStyle w:val="NormalWeb"/>
        <w:spacing w:before="0" w:beforeAutospacing="0" w:after="0" w:afterAutospacing="0"/>
        <w:rPr>
          <w:rFonts w:asciiTheme="minorHAnsi" w:hAnsiTheme="minorHAnsi" w:cstheme="minorHAnsi"/>
          <w:highlight w:val="yellow"/>
        </w:rPr>
      </w:pPr>
      <w:r w:rsidRPr="00796BE0">
        <w:rPr>
          <w:rFonts w:asciiTheme="minorHAnsi" w:hAnsiTheme="minorHAnsi" w:cstheme="minorHAnsi"/>
          <w:highlight w:val="yellow"/>
        </w:rPr>
        <w:t xml:space="preserve">CAUTION: The experimenter should always be present to observe each trial, and ready to activate the emergency stop in case of </w:t>
      </w:r>
      <w:r w:rsidR="00151A91">
        <w:rPr>
          <w:rFonts w:asciiTheme="minorHAnsi" w:hAnsiTheme="minorHAnsi" w:cstheme="minorHAnsi"/>
          <w:highlight w:val="yellow"/>
        </w:rPr>
        <w:t xml:space="preserve">a </w:t>
      </w:r>
      <w:r w:rsidRPr="00796BE0">
        <w:rPr>
          <w:rFonts w:asciiTheme="minorHAnsi" w:hAnsiTheme="minorHAnsi" w:cstheme="minorHAnsi"/>
          <w:highlight w:val="yellow"/>
        </w:rPr>
        <w:t>mishap.</w:t>
      </w:r>
    </w:p>
    <w:p w14:paraId="6794A1B3" w14:textId="77777777" w:rsidR="008B5CAC" w:rsidRPr="00796BE0" w:rsidRDefault="008B5CAC" w:rsidP="008B5CAC">
      <w:pPr>
        <w:pStyle w:val="NormalWeb"/>
        <w:spacing w:before="0" w:beforeAutospacing="0" w:after="0" w:afterAutospacing="0"/>
        <w:ind w:left="360"/>
        <w:rPr>
          <w:rFonts w:asciiTheme="minorHAnsi" w:hAnsiTheme="minorHAnsi" w:cstheme="minorHAnsi"/>
          <w:highlight w:val="yellow"/>
        </w:rPr>
      </w:pPr>
    </w:p>
    <w:p w14:paraId="78376EAC" w14:textId="57505BA0" w:rsidR="00B97ACA" w:rsidRPr="00796BE0" w:rsidRDefault="00B97ACA" w:rsidP="00990787">
      <w:pPr>
        <w:pStyle w:val="NormalWeb"/>
        <w:numPr>
          <w:ilvl w:val="1"/>
          <w:numId w:val="40"/>
        </w:numPr>
        <w:spacing w:before="0" w:beforeAutospacing="0" w:after="0" w:afterAutospacing="0"/>
        <w:rPr>
          <w:rFonts w:asciiTheme="minorHAnsi" w:hAnsiTheme="minorHAnsi" w:cstheme="minorHAnsi"/>
          <w:highlight w:val="yellow"/>
        </w:rPr>
      </w:pPr>
      <w:r w:rsidRPr="00796BE0">
        <w:rPr>
          <w:rFonts w:asciiTheme="minorHAnsi" w:hAnsiTheme="minorHAnsi" w:cstheme="minorHAnsi"/>
          <w:highlight w:val="yellow"/>
        </w:rPr>
        <w:t xml:space="preserve">Raise the plates to a </w:t>
      </w:r>
      <w:proofErr w:type="gramStart"/>
      <w:r w:rsidRPr="00796BE0">
        <w:rPr>
          <w:rFonts w:asciiTheme="minorHAnsi" w:hAnsiTheme="minorHAnsi" w:cstheme="minorHAnsi"/>
          <w:highlight w:val="yellow"/>
        </w:rPr>
        <w:t>sufficient</w:t>
      </w:r>
      <w:proofErr w:type="gramEnd"/>
      <w:r w:rsidRPr="00796BE0">
        <w:rPr>
          <w:rFonts w:asciiTheme="minorHAnsi" w:hAnsiTheme="minorHAnsi" w:cstheme="minorHAnsi"/>
          <w:highlight w:val="yellow"/>
        </w:rPr>
        <w:t xml:space="preserve"> height,</w:t>
      </w:r>
      <w:r w:rsidR="00A665F9">
        <w:rPr>
          <w:rFonts w:asciiTheme="minorHAnsi" w:hAnsiTheme="minorHAnsi" w:cstheme="minorHAnsi"/>
          <w:highlight w:val="yellow"/>
        </w:rPr>
        <w:t xml:space="preserve"> using the manual movement buttons,</w:t>
      </w:r>
      <w:r w:rsidRPr="00796BE0">
        <w:rPr>
          <w:rFonts w:asciiTheme="minorHAnsi" w:hAnsiTheme="minorHAnsi" w:cstheme="minorHAnsi"/>
          <w:highlight w:val="yellow"/>
        </w:rPr>
        <w:t xml:space="preserve"> such </w:t>
      </w:r>
      <w:r w:rsidR="008B5CAC" w:rsidRPr="00796BE0">
        <w:rPr>
          <w:rFonts w:asciiTheme="minorHAnsi" w:hAnsiTheme="minorHAnsi" w:cstheme="minorHAnsi"/>
          <w:highlight w:val="yellow"/>
        </w:rPr>
        <w:t>that the syringe can be removed.</w:t>
      </w:r>
    </w:p>
    <w:p w14:paraId="01BD0229" w14:textId="77777777" w:rsidR="008B5CAC" w:rsidRPr="00796BE0" w:rsidRDefault="008B5CAC" w:rsidP="008B5CAC">
      <w:pPr>
        <w:pStyle w:val="NormalWeb"/>
        <w:spacing w:before="0" w:beforeAutospacing="0" w:after="0" w:afterAutospacing="0"/>
        <w:rPr>
          <w:rFonts w:asciiTheme="minorHAnsi" w:hAnsiTheme="minorHAnsi" w:cstheme="minorHAnsi"/>
          <w:highlight w:val="yellow"/>
        </w:rPr>
      </w:pPr>
    </w:p>
    <w:p w14:paraId="63ACD2B2" w14:textId="5EBF81F5" w:rsidR="00B97ACA" w:rsidRPr="00796BE0" w:rsidRDefault="00B97ACA" w:rsidP="00990787">
      <w:pPr>
        <w:pStyle w:val="NormalWeb"/>
        <w:numPr>
          <w:ilvl w:val="1"/>
          <w:numId w:val="40"/>
        </w:numPr>
        <w:spacing w:before="0" w:beforeAutospacing="0" w:after="0" w:afterAutospacing="0"/>
        <w:rPr>
          <w:rFonts w:asciiTheme="minorHAnsi" w:hAnsiTheme="minorHAnsi" w:cstheme="minorHAnsi"/>
          <w:highlight w:val="yellow"/>
        </w:rPr>
      </w:pPr>
      <w:r w:rsidRPr="00796BE0">
        <w:rPr>
          <w:rFonts w:asciiTheme="minorHAnsi" w:hAnsiTheme="minorHAnsi" w:cstheme="minorHAnsi"/>
          <w:highlight w:val="yellow"/>
        </w:rPr>
        <w:t>Repeat step 4 for each sample.</w:t>
      </w:r>
    </w:p>
    <w:p w14:paraId="4F4BBC6D" w14:textId="77777777" w:rsidR="000526E2" w:rsidRPr="00796BE0" w:rsidRDefault="000526E2" w:rsidP="000526E2">
      <w:pPr>
        <w:pStyle w:val="ListParagraph"/>
        <w:rPr>
          <w:rFonts w:asciiTheme="minorHAnsi" w:hAnsiTheme="minorHAnsi" w:cstheme="minorHAnsi"/>
          <w:highlight w:val="yellow"/>
        </w:rPr>
      </w:pPr>
    </w:p>
    <w:p w14:paraId="73E978B4" w14:textId="30CAC41D" w:rsidR="000526E2" w:rsidRPr="00796BE0" w:rsidRDefault="000526E2" w:rsidP="008B3EBC">
      <w:pPr>
        <w:pStyle w:val="NormalWeb"/>
        <w:spacing w:before="0" w:beforeAutospacing="0" w:after="0" w:afterAutospacing="0"/>
        <w:rPr>
          <w:rFonts w:asciiTheme="minorHAnsi" w:hAnsiTheme="minorHAnsi" w:cstheme="minorHAnsi"/>
          <w:highlight w:val="yellow"/>
        </w:rPr>
      </w:pPr>
      <w:r w:rsidRPr="00796BE0">
        <w:rPr>
          <w:rFonts w:asciiTheme="minorHAnsi" w:hAnsiTheme="minorHAnsi" w:cstheme="minorHAnsi"/>
          <w:highlight w:val="yellow"/>
        </w:rPr>
        <w:lastRenderedPageBreak/>
        <w:t>NOTE: At this point</w:t>
      </w:r>
      <w:r w:rsidR="00151A91">
        <w:rPr>
          <w:rFonts w:asciiTheme="minorHAnsi" w:hAnsiTheme="minorHAnsi" w:cstheme="minorHAnsi"/>
          <w:highlight w:val="yellow"/>
        </w:rPr>
        <w:t>,</w:t>
      </w:r>
      <w:r w:rsidRPr="00796BE0">
        <w:rPr>
          <w:rFonts w:asciiTheme="minorHAnsi" w:hAnsiTheme="minorHAnsi" w:cstheme="minorHAnsi"/>
          <w:highlight w:val="yellow"/>
        </w:rPr>
        <w:t xml:space="preserve"> the </w:t>
      </w:r>
      <w:r w:rsidR="00976C89" w:rsidRPr="00796BE0">
        <w:rPr>
          <w:rFonts w:asciiTheme="minorHAnsi" w:hAnsiTheme="minorHAnsi" w:cstheme="minorHAnsi"/>
          <w:highlight w:val="yellow"/>
        </w:rPr>
        <w:t xml:space="preserve">syringe and extruded </w:t>
      </w:r>
      <w:r w:rsidRPr="00796BE0">
        <w:rPr>
          <w:rFonts w:asciiTheme="minorHAnsi" w:hAnsiTheme="minorHAnsi" w:cstheme="minorHAnsi"/>
          <w:highlight w:val="yellow"/>
        </w:rPr>
        <w:t xml:space="preserve">sample can be discarded </w:t>
      </w:r>
      <w:r w:rsidR="008B3EBC">
        <w:rPr>
          <w:rFonts w:asciiTheme="minorHAnsi" w:hAnsiTheme="minorHAnsi" w:cstheme="minorHAnsi"/>
          <w:highlight w:val="yellow"/>
        </w:rPr>
        <w:t>if</w:t>
      </w:r>
      <w:r w:rsidRPr="00796BE0">
        <w:rPr>
          <w:rFonts w:asciiTheme="minorHAnsi" w:hAnsiTheme="minorHAnsi" w:cstheme="minorHAnsi"/>
          <w:highlight w:val="yellow"/>
        </w:rPr>
        <w:t xml:space="preserve"> no further </w:t>
      </w:r>
      <w:r w:rsidR="00976C89" w:rsidRPr="00796BE0">
        <w:rPr>
          <w:rFonts w:asciiTheme="minorHAnsi" w:hAnsiTheme="minorHAnsi" w:cstheme="minorHAnsi"/>
          <w:highlight w:val="yellow"/>
        </w:rPr>
        <w:t>analysis is required, but maybe kept in order</w:t>
      </w:r>
      <w:r w:rsidR="00151A91">
        <w:rPr>
          <w:rFonts w:asciiTheme="minorHAnsi" w:hAnsiTheme="minorHAnsi" w:cstheme="minorHAnsi"/>
          <w:highlight w:val="yellow"/>
        </w:rPr>
        <w:t>,</w:t>
      </w:r>
      <w:r w:rsidR="00976C89" w:rsidRPr="00796BE0">
        <w:rPr>
          <w:rFonts w:asciiTheme="minorHAnsi" w:hAnsiTheme="minorHAnsi" w:cstheme="minorHAnsi"/>
          <w:highlight w:val="yellow"/>
        </w:rPr>
        <w:t xml:space="preserve"> to examine filter pressing, </w:t>
      </w:r>
      <w:r w:rsidR="007243B7" w:rsidRPr="00796BE0">
        <w:rPr>
          <w:rFonts w:asciiTheme="minorHAnsi" w:hAnsiTheme="minorHAnsi" w:cstheme="minorHAnsi"/>
          <w:highlight w:val="yellow"/>
        </w:rPr>
        <w:t>self-healing</w:t>
      </w:r>
      <w:r w:rsidR="00976C89" w:rsidRPr="00796BE0">
        <w:rPr>
          <w:rFonts w:asciiTheme="minorHAnsi" w:hAnsiTheme="minorHAnsi" w:cstheme="minorHAnsi"/>
          <w:highlight w:val="yellow"/>
        </w:rPr>
        <w:t>, the effects on cells</w:t>
      </w:r>
      <w:r w:rsidR="008B3EBC">
        <w:rPr>
          <w:rFonts w:asciiTheme="minorHAnsi" w:hAnsiTheme="minorHAnsi" w:cstheme="minorHAnsi"/>
          <w:highlight w:val="yellow"/>
        </w:rPr>
        <w:t>,</w:t>
      </w:r>
      <w:r w:rsidR="00976C89" w:rsidRPr="00796BE0">
        <w:rPr>
          <w:rFonts w:asciiTheme="minorHAnsi" w:hAnsiTheme="minorHAnsi" w:cstheme="minorHAnsi"/>
          <w:highlight w:val="yellow"/>
        </w:rPr>
        <w:t xml:space="preserve"> etc.</w:t>
      </w:r>
    </w:p>
    <w:p w14:paraId="66F57F27" w14:textId="77777777" w:rsidR="00FF5533" w:rsidRPr="00796BE0" w:rsidRDefault="00FF5533" w:rsidP="00FF5533">
      <w:pPr>
        <w:pStyle w:val="NormalWeb"/>
        <w:spacing w:before="0" w:beforeAutospacing="0" w:after="0" w:afterAutospacing="0"/>
        <w:rPr>
          <w:rFonts w:asciiTheme="minorHAnsi" w:hAnsiTheme="minorHAnsi" w:cstheme="minorHAnsi"/>
          <w:highlight w:val="yellow"/>
        </w:rPr>
      </w:pPr>
    </w:p>
    <w:p w14:paraId="512C5F2F" w14:textId="43E046F3" w:rsidR="009A7B30" w:rsidRPr="00796BE0" w:rsidRDefault="009A7B30" w:rsidP="00990787">
      <w:pPr>
        <w:pStyle w:val="NormalWeb"/>
        <w:numPr>
          <w:ilvl w:val="0"/>
          <w:numId w:val="40"/>
        </w:numPr>
        <w:spacing w:before="0" w:beforeAutospacing="0" w:after="0" w:afterAutospacing="0"/>
        <w:rPr>
          <w:rFonts w:asciiTheme="minorHAnsi" w:hAnsiTheme="minorHAnsi" w:cstheme="minorHAnsi"/>
          <w:b/>
          <w:highlight w:val="yellow"/>
        </w:rPr>
      </w:pPr>
      <w:r w:rsidRPr="00796BE0">
        <w:rPr>
          <w:rFonts w:asciiTheme="minorHAnsi" w:hAnsiTheme="minorHAnsi" w:cstheme="minorHAnsi"/>
          <w:b/>
          <w:highlight w:val="yellow"/>
        </w:rPr>
        <w:t>Data collection</w:t>
      </w:r>
    </w:p>
    <w:p w14:paraId="0E0EAD40" w14:textId="77777777" w:rsidR="008B5CAC" w:rsidRPr="00796BE0" w:rsidRDefault="008B5CAC" w:rsidP="008B5CAC">
      <w:pPr>
        <w:pStyle w:val="NormalWeb"/>
        <w:spacing w:before="0" w:beforeAutospacing="0" w:after="0" w:afterAutospacing="0"/>
        <w:rPr>
          <w:rFonts w:asciiTheme="minorHAnsi" w:hAnsiTheme="minorHAnsi" w:cstheme="minorHAnsi"/>
          <w:b/>
          <w:highlight w:val="yellow"/>
        </w:rPr>
      </w:pPr>
    </w:p>
    <w:p w14:paraId="7CCCDD3E" w14:textId="43F9F28A" w:rsidR="00BF0C47" w:rsidRPr="00796BE0" w:rsidRDefault="009A7B30" w:rsidP="00990787">
      <w:pPr>
        <w:pStyle w:val="NormalWeb"/>
        <w:numPr>
          <w:ilvl w:val="1"/>
          <w:numId w:val="40"/>
        </w:numPr>
        <w:spacing w:before="0" w:beforeAutospacing="0" w:after="0" w:afterAutospacing="0"/>
        <w:rPr>
          <w:rFonts w:asciiTheme="minorHAnsi" w:hAnsiTheme="minorHAnsi" w:cstheme="minorHAnsi"/>
          <w:highlight w:val="yellow"/>
        </w:rPr>
      </w:pPr>
      <w:r w:rsidRPr="00796BE0">
        <w:rPr>
          <w:rFonts w:asciiTheme="minorHAnsi" w:hAnsiTheme="minorHAnsi" w:cstheme="minorHAnsi"/>
          <w:highlight w:val="yellow"/>
        </w:rPr>
        <w:t>Save the data from each trial in a format from which a table of force and displacement values can be generated (.txt, .</w:t>
      </w:r>
      <w:proofErr w:type="spellStart"/>
      <w:r w:rsidRPr="00796BE0">
        <w:rPr>
          <w:rFonts w:asciiTheme="minorHAnsi" w:hAnsiTheme="minorHAnsi" w:cstheme="minorHAnsi"/>
          <w:highlight w:val="yellow"/>
        </w:rPr>
        <w:t>xls</w:t>
      </w:r>
      <w:proofErr w:type="spellEnd"/>
      <w:r w:rsidRPr="00796BE0">
        <w:rPr>
          <w:rFonts w:asciiTheme="minorHAnsi" w:hAnsiTheme="minorHAnsi" w:cstheme="minorHAnsi"/>
          <w:highlight w:val="yellow"/>
        </w:rPr>
        <w:t>, .xlsx).</w:t>
      </w:r>
    </w:p>
    <w:p w14:paraId="66926318" w14:textId="77777777" w:rsidR="008B5CAC" w:rsidRPr="00796BE0" w:rsidRDefault="008B5CAC" w:rsidP="008B5CAC">
      <w:pPr>
        <w:pStyle w:val="NormalWeb"/>
        <w:spacing w:before="0" w:beforeAutospacing="0" w:after="0" w:afterAutospacing="0"/>
        <w:rPr>
          <w:rFonts w:asciiTheme="minorHAnsi" w:hAnsiTheme="minorHAnsi" w:cstheme="minorHAnsi"/>
          <w:highlight w:val="yellow"/>
        </w:rPr>
      </w:pPr>
    </w:p>
    <w:p w14:paraId="0FCA7ED9" w14:textId="77777777" w:rsidR="00222CD1" w:rsidRDefault="009A7B30" w:rsidP="00990787">
      <w:pPr>
        <w:pStyle w:val="NormalWeb"/>
        <w:numPr>
          <w:ilvl w:val="1"/>
          <w:numId w:val="40"/>
        </w:numPr>
        <w:spacing w:before="0" w:beforeAutospacing="0" w:after="0" w:afterAutospacing="0"/>
        <w:rPr>
          <w:rFonts w:asciiTheme="minorHAnsi" w:hAnsiTheme="minorHAnsi" w:cstheme="minorHAnsi"/>
          <w:highlight w:val="yellow"/>
        </w:rPr>
      </w:pPr>
      <w:r w:rsidRPr="00796BE0">
        <w:rPr>
          <w:rFonts w:asciiTheme="minorHAnsi" w:hAnsiTheme="minorHAnsi" w:cstheme="minorHAnsi"/>
          <w:highlight w:val="yellow"/>
        </w:rPr>
        <w:t>Plot the results from each trial, with displacement on the x-axis and force on the y-axis.</w:t>
      </w:r>
    </w:p>
    <w:p w14:paraId="0BAEA660" w14:textId="77777777" w:rsidR="00222CD1" w:rsidRDefault="00222CD1" w:rsidP="00990787">
      <w:pPr>
        <w:pStyle w:val="ListParagraph"/>
        <w:rPr>
          <w:rFonts w:asciiTheme="minorHAnsi" w:hAnsiTheme="minorHAnsi" w:cstheme="minorHAnsi"/>
          <w:highlight w:val="yellow"/>
        </w:rPr>
      </w:pPr>
    </w:p>
    <w:p w14:paraId="3ABFBAC8" w14:textId="69DFE68B" w:rsidR="00222CD1" w:rsidRPr="00222CD1" w:rsidRDefault="00222CD1" w:rsidP="00990787">
      <w:pPr>
        <w:pStyle w:val="NormalWeb"/>
        <w:numPr>
          <w:ilvl w:val="1"/>
          <w:numId w:val="40"/>
        </w:numPr>
        <w:spacing w:before="0" w:beforeAutospacing="0" w:after="0" w:afterAutospacing="0"/>
        <w:rPr>
          <w:rFonts w:asciiTheme="minorHAnsi" w:hAnsiTheme="minorHAnsi" w:cstheme="minorHAnsi"/>
          <w:highlight w:val="yellow"/>
        </w:rPr>
      </w:pPr>
      <w:r w:rsidRPr="00222CD1">
        <w:rPr>
          <w:rFonts w:asciiTheme="minorHAnsi" w:hAnsiTheme="minorHAnsi" w:cstheme="minorHAnsi"/>
          <w:highlight w:val="yellow"/>
        </w:rPr>
        <w:t xml:space="preserve"> </w:t>
      </w:r>
      <w:r>
        <w:rPr>
          <w:rFonts w:asciiTheme="minorHAnsi" w:hAnsiTheme="minorHAnsi" w:cstheme="minorHAnsi"/>
          <w:highlight w:val="yellow"/>
        </w:rPr>
        <w:t>Read the maximum force (if it exists) and plateau force from the graphs.</w:t>
      </w:r>
    </w:p>
    <w:bookmarkEnd w:id="1"/>
    <w:p w14:paraId="71151C6E" w14:textId="77777777" w:rsidR="00FF5533" w:rsidRPr="00FC6506" w:rsidRDefault="00FF5533" w:rsidP="00FF5533">
      <w:pPr>
        <w:pStyle w:val="NormalWeb"/>
        <w:spacing w:before="0" w:beforeAutospacing="0" w:after="0" w:afterAutospacing="0"/>
        <w:rPr>
          <w:rFonts w:asciiTheme="minorHAnsi" w:hAnsiTheme="minorHAnsi" w:cstheme="minorHAnsi"/>
        </w:rPr>
      </w:pPr>
    </w:p>
    <w:p w14:paraId="3E79FCA8" w14:textId="23CC7488" w:rsidR="006305D7" w:rsidRPr="00FC6506" w:rsidRDefault="006305D7" w:rsidP="001B1519">
      <w:pPr>
        <w:pStyle w:val="NormalWeb"/>
        <w:spacing w:before="0" w:beforeAutospacing="0" w:after="0" w:afterAutospacing="0"/>
        <w:rPr>
          <w:rFonts w:asciiTheme="minorHAnsi" w:hAnsiTheme="minorHAnsi" w:cstheme="minorHAnsi"/>
          <w:color w:val="808080"/>
        </w:rPr>
      </w:pPr>
      <w:r w:rsidRPr="00FC6506">
        <w:rPr>
          <w:rFonts w:asciiTheme="minorHAnsi" w:hAnsiTheme="minorHAnsi" w:cstheme="minorHAnsi"/>
          <w:b/>
        </w:rPr>
        <w:t>REPRESENTATIVE RESULTS</w:t>
      </w:r>
      <w:r w:rsidR="00EF1462" w:rsidRPr="00FC6506">
        <w:rPr>
          <w:rFonts w:asciiTheme="minorHAnsi" w:hAnsiTheme="minorHAnsi" w:cstheme="minorHAnsi"/>
          <w:b/>
        </w:rPr>
        <w:t>:</w:t>
      </w:r>
    </w:p>
    <w:p w14:paraId="4D28581E" w14:textId="4C57AFD5" w:rsidR="00136965" w:rsidRPr="00990787" w:rsidRDefault="00624C3F" w:rsidP="00990787">
      <w:pPr>
        <w:rPr>
          <w:rFonts w:asciiTheme="minorHAnsi" w:hAnsiTheme="minorHAnsi" w:cstheme="minorHAnsi"/>
          <w:color w:val="auto"/>
        </w:rPr>
      </w:pPr>
      <w:r>
        <w:rPr>
          <w:rFonts w:asciiTheme="minorHAnsi" w:hAnsiTheme="minorHAnsi" w:cstheme="minorHAnsi"/>
          <w:color w:val="auto"/>
        </w:rPr>
        <w:t>The set-</w:t>
      </w:r>
      <w:r w:rsidR="00D7065B">
        <w:rPr>
          <w:rFonts w:asciiTheme="minorHAnsi" w:hAnsiTheme="minorHAnsi" w:cstheme="minorHAnsi"/>
          <w:color w:val="auto"/>
        </w:rPr>
        <w:t xml:space="preserve">up of the mechanical tester </w:t>
      </w:r>
      <w:r>
        <w:rPr>
          <w:rFonts w:asciiTheme="minorHAnsi" w:hAnsiTheme="minorHAnsi" w:cstheme="minorHAnsi"/>
          <w:color w:val="auto"/>
        </w:rPr>
        <w:t xml:space="preserve">and clamping system </w:t>
      </w:r>
      <w:r w:rsidR="00D7065B">
        <w:rPr>
          <w:rFonts w:asciiTheme="minorHAnsi" w:hAnsiTheme="minorHAnsi" w:cstheme="minorHAnsi"/>
          <w:color w:val="auto"/>
        </w:rPr>
        <w:t xml:space="preserve">is shown in </w:t>
      </w:r>
      <w:r w:rsidR="00D7065B" w:rsidRPr="008B3EBC">
        <w:rPr>
          <w:rFonts w:asciiTheme="minorHAnsi" w:hAnsiTheme="minorHAnsi" w:cstheme="minorHAnsi"/>
          <w:b/>
          <w:bCs/>
          <w:color w:val="auto"/>
        </w:rPr>
        <w:t>Figure 1A</w:t>
      </w:r>
      <w:r w:rsidR="00D7065B">
        <w:rPr>
          <w:rFonts w:asciiTheme="minorHAnsi" w:hAnsiTheme="minorHAnsi" w:cstheme="minorHAnsi"/>
          <w:color w:val="auto"/>
        </w:rPr>
        <w:t xml:space="preserve">. </w:t>
      </w:r>
      <w:r w:rsidR="009A7B30" w:rsidRPr="00FC6506">
        <w:rPr>
          <w:rFonts w:asciiTheme="minorHAnsi" w:hAnsiTheme="minorHAnsi" w:cstheme="minorHAnsi"/>
          <w:color w:val="auto"/>
        </w:rPr>
        <w:t xml:space="preserve">This protocol generates a table </w:t>
      </w:r>
      <w:r w:rsidR="00052060" w:rsidRPr="00FC6506">
        <w:rPr>
          <w:rFonts w:asciiTheme="minorHAnsi" w:hAnsiTheme="minorHAnsi" w:cstheme="minorHAnsi"/>
          <w:color w:val="auto"/>
        </w:rPr>
        <w:t xml:space="preserve">and graph </w:t>
      </w:r>
      <w:r w:rsidR="009A7B30" w:rsidRPr="00FC6506">
        <w:rPr>
          <w:rFonts w:asciiTheme="minorHAnsi" w:hAnsiTheme="minorHAnsi" w:cstheme="minorHAnsi"/>
          <w:color w:val="auto"/>
        </w:rPr>
        <w:t>of force versus displ</w:t>
      </w:r>
      <w:r w:rsidR="00052060" w:rsidRPr="00FC6506">
        <w:rPr>
          <w:rFonts w:asciiTheme="minorHAnsi" w:hAnsiTheme="minorHAnsi" w:cstheme="minorHAnsi"/>
          <w:color w:val="auto"/>
        </w:rPr>
        <w:t xml:space="preserve">acement for each tested sample. </w:t>
      </w:r>
      <w:r w:rsidR="003505C8" w:rsidRPr="00FC6506">
        <w:rPr>
          <w:rFonts w:asciiTheme="minorHAnsi" w:hAnsiTheme="minorHAnsi" w:cstheme="minorHAnsi"/>
          <w:color w:val="auto"/>
        </w:rPr>
        <w:t>A typical force displacement curve consists of three sections</w:t>
      </w:r>
      <w:r w:rsidR="00136965" w:rsidRPr="00FC6506">
        <w:rPr>
          <w:rFonts w:asciiTheme="minorHAnsi" w:hAnsiTheme="minorHAnsi" w:cstheme="minorHAnsi"/>
          <w:color w:val="auto"/>
        </w:rPr>
        <w:t xml:space="preserve"> (</w:t>
      </w:r>
      <w:r w:rsidR="00D7065B" w:rsidRPr="008B3EBC">
        <w:rPr>
          <w:rFonts w:asciiTheme="minorHAnsi" w:hAnsiTheme="minorHAnsi" w:cstheme="minorHAnsi"/>
          <w:b/>
          <w:bCs/>
          <w:color w:val="auto"/>
        </w:rPr>
        <w:t>Figure 1B</w:t>
      </w:r>
      <w:r w:rsidR="00136965" w:rsidRPr="00FC6506">
        <w:rPr>
          <w:rFonts w:asciiTheme="minorHAnsi" w:hAnsiTheme="minorHAnsi" w:cstheme="minorHAnsi"/>
          <w:color w:val="auto"/>
        </w:rPr>
        <w:t>)</w:t>
      </w:r>
      <w:r w:rsidR="001377A7">
        <w:rPr>
          <w:rFonts w:asciiTheme="minorHAnsi" w:hAnsiTheme="minorHAnsi" w:cstheme="minorHAnsi"/>
          <w:color w:val="auto"/>
        </w:rPr>
        <w:t>: a</w:t>
      </w:r>
      <w:r w:rsidR="003505C8" w:rsidRPr="00990787">
        <w:rPr>
          <w:rFonts w:asciiTheme="minorHAnsi" w:hAnsiTheme="minorHAnsi" w:cstheme="minorHAnsi"/>
          <w:color w:val="auto"/>
        </w:rPr>
        <w:t xml:space="preserve">n initial gradient, as the </w:t>
      </w:r>
      <w:r w:rsidR="00136965" w:rsidRPr="00990787">
        <w:rPr>
          <w:rFonts w:asciiTheme="minorHAnsi" w:hAnsiTheme="minorHAnsi" w:cstheme="minorHAnsi"/>
          <w:color w:val="auto"/>
        </w:rPr>
        <w:t xml:space="preserve">plunger overcomes friction from the barrel and the </w:t>
      </w:r>
      <w:r w:rsidRPr="00990787">
        <w:rPr>
          <w:rFonts w:asciiTheme="minorHAnsi" w:hAnsiTheme="minorHAnsi" w:cstheme="minorHAnsi"/>
          <w:color w:val="auto"/>
        </w:rPr>
        <w:t>material is accelerated</w:t>
      </w:r>
      <w:r w:rsidR="001377A7">
        <w:rPr>
          <w:rFonts w:asciiTheme="minorHAnsi" w:hAnsiTheme="minorHAnsi" w:cstheme="minorHAnsi"/>
          <w:color w:val="auto"/>
        </w:rPr>
        <w:t>, a</w:t>
      </w:r>
      <w:r w:rsidR="003505C8" w:rsidRPr="00990787">
        <w:rPr>
          <w:rFonts w:asciiTheme="minorHAnsi" w:hAnsiTheme="minorHAnsi" w:cstheme="minorHAnsi"/>
          <w:color w:val="auto"/>
        </w:rPr>
        <w:t xml:space="preserve"> force maximum</w:t>
      </w:r>
      <w:r w:rsidR="001377A7">
        <w:rPr>
          <w:rFonts w:asciiTheme="minorHAnsi" w:hAnsiTheme="minorHAnsi" w:cstheme="minorHAnsi"/>
          <w:color w:val="auto"/>
        </w:rPr>
        <w:t>, and a</w:t>
      </w:r>
      <w:r w:rsidR="003505C8" w:rsidRPr="00990787">
        <w:rPr>
          <w:rFonts w:asciiTheme="minorHAnsi" w:hAnsiTheme="minorHAnsi" w:cstheme="minorHAnsi"/>
          <w:color w:val="auto"/>
        </w:rPr>
        <w:t xml:space="preserve"> plateau, </w:t>
      </w:r>
      <w:r w:rsidR="00136965" w:rsidRPr="00990787">
        <w:rPr>
          <w:rFonts w:asciiTheme="minorHAnsi" w:hAnsiTheme="minorHAnsi" w:cstheme="minorHAnsi"/>
          <w:color w:val="auto"/>
        </w:rPr>
        <w:t>as the material is extruded at</w:t>
      </w:r>
      <w:r w:rsidR="008B3EBC">
        <w:rPr>
          <w:rFonts w:asciiTheme="minorHAnsi" w:hAnsiTheme="minorHAnsi" w:cstheme="minorHAnsi"/>
          <w:color w:val="auto"/>
        </w:rPr>
        <w:t xml:space="preserve"> a</w:t>
      </w:r>
      <w:r w:rsidR="00136965" w:rsidRPr="00990787">
        <w:rPr>
          <w:rFonts w:asciiTheme="minorHAnsi" w:hAnsiTheme="minorHAnsi" w:cstheme="minorHAnsi"/>
          <w:color w:val="auto"/>
        </w:rPr>
        <w:t xml:space="preserve"> steady state</w:t>
      </w:r>
      <w:r w:rsidRPr="00990787">
        <w:rPr>
          <w:rFonts w:asciiTheme="minorHAnsi" w:hAnsiTheme="minorHAnsi" w:cstheme="minorHAnsi"/>
          <w:color w:val="auto"/>
        </w:rPr>
        <w:t>.</w:t>
      </w:r>
    </w:p>
    <w:p w14:paraId="0B22FDCA" w14:textId="0019FA07" w:rsidR="007723B1" w:rsidRDefault="007723B1" w:rsidP="009A7B30">
      <w:pPr>
        <w:rPr>
          <w:rFonts w:asciiTheme="minorHAnsi" w:hAnsiTheme="minorHAnsi" w:cstheme="minorHAnsi"/>
          <w:color w:val="auto"/>
        </w:rPr>
      </w:pPr>
    </w:p>
    <w:p w14:paraId="33E8FF7F" w14:textId="360335A7" w:rsidR="00DD5D7E" w:rsidRPr="00FC6506" w:rsidRDefault="00136965" w:rsidP="009A7B30">
      <w:pPr>
        <w:rPr>
          <w:rFonts w:asciiTheme="minorHAnsi" w:hAnsiTheme="minorHAnsi" w:cstheme="minorHAnsi"/>
          <w:color w:val="auto"/>
        </w:rPr>
      </w:pPr>
      <w:r w:rsidRPr="00FC6506">
        <w:rPr>
          <w:rFonts w:asciiTheme="minorHAnsi" w:hAnsiTheme="minorHAnsi" w:cstheme="minorHAnsi"/>
          <w:color w:val="auto"/>
        </w:rPr>
        <w:t>However, a distinct maximum only</w:t>
      </w:r>
      <w:r w:rsidR="00524C3B" w:rsidRPr="00FC6506">
        <w:rPr>
          <w:rFonts w:asciiTheme="minorHAnsi" w:hAnsiTheme="minorHAnsi" w:cstheme="minorHAnsi"/>
          <w:color w:val="auto"/>
        </w:rPr>
        <w:t xml:space="preserve"> exists where the plateau force is lower than the force required to accelerate the plunger. As such, peaks are only seen for inviscid samples passing through wide needles. </w:t>
      </w:r>
      <w:r w:rsidR="000F3ECD" w:rsidRPr="00FC6506">
        <w:rPr>
          <w:rFonts w:asciiTheme="minorHAnsi" w:hAnsiTheme="minorHAnsi" w:cstheme="minorHAnsi"/>
          <w:color w:val="auto"/>
        </w:rPr>
        <w:t>For viscous samples passing through a more narrow orifice, the force needed to inject the sample at constant speed is greater than the force required to overcome friction in the barrel and accelerate the material, and no distinct peak is seen (</w:t>
      </w:r>
      <w:r w:rsidR="00D7065B" w:rsidRPr="008B3EBC">
        <w:rPr>
          <w:rFonts w:asciiTheme="minorHAnsi" w:hAnsiTheme="minorHAnsi" w:cstheme="minorHAnsi"/>
          <w:b/>
          <w:bCs/>
          <w:color w:val="auto"/>
        </w:rPr>
        <w:t>Figure 1C</w:t>
      </w:r>
      <w:r w:rsidR="00006794" w:rsidRPr="00FC6506">
        <w:rPr>
          <w:rFonts w:asciiTheme="minorHAnsi" w:hAnsiTheme="minorHAnsi" w:cstheme="minorHAnsi"/>
          <w:color w:val="auto"/>
        </w:rPr>
        <w:t>).</w:t>
      </w:r>
      <w:r w:rsidR="001374F0" w:rsidRPr="00FC6506">
        <w:rPr>
          <w:rFonts w:asciiTheme="minorHAnsi" w:hAnsiTheme="minorHAnsi" w:cstheme="minorHAnsi"/>
          <w:color w:val="auto"/>
        </w:rPr>
        <w:t xml:space="preserve"> </w:t>
      </w:r>
      <w:r w:rsidR="00006794" w:rsidRPr="00FC6506">
        <w:rPr>
          <w:rFonts w:asciiTheme="minorHAnsi" w:hAnsiTheme="minorHAnsi" w:cstheme="minorHAnsi"/>
          <w:color w:val="auto"/>
        </w:rPr>
        <w:t>For highly viscous samples or very narrow needles, the force required to extrude the material may be so great that the syringe buckles and fails</w:t>
      </w:r>
      <w:r w:rsidR="00F63F64" w:rsidRPr="00FC6506">
        <w:rPr>
          <w:rFonts w:asciiTheme="minorHAnsi" w:hAnsiTheme="minorHAnsi" w:cstheme="minorHAnsi"/>
          <w:color w:val="auto"/>
        </w:rPr>
        <w:t>, often with very li</w:t>
      </w:r>
      <w:r w:rsidR="001374F0" w:rsidRPr="00FC6506">
        <w:rPr>
          <w:rFonts w:asciiTheme="minorHAnsi" w:hAnsiTheme="minorHAnsi" w:cstheme="minorHAnsi"/>
          <w:color w:val="auto"/>
        </w:rPr>
        <w:t>ttle extr</w:t>
      </w:r>
      <w:r w:rsidR="00D7065B">
        <w:rPr>
          <w:rFonts w:asciiTheme="minorHAnsi" w:hAnsiTheme="minorHAnsi" w:cstheme="minorHAnsi"/>
          <w:color w:val="auto"/>
        </w:rPr>
        <w:t>usion of the material (</w:t>
      </w:r>
      <w:r w:rsidR="00D7065B" w:rsidRPr="008B3EBC">
        <w:rPr>
          <w:rFonts w:asciiTheme="minorHAnsi" w:hAnsiTheme="minorHAnsi" w:cstheme="minorHAnsi"/>
          <w:b/>
          <w:bCs/>
          <w:color w:val="auto"/>
        </w:rPr>
        <w:t>Figure 1D</w:t>
      </w:r>
      <w:r w:rsidR="001374F0" w:rsidRPr="00FC6506">
        <w:rPr>
          <w:rFonts w:asciiTheme="minorHAnsi" w:hAnsiTheme="minorHAnsi" w:cstheme="minorHAnsi"/>
          <w:color w:val="auto"/>
        </w:rPr>
        <w:t xml:space="preserve">). If the material being injected contains particles or is undergoing setting, such as cement, filter pressing (preferential </w:t>
      </w:r>
      <w:r w:rsidR="00624C3F">
        <w:rPr>
          <w:rFonts w:asciiTheme="minorHAnsi" w:hAnsiTheme="minorHAnsi" w:cstheme="minorHAnsi"/>
          <w:color w:val="auto"/>
        </w:rPr>
        <w:t>expulsion</w:t>
      </w:r>
      <w:r w:rsidR="001374F0" w:rsidRPr="00FC6506">
        <w:rPr>
          <w:rFonts w:asciiTheme="minorHAnsi" w:hAnsiTheme="minorHAnsi" w:cstheme="minorHAnsi"/>
          <w:color w:val="auto"/>
        </w:rPr>
        <w:t xml:space="preserve"> of the liquid phase) or bulk setting may occur, leading to</w:t>
      </w:r>
      <w:r w:rsidR="00D7065B">
        <w:rPr>
          <w:rFonts w:asciiTheme="minorHAnsi" w:hAnsiTheme="minorHAnsi" w:cstheme="minorHAnsi"/>
          <w:color w:val="auto"/>
        </w:rPr>
        <w:t xml:space="preserve"> incomplete injection (</w:t>
      </w:r>
      <w:r w:rsidR="00D7065B" w:rsidRPr="008B3EBC">
        <w:rPr>
          <w:rFonts w:asciiTheme="minorHAnsi" w:hAnsiTheme="minorHAnsi" w:cstheme="minorHAnsi"/>
          <w:b/>
          <w:bCs/>
          <w:color w:val="auto"/>
        </w:rPr>
        <w:t>Figure 1E</w:t>
      </w:r>
      <w:r w:rsidR="001374F0" w:rsidRPr="00FC6506">
        <w:rPr>
          <w:rFonts w:asciiTheme="minorHAnsi" w:hAnsiTheme="minorHAnsi" w:cstheme="minorHAnsi"/>
          <w:color w:val="auto"/>
        </w:rPr>
        <w:t>).</w:t>
      </w:r>
    </w:p>
    <w:p w14:paraId="7F5815FC" w14:textId="51F3DBBB" w:rsidR="004A71E4" w:rsidRPr="00FC6506" w:rsidRDefault="004A71E4" w:rsidP="001B1519">
      <w:pPr>
        <w:rPr>
          <w:rFonts w:asciiTheme="minorHAnsi" w:hAnsiTheme="minorHAnsi" w:cstheme="minorHAnsi"/>
          <w:color w:val="808080" w:themeColor="background1" w:themeShade="80"/>
        </w:rPr>
      </w:pPr>
    </w:p>
    <w:p w14:paraId="3C9083F6" w14:textId="307EAA3D" w:rsidR="00B32616" w:rsidRPr="00FC6506" w:rsidRDefault="00B32616" w:rsidP="001B1519">
      <w:pPr>
        <w:rPr>
          <w:rFonts w:asciiTheme="minorHAnsi" w:hAnsiTheme="minorHAnsi" w:cstheme="minorHAnsi"/>
          <w:bCs/>
          <w:color w:val="808080"/>
        </w:rPr>
      </w:pPr>
      <w:r w:rsidRPr="00FC6506">
        <w:rPr>
          <w:rFonts w:asciiTheme="minorHAnsi" w:hAnsiTheme="minorHAnsi" w:cstheme="minorHAnsi"/>
          <w:b/>
        </w:rPr>
        <w:t xml:space="preserve">FIGURE </w:t>
      </w:r>
      <w:r w:rsidR="0013621E" w:rsidRPr="00FC6506">
        <w:rPr>
          <w:rFonts w:asciiTheme="minorHAnsi" w:hAnsiTheme="minorHAnsi" w:cstheme="minorHAnsi"/>
          <w:b/>
        </w:rPr>
        <w:t xml:space="preserve">AND TABLE </w:t>
      </w:r>
      <w:r w:rsidRPr="00FC6506">
        <w:rPr>
          <w:rFonts w:asciiTheme="minorHAnsi" w:hAnsiTheme="minorHAnsi" w:cstheme="minorHAnsi"/>
          <w:b/>
        </w:rPr>
        <w:t>LEGENDS:</w:t>
      </w:r>
    </w:p>
    <w:p w14:paraId="1E3948F3" w14:textId="14F7069C" w:rsidR="008A2AE1" w:rsidRPr="00FC6506" w:rsidRDefault="008A2AE1" w:rsidP="008A2AE1">
      <w:pPr>
        <w:rPr>
          <w:rFonts w:asciiTheme="minorHAnsi" w:hAnsiTheme="minorHAnsi" w:cstheme="minorHAnsi"/>
          <w:color w:val="auto"/>
        </w:rPr>
      </w:pPr>
      <w:r w:rsidRPr="008B3EBC">
        <w:rPr>
          <w:rFonts w:asciiTheme="minorHAnsi" w:hAnsiTheme="minorHAnsi" w:cstheme="minorHAnsi"/>
          <w:b/>
          <w:bCs/>
          <w:color w:val="auto"/>
        </w:rPr>
        <w:t>Figure 1: Sample curves generated by this protocol.</w:t>
      </w:r>
      <w:r w:rsidRPr="00FC6506">
        <w:rPr>
          <w:rFonts w:asciiTheme="minorHAnsi" w:hAnsiTheme="minorHAnsi" w:cstheme="minorHAnsi"/>
          <w:color w:val="auto"/>
        </w:rPr>
        <w:t xml:space="preserve"> </w:t>
      </w:r>
      <w:r w:rsidR="008B3EBC">
        <w:rPr>
          <w:rFonts w:asciiTheme="minorHAnsi" w:hAnsiTheme="minorHAnsi" w:cstheme="minorHAnsi"/>
          <w:color w:val="auto"/>
        </w:rPr>
        <w:t>(</w:t>
      </w:r>
      <w:r w:rsidRPr="008B3EBC">
        <w:rPr>
          <w:rFonts w:asciiTheme="minorHAnsi" w:hAnsiTheme="minorHAnsi" w:cstheme="minorHAnsi"/>
          <w:b/>
          <w:bCs/>
          <w:color w:val="auto"/>
        </w:rPr>
        <w:t>A</w:t>
      </w:r>
      <w:r>
        <w:rPr>
          <w:rFonts w:asciiTheme="minorHAnsi" w:hAnsiTheme="minorHAnsi" w:cstheme="minorHAnsi"/>
          <w:color w:val="auto"/>
        </w:rPr>
        <w:t xml:space="preserve">) Set up of the mechanical tester for this protocol. </w:t>
      </w:r>
      <w:r w:rsidR="008B3EBC">
        <w:rPr>
          <w:rFonts w:asciiTheme="minorHAnsi" w:hAnsiTheme="minorHAnsi" w:cstheme="minorHAnsi"/>
          <w:color w:val="auto"/>
        </w:rPr>
        <w:t>(</w:t>
      </w:r>
      <w:r w:rsidRPr="008B3EBC">
        <w:rPr>
          <w:rFonts w:asciiTheme="minorHAnsi" w:hAnsiTheme="minorHAnsi" w:cstheme="minorHAnsi"/>
          <w:b/>
          <w:bCs/>
          <w:color w:val="auto"/>
        </w:rPr>
        <w:t>B</w:t>
      </w:r>
      <w:r w:rsidRPr="00FC6506">
        <w:rPr>
          <w:rFonts w:asciiTheme="minorHAnsi" w:hAnsiTheme="minorHAnsi" w:cstheme="minorHAnsi"/>
          <w:color w:val="auto"/>
        </w:rPr>
        <w:t xml:space="preserve">) </w:t>
      </w:r>
      <w:r>
        <w:rPr>
          <w:rFonts w:asciiTheme="minorHAnsi" w:hAnsiTheme="minorHAnsi" w:cstheme="minorHAnsi"/>
          <w:color w:val="auto"/>
        </w:rPr>
        <w:t xml:space="preserve">Typical force-extrusion curve. </w:t>
      </w:r>
      <w:r w:rsidR="008B3EBC">
        <w:rPr>
          <w:rFonts w:asciiTheme="minorHAnsi" w:hAnsiTheme="minorHAnsi" w:cstheme="minorHAnsi"/>
          <w:color w:val="auto"/>
        </w:rPr>
        <w:t>(</w:t>
      </w:r>
      <w:r w:rsidRPr="008B3EBC">
        <w:rPr>
          <w:rFonts w:asciiTheme="minorHAnsi" w:hAnsiTheme="minorHAnsi" w:cstheme="minorHAnsi"/>
          <w:b/>
          <w:bCs/>
          <w:color w:val="auto"/>
        </w:rPr>
        <w:t>C</w:t>
      </w:r>
      <w:r w:rsidRPr="00FC6506">
        <w:rPr>
          <w:rFonts w:asciiTheme="minorHAnsi" w:hAnsiTheme="minorHAnsi" w:cstheme="minorHAnsi"/>
          <w:color w:val="auto"/>
        </w:rPr>
        <w:t xml:space="preserve">) Force-extrusion curve with no distinct maximum peak. </w:t>
      </w:r>
      <w:r w:rsidR="008B3EBC">
        <w:rPr>
          <w:rFonts w:asciiTheme="minorHAnsi" w:hAnsiTheme="minorHAnsi" w:cstheme="minorHAnsi"/>
          <w:color w:val="auto"/>
        </w:rPr>
        <w:t>(</w:t>
      </w:r>
      <w:r w:rsidRPr="008B3EBC">
        <w:rPr>
          <w:rFonts w:asciiTheme="minorHAnsi" w:hAnsiTheme="minorHAnsi" w:cstheme="minorHAnsi"/>
          <w:b/>
          <w:bCs/>
          <w:color w:val="auto"/>
        </w:rPr>
        <w:t>D</w:t>
      </w:r>
      <w:r w:rsidRPr="00FC6506">
        <w:rPr>
          <w:rFonts w:asciiTheme="minorHAnsi" w:hAnsiTheme="minorHAnsi" w:cstheme="minorHAnsi"/>
          <w:color w:val="auto"/>
        </w:rPr>
        <w:t>) Force-extrus</w:t>
      </w:r>
      <w:r>
        <w:rPr>
          <w:rFonts w:asciiTheme="minorHAnsi" w:hAnsiTheme="minorHAnsi" w:cstheme="minorHAnsi"/>
          <w:color w:val="auto"/>
        </w:rPr>
        <w:t xml:space="preserve">ion curve for syringe failure. </w:t>
      </w:r>
      <w:r w:rsidR="008B3EBC">
        <w:rPr>
          <w:rFonts w:asciiTheme="minorHAnsi" w:hAnsiTheme="minorHAnsi" w:cstheme="minorHAnsi"/>
          <w:color w:val="auto"/>
        </w:rPr>
        <w:t>(</w:t>
      </w:r>
      <w:r w:rsidRPr="008B3EBC">
        <w:rPr>
          <w:rFonts w:asciiTheme="minorHAnsi" w:hAnsiTheme="minorHAnsi" w:cstheme="minorHAnsi"/>
          <w:b/>
          <w:bCs/>
          <w:color w:val="auto"/>
        </w:rPr>
        <w:t>E</w:t>
      </w:r>
      <w:r w:rsidRPr="00FC6506">
        <w:rPr>
          <w:rFonts w:asciiTheme="minorHAnsi" w:hAnsiTheme="minorHAnsi" w:cstheme="minorHAnsi"/>
          <w:color w:val="auto"/>
        </w:rPr>
        <w:t xml:space="preserve">) Force-extrusion curve for a setting cement. </w:t>
      </w:r>
      <w:r w:rsidR="00151A91">
        <w:rPr>
          <w:rFonts w:asciiTheme="minorHAnsi" w:hAnsiTheme="minorHAnsi" w:cstheme="minorHAnsi"/>
          <w:color w:val="auto"/>
        </w:rPr>
        <w:t>This figure is a</w:t>
      </w:r>
      <w:r>
        <w:rPr>
          <w:rFonts w:asciiTheme="minorHAnsi" w:hAnsiTheme="minorHAnsi" w:cstheme="minorHAnsi"/>
          <w:color w:val="auto"/>
        </w:rPr>
        <w:t xml:space="preserve">dapted from Robinson </w:t>
      </w:r>
      <w:r w:rsidRPr="008B3EBC">
        <w:rPr>
          <w:rFonts w:asciiTheme="minorHAnsi" w:hAnsiTheme="minorHAnsi" w:cstheme="minorHAnsi"/>
          <w:iCs/>
          <w:color w:val="auto"/>
        </w:rPr>
        <w:t>et al</w:t>
      </w:r>
      <w:r w:rsidR="00151A91">
        <w:rPr>
          <w:rFonts w:asciiTheme="minorHAnsi" w:hAnsiTheme="minorHAnsi" w:cstheme="minorHAnsi"/>
          <w:color w:val="auto"/>
        </w:rPr>
        <w:t>.</w:t>
      </w:r>
      <w:r>
        <w:rPr>
          <w:rFonts w:asciiTheme="minorHAnsi" w:hAnsiTheme="minorHAnsi" w:cstheme="minorHAnsi"/>
          <w:color w:val="auto"/>
        </w:rPr>
        <w:fldChar w:fldCharType="begin" w:fldLock="1"/>
      </w:r>
      <w:r w:rsidR="00A665F9">
        <w:rPr>
          <w:rFonts w:asciiTheme="minorHAnsi" w:hAnsiTheme="minorHAnsi" w:cstheme="minorHAnsi"/>
          <w:color w:val="auto"/>
        </w:rPr>
        <w:instrText>ADDIN CSL_CITATION { "citationItems" : [ { "id" : "ITEM-1", "itemData" : { "DOI" : "10.1002/adhm.201901521", "ISSN" : "21922659", "abstract" : "Various injectable biomaterials are developed for the minimally invasive delivery of therapeutics. Typically, a mechanical tester is used to ascertain the force required to inject these biomaterials through a given syringe-needle system. However, currently there is no method to correlate the force measured in the laboratory to the perceived effort required to perform that injection by the end user. In this article, the injection force (F) for a variety of biomaterials, displaying a range of rheological properties, is compared with the effort scores from a 50 person panel study. The maximum injection force measured at crosshead speed 1 mm s\u22121 is a good proxy for injection effort, with an R2 of 0.89. This correlation leads to the following conclusions: participants can easily inject 5 mL of substance for F &lt; 12 N; considerable effort is required to inject 5 mL for 12 N &lt; F &lt; 38 N; great effort is required and &lt;5 mL can be injected for 38 N &lt; F &lt; 64 N; and materials are entirely non-injectable for F &gt; 64 N. These values may be used by developers of injectable biomaterials to make decisions about formulations and needle sizes early in the translational process.", "author" : [ { "dropping-particle" : "", "family" : "Robinson", "given" : "Thomas E.", "non-dropping-particle" : "", "parse-names" : false, "suffix" : "" }, { "dropping-particle" : "", "family" : "Hughes", "given" : "Erik A.B.", "non-dropping-particle" : "", "parse-names" : false, "suffix" : "" }, { "dropping-particle" : "", "family" : "Bose", "given" : "Aniruddha", "non-dropping-particle" : "", "parse-names" : false, "suffix" : "" }, { "dropping-particle" : "", "family" : "Cornish", "given" : "Elizabeth A.", "non-dropping-particle" : "", "parse-names" : false, "suffix" : "" }, { "dropping-particle" : "", "family" : "Teo", "given" : "Jun Y.", "non-dropping-particle" : "", "parse-names" : false, "suffix" : "" }, { "dropping-particle" : "", "family" : "Eisenstein", "given" : "Neil M.", "non-dropping-particle" : "", "parse-names" : false, "suffix" : "" }, { "dropping-particle" : "", "family" : "Grover", "given" : "Liam M.", "non-dropping-particle" : "", "parse-names" : false, "suffix" : "" }, { "dropping-particle" : "", "family" : "Cox", "given" : "Sophie C.", "non-dropping-particle" : "", "parse-names" : false, "suffix" : "" } ], "container-title" : "Advanced Healthcare Materials", "id" : "ITEM-1", "issued" : { "date-parts" : [ [ "2020", "1", "24" ] ] }, "page" : "1901521", "publisher" : "Wiley-VCH Verlag", "title" : "Filling the Gap: A Correlation between Objective and Subjective Measures of Injectability", "type" : "article-journal" }, "uris" : [ "http://www.mendeley.com/documents/?uuid=fe362755-8d2a-356a-9a18-5fe980543701" ] } ], "mendeley" : { "formattedCitation" : "&lt;sup&gt;8&lt;/sup&gt;", "plainTextFormattedCitation" : "8", "previouslyFormattedCitation" : "&lt;sup&gt;8&lt;/sup&gt;" }, "properties" : { "noteIndex" : 0 }, "schema" : "https://github.com/citation-style-language/schema/raw/master/csl-citation.json" }</w:instrText>
      </w:r>
      <w:r>
        <w:rPr>
          <w:rFonts w:asciiTheme="minorHAnsi" w:hAnsiTheme="minorHAnsi" w:cstheme="minorHAnsi"/>
          <w:color w:val="auto"/>
        </w:rPr>
        <w:fldChar w:fldCharType="separate"/>
      </w:r>
      <w:r w:rsidR="00A665F9" w:rsidRPr="00A665F9">
        <w:rPr>
          <w:rFonts w:asciiTheme="minorHAnsi" w:hAnsiTheme="minorHAnsi" w:cstheme="minorHAnsi"/>
          <w:noProof/>
          <w:color w:val="auto"/>
          <w:vertAlign w:val="superscript"/>
        </w:rPr>
        <w:t>8</w:t>
      </w:r>
      <w:r>
        <w:rPr>
          <w:rFonts w:asciiTheme="minorHAnsi" w:hAnsiTheme="minorHAnsi" w:cstheme="minorHAnsi"/>
          <w:color w:val="auto"/>
        </w:rPr>
        <w:fldChar w:fldCharType="end"/>
      </w:r>
      <w:r>
        <w:rPr>
          <w:rFonts w:asciiTheme="minorHAnsi" w:hAnsiTheme="minorHAnsi" w:cstheme="minorHAnsi"/>
          <w:color w:val="auto"/>
        </w:rPr>
        <w:t>.</w:t>
      </w:r>
    </w:p>
    <w:p w14:paraId="75182EC3" w14:textId="77777777" w:rsidR="00B32616" w:rsidRPr="00FC6506" w:rsidRDefault="00B32616" w:rsidP="001B1519">
      <w:pPr>
        <w:rPr>
          <w:rFonts w:asciiTheme="minorHAnsi" w:hAnsiTheme="minorHAnsi" w:cstheme="minorHAnsi"/>
          <w:color w:val="808080" w:themeColor="background1" w:themeShade="80"/>
        </w:rPr>
      </w:pPr>
    </w:p>
    <w:p w14:paraId="15359C58" w14:textId="37EF229A" w:rsidR="005849F4" w:rsidRPr="00FF5533" w:rsidRDefault="006305D7" w:rsidP="004F3D12">
      <w:pPr>
        <w:rPr>
          <w:rFonts w:asciiTheme="minorHAnsi" w:hAnsiTheme="minorHAnsi" w:cstheme="minorHAnsi"/>
          <w:b/>
        </w:rPr>
      </w:pPr>
      <w:r w:rsidRPr="00FC6506">
        <w:rPr>
          <w:rFonts w:asciiTheme="minorHAnsi" w:hAnsiTheme="minorHAnsi" w:cstheme="minorHAnsi"/>
          <w:b/>
        </w:rPr>
        <w:t>DISCUSSION</w:t>
      </w:r>
      <w:r w:rsidRPr="00FC6506">
        <w:rPr>
          <w:rFonts w:asciiTheme="minorHAnsi" w:hAnsiTheme="minorHAnsi" w:cstheme="minorHAnsi"/>
          <w:b/>
          <w:bCs/>
        </w:rPr>
        <w:t>:</w:t>
      </w:r>
    </w:p>
    <w:p w14:paraId="1F04116D" w14:textId="52522410" w:rsidR="004F3D12" w:rsidRPr="00FC6506" w:rsidRDefault="006B589A" w:rsidP="004F3D12">
      <w:pPr>
        <w:rPr>
          <w:rFonts w:asciiTheme="minorHAnsi" w:hAnsiTheme="minorHAnsi" w:cstheme="minorHAnsi"/>
          <w:color w:val="auto"/>
        </w:rPr>
      </w:pPr>
      <w:r>
        <w:rPr>
          <w:rFonts w:asciiTheme="minorHAnsi" w:hAnsiTheme="minorHAnsi" w:cstheme="minorHAnsi"/>
          <w:color w:val="auto"/>
        </w:rPr>
        <w:t>Mechanical testing</w:t>
      </w:r>
      <w:r w:rsidR="004F3D12" w:rsidRPr="00FC6506">
        <w:rPr>
          <w:rFonts w:asciiTheme="minorHAnsi" w:hAnsiTheme="minorHAnsi" w:cstheme="minorHAnsi"/>
          <w:color w:val="auto"/>
        </w:rPr>
        <w:t xml:space="preserve"> is perhaps the simplest and </w:t>
      </w:r>
      <w:r w:rsidR="00C165E1" w:rsidRPr="00FC6506">
        <w:rPr>
          <w:rFonts w:asciiTheme="minorHAnsi" w:hAnsiTheme="minorHAnsi" w:cstheme="minorHAnsi"/>
          <w:color w:val="auto"/>
        </w:rPr>
        <w:t xml:space="preserve">most </w:t>
      </w:r>
      <w:r>
        <w:rPr>
          <w:rFonts w:asciiTheme="minorHAnsi" w:hAnsiTheme="minorHAnsi" w:cstheme="minorHAnsi"/>
          <w:color w:val="auto"/>
        </w:rPr>
        <w:t>reliable</w:t>
      </w:r>
      <w:r w:rsidR="00C165E1" w:rsidRPr="00FC6506">
        <w:rPr>
          <w:rFonts w:asciiTheme="minorHAnsi" w:hAnsiTheme="minorHAnsi" w:cstheme="minorHAnsi"/>
          <w:color w:val="auto"/>
        </w:rPr>
        <w:t xml:space="preserve"> way to quantify injectability. A key advantage of this protocol is that no special equipment is required, </w:t>
      </w:r>
      <w:r w:rsidR="00AE3940">
        <w:rPr>
          <w:rFonts w:asciiTheme="minorHAnsi" w:hAnsiTheme="minorHAnsi" w:cstheme="minorHAnsi"/>
          <w:color w:val="auto"/>
        </w:rPr>
        <w:t>other than the</w:t>
      </w:r>
      <w:r w:rsidR="00C165E1" w:rsidRPr="00FC6506">
        <w:rPr>
          <w:rFonts w:asciiTheme="minorHAnsi" w:hAnsiTheme="minorHAnsi" w:cstheme="minorHAnsi"/>
          <w:color w:val="auto"/>
        </w:rPr>
        <w:t xml:space="preserve"> mechanical tester</w:t>
      </w:r>
      <w:r>
        <w:rPr>
          <w:rFonts w:asciiTheme="minorHAnsi" w:hAnsiTheme="minorHAnsi" w:cstheme="minorHAnsi"/>
          <w:color w:val="auto"/>
        </w:rPr>
        <w:t>,</w:t>
      </w:r>
      <w:r w:rsidR="00C165E1" w:rsidRPr="00FC6506">
        <w:rPr>
          <w:rFonts w:asciiTheme="minorHAnsi" w:hAnsiTheme="minorHAnsi" w:cstheme="minorHAnsi"/>
          <w:color w:val="auto"/>
        </w:rPr>
        <w:t xml:space="preserve"> </w:t>
      </w:r>
      <w:r w:rsidR="00AE3940">
        <w:rPr>
          <w:rFonts w:asciiTheme="minorHAnsi" w:hAnsiTheme="minorHAnsi" w:cstheme="minorHAnsi"/>
          <w:color w:val="auto"/>
        </w:rPr>
        <w:t>which</w:t>
      </w:r>
      <w:r w:rsidR="00C165E1" w:rsidRPr="00FC6506">
        <w:rPr>
          <w:rFonts w:asciiTheme="minorHAnsi" w:hAnsiTheme="minorHAnsi" w:cstheme="minorHAnsi"/>
          <w:color w:val="auto"/>
        </w:rPr>
        <w:t xml:space="preserve"> is common in materials laboratories</w:t>
      </w:r>
      <w:r w:rsidR="00AE3940">
        <w:rPr>
          <w:rFonts w:asciiTheme="minorHAnsi" w:hAnsiTheme="minorHAnsi" w:cstheme="minorHAnsi"/>
          <w:color w:val="auto"/>
        </w:rPr>
        <w:t>.</w:t>
      </w:r>
      <w:r w:rsidR="00C165E1" w:rsidRPr="00FC6506">
        <w:rPr>
          <w:rFonts w:asciiTheme="minorHAnsi" w:hAnsiTheme="minorHAnsi" w:cstheme="minorHAnsi"/>
          <w:color w:val="auto"/>
        </w:rPr>
        <w:t xml:space="preserve"> This protocol is highly versatile; </w:t>
      </w:r>
      <w:r w:rsidR="0043654E">
        <w:rPr>
          <w:rFonts w:asciiTheme="minorHAnsi" w:hAnsiTheme="minorHAnsi" w:cstheme="minorHAnsi"/>
          <w:color w:val="auto"/>
        </w:rPr>
        <w:t>any material, needle gauge and syringe size</w:t>
      </w:r>
      <w:r w:rsidR="00C165E1" w:rsidRPr="00FC6506">
        <w:rPr>
          <w:rFonts w:asciiTheme="minorHAnsi" w:hAnsiTheme="minorHAnsi" w:cstheme="minorHAnsi"/>
          <w:color w:val="auto"/>
        </w:rPr>
        <w:t xml:space="preserve"> can be used</w:t>
      </w:r>
      <w:r w:rsidR="0043654E">
        <w:rPr>
          <w:rFonts w:asciiTheme="minorHAnsi" w:hAnsiTheme="minorHAnsi" w:cstheme="minorHAnsi"/>
          <w:color w:val="auto"/>
        </w:rPr>
        <w:t>, provided the syringe can be accommodated by the clamps</w:t>
      </w:r>
      <w:r w:rsidR="00C165E1" w:rsidRPr="00FC6506">
        <w:rPr>
          <w:rFonts w:asciiTheme="minorHAnsi" w:hAnsiTheme="minorHAnsi" w:cstheme="minorHAnsi"/>
          <w:color w:val="auto"/>
        </w:rPr>
        <w:t>.</w:t>
      </w:r>
      <w:r w:rsidR="0043654E">
        <w:rPr>
          <w:rFonts w:asciiTheme="minorHAnsi" w:hAnsiTheme="minorHAnsi" w:cstheme="minorHAnsi"/>
          <w:color w:val="auto"/>
        </w:rPr>
        <w:t xml:space="preserve"> This has been verified in this protocol for syringes up to 10 </w:t>
      </w:r>
      <w:proofErr w:type="spellStart"/>
      <w:r w:rsidR="0043654E">
        <w:rPr>
          <w:rFonts w:asciiTheme="minorHAnsi" w:hAnsiTheme="minorHAnsi" w:cstheme="minorHAnsi"/>
          <w:color w:val="auto"/>
        </w:rPr>
        <w:t>m</w:t>
      </w:r>
      <w:r w:rsidR="008B3EBC">
        <w:rPr>
          <w:rFonts w:asciiTheme="minorHAnsi" w:hAnsiTheme="minorHAnsi" w:cstheme="minorHAnsi"/>
          <w:color w:val="auto"/>
        </w:rPr>
        <w:t>L</w:t>
      </w:r>
      <w:r w:rsidR="0043654E">
        <w:rPr>
          <w:rFonts w:asciiTheme="minorHAnsi" w:hAnsiTheme="minorHAnsi" w:cstheme="minorHAnsi"/>
          <w:color w:val="auto"/>
        </w:rPr>
        <w:t>.</w:t>
      </w:r>
      <w:proofErr w:type="spellEnd"/>
      <w:r w:rsidR="00C165E1" w:rsidRPr="00FC6506">
        <w:rPr>
          <w:rFonts w:asciiTheme="minorHAnsi" w:hAnsiTheme="minorHAnsi" w:cstheme="minorHAnsi"/>
          <w:color w:val="auto"/>
        </w:rPr>
        <w:t xml:space="preserve"> Further, the material can be prepared exactly as it would for </w:t>
      </w:r>
      <w:r w:rsidR="00151A91">
        <w:rPr>
          <w:rFonts w:asciiTheme="minorHAnsi" w:hAnsiTheme="minorHAnsi" w:cstheme="minorHAnsi"/>
          <w:color w:val="auto"/>
        </w:rPr>
        <w:t xml:space="preserve">the </w:t>
      </w:r>
      <w:r w:rsidR="00C165E1" w:rsidRPr="00FC6506">
        <w:rPr>
          <w:rFonts w:asciiTheme="minorHAnsi" w:hAnsiTheme="minorHAnsi" w:cstheme="minorHAnsi"/>
          <w:color w:val="auto"/>
        </w:rPr>
        <w:t>real-world application</w:t>
      </w:r>
      <w:r w:rsidR="00411AA8">
        <w:rPr>
          <w:rFonts w:asciiTheme="minorHAnsi" w:hAnsiTheme="minorHAnsi" w:cstheme="minorHAnsi"/>
          <w:color w:val="auto"/>
        </w:rPr>
        <w:fldChar w:fldCharType="begin" w:fldLock="1"/>
      </w:r>
      <w:r w:rsidR="00A665F9">
        <w:rPr>
          <w:rFonts w:asciiTheme="minorHAnsi" w:hAnsiTheme="minorHAnsi" w:cstheme="minorHAnsi"/>
          <w:color w:val="auto"/>
        </w:rPr>
        <w:instrText>ADDIN CSL_CITATION { "citationItems" : [ { "id" : "ITEM-1", "itemData" : { "DOI" : "10.1016/j.jcot.2013.11.005", "ISSN" : "09765662", "PMID" : "26403875", "abstract" : "The knowledge about the bone cement is of paramount importance to all Orthopaedic surgeons. Although the bone cement had been the gold standard in the field of joint replacement surgery, its use has somewhat decreased because of the advent of press-fit implants which encourages bone in growth. The shortcomings, side effects and toxicity of the bone cement are being addressed recently. More research is needed and continues in the field of nanoparticle additives, enhanced bone-cement interface etc. \u00a9 2013 Delhi Orthopaedic Association.", "author" : [ { "dropping-particle" : "", "family" : "Vaishya", "given" : "Raju", "non-dropping-particle" : "", "parse-names" : false, "suffix" : "" }, { "dropping-particle" : "", "family" : "Chauhan", "given" : "Mayank", "non-dropping-particle" : "", "parse-names" : false, "suffix" : "" }, { "dropping-particle" : "", "family" : "Vaish", "given" : "Abhishek", "non-dropping-particle" : "", "parse-names" : false, "suffix" : "" } ], "container-title" : "Journal of Clinical Orthopaedics and Trauma", "id" : "ITEM-1", "issue" : "4", "issued" : { "date-parts" : [ [ "2013", "12", "1" ] ] }, "page" : "157-163", "publisher" : "Elsevier", "title" : "Bone cement", "type" : "article-journal", "volume" : "4" }, "uris" : [ "http://www.mendeley.com/documents/?uuid=19cc03d0-8add-3085-82fd-fc6b01919a85" ] } ], "mendeley" : { "formattedCitation" : "&lt;sup&gt;25&lt;/sup&gt;", "plainTextFormattedCitation" : "25", "previouslyFormattedCitation" : "&lt;sup&gt;25&lt;/sup&gt;" }, "properties" : { "noteIndex" : 0 }, "schema" : "https://github.com/citation-style-language/schema/raw/master/csl-citation.json" }</w:instrText>
      </w:r>
      <w:r w:rsidR="00411AA8">
        <w:rPr>
          <w:rFonts w:asciiTheme="minorHAnsi" w:hAnsiTheme="minorHAnsi" w:cstheme="minorHAnsi"/>
          <w:color w:val="auto"/>
        </w:rPr>
        <w:fldChar w:fldCharType="separate"/>
      </w:r>
      <w:r w:rsidR="00A665F9" w:rsidRPr="00A665F9">
        <w:rPr>
          <w:rFonts w:asciiTheme="minorHAnsi" w:hAnsiTheme="minorHAnsi" w:cstheme="minorHAnsi"/>
          <w:noProof/>
          <w:color w:val="auto"/>
          <w:vertAlign w:val="superscript"/>
        </w:rPr>
        <w:t>25</w:t>
      </w:r>
      <w:r w:rsidR="00411AA8">
        <w:rPr>
          <w:rFonts w:asciiTheme="minorHAnsi" w:hAnsiTheme="minorHAnsi" w:cstheme="minorHAnsi"/>
          <w:color w:val="auto"/>
        </w:rPr>
        <w:fldChar w:fldCharType="end"/>
      </w:r>
      <w:r w:rsidR="00C165E1" w:rsidRPr="00FC6506">
        <w:rPr>
          <w:rFonts w:asciiTheme="minorHAnsi" w:hAnsiTheme="minorHAnsi" w:cstheme="minorHAnsi"/>
          <w:color w:val="auto"/>
        </w:rPr>
        <w:t xml:space="preserve">. Finally, this procedure is very </w:t>
      </w:r>
      <w:r w:rsidR="00C165E1" w:rsidRPr="00FC6506">
        <w:rPr>
          <w:rFonts w:asciiTheme="minorHAnsi" w:hAnsiTheme="minorHAnsi" w:cstheme="minorHAnsi"/>
          <w:color w:val="auto"/>
        </w:rPr>
        <w:lastRenderedPageBreak/>
        <w:t xml:space="preserve">fast, taking only </w:t>
      </w:r>
      <w:r w:rsidR="00411AA8">
        <w:rPr>
          <w:rFonts w:asciiTheme="minorHAnsi" w:hAnsiTheme="minorHAnsi" w:cstheme="minorHAnsi"/>
          <w:color w:val="auto"/>
        </w:rPr>
        <w:t xml:space="preserve">up to </w:t>
      </w:r>
      <w:r w:rsidR="00C165E1" w:rsidRPr="00FC6506">
        <w:rPr>
          <w:rFonts w:asciiTheme="minorHAnsi" w:hAnsiTheme="minorHAnsi" w:cstheme="minorHAnsi"/>
          <w:color w:val="auto"/>
        </w:rPr>
        <w:t>a few minutes per sample, allowing tens of sa</w:t>
      </w:r>
      <w:r w:rsidR="005E5A18" w:rsidRPr="00FC6506">
        <w:rPr>
          <w:rFonts w:asciiTheme="minorHAnsi" w:hAnsiTheme="minorHAnsi" w:cstheme="minorHAnsi"/>
          <w:color w:val="auto"/>
        </w:rPr>
        <w:t>mples to be processed per hour.</w:t>
      </w:r>
      <w:r w:rsidR="00102EDA">
        <w:rPr>
          <w:rFonts w:asciiTheme="minorHAnsi" w:hAnsiTheme="minorHAnsi" w:cstheme="minorHAnsi"/>
          <w:color w:val="auto"/>
        </w:rPr>
        <w:t xml:space="preserve"> </w:t>
      </w:r>
    </w:p>
    <w:p w14:paraId="1217F832" w14:textId="0118C351" w:rsidR="005E5A18" w:rsidRPr="00FC6506" w:rsidRDefault="005E5A18" w:rsidP="004F3D12">
      <w:pPr>
        <w:rPr>
          <w:rFonts w:asciiTheme="minorHAnsi" w:hAnsiTheme="minorHAnsi" w:cstheme="minorHAnsi"/>
          <w:color w:val="auto"/>
        </w:rPr>
      </w:pPr>
    </w:p>
    <w:p w14:paraId="2E09AD87" w14:textId="4B6BDC01" w:rsidR="005E5A18" w:rsidRPr="00FC6506" w:rsidRDefault="005E5A18" w:rsidP="004F3D12">
      <w:pPr>
        <w:rPr>
          <w:rFonts w:asciiTheme="minorHAnsi" w:hAnsiTheme="minorHAnsi" w:cstheme="minorHAnsi"/>
          <w:color w:val="auto"/>
        </w:rPr>
      </w:pPr>
      <w:r w:rsidRPr="00FC6506">
        <w:rPr>
          <w:rFonts w:asciiTheme="minorHAnsi" w:hAnsiTheme="minorHAnsi" w:cstheme="minorHAnsi"/>
          <w:color w:val="auto"/>
        </w:rPr>
        <w:t>For samples that give typical curves, two values can be extracted the maximum force and the plateau force</w:t>
      </w:r>
      <w:r w:rsidR="008B3EBC">
        <w:rPr>
          <w:rFonts w:asciiTheme="minorHAnsi" w:hAnsiTheme="minorHAnsi" w:cstheme="minorHAnsi"/>
          <w:color w:val="auto"/>
        </w:rPr>
        <w:t xml:space="preserve"> curves</w:t>
      </w:r>
      <w:r w:rsidRPr="00FC6506">
        <w:rPr>
          <w:rFonts w:asciiTheme="minorHAnsi" w:hAnsiTheme="minorHAnsi" w:cstheme="minorHAnsi"/>
          <w:color w:val="auto"/>
        </w:rPr>
        <w:t>. The maximum force is arguably more objective</w:t>
      </w:r>
      <w:r w:rsidR="008B3EBC">
        <w:rPr>
          <w:rFonts w:asciiTheme="minorHAnsi" w:hAnsiTheme="minorHAnsi" w:cstheme="minorHAnsi"/>
          <w:color w:val="auto"/>
        </w:rPr>
        <w:t xml:space="preserve"> </w:t>
      </w:r>
      <w:r w:rsidRPr="00FC6506">
        <w:rPr>
          <w:rFonts w:asciiTheme="minorHAnsi" w:hAnsiTheme="minorHAnsi" w:cstheme="minorHAnsi"/>
          <w:color w:val="auto"/>
        </w:rPr>
        <w:t xml:space="preserve">and can be extracted computationally from the data table for each sample. Conversely, the plateau force may be more representative, as this will be the force experienced for the greatest amount of time and, as an average, is less affected by curves with large fluctuations. These fluctuations may be caused by </w:t>
      </w:r>
      <w:r w:rsidR="00623C02">
        <w:rPr>
          <w:rFonts w:asciiTheme="minorHAnsi" w:hAnsiTheme="minorHAnsi" w:cstheme="minorHAnsi"/>
          <w:color w:val="auto"/>
        </w:rPr>
        <w:t xml:space="preserve">air bubbles or </w:t>
      </w:r>
      <w:r w:rsidRPr="00FC6506">
        <w:rPr>
          <w:rFonts w:asciiTheme="minorHAnsi" w:hAnsiTheme="minorHAnsi" w:cstheme="minorHAnsi"/>
          <w:color w:val="auto"/>
        </w:rPr>
        <w:t xml:space="preserve">particles in the material causing intermittent changes as they are extruded, or by low instrument precision for </w:t>
      </w:r>
      <w:r w:rsidR="000526E2">
        <w:rPr>
          <w:rFonts w:asciiTheme="minorHAnsi" w:hAnsiTheme="minorHAnsi" w:cstheme="minorHAnsi"/>
          <w:color w:val="auto"/>
        </w:rPr>
        <w:t>small</w:t>
      </w:r>
      <w:r w:rsidRPr="00FC6506">
        <w:rPr>
          <w:rFonts w:asciiTheme="minorHAnsi" w:hAnsiTheme="minorHAnsi" w:cstheme="minorHAnsi"/>
          <w:color w:val="auto"/>
        </w:rPr>
        <w:t xml:space="preserve"> force measurements. </w:t>
      </w:r>
      <w:r w:rsidR="000121EC" w:rsidRPr="00FC6506">
        <w:rPr>
          <w:rFonts w:asciiTheme="minorHAnsi" w:hAnsiTheme="minorHAnsi" w:cstheme="minorHAnsi"/>
          <w:color w:val="auto"/>
        </w:rPr>
        <w:t>However,</w:t>
      </w:r>
      <w:r w:rsidRPr="00FC6506">
        <w:rPr>
          <w:rFonts w:asciiTheme="minorHAnsi" w:hAnsiTheme="minorHAnsi" w:cstheme="minorHAnsi"/>
          <w:color w:val="auto"/>
        </w:rPr>
        <w:t xml:space="preserve"> it is notable that, for many samples, there is no maximum force peak, and so the maximum and plateau value are the same.</w:t>
      </w:r>
      <w:r w:rsidR="000121EC" w:rsidRPr="00FC6506">
        <w:rPr>
          <w:rFonts w:asciiTheme="minorHAnsi" w:hAnsiTheme="minorHAnsi" w:cstheme="minorHAnsi"/>
          <w:color w:val="auto"/>
        </w:rPr>
        <w:t xml:space="preserve"> </w:t>
      </w:r>
      <w:r w:rsidR="00DA6D6F">
        <w:rPr>
          <w:rFonts w:asciiTheme="minorHAnsi" w:hAnsiTheme="minorHAnsi" w:cstheme="minorHAnsi"/>
          <w:color w:val="auto"/>
        </w:rPr>
        <w:t xml:space="preserve">Objective comparisons </w:t>
      </w:r>
      <w:r w:rsidR="000526E2">
        <w:rPr>
          <w:rFonts w:asciiTheme="minorHAnsi" w:hAnsiTheme="minorHAnsi" w:cstheme="minorHAnsi"/>
          <w:color w:val="auto"/>
        </w:rPr>
        <w:t xml:space="preserve">between injection forces </w:t>
      </w:r>
      <w:r w:rsidR="00DA6D6F">
        <w:rPr>
          <w:rFonts w:asciiTheme="minorHAnsi" w:hAnsiTheme="minorHAnsi" w:cstheme="minorHAnsi"/>
          <w:color w:val="auto"/>
        </w:rPr>
        <w:t>can be made so long as a consistent value is used.</w:t>
      </w:r>
    </w:p>
    <w:p w14:paraId="78728D18" w14:textId="7F2C2025" w:rsidR="00014314" w:rsidRDefault="00014314" w:rsidP="001B1519">
      <w:pPr>
        <w:rPr>
          <w:rFonts w:asciiTheme="minorHAnsi" w:hAnsiTheme="minorHAnsi" w:cstheme="minorHAnsi"/>
          <w:color w:val="auto"/>
        </w:rPr>
      </w:pPr>
    </w:p>
    <w:p w14:paraId="5ADA1BC2" w14:textId="660799A9" w:rsidR="00E2731C" w:rsidRDefault="00E2731C" w:rsidP="001B1519">
      <w:pPr>
        <w:rPr>
          <w:rFonts w:asciiTheme="minorHAnsi" w:hAnsiTheme="minorHAnsi" w:cstheme="minorHAnsi"/>
        </w:rPr>
      </w:pPr>
      <w:r>
        <w:rPr>
          <w:rFonts w:asciiTheme="minorHAnsi" w:hAnsiTheme="minorHAnsi" w:cstheme="minorHAnsi"/>
          <w:color w:val="auto"/>
        </w:rPr>
        <w:t>The data obtained can be used in several ways. The injectability force values may be compared to ease of injection, to establish which formulations, syringe and needle sizes are viable for translation</w:t>
      </w:r>
      <w:r>
        <w:rPr>
          <w:rFonts w:asciiTheme="minorHAnsi" w:hAnsiTheme="minorHAnsi" w:cstheme="minorHAnsi"/>
          <w:color w:val="auto"/>
        </w:rPr>
        <w:fldChar w:fldCharType="begin" w:fldLock="1"/>
      </w:r>
      <w:r w:rsidR="00A665F9">
        <w:rPr>
          <w:rFonts w:asciiTheme="minorHAnsi" w:hAnsiTheme="minorHAnsi" w:cstheme="minorHAnsi"/>
          <w:color w:val="auto"/>
        </w:rPr>
        <w:instrText>ADDIN CSL_CITATION { "citationItems" : [ { "id" : "ITEM-1", "itemData" : { "DOI" : "10.1002/adhm.201901521", "ISSN" : "21922659", "abstract" : "Various injectable biomaterials are developed for the minimally invasive delivery of therapeutics. Typically, a mechanical tester is used to ascertain the force required to inject these biomaterials through a given syringe-needle system. However, currently there is no method to correlate the force measured in the laboratory to the perceived effort required to perform that injection by the end user. In this article, the injection force (F) for a variety of biomaterials, displaying a range of rheological properties, is compared with the effort scores from a 50 person panel study. The maximum injection force measured at crosshead speed 1 mm s\u22121 is a good proxy for injection effort, with an R2 of 0.89. This correlation leads to the following conclusions: participants can easily inject 5 mL of substance for F &lt; 12 N; considerable effort is required to inject 5 mL for 12 N &lt; F &lt; 38 N; great effort is required and &lt;5 mL can be injected for 38 N &lt; F &lt; 64 N; and materials are entirely non-injectable for F &gt; 64 N. These values may be used by developers of injectable biomaterials to make decisions about formulations and needle sizes early in the translational process.", "author" : [ { "dropping-particle" : "", "family" : "Robinson", "given" : "Thomas E.", "non-dropping-particle" : "", "parse-names" : false, "suffix" : "" }, { "dropping-particle" : "", "family" : "Hughes", "given" : "Erik A.B.", "non-dropping-particle" : "", "parse-names" : false, "suffix" : "" }, { "dropping-particle" : "", "family" : "Bose", "given" : "Aniruddha", "non-dropping-particle" : "", "parse-names" : false, "suffix" : "" }, { "dropping-particle" : "", "family" : "Cornish", "given" : "Elizabeth A.", "non-dropping-particle" : "", "parse-names" : false, "suffix" : "" }, { "dropping-particle" : "", "family" : "Teo", "given" : "Jun Y.", "non-dropping-particle" : "", "parse-names" : false, "suffix" : "" }, { "dropping-particle" : "", "family" : "Eisenstein", "given" : "Neil M.", "non-dropping-particle" : "", "parse-names" : false, "suffix" : "" }, { "dropping-particle" : "", "family" : "Grover", "given" : "Liam M.", "non-dropping-particle" : "", "parse-names" : false, "suffix" : "" }, { "dropping-particle" : "", "family" : "Cox", "given" : "Sophie C.", "non-dropping-particle" : "", "parse-names" : false, "suffix" : "" } ], "container-title" : "Advanced Healthcare Materials", "id" : "ITEM-1", "issued" : { "date-parts" : [ [ "2020", "1", "24" ] ] }, "page" : "1901521", "publisher" : "Wiley-VCH Verlag", "title" : "Filling the Gap: A Correlation between Objective and Subjective Measures of Injectability", "type" : "article-journal" }, "uris" : [ "http://www.mendeley.com/documents/?uuid=fe362755-8d2a-356a-9a18-5fe980543701" ] } ], "mendeley" : { "formattedCitation" : "&lt;sup&gt;8&lt;/sup&gt;", "plainTextFormattedCitation" : "8", "previouslyFormattedCitation" : "&lt;sup&gt;8&lt;/sup&gt;" }, "properties" : { "noteIndex" : 0 }, "schema" : "https://github.com/citation-style-language/schema/raw/master/csl-citation.json" }</w:instrText>
      </w:r>
      <w:r>
        <w:rPr>
          <w:rFonts w:asciiTheme="minorHAnsi" w:hAnsiTheme="minorHAnsi" w:cstheme="minorHAnsi"/>
          <w:color w:val="auto"/>
        </w:rPr>
        <w:fldChar w:fldCharType="separate"/>
      </w:r>
      <w:r w:rsidR="00A665F9" w:rsidRPr="00A665F9">
        <w:rPr>
          <w:rFonts w:asciiTheme="minorHAnsi" w:hAnsiTheme="minorHAnsi" w:cstheme="minorHAnsi"/>
          <w:noProof/>
          <w:color w:val="auto"/>
          <w:vertAlign w:val="superscript"/>
        </w:rPr>
        <w:t>8</w:t>
      </w:r>
      <w:r>
        <w:rPr>
          <w:rFonts w:asciiTheme="minorHAnsi" w:hAnsiTheme="minorHAnsi" w:cstheme="minorHAnsi"/>
          <w:color w:val="auto"/>
        </w:rPr>
        <w:fldChar w:fldCharType="end"/>
      </w:r>
      <w:r w:rsidR="00530CCB">
        <w:rPr>
          <w:rFonts w:asciiTheme="minorHAnsi" w:hAnsiTheme="minorHAnsi" w:cstheme="minorHAnsi"/>
          <w:color w:val="auto"/>
        </w:rPr>
        <w:t>. Alternatively, comparing between samples allows</w:t>
      </w:r>
      <w:r w:rsidR="008B3EBC">
        <w:rPr>
          <w:rFonts w:asciiTheme="minorHAnsi" w:hAnsiTheme="minorHAnsi" w:cstheme="minorHAnsi"/>
          <w:color w:val="auto"/>
        </w:rPr>
        <w:t xml:space="preserve"> for the</w:t>
      </w:r>
      <w:r w:rsidR="00530CCB">
        <w:rPr>
          <w:rFonts w:asciiTheme="minorHAnsi" w:hAnsiTheme="minorHAnsi" w:cstheme="minorHAnsi"/>
          <w:color w:val="auto"/>
        </w:rPr>
        <w:t xml:space="preserve"> quantification of changes to formulations on injectability. For example, in cements, changing the viscosity of the liquid phase, the particle size distribution, and adding additives such as citrate to alter the colloidal properties, can have large changes </w:t>
      </w:r>
      <w:r w:rsidR="00151A91">
        <w:rPr>
          <w:rFonts w:asciiTheme="minorHAnsi" w:hAnsiTheme="minorHAnsi" w:cstheme="minorHAnsi"/>
          <w:color w:val="auto"/>
        </w:rPr>
        <w:t>i</w:t>
      </w:r>
      <w:r w:rsidR="00530CCB">
        <w:rPr>
          <w:rFonts w:asciiTheme="minorHAnsi" w:hAnsiTheme="minorHAnsi" w:cstheme="minorHAnsi"/>
          <w:color w:val="auto"/>
        </w:rPr>
        <w:t>n injectability</w:t>
      </w:r>
      <w:r w:rsidR="00530CCB" w:rsidRPr="00FC6506">
        <w:rPr>
          <w:rFonts w:asciiTheme="minorHAnsi" w:hAnsiTheme="minorHAnsi" w:cstheme="minorHAnsi"/>
        </w:rPr>
        <w:fldChar w:fldCharType="begin" w:fldLock="1"/>
      </w:r>
      <w:r w:rsidR="00A665F9">
        <w:rPr>
          <w:rFonts w:asciiTheme="minorHAnsi" w:hAnsiTheme="minorHAnsi" w:cstheme="minorHAnsi"/>
        </w:rPr>
        <w:instrText>ADDIN CSL_CITATION { "citationItems" : [ { "id" : "ITEM-1", "itemData" : { "DOI" : "10.1016/j.actbio.2016.11.019", "ISSN" : "18787568", "abstract" : "Calcium phosphate cements (CPC) have seen clinical success in many dental and orthopaedic applications in recent years. The properties of CPC essential for clinical success are reviewed in this article, which includes properties of the set cement (e.g. bioresorbability, biocompatibility, porosity and mechanical properties) and unset cement (e.g. setting time, cohesion, flow properties and ease of delivery to the surgical site). Emphasis is on the delivery of calcium phosphate (CaP) pastes and CPC, in particular the occurrence of separation of the liquid and solid components of the pastes and cements during injection; and established methods to reduce this phase separation. In addition a review of phase separation mechanisms observed during the extrusion of other biphasic paste systems and the theoretical models used to describe these mechanisms are discussed. Statement of Significance Occurrence of phase separation of calcium phosphate pastes and cements during injection limits their full exploitation as a bone substitute in minimally invasive surgical applications. Due to lack of theoretical understanding of the phase separation mechanism(s), optimisation of an injectable CPC that satisfies clinical requirements has proven difficult. However, phase separation of pastes during delivery has been the focus across several research fields. Therefore in addition to a review of methods to reduce phase separation of CPC and the associated constraints, a review of phase separation mechanisms observed during extrusion of other pastes and the theoretical models used to describe these mechanisms is presented. It is anticipated this review will benefit future attempts to develop injectable calcium phosphate based systems.", "author" : [ { "dropping-particle" : "", "family" : "O'Neill", "given" : "R.", "non-dropping-particle" : "", "parse-names" : false, "suffix" : "" }, { "dropping-particle" : "", "family" : "McCarthy", "given" : "H. O.", "non-dropping-particle" : "", "parse-names" : false, "suffix" : "" }, { "dropping-particle" : "", "family" : "Montufar", "given" : "E. B.", "non-dropping-particle" : "", "parse-names" : false, "suffix" : "" }, { "dropping-particle" : "", "family" : "Ginebra", "given" : "M. P.", "non-dropping-particle" : "", "parse-names" : false, "suffix" : "" }, { "dropping-particle" : "", "family" : "Wilson", "given" : "D. I.", "non-dropping-particle" : "", "parse-names" : false, "suffix" : "" }, { "dropping-particle" : "", "family" : "Lennon", "given" : "A.", "non-dropping-particle" : "", "parse-names" : false, "suffix" : "" }, { "dropping-particle" : "", "family" : "Dunne", "given" : "N.", "non-dropping-particle" : "", "parse-names" : false, "suffix" : "" } ], "container-title" : "Acta Biomaterialia", "id" : "ITEM-1", "issued" : { "date-parts" : [ [ "2017", "3", "1" ] ] }, "page" : "1-19", "publisher" : "Elsevier Ltd", "title" : "Critical review: Injectability of calcium phosphate pastes and cements", "type" : "article-journal", "volume" : "50" }, "uris" : [ "http://www.mendeley.com/documents/?uuid=8004e410-5c37-4982-b8c5-b07cd0cf3417" ] } ], "mendeley" : { "formattedCitation" : "&lt;sup&gt;9&lt;/sup&gt;", "plainTextFormattedCitation" : "9", "previouslyFormattedCitation" : "&lt;sup&gt;9&lt;/sup&gt;" }, "properties" : { "noteIndex" : 0 }, "schema" : "https://github.com/citation-style-language/schema/raw/master/csl-citation.json" }</w:instrText>
      </w:r>
      <w:r w:rsidR="00530CCB" w:rsidRPr="00FC6506">
        <w:rPr>
          <w:rFonts w:asciiTheme="minorHAnsi" w:hAnsiTheme="minorHAnsi" w:cstheme="minorHAnsi"/>
        </w:rPr>
        <w:fldChar w:fldCharType="separate"/>
      </w:r>
      <w:r w:rsidR="00A665F9" w:rsidRPr="00A665F9">
        <w:rPr>
          <w:rFonts w:asciiTheme="minorHAnsi" w:hAnsiTheme="minorHAnsi" w:cstheme="minorHAnsi"/>
          <w:noProof/>
          <w:vertAlign w:val="superscript"/>
        </w:rPr>
        <w:t>9</w:t>
      </w:r>
      <w:r w:rsidR="00530CCB" w:rsidRPr="00FC6506">
        <w:rPr>
          <w:rFonts w:asciiTheme="minorHAnsi" w:hAnsiTheme="minorHAnsi" w:cstheme="minorHAnsi"/>
        </w:rPr>
        <w:fldChar w:fldCharType="end"/>
      </w:r>
      <w:r w:rsidR="00530CCB">
        <w:rPr>
          <w:rFonts w:asciiTheme="minorHAnsi" w:hAnsiTheme="minorHAnsi" w:cstheme="minorHAnsi"/>
        </w:rPr>
        <w:t xml:space="preserve">. These tests may also inform formulation protocol for cements, for example mixing time, </w:t>
      </w:r>
      <w:r w:rsidR="00B22DBA">
        <w:rPr>
          <w:rFonts w:asciiTheme="minorHAnsi" w:hAnsiTheme="minorHAnsi" w:cstheme="minorHAnsi"/>
        </w:rPr>
        <w:t>time to loading and time to application, for optimum injection and post-injection performance. In additi</w:t>
      </w:r>
      <w:r w:rsidR="00B81B0B">
        <w:rPr>
          <w:rFonts w:asciiTheme="minorHAnsi" w:hAnsiTheme="minorHAnsi" w:cstheme="minorHAnsi"/>
        </w:rPr>
        <w:t xml:space="preserve">on, this method may be used to test the initial feasibility of novel </w:t>
      </w:r>
      <w:proofErr w:type="spellStart"/>
      <w:r w:rsidR="00B81B0B">
        <w:rPr>
          <w:rFonts w:asciiTheme="minorHAnsi" w:hAnsiTheme="minorHAnsi" w:cstheme="minorHAnsi"/>
        </w:rPr>
        <w:t>bioinks</w:t>
      </w:r>
      <w:proofErr w:type="spellEnd"/>
      <w:r w:rsidR="00B81B0B">
        <w:rPr>
          <w:rFonts w:asciiTheme="minorHAnsi" w:hAnsiTheme="minorHAnsi" w:cstheme="minorHAnsi"/>
        </w:rPr>
        <w:t xml:space="preserve"> for 3D printing.</w:t>
      </w:r>
    </w:p>
    <w:p w14:paraId="1C0A0557" w14:textId="7064CAB7" w:rsidR="00B22DBA" w:rsidRDefault="00B22DBA" w:rsidP="001B1519">
      <w:pPr>
        <w:rPr>
          <w:rFonts w:asciiTheme="minorHAnsi" w:hAnsiTheme="minorHAnsi" w:cstheme="minorHAnsi"/>
        </w:rPr>
      </w:pPr>
    </w:p>
    <w:p w14:paraId="65C1BFB2" w14:textId="41AA452C" w:rsidR="00B22DBA" w:rsidRDefault="00B22DBA" w:rsidP="001B1519">
      <w:pPr>
        <w:rPr>
          <w:rFonts w:asciiTheme="minorHAnsi" w:hAnsiTheme="minorHAnsi" w:cstheme="minorHAnsi"/>
        </w:rPr>
      </w:pPr>
      <w:r>
        <w:rPr>
          <w:rFonts w:asciiTheme="minorHAnsi" w:hAnsiTheme="minorHAnsi" w:cstheme="minorHAnsi"/>
        </w:rPr>
        <w:t xml:space="preserve">This protocol can be modified in several ways. </w:t>
      </w:r>
      <w:r w:rsidR="00C8546A">
        <w:rPr>
          <w:rFonts w:asciiTheme="minorHAnsi" w:hAnsiTheme="minorHAnsi" w:cstheme="minorHAnsi"/>
        </w:rPr>
        <w:t>The clamp system</w:t>
      </w:r>
      <w:r w:rsidR="005F1C6E">
        <w:rPr>
          <w:rFonts w:asciiTheme="minorHAnsi" w:hAnsiTheme="minorHAnsi" w:cstheme="minorHAnsi"/>
        </w:rPr>
        <w:t xml:space="preserve"> may be replaced with a bespoke 3D printed construct to hold the syringe, which may make it easier to ensure the syringe and plunger are perpendicular to the crosshead, and the syringe held securely. </w:t>
      </w:r>
      <w:r>
        <w:rPr>
          <w:rFonts w:asciiTheme="minorHAnsi" w:hAnsiTheme="minorHAnsi" w:cstheme="minorHAnsi"/>
        </w:rPr>
        <w:t xml:space="preserve">The </w:t>
      </w:r>
      <w:r w:rsidR="00A65695">
        <w:rPr>
          <w:rFonts w:asciiTheme="minorHAnsi" w:hAnsiTheme="minorHAnsi" w:cstheme="minorHAnsi"/>
        </w:rPr>
        <w:t>needle</w:t>
      </w:r>
      <w:r>
        <w:rPr>
          <w:rFonts w:asciiTheme="minorHAnsi" w:hAnsiTheme="minorHAnsi" w:cstheme="minorHAnsi"/>
        </w:rPr>
        <w:t xml:space="preserve"> can be replaced with </w:t>
      </w:r>
      <w:r w:rsidR="00A65695">
        <w:rPr>
          <w:rFonts w:asciiTheme="minorHAnsi" w:hAnsiTheme="minorHAnsi" w:cstheme="minorHAnsi"/>
        </w:rPr>
        <w:t xml:space="preserve">a cannula or </w:t>
      </w:r>
      <w:r>
        <w:rPr>
          <w:rFonts w:asciiTheme="minorHAnsi" w:hAnsiTheme="minorHAnsi" w:cstheme="minorHAnsi"/>
        </w:rPr>
        <w:t xml:space="preserve">any device that extrudes material </w:t>
      </w:r>
      <w:r w:rsidR="00A65695">
        <w:rPr>
          <w:rFonts w:asciiTheme="minorHAnsi" w:hAnsiTheme="minorHAnsi" w:cstheme="minorHAnsi"/>
        </w:rPr>
        <w:t>by compression of a plunger</w:t>
      </w:r>
      <w:r w:rsidR="008B3EBC">
        <w:rPr>
          <w:rFonts w:asciiTheme="minorHAnsi" w:hAnsiTheme="minorHAnsi" w:cstheme="minorHAnsi"/>
        </w:rPr>
        <w:t xml:space="preserve"> </w:t>
      </w:r>
      <w:r w:rsidR="00B81B0B">
        <w:rPr>
          <w:rFonts w:asciiTheme="minorHAnsi" w:hAnsiTheme="minorHAnsi" w:cstheme="minorHAnsi"/>
        </w:rPr>
        <w:t xml:space="preserve">and </w:t>
      </w:r>
      <w:r w:rsidR="00151A91">
        <w:rPr>
          <w:rFonts w:asciiTheme="minorHAnsi" w:hAnsiTheme="minorHAnsi" w:cstheme="minorHAnsi"/>
        </w:rPr>
        <w:t xml:space="preserve">can </w:t>
      </w:r>
      <w:r w:rsidR="00B81B0B">
        <w:rPr>
          <w:rFonts w:asciiTheme="minorHAnsi" w:hAnsiTheme="minorHAnsi" w:cstheme="minorHAnsi"/>
        </w:rPr>
        <w:t xml:space="preserve">be </w:t>
      </w:r>
      <w:r w:rsidR="008B3EBC">
        <w:rPr>
          <w:rFonts w:asciiTheme="minorHAnsi" w:hAnsiTheme="minorHAnsi" w:cstheme="minorHAnsi"/>
        </w:rPr>
        <w:t xml:space="preserve">of </w:t>
      </w:r>
      <w:r w:rsidR="00B81B0B">
        <w:rPr>
          <w:rFonts w:asciiTheme="minorHAnsi" w:hAnsiTheme="minorHAnsi" w:cstheme="minorHAnsi"/>
        </w:rPr>
        <w:t xml:space="preserve">any size and geometry. In order to increase the fidelity of the results, the tip of the needle can be placed into a tissue or hydrogel, in order to more accurately </w:t>
      </w:r>
      <w:r w:rsidR="00BD6B2C">
        <w:rPr>
          <w:rFonts w:asciiTheme="minorHAnsi" w:hAnsiTheme="minorHAnsi" w:cstheme="minorHAnsi"/>
        </w:rPr>
        <w:t xml:space="preserve">simulate clinical injection. </w:t>
      </w:r>
      <w:r w:rsidR="00304332">
        <w:rPr>
          <w:rFonts w:asciiTheme="minorHAnsi" w:hAnsiTheme="minorHAnsi" w:cstheme="minorHAnsi"/>
        </w:rPr>
        <w:t xml:space="preserve">However, this adds further complexities to the protocol, as tissue/gel composition and needle depth must be kept </w:t>
      </w:r>
      <w:r w:rsidR="00D70D55">
        <w:rPr>
          <w:rFonts w:asciiTheme="minorHAnsi" w:hAnsiTheme="minorHAnsi" w:cstheme="minorHAnsi"/>
        </w:rPr>
        <w:t xml:space="preserve">constant. </w:t>
      </w:r>
      <w:r w:rsidR="00517CF8">
        <w:rPr>
          <w:rFonts w:asciiTheme="minorHAnsi" w:hAnsiTheme="minorHAnsi" w:cstheme="minorHAnsi"/>
        </w:rPr>
        <w:t>Further</w:t>
      </w:r>
      <w:r w:rsidR="00A65695">
        <w:rPr>
          <w:rFonts w:asciiTheme="minorHAnsi" w:hAnsiTheme="minorHAnsi" w:cstheme="minorHAnsi"/>
        </w:rPr>
        <w:t>, this protocol utilizes displacement</w:t>
      </w:r>
      <w:r w:rsidR="008B3EBC">
        <w:rPr>
          <w:rFonts w:asciiTheme="minorHAnsi" w:hAnsiTheme="minorHAnsi" w:cstheme="minorHAnsi"/>
        </w:rPr>
        <w:t>-</w:t>
      </w:r>
      <w:r w:rsidR="00A65695">
        <w:rPr>
          <w:rFonts w:asciiTheme="minorHAnsi" w:hAnsiTheme="minorHAnsi" w:cstheme="minorHAnsi"/>
        </w:rPr>
        <w:t xml:space="preserve">controlled extrusion, to measure the force required to inject at the specified speed. Alternatively, the injection force can be specified, and the amount of extrusion can be measured against time. This may be useful </w:t>
      </w:r>
      <w:r w:rsidR="00277467">
        <w:rPr>
          <w:rFonts w:asciiTheme="minorHAnsi" w:hAnsiTheme="minorHAnsi" w:cstheme="minorHAnsi"/>
        </w:rPr>
        <w:t>for materials with time dependent properties, such as cements. For example, by using a correlation between injection force and ease of injectability to select a force</w:t>
      </w:r>
      <w:r w:rsidR="00277467">
        <w:rPr>
          <w:rFonts w:asciiTheme="minorHAnsi" w:hAnsiTheme="minorHAnsi" w:cstheme="minorHAnsi"/>
        </w:rPr>
        <w:fldChar w:fldCharType="begin" w:fldLock="1"/>
      </w:r>
      <w:r w:rsidR="00A665F9">
        <w:rPr>
          <w:rFonts w:asciiTheme="minorHAnsi" w:hAnsiTheme="minorHAnsi" w:cstheme="minorHAnsi"/>
        </w:rPr>
        <w:instrText>ADDIN CSL_CITATION { "citationItems" : [ { "id" : "ITEM-1", "itemData" : { "DOI" : "10.1002/adhm.201901521", "ISSN" : "21922659", "abstract" : "Various injectable biomaterials are developed for the minimally invasive delivery of therapeutics. Typically, a mechanical tester is used to ascertain the force required to inject these biomaterials through a given syringe-needle system. However, currently there is no method to correlate the force measured in the laboratory to the perceived effort required to perform that injection by the end user. In this article, the injection force (F) for a variety of biomaterials, displaying a range of rheological properties, is compared with the effort scores from a 50 person panel study. The maximum injection force measured at crosshead speed 1 mm s\u22121 is a good proxy for injection effort, with an R2 of 0.89. This correlation leads to the following conclusions: participants can easily inject 5 mL of substance for F &lt; 12 N; considerable effort is required to inject 5 mL for 12 N &lt; F &lt; 38 N; great effort is required and &lt;5 mL can be injected for 38 N &lt; F &lt; 64 N; and materials are entirely non-injectable for F &gt; 64 N. These values may be used by developers of injectable biomaterials to make decisions about formulations and needle sizes early in the translational process.", "author" : [ { "dropping-particle" : "", "family" : "Robinson", "given" : "Thomas E.", "non-dropping-particle" : "", "parse-names" : false, "suffix" : "" }, { "dropping-particle" : "", "family" : "Hughes", "given" : "Erik A.B.", "non-dropping-particle" : "", "parse-names" : false, "suffix" : "" }, { "dropping-particle" : "", "family" : "Bose", "given" : "Aniruddha", "non-dropping-particle" : "", "parse-names" : false, "suffix" : "" }, { "dropping-particle" : "", "family" : "Cornish", "given" : "Elizabeth A.", "non-dropping-particle" : "", "parse-names" : false, "suffix" : "" }, { "dropping-particle" : "", "family" : "Teo", "given" : "Jun Y.", "non-dropping-particle" : "", "parse-names" : false, "suffix" : "" }, { "dropping-particle" : "", "family" : "Eisenstein", "given" : "Neil M.", "non-dropping-particle" : "", "parse-names" : false, "suffix" : "" }, { "dropping-particle" : "", "family" : "Grover", "given" : "Liam M.", "non-dropping-particle" : "", "parse-names" : false, "suffix" : "" }, { "dropping-particle" : "", "family" : "Cox", "given" : "Sophie C.", "non-dropping-particle" : "", "parse-names" : false, "suffix" : "" } ], "container-title" : "Advanced Healthcare Materials", "id" : "ITEM-1", "issued" : { "date-parts" : [ [ "2020", "1", "24" ] ] }, "page" : "1901521", "publisher" : "Wiley-VCH Verlag", "title" : "Filling the Gap: A Correlation between Objective and Subjective Measures of Injectability", "type" : "article-journal" }, "uris" : [ "http://www.mendeley.com/documents/?uuid=fe362755-8d2a-356a-9a18-5fe980543701" ] } ], "mendeley" : { "formattedCitation" : "&lt;sup&gt;8&lt;/sup&gt;", "plainTextFormattedCitation" : "8", "previouslyFormattedCitation" : "&lt;sup&gt;8&lt;/sup&gt;" }, "properties" : { "noteIndex" : 0 }, "schema" : "https://github.com/citation-style-language/schema/raw/master/csl-citation.json" }</w:instrText>
      </w:r>
      <w:r w:rsidR="00277467">
        <w:rPr>
          <w:rFonts w:asciiTheme="minorHAnsi" w:hAnsiTheme="minorHAnsi" w:cstheme="minorHAnsi"/>
        </w:rPr>
        <w:fldChar w:fldCharType="separate"/>
      </w:r>
      <w:r w:rsidR="00A665F9" w:rsidRPr="00A665F9">
        <w:rPr>
          <w:rFonts w:asciiTheme="minorHAnsi" w:hAnsiTheme="minorHAnsi" w:cstheme="minorHAnsi"/>
          <w:noProof/>
          <w:vertAlign w:val="superscript"/>
        </w:rPr>
        <w:t>8</w:t>
      </w:r>
      <w:r w:rsidR="00277467">
        <w:rPr>
          <w:rFonts w:asciiTheme="minorHAnsi" w:hAnsiTheme="minorHAnsi" w:cstheme="minorHAnsi"/>
        </w:rPr>
        <w:fldChar w:fldCharType="end"/>
      </w:r>
      <w:r w:rsidR="00277467">
        <w:rPr>
          <w:rFonts w:asciiTheme="minorHAnsi" w:hAnsiTheme="minorHAnsi" w:cstheme="minorHAnsi"/>
        </w:rPr>
        <w:t>, this protocol may be used to establish whether the entire volume of cement can be injected with this speed prior to setting.</w:t>
      </w:r>
      <w:r w:rsidR="00517CF8">
        <w:rPr>
          <w:rFonts w:asciiTheme="minorHAnsi" w:hAnsiTheme="minorHAnsi" w:cstheme="minorHAnsi"/>
        </w:rPr>
        <w:t xml:space="preserve"> Finally, this protocol can </w:t>
      </w:r>
      <w:r w:rsidR="00F81485">
        <w:rPr>
          <w:rFonts w:asciiTheme="minorHAnsi" w:hAnsiTheme="minorHAnsi" w:cstheme="minorHAnsi"/>
        </w:rPr>
        <w:t xml:space="preserve">easily </w:t>
      </w:r>
      <w:r w:rsidR="00517CF8">
        <w:rPr>
          <w:rFonts w:asciiTheme="minorHAnsi" w:hAnsiTheme="minorHAnsi" w:cstheme="minorHAnsi"/>
        </w:rPr>
        <w:t>be combined with other experiments, in order to test</w:t>
      </w:r>
      <w:r w:rsidR="00F81485">
        <w:rPr>
          <w:rFonts w:asciiTheme="minorHAnsi" w:hAnsiTheme="minorHAnsi" w:cstheme="minorHAnsi"/>
        </w:rPr>
        <w:t xml:space="preserve"> the effect of injec</w:t>
      </w:r>
      <w:r w:rsidR="00FF5533">
        <w:rPr>
          <w:rFonts w:asciiTheme="minorHAnsi" w:hAnsiTheme="minorHAnsi" w:cstheme="minorHAnsi"/>
        </w:rPr>
        <w:t>tion on the material properties</w:t>
      </w:r>
      <w:r w:rsidR="00F81485">
        <w:rPr>
          <w:rFonts w:asciiTheme="minorHAnsi" w:hAnsiTheme="minorHAnsi" w:cstheme="minorHAnsi"/>
        </w:rPr>
        <w:t xml:space="preserve"> and examine phenomena such as filter pressing and self-healing</w:t>
      </w:r>
      <w:r w:rsidR="00FF5533">
        <w:rPr>
          <w:rFonts w:asciiTheme="minorHAnsi" w:hAnsiTheme="minorHAnsi" w:cstheme="minorHAnsi"/>
        </w:rPr>
        <w:t>, or the effect of injection on cells.</w:t>
      </w:r>
    </w:p>
    <w:p w14:paraId="0B70210E" w14:textId="1197EC5D" w:rsidR="00EB3BF0" w:rsidRDefault="00EB3BF0" w:rsidP="001B1519">
      <w:pPr>
        <w:rPr>
          <w:rFonts w:asciiTheme="minorHAnsi" w:hAnsiTheme="minorHAnsi" w:cstheme="minorHAnsi"/>
        </w:rPr>
      </w:pPr>
    </w:p>
    <w:p w14:paraId="0C535D04" w14:textId="59D8E6DB" w:rsidR="00EB3BF0" w:rsidRDefault="00EB3BF0" w:rsidP="001B1519">
      <w:pPr>
        <w:rPr>
          <w:rFonts w:asciiTheme="minorHAnsi" w:hAnsiTheme="minorHAnsi" w:cstheme="minorHAnsi"/>
          <w:color w:val="auto"/>
        </w:rPr>
      </w:pPr>
      <w:r>
        <w:rPr>
          <w:rFonts w:asciiTheme="minorHAnsi" w:hAnsiTheme="minorHAnsi" w:cstheme="minorHAnsi"/>
        </w:rPr>
        <w:t xml:space="preserve">The main limitation of this protocol is that a universal mechanical tester is required. While these are common in materials testing labs, they are expensive to purchase if the user cannot access one. Further, the mechanical tester provides uniaxial compression at either a set force or rate of </w:t>
      </w:r>
      <w:r>
        <w:rPr>
          <w:rFonts w:asciiTheme="minorHAnsi" w:hAnsiTheme="minorHAnsi" w:cstheme="minorHAnsi"/>
        </w:rPr>
        <w:lastRenderedPageBreak/>
        <w:t xml:space="preserve">displacement, whereas the applied force and injection speed may vary over the course of injection by hand. </w:t>
      </w:r>
      <w:r w:rsidR="005F1C6E">
        <w:rPr>
          <w:rFonts w:asciiTheme="minorHAnsi" w:hAnsiTheme="minorHAnsi" w:cstheme="minorHAnsi"/>
        </w:rPr>
        <w:t>This protocol is also unsuitable for replicating some real world injections, such as injections into complex tissues in theatre, or injecting at different angles. To quantify the force of injection in the clinic, force and displacement transducers may be a better method.</w:t>
      </w:r>
    </w:p>
    <w:p w14:paraId="062DB8CF" w14:textId="74BA0BE4" w:rsidR="00E2731C" w:rsidRPr="00FC6506" w:rsidRDefault="00E2731C" w:rsidP="001B1519">
      <w:pPr>
        <w:rPr>
          <w:rFonts w:asciiTheme="minorHAnsi" w:hAnsiTheme="minorHAnsi" w:cstheme="minorHAnsi"/>
          <w:color w:val="auto"/>
        </w:rPr>
      </w:pPr>
    </w:p>
    <w:p w14:paraId="1734505F" w14:textId="69E20522" w:rsidR="00AA03DF" w:rsidRPr="00FC6506" w:rsidRDefault="00AA03DF" w:rsidP="001B1519">
      <w:pPr>
        <w:pStyle w:val="NormalWeb"/>
        <w:spacing w:before="0" w:beforeAutospacing="0" w:after="0" w:afterAutospacing="0"/>
        <w:rPr>
          <w:rFonts w:asciiTheme="minorHAnsi" w:hAnsiTheme="minorHAnsi" w:cstheme="minorHAnsi"/>
          <w:color w:val="808080"/>
        </w:rPr>
      </w:pPr>
      <w:r w:rsidRPr="00FC6506">
        <w:rPr>
          <w:rFonts w:asciiTheme="minorHAnsi" w:hAnsiTheme="minorHAnsi" w:cstheme="minorHAnsi"/>
          <w:b/>
          <w:bCs/>
        </w:rPr>
        <w:t xml:space="preserve">ACKNOWLEDGMENTS: </w:t>
      </w:r>
    </w:p>
    <w:p w14:paraId="1616C34A" w14:textId="77777777" w:rsidR="00CC6D51" w:rsidRDefault="00CC6D51" w:rsidP="00CC6D51">
      <w:r>
        <w:t>This work was funded by the EPSRC CDT for Formulation Engineering in the School of Chemical Engineering at the University of Birmingham</w:t>
      </w:r>
      <w:r w:rsidRPr="00B71E6B">
        <w:t>, UK, Grant reference EP/L015153/1</w:t>
      </w:r>
      <w:r>
        <w:t>, and the Royal Centre for Defence Medicine.</w:t>
      </w:r>
    </w:p>
    <w:p w14:paraId="2D96E92E" w14:textId="72F287DC" w:rsidR="00AA03DF" w:rsidRPr="00FC6506" w:rsidRDefault="00AA03DF" w:rsidP="001B1519">
      <w:pPr>
        <w:rPr>
          <w:rFonts w:asciiTheme="minorHAnsi" w:hAnsiTheme="minorHAnsi" w:cstheme="minorHAnsi"/>
          <w:b/>
          <w:bCs/>
        </w:rPr>
      </w:pPr>
    </w:p>
    <w:p w14:paraId="5D52ED8B" w14:textId="4C2B0D3D" w:rsidR="00AA03DF" w:rsidRPr="00FC6506" w:rsidRDefault="00AA03DF" w:rsidP="001B1519">
      <w:pPr>
        <w:pStyle w:val="NormalWeb"/>
        <w:spacing w:before="0" w:beforeAutospacing="0" w:after="0" w:afterAutospacing="0"/>
        <w:rPr>
          <w:rFonts w:asciiTheme="minorHAnsi" w:hAnsiTheme="minorHAnsi" w:cstheme="minorHAnsi"/>
          <w:color w:val="808080"/>
        </w:rPr>
      </w:pPr>
      <w:r w:rsidRPr="00FC6506">
        <w:rPr>
          <w:rFonts w:asciiTheme="minorHAnsi" w:hAnsiTheme="minorHAnsi" w:cstheme="minorHAnsi"/>
          <w:b/>
        </w:rPr>
        <w:t>DISCLOSURES</w:t>
      </w:r>
      <w:r w:rsidRPr="00FC6506">
        <w:rPr>
          <w:rFonts w:asciiTheme="minorHAnsi" w:hAnsiTheme="minorHAnsi" w:cstheme="minorHAnsi"/>
          <w:b/>
          <w:bCs/>
        </w:rPr>
        <w:t xml:space="preserve">: </w:t>
      </w:r>
    </w:p>
    <w:p w14:paraId="4E0C3135" w14:textId="53D86BDB" w:rsidR="007A4DD6" w:rsidRPr="00DF52B4" w:rsidRDefault="00DF52B4" w:rsidP="007A4DD6">
      <w:pPr>
        <w:rPr>
          <w:rFonts w:asciiTheme="minorHAnsi" w:hAnsiTheme="minorHAnsi" w:cstheme="minorHAnsi"/>
          <w:color w:val="auto"/>
        </w:rPr>
      </w:pPr>
      <w:r w:rsidRPr="00DF52B4">
        <w:rPr>
          <w:rFonts w:asciiTheme="minorHAnsi" w:hAnsiTheme="minorHAnsi" w:cstheme="minorHAnsi"/>
          <w:color w:val="auto"/>
        </w:rPr>
        <w:t>The authors have nothing to disclose.</w:t>
      </w:r>
    </w:p>
    <w:p w14:paraId="66030076" w14:textId="77777777" w:rsidR="00AA03DF" w:rsidRPr="00FC6506" w:rsidRDefault="00AA03DF" w:rsidP="001B1519">
      <w:pPr>
        <w:rPr>
          <w:rFonts w:asciiTheme="minorHAnsi" w:hAnsiTheme="minorHAnsi" w:cstheme="minorHAnsi"/>
          <w:color w:val="auto"/>
        </w:rPr>
      </w:pPr>
    </w:p>
    <w:p w14:paraId="243C5DE6" w14:textId="10B58452" w:rsidR="001375AE" w:rsidRPr="00FF5533" w:rsidRDefault="009726EE" w:rsidP="001375AE">
      <w:pPr>
        <w:rPr>
          <w:rFonts w:asciiTheme="minorHAnsi" w:hAnsiTheme="minorHAnsi" w:cstheme="minorHAnsi"/>
          <w:b/>
          <w:color w:val="000000" w:themeColor="text1"/>
        </w:rPr>
      </w:pPr>
      <w:r w:rsidRPr="00FC6506">
        <w:rPr>
          <w:rFonts w:asciiTheme="minorHAnsi" w:hAnsiTheme="minorHAnsi" w:cstheme="minorHAnsi"/>
          <w:b/>
          <w:bCs/>
        </w:rPr>
        <w:t>REFERENCES</w:t>
      </w:r>
      <w:r w:rsidR="00D04760" w:rsidRPr="00FC6506">
        <w:rPr>
          <w:rFonts w:asciiTheme="minorHAnsi" w:hAnsiTheme="minorHAnsi" w:cstheme="minorHAnsi"/>
          <w:b/>
          <w:bCs/>
        </w:rPr>
        <w:t>:</w:t>
      </w:r>
      <w:r w:rsidRPr="00FC6506">
        <w:rPr>
          <w:rFonts w:asciiTheme="minorHAnsi" w:hAnsiTheme="minorHAnsi" w:cstheme="minorHAnsi"/>
        </w:rPr>
        <w:t xml:space="preserve"> </w:t>
      </w:r>
    </w:p>
    <w:p w14:paraId="1DEE6702" w14:textId="2E4BAFCA" w:rsidR="00A665F9" w:rsidRPr="00A665F9" w:rsidRDefault="001375AE" w:rsidP="00151A91">
      <w:pPr>
        <w:rPr>
          <w:noProof/>
        </w:rPr>
      </w:pPr>
      <w:r w:rsidRPr="00FC6506">
        <w:rPr>
          <w:rFonts w:asciiTheme="minorHAnsi" w:hAnsiTheme="minorHAnsi" w:cstheme="minorHAnsi"/>
          <w:color w:val="7F7F7F" w:themeColor="text1" w:themeTint="80"/>
        </w:rPr>
        <w:fldChar w:fldCharType="begin" w:fldLock="1"/>
      </w:r>
      <w:r w:rsidRPr="00FC6506">
        <w:rPr>
          <w:rFonts w:asciiTheme="minorHAnsi" w:hAnsiTheme="minorHAnsi" w:cstheme="minorHAnsi"/>
          <w:color w:val="7F7F7F" w:themeColor="text1" w:themeTint="80"/>
        </w:rPr>
        <w:instrText xml:space="preserve">ADDIN Mendeley Bibliography CSL_BIBLIOGRAPHY </w:instrText>
      </w:r>
      <w:r w:rsidRPr="00FC6506">
        <w:rPr>
          <w:rFonts w:asciiTheme="minorHAnsi" w:hAnsiTheme="minorHAnsi" w:cstheme="minorHAnsi"/>
          <w:color w:val="7F7F7F" w:themeColor="text1" w:themeTint="80"/>
        </w:rPr>
        <w:fldChar w:fldCharType="separate"/>
      </w:r>
      <w:r w:rsidR="00A665F9" w:rsidRPr="00A665F9">
        <w:rPr>
          <w:noProof/>
        </w:rPr>
        <w:t>1.</w:t>
      </w:r>
      <w:r w:rsidR="00A665F9" w:rsidRPr="00A665F9">
        <w:rPr>
          <w:noProof/>
        </w:rPr>
        <w:tab/>
        <w:t>Webber, M. J., Appel, E. A., Meijer, E. W.</w:t>
      </w:r>
      <w:r w:rsidR="008B3EBC">
        <w:rPr>
          <w:noProof/>
        </w:rPr>
        <w:t>,</w:t>
      </w:r>
      <w:r w:rsidR="00A665F9" w:rsidRPr="00A665F9">
        <w:rPr>
          <w:noProof/>
        </w:rPr>
        <w:t xml:space="preserve"> Langer, R. Supramolecular biomaterials. </w:t>
      </w:r>
      <w:r w:rsidR="00A665F9" w:rsidRPr="00A665F9">
        <w:rPr>
          <w:i/>
          <w:iCs/>
          <w:noProof/>
        </w:rPr>
        <w:t>Nature Materials</w:t>
      </w:r>
      <w:r w:rsidR="008B3EBC">
        <w:rPr>
          <w:i/>
          <w:iCs/>
          <w:noProof/>
        </w:rPr>
        <w:t>.</w:t>
      </w:r>
      <w:r w:rsidR="00A665F9" w:rsidRPr="00A665F9">
        <w:rPr>
          <w:noProof/>
        </w:rPr>
        <w:t xml:space="preserve"> </w:t>
      </w:r>
      <w:r w:rsidR="00A665F9" w:rsidRPr="00A665F9">
        <w:rPr>
          <w:b/>
          <w:bCs/>
          <w:noProof/>
        </w:rPr>
        <w:t>15</w:t>
      </w:r>
      <w:r w:rsidR="00A665F9" w:rsidRPr="00A665F9">
        <w:rPr>
          <w:noProof/>
        </w:rPr>
        <w:t>, 13–26 (2015).</w:t>
      </w:r>
    </w:p>
    <w:p w14:paraId="5DF2899F" w14:textId="3C7DC1CF" w:rsidR="00A665F9" w:rsidRPr="00A665F9" w:rsidRDefault="00A665F9" w:rsidP="00151A91">
      <w:pPr>
        <w:rPr>
          <w:noProof/>
        </w:rPr>
      </w:pPr>
      <w:r w:rsidRPr="00A665F9">
        <w:rPr>
          <w:noProof/>
        </w:rPr>
        <w:t>2.</w:t>
      </w:r>
      <w:r w:rsidRPr="00A665F9">
        <w:rPr>
          <w:noProof/>
        </w:rPr>
        <w:tab/>
        <w:t>Mathew, A. P., Uthaman, S., Cho, K.-H., Cho, C.-S.</w:t>
      </w:r>
      <w:r w:rsidR="008B3EBC">
        <w:rPr>
          <w:noProof/>
        </w:rPr>
        <w:t xml:space="preserve">, </w:t>
      </w:r>
      <w:r w:rsidRPr="00A665F9">
        <w:rPr>
          <w:noProof/>
        </w:rPr>
        <w:t xml:space="preserve">Park, I.-K. Injectable hydrogels for delivering biotherapeutic molecules. </w:t>
      </w:r>
      <w:r w:rsidRPr="00A665F9">
        <w:rPr>
          <w:i/>
          <w:iCs/>
          <w:noProof/>
        </w:rPr>
        <w:t>International Journal of Biological Macromolecules</w:t>
      </w:r>
      <w:r w:rsidR="008B3EBC">
        <w:rPr>
          <w:i/>
          <w:iCs/>
          <w:noProof/>
        </w:rPr>
        <w:t>.</w:t>
      </w:r>
      <w:r w:rsidRPr="00A665F9">
        <w:rPr>
          <w:noProof/>
        </w:rPr>
        <w:t xml:space="preserve"> </w:t>
      </w:r>
      <w:r w:rsidRPr="00A665F9">
        <w:rPr>
          <w:b/>
          <w:bCs/>
          <w:noProof/>
        </w:rPr>
        <w:t>110</w:t>
      </w:r>
      <w:r w:rsidRPr="00A665F9">
        <w:rPr>
          <w:noProof/>
        </w:rPr>
        <w:t>, 17–29 (2018).</w:t>
      </w:r>
    </w:p>
    <w:p w14:paraId="3C96870F" w14:textId="1776C0CF" w:rsidR="00A665F9" w:rsidRPr="00A665F9" w:rsidRDefault="00A665F9" w:rsidP="00151A91">
      <w:pPr>
        <w:rPr>
          <w:noProof/>
        </w:rPr>
      </w:pPr>
      <w:r w:rsidRPr="00A665F9">
        <w:rPr>
          <w:noProof/>
        </w:rPr>
        <w:t>3.</w:t>
      </w:r>
      <w:r w:rsidRPr="00A665F9">
        <w:rPr>
          <w:noProof/>
        </w:rPr>
        <w:tab/>
        <w:t xml:space="preserve">Zhou, H. </w:t>
      </w:r>
      <w:r w:rsidRPr="008B3EBC">
        <w:rPr>
          <w:noProof/>
        </w:rPr>
        <w:t>et al.</w:t>
      </w:r>
      <w:r w:rsidRPr="00A665F9">
        <w:rPr>
          <w:noProof/>
        </w:rPr>
        <w:t xml:space="preserve"> Injectable biomaterials for translational medicine. </w:t>
      </w:r>
      <w:r w:rsidRPr="00A665F9">
        <w:rPr>
          <w:i/>
          <w:iCs/>
          <w:noProof/>
        </w:rPr>
        <w:t>Materials Today</w:t>
      </w:r>
      <w:r w:rsidR="008B3EBC">
        <w:rPr>
          <w:i/>
          <w:iCs/>
          <w:noProof/>
        </w:rPr>
        <w:t>.</w:t>
      </w:r>
      <w:r w:rsidRPr="00A665F9">
        <w:rPr>
          <w:noProof/>
        </w:rPr>
        <w:t xml:space="preserve"> </w:t>
      </w:r>
      <w:r w:rsidRPr="00A665F9">
        <w:rPr>
          <w:b/>
          <w:bCs/>
          <w:noProof/>
        </w:rPr>
        <w:t>28</w:t>
      </w:r>
      <w:r w:rsidRPr="00A665F9">
        <w:rPr>
          <w:noProof/>
        </w:rPr>
        <w:t>, 81–97 (2019).</w:t>
      </w:r>
    </w:p>
    <w:p w14:paraId="75C80C4F" w14:textId="5C715350" w:rsidR="00A665F9" w:rsidRPr="00A665F9" w:rsidRDefault="00A665F9" w:rsidP="00151A91">
      <w:pPr>
        <w:rPr>
          <w:noProof/>
        </w:rPr>
      </w:pPr>
      <w:r w:rsidRPr="00A665F9">
        <w:rPr>
          <w:noProof/>
        </w:rPr>
        <w:t>4.</w:t>
      </w:r>
      <w:r w:rsidRPr="00A665F9">
        <w:rPr>
          <w:noProof/>
        </w:rPr>
        <w:tab/>
        <w:t>Alves, H. L. R., dos Santos, L. A.</w:t>
      </w:r>
      <w:r w:rsidR="008B3EBC">
        <w:rPr>
          <w:noProof/>
        </w:rPr>
        <w:t xml:space="preserve">, </w:t>
      </w:r>
      <w:r w:rsidRPr="00A665F9">
        <w:rPr>
          <w:noProof/>
        </w:rPr>
        <w:t xml:space="preserve">Bergmann, C. P. Injectability evaluation of tricalcium phosphate bone cement. </w:t>
      </w:r>
      <w:r w:rsidRPr="00A665F9">
        <w:rPr>
          <w:i/>
          <w:iCs/>
          <w:noProof/>
        </w:rPr>
        <w:t>Journal of Materials Science: Materials in Medicine</w:t>
      </w:r>
      <w:r w:rsidR="008B3EBC">
        <w:rPr>
          <w:i/>
          <w:iCs/>
          <w:noProof/>
        </w:rPr>
        <w:t>.</w:t>
      </w:r>
      <w:r w:rsidRPr="00A665F9">
        <w:rPr>
          <w:noProof/>
        </w:rPr>
        <w:t xml:space="preserve"> </w:t>
      </w:r>
      <w:r w:rsidRPr="00A665F9">
        <w:rPr>
          <w:b/>
          <w:bCs/>
          <w:noProof/>
        </w:rPr>
        <w:t>19</w:t>
      </w:r>
      <w:r w:rsidRPr="00A665F9">
        <w:rPr>
          <w:noProof/>
        </w:rPr>
        <w:t>, 2241–2246 (2008).</w:t>
      </w:r>
    </w:p>
    <w:p w14:paraId="168D25F1" w14:textId="47388F93" w:rsidR="00A665F9" w:rsidRPr="00A665F9" w:rsidRDefault="00A665F9" w:rsidP="00151A91">
      <w:pPr>
        <w:rPr>
          <w:noProof/>
        </w:rPr>
      </w:pPr>
      <w:r w:rsidRPr="00A665F9">
        <w:rPr>
          <w:noProof/>
        </w:rPr>
        <w:t>5.</w:t>
      </w:r>
      <w:r w:rsidRPr="00A665F9">
        <w:rPr>
          <w:noProof/>
        </w:rPr>
        <w:tab/>
        <w:t>Yu, L.</w:t>
      </w:r>
      <w:r w:rsidR="008B3EBC">
        <w:rPr>
          <w:noProof/>
        </w:rPr>
        <w:t xml:space="preserve">, </w:t>
      </w:r>
      <w:r w:rsidRPr="00A665F9">
        <w:rPr>
          <w:noProof/>
        </w:rPr>
        <w:t xml:space="preserve">Ding, J. Injectable hydrogels as unique biomedical materials. </w:t>
      </w:r>
      <w:r w:rsidRPr="00A665F9">
        <w:rPr>
          <w:i/>
          <w:iCs/>
          <w:noProof/>
        </w:rPr>
        <w:t>Chemical Society Reviews</w:t>
      </w:r>
      <w:r w:rsidR="008B3EBC">
        <w:rPr>
          <w:i/>
          <w:iCs/>
          <w:noProof/>
        </w:rPr>
        <w:t>.</w:t>
      </w:r>
      <w:r w:rsidRPr="00A665F9">
        <w:rPr>
          <w:noProof/>
        </w:rPr>
        <w:t xml:space="preserve"> </w:t>
      </w:r>
      <w:r w:rsidRPr="00A665F9">
        <w:rPr>
          <w:b/>
          <w:bCs/>
          <w:noProof/>
        </w:rPr>
        <w:t>37</w:t>
      </w:r>
      <w:r w:rsidRPr="00A665F9">
        <w:rPr>
          <w:noProof/>
        </w:rPr>
        <w:t>, 1473 (2008).</w:t>
      </w:r>
    </w:p>
    <w:p w14:paraId="3FF5501D" w14:textId="6F088C0E" w:rsidR="00A665F9" w:rsidRPr="00A665F9" w:rsidRDefault="00A665F9" w:rsidP="00151A91">
      <w:pPr>
        <w:rPr>
          <w:noProof/>
        </w:rPr>
      </w:pPr>
      <w:r w:rsidRPr="00A665F9">
        <w:rPr>
          <w:noProof/>
        </w:rPr>
        <w:t>6.</w:t>
      </w:r>
      <w:r w:rsidRPr="00A665F9">
        <w:rPr>
          <w:noProof/>
        </w:rPr>
        <w:tab/>
        <w:t>Pawelec, K. M.</w:t>
      </w:r>
      <w:r w:rsidR="008B3EBC">
        <w:rPr>
          <w:noProof/>
        </w:rPr>
        <w:t xml:space="preserve">, </w:t>
      </w:r>
      <w:r w:rsidRPr="00A665F9">
        <w:rPr>
          <w:noProof/>
        </w:rPr>
        <w:t xml:space="preserve">Planell, J. A. </w:t>
      </w:r>
      <w:r w:rsidRPr="00A665F9">
        <w:rPr>
          <w:i/>
          <w:iCs/>
          <w:noProof/>
        </w:rPr>
        <w:t xml:space="preserve">Bone </w:t>
      </w:r>
      <w:r w:rsidR="008B3EBC">
        <w:rPr>
          <w:i/>
          <w:iCs/>
          <w:noProof/>
        </w:rPr>
        <w:t>R</w:t>
      </w:r>
      <w:r w:rsidRPr="00A665F9">
        <w:rPr>
          <w:i/>
          <w:iCs/>
          <w:noProof/>
        </w:rPr>
        <w:t xml:space="preserve">epair </w:t>
      </w:r>
      <w:r w:rsidR="008B3EBC">
        <w:rPr>
          <w:i/>
          <w:iCs/>
          <w:noProof/>
        </w:rPr>
        <w:t>B</w:t>
      </w:r>
      <w:r w:rsidRPr="00A665F9">
        <w:rPr>
          <w:i/>
          <w:iCs/>
          <w:noProof/>
        </w:rPr>
        <w:t xml:space="preserve">iomaterials : </w:t>
      </w:r>
      <w:r w:rsidR="008B3EBC">
        <w:rPr>
          <w:i/>
          <w:iCs/>
          <w:noProof/>
        </w:rPr>
        <w:t>R</w:t>
      </w:r>
      <w:r w:rsidRPr="00A665F9">
        <w:rPr>
          <w:i/>
          <w:iCs/>
          <w:noProof/>
        </w:rPr>
        <w:t xml:space="preserve">egeneration and </w:t>
      </w:r>
      <w:r w:rsidR="008B3EBC">
        <w:rPr>
          <w:i/>
          <w:iCs/>
          <w:noProof/>
        </w:rPr>
        <w:t>C</w:t>
      </w:r>
      <w:r w:rsidRPr="00A665F9">
        <w:rPr>
          <w:i/>
          <w:iCs/>
          <w:noProof/>
        </w:rPr>
        <w:t xml:space="preserve">linical </w:t>
      </w:r>
      <w:r w:rsidR="008B3EBC">
        <w:rPr>
          <w:i/>
          <w:iCs/>
          <w:noProof/>
        </w:rPr>
        <w:t>A</w:t>
      </w:r>
      <w:r w:rsidRPr="00A665F9">
        <w:rPr>
          <w:i/>
          <w:iCs/>
          <w:noProof/>
        </w:rPr>
        <w:t>pplications</w:t>
      </w:r>
      <w:r w:rsidRPr="00A665F9">
        <w:rPr>
          <w:noProof/>
        </w:rPr>
        <w:t xml:space="preserve">. </w:t>
      </w:r>
      <w:r w:rsidR="008B3EBC">
        <w:rPr>
          <w:noProof/>
        </w:rPr>
        <w:t xml:space="preserve">Elseiver, Woodhead Publishing </w:t>
      </w:r>
      <w:r w:rsidRPr="00A665F9">
        <w:rPr>
          <w:noProof/>
        </w:rPr>
        <w:t>(2019).</w:t>
      </w:r>
    </w:p>
    <w:p w14:paraId="410F3FE7" w14:textId="35827670" w:rsidR="00A665F9" w:rsidRPr="00A665F9" w:rsidRDefault="00A665F9" w:rsidP="00151A91">
      <w:pPr>
        <w:rPr>
          <w:noProof/>
        </w:rPr>
      </w:pPr>
      <w:r w:rsidRPr="00A665F9">
        <w:rPr>
          <w:noProof/>
        </w:rPr>
        <w:t>7.</w:t>
      </w:r>
      <w:r w:rsidRPr="00A665F9">
        <w:rPr>
          <w:noProof/>
        </w:rPr>
        <w:tab/>
        <w:t xml:space="preserve">Fernandez de Grado, G. </w:t>
      </w:r>
      <w:r w:rsidRPr="008B3EBC">
        <w:rPr>
          <w:noProof/>
        </w:rPr>
        <w:t>et al.</w:t>
      </w:r>
      <w:r w:rsidRPr="00A665F9">
        <w:rPr>
          <w:noProof/>
        </w:rPr>
        <w:t xml:space="preserve"> Bone substitutes: a review of their characteristics, clinical use, and perspectives for large bone defects management. </w:t>
      </w:r>
      <w:r w:rsidRPr="00A665F9">
        <w:rPr>
          <w:i/>
          <w:iCs/>
          <w:noProof/>
        </w:rPr>
        <w:t>Journal of Tissue Engineering</w:t>
      </w:r>
      <w:r w:rsidR="008B3EBC">
        <w:rPr>
          <w:i/>
          <w:iCs/>
          <w:noProof/>
        </w:rPr>
        <w:t>.</w:t>
      </w:r>
      <w:r w:rsidRPr="00A665F9">
        <w:rPr>
          <w:noProof/>
        </w:rPr>
        <w:t xml:space="preserve"> </w:t>
      </w:r>
      <w:r w:rsidRPr="00A665F9">
        <w:rPr>
          <w:b/>
          <w:bCs/>
          <w:noProof/>
        </w:rPr>
        <w:t>9</w:t>
      </w:r>
      <w:r w:rsidRPr="00A665F9">
        <w:rPr>
          <w:noProof/>
        </w:rPr>
        <w:t>, 204173141877681 (2018).</w:t>
      </w:r>
    </w:p>
    <w:p w14:paraId="011352D2" w14:textId="4488D34C" w:rsidR="00A665F9" w:rsidRPr="00A665F9" w:rsidRDefault="00A665F9" w:rsidP="00151A91">
      <w:pPr>
        <w:rPr>
          <w:noProof/>
        </w:rPr>
      </w:pPr>
      <w:r w:rsidRPr="00A665F9">
        <w:rPr>
          <w:noProof/>
        </w:rPr>
        <w:t>8.</w:t>
      </w:r>
      <w:r w:rsidRPr="00A665F9">
        <w:rPr>
          <w:noProof/>
        </w:rPr>
        <w:tab/>
        <w:t xml:space="preserve">Robinson, T. E. </w:t>
      </w:r>
      <w:r w:rsidRPr="008B3EBC">
        <w:rPr>
          <w:noProof/>
        </w:rPr>
        <w:t>et al.</w:t>
      </w:r>
      <w:r w:rsidRPr="00A665F9">
        <w:rPr>
          <w:noProof/>
        </w:rPr>
        <w:t xml:space="preserve"> Filling the Gap: A Correlation between Objective and Subjective Measures of Injectability. </w:t>
      </w:r>
      <w:r w:rsidRPr="00A665F9">
        <w:rPr>
          <w:i/>
          <w:iCs/>
          <w:noProof/>
        </w:rPr>
        <w:t>Advanced Healthcare Materials</w:t>
      </w:r>
      <w:r w:rsidR="008B3EBC">
        <w:rPr>
          <w:i/>
          <w:iCs/>
          <w:noProof/>
        </w:rPr>
        <w:t>.</w:t>
      </w:r>
      <w:r w:rsidRPr="00A665F9">
        <w:rPr>
          <w:noProof/>
        </w:rPr>
        <w:t xml:space="preserve"> 1901521 (2020) </w:t>
      </w:r>
    </w:p>
    <w:p w14:paraId="5D5CE3DB" w14:textId="7CBFC880" w:rsidR="00A665F9" w:rsidRPr="00A665F9" w:rsidRDefault="00A665F9" w:rsidP="00151A91">
      <w:pPr>
        <w:rPr>
          <w:noProof/>
        </w:rPr>
      </w:pPr>
      <w:r w:rsidRPr="00A665F9">
        <w:rPr>
          <w:noProof/>
        </w:rPr>
        <w:t>9.</w:t>
      </w:r>
      <w:r w:rsidRPr="00A665F9">
        <w:rPr>
          <w:noProof/>
        </w:rPr>
        <w:tab/>
        <w:t xml:space="preserve">O’Neill, R. </w:t>
      </w:r>
      <w:r w:rsidRPr="00C360C2">
        <w:rPr>
          <w:noProof/>
        </w:rPr>
        <w:t>et al.</w:t>
      </w:r>
      <w:r w:rsidRPr="00A665F9">
        <w:rPr>
          <w:noProof/>
        </w:rPr>
        <w:t xml:space="preserve"> Critical review: Injectability of calcium phosphate pastes and cements. </w:t>
      </w:r>
      <w:r w:rsidRPr="00A665F9">
        <w:rPr>
          <w:i/>
          <w:iCs/>
          <w:noProof/>
        </w:rPr>
        <w:t>Acta Biomaterialia</w:t>
      </w:r>
      <w:r w:rsidR="00C360C2">
        <w:rPr>
          <w:i/>
          <w:iCs/>
          <w:noProof/>
        </w:rPr>
        <w:t>.</w:t>
      </w:r>
      <w:r w:rsidRPr="00A665F9">
        <w:rPr>
          <w:noProof/>
        </w:rPr>
        <w:t xml:space="preserve"> </w:t>
      </w:r>
      <w:r w:rsidRPr="00A665F9">
        <w:rPr>
          <w:b/>
          <w:bCs/>
          <w:noProof/>
        </w:rPr>
        <w:t>50</w:t>
      </w:r>
      <w:r w:rsidRPr="00A665F9">
        <w:rPr>
          <w:noProof/>
        </w:rPr>
        <w:t>, 1–19 (2017).</w:t>
      </w:r>
    </w:p>
    <w:p w14:paraId="4F9E30C9" w14:textId="1ED3F920" w:rsidR="00A665F9" w:rsidRPr="00A665F9" w:rsidRDefault="00A665F9" w:rsidP="00151A91">
      <w:pPr>
        <w:rPr>
          <w:noProof/>
        </w:rPr>
      </w:pPr>
      <w:r w:rsidRPr="00A665F9">
        <w:rPr>
          <w:noProof/>
        </w:rPr>
        <w:t>10.</w:t>
      </w:r>
      <w:r w:rsidRPr="00A665F9">
        <w:rPr>
          <w:noProof/>
        </w:rPr>
        <w:tab/>
        <w:t xml:space="preserve">Gantar, A. </w:t>
      </w:r>
      <w:r w:rsidRPr="00C360C2">
        <w:rPr>
          <w:noProof/>
        </w:rPr>
        <w:t>et al.</w:t>
      </w:r>
      <w:r w:rsidRPr="00A665F9">
        <w:rPr>
          <w:noProof/>
        </w:rPr>
        <w:t xml:space="preserve"> I</w:t>
      </w:r>
      <w:bookmarkStart w:id="2" w:name="_GoBack"/>
      <w:bookmarkEnd w:id="2"/>
      <w:r w:rsidRPr="00A665F9">
        <w:rPr>
          <w:noProof/>
        </w:rPr>
        <w:t xml:space="preserve">njectable and self-healing dynamic hydrogel containing bioactive glass nanoparticles as a potential biomaterial for bone regeneration. </w:t>
      </w:r>
      <w:r w:rsidRPr="00A665F9">
        <w:rPr>
          <w:i/>
          <w:iCs/>
          <w:noProof/>
        </w:rPr>
        <w:t>RSC Advances</w:t>
      </w:r>
      <w:r w:rsidR="00C360C2">
        <w:rPr>
          <w:i/>
          <w:iCs/>
          <w:noProof/>
        </w:rPr>
        <w:t>.</w:t>
      </w:r>
      <w:r w:rsidRPr="00A665F9">
        <w:rPr>
          <w:noProof/>
        </w:rPr>
        <w:t xml:space="preserve"> </w:t>
      </w:r>
      <w:r w:rsidRPr="00A665F9">
        <w:rPr>
          <w:b/>
          <w:bCs/>
          <w:noProof/>
        </w:rPr>
        <w:t>6</w:t>
      </w:r>
      <w:r w:rsidRPr="00A665F9">
        <w:rPr>
          <w:noProof/>
        </w:rPr>
        <w:t>, 69156–69166 (2016).</w:t>
      </w:r>
    </w:p>
    <w:p w14:paraId="02C2675D" w14:textId="269AE446" w:rsidR="00A665F9" w:rsidRPr="00A665F9" w:rsidRDefault="00A665F9" w:rsidP="00151A91">
      <w:pPr>
        <w:rPr>
          <w:noProof/>
        </w:rPr>
      </w:pPr>
      <w:r w:rsidRPr="00A665F9">
        <w:rPr>
          <w:noProof/>
        </w:rPr>
        <w:t>11.</w:t>
      </w:r>
      <w:r w:rsidRPr="00A665F9">
        <w:rPr>
          <w:noProof/>
        </w:rPr>
        <w:tab/>
        <w:t>Ramin, M. A., Latxague, L., Sindhu, K. R., Chassande, O.</w:t>
      </w:r>
      <w:r w:rsidR="00C360C2">
        <w:rPr>
          <w:noProof/>
        </w:rPr>
        <w:t>,</w:t>
      </w:r>
      <w:r w:rsidRPr="00A665F9">
        <w:rPr>
          <w:noProof/>
        </w:rPr>
        <w:t xml:space="preserve"> Barthélémy, P. Low molecular weight hydrogels derived from urea based-bolaamphiphiles as new injectable biomaterials. </w:t>
      </w:r>
      <w:r w:rsidRPr="00A665F9">
        <w:rPr>
          <w:i/>
          <w:iCs/>
          <w:noProof/>
        </w:rPr>
        <w:t>Biomaterials</w:t>
      </w:r>
      <w:r w:rsidR="00C360C2">
        <w:rPr>
          <w:i/>
          <w:iCs/>
          <w:noProof/>
        </w:rPr>
        <w:t>.</w:t>
      </w:r>
      <w:r w:rsidRPr="00A665F9">
        <w:rPr>
          <w:noProof/>
        </w:rPr>
        <w:t xml:space="preserve"> </w:t>
      </w:r>
      <w:r w:rsidRPr="00A665F9">
        <w:rPr>
          <w:b/>
          <w:bCs/>
          <w:noProof/>
        </w:rPr>
        <w:t>145</w:t>
      </w:r>
      <w:r w:rsidRPr="00A665F9">
        <w:rPr>
          <w:noProof/>
        </w:rPr>
        <w:t>, 72–80 (2017).</w:t>
      </w:r>
    </w:p>
    <w:p w14:paraId="7704142D" w14:textId="0257B53F" w:rsidR="00A665F9" w:rsidRPr="00A665F9" w:rsidRDefault="00A665F9" w:rsidP="00151A91">
      <w:pPr>
        <w:rPr>
          <w:noProof/>
        </w:rPr>
      </w:pPr>
      <w:r w:rsidRPr="00A665F9">
        <w:rPr>
          <w:noProof/>
        </w:rPr>
        <w:t>12.</w:t>
      </w:r>
      <w:r w:rsidRPr="00A665F9">
        <w:rPr>
          <w:noProof/>
        </w:rPr>
        <w:tab/>
        <w:t>Ren, K., He, C., Xiao, C., Li, G.</w:t>
      </w:r>
      <w:r w:rsidR="00C360C2">
        <w:rPr>
          <w:noProof/>
        </w:rPr>
        <w:t xml:space="preserve">, </w:t>
      </w:r>
      <w:r w:rsidRPr="00A665F9">
        <w:rPr>
          <w:noProof/>
        </w:rPr>
        <w:t xml:space="preserve">Chen, X. Injectable glycopolypeptide hydrogels as biomimetic scaffolds for cartilage tissue engineering. </w:t>
      </w:r>
      <w:r w:rsidRPr="00A665F9">
        <w:rPr>
          <w:i/>
          <w:iCs/>
          <w:noProof/>
        </w:rPr>
        <w:t>Biomaterials</w:t>
      </w:r>
      <w:r w:rsidR="00C360C2">
        <w:rPr>
          <w:i/>
          <w:iCs/>
          <w:noProof/>
        </w:rPr>
        <w:t>.</w:t>
      </w:r>
      <w:r w:rsidRPr="00A665F9">
        <w:rPr>
          <w:noProof/>
        </w:rPr>
        <w:t xml:space="preserve"> </w:t>
      </w:r>
      <w:r w:rsidRPr="00A665F9">
        <w:rPr>
          <w:b/>
          <w:bCs/>
          <w:noProof/>
        </w:rPr>
        <w:t>51</w:t>
      </w:r>
      <w:r w:rsidRPr="00A665F9">
        <w:rPr>
          <w:noProof/>
        </w:rPr>
        <w:t>, 238–249 (2015).</w:t>
      </w:r>
    </w:p>
    <w:p w14:paraId="728707CB" w14:textId="06CAA79E" w:rsidR="00A665F9" w:rsidRPr="00A665F9" w:rsidRDefault="00A665F9" w:rsidP="00151A91">
      <w:pPr>
        <w:rPr>
          <w:noProof/>
        </w:rPr>
      </w:pPr>
      <w:r w:rsidRPr="00A665F9">
        <w:rPr>
          <w:noProof/>
        </w:rPr>
        <w:t>13.</w:t>
      </w:r>
      <w:r w:rsidRPr="00A665F9">
        <w:rPr>
          <w:noProof/>
        </w:rPr>
        <w:tab/>
        <w:t xml:space="preserve">Burckbuchler, V. </w:t>
      </w:r>
      <w:r w:rsidRPr="00C360C2">
        <w:rPr>
          <w:noProof/>
        </w:rPr>
        <w:t>et al.</w:t>
      </w:r>
      <w:r w:rsidRPr="00A665F9">
        <w:rPr>
          <w:noProof/>
        </w:rPr>
        <w:t xml:space="preserve"> Rheological and syringeability properties of highly concentrated </w:t>
      </w:r>
      <w:r w:rsidRPr="00A665F9">
        <w:rPr>
          <w:noProof/>
        </w:rPr>
        <w:lastRenderedPageBreak/>
        <w:t xml:space="preserve">human polyclonal immunoglobulin solutions. </w:t>
      </w:r>
      <w:r w:rsidRPr="00A665F9">
        <w:rPr>
          <w:i/>
          <w:iCs/>
          <w:noProof/>
        </w:rPr>
        <w:t>European Journal of Pharmaceutics and Biopharmaceutics</w:t>
      </w:r>
      <w:r w:rsidR="00C360C2">
        <w:rPr>
          <w:i/>
          <w:iCs/>
          <w:noProof/>
        </w:rPr>
        <w:t>.</w:t>
      </w:r>
      <w:r w:rsidRPr="00A665F9">
        <w:rPr>
          <w:noProof/>
        </w:rPr>
        <w:t xml:space="preserve"> </w:t>
      </w:r>
      <w:r w:rsidRPr="00A665F9">
        <w:rPr>
          <w:b/>
          <w:bCs/>
          <w:noProof/>
        </w:rPr>
        <w:t>76</w:t>
      </w:r>
      <w:r w:rsidRPr="00A665F9">
        <w:rPr>
          <w:noProof/>
        </w:rPr>
        <w:t>, 351–356 (2010).</w:t>
      </w:r>
    </w:p>
    <w:p w14:paraId="4142FAD8" w14:textId="4727813C" w:rsidR="00A665F9" w:rsidRPr="00A665F9" w:rsidRDefault="00A665F9" w:rsidP="00151A91">
      <w:pPr>
        <w:rPr>
          <w:noProof/>
        </w:rPr>
      </w:pPr>
      <w:r w:rsidRPr="00A665F9">
        <w:rPr>
          <w:noProof/>
        </w:rPr>
        <w:t>14.</w:t>
      </w:r>
      <w:r w:rsidRPr="00A665F9">
        <w:rPr>
          <w:noProof/>
        </w:rPr>
        <w:tab/>
        <w:t xml:space="preserve">Allmendinger, A. </w:t>
      </w:r>
      <w:r w:rsidRPr="00C360C2">
        <w:rPr>
          <w:noProof/>
        </w:rPr>
        <w:t>et al.</w:t>
      </w:r>
      <w:r w:rsidRPr="00A665F9">
        <w:rPr>
          <w:noProof/>
        </w:rPr>
        <w:t xml:space="preserve"> Rheological characterization and injection forces of concentrated protein formulations: An alternative predictive model for non-Newtonian solutions. </w:t>
      </w:r>
      <w:r w:rsidRPr="00A665F9">
        <w:rPr>
          <w:i/>
          <w:iCs/>
          <w:noProof/>
        </w:rPr>
        <w:t>European Journal of Pharmaceutics and Biopharmaceutics</w:t>
      </w:r>
      <w:r w:rsidR="00C360C2">
        <w:rPr>
          <w:i/>
          <w:iCs/>
          <w:noProof/>
        </w:rPr>
        <w:t>.</w:t>
      </w:r>
      <w:r w:rsidRPr="00A665F9">
        <w:rPr>
          <w:noProof/>
        </w:rPr>
        <w:t xml:space="preserve"> </w:t>
      </w:r>
      <w:r w:rsidRPr="00A665F9">
        <w:rPr>
          <w:b/>
          <w:bCs/>
          <w:noProof/>
        </w:rPr>
        <w:t>87</w:t>
      </w:r>
      <w:r w:rsidRPr="00A665F9">
        <w:rPr>
          <w:noProof/>
        </w:rPr>
        <w:t>, 318–328 (2014).</w:t>
      </w:r>
    </w:p>
    <w:p w14:paraId="419E134D" w14:textId="1103B131" w:rsidR="00A665F9" w:rsidRPr="00A665F9" w:rsidRDefault="00A665F9" w:rsidP="00151A91">
      <w:pPr>
        <w:rPr>
          <w:noProof/>
        </w:rPr>
      </w:pPr>
      <w:r w:rsidRPr="00A665F9">
        <w:rPr>
          <w:noProof/>
        </w:rPr>
        <w:t>15.</w:t>
      </w:r>
      <w:r w:rsidRPr="00A665F9">
        <w:rPr>
          <w:noProof/>
        </w:rPr>
        <w:tab/>
        <w:t xml:space="preserve">Davison, P. F. The Effect of Hydrodynamic Shear on the Deoxyribonucleic Acid from T2 and T4 Bacteriophages. </w:t>
      </w:r>
      <w:r w:rsidRPr="00A665F9">
        <w:rPr>
          <w:i/>
          <w:iCs/>
          <w:noProof/>
        </w:rPr>
        <w:t>Proceedings of the National Academy of Sciences of the United States of America</w:t>
      </w:r>
      <w:r w:rsidR="00C360C2">
        <w:rPr>
          <w:i/>
          <w:iCs/>
          <w:noProof/>
        </w:rPr>
        <w:t>.</w:t>
      </w:r>
      <w:r w:rsidRPr="00A665F9">
        <w:rPr>
          <w:noProof/>
        </w:rPr>
        <w:t xml:space="preserve"> </w:t>
      </w:r>
      <w:r w:rsidRPr="00A665F9">
        <w:rPr>
          <w:b/>
          <w:bCs/>
          <w:noProof/>
        </w:rPr>
        <w:t>45</w:t>
      </w:r>
      <w:r w:rsidRPr="00A665F9">
        <w:rPr>
          <w:noProof/>
        </w:rPr>
        <w:t>, 1560–1568 (1959).</w:t>
      </w:r>
    </w:p>
    <w:p w14:paraId="68573ADA" w14:textId="2E2B9C22" w:rsidR="00A665F9" w:rsidRPr="00A665F9" w:rsidRDefault="00A665F9" w:rsidP="00151A91">
      <w:pPr>
        <w:rPr>
          <w:noProof/>
        </w:rPr>
      </w:pPr>
      <w:r w:rsidRPr="00A665F9">
        <w:rPr>
          <w:noProof/>
        </w:rPr>
        <w:t>16.</w:t>
      </w:r>
      <w:r w:rsidRPr="00A665F9">
        <w:rPr>
          <w:noProof/>
        </w:rPr>
        <w:tab/>
        <w:t xml:space="preserve">Chen, M. H. </w:t>
      </w:r>
      <w:r w:rsidRPr="00C360C2">
        <w:rPr>
          <w:noProof/>
        </w:rPr>
        <w:t>et al.</w:t>
      </w:r>
      <w:r w:rsidRPr="00A665F9">
        <w:rPr>
          <w:noProof/>
        </w:rPr>
        <w:t xml:space="preserve"> Methods to Assess Shear-Thinning Hydrogels for Application As Injectable Biomaterials. </w:t>
      </w:r>
      <w:r w:rsidRPr="00A665F9">
        <w:rPr>
          <w:i/>
          <w:iCs/>
          <w:noProof/>
        </w:rPr>
        <w:t>ACS Biomaterials Science and Engineering</w:t>
      </w:r>
      <w:r w:rsidR="00C360C2">
        <w:rPr>
          <w:i/>
          <w:iCs/>
          <w:noProof/>
        </w:rPr>
        <w:t>.</w:t>
      </w:r>
      <w:r w:rsidRPr="00A665F9">
        <w:rPr>
          <w:noProof/>
        </w:rPr>
        <w:t xml:space="preserve"> </w:t>
      </w:r>
      <w:r w:rsidRPr="00A665F9">
        <w:rPr>
          <w:b/>
          <w:bCs/>
          <w:noProof/>
        </w:rPr>
        <w:t>3</w:t>
      </w:r>
      <w:r w:rsidRPr="00A665F9">
        <w:rPr>
          <w:noProof/>
        </w:rPr>
        <w:t>, 3146–3160 (2017).</w:t>
      </w:r>
    </w:p>
    <w:p w14:paraId="75799AC7" w14:textId="55CB35BA" w:rsidR="00A665F9" w:rsidRPr="00A665F9" w:rsidRDefault="00A665F9" w:rsidP="00151A91">
      <w:pPr>
        <w:rPr>
          <w:noProof/>
        </w:rPr>
      </w:pPr>
      <w:r w:rsidRPr="00A665F9">
        <w:rPr>
          <w:noProof/>
        </w:rPr>
        <w:t>17.</w:t>
      </w:r>
      <w:r w:rsidRPr="00A665F9">
        <w:rPr>
          <w:noProof/>
        </w:rPr>
        <w:tab/>
        <w:t xml:space="preserve">Krebs, J. </w:t>
      </w:r>
      <w:r w:rsidRPr="00C360C2">
        <w:rPr>
          <w:noProof/>
        </w:rPr>
        <w:t>et al.</w:t>
      </w:r>
      <w:r w:rsidRPr="00A665F9">
        <w:rPr>
          <w:noProof/>
        </w:rPr>
        <w:t xml:space="preserve"> Clinical measurements of cement injection pressure during vertebroplasty. </w:t>
      </w:r>
      <w:r w:rsidRPr="00A665F9">
        <w:rPr>
          <w:i/>
          <w:iCs/>
          <w:noProof/>
        </w:rPr>
        <w:t>Spine</w:t>
      </w:r>
      <w:r w:rsidR="00C360C2">
        <w:rPr>
          <w:i/>
          <w:iCs/>
          <w:noProof/>
        </w:rPr>
        <w:t>.</w:t>
      </w:r>
      <w:r w:rsidRPr="00A665F9">
        <w:rPr>
          <w:noProof/>
        </w:rPr>
        <w:t xml:space="preserve"> </w:t>
      </w:r>
      <w:r w:rsidRPr="00A665F9">
        <w:rPr>
          <w:b/>
          <w:bCs/>
          <w:noProof/>
        </w:rPr>
        <w:t>30</w:t>
      </w:r>
      <w:r w:rsidRPr="00A665F9">
        <w:rPr>
          <w:noProof/>
        </w:rPr>
        <w:t>, (2005).</w:t>
      </w:r>
    </w:p>
    <w:p w14:paraId="5533BF79" w14:textId="610D6D7E" w:rsidR="00A665F9" w:rsidRPr="00A665F9" w:rsidRDefault="00A665F9" w:rsidP="00151A91">
      <w:pPr>
        <w:rPr>
          <w:noProof/>
        </w:rPr>
      </w:pPr>
      <w:r w:rsidRPr="00A665F9">
        <w:rPr>
          <w:noProof/>
        </w:rPr>
        <w:t>18.</w:t>
      </w:r>
      <w:r w:rsidRPr="00A665F9">
        <w:rPr>
          <w:noProof/>
        </w:rPr>
        <w:tab/>
        <w:t>Bohner, M.</w:t>
      </w:r>
      <w:r w:rsidR="00C360C2">
        <w:rPr>
          <w:noProof/>
        </w:rPr>
        <w:t>,</w:t>
      </w:r>
      <w:r w:rsidRPr="00A665F9">
        <w:rPr>
          <w:noProof/>
        </w:rPr>
        <w:t xml:space="preserve"> Baroud, G. Injectability of calcium phosphate pastes. </w:t>
      </w:r>
      <w:r w:rsidRPr="00A665F9">
        <w:rPr>
          <w:i/>
          <w:iCs/>
          <w:noProof/>
        </w:rPr>
        <w:t>Biomaterials</w:t>
      </w:r>
      <w:r w:rsidR="00C360C2">
        <w:rPr>
          <w:i/>
          <w:iCs/>
          <w:noProof/>
        </w:rPr>
        <w:t>.</w:t>
      </w:r>
      <w:r w:rsidRPr="00A665F9">
        <w:rPr>
          <w:noProof/>
        </w:rPr>
        <w:t xml:space="preserve"> </w:t>
      </w:r>
      <w:r w:rsidRPr="00A665F9">
        <w:rPr>
          <w:b/>
          <w:bCs/>
          <w:noProof/>
        </w:rPr>
        <w:t>26</w:t>
      </w:r>
      <w:r w:rsidRPr="00A665F9">
        <w:rPr>
          <w:noProof/>
        </w:rPr>
        <w:t>, 1553–1563 (2005).</w:t>
      </w:r>
    </w:p>
    <w:p w14:paraId="3D457679" w14:textId="5847EDEA" w:rsidR="00A665F9" w:rsidRPr="00A665F9" w:rsidRDefault="00A665F9" w:rsidP="00151A91">
      <w:pPr>
        <w:rPr>
          <w:noProof/>
        </w:rPr>
      </w:pPr>
      <w:r w:rsidRPr="00A665F9">
        <w:rPr>
          <w:noProof/>
        </w:rPr>
        <w:t>19.</w:t>
      </w:r>
      <w:r w:rsidRPr="00A665F9">
        <w:rPr>
          <w:noProof/>
        </w:rPr>
        <w:tab/>
        <w:t>Gbureck, U., Barralet, J. E., Spatz, K., Grover, L. M.</w:t>
      </w:r>
      <w:r w:rsidR="00C360C2">
        <w:rPr>
          <w:noProof/>
        </w:rPr>
        <w:t>,</w:t>
      </w:r>
      <w:r w:rsidRPr="00A665F9">
        <w:rPr>
          <w:noProof/>
        </w:rPr>
        <w:t xml:space="preserve"> Thull, R. Ionic Modification of Calcium Phosphate Cement Viscosity. Part I: Hypodermic Injection and Strength Improvement of Apatite Cement. </w:t>
      </w:r>
      <w:r w:rsidRPr="00A665F9">
        <w:rPr>
          <w:i/>
          <w:iCs/>
          <w:noProof/>
        </w:rPr>
        <w:t>Biomaterials</w:t>
      </w:r>
      <w:r w:rsidR="00C360C2">
        <w:rPr>
          <w:i/>
          <w:iCs/>
          <w:noProof/>
        </w:rPr>
        <w:t>.</w:t>
      </w:r>
      <w:r w:rsidRPr="00A665F9">
        <w:rPr>
          <w:noProof/>
        </w:rPr>
        <w:t xml:space="preserve"> </w:t>
      </w:r>
      <w:r w:rsidRPr="00A665F9">
        <w:rPr>
          <w:b/>
          <w:bCs/>
          <w:noProof/>
        </w:rPr>
        <w:t>25</w:t>
      </w:r>
      <w:r w:rsidRPr="00A665F9">
        <w:rPr>
          <w:noProof/>
        </w:rPr>
        <w:t>, 2187–2195 (2004).</w:t>
      </w:r>
    </w:p>
    <w:p w14:paraId="2CDEE0EA" w14:textId="6B6839FA" w:rsidR="00A665F9" w:rsidRPr="00A665F9" w:rsidRDefault="00A665F9" w:rsidP="00151A91">
      <w:pPr>
        <w:rPr>
          <w:noProof/>
        </w:rPr>
      </w:pPr>
      <w:r w:rsidRPr="00A665F9">
        <w:rPr>
          <w:noProof/>
        </w:rPr>
        <w:t>20.</w:t>
      </w:r>
      <w:r w:rsidRPr="00A665F9">
        <w:rPr>
          <w:noProof/>
        </w:rPr>
        <w:tab/>
        <w:t>Habib, M., Baroud, G., Galea, L.</w:t>
      </w:r>
      <w:r w:rsidR="00C360C2">
        <w:rPr>
          <w:noProof/>
        </w:rPr>
        <w:t>,</w:t>
      </w:r>
      <w:r w:rsidRPr="00A665F9">
        <w:rPr>
          <w:noProof/>
        </w:rPr>
        <w:t xml:space="preserve"> Bohner, M. Evaluation of the ultrasonication process for injectability of hydraulic calcium phosphate pastes. </w:t>
      </w:r>
      <w:r w:rsidRPr="00A665F9">
        <w:rPr>
          <w:i/>
          <w:iCs/>
          <w:noProof/>
        </w:rPr>
        <w:t>Acta Biomaterialia</w:t>
      </w:r>
      <w:r w:rsidR="00C360C2">
        <w:rPr>
          <w:i/>
          <w:iCs/>
          <w:noProof/>
        </w:rPr>
        <w:t>.</w:t>
      </w:r>
      <w:r w:rsidRPr="00A665F9">
        <w:rPr>
          <w:noProof/>
        </w:rPr>
        <w:t xml:space="preserve"> </w:t>
      </w:r>
      <w:r w:rsidRPr="00A665F9">
        <w:rPr>
          <w:b/>
          <w:bCs/>
          <w:noProof/>
        </w:rPr>
        <w:t>8</w:t>
      </w:r>
      <w:r w:rsidRPr="00A665F9">
        <w:rPr>
          <w:noProof/>
        </w:rPr>
        <w:t>, 1164–1168 (2012).</w:t>
      </w:r>
    </w:p>
    <w:p w14:paraId="7D674C7E" w14:textId="1EEBD6D2" w:rsidR="00A665F9" w:rsidRPr="00A665F9" w:rsidRDefault="00A665F9" w:rsidP="00151A91">
      <w:pPr>
        <w:rPr>
          <w:noProof/>
        </w:rPr>
      </w:pPr>
      <w:r w:rsidRPr="00A665F9">
        <w:rPr>
          <w:noProof/>
        </w:rPr>
        <w:t>21.</w:t>
      </w:r>
      <w:r w:rsidRPr="00A665F9">
        <w:rPr>
          <w:noProof/>
        </w:rPr>
        <w:tab/>
        <w:t>Martin, B. C., Minner, E. J., Wiseman, S. L., Klank, R. L.</w:t>
      </w:r>
      <w:r w:rsidR="00C360C2">
        <w:rPr>
          <w:noProof/>
        </w:rPr>
        <w:t>,</w:t>
      </w:r>
      <w:r w:rsidRPr="00A665F9">
        <w:rPr>
          <w:noProof/>
        </w:rPr>
        <w:t xml:space="preserve"> Gilbert, R. J. Agarose and methylcellulose hydrogel blends for nerve regeneration applications. </w:t>
      </w:r>
      <w:r w:rsidRPr="00A665F9">
        <w:rPr>
          <w:i/>
          <w:iCs/>
          <w:noProof/>
        </w:rPr>
        <w:t>Journal of Neural Engineering</w:t>
      </w:r>
      <w:r w:rsidR="00C360C2">
        <w:rPr>
          <w:i/>
          <w:iCs/>
          <w:noProof/>
        </w:rPr>
        <w:t>.</w:t>
      </w:r>
      <w:r w:rsidRPr="00A665F9">
        <w:rPr>
          <w:noProof/>
        </w:rPr>
        <w:t xml:space="preserve"> </w:t>
      </w:r>
      <w:r w:rsidRPr="00A665F9">
        <w:rPr>
          <w:b/>
          <w:bCs/>
          <w:noProof/>
        </w:rPr>
        <w:t>5</w:t>
      </w:r>
      <w:r w:rsidRPr="00A665F9">
        <w:rPr>
          <w:noProof/>
        </w:rPr>
        <w:t>, 221–231 (2008).</w:t>
      </w:r>
    </w:p>
    <w:p w14:paraId="7EEE75A8" w14:textId="6458B11B" w:rsidR="00A665F9" w:rsidRPr="00A665F9" w:rsidRDefault="00A665F9" w:rsidP="00151A91">
      <w:pPr>
        <w:rPr>
          <w:noProof/>
        </w:rPr>
      </w:pPr>
      <w:r w:rsidRPr="00A665F9">
        <w:rPr>
          <w:noProof/>
        </w:rPr>
        <w:t>22.</w:t>
      </w:r>
      <w:r w:rsidRPr="00A665F9">
        <w:rPr>
          <w:noProof/>
        </w:rPr>
        <w:tab/>
        <w:t>Borzacchiello, A., Russo, L., Malle, B. M., Schwach-Abdellaoui, K.</w:t>
      </w:r>
      <w:r w:rsidR="00C360C2">
        <w:rPr>
          <w:noProof/>
        </w:rPr>
        <w:t xml:space="preserve">, </w:t>
      </w:r>
      <w:r w:rsidRPr="00A665F9">
        <w:rPr>
          <w:noProof/>
        </w:rPr>
        <w:t xml:space="preserve">Ambrosio, L. Hyaluronic Acid Based Hydrogels for Regenerative Medicine Applications. </w:t>
      </w:r>
      <w:r w:rsidRPr="00A665F9">
        <w:rPr>
          <w:i/>
          <w:iCs/>
          <w:noProof/>
        </w:rPr>
        <w:t xml:space="preserve">BioMed </w:t>
      </w:r>
      <w:r w:rsidR="00C360C2">
        <w:rPr>
          <w:i/>
          <w:iCs/>
          <w:noProof/>
        </w:rPr>
        <w:t>R</w:t>
      </w:r>
      <w:r w:rsidRPr="00A665F9">
        <w:rPr>
          <w:i/>
          <w:iCs/>
          <w:noProof/>
        </w:rPr>
        <w:t xml:space="preserve">esearch </w:t>
      </w:r>
      <w:r w:rsidR="00C360C2">
        <w:rPr>
          <w:i/>
          <w:iCs/>
          <w:noProof/>
        </w:rPr>
        <w:t>I</w:t>
      </w:r>
      <w:r w:rsidRPr="00A665F9">
        <w:rPr>
          <w:i/>
          <w:iCs/>
          <w:noProof/>
        </w:rPr>
        <w:t>nternational</w:t>
      </w:r>
      <w:r w:rsidR="00C360C2">
        <w:rPr>
          <w:i/>
          <w:iCs/>
          <w:noProof/>
        </w:rPr>
        <w:t>.</w:t>
      </w:r>
      <w:r w:rsidRPr="00A665F9">
        <w:rPr>
          <w:noProof/>
        </w:rPr>
        <w:t xml:space="preserve"> </w:t>
      </w:r>
      <w:r w:rsidRPr="00A665F9">
        <w:rPr>
          <w:b/>
          <w:bCs/>
          <w:noProof/>
        </w:rPr>
        <w:t>2015</w:t>
      </w:r>
      <w:r w:rsidRPr="00A665F9">
        <w:rPr>
          <w:noProof/>
        </w:rPr>
        <w:t>, 871218 (2015).</w:t>
      </w:r>
    </w:p>
    <w:p w14:paraId="1D249FDA" w14:textId="74B5E97E" w:rsidR="00A665F9" w:rsidRPr="00A665F9" w:rsidRDefault="00A665F9" w:rsidP="00151A91">
      <w:pPr>
        <w:rPr>
          <w:noProof/>
        </w:rPr>
      </w:pPr>
      <w:r w:rsidRPr="00A665F9">
        <w:rPr>
          <w:noProof/>
        </w:rPr>
        <w:t>23.</w:t>
      </w:r>
      <w:r w:rsidRPr="00A665F9">
        <w:rPr>
          <w:noProof/>
        </w:rPr>
        <w:tab/>
        <w:t>Zhao, L., Weir, M. D.</w:t>
      </w:r>
      <w:r w:rsidR="00C360C2">
        <w:rPr>
          <w:noProof/>
        </w:rPr>
        <w:t>,</w:t>
      </w:r>
      <w:r w:rsidRPr="00A665F9">
        <w:rPr>
          <w:noProof/>
        </w:rPr>
        <w:t xml:space="preserve"> Xu, H. H. K. An injectable calcium phosphate-alginate hydrogel-umbilical cord mesenchymal stem cell paste for bone tissue engineering. </w:t>
      </w:r>
      <w:r w:rsidRPr="00A665F9">
        <w:rPr>
          <w:i/>
          <w:iCs/>
          <w:noProof/>
        </w:rPr>
        <w:t>Biomaterials</w:t>
      </w:r>
      <w:r w:rsidR="00C360C2">
        <w:rPr>
          <w:i/>
          <w:iCs/>
          <w:noProof/>
        </w:rPr>
        <w:t>.</w:t>
      </w:r>
      <w:r w:rsidRPr="00A665F9">
        <w:rPr>
          <w:noProof/>
        </w:rPr>
        <w:t xml:space="preserve"> </w:t>
      </w:r>
      <w:r w:rsidRPr="00A665F9">
        <w:rPr>
          <w:b/>
          <w:bCs/>
          <w:noProof/>
        </w:rPr>
        <w:t>31</w:t>
      </w:r>
      <w:r w:rsidRPr="00A665F9">
        <w:rPr>
          <w:noProof/>
        </w:rPr>
        <w:t>, 6502–6510 (2010).</w:t>
      </w:r>
    </w:p>
    <w:p w14:paraId="21151E60" w14:textId="71E1C568" w:rsidR="00A665F9" w:rsidRPr="00A665F9" w:rsidRDefault="00A665F9" w:rsidP="00151A91">
      <w:pPr>
        <w:rPr>
          <w:noProof/>
        </w:rPr>
      </w:pPr>
      <w:r w:rsidRPr="00A665F9">
        <w:rPr>
          <w:noProof/>
        </w:rPr>
        <w:t>24.</w:t>
      </w:r>
      <w:r w:rsidRPr="00A665F9">
        <w:rPr>
          <w:noProof/>
        </w:rPr>
        <w:tab/>
        <w:t>Ji, D.-Y., Kuo, T.-F., Wu, H.-D., Yang, J.-C.</w:t>
      </w:r>
      <w:r w:rsidR="00C360C2">
        <w:rPr>
          <w:noProof/>
        </w:rPr>
        <w:t xml:space="preserve">, </w:t>
      </w:r>
      <w:r w:rsidRPr="00A665F9">
        <w:rPr>
          <w:noProof/>
        </w:rPr>
        <w:t xml:space="preserve">Lee, S.-Y. A novel injectable chitosan/polyglutamate polyelectrolyte complex hydrogel with hydroxyapatite for soft-tissue augmentation. </w:t>
      </w:r>
      <w:r w:rsidRPr="00A665F9">
        <w:rPr>
          <w:i/>
          <w:iCs/>
          <w:noProof/>
        </w:rPr>
        <w:t>Carbohydrate Polymers</w:t>
      </w:r>
      <w:r w:rsidR="00C360C2">
        <w:rPr>
          <w:i/>
          <w:iCs/>
          <w:noProof/>
        </w:rPr>
        <w:t>.</w:t>
      </w:r>
      <w:r w:rsidRPr="00A665F9">
        <w:rPr>
          <w:noProof/>
        </w:rPr>
        <w:t xml:space="preserve"> </w:t>
      </w:r>
      <w:r w:rsidRPr="00A665F9">
        <w:rPr>
          <w:b/>
          <w:bCs/>
          <w:noProof/>
        </w:rPr>
        <w:t>89</w:t>
      </w:r>
      <w:r w:rsidRPr="00A665F9">
        <w:rPr>
          <w:noProof/>
        </w:rPr>
        <w:t>, 1123–1130 (2012).</w:t>
      </w:r>
    </w:p>
    <w:p w14:paraId="423B1AD9" w14:textId="39AE31B0" w:rsidR="00A665F9" w:rsidRPr="00A665F9" w:rsidRDefault="00A665F9" w:rsidP="00151A91">
      <w:pPr>
        <w:rPr>
          <w:noProof/>
        </w:rPr>
      </w:pPr>
      <w:r w:rsidRPr="00A665F9">
        <w:rPr>
          <w:noProof/>
        </w:rPr>
        <w:t>25.</w:t>
      </w:r>
      <w:r w:rsidRPr="00A665F9">
        <w:rPr>
          <w:noProof/>
        </w:rPr>
        <w:tab/>
        <w:t>Vaishya, R., Chauhan, M.</w:t>
      </w:r>
      <w:r w:rsidR="00C360C2">
        <w:rPr>
          <w:noProof/>
        </w:rPr>
        <w:t>,</w:t>
      </w:r>
      <w:r w:rsidRPr="00A665F9">
        <w:rPr>
          <w:noProof/>
        </w:rPr>
        <w:t xml:space="preserve"> Vaish, A. Bone cement. </w:t>
      </w:r>
      <w:r w:rsidRPr="00A665F9">
        <w:rPr>
          <w:i/>
          <w:iCs/>
          <w:noProof/>
        </w:rPr>
        <w:t>Journal of Clinical Orthopaedics and Trauma</w:t>
      </w:r>
      <w:r w:rsidR="00C360C2">
        <w:rPr>
          <w:i/>
          <w:iCs/>
          <w:noProof/>
        </w:rPr>
        <w:t>.</w:t>
      </w:r>
      <w:r w:rsidRPr="00A665F9">
        <w:rPr>
          <w:noProof/>
        </w:rPr>
        <w:t xml:space="preserve"> </w:t>
      </w:r>
      <w:r w:rsidRPr="00A665F9">
        <w:rPr>
          <w:b/>
          <w:bCs/>
          <w:noProof/>
        </w:rPr>
        <w:t>4</w:t>
      </w:r>
      <w:r w:rsidRPr="00A665F9">
        <w:rPr>
          <w:noProof/>
        </w:rPr>
        <w:t>, 157–163 (2013).</w:t>
      </w:r>
    </w:p>
    <w:p w14:paraId="3898FFF2" w14:textId="50EA94E8" w:rsidR="001375AE" w:rsidRPr="00FC6506" w:rsidRDefault="001375AE" w:rsidP="00151A91">
      <w:pPr>
        <w:rPr>
          <w:rFonts w:asciiTheme="minorHAnsi" w:hAnsiTheme="minorHAnsi" w:cstheme="minorHAnsi"/>
          <w:color w:val="7F7F7F" w:themeColor="text1" w:themeTint="80"/>
        </w:rPr>
      </w:pPr>
      <w:r w:rsidRPr="00FC6506">
        <w:rPr>
          <w:rFonts w:asciiTheme="minorHAnsi" w:hAnsiTheme="minorHAnsi" w:cstheme="minorHAnsi"/>
          <w:color w:val="7F7F7F" w:themeColor="text1" w:themeTint="80"/>
        </w:rPr>
        <w:fldChar w:fldCharType="end"/>
      </w:r>
    </w:p>
    <w:sectPr w:rsidR="001375AE" w:rsidRPr="00FC6506" w:rsidSect="00B81B15">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5AADC" w14:textId="77777777" w:rsidR="0039426D" w:rsidRDefault="0039426D" w:rsidP="00621C4E">
      <w:r>
        <w:separator/>
      </w:r>
    </w:p>
  </w:endnote>
  <w:endnote w:type="continuationSeparator" w:id="0">
    <w:p w14:paraId="7586BD26" w14:textId="77777777" w:rsidR="0039426D" w:rsidRDefault="0039426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4B37D8D6" w:rsidR="003E0E6D" w:rsidRDefault="003E0E6D">
        <w:pPr>
          <w:pStyle w:val="Footer"/>
        </w:pPr>
        <w:r>
          <w:t xml:space="preserve">Page </w:t>
        </w:r>
        <w:r>
          <w:fldChar w:fldCharType="begin"/>
        </w:r>
        <w:r>
          <w:instrText xml:space="preserve"> PAGE   \* MERGEFORMAT </w:instrText>
        </w:r>
        <w:r>
          <w:fldChar w:fldCharType="separate"/>
        </w:r>
        <w:r w:rsidR="00990787">
          <w:rPr>
            <w:noProof/>
          </w:rPr>
          <w:t>2</w:t>
        </w:r>
        <w:r>
          <w:rPr>
            <w:noProof/>
          </w:rPr>
          <w:fldChar w:fldCharType="end"/>
        </w:r>
        <w:r w:rsidR="00FF5533">
          <w:rPr>
            <w:noProof/>
          </w:rPr>
          <w:t xml:space="preserve"> of 6</w:t>
        </w:r>
      </w:p>
    </w:sdtContent>
  </w:sdt>
  <w:p w14:paraId="39947363" w14:textId="71AB2B06" w:rsidR="003E0E6D" w:rsidRPr="00494F77" w:rsidRDefault="003E0E6D"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E0E6D" w:rsidRDefault="003E0E6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638C2" w14:textId="77777777" w:rsidR="0039426D" w:rsidRDefault="0039426D" w:rsidP="00621C4E">
      <w:r>
        <w:separator/>
      </w:r>
    </w:p>
  </w:footnote>
  <w:footnote w:type="continuationSeparator" w:id="0">
    <w:p w14:paraId="3B16D9AB" w14:textId="77777777" w:rsidR="0039426D" w:rsidRDefault="0039426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3E0E6D" w:rsidRPr="006F06E4" w:rsidRDefault="003E0E6D"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260DF"/>
    <w:multiLevelType w:val="hybridMultilevel"/>
    <w:tmpl w:val="44B41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9270E"/>
    <w:multiLevelType w:val="hybridMultilevel"/>
    <w:tmpl w:val="1C5C6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96AD3"/>
    <w:multiLevelType w:val="multilevel"/>
    <w:tmpl w:val="956E2692"/>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E781439"/>
    <w:multiLevelType w:val="multilevel"/>
    <w:tmpl w:val="899C90E4"/>
    <w:lvl w:ilvl="0">
      <w:start w:val="3"/>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394002E"/>
    <w:multiLevelType w:val="multilevel"/>
    <w:tmpl w:val="761EE62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3B1495D"/>
    <w:multiLevelType w:val="hybridMultilevel"/>
    <w:tmpl w:val="5050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4F2B02"/>
    <w:multiLevelType w:val="multilevel"/>
    <w:tmpl w:val="DBF01390"/>
    <w:lvl w:ilvl="0">
      <w:start w:val="1"/>
      <w:numFmt w:val="decimal"/>
      <w:suff w:val="space"/>
      <w:lvlText w:val="%1."/>
      <w:lvlJc w:val="left"/>
      <w:pPr>
        <w:ind w:left="0" w:firstLine="0"/>
      </w:pPr>
      <w:rPr>
        <w:rFonts w:asciiTheme="minorHAnsi" w:eastAsia="Times New Roman" w:hAnsiTheme="minorHAnsi" w:cstheme="minorHAnsi" w:hint="default"/>
      </w:rPr>
    </w:lvl>
    <w:lvl w:ilvl="1">
      <w:start w:val="1"/>
      <w:numFmt w:val="decimal"/>
      <w:isLgl/>
      <w:suff w:val="space"/>
      <w:lvlText w:val="%1.%2."/>
      <w:lvlJc w:val="left"/>
      <w:pPr>
        <w:ind w:left="0" w:firstLine="0"/>
      </w:pPr>
      <w:rPr>
        <w:rFonts w:hint="default"/>
      </w:rPr>
    </w:lvl>
    <w:lvl w:ilvl="2">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B6089D"/>
    <w:multiLevelType w:val="multilevel"/>
    <w:tmpl w:val="87765C7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8CF68B8"/>
    <w:multiLevelType w:val="hybridMultilevel"/>
    <w:tmpl w:val="3330211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8E6A08"/>
    <w:multiLevelType w:val="multilevel"/>
    <w:tmpl w:val="94BEAD12"/>
    <w:lvl w:ilvl="0">
      <w:start w:val="2"/>
      <w:numFmt w:val="decimal"/>
      <w:suff w:val="space"/>
      <w:lvlText w:val="%1."/>
      <w:lvlJc w:val="left"/>
      <w:pPr>
        <w:ind w:left="0" w:firstLine="0"/>
      </w:pPr>
      <w:rPr>
        <w:rFonts w:hint="default"/>
      </w:rPr>
    </w:lvl>
    <w:lvl w:ilvl="1">
      <w:start w:val="4"/>
      <w:numFmt w:val="decimal"/>
      <w:lvlText w:val="%1.%2"/>
      <w:lvlJc w:val="left"/>
      <w:pPr>
        <w:ind w:left="660" w:hanging="48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F876C9F"/>
    <w:multiLevelType w:val="hybridMultilevel"/>
    <w:tmpl w:val="A9FA5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3B218B"/>
    <w:multiLevelType w:val="multilevel"/>
    <w:tmpl w:val="5BCE8582"/>
    <w:lvl w:ilvl="0">
      <w:start w:val="1"/>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27"/>
  </w:num>
  <w:num w:numId="3">
    <w:abstractNumId w:val="6"/>
  </w:num>
  <w:num w:numId="4">
    <w:abstractNumId w:val="25"/>
  </w:num>
  <w:num w:numId="5">
    <w:abstractNumId w:val="16"/>
  </w:num>
  <w:num w:numId="6">
    <w:abstractNumId w:val="24"/>
  </w:num>
  <w:num w:numId="7">
    <w:abstractNumId w:val="0"/>
  </w:num>
  <w:num w:numId="8">
    <w:abstractNumId w:val="17"/>
  </w:num>
  <w:num w:numId="9">
    <w:abstractNumId w:val="19"/>
  </w:num>
  <w:num w:numId="10">
    <w:abstractNumId w:val="26"/>
  </w:num>
  <w:num w:numId="11">
    <w:abstractNumId w:val="30"/>
  </w:num>
  <w:num w:numId="12">
    <w:abstractNumId w:val="3"/>
  </w:num>
  <w:num w:numId="13">
    <w:abstractNumId w:val="28"/>
  </w:num>
  <w:num w:numId="14">
    <w:abstractNumId w:val="37"/>
  </w:num>
  <w:num w:numId="15">
    <w:abstractNumId w:val="20"/>
  </w:num>
  <w:num w:numId="16">
    <w:abstractNumId w:val="15"/>
  </w:num>
  <w:num w:numId="17">
    <w:abstractNumId w:val="29"/>
  </w:num>
  <w:num w:numId="18">
    <w:abstractNumId w:val="22"/>
  </w:num>
  <w:num w:numId="19">
    <w:abstractNumId w:val="32"/>
  </w:num>
  <w:num w:numId="20">
    <w:abstractNumId w:val="4"/>
  </w:num>
  <w:num w:numId="21">
    <w:abstractNumId w:val="34"/>
  </w:num>
  <w:num w:numId="22">
    <w:abstractNumId w:val="31"/>
  </w:num>
  <w:num w:numId="23">
    <w:abstractNumId w:val="23"/>
  </w:num>
  <w:num w:numId="24">
    <w:abstractNumId w:val="38"/>
  </w:num>
  <w:num w:numId="25">
    <w:abstractNumId w:val="11"/>
  </w:num>
  <w:num w:numId="26">
    <w:abstractNumId w:val="1"/>
  </w:num>
  <w:num w:numId="27">
    <w:abstractNumId w:val="10"/>
  </w:num>
  <w:num w:numId="28">
    <w:abstractNumId w:val="39"/>
  </w:num>
  <w:num w:numId="29">
    <w:abstractNumId w:val="13"/>
  </w:num>
  <w:num w:numId="30">
    <w:abstractNumId w:val="35"/>
  </w:num>
  <w:num w:numId="31">
    <w:abstractNumId w:val="5"/>
  </w:num>
  <w:num w:numId="32">
    <w:abstractNumId w:val="2"/>
  </w:num>
  <w:num w:numId="33">
    <w:abstractNumId w:val="14"/>
  </w:num>
  <w:num w:numId="34">
    <w:abstractNumId w:val="12"/>
  </w:num>
  <w:num w:numId="35">
    <w:abstractNumId w:val="7"/>
  </w:num>
  <w:num w:numId="36">
    <w:abstractNumId w:val="21"/>
  </w:num>
  <w:num w:numId="37">
    <w:abstractNumId w:val="33"/>
  </w:num>
  <w:num w:numId="38">
    <w:abstractNumId w:val="18"/>
  </w:num>
  <w:num w:numId="39">
    <w:abstractNumId w:val="36"/>
  </w:num>
  <w:num w:numId="40">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794"/>
    <w:rsid w:val="00006E68"/>
    <w:rsid w:val="00007DBC"/>
    <w:rsid w:val="00007EA1"/>
    <w:rsid w:val="000100F0"/>
    <w:rsid w:val="000121EC"/>
    <w:rsid w:val="000129B2"/>
    <w:rsid w:val="00012FF9"/>
    <w:rsid w:val="0001389C"/>
    <w:rsid w:val="00014314"/>
    <w:rsid w:val="000212AE"/>
    <w:rsid w:val="00021434"/>
    <w:rsid w:val="00021774"/>
    <w:rsid w:val="00021DF3"/>
    <w:rsid w:val="00023869"/>
    <w:rsid w:val="00024598"/>
    <w:rsid w:val="000279B0"/>
    <w:rsid w:val="000325F9"/>
    <w:rsid w:val="00032769"/>
    <w:rsid w:val="0003311E"/>
    <w:rsid w:val="00037B58"/>
    <w:rsid w:val="00051B73"/>
    <w:rsid w:val="00052060"/>
    <w:rsid w:val="00052327"/>
    <w:rsid w:val="000526E2"/>
    <w:rsid w:val="000575CF"/>
    <w:rsid w:val="00060ABE"/>
    <w:rsid w:val="00061A50"/>
    <w:rsid w:val="0006361B"/>
    <w:rsid w:val="00064104"/>
    <w:rsid w:val="00064491"/>
    <w:rsid w:val="00064F32"/>
    <w:rsid w:val="000652E3"/>
    <w:rsid w:val="0006550E"/>
    <w:rsid w:val="00066025"/>
    <w:rsid w:val="00067A8F"/>
    <w:rsid w:val="000701D1"/>
    <w:rsid w:val="00080A20"/>
    <w:rsid w:val="00081230"/>
    <w:rsid w:val="00082796"/>
    <w:rsid w:val="00082DF4"/>
    <w:rsid w:val="00083F58"/>
    <w:rsid w:val="00084D3E"/>
    <w:rsid w:val="00086FF5"/>
    <w:rsid w:val="00087C0A"/>
    <w:rsid w:val="00091788"/>
    <w:rsid w:val="00093BC4"/>
    <w:rsid w:val="000943E6"/>
    <w:rsid w:val="00097929"/>
    <w:rsid w:val="000A0F2D"/>
    <w:rsid w:val="000A1E80"/>
    <w:rsid w:val="000A3B70"/>
    <w:rsid w:val="000A5153"/>
    <w:rsid w:val="000B10AE"/>
    <w:rsid w:val="000B30BF"/>
    <w:rsid w:val="000B566B"/>
    <w:rsid w:val="000B595C"/>
    <w:rsid w:val="000B662E"/>
    <w:rsid w:val="000B7294"/>
    <w:rsid w:val="000B75D0"/>
    <w:rsid w:val="000C131C"/>
    <w:rsid w:val="000C1CF8"/>
    <w:rsid w:val="000C49CF"/>
    <w:rsid w:val="000C52E9"/>
    <w:rsid w:val="000C5B8B"/>
    <w:rsid w:val="000C5CDC"/>
    <w:rsid w:val="000C65DC"/>
    <w:rsid w:val="000C66F3"/>
    <w:rsid w:val="000C6900"/>
    <w:rsid w:val="000C7727"/>
    <w:rsid w:val="000D28BF"/>
    <w:rsid w:val="000D31E8"/>
    <w:rsid w:val="000D76E4"/>
    <w:rsid w:val="000E3816"/>
    <w:rsid w:val="000E4F77"/>
    <w:rsid w:val="000F265C"/>
    <w:rsid w:val="000F3AFA"/>
    <w:rsid w:val="000F3ECD"/>
    <w:rsid w:val="000F5712"/>
    <w:rsid w:val="000F6611"/>
    <w:rsid w:val="000F7E22"/>
    <w:rsid w:val="00102EDA"/>
    <w:rsid w:val="00107554"/>
    <w:rsid w:val="001075E9"/>
    <w:rsid w:val="001104F3"/>
    <w:rsid w:val="00112EEB"/>
    <w:rsid w:val="001173FF"/>
    <w:rsid w:val="0012563A"/>
    <w:rsid w:val="001264DE"/>
    <w:rsid w:val="001313A7"/>
    <w:rsid w:val="0013276F"/>
    <w:rsid w:val="001342B5"/>
    <w:rsid w:val="0013621E"/>
    <w:rsid w:val="0013642E"/>
    <w:rsid w:val="00136965"/>
    <w:rsid w:val="001374F0"/>
    <w:rsid w:val="001375AE"/>
    <w:rsid w:val="001377A7"/>
    <w:rsid w:val="00142EFE"/>
    <w:rsid w:val="00151A91"/>
    <w:rsid w:val="00152A23"/>
    <w:rsid w:val="00156B11"/>
    <w:rsid w:val="00162CB7"/>
    <w:rsid w:val="001665C9"/>
    <w:rsid w:val="00166F32"/>
    <w:rsid w:val="001718C0"/>
    <w:rsid w:val="00171E5B"/>
    <w:rsid w:val="00171F94"/>
    <w:rsid w:val="00175D4E"/>
    <w:rsid w:val="0017668A"/>
    <w:rsid w:val="001766FE"/>
    <w:rsid w:val="001771E7"/>
    <w:rsid w:val="001836BB"/>
    <w:rsid w:val="001911FF"/>
    <w:rsid w:val="00192006"/>
    <w:rsid w:val="00193180"/>
    <w:rsid w:val="0019530C"/>
    <w:rsid w:val="00195ED4"/>
    <w:rsid w:val="00196792"/>
    <w:rsid w:val="001B1519"/>
    <w:rsid w:val="001B2E2D"/>
    <w:rsid w:val="001B5CD2"/>
    <w:rsid w:val="001C0BEE"/>
    <w:rsid w:val="001C1E49"/>
    <w:rsid w:val="001C27C1"/>
    <w:rsid w:val="001C2A98"/>
    <w:rsid w:val="001C3B86"/>
    <w:rsid w:val="001C4D95"/>
    <w:rsid w:val="001D3D7D"/>
    <w:rsid w:val="001D3FFF"/>
    <w:rsid w:val="001D4997"/>
    <w:rsid w:val="001D625F"/>
    <w:rsid w:val="001D68A4"/>
    <w:rsid w:val="001D6BCE"/>
    <w:rsid w:val="001D7576"/>
    <w:rsid w:val="001E0E3F"/>
    <w:rsid w:val="001E14A0"/>
    <w:rsid w:val="001E7376"/>
    <w:rsid w:val="001F225C"/>
    <w:rsid w:val="00200792"/>
    <w:rsid w:val="00201CFA"/>
    <w:rsid w:val="0020220D"/>
    <w:rsid w:val="00202448"/>
    <w:rsid w:val="00202D15"/>
    <w:rsid w:val="002033C5"/>
    <w:rsid w:val="00205B3F"/>
    <w:rsid w:val="00212EAE"/>
    <w:rsid w:val="00214BEE"/>
    <w:rsid w:val="002205B8"/>
    <w:rsid w:val="00222CD1"/>
    <w:rsid w:val="00225720"/>
    <w:rsid w:val="002259E5"/>
    <w:rsid w:val="00226140"/>
    <w:rsid w:val="002274F3"/>
    <w:rsid w:val="0023094C"/>
    <w:rsid w:val="00233484"/>
    <w:rsid w:val="00234303"/>
    <w:rsid w:val="00234BE3"/>
    <w:rsid w:val="00235A90"/>
    <w:rsid w:val="0023624F"/>
    <w:rsid w:val="00241E48"/>
    <w:rsid w:val="0024214E"/>
    <w:rsid w:val="00242623"/>
    <w:rsid w:val="00250558"/>
    <w:rsid w:val="0025357C"/>
    <w:rsid w:val="002605D1"/>
    <w:rsid w:val="00260652"/>
    <w:rsid w:val="00261F25"/>
    <w:rsid w:val="002648A9"/>
    <w:rsid w:val="0026536F"/>
    <w:rsid w:val="0026553C"/>
    <w:rsid w:val="002661A0"/>
    <w:rsid w:val="0026790A"/>
    <w:rsid w:val="00267DD5"/>
    <w:rsid w:val="00271386"/>
    <w:rsid w:val="00274A0A"/>
    <w:rsid w:val="00277467"/>
    <w:rsid w:val="00277593"/>
    <w:rsid w:val="00280909"/>
    <w:rsid w:val="00280918"/>
    <w:rsid w:val="00282AF6"/>
    <w:rsid w:val="0028596A"/>
    <w:rsid w:val="00287085"/>
    <w:rsid w:val="0028771D"/>
    <w:rsid w:val="00287DC0"/>
    <w:rsid w:val="00290AF9"/>
    <w:rsid w:val="00291131"/>
    <w:rsid w:val="002967CF"/>
    <w:rsid w:val="00297788"/>
    <w:rsid w:val="002A3285"/>
    <w:rsid w:val="002A34F9"/>
    <w:rsid w:val="002A484B"/>
    <w:rsid w:val="002A64A6"/>
    <w:rsid w:val="002B1FE3"/>
    <w:rsid w:val="002B3301"/>
    <w:rsid w:val="002C1445"/>
    <w:rsid w:val="002C47D4"/>
    <w:rsid w:val="002D0F38"/>
    <w:rsid w:val="002D77E3"/>
    <w:rsid w:val="002F2859"/>
    <w:rsid w:val="002F577C"/>
    <w:rsid w:val="002F6E3C"/>
    <w:rsid w:val="0030117D"/>
    <w:rsid w:val="00301F30"/>
    <w:rsid w:val="003038FD"/>
    <w:rsid w:val="00303C87"/>
    <w:rsid w:val="00304332"/>
    <w:rsid w:val="003108E5"/>
    <w:rsid w:val="003115A8"/>
    <w:rsid w:val="003120CB"/>
    <w:rsid w:val="00316438"/>
    <w:rsid w:val="003176B9"/>
    <w:rsid w:val="00320153"/>
    <w:rsid w:val="00320367"/>
    <w:rsid w:val="00322871"/>
    <w:rsid w:val="00326FB3"/>
    <w:rsid w:val="003316D4"/>
    <w:rsid w:val="003321B2"/>
    <w:rsid w:val="00332BBE"/>
    <w:rsid w:val="00333822"/>
    <w:rsid w:val="00336715"/>
    <w:rsid w:val="003401EC"/>
    <w:rsid w:val="00340DFD"/>
    <w:rsid w:val="00344954"/>
    <w:rsid w:val="00345DE8"/>
    <w:rsid w:val="003505C8"/>
    <w:rsid w:val="00350CD7"/>
    <w:rsid w:val="00352264"/>
    <w:rsid w:val="00352EBC"/>
    <w:rsid w:val="00360C17"/>
    <w:rsid w:val="003621C6"/>
    <w:rsid w:val="003622B8"/>
    <w:rsid w:val="00366B76"/>
    <w:rsid w:val="00373051"/>
    <w:rsid w:val="00373B8F"/>
    <w:rsid w:val="003743FF"/>
    <w:rsid w:val="00376D95"/>
    <w:rsid w:val="00377FBB"/>
    <w:rsid w:val="00383AE9"/>
    <w:rsid w:val="00385140"/>
    <w:rsid w:val="00393CC7"/>
    <w:rsid w:val="0039426D"/>
    <w:rsid w:val="00396302"/>
    <w:rsid w:val="003971F7"/>
    <w:rsid w:val="003A16FC"/>
    <w:rsid w:val="003A2C8A"/>
    <w:rsid w:val="003A4FCD"/>
    <w:rsid w:val="003B0944"/>
    <w:rsid w:val="003B1593"/>
    <w:rsid w:val="003B2AD9"/>
    <w:rsid w:val="003B4381"/>
    <w:rsid w:val="003C1043"/>
    <w:rsid w:val="003C1A30"/>
    <w:rsid w:val="003C5505"/>
    <w:rsid w:val="003C6779"/>
    <w:rsid w:val="003C71BE"/>
    <w:rsid w:val="003D033C"/>
    <w:rsid w:val="003D2998"/>
    <w:rsid w:val="003D2F0A"/>
    <w:rsid w:val="003D3891"/>
    <w:rsid w:val="003D3FE9"/>
    <w:rsid w:val="003D5D84"/>
    <w:rsid w:val="003D7B5C"/>
    <w:rsid w:val="003E0E6D"/>
    <w:rsid w:val="003E0F4F"/>
    <w:rsid w:val="003E18AC"/>
    <w:rsid w:val="003E210B"/>
    <w:rsid w:val="003E2A12"/>
    <w:rsid w:val="003E3384"/>
    <w:rsid w:val="003E3CA4"/>
    <w:rsid w:val="003E548E"/>
    <w:rsid w:val="003E6B8C"/>
    <w:rsid w:val="003F163F"/>
    <w:rsid w:val="00407EC8"/>
    <w:rsid w:val="0041110A"/>
    <w:rsid w:val="00411624"/>
    <w:rsid w:val="00411AA8"/>
    <w:rsid w:val="004148E1"/>
    <w:rsid w:val="00414CFA"/>
    <w:rsid w:val="00415EC0"/>
    <w:rsid w:val="00420BE9"/>
    <w:rsid w:val="00423AD8"/>
    <w:rsid w:val="00423FDD"/>
    <w:rsid w:val="00424C85"/>
    <w:rsid w:val="004260BD"/>
    <w:rsid w:val="00426B33"/>
    <w:rsid w:val="0043012F"/>
    <w:rsid w:val="00430F1F"/>
    <w:rsid w:val="004326EA"/>
    <w:rsid w:val="0043654E"/>
    <w:rsid w:val="0044434C"/>
    <w:rsid w:val="0044456B"/>
    <w:rsid w:val="00447BD1"/>
    <w:rsid w:val="004507F3"/>
    <w:rsid w:val="00450AF4"/>
    <w:rsid w:val="004550FF"/>
    <w:rsid w:val="00456A57"/>
    <w:rsid w:val="00456CAB"/>
    <w:rsid w:val="00460377"/>
    <w:rsid w:val="004607DE"/>
    <w:rsid w:val="004671C7"/>
    <w:rsid w:val="004701A7"/>
    <w:rsid w:val="00472F4D"/>
    <w:rsid w:val="004730BF"/>
    <w:rsid w:val="00474DCB"/>
    <w:rsid w:val="0047535C"/>
    <w:rsid w:val="004762F6"/>
    <w:rsid w:val="00477E3E"/>
    <w:rsid w:val="00485870"/>
    <w:rsid w:val="00485FE8"/>
    <w:rsid w:val="00491537"/>
    <w:rsid w:val="00492473"/>
    <w:rsid w:val="00492EB5"/>
    <w:rsid w:val="00494F77"/>
    <w:rsid w:val="00497721"/>
    <w:rsid w:val="004A0229"/>
    <w:rsid w:val="004A35D2"/>
    <w:rsid w:val="004A5D8E"/>
    <w:rsid w:val="004A71E4"/>
    <w:rsid w:val="004B158F"/>
    <w:rsid w:val="004B2F00"/>
    <w:rsid w:val="004B667A"/>
    <w:rsid w:val="004B6E31"/>
    <w:rsid w:val="004C1D66"/>
    <w:rsid w:val="004C31D7"/>
    <w:rsid w:val="004C4AD2"/>
    <w:rsid w:val="004C4C74"/>
    <w:rsid w:val="004C6981"/>
    <w:rsid w:val="004D1F21"/>
    <w:rsid w:val="004D268C"/>
    <w:rsid w:val="004D59D8"/>
    <w:rsid w:val="004D5DA1"/>
    <w:rsid w:val="004D7910"/>
    <w:rsid w:val="004E150F"/>
    <w:rsid w:val="004E1DCA"/>
    <w:rsid w:val="004E23A1"/>
    <w:rsid w:val="004E3489"/>
    <w:rsid w:val="004E358A"/>
    <w:rsid w:val="004E3AFA"/>
    <w:rsid w:val="004E6588"/>
    <w:rsid w:val="004F2742"/>
    <w:rsid w:val="004F3D12"/>
    <w:rsid w:val="00502A0A"/>
    <w:rsid w:val="00507C50"/>
    <w:rsid w:val="00510B50"/>
    <w:rsid w:val="00514D40"/>
    <w:rsid w:val="00517C3A"/>
    <w:rsid w:val="00517CF8"/>
    <w:rsid w:val="00524C3B"/>
    <w:rsid w:val="00527BF4"/>
    <w:rsid w:val="00530CCB"/>
    <w:rsid w:val="005324BE"/>
    <w:rsid w:val="00534F6C"/>
    <w:rsid w:val="00535994"/>
    <w:rsid w:val="0053646D"/>
    <w:rsid w:val="00536D67"/>
    <w:rsid w:val="00540AAD"/>
    <w:rsid w:val="00543EC1"/>
    <w:rsid w:val="00546458"/>
    <w:rsid w:val="0055087C"/>
    <w:rsid w:val="00553413"/>
    <w:rsid w:val="00555983"/>
    <w:rsid w:val="00560E31"/>
    <w:rsid w:val="00561BDA"/>
    <w:rsid w:val="00565ECA"/>
    <w:rsid w:val="00567DBF"/>
    <w:rsid w:val="00581B23"/>
    <w:rsid w:val="0058219C"/>
    <w:rsid w:val="005849F4"/>
    <w:rsid w:val="0058707F"/>
    <w:rsid w:val="00591DBD"/>
    <w:rsid w:val="005931FE"/>
    <w:rsid w:val="005A0028"/>
    <w:rsid w:val="005A0ACC"/>
    <w:rsid w:val="005A2F7A"/>
    <w:rsid w:val="005B0072"/>
    <w:rsid w:val="005B0732"/>
    <w:rsid w:val="005B38A0"/>
    <w:rsid w:val="005B491C"/>
    <w:rsid w:val="005B4DBF"/>
    <w:rsid w:val="005B5DE2"/>
    <w:rsid w:val="005B674C"/>
    <w:rsid w:val="005C24F2"/>
    <w:rsid w:val="005C7561"/>
    <w:rsid w:val="005D1E57"/>
    <w:rsid w:val="005D2F57"/>
    <w:rsid w:val="005D34F6"/>
    <w:rsid w:val="005D4F1A"/>
    <w:rsid w:val="005D62A6"/>
    <w:rsid w:val="005E1884"/>
    <w:rsid w:val="005E2CC0"/>
    <w:rsid w:val="005E5A18"/>
    <w:rsid w:val="005F1C6E"/>
    <w:rsid w:val="005F373A"/>
    <w:rsid w:val="005F4F87"/>
    <w:rsid w:val="005F6B0E"/>
    <w:rsid w:val="005F760E"/>
    <w:rsid w:val="005F7B1D"/>
    <w:rsid w:val="0060222A"/>
    <w:rsid w:val="00605B45"/>
    <w:rsid w:val="00606DB5"/>
    <w:rsid w:val="006070C4"/>
    <w:rsid w:val="00610C21"/>
    <w:rsid w:val="00611907"/>
    <w:rsid w:val="00613116"/>
    <w:rsid w:val="006202A6"/>
    <w:rsid w:val="0062054B"/>
    <w:rsid w:val="00620926"/>
    <w:rsid w:val="00621C4E"/>
    <w:rsid w:val="00623C02"/>
    <w:rsid w:val="00624C3F"/>
    <w:rsid w:val="00624EAE"/>
    <w:rsid w:val="006305D7"/>
    <w:rsid w:val="00632F63"/>
    <w:rsid w:val="00633A01"/>
    <w:rsid w:val="00633B97"/>
    <w:rsid w:val="006341F7"/>
    <w:rsid w:val="00634585"/>
    <w:rsid w:val="00635014"/>
    <w:rsid w:val="006352C6"/>
    <w:rsid w:val="006369CE"/>
    <w:rsid w:val="00637E9B"/>
    <w:rsid w:val="006411CA"/>
    <w:rsid w:val="006450C9"/>
    <w:rsid w:val="0064605E"/>
    <w:rsid w:val="00657BC4"/>
    <w:rsid w:val="006619C8"/>
    <w:rsid w:val="00664D07"/>
    <w:rsid w:val="00671710"/>
    <w:rsid w:val="00673414"/>
    <w:rsid w:val="00676079"/>
    <w:rsid w:val="00676ECD"/>
    <w:rsid w:val="00677D0A"/>
    <w:rsid w:val="0068185F"/>
    <w:rsid w:val="00686620"/>
    <w:rsid w:val="00695A62"/>
    <w:rsid w:val="006A01CF"/>
    <w:rsid w:val="006A60DD"/>
    <w:rsid w:val="006B0679"/>
    <w:rsid w:val="006B074C"/>
    <w:rsid w:val="006B3B84"/>
    <w:rsid w:val="006B4E7C"/>
    <w:rsid w:val="006B589A"/>
    <w:rsid w:val="006B5D8C"/>
    <w:rsid w:val="006B72D4"/>
    <w:rsid w:val="006C11CC"/>
    <w:rsid w:val="006C1AEB"/>
    <w:rsid w:val="006C57FE"/>
    <w:rsid w:val="006C668E"/>
    <w:rsid w:val="006E4B63"/>
    <w:rsid w:val="006F06E4"/>
    <w:rsid w:val="006F7B41"/>
    <w:rsid w:val="00702B5D"/>
    <w:rsid w:val="00703ED2"/>
    <w:rsid w:val="00706E68"/>
    <w:rsid w:val="00707B8D"/>
    <w:rsid w:val="00713636"/>
    <w:rsid w:val="00714B8C"/>
    <w:rsid w:val="0071675D"/>
    <w:rsid w:val="00717736"/>
    <w:rsid w:val="007243B7"/>
    <w:rsid w:val="00732B47"/>
    <w:rsid w:val="00735CF5"/>
    <w:rsid w:val="00737D00"/>
    <w:rsid w:val="0074063A"/>
    <w:rsid w:val="00741738"/>
    <w:rsid w:val="00742AA4"/>
    <w:rsid w:val="00743BA1"/>
    <w:rsid w:val="00745F1E"/>
    <w:rsid w:val="007515FE"/>
    <w:rsid w:val="007601D0"/>
    <w:rsid w:val="007603BB"/>
    <w:rsid w:val="0076109D"/>
    <w:rsid w:val="00767107"/>
    <w:rsid w:val="00767A2B"/>
    <w:rsid w:val="007723B1"/>
    <w:rsid w:val="00773617"/>
    <w:rsid w:val="00773BFD"/>
    <w:rsid w:val="007743B3"/>
    <w:rsid w:val="00774490"/>
    <w:rsid w:val="0077581E"/>
    <w:rsid w:val="007819FF"/>
    <w:rsid w:val="0078360C"/>
    <w:rsid w:val="00784A4C"/>
    <w:rsid w:val="00784BC6"/>
    <w:rsid w:val="0078523D"/>
    <w:rsid w:val="007931DF"/>
    <w:rsid w:val="00796BE0"/>
    <w:rsid w:val="007A0172"/>
    <w:rsid w:val="007A1804"/>
    <w:rsid w:val="007A215A"/>
    <w:rsid w:val="007A2511"/>
    <w:rsid w:val="007A260E"/>
    <w:rsid w:val="007A4D4C"/>
    <w:rsid w:val="007A4DD6"/>
    <w:rsid w:val="007A5CB9"/>
    <w:rsid w:val="007B20AE"/>
    <w:rsid w:val="007B6B07"/>
    <w:rsid w:val="007B6D43"/>
    <w:rsid w:val="007B749A"/>
    <w:rsid w:val="007B7C6E"/>
    <w:rsid w:val="007D44D7"/>
    <w:rsid w:val="007D621A"/>
    <w:rsid w:val="007E058A"/>
    <w:rsid w:val="007E2887"/>
    <w:rsid w:val="007E5278"/>
    <w:rsid w:val="007E749C"/>
    <w:rsid w:val="007F1B5C"/>
    <w:rsid w:val="00801257"/>
    <w:rsid w:val="00803B0A"/>
    <w:rsid w:val="00804DED"/>
    <w:rsid w:val="00805B96"/>
    <w:rsid w:val="008105BE"/>
    <w:rsid w:val="008115A5"/>
    <w:rsid w:val="00811D46"/>
    <w:rsid w:val="0081415D"/>
    <w:rsid w:val="00820229"/>
    <w:rsid w:val="0082089E"/>
    <w:rsid w:val="00821EB4"/>
    <w:rsid w:val="00822448"/>
    <w:rsid w:val="00822ABE"/>
    <w:rsid w:val="008244D1"/>
    <w:rsid w:val="00827F51"/>
    <w:rsid w:val="0083104E"/>
    <w:rsid w:val="008343BE"/>
    <w:rsid w:val="00836535"/>
    <w:rsid w:val="00840FB4"/>
    <w:rsid w:val="008410B2"/>
    <w:rsid w:val="00841780"/>
    <w:rsid w:val="00847B19"/>
    <w:rsid w:val="008500A0"/>
    <w:rsid w:val="008524E5"/>
    <w:rsid w:val="0085351C"/>
    <w:rsid w:val="00853792"/>
    <w:rsid w:val="0085435A"/>
    <w:rsid w:val="008549CA"/>
    <w:rsid w:val="008556C3"/>
    <w:rsid w:val="0085687C"/>
    <w:rsid w:val="008611C1"/>
    <w:rsid w:val="00861B7F"/>
    <w:rsid w:val="008706C5"/>
    <w:rsid w:val="00873707"/>
    <w:rsid w:val="00874B20"/>
    <w:rsid w:val="008757C6"/>
    <w:rsid w:val="008763E1"/>
    <w:rsid w:val="0087775C"/>
    <w:rsid w:val="00877EC8"/>
    <w:rsid w:val="00880F36"/>
    <w:rsid w:val="00885530"/>
    <w:rsid w:val="008910D1"/>
    <w:rsid w:val="0089296C"/>
    <w:rsid w:val="00896ABD"/>
    <w:rsid w:val="00896DD3"/>
    <w:rsid w:val="00897AB6"/>
    <w:rsid w:val="00897DA8"/>
    <w:rsid w:val="008A2AE1"/>
    <w:rsid w:val="008A3380"/>
    <w:rsid w:val="008A7A9C"/>
    <w:rsid w:val="008B3EBC"/>
    <w:rsid w:val="008B5218"/>
    <w:rsid w:val="008B5CAC"/>
    <w:rsid w:val="008B7102"/>
    <w:rsid w:val="008C3B7D"/>
    <w:rsid w:val="008D0E9B"/>
    <w:rsid w:val="008D0F90"/>
    <w:rsid w:val="008D3715"/>
    <w:rsid w:val="008D5465"/>
    <w:rsid w:val="008D5E61"/>
    <w:rsid w:val="008D7EB7"/>
    <w:rsid w:val="008D7EC5"/>
    <w:rsid w:val="008E3684"/>
    <w:rsid w:val="008E57F5"/>
    <w:rsid w:val="008E7606"/>
    <w:rsid w:val="008F1DAA"/>
    <w:rsid w:val="008F3EBD"/>
    <w:rsid w:val="008F5DFA"/>
    <w:rsid w:val="008F60B2"/>
    <w:rsid w:val="008F6EBB"/>
    <w:rsid w:val="008F7C41"/>
    <w:rsid w:val="00901C70"/>
    <w:rsid w:val="009031E2"/>
    <w:rsid w:val="0091154D"/>
    <w:rsid w:val="0091276C"/>
    <w:rsid w:val="009145BE"/>
    <w:rsid w:val="009165AC"/>
    <w:rsid w:val="00916D8F"/>
    <w:rsid w:val="00916FFC"/>
    <w:rsid w:val="0092053F"/>
    <w:rsid w:val="0092340A"/>
    <w:rsid w:val="00926CC9"/>
    <w:rsid w:val="009313D9"/>
    <w:rsid w:val="00935B7F"/>
    <w:rsid w:val="00941293"/>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26EE"/>
    <w:rsid w:val="00972CDE"/>
    <w:rsid w:val="009733DD"/>
    <w:rsid w:val="00973874"/>
    <w:rsid w:val="00975573"/>
    <w:rsid w:val="00976C89"/>
    <w:rsid w:val="00976D03"/>
    <w:rsid w:val="00977B30"/>
    <w:rsid w:val="00980DFD"/>
    <w:rsid w:val="00982F41"/>
    <w:rsid w:val="00985090"/>
    <w:rsid w:val="00987710"/>
    <w:rsid w:val="009904AB"/>
    <w:rsid w:val="0099056E"/>
    <w:rsid w:val="00990787"/>
    <w:rsid w:val="00995688"/>
    <w:rsid w:val="009958A6"/>
    <w:rsid w:val="00996456"/>
    <w:rsid w:val="0099723B"/>
    <w:rsid w:val="009A04F5"/>
    <w:rsid w:val="009A15EF"/>
    <w:rsid w:val="009A38A5"/>
    <w:rsid w:val="009A5220"/>
    <w:rsid w:val="009A5B73"/>
    <w:rsid w:val="009A7B30"/>
    <w:rsid w:val="009B118B"/>
    <w:rsid w:val="009B1737"/>
    <w:rsid w:val="009B3D4B"/>
    <w:rsid w:val="009B4E63"/>
    <w:rsid w:val="009B5B99"/>
    <w:rsid w:val="009B6EFC"/>
    <w:rsid w:val="009C1FD0"/>
    <w:rsid w:val="009C2719"/>
    <w:rsid w:val="009C2DF8"/>
    <w:rsid w:val="009C31BF"/>
    <w:rsid w:val="009C68B7"/>
    <w:rsid w:val="009D0834"/>
    <w:rsid w:val="009D095A"/>
    <w:rsid w:val="009D0A1E"/>
    <w:rsid w:val="009D2AE3"/>
    <w:rsid w:val="009D52BC"/>
    <w:rsid w:val="009D5CC0"/>
    <w:rsid w:val="009D7D0A"/>
    <w:rsid w:val="009E09D9"/>
    <w:rsid w:val="009F01B1"/>
    <w:rsid w:val="009F0DBB"/>
    <w:rsid w:val="009F3887"/>
    <w:rsid w:val="009F40DC"/>
    <w:rsid w:val="009F659A"/>
    <w:rsid w:val="009F732B"/>
    <w:rsid w:val="00A01FE0"/>
    <w:rsid w:val="00A04B66"/>
    <w:rsid w:val="00A06945"/>
    <w:rsid w:val="00A10656"/>
    <w:rsid w:val="00A113C0"/>
    <w:rsid w:val="00A12FA6"/>
    <w:rsid w:val="00A1339B"/>
    <w:rsid w:val="00A14ABA"/>
    <w:rsid w:val="00A17C68"/>
    <w:rsid w:val="00A24CB6"/>
    <w:rsid w:val="00A25865"/>
    <w:rsid w:val="00A26CD2"/>
    <w:rsid w:val="00A27667"/>
    <w:rsid w:val="00A32979"/>
    <w:rsid w:val="00A34A67"/>
    <w:rsid w:val="00A37462"/>
    <w:rsid w:val="00A40472"/>
    <w:rsid w:val="00A459E1"/>
    <w:rsid w:val="00A46AC4"/>
    <w:rsid w:val="00A478A5"/>
    <w:rsid w:val="00A52296"/>
    <w:rsid w:val="00A55661"/>
    <w:rsid w:val="00A5589B"/>
    <w:rsid w:val="00A605F4"/>
    <w:rsid w:val="00A61B70"/>
    <w:rsid w:val="00A61FA8"/>
    <w:rsid w:val="00A637F4"/>
    <w:rsid w:val="00A6469E"/>
    <w:rsid w:val="00A64DF2"/>
    <w:rsid w:val="00A65485"/>
    <w:rsid w:val="00A65695"/>
    <w:rsid w:val="00A665F9"/>
    <w:rsid w:val="00A66E05"/>
    <w:rsid w:val="00A67655"/>
    <w:rsid w:val="00A70753"/>
    <w:rsid w:val="00A712D2"/>
    <w:rsid w:val="00A715AF"/>
    <w:rsid w:val="00A82C8A"/>
    <w:rsid w:val="00A8346B"/>
    <w:rsid w:val="00A852FF"/>
    <w:rsid w:val="00A87337"/>
    <w:rsid w:val="00A90C97"/>
    <w:rsid w:val="00A92DDC"/>
    <w:rsid w:val="00A960C8"/>
    <w:rsid w:val="00A96604"/>
    <w:rsid w:val="00A966C4"/>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52A5"/>
    <w:rsid w:val="00AC6EFD"/>
    <w:rsid w:val="00AC7151"/>
    <w:rsid w:val="00AD460A"/>
    <w:rsid w:val="00AD6A05"/>
    <w:rsid w:val="00AE0792"/>
    <w:rsid w:val="00AE118B"/>
    <w:rsid w:val="00AE17D1"/>
    <w:rsid w:val="00AE272B"/>
    <w:rsid w:val="00AE3940"/>
    <w:rsid w:val="00AE3E3A"/>
    <w:rsid w:val="00AE77B4"/>
    <w:rsid w:val="00AE7C1A"/>
    <w:rsid w:val="00AE7DF8"/>
    <w:rsid w:val="00AF0D9C"/>
    <w:rsid w:val="00AF13AB"/>
    <w:rsid w:val="00AF1BFD"/>
    <w:rsid w:val="00AF1D36"/>
    <w:rsid w:val="00AF280B"/>
    <w:rsid w:val="00AF5F75"/>
    <w:rsid w:val="00AF6001"/>
    <w:rsid w:val="00AF7BE1"/>
    <w:rsid w:val="00AF7D34"/>
    <w:rsid w:val="00B01A16"/>
    <w:rsid w:val="00B023E9"/>
    <w:rsid w:val="00B03B61"/>
    <w:rsid w:val="00B079FE"/>
    <w:rsid w:val="00B07F45"/>
    <w:rsid w:val="00B1021A"/>
    <w:rsid w:val="00B10271"/>
    <w:rsid w:val="00B10F77"/>
    <w:rsid w:val="00B134D9"/>
    <w:rsid w:val="00B140D9"/>
    <w:rsid w:val="00B1481A"/>
    <w:rsid w:val="00B15A1F"/>
    <w:rsid w:val="00B15FE9"/>
    <w:rsid w:val="00B2148A"/>
    <w:rsid w:val="00B220C2"/>
    <w:rsid w:val="00B2276E"/>
    <w:rsid w:val="00B22DBA"/>
    <w:rsid w:val="00B23E33"/>
    <w:rsid w:val="00B25B32"/>
    <w:rsid w:val="00B32616"/>
    <w:rsid w:val="00B36AF0"/>
    <w:rsid w:val="00B36C42"/>
    <w:rsid w:val="00B42044"/>
    <w:rsid w:val="00B42EA7"/>
    <w:rsid w:val="00B51845"/>
    <w:rsid w:val="00B51923"/>
    <w:rsid w:val="00B5337C"/>
    <w:rsid w:val="00B53FDE"/>
    <w:rsid w:val="00B56397"/>
    <w:rsid w:val="00B571DA"/>
    <w:rsid w:val="00B6027B"/>
    <w:rsid w:val="00B6070F"/>
    <w:rsid w:val="00B636C8"/>
    <w:rsid w:val="00B6403B"/>
    <w:rsid w:val="00B65EDB"/>
    <w:rsid w:val="00B67AFF"/>
    <w:rsid w:val="00B67C41"/>
    <w:rsid w:val="00B70B59"/>
    <w:rsid w:val="00B73657"/>
    <w:rsid w:val="00B739B3"/>
    <w:rsid w:val="00B75742"/>
    <w:rsid w:val="00B81B0B"/>
    <w:rsid w:val="00B81B15"/>
    <w:rsid w:val="00B914F9"/>
    <w:rsid w:val="00B915AE"/>
    <w:rsid w:val="00B964A7"/>
    <w:rsid w:val="00B97ACA"/>
    <w:rsid w:val="00BA1735"/>
    <w:rsid w:val="00BA19FA"/>
    <w:rsid w:val="00BA3976"/>
    <w:rsid w:val="00BA41DE"/>
    <w:rsid w:val="00BA4288"/>
    <w:rsid w:val="00BB0902"/>
    <w:rsid w:val="00BB1F9C"/>
    <w:rsid w:val="00BB48E5"/>
    <w:rsid w:val="00BB5607"/>
    <w:rsid w:val="00BB5ACA"/>
    <w:rsid w:val="00BB627F"/>
    <w:rsid w:val="00BC0C17"/>
    <w:rsid w:val="00BC3823"/>
    <w:rsid w:val="00BC5841"/>
    <w:rsid w:val="00BC5E38"/>
    <w:rsid w:val="00BD1DFD"/>
    <w:rsid w:val="00BD201A"/>
    <w:rsid w:val="00BD2DC4"/>
    <w:rsid w:val="00BD2EF0"/>
    <w:rsid w:val="00BD60B4"/>
    <w:rsid w:val="00BD6B2C"/>
    <w:rsid w:val="00BD796B"/>
    <w:rsid w:val="00BE40C0"/>
    <w:rsid w:val="00BE445C"/>
    <w:rsid w:val="00BE5CE2"/>
    <w:rsid w:val="00BE5F4A"/>
    <w:rsid w:val="00BE7AEF"/>
    <w:rsid w:val="00BF09B0"/>
    <w:rsid w:val="00BF0C47"/>
    <w:rsid w:val="00BF1544"/>
    <w:rsid w:val="00BF1B53"/>
    <w:rsid w:val="00BF246D"/>
    <w:rsid w:val="00BF2682"/>
    <w:rsid w:val="00BF713A"/>
    <w:rsid w:val="00C025AE"/>
    <w:rsid w:val="00C06F06"/>
    <w:rsid w:val="00C10AD2"/>
    <w:rsid w:val="00C14330"/>
    <w:rsid w:val="00C165E1"/>
    <w:rsid w:val="00C17BFF"/>
    <w:rsid w:val="00C20FAD"/>
    <w:rsid w:val="00C224BE"/>
    <w:rsid w:val="00C2375F"/>
    <w:rsid w:val="00C23D94"/>
    <w:rsid w:val="00C247CB"/>
    <w:rsid w:val="00C32E66"/>
    <w:rsid w:val="00C3355F"/>
    <w:rsid w:val="00C33A04"/>
    <w:rsid w:val="00C3569A"/>
    <w:rsid w:val="00C360C2"/>
    <w:rsid w:val="00C43F48"/>
    <w:rsid w:val="00C448FF"/>
    <w:rsid w:val="00C45E57"/>
    <w:rsid w:val="00C52F29"/>
    <w:rsid w:val="00C56CE6"/>
    <w:rsid w:val="00C5745F"/>
    <w:rsid w:val="00C60005"/>
    <w:rsid w:val="00C60BFF"/>
    <w:rsid w:val="00C6178B"/>
    <w:rsid w:val="00C61A98"/>
    <w:rsid w:val="00C63201"/>
    <w:rsid w:val="00C64E62"/>
    <w:rsid w:val="00C651D5"/>
    <w:rsid w:val="00C656B2"/>
    <w:rsid w:val="00C65CCC"/>
    <w:rsid w:val="00C65DA9"/>
    <w:rsid w:val="00C67B1E"/>
    <w:rsid w:val="00C7618F"/>
    <w:rsid w:val="00C765A9"/>
    <w:rsid w:val="00C81157"/>
    <w:rsid w:val="00C8162D"/>
    <w:rsid w:val="00C830BB"/>
    <w:rsid w:val="00C83A0B"/>
    <w:rsid w:val="00C842D0"/>
    <w:rsid w:val="00C84ED1"/>
    <w:rsid w:val="00C8546A"/>
    <w:rsid w:val="00C857F0"/>
    <w:rsid w:val="00C863CC"/>
    <w:rsid w:val="00C86BCC"/>
    <w:rsid w:val="00C87E44"/>
    <w:rsid w:val="00C9038F"/>
    <w:rsid w:val="00C92AAB"/>
    <w:rsid w:val="00C95D4C"/>
    <w:rsid w:val="00C9637F"/>
    <w:rsid w:val="00C9708A"/>
    <w:rsid w:val="00CA2435"/>
    <w:rsid w:val="00CA4068"/>
    <w:rsid w:val="00CA67F4"/>
    <w:rsid w:val="00CB37F8"/>
    <w:rsid w:val="00CB7DC3"/>
    <w:rsid w:val="00CC09D2"/>
    <w:rsid w:val="00CC5BE1"/>
    <w:rsid w:val="00CC60C6"/>
    <w:rsid w:val="00CC6D51"/>
    <w:rsid w:val="00CC75A2"/>
    <w:rsid w:val="00CC7A18"/>
    <w:rsid w:val="00CD0E2F"/>
    <w:rsid w:val="00CD1D49"/>
    <w:rsid w:val="00CD2F20"/>
    <w:rsid w:val="00CD6B20"/>
    <w:rsid w:val="00CE1339"/>
    <w:rsid w:val="00CE4EB5"/>
    <w:rsid w:val="00CE61CC"/>
    <w:rsid w:val="00CE6E42"/>
    <w:rsid w:val="00CF20B7"/>
    <w:rsid w:val="00CF283B"/>
    <w:rsid w:val="00CF6692"/>
    <w:rsid w:val="00CF7441"/>
    <w:rsid w:val="00D00D16"/>
    <w:rsid w:val="00D03C6C"/>
    <w:rsid w:val="00D04760"/>
    <w:rsid w:val="00D04A95"/>
    <w:rsid w:val="00D06288"/>
    <w:rsid w:val="00D068C7"/>
    <w:rsid w:val="00D128A4"/>
    <w:rsid w:val="00D13F94"/>
    <w:rsid w:val="00D14212"/>
    <w:rsid w:val="00D147C8"/>
    <w:rsid w:val="00D15131"/>
    <w:rsid w:val="00D16FA2"/>
    <w:rsid w:val="00D20954"/>
    <w:rsid w:val="00D21C39"/>
    <w:rsid w:val="00D21FC6"/>
    <w:rsid w:val="00D2243A"/>
    <w:rsid w:val="00D33393"/>
    <w:rsid w:val="00D33D36"/>
    <w:rsid w:val="00D34D94"/>
    <w:rsid w:val="00D409E2"/>
    <w:rsid w:val="00D427D7"/>
    <w:rsid w:val="00D44E62"/>
    <w:rsid w:val="00D51570"/>
    <w:rsid w:val="00D556AD"/>
    <w:rsid w:val="00D60381"/>
    <w:rsid w:val="00D616DE"/>
    <w:rsid w:val="00D62201"/>
    <w:rsid w:val="00D63C5D"/>
    <w:rsid w:val="00D651D1"/>
    <w:rsid w:val="00D67315"/>
    <w:rsid w:val="00D7065B"/>
    <w:rsid w:val="00D70D55"/>
    <w:rsid w:val="00D717BB"/>
    <w:rsid w:val="00D7226B"/>
    <w:rsid w:val="00D72707"/>
    <w:rsid w:val="00D75A9C"/>
    <w:rsid w:val="00D829C8"/>
    <w:rsid w:val="00D87917"/>
    <w:rsid w:val="00D90871"/>
    <w:rsid w:val="00D9155F"/>
    <w:rsid w:val="00D9403F"/>
    <w:rsid w:val="00D959B4"/>
    <w:rsid w:val="00D97DDF"/>
    <w:rsid w:val="00DA42E1"/>
    <w:rsid w:val="00DA44DE"/>
    <w:rsid w:val="00DA6D6F"/>
    <w:rsid w:val="00DA750B"/>
    <w:rsid w:val="00DB620A"/>
    <w:rsid w:val="00DC2CDF"/>
    <w:rsid w:val="00DC3832"/>
    <w:rsid w:val="00DC7A51"/>
    <w:rsid w:val="00DD3B1E"/>
    <w:rsid w:val="00DD5D7E"/>
    <w:rsid w:val="00DE06B2"/>
    <w:rsid w:val="00DE3B0D"/>
    <w:rsid w:val="00DE551F"/>
    <w:rsid w:val="00DE5B5F"/>
    <w:rsid w:val="00DF52B4"/>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2731C"/>
    <w:rsid w:val="00E30A34"/>
    <w:rsid w:val="00E32DD9"/>
    <w:rsid w:val="00E33C68"/>
    <w:rsid w:val="00E34EEB"/>
    <w:rsid w:val="00E3687C"/>
    <w:rsid w:val="00E44EB9"/>
    <w:rsid w:val="00E45BDC"/>
    <w:rsid w:val="00E460B7"/>
    <w:rsid w:val="00E46358"/>
    <w:rsid w:val="00E471DC"/>
    <w:rsid w:val="00E50EB4"/>
    <w:rsid w:val="00E5239B"/>
    <w:rsid w:val="00E532FC"/>
    <w:rsid w:val="00E54303"/>
    <w:rsid w:val="00E559B4"/>
    <w:rsid w:val="00E55BB0"/>
    <w:rsid w:val="00E56807"/>
    <w:rsid w:val="00E57D9D"/>
    <w:rsid w:val="00E609E5"/>
    <w:rsid w:val="00E60F27"/>
    <w:rsid w:val="00E64D93"/>
    <w:rsid w:val="00E65EDB"/>
    <w:rsid w:val="00E66927"/>
    <w:rsid w:val="00E677B8"/>
    <w:rsid w:val="00E67E9E"/>
    <w:rsid w:val="00E67FA1"/>
    <w:rsid w:val="00E7115E"/>
    <w:rsid w:val="00E7387D"/>
    <w:rsid w:val="00E73D53"/>
    <w:rsid w:val="00E75111"/>
    <w:rsid w:val="00E77296"/>
    <w:rsid w:val="00E81A55"/>
    <w:rsid w:val="00E87527"/>
    <w:rsid w:val="00E87EF7"/>
    <w:rsid w:val="00E93763"/>
    <w:rsid w:val="00E96C4C"/>
    <w:rsid w:val="00EA0A64"/>
    <w:rsid w:val="00EA2AAE"/>
    <w:rsid w:val="00EA2EC0"/>
    <w:rsid w:val="00EA427A"/>
    <w:rsid w:val="00EA723B"/>
    <w:rsid w:val="00EB3BF0"/>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EF64FC"/>
    <w:rsid w:val="00F07F0D"/>
    <w:rsid w:val="00F12976"/>
    <w:rsid w:val="00F13112"/>
    <w:rsid w:val="00F16FE6"/>
    <w:rsid w:val="00F238BD"/>
    <w:rsid w:val="00F24992"/>
    <w:rsid w:val="00F32F2F"/>
    <w:rsid w:val="00F33F3F"/>
    <w:rsid w:val="00F35BDD"/>
    <w:rsid w:val="00F35EF0"/>
    <w:rsid w:val="00F3781F"/>
    <w:rsid w:val="00F403FD"/>
    <w:rsid w:val="00F41E72"/>
    <w:rsid w:val="00F45BDF"/>
    <w:rsid w:val="00F50300"/>
    <w:rsid w:val="00F5414B"/>
    <w:rsid w:val="00F56E39"/>
    <w:rsid w:val="00F623E9"/>
    <w:rsid w:val="00F63951"/>
    <w:rsid w:val="00F63C86"/>
    <w:rsid w:val="00F63F64"/>
    <w:rsid w:val="00F766BE"/>
    <w:rsid w:val="00F77EB9"/>
    <w:rsid w:val="00F80635"/>
    <w:rsid w:val="00F8115F"/>
    <w:rsid w:val="00F81485"/>
    <w:rsid w:val="00F815D1"/>
    <w:rsid w:val="00F81E7E"/>
    <w:rsid w:val="00F81F0F"/>
    <w:rsid w:val="00F825F4"/>
    <w:rsid w:val="00F838DF"/>
    <w:rsid w:val="00F92AA1"/>
    <w:rsid w:val="00F932DE"/>
    <w:rsid w:val="00F963DD"/>
    <w:rsid w:val="00F9641A"/>
    <w:rsid w:val="00F97004"/>
    <w:rsid w:val="00FA067D"/>
    <w:rsid w:val="00FA2045"/>
    <w:rsid w:val="00FA7A66"/>
    <w:rsid w:val="00FB1AA9"/>
    <w:rsid w:val="00FB2621"/>
    <w:rsid w:val="00FB4B5A"/>
    <w:rsid w:val="00FB5963"/>
    <w:rsid w:val="00FB5DAA"/>
    <w:rsid w:val="00FC04B9"/>
    <w:rsid w:val="00FC0540"/>
    <w:rsid w:val="00FC161A"/>
    <w:rsid w:val="00FC23D5"/>
    <w:rsid w:val="00FC4337"/>
    <w:rsid w:val="00FC4C1A"/>
    <w:rsid w:val="00FC628F"/>
    <w:rsid w:val="00FC6468"/>
    <w:rsid w:val="00FC6506"/>
    <w:rsid w:val="00FC6D49"/>
    <w:rsid w:val="00FC7FF6"/>
    <w:rsid w:val="00FD4922"/>
    <w:rsid w:val="00FD6461"/>
    <w:rsid w:val="00FE0281"/>
    <w:rsid w:val="00FE7083"/>
    <w:rsid w:val="00FF019F"/>
    <w:rsid w:val="00FF1B2A"/>
    <w:rsid w:val="00FF2160"/>
    <w:rsid w:val="00FF2E31"/>
    <w:rsid w:val="00FF30DE"/>
    <w:rsid w:val="00FF5533"/>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39"/>
    <w:rsid w:val="00D14212"/>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D6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7B65B-053E-4A69-B3D5-C3716343B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15292</Words>
  <Characters>87167</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102255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2020-04-07T18:48:00Z</dcterms:created>
  <dcterms:modified xsi:type="dcterms:W3CDTF">2020-04-07T19:08:00Z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http://www.zotero.org/styles/acta-biomaterialia</vt:lpwstr>
  </property>
  <property fmtid="{D5CDD505-2E9C-101B-9397-08002B2CF9AE}" pid="3" name="Mendeley Recent Style Name 0_1">
    <vt:lpwstr>Acta Biomaterialia</vt:lpwstr>
  </property>
  <property fmtid="{D5CDD505-2E9C-101B-9397-08002B2CF9AE}" pid="4" name="Mendeley Recent Style Id 1_1">
    <vt:lpwstr>http://www.zotero.org/styles/advanced-healthcare-materials</vt:lpwstr>
  </property>
  <property fmtid="{D5CDD505-2E9C-101B-9397-08002B2CF9AE}" pid="5" name="Mendeley Recent Style Name 1_1">
    <vt:lpwstr>Advanced Healthcare Materials</vt:lpwstr>
  </property>
  <property fmtid="{D5CDD505-2E9C-101B-9397-08002B2CF9AE}" pid="6" name="Mendeley Recent Style Id 2_1">
    <vt:lpwstr>http://www.zotero.org/styles/biomaterials-science</vt:lpwstr>
  </property>
  <property fmtid="{D5CDD505-2E9C-101B-9397-08002B2CF9AE}" pid="7" name="Mendeley Recent Style Name 2_1">
    <vt:lpwstr>Biomaterials Science</vt:lpwstr>
  </property>
  <property fmtid="{D5CDD505-2E9C-101B-9397-08002B2CF9AE}" pid="8" name="Mendeley Recent Style Id 3_1">
    <vt:lpwstr>http://csl.mendeley.com/styles/496297051/JoVE</vt:lpwstr>
  </property>
  <property fmtid="{D5CDD505-2E9C-101B-9397-08002B2CF9AE}" pid="9" name="Mendeley Recent Style Name 3_1">
    <vt:lpwstr>JoVE</vt:lpwstr>
  </property>
  <property fmtid="{D5CDD505-2E9C-101B-9397-08002B2CF9AE}" pid="10" name="Mendeley Recent Style Id 4_1">
    <vt:lpwstr>http://www.zotero.org/styles/materials-today-bio</vt:lpwstr>
  </property>
  <property fmtid="{D5CDD505-2E9C-101B-9397-08002B2CF9AE}" pid="11" name="Mendeley Recent Style Name 4_1">
    <vt:lpwstr>Materials Today Bio</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7th edition</vt:lpwstr>
  </property>
  <property fmtid="{D5CDD505-2E9C-101B-9397-08002B2CF9AE}" pid="16" name="Mendeley Recent Style Id 7_1">
    <vt:lpwstr>http://www.zotero.org/styles/nature-communications</vt:lpwstr>
  </property>
  <property fmtid="{D5CDD505-2E9C-101B-9397-08002B2CF9AE}" pid="17" name="Mendeley Recent Style Name 7_1">
    <vt:lpwstr>Nature Communications</vt:lpwstr>
  </property>
  <property fmtid="{D5CDD505-2E9C-101B-9397-08002B2CF9AE}" pid="18" name="Mendeley Recent Style Id 8_1">
    <vt:lpwstr>http://www.zotero.org/styles/harvard-university-of-birmingham</vt:lpwstr>
  </property>
  <property fmtid="{D5CDD505-2E9C-101B-9397-08002B2CF9AE}" pid="19" name="Mendeley Recent Style Name 8_1">
    <vt:lpwstr>University of Birmingham - Harvard</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a6bdfdec-e2d2-31b9-90b4-eb4a891c1d1a</vt:lpwstr>
  </property>
  <property fmtid="{D5CDD505-2E9C-101B-9397-08002B2CF9AE}" pid="24" name="Mendeley Citation Style_1">
    <vt:lpwstr>http://csl.mendeley.com/styles/496297051/JoVE</vt:lpwstr>
  </property>
</Properties>
</file>