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5EA31AB" w:rsidR="006305D7" w:rsidRPr="00D37E98" w:rsidRDefault="37E107B4" w:rsidP="00D37E98">
      <w:pPr>
        <w:pStyle w:val="NormalWeb"/>
        <w:widowControl/>
        <w:spacing w:before="0" w:beforeAutospacing="0" w:after="0" w:afterAutospacing="0"/>
        <w:rPr>
          <w:color w:val="000000" w:themeColor="text1"/>
        </w:rPr>
      </w:pPr>
      <w:r w:rsidRPr="00D37E98">
        <w:rPr>
          <w:b/>
          <w:bCs/>
          <w:color w:val="000000" w:themeColor="text1"/>
        </w:rPr>
        <w:t>TITLE:</w:t>
      </w:r>
      <w:r w:rsidRPr="00D37E98">
        <w:rPr>
          <w:color w:val="000000" w:themeColor="text1"/>
        </w:rPr>
        <w:t xml:space="preserve"> </w:t>
      </w:r>
      <w:hyperlink w:anchor="Title" w:history="1"/>
    </w:p>
    <w:p w14:paraId="2E300B21" w14:textId="5E651B52" w:rsidR="007A4DD6" w:rsidRPr="00481385" w:rsidRDefault="0CC9AF19" w:rsidP="00D37E98">
      <w:pPr>
        <w:widowControl/>
        <w:rPr>
          <w:b/>
          <w:bCs/>
          <w:color w:val="000000" w:themeColor="text1"/>
        </w:rPr>
      </w:pPr>
      <w:r w:rsidRPr="00481385">
        <w:rPr>
          <w:b/>
          <w:bCs/>
          <w:color w:val="000000" w:themeColor="text1"/>
        </w:rPr>
        <w:t xml:space="preserve">Modified </w:t>
      </w:r>
      <w:r w:rsidR="00481385" w:rsidRPr="00481385">
        <w:rPr>
          <w:b/>
          <w:bCs/>
          <w:color w:val="000000" w:themeColor="text1"/>
        </w:rPr>
        <w:t xml:space="preserve">Methods for Loading of High-Throughput </w:t>
      </w:r>
      <w:r w:rsidRPr="00481385">
        <w:rPr>
          <w:b/>
          <w:bCs/>
          <w:color w:val="000000" w:themeColor="text1"/>
        </w:rPr>
        <w:t xml:space="preserve">DNA </w:t>
      </w:r>
      <w:r w:rsidR="00481385" w:rsidRPr="00481385">
        <w:rPr>
          <w:b/>
          <w:bCs/>
          <w:color w:val="000000" w:themeColor="text1"/>
        </w:rPr>
        <w:t>Extraction Plates Reduce Potential for Contamination</w:t>
      </w:r>
    </w:p>
    <w:p w14:paraId="37D5D341" w14:textId="72896096" w:rsidR="7CF0A8F9" w:rsidRPr="00D37E98" w:rsidRDefault="7CF0A8F9" w:rsidP="00D37E98">
      <w:pPr>
        <w:widowControl/>
        <w:rPr>
          <w:b/>
          <w:bCs/>
          <w:color w:val="000000" w:themeColor="text1"/>
        </w:rPr>
      </w:pPr>
    </w:p>
    <w:p w14:paraId="3D080DA3" w14:textId="4EDF3C38" w:rsidR="006305D7" w:rsidRPr="00D37E98" w:rsidRDefault="37E107B4" w:rsidP="00D37E98">
      <w:pPr>
        <w:widowControl/>
        <w:rPr>
          <w:color w:val="000000" w:themeColor="text1"/>
        </w:rPr>
      </w:pPr>
      <w:r w:rsidRPr="00D37E98">
        <w:rPr>
          <w:b/>
          <w:bCs/>
          <w:color w:val="000000" w:themeColor="text1"/>
        </w:rPr>
        <w:t xml:space="preserve">AUTHORS AND AFFILIATIONS: </w:t>
      </w:r>
      <w:hyperlink w:anchor="Authors_and_Affiliations" w:history="1"/>
    </w:p>
    <w:p w14:paraId="32B171D0" w14:textId="5B42A345" w:rsidR="007A4DD6" w:rsidRPr="00D37E98" w:rsidRDefault="37E107B4" w:rsidP="00D37E98">
      <w:pPr>
        <w:widowControl/>
        <w:rPr>
          <w:color w:val="000000" w:themeColor="text1"/>
        </w:rPr>
      </w:pPr>
      <w:r w:rsidRPr="00D37E98">
        <w:rPr>
          <w:color w:val="000000" w:themeColor="text1"/>
        </w:rPr>
        <w:t>Gordon F. Custer</w:t>
      </w:r>
      <w:r w:rsidRPr="00D37E98">
        <w:rPr>
          <w:color w:val="000000" w:themeColor="text1"/>
          <w:vertAlign w:val="superscript"/>
        </w:rPr>
        <w:t>1,2</w:t>
      </w:r>
      <w:r w:rsidRPr="00D37E98">
        <w:rPr>
          <w:color w:val="000000" w:themeColor="text1"/>
        </w:rPr>
        <w:t>* and Reilly R. Dibner</w:t>
      </w:r>
      <w:r w:rsidRPr="00D37E98">
        <w:rPr>
          <w:color w:val="000000" w:themeColor="text1"/>
          <w:vertAlign w:val="superscript"/>
        </w:rPr>
        <w:t>3,4</w:t>
      </w:r>
      <w:r w:rsidRPr="00D37E98">
        <w:rPr>
          <w:color w:val="000000" w:themeColor="text1"/>
        </w:rPr>
        <w:t>*</w:t>
      </w:r>
    </w:p>
    <w:p w14:paraId="7665F908" w14:textId="7D0F9D54" w:rsidR="7CF0A8F9" w:rsidRPr="00D37E98" w:rsidRDefault="7CF0A8F9" w:rsidP="00D37E98">
      <w:pPr>
        <w:widowControl/>
        <w:rPr>
          <w:color w:val="000000" w:themeColor="text1"/>
        </w:rPr>
      </w:pPr>
    </w:p>
    <w:p w14:paraId="0CADC089" w14:textId="0AB4EDDB" w:rsidR="7CF0A8F9" w:rsidRPr="00D37E98" w:rsidRDefault="5402879A" w:rsidP="00D37E98">
      <w:pPr>
        <w:widowControl/>
        <w:rPr>
          <w:color w:val="000000" w:themeColor="text1"/>
          <w:vertAlign w:val="superscript"/>
        </w:rPr>
      </w:pPr>
      <w:r w:rsidRPr="00D37E98">
        <w:rPr>
          <w:color w:val="000000" w:themeColor="text1"/>
          <w:vertAlign w:val="superscript"/>
        </w:rPr>
        <w:t xml:space="preserve">1 </w:t>
      </w:r>
      <w:r w:rsidRPr="00D37E98">
        <w:rPr>
          <w:color w:val="000000" w:themeColor="text1"/>
        </w:rPr>
        <w:t>Department of Ecosystem Science and Management, University of Wyoming, Laramie, WY</w:t>
      </w:r>
    </w:p>
    <w:p w14:paraId="01650670" w14:textId="015809D8" w:rsidR="7CF0A8F9" w:rsidRPr="00D37E98" w:rsidRDefault="5402879A" w:rsidP="00D37E98">
      <w:pPr>
        <w:widowControl/>
        <w:rPr>
          <w:color w:val="000000" w:themeColor="text1"/>
          <w:vertAlign w:val="superscript"/>
        </w:rPr>
      </w:pPr>
      <w:r w:rsidRPr="00D37E98">
        <w:rPr>
          <w:color w:val="000000" w:themeColor="text1"/>
          <w:vertAlign w:val="superscript"/>
        </w:rPr>
        <w:t xml:space="preserve">2 </w:t>
      </w:r>
      <w:r w:rsidRPr="00D37E98">
        <w:rPr>
          <w:color w:val="000000" w:themeColor="text1"/>
        </w:rPr>
        <w:t>Program in Ecology, University of Wyoming, Laramie, WY</w:t>
      </w:r>
    </w:p>
    <w:p w14:paraId="62C0DD2B" w14:textId="2BC784F0" w:rsidR="7CF0A8F9" w:rsidRPr="00D37E98" w:rsidRDefault="37E107B4" w:rsidP="00D37E98">
      <w:pPr>
        <w:widowControl/>
        <w:rPr>
          <w:color w:val="000000" w:themeColor="text1"/>
        </w:rPr>
      </w:pPr>
      <w:r w:rsidRPr="00D37E98">
        <w:rPr>
          <w:color w:val="000000" w:themeColor="text1"/>
          <w:vertAlign w:val="superscript"/>
        </w:rPr>
        <w:t xml:space="preserve">3 </w:t>
      </w:r>
      <w:r w:rsidRPr="00D37E98">
        <w:rPr>
          <w:color w:val="000000" w:themeColor="text1"/>
        </w:rPr>
        <w:t>EPSCoR-IDEA, University of Wyoming, Laramie, WY</w:t>
      </w:r>
    </w:p>
    <w:p w14:paraId="6B334AA1" w14:textId="639882D3" w:rsidR="00044771" w:rsidRPr="00D37E98" w:rsidRDefault="00044771" w:rsidP="00D37E98">
      <w:pPr>
        <w:widowControl/>
        <w:rPr>
          <w:color w:val="000000" w:themeColor="text1"/>
        </w:rPr>
      </w:pPr>
      <w:r w:rsidRPr="00D37E98">
        <w:rPr>
          <w:color w:val="000000" w:themeColor="text1"/>
          <w:vertAlign w:val="superscript"/>
        </w:rPr>
        <w:t xml:space="preserve">4 </w:t>
      </w:r>
      <w:r w:rsidRPr="00D37E98">
        <w:rPr>
          <w:color w:val="000000" w:themeColor="text1"/>
        </w:rPr>
        <w:t>Department of Botany, University of Wyoming, Laramie, WY</w:t>
      </w:r>
    </w:p>
    <w:p w14:paraId="3AB7DA9C" w14:textId="7C095235" w:rsidR="7CF0A8F9" w:rsidRPr="00D37E98" w:rsidRDefault="7CF0A8F9" w:rsidP="00D37E98">
      <w:pPr>
        <w:widowControl/>
        <w:rPr>
          <w:color w:val="000000" w:themeColor="text1"/>
          <w:vertAlign w:val="subscript"/>
        </w:rPr>
      </w:pPr>
    </w:p>
    <w:p w14:paraId="311231BE" w14:textId="5931610A" w:rsidR="7CF0A8F9" w:rsidRPr="00D37E98" w:rsidRDefault="5402879A" w:rsidP="00D37E98">
      <w:pPr>
        <w:widowControl/>
        <w:rPr>
          <w:color w:val="000000" w:themeColor="text1"/>
        </w:rPr>
      </w:pPr>
      <w:r w:rsidRPr="00D37E98">
        <w:rPr>
          <w:color w:val="000000" w:themeColor="text1"/>
        </w:rPr>
        <w:t>*These authors contributed equally.</w:t>
      </w:r>
    </w:p>
    <w:p w14:paraId="213451B1" w14:textId="439C79DE" w:rsidR="7CF0A8F9" w:rsidRPr="00D37E98" w:rsidRDefault="7CF0A8F9" w:rsidP="00D37E98">
      <w:pPr>
        <w:widowControl/>
        <w:rPr>
          <w:color w:val="000000" w:themeColor="text1"/>
        </w:rPr>
      </w:pPr>
    </w:p>
    <w:p w14:paraId="3824A8EF" w14:textId="77777777" w:rsidR="00D37E98" w:rsidRPr="00D37E98" w:rsidRDefault="0CC9AF19" w:rsidP="00D37E98">
      <w:pPr>
        <w:widowControl/>
        <w:rPr>
          <w:b/>
          <w:bCs/>
          <w:color w:val="000000" w:themeColor="text1"/>
        </w:rPr>
      </w:pPr>
      <w:r w:rsidRPr="00D37E98">
        <w:rPr>
          <w:b/>
          <w:bCs/>
          <w:color w:val="000000" w:themeColor="text1"/>
        </w:rPr>
        <w:t xml:space="preserve">Corresponding author: </w:t>
      </w:r>
    </w:p>
    <w:p w14:paraId="0CF3172B" w14:textId="1C3F3809" w:rsidR="7CF0A8F9" w:rsidRPr="00D37E98" w:rsidRDefault="00D37E98" w:rsidP="00D37E98">
      <w:pPr>
        <w:widowControl/>
        <w:rPr>
          <w:color w:val="000000" w:themeColor="text1"/>
        </w:rPr>
      </w:pPr>
      <w:r w:rsidRPr="00D37E98">
        <w:rPr>
          <w:color w:val="000000" w:themeColor="text1"/>
        </w:rPr>
        <w:t>Gordon F. Custer (</w:t>
      </w:r>
      <w:r w:rsidR="0CC9AF19" w:rsidRPr="00D37E98">
        <w:rPr>
          <w:color w:val="000000" w:themeColor="text1"/>
        </w:rPr>
        <w:t>gcuster@uwyo.edu</w:t>
      </w:r>
      <w:r w:rsidRPr="00D37E98">
        <w:rPr>
          <w:color w:val="000000" w:themeColor="text1"/>
        </w:rPr>
        <w:t>)</w:t>
      </w:r>
    </w:p>
    <w:p w14:paraId="72A4E570" w14:textId="4DA0D88B" w:rsidR="7CF0A8F9" w:rsidRPr="00D37E98" w:rsidRDefault="7CF0A8F9" w:rsidP="00D37E98">
      <w:pPr>
        <w:widowControl/>
        <w:rPr>
          <w:b/>
          <w:bCs/>
          <w:color w:val="000000" w:themeColor="text1"/>
        </w:rPr>
      </w:pPr>
    </w:p>
    <w:p w14:paraId="1BA2FB4B" w14:textId="77777777" w:rsidR="00D37E98" w:rsidRPr="00D37E98" w:rsidRDefault="4C4CA750" w:rsidP="00D37E98">
      <w:pPr>
        <w:widowControl/>
        <w:rPr>
          <w:color w:val="000000" w:themeColor="text1"/>
        </w:rPr>
      </w:pPr>
      <w:r w:rsidRPr="00D37E98">
        <w:rPr>
          <w:b/>
          <w:bCs/>
          <w:color w:val="000000" w:themeColor="text1"/>
        </w:rPr>
        <w:t>Email address of co-author:</w:t>
      </w:r>
      <w:r w:rsidRPr="00D37E98">
        <w:rPr>
          <w:color w:val="000000" w:themeColor="text1"/>
        </w:rPr>
        <w:t xml:space="preserve"> </w:t>
      </w:r>
    </w:p>
    <w:p w14:paraId="5AA950AB" w14:textId="1528A1CA" w:rsidR="7CF0A8F9" w:rsidRPr="00D37E98" w:rsidRDefault="00D37E98" w:rsidP="00D37E98">
      <w:pPr>
        <w:widowControl/>
        <w:rPr>
          <w:color w:val="000000" w:themeColor="text1"/>
        </w:rPr>
      </w:pPr>
      <w:r w:rsidRPr="00D37E98">
        <w:rPr>
          <w:color w:val="000000" w:themeColor="text1"/>
        </w:rPr>
        <w:t>Reilly R. Dibner</w:t>
      </w:r>
      <w:r w:rsidRPr="00D37E98">
        <w:rPr>
          <w:color w:val="000000" w:themeColor="text1"/>
          <w:vertAlign w:val="superscript"/>
        </w:rPr>
        <w:t xml:space="preserve"> </w:t>
      </w:r>
      <w:r w:rsidRPr="00D37E98">
        <w:rPr>
          <w:color w:val="000000" w:themeColor="text1"/>
        </w:rPr>
        <w:t>(</w:t>
      </w:r>
      <w:r w:rsidR="4C4CA750" w:rsidRPr="00D37E98">
        <w:rPr>
          <w:color w:val="000000" w:themeColor="text1"/>
        </w:rPr>
        <w:t>rdibner@uwyo.edu</w:t>
      </w:r>
      <w:r w:rsidRPr="00D37E98">
        <w:rPr>
          <w:color w:val="000000" w:themeColor="text1"/>
        </w:rPr>
        <w:t>)</w:t>
      </w:r>
    </w:p>
    <w:p w14:paraId="60FCB589" w14:textId="42D11221" w:rsidR="00D04A95" w:rsidRPr="00D37E98" w:rsidRDefault="00D04A95" w:rsidP="00D37E98">
      <w:pPr>
        <w:widowControl/>
        <w:rPr>
          <w:bCs/>
          <w:color w:val="000000" w:themeColor="text1"/>
        </w:rPr>
      </w:pPr>
    </w:p>
    <w:p w14:paraId="71B79AC9" w14:textId="6EE0D3EC" w:rsidR="006305D7" w:rsidRPr="00D37E98" w:rsidRDefault="37E107B4" w:rsidP="00D37E98">
      <w:pPr>
        <w:pStyle w:val="NormalWeb"/>
        <w:widowControl/>
        <w:spacing w:before="0" w:beforeAutospacing="0" w:after="0" w:afterAutospacing="0"/>
        <w:rPr>
          <w:color w:val="000000" w:themeColor="text1"/>
        </w:rPr>
      </w:pPr>
      <w:r w:rsidRPr="00D37E98">
        <w:rPr>
          <w:b/>
          <w:bCs/>
          <w:color w:val="000000" w:themeColor="text1"/>
        </w:rPr>
        <w:t>KEYWORDS:</w:t>
      </w:r>
      <w:r w:rsidRPr="00D37E98">
        <w:rPr>
          <w:color w:val="000000" w:themeColor="text1"/>
        </w:rPr>
        <w:t xml:space="preserve"> </w:t>
      </w:r>
      <w:hyperlink w:anchor="Keywords" w:history="1"/>
    </w:p>
    <w:p w14:paraId="70C08686" w14:textId="058ACC8B" w:rsidR="28FC9FB5" w:rsidRPr="00D37E98" w:rsidRDefault="37E107B4" w:rsidP="00D37E98">
      <w:pPr>
        <w:widowControl/>
        <w:rPr>
          <w:color w:val="000000" w:themeColor="text1"/>
        </w:rPr>
      </w:pPr>
      <w:r w:rsidRPr="00D37E98">
        <w:rPr>
          <w:color w:val="000000" w:themeColor="text1"/>
        </w:rPr>
        <w:t>DNA extraction, 96-well plate, well-to-well cross-contamination, microbiome, microbial ecology, environmental microbiology</w:t>
      </w:r>
    </w:p>
    <w:p w14:paraId="1CB4E390" w14:textId="77777777" w:rsidR="006305D7" w:rsidRPr="00D37E98" w:rsidRDefault="006305D7" w:rsidP="00D37E98">
      <w:pPr>
        <w:pStyle w:val="NormalWeb"/>
        <w:widowControl/>
        <w:spacing w:before="0" w:beforeAutospacing="0" w:after="0" w:afterAutospacing="0"/>
        <w:rPr>
          <w:color w:val="000000" w:themeColor="text1"/>
        </w:rPr>
      </w:pPr>
    </w:p>
    <w:p w14:paraId="628AC4B5" w14:textId="0B95D4BD" w:rsidR="006305D7" w:rsidRPr="00D37E98" w:rsidRDefault="0CC9AF19" w:rsidP="00D37E98">
      <w:pPr>
        <w:widowControl/>
        <w:rPr>
          <w:color w:val="000000" w:themeColor="text1"/>
        </w:rPr>
      </w:pPr>
      <w:r w:rsidRPr="00D37E98">
        <w:rPr>
          <w:b/>
          <w:bCs/>
          <w:color w:val="000000" w:themeColor="text1"/>
        </w:rPr>
        <w:t>SUMMARY:</w:t>
      </w:r>
      <w:hyperlink w:anchor="Short_Abstract" w:history="1"/>
    </w:p>
    <w:p w14:paraId="24C22C31" w14:textId="0E6DC979" w:rsidR="31671708" w:rsidRPr="00D37E98" w:rsidRDefault="0CC9AF19" w:rsidP="00D37E98">
      <w:pPr>
        <w:widowControl/>
        <w:rPr>
          <w:color w:val="000000" w:themeColor="text1"/>
        </w:rPr>
      </w:pPr>
      <w:r w:rsidRPr="00D37E98">
        <w:rPr>
          <w:color w:val="000000" w:themeColor="text1"/>
        </w:rPr>
        <w:t xml:space="preserve">Current methods for loading 96-well plates for DNA extractions can be prone to contamination. We detail a new method for loading 96-well plates that reduces risk of cross-contamination among wells. Our method will help other researchers </w:t>
      </w:r>
      <w:r w:rsidRPr="00D37E98">
        <w:t xml:space="preserve">capitalize on the efficiency of </w:t>
      </w:r>
      <w:r w:rsidRPr="00D37E98">
        <w:rPr>
          <w:color w:val="000000" w:themeColor="text1"/>
        </w:rPr>
        <w:t xml:space="preserve">high-throughput DNA extraction techniques and minimize risk of contamination. </w:t>
      </w:r>
    </w:p>
    <w:p w14:paraId="761028D6" w14:textId="77777777" w:rsidR="006305D7" w:rsidRPr="00D37E98" w:rsidRDefault="006305D7" w:rsidP="00D37E98">
      <w:pPr>
        <w:widowControl/>
        <w:rPr>
          <w:color w:val="000000" w:themeColor="text1"/>
        </w:rPr>
      </w:pPr>
    </w:p>
    <w:p w14:paraId="64FB8590" w14:textId="03A8F958" w:rsidR="006305D7" w:rsidRPr="00D37E98" w:rsidRDefault="37E107B4" w:rsidP="00D37E98">
      <w:pPr>
        <w:widowControl/>
        <w:rPr>
          <w:color w:val="000000" w:themeColor="text1"/>
        </w:rPr>
      </w:pPr>
      <w:r w:rsidRPr="00D37E98">
        <w:rPr>
          <w:b/>
          <w:bCs/>
          <w:color w:val="000000" w:themeColor="text1"/>
        </w:rPr>
        <w:t>ABSTRACT:</w:t>
      </w:r>
      <w:r w:rsidRPr="00D37E98">
        <w:rPr>
          <w:color w:val="000000" w:themeColor="text1"/>
        </w:rPr>
        <w:t xml:space="preserve"> </w:t>
      </w:r>
      <w:hyperlink w:anchor="Long_Abstract" w:history="1"/>
    </w:p>
    <w:p w14:paraId="4C7D5FD5" w14:textId="153BF540" w:rsidR="006305D7" w:rsidRPr="00D37E98" w:rsidRDefault="0CC9AF19" w:rsidP="00D37E98">
      <w:pPr>
        <w:widowControl/>
        <w:rPr>
          <w:color w:val="000000" w:themeColor="text1"/>
        </w:rPr>
      </w:pPr>
      <w:r w:rsidRPr="00D37E98">
        <w:rPr>
          <w:color w:val="000000" w:themeColor="text1"/>
        </w:rPr>
        <w:t xml:space="preserve">High-throughput DNA sequencing techniques have contributed substantially to advances in our understanding of relationships among microbial communities, host characteristics, and broader ecosystem functions. With this rapid increase in breadth and depth of sequencing capabilities have come methods to extract, amplify, analyze, and interpret environmental DNA successfully with maximum efficiency. Unfortunately, performing DNA extractions quickly can come at the cost of increasing the risk of contamination among samples. In particular, high-throughput extractions that are based on samples contained in a 96-well plate offer a relatively quick method, compared to single-tube extractions, but also increase opportunities for well-to-well cross-contamination. To minimize the risk of cross-contamination among samples, while retaining the benefits of high-throughput extraction techniques, we developed a new method for loading environmental samples into 96-well plates. We used pierceable PCR sealing films to cover each plate while loading samples and added samples first to PCR tubes before moving them into wells; together, these practices reduce the risk of sample drift and unintended double </w:t>
      </w:r>
      <w:r w:rsidRPr="00D37E98">
        <w:rPr>
          <w:color w:val="000000" w:themeColor="text1"/>
        </w:rPr>
        <w:lastRenderedPageBreak/>
        <w:t xml:space="preserve">loading of wells. The method outlined in this paper provides researchers with an approach to maximize available high-throughput extraction techniques while reducing the risk of cross-contamination inherent to 96-well plates. We provide a detailed step by step outline of how to move from sample collection to DNA extraction while minimizing the risk of unwanted cross-contamination. </w:t>
      </w:r>
    </w:p>
    <w:p w14:paraId="7A1B9564" w14:textId="09496554" w:rsidR="7CF0A8F9" w:rsidRPr="00D37E98" w:rsidRDefault="7CF0A8F9" w:rsidP="00D37E98">
      <w:pPr>
        <w:widowControl/>
        <w:rPr>
          <w:color w:val="000000" w:themeColor="text1"/>
        </w:rPr>
      </w:pPr>
    </w:p>
    <w:p w14:paraId="00D25F73" w14:textId="792161F3" w:rsidR="006305D7" w:rsidRPr="00D37E98" w:rsidRDefault="37E107B4" w:rsidP="00D37E98">
      <w:pPr>
        <w:widowControl/>
        <w:rPr>
          <w:color w:val="000000" w:themeColor="text1"/>
        </w:rPr>
      </w:pPr>
      <w:r w:rsidRPr="00D37E98">
        <w:rPr>
          <w:b/>
          <w:bCs/>
          <w:color w:val="000000" w:themeColor="text1"/>
        </w:rPr>
        <w:t>INTRODUCTION:</w:t>
      </w:r>
      <w:r w:rsidRPr="00D37E98">
        <w:rPr>
          <w:color w:val="000000" w:themeColor="text1"/>
        </w:rPr>
        <w:t xml:space="preserve"> </w:t>
      </w:r>
      <w:hyperlink w:anchor="Introduction" w:history="1"/>
    </w:p>
    <w:p w14:paraId="14E9B233" w14:textId="7CD858F6" w:rsidR="00B90137" w:rsidRPr="00D37E98" w:rsidRDefault="0CC9AF19" w:rsidP="00D37E98">
      <w:pPr>
        <w:widowControl/>
        <w:rPr>
          <w:color w:val="000000" w:themeColor="text1"/>
        </w:rPr>
      </w:pPr>
      <w:r w:rsidRPr="00D37E98">
        <w:rPr>
          <w:color w:val="000000" w:themeColor="text1"/>
        </w:rPr>
        <w:t>Recent advances in high-throughput sequencing of microbial communities are providing unparalleled sequencing depth and, consequently, an unprecedent glimpse into the functioning and diversity of Earth's microbiome</w:t>
      </w:r>
      <w:r w:rsidR="003B0B90" w:rsidRPr="00D37E98">
        <w:rPr>
          <w:vertAlign w:val="superscript"/>
        </w:rPr>
        <w:t>1</w:t>
      </w:r>
      <w:r w:rsidRPr="00D37E98">
        <w:rPr>
          <w:color w:val="000000" w:themeColor="text1"/>
        </w:rPr>
        <w:t>. As the ability to multiplex more and more samples onto a single sequencing lane increases, single tube DNA extraction has the potential to become a rate-limiting step in the generation of ecological data. However, new methods in high-throughput DNA extractions hold promise for processing large quantities of environmental samples with greater efficiency than has previously been possible</w:t>
      </w:r>
      <w:r w:rsidR="003B0B90" w:rsidRPr="00D37E98">
        <w:rPr>
          <w:vertAlign w:val="superscript"/>
        </w:rPr>
        <w:t>2</w:t>
      </w:r>
      <w:r w:rsidRPr="00D37E98">
        <w:rPr>
          <w:color w:val="000000" w:themeColor="text1"/>
        </w:rPr>
        <w:t>. These methods often involve using 96-well plates instead of single-tubes, thereby increasing the possible number of extractions</w:t>
      </w:r>
      <w:r w:rsidR="003E32AA" w:rsidRPr="00D37E98">
        <w:rPr>
          <w:color w:val="000000" w:themeColor="text1"/>
        </w:rPr>
        <w:t xml:space="preserve"> that can occur simultaneously</w:t>
      </w:r>
      <w:r w:rsidRPr="00D37E98">
        <w:rPr>
          <w:color w:val="000000" w:themeColor="text1"/>
        </w:rPr>
        <w:t>. As such, the</w:t>
      </w:r>
      <w:r w:rsidR="003E32AA" w:rsidRPr="00D37E98">
        <w:rPr>
          <w:color w:val="000000" w:themeColor="text1"/>
        </w:rPr>
        <w:t xml:space="preserve"> </w:t>
      </w:r>
      <w:r w:rsidRPr="00D37E98">
        <w:rPr>
          <w:color w:val="000000" w:themeColor="text1"/>
        </w:rPr>
        <w:t xml:space="preserve">practicality and </w:t>
      </w:r>
      <w:r w:rsidR="003E32AA" w:rsidRPr="00D37E98">
        <w:rPr>
          <w:color w:val="000000" w:themeColor="text1"/>
        </w:rPr>
        <w:t xml:space="preserve">efficiency </w:t>
      </w:r>
      <w:r w:rsidRPr="00D37E98">
        <w:rPr>
          <w:color w:val="000000" w:themeColor="text1"/>
        </w:rPr>
        <w:t>of h</w:t>
      </w:r>
      <w:r w:rsidRPr="00D37E98">
        <w:t>igh</w:t>
      </w:r>
      <w:r w:rsidRPr="00D37E98">
        <w:rPr>
          <w:color w:val="000000" w:themeColor="text1"/>
        </w:rPr>
        <w:t xml:space="preserve">-throughput extraction methods </w:t>
      </w:r>
      <w:r w:rsidR="003E32AA" w:rsidRPr="00D37E98">
        <w:rPr>
          <w:color w:val="000000" w:themeColor="text1"/>
        </w:rPr>
        <w:t xml:space="preserve">are evident and </w:t>
      </w:r>
      <w:r w:rsidRPr="00D37E98">
        <w:rPr>
          <w:color w:val="000000" w:themeColor="text1"/>
        </w:rPr>
        <w:t>have been implemented for processing of environmental samples ranging from soil</w:t>
      </w:r>
      <w:r w:rsidR="003B0B90" w:rsidRPr="00D37E98">
        <w:rPr>
          <w:vertAlign w:val="superscript"/>
        </w:rPr>
        <w:t>3, 4</w:t>
      </w:r>
      <w:r w:rsidRPr="00D37E98">
        <w:rPr>
          <w:color w:val="000000" w:themeColor="text1"/>
        </w:rPr>
        <w:t xml:space="preserve"> and plant tissues</w:t>
      </w:r>
      <w:r w:rsidR="003B0B90" w:rsidRPr="00D37E98">
        <w:rPr>
          <w:vertAlign w:val="superscript"/>
        </w:rPr>
        <w:t>3, 5</w:t>
      </w:r>
      <w:r w:rsidRPr="00D37E98">
        <w:rPr>
          <w:color w:val="000000" w:themeColor="text1"/>
        </w:rPr>
        <w:t xml:space="preserve"> to human fecal matter</w:t>
      </w:r>
      <w:r w:rsidR="003B0B90" w:rsidRPr="00D37E98">
        <w:rPr>
          <w:vertAlign w:val="superscript"/>
        </w:rPr>
        <w:t>2</w:t>
      </w:r>
      <w:r w:rsidRPr="00D37E98">
        <w:rPr>
          <w:color w:val="000000" w:themeColor="text1"/>
        </w:rPr>
        <w:t xml:space="preserve">. </w:t>
      </w:r>
    </w:p>
    <w:p w14:paraId="6CE5C90E" w14:textId="77777777" w:rsidR="00D37E98" w:rsidRPr="00D37E98" w:rsidRDefault="00D37E98" w:rsidP="00D37E98">
      <w:pPr>
        <w:widowControl/>
        <w:rPr>
          <w:color w:val="000000" w:themeColor="text1"/>
        </w:rPr>
      </w:pPr>
    </w:p>
    <w:p w14:paraId="55651DC0" w14:textId="065AE3AE" w:rsidR="007A4DD6" w:rsidRPr="00D37E98" w:rsidRDefault="0CC9AF19" w:rsidP="00D37E98">
      <w:pPr>
        <w:widowControl/>
        <w:rPr>
          <w:color w:val="000000" w:themeColor="text1"/>
        </w:rPr>
      </w:pPr>
      <w:r w:rsidRPr="00D37E98">
        <w:rPr>
          <w:color w:val="000000" w:themeColor="text1"/>
        </w:rPr>
        <w:t>While these methods can dramatically speed along sample processing and DNA extraction, the initial step of loading soil and other ecological samples into 96-well plates is susceptible to cross-</w:t>
      </w:r>
      <w:r w:rsidRPr="00D37E98">
        <w:rPr>
          <w:color w:val="000000" w:themeColor="text1"/>
        </w:rPr>
        <w:t>sample contamination</w:t>
      </w:r>
      <w:r w:rsidR="000A2FEF" w:rsidRPr="00D37E98">
        <w:rPr>
          <w:color w:val="000000" w:themeColor="text1"/>
        </w:rPr>
        <w:t xml:space="preserve">. </w:t>
      </w:r>
      <w:r w:rsidR="00C97103" w:rsidRPr="00D37E98">
        <w:rPr>
          <w:color w:val="000000" w:themeColor="text1"/>
        </w:rPr>
        <w:t>This type of well-to-well contamination can occur during DNA extractions</w:t>
      </w:r>
      <w:r w:rsidR="003B0B90" w:rsidRPr="00D37E98">
        <w:rPr>
          <w:vertAlign w:val="superscript"/>
        </w:rPr>
        <w:t>6,7</w:t>
      </w:r>
      <w:r w:rsidR="00BF26A7">
        <w:rPr>
          <w:vertAlign w:val="superscript"/>
        </w:rPr>
        <w:t>,8</w:t>
      </w:r>
      <w:r w:rsidR="00C97103" w:rsidRPr="00D37E98">
        <w:rPr>
          <w:color w:val="000000" w:themeColor="text1"/>
        </w:rPr>
        <w:t xml:space="preserve">, and wells </w:t>
      </w:r>
      <w:r w:rsidR="00C97103" w:rsidRPr="00D37E98">
        <w:rPr>
          <w:color w:val="000000" w:themeColor="text1"/>
        </w:rPr>
        <w:t>are particularly vulnerable in this first step before samples are suspended in a buffer solution.</w:t>
      </w:r>
      <w:r w:rsidR="00437C77">
        <w:rPr>
          <w:color w:val="000000" w:themeColor="text1"/>
        </w:rPr>
        <w:t xml:space="preserve"> </w:t>
      </w:r>
      <w:r w:rsidRPr="00D37E98">
        <w:rPr>
          <w:color w:val="000000" w:themeColor="text1"/>
        </w:rPr>
        <w:t>McPherson et al.</w:t>
      </w:r>
      <w:r w:rsidR="00903F70">
        <w:rPr>
          <w:vertAlign w:val="superscript"/>
        </w:rPr>
        <w:t>9</w:t>
      </w:r>
      <w:r w:rsidRPr="00D37E98">
        <w:rPr>
          <w:color w:val="000000" w:themeColor="text1"/>
        </w:rPr>
        <w:t xml:space="preserve"> demonstrate a method to load rhizosphere soils into 96-well plates using funnels and 8-well PCR strip covers</w:t>
      </w:r>
      <w:r w:rsidR="00C97103" w:rsidRPr="00D37E98">
        <w:rPr>
          <w:color w:val="000000" w:themeColor="text1"/>
        </w:rPr>
        <w:t>,</w:t>
      </w:r>
      <w:r w:rsidRPr="00D37E98">
        <w:rPr>
          <w:color w:val="000000" w:themeColor="text1"/>
        </w:rPr>
        <w:t xml:space="preserve"> but</w:t>
      </w:r>
      <w:r w:rsidR="00C97103" w:rsidRPr="00D37E98">
        <w:rPr>
          <w:color w:val="000000" w:themeColor="text1"/>
        </w:rPr>
        <w:t xml:space="preserve"> </w:t>
      </w:r>
      <w:r w:rsidRPr="00D37E98">
        <w:rPr>
          <w:color w:val="000000" w:themeColor="text1"/>
        </w:rPr>
        <w:t>while their method is a more controlled approach to loading plates, it still provides ample opportunity for contamination of neighboring wells when loading each sample</w:t>
      </w:r>
      <w:r w:rsidR="00D37E98" w:rsidRPr="00D37E98">
        <w:rPr>
          <w:color w:val="000000" w:themeColor="text1"/>
        </w:rPr>
        <w:t>.</w:t>
      </w:r>
      <w:r w:rsidRPr="00D37E98">
        <w:rPr>
          <w:color w:val="000000" w:themeColor="text1"/>
        </w:rPr>
        <w:t xml:space="preserve"> </w:t>
      </w:r>
      <w:r w:rsidR="00C97103" w:rsidRPr="00D37E98">
        <w:rPr>
          <w:color w:val="000000" w:themeColor="text1"/>
        </w:rPr>
        <w:t>Additionally, the open wells allow</w:t>
      </w:r>
      <w:r w:rsidRPr="00D37E98">
        <w:rPr>
          <w:color w:val="000000" w:themeColor="text1"/>
        </w:rPr>
        <w:t xml:space="preserve"> the chance for a distracted researcher to place a sample into the incorrect well or add a sample into a well that already has been loaded. In addition, a variety of sample types prove to be ill-suited for loading with this method; wet samples often stick to the funnels and dry samples ‘jump’ between wells due to static electricity</w:t>
      </w:r>
      <w:r w:rsidR="001C6CA1" w:rsidRPr="00D37E98">
        <w:rPr>
          <w:color w:val="000000" w:themeColor="text1"/>
        </w:rPr>
        <w:t>.</w:t>
      </w:r>
      <w:r w:rsidR="00C97103" w:rsidRPr="00D37E98">
        <w:rPr>
          <w:color w:val="000000" w:themeColor="text1"/>
        </w:rPr>
        <w:t xml:space="preserve"> </w:t>
      </w:r>
    </w:p>
    <w:p w14:paraId="675CDCFD" w14:textId="77777777" w:rsidR="00D37E98" w:rsidRPr="00D37E98" w:rsidRDefault="00D37E98" w:rsidP="00D37E98">
      <w:pPr>
        <w:widowControl/>
        <w:rPr>
          <w:color w:val="000000" w:themeColor="text1"/>
        </w:rPr>
      </w:pPr>
    </w:p>
    <w:p w14:paraId="1E2E5280" w14:textId="4ED40079" w:rsidR="007A4DD6" w:rsidRPr="00D37E98" w:rsidRDefault="0CC9AF19" w:rsidP="00D37E98">
      <w:pPr>
        <w:widowControl/>
        <w:rPr>
          <w:color w:val="000000" w:themeColor="text1"/>
        </w:rPr>
      </w:pPr>
      <w:r w:rsidRPr="00D37E98">
        <w:rPr>
          <w:color w:val="000000" w:themeColor="text1"/>
        </w:rPr>
        <w:t>To reduce opportunities for contamination among wells in the first step of high-throughput DNA extractions, we developed a new approach to loading soil samples into 96-well plates. Our methods both protect wells from environmental exposure and prevent us from accidentally loading multiple samples into one well (double-loading). We believe the method reported below offers promise to reduce the potential for contamination and as such provi</w:t>
      </w:r>
      <w:r w:rsidR="000D12CF" w:rsidRPr="00D37E98">
        <w:rPr>
          <w:color w:val="000000" w:themeColor="text1"/>
        </w:rPr>
        <w:t>d</w:t>
      </w:r>
      <w:r w:rsidRPr="00D37E98">
        <w:rPr>
          <w:color w:val="000000" w:themeColor="text1"/>
        </w:rPr>
        <w:t xml:space="preserve">es a more controlled means to load 96-well plates for subsequent DNA extraction.  </w:t>
      </w:r>
    </w:p>
    <w:p w14:paraId="237AD7DD" w14:textId="708C74EA" w:rsidR="00D15131" w:rsidRPr="00D37E98" w:rsidRDefault="00D15131" w:rsidP="00D37E98">
      <w:pPr>
        <w:widowControl/>
        <w:rPr>
          <w:color w:val="000000" w:themeColor="text1"/>
        </w:rPr>
      </w:pPr>
    </w:p>
    <w:p w14:paraId="03FC82C4" w14:textId="77777777" w:rsidR="0086169E" w:rsidRPr="00D37E98" w:rsidRDefault="4C4CA750" w:rsidP="00D37E98">
      <w:pPr>
        <w:widowControl/>
        <w:rPr>
          <w:color w:val="000000" w:themeColor="text1"/>
        </w:rPr>
      </w:pPr>
      <w:r w:rsidRPr="00D37E98">
        <w:rPr>
          <w:b/>
          <w:bCs/>
          <w:color w:val="000000" w:themeColor="text1"/>
        </w:rPr>
        <w:t>PROTOCOL:</w:t>
      </w:r>
      <w:r w:rsidRPr="00D37E98">
        <w:rPr>
          <w:color w:val="000000" w:themeColor="text1"/>
        </w:rPr>
        <w:t xml:space="preserve"> </w:t>
      </w:r>
    </w:p>
    <w:p w14:paraId="3D4CD2F3" w14:textId="36976CA8" w:rsidR="006305D7" w:rsidRPr="00D37E98" w:rsidRDefault="0002290E" w:rsidP="00D37E98">
      <w:pPr>
        <w:widowControl/>
        <w:rPr>
          <w:rStyle w:val="Hyperlink"/>
          <w:color w:val="000000" w:themeColor="text1"/>
        </w:rPr>
      </w:pPr>
      <w:hyperlink w:anchor="Protocol" w:history="1"/>
    </w:p>
    <w:p w14:paraId="105092BC" w14:textId="07500717" w:rsidR="00001169" w:rsidRDefault="729BC724" w:rsidP="00D37E98">
      <w:pPr>
        <w:pStyle w:val="ListParagraph"/>
        <w:widowControl/>
        <w:numPr>
          <w:ilvl w:val="0"/>
          <w:numId w:val="1"/>
        </w:numPr>
        <w:rPr>
          <w:b/>
          <w:bCs/>
          <w:color w:val="000000" w:themeColor="text1"/>
          <w:highlight w:val="yellow"/>
        </w:rPr>
      </w:pPr>
      <w:r w:rsidRPr="00D37E98">
        <w:rPr>
          <w:b/>
          <w:bCs/>
          <w:color w:val="000000" w:themeColor="text1"/>
          <w:highlight w:val="yellow"/>
        </w:rPr>
        <w:t>Laboratory bench and tool preparation</w:t>
      </w:r>
      <w:r w:rsidR="00D37E98" w:rsidRPr="00D37E98">
        <w:rPr>
          <w:b/>
          <w:bCs/>
          <w:color w:val="000000" w:themeColor="text1"/>
          <w:highlight w:val="yellow"/>
        </w:rPr>
        <w:t xml:space="preserve"> for loading a 96-well plate</w:t>
      </w:r>
    </w:p>
    <w:p w14:paraId="242CAFC9" w14:textId="77777777" w:rsidR="00D37E98" w:rsidRPr="00D37E98" w:rsidRDefault="00D37E98" w:rsidP="00D37E98">
      <w:pPr>
        <w:pStyle w:val="ListParagraph"/>
        <w:widowControl/>
        <w:ind w:left="0"/>
        <w:rPr>
          <w:b/>
          <w:bCs/>
          <w:color w:val="000000" w:themeColor="text1"/>
          <w:highlight w:val="yellow"/>
        </w:rPr>
      </w:pPr>
    </w:p>
    <w:p w14:paraId="5C96374F" w14:textId="46EDA283" w:rsidR="2CF9D4DD"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lastRenderedPageBreak/>
        <w:t xml:space="preserve">Clear bench top by misting with 70% ethanol. Wipe and let air dry before spraying bench top with 10% bleach. Wipe </w:t>
      </w:r>
      <w:r w:rsidR="00D37E98">
        <w:rPr>
          <w:color w:val="000000" w:themeColor="text1"/>
          <w:highlight w:val="yellow"/>
        </w:rPr>
        <w:t xml:space="preserve">the </w:t>
      </w:r>
      <w:r w:rsidRPr="00D37E98">
        <w:rPr>
          <w:color w:val="000000" w:themeColor="text1"/>
          <w:highlight w:val="yellow"/>
        </w:rPr>
        <w:t xml:space="preserve">bench top dry. </w:t>
      </w:r>
    </w:p>
    <w:p w14:paraId="7ABEFC8D" w14:textId="77777777" w:rsidR="00D37E98" w:rsidRPr="00D37E98" w:rsidRDefault="00D37E98" w:rsidP="00D37E98">
      <w:pPr>
        <w:pStyle w:val="ListParagraph"/>
        <w:widowControl/>
        <w:ind w:left="0"/>
        <w:rPr>
          <w:color w:val="000000" w:themeColor="text1"/>
          <w:highlight w:val="yellow"/>
        </w:rPr>
      </w:pPr>
    </w:p>
    <w:p w14:paraId="76092EE6" w14:textId="77777777" w:rsidR="00D37E98"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t xml:space="preserve">Sterilize micro-scoopula, spatula, and surgical scissors (curved) </w:t>
      </w:r>
      <w:r w:rsidR="00D37E98">
        <w:rPr>
          <w:color w:val="000000" w:themeColor="text1"/>
          <w:highlight w:val="yellow"/>
        </w:rPr>
        <w:t xml:space="preserve">by </w:t>
      </w:r>
      <w:r w:rsidRPr="00D37E98">
        <w:rPr>
          <w:color w:val="000000" w:themeColor="text1"/>
          <w:highlight w:val="yellow"/>
        </w:rPr>
        <w:t>dip</w:t>
      </w:r>
      <w:r w:rsidR="00D37E98">
        <w:rPr>
          <w:color w:val="000000" w:themeColor="text1"/>
          <w:highlight w:val="yellow"/>
        </w:rPr>
        <w:t>ping</w:t>
      </w:r>
      <w:r w:rsidRPr="00D37E98">
        <w:rPr>
          <w:color w:val="000000" w:themeColor="text1"/>
          <w:highlight w:val="yellow"/>
        </w:rPr>
        <w:t xml:space="preserve"> in 95% ethanol and then </w:t>
      </w:r>
      <w:r w:rsidR="00D37E98">
        <w:rPr>
          <w:color w:val="000000" w:themeColor="text1"/>
          <w:highlight w:val="yellow"/>
        </w:rPr>
        <w:t xml:space="preserve">expose to a </w:t>
      </w:r>
      <w:r w:rsidRPr="00D37E98">
        <w:rPr>
          <w:color w:val="000000" w:themeColor="text1"/>
          <w:highlight w:val="yellow"/>
        </w:rPr>
        <w:t xml:space="preserve">flame. Dip </w:t>
      </w:r>
      <w:r w:rsidR="00D37E98">
        <w:rPr>
          <w:color w:val="000000" w:themeColor="text1"/>
          <w:highlight w:val="yellow"/>
        </w:rPr>
        <w:t>each i</w:t>
      </w:r>
      <w:r w:rsidRPr="00D37E98">
        <w:rPr>
          <w:color w:val="000000" w:themeColor="text1"/>
          <w:highlight w:val="yellow"/>
        </w:rPr>
        <w:t xml:space="preserve">n 10% bleach and allow to air dry prior to use. </w:t>
      </w:r>
    </w:p>
    <w:p w14:paraId="0F247FFF" w14:textId="77777777" w:rsidR="00D37E98" w:rsidRDefault="00D37E98" w:rsidP="00D37E98">
      <w:pPr>
        <w:pStyle w:val="ListParagraph"/>
        <w:widowControl/>
        <w:ind w:left="0"/>
        <w:rPr>
          <w:color w:val="000000" w:themeColor="text1"/>
          <w:highlight w:val="yellow"/>
        </w:rPr>
      </w:pPr>
    </w:p>
    <w:p w14:paraId="15D4FD92" w14:textId="2F4B1169" w:rsidR="2CF9D4DD" w:rsidRDefault="00D37E98" w:rsidP="00D37E98">
      <w:pPr>
        <w:pStyle w:val="ListParagraph"/>
        <w:widowControl/>
        <w:ind w:left="0"/>
        <w:rPr>
          <w:color w:val="000000" w:themeColor="text1"/>
          <w:highlight w:val="yellow"/>
        </w:rPr>
      </w:pPr>
      <w:r>
        <w:rPr>
          <w:color w:val="000000" w:themeColor="text1"/>
        </w:rPr>
        <w:t>NOTE:</w:t>
      </w:r>
      <w:r w:rsidRPr="00D37E98">
        <w:rPr>
          <w:color w:val="000000" w:themeColor="text1"/>
        </w:rPr>
        <w:t xml:space="preserve"> </w:t>
      </w:r>
      <w:r w:rsidR="729BC724" w:rsidRPr="00D37E98">
        <w:rPr>
          <w:color w:val="000000" w:themeColor="text1"/>
        </w:rPr>
        <w:t xml:space="preserve">Tools should be sterilized between each sample. </w:t>
      </w:r>
    </w:p>
    <w:p w14:paraId="5D0A504F" w14:textId="77777777" w:rsidR="00D37E98" w:rsidRPr="00D37E98" w:rsidRDefault="00D37E98" w:rsidP="00D37E98">
      <w:pPr>
        <w:pStyle w:val="ListParagraph"/>
        <w:widowControl/>
        <w:ind w:left="0"/>
        <w:rPr>
          <w:color w:val="000000" w:themeColor="text1"/>
          <w:highlight w:val="yellow"/>
        </w:rPr>
      </w:pPr>
    </w:p>
    <w:p w14:paraId="2E69A8B0" w14:textId="369302C9" w:rsidR="0512D0C7" w:rsidRDefault="729BC724" w:rsidP="00D37E98">
      <w:pPr>
        <w:pStyle w:val="ListParagraph"/>
        <w:widowControl/>
        <w:numPr>
          <w:ilvl w:val="0"/>
          <w:numId w:val="1"/>
        </w:numPr>
        <w:rPr>
          <w:b/>
          <w:bCs/>
          <w:color w:val="000000" w:themeColor="text1"/>
          <w:highlight w:val="yellow"/>
        </w:rPr>
      </w:pPr>
      <w:r w:rsidRPr="00D37E98">
        <w:rPr>
          <w:b/>
          <w:bCs/>
          <w:color w:val="000000" w:themeColor="text1"/>
          <w:highlight w:val="yellow"/>
        </w:rPr>
        <w:t>Sub-sampling and sample preparation</w:t>
      </w:r>
    </w:p>
    <w:p w14:paraId="40DEA11A" w14:textId="77777777" w:rsidR="00D37E98" w:rsidRPr="00D37E98" w:rsidRDefault="00D37E98" w:rsidP="00D37E98">
      <w:pPr>
        <w:pStyle w:val="ListParagraph"/>
        <w:widowControl/>
        <w:ind w:left="0"/>
        <w:rPr>
          <w:b/>
          <w:bCs/>
          <w:color w:val="000000" w:themeColor="text1"/>
          <w:highlight w:val="yellow"/>
        </w:rPr>
      </w:pPr>
    </w:p>
    <w:p w14:paraId="56A28C2C" w14:textId="42C5B7F1" w:rsidR="0512D0C7" w:rsidRDefault="00D37E98" w:rsidP="00D37E98">
      <w:pPr>
        <w:pStyle w:val="ListParagraph"/>
        <w:widowControl/>
        <w:numPr>
          <w:ilvl w:val="1"/>
          <w:numId w:val="1"/>
        </w:numPr>
        <w:rPr>
          <w:color w:val="000000" w:themeColor="text1"/>
          <w:highlight w:val="yellow"/>
        </w:rPr>
      </w:pPr>
      <w:r>
        <w:rPr>
          <w:color w:val="000000" w:themeColor="text1"/>
          <w:highlight w:val="yellow"/>
        </w:rPr>
        <w:t>St</w:t>
      </w:r>
      <w:r w:rsidR="729BC724" w:rsidRPr="00D37E98">
        <w:rPr>
          <w:color w:val="000000" w:themeColor="text1"/>
          <w:highlight w:val="yellow"/>
        </w:rPr>
        <w:t>erilize gloves</w:t>
      </w:r>
      <w:r>
        <w:rPr>
          <w:color w:val="000000" w:themeColor="text1"/>
          <w:highlight w:val="yellow"/>
        </w:rPr>
        <w:t xml:space="preserve"> using</w:t>
      </w:r>
      <w:r w:rsidR="729BC724" w:rsidRPr="00D37E98">
        <w:rPr>
          <w:color w:val="000000" w:themeColor="text1"/>
          <w:highlight w:val="yellow"/>
        </w:rPr>
        <w:t xml:space="preserve"> </w:t>
      </w:r>
      <w:r>
        <w:rPr>
          <w:color w:val="000000" w:themeColor="text1"/>
          <w:highlight w:val="yellow"/>
        </w:rPr>
        <w:t>e</w:t>
      </w:r>
      <w:r w:rsidRPr="00D37E98">
        <w:rPr>
          <w:color w:val="000000" w:themeColor="text1"/>
          <w:highlight w:val="yellow"/>
        </w:rPr>
        <w:t xml:space="preserve">thanol </w:t>
      </w:r>
      <w:r w:rsidR="729BC724" w:rsidRPr="00D37E98">
        <w:rPr>
          <w:color w:val="000000" w:themeColor="text1"/>
          <w:highlight w:val="yellow"/>
        </w:rPr>
        <w:t>prior to sub-sampling.</w:t>
      </w:r>
    </w:p>
    <w:p w14:paraId="362E5EAF" w14:textId="77777777" w:rsidR="00D37E98" w:rsidRPr="00D37E98" w:rsidRDefault="00D37E98" w:rsidP="00D37E98">
      <w:pPr>
        <w:pStyle w:val="ListParagraph"/>
        <w:widowControl/>
        <w:ind w:left="0"/>
        <w:rPr>
          <w:color w:val="000000" w:themeColor="text1"/>
          <w:highlight w:val="yellow"/>
        </w:rPr>
      </w:pPr>
    </w:p>
    <w:p w14:paraId="504BCE15" w14:textId="2A7F6241" w:rsidR="0512D0C7" w:rsidRDefault="00D37E98" w:rsidP="00D37E98">
      <w:pPr>
        <w:pStyle w:val="ListParagraph"/>
        <w:widowControl/>
        <w:numPr>
          <w:ilvl w:val="1"/>
          <w:numId w:val="1"/>
        </w:numPr>
        <w:rPr>
          <w:color w:val="000000" w:themeColor="text1"/>
          <w:highlight w:val="yellow"/>
        </w:rPr>
      </w:pPr>
      <w:r>
        <w:rPr>
          <w:color w:val="000000" w:themeColor="text1"/>
          <w:highlight w:val="yellow"/>
        </w:rPr>
        <w:t xml:space="preserve">Homogenize </w:t>
      </w:r>
      <w:r w:rsidR="00EC2AE3">
        <w:rPr>
          <w:color w:val="000000" w:themeColor="text1"/>
          <w:highlight w:val="yellow"/>
        </w:rPr>
        <w:t xml:space="preserve">soil </w:t>
      </w:r>
      <w:r>
        <w:rPr>
          <w:color w:val="000000" w:themeColor="text1"/>
          <w:highlight w:val="yellow"/>
        </w:rPr>
        <w:t>s</w:t>
      </w:r>
      <w:r w:rsidR="729BC724" w:rsidRPr="00D37E98">
        <w:rPr>
          <w:color w:val="000000" w:themeColor="text1"/>
          <w:highlight w:val="yellow"/>
        </w:rPr>
        <w:t>amples thoroughly prior to sub-sampling.</w:t>
      </w:r>
    </w:p>
    <w:p w14:paraId="73E9278F" w14:textId="77777777" w:rsidR="00EC2AE3" w:rsidRPr="00D37E98" w:rsidRDefault="00EC2AE3" w:rsidP="00EC2AE3">
      <w:pPr>
        <w:pStyle w:val="ListParagraph"/>
        <w:widowControl/>
        <w:ind w:left="0"/>
        <w:rPr>
          <w:color w:val="000000" w:themeColor="text1"/>
          <w:highlight w:val="yellow"/>
        </w:rPr>
      </w:pPr>
    </w:p>
    <w:p w14:paraId="11688D0A" w14:textId="48797EE8" w:rsidR="0512D0C7"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t xml:space="preserve">Using sterilized tools, load a labeled 2 mL centrifuge tube </w:t>
      </w:r>
      <w:r w:rsidR="00D37E98" w:rsidRPr="00D37E98">
        <w:rPr>
          <w:color w:val="000000" w:themeColor="text1"/>
          <w:highlight w:val="yellow"/>
        </w:rPr>
        <w:t xml:space="preserve">with sample </w:t>
      </w:r>
      <w:r w:rsidRPr="00D37E98">
        <w:rPr>
          <w:color w:val="000000" w:themeColor="text1"/>
          <w:highlight w:val="yellow"/>
        </w:rPr>
        <w:t xml:space="preserve">approximately </w:t>
      </w:r>
      <w:r w:rsidR="00D37E98">
        <w:rPr>
          <w:color w:val="000000" w:themeColor="text1"/>
          <w:highlight w:val="yellow"/>
        </w:rPr>
        <w:t xml:space="preserve">until </w:t>
      </w:r>
      <w:r w:rsidRPr="00D37E98">
        <w:rPr>
          <w:color w:val="000000" w:themeColor="text1"/>
          <w:highlight w:val="yellow"/>
        </w:rPr>
        <w:t xml:space="preserve">half full. </w:t>
      </w:r>
    </w:p>
    <w:p w14:paraId="78066FBB" w14:textId="77777777" w:rsidR="00D37E98" w:rsidRPr="00D37E98" w:rsidRDefault="00D37E98" w:rsidP="00D37E98">
      <w:pPr>
        <w:pStyle w:val="ListParagraph"/>
        <w:widowControl/>
        <w:ind w:left="0"/>
        <w:rPr>
          <w:color w:val="000000" w:themeColor="text1"/>
          <w:highlight w:val="yellow"/>
        </w:rPr>
      </w:pPr>
    </w:p>
    <w:p w14:paraId="15F0916E" w14:textId="77777777" w:rsidR="00D37E98"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t>Repeat step 2.2 until all 95 samples have been sub-sampled into labeled 2 mL centrifuge tubes. The 96</w:t>
      </w:r>
      <w:r w:rsidRPr="00D37E98">
        <w:rPr>
          <w:color w:val="000000" w:themeColor="text1"/>
          <w:highlight w:val="yellow"/>
          <w:vertAlign w:val="superscript"/>
        </w:rPr>
        <w:t>th</w:t>
      </w:r>
      <w:r w:rsidRPr="00D37E98">
        <w:rPr>
          <w:color w:val="000000" w:themeColor="text1"/>
          <w:highlight w:val="yellow"/>
        </w:rPr>
        <w:t xml:space="preserve"> well should be used as an extraction blank. </w:t>
      </w:r>
    </w:p>
    <w:p w14:paraId="0C66771E" w14:textId="77777777" w:rsidR="00D37E98" w:rsidRDefault="00D37E98" w:rsidP="00D37E98">
      <w:pPr>
        <w:pStyle w:val="ListParagraph"/>
        <w:widowControl/>
        <w:ind w:left="0"/>
        <w:rPr>
          <w:color w:val="000000" w:themeColor="text1"/>
          <w:highlight w:val="yellow"/>
        </w:rPr>
      </w:pPr>
    </w:p>
    <w:p w14:paraId="2612E01B" w14:textId="6C89ADBD" w:rsidR="0512D0C7" w:rsidRDefault="00D37E98" w:rsidP="00D37E98">
      <w:pPr>
        <w:pStyle w:val="ListParagraph"/>
        <w:widowControl/>
        <w:ind w:left="0"/>
        <w:rPr>
          <w:color w:val="000000" w:themeColor="text1"/>
          <w:highlight w:val="yellow"/>
        </w:rPr>
      </w:pPr>
      <w:r>
        <w:rPr>
          <w:color w:val="000000" w:themeColor="text1"/>
          <w:highlight w:val="yellow"/>
        </w:rPr>
        <w:t>NOTE:</w:t>
      </w:r>
      <w:r w:rsidR="729BC724" w:rsidRPr="00D37E98">
        <w:rPr>
          <w:color w:val="000000" w:themeColor="text1"/>
          <w:highlight w:val="yellow"/>
        </w:rPr>
        <w:t xml:space="preserve"> Step</w:t>
      </w:r>
      <w:r>
        <w:rPr>
          <w:color w:val="000000" w:themeColor="text1"/>
          <w:highlight w:val="yellow"/>
        </w:rPr>
        <w:t>s</w:t>
      </w:r>
      <w:r w:rsidR="729BC724" w:rsidRPr="00D37E98">
        <w:rPr>
          <w:color w:val="000000" w:themeColor="text1"/>
          <w:highlight w:val="yellow"/>
        </w:rPr>
        <w:t xml:space="preserve"> 2.3 and 2.4 are done to minimize required storage space and to prevent over or double sampling.</w:t>
      </w:r>
    </w:p>
    <w:p w14:paraId="65448376" w14:textId="77777777" w:rsidR="00D37E98" w:rsidRPr="00D37E98" w:rsidRDefault="00D37E98" w:rsidP="00D37E98">
      <w:pPr>
        <w:pStyle w:val="ListParagraph"/>
        <w:widowControl/>
        <w:ind w:left="0"/>
        <w:rPr>
          <w:color w:val="000000" w:themeColor="text1"/>
          <w:highlight w:val="yellow"/>
        </w:rPr>
      </w:pPr>
    </w:p>
    <w:p w14:paraId="6EF9D470" w14:textId="051EE39B" w:rsidR="0512D0C7"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t>Store 2 mL sub-sample tubes on ice until loading of plate.</w:t>
      </w:r>
    </w:p>
    <w:p w14:paraId="0D0E702D" w14:textId="77777777" w:rsidR="00D37E98" w:rsidRPr="00D37E98" w:rsidRDefault="00D37E98" w:rsidP="00D37E98">
      <w:pPr>
        <w:pStyle w:val="ListParagraph"/>
        <w:widowControl/>
        <w:ind w:left="0"/>
        <w:rPr>
          <w:color w:val="000000" w:themeColor="text1"/>
          <w:highlight w:val="yellow"/>
        </w:rPr>
      </w:pPr>
    </w:p>
    <w:p w14:paraId="0F1A08E3" w14:textId="2EA43334" w:rsidR="0512D0C7"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t>Label 96 sterile 200 µL flat-capped PCR tubes A1</w:t>
      </w:r>
      <w:r w:rsidR="00D4582B" w:rsidRPr="00D4582B">
        <w:rPr>
          <w:color w:val="000000" w:themeColor="text1"/>
          <w:highlight w:val="yellow"/>
        </w:rPr>
        <w:t>‒</w:t>
      </w:r>
      <w:r w:rsidRPr="00D37E98">
        <w:rPr>
          <w:color w:val="000000" w:themeColor="text1"/>
          <w:highlight w:val="yellow"/>
        </w:rPr>
        <w:t>A12, B1</w:t>
      </w:r>
      <w:r w:rsidR="00D4582B" w:rsidRPr="00D4582B">
        <w:rPr>
          <w:color w:val="000000" w:themeColor="text1"/>
          <w:highlight w:val="yellow"/>
        </w:rPr>
        <w:t>‒</w:t>
      </w:r>
      <w:r w:rsidRPr="00D37E98">
        <w:rPr>
          <w:color w:val="000000" w:themeColor="text1"/>
          <w:highlight w:val="yellow"/>
        </w:rPr>
        <w:t>B12, …. H1</w:t>
      </w:r>
      <w:r w:rsidR="00D4582B" w:rsidRPr="00D4582B">
        <w:rPr>
          <w:color w:val="000000" w:themeColor="text1"/>
          <w:highlight w:val="yellow"/>
        </w:rPr>
        <w:t>‒</w:t>
      </w:r>
      <w:r w:rsidRPr="00D37E98">
        <w:rPr>
          <w:color w:val="000000" w:themeColor="text1"/>
          <w:highlight w:val="yellow"/>
        </w:rPr>
        <w:t>H12. Place these tubes in order into a 96-well rack.</w:t>
      </w:r>
    </w:p>
    <w:p w14:paraId="6E95567B" w14:textId="77777777" w:rsidR="00D37E98" w:rsidRPr="00D37E98" w:rsidRDefault="00D37E98" w:rsidP="00D37E98">
      <w:pPr>
        <w:pStyle w:val="ListParagraph"/>
        <w:widowControl/>
        <w:ind w:left="0"/>
        <w:rPr>
          <w:color w:val="000000" w:themeColor="text1"/>
          <w:highlight w:val="yellow"/>
        </w:rPr>
      </w:pPr>
    </w:p>
    <w:p w14:paraId="245ADBF9" w14:textId="2AF5E18C" w:rsidR="0512D0C7"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t>Assign a sample ID with a well location (A1</w:t>
      </w:r>
      <w:r w:rsidR="00D4582B" w:rsidRPr="00D4582B">
        <w:rPr>
          <w:color w:val="000000" w:themeColor="text1"/>
          <w:highlight w:val="yellow"/>
        </w:rPr>
        <w:t>‒</w:t>
      </w:r>
      <w:r w:rsidRPr="00D37E98">
        <w:rPr>
          <w:color w:val="000000" w:themeColor="text1"/>
          <w:highlight w:val="yellow"/>
        </w:rPr>
        <w:t>H12) and record</w:t>
      </w:r>
      <w:r w:rsidR="00D37E98">
        <w:rPr>
          <w:color w:val="000000" w:themeColor="text1"/>
          <w:highlight w:val="yellow"/>
        </w:rPr>
        <w:t xml:space="preserve"> it</w:t>
      </w:r>
      <w:r w:rsidRPr="00D37E98">
        <w:rPr>
          <w:color w:val="000000" w:themeColor="text1"/>
          <w:highlight w:val="yellow"/>
        </w:rPr>
        <w:t>.</w:t>
      </w:r>
    </w:p>
    <w:p w14:paraId="2ECFFBF6" w14:textId="77777777" w:rsidR="00D37E98" w:rsidRPr="00D37E98" w:rsidRDefault="00D37E98" w:rsidP="00D37E98">
      <w:pPr>
        <w:pStyle w:val="ListParagraph"/>
        <w:widowControl/>
        <w:ind w:left="0"/>
        <w:rPr>
          <w:color w:val="000000" w:themeColor="text1"/>
          <w:highlight w:val="yellow"/>
        </w:rPr>
      </w:pPr>
    </w:p>
    <w:p w14:paraId="47F7D601" w14:textId="0DC2EA87" w:rsidR="0512D0C7" w:rsidRDefault="729BC724" w:rsidP="00D37E98">
      <w:pPr>
        <w:pStyle w:val="ListParagraph"/>
        <w:widowControl/>
        <w:numPr>
          <w:ilvl w:val="0"/>
          <w:numId w:val="1"/>
        </w:numPr>
        <w:rPr>
          <w:b/>
          <w:bCs/>
          <w:color w:val="000000" w:themeColor="text1"/>
          <w:highlight w:val="yellow"/>
        </w:rPr>
      </w:pPr>
      <w:r w:rsidRPr="00D37E98">
        <w:rPr>
          <w:b/>
          <w:bCs/>
          <w:color w:val="000000" w:themeColor="text1"/>
          <w:highlight w:val="yellow"/>
        </w:rPr>
        <w:t xml:space="preserve">Plate preparation </w:t>
      </w:r>
    </w:p>
    <w:p w14:paraId="09AC00EF" w14:textId="77777777" w:rsidR="00D37E98" w:rsidRPr="00D37E98" w:rsidRDefault="00D37E98" w:rsidP="00D37E98">
      <w:pPr>
        <w:pStyle w:val="ListParagraph"/>
        <w:widowControl/>
        <w:ind w:left="0"/>
        <w:rPr>
          <w:b/>
          <w:bCs/>
          <w:color w:val="000000" w:themeColor="text1"/>
          <w:highlight w:val="yellow"/>
        </w:rPr>
      </w:pPr>
    </w:p>
    <w:p w14:paraId="23A3EA9B" w14:textId="7E43ABF1" w:rsidR="0512D0C7"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t>Remove</w:t>
      </w:r>
      <w:r w:rsidR="00D37E98">
        <w:rPr>
          <w:color w:val="000000" w:themeColor="text1"/>
          <w:highlight w:val="yellow"/>
        </w:rPr>
        <w:t xml:space="preserve"> the</w:t>
      </w:r>
      <w:r w:rsidRPr="00D37E98">
        <w:rPr>
          <w:color w:val="000000" w:themeColor="text1"/>
          <w:highlight w:val="yellow"/>
        </w:rPr>
        <w:t xml:space="preserve"> rubber cover from 96-well plate (</w:t>
      </w:r>
      <w:r w:rsidRPr="00D37E98">
        <w:rPr>
          <w:b/>
          <w:bCs/>
          <w:color w:val="000000" w:themeColor="text1"/>
          <w:highlight w:val="yellow"/>
        </w:rPr>
        <w:t>Fig</w:t>
      </w:r>
      <w:r w:rsidR="00D37E98">
        <w:rPr>
          <w:b/>
          <w:bCs/>
          <w:color w:val="000000" w:themeColor="text1"/>
          <w:highlight w:val="yellow"/>
        </w:rPr>
        <w:t>ure</w:t>
      </w:r>
      <w:r w:rsidRPr="00D37E98">
        <w:rPr>
          <w:b/>
          <w:bCs/>
          <w:color w:val="000000" w:themeColor="text1"/>
          <w:highlight w:val="yellow"/>
        </w:rPr>
        <w:t xml:space="preserve"> 1A–1C</w:t>
      </w:r>
      <w:r w:rsidRPr="00D37E98">
        <w:rPr>
          <w:color w:val="000000" w:themeColor="text1"/>
          <w:highlight w:val="yellow"/>
        </w:rPr>
        <w:t>) and place</w:t>
      </w:r>
      <w:r w:rsidR="00D37E98">
        <w:rPr>
          <w:color w:val="000000" w:themeColor="text1"/>
          <w:highlight w:val="yellow"/>
        </w:rPr>
        <w:t xml:space="preserve"> it</w:t>
      </w:r>
      <w:r w:rsidRPr="00D37E98">
        <w:rPr>
          <w:color w:val="000000" w:themeColor="text1"/>
          <w:highlight w:val="yellow"/>
        </w:rPr>
        <w:t xml:space="preserve"> into a sterile </w:t>
      </w:r>
      <w:r w:rsidR="00E42234" w:rsidRPr="00D37E98">
        <w:rPr>
          <w:color w:val="000000" w:themeColor="text1"/>
          <w:highlight w:val="yellow"/>
        </w:rPr>
        <w:t xml:space="preserve">plastic bag (see </w:t>
      </w:r>
      <w:r w:rsidR="00D37E98">
        <w:rPr>
          <w:b/>
          <w:bCs/>
          <w:color w:val="000000" w:themeColor="text1"/>
          <w:highlight w:val="yellow"/>
        </w:rPr>
        <w:t>T</w:t>
      </w:r>
      <w:r w:rsidR="00E42234" w:rsidRPr="00D37E98">
        <w:rPr>
          <w:b/>
          <w:bCs/>
          <w:color w:val="000000" w:themeColor="text1"/>
          <w:highlight w:val="yellow"/>
        </w:rPr>
        <w:t xml:space="preserve">able of </w:t>
      </w:r>
      <w:r w:rsidR="00D37E98">
        <w:rPr>
          <w:b/>
          <w:bCs/>
          <w:color w:val="000000" w:themeColor="text1"/>
          <w:highlight w:val="yellow"/>
        </w:rPr>
        <w:t>M</w:t>
      </w:r>
      <w:r w:rsidR="00E42234" w:rsidRPr="00D37E98">
        <w:rPr>
          <w:b/>
          <w:bCs/>
          <w:color w:val="000000" w:themeColor="text1"/>
          <w:highlight w:val="yellow"/>
        </w:rPr>
        <w:t>aterials</w:t>
      </w:r>
      <w:r w:rsidR="00E42234" w:rsidRPr="00D37E98">
        <w:rPr>
          <w:color w:val="000000" w:themeColor="text1"/>
          <w:highlight w:val="yellow"/>
        </w:rPr>
        <w:t>)</w:t>
      </w:r>
      <w:r w:rsidRPr="00D37E98">
        <w:rPr>
          <w:color w:val="000000" w:themeColor="text1"/>
          <w:highlight w:val="yellow"/>
        </w:rPr>
        <w:t xml:space="preserve">. Seal </w:t>
      </w:r>
      <w:r w:rsidR="00EC2AE3">
        <w:rPr>
          <w:color w:val="000000" w:themeColor="text1"/>
          <w:highlight w:val="yellow"/>
        </w:rPr>
        <w:t xml:space="preserve">the </w:t>
      </w:r>
      <w:r w:rsidR="00E42234" w:rsidRPr="00D37E98">
        <w:rPr>
          <w:color w:val="000000" w:themeColor="text1"/>
          <w:highlight w:val="yellow"/>
        </w:rPr>
        <w:t xml:space="preserve">plastic bag </w:t>
      </w:r>
      <w:r w:rsidRPr="00D37E98">
        <w:rPr>
          <w:color w:val="000000" w:themeColor="text1"/>
          <w:highlight w:val="yellow"/>
        </w:rPr>
        <w:t xml:space="preserve">to prevent contamination. </w:t>
      </w:r>
    </w:p>
    <w:p w14:paraId="5319E2B4" w14:textId="77777777" w:rsidR="00D37E98" w:rsidRPr="00D37E98" w:rsidRDefault="00D37E98" w:rsidP="00D37E98">
      <w:pPr>
        <w:pStyle w:val="ListParagraph"/>
        <w:widowControl/>
        <w:ind w:left="0"/>
        <w:rPr>
          <w:color w:val="000000" w:themeColor="text1"/>
          <w:highlight w:val="yellow"/>
        </w:rPr>
      </w:pPr>
    </w:p>
    <w:p w14:paraId="7D3C2D3E" w14:textId="21672618" w:rsidR="00D37E98"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t xml:space="preserve">Cover </w:t>
      </w:r>
      <w:r w:rsidR="00D37E98">
        <w:rPr>
          <w:color w:val="000000" w:themeColor="text1"/>
          <w:highlight w:val="yellow"/>
        </w:rPr>
        <w:t xml:space="preserve">the </w:t>
      </w:r>
      <w:r w:rsidRPr="00D37E98">
        <w:rPr>
          <w:color w:val="000000" w:themeColor="text1"/>
          <w:highlight w:val="yellow"/>
        </w:rPr>
        <w:t>96-well plate with sealing film (</w:t>
      </w:r>
      <w:r w:rsidRPr="00D37E98">
        <w:rPr>
          <w:b/>
          <w:bCs/>
          <w:color w:val="000000" w:themeColor="text1"/>
          <w:highlight w:val="yellow"/>
        </w:rPr>
        <w:t>Fig</w:t>
      </w:r>
      <w:r w:rsidR="00D37E98">
        <w:rPr>
          <w:b/>
          <w:bCs/>
          <w:color w:val="000000" w:themeColor="text1"/>
          <w:highlight w:val="yellow"/>
        </w:rPr>
        <w:t>ure</w:t>
      </w:r>
      <w:r w:rsidRPr="00D37E98">
        <w:rPr>
          <w:b/>
          <w:bCs/>
          <w:color w:val="000000" w:themeColor="text1"/>
          <w:highlight w:val="yellow"/>
        </w:rPr>
        <w:t xml:space="preserve"> 1D–1E</w:t>
      </w:r>
      <w:r w:rsidRPr="00D37E98">
        <w:rPr>
          <w:color w:val="000000" w:themeColor="text1"/>
          <w:highlight w:val="yellow"/>
        </w:rPr>
        <w:t xml:space="preserve">); </w:t>
      </w:r>
      <w:r w:rsidR="00D37E98">
        <w:rPr>
          <w:color w:val="000000" w:themeColor="text1"/>
          <w:highlight w:val="yellow"/>
        </w:rPr>
        <w:t>for example</w:t>
      </w:r>
      <w:r w:rsidR="00EC2AE3">
        <w:rPr>
          <w:color w:val="000000" w:themeColor="text1"/>
          <w:highlight w:val="yellow"/>
        </w:rPr>
        <w:t>,</w:t>
      </w:r>
      <w:r w:rsidRPr="00D37E98">
        <w:rPr>
          <w:color w:val="000000" w:themeColor="text1"/>
          <w:highlight w:val="yellow"/>
        </w:rPr>
        <w:t xml:space="preserve"> use </w:t>
      </w:r>
      <w:r w:rsidR="00E42234" w:rsidRPr="00D37E98">
        <w:rPr>
          <w:color w:val="000000" w:themeColor="text1"/>
          <w:highlight w:val="yellow"/>
        </w:rPr>
        <w:t>a p</w:t>
      </w:r>
      <w:r w:rsidRPr="00D37E98">
        <w:rPr>
          <w:color w:val="000000" w:themeColor="text1"/>
          <w:highlight w:val="yellow"/>
        </w:rPr>
        <w:t xml:space="preserve">recut </w:t>
      </w:r>
      <w:r w:rsidR="00E42234" w:rsidRPr="00D37E98">
        <w:rPr>
          <w:color w:val="000000" w:themeColor="text1"/>
          <w:highlight w:val="yellow"/>
        </w:rPr>
        <w:t>p</w:t>
      </w:r>
      <w:r w:rsidRPr="00D37E98">
        <w:rPr>
          <w:color w:val="000000" w:themeColor="text1"/>
          <w:highlight w:val="yellow"/>
        </w:rPr>
        <w:t xml:space="preserve">ierceable </w:t>
      </w:r>
      <w:r w:rsidR="00E42234" w:rsidRPr="00D37E98">
        <w:rPr>
          <w:color w:val="000000" w:themeColor="text1"/>
          <w:highlight w:val="yellow"/>
        </w:rPr>
        <w:t>s</w:t>
      </w:r>
      <w:r w:rsidRPr="00D37E98">
        <w:rPr>
          <w:color w:val="000000" w:themeColor="text1"/>
          <w:highlight w:val="yellow"/>
        </w:rPr>
        <w:t xml:space="preserve">ealing </w:t>
      </w:r>
      <w:r w:rsidR="00E42234" w:rsidRPr="00D37E98">
        <w:rPr>
          <w:color w:val="000000" w:themeColor="text1"/>
          <w:highlight w:val="yellow"/>
        </w:rPr>
        <w:t>f</w:t>
      </w:r>
      <w:r w:rsidRPr="00D37E98">
        <w:rPr>
          <w:color w:val="000000" w:themeColor="text1"/>
          <w:highlight w:val="yellow"/>
        </w:rPr>
        <w:t>ilm</w:t>
      </w:r>
      <w:r w:rsidR="00E42234" w:rsidRPr="00D37E98">
        <w:rPr>
          <w:color w:val="000000" w:themeColor="text1"/>
          <w:highlight w:val="yellow"/>
        </w:rPr>
        <w:t xml:space="preserve"> (see</w:t>
      </w:r>
      <w:r w:rsidR="00EC2AE3">
        <w:rPr>
          <w:color w:val="000000" w:themeColor="text1"/>
          <w:highlight w:val="yellow"/>
        </w:rPr>
        <w:t xml:space="preserve"> the</w:t>
      </w:r>
      <w:r w:rsidR="00E42234" w:rsidRPr="00D37E98">
        <w:rPr>
          <w:color w:val="000000" w:themeColor="text1"/>
          <w:highlight w:val="yellow"/>
        </w:rPr>
        <w:t xml:space="preserve"> </w:t>
      </w:r>
      <w:r w:rsidR="00D37E98">
        <w:rPr>
          <w:b/>
          <w:bCs/>
          <w:color w:val="000000" w:themeColor="text1"/>
          <w:highlight w:val="yellow"/>
        </w:rPr>
        <w:t>T</w:t>
      </w:r>
      <w:r w:rsidR="00E42234" w:rsidRPr="00D37E98">
        <w:rPr>
          <w:b/>
          <w:bCs/>
          <w:color w:val="000000" w:themeColor="text1"/>
          <w:highlight w:val="yellow"/>
        </w:rPr>
        <w:t xml:space="preserve">able of </w:t>
      </w:r>
      <w:r w:rsidR="00D37E98">
        <w:rPr>
          <w:b/>
          <w:bCs/>
          <w:color w:val="000000" w:themeColor="text1"/>
          <w:highlight w:val="yellow"/>
        </w:rPr>
        <w:t>M</w:t>
      </w:r>
      <w:r w:rsidR="00E42234" w:rsidRPr="00D37E98">
        <w:rPr>
          <w:b/>
          <w:bCs/>
          <w:color w:val="000000" w:themeColor="text1"/>
          <w:highlight w:val="yellow"/>
        </w:rPr>
        <w:t>aterials</w:t>
      </w:r>
      <w:r w:rsidR="00E42234" w:rsidRPr="00D37E98">
        <w:rPr>
          <w:color w:val="000000" w:themeColor="text1"/>
          <w:highlight w:val="yellow"/>
        </w:rPr>
        <w:t>)</w:t>
      </w:r>
      <w:r w:rsidRPr="00D37E98">
        <w:rPr>
          <w:color w:val="000000" w:themeColor="text1"/>
          <w:highlight w:val="yellow"/>
        </w:rPr>
        <w:t xml:space="preserve">. Ensure seal by rolling with </w:t>
      </w:r>
      <w:r w:rsidR="00EC2AE3">
        <w:rPr>
          <w:color w:val="000000" w:themeColor="text1"/>
          <w:highlight w:val="yellow"/>
        </w:rPr>
        <w:t xml:space="preserve">a </w:t>
      </w:r>
      <w:r w:rsidRPr="00D37E98">
        <w:rPr>
          <w:color w:val="000000" w:themeColor="text1"/>
          <w:highlight w:val="yellow"/>
        </w:rPr>
        <w:t xml:space="preserve">rubber roller. </w:t>
      </w:r>
    </w:p>
    <w:p w14:paraId="1271390D" w14:textId="77777777" w:rsidR="00D37E98" w:rsidRDefault="00D37E98" w:rsidP="00D37E98">
      <w:pPr>
        <w:pStyle w:val="ListParagraph"/>
        <w:widowControl/>
        <w:ind w:left="0"/>
        <w:rPr>
          <w:color w:val="000000" w:themeColor="text1"/>
          <w:highlight w:val="yellow"/>
        </w:rPr>
      </w:pPr>
    </w:p>
    <w:p w14:paraId="785E08AD" w14:textId="134CF2F6" w:rsidR="0512D0C7" w:rsidRDefault="00D37E98" w:rsidP="00D37E98">
      <w:pPr>
        <w:pStyle w:val="ListParagraph"/>
        <w:widowControl/>
        <w:ind w:left="0"/>
        <w:rPr>
          <w:color w:val="000000" w:themeColor="text1"/>
          <w:highlight w:val="yellow"/>
        </w:rPr>
      </w:pPr>
      <w:r w:rsidRPr="00EC2AE3">
        <w:rPr>
          <w:color w:val="000000" w:themeColor="text1"/>
        </w:rPr>
        <w:t>NOTE:</w:t>
      </w:r>
      <w:r w:rsidR="729BC724" w:rsidRPr="00EC2AE3">
        <w:rPr>
          <w:color w:val="000000" w:themeColor="text1"/>
        </w:rPr>
        <w:t xml:space="preserve"> </w:t>
      </w:r>
      <w:r w:rsidRPr="00EC2AE3">
        <w:rPr>
          <w:color w:val="000000" w:themeColor="text1"/>
        </w:rPr>
        <w:t>P</w:t>
      </w:r>
      <w:r w:rsidR="729BC724" w:rsidRPr="00EC2AE3">
        <w:rPr>
          <w:color w:val="000000" w:themeColor="text1"/>
        </w:rPr>
        <w:t xml:space="preserve">ierceable silicone mats could potentially offer a reusable option, provided appropriate cleaning between uses, but the silicone mats that we tested easily split along the pierces and would not offer equal protection to any following plates.  </w:t>
      </w:r>
    </w:p>
    <w:p w14:paraId="0A118496" w14:textId="77777777" w:rsidR="00EC2AE3" w:rsidRPr="00D37E98" w:rsidRDefault="00EC2AE3" w:rsidP="00D37E98">
      <w:pPr>
        <w:pStyle w:val="ListParagraph"/>
        <w:widowControl/>
        <w:ind w:left="0"/>
        <w:rPr>
          <w:color w:val="000000" w:themeColor="text1"/>
          <w:highlight w:val="yellow"/>
        </w:rPr>
      </w:pPr>
    </w:p>
    <w:p w14:paraId="456329C0" w14:textId="59456BD3" w:rsidR="0512D0C7"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t>Place plate in refrigerator (4</w:t>
      </w:r>
      <w:r w:rsidR="00EC2AE3">
        <w:rPr>
          <w:color w:val="000000" w:themeColor="text1"/>
          <w:highlight w:val="yellow"/>
        </w:rPr>
        <w:t xml:space="preserve"> </w:t>
      </w:r>
      <w:r w:rsidRPr="00D37E98">
        <w:rPr>
          <w:color w:val="000000" w:themeColor="text1"/>
          <w:highlight w:val="yellow"/>
        </w:rPr>
        <w:t>°C) to keep cool.</w:t>
      </w:r>
    </w:p>
    <w:p w14:paraId="57465937" w14:textId="77777777" w:rsidR="00EC2AE3" w:rsidRPr="00D37E98" w:rsidRDefault="00EC2AE3" w:rsidP="00EC2AE3">
      <w:pPr>
        <w:pStyle w:val="ListParagraph"/>
        <w:widowControl/>
        <w:ind w:left="0"/>
        <w:rPr>
          <w:color w:val="000000" w:themeColor="text1"/>
          <w:highlight w:val="yellow"/>
        </w:rPr>
      </w:pPr>
    </w:p>
    <w:p w14:paraId="4028DB6D" w14:textId="77777777" w:rsidR="00EC2AE3" w:rsidRDefault="729BC724" w:rsidP="00D37E98">
      <w:pPr>
        <w:pStyle w:val="ListParagraph"/>
        <w:widowControl/>
        <w:numPr>
          <w:ilvl w:val="0"/>
          <w:numId w:val="1"/>
        </w:numPr>
        <w:rPr>
          <w:color w:val="000000" w:themeColor="text1"/>
          <w:highlight w:val="yellow"/>
        </w:rPr>
      </w:pPr>
      <w:r w:rsidRPr="00EC2AE3">
        <w:rPr>
          <w:b/>
          <w:bCs/>
          <w:color w:val="000000" w:themeColor="text1"/>
          <w:highlight w:val="yellow"/>
        </w:rPr>
        <w:lastRenderedPageBreak/>
        <w:t>Transfer of sub-samples</w:t>
      </w:r>
      <w:r w:rsidRPr="00D37E98">
        <w:rPr>
          <w:color w:val="000000" w:themeColor="text1"/>
          <w:highlight w:val="yellow"/>
        </w:rPr>
        <w:t xml:space="preserve"> </w:t>
      </w:r>
    </w:p>
    <w:p w14:paraId="545DF55B" w14:textId="77777777" w:rsidR="00EC2AE3" w:rsidRDefault="00EC2AE3" w:rsidP="00EC2AE3">
      <w:pPr>
        <w:pStyle w:val="ListParagraph"/>
        <w:widowControl/>
        <w:ind w:left="0"/>
        <w:rPr>
          <w:color w:val="000000" w:themeColor="text1"/>
          <w:highlight w:val="yellow"/>
        </w:rPr>
      </w:pPr>
    </w:p>
    <w:p w14:paraId="79EE1B6D" w14:textId="09A3ADCB" w:rsidR="0512D0C7" w:rsidRDefault="00EC2AE3" w:rsidP="00EC2AE3">
      <w:pPr>
        <w:pStyle w:val="ListParagraph"/>
        <w:widowControl/>
        <w:ind w:left="0"/>
        <w:rPr>
          <w:color w:val="000000" w:themeColor="text1"/>
          <w:highlight w:val="yellow"/>
        </w:rPr>
      </w:pPr>
      <w:r w:rsidRPr="00EC2AE3">
        <w:rPr>
          <w:color w:val="000000" w:themeColor="text1"/>
        </w:rPr>
        <w:t>NOTE: S</w:t>
      </w:r>
      <w:r w:rsidR="729BC724" w:rsidRPr="00EC2AE3">
        <w:rPr>
          <w:color w:val="000000" w:themeColor="text1"/>
        </w:rPr>
        <w:t xml:space="preserve">ee step </w:t>
      </w:r>
      <w:r w:rsidRPr="00EC2AE3">
        <w:rPr>
          <w:color w:val="000000" w:themeColor="text1"/>
        </w:rPr>
        <w:t>4.</w:t>
      </w:r>
      <w:r w:rsidR="729BC724" w:rsidRPr="00EC2AE3">
        <w:rPr>
          <w:color w:val="000000" w:themeColor="text1"/>
        </w:rPr>
        <w:t>13 for modification</w:t>
      </w:r>
      <w:r w:rsidRPr="00EC2AE3">
        <w:rPr>
          <w:color w:val="000000" w:themeColor="text1"/>
        </w:rPr>
        <w:t>s</w:t>
      </w:r>
      <w:r w:rsidR="729BC724" w:rsidRPr="00EC2AE3">
        <w:rPr>
          <w:color w:val="000000" w:themeColor="text1"/>
        </w:rPr>
        <w:t xml:space="preserve"> when soil sample is very small</w:t>
      </w:r>
      <w:r w:rsidRPr="00EC2AE3">
        <w:rPr>
          <w:color w:val="000000" w:themeColor="text1"/>
        </w:rPr>
        <w:t>.</w:t>
      </w:r>
    </w:p>
    <w:p w14:paraId="674EFBD1" w14:textId="77777777" w:rsidR="00EC2AE3" w:rsidRPr="00D37E98" w:rsidRDefault="00EC2AE3" w:rsidP="00EC2AE3">
      <w:pPr>
        <w:pStyle w:val="ListParagraph"/>
        <w:widowControl/>
        <w:ind w:left="0"/>
        <w:rPr>
          <w:color w:val="000000" w:themeColor="text1"/>
          <w:highlight w:val="yellow"/>
        </w:rPr>
      </w:pPr>
    </w:p>
    <w:p w14:paraId="643591CE" w14:textId="3A88470D" w:rsidR="0512D0C7"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t>Place 24 of the 2 mL sub-samples into an ice block for cold storage.</w:t>
      </w:r>
    </w:p>
    <w:p w14:paraId="191A99D0" w14:textId="77777777" w:rsidR="00EC2AE3" w:rsidRPr="00D37E98" w:rsidRDefault="00EC2AE3" w:rsidP="00EC2AE3">
      <w:pPr>
        <w:pStyle w:val="ListParagraph"/>
        <w:widowControl/>
        <w:ind w:left="0"/>
        <w:rPr>
          <w:color w:val="000000" w:themeColor="text1"/>
          <w:highlight w:val="yellow"/>
        </w:rPr>
      </w:pPr>
    </w:p>
    <w:p w14:paraId="281E0148" w14:textId="2F66C327" w:rsidR="0512D0C7"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t xml:space="preserve">Using the sample name and well location sheet choose the correct 200 µL flat-capped PCR tube. </w:t>
      </w:r>
    </w:p>
    <w:p w14:paraId="14596C63" w14:textId="77777777" w:rsidR="00EC2AE3" w:rsidRPr="00D37E98" w:rsidRDefault="00EC2AE3" w:rsidP="00EC2AE3">
      <w:pPr>
        <w:pStyle w:val="ListParagraph"/>
        <w:widowControl/>
        <w:ind w:left="0"/>
        <w:rPr>
          <w:color w:val="000000" w:themeColor="text1"/>
          <w:highlight w:val="yellow"/>
        </w:rPr>
      </w:pPr>
    </w:p>
    <w:p w14:paraId="473BDA98" w14:textId="7DAA6FCF" w:rsidR="0512D0C7"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t xml:space="preserve">Take </w:t>
      </w:r>
      <w:r w:rsidR="00EC2AE3">
        <w:rPr>
          <w:color w:val="000000" w:themeColor="text1"/>
          <w:highlight w:val="yellow"/>
        </w:rPr>
        <w:t xml:space="preserve">a </w:t>
      </w:r>
      <w:r w:rsidRPr="00D37E98">
        <w:rPr>
          <w:color w:val="000000" w:themeColor="text1"/>
          <w:highlight w:val="yellow"/>
        </w:rPr>
        <w:t xml:space="preserve">2 mL sub-sample tube and vortex for ~5 </w:t>
      </w:r>
      <w:r w:rsidR="00EC2AE3">
        <w:rPr>
          <w:color w:val="000000" w:themeColor="text1"/>
          <w:highlight w:val="yellow"/>
        </w:rPr>
        <w:t>s</w:t>
      </w:r>
      <w:r w:rsidRPr="00D37E98">
        <w:rPr>
          <w:color w:val="000000" w:themeColor="text1"/>
          <w:highlight w:val="yellow"/>
        </w:rPr>
        <w:t xml:space="preserve"> to ensure homogenization.</w:t>
      </w:r>
    </w:p>
    <w:p w14:paraId="0E905316" w14:textId="77777777" w:rsidR="00EC2AE3" w:rsidRPr="00D37E98" w:rsidRDefault="00EC2AE3" w:rsidP="00EC2AE3">
      <w:pPr>
        <w:pStyle w:val="ListParagraph"/>
        <w:widowControl/>
        <w:ind w:left="0"/>
        <w:rPr>
          <w:color w:val="000000" w:themeColor="text1"/>
          <w:highlight w:val="yellow"/>
        </w:rPr>
      </w:pPr>
    </w:p>
    <w:p w14:paraId="5511719B" w14:textId="77777777" w:rsidR="00EC2AE3"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t xml:space="preserve">Using flame and bleach sterilized tools load ~200 µL of </w:t>
      </w:r>
      <w:r w:rsidR="00EC2AE3">
        <w:rPr>
          <w:color w:val="000000" w:themeColor="text1"/>
          <w:highlight w:val="yellow"/>
        </w:rPr>
        <w:t>the</w:t>
      </w:r>
      <w:r w:rsidRPr="00D37E98">
        <w:rPr>
          <w:color w:val="000000" w:themeColor="text1"/>
          <w:highlight w:val="yellow"/>
        </w:rPr>
        <w:t xml:space="preserve"> first sample into the correct flat-capped PCR tube (</w:t>
      </w:r>
      <w:r w:rsidRPr="00EC2AE3">
        <w:rPr>
          <w:b/>
          <w:bCs/>
          <w:color w:val="000000" w:themeColor="text1"/>
          <w:highlight w:val="yellow"/>
        </w:rPr>
        <w:t>Fig</w:t>
      </w:r>
      <w:r w:rsidR="00EC2AE3" w:rsidRPr="00EC2AE3">
        <w:rPr>
          <w:b/>
          <w:bCs/>
          <w:color w:val="000000" w:themeColor="text1"/>
          <w:highlight w:val="yellow"/>
        </w:rPr>
        <w:t>ure</w:t>
      </w:r>
      <w:r w:rsidRPr="00EC2AE3">
        <w:rPr>
          <w:b/>
          <w:bCs/>
          <w:color w:val="000000" w:themeColor="text1"/>
          <w:highlight w:val="yellow"/>
        </w:rPr>
        <w:t xml:space="preserve"> 1F</w:t>
      </w:r>
      <w:r w:rsidRPr="00D37E98">
        <w:rPr>
          <w:color w:val="000000" w:themeColor="text1"/>
          <w:highlight w:val="yellow"/>
        </w:rPr>
        <w:t>).</w:t>
      </w:r>
    </w:p>
    <w:p w14:paraId="57F3EB39" w14:textId="574033D6" w:rsidR="0512D0C7" w:rsidRPr="00D37E98" w:rsidRDefault="729BC724" w:rsidP="00EC2AE3">
      <w:pPr>
        <w:pStyle w:val="ListParagraph"/>
        <w:widowControl/>
        <w:ind w:left="0"/>
        <w:rPr>
          <w:color w:val="000000" w:themeColor="text1"/>
          <w:highlight w:val="yellow"/>
        </w:rPr>
      </w:pPr>
      <w:r w:rsidRPr="00D37E98">
        <w:rPr>
          <w:color w:val="000000" w:themeColor="text1"/>
          <w:highlight w:val="yellow"/>
        </w:rPr>
        <w:t xml:space="preserve"> </w:t>
      </w:r>
    </w:p>
    <w:p w14:paraId="7884E4E0" w14:textId="7D4090B9" w:rsidR="0512D0C7"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t>Repeat steps 4.2</w:t>
      </w:r>
      <w:r w:rsidR="00EC2AE3" w:rsidRPr="00EC2AE3">
        <w:rPr>
          <w:color w:val="000000" w:themeColor="text1"/>
          <w:highlight w:val="yellow"/>
        </w:rPr>
        <w:t>‒</w:t>
      </w:r>
      <w:r w:rsidRPr="00D37E98">
        <w:rPr>
          <w:color w:val="000000" w:themeColor="text1"/>
          <w:highlight w:val="yellow"/>
        </w:rPr>
        <w:t xml:space="preserve">4.4 until all 24 samples </w:t>
      </w:r>
      <w:r w:rsidR="00EC2AE3">
        <w:rPr>
          <w:color w:val="000000" w:themeColor="text1"/>
          <w:highlight w:val="yellow"/>
        </w:rPr>
        <w:t>have been</w:t>
      </w:r>
      <w:r w:rsidRPr="00D37E98">
        <w:rPr>
          <w:color w:val="000000" w:themeColor="text1"/>
          <w:highlight w:val="yellow"/>
        </w:rPr>
        <w:t xml:space="preserve"> loaded. Then move to step 4.6.</w:t>
      </w:r>
    </w:p>
    <w:p w14:paraId="30FD0D62" w14:textId="77777777" w:rsidR="00EC2AE3" w:rsidRPr="00D37E98" w:rsidRDefault="00EC2AE3" w:rsidP="00EC2AE3">
      <w:pPr>
        <w:pStyle w:val="ListParagraph"/>
        <w:widowControl/>
        <w:ind w:left="0"/>
        <w:rPr>
          <w:color w:val="000000" w:themeColor="text1"/>
          <w:highlight w:val="yellow"/>
        </w:rPr>
      </w:pPr>
    </w:p>
    <w:p w14:paraId="010605D8" w14:textId="78AEF708" w:rsidR="0512D0C7"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t>Using a bleach</w:t>
      </w:r>
      <w:r w:rsidR="00EC2AE3">
        <w:rPr>
          <w:color w:val="000000" w:themeColor="text1"/>
          <w:highlight w:val="yellow"/>
        </w:rPr>
        <w:t>-</w:t>
      </w:r>
      <w:r w:rsidRPr="00D37E98">
        <w:rPr>
          <w:color w:val="000000" w:themeColor="text1"/>
          <w:highlight w:val="yellow"/>
        </w:rPr>
        <w:t xml:space="preserve">dipped </w:t>
      </w:r>
      <w:r w:rsidR="00E42234" w:rsidRPr="00D37E98">
        <w:rPr>
          <w:color w:val="000000" w:themeColor="text1"/>
          <w:highlight w:val="yellow"/>
        </w:rPr>
        <w:t>paper wipe</w:t>
      </w:r>
      <w:r w:rsidRPr="00D37E98">
        <w:rPr>
          <w:color w:val="000000" w:themeColor="text1"/>
          <w:highlight w:val="yellow"/>
        </w:rPr>
        <w:t>, clean the outside of the 200 µL flat-capped PCR tube.</w:t>
      </w:r>
    </w:p>
    <w:p w14:paraId="6B47DCCC" w14:textId="77777777" w:rsidR="00EC2AE3" w:rsidRPr="00D37E98" w:rsidRDefault="00EC2AE3" w:rsidP="00EC2AE3">
      <w:pPr>
        <w:pStyle w:val="ListParagraph"/>
        <w:widowControl/>
        <w:ind w:left="0"/>
        <w:rPr>
          <w:color w:val="000000" w:themeColor="text1"/>
          <w:highlight w:val="yellow"/>
        </w:rPr>
      </w:pPr>
    </w:p>
    <w:p w14:paraId="7F4817AB" w14:textId="0390765B" w:rsidR="0512D0C7" w:rsidRDefault="00EC2AE3" w:rsidP="00D37E98">
      <w:pPr>
        <w:pStyle w:val="ListParagraph"/>
        <w:widowControl/>
        <w:numPr>
          <w:ilvl w:val="1"/>
          <w:numId w:val="1"/>
        </w:numPr>
        <w:rPr>
          <w:color w:val="000000" w:themeColor="text1"/>
          <w:highlight w:val="yellow"/>
        </w:rPr>
      </w:pPr>
      <w:r>
        <w:rPr>
          <w:color w:val="000000" w:themeColor="text1"/>
          <w:highlight w:val="yellow"/>
        </w:rPr>
        <w:t>Invert the</w:t>
      </w:r>
      <w:r w:rsidR="729BC724" w:rsidRPr="00D37E98">
        <w:rPr>
          <w:color w:val="000000" w:themeColor="text1"/>
          <w:highlight w:val="yellow"/>
        </w:rPr>
        <w:t xml:space="preserve"> tube and tap on </w:t>
      </w:r>
      <w:r>
        <w:rPr>
          <w:color w:val="000000" w:themeColor="text1"/>
          <w:highlight w:val="yellow"/>
        </w:rPr>
        <w:t xml:space="preserve">the </w:t>
      </w:r>
      <w:r w:rsidR="729BC724" w:rsidRPr="00D37E98">
        <w:rPr>
          <w:color w:val="000000" w:themeColor="text1"/>
          <w:highlight w:val="yellow"/>
        </w:rPr>
        <w:t xml:space="preserve">bench to move sample to top of </w:t>
      </w:r>
      <w:r>
        <w:rPr>
          <w:color w:val="000000" w:themeColor="text1"/>
          <w:highlight w:val="yellow"/>
        </w:rPr>
        <w:t xml:space="preserve">the </w:t>
      </w:r>
      <w:r w:rsidR="729BC724" w:rsidRPr="00D37E98">
        <w:rPr>
          <w:color w:val="000000" w:themeColor="text1"/>
          <w:highlight w:val="yellow"/>
        </w:rPr>
        <w:t>tube. With bleached and flame-sterilized scissors, clip the bottom of the PCR tube to create an opening for sample to fall into the 96-well plate (</w:t>
      </w:r>
      <w:r w:rsidR="729BC724" w:rsidRPr="00EC2AE3">
        <w:rPr>
          <w:b/>
          <w:bCs/>
          <w:color w:val="000000" w:themeColor="text1"/>
          <w:highlight w:val="yellow"/>
        </w:rPr>
        <w:t>Fig</w:t>
      </w:r>
      <w:r w:rsidRPr="00EC2AE3">
        <w:rPr>
          <w:b/>
          <w:bCs/>
          <w:color w:val="000000" w:themeColor="text1"/>
          <w:highlight w:val="yellow"/>
        </w:rPr>
        <w:t>ure</w:t>
      </w:r>
      <w:r w:rsidR="729BC724" w:rsidRPr="00EC2AE3">
        <w:rPr>
          <w:b/>
          <w:bCs/>
          <w:color w:val="000000" w:themeColor="text1"/>
          <w:highlight w:val="yellow"/>
        </w:rPr>
        <w:t xml:space="preserve"> 1G</w:t>
      </w:r>
      <w:r w:rsidR="729BC724" w:rsidRPr="00D37E98">
        <w:rPr>
          <w:color w:val="000000" w:themeColor="text1"/>
          <w:highlight w:val="yellow"/>
        </w:rPr>
        <w:t>).</w:t>
      </w:r>
    </w:p>
    <w:p w14:paraId="58193476" w14:textId="77777777" w:rsidR="00EC2AE3" w:rsidRPr="00D37E98" w:rsidRDefault="00EC2AE3" w:rsidP="00EC2AE3">
      <w:pPr>
        <w:pStyle w:val="ListParagraph"/>
        <w:widowControl/>
        <w:ind w:left="0"/>
        <w:rPr>
          <w:color w:val="000000" w:themeColor="text1"/>
          <w:highlight w:val="yellow"/>
        </w:rPr>
      </w:pPr>
    </w:p>
    <w:p w14:paraId="198421D2" w14:textId="677B921B" w:rsidR="0512D0C7"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t xml:space="preserve">Locate </w:t>
      </w:r>
      <w:r w:rsidR="00EC2AE3">
        <w:rPr>
          <w:color w:val="000000" w:themeColor="text1"/>
          <w:highlight w:val="yellow"/>
        </w:rPr>
        <w:t xml:space="preserve">the </w:t>
      </w:r>
      <w:r w:rsidRPr="00D37E98">
        <w:rPr>
          <w:color w:val="000000" w:themeColor="text1"/>
          <w:highlight w:val="yellow"/>
        </w:rPr>
        <w:t xml:space="preserve">correct well on </w:t>
      </w:r>
      <w:r w:rsidR="00EC2AE3">
        <w:rPr>
          <w:color w:val="000000" w:themeColor="text1"/>
          <w:highlight w:val="yellow"/>
        </w:rPr>
        <w:t xml:space="preserve">a </w:t>
      </w:r>
      <w:r w:rsidRPr="00D37E98">
        <w:rPr>
          <w:color w:val="000000" w:themeColor="text1"/>
          <w:highlight w:val="yellow"/>
        </w:rPr>
        <w:t xml:space="preserve">96-well plate </w:t>
      </w:r>
      <w:r w:rsidR="00BD4798" w:rsidRPr="00D37E98">
        <w:rPr>
          <w:color w:val="000000" w:themeColor="text1"/>
          <w:highlight w:val="yellow"/>
        </w:rPr>
        <w:t>and pass</w:t>
      </w:r>
      <w:r w:rsidR="00EC2AE3">
        <w:rPr>
          <w:color w:val="000000" w:themeColor="text1"/>
          <w:highlight w:val="yellow"/>
        </w:rPr>
        <w:t xml:space="preserve"> the</w:t>
      </w:r>
      <w:r w:rsidR="00BD4798" w:rsidRPr="00D37E98">
        <w:rPr>
          <w:color w:val="000000" w:themeColor="text1"/>
          <w:highlight w:val="yellow"/>
        </w:rPr>
        <w:t xml:space="preserve"> tube across plate with cut end </w:t>
      </w:r>
      <w:r w:rsidR="00D4582B">
        <w:rPr>
          <w:color w:val="000000" w:themeColor="text1"/>
          <w:highlight w:val="yellow"/>
        </w:rPr>
        <w:t xml:space="preserve">facing </w:t>
      </w:r>
      <w:r w:rsidR="00BD4798" w:rsidRPr="00D37E98">
        <w:rPr>
          <w:color w:val="000000" w:themeColor="text1"/>
          <w:highlight w:val="yellow"/>
        </w:rPr>
        <w:t>up until reaching that well. T</w:t>
      </w:r>
      <w:r w:rsidRPr="00D37E98">
        <w:rPr>
          <w:color w:val="000000" w:themeColor="text1"/>
          <w:highlight w:val="yellow"/>
        </w:rPr>
        <w:t xml:space="preserve">ilt </w:t>
      </w:r>
      <w:r w:rsidR="00EC2AE3">
        <w:rPr>
          <w:color w:val="000000" w:themeColor="text1"/>
          <w:highlight w:val="yellow"/>
        </w:rPr>
        <w:t xml:space="preserve">the </w:t>
      </w:r>
      <w:r w:rsidRPr="00D37E98">
        <w:rPr>
          <w:color w:val="000000" w:themeColor="text1"/>
          <w:highlight w:val="yellow"/>
        </w:rPr>
        <w:t xml:space="preserve">plate slightly to facilitate puncturing of </w:t>
      </w:r>
      <w:r w:rsidR="00E42234" w:rsidRPr="00D37E98">
        <w:rPr>
          <w:color w:val="000000" w:themeColor="text1"/>
          <w:highlight w:val="yellow"/>
        </w:rPr>
        <w:t>p</w:t>
      </w:r>
      <w:r w:rsidRPr="00D37E98">
        <w:rPr>
          <w:color w:val="000000" w:themeColor="text1"/>
          <w:highlight w:val="yellow"/>
        </w:rPr>
        <w:t xml:space="preserve">recut </w:t>
      </w:r>
      <w:r w:rsidR="00E42234" w:rsidRPr="00D37E98">
        <w:rPr>
          <w:color w:val="000000" w:themeColor="text1"/>
          <w:highlight w:val="yellow"/>
        </w:rPr>
        <w:t>p</w:t>
      </w:r>
      <w:r w:rsidRPr="00D37E98">
        <w:rPr>
          <w:color w:val="000000" w:themeColor="text1"/>
          <w:highlight w:val="yellow"/>
        </w:rPr>
        <w:t xml:space="preserve">ierceable </w:t>
      </w:r>
      <w:r w:rsidR="00E42234" w:rsidRPr="00D37E98">
        <w:rPr>
          <w:color w:val="000000" w:themeColor="text1"/>
          <w:highlight w:val="yellow"/>
        </w:rPr>
        <w:t>s</w:t>
      </w:r>
      <w:r w:rsidRPr="00D37E98">
        <w:rPr>
          <w:color w:val="000000" w:themeColor="text1"/>
          <w:highlight w:val="yellow"/>
        </w:rPr>
        <w:t xml:space="preserve">ealing </w:t>
      </w:r>
      <w:r w:rsidR="00E42234" w:rsidRPr="00D37E98">
        <w:rPr>
          <w:color w:val="000000" w:themeColor="text1"/>
          <w:highlight w:val="yellow"/>
        </w:rPr>
        <w:t>f</w:t>
      </w:r>
      <w:r w:rsidRPr="00D37E98">
        <w:rPr>
          <w:color w:val="000000" w:themeColor="text1"/>
          <w:highlight w:val="yellow"/>
        </w:rPr>
        <w:t>ilm</w:t>
      </w:r>
      <w:r w:rsidR="00BD4798" w:rsidRPr="00D37E98">
        <w:rPr>
          <w:color w:val="000000" w:themeColor="text1"/>
          <w:highlight w:val="yellow"/>
        </w:rPr>
        <w:t>, and only when tube is directly above the correct well carefully</w:t>
      </w:r>
      <w:r w:rsidR="00EC2AE3">
        <w:rPr>
          <w:color w:val="000000" w:themeColor="text1"/>
          <w:highlight w:val="yellow"/>
        </w:rPr>
        <w:t xml:space="preserve"> </w:t>
      </w:r>
      <w:r w:rsidR="00BD4798" w:rsidRPr="00D37E98">
        <w:rPr>
          <w:color w:val="000000" w:themeColor="text1"/>
          <w:highlight w:val="yellow"/>
        </w:rPr>
        <w:t>invert</w:t>
      </w:r>
      <w:r w:rsidR="00EC2AE3">
        <w:rPr>
          <w:color w:val="000000" w:themeColor="text1"/>
          <w:highlight w:val="yellow"/>
        </w:rPr>
        <w:t xml:space="preserve"> it</w:t>
      </w:r>
      <w:r w:rsidR="00BD4798" w:rsidRPr="00D37E98">
        <w:rPr>
          <w:color w:val="000000" w:themeColor="text1"/>
          <w:highlight w:val="yellow"/>
        </w:rPr>
        <w:t xml:space="preserve"> so that cut tip fits into the well</w:t>
      </w:r>
      <w:r w:rsidRPr="00D37E98">
        <w:rPr>
          <w:color w:val="000000" w:themeColor="text1"/>
          <w:highlight w:val="yellow"/>
        </w:rPr>
        <w:t>.</w:t>
      </w:r>
      <w:r w:rsidR="00BD4798" w:rsidRPr="00D37E98">
        <w:rPr>
          <w:color w:val="000000" w:themeColor="text1"/>
          <w:highlight w:val="yellow"/>
        </w:rPr>
        <w:t xml:space="preserve">  </w:t>
      </w:r>
      <w:r w:rsidRPr="00D37E98">
        <w:rPr>
          <w:color w:val="000000" w:themeColor="text1"/>
          <w:highlight w:val="yellow"/>
        </w:rPr>
        <w:t>Using sterilized tools</w:t>
      </w:r>
      <w:r w:rsidR="00EC2AE3">
        <w:rPr>
          <w:color w:val="000000" w:themeColor="text1"/>
          <w:highlight w:val="yellow"/>
        </w:rPr>
        <w:t>,</w:t>
      </w:r>
      <w:r w:rsidRPr="00D37E98">
        <w:rPr>
          <w:color w:val="000000" w:themeColor="text1"/>
          <w:highlight w:val="yellow"/>
        </w:rPr>
        <w:t xml:space="preserve"> tap the top of the PCR tube until all soil has fallen from the tube into the well. Leave </w:t>
      </w:r>
      <w:r w:rsidR="00EC2AE3">
        <w:rPr>
          <w:color w:val="000000" w:themeColor="text1"/>
          <w:highlight w:val="yellow"/>
        </w:rPr>
        <w:t xml:space="preserve">the </w:t>
      </w:r>
      <w:r w:rsidRPr="00D37E98">
        <w:rPr>
          <w:color w:val="000000" w:themeColor="text1"/>
          <w:highlight w:val="yellow"/>
        </w:rPr>
        <w:t xml:space="preserve">tube </w:t>
      </w:r>
      <w:r w:rsidR="00D4582B">
        <w:rPr>
          <w:color w:val="000000" w:themeColor="text1"/>
          <w:highlight w:val="yellow"/>
        </w:rPr>
        <w:t>with</w:t>
      </w:r>
      <w:r w:rsidRPr="00D37E98">
        <w:rPr>
          <w:color w:val="000000" w:themeColor="text1"/>
          <w:highlight w:val="yellow"/>
        </w:rPr>
        <w:t xml:space="preserve">in </w:t>
      </w:r>
      <w:r w:rsidR="00EC2AE3">
        <w:rPr>
          <w:color w:val="000000" w:themeColor="text1"/>
          <w:highlight w:val="yellow"/>
        </w:rPr>
        <w:t xml:space="preserve">the </w:t>
      </w:r>
      <w:r w:rsidRPr="00D37E98">
        <w:rPr>
          <w:color w:val="000000" w:themeColor="text1"/>
          <w:highlight w:val="yellow"/>
        </w:rPr>
        <w:t>well with lid closed (</w:t>
      </w:r>
      <w:r w:rsidRPr="00EC2AE3">
        <w:rPr>
          <w:b/>
          <w:bCs/>
          <w:color w:val="000000" w:themeColor="text1"/>
          <w:highlight w:val="yellow"/>
        </w:rPr>
        <w:t>Fig</w:t>
      </w:r>
      <w:r w:rsidR="00EC2AE3">
        <w:rPr>
          <w:b/>
          <w:bCs/>
          <w:color w:val="000000" w:themeColor="text1"/>
          <w:highlight w:val="yellow"/>
        </w:rPr>
        <w:t>ure</w:t>
      </w:r>
      <w:r w:rsidRPr="00EC2AE3">
        <w:rPr>
          <w:b/>
          <w:bCs/>
          <w:color w:val="000000" w:themeColor="text1"/>
          <w:highlight w:val="yellow"/>
        </w:rPr>
        <w:t xml:space="preserve"> 1H–1J</w:t>
      </w:r>
      <w:r w:rsidRPr="00D37E98">
        <w:rPr>
          <w:color w:val="000000" w:themeColor="text1"/>
          <w:highlight w:val="yellow"/>
        </w:rPr>
        <w:t xml:space="preserve">). </w:t>
      </w:r>
    </w:p>
    <w:p w14:paraId="05EB86E4" w14:textId="77777777" w:rsidR="00EC2AE3" w:rsidRPr="00D37E98" w:rsidRDefault="00EC2AE3" w:rsidP="00EC2AE3">
      <w:pPr>
        <w:pStyle w:val="ListParagraph"/>
        <w:widowControl/>
        <w:ind w:left="0"/>
        <w:rPr>
          <w:color w:val="000000" w:themeColor="text1"/>
          <w:highlight w:val="yellow"/>
        </w:rPr>
      </w:pPr>
    </w:p>
    <w:p w14:paraId="61CBF1E5" w14:textId="0C27E14D" w:rsidR="0512D0C7"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t>Add 750</w:t>
      </w:r>
      <w:r w:rsidR="00EC2AE3">
        <w:rPr>
          <w:color w:val="000000" w:themeColor="text1"/>
          <w:highlight w:val="yellow"/>
        </w:rPr>
        <w:t xml:space="preserve"> </w:t>
      </w:r>
      <w:r w:rsidR="00052182">
        <w:rPr>
          <w:color w:val="000000" w:themeColor="text1"/>
          <w:highlight w:val="yellow"/>
        </w:rPr>
        <w:t>µ</w:t>
      </w:r>
      <w:r w:rsidR="00BC5334">
        <w:rPr>
          <w:color w:val="000000" w:themeColor="text1"/>
          <w:highlight w:val="yellow"/>
        </w:rPr>
        <w:t>L</w:t>
      </w:r>
      <w:r w:rsidR="00BC5334">
        <w:rPr>
          <w:color w:val="000000" w:themeColor="text1"/>
          <w:highlight w:val="yellow"/>
        </w:rPr>
        <w:t xml:space="preserve"> </w:t>
      </w:r>
      <w:r w:rsidRPr="00D37E98">
        <w:rPr>
          <w:color w:val="000000" w:themeColor="text1"/>
          <w:highlight w:val="yellow"/>
        </w:rPr>
        <w:t xml:space="preserve">of bead solution to each well </w:t>
      </w:r>
      <w:r w:rsidR="00EC2AE3">
        <w:rPr>
          <w:color w:val="000000" w:themeColor="text1"/>
          <w:highlight w:val="yellow"/>
        </w:rPr>
        <w:t xml:space="preserve">containing a </w:t>
      </w:r>
      <w:r w:rsidRPr="00D37E98">
        <w:rPr>
          <w:color w:val="000000" w:themeColor="text1"/>
          <w:highlight w:val="yellow"/>
        </w:rPr>
        <w:t>sample (</w:t>
      </w:r>
      <w:r w:rsidRPr="00EC2AE3">
        <w:rPr>
          <w:b/>
          <w:bCs/>
          <w:color w:val="000000" w:themeColor="text1"/>
          <w:highlight w:val="yellow"/>
        </w:rPr>
        <w:t>Fig</w:t>
      </w:r>
      <w:r w:rsidR="00EC2AE3">
        <w:rPr>
          <w:b/>
          <w:bCs/>
          <w:color w:val="000000" w:themeColor="text1"/>
          <w:highlight w:val="yellow"/>
        </w:rPr>
        <w:t>ure</w:t>
      </w:r>
      <w:r w:rsidRPr="00EC2AE3">
        <w:rPr>
          <w:b/>
          <w:bCs/>
          <w:color w:val="000000" w:themeColor="text1"/>
          <w:highlight w:val="yellow"/>
        </w:rPr>
        <w:t xml:space="preserve"> 1K</w:t>
      </w:r>
      <w:r w:rsidRPr="00D37E98">
        <w:rPr>
          <w:color w:val="000000" w:themeColor="text1"/>
          <w:highlight w:val="yellow"/>
        </w:rPr>
        <w:t xml:space="preserve">). Push </w:t>
      </w:r>
      <w:r w:rsidR="00D4582B">
        <w:rPr>
          <w:color w:val="000000" w:themeColor="text1"/>
          <w:highlight w:val="yellow"/>
        </w:rPr>
        <w:t xml:space="preserve">the </w:t>
      </w:r>
      <w:r w:rsidRPr="00D37E98">
        <w:rPr>
          <w:color w:val="000000" w:themeColor="text1"/>
          <w:highlight w:val="yellow"/>
        </w:rPr>
        <w:t>200 µL flat-capped PCR tube all the way down and mark</w:t>
      </w:r>
      <w:r w:rsidR="00D4582B">
        <w:rPr>
          <w:color w:val="000000" w:themeColor="text1"/>
          <w:highlight w:val="yellow"/>
        </w:rPr>
        <w:t xml:space="preserve"> the</w:t>
      </w:r>
      <w:r w:rsidRPr="00D37E98">
        <w:rPr>
          <w:color w:val="000000" w:themeColor="text1"/>
          <w:highlight w:val="yellow"/>
        </w:rPr>
        <w:t xml:space="preserve"> top with sharpie to </w:t>
      </w:r>
      <w:r w:rsidR="00EC2AE3">
        <w:rPr>
          <w:color w:val="000000" w:themeColor="text1"/>
          <w:highlight w:val="yellow"/>
        </w:rPr>
        <w:t xml:space="preserve">indicate that </w:t>
      </w:r>
      <w:r w:rsidRPr="00D37E98">
        <w:rPr>
          <w:color w:val="000000" w:themeColor="text1"/>
          <w:highlight w:val="yellow"/>
        </w:rPr>
        <w:t xml:space="preserve">this well has been loaded. </w:t>
      </w:r>
    </w:p>
    <w:p w14:paraId="4DAE33C8" w14:textId="77777777" w:rsidR="00EC2AE3" w:rsidRPr="00D37E98" w:rsidRDefault="00EC2AE3" w:rsidP="00EC2AE3">
      <w:pPr>
        <w:pStyle w:val="ListParagraph"/>
        <w:widowControl/>
        <w:ind w:left="0"/>
        <w:rPr>
          <w:color w:val="000000" w:themeColor="text1"/>
          <w:highlight w:val="yellow"/>
        </w:rPr>
      </w:pPr>
    </w:p>
    <w:p w14:paraId="20C4E595" w14:textId="1299304B" w:rsidR="0512D0C7"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t xml:space="preserve">Once all 24 samples have been loaded and bead solution added, remove </w:t>
      </w:r>
      <w:r w:rsidR="00D4582B">
        <w:rPr>
          <w:color w:val="000000" w:themeColor="text1"/>
          <w:highlight w:val="yellow"/>
        </w:rPr>
        <w:t xml:space="preserve">the </w:t>
      </w:r>
      <w:r w:rsidRPr="00D37E98">
        <w:rPr>
          <w:color w:val="000000" w:themeColor="text1"/>
          <w:highlight w:val="yellow"/>
        </w:rPr>
        <w:t>2 mL sub-sample tubes and replace with 24 unsampled tubes. Remove tubes without passing them over open wells (</w:t>
      </w:r>
      <w:r w:rsidRPr="00D4582B">
        <w:rPr>
          <w:b/>
          <w:bCs/>
          <w:color w:val="000000" w:themeColor="text1"/>
          <w:highlight w:val="yellow"/>
        </w:rPr>
        <w:t>Fig</w:t>
      </w:r>
      <w:r w:rsidR="00D4582B">
        <w:rPr>
          <w:b/>
          <w:bCs/>
          <w:color w:val="000000" w:themeColor="text1"/>
          <w:highlight w:val="yellow"/>
        </w:rPr>
        <w:t>ure</w:t>
      </w:r>
      <w:r w:rsidRPr="00D4582B">
        <w:rPr>
          <w:b/>
          <w:bCs/>
          <w:color w:val="000000" w:themeColor="text1"/>
          <w:highlight w:val="yellow"/>
        </w:rPr>
        <w:t xml:space="preserve"> 1L</w:t>
      </w:r>
      <w:r w:rsidRPr="00D37E98">
        <w:rPr>
          <w:color w:val="000000" w:themeColor="text1"/>
          <w:highlight w:val="yellow"/>
        </w:rPr>
        <w:t>).</w:t>
      </w:r>
    </w:p>
    <w:p w14:paraId="19DE60E9" w14:textId="77777777" w:rsidR="005A6D27" w:rsidRPr="00D37E98" w:rsidRDefault="005A6D27" w:rsidP="005A6D27">
      <w:pPr>
        <w:pStyle w:val="ListParagraph"/>
        <w:widowControl/>
        <w:ind w:left="0"/>
        <w:rPr>
          <w:color w:val="000000" w:themeColor="text1"/>
          <w:highlight w:val="yellow"/>
        </w:rPr>
      </w:pPr>
    </w:p>
    <w:p w14:paraId="3B533BC6" w14:textId="2DCADB56" w:rsidR="00642A63"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t>Repeat steps 4.1</w:t>
      </w:r>
      <w:r w:rsidR="00D4582B" w:rsidRPr="00D4582B">
        <w:rPr>
          <w:color w:val="000000" w:themeColor="text1"/>
          <w:highlight w:val="yellow"/>
        </w:rPr>
        <w:t>‒</w:t>
      </w:r>
      <w:r w:rsidRPr="00D37E98">
        <w:rPr>
          <w:color w:val="000000" w:themeColor="text1"/>
          <w:highlight w:val="yellow"/>
        </w:rPr>
        <w:t>4.10 until all 95 wells have been loaded with sample or blank and bead solution.</w:t>
      </w:r>
    </w:p>
    <w:p w14:paraId="5A4D42B7" w14:textId="77777777" w:rsidR="00D4582B" w:rsidRPr="00D37E98" w:rsidRDefault="00D4582B" w:rsidP="00D4582B">
      <w:pPr>
        <w:pStyle w:val="ListParagraph"/>
        <w:widowControl/>
        <w:ind w:left="0"/>
        <w:rPr>
          <w:color w:val="000000" w:themeColor="text1"/>
          <w:highlight w:val="yellow"/>
        </w:rPr>
      </w:pPr>
    </w:p>
    <w:p w14:paraId="36F7D666" w14:textId="679C79D7" w:rsidR="0512D0C7"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t xml:space="preserve">Carefully remove pierceable film and replace </w:t>
      </w:r>
      <w:r w:rsidR="00D4582B">
        <w:rPr>
          <w:color w:val="000000" w:themeColor="text1"/>
          <w:highlight w:val="yellow"/>
        </w:rPr>
        <w:t xml:space="preserve">the </w:t>
      </w:r>
      <w:r w:rsidRPr="00D37E98">
        <w:rPr>
          <w:color w:val="000000" w:themeColor="text1"/>
          <w:highlight w:val="yellow"/>
        </w:rPr>
        <w:t xml:space="preserve">rubber cover to protect </w:t>
      </w:r>
      <w:r w:rsidR="00D4582B">
        <w:rPr>
          <w:color w:val="000000" w:themeColor="text1"/>
          <w:highlight w:val="yellow"/>
        </w:rPr>
        <w:t xml:space="preserve">the </w:t>
      </w:r>
      <w:r w:rsidRPr="00D37E98">
        <w:rPr>
          <w:color w:val="000000" w:themeColor="text1"/>
          <w:highlight w:val="yellow"/>
        </w:rPr>
        <w:t>plate until beginning extraction (</w:t>
      </w:r>
      <w:r w:rsidRPr="00D4582B">
        <w:rPr>
          <w:b/>
          <w:bCs/>
          <w:color w:val="000000" w:themeColor="text1"/>
          <w:highlight w:val="yellow"/>
        </w:rPr>
        <w:t>Fig</w:t>
      </w:r>
      <w:r w:rsidR="00D4582B">
        <w:rPr>
          <w:b/>
          <w:bCs/>
          <w:color w:val="000000" w:themeColor="text1"/>
          <w:highlight w:val="yellow"/>
        </w:rPr>
        <w:t xml:space="preserve">ure </w:t>
      </w:r>
      <w:r w:rsidRPr="00D4582B">
        <w:rPr>
          <w:b/>
          <w:bCs/>
          <w:color w:val="000000" w:themeColor="text1"/>
          <w:highlight w:val="yellow"/>
        </w:rPr>
        <w:t>1M–1O</w:t>
      </w:r>
      <w:r w:rsidRPr="00D37E98">
        <w:rPr>
          <w:color w:val="000000" w:themeColor="text1"/>
          <w:highlight w:val="yellow"/>
        </w:rPr>
        <w:t xml:space="preserve">).  </w:t>
      </w:r>
    </w:p>
    <w:p w14:paraId="78FB0E49" w14:textId="77777777" w:rsidR="00D4582B" w:rsidRPr="00D37E98" w:rsidRDefault="00D4582B" w:rsidP="00D4582B">
      <w:pPr>
        <w:pStyle w:val="ListParagraph"/>
        <w:widowControl/>
        <w:ind w:left="0"/>
        <w:rPr>
          <w:color w:val="000000" w:themeColor="text1"/>
          <w:highlight w:val="yellow"/>
        </w:rPr>
      </w:pPr>
    </w:p>
    <w:p w14:paraId="54083E76" w14:textId="1015ECFB" w:rsidR="00D4582B" w:rsidRDefault="729BC724" w:rsidP="00D37E98">
      <w:pPr>
        <w:pStyle w:val="ListParagraph"/>
        <w:widowControl/>
        <w:numPr>
          <w:ilvl w:val="1"/>
          <w:numId w:val="1"/>
        </w:numPr>
        <w:rPr>
          <w:color w:val="000000" w:themeColor="text1"/>
          <w:highlight w:val="yellow"/>
        </w:rPr>
      </w:pPr>
      <w:r w:rsidRPr="00D37E98">
        <w:rPr>
          <w:color w:val="000000" w:themeColor="text1"/>
          <w:highlight w:val="yellow"/>
        </w:rPr>
        <w:lastRenderedPageBreak/>
        <w:t xml:space="preserve">For </w:t>
      </w:r>
      <w:proofErr w:type="gramStart"/>
      <w:r w:rsidRPr="00D37E98">
        <w:rPr>
          <w:color w:val="000000" w:themeColor="text1"/>
          <w:highlight w:val="yellow"/>
        </w:rPr>
        <w:t>very small</w:t>
      </w:r>
      <w:proofErr w:type="gramEnd"/>
      <w:r w:rsidRPr="00D37E98">
        <w:rPr>
          <w:color w:val="000000" w:themeColor="text1"/>
          <w:highlight w:val="yellow"/>
        </w:rPr>
        <w:t xml:space="preserve"> quantities of soil that are also fine-grained, add 750</w:t>
      </w:r>
      <w:r w:rsidR="00BC5334">
        <w:rPr>
          <w:color w:val="000000" w:themeColor="text1"/>
          <w:highlight w:val="yellow"/>
        </w:rPr>
        <w:t xml:space="preserve"> </w:t>
      </w:r>
      <w:r w:rsidR="00052182">
        <w:rPr>
          <w:color w:val="000000" w:themeColor="text1"/>
          <w:highlight w:val="yellow"/>
        </w:rPr>
        <w:t>µ</w:t>
      </w:r>
      <w:r w:rsidR="00BC5334">
        <w:rPr>
          <w:color w:val="000000" w:themeColor="text1"/>
          <w:highlight w:val="yellow"/>
        </w:rPr>
        <w:t>L</w:t>
      </w:r>
      <w:r w:rsidRPr="00D37E98">
        <w:rPr>
          <w:color w:val="000000" w:themeColor="text1"/>
          <w:highlight w:val="yellow"/>
        </w:rPr>
        <w:t xml:space="preserve"> of bead solution to the sample tube and use a wide-bore pipette tip to transfer all contents to the appropriate well. Place PCR tube into </w:t>
      </w:r>
      <w:r w:rsidR="00D4582B">
        <w:rPr>
          <w:color w:val="000000" w:themeColor="text1"/>
          <w:highlight w:val="yellow"/>
        </w:rPr>
        <w:t xml:space="preserve">the </w:t>
      </w:r>
      <w:r w:rsidRPr="00D37E98">
        <w:rPr>
          <w:color w:val="000000" w:themeColor="text1"/>
          <w:highlight w:val="yellow"/>
        </w:rPr>
        <w:t xml:space="preserve">opening to prevent double loading. </w:t>
      </w:r>
    </w:p>
    <w:p w14:paraId="767BF1BA" w14:textId="77777777" w:rsidR="00D4582B" w:rsidRDefault="00D4582B" w:rsidP="00D4582B">
      <w:pPr>
        <w:pStyle w:val="ListParagraph"/>
        <w:widowControl/>
        <w:ind w:left="0"/>
        <w:rPr>
          <w:color w:val="000000" w:themeColor="text1"/>
          <w:highlight w:val="yellow"/>
        </w:rPr>
      </w:pPr>
    </w:p>
    <w:p w14:paraId="72F773E0" w14:textId="1272FBB6" w:rsidR="00513B42" w:rsidRDefault="00D4582B" w:rsidP="00D4582B">
      <w:pPr>
        <w:pStyle w:val="ListParagraph"/>
        <w:widowControl/>
        <w:ind w:left="0"/>
        <w:rPr>
          <w:color w:val="000000" w:themeColor="text1"/>
          <w:highlight w:val="yellow"/>
        </w:rPr>
      </w:pPr>
      <w:r>
        <w:rPr>
          <w:color w:val="000000" w:themeColor="text1"/>
          <w:highlight w:val="yellow"/>
        </w:rPr>
        <w:t xml:space="preserve">NOTE: </w:t>
      </w:r>
      <w:r w:rsidR="729BC724" w:rsidRPr="00D37E98">
        <w:rPr>
          <w:color w:val="000000" w:themeColor="text1"/>
          <w:highlight w:val="yellow"/>
        </w:rPr>
        <w:t xml:space="preserve">Be careful when implementing this modification as particulate organic matter or small rock fragments larger than the bore of the pipette tip can clog the pipette and make transfer of </w:t>
      </w:r>
      <w:r>
        <w:rPr>
          <w:color w:val="000000" w:themeColor="text1"/>
          <w:highlight w:val="yellow"/>
        </w:rPr>
        <w:t>the</w:t>
      </w:r>
      <w:r w:rsidR="729BC724" w:rsidRPr="00D37E98">
        <w:rPr>
          <w:color w:val="000000" w:themeColor="text1"/>
          <w:highlight w:val="yellow"/>
        </w:rPr>
        <w:t xml:space="preserve"> sample slurry difficult. </w:t>
      </w:r>
    </w:p>
    <w:p w14:paraId="605BCA5B" w14:textId="3016A92C" w:rsidR="0512D0C7" w:rsidRPr="00D37E98" w:rsidRDefault="0512D0C7" w:rsidP="00D4582B">
      <w:pPr>
        <w:pStyle w:val="ListParagraph"/>
        <w:widowControl/>
        <w:ind w:left="0"/>
        <w:rPr>
          <w:color w:val="000000" w:themeColor="text1"/>
          <w:highlight w:val="yellow"/>
        </w:rPr>
      </w:pPr>
    </w:p>
    <w:p w14:paraId="736CF624" w14:textId="3C261441" w:rsidR="0512D0C7" w:rsidRPr="00D37E98" w:rsidRDefault="00D4582B" w:rsidP="00D37E98">
      <w:pPr>
        <w:pStyle w:val="ListParagraph"/>
        <w:widowControl/>
        <w:numPr>
          <w:ilvl w:val="1"/>
          <w:numId w:val="1"/>
        </w:numPr>
        <w:rPr>
          <w:color w:val="000000" w:themeColor="text1"/>
          <w:highlight w:val="yellow"/>
        </w:rPr>
      </w:pPr>
      <w:r>
        <w:rPr>
          <w:color w:val="000000" w:themeColor="text1"/>
          <w:highlight w:val="yellow"/>
        </w:rPr>
        <w:t xml:space="preserve">As needed freeze </w:t>
      </w:r>
      <w:r w:rsidR="00BC5334">
        <w:rPr>
          <w:color w:val="000000" w:themeColor="text1"/>
          <w:highlight w:val="yellow"/>
        </w:rPr>
        <w:t xml:space="preserve">at -20 </w:t>
      </w:r>
      <w:r w:rsidR="00052182">
        <w:rPr>
          <w:color w:val="000000" w:themeColor="text1"/>
          <w:highlight w:val="yellow"/>
        </w:rPr>
        <w:t>°</w:t>
      </w:r>
      <w:r w:rsidR="00BC5334">
        <w:rPr>
          <w:color w:val="000000" w:themeColor="text1"/>
          <w:highlight w:val="yellow"/>
        </w:rPr>
        <w:t xml:space="preserve">C </w:t>
      </w:r>
      <w:r>
        <w:rPr>
          <w:color w:val="000000" w:themeColor="text1"/>
          <w:highlight w:val="yellow"/>
        </w:rPr>
        <w:t xml:space="preserve">and </w:t>
      </w:r>
      <w:r>
        <w:rPr>
          <w:color w:val="000000" w:themeColor="text1"/>
          <w:highlight w:val="yellow"/>
        </w:rPr>
        <w:t>store p</w:t>
      </w:r>
      <w:r w:rsidR="604A979D" w:rsidRPr="00D37E98">
        <w:rPr>
          <w:color w:val="000000" w:themeColor="text1"/>
          <w:highlight w:val="yellow"/>
        </w:rPr>
        <w:t xml:space="preserve">lates loaded with sample and bead solution until planned extraction. </w:t>
      </w:r>
    </w:p>
    <w:p w14:paraId="729327E3" w14:textId="77777777" w:rsidR="0086169E" w:rsidRPr="00D4582B" w:rsidRDefault="0086169E" w:rsidP="00D37E98">
      <w:pPr>
        <w:widowControl/>
        <w:rPr>
          <w:b/>
          <w:bCs/>
          <w:color w:val="000000" w:themeColor="text1"/>
          <w:highlight w:val="yellow"/>
        </w:rPr>
      </w:pPr>
    </w:p>
    <w:p w14:paraId="5AAD9916" w14:textId="3FE5B6D8" w:rsidR="604A979D" w:rsidRPr="00D4582B" w:rsidRDefault="00D4582B" w:rsidP="00D37E98">
      <w:pPr>
        <w:widowControl/>
        <w:rPr>
          <w:b/>
          <w:bCs/>
          <w:color w:val="000000" w:themeColor="text1"/>
        </w:rPr>
      </w:pPr>
      <w:r w:rsidRPr="00D4582B">
        <w:rPr>
          <w:b/>
          <w:bCs/>
          <w:color w:val="000000" w:themeColor="text1"/>
        </w:rPr>
        <w:t xml:space="preserve">5. </w:t>
      </w:r>
      <w:r w:rsidR="0021444F" w:rsidRPr="00D4582B">
        <w:rPr>
          <w:b/>
          <w:bCs/>
          <w:color w:val="000000" w:themeColor="text1"/>
        </w:rPr>
        <w:t>Comparison of plate loading methods</w:t>
      </w:r>
    </w:p>
    <w:p w14:paraId="1D9233FD" w14:textId="77777777" w:rsidR="0086169E" w:rsidRPr="00D4582B" w:rsidRDefault="0086169E" w:rsidP="00D37E98">
      <w:pPr>
        <w:widowControl/>
        <w:rPr>
          <w:b/>
          <w:bCs/>
          <w:color w:val="000000" w:themeColor="text1"/>
        </w:rPr>
      </w:pPr>
    </w:p>
    <w:p w14:paraId="374CD717" w14:textId="126B9EDF" w:rsidR="0086169E" w:rsidRPr="00D37E98" w:rsidRDefault="00D4582B" w:rsidP="00D37E98">
      <w:pPr>
        <w:widowControl/>
        <w:rPr>
          <w:color w:val="000000" w:themeColor="text1"/>
          <w:highlight w:val="yellow"/>
        </w:rPr>
      </w:pPr>
      <w:r>
        <w:rPr>
          <w:color w:val="000000" w:themeColor="text1"/>
        </w:rPr>
        <w:t xml:space="preserve">NOTE: </w:t>
      </w:r>
      <w:r w:rsidR="0086169E" w:rsidRPr="00D37E98">
        <w:rPr>
          <w:color w:val="000000" w:themeColor="text1"/>
        </w:rPr>
        <w:t xml:space="preserve">In order to verify our novel method for loading of 96-well DNA extraction plates, </w:t>
      </w:r>
      <w:r w:rsidR="00D82198" w:rsidRPr="00D37E98">
        <w:rPr>
          <w:color w:val="000000" w:themeColor="text1"/>
        </w:rPr>
        <w:t xml:space="preserve">we divided </w:t>
      </w:r>
      <w:r w:rsidR="0086169E" w:rsidRPr="00D37E98">
        <w:rPr>
          <w:color w:val="000000" w:themeColor="text1"/>
        </w:rPr>
        <w:t xml:space="preserve">a single 96-well plate into three sections. </w:t>
      </w:r>
      <w:r w:rsidR="00D82198" w:rsidRPr="00D37E98">
        <w:rPr>
          <w:color w:val="000000" w:themeColor="text1"/>
        </w:rPr>
        <w:t>We used t</w:t>
      </w:r>
      <w:r w:rsidR="0086169E" w:rsidRPr="00D37E98">
        <w:rPr>
          <w:color w:val="000000" w:themeColor="text1"/>
        </w:rPr>
        <w:t xml:space="preserve">hree different methods of plate loading to </w:t>
      </w:r>
      <w:r w:rsidR="00D82198" w:rsidRPr="00D37E98">
        <w:rPr>
          <w:color w:val="000000" w:themeColor="text1"/>
        </w:rPr>
        <w:t>compare</w:t>
      </w:r>
      <w:r w:rsidR="0086169E" w:rsidRPr="00D37E98">
        <w:rPr>
          <w:color w:val="000000" w:themeColor="text1"/>
        </w:rPr>
        <w:t xml:space="preserve"> potential for unintentional loading of soil and cross contamination. The three methods</w:t>
      </w:r>
      <w:r w:rsidR="00D82198" w:rsidRPr="00D37E98">
        <w:rPr>
          <w:color w:val="000000" w:themeColor="text1"/>
        </w:rPr>
        <w:t xml:space="preserve"> we</w:t>
      </w:r>
      <w:r w:rsidR="0086169E" w:rsidRPr="00D37E98">
        <w:rPr>
          <w:color w:val="000000" w:themeColor="text1"/>
        </w:rPr>
        <w:t xml:space="preserve"> used were the methods outlined in McPherson et al.</w:t>
      </w:r>
      <w:r w:rsidR="00903F70">
        <w:rPr>
          <w:color w:val="000000" w:themeColor="text1"/>
          <w:vertAlign w:val="superscript"/>
        </w:rPr>
        <w:t>9</w:t>
      </w:r>
      <w:r w:rsidR="00AA7C28" w:rsidRPr="00D37E98">
        <w:rPr>
          <w:color w:val="000000" w:themeColor="text1"/>
        </w:rPr>
        <w:t>,</w:t>
      </w:r>
      <w:r w:rsidR="00D82198" w:rsidRPr="00D37E98">
        <w:rPr>
          <w:color w:val="000000" w:themeColor="text1"/>
        </w:rPr>
        <w:t xml:space="preserve"> </w:t>
      </w:r>
      <w:r w:rsidR="0086169E" w:rsidRPr="00D37E98">
        <w:rPr>
          <w:color w:val="000000" w:themeColor="text1"/>
        </w:rPr>
        <w:t>Qiagen’s default loading protocol</w:t>
      </w:r>
      <w:r w:rsidR="00903F70">
        <w:rPr>
          <w:color w:val="000000" w:themeColor="text1"/>
          <w:vertAlign w:val="superscript"/>
        </w:rPr>
        <w:t>10</w:t>
      </w:r>
      <w:r w:rsidR="0086169E" w:rsidRPr="00D37E98">
        <w:rPr>
          <w:color w:val="000000" w:themeColor="text1"/>
        </w:rPr>
        <w:t>, and the protocol</w:t>
      </w:r>
      <w:r w:rsidR="00D82198" w:rsidRPr="00D37E98">
        <w:rPr>
          <w:color w:val="000000" w:themeColor="text1"/>
        </w:rPr>
        <w:t xml:space="preserve"> we</w:t>
      </w:r>
      <w:r w:rsidR="0086169E" w:rsidRPr="00D37E98">
        <w:rPr>
          <w:color w:val="000000" w:themeColor="text1"/>
        </w:rPr>
        <w:t xml:space="preserve"> outline</w:t>
      </w:r>
      <w:r w:rsidR="00D82198" w:rsidRPr="00D37E98">
        <w:rPr>
          <w:color w:val="000000" w:themeColor="text1"/>
        </w:rPr>
        <w:t xml:space="preserve"> in this publication</w:t>
      </w:r>
      <w:r w:rsidR="0086169E" w:rsidRPr="00D37E98">
        <w:rPr>
          <w:color w:val="000000" w:themeColor="text1"/>
        </w:rPr>
        <w:t xml:space="preserve">. </w:t>
      </w:r>
    </w:p>
    <w:p w14:paraId="044D0A50" w14:textId="77777777" w:rsidR="0086169E" w:rsidRPr="00D37E98" w:rsidRDefault="0086169E" w:rsidP="00D37E98">
      <w:pPr>
        <w:widowControl/>
        <w:rPr>
          <w:color w:val="000000" w:themeColor="text1"/>
          <w:u w:val="single"/>
        </w:rPr>
      </w:pPr>
    </w:p>
    <w:p w14:paraId="7FB2904D" w14:textId="77777777" w:rsidR="00D4582B" w:rsidRDefault="0086169E" w:rsidP="00D37E98">
      <w:pPr>
        <w:pStyle w:val="ListParagraph"/>
        <w:widowControl/>
        <w:numPr>
          <w:ilvl w:val="0"/>
          <w:numId w:val="32"/>
        </w:numPr>
        <w:rPr>
          <w:color w:val="000000" w:themeColor="text1"/>
        </w:rPr>
      </w:pPr>
      <w:r w:rsidRPr="00D37E98">
        <w:rPr>
          <w:color w:val="000000" w:themeColor="text1"/>
        </w:rPr>
        <w:t xml:space="preserve">Loading soil into </w:t>
      </w:r>
      <w:r w:rsidR="00D4582B">
        <w:rPr>
          <w:color w:val="000000" w:themeColor="text1"/>
        </w:rPr>
        <w:t xml:space="preserve">the </w:t>
      </w:r>
      <w:r w:rsidRPr="00D37E98">
        <w:rPr>
          <w:color w:val="000000" w:themeColor="text1"/>
        </w:rPr>
        <w:t>plate</w:t>
      </w:r>
    </w:p>
    <w:p w14:paraId="6D4C13F3" w14:textId="02E3FECC" w:rsidR="0086169E" w:rsidRPr="00D37E98" w:rsidRDefault="0086169E" w:rsidP="00D4582B">
      <w:pPr>
        <w:pStyle w:val="ListParagraph"/>
        <w:widowControl/>
        <w:ind w:left="0"/>
        <w:rPr>
          <w:color w:val="000000" w:themeColor="text1"/>
        </w:rPr>
      </w:pPr>
      <w:r w:rsidRPr="00D37E98">
        <w:rPr>
          <w:color w:val="000000" w:themeColor="text1"/>
        </w:rPr>
        <w:t xml:space="preserve"> </w:t>
      </w:r>
    </w:p>
    <w:p w14:paraId="684782E5" w14:textId="782E2E0E" w:rsidR="0086169E" w:rsidRDefault="00D4582B" w:rsidP="00D37E98">
      <w:pPr>
        <w:pStyle w:val="ListParagraph"/>
        <w:widowControl/>
        <w:numPr>
          <w:ilvl w:val="1"/>
          <w:numId w:val="32"/>
        </w:numPr>
        <w:rPr>
          <w:color w:val="000000" w:themeColor="text1"/>
        </w:rPr>
      </w:pPr>
      <w:r>
        <w:rPr>
          <w:color w:val="000000" w:themeColor="text1"/>
        </w:rPr>
        <w:t>Section a</w:t>
      </w:r>
      <w:r w:rsidR="0086169E" w:rsidRPr="00D37E98">
        <w:rPr>
          <w:color w:val="000000" w:themeColor="text1"/>
        </w:rPr>
        <w:t xml:space="preserve"> 96-well plate into three four-column blocks. </w:t>
      </w:r>
      <w:r>
        <w:rPr>
          <w:color w:val="000000" w:themeColor="text1"/>
        </w:rPr>
        <w:t>Load e</w:t>
      </w:r>
      <w:r w:rsidR="0086169E" w:rsidRPr="00D37E98">
        <w:rPr>
          <w:color w:val="000000" w:themeColor="text1"/>
        </w:rPr>
        <w:t xml:space="preserve">ach block using one of the three method mentioned above. </w:t>
      </w:r>
    </w:p>
    <w:p w14:paraId="1EA9BCA2" w14:textId="77777777" w:rsidR="00D4582B" w:rsidRPr="00D37E98" w:rsidRDefault="00D4582B" w:rsidP="00D4582B">
      <w:pPr>
        <w:pStyle w:val="ListParagraph"/>
        <w:widowControl/>
        <w:ind w:left="0"/>
        <w:rPr>
          <w:color w:val="000000" w:themeColor="text1"/>
        </w:rPr>
      </w:pPr>
    </w:p>
    <w:p w14:paraId="64246ACD" w14:textId="0FAC95B7" w:rsidR="0086169E" w:rsidRDefault="00D4582B" w:rsidP="00D37E98">
      <w:pPr>
        <w:pStyle w:val="ListParagraph"/>
        <w:widowControl/>
        <w:numPr>
          <w:ilvl w:val="1"/>
          <w:numId w:val="32"/>
        </w:numPr>
        <w:rPr>
          <w:color w:val="000000" w:themeColor="text1"/>
        </w:rPr>
      </w:pPr>
      <w:r>
        <w:rPr>
          <w:color w:val="000000" w:themeColor="text1"/>
        </w:rPr>
        <w:t>Load s</w:t>
      </w:r>
      <w:r w:rsidR="0086169E" w:rsidRPr="00D37E98">
        <w:rPr>
          <w:color w:val="000000" w:themeColor="text1"/>
        </w:rPr>
        <w:t xml:space="preserve">oil into every other well so that sample and blank wells </w:t>
      </w:r>
      <w:r>
        <w:rPr>
          <w:color w:val="000000" w:themeColor="text1"/>
        </w:rPr>
        <w:t>ar</w:t>
      </w:r>
      <w:r w:rsidR="0086169E" w:rsidRPr="00D37E98">
        <w:rPr>
          <w:color w:val="000000" w:themeColor="text1"/>
        </w:rPr>
        <w:t>e staggered.</w:t>
      </w:r>
      <w:r>
        <w:rPr>
          <w:color w:val="000000" w:themeColor="text1"/>
        </w:rPr>
        <w:t xml:space="preserve"> </w:t>
      </w:r>
      <w:r w:rsidR="0086169E" w:rsidRPr="00D37E98">
        <w:rPr>
          <w:color w:val="000000" w:themeColor="text1"/>
        </w:rPr>
        <w:t>This arrangement allows for maximum opportunity for inadvertent sample loading and cross contamination.</w:t>
      </w:r>
    </w:p>
    <w:p w14:paraId="6AF84C32" w14:textId="77777777" w:rsidR="00D4582B" w:rsidRPr="00D37E98" w:rsidRDefault="00D4582B" w:rsidP="00D4582B">
      <w:pPr>
        <w:pStyle w:val="ListParagraph"/>
        <w:widowControl/>
        <w:ind w:left="0"/>
        <w:rPr>
          <w:color w:val="000000" w:themeColor="text1"/>
        </w:rPr>
      </w:pPr>
    </w:p>
    <w:p w14:paraId="16AAC5D5" w14:textId="47D33A82" w:rsidR="0086169E" w:rsidRDefault="00D4582B" w:rsidP="00D37E98">
      <w:pPr>
        <w:pStyle w:val="ListParagraph"/>
        <w:widowControl/>
        <w:numPr>
          <w:ilvl w:val="1"/>
          <w:numId w:val="32"/>
        </w:numPr>
        <w:rPr>
          <w:color w:val="000000" w:themeColor="text1"/>
        </w:rPr>
      </w:pPr>
      <w:r>
        <w:rPr>
          <w:color w:val="000000" w:themeColor="text1"/>
        </w:rPr>
        <w:t>Freeze t</w:t>
      </w:r>
      <w:r w:rsidR="0086169E" w:rsidRPr="00D37E98">
        <w:rPr>
          <w:color w:val="000000" w:themeColor="text1"/>
        </w:rPr>
        <w:t xml:space="preserve">he 96-well plate </w:t>
      </w:r>
      <w:r w:rsidRPr="00D37E98">
        <w:rPr>
          <w:color w:val="000000" w:themeColor="text1"/>
        </w:rPr>
        <w:t xml:space="preserve">at -20 </w:t>
      </w:r>
      <w:r>
        <w:rPr>
          <w:color w:val="000000" w:themeColor="text1"/>
        </w:rPr>
        <w:t>°</w:t>
      </w:r>
      <w:r w:rsidRPr="00D37E98">
        <w:rPr>
          <w:color w:val="000000" w:themeColor="text1"/>
        </w:rPr>
        <w:t xml:space="preserve">C </w:t>
      </w:r>
      <w:r w:rsidR="0086169E" w:rsidRPr="00D37E98">
        <w:rPr>
          <w:color w:val="000000" w:themeColor="text1"/>
        </w:rPr>
        <w:t>until DNA extraction.</w:t>
      </w:r>
    </w:p>
    <w:p w14:paraId="0D787814" w14:textId="77777777" w:rsidR="00D4582B" w:rsidRPr="00D37E98" w:rsidRDefault="00D4582B" w:rsidP="00D4582B">
      <w:pPr>
        <w:pStyle w:val="ListParagraph"/>
        <w:widowControl/>
        <w:ind w:left="0"/>
        <w:rPr>
          <w:color w:val="000000" w:themeColor="text1"/>
        </w:rPr>
      </w:pPr>
    </w:p>
    <w:p w14:paraId="6AB1D566" w14:textId="36E306E4" w:rsidR="0086169E" w:rsidRDefault="0086169E" w:rsidP="00D37E98">
      <w:pPr>
        <w:pStyle w:val="ListParagraph"/>
        <w:widowControl/>
        <w:numPr>
          <w:ilvl w:val="0"/>
          <w:numId w:val="32"/>
        </w:numPr>
        <w:rPr>
          <w:color w:val="000000" w:themeColor="text1"/>
        </w:rPr>
      </w:pPr>
      <w:r w:rsidRPr="00D37E98">
        <w:rPr>
          <w:color w:val="000000" w:themeColor="text1"/>
        </w:rPr>
        <w:t>DNA extraction</w:t>
      </w:r>
    </w:p>
    <w:p w14:paraId="3E8C3CA2" w14:textId="77777777" w:rsidR="00D4582B" w:rsidRPr="00D37E98" w:rsidRDefault="00D4582B" w:rsidP="00D4582B">
      <w:pPr>
        <w:pStyle w:val="ListParagraph"/>
        <w:widowControl/>
        <w:ind w:left="0"/>
        <w:rPr>
          <w:color w:val="000000" w:themeColor="text1"/>
        </w:rPr>
      </w:pPr>
    </w:p>
    <w:p w14:paraId="6C75F40E" w14:textId="326C4347" w:rsidR="0086169E" w:rsidRDefault="00052182" w:rsidP="00052182">
      <w:pPr>
        <w:pStyle w:val="ListParagraph"/>
        <w:widowControl/>
        <w:ind w:left="0"/>
        <w:rPr>
          <w:color w:val="000000" w:themeColor="text1"/>
        </w:rPr>
      </w:pPr>
      <w:r>
        <w:rPr>
          <w:color w:val="000000" w:themeColor="text1"/>
        </w:rPr>
        <w:t xml:space="preserve">5.2.1. </w:t>
      </w:r>
      <w:r w:rsidR="00D4582B">
        <w:rPr>
          <w:color w:val="000000" w:themeColor="text1"/>
        </w:rPr>
        <w:t xml:space="preserve">Extract </w:t>
      </w:r>
      <w:r w:rsidR="0086169E" w:rsidRPr="00D37E98">
        <w:rPr>
          <w:color w:val="000000" w:themeColor="text1"/>
        </w:rPr>
        <w:t xml:space="preserve">DNA according to </w:t>
      </w:r>
      <w:r w:rsidR="00BC5334">
        <w:rPr>
          <w:color w:val="000000" w:themeColor="text1"/>
        </w:rPr>
        <w:t>manufacturer</w:t>
      </w:r>
      <w:r w:rsidR="001C4FF6">
        <w:rPr>
          <w:color w:val="000000" w:themeColor="text1"/>
        </w:rPr>
        <w:t>’s</w:t>
      </w:r>
      <w:r w:rsidR="00BC5334">
        <w:rPr>
          <w:color w:val="000000" w:themeColor="text1"/>
        </w:rPr>
        <w:t xml:space="preserve"> </w:t>
      </w:r>
      <w:r w:rsidR="0086169E" w:rsidRPr="00D37E98">
        <w:rPr>
          <w:color w:val="000000" w:themeColor="text1"/>
        </w:rPr>
        <w:t>96-well plate extraction protocol</w:t>
      </w:r>
      <w:r w:rsidR="00947A87">
        <w:rPr>
          <w:color w:val="000000" w:themeColor="text1"/>
          <w:vertAlign w:val="superscript"/>
        </w:rPr>
        <w:t>10</w:t>
      </w:r>
      <w:r w:rsidR="0086169E" w:rsidRPr="00D37E98">
        <w:rPr>
          <w:color w:val="000000" w:themeColor="text1"/>
        </w:rPr>
        <w:t>.</w:t>
      </w:r>
    </w:p>
    <w:p w14:paraId="0E9FA131" w14:textId="77777777" w:rsidR="00D4582B" w:rsidRPr="00D37E98" w:rsidRDefault="00D4582B" w:rsidP="00D4582B">
      <w:pPr>
        <w:pStyle w:val="ListParagraph"/>
        <w:widowControl/>
        <w:ind w:left="0"/>
        <w:rPr>
          <w:color w:val="000000" w:themeColor="text1"/>
        </w:rPr>
      </w:pPr>
    </w:p>
    <w:p w14:paraId="39DEB5C1" w14:textId="28CB136D" w:rsidR="0086169E" w:rsidRDefault="00052182" w:rsidP="00052182">
      <w:pPr>
        <w:pStyle w:val="ListParagraph"/>
        <w:widowControl/>
        <w:ind w:left="0"/>
        <w:rPr>
          <w:color w:val="000000" w:themeColor="text1"/>
        </w:rPr>
      </w:pPr>
      <w:r>
        <w:rPr>
          <w:color w:val="000000" w:themeColor="text1"/>
        </w:rPr>
        <w:t xml:space="preserve">5.2.2. </w:t>
      </w:r>
      <w:r w:rsidR="00D4582B">
        <w:rPr>
          <w:color w:val="000000" w:themeColor="text1"/>
        </w:rPr>
        <w:t xml:space="preserve">Store the </w:t>
      </w:r>
      <w:r w:rsidR="0086169E" w:rsidRPr="00D37E98">
        <w:rPr>
          <w:color w:val="000000" w:themeColor="text1"/>
        </w:rPr>
        <w:t xml:space="preserve">DNA extracts at -20 </w:t>
      </w:r>
      <w:r w:rsidR="00D4582B">
        <w:rPr>
          <w:color w:val="000000" w:themeColor="text1"/>
        </w:rPr>
        <w:t>°</w:t>
      </w:r>
      <w:r w:rsidR="0086169E" w:rsidRPr="00D37E98">
        <w:rPr>
          <w:color w:val="000000" w:themeColor="text1"/>
        </w:rPr>
        <w:t>C until further analysis.</w:t>
      </w:r>
    </w:p>
    <w:p w14:paraId="72485984" w14:textId="77777777" w:rsidR="00D4582B" w:rsidRPr="00D37E98" w:rsidRDefault="00D4582B" w:rsidP="00D4582B">
      <w:pPr>
        <w:pStyle w:val="ListParagraph"/>
        <w:widowControl/>
        <w:ind w:left="0"/>
        <w:rPr>
          <w:color w:val="000000" w:themeColor="text1"/>
        </w:rPr>
      </w:pPr>
    </w:p>
    <w:p w14:paraId="65EB7747" w14:textId="097466ED" w:rsidR="0086169E" w:rsidRDefault="0086169E" w:rsidP="00D37E98">
      <w:pPr>
        <w:pStyle w:val="ListParagraph"/>
        <w:widowControl/>
        <w:numPr>
          <w:ilvl w:val="0"/>
          <w:numId w:val="32"/>
        </w:numPr>
        <w:rPr>
          <w:color w:val="000000" w:themeColor="text1"/>
        </w:rPr>
      </w:pPr>
      <w:r w:rsidRPr="00D37E98">
        <w:rPr>
          <w:color w:val="000000" w:themeColor="text1"/>
        </w:rPr>
        <w:t>Quantification of DNA in blank wells</w:t>
      </w:r>
    </w:p>
    <w:p w14:paraId="562F744D" w14:textId="77777777" w:rsidR="00052182" w:rsidRDefault="00052182" w:rsidP="00052182">
      <w:pPr>
        <w:pStyle w:val="ListParagraph"/>
        <w:widowControl/>
        <w:ind w:left="0"/>
        <w:rPr>
          <w:color w:val="000000" w:themeColor="text1"/>
        </w:rPr>
      </w:pPr>
    </w:p>
    <w:p w14:paraId="0A03370F" w14:textId="6D1C6EB6" w:rsidR="0086169E" w:rsidRDefault="00052182" w:rsidP="00052182">
      <w:pPr>
        <w:pStyle w:val="ListParagraph"/>
        <w:widowControl/>
        <w:ind w:left="0"/>
        <w:rPr>
          <w:color w:val="000000" w:themeColor="text1"/>
        </w:rPr>
      </w:pPr>
      <w:r>
        <w:rPr>
          <w:color w:val="000000" w:themeColor="text1"/>
        </w:rPr>
        <w:t xml:space="preserve">5.3.1. </w:t>
      </w:r>
      <w:r w:rsidR="00BC5334">
        <w:rPr>
          <w:color w:val="000000" w:themeColor="text1"/>
        </w:rPr>
        <w:t>Thaw</w:t>
      </w:r>
      <w:r w:rsidR="0086169E" w:rsidRPr="00D37E98">
        <w:rPr>
          <w:color w:val="000000" w:themeColor="text1"/>
        </w:rPr>
        <w:t xml:space="preserve"> DNA extracts </w:t>
      </w:r>
      <w:r w:rsidR="00BC5334">
        <w:rPr>
          <w:color w:val="000000" w:themeColor="text1"/>
        </w:rPr>
        <w:t>at room temperature</w:t>
      </w:r>
      <w:r w:rsidR="0086169E" w:rsidRPr="00D37E98">
        <w:rPr>
          <w:color w:val="000000" w:themeColor="text1"/>
        </w:rPr>
        <w:t>, vortex and sp</w:t>
      </w:r>
      <w:r w:rsidR="00BC5334">
        <w:rPr>
          <w:color w:val="000000" w:themeColor="text1"/>
        </w:rPr>
        <w:t>i</w:t>
      </w:r>
      <w:r w:rsidR="0086169E" w:rsidRPr="00D37E98">
        <w:rPr>
          <w:color w:val="000000" w:themeColor="text1"/>
        </w:rPr>
        <w:t>n down</w:t>
      </w:r>
      <w:r w:rsidR="00BC5334">
        <w:rPr>
          <w:color w:val="000000" w:themeColor="text1"/>
        </w:rPr>
        <w:t xml:space="preserve"> using a plate spinner</w:t>
      </w:r>
      <w:r w:rsidR="0086169E" w:rsidRPr="00D37E98">
        <w:rPr>
          <w:color w:val="000000" w:themeColor="text1"/>
        </w:rPr>
        <w:t xml:space="preserve">. </w:t>
      </w:r>
    </w:p>
    <w:p w14:paraId="7C5345E5" w14:textId="77777777" w:rsidR="00D4582B" w:rsidRPr="00D37E98" w:rsidRDefault="00D4582B" w:rsidP="00D4582B">
      <w:pPr>
        <w:pStyle w:val="ListParagraph"/>
        <w:widowControl/>
        <w:ind w:left="0"/>
        <w:rPr>
          <w:color w:val="000000" w:themeColor="text1"/>
        </w:rPr>
      </w:pPr>
    </w:p>
    <w:p w14:paraId="3965F865" w14:textId="38F62AB4" w:rsidR="0086169E" w:rsidRDefault="00052182" w:rsidP="00052182">
      <w:pPr>
        <w:pStyle w:val="ListParagraph"/>
        <w:widowControl/>
        <w:ind w:left="0"/>
        <w:rPr>
          <w:color w:val="000000" w:themeColor="text1"/>
        </w:rPr>
      </w:pPr>
      <w:r>
        <w:rPr>
          <w:color w:val="000000" w:themeColor="text1"/>
        </w:rPr>
        <w:t xml:space="preserve">5.3.2. </w:t>
      </w:r>
      <w:r w:rsidR="00BC5334">
        <w:rPr>
          <w:color w:val="000000" w:themeColor="text1"/>
        </w:rPr>
        <w:t xml:space="preserve">Measure and record </w:t>
      </w:r>
      <w:r w:rsidR="0086169E" w:rsidRPr="00D37E98">
        <w:rPr>
          <w:color w:val="000000" w:themeColor="text1"/>
        </w:rPr>
        <w:t>DNA concentrations of blank wells</w:t>
      </w:r>
      <w:r w:rsidR="008C3AAA">
        <w:rPr>
          <w:color w:val="000000" w:themeColor="text1"/>
        </w:rPr>
        <w:t xml:space="preserve"> using a spectrophotometer</w:t>
      </w:r>
      <w:r w:rsidR="0086169E" w:rsidRPr="00D37E98">
        <w:rPr>
          <w:color w:val="000000" w:themeColor="text1"/>
        </w:rPr>
        <w:t>.</w:t>
      </w:r>
    </w:p>
    <w:p w14:paraId="59CD59C0" w14:textId="77777777" w:rsidR="00D4582B" w:rsidRPr="00D37E98" w:rsidRDefault="00D4582B" w:rsidP="00D4582B">
      <w:pPr>
        <w:pStyle w:val="ListParagraph"/>
        <w:widowControl/>
        <w:ind w:left="0"/>
        <w:rPr>
          <w:color w:val="000000" w:themeColor="text1"/>
        </w:rPr>
      </w:pPr>
    </w:p>
    <w:p w14:paraId="3F65C1B7" w14:textId="0238694F" w:rsidR="00D4582B" w:rsidRDefault="00052182" w:rsidP="00052182">
      <w:pPr>
        <w:pStyle w:val="ListParagraph"/>
        <w:widowControl/>
        <w:ind w:left="0"/>
        <w:rPr>
          <w:color w:val="000000" w:themeColor="text1"/>
        </w:rPr>
      </w:pPr>
      <w:r>
        <w:rPr>
          <w:color w:val="000000" w:themeColor="text1"/>
        </w:rPr>
        <w:t xml:space="preserve">5.3.3. </w:t>
      </w:r>
      <w:r w:rsidR="0086169E" w:rsidRPr="00D37E98">
        <w:rPr>
          <w:color w:val="000000" w:themeColor="text1"/>
        </w:rPr>
        <w:t>Us</w:t>
      </w:r>
      <w:r w:rsidR="00D4582B">
        <w:rPr>
          <w:color w:val="000000" w:themeColor="text1"/>
        </w:rPr>
        <w:t>e</w:t>
      </w:r>
      <w:r w:rsidR="0086169E" w:rsidRPr="00D37E98">
        <w:rPr>
          <w:color w:val="000000" w:themeColor="text1"/>
        </w:rPr>
        <w:t xml:space="preserve"> ANVOA and Tukey’s post-hoc test</w:t>
      </w:r>
      <w:r w:rsidR="00D4582B">
        <w:rPr>
          <w:color w:val="000000" w:themeColor="text1"/>
        </w:rPr>
        <w:t xml:space="preserve"> to analyze </w:t>
      </w:r>
      <w:r w:rsidR="0086169E" w:rsidRPr="00D37E98">
        <w:rPr>
          <w:color w:val="000000" w:themeColor="text1"/>
        </w:rPr>
        <w:t xml:space="preserve">differences in mean DNA concentration in blank wells. </w:t>
      </w:r>
    </w:p>
    <w:p w14:paraId="204B972F" w14:textId="77777777" w:rsidR="00D4582B" w:rsidRDefault="00D4582B" w:rsidP="00D4582B">
      <w:pPr>
        <w:pStyle w:val="ListParagraph"/>
        <w:widowControl/>
        <w:ind w:left="0"/>
        <w:rPr>
          <w:color w:val="000000" w:themeColor="text1"/>
        </w:rPr>
      </w:pPr>
    </w:p>
    <w:p w14:paraId="3012896F" w14:textId="2AA18866" w:rsidR="0086169E" w:rsidRPr="00D37E98" w:rsidRDefault="00D4582B" w:rsidP="00D4582B">
      <w:pPr>
        <w:pStyle w:val="ListParagraph"/>
        <w:widowControl/>
        <w:ind w:left="0"/>
        <w:rPr>
          <w:color w:val="000000" w:themeColor="text1"/>
        </w:rPr>
      </w:pPr>
      <w:r>
        <w:rPr>
          <w:color w:val="000000" w:themeColor="text1"/>
        </w:rPr>
        <w:t xml:space="preserve">NOTE: </w:t>
      </w:r>
      <w:r w:rsidR="0086169E" w:rsidRPr="00D37E98">
        <w:rPr>
          <w:color w:val="000000" w:themeColor="text1"/>
        </w:rPr>
        <w:t xml:space="preserve">Significant differences were reported at </w:t>
      </w:r>
      <w:r>
        <w:rPr>
          <w:color w:val="000000" w:themeColor="text1"/>
        </w:rPr>
        <w:t>α</w:t>
      </w:r>
      <w:r w:rsidR="0086169E" w:rsidRPr="00D37E98">
        <w:rPr>
          <w:color w:val="000000" w:themeColor="text1"/>
        </w:rPr>
        <w:t xml:space="preserve"> = 0.05. </w:t>
      </w:r>
    </w:p>
    <w:p w14:paraId="496AB0B4" w14:textId="77777777" w:rsidR="001C1E49" w:rsidRPr="00D37E98" w:rsidRDefault="001C1E49" w:rsidP="00D37E98">
      <w:pPr>
        <w:pStyle w:val="NormalWeb"/>
        <w:widowControl/>
        <w:spacing w:before="0" w:beforeAutospacing="0" w:after="0" w:afterAutospacing="0"/>
        <w:rPr>
          <w:b/>
          <w:color w:val="000000" w:themeColor="text1"/>
        </w:rPr>
      </w:pPr>
    </w:p>
    <w:p w14:paraId="6AE8A466" w14:textId="2CBF26DC" w:rsidR="0086169E" w:rsidRPr="00D37E98" w:rsidRDefault="4C4CA750" w:rsidP="00D37E98">
      <w:pPr>
        <w:pStyle w:val="NormalWeb"/>
        <w:widowControl/>
        <w:spacing w:before="0" w:beforeAutospacing="0" w:after="0" w:afterAutospacing="0"/>
      </w:pPr>
      <w:r w:rsidRPr="00D37E98">
        <w:rPr>
          <w:b/>
          <w:bCs/>
          <w:color w:val="000000" w:themeColor="text1"/>
        </w:rPr>
        <w:t xml:space="preserve">REPRESENTATIVE RESULTS: </w:t>
      </w:r>
      <w:hyperlink w:anchor="Representative_Results" w:history="1"/>
    </w:p>
    <w:p w14:paraId="30B6D2DB" w14:textId="5184D475" w:rsidR="0086169E" w:rsidRPr="00D37E98" w:rsidRDefault="00630459" w:rsidP="00D37E98">
      <w:pPr>
        <w:widowControl/>
      </w:pPr>
      <w:r>
        <w:t>This</w:t>
      </w:r>
      <w:r w:rsidR="0086169E" w:rsidRPr="00D37E98">
        <w:t xml:space="preserve"> novel method was used successfully to load 96-well DNA extraction plates. Comparison of plate loading methods showed our method to have the lowest DNA concentration in the blank wells. The DNA concentration in the blank wells was significantly lower than the method proposed my </w:t>
      </w:r>
      <w:r w:rsidR="0086169E" w:rsidRPr="00D37E98">
        <w:t>McPherson et al.</w:t>
      </w:r>
      <w:r w:rsidR="00903F70">
        <w:rPr>
          <w:vertAlign w:val="superscript"/>
        </w:rPr>
        <w:t>9</w:t>
      </w:r>
      <w:r w:rsidR="0086169E" w:rsidRPr="00D37E98">
        <w:t xml:space="preserve"> (p &lt; </w:t>
      </w:r>
      <w:r w:rsidR="0086169E" w:rsidRPr="00D37E98">
        <w:t>0.05), though DNA concentrations in our method were not statistically different from the Qiagen default method (</w:t>
      </w:r>
      <w:r w:rsidR="0086169E" w:rsidRPr="00630459">
        <w:rPr>
          <w:b/>
          <w:bCs/>
        </w:rPr>
        <w:t>Figure 2</w:t>
      </w:r>
      <w:r w:rsidR="0086169E" w:rsidRPr="00D37E98">
        <w:t>). All three methods produced mean DNA concentrations under 2 ng/</w:t>
      </w:r>
      <w:r w:rsidR="005A6D27">
        <w:t>µ</w:t>
      </w:r>
      <w:r w:rsidR="0086169E" w:rsidRPr="00D37E98">
        <w:t xml:space="preserve">L, though only our new method </w:t>
      </w:r>
      <w:r w:rsidR="00D82198" w:rsidRPr="00D37E98">
        <w:t xml:space="preserve">also </w:t>
      </w:r>
      <w:r w:rsidR="0086169E" w:rsidRPr="00D37E98">
        <w:t xml:space="preserve">produced wells with no measurable DNA concentration. </w:t>
      </w:r>
    </w:p>
    <w:p w14:paraId="0F5010B8" w14:textId="77777777" w:rsidR="0086169E" w:rsidRPr="00D37E98" w:rsidRDefault="0086169E" w:rsidP="00D37E98">
      <w:pPr>
        <w:widowControl/>
        <w:rPr>
          <w:color w:val="000000" w:themeColor="text1"/>
        </w:rPr>
      </w:pPr>
    </w:p>
    <w:p w14:paraId="64806D97" w14:textId="77777777" w:rsidR="005A6D27" w:rsidRDefault="0CC9AF19" w:rsidP="00D37E98">
      <w:pPr>
        <w:widowControl/>
        <w:rPr>
          <w:color w:val="000000" w:themeColor="text1"/>
        </w:rPr>
      </w:pPr>
      <w:r w:rsidRPr="00D37E98">
        <w:rPr>
          <w:b/>
          <w:bCs/>
          <w:color w:val="000000" w:themeColor="text1"/>
        </w:rPr>
        <w:t>FIGURE AND TABLE LEGENDS:</w:t>
      </w:r>
      <w:r w:rsidRPr="00D37E98">
        <w:rPr>
          <w:color w:val="000000" w:themeColor="text1"/>
        </w:rPr>
        <w:t xml:space="preserve"> </w:t>
      </w:r>
    </w:p>
    <w:p w14:paraId="3C9083F6" w14:textId="0D17C8D6" w:rsidR="00B32616" w:rsidRPr="00D37E98" w:rsidRDefault="0002290E" w:rsidP="00D37E98">
      <w:pPr>
        <w:widowControl/>
        <w:rPr>
          <w:color w:val="000000" w:themeColor="text1"/>
        </w:rPr>
      </w:pPr>
      <w:hyperlink w:anchor="Figure_Legends" w:history="1"/>
    </w:p>
    <w:p w14:paraId="3F0A54D7" w14:textId="6AA9C492" w:rsidR="7CF0A8F9" w:rsidRPr="00D37E98" w:rsidRDefault="00C94BCD" w:rsidP="00D37E98">
      <w:pPr>
        <w:widowControl/>
      </w:pPr>
      <w:r w:rsidRPr="005A6D27">
        <w:rPr>
          <w:b/>
          <w:bCs/>
        </w:rPr>
        <w:t>Figure 1</w:t>
      </w:r>
      <w:r w:rsidR="005A6D27" w:rsidRPr="005A6D27">
        <w:rPr>
          <w:b/>
          <w:bCs/>
        </w:rPr>
        <w:t>:</w:t>
      </w:r>
      <w:r w:rsidRPr="00D37E98">
        <w:t xml:space="preserve"> </w:t>
      </w:r>
      <w:r w:rsidRPr="005A6D27">
        <w:rPr>
          <w:b/>
          <w:bCs/>
        </w:rPr>
        <w:t xml:space="preserve">Step by step </w:t>
      </w:r>
      <w:r w:rsidR="00640EDA" w:rsidRPr="005A6D27">
        <w:rPr>
          <w:b/>
          <w:bCs/>
        </w:rPr>
        <w:t>methods to load</w:t>
      </w:r>
      <w:r w:rsidRPr="005A6D27">
        <w:rPr>
          <w:b/>
          <w:bCs/>
        </w:rPr>
        <w:t xml:space="preserve"> samples into 96-well plates for DNA extraction</w:t>
      </w:r>
      <w:r w:rsidR="00BB36E2" w:rsidRPr="005A6D27">
        <w:rPr>
          <w:b/>
          <w:bCs/>
        </w:rPr>
        <w:t xml:space="preserve"> while </w:t>
      </w:r>
      <w:r w:rsidR="00640EDA" w:rsidRPr="005A6D27">
        <w:rPr>
          <w:b/>
          <w:bCs/>
        </w:rPr>
        <w:t>minimizing potential for cross-contamination among wells</w:t>
      </w:r>
      <w:r w:rsidR="00640EDA" w:rsidRPr="00D37E98">
        <w:t>.</w:t>
      </w:r>
      <w:r w:rsidRPr="00D37E98">
        <w:t xml:space="preserve"> Dark gray covers (</w:t>
      </w:r>
      <w:r w:rsidR="00741C96" w:rsidRPr="00D37E98">
        <w:t xml:space="preserve">present in </w:t>
      </w:r>
      <w:r w:rsidR="00251691" w:rsidRPr="00D37E98">
        <w:t xml:space="preserve">steps </w:t>
      </w:r>
      <w:r w:rsidRPr="00D37E98">
        <w:t>A, B, N, and O) represent the silicon cover that comes with the extraction kit. The light gray cover (</w:t>
      </w:r>
      <w:r w:rsidR="007375E9" w:rsidRPr="00D37E98">
        <w:t>applied in step</w:t>
      </w:r>
      <w:r w:rsidR="00C627DD" w:rsidRPr="00D37E98">
        <w:t xml:space="preserve"> </w:t>
      </w:r>
      <w:r w:rsidRPr="00D37E98">
        <w:t xml:space="preserve">D, </w:t>
      </w:r>
      <w:r w:rsidR="007375E9" w:rsidRPr="00D37E98">
        <w:t>removed after step</w:t>
      </w:r>
      <w:r w:rsidRPr="00D37E98">
        <w:t xml:space="preserve"> L) represents the pierceable PCR tape used to cover the plate while loading. Though not pictured, tools should be sterilized prior to loading each sample, and PCR tubes should be wiped with bleach prior to piercing the PCR tape. </w:t>
      </w:r>
    </w:p>
    <w:p w14:paraId="5A7117AF" w14:textId="286456AF" w:rsidR="0086169E" w:rsidRPr="00D37E98" w:rsidRDefault="0086169E" w:rsidP="00D37E98">
      <w:pPr>
        <w:widowControl/>
      </w:pPr>
    </w:p>
    <w:p w14:paraId="2C5E34A4" w14:textId="6BF59F96" w:rsidR="0086169E" w:rsidRPr="00D37E98" w:rsidRDefault="0086169E" w:rsidP="00D37E98">
      <w:pPr>
        <w:widowControl/>
      </w:pPr>
      <w:r w:rsidRPr="005A6D27">
        <w:rPr>
          <w:b/>
          <w:bCs/>
        </w:rPr>
        <w:t>Figure 2</w:t>
      </w:r>
      <w:r w:rsidR="005A6D27" w:rsidRPr="005A6D27">
        <w:rPr>
          <w:b/>
          <w:bCs/>
        </w:rPr>
        <w:t>:</w:t>
      </w:r>
      <w:r w:rsidRPr="005A6D27">
        <w:rPr>
          <w:b/>
          <w:bCs/>
        </w:rPr>
        <w:t xml:space="preserve"> DNA concentrations of blank wells.</w:t>
      </w:r>
      <w:r w:rsidRPr="00D37E98">
        <w:t xml:space="preserve"> DNA concentrations is represented in ng/</w:t>
      </w:r>
      <w:r w:rsidR="005A6D27">
        <w:t>µ</w:t>
      </w:r>
      <w:r w:rsidRPr="00D37E98">
        <w:t xml:space="preserve">L. Letters indicate significant pairwise differences in DNA concentrations at </w:t>
      </w:r>
      <w:r w:rsidR="005A6D27">
        <w:rPr>
          <w:color w:val="000000" w:themeColor="text1"/>
        </w:rPr>
        <w:t>α</w:t>
      </w:r>
      <w:r w:rsidRPr="00D37E98">
        <w:rPr>
          <w:color w:val="000000" w:themeColor="text1"/>
        </w:rPr>
        <w:t xml:space="preserve"> = 0.05</w:t>
      </w:r>
      <w:r w:rsidRPr="00D37E98">
        <w:t xml:space="preserve">. </w:t>
      </w:r>
    </w:p>
    <w:p w14:paraId="75182EC3" w14:textId="77777777" w:rsidR="00B32616" w:rsidRPr="00D37E98" w:rsidRDefault="00B32616" w:rsidP="00D37E98">
      <w:pPr>
        <w:widowControl/>
        <w:rPr>
          <w:color w:val="000000" w:themeColor="text1"/>
        </w:rPr>
      </w:pPr>
    </w:p>
    <w:p w14:paraId="2E7C6F9A" w14:textId="2E495487" w:rsidR="7CF0A8F9" w:rsidRPr="00D37E98" w:rsidRDefault="4C4CA750" w:rsidP="00D37E98">
      <w:pPr>
        <w:widowControl/>
        <w:rPr>
          <w:color w:val="000000" w:themeColor="text1"/>
        </w:rPr>
      </w:pPr>
      <w:r w:rsidRPr="00D37E98">
        <w:rPr>
          <w:b/>
          <w:bCs/>
          <w:color w:val="000000" w:themeColor="text1"/>
        </w:rPr>
        <w:t xml:space="preserve">DISCUSSION: </w:t>
      </w:r>
      <w:hyperlink w:anchor="Discussion" w:history="1"/>
    </w:p>
    <w:p w14:paraId="5167823A" w14:textId="49B3E95C" w:rsidR="0F766B7C" w:rsidRDefault="729BC724" w:rsidP="00D37E98">
      <w:pPr>
        <w:widowControl/>
        <w:rPr>
          <w:color w:val="000000" w:themeColor="text1"/>
        </w:rPr>
      </w:pPr>
      <w:r w:rsidRPr="00D37E98">
        <w:rPr>
          <w:color w:val="000000" w:themeColor="text1"/>
        </w:rPr>
        <w:t>This method reduces opportunities for well-to-well cross-contamination while loading high-throughput sample extraction plates and offers a more controlled means to load 96-well plates beyond existing plate loading strategies</w:t>
      </w:r>
      <w:r w:rsidR="00903F70">
        <w:rPr>
          <w:vertAlign w:val="superscript"/>
        </w:rPr>
        <w:t>9</w:t>
      </w:r>
      <w:r w:rsidR="003B0B90" w:rsidRPr="00D37E98">
        <w:rPr>
          <w:vertAlign w:val="superscript"/>
        </w:rPr>
        <w:t xml:space="preserve">, </w:t>
      </w:r>
      <w:r w:rsidR="00903F70">
        <w:rPr>
          <w:vertAlign w:val="superscript"/>
        </w:rPr>
        <w:t>10</w:t>
      </w:r>
      <w:r w:rsidRPr="00D37E98">
        <w:rPr>
          <w:color w:val="000000" w:themeColor="text1"/>
        </w:rPr>
        <w:t>. Contamination among wells can be more pervasive in 96-well plate extractions than in single-tube extractions, especially when automated</w:t>
      </w:r>
      <w:r w:rsidR="003B0B90" w:rsidRPr="00D37E98">
        <w:rPr>
          <w:vertAlign w:val="superscript"/>
        </w:rPr>
        <w:t>6, 7</w:t>
      </w:r>
      <w:r w:rsidRPr="00D37E98">
        <w:rPr>
          <w:color w:val="000000" w:themeColor="text1"/>
        </w:rPr>
        <w:t xml:space="preserve">, and, though not specifically tested in any methodology, the risk of cross-contamination can be assumed highest when the wells of the extraction plates are left open for the duration of plate loading. Given the increased opportunity for cross-contamination in plate-based extractions compared to single-tube extractions, protecting wells with a sterile cover should be considered a key first step in loading samples into a 96-well plate. Despite this need, instructions provided in high-throughput extraction kits simply say to load the plate and to “avoid cross contamination between sample wells,” but do not provide any additional information as to how to do </w:t>
      </w:r>
      <w:r w:rsidR="00ED0982" w:rsidRPr="00D37E98">
        <w:rPr>
          <w:color w:val="000000" w:themeColor="text1"/>
        </w:rPr>
        <w:t>so</w:t>
      </w:r>
      <w:r w:rsidR="00ED0982">
        <w:rPr>
          <w:vertAlign w:val="superscript"/>
        </w:rPr>
        <w:t>10</w:t>
      </w:r>
      <w:r w:rsidRPr="00D37E98">
        <w:rPr>
          <w:color w:val="000000" w:themeColor="text1"/>
        </w:rPr>
        <w:t>. To reduce contamination while adding samples to a 96-well extraction plate, McPherson et al.</w:t>
      </w:r>
      <w:r w:rsidR="00903F70">
        <w:rPr>
          <w:vertAlign w:val="superscript"/>
        </w:rPr>
        <w:t>9</w:t>
      </w:r>
      <w:r w:rsidRPr="00D37E98">
        <w:rPr>
          <w:color w:val="000000" w:themeColor="text1"/>
        </w:rPr>
        <w:t xml:space="preserve"> suggest covering the plate with cut strips of PCR sealing tape, peeling them back to access each well. This method reduces the total time that all wells are open, but wells are open for unequal amounts of time and some of the wells most susceptible to contamination—those nearest the sampling being loaded—are exposed during the loading event. </w:t>
      </w:r>
      <w:r w:rsidR="0086169E" w:rsidRPr="00D37E98">
        <w:rPr>
          <w:color w:val="000000" w:themeColor="text1"/>
        </w:rPr>
        <w:t>In addition, peeling of PCR sealing-tape has the potential to create static electricity which result in soil being transferred from well to well and could be responsible for the higher DNA concentrations in blank wells observed in our extraction. Furthermore, t</w:t>
      </w:r>
      <w:r w:rsidRPr="00D37E98">
        <w:rPr>
          <w:color w:val="000000" w:themeColor="text1"/>
        </w:rPr>
        <w:t xml:space="preserve">his methodology requires that samples are passed over uncovered </w:t>
      </w:r>
      <w:r w:rsidRPr="00D37E98">
        <w:rPr>
          <w:color w:val="000000" w:themeColor="text1"/>
        </w:rPr>
        <w:lastRenderedPageBreak/>
        <w:t>wells before being placed in the well of choice, and nothing prevents a researcher from accidently loading two samples into a single well (double loading) or mixing up the location of two or more samples.</w:t>
      </w:r>
      <w:r w:rsidR="0086169E" w:rsidRPr="00D37E98">
        <w:rPr>
          <w:color w:val="000000" w:themeColor="text1"/>
        </w:rPr>
        <w:t xml:space="preserve"> </w:t>
      </w:r>
      <w:r w:rsidRPr="00D37E98">
        <w:rPr>
          <w:color w:val="000000" w:themeColor="text1"/>
        </w:rPr>
        <w:t>If caught, double loading poses nothing more than a waste of resources. If, however, a double loading or mixing of sample locations goes unnoticed, experimental results may be distorted</w:t>
      </w:r>
      <w:r w:rsidR="003B0B90" w:rsidRPr="00D37E98">
        <w:rPr>
          <w:vertAlign w:val="superscript"/>
        </w:rPr>
        <w:t>7</w:t>
      </w:r>
      <w:r w:rsidRPr="00D37E98">
        <w:rPr>
          <w:color w:val="000000" w:themeColor="text1"/>
        </w:rPr>
        <w:t xml:space="preserve">. </w:t>
      </w:r>
    </w:p>
    <w:p w14:paraId="54B5B5D8" w14:textId="77777777" w:rsidR="005A6D27" w:rsidRPr="00D37E98" w:rsidRDefault="005A6D27" w:rsidP="00D37E98">
      <w:pPr>
        <w:widowControl/>
        <w:rPr>
          <w:color w:val="000000" w:themeColor="text1"/>
        </w:rPr>
      </w:pPr>
    </w:p>
    <w:p w14:paraId="1280CD27" w14:textId="2BDA46E3" w:rsidR="0F766B7C" w:rsidRDefault="729BC724" w:rsidP="00D37E98">
      <w:pPr>
        <w:widowControl/>
        <w:rPr>
          <w:color w:val="000000" w:themeColor="text1"/>
        </w:rPr>
      </w:pPr>
      <w:r w:rsidRPr="00D37E98">
        <w:rPr>
          <w:color w:val="000000" w:themeColor="text1"/>
        </w:rPr>
        <w:t>The method we outline</w:t>
      </w:r>
      <w:r w:rsidR="005A6D27">
        <w:rPr>
          <w:color w:val="000000" w:themeColor="text1"/>
        </w:rPr>
        <w:t>d</w:t>
      </w:r>
      <w:r w:rsidRPr="00D37E98">
        <w:rPr>
          <w:color w:val="000000" w:themeColor="text1"/>
        </w:rPr>
        <w:t xml:space="preserve"> above provides a controlled means to load high-throughput DNA extraction plates. Specifically, our method lowers the risk cross contamination by keeping wells covered at all times. The wells are initially covered by sealing tape </w:t>
      </w:r>
      <w:r w:rsidR="0086169E" w:rsidRPr="00D37E98">
        <w:rPr>
          <w:color w:val="000000" w:themeColor="text1"/>
        </w:rPr>
        <w:t>and</w:t>
      </w:r>
      <w:r w:rsidRPr="00D37E98">
        <w:rPr>
          <w:color w:val="000000" w:themeColor="text1"/>
        </w:rPr>
        <w:t xml:space="preserve"> are then kept covered by the PCR tube used for sample loading. Not only does this method reduce the risk of cross-contamination, but it also entirely prevents the risk of loading two samples into a single well. Once we load a sample into a well, the PCR tube serves as a block, preventing addition of another sample. By labeling all tubes with plate location (e.g., A1, A2... H11, H12) prior to loading samples, this method also provides a final check to ensure all samples have been loaded and no wells have been missed. While this method provides a more controlled means to load wells, anyone loading a plate should take extra care when passing a cut PCR tube over the plate. Even though the wells are sealed, any sample particles that fall onto the surface of the sealed plate could find their way into unintended wells when the technician pierces the film to load the correct samples into those wells. To avoid this issue, we tilt the 96-well plate to ~40° prior to puncturing the sealing tape with the PCR tube. This approach helps to keep the open end of the tube upright and away from the incorrect wells. </w:t>
      </w:r>
    </w:p>
    <w:p w14:paraId="6FDE36DF" w14:textId="77777777" w:rsidR="005A6D27" w:rsidRPr="00D37E98" w:rsidRDefault="005A6D27" w:rsidP="00D37E98">
      <w:pPr>
        <w:widowControl/>
        <w:rPr>
          <w:color w:val="000000" w:themeColor="text1"/>
        </w:rPr>
      </w:pPr>
    </w:p>
    <w:p w14:paraId="07D1008A" w14:textId="36388A24" w:rsidR="003B451C" w:rsidRDefault="0CC9AF19" w:rsidP="00D37E98">
      <w:pPr>
        <w:widowControl/>
        <w:rPr>
          <w:color w:val="000000" w:themeColor="text1"/>
        </w:rPr>
      </w:pPr>
      <w:r w:rsidRPr="00D37E98">
        <w:rPr>
          <w:color w:val="000000" w:themeColor="text1"/>
        </w:rPr>
        <w:t xml:space="preserve">When soil samples are of very small quantities and/or extremely fine-grained, using a wide-bore pipette tip instead of loading soil samples into PCR tubes may be more effective in transferring each sample. For this modification, the first buffer solution should be added to the sample tube and then both </w:t>
      </w:r>
      <w:r w:rsidR="007777B5" w:rsidRPr="00D37E98">
        <w:rPr>
          <w:color w:val="000000" w:themeColor="text1"/>
        </w:rPr>
        <w:t xml:space="preserve">sample and solution </w:t>
      </w:r>
      <w:r w:rsidRPr="00D37E98">
        <w:rPr>
          <w:color w:val="000000" w:themeColor="text1"/>
        </w:rPr>
        <w:t xml:space="preserve">pipetted into the 96-well plate. Adding a PCR tube to each well after this step will prevent double-loading. As mentioned in the protocol section, when using this </w:t>
      </w:r>
      <w:r w:rsidR="00CC4EB7" w:rsidRPr="00D37E98">
        <w:rPr>
          <w:color w:val="000000" w:themeColor="text1"/>
        </w:rPr>
        <w:t>modification,</w:t>
      </w:r>
      <w:r w:rsidRPr="00D37E98">
        <w:rPr>
          <w:color w:val="000000" w:themeColor="text1"/>
        </w:rPr>
        <w:t xml:space="preserve"> the researcher or technician should be very aware of particulate organic matter or small rock fragments as these have the potential to clog the bore of the pipette. </w:t>
      </w:r>
    </w:p>
    <w:p w14:paraId="3218481E" w14:textId="77777777" w:rsidR="005A6D27" w:rsidRPr="00D37E98" w:rsidRDefault="005A6D27" w:rsidP="00D37E98">
      <w:pPr>
        <w:widowControl/>
        <w:rPr>
          <w:color w:val="000000" w:themeColor="text1"/>
        </w:rPr>
      </w:pPr>
    </w:p>
    <w:p w14:paraId="40AD910F" w14:textId="03176D59" w:rsidR="7CF0A8F9" w:rsidRPr="00D37E98" w:rsidRDefault="0CC9AF19" w:rsidP="00D37E98">
      <w:pPr>
        <w:widowControl/>
        <w:rPr>
          <w:color w:val="000000" w:themeColor="text1"/>
        </w:rPr>
      </w:pPr>
      <w:r w:rsidRPr="00D37E98">
        <w:rPr>
          <w:color w:val="000000" w:themeColor="text1"/>
        </w:rPr>
        <w:t>While no method of sample loading can entirely eliminate the risk of sample contamination, the method we outline above provides a means to reduce these risks substantially and entirely eliminate the risk of double loading and mixing of sample locations. Overall, we believe this method to be a great improvement on existing techniques for loading high-throughput DNA extraction plates and suggest that all microbiologists using high-throughput extraction plates move to using a method such as the one outlined above.</w:t>
      </w:r>
    </w:p>
    <w:p w14:paraId="78728D18" w14:textId="79201A87" w:rsidR="00014314" w:rsidRPr="00D37E98" w:rsidRDefault="00014314" w:rsidP="00D37E98">
      <w:pPr>
        <w:widowControl/>
        <w:rPr>
          <w:color w:val="000000" w:themeColor="text1"/>
        </w:rPr>
      </w:pPr>
    </w:p>
    <w:p w14:paraId="6191700D" w14:textId="77777777" w:rsidR="00D37E98" w:rsidRPr="00D37E98" w:rsidRDefault="37E107B4" w:rsidP="00D37E98">
      <w:pPr>
        <w:widowControl/>
        <w:rPr>
          <w:b/>
          <w:bCs/>
          <w:color w:val="000000" w:themeColor="text1"/>
        </w:rPr>
      </w:pPr>
      <w:r w:rsidRPr="00D37E98">
        <w:rPr>
          <w:b/>
          <w:bCs/>
          <w:color w:val="000000" w:themeColor="text1"/>
        </w:rPr>
        <w:t xml:space="preserve">ACKNOWLEDGMENTS: </w:t>
      </w:r>
    </w:p>
    <w:p w14:paraId="2C535193" w14:textId="2ABE4CB4" w:rsidR="003B451C" w:rsidRPr="00D37E98" w:rsidRDefault="37E107B4" w:rsidP="00D37E98">
      <w:pPr>
        <w:widowControl/>
        <w:rPr>
          <w:rFonts w:eastAsia="Calibri"/>
          <w:color w:val="000000" w:themeColor="text1"/>
        </w:rPr>
      </w:pPr>
      <w:r w:rsidRPr="00D37E98">
        <w:rPr>
          <w:color w:val="000000" w:themeColor="text1"/>
        </w:rPr>
        <w:t>T</w:t>
      </w:r>
      <w:r w:rsidRPr="00D37E98">
        <w:rPr>
          <w:rFonts w:eastAsia="Calibri"/>
          <w:color w:val="000000" w:themeColor="text1"/>
        </w:rPr>
        <w:t>his research was supported by the Microbial Ecology Collaborative with funding from NSF award #EPS-1655726.</w:t>
      </w:r>
    </w:p>
    <w:p w14:paraId="2D96E92E" w14:textId="165A96AE" w:rsidR="00AA03DF" w:rsidRPr="00D37E98" w:rsidRDefault="0002290E" w:rsidP="00D37E98">
      <w:pPr>
        <w:widowControl/>
        <w:rPr>
          <w:b/>
          <w:bCs/>
          <w:color w:val="000000" w:themeColor="text1"/>
        </w:rPr>
      </w:pPr>
      <w:hyperlink w:anchor="Acknowledgments" w:history="1"/>
    </w:p>
    <w:p w14:paraId="5D52ED8B" w14:textId="0760D501" w:rsidR="00AA03DF" w:rsidRPr="00D37E98" w:rsidRDefault="37E107B4" w:rsidP="00D37E98">
      <w:pPr>
        <w:pStyle w:val="NormalWeb"/>
        <w:widowControl/>
        <w:spacing w:before="0" w:beforeAutospacing="0" w:after="0" w:afterAutospacing="0"/>
        <w:rPr>
          <w:b/>
          <w:bCs/>
          <w:color w:val="000000" w:themeColor="text1"/>
        </w:rPr>
      </w:pPr>
      <w:r w:rsidRPr="00D37E98">
        <w:rPr>
          <w:b/>
          <w:bCs/>
          <w:color w:val="000000" w:themeColor="text1"/>
        </w:rPr>
        <w:t xml:space="preserve">DISCLOSURES: </w:t>
      </w:r>
      <w:hyperlink w:anchor="Disclosures" w:history="1"/>
    </w:p>
    <w:p w14:paraId="66030076" w14:textId="1EDAA20A" w:rsidR="00AA03DF" w:rsidRPr="00D37E98" w:rsidRDefault="7CF0A8F9" w:rsidP="00D37E98">
      <w:pPr>
        <w:widowControl/>
        <w:rPr>
          <w:color w:val="000000" w:themeColor="text1"/>
        </w:rPr>
      </w:pPr>
      <w:r w:rsidRPr="00D37E98">
        <w:rPr>
          <w:color w:val="000000" w:themeColor="text1"/>
        </w:rPr>
        <w:t xml:space="preserve">The authors report no conflicts of interest and have nothing to disclose. </w:t>
      </w:r>
    </w:p>
    <w:p w14:paraId="62E7B62B" w14:textId="77777777" w:rsidR="00A30794" w:rsidRPr="00D37E98" w:rsidRDefault="00A30794" w:rsidP="00D37E98">
      <w:pPr>
        <w:widowControl/>
        <w:rPr>
          <w:b/>
          <w:bCs/>
          <w:color w:val="000000" w:themeColor="text1"/>
        </w:rPr>
      </w:pPr>
    </w:p>
    <w:p w14:paraId="315B4FAD" w14:textId="391B2F05" w:rsidR="00B32616" w:rsidRPr="00D37E98" w:rsidRDefault="37E107B4" w:rsidP="00D37E98">
      <w:pPr>
        <w:widowControl/>
        <w:rPr>
          <w:color w:val="000000" w:themeColor="text1"/>
        </w:rPr>
      </w:pPr>
      <w:r w:rsidRPr="00D37E98">
        <w:rPr>
          <w:b/>
          <w:bCs/>
          <w:color w:val="000000" w:themeColor="text1"/>
        </w:rPr>
        <w:lastRenderedPageBreak/>
        <w:t>REFERENCES:</w:t>
      </w:r>
      <w:r w:rsidRPr="00D37E98">
        <w:rPr>
          <w:color w:val="000000" w:themeColor="text1"/>
        </w:rPr>
        <w:t xml:space="preserve"> </w:t>
      </w:r>
      <w:hyperlink w:anchor="References" w:history="1"/>
    </w:p>
    <w:p w14:paraId="4E8B629B" w14:textId="55428B40" w:rsidR="00FD1666" w:rsidRPr="00D37E98" w:rsidRDefault="00FD1666" w:rsidP="00D37E98">
      <w:pPr>
        <w:widowControl/>
        <w:rPr>
          <w:color w:val="000000" w:themeColor="text1"/>
        </w:rPr>
      </w:pPr>
    </w:p>
    <w:p w14:paraId="7ECC3F4A" w14:textId="321F6F54" w:rsidR="00D15898" w:rsidRPr="00D37E98" w:rsidRDefault="00D15898" w:rsidP="00D37E98">
      <w:pPr>
        <w:pStyle w:val="Bibliography"/>
        <w:widowControl/>
        <w:ind w:left="0" w:firstLine="0"/>
      </w:pPr>
      <w:r w:rsidRPr="00D37E98">
        <w:t>1.</w:t>
      </w:r>
      <w:r w:rsidRPr="00D37E98">
        <w:tab/>
        <w:t>Thompson, L.</w:t>
      </w:r>
      <w:r w:rsidR="00052182">
        <w:t xml:space="preserve"> </w:t>
      </w:r>
      <w:r w:rsidRPr="00D37E98">
        <w:t xml:space="preserve">R. </w:t>
      </w:r>
      <w:r w:rsidR="00052182" w:rsidRPr="00052182">
        <w:t>et al</w:t>
      </w:r>
      <w:r w:rsidRPr="00D37E98">
        <w:rPr>
          <w:i/>
          <w:iCs/>
        </w:rPr>
        <w:t>.</w:t>
      </w:r>
      <w:r w:rsidRPr="00D37E98">
        <w:t xml:space="preserve"> A communal catalogue reveals Earth’s multiscale microbial diversity. </w:t>
      </w:r>
      <w:r w:rsidRPr="00D37E98">
        <w:rPr>
          <w:i/>
          <w:iCs/>
        </w:rPr>
        <w:t>Nature</w:t>
      </w:r>
      <w:r w:rsidRPr="00D37E98">
        <w:t xml:space="preserve">. </w:t>
      </w:r>
      <w:r w:rsidRPr="00D37E98">
        <w:rPr>
          <w:b/>
          <w:bCs/>
        </w:rPr>
        <w:t>551</w:t>
      </w:r>
      <w:r w:rsidRPr="00D37E98">
        <w:t xml:space="preserve"> (7681), 457–463, </w:t>
      </w:r>
      <w:proofErr w:type="spellStart"/>
      <w:r w:rsidRPr="00D37E98">
        <w:t>doi</w:t>
      </w:r>
      <w:proofErr w:type="spellEnd"/>
      <w:r w:rsidRPr="00D37E98">
        <w:t>: 10.1038/nature24621 (2017).</w:t>
      </w:r>
    </w:p>
    <w:p w14:paraId="7CA4E327" w14:textId="037DF345" w:rsidR="00D15898" w:rsidRPr="00D37E98" w:rsidRDefault="00D15898" w:rsidP="00D37E98">
      <w:pPr>
        <w:pStyle w:val="Bibliography"/>
        <w:widowControl/>
        <w:ind w:left="0" w:firstLine="0"/>
      </w:pPr>
      <w:r w:rsidRPr="00D37E98">
        <w:t>2.</w:t>
      </w:r>
      <w:r w:rsidRPr="00D37E98">
        <w:tab/>
        <w:t>Davis, A</w:t>
      </w:r>
      <w:r w:rsidR="00052182">
        <w:t>. et al</w:t>
      </w:r>
      <w:r w:rsidRPr="00D37E98">
        <w:t xml:space="preserve">. Improved yield and accuracy for DNA extraction in microbiome studies with variation in microbial biomass. </w:t>
      </w:r>
      <w:proofErr w:type="spellStart"/>
      <w:r w:rsidRPr="00D37E98">
        <w:rPr>
          <w:i/>
          <w:iCs/>
        </w:rPr>
        <w:t>BioTechniques</w:t>
      </w:r>
      <w:proofErr w:type="spellEnd"/>
      <w:r w:rsidRPr="00D37E98">
        <w:t xml:space="preserve">. </w:t>
      </w:r>
      <w:r w:rsidRPr="00D37E98">
        <w:rPr>
          <w:b/>
          <w:bCs/>
        </w:rPr>
        <w:t>66</w:t>
      </w:r>
      <w:r w:rsidRPr="00D37E98">
        <w:t xml:space="preserve"> (6), 285–289, </w:t>
      </w:r>
      <w:proofErr w:type="spellStart"/>
      <w:r w:rsidRPr="00D37E98">
        <w:t>doi</w:t>
      </w:r>
      <w:proofErr w:type="spellEnd"/>
      <w:r w:rsidRPr="00D37E98">
        <w:t>: 10.2144/btn-2019-0016 (2019).</w:t>
      </w:r>
    </w:p>
    <w:p w14:paraId="5CAB5750" w14:textId="191DDCCE" w:rsidR="00D15898" w:rsidRPr="00D37E98" w:rsidRDefault="00D15898" w:rsidP="00D37E98">
      <w:pPr>
        <w:pStyle w:val="Bibliography"/>
        <w:widowControl/>
        <w:ind w:left="0" w:firstLine="0"/>
      </w:pPr>
      <w:r w:rsidRPr="00D37E98">
        <w:t>3.</w:t>
      </w:r>
      <w:r w:rsidRPr="00D37E98">
        <w:tab/>
      </w:r>
      <w:proofErr w:type="spellStart"/>
      <w:r w:rsidRPr="00D37E98">
        <w:t>Marotz</w:t>
      </w:r>
      <w:proofErr w:type="spellEnd"/>
      <w:r w:rsidRPr="00D37E98">
        <w:t xml:space="preserve">, C. </w:t>
      </w:r>
      <w:r w:rsidR="00052182" w:rsidRPr="00052182">
        <w:t>et al</w:t>
      </w:r>
      <w:r w:rsidRPr="00D37E98">
        <w:rPr>
          <w:i/>
          <w:iCs/>
        </w:rPr>
        <w:t>.</w:t>
      </w:r>
      <w:r w:rsidRPr="00D37E98">
        <w:t xml:space="preserve"> Triplicate PCR reactions for 16S rRNA gene amplicon sequencing are unnecessary. </w:t>
      </w:r>
      <w:proofErr w:type="spellStart"/>
      <w:r w:rsidRPr="00D37E98">
        <w:rPr>
          <w:i/>
          <w:iCs/>
        </w:rPr>
        <w:t>BioTechniques</w:t>
      </w:r>
      <w:proofErr w:type="spellEnd"/>
      <w:r w:rsidRPr="00D37E98">
        <w:t xml:space="preserve">. </w:t>
      </w:r>
      <w:r w:rsidRPr="00D37E98">
        <w:rPr>
          <w:b/>
          <w:bCs/>
        </w:rPr>
        <w:t>67</w:t>
      </w:r>
      <w:r w:rsidRPr="00D37E98">
        <w:t xml:space="preserve"> (1), 29–32, </w:t>
      </w:r>
      <w:proofErr w:type="spellStart"/>
      <w:r w:rsidRPr="00D37E98">
        <w:t>doi</w:t>
      </w:r>
      <w:proofErr w:type="spellEnd"/>
      <w:r w:rsidRPr="00D37E98">
        <w:t>: 10.2144/btn-2018-0192 (2019).</w:t>
      </w:r>
    </w:p>
    <w:p w14:paraId="3441738D" w14:textId="5A73895A" w:rsidR="00D15898" w:rsidRPr="00D37E98" w:rsidRDefault="00D15898" w:rsidP="00D37E98">
      <w:pPr>
        <w:pStyle w:val="Bibliography"/>
        <w:widowControl/>
        <w:ind w:left="0" w:firstLine="0"/>
      </w:pPr>
      <w:r w:rsidRPr="00D37E98">
        <w:t>4.</w:t>
      </w:r>
      <w:r w:rsidRPr="00D37E98">
        <w:tab/>
      </w:r>
      <w:proofErr w:type="spellStart"/>
      <w:r w:rsidRPr="00D37E98">
        <w:t>Romdhane</w:t>
      </w:r>
      <w:proofErr w:type="spellEnd"/>
      <w:r w:rsidRPr="00D37E98">
        <w:t xml:space="preserve">, S. </w:t>
      </w:r>
      <w:r w:rsidR="00052182" w:rsidRPr="00052182">
        <w:t>et al</w:t>
      </w:r>
      <w:r w:rsidRPr="00D37E98">
        <w:rPr>
          <w:i/>
          <w:iCs/>
        </w:rPr>
        <w:t>.</w:t>
      </w:r>
      <w:r w:rsidRPr="00D37E98">
        <w:t xml:space="preserve"> Cover crop management practices rather than composition of cover crop mixtures affect bacterial communities in no-till agroecosystems. </w:t>
      </w:r>
      <w:r w:rsidRPr="00D37E98">
        <w:rPr>
          <w:i/>
          <w:iCs/>
        </w:rPr>
        <w:t>Frontiers in Microbiology</w:t>
      </w:r>
      <w:r w:rsidRPr="00D37E98">
        <w:t xml:space="preserve">. </w:t>
      </w:r>
      <w:r w:rsidRPr="00D37E98">
        <w:rPr>
          <w:b/>
          <w:bCs/>
        </w:rPr>
        <w:t>10</w:t>
      </w:r>
      <w:r w:rsidRPr="00D37E98">
        <w:t xml:space="preserve">, 1618, </w:t>
      </w:r>
      <w:proofErr w:type="spellStart"/>
      <w:r w:rsidRPr="00D37E98">
        <w:t>doi</w:t>
      </w:r>
      <w:proofErr w:type="spellEnd"/>
      <w:r w:rsidRPr="00D37E98">
        <w:t>: 10.3389/fmicb.2019.01618 (2019).</w:t>
      </w:r>
    </w:p>
    <w:p w14:paraId="4DFAB9BE" w14:textId="6765C501" w:rsidR="00D15898" w:rsidRPr="00D37E98" w:rsidRDefault="00D15898" w:rsidP="00D37E98">
      <w:pPr>
        <w:pStyle w:val="Bibliography"/>
        <w:widowControl/>
        <w:ind w:left="0" w:firstLine="0"/>
      </w:pPr>
      <w:r w:rsidRPr="00D37E98">
        <w:t>5.</w:t>
      </w:r>
      <w:r w:rsidRPr="00D37E98">
        <w:tab/>
        <w:t xml:space="preserve">Rochefort, A. </w:t>
      </w:r>
      <w:r w:rsidR="00052182" w:rsidRPr="00052182">
        <w:t>et al</w:t>
      </w:r>
      <w:r w:rsidRPr="00D37E98">
        <w:rPr>
          <w:i/>
          <w:iCs/>
        </w:rPr>
        <w:t>.</w:t>
      </w:r>
      <w:r w:rsidRPr="00D37E98">
        <w:t xml:space="preserve"> Influence of environment and host plant genotype on the structure and diversity of the </w:t>
      </w:r>
      <w:r w:rsidRPr="00D37E98">
        <w:rPr>
          <w:i/>
          <w:iCs/>
        </w:rPr>
        <w:t xml:space="preserve">Brassica </w:t>
      </w:r>
      <w:proofErr w:type="spellStart"/>
      <w:r w:rsidRPr="00D37E98">
        <w:rPr>
          <w:i/>
          <w:iCs/>
        </w:rPr>
        <w:t>napus</w:t>
      </w:r>
      <w:proofErr w:type="spellEnd"/>
      <w:r w:rsidRPr="00D37E98">
        <w:t xml:space="preserve"> seed microbiota. </w:t>
      </w:r>
      <w:r w:rsidRPr="00D37E98">
        <w:rPr>
          <w:i/>
          <w:iCs/>
        </w:rPr>
        <w:t>Phytobiomes Journal</w:t>
      </w:r>
      <w:r w:rsidRPr="00D37E98">
        <w:t xml:space="preserve">. </w:t>
      </w:r>
      <w:r w:rsidRPr="00D37E98">
        <w:rPr>
          <w:b/>
          <w:bCs/>
        </w:rPr>
        <w:t>3</w:t>
      </w:r>
      <w:r w:rsidRPr="00D37E98">
        <w:t xml:space="preserve"> (4), 326–336, </w:t>
      </w:r>
      <w:proofErr w:type="spellStart"/>
      <w:r w:rsidRPr="00D37E98">
        <w:t>doi</w:t>
      </w:r>
      <w:proofErr w:type="spellEnd"/>
      <w:r w:rsidRPr="00D37E98">
        <w:t>: 10.1094/PBIOMES-06-19-0031-R (2019).</w:t>
      </w:r>
    </w:p>
    <w:p w14:paraId="26B49FD7" w14:textId="0219B5AB" w:rsidR="00D15898" w:rsidRPr="00D37E98" w:rsidRDefault="00D15898" w:rsidP="00D37E98">
      <w:pPr>
        <w:pStyle w:val="Bibliography"/>
        <w:widowControl/>
        <w:ind w:left="0" w:firstLine="0"/>
      </w:pPr>
      <w:r w:rsidRPr="00D37E98">
        <w:t>6.</w:t>
      </w:r>
      <w:r w:rsidRPr="00D37E98">
        <w:tab/>
      </w:r>
      <w:proofErr w:type="spellStart"/>
      <w:r w:rsidRPr="00D37E98">
        <w:t>Minich</w:t>
      </w:r>
      <w:proofErr w:type="spellEnd"/>
      <w:r w:rsidRPr="00D37E98">
        <w:t>, J.</w:t>
      </w:r>
      <w:r w:rsidR="00052182">
        <w:t xml:space="preserve"> </w:t>
      </w:r>
      <w:r w:rsidRPr="00D37E98">
        <w:t>J.</w:t>
      </w:r>
      <w:r w:rsidR="00052182">
        <w:t xml:space="preserve"> et al</w:t>
      </w:r>
      <w:r w:rsidRPr="00D37E98">
        <w:t xml:space="preserve">. Quantifying and understanding well-to-well contamination in microbiome research. </w:t>
      </w:r>
      <w:proofErr w:type="spellStart"/>
      <w:r w:rsidRPr="00D37E98">
        <w:rPr>
          <w:i/>
          <w:iCs/>
        </w:rPr>
        <w:t>mSystems</w:t>
      </w:r>
      <w:proofErr w:type="spellEnd"/>
      <w:r w:rsidRPr="00D37E98">
        <w:t xml:space="preserve">. </w:t>
      </w:r>
      <w:r w:rsidRPr="00D37E98">
        <w:rPr>
          <w:b/>
          <w:bCs/>
        </w:rPr>
        <w:t>4</w:t>
      </w:r>
      <w:r w:rsidRPr="00D37E98">
        <w:t xml:space="preserve"> (4), e00186-19, /</w:t>
      </w:r>
      <w:proofErr w:type="spellStart"/>
      <w:r w:rsidRPr="00D37E98">
        <w:t>msystems</w:t>
      </w:r>
      <w:proofErr w:type="spellEnd"/>
      <w:r w:rsidRPr="00D37E98">
        <w:t xml:space="preserve">/4/4/mSys.00186-19.atom, </w:t>
      </w:r>
      <w:proofErr w:type="spellStart"/>
      <w:r w:rsidRPr="00D37E98">
        <w:t>doi</w:t>
      </w:r>
      <w:proofErr w:type="spellEnd"/>
      <w:r w:rsidRPr="00D37E98">
        <w:t>: 10.1128/mSystems.00186-19 (2019).</w:t>
      </w:r>
    </w:p>
    <w:p w14:paraId="7A64D192" w14:textId="041C11E0" w:rsidR="00D15898" w:rsidRDefault="00D15898" w:rsidP="00D37E98">
      <w:pPr>
        <w:pStyle w:val="Bibliography"/>
        <w:widowControl/>
        <w:ind w:left="0" w:firstLine="0"/>
      </w:pPr>
      <w:r w:rsidRPr="00D37E98">
        <w:t>7.</w:t>
      </w:r>
      <w:r w:rsidRPr="00D37E98">
        <w:tab/>
        <w:t>Walker, A.</w:t>
      </w:r>
      <w:r w:rsidR="00052182">
        <w:t xml:space="preserve"> </w:t>
      </w:r>
      <w:r w:rsidRPr="00D37E98">
        <w:t xml:space="preserve">W. A lot on your plate? Well-to-well contamination as an additional confounder in microbiome sequence analyses. </w:t>
      </w:r>
      <w:proofErr w:type="spellStart"/>
      <w:r w:rsidRPr="00D37E98">
        <w:rPr>
          <w:i/>
          <w:iCs/>
        </w:rPr>
        <w:t>mSystems</w:t>
      </w:r>
      <w:proofErr w:type="spellEnd"/>
      <w:r w:rsidRPr="00D37E98">
        <w:t xml:space="preserve">. </w:t>
      </w:r>
      <w:r w:rsidRPr="00D37E98">
        <w:rPr>
          <w:b/>
          <w:bCs/>
        </w:rPr>
        <w:t>4</w:t>
      </w:r>
      <w:r w:rsidRPr="00D37E98">
        <w:t xml:space="preserve"> (4), e00362-19, /</w:t>
      </w:r>
      <w:proofErr w:type="spellStart"/>
      <w:r w:rsidRPr="00D37E98">
        <w:t>msystems</w:t>
      </w:r>
      <w:proofErr w:type="spellEnd"/>
      <w:r w:rsidRPr="00D37E98">
        <w:t xml:space="preserve">/4/4/mSys.00362-19.atom, </w:t>
      </w:r>
      <w:proofErr w:type="spellStart"/>
      <w:r w:rsidRPr="00D37E98">
        <w:t>doi</w:t>
      </w:r>
      <w:proofErr w:type="spellEnd"/>
      <w:r w:rsidRPr="00D37E98">
        <w:t>: 10.1128/mSystems.00362-19 (2019).</w:t>
      </w:r>
    </w:p>
    <w:p w14:paraId="3DCB7F53" w14:textId="5D5807A6" w:rsidR="006A3540" w:rsidRPr="006A3540" w:rsidRDefault="006A3540" w:rsidP="00052182">
      <w:pPr>
        <w:pStyle w:val="Bibliography"/>
        <w:ind w:left="0" w:firstLine="0"/>
      </w:pPr>
      <w:r>
        <w:t xml:space="preserve">8. </w:t>
      </w:r>
      <w:proofErr w:type="spellStart"/>
      <w:r w:rsidR="002E7D48" w:rsidRPr="002E7D48">
        <w:t>Eisenhofer</w:t>
      </w:r>
      <w:proofErr w:type="spellEnd"/>
      <w:r w:rsidR="002E7D48" w:rsidRPr="002E7D48">
        <w:t>, R.</w:t>
      </w:r>
      <w:r w:rsidR="00052182">
        <w:t xml:space="preserve"> et al</w:t>
      </w:r>
      <w:r w:rsidR="002E7D48" w:rsidRPr="002E7D48">
        <w:t xml:space="preserve">. Contamination in low microbial biomass microbiome studies: issues and recommendations. </w:t>
      </w:r>
      <w:r w:rsidR="002E7D48" w:rsidRPr="002E7D48">
        <w:rPr>
          <w:i/>
          <w:iCs/>
        </w:rPr>
        <w:t>Trends in Microbiology</w:t>
      </w:r>
      <w:r w:rsidR="002E7D48" w:rsidRPr="002E7D48">
        <w:t xml:space="preserve">. </w:t>
      </w:r>
      <w:r w:rsidR="002E7D48" w:rsidRPr="002E7D48">
        <w:rPr>
          <w:b/>
          <w:bCs/>
        </w:rPr>
        <w:t>27</w:t>
      </w:r>
      <w:r w:rsidR="002E7D48" w:rsidRPr="002E7D48">
        <w:t xml:space="preserve"> (2), 105–117, </w:t>
      </w:r>
      <w:proofErr w:type="spellStart"/>
      <w:r w:rsidR="002E7D48" w:rsidRPr="002E7D48">
        <w:t>doi</w:t>
      </w:r>
      <w:proofErr w:type="spellEnd"/>
      <w:r w:rsidR="002E7D48" w:rsidRPr="002E7D48">
        <w:t>: 10.1016/j.tim.2018.11.003 (2019).</w:t>
      </w:r>
    </w:p>
    <w:p w14:paraId="08C8BF69" w14:textId="090637CE" w:rsidR="00D15898" w:rsidRPr="00D37E98" w:rsidRDefault="006A3540" w:rsidP="00D37E98">
      <w:pPr>
        <w:pStyle w:val="Bibliography"/>
        <w:widowControl/>
        <w:ind w:left="0" w:firstLine="0"/>
      </w:pPr>
      <w:r>
        <w:t>9</w:t>
      </w:r>
      <w:r w:rsidR="00D15898" w:rsidRPr="00D37E98">
        <w:t>.</w:t>
      </w:r>
      <w:r w:rsidR="00D15898" w:rsidRPr="00D37E98">
        <w:tab/>
        <w:t>McPherson, M.</w:t>
      </w:r>
      <w:r w:rsidR="00052182">
        <w:t xml:space="preserve"> </w:t>
      </w:r>
      <w:r w:rsidR="00D15898" w:rsidRPr="00D37E98">
        <w:t>R.</w:t>
      </w:r>
      <w:r w:rsidR="00052182">
        <w:t xml:space="preserve"> et al</w:t>
      </w:r>
      <w:r w:rsidR="00D15898" w:rsidRPr="00D37E98">
        <w:t xml:space="preserve">. Isolation and analysis of microbial communities in soil, rhizosphere, and roots in perennial grass Experiments. </w:t>
      </w:r>
      <w:r w:rsidR="00D15898" w:rsidRPr="00D37E98">
        <w:rPr>
          <w:i/>
          <w:iCs/>
        </w:rPr>
        <w:t>Journal of Visualized Experiments</w:t>
      </w:r>
      <w:r w:rsidR="00D15898" w:rsidRPr="00D37E98">
        <w:t xml:space="preserve">. (137), 57932, </w:t>
      </w:r>
      <w:proofErr w:type="spellStart"/>
      <w:r w:rsidR="00D15898" w:rsidRPr="00D37E98">
        <w:t>doi</w:t>
      </w:r>
      <w:proofErr w:type="spellEnd"/>
      <w:r w:rsidR="00D15898" w:rsidRPr="00D37E98">
        <w:t>: 10.3791/57932 (2018).</w:t>
      </w:r>
    </w:p>
    <w:p w14:paraId="1863CBE1" w14:textId="3C083D53" w:rsidR="00D15898" w:rsidRPr="00D37E98" w:rsidRDefault="006A3540" w:rsidP="00D37E98">
      <w:pPr>
        <w:pStyle w:val="Bibliography"/>
        <w:widowControl/>
        <w:ind w:left="0" w:firstLine="0"/>
      </w:pPr>
      <w:r>
        <w:t>10</w:t>
      </w:r>
      <w:r w:rsidR="00D15898" w:rsidRPr="00D37E98">
        <w:t>.</w:t>
      </w:r>
      <w:r>
        <w:t xml:space="preserve"> </w:t>
      </w:r>
      <w:r w:rsidR="00D15898" w:rsidRPr="00D37E98">
        <w:t xml:space="preserve">Qiagen </w:t>
      </w:r>
      <w:proofErr w:type="spellStart"/>
      <w:r w:rsidR="00D15898" w:rsidRPr="00D37E98">
        <w:t>DNeasy</w:t>
      </w:r>
      <w:proofErr w:type="spellEnd"/>
      <w:r w:rsidR="00D15898" w:rsidRPr="00D37E98">
        <w:t xml:space="preserve"> </w:t>
      </w:r>
      <w:proofErr w:type="spellStart"/>
      <w:r w:rsidR="00D15898" w:rsidRPr="00D37E98">
        <w:t>PowerSoil</w:t>
      </w:r>
      <w:proofErr w:type="spellEnd"/>
      <w:r w:rsidR="00D15898" w:rsidRPr="00D37E98">
        <w:t xml:space="preserve"> HTP 96 Kit Handbook</w:t>
      </w:r>
      <w:r w:rsidR="007D3557" w:rsidRPr="00D37E98">
        <w:t>. Hilden, Germany</w:t>
      </w:r>
      <w:r w:rsidR="00D15898" w:rsidRPr="00D37E98">
        <w:t xml:space="preserve"> (2019).</w:t>
      </w:r>
    </w:p>
    <w:p w14:paraId="626A41AB" w14:textId="2F753099" w:rsidR="00C17BFF" w:rsidRPr="00D37E98" w:rsidRDefault="00C17BFF" w:rsidP="00D37E98">
      <w:pPr>
        <w:widowControl/>
      </w:pPr>
    </w:p>
    <w:sectPr w:rsidR="00C17BFF" w:rsidRPr="00D37E98" w:rsidSect="00D37E98">
      <w:headerReference w:type="default" r:id="rId7"/>
      <w:headerReference w:type="first" r:id="rId8"/>
      <w:footerReference w:type="first" r:id="rId9"/>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21EC2" w14:textId="77777777" w:rsidR="0002290E" w:rsidRDefault="0002290E" w:rsidP="00621C4E">
      <w:r>
        <w:separator/>
      </w:r>
    </w:p>
  </w:endnote>
  <w:endnote w:type="continuationSeparator" w:id="0">
    <w:p w14:paraId="187EDD91" w14:textId="77777777" w:rsidR="0002290E" w:rsidRDefault="0002290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630459" w:rsidRDefault="0063045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FA39E" w14:textId="77777777" w:rsidR="0002290E" w:rsidRDefault="0002290E" w:rsidP="00621C4E">
      <w:r>
        <w:separator/>
      </w:r>
    </w:p>
  </w:footnote>
  <w:footnote w:type="continuationSeparator" w:id="0">
    <w:p w14:paraId="5D2D0C54" w14:textId="77777777" w:rsidR="0002290E" w:rsidRDefault="0002290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630459" w:rsidRPr="006F06E4" w:rsidRDefault="0063045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E7E6ED9" w:rsidR="00630459" w:rsidRPr="006F06E4" w:rsidRDefault="0063045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A913A0"/>
    <w:multiLevelType w:val="multilevel"/>
    <w:tmpl w:val="9C26C9E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42449"/>
    <w:multiLevelType w:val="hybridMultilevel"/>
    <w:tmpl w:val="60761A1E"/>
    <w:lvl w:ilvl="0" w:tplc="A03EE7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98315D"/>
    <w:multiLevelType w:val="multilevel"/>
    <w:tmpl w:val="F3C09CF0"/>
    <w:lvl w:ilvl="0">
      <w:start w:val="1"/>
      <w:numFmt w:val="decimal"/>
      <w:suff w:val="space"/>
      <w:lvlText w:val="5.%1."/>
      <w:lvlJc w:val="left"/>
      <w:pPr>
        <w:ind w:left="0" w:firstLine="0"/>
      </w:pPr>
      <w:rPr>
        <w:rFonts w:hint="default"/>
      </w:rPr>
    </w:lvl>
    <w:lvl w:ilvl="1">
      <w:start w:val="1"/>
      <w:numFmt w:val="decimal"/>
      <w:suff w:val="space"/>
      <w:lvlText w:val="5.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932"/>
    <w:multiLevelType w:val="multilevel"/>
    <w:tmpl w:val="2FAEB00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9"/>
  </w:num>
  <w:num w:numId="4">
    <w:abstractNumId w:val="4"/>
  </w:num>
  <w:num w:numId="5">
    <w:abstractNumId w:val="17"/>
  </w:num>
  <w:num w:numId="6">
    <w:abstractNumId w:val="10"/>
  </w:num>
  <w:num w:numId="7">
    <w:abstractNumId w:val="16"/>
  </w:num>
  <w:num w:numId="8">
    <w:abstractNumId w:val="0"/>
  </w:num>
  <w:num w:numId="9">
    <w:abstractNumId w:val="11"/>
  </w:num>
  <w:num w:numId="10">
    <w:abstractNumId w:val="12"/>
  </w:num>
  <w:num w:numId="11">
    <w:abstractNumId w:val="18"/>
  </w:num>
  <w:num w:numId="12">
    <w:abstractNumId w:val="24"/>
  </w:num>
  <w:num w:numId="13">
    <w:abstractNumId w:val="2"/>
  </w:num>
  <w:num w:numId="14">
    <w:abstractNumId w:val="20"/>
  </w:num>
  <w:num w:numId="15">
    <w:abstractNumId w:val="29"/>
  </w:num>
  <w:num w:numId="16">
    <w:abstractNumId w:val="13"/>
  </w:num>
  <w:num w:numId="17">
    <w:abstractNumId w:val="9"/>
  </w:num>
  <w:num w:numId="18">
    <w:abstractNumId w:val="22"/>
  </w:num>
  <w:num w:numId="19">
    <w:abstractNumId w:val="14"/>
  </w:num>
  <w:num w:numId="20">
    <w:abstractNumId w:val="27"/>
  </w:num>
  <w:num w:numId="21">
    <w:abstractNumId w:val="3"/>
  </w:num>
  <w:num w:numId="22">
    <w:abstractNumId w:val="28"/>
  </w:num>
  <w:num w:numId="23">
    <w:abstractNumId w:val="26"/>
  </w:num>
  <w:num w:numId="24">
    <w:abstractNumId w:val="15"/>
  </w:num>
  <w:num w:numId="25">
    <w:abstractNumId w:val="30"/>
  </w:num>
  <w:num w:numId="26">
    <w:abstractNumId w:val="8"/>
  </w:num>
  <w:num w:numId="27">
    <w:abstractNumId w:val="1"/>
  </w:num>
  <w:num w:numId="28">
    <w:abstractNumId w:val="6"/>
  </w:num>
  <w:num w:numId="29">
    <w:abstractNumId w:val="31"/>
  </w:num>
  <w:num w:numId="30">
    <w:abstractNumId w:val="21"/>
  </w:num>
  <w:num w:numId="31">
    <w:abstractNumId w:val="25"/>
  </w:num>
  <w:num w:numId="3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TExNjA1tjA2NDZQ0lEKTi0uzszPAykwqgUAeDRuKiwAAAA="/>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290E"/>
    <w:rsid w:val="00023869"/>
    <w:rsid w:val="00024598"/>
    <w:rsid w:val="000279B0"/>
    <w:rsid w:val="00032769"/>
    <w:rsid w:val="0003311E"/>
    <w:rsid w:val="000349A5"/>
    <w:rsid w:val="00037B58"/>
    <w:rsid w:val="00044771"/>
    <w:rsid w:val="00047947"/>
    <w:rsid w:val="00051B73"/>
    <w:rsid w:val="00051C6C"/>
    <w:rsid w:val="00052182"/>
    <w:rsid w:val="0005349A"/>
    <w:rsid w:val="00055778"/>
    <w:rsid w:val="000575CF"/>
    <w:rsid w:val="00057E1D"/>
    <w:rsid w:val="00060ABE"/>
    <w:rsid w:val="00061A50"/>
    <w:rsid w:val="0006361B"/>
    <w:rsid w:val="00064104"/>
    <w:rsid w:val="00064F32"/>
    <w:rsid w:val="000652E3"/>
    <w:rsid w:val="00066025"/>
    <w:rsid w:val="00067A8F"/>
    <w:rsid w:val="000701D1"/>
    <w:rsid w:val="00080A20"/>
    <w:rsid w:val="00082796"/>
    <w:rsid w:val="00082DF4"/>
    <w:rsid w:val="00082FFD"/>
    <w:rsid w:val="00086FF5"/>
    <w:rsid w:val="00087C0A"/>
    <w:rsid w:val="00091788"/>
    <w:rsid w:val="00093BC4"/>
    <w:rsid w:val="000943E6"/>
    <w:rsid w:val="00097929"/>
    <w:rsid w:val="000A0F2D"/>
    <w:rsid w:val="000A1E80"/>
    <w:rsid w:val="000A2FEF"/>
    <w:rsid w:val="000A3B70"/>
    <w:rsid w:val="000A5153"/>
    <w:rsid w:val="000B10AE"/>
    <w:rsid w:val="000B30BF"/>
    <w:rsid w:val="000B566B"/>
    <w:rsid w:val="000B595C"/>
    <w:rsid w:val="000B662E"/>
    <w:rsid w:val="000B7294"/>
    <w:rsid w:val="000B75D0"/>
    <w:rsid w:val="000C11DD"/>
    <w:rsid w:val="000C1CF8"/>
    <w:rsid w:val="000C3766"/>
    <w:rsid w:val="000C49CF"/>
    <w:rsid w:val="000C52E9"/>
    <w:rsid w:val="000C5B8B"/>
    <w:rsid w:val="000C5CDC"/>
    <w:rsid w:val="000C65DC"/>
    <w:rsid w:val="000C66F3"/>
    <w:rsid w:val="000C6900"/>
    <w:rsid w:val="000D12CF"/>
    <w:rsid w:val="000D28BF"/>
    <w:rsid w:val="000D31E8"/>
    <w:rsid w:val="000D4BBD"/>
    <w:rsid w:val="000D76E4"/>
    <w:rsid w:val="000E3816"/>
    <w:rsid w:val="000E4F77"/>
    <w:rsid w:val="000F265C"/>
    <w:rsid w:val="000F3AFA"/>
    <w:rsid w:val="000F5272"/>
    <w:rsid w:val="000F5712"/>
    <w:rsid w:val="000F6611"/>
    <w:rsid w:val="000F7E22"/>
    <w:rsid w:val="00107554"/>
    <w:rsid w:val="001075E9"/>
    <w:rsid w:val="001104F3"/>
    <w:rsid w:val="00112EEB"/>
    <w:rsid w:val="001173FF"/>
    <w:rsid w:val="00117469"/>
    <w:rsid w:val="0012563A"/>
    <w:rsid w:val="001264DE"/>
    <w:rsid w:val="001307F6"/>
    <w:rsid w:val="001313A7"/>
    <w:rsid w:val="00131BB4"/>
    <w:rsid w:val="0013276F"/>
    <w:rsid w:val="001342B5"/>
    <w:rsid w:val="0013621E"/>
    <w:rsid w:val="0013642E"/>
    <w:rsid w:val="00142EFE"/>
    <w:rsid w:val="00152A23"/>
    <w:rsid w:val="00156B11"/>
    <w:rsid w:val="00162CB7"/>
    <w:rsid w:val="001665C9"/>
    <w:rsid w:val="00166F32"/>
    <w:rsid w:val="001718C0"/>
    <w:rsid w:val="00171E5B"/>
    <w:rsid w:val="00171F94"/>
    <w:rsid w:val="00175D4E"/>
    <w:rsid w:val="0017668A"/>
    <w:rsid w:val="001766FE"/>
    <w:rsid w:val="001771E7"/>
    <w:rsid w:val="00177813"/>
    <w:rsid w:val="001911FF"/>
    <w:rsid w:val="00192006"/>
    <w:rsid w:val="00192F66"/>
    <w:rsid w:val="00193180"/>
    <w:rsid w:val="0019530C"/>
    <w:rsid w:val="00196792"/>
    <w:rsid w:val="001A02AA"/>
    <w:rsid w:val="001B1519"/>
    <w:rsid w:val="001B2E2D"/>
    <w:rsid w:val="001B5CD2"/>
    <w:rsid w:val="001C0BEE"/>
    <w:rsid w:val="001C1E49"/>
    <w:rsid w:val="001C27C1"/>
    <w:rsid w:val="001C2A98"/>
    <w:rsid w:val="001C3B86"/>
    <w:rsid w:val="001C4D95"/>
    <w:rsid w:val="001C4FF6"/>
    <w:rsid w:val="001C6CA1"/>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33E5"/>
    <w:rsid w:val="00203471"/>
    <w:rsid w:val="00205B3F"/>
    <w:rsid w:val="002119F1"/>
    <w:rsid w:val="00212EAE"/>
    <w:rsid w:val="0021444F"/>
    <w:rsid w:val="00214BEE"/>
    <w:rsid w:val="002205B8"/>
    <w:rsid w:val="0022254D"/>
    <w:rsid w:val="00225720"/>
    <w:rsid w:val="002259E5"/>
    <w:rsid w:val="00226140"/>
    <w:rsid w:val="002274F3"/>
    <w:rsid w:val="0023094C"/>
    <w:rsid w:val="00233484"/>
    <w:rsid w:val="00234303"/>
    <w:rsid w:val="00234BE3"/>
    <w:rsid w:val="00234D8A"/>
    <w:rsid w:val="00235A90"/>
    <w:rsid w:val="0023624F"/>
    <w:rsid w:val="00240B5F"/>
    <w:rsid w:val="00241E48"/>
    <w:rsid w:val="0024214E"/>
    <w:rsid w:val="00242623"/>
    <w:rsid w:val="00250558"/>
    <w:rsid w:val="00251691"/>
    <w:rsid w:val="0025357C"/>
    <w:rsid w:val="00256F86"/>
    <w:rsid w:val="002605D1"/>
    <w:rsid w:val="00260652"/>
    <w:rsid w:val="00261F25"/>
    <w:rsid w:val="002648A9"/>
    <w:rsid w:val="0026536F"/>
    <w:rsid w:val="0026553C"/>
    <w:rsid w:val="00265A8E"/>
    <w:rsid w:val="002661A0"/>
    <w:rsid w:val="0026790A"/>
    <w:rsid w:val="00267DD5"/>
    <w:rsid w:val="00270809"/>
    <w:rsid w:val="00274A0A"/>
    <w:rsid w:val="00277593"/>
    <w:rsid w:val="00280909"/>
    <w:rsid w:val="00280918"/>
    <w:rsid w:val="00280FA3"/>
    <w:rsid w:val="00282AF6"/>
    <w:rsid w:val="0028596A"/>
    <w:rsid w:val="00287085"/>
    <w:rsid w:val="00287DC0"/>
    <w:rsid w:val="00290AF9"/>
    <w:rsid w:val="002910D7"/>
    <w:rsid w:val="00291131"/>
    <w:rsid w:val="00291A92"/>
    <w:rsid w:val="00293810"/>
    <w:rsid w:val="00295D25"/>
    <w:rsid w:val="002967CF"/>
    <w:rsid w:val="00297788"/>
    <w:rsid w:val="002A1571"/>
    <w:rsid w:val="002A1B90"/>
    <w:rsid w:val="002A3285"/>
    <w:rsid w:val="002A34F9"/>
    <w:rsid w:val="002A484B"/>
    <w:rsid w:val="002A64A6"/>
    <w:rsid w:val="002B1FE3"/>
    <w:rsid w:val="002B3301"/>
    <w:rsid w:val="002C1445"/>
    <w:rsid w:val="002C47D4"/>
    <w:rsid w:val="002C6A8B"/>
    <w:rsid w:val="002D0F38"/>
    <w:rsid w:val="002D682E"/>
    <w:rsid w:val="002D77E3"/>
    <w:rsid w:val="002E7D48"/>
    <w:rsid w:val="002F18D6"/>
    <w:rsid w:val="002F2859"/>
    <w:rsid w:val="002F6E3C"/>
    <w:rsid w:val="0030117D"/>
    <w:rsid w:val="00301F30"/>
    <w:rsid w:val="003038FD"/>
    <w:rsid w:val="00303C87"/>
    <w:rsid w:val="003075FB"/>
    <w:rsid w:val="00307C80"/>
    <w:rsid w:val="003108E5"/>
    <w:rsid w:val="003115A8"/>
    <w:rsid w:val="003120CB"/>
    <w:rsid w:val="003176B9"/>
    <w:rsid w:val="00320153"/>
    <w:rsid w:val="00320367"/>
    <w:rsid w:val="00322871"/>
    <w:rsid w:val="00326FB3"/>
    <w:rsid w:val="003316D4"/>
    <w:rsid w:val="003321B2"/>
    <w:rsid w:val="00332BBE"/>
    <w:rsid w:val="00333822"/>
    <w:rsid w:val="003346F1"/>
    <w:rsid w:val="00336715"/>
    <w:rsid w:val="00336D39"/>
    <w:rsid w:val="0034014C"/>
    <w:rsid w:val="003401EC"/>
    <w:rsid w:val="00340DFD"/>
    <w:rsid w:val="00344954"/>
    <w:rsid w:val="00345DE8"/>
    <w:rsid w:val="00350CD7"/>
    <w:rsid w:val="003570A2"/>
    <w:rsid w:val="00360C17"/>
    <w:rsid w:val="003621C6"/>
    <w:rsid w:val="003622B8"/>
    <w:rsid w:val="00363065"/>
    <w:rsid w:val="00363655"/>
    <w:rsid w:val="00366B76"/>
    <w:rsid w:val="00373051"/>
    <w:rsid w:val="00373B8F"/>
    <w:rsid w:val="00375ADF"/>
    <w:rsid w:val="00376D95"/>
    <w:rsid w:val="00377FBB"/>
    <w:rsid w:val="00385140"/>
    <w:rsid w:val="00393CC7"/>
    <w:rsid w:val="00396302"/>
    <w:rsid w:val="003971F7"/>
    <w:rsid w:val="003976FE"/>
    <w:rsid w:val="003A16FC"/>
    <w:rsid w:val="003A2C8A"/>
    <w:rsid w:val="003A4FCD"/>
    <w:rsid w:val="003B0944"/>
    <w:rsid w:val="003B0B90"/>
    <w:rsid w:val="003B1593"/>
    <w:rsid w:val="003B4381"/>
    <w:rsid w:val="003B451C"/>
    <w:rsid w:val="003C1043"/>
    <w:rsid w:val="003C1A30"/>
    <w:rsid w:val="003C5505"/>
    <w:rsid w:val="003C6779"/>
    <w:rsid w:val="003C71BE"/>
    <w:rsid w:val="003D033C"/>
    <w:rsid w:val="003D2998"/>
    <w:rsid w:val="003D2F0A"/>
    <w:rsid w:val="003D3891"/>
    <w:rsid w:val="003D3FE9"/>
    <w:rsid w:val="003D5D84"/>
    <w:rsid w:val="003D6ACA"/>
    <w:rsid w:val="003E0F4F"/>
    <w:rsid w:val="003E18AC"/>
    <w:rsid w:val="003E210B"/>
    <w:rsid w:val="003E2A12"/>
    <w:rsid w:val="003E32AA"/>
    <w:rsid w:val="003E3384"/>
    <w:rsid w:val="003E3CA4"/>
    <w:rsid w:val="003E548E"/>
    <w:rsid w:val="003E5817"/>
    <w:rsid w:val="003F00F1"/>
    <w:rsid w:val="00407EC8"/>
    <w:rsid w:val="0041110A"/>
    <w:rsid w:val="00411624"/>
    <w:rsid w:val="004148E1"/>
    <w:rsid w:val="00414CFA"/>
    <w:rsid w:val="00415EC0"/>
    <w:rsid w:val="00417E4A"/>
    <w:rsid w:val="00420BE9"/>
    <w:rsid w:val="004235C0"/>
    <w:rsid w:val="00423AD8"/>
    <w:rsid w:val="00423FDD"/>
    <w:rsid w:val="00424C85"/>
    <w:rsid w:val="004260BD"/>
    <w:rsid w:val="0043012F"/>
    <w:rsid w:val="004303A8"/>
    <w:rsid w:val="00430F1F"/>
    <w:rsid w:val="004326EA"/>
    <w:rsid w:val="0043518E"/>
    <w:rsid w:val="00437C77"/>
    <w:rsid w:val="00437E19"/>
    <w:rsid w:val="0044206E"/>
    <w:rsid w:val="0044434C"/>
    <w:rsid w:val="0044456B"/>
    <w:rsid w:val="004449F5"/>
    <w:rsid w:val="00445279"/>
    <w:rsid w:val="00447BD1"/>
    <w:rsid w:val="004507F3"/>
    <w:rsid w:val="00450AF4"/>
    <w:rsid w:val="00452079"/>
    <w:rsid w:val="00456A57"/>
    <w:rsid w:val="004576F5"/>
    <w:rsid w:val="00460377"/>
    <w:rsid w:val="004607DE"/>
    <w:rsid w:val="004671C7"/>
    <w:rsid w:val="00472C78"/>
    <w:rsid w:val="00472F4D"/>
    <w:rsid w:val="004730BF"/>
    <w:rsid w:val="00474DCB"/>
    <w:rsid w:val="0047535C"/>
    <w:rsid w:val="004762F6"/>
    <w:rsid w:val="00481385"/>
    <w:rsid w:val="0048567A"/>
    <w:rsid w:val="00485870"/>
    <w:rsid w:val="00485FE8"/>
    <w:rsid w:val="00492473"/>
    <w:rsid w:val="00492EB5"/>
    <w:rsid w:val="00494F77"/>
    <w:rsid w:val="00496718"/>
    <w:rsid w:val="00497721"/>
    <w:rsid w:val="004A0229"/>
    <w:rsid w:val="004A2959"/>
    <w:rsid w:val="004A35D2"/>
    <w:rsid w:val="004A5D8E"/>
    <w:rsid w:val="004A71E4"/>
    <w:rsid w:val="004B20E3"/>
    <w:rsid w:val="004B2F00"/>
    <w:rsid w:val="004B667A"/>
    <w:rsid w:val="004B6E31"/>
    <w:rsid w:val="004C1D66"/>
    <w:rsid w:val="004C31D7"/>
    <w:rsid w:val="004C4AD2"/>
    <w:rsid w:val="004C6981"/>
    <w:rsid w:val="004D1F21"/>
    <w:rsid w:val="004D268C"/>
    <w:rsid w:val="004D59D8"/>
    <w:rsid w:val="004D5DA1"/>
    <w:rsid w:val="004D68FC"/>
    <w:rsid w:val="004D7910"/>
    <w:rsid w:val="004E150F"/>
    <w:rsid w:val="004E1DCA"/>
    <w:rsid w:val="004E23A1"/>
    <w:rsid w:val="004E3489"/>
    <w:rsid w:val="004E358A"/>
    <w:rsid w:val="004E3AFA"/>
    <w:rsid w:val="004E6588"/>
    <w:rsid w:val="004F1F77"/>
    <w:rsid w:val="004F2742"/>
    <w:rsid w:val="00502A0A"/>
    <w:rsid w:val="00507C50"/>
    <w:rsid w:val="00513B42"/>
    <w:rsid w:val="00514D40"/>
    <w:rsid w:val="00517C3A"/>
    <w:rsid w:val="0052377C"/>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41EB"/>
    <w:rsid w:val="00565457"/>
    <w:rsid w:val="00567DBF"/>
    <w:rsid w:val="00577F2F"/>
    <w:rsid w:val="00581B23"/>
    <w:rsid w:val="0058219C"/>
    <w:rsid w:val="0058707F"/>
    <w:rsid w:val="00591DBD"/>
    <w:rsid w:val="005931FE"/>
    <w:rsid w:val="005941B1"/>
    <w:rsid w:val="005A0028"/>
    <w:rsid w:val="005A0ACC"/>
    <w:rsid w:val="005A2F7A"/>
    <w:rsid w:val="005A6D27"/>
    <w:rsid w:val="005B0072"/>
    <w:rsid w:val="005B0732"/>
    <w:rsid w:val="005B38A0"/>
    <w:rsid w:val="005B3A33"/>
    <w:rsid w:val="005B491C"/>
    <w:rsid w:val="005B4DBF"/>
    <w:rsid w:val="005B50D4"/>
    <w:rsid w:val="005B5453"/>
    <w:rsid w:val="005B5DE2"/>
    <w:rsid w:val="005B674C"/>
    <w:rsid w:val="005C24F2"/>
    <w:rsid w:val="005C7561"/>
    <w:rsid w:val="005D1E57"/>
    <w:rsid w:val="005D2F57"/>
    <w:rsid w:val="005D34F6"/>
    <w:rsid w:val="005D4F1A"/>
    <w:rsid w:val="005E1884"/>
    <w:rsid w:val="005E1D26"/>
    <w:rsid w:val="005F1744"/>
    <w:rsid w:val="005F373A"/>
    <w:rsid w:val="005F4F87"/>
    <w:rsid w:val="005F6B0E"/>
    <w:rsid w:val="005F760E"/>
    <w:rsid w:val="005F7B1D"/>
    <w:rsid w:val="0060222A"/>
    <w:rsid w:val="006070C4"/>
    <w:rsid w:val="00610A09"/>
    <w:rsid w:val="00610C21"/>
    <w:rsid w:val="00611907"/>
    <w:rsid w:val="00613116"/>
    <w:rsid w:val="006202A6"/>
    <w:rsid w:val="0062054B"/>
    <w:rsid w:val="00620926"/>
    <w:rsid w:val="00621C4E"/>
    <w:rsid w:val="00624631"/>
    <w:rsid w:val="00624EAE"/>
    <w:rsid w:val="0062732C"/>
    <w:rsid w:val="00630459"/>
    <w:rsid w:val="006305D7"/>
    <w:rsid w:val="00632F63"/>
    <w:rsid w:val="0063396F"/>
    <w:rsid w:val="00633A01"/>
    <w:rsid w:val="00633B97"/>
    <w:rsid w:val="006341F7"/>
    <w:rsid w:val="00634585"/>
    <w:rsid w:val="00635014"/>
    <w:rsid w:val="006369CE"/>
    <w:rsid w:val="00637D88"/>
    <w:rsid w:val="00640EDA"/>
    <w:rsid w:val="006411CA"/>
    <w:rsid w:val="00642A63"/>
    <w:rsid w:val="006450C9"/>
    <w:rsid w:val="0064605E"/>
    <w:rsid w:val="00657BC4"/>
    <w:rsid w:val="006619C8"/>
    <w:rsid w:val="0066482D"/>
    <w:rsid w:val="00671710"/>
    <w:rsid w:val="0067178B"/>
    <w:rsid w:val="00673414"/>
    <w:rsid w:val="00676079"/>
    <w:rsid w:val="00676ECD"/>
    <w:rsid w:val="00677291"/>
    <w:rsid w:val="00677D0A"/>
    <w:rsid w:val="0068185F"/>
    <w:rsid w:val="00684727"/>
    <w:rsid w:val="00684B2B"/>
    <w:rsid w:val="006A01CF"/>
    <w:rsid w:val="006A3540"/>
    <w:rsid w:val="006A60DD"/>
    <w:rsid w:val="006B0679"/>
    <w:rsid w:val="006B074C"/>
    <w:rsid w:val="006B3B84"/>
    <w:rsid w:val="006B4E7C"/>
    <w:rsid w:val="006B5D8C"/>
    <w:rsid w:val="006B72AD"/>
    <w:rsid w:val="006B72D4"/>
    <w:rsid w:val="006C11CC"/>
    <w:rsid w:val="006C1AEB"/>
    <w:rsid w:val="006C3EE8"/>
    <w:rsid w:val="006C57FE"/>
    <w:rsid w:val="006C668E"/>
    <w:rsid w:val="006D4676"/>
    <w:rsid w:val="006E4B63"/>
    <w:rsid w:val="006F06E4"/>
    <w:rsid w:val="006F557C"/>
    <w:rsid w:val="006F7B41"/>
    <w:rsid w:val="00702B5D"/>
    <w:rsid w:val="00703ED2"/>
    <w:rsid w:val="00706E68"/>
    <w:rsid w:val="00707B8D"/>
    <w:rsid w:val="00713636"/>
    <w:rsid w:val="00714B8C"/>
    <w:rsid w:val="0071675D"/>
    <w:rsid w:val="00717736"/>
    <w:rsid w:val="00722F42"/>
    <w:rsid w:val="00732B47"/>
    <w:rsid w:val="00735CF5"/>
    <w:rsid w:val="007375E9"/>
    <w:rsid w:val="0074063A"/>
    <w:rsid w:val="00741C96"/>
    <w:rsid w:val="00742AA4"/>
    <w:rsid w:val="00743BA1"/>
    <w:rsid w:val="00745F1E"/>
    <w:rsid w:val="007515FE"/>
    <w:rsid w:val="0075285D"/>
    <w:rsid w:val="007601D0"/>
    <w:rsid w:val="007603BB"/>
    <w:rsid w:val="0076109D"/>
    <w:rsid w:val="00762DA4"/>
    <w:rsid w:val="00767107"/>
    <w:rsid w:val="00773617"/>
    <w:rsid w:val="00773BFD"/>
    <w:rsid w:val="007743B3"/>
    <w:rsid w:val="00774490"/>
    <w:rsid w:val="0077581E"/>
    <w:rsid w:val="007777B5"/>
    <w:rsid w:val="007819FF"/>
    <w:rsid w:val="0078360C"/>
    <w:rsid w:val="00784A4C"/>
    <w:rsid w:val="00784BC6"/>
    <w:rsid w:val="0078523D"/>
    <w:rsid w:val="007931DF"/>
    <w:rsid w:val="007A0172"/>
    <w:rsid w:val="007A1804"/>
    <w:rsid w:val="007A215A"/>
    <w:rsid w:val="007A2511"/>
    <w:rsid w:val="007A260E"/>
    <w:rsid w:val="007A4D4C"/>
    <w:rsid w:val="007A4DD6"/>
    <w:rsid w:val="007A4FA6"/>
    <w:rsid w:val="007A5CB9"/>
    <w:rsid w:val="007B02F7"/>
    <w:rsid w:val="007B0703"/>
    <w:rsid w:val="007B20AE"/>
    <w:rsid w:val="007B20C7"/>
    <w:rsid w:val="007B5E98"/>
    <w:rsid w:val="007B6B07"/>
    <w:rsid w:val="007B6D43"/>
    <w:rsid w:val="007B749A"/>
    <w:rsid w:val="007B7C6E"/>
    <w:rsid w:val="007C0743"/>
    <w:rsid w:val="007C3B16"/>
    <w:rsid w:val="007D0989"/>
    <w:rsid w:val="007D3557"/>
    <w:rsid w:val="007D44D7"/>
    <w:rsid w:val="007D621A"/>
    <w:rsid w:val="007E058A"/>
    <w:rsid w:val="007E2887"/>
    <w:rsid w:val="007E516F"/>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127D"/>
    <w:rsid w:val="008343BE"/>
    <w:rsid w:val="00834404"/>
    <w:rsid w:val="008357B7"/>
    <w:rsid w:val="00836535"/>
    <w:rsid w:val="00840FB4"/>
    <w:rsid w:val="008410B2"/>
    <w:rsid w:val="00841780"/>
    <w:rsid w:val="008500A0"/>
    <w:rsid w:val="008524E5"/>
    <w:rsid w:val="0085351C"/>
    <w:rsid w:val="0085435A"/>
    <w:rsid w:val="008549CA"/>
    <w:rsid w:val="008556C3"/>
    <w:rsid w:val="0085687C"/>
    <w:rsid w:val="008611C1"/>
    <w:rsid w:val="0086169E"/>
    <w:rsid w:val="00864E76"/>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3EF2"/>
    <w:rsid w:val="008B5218"/>
    <w:rsid w:val="008B7102"/>
    <w:rsid w:val="008C3AAA"/>
    <w:rsid w:val="008C3B7D"/>
    <w:rsid w:val="008D0F90"/>
    <w:rsid w:val="008D3715"/>
    <w:rsid w:val="008D5465"/>
    <w:rsid w:val="008D5E61"/>
    <w:rsid w:val="008D7EB7"/>
    <w:rsid w:val="008D7EC5"/>
    <w:rsid w:val="008E3684"/>
    <w:rsid w:val="008E57F5"/>
    <w:rsid w:val="008E7606"/>
    <w:rsid w:val="008F04CB"/>
    <w:rsid w:val="008F0F8C"/>
    <w:rsid w:val="008F1DAA"/>
    <w:rsid w:val="008F3EBD"/>
    <w:rsid w:val="008F4998"/>
    <w:rsid w:val="008F60B2"/>
    <w:rsid w:val="008F6EBB"/>
    <w:rsid w:val="008F7C41"/>
    <w:rsid w:val="00901C70"/>
    <w:rsid w:val="009031E2"/>
    <w:rsid w:val="00903F70"/>
    <w:rsid w:val="0090426D"/>
    <w:rsid w:val="00905775"/>
    <w:rsid w:val="0090710A"/>
    <w:rsid w:val="00910A7D"/>
    <w:rsid w:val="0091276C"/>
    <w:rsid w:val="009145BE"/>
    <w:rsid w:val="009165AC"/>
    <w:rsid w:val="00916FFC"/>
    <w:rsid w:val="00917409"/>
    <w:rsid w:val="0092053F"/>
    <w:rsid w:val="00921293"/>
    <w:rsid w:val="009219C1"/>
    <w:rsid w:val="0092340A"/>
    <w:rsid w:val="009238E8"/>
    <w:rsid w:val="009313D9"/>
    <w:rsid w:val="00935B7F"/>
    <w:rsid w:val="00941293"/>
    <w:rsid w:val="009430C4"/>
    <w:rsid w:val="00946372"/>
    <w:rsid w:val="00947A87"/>
    <w:rsid w:val="0095032B"/>
    <w:rsid w:val="00950B13"/>
    <w:rsid w:val="00950C17"/>
    <w:rsid w:val="00951FAF"/>
    <w:rsid w:val="00954740"/>
    <w:rsid w:val="009549F3"/>
    <w:rsid w:val="009557BC"/>
    <w:rsid w:val="00955AE5"/>
    <w:rsid w:val="00962E71"/>
    <w:rsid w:val="00963ABC"/>
    <w:rsid w:val="00964D9E"/>
    <w:rsid w:val="00965D21"/>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5688"/>
    <w:rsid w:val="009958A6"/>
    <w:rsid w:val="00996456"/>
    <w:rsid w:val="009A04F5"/>
    <w:rsid w:val="009A15EF"/>
    <w:rsid w:val="009A38A5"/>
    <w:rsid w:val="009A428A"/>
    <w:rsid w:val="009A5B73"/>
    <w:rsid w:val="009B118B"/>
    <w:rsid w:val="009B1737"/>
    <w:rsid w:val="009B3D4B"/>
    <w:rsid w:val="009B4E63"/>
    <w:rsid w:val="009B5B99"/>
    <w:rsid w:val="009B6EFC"/>
    <w:rsid w:val="009C1FD0"/>
    <w:rsid w:val="009C24B3"/>
    <w:rsid w:val="009C2DF8"/>
    <w:rsid w:val="009C31BF"/>
    <w:rsid w:val="009C68B7"/>
    <w:rsid w:val="009D0834"/>
    <w:rsid w:val="009D095A"/>
    <w:rsid w:val="009D0A1E"/>
    <w:rsid w:val="009D2AE3"/>
    <w:rsid w:val="009D3A31"/>
    <w:rsid w:val="009D52BC"/>
    <w:rsid w:val="009D7D0A"/>
    <w:rsid w:val="009E01D9"/>
    <w:rsid w:val="009E09D9"/>
    <w:rsid w:val="009E152A"/>
    <w:rsid w:val="009F01B1"/>
    <w:rsid w:val="009F0DBB"/>
    <w:rsid w:val="009F3887"/>
    <w:rsid w:val="009F40DC"/>
    <w:rsid w:val="009F659A"/>
    <w:rsid w:val="009F732B"/>
    <w:rsid w:val="00A01FE0"/>
    <w:rsid w:val="00A06945"/>
    <w:rsid w:val="00A10656"/>
    <w:rsid w:val="00A113C0"/>
    <w:rsid w:val="00A12FA6"/>
    <w:rsid w:val="00A1339B"/>
    <w:rsid w:val="00A1451D"/>
    <w:rsid w:val="00A14ABA"/>
    <w:rsid w:val="00A22FD5"/>
    <w:rsid w:val="00A24CB6"/>
    <w:rsid w:val="00A25865"/>
    <w:rsid w:val="00A26CD2"/>
    <w:rsid w:val="00A27667"/>
    <w:rsid w:val="00A30794"/>
    <w:rsid w:val="00A32979"/>
    <w:rsid w:val="00A34A67"/>
    <w:rsid w:val="00A37462"/>
    <w:rsid w:val="00A459E1"/>
    <w:rsid w:val="00A46AC4"/>
    <w:rsid w:val="00A478A5"/>
    <w:rsid w:val="00A51DD9"/>
    <w:rsid w:val="00A52296"/>
    <w:rsid w:val="00A54905"/>
    <w:rsid w:val="00A55661"/>
    <w:rsid w:val="00A61B70"/>
    <w:rsid w:val="00A61FA8"/>
    <w:rsid w:val="00A637F4"/>
    <w:rsid w:val="00A64DF2"/>
    <w:rsid w:val="00A65485"/>
    <w:rsid w:val="00A65728"/>
    <w:rsid w:val="00A66028"/>
    <w:rsid w:val="00A66E05"/>
    <w:rsid w:val="00A67655"/>
    <w:rsid w:val="00A70753"/>
    <w:rsid w:val="00A712D2"/>
    <w:rsid w:val="00A736EC"/>
    <w:rsid w:val="00A82C8A"/>
    <w:rsid w:val="00A8346B"/>
    <w:rsid w:val="00A852FF"/>
    <w:rsid w:val="00A86F48"/>
    <w:rsid w:val="00A87337"/>
    <w:rsid w:val="00A90C97"/>
    <w:rsid w:val="00A91C5E"/>
    <w:rsid w:val="00A92DDC"/>
    <w:rsid w:val="00A960C8"/>
    <w:rsid w:val="00A96604"/>
    <w:rsid w:val="00AA03DF"/>
    <w:rsid w:val="00AA1B4F"/>
    <w:rsid w:val="00AA21D8"/>
    <w:rsid w:val="00AA271A"/>
    <w:rsid w:val="00AA3270"/>
    <w:rsid w:val="00AA375A"/>
    <w:rsid w:val="00AA38A9"/>
    <w:rsid w:val="00AA54F3"/>
    <w:rsid w:val="00AA678F"/>
    <w:rsid w:val="00AA6B43"/>
    <w:rsid w:val="00AA720D"/>
    <w:rsid w:val="00AA7B1F"/>
    <w:rsid w:val="00AA7C28"/>
    <w:rsid w:val="00AB3145"/>
    <w:rsid w:val="00AB367A"/>
    <w:rsid w:val="00AB7BF8"/>
    <w:rsid w:val="00AC00D1"/>
    <w:rsid w:val="00AC01D1"/>
    <w:rsid w:val="00AC0AB2"/>
    <w:rsid w:val="00AC0E9F"/>
    <w:rsid w:val="00AC4F36"/>
    <w:rsid w:val="00AC52A5"/>
    <w:rsid w:val="00AC6EFD"/>
    <w:rsid w:val="00AC7151"/>
    <w:rsid w:val="00AD0936"/>
    <w:rsid w:val="00AD460A"/>
    <w:rsid w:val="00AD6A05"/>
    <w:rsid w:val="00AE0792"/>
    <w:rsid w:val="00AE091B"/>
    <w:rsid w:val="00AE118B"/>
    <w:rsid w:val="00AE272B"/>
    <w:rsid w:val="00AE3E3A"/>
    <w:rsid w:val="00AE77B4"/>
    <w:rsid w:val="00AE7C1A"/>
    <w:rsid w:val="00AE7DF8"/>
    <w:rsid w:val="00AF0D9C"/>
    <w:rsid w:val="00AF13AB"/>
    <w:rsid w:val="00AF1D36"/>
    <w:rsid w:val="00AF280B"/>
    <w:rsid w:val="00AF5F75"/>
    <w:rsid w:val="00AF6001"/>
    <w:rsid w:val="00AF7E13"/>
    <w:rsid w:val="00B01A16"/>
    <w:rsid w:val="00B0274A"/>
    <w:rsid w:val="00B06000"/>
    <w:rsid w:val="00B079FE"/>
    <w:rsid w:val="00B07F45"/>
    <w:rsid w:val="00B1021A"/>
    <w:rsid w:val="00B10271"/>
    <w:rsid w:val="00B1345D"/>
    <w:rsid w:val="00B140D9"/>
    <w:rsid w:val="00B1481A"/>
    <w:rsid w:val="00B15A1F"/>
    <w:rsid w:val="00B15FE9"/>
    <w:rsid w:val="00B2148A"/>
    <w:rsid w:val="00B220C2"/>
    <w:rsid w:val="00B2276E"/>
    <w:rsid w:val="00B25B32"/>
    <w:rsid w:val="00B32616"/>
    <w:rsid w:val="00B35C82"/>
    <w:rsid w:val="00B36AF0"/>
    <w:rsid w:val="00B36C42"/>
    <w:rsid w:val="00B400FE"/>
    <w:rsid w:val="00B42EA7"/>
    <w:rsid w:val="00B50AA3"/>
    <w:rsid w:val="00B51845"/>
    <w:rsid w:val="00B51923"/>
    <w:rsid w:val="00B5337C"/>
    <w:rsid w:val="00B53FDE"/>
    <w:rsid w:val="00B56397"/>
    <w:rsid w:val="00B571DA"/>
    <w:rsid w:val="00B6027B"/>
    <w:rsid w:val="00B6070F"/>
    <w:rsid w:val="00B636C8"/>
    <w:rsid w:val="00B64AF4"/>
    <w:rsid w:val="00B65EDB"/>
    <w:rsid w:val="00B67AFF"/>
    <w:rsid w:val="00B67C41"/>
    <w:rsid w:val="00B70B59"/>
    <w:rsid w:val="00B73657"/>
    <w:rsid w:val="00B739B3"/>
    <w:rsid w:val="00B77D9B"/>
    <w:rsid w:val="00B81B15"/>
    <w:rsid w:val="00B90137"/>
    <w:rsid w:val="00B915AE"/>
    <w:rsid w:val="00BA1735"/>
    <w:rsid w:val="00BA19FA"/>
    <w:rsid w:val="00BA4288"/>
    <w:rsid w:val="00BB0902"/>
    <w:rsid w:val="00BB1F9C"/>
    <w:rsid w:val="00BB36E2"/>
    <w:rsid w:val="00BB48E5"/>
    <w:rsid w:val="00BB5607"/>
    <w:rsid w:val="00BB5ACA"/>
    <w:rsid w:val="00BB627F"/>
    <w:rsid w:val="00BC0C17"/>
    <w:rsid w:val="00BC3823"/>
    <w:rsid w:val="00BC5334"/>
    <w:rsid w:val="00BC5841"/>
    <w:rsid w:val="00BC5E38"/>
    <w:rsid w:val="00BC6158"/>
    <w:rsid w:val="00BD1C89"/>
    <w:rsid w:val="00BD201A"/>
    <w:rsid w:val="00BD2DC4"/>
    <w:rsid w:val="00BD2EF0"/>
    <w:rsid w:val="00BD4798"/>
    <w:rsid w:val="00BD4EED"/>
    <w:rsid w:val="00BD60B4"/>
    <w:rsid w:val="00BD796B"/>
    <w:rsid w:val="00BE40C0"/>
    <w:rsid w:val="00BE445C"/>
    <w:rsid w:val="00BE5F4A"/>
    <w:rsid w:val="00BE7AEF"/>
    <w:rsid w:val="00BF0353"/>
    <w:rsid w:val="00BF09B0"/>
    <w:rsid w:val="00BF1544"/>
    <w:rsid w:val="00BF1B53"/>
    <w:rsid w:val="00BF246D"/>
    <w:rsid w:val="00BF2682"/>
    <w:rsid w:val="00BF26A7"/>
    <w:rsid w:val="00C06F06"/>
    <w:rsid w:val="00C14261"/>
    <w:rsid w:val="00C17BFF"/>
    <w:rsid w:val="00C20FAD"/>
    <w:rsid w:val="00C20FD7"/>
    <w:rsid w:val="00C2375F"/>
    <w:rsid w:val="00C2422B"/>
    <w:rsid w:val="00C247CB"/>
    <w:rsid w:val="00C32E66"/>
    <w:rsid w:val="00C3355F"/>
    <w:rsid w:val="00C33A04"/>
    <w:rsid w:val="00C3569A"/>
    <w:rsid w:val="00C43F48"/>
    <w:rsid w:val="00C448FF"/>
    <w:rsid w:val="00C45E57"/>
    <w:rsid w:val="00C52F29"/>
    <w:rsid w:val="00C542ED"/>
    <w:rsid w:val="00C557BA"/>
    <w:rsid w:val="00C56CE6"/>
    <w:rsid w:val="00C5745F"/>
    <w:rsid w:val="00C60005"/>
    <w:rsid w:val="00C60BFF"/>
    <w:rsid w:val="00C61A98"/>
    <w:rsid w:val="00C627DD"/>
    <w:rsid w:val="00C63201"/>
    <w:rsid w:val="00C64E62"/>
    <w:rsid w:val="00C651D5"/>
    <w:rsid w:val="00C65CCC"/>
    <w:rsid w:val="00C65DA9"/>
    <w:rsid w:val="00C7618F"/>
    <w:rsid w:val="00C765A9"/>
    <w:rsid w:val="00C80483"/>
    <w:rsid w:val="00C81157"/>
    <w:rsid w:val="00C8162D"/>
    <w:rsid w:val="00C830BB"/>
    <w:rsid w:val="00C83A0B"/>
    <w:rsid w:val="00C842D0"/>
    <w:rsid w:val="00C84ED1"/>
    <w:rsid w:val="00C863CC"/>
    <w:rsid w:val="00C86BCC"/>
    <w:rsid w:val="00C9038F"/>
    <w:rsid w:val="00C92AAB"/>
    <w:rsid w:val="00C94BCD"/>
    <w:rsid w:val="00C95D4C"/>
    <w:rsid w:val="00C9637F"/>
    <w:rsid w:val="00C9708A"/>
    <w:rsid w:val="00C97103"/>
    <w:rsid w:val="00CA2435"/>
    <w:rsid w:val="00CA4068"/>
    <w:rsid w:val="00CA67F4"/>
    <w:rsid w:val="00CA75B0"/>
    <w:rsid w:val="00CB37F8"/>
    <w:rsid w:val="00CB46FF"/>
    <w:rsid w:val="00CB7DC3"/>
    <w:rsid w:val="00CC4EB7"/>
    <w:rsid w:val="00CC5BE1"/>
    <w:rsid w:val="00CC75A2"/>
    <w:rsid w:val="00CC7A18"/>
    <w:rsid w:val="00CD0E2F"/>
    <w:rsid w:val="00CD1D49"/>
    <w:rsid w:val="00CD2F20"/>
    <w:rsid w:val="00CD5CF1"/>
    <w:rsid w:val="00CD6B20"/>
    <w:rsid w:val="00CD7F2A"/>
    <w:rsid w:val="00CE1339"/>
    <w:rsid w:val="00CE61CC"/>
    <w:rsid w:val="00CE6E42"/>
    <w:rsid w:val="00CF20B7"/>
    <w:rsid w:val="00CF283B"/>
    <w:rsid w:val="00CF5DC4"/>
    <w:rsid w:val="00CF6692"/>
    <w:rsid w:val="00CF7441"/>
    <w:rsid w:val="00D00D16"/>
    <w:rsid w:val="00D01775"/>
    <w:rsid w:val="00D03C6C"/>
    <w:rsid w:val="00D04760"/>
    <w:rsid w:val="00D04A95"/>
    <w:rsid w:val="00D06288"/>
    <w:rsid w:val="00D068C7"/>
    <w:rsid w:val="00D128A4"/>
    <w:rsid w:val="00D139C5"/>
    <w:rsid w:val="00D147C8"/>
    <w:rsid w:val="00D15131"/>
    <w:rsid w:val="00D15898"/>
    <w:rsid w:val="00D16FA2"/>
    <w:rsid w:val="00D20954"/>
    <w:rsid w:val="00D21C39"/>
    <w:rsid w:val="00D21FC6"/>
    <w:rsid w:val="00D2243A"/>
    <w:rsid w:val="00D26A7D"/>
    <w:rsid w:val="00D33393"/>
    <w:rsid w:val="00D33D36"/>
    <w:rsid w:val="00D34D94"/>
    <w:rsid w:val="00D37E98"/>
    <w:rsid w:val="00D409E2"/>
    <w:rsid w:val="00D427D7"/>
    <w:rsid w:val="00D44310"/>
    <w:rsid w:val="00D44E62"/>
    <w:rsid w:val="00D4582B"/>
    <w:rsid w:val="00D51570"/>
    <w:rsid w:val="00D556AD"/>
    <w:rsid w:val="00D60381"/>
    <w:rsid w:val="00D616DE"/>
    <w:rsid w:val="00D62201"/>
    <w:rsid w:val="00D651D1"/>
    <w:rsid w:val="00D7134C"/>
    <w:rsid w:val="00D717BB"/>
    <w:rsid w:val="00D7226B"/>
    <w:rsid w:val="00D72707"/>
    <w:rsid w:val="00D75A9C"/>
    <w:rsid w:val="00D82198"/>
    <w:rsid w:val="00D829C8"/>
    <w:rsid w:val="00D87917"/>
    <w:rsid w:val="00D90871"/>
    <w:rsid w:val="00D9155F"/>
    <w:rsid w:val="00D924B8"/>
    <w:rsid w:val="00D92565"/>
    <w:rsid w:val="00D9403F"/>
    <w:rsid w:val="00D959B4"/>
    <w:rsid w:val="00D97DDF"/>
    <w:rsid w:val="00DA44DE"/>
    <w:rsid w:val="00DA73EA"/>
    <w:rsid w:val="00DA750B"/>
    <w:rsid w:val="00DB0DD7"/>
    <w:rsid w:val="00DB27C7"/>
    <w:rsid w:val="00DB620A"/>
    <w:rsid w:val="00DC3832"/>
    <w:rsid w:val="00DC7A51"/>
    <w:rsid w:val="00DD3B1E"/>
    <w:rsid w:val="00DD437A"/>
    <w:rsid w:val="00DE06B2"/>
    <w:rsid w:val="00DE1458"/>
    <w:rsid w:val="00DE5B5F"/>
    <w:rsid w:val="00DE6F2D"/>
    <w:rsid w:val="00DF2FA1"/>
    <w:rsid w:val="00DF614E"/>
    <w:rsid w:val="00E00696"/>
    <w:rsid w:val="00E03651"/>
    <w:rsid w:val="00E03808"/>
    <w:rsid w:val="00E060C2"/>
    <w:rsid w:val="00E06324"/>
    <w:rsid w:val="00E07B81"/>
    <w:rsid w:val="00E10AFD"/>
    <w:rsid w:val="00E12B11"/>
    <w:rsid w:val="00E12FB0"/>
    <w:rsid w:val="00E1468F"/>
    <w:rsid w:val="00E14814"/>
    <w:rsid w:val="00E1591B"/>
    <w:rsid w:val="00E16A50"/>
    <w:rsid w:val="00E1704C"/>
    <w:rsid w:val="00E249D5"/>
    <w:rsid w:val="00E25017"/>
    <w:rsid w:val="00E26F73"/>
    <w:rsid w:val="00E30A34"/>
    <w:rsid w:val="00E312A6"/>
    <w:rsid w:val="00E33C68"/>
    <w:rsid w:val="00E34EEB"/>
    <w:rsid w:val="00E3603C"/>
    <w:rsid w:val="00E3687C"/>
    <w:rsid w:val="00E42234"/>
    <w:rsid w:val="00E44EB9"/>
    <w:rsid w:val="00E45BDC"/>
    <w:rsid w:val="00E460B7"/>
    <w:rsid w:val="00E46358"/>
    <w:rsid w:val="00E471DC"/>
    <w:rsid w:val="00E50EB4"/>
    <w:rsid w:val="00E5239B"/>
    <w:rsid w:val="00E52EC6"/>
    <w:rsid w:val="00E532FC"/>
    <w:rsid w:val="00E53ED3"/>
    <w:rsid w:val="00E552E2"/>
    <w:rsid w:val="00E559B4"/>
    <w:rsid w:val="00E55BB0"/>
    <w:rsid w:val="00E56C04"/>
    <w:rsid w:val="00E609E5"/>
    <w:rsid w:val="00E60F27"/>
    <w:rsid w:val="00E64D93"/>
    <w:rsid w:val="00E65EDB"/>
    <w:rsid w:val="00E66927"/>
    <w:rsid w:val="00E677B8"/>
    <w:rsid w:val="00E67E9E"/>
    <w:rsid w:val="00E67FA1"/>
    <w:rsid w:val="00E7115E"/>
    <w:rsid w:val="00E7387D"/>
    <w:rsid w:val="00E73D53"/>
    <w:rsid w:val="00E75111"/>
    <w:rsid w:val="00E75B8B"/>
    <w:rsid w:val="00E77296"/>
    <w:rsid w:val="00E847B7"/>
    <w:rsid w:val="00E87527"/>
    <w:rsid w:val="00E87EF7"/>
    <w:rsid w:val="00E92A4C"/>
    <w:rsid w:val="00E93763"/>
    <w:rsid w:val="00E96C4C"/>
    <w:rsid w:val="00EA2AAE"/>
    <w:rsid w:val="00EA2EC0"/>
    <w:rsid w:val="00EA427A"/>
    <w:rsid w:val="00EA6822"/>
    <w:rsid w:val="00EA723B"/>
    <w:rsid w:val="00EA7C94"/>
    <w:rsid w:val="00EB6350"/>
    <w:rsid w:val="00EB687A"/>
    <w:rsid w:val="00EC2AE3"/>
    <w:rsid w:val="00EC2F62"/>
    <w:rsid w:val="00EC36BC"/>
    <w:rsid w:val="00EC62EB"/>
    <w:rsid w:val="00EC6E9F"/>
    <w:rsid w:val="00ED0982"/>
    <w:rsid w:val="00ED44F0"/>
    <w:rsid w:val="00ED4B33"/>
    <w:rsid w:val="00ED5993"/>
    <w:rsid w:val="00ED7DD6"/>
    <w:rsid w:val="00EE060B"/>
    <w:rsid w:val="00EE15A1"/>
    <w:rsid w:val="00EE2A7C"/>
    <w:rsid w:val="00EE2C42"/>
    <w:rsid w:val="00EE2F23"/>
    <w:rsid w:val="00EE30C3"/>
    <w:rsid w:val="00EE341B"/>
    <w:rsid w:val="00EE4453"/>
    <w:rsid w:val="00EE5879"/>
    <w:rsid w:val="00EE5FCE"/>
    <w:rsid w:val="00EE6BBD"/>
    <w:rsid w:val="00EE6E1E"/>
    <w:rsid w:val="00EE705F"/>
    <w:rsid w:val="00EF1462"/>
    <w:rsid w:val="00EF33D0"/>
    <w:rsid w:val="00EF54FD"/>
    <w:rsid w:val="00EF64FC"/>
    <w:rsid w:val="00EF6A1A"/>
    <w:rsid w:val="00F07F0D"/>
    <w:rsid w:val="00F11F67"/>
    <w:rsid w:val="00F13112"/>
    <w:rsid w:val="00F14FB3"/>
    <w:rsid w:val="00F16FE6"/>
    <w:rsid w:val="00F238BD"/>
    <w:rsid w:val="00F24992"/>
    <w:rsid w:val="00F32F2F"/>
    <w:rsid w:val="00F33F3F"/>
    <w:rsid w:val="00F35BDD"/>
    <w:rsid w:val="00F35EF0"/>
    <w:rsid w:val="00F3781F"/>
    <w:rsid w:val="00F403FD"/>
    <w:rsid w:val="00F41A05"/>
    <w:rsid w:val="00F41E72"/>
    <w:rsid w:val="00F45BDF"/>
    <w:rsid w:val="00F45D52"/>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7D1"/>
    <w:rsid w:val="00FA7A66"/>
    <w:rsid w:val="00FB044C"/>
    <w:rsid w:val="00FB1AA9"/>
    <w:rsid w:val="00FB4B5A"/>
    <w:rsid w:val="00FB5963"/>
    <w:rsid w:val="00FB5AE8"/>
    <w:rsid w:val="00FB5DAA"/>
    <w:rsid w:val="00FC04B9"/>
    <w:rsid w:val="00FC161A"/>
    <w:rsid w:val="00FC1728"/>
    <w:rsid w:val="00FC23D5"/>
    <w:rsid w:val="00FC4337"/>
    <w:rsid w:val="00FC4C1A"/>
    <w:rsid w:val="00FC5BE1"/>
    <w:rsid w:val="00FC628F"/>
    <w:rsid w:val="00FC6468"/>
    <w:rsid w:val="00FC6D49"/>
    <w:rsid w:val="00FD1666"/>
    <w:rsid w:val="00FD4922"/>
    <w:rsid w:val="00FD6461"/>
    <w:rsid w:val="00FE0281"/>
    <w:rsid w:val="00FE4706"/>
    <w:rsid w:val="00FE7083"/>
    <w:rsid w:val="00FF019F"/>
    <w:rsid w:val="00FF1B2A"/>
    <w:rsid w:val="00FF2160"/>
    <w:rsid w:val="00FF2E31"/>
    <w:rsid w:val="00FF30DE"/>
    <w:rsid w:val="00FF644B"/>
    <w:rsid w:val="0512D0C7"/>
    <w:rsid w:val="0CC9AF19"/>
    <w:rsid w:val="0F766B7C"/>
    <w:rsid w:val="28FC9FB5"/>
    <w:rsid w:val="2A59CA3D"/>
    <w:rsid w:val="2CF9D4DD"/>
    <w:rsid w:val="31671708"/>
    <w:rsid w:val="37E107B4"/>
    <w:rsid w:val="4C4CA750"/>
    <w:rsid w:val="5402879A"/>
    <w:rsid w:val="604A979D"/>
    <w:rsid w:val="729BC724"/>
    <w:rsid w:val="7CF0A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D15898"/>
    <w:pPr>
      <w:tabs>
        <w:tab w:val="left" w:pos="260"/>
      </w:tabs>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50781">
      <w:bodyDiv w:val="1"/>
      <w:marLeft w:val="0"/>
      <w:marRight w:val="0"/>
      <w:marTop w:val="0"/>
      <w:marBottom w:val="0"/>
      <w:divBdr>
        <w:top w:val="none" w:sz="0" w:space="0" w:color="auto"/>
        <w:left w:val="none" w:sz="0" w:space="0" w:color="auto"/>
        <w:bottom w:val="none" w:sz="0" w:space="0" w:color="auto"/>
        <w:right w:val="none" w:sz="0" w:space="0" w:color="auto"/>
      </w:divBdr>
    </w:div>
    <w:div w:id="113135880">
      <w:bodyDiv w:val="1"/>
      <w:marLeft w:val="0"/>
      <w:marRight w:val="0"/>
      <w:marTop w:val="0"/>
      <w:marBottom w:val="0"/>
      <w:divBdr>
        <w:top w:val="none" w:sz="0" w:space="0" w:color="auto"/>
        <w:left w:val="none" w:sz="0" w:space="0" w:color="auto"/>
        <w:bottom w:val="none" w:sz="0" w:space="0" w:color="auto"/>
        <w:right w:val="none" w:sz="0" w:space="0" w:color="auto"/>
      </w:divBdr>
      <w:divsChild>
        <w:div w:id="705981991">
          <w:marLeft w:val="0"/>
          <w:marRight w:val="0"/>
          <w:marTop w:val="0"/>
          <w:marBottom w:val="0"/>
          <w:divBdr>
            <w:top w:val="none" w:sz="0" w:space="0" w:color="auto"/>
            <w:left w:val="none" w:sz="0" w:space="0" w:color="auto"/>
            <w:bottom w:val="none" w:sz="0" w:space="0" w:color="auto"/>
            <w:right w:val="none" w:sz="0" w:space="0" w:color="auto"/>
          </w:divBdr>
          <w:divsChild>
            <w:div w:id="1896775596">
              <w:marLeft w:val="0"/>
              <w:marRight w:val="0"/>
              <w:marTop w:val="0"/>
              <w:marBottom w:val="0"/>
              <w:divBdr>
                <w:top w:val="none" w:sz="0" w:space="0" w:color="auto"/>
                <w:left w:val="none" w:sz="0" w:space="0" w:color="auto"/>
                <w:bottom w:val="none" w:sz="0" w:space="0" w:color="auto"/>
                <w:right w:val="none" w:sz="0" w:space="0" w:color="auto"/>
              </w:divBdr>
              <w:divsChild>
                <w:div w:id="50798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551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6661619">
      <w:bodyDiv w:val="1"/>
      <w:marLeft w:val="0"/>
      <w:marRight w:val="0"/>
      <w:marTop w:val="0"/>
      <w:marBottom w:val="0"/>
      <w:divBdr>
        <w:top w:val="none" w:sz="0" w:space="0" w:color="auto"/>
        <w:left w:val="none" w:sz="0" w:space="0" w:color="auto"/>
        <w:bottom w:val="none" w:sz="0" w:space="0" w:color="auto"/>
        <w:right w:val="none" w:sz="0" w:space="0" w:color="auto"/>
      </w:divBdr>
      <w:divsChild>
        <w:div w:id="946040301">
          <w:marLeft w:val="0"/>
          <w:marRight w:val="0"/>
          <w:marTop w:val="0"/>
          <w:marBottom w:val="0"/>
          <w:divBdr>
            <w:top w:val="none" w:sz="0" w:space="0" w:color="auto"/>
            <w:left w:val="none" w:sz="0" w:space="0" w:color="auto"/>
            <w:bottom w:val="none" w:sz="0" w:space="0" w:color="auto"/>
            <w:right w:val="none" w:sz="0" w:space="0" w:color="auto"/>
          </w:divBdr>
          <w:divsChild>
            <w:div w:id="472646921">
              <w:marLeft w:val="0"/>
              <w:marRight w:val="0"/>
              <w:marTop w:val="0"/>
              <w:marBottom w:val="0"/>
              <w:divBdr>
                <w:top w:val="none" w:sz="0" w:space="0" w:color="auto"/>
                <w:left w:val="none" w:sz="0" w:space="0" w:color="auto"/>
                <w:bottom w:val="none" w:sz="0" w:space="0" w:color="auto"/>
                <w:right w:val="none" w:sz="0" w:space="0" w:color="auto"/>
              </w:divBdr>
              <w:divsChild>
                <w:div w:id="12478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1284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422160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2962</Words>
  <Characters>16886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2020-05-03T22:38:00Z</dcterms:created>
  <dcterms:modified xsi:type="dcterms:W3CDTF">2020-05-05T05:35:00Z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id="ib1TRlOY"/&gt;&lt;style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