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Insulin- and Contraction-Stimulated Glucose Uptake in Isolated and Incubated Mature Skeletal Muscle from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Rasmus Kjøbsted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Kohei Kido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Jeppe K. Larsen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O. Jørgensen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Jesper B. Birk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Ylva Hellsten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Jørgen F.P. Wojtaszewski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Section of Molecular Physiology, Department of Nutrition, Exercise and Sports,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Section of Integrative Physiology, Department of Nutrition, Exercise and Sports,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Kjøbsted </w:t>
        <w:tab/>
        <w:t xml:space="preserve">(</w:t>
      </w:r>
      <w:r>
        <w:rPr>
          <w:rFonts w:ascii="Calibri" w:hAnsi="Calibri" w:cs="Calibri" w:eastAsia="Calibri"/>
          <w:color w:val="000000"/>
          <w:spacing w:val="0"/>
          <w:position w:val="0"/>
          <w:sz w:val="24"/>
          <w:shd w:fill="auto" w:val="clear"/>
        </w:rPr>
        <w:t xml:space="preserve">rasmus.kjobsted@nexs.ku.dk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Kohei Kido </w:t>
        <w:tab/>
        <w:tab/>
        <w:t xml:space="preserve">(</w:t>
      </w:r>
      <w:r>
        <w:rPr>
          <w:rFonts w:ascii="Calibri" w:hAnsi="Calibri" w:cs="Calibri" w:eastAsia="Calibri"/>
          <w:color w:val="000000"/>
          <w:spacing w:val="0"/>
          <w:position w:val="0"/>
          <w:sz w:val="24"/>
          <w:shd w:fill="auto" w:val="clear"/>
        </w:rPr>
        <w:t xml:space="preserve">kido@nexs.ku.dk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Jeppe K. Larsen </w:t>
        <w:tab/>
        <w:t xml:space="preserve">(</w:t>
      </w:r>
      <w:r>
        <w:rPr>
          <w:rFonts w:ascii="Calibri" w:hAnsi="Calibri" w:cs="Calibri" w:eastAsia="Calibri"/>
          <w:color w:val="000000"/>
          <w:spacing w:val="0"/>
          <w:position w:val="0"/>
          <w:sz w:val="24"/>
          <w:shd w:fill="auto" w:val="clear"/>
        </w:rPr>
        <w:t xml:space="preserve">jeppe.larsen@sund.ku.dk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O. Jørgensen </w:t>
        <w:tab/>
        <w:t xml:space="preserve">(</w:t>
      </w:r>
      <w:r>
        <w:rPr>
          <w:rFonts w:ascii="Calibri" w:hAnsi="Calibri" w:cs="Calibri" w:eastAsia="Calibri"/>
          <w:color w:val="000000"/>
          <w:spacing w:val="0"/>
          <w:position w:val="0"/>
          <w:sz w:val="24"/>
          <w:shd w:fill="auto" w:val="clear"/>
        </w:rPr>
        <w:t xml:space="preserve">nioj@nexs.ku.dk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Jesper B. Birk </w:t>
        <w:tab/>
        <w:tab/>
        <w:t xml:space="preserve">(</w:t>
      </w:r>
      <w:r>
        <w:rPr>
          <w:rFonts w:ascii="Calibri" w:hAnsi="Calibri" w:cs="Calibri" w:eastAsia="Calibri"/>
          <w:color w:val="000000"/>
          <w:spacing w:val="0"/>
          <w:position w:val="0"/>
          <w:sz w:val="24"/>
          <w:shd w:fill="auto" w:val="clear"/>
        </w:rPr>
        <w:t xml:space="preserve">jbirk@nexs.ku.dk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Ylva Hellsten </w:t>
        <w:tab/>
        <w:tab/>
        <w:t xml:space="preserve">(</w:t>
      </w:r>
      <w:r>
        <w:rPr>
          <w:rFonts w:ascii="Calibri" w:hAnsi="Calibri" w:cs="Calibri" w:eastAsia="Calibri"/>
          <w:color w:val="000000"/>
          <w:spacing w:val="0"/>
          <w:position w:val="0"/>
          <w:sz w:val="24"/>
          <w:shd w:fill="auto" w:val="clear"/>
        </w:rPr>
        <w:t xml:space="preserve">yhellsten@nexs.ku.dk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Jørgen F.P. Wojtaszewski </w:t>
        <w:tab/>
        <w:t xml:space="preserve">(</w:t>
      </w:r>
      <w:r>
        <w:rPr>
          <w:rFonts w:ascii="Calibri" w:hAnsi="Calibri" w:cs="Calibri" w:eastAsia="Calibri"/>
          <w:color w:val="000000"/>
          <w:spacing w:val="0"/>
          <w:position w:val="0"/>
          <w:sz w:val="24"/>
          <w:shd w:fill="auto" w:val="clear"/>
        </w:rPr>
        <w:t xml:space="preserve">jwojtaszewski@nexs.ku.dk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Kjøbsted </w:t>
        <w:tab/>
        <w:tab/>
        <w:t xml:space="preserve">(</w:t>
      </w:r>
      <w:r>
        <w:rPr>
          <w:rFonts w:ascii="Calibri" w:hAnsi="Calibri" w:cs="Calibri" w:eastAsia="Calibri"/>
          <w:color w:val="000000"/>
          <w:spacing w:val="0"/>
          <w:position w:val="0"/>
          <w:sz w:val="24"/>
          <w:shd w:fill="auto" w:val="clear"/>
        </w:rPr>
        <w:t xml:space="preserve">rasmus.kjobsted@nexs.ku.dk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glucose transport, glucose uptake, insulin sensitivity, contraction, explant, ex vivo, in vitro, incubation, radioactive glucose tracers, 2-deoxy-D-glucose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Intact regulation of muscle glucose uptake is important for maintaining whole body glucose homeostasis. This protocol presents assessment of insulin- and contraction-stimulated glucose uptake in isolated and incubated mature skeletal muscle when delineating the impact of various physiological interventions on whole body glucose metabolism.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is an insulin-responsive tissue and typically takes up most of the glucose that enters the blood after a meal. Moreover, skeletal muscle possesses the ability to increase the extraction of glucose from the blood by up to 50-fold during exercise compared to resting conditions. The increase in muscle glucose uptake during exercise and insulin stimulation is dependent on the translocation of glucose transporter 4 (GLUT4) from intracellular compartments to the muscle surface membrane, as well as phosphorylation of glucose to glucose-6-phosphate by hexokinase II. Isolation and incubation of mouse muscles such as </w:t>
      </w:r>
      <w:r>
        <w:rPr>
          <w:rFonts w:ascii="Calibri" w:hAnsi="Calibri" w:cs="Calibri" w:eastAsia="Calibri"/>
          <w:i/>
          <w:color w:val="000000"/>
          <w:spacing w:val="0"/>
          <w:position w:val="0"/>
          <w:sz w:val="24"/>
          <w:shd w:fill="auto" w:val="clear"/>
        </w:rPr>
        <w:t xml:space="preserve">m. soleus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 extensor digitorum longus</w:t>
      </w:r>
      <w:r>
        <w:rPr>
          <w:rFonts w:ascii="Calibri" w:hAnsi="Calibri" w:cs="Calibri" w:eastAsia="Calibri"/>
          <w:color w:val="000000"/>
          <w:spacing w:val="0"/>
          <w:position w:val="0"/>
          <w:sz w:val="24"/>
          <w:shd w:fill="auto" w:val="clear"/>
        </w:rPr>
        <w:t xml:space="preserve"> (EDL) is an appropriate ex vivo model to study the effects of insulin and electrically induced contraction (a model for exercise) on glucose uptake in mature skeletal muscle. Thus, the ex vivo model permits evaluation of muscle insulin sensitivity and makes it possible to match muscle force production during contraction ensuring uniform recruitment of muscle fibers during measurements of muscle glucose uptake. Moreover, the described model is suitable for pharmacological compound testing that may have an impact on muscle insulin sensitivity or may be of help when trying to delineate the regulatory complexity of skeletal muscle glucose uptake.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and provide a detailed protocol on how to measure insulin- and contraction-stimulated glucose uptake in isolated and incubated soleus and EDL muscle preparations from mice using radiolabeled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as an extracellular marker. This allows accurate assessment of glucose uptake in mature skeletal muscle in the absence of confounding factors that may interfere in the intact animal model. In addition, we provide information on metabolic viability of incubated mouse skeletal muscle suggesting that the method/model applied possess some caveats under certain conditions when studying muscle energy metabolism.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possesses the ability to extract large quantities of glucose from the extracellular space in response to insulin and exercise. This helps to maintain whole body glucose homeostasis and secures glucose supply during times of high energy demand. Since intact regulation of skeletal muscle glucose uptake has been shown to be important for overall health and physical performance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measurements of muscle glucose uptake during various conditions have received much attention. In humans and animals, the hyperinsulinemic-euglycemic clamp has been used as the gold standard technique to assess insulin sensitivity in vivo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contrast to findings obtained from an oral glucose tolerance test, the hyperinsulinemic-euglycemic clamp technique does not require intact gastrointestinal function or insulin secretion from the pancreas and thus permits insulin responses to be compared between subjects who exhibit variations in gastro-intestinal and/or pancreatic function. Measurements of muscle glucose uptake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during exercise in humans have been performed frequently since the 1960s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First by the use of arteriovenous balance techniques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later by the use of positron emission tomography (PET) imaging in combination with a positron emitting glucose analogue e.g.,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rodents, exercise-stimulated muscle glucose uptake in vivo is typically performed by the use of radioactive or stable isotope-labeled glucose analogs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complementary method to measurements of muscle glucose uptake in vivo, is to isolate and incubate small muscles from rodents and subsequently measure glucose uptake using radioactive or stable isotope-labelled glucose analogues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method allows accurate and reliable quantification of glucose uptake rates in mature skeletal muscle and can be performed in the presence of various insulin concentrations and during contraction elicited by electrical stimulation. More importantly, measurements of glucose uptake in isolated and incubated skeletal muscle are of relevance when investigating the muscle metabolic phenotype of mice that have undergone various interventions (e.g., nutrition, physical activity, infection, therapeutics). The isolated skeletal muscle model is also a suitable tool for pharmacological compound testing that may affect glucose uptake per se and/or modify insulin sensitivity</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In this way, the efficacy of compounds designed to regulate muscle glucose metabolism can be tested and evaluated in a highly controlled milieu before subsequent in vivo testing in pre-clinical animal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some conditions, metabolic viability may pose a challenge in the isolated and incubated skeletal muscle model system. Indeed, the lack of a circulatory system in the incubated muscles entails that delivery of substrates (e.g., oxygen and nutrients) fully depends on simple diffusion between the muscle fibers and the surrounding environment. In regards to this, it is of importance that the incubated muscles are small and thin and thus, represent less of a barrier for oxygen diffusion during incubation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Especially during prolonged incubations for several hours, hypoxic states may develop due to insufficient oxygen supply resulting in muscle energy depletion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Although various markers of metabolic viability in incubated rat muscle have been reported previously alongside the identification of important variables that help to maintain rat muscle viability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 comprehensive evaluation of metabolic viability in small incubated mouse muscles is still warranted. Hence, at present glycogen content has mainly been used by others as a marker of metabolic viability in incubated mouse skeletal muscle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detailed protocol to measure basal, insulin- and contraction-stimulated glucose uptake in isolated and incubated soleus and EDL muscle from mice using radiolabeled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as an extracellular marker. In the present study, glucose uptake was measured during a 10-minute period and the method is presented with the use of submaximally and maximally effective insulin concentrations as well as a single contraction protocol. However, the protocols described herein can easily be modified with regards to incubation time, insulin-dosage, and electrical stimulation protocol. Furthermore, we provide a thorough characterization of various markers of metabolic viability in incubated soleus and EDL mouse skeletal muscle. The results indicate that glucose supplementation to the incubation buffer is essential to preserve metabolic viability of muscle incubated for 1 hour.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color w:val="000000"/>
          <w:spacing w:val="0"/>
          <w:position w:val="0"/>
          <w:sz w:val="24"/>
          <w:shd w:fill="auto" w:val="clear"/>
        </w:rPr>
        <w:t xml:space="preserve">Procedures involving research animals should be performed in accordance with relevant guidelines and local legislation. All animal experiments used for this study complied with the EU convention for the protection of vertebra used for scientific purposes and were approved by the Danish Animal Experiments Inspectorate.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the experimental apparatus and suture loops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study, use an integrated muscle strip myograph system with customized incubation hooks to incubate isolated mouse skeletal muscles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system allows muscle to bathe in a physiological solution with continuous oxygenation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at constant temperature. The muscle tissue bath is coupled to a force transducer for the measurement of muscle force production during contraction. To elicit and record myo-mechanical responses during contraction, employ an electrical pulse stimulator and a data collection program, respectively. Stimulate the incubated muscles to contract by platinum electrodes positioned centrally and on both sides of the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Switch on the myograph system and warm chambers to 30 &amp;#176;C. Open data collection software compatible with the myograph system and calibrate force transducers to ensure comparability between datasets.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Start by cutting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cm strands of non-absorbable surgical nylon suture. Use forceps to create a loop of approximately 0.4 cm in diameter from a single strand. Repeat this until enough loops have been made. Each muscle needs two loops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one for the proximal and one for the distal tendon.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Preparation of solutions and incubation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Preparation of basal incubation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the following stock solutions: 2.5 M sodium chloride (NaCl, 250 mL), 0.5 M sodium bicarbonate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250 mL), 0.5 M potassium chloride (KCl, 50 mL), 0.25 M calcium chloride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50 mL), 0.25 M potassium dihydrogen phosphate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50 mL), 0.25 M magnesium sulfate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50 mL), 110 mM sodium pyruvate (Na-Pyruvate, 100 mL), 500 mM D-mannitol (100 mL), 1 M 2-deoxy-D-glucose (4 mL), 15% solution of bovine serum albumin (BSA) dialyzed against Krebs-Ringer-Henseleit (KRH) buffer (described below in step 4) (100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solutions are required to measure resting and contraction-stimulated glucose uptake. Furthermore, each single insulin concentration used for assessing insulin-stimulated glucose uptake requires two solutions. Thus, in total six different solutions are needed to measure basal, submaximal insulin-, maximal insulin-, and contraction-stimulated glucose uptake in isolated mouse skeletal muscle. In the following ‘basal incubation media’ refers to media without insulin or radioactive tracers. ‘Incubation media’ refers to media containing insulin. ‘Glucose uptake incubation media’ refers to media containing 2-deoxy-D-glucose and radioactive tracers in addition to insulin at a concentration identical to that used in the ‘incubation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Prepare a KRH buffer by supplementing ultrapure water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with NaCl (117 mM), NaHCO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(24.6 mM), KCl (4.7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(2.5 mM),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(1.2 mM), and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(1.2 mM). Subsequently gas the KRH buffer with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10 min. The desired pH of the KRH buffer should be between 7.35-7.45 at 30 &amp;#176;C. If pH adjustment is performed at room temperature the pH of the KRH buffer should be between 7.25-7.35.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Add BSA (0.1%), Na-Pyruvate (2 mM), and D-mannitol (8 mM) to the gassed and pH-adjusted KRH buffer to complete the basal incubation media. Store basal incubation media in a sealed container to minimize degasification of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place media at 30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the osmolarity of the KRH supplements (i.e., Na-Pyruvate, D-Mannitol, and D-glucose) is kept constant across an entire experiment to avoid shrinkage or expansion of the muscle cells. The protocol described herein uses an osmolarity of 10 mM for the KRH supplements. If a glucose-containing buffer is needed, replace KRH supplements to accommodate the needs, e.g. 5 mM D-glucose and 5 mM D-mannitol.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To avoid possible BSA-associated contaminants in the incubation buffer, dialyze BSA against KRH.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2.1.4.1. To make a 15% BSA stock solution dialyzed against KRH buffer, start by dissolving 300 g of analytical grade fat-free BSA in 900 mL of KRH buffer. Next, boil the dialysis tube in redistilled water until the tubing is soft.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2.1.4.2. Fill the tubing with the BSA-KRH solution and secure the tubing ends. Place the tubing with BSA-KRH in 5 L of KRH buffer and leave it overnight at 4 &amp;#176;C. The following day replace the KRH buffer and leave the tubing with BSA-KRH in KRH buffer overnight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2.1.4.3. Lastly, collect the BSA-KRH solution from the tubing and add KRH buffer to a final volume of 2 L (i.e., 15% BSA-KRH stock solution).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Preparation of incubation media containing insulin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For the incubation media containing a submaximally effective insulin concentration, add 1 &amp;#181;L of a 100 mU/mL insulin stock solution per mL of basal incubation media (100 &amp;#181;U/mL insulin).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For the incubation media containing a maximally effective insulin concentration, add 1 &amp;#181;L of a 10 U/mL insulin stock solution per mL of basal incubation media (10 mU/mL insulin).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Preparation of glucose uptake incubation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Handling of radioactive material is only allowed in a restricted and controlled area by authorized personnel and some universities, research institutions and companies may require the acquisition of a "Radioactivity Use Permit". Material and waste must be handled according to appropriate local procedures, guidelines, and legislation.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Follow the same procedure as described in section 2.1.2.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FFFF00" w:val="clear"/>
        </w:rPr>
        <w:t xml:space="preserve">2. Add BSA (0.1%), Na-Pyruvate (2 mM), D-mannitol (7 mM), and 2-deoxy-D-glucose (1 mM) to the gassed and pH-adjusted KRH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FFFF00" w:val="clear"/>
        </w:rPr>
        <w:t xml:space="preserve">3. Add [</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H]2-deoxy-D-glucose (0.028 MBq/mL) and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C]mannitol (0.0083 MBq/mL) to the supplemented KRH buffer to complete the glucose uptake incubation media. Store at 30 &amp;#176;C.</w:t>
      </w:r>
      <w:r>
        <w:rPr>
          <w:rFonts w:ascii="Calibri" w:hAnsi="Calibri" w:cs="Calibri" w:eastAsia="Calibri"/>
          <w:color w:val="000000"/>
          <w:spacing w:val="0"/>
          <w:position w:val="0"/>
          <w:sz w:val="24"/>
          <w:shd w:fill="auto" w:val="clear"/>
        </w:rPr>
        <w:t xml:space="preserve"> If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are dissolved in ethanol remove the ethanol by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mediated evaporation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For the glucose uptake incubation media containing a submaximally effective insulin concentration, add 1 &amp;#181;L of a 100 mU/mL insulin stock solution per mL of glucose uptake incubation media (100 &amp;#181;U/mL insulin).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For the glucose uptake incubation media containing a maximally effective insulin concentration, add 1 &amp;#181;L of a 10 U/mL insulin stock solution per mL of glucose uptake incubation media (10 mU/mL insulin).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Animals and dissection of the mouse soleus and EDL muscle for incubation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Procedures involving research animals should be performed in accordance with relevant guidelines and local legislation. The described procedure can be used with in-house bred or commercially available male and female mice of various strains and genetic backgrounds.</w:t>
      </w:r>
      <w:r>
        <w:rPr>
          <w:rFonts w:ascii="Calibri" w:hAnsi="Calibri" w:cs="Calibri" w:eastAsia="Calibri"/>
          <w:b/>
          <w:color w:val="000000"/>
          <w:spacing w:val="0"/>
          <w:position w:val="0"/>
          <w:sz w:val="28"/>
          <w:shd w:fill="auto" w:val="clear"/>
        </w:rPr>
        <w:t xml:space="preserve"> </w:t>
      </w:r>
      <w:r>
        <w:rPr>
          <w:rFonts w:ascii="Calibri" w:hAnsi="Calibri" w:cs="Calibri" w:eastAsia="Calibri"/>
          <w:color w:val="000000"/>
          <w:spacing w:val="0"/>
          <w:position w:val="0"/>
          <w:sz w:val="24"/>
          <w:shd w:fill="auto" w:val="clear"/>
        </w:rPr>
        <w:t xml:space="preserve">The following procedure is provided for fed female C57Bl/6J mice. On an average, mice were 19 weeks old and weighed 25 g. The mice were maintained on a 12:12 h light-dark cycle with free access to standard rodent chow and water. Animal experiments were initiated at ~ 9:00 AM local time and all animals were sacrificed within a period of 2 h. </w:t>
      </w:r>
    </w:p>
    <w:p>
      <w:pPr>
        <w:spacing w:before="0" w:after="0" w:line="240"/>
        <w:ind w:right="0" w:left="0" w:firstLine="0"/>
        <w:jc w:val="both"/>
        <w:rPr>
          <w:rFonts w:ascii="Calibri" w:hAnsi="Calibri" w:cs="Calibri" w:eastAsia="Calibri"/>
          <w:b/>
          <w:color w:val="000000"/>
          <w:spacing w:val="0"/>
          <w:position w:val="0"/>
          <w:sz w:val="28"/>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Add 4 mL of pre-warmed (30&amp;#176;C) basal incubation media to each incubation chamber and make sure the basal incubation media is continuously oxygenated with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Anaesthetize mice with an intraperitoneal injection of pentobarbital (10 mg/100 g body weight) or other available anaesthesia (e.g., tribromoethanol).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aware that in some countries a licence to handle pentobarbital and other anaesthetic drugs may be a required. Before muscle dissection can be initiated, anaesthesia of each animal must be properly induced. To ensure this, tail and leg reflexes are controlled for. For optimal results dissection should be well practiced avoiding damaging the muscles during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Place anaesthetized mice prone on a dissection tray (e.g., styrofoam lid) and pin down a single front paw using a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the skin from the lower leg and make sure that both the Achilles tendon and knee joint are visible.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For the dissection of soleus muscle, start by attaching a single suture loop to the Achilles tendon. Secure a pean forceps to the Achilles tendon distally of the suture loop and cut to release the soleus and gastrocnemius muscles from the paw. Carefully slide the pean forceps across the mouse thereby exposing the soleus muscle.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Pin down the pean forceps and place a second suture loop around the proximal tendon of the soleus muscle. Next, cut the proximal tendon and dissect soleus (including the two attached suture loops) free of gastrocnemius muscle. Quickly place the soleus muscle in the incubation chamber by attaching each suture loop to the respective hooks.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Remove the fascia covering the tibialis anterior (TA) muscle using forceps. If done correctly distal tendons of the TA and EDL muscles should be clear white and visible; and separated from each other.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Cut the distal tendon of the TA muscle and dissect out the muscle for later analyses (e.g., genotyping). Using forceps, gently liberate the EDL muscle from the surrounding tissues but leave the muscle intact and do not cut the tendons. Place one suture loop around the distal tendon and a second suture loop around the proximal tendon of EDL.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Next, cut the tendons releasing the EDL muscle with two attached suture loops and quickly place the muscle in the incubation chamber by attaching each suture loop to the respective hooks. In order to not lose tension during incubation and especially during electrically induced contraction of the soleus and EDL muscles, it is of great importance to fix the suture loops around the tendons with tight knots.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Lastly, euthanize the animal by e.g. cervical dislocation.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When the muscles have been dissected and placed in incubation chambers, adjust the resting tension of each muscle to ~5 mN and pre-incubate the muscles for at least 10 min before initiating the experimental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4"/>
          <w:shd w:fill="FFFF00" w:val="clear"/>
        </w:rPr>
        <w:t xml:space="preserve">4. Insulin-stimulated glucose uptake in isolated mouse skeletal muscle</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Following step 3.10 replace the basal incubation media with incubation media containing no insulin (basal incubation media), a submaximally effective insulin concentration or a maximally effective insulin concentration and leave in the incubation chambers for 20 min. Space each incubation chamber by 1 min, thereby making time for the subsequent harvest of muscles.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At the end of the 20 min stimulation period, replace the incubation media with the glucose uptake incubation media containing an identical concentration of insulin and leave in the incubation chambers for 10 min, again with 1 min spacing between each incubation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After 10 min of incubation in the glucose uptake incubation media gently remove muscles from the incubation chambers and wash them in ice-cold basal incubation media. Subsequently, quickly dry the muscles on filter paper before the suture loops are removed and muscles are frozen in liquid nitrogen. It is imperative that the incubated muscles are harvested quickly if one also wishes to investigate various intracellular metabolites and protein signaling in addition to glucose uptake.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Collect 100 &amp;#181;L of the glucose uptake incubation media from each incubation chamber and store it at -20 &amp;#176;C. The amount of radioactivity in these samples will be included in the calculation </w:t>
      </w:r>
      <w:r>
        <w:rPr>
          <w:rFonts w:ascii="Calibri" w:hAnsi="Calibri" w:cs="Calibri" w:eastAsia="Calibri"/>
          <w:color w:val="000000"/>
          <w:spacing w:val="0"/>
          <w:position w:val="0"/>
          <w:sz w:val="24"/>
          <w:shd w:fill="auto" w:val="clear"/>
        </w:rPr>
        <w:t xml:space="preserve">of muscle glucose uptake.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4"/>
          <w:shd w:fill="FFFF00" w:val="clear"/>
        </w:rPr>
        <w:t xml:space="preserve">5. Contraction-stimulated glucose uptake in isolated mouse skeletal muscle</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induce contraction of isolated mouse skeletal muscle use the following protocol: 1 train/15 s, each train 1 s long consisting of 0.2 ms pulses delivered at 100 Hz. However, other similar protocols eliciting contraction of isolated mouse skeletal muscle will likely work as well. Importantly, the voltage should be adjusted to generate maximal force development of the incubated muscle, which is dependent on the experimental setup. If this is not ensured, you may risk that not all fibers of the muscle are contracting. In turn, this may induce bias in the dataset.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Following step 3.10 place the platinum electrodes centrally and on both sides of the muscles. Initiate contraction of the muscles immediately after replacing the basal incubation media with the glucose uptake incubation media. If possible, space each incubation chamber by 1 min, thereby making time for the subsequent harvest of muscles. Remember to record force production from each incubated muscle.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After 10 min of contraction in the glucose uptake incubation media, remove the platinum electrodes, gently collect the muscles from the incubation chambers and wash them in ice-cold basal incubation media. Subsequently, quickly dry the muscles on filter paper before the suture loops are removed and muscles frozen in liquid nitrogen. </w:t>
      </w:r>
      <w:r>
        <w:rPr>
          <w:rFonts w:ascii="Calibri" w:hAnsi="Calibri" w:cs="Calibri" w:eastAsia="Calibri"/>
          <w:color w:val="000000"/>
          <w:spacing w:val="0"/>
          <w:position w:val="0"/>
          <w:sz w:val="24"/>
          <w:shd w:fill="auto" w:val="clear"/>
        </w:rPr>
        <w:t xml:space="preserve">The entire muscle harvest procedure should be performed as fast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Collect 100 &amp;#181;L of the glucose uptake incubation media from each incubation chamber and store it at -20 &amp;#176;C. The amount of radioactivity in these samples will be included in the calculation of muscle glucose uptake.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Skeletal muscle homogenization and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given procedure below for muscle homogenization makes it possible to determine both glucose uptake and myocellular signaling by western blotting techniques in the same set of muscle samples.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Homogenize each muscle in 400 &amp;#181;L of ice-cold buffer with pH 7.5 containing 10% glycerol, 20 mM sodium-pyrophosphate, 1% IGEPAL CA-630 (NP-40), 2 mM phenylmethylsulfonylfluoride (dissolved in isopropanol), 150 mM NaCl, 50 mM HEPES, 20 mM &amp;#946;-glycerophosphate, 10 mM sodium fluoride (NaF), 1 mM ethylenediaminetetraacetic acid (EDTA), 1 mM glycoletherdiaminetetraacetic acid (EGTA), 10 &amp;#181;g/ml aprotinin, 10 &amp;#181;g/mL leupeptin, 3 mM benzamidine, and 2mM sodium-orthovanadate using steel beads and a tissuelyser (2 x 30 s at 30 Hz). Rotate all homogenates end-over-end for 1 h at 4 &amp;#176;C after which they are centrifuged at 16,000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20 min at 4 &amp;#176;C. Collect the lysate (supernatant) which is used to determine muscle glucose uptake.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Determination of radiolabeled 2-deoxyglucose and mannitol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Add 150 &amp;#181;L of each muscle lysate and 25 &amp;#181;L of the glucose uptake incubation media from each incubation chamber to separate liquid scintillation counting vials containing 3 mL of liquid scintillation fluid.</w:t>
      </w:r>
      <w:r>
        <w:rPr>
          <w:rFonts w:ascii="Calibri" w:hAnsi="Calibri" w:cs="Calibri" w:eastAsia="Calibri"/>
          <w:color w:val="000000"/>
          <w:spacing w:val="0"/>
          <w:position w:val="0"/>
          <w:sz w:val="24"/>
          <w:shd w:fill="auto" w:val="clear"/>
        </w:rPr>
        <w:t xml:space="preserve"> Moreover, prepare two blind control vials only containing 3 mL of liquid scintillation fluid. Close all the vials and mix thoroughly by vortexing each vial for ~5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 Place the vials in a liquid scintillation counter and measure radioactivity of [</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H]2-deoxy-D-glucose and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C]mannitol according to the manufacturer’s guidelines.</w:t>
      </w:r>
      <w:r>
        <w:rPr>
          <w:rFonts w:ascii="Calibri" w:hAnsi="Calibri" w:cs="Calibri" w:eastAsia="Calibri"/>
          <w:color w:val="000000"/>
          <w:spacing w:val="0"/>
          <w:position w:val="0"/>
          <w:sz w:val="24"/>
          <w:shd w:fill="auto" w:val="clear"/>
        </w:rPr>
        <w:t xml:space="preserve"> Record DPM (disintegrations per minute) for each liquid scintillation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Calculation of muscle glucose uptake 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Use the lysate from step 6.1 to measure the total protein concentration in each muscle sample using standard protein quantification methods (e.g., Bicinchoninic acid or Bradford assays). Calculate the amount of protein (mg) added to each scintillation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rate of glucose uptake for each muscle sample is calculated by subtracting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located in the extracellular space from the total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in the muscle sample using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as an extracellular marker. It is assumed that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exhibit similar diffusion properties within the muscle tissue during incubation. Perform the following 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Start by subtracting the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DPM of the blind control samples from all muscle and media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Determine the muscle extracellular space in &amp;#181;L (&amp;#181;L-ECS):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muscle</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 / M</w:t>
      </w:r>
      <w:r>
        <w:rPr>
          <w:rFonts w:ascii="Calibri" w:hAnsi="Calibri" w:cs="Calibri" w:eastAsia="Calibri"/>
          <w:color w:val="000000"/>
          <w:spacing w:val="0"/>
          <w:position w:val="0"/>
          <w:sz w:val="24"/>
          <w:shd w:fill="auto" w:val="clear"/>
          <w:vertAlign w:val="subscript"/>
        </w:rPr>
        <w:t xml:space="preserve">vol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Calculate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 in the muscle extracellular space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ECS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&amp;#181;L-ECS &amp;#215;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 / M</w:t>
      </w:r>
      <w:r>
        <w:rPr>
          <w:rFonts w:ascii="Calibri" w:hAnsi="Calibri" w:cs="Calibri" w:eastAsia="Calibri"/>
          <w:color w:val="000000"/>
          <w:spacing w:val="0"/>
          <w:position w:val="0"/>
          <w:sz w:val="24"/>
          <w:shd w:fill="auto" w:val="clear"/>
          <w:vertAlign w:val="subscript"/>
        </w:rPr>
        <w:t xml:space="preserve">vol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Calculate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 in the muscle intracellular space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ICS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muscle</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ECS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Calculate the muscle glucose uptake rate (&amp;#181;mol / g protein /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ICS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 / M</w:t>
      </w:r>
      <w:r>
        <w:rPr>
          <w:rFonts w:ascii="Calibri" w:hAnsi="Calibri" w:cs="Calibri" w:eastAsia="Calibri"/>
          <w:color w:val="000000"/>
          <w:spacing w:val="0"/>
          <w:position w:val="0"/>
          <w:sz w:val="24"/>
          <w:shd w:fill="auto" w:val="clear"/>
          <w:vertAlign w:val="subscript"/>
        </w:rPr>
        <w:t xml:space="preserve">vol</w:t>
      </w:r>
      <w:r>
        <w:rPr>
          <w:rFonts w:ascii="Calibri" w:hAnsi="Calibri" w:cs="Calibri" w:eastAsia="Calibri"/>
          <w:color w:val="000000"/>
          <w:spacing w:val="0"/>
          <w:position w:val="0"/>
          <w:sz w:val="24"/>
          <w:shd w:fill="auto" w:val="clear"/>
        </w:rPr>
        <w:t xml:space="preserve">) / [2-deoxy-D-glucose])) / mg protein) / T</w:t>
      </w:r>
      <w:r>
        <w:rPr>
          <w:rFonts w:ascii="Calibri" w:hAnsi="Calibri" w:cs="Calibri" w:eastAsia="Calibri"/>
          <w:color w:val="000000"/>
          <w:spacing w:val="0"/>
          <w:position w:val="0"/>
          <w:sz w:val="24"/>
          <w:shd w:fill="auto" w:val="clear"/>
          <w:vertAlign w:val="subscript"/>
        </w:rPr>
        <w:t xml:space="preserve">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the equations above,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muscle </w:t>
      </w:r>
      <w:r>
        <w:rPr>
          <w:rFonts w:ascii="Calibri" w:hAnsi="Calibri" w:cs="Calibri" w:eastAsia="Calibri"/>
          <w:color w:val="000000"/>
          <w:spacing w:val="0"/>
          <w:position w:val="0"/>
          <w:sz w:val="24"/>
          <w:shd w:fill="auto" w:val="clear"/>
        </w:rPr>
        <w:t xml:space="preserve">is the amount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radioactivity in a muscle sample;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media </w:t>
      </w:r>
      <w:r>
        <w:rPr>
          <w:rFonts w:ascii="Calibri" w:hAnsi="Calibri" w:cs="Calibri" w:eastAsia="Calibri"/>
          <w:color w:val="000000"/>
          <w:spacing w:val="0"/>
          <w:position w:val="0"/>
          <w:sz w:val="24"/>
          <w:shd w:fill="auto" w:val="clear"/>
        </w:rPr>
        <w:t xml:space="preserve">is the amount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radioactivity in a media sample;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muscle</w:t>
      </w:r>
      <w:r>
        <w:rPr>
          <w:rFonts w:ascii="Calibri" w:hAnsi="Calibri" w:cs="Calibri" w:eastAsia="Calibri"/>
          <w:color w:val="000000"/>
          <w:spacing w:val="0"/>
          <w:position w:val="0"/>
          <w:sz w:val="24"/>
          <w:shd w:fill="auto" w:val="clear"/>
        </w:rPr>
        <w:t xml:space="preserve"> is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radioactivity in a muscle sample;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is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radioactivity in a media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ECS</w:t>
      </w:r>
      <w:r>
        <w:rPr>
          <w:rFonts w:ascii="Calibri" w:hAnsi="Calibri" w:cs="Calibri" w:eastAsia="Calibri"/>
          <w:color w:val="000000"/>
          <w:spacing w:val="0"/>
          <w:position w:val="0"/>
          <w:sz w:val="24"/>
          <w:shd w:fill="auto" w:val="clear"/>
        </w:rPr>
        <w:t xml:space="preserve"> is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radioactivity in the muscle extracellular space;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ICS</w:t>
      </w:r>
      <w:r>
        <w:rPr>
          <w:rFonts w:ascii="Calibri" w:hAnsi="Calibri" w:cs="Calibri" w:eastAsia="Calibri"/>
          <w:color w:val="000000"/>
          <w:spacing w:val="0"/>
          <w:position w:val="0"/>
          <w:sz w:val="24"/>
          <w:shd w:fill="auto" w:val="clear"/>
        </w:rPr>
        <w:t xml:space="preserve"> is the amount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radioactivity in the muscle intracellular space;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&amp;#181;L-ECS is the muscle extracellular space in &amp;#181;L;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vol</w:t>
      </w:r>
      <w:r>
        <w:rPr>
          <w:rFonts w:ascii="Calibri" w:hAnsi="Calibri" w:cs="Calibri" w:eastAsia="Calibri"/>
          <w:color w:val="000000"/>
          <w:spacing w:val="0"/>
          <w:position w:val="0"/>
          <w:sz w:val="24"/>
          <w:shd w:fill="auto" w:val="clear"/>
        </w:rPr>
        <w:t xml:space="preserve"> is the volume (&amp;#181;L) of incubation media used for scintillation counting (e.g. ‘25’ as mentioned above);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is the time factor used to calculate uptake rates per hour (i.e., ‘1/6’ when incubating muscles with glucose uptake media for 10 min)</w:t>
      </w:r>
      <w:r>
        <w:rPr>
          <w:rFonts w:ascii="Calibri" w:hAnsi="Calibri" w:cs="Calibri" w:eastAsia="Calibri"/>
          <w:color w:val="000000"/>
          <w:spacing w:val="0"/>
          <w:position w:val="0"/>
          <w:sz w:val="28"/>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Take into consideration this example calculation. The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DPM of the blind control samples (17 and 6, respectively) have been subtracted from the DPM values mentioned below.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muscle</w:t>
      </w:r>
      <w:r>
        <w:rPr>
          <w:rFonts w:ascii="Calibri" w:hAnsi="Calibri" w:cs="Calibri" w:eastAsia="Calibri"/>
          <w:color w:val="000000"/>
          <w:spacing w:val="0"/>
          <w:position w:val="0"/>
          <w:sz w:val="24"/>
          <w:shd w:fill="auto" w:val="clear"/>
        </w:rPr>
        <w:t xml:space="preserve">: 343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 11846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muscle</w:t>
      </w:r>
      <w:r>
        <w:rPr>
          <w:rFonts w:ascii="Calibri" w:hAnsi="Calibri" w:cs="Calibri" w:eastAsia="Calibri"/>
          <w:color w:val="000000"/>
          <w:spacing w:val="0"/>
          <w:position w:val="0"/>
          <w:sz w:val="24"/>
          <w:shd w:fill="auto" w:val="clear"/>
        </w:rPr>
        <w:t xml:space="preserve">: 4467</w:t>
      </w:r>
    </w:p>
    <w:p>
      <w:pPr>
        <w:tabs>
          <w:tab w:val="left" w:pos="720" w:leader="none"/>
          <w:tab w:val="left" w:pos="1440" w:leader="none"/>
          <w:tab w:val="left" w:pos="2160" w:leader="none"/>
          <w:tab w:val="left" w:pos="4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media</w:t>
      </w:r>
      <w:r>
        <w:rPr>
          <w:rFonts w:ascii="Calibri" w:hAnsi="Calibri" w:cs="Calibri" w:eastAsia="Calibri"/>
          <w:color w:val="000000"/>
          <w:spacing w:val="0"/>
          <w:position w:val="0"/>
          <w:sz w:val="24"/>
          <w:shd w:fill="auto" w:val="clear"/>
        </w:rPr>
        <w:t xml:space="preserve">: 39814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M</w:t>
      </w:r>
      <w:r>
        <w:rPr>
          <w:rFonts w:ascii="Calibri" w:hAnsi="Calibri" w:cs="Calibri" w:eastAsia="Calibri"/>
          <w:color w:val="000000"/>
          <w:spacing w:val="0"/>
          <w:position w:val="0"/>
          <w:sz w:val="24"/>
          <w:shd w:fill="auto" w:val="clear"/>
          <w:vertAlign w:val="subscript"/>
        </w:rPr>
        <w:t xml:space="preserve">vol</w:t>
      </w:r>
      <w:r>
        <w:rPr>
          <w:rFonts w:ascii="Calibri" w:hAnsi="Calibri" w:cs="Calibri" w:eastAsia="Calibri"/>
          <w:color w:val="000000"/>
          <w:spacing w:val="0"/>
          <w:position w:val="0"/>
          <w:sz w:val="24"/>
          <w:shd w:fill="auto" w:val="clear"/>
        </w:rPr>
        <w:t xml:space="preserve">: 25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mg protein: 0.396 (in 150 &amp;#181;L muscle protein lysate)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[2-deoxy-D-glucose]: 1 (mM)</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1/6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&amp;#181;L-ECS = 343 DPM / (11846 DPM / 25 &amp;#181;L) = 0.724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ECS</w:t>
      </w:r>
      <w:r>
        <w:rPr>
          <w:rFonts w:ascii="Calibri" w:hAnsi="Calibri" w:cs="Calibri" w:eastAsia="Calibri"/>
          <w:color w:val="000000"/>
          <w:spacing w:val="0"/>
          <w:position w:val="0"/>
          <w:sz w:val="24"/>
          <w:shd w:fill="auto" w:val="clear"/>
        </w:rPr>
        <w:t xml:space="preserve">: 0.724 &amp;#181;L &amp;#215; (39814 DPM / 25 &amp;#181;L) = 1153 DPM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H]DPM</w:t>
      </w:r>
      <w:r>
        <w:rPr>
          <w:rFonts w:ascii="Calibri" w:hAnsi="Calibri" w:cs="Calibri" w:eastAsia="Calibri"/>
          <w:color w:val="000000"/>
          <w:spacing w:val="0"/>
          <w:position w:val="0"/>
          <w:sz w:val="24"/>
          <w:shd w:fill="auto" w:val="clear"/>
          <w:vertAlign w:val="subscript"/>
        </w:rPr>
        <w:t xml:space="preserve">ICS</w:t>
      </w:r>
      <w:r>
        <w:rPr>
          <w:rFonts w:ascii="Calibri" w:hAnsi="Calibri" w:cs="Calibri" w:eastAsia="Calibri"/>
          <w:color w:val="000000"/>
          <w:spacing w:val="0"/>
          <w:position w:val="0"/>
          <w:sz w:val="24"/>
          <w:shd w:fill="auto" w:val="clear"/>
        </w:rPr>
        <w:t xml:space="preserve">: 4467 DPM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1153 DPM = 3314 DPM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Glucose uptake: ((3314 DPM / (39814 DPM / 25 &amp;#181;L) / 1 mmol/L) / 0,396 mg protein) / (1/6 hour) = 31.53 &amp;#181;mol / g protein / 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SDS-PAGE and western blot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Prepare soleus and EDL muscle lysates in Laemmli buffer and heat for 5 min at 96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Separate equal amounts of muscle protein by SDS-SAGE on self-cast gels and transfer the proteins to polyvinylidene fluoride membranes by semidry blotting.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Subsequently, incubate membranes in Tris-buffered saline containing 0.1% Tween 20 and 2% skim milk and probe membranes with relevant primary and secondary antibodies.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Detect proteins with chemiluminescence and visualize them by a digital imaging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Muscle glycogen, nucleotides, lactate, creatine, and phosphocreatine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Use perchloric acid to extract EDL and soleus muscle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Subsequently, neutralize samples and analyze them for lactate, creatine, and phosphocreatine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Analyze nucleotide content in EDL and soleus muscle by reverse-phase HPLC following extraction in perchloric acid.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Determine muscle glycogen content in whole muscle homogenate as glycosyl units after acid hydrolysis by a fluorometric method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Statistics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Perform statistical analyses with statistical analyses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a two-way analysis of variance (ANOVA) test to assess statistical differences between values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unpaired Student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tests to assess statistical differences in glucose uptake between EDL and soleus within each group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Present data as means &amp;plusmn; standard error of the mean (SEM). P &amp;lt; 0.05 is considered statistical significant.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basal glucose uptake rates were similar between isolated soleus and EDL muscle from female mice. This has also been reported several times before</w:t>
      </w:r>
      <w:r>
        <w:rPr>
          <w:rFonts w:ascii="Calibri" w:hAnsi="Calibri" w:cs="Calibri" w:eastAsia="Calibri"/>
          <w:color w:val="000000"/>
          <w:spacing w:val="0"/>
          <w:position w:val="0"/>
          <w:sz w:val="24"/>
          <w:shd w:fill="auto" w:val="clear"/>
          <w:vertAlign w:val="superscript"/>
        </w:rPr>
        <w:t xml:space="preserve">12,13,19,20</w:t>
      </w:r>
      <w:r>
        <w:rPr>
          <w:rFonts w:ascii="Calibri" w:hAnsi="Calibri" w:cs="Calibri" w:eastAsia="Calibri"/>
          <w:color w:val="000000"/>
          <w:spacing w:val="0"/>
          <w:position w:val="0"/>
          <w:sz w:val="24"/>
          <w:shd w:fill="auto" w:val="clear"/>
        </w:rPr>
        <w:t xml:space="preserve">. Glucose uptake increased by ~0.8 and ~0.6 fold reaching 12 and 9 &amp;#181;mol/g protein/h in soleus and EDL muscle, respectively, in response to a submaximally effective insulin concentration (100 &amp;#181;U/mL). This increase was even higher (~4 and ~2 fold reaching 33 and 19 &amp;#181;mol/g protein/h in soleus and EDL muscle, respectively) when muscles were stimulated with a maximally effective insulin concentration (10 mU/mL). Moreover, both submaximal and maximal insulin-stimulated glucose uptake were significantly higher in soleus muscle indicating that soleus muscle exhibits enhanced insulin sensitivity and responsiveness compared to EDL muscle. This may be related to the higher expression of the glucose transporter 4 (GLUT4) as well as the insulin signaling transducer protein kinase B (Akt) in soleus muscle compared to EDL muscle</w:t>
      </w:r>
      <w:r>
        <w:rPr>
          <w:rFonts w:ascii="Calibri" w:hAnsi="Calibri" w:cs="Calibri" w:eastAsia="Calibri"/>
          <w:color w:val="000000"/>
          <w:spacing w:val="0"/>
          <w:position w:val="0"/>
          <w:sz w:val="24"/>
          <w:shd w:fill="auto" w:val="clear"/>
          <w:vertAlign w:val="superscript"/>
        </w:rPr>
        <w:t xml:space="preserve">10,21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Contraction-induced glucose uptake was significantly higher in EDL muscle compared to soleus muscle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also previously reported</w:t>
      </w:r>
      <w:r>
        <w:rPr>
          <w:rFonts w:ascii="Calibri" w:hAnsi="Calibri" w:cs="Calibri" w:eastAsia="Calibri"/>
          <w:color w:val="000000"/>
          <w:spacing w:val="0"/>
          <w:position w:val="0"/>
          <w:sz w:val="24"/>
          <w:shd w:fill="auto" w:val="clear"/>
          <w:vertAlign w:val="superscript"/>
        </w:rPr>
        <w:t xml:space="preserve">13,19</w:t>
      </w:r>
      <w:r>
        <w:rPr>
          <w:rFonts w:ascii="Calibri" w:hAnsi="Calibri" w:cs="Calibri" w:eastAsia="Calibri"/>
          <w:color w:val="000000"/>
          <w:spacing w:val="0"/>
          <w:position w:val="0"/>
          <w:sz w:val="24"/>
          <w:shd w:fill="auto" w:val="clear"/>
        </w:rPr>
        <w:t xml:space="preserve">. Thus, glucose uptake increased by ~2 and ~2.5 fold reaching 14 and 22 &amp;#181;mol/g protein/h in soleus and EDL muscle, respectively, in response to electrically induced contractions.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maximal muscle force production in soleus and EDL muscle during the 10 min stimulation period. As seen and previously reported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EDL muscle generates more force (225 mN in EDL vs. 150 mN in soleus) during the initial part of the stimulation period. In contrast, the EDL muscle exhibits a faster decline in force production compared to the soleus muscle later on in the stimulation period. These findings are likely due to the difference in fiber type distribution between the soleus (type 1 &amp;gt; type 2) and EDL (type 2 &amp;gt; type 1) muscle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as type 2 fibers generate more force but fatigue faster compared to type 1 fibers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effect of insulin and contraction on intracellular signaling in isolated soleus and EDL muscle, phosphorylation of Akt Thr308, TBC1 domain family member 4 (TBC1D4) Ser588, AMPK&amp;#945; Thr172 and acetyl-CoA carboxylase (ACC) Ser212 was performed by western blotting techniques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expected, the submaximally and maximally effective insulin concentration induced an increase in the phosphorylation of Akt Thr308 and TBC1D4 Ser588 while contraction induced an increase in the phosphorylation of AMPK&amp;#945; Thr172 and ACC Ser212. Neither insulin nor contraction led to a change in the total protein content of Akt2, TBC1D4, AMPK&amp;#945;2 and ACC in soleus and EDL muscle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Examining various markers of metabolic viability of incubated soleus and EDL muscle, we observed an overall reduction in the levels of adenosine nucleotides (ATP, ADP, AMP) (~15-25%) as well as creatine (~10-35%) regardless of whether the muscles were incubated in the presence of pyruvate or glucose compared to non-incubated muscles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the other hand, the drop in glycogen levels observed in soleus and EDL muscles incubated with pyruvate was prevented if the muscles were incubated with glucose. Interestingly though, we observed that the inosine monophosphate (IMP) levels increased several folds but only in incubated soleus muscle. IMP levels typically increase in muscle during severe metabolic stress as the muscle attempts to prevent AMP accumulation by converting AMP into IMP in order to maintain the ATP/ADP ratio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indicates that the soleus muscle is somewhat more metabolically stressed compared to the EDL muscle during incubation. This notion is also supported by findings of elevated AMPK&amp;#945; Thr172 and ACC Ser212 phosphorylation in the soleus muscle incubated with pyruvate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Importantly, the observed increase in IMP levels as well as AMPK&amp;#945; Thr172 and ACC Ser212 phosphorylation decrease when the soleus muscle is incubated with glucose. Hence, it seems advantageous to incubate isolated skeletal muscle in a glucose-containing buffer to minimize fluctuations in adenosine nucleotides and prevent a drop in muscle glycogen when muscles are incubated for a prolonged period of time. </w:t>
      </w:r>
      <w:r>
        <w:rPr>
          <w:rFonts w:ascii="Calibri" w:hAnsi="Calibri" w:cs="Calibri" w:eastAsia="Calibri"/>
          <w:color w:val="auto"/>
          <w:spacing w:val="0"/>
          <w:position w:val="0"/>
          <w:sz w:val="24"/>
          <w:shd w:fill="auto" w:val="clear"/>
        </w:rPr>
        <w:t xml:space="preserve">With regards to 2-deoxyglucose uptake, we have evidence to suggest that incubating muscles for 6 to 8 h in the presence of pyruvate will increase basal/resting glucose uptake rates. Incubating muscles in a media containing glucose seems to prevent such increase in glucose uptake (unpublished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Incubation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Myograph system with four single incubation chambers.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Customized incubation hooks.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Glucose uptake in isolated mature skeletal muscle from mice.</w:t>
      </w:r>
      <w:r>
        <w:rPr>
          <w:rFonts w:ascii="Calibri" w:hAnsi="Calibri" w:cs="Calibri" w:eastAsia="Calibri"/>
          <w:color w:val="000000"/>
          <w:spacing w:val="0"/>
          <w:position w:val="0"/>
          <w:sz w:val="24"/>
          <w:shd w:fill="auto" w:val="clear"/>
        </w:rPr>
        <w:t xml:space="preserve"> 2-deoxyglucose uptake was determined in isolated soleus (black bars) and EDL (gray bars) muscles in response to a submaximally effective insulin concentration (100 &amp;#181;U/mL), a maximally effective insulin concentration (10 mU/mL), and electrically induced contractions (0.2 ms pulse, 100 Hz, 1 s/15s, 30 V, 10 min). Data were analyzed by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 within each group. ###p&amp;lt;0.001, ##p&amp;lt;0.01, and #p&amp;lt;0.05 vs. soleus muscle. Values are means &amp;plusmn; SEM. n = 4-6 per group. h, hour.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Muscle force curves in response to electrically induced contractions. </w:t>
      </w:r>
      <w:r>
        <w:rPr>
          <w:rFonts w:ascii="Calibri" w:hAnsi="Calibri" w:cs="Calibri" w:eastAsia="Calibri"/>
          <w:color w:val="000000"/>
          <w:spacing w:val="0"/>
          <w:position w:val="0"/>
          <w:sz w:val="24"/>
          <w:shd w:fill="auto" w:val="clear"/>
        </w:rPr>
        <w:t xml:space="preserve">Peak force production during electrical stimulation was calculated for the soleus (black dots) and EDL (gray dots) muscle. Each single value corresponds to an average of the last 500 ms of each 1-s stimulation period. Values are means &amp;plusmn; SEM. n = 5-6 per group. s, second. mN, milli-Newton.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western blots of Akt Thr308, TBC1D4 Ser588, AMPK&amp;#945; Thr172 and ACC Ser212 phosphorylation as well as Akt2, TBC1D4, AMPK&amp;#945;2 and ACC protein. </w:t>
      </w:r>
      <w:r>
        <w:rPr>
          <w:rFonts w:ascii="Calibri" w:hAnsi="Calibri" w:cs="Calibri" w:eastAsia="Calibri"/>
          <w:color w:val="000000"/>
          <w:spacing w:val="0"/>
          <w:position w:val="0"/>
          <w:sz w:val="24"/>
          <w:shd w:fill="auto" w:val="clear"/>
        </w:rPr>
        <w:t xml:space="preserve">Western blot analyses were performed on the mouse soleus and EDL muscle samples described in Figure 2B, Basal. S, submaximally effective insulin. M, maximally effective insulin. C, contraction.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western blots of AMPK&amp;#945; Thr172 and ACC Ser212 phosphorylation as well as AMPK&amp;#945;2 and ACC protein.</w:t>
      </w:r>
      <w:r>
        <w:rPr>
          <w:rFonts w:ascii="Calibri" w:hAnsi="Calibri" w:cs="Calibri" w:eastAsia="Calibri"/>
          <w:color w:val="000000"/>
          <w:spacing w:val="0"/>
          <w:position w:val="0"/>
          <w:sz w:val="24"/>
          <w:shd w:fill="auto" w:val="clear"/>
        </w:rPr>
        <w:t xml:space="preserve"> Western blot analyses were performed on the mouse soleus and EDL muscle samples described in 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metabolic viability of mouse soleus and EDL muscles incubated for 1 hour in the presence of 2 mM pyruvate or 5 mM glucose.</w:t>
      </w:r>
      <w:r>
        <w:rPr>
          <w:rFonts w:ascii="Calibri" w:hAnsi="Calibri" w:cs="Calibri" w:eastAsia="Calibri"/>
          <w:color w:val="000000"/>
          <w:spacing w:val="0"/>
          <w:position w:val="0"/>
          <w:sz w:val="24"/>
          <w:shd w:fill="auto" w:val="clear"/>
        </w:rPr>
        <w:t xml:space="preserve"> Non-incubated muscles were dissected from anaesthetized and fed animals before being frozen in liquid nitrogen. Separate muscles were incubated for 1 h in KRH buffer supplemented with BSA (0.1%), Na-pyruvate (2 mM) and D-mannitol (8 mM) while others were incubated for 1 h in KRH buffer supplemented with BSA (0.1%), D-glucose (5 mM) and D-mannitol (5 mM) before frozen in liquid nitrogen. Data were converted into relative units to highlight observed changes in various markers of metabolic viability. Absolute values from non-incubated mouse soleus and EDL muscles are given below. Lactate (mmol/kg w.w): 137.53</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139.05</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Cr (mmol/kg w.w): 9.35</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8.98</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PCr (mmol/kg w.w): 1.50</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5.20</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PCr/(PCr+Cr): 13.98</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37.30</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ATP (mmol/kg w.w): 3.07</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4.24</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ADP (mmol/kg w.w): 0.60</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0.51</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AMP (mmol/kg w.w): 0.18</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0.08</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IMP (mmol/kg w.w): 0.07</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0.14</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AMP/ATP ratio: 0.06</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0.02</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Glycogen (pmol/&amp;#181;g protein): 77.01</w:t>
      </w:r>
      <w:r>
        <w:rPr>
          <w:rFonts w:ascii="Calibri" w:hAnsi="Calibri" w:cs="Calibri" w:eastAsia="Calibri"/>
          <w:color w:val="000000"/>
          <w:spacing w:val="0"/>
          <w:position w:val="0"/>
          <w:sz w:val="24"/>
          <w:shd w:fill="auto" w:val="clear"/>
          <w:vertAlign w:val="subscript"/>
        </w:rPr>
        <w:t xml:space="preserve">soleus</w:t>
      </w:r>
      <w:r>
        <w:rPr>
          <w:rFonts w:ascii="Calibri" w:hAnsi="Calibri" w:cs="Calibri" w:eastAsia="Calibri"/>
          <w:color w:val="000000"/>
          <w:spacing w:val="0"/>
          <w:position w:val="0"/>
          <w:sz w:val="24"/>
          <w:shd w:fill="auto" w:val="clear"/>
        </w:rPr>
        <w:t xml:space="preserve">; 67.56</w:t>
      </w:r>
      <w:r>
        <w:rPr>
          <w:rFonts w:ascii="Calibri" w:hAnsi="Calibri" w:cs="Calibri" w:eastAsia="Calibri"/>
          <w:color w:val="000000"/>
          <w:spacing w:val="0"/>
          <w:position w:val="0"/>
          <w:sz w:val="24"/>
          <w:shd w:fill="auto" w:val="clear"/>
          <w:vertAlign w:val="subscript"/>
        </w:rPr>
        <w:t xml:space="preserve">EDL</w:t>
      </w:r>
      <w:r>
        <w:rPr>
          <w:rFonts w:ascii="Calibri" w:hAnsi="Calibri" w:cs="Calibri" w:eastAsia="Calibri"/>
          <w:color w:val="000000"/>
          <w:spacing w:val="0"/>
          <w:position w:val="0"/>
          <w:sz w:val="24"/>
          <w:shd w:fill="auto" w:val="clear"/>
        </w:rPr>
        <w:t xml:space="preserve">. Data were analyzed by a two-way ANOVA within each group. ###p&amp;lt;0.001, ##p&amp;lt;0.01, and #p&amp;lt;0.05 vs. non-incubated. ***p&amp;lt;0.001, **p&amp;lt;0.01, and *p&amp;lt;0.05 vs incubated 1 h with glucose. §§§p&amp;lt;0.001, §§p&amp;lt;0.01, and §p&amp;lt;0.05 vs EDL. Values are means &amp;plusmn; SEM. n = 12 in non-incubated group, n = 4-6 in incubated groups. Cr, Creatine; PCr, Phosphocreatine; w.w, wet weight; h, hour.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Intact regulation of glucose uptake in skeletal muscle is important for preserving overall health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Thus, investigation of muscle glucose uptake often serves as a primary readout when evaluating various health-altering interventions. Here we describe an ex vivo method for measuring glucose uptake in isolated and incubated soleus and EDL muscle from mice in response to insulin and electrically induced contractions. The method is quick and reliable and allows a precise control of the surrounding milieu of the incubated muscle that permits accurate investigations of muscle glucose uptake rates isolated from the potentially confounding influence of hormones and substrates that can be found in the blood. The method has been used for several years in many studies and is widely adopted by the muscle research community.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 vivo incubation model has generally been considered a method to assess glucose transport capacity rather than glucose uptake in skeletal muscle. Glucose transport capacity in incubated muscle can be determined by measuring accumulated D-glucose over a period of time. However, this poses a problem as D-glucose is quickly metabolized in the muscle cell following uptake. To circumvent this problem, the glucose analogue 3-</w:t>
      </w:r>
      <w:r>
        <w:rPr>
          <w:rFonts w:ascii="Calibri" w:hAnsi="Calibri" w:cs="Calibri" w:eastAsia="Calibri"/>
          <w:i/>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-Methyl-D-glucose (3-MG) has been widely used to assess glucose transport capacity, as 3-MG is not further metabolized inside the cell after being transported across the cell surface membrane. Thus, the initial rate of intracellular accumulated 3-MG serves as an index of cellular glucose transport capacity </w:t>
      </w:r>
      <w:r>
        <w:rPr>
          <w:rFonts w:ascii="Calibri" w:hAnsi="Calibri" w:cs="Calibri" w:eastAsia="Calibri"/>
          <w:i/>
          <w:color w:val="000000"/>
          <w:spacing w:val="0"/>
          <w:position w:val="0"/>
          <w:sz w:val="24"/>
          <w:shd w:fill="auto" w:val="clear"/>
        </w:rPr>
        <w:t xml:space="preserve">per se</w:t>
      </w:r>
      <w:r>
        <w:rPr>
          <w:rFonts w:ascii="Calibri" w:hAnsi="Calibri" w:cs="Calibri" w:eastAsia="Calibri"/>
          <w:color w:val="000000"/>
          <w:spacing w:val="0"/>
          <w:position w:val="0"/>
          <w:sz w:val="24"/>
          <w:shd w:fill="auto" w:val="clear"/>
        </w:rPr>
        <w:t xml:space="preserve"> because it is not affected by other steps in the glucose metabolic pathways. However, the use of 3-MG may constitute a problem as 3-MG will accumulate thereby reducing the transmembrane gradient for 3-MG and subsequently reduce further uptake. Thus, to obtain a measure of the membrane transport capacity, the initial rate of 3-MG uptake must be estimated. In particular when transport capacity is high this may pose a problem due to a rapid efflux of 3-MG</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The potential problem with 3-MG efflux can be avoided using 2-deoxy-D-glucose (2-DG). Following transport into skeletal muscle, 2-DG is phosphorylated by hexokinase II to 2-deoxy-D-glucose-6-phosphate (2-DG-6P). As skeletal muscle lacks glucose-6-phophatase and GLUT4 cannot transport phosphorylated 2-DG, 2-DG-6P will be trapped within the muscle cell. In contrast to glucose-6-phosphate, 2-DG-6P is a very weak allosteric inhibitor of hexokinase II</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which helps to maintain the transmembrane gradient for 2-DG. Thus, observations have shown that 2-DG uptake in incubated (rat) muscle remains linear until the intracellular 2-DG-6P concentration exceeds 30 mM, a concentration that lowers hexokinase II activity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Moreover, in incubated mouse skeletal muscle 2-DG uptake remains linear for ~30 min when temperatures of the incubation buffers are 37&amp;#176;C or less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This suggests that 2-DG can be used to measure glucose transport capacity rather than glucose uptake in incubated muscle except for situations where 2-DG-6P concentrations become very high (e.g. observed during incubations &amp;gt;2 hours with 1 mM 2-DG and a maximal insulin concentration</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The idea that 2-DG uptake likely reflects glucose transport capacity is also supported by findings showing that maximal insulin-stimulated 2-DG uptake is similar in incubated muscle from wild-type mice and mice that overexpress hexokinase II</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 potential concern when using 2-DG for muscle glucose transport measurements during contraction is an increase in the intracellular glucose-6-phosphate concentration due to an elevated rate of glycogenolysis. However, since a linear increase in (rat) muscle 2-DG uptake is observed during contraction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this indicates that the accumulation of glucose-6-phosphate from the breakdown of glycogen during contraction does not interfere with hexokinase II activity and thus 2-DG uptake rates. Based on this, 2-DG seems well suited for measurements of glucose transport in isolated skeletal muscle during insulin and contraction considering the limitations of 3-MG.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it is generally assumed that 2-DG is not further metabolized following phosphorylation by hexokinase II, it has been reported that some 2-DG is directed towards and incorporated into muscle glycogen. Thus, during a 2 h normoglycemic hyperinsulinemic clamp in rats ~30% of the 2-DG taken up by skeletal muscle is incorporated into glycogen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Therefore, it could be reasoned that rates of insulin-stimulated 2-DG uptake in incubated skeletal muscle are underestimated if accumulation of 2-DG in glycogen is neglected. We have determined that the herein described protocol on how to prepare muscle lysates (supernatant) for subsequent analyses of 2-DG uptake rates in prior incubated skeletal muscle is not affected by the potential incorporation of 2-DG into glycogen. It could be argued that glycogen accumulates in the pellet when centrifuging whole muscle homogenate to generate lysate for 2-DG uptake measurements. However, when comparing the levels of radioactivity in insulin-stimulated whole muscle homogenate vs. lysate we do not detect any significant difference (unpublished data). This suggests that incubating mouse muscle for 10 min in 1 mM of 2-DG does not cause a detectable accumulation of 2-DG in glycogen.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Determination of skeletal muscle 2-DG uptake without considering that 2-DG is distributed in both the extra- and intracellular space will lead to an overestimation of 2-DG uptake. To circumvent this, L-glucose should be used as an extracellular marker as this is not transported across the cell membrane but otherwise exhibits similar properties as D-glucose including mass, solubility, passive diffusion, binding, etc. Due to the excessive costs of manufacturing and thus purchasing L-glucose, mannitol is typically used as an extracellular marker since mannitol is not taken up by the muscle cell, is relatively inexpensive and is estimated to have a somewhat similar extracellular distribution volume as glucose and 2-DG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Intrinsic cellular and molecular clocks seem to play an essential role for the regulation of whole body metabolism and energy homeostasis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It has been observed that muscle-specific knockout of the core clock gene </w:t>
      </w:r>
      <w:r>
        <w:rPr>
          <w:rFonts w:ascii="Calibri" w:hAnsi="Calibri" w:cs="Calibri" w:eastAsia="Calibri"/>
          <w:i/>
          <w:color w:val="000000"/>
          <w:spacing w:val="0"/>
          <w:position w:val="0"/>
          <w:sz w:val="24"/>
          <w:shd w:fill="auto" w:val="clear"/>
        </w:rPr>
        <w:t xml:space="preserve">Bmal1</w:t>
      </w:r>
      <w:r>
        <w:rPr>
          <w:rFonts w:ascii="Calibri" w:hAnsi="Calibri" w:cs="Calibri" w:eastAsia="Calibri"/>
          <w:color w:val="000000"/>
          <w:spacing w:val="0"/>
          <w:position w:val="0"/>
          <w:sz w:val="24"/>
          <w:shd w:fill="auto" w:val="clear"/>
        </w:rPr>
        <w:t xml:space="preserve"> impairs insulin-stimulated glucose uptake in isolated mouse skeletal muscle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Furthermore, submaximal insulin-stimulated glucose uptake of isolated skeletal muscle exhibits circadian rhythm with the lowest and highest insulin response in the middle of the light and dark phase, respectively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Based on these findings, it is therefore important to incorporate time of animal sacrifice into the experimental design to increase the reproducibility of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disadvantage of the ex vivo method is the lack of capillary flow in the isolated muscle. This means that delivery and removal of various substrates fully depend on simple diffusion between the muscle fibers and the surrounding environment. Consequently, validation of the metabolic viability of isolated muscle incubated ex vivo has been focused on diffusion limitations of oxygen to superficial as well as deep muscle fibers. Thus, incubated muscle, particularly highly metabolic mouse muscle, tends to develop hypoxic cores in which breakdown of glycogen occurs</w:t>
      </w:r>
      <w:r>
        <w:rPr>
          <w:rFonts w:ascii="Calibri" w:hAnsi="Calibri" w:cs="Calibri" w:eastAsia="Calibri"/>
          <w:color w:val="000000"/>
          <w:spacing w:val="0"/>
          <w:position w:val="0"/>
          <w:sz w:val="24"/>
          <w:shd w:fill="auto" w:val="clear"/>
          <w:vertAlign w:val="superscript"/>
        </w:rPr>
        <w:t xml:space="preserve">16,17,38</w:t>
      </w:r>
      <w:r>
        <w:rPr>
          <w:rFonts w:ascii="Calibri" w:hAnsi="Calibri" w:cs="Calibri" w:eastAsia="Calibri"/>
          <w:color w:val="000000"/>
          <w:spacing w:val="0"/>
          <w:position w:val="0"/>
          <w:sz w:val="24"/>
          <w:shd w:fill="auto" w:val="clear"/>
        </w:rPr>
        <w:t xml:space="preserve">. However, in a detailed review by Bonen and colleagues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it was suggested that hypoxic cores of incubated muscle likely develop when incubating muscle too thick to be properly oxygenated especially when incubating at temperatures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37 &amp;#176;C. This led to the recommendation that only thin and cylindrical mouse muscles, such as soleus and EDL, should be used for incubations at 25-30 &amp;#176;C to avoid development of hypoxic cores. This indicates that thickness and geometry rather than mass are more important factors to consider when incubating mouse skeletal muscles. In addition, it was recommended that incubation temperature, muscle thickness as well as ATP, phosphocreatine, and glycogen content and/or release of lactate should be measured and reported routinely to evaluate the viability of the incubated muscle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our knowledge, such complete analyses of incubated muscle have mainly been reported for rat muscle</w:t>
      </w:r>
      <w:r>
        <w:rPr>
          <w:rFonts w:ascii="Calibri" w:hAnsi="Calibri" w:cs="Calibri" w:eastAsia="Calibri"/>
          <w:color w:val="000000"/>
          <w:spacing w:val="0"/>
          <w:position w:val="0"/>
          <w:sz w:val="24"/>
          <w:shd w:fill="auto" w:val="clear"/>
          <w:vertAlign w:val="superscript"/>
        </w:rPr>
        <w:t xml:space="preserve">39</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only to a limited extent reported in muscle from mice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To increase insight into various metabolic markers of viability in incubated mouse skeletal muscle, we assessed possible changes in intracellular content of lactate, creatine, phosphocreatine, adenosine nucleotides, glycogen, and AMPK signaling in soleus and EDL muscle following 1 hour of incubation in glucose- or pyruvate-supplemented KRH buffer. Similar to previous findings in incubated mouse soleus and EDL muscle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observed that glycogen levels decreased when muscles were incubated in glucose-free media. This indicates that the absence of glucose during incubation promotes glycogen breakdown and the subsequent entry of glucose-6-phosphate into glycolysis that may act to secure ATP production in particular if oxygen supply is inadequate. Furthermore, we found an overall reduction in the ATP and ADP nucleotide pools in incubated soleus and EDL muscle. This may imply that oxygen supply is not entirely sufficient to meet the demand of incubated mouse muscle both in the presence and absence of glucose. Since the oxidative soleus muscle relies more on oxygen for ATP production compared to the glycolytic EDL muscle, this would suggest that the soleus muscle is affected to a larger extent by the incubation procedure. In agreement, we found that the intracellular levels of IMP as well as AMPK signaling were severely increased in soleus compared to EDL muscle when incubated in the absence of glucose. This signifies that the soleus muscle has a higher degree of metabolic stress during incubation, which must be taken into consideration when evaluating data from the ex vivo mouse muscle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Cultured muscle cells including immortalized L6 and C2C12 as well as primary human myotubes are commonly used as a surrogate for mature skeletal muscle to study the effects of various genetic and pharmacological manipulations on insulin-stimulated muscle glucose uptake. However, in several ways cultured muscle cells do not resemble mature skeletal muscle and when comparing the two model systems numerous differences become apparent. These include differences in protein expression, dimensional structure, surrounding environment, proliferation and differentiation state, fiber type composition, metabolic processes and functional properties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all of which may affect how the muscle cell regulates glucose uptake in response to various stimuli. Typically, greater relative effects of insulin on glucose uptake rates are observed in mature skeletal muscle compared to cultured muscle cells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which may indicate that cultured muscle cells to some extent lack the machinery responsible for regulating glucose uptake rates, including a high level of expression of the insulin-sensitive glucose transporter GLUT4</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Considering the limitations and caveats associated with the use of either cultured muscle cells or isolated skeletal muscle, it is therefore likely advantageous to take on a combined approach when studying various muscle metabolic processes such as glucose uptake.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Experimentally soleus and EDL muscles are typically regarded as representative of slow- and fast-twitch muscles, respectively. Therefore, these muscle types are ideal for mechanical studies seeking to investigate interventions that affect muscle force and fatigue development. Moreover, soleus muscle is typically reported to have enhanced insulin sensitivity and responsiveness compared to EDL muscle and thus, interventions that target muscle insulin sensitivity may affect soleus and EDL differently. In addition, the relative distribution of the different AMPK complexes differs between the soleus and EDL muscle that seems to affect the ability of AMPK activating compounds to increase muscle glucose uptake. Thus, the greatest insight into the regulation of muscle glucose uptake is likely achieved if both the soleus and EDL muscles are used during experimentation with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incubation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herein described method relates glucose uptake to the amount of total protein abundance determined in each muscle sample after homogenization. It is our experience that variation decreases when relating glucose uptake per amount of muscle protein instead of muscle weight (unpublished data). Furthermore, homogenization of muscle samples in a buffer used for various biochemical assays makes it possible to determine both glucose uptake, myocellular signaling and protein activities in the same sample preparation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will often decrease the amount of mice used for a study. Nevertheless, glucose uptake can easily be determined in skeletal muscle samples that are dissolved by heating in sodium hydroxide (NaOH) followed by neutralization with hydrogen chloride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Since treatment of muscle with NaOH interferes with measurements of total muscle protein concentration, glucose transport measured by this procedure must be related to muscle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Based on various optimizations, our glucose uptake incubation buffer contains a specific activity of 0.028 MBq/mL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0.0083 MBq/mL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On one hand, this lowers the amount of lysate (150 out of 400 &amp;#181;L) needed in order to get sufficient and reliable radioactivity measurements. On the other hand, it increases the amount of radioactive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H]2-deoxy-D-glucose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C]mannitol needed for each experiment, which increases experimental costs. Thus, for any experimental setup it is possible to regulate the amount of radioactivity used in the glucose uptake incubation media to fit specific requirements. However, care must be taken not to decrease amount of radioactivity in the incubation buffer to an extent that makes radioactivity measurements </w:t>
      </w:r>
      <w:r>
        <w:rPr>
          <w:rFonts w:ascii="Calibri" w:hAnsi="Calibri" w:cs="Calibri" w:eastAsia="Calibri"/>
          <w:color w:val="auto"/>
          <w:spacing w:val="0"/>
          <w:position w:val="0"/>
          <w:sz w:val="24"/>
          <w:shd w:fill="auto" w:val="clear"/>
        </w:rPr>
        <w:t xml:space="preserve">unreliable. This is ensured by keeping radioactivity in samples higher than the specified detection limits of the liquid scintillation counting machinery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the Danish Council for Independent Research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Medical Sciences (FSS8020-00288B) and the Novo Nordisk Foundation (NNF160C0023046). This work was also supported by a research grant to Rasmus Kjøbsted from the Danish Diabetes Academy, which is funded by the Novo Nordisk Foundation, grant number NNF17SA0031406. The authors would like to thank Karina Olsen, Betina Bolmgren, and Irene Bech Nielsen (Department of Nutrition, Exercise and Sports, Faculty of Science, University of Copenhagen) for their skilled technical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DeFronzo, R., Tripathy, D. Skeletal muscle insulin resistance is the primary defect in type 2 diabetes.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(suppl_2), S157-S163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Coyle, E. F. et al. Carbohydrate feeding during prolonged strenuous exercise can delay fatigue. </w:t>
      </w:r>
      <w:r>
        <w:rPr>
          <w:rFonts w:ascii="Calibri" w:hAnsi="Calibri" w:cs="Calibri" w:eastAsia="Calibri"/>
          <w:i/>
          <w:color w:val="000000"/>
          <w:spacing w:val="0"/>
          <w:position w:val="0"/>
          <w:sz w:val="24"/>
          <w:shd w:fill="auto" w:val="clear"/>
        </w:rPr>
        <w:t xml:space="preserve">Journal of Applied Physiology: Respiratory, Environmental and Exercise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Pt 1), 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Kim, J. K. Hyperinsulinemic-euglycemic clamp to assess insulin sensitivity in vivo.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560</w:t>
      </w:r>
      <w:r>
        <w:rPr>
          <w:rFonts w:ascii="Calibri" w:hAnsi="Calibri" w:cs="Calibri" w:eastAsia="Calibri"/>
          <w:color w:val="000000"/>
          <w:spacing w:val="0"/>
          <w:position w:val="0"/>
          <w:sz w:val="24"/>
          <w:shd w:fill="auto" w:val="clear"/>
        </w:rPr>
        <w:t xml:space="preserve">,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Ayala, J. E., Bracy, D. P., McGuinness, O. P., Wasserman, D. H. Considerations in the design of hyperinsulinemic-euglycemic clamps in the conscious mouse.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Richter, E. A, Hargreaves, M. Exercise, GLUT4, and skeletal muscle glucose uptake.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993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Sanders, C. A., Levinson, G. E., Abelmann, W. H., Freinkel, N. Effect of exercise on the peripheral utilization of glucose in man.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Barrington, S. F., Maisey, M. N. Skeletal muscle uptake of fluorine-18-FDG: effect of oral diazepam. </w:t>
      </w:r>
      <w:r>
        <w:rPr>
          <w:rFonts w:ascii="Calibri" w:hAnsi="Calibri" w:cs="Calibri" w:eastAsia="Calibri"/>
          <w:i/>
          <w:color w:val="000000"/>
          <w:spacing w:val="0"/>
          <w:position w:val="0"/>
          <w:sz w:val="24"/>
          <w:shd w:fill="auto" w:val="clear"/>
        </w:rPr>
        <w:t xml:space="preserve">Journal of Nuclear Medicine : Official Publication, Society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 1127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Fentz, J. et al. AMPK&amp;#945; is critical for enhancing skeletal muscle fatty acid utilization during in vivo exercise in mice.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1725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Maarbjerg, S. J. et al. Genetic impairment of AMPKalpha2 signaling does not reduce muscle glucose uptake during treadmill exercise in mice. </w:t>
      </w:r>
      <w:r>
        <w:rPr>
          <w:rFonts w:ascii="Calibri" w:hAnsi="Calibri" w:cs="Calibri" w:eastAsia="Calibri"/>
          <w:i/>
          <w:color w:val="000000"/>
          <w:spacing w:val="0"/>
          <w:position w:val="0"/>
          <w:sz w:val="24"/>
          <w:shd w:fill="auto" w:val="clear"/>
        </w:rPr>
        <w:t xml:space="preserve">American Journal of Physiology,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(4), E924-E934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St&amp;#246;ckli, J. et al. The RabGAP TBC1D1 plays a central role in exercise-regulated glucose metabolism in skeletal muscle.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1914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Jørgensen, S. B. et al. Knockout of the alpha2 but not alpha1 5’-AMP-activated protein kinase isoform abolishes 5-aminoimidazole-4-carboxamide-1-beta-4-ribofuranosidebut not contraction-induced glucose uptake in skeletal muscle.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Kjøbsted, R. et al. Prior AICAR stimulation increases insulin sensitivity in mouse skeletal muscle in an AMPK-dependent manner.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2042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Lantier, L. et al. AMPK controls exercise endurance, mitochondrial oxidative capacity, and skeletal muscle integrity.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3211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Cokorinos, E. C. et al. Activation of skeletal muscle AMPK promotes glucose disposal and glucose lowering in non-human primates and mice.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Bonen, A, Clark, M. G., Henriksen, E. J. Experimental approaches in muscle metabolism: hindlimb perfusion and isolated muscle incubations.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van Breda, E., Keizer, H. A., Glatz, J. F., Geurten, P. Use of the intact mouse skeletal-muscle preparation for metabolic studies. Evaluation of the model.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(1),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260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Sogaard, P. et al. Effects of fibre type and diffusion distance on mouse skeletal muscle glycogen content in vitro.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1189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Lowry, O. H., Passonneau, J. V. Typical fluorometric procedures for metabolite assays. </w:t>
      </w:r>
      <w:r>
        <w:rPr>
          <w:rFonts w:ascii="Calibri" w:hAnsi="Calibri" w:cs="Calibri" w:eastAsia="Calibri"/>
          <w:i/>
          <w:color w:val="000000"/>
          <w:spacing w:val="0"/>
          <w:position w:val="0"/>
          <w:sz w:val="24"/>
          <w:shd w:fill="auto" w:val="clear"/>
        </w:rPr>
        <w:t xml:space="preserve">A Flexible System of Enzymatic Analysis</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(1972).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Jensen, T. E. et al. Contraction-stimulated glucose transport in muscle is controlled by AMPK and mechanical stress but not sarcoplasmatic reticulum Ca(2+) release.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 742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Kristensen, J. M., Treebak, J. T., Schjerling, P., Goodyear, L., Wojtaszewski, J. F. P. Two weeks of metformin treatment induces AMPK-dependent enhancement of insulin-stimulated glucose uptake in mouse soleus muscle. </w:t>
      </w:r>
      <w:r>
        <w:rPr>
          <w:rFonts w:ascii="Calibri" w:hAnsi="Calibri" w:cs="Calibri" w:eastAsia="Calibri"/>
          <w:i/>
          <w:color w:val="000000"/>
          <w:spacing w:val="0"/>
          <w:position w:val="0"/>
          <w:sz w:val="24"/>
          <w:shd w:fill="auto" w:val="clear"/>
        </w:rPr>
        <w:t xml:space="preserve">American Journal of Physiology.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(10), E1099-E1109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Szekeres, F. et al. The Rab-GTPase-activating protein TBC1D1 regulates skeletal muscle glucose metabolism. </w:t>
      </w:r>
      <w:r>
        <w:rPr>
          <w:rFonts w:ascii="Calibri" w:hAnsi="Calibri" w:cs="Calibri" w:eastAsia="Calibri"/>
          <w:i/>
          <w:color w:val="000000"/>
          <w:spacing w:val="0"/>
          <w:position w:val="0"/>
          <w:sz w:val="24"/>
          <w:shd w:fill="auto" w:val="clear"/>
        </w:rPr>
        <w:t xml:space="preserve">AJP: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(4), E524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Pehmøller, C. et al. Genetic disruption of AMPK signaling abolishes both contraction- and insulin-stimulated TBC1D1 phosphorylation and 14-3-3 binding in mouse skeletal muscle. </w:t>
      </w:r>
      <w:r>
        <w:rPr>
          <w:rFonts w:ascii="Calibri" w:hAnsi="Calibri" w:cs="Calibri" w:eastAsia="Calibri"/>
          <w:i/>
          <w:color w:val="000000"/>
          <w:spacing w:val="0"/>
          <w:position w:val="0"/>
          <w:sz w:val="24"/>
          <w:shd w:fill="auto" w:val="clear"/>
        </w:rPr>
        <w:t xml:space="preserve">American Journal of Physiology.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(3), E665-E675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Ryder, J. W., Bassel-Duby, R., Olson, E. N., Zierath, J. R. Skeletal muscle reprogramming by activation of calcineurin improves insulin action on metabolic pathways.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(45), 44298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44304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Long, Y. C., Glund, S., Garcia-Roves, P. M., Zierath, J. R. Calcineurin regulates skeletal muscle metabolism via coordinated changes in gene expression.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(3), 1607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Bloemberg, D., Quadrilatero, J. Rapid determination of myosin heavy chain expression in rat, mouse, and human skeletal muscle using multicolor immunofluorescence analysis.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e35273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Roche, S. M., Gumucio, J. P., Brooks, S. V, Mendias, C. L., Claflin, D. R. Measurement of maximum isometric force generated by permeabilized skeletal muscle fibers.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(100), e52695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Park, K. H. et al. Ex vivo assessment of contractility, fatigability and alternans in isolated skeletal muscles.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(69), e4198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Tullson, P. C., Terjung, R. L. Adenine nucleotide metabolism in contracting skeletal muscle. </w:t>
      </w:r>
      <w:r>
        <w:rPr>
          <w:rFonts w:ascii="Calibri" w:hAnsi="Calibri" w:cs="Calibri" w:eastAsia="Calibri"/>
          <w:i/>
          <w:color w:val="000000"/>
          <w:spacing w:val="0"/>
          <w:position w:val="0"/>
          <w:sz w:val="24"/>
          <w:shd w:fill="auto" w:val="clear"/>
        </w:rPr>
        <w:t xml:space="preserve">Exercise and Sport Sciences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Wojtaszewski, J. F., Jakobsen,  A. B., Ploug, T., Richter, E. A. Perfused rat hindlimb is suitable for skeletal muscle glucose transport measurements.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(1 Pt 1), E184-E191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Hansen, P. A., Gulve, E. A., Holloszy, J. O. Suitability of 2-deoxyglucose for in vitro measurement of glucose transport activity in skeletal muscle. </w:t>
      </w:r>
      <w:r>
        <w:rPr>
          <w:rFonts w:ascii="Calibri" w:hAnsi="Calibri" w:cs="Calibri" w:eastAsia="Calibri"/>
          <w:i/>
          <w:color w:val="000000"/>
          <w:spacing w:val="0"/>
          <w:position w:val="0"/>
          <w:sz w:val="24"/>
          <w:shd w:fill="auto" w:val="clear"/>
        </w:rPr>
        <w:t xml:space="preserve">Journal of AppliedPhysiology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979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Watson-Wright, W. M., Tan, M. H., Bonen, A. Insulin binding and 2-deoxy-D-glucose uptake in fast- and slow-twitch mouse skeletal muscle at 18 and 37 degrees C. </w:t>
      </w:r>
      <w:r>
        <w:rPr>
          <w:rFonts w:ascii="Calibri" w:hAnsi="Calibri" w:cs="Calibri" w:eastAsia="Calibri"/>
          <w:i/>
          <w:color w:val="000000"/>
          <w:spacing w:val="0"/>
          <w:position w:val="0"/>
          <w:sz w:val="24"/>
          <w:shd w:fill="auto" w:val="clear"/>
        </w:rPr>
        <w:t xml:space="preserve">Canadian Journal of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(12), 1460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1465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Hansen, P. A., Marshall, B. A., Chen, M., Holloszy, J. O., Mueckler, M. Transgenic overexpression of hexokinase II in skeletal muscle does not increase glucose disposal in wild-type or Glut1-overexpressing mice.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(29),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Virkam&amp;#228;ki, A., Rissanen, E., H&amp;#228;m&amp;#228;l&amp;#228;inen, S., Utriainen, T., Yki-J&amp;#228;rvinen, H. Incorporation of [3-3H]glucose and 2-[1-14C]deoxyglucose into glycogen in heart and skeletal muscle in vivo: implications for the quantitation of tissue glucose uptake.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1106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Bhave, G., Neilson, E. G. Body fluid dynamics: back to the future. </w:t>
      </w:r>
      <w:r>
        <w:rPr>
          <w:rFonts w:ascii="Calibri" w:hAnsi="Calibri" w:cs="Calibri" w:eastAsia="Calibri"/>
          <w:i/>
          <w:color w:val="000000"/>
          <w:spacing w:val="0"/>
          <w:position w:val="0"/>
          <w:sz w:val="24"/>
          <w:shd w:fill="auto" w:val="clear"/>
        </w:rPr>
        <w:t xml:space="preserve">Journal of the American Society of Nephrology :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2166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Eckel-Mahan, K., Sassone-Corsi, P. Metabolism and the circadian clock converge.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Dyar, K. A. et al. Muscle insulin sensitivity and glucose metabolism are controlled by the intrinsic muscle clock.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Basse, A. L. et al. Skeletal muscle insulin sensitivity show circadian rhythmicity which is independent of exercise training status.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Segal, S. S., Faulkner, J. A. Temperature-dependent physiological stability of rat skeletal muscle in vitro. </w:t>
      </w:r>
      <w:r>
        <w:rPr>
          <w:rFonts w:ascii="Calibri" w:hAnsi="Calibri" w:cs="Calibri" w:eastAsia="Calibri"/>
          <w:i/>
          <w:color w:val="000000"/>
          <w:spacing w:val="0"/>
          <w:position w:val="0"/>
          <w:sz w:val="24"/>
          <w:shd w:fill="auto" w:val="clear"/>
        </w:rPr>
        <w:t xml:space="preserve">American Journal of Physiology -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(3), C265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C270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Wallberg-Henriksson, H. Glucose transport into skeletal muscle. Influence of contractile activity, insulin, catecholamines and diabetes mellitus. </w:t>
      </w:r>
      <w:r>
        <w:rPr>
          <w:rFonts w:ascii="Calibri" w:hAnsi="Calibri" w:cs="Calibri" w:eastAsia="Calibri"/>
          <w:i/>
          <w:color w:val="000000"/>
          <w:spacing w:val="0"/>
          <w:position w:val="0"/>
          <w:sz w:val="24"/>
          <w:shd w:fill="auto" w:val="clear"/>
        </w:rPr>
        <w:t xml:space="preserve">Acta Physiologica Scandinavica. Supplementum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Alkhateeb, H., Chabowski, A., Bonen, A. Viability of the isolated soleus muscle during long-term incubation. </w:t>
      </w:r>
      <w:r>
        <w:rPr>
          <w:rFonts w:ascii="Calibri" w:hAnsi="Calibri" w:cs="Calibri" w:eastAsia="Calibri"/>
          <w:i/>
          <w:color w:val="000000"/>
          <w:spacing w:val="0"/>
          <w:position w:val="0"/>
          <w:sz w:val="24"/>
          <w:shd w:fill="auto" w:val="clear"/>
        </w:rPr>
        <w:t xml:space="preserve">Applied Physiology, Nutrition,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Cleland, P. J., Rattigan, S., Clark, M. G. Glucose-induced loss of exercise-mediated 3-0-methyl glucose uptake by isolated rat soleus and epitrochlearis muscles. </w:t>
      </w:r>
      <w:r>
        <w:rPr>
          <w:rFonts w:ascii="Calibri" w:hAnsi="Calibri" w:cs="Calibri" w:eastAsia="Calibri"/>
          <w:i/>
          <w:color w:val="000000"/>
          <w:spacing w:val="0"/>
          <w:position w:val="0"/>
          <w:sz w:val="24"/>
          <w:shd w:fill="auto" w:val="clear"/>
        </w:rPr>
        <w:t xml:space="preserve">Hormone and Metabolic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Gulve, E. A., Cartee, G. D., Holloszy, J. O. Prolonged incubation of skeletal muscle in vitro: prevention of increases in glucose transport.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 Pt 1), C154-C160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Deshmukh, A. S. et al. Deep proteomics of mouse skeletal muscle enables quantitation of protein isoforms, metabolic pathways, and transcription factors.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Rudich, A., Klip, A. Push/pull mechanisms of GLUT4 traffic in muscle cells. </w:t>
      </w:r>
      <w:r>
        <w:rPr>
          <w:rFonts w:ascii="Calibri" w:hAnsi="Calibri" w:cs="Calibri" w:eastAsia="Calibri"/>
          <w:i/>
          <w:color w:val="000000"/>
          <w:spacing w:val="0"/>
          <w:position w:val="0"/>
          <w:sz w:val="24"/>
          <w:shd w:fill="auto" w:val="clear"/>
        </w:rPr>
        <w:t xml:space="preserve">Acta physiologica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(4),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Kjøbsted, R. et al. enhanced muscle insulin sensitivity after contraction/exercise is mediated by AMPK.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598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