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Dear Jove editorial board,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t xml:space="preserve">Thank you  for considering our manuscript entitled “</w:t>
      </w:r>
      <w:r w:rsidDel="00000000" w:rsidR="00000000" w:rsidRPr="00000000">
        <w:rPr>
          <w:rFonts w:ascii="Calibri" w:cs="Calibri" w:eastAsia="Calibri" w:hAnsi="Calibri"/>
          <w:sz w:val="24"/>
          <w:szCs w:val="24"/>
          <w:rtl w:val="0"/>
        </w:rPr>
        <w:t xml:space="preserve">Live-cell forward genetic approach to identify and isolate developmental mutants in </w:t>
      </w:r>
      <w:r w:rsidDel="00000000" w:rsidR="00000000" w:rsidRPr="00000000">
        <w:rPr>
          <w:rFonts w:ascii="Calibri" w:cs="Calibri" w:eastAsia="Calibri" w:hAnsi="Calibri"/>
          <w:i w:val="1"/>
          <w:sz w:val="24"/>
          <w:szCs w:val="24"/>
          <w:rtl w:val="0"/>
        </w:rPr>
        <w:t xml:space="preserve">Chlamydia trachomatis</w:t>
      </w:r>
      <w:r w:rsidDel="00000000" w:rsidR="00000000" w:rsidRPr="00000000">
        <w:rPr>
          <w:rFonts w:ascii="Calibri" w:cs="Calibri" w:eastAsia="Calibri" w:hAnsi="Calibri"/>
          <w:sz w:val="24"/>
          <w:szCs w:val="24"/>
          <w:rtl w:val="0"/>
        </w:rPr>
        <w:t xml:space="preserve">. “ This article describes a novel forward genetic technique to identify genetic determinants of the chlamydial developmental cycle.  We leverage chlamydial exenic metabolism, cell type promoter reporters, live cell imaging and novel analysis and visualization techniques to isolate phenotypic developmental mutants. Please do not hesitate to contact us for more information.</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Best,</w:t>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Scott Grieshaber</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Scott Grieshaber, Ph.D.</w:t>
      </w:r>
    </w:p>
    <w:p w:rsidR="00000000" w:rsidDel="00000000" w:rsidP="00000000" w:rsidRDefault="00000000" w:rsidRPr="00000000" w14:paraId="0000000A">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Associate Professor</w:t>
      </w:r>
    </w:p>
    <w:p w:rsidR="00000000" w:rsidDel="00000000" w:rsidP="00000000" w:rsidRDefault="00000000" w:rsidRPr="00000000" w14:paraId="0000000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Department of Biological Sciences</w:t>
      </w:r>
    </w:p>
    <w:p w:rsidR="00000000" w:rsidDel="00000000" w:rsidP="00000000" w:rsidRDefault="00000000" w:rsidRPr="00000000" w14:paraId="0000000C">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University of Idaho</w:t>
      </w:r>
    </w:p>
    <w:p w:rsidR="00000000" w:rsidDel="00000000" w:rsidP="00000000" w:rsidRDefault="00000000" w:rsidRPr="00000000" w14:paraId="0000000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875 Perimeter Drive MS 3051</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18"/>
          <w:szCs w:val="18"/>
          <w:rtl w:val="0"/>
        </w:rPr>
        <w:t xml:space="preserve">Moscow, ID 83844-3051</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