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00F3F9F" w:rsidR="006305D7" w:rsidRPr="00E033F1" w:rsidRDefault="006305D7" w:rsidP="00E033F1">
      <w:pPr>
        <w:pStyle w:val="NormalWeb"/>
        <w:spacing w:before="0" w:beforeAutospacing="0" w:after="0" w:afterAutospacing="0"/>
        <w:contextualSpacing/>
        <w:rPr>
          <w:rFonts w:asciiTheme="minorHAnsi" w:hAnsiTheme="minorHAnsi" w:cstheme="minorHAnsi"/>
          <w:color w:val="auto"/>
        </w:rPr>
      </w:pPr>
      <w:r w:rsidRPr="00E033F1">
        <w:rPr>
          <w:rFonts w:asciiTheme="minorHAnsi" w:hAnsiTheme="minorHAnsi" w:cstheme="minorHAnsi"/>
          <w:b/>
          <w:bCs/>
          <w:color w:val="auto"/>
        </w:rPr>
        <w:t>TITLE:</w:t>
      </w:r>
      <w:r w:rsidRPr="00E033F1">
        <w:rPr>
          <w:rFonts w:asciiTheme="minorHAnsi" w:hAnsiTheme="minorHAnsi" w:cstheme="minorHAnsi"/>
          <w:color w:val="auto"/>
        </w:rPr>
        <w:t xml:space="preserve"> </w:t>
      </w:r>
    </w:p>
    <w:p w14:paraId="0C76090E" w14:textId="52235E6D" w:rsidR="007A4DD6" w:rsidRPr="00E033F1" w:rsidRDefault="00630E9D" w:rsidP="00E033F1">
      <w:pPr>
        <w:contextualSpacing/>
        <w:rPr>
          <w:rFonts w:asciiTheme="minorHAnsi" w:hAnsiTheme="minorHAnsi" w:cstheme="minorHAnsi"/>
          <w:color w:val="auto"/>
        </w:rPr>
      </w:pPr>
      <w:bookmarkStart w:id="0" w:name="OLE_LINK3"/>
      <w:r w:rsidRPr="00E033F1">
        <w:rPr>
          <w:rFonts w:asciiTheme="minorHAnsi" w:hAnsiTheme="minorHAnsi" w:cstheme="minorHAnsi"/>
          <w:color w:val="auto"/>
        </w:rPr>
        <w:t xml:space="preserve">Spectrophotometric </w:t>
      </w:r>
      <w:r w:rsidR="00FB7CDD" w:rsidRPr="00E033F1">
        <w:rPr>
          <w:rFonts w:asciiTheme="minorHAnsi" w:hAnsiTheme="minorHAnsi" w:cstheme="minorHAnsi"/>
          <w:color w:val="auto"/>
        </w:rPr>
        <w:t xml:space="preserve">Screening for Potential Inhibitors of Cytosolic Glutathione </w:t>
      </w:r>
      <w:r w:rsidR="00EB6C53" w:rsidRPr="00E033F1">
        <w:rPr>
          <w:rFonts w:asciiTheme="minorHAnsi" w:hAnsiTheme="minorHAnsi" w:cstheme="minorHAnsi"/>
          <w:color w:val="auto"/>
        </w:rPr>
        <w:t>S</w:t>
      </w:r>
      <w:r w:rsidR="00FB7CDD" w:rsidRPr="00E033F1">
        <w:rPr>
          <w:rFonts w:asciiTheme="minorHAnsi" w:hAnsiTheme="minorHAnsi" w:cstheme="minorHAnsi"/>
          <w:color w:val="auto"/>
        </w:rPr>
        <w:t>-Transferases</w:t>
      </w:r>
      <w:bookmarkEnd w:id="0"/>
      <w:r w:rsidR="00FB7CDD" w:rsidRPr="00E033F1">
        <w:rPr>
          <w:rFonts w:asciiTheme="minorHAnsi" w:hAnsiTheme="minorHAnsi" w:cstheme="minorHAnsi"/>
          <w:color w:val="auto"/>
        </w:rPr>
        <w:t xml:space="preserve"> </w:t>
      </w:r>
    </w:p>
    <w:p w14:paraId="2E300B21" w14:textId="77777777" w:rsidR="007A4DD6" w:rsidRPr="00E033F1" w:rsidRDefault="007A4DD6" w:rsidP="00E033F1">
      <w:pPr>
        <w:contextualSpacing/>
        <w:rPr>
          <w:rFonts w:asciiTheme="minorHAnsi" w:hAnsiTheme="minorHAnsi" w:cstheme="minorHAnsi"/>
          <w:b/>
          <w:bCs/>
          <w:color w:val="auto"/>
        </w:rPr>
      </w:pPr>
    </w:p>
    <w:p w14:paraId="3D080DA3" w14:textId="1D13E4BA" w:rsidR="006305D7" w:rsidRPr="00E033F1" w:rsidRDefault="006305D7" w:rsidP="00E033F1">
      <w:pPr>
        <w:contextualSpacing/>
        <w:rPr>
          <w:rFonts w:asciiTheme="minorHAnsi" w:hAnsiTheme="minorHAnsi" w:cstheme="minorHAnsi"/>
          <w:color w:val="auto"/>
        </w:rPr>
      </w:pPr>
      <w:r w:rsidRPr="00E033F1">
        <w:rPr>
          <w:rFonts w:asciiTheme="minorHAnsi" w:hAnsiTheme="minorHAnsi" w:cstheme="minorHAnsi"/>
          <w:b/>
          <w:bCs/>
          <w:color w:val="auto"/>
        </w:rPr>
        <w:t>AUTHORS</w:t>
      </w:r>
      <w:r w:rsidR="000B662E" w:rsidRPr="00E033F1">
        <w:rPr>
          <w:rFonts w:asciiTheme="minorHAnsi" w:hAnsiTheme="minorHAnsi" w:cstheme="minorHAnsi"/>
          <w:b/>
          <w:bCs/>
          <w:color w:val="auto"/>
        </w:rPr>
        <w:t xml:space="preserve"> </w:t>
      </w:r>
      <w:r w:rsidR="00086FF5" w:rsidRPr="00E033F1">
        <w:rPr>
          <w:rFonts w:asciiTheme="minorHAnsi" w:hAnsiTheme="minorHAnsi" w:cstheme="minorHAnsi"/>
          <w:b/>
          <w:bCs/>
          <w:color w:val="auto"/>
        </w:rPr>
        <w:t xml:space="preserve">AND </w:t>
      </w:r>
      <w:r w:rsidR="000B662E" w:rsidRPr="00E033F1">
        <w:rPr>
          <w:rFonts w:asciiTheme="minorHAnsi" w:hAnsiTheme="minorHAnsi" w:cstheme="minorHAnsi"/>
          <w:b/>
          <w:bCs/>
          <w:color w:val="auto"/>
        </w:rPr>
        <w:t>AFFILIATIONS</w:t>
      </w:r>
      <w:r w:rsidRPr="00E033F1">
        <w:rPr>
          <w:rFonts w:asciiTheme="minorHAnsi" w:hAnsiTheme="minorHAnsi" w:cstheme="minorHAnsi"/>
          <w:b/>
          <w:bCs/>
          <w:color w:val="auto"/>
        </w:rPr>
        <w:t xml:space="preserve">: </w:t>
      </w:r>
    </w:p>
    <w:p w14:paraId="60FCB589" w14:textId="137ED5B1" w:rsidR="00D04A95" w:rsidRPr="00E033F1" w:rsidRDefault="00014504" w:rsidP="00E033F1">
      <w:pPr>
        <w:contextualSpacing/>
        <w:rPr>
          <w:color w:val="auto"/>
        </w:rPr>
      </w:pPr>
      <w:r w:rsidRPr="00E033F1">
        <w:rPr>
          <w:color w:val="auto"/>
        </w:rPr>
        <w:t>Shannon K.</w:t>
      </w:r>
      <w:r w:rsidR="00EB6C53" w:rsidRPr="00E033F1">
        <w:rPr>
          <w:color w:val="auto"/>
        </w:rPr>
        <w:t xml:space="preserve"> </w:t>
      </w:r>
      <w:r w:rsidRPr="00E033F1">
        <w:rPr>
          <w:color w:val="auto"/>
        </w:rPr>
        <w:t>D. Robin</w:t>
      </w:r>
      <w:r w:rsidRPr="00E033F1">
        <w:rPr>
          <w:color w:val="auto"/>
          <w:vertAlign w:val="superscript"/>
        </w:rPr>
        <w:t>1</w:t>
      </w:r>
      <w:r w:rsidR="00630E9D" w:rsidRPr="00E033F1">
        <w:rPr>
          <w:color w:val="auto"/>
          <w:vertAlign w:val="superscript"/>
        </w:rPr>
        <w:t>,2</w:t>
      </w:r>
      <w:r w:rsidR="00630E9D" w:rsidRPr="00E033F1">
        <w:rPr>
          <w:color w:val="auto"/>
        </w:rPr>
        <w:t xml:space="preserve">, </w:t>
      </w:r>
      <w:r w:rsidR="00DD5C46" w:rsidRPr="00E033F1">
        <w:rPr>
          <w:color w:val="auto"/>
        </w:rPr>
        <w:t>Marc Ansari</w:t>
      </w:r>
      <w:r w:rsidR="00DD5C46" w:rsidRPr="00E033F1">
        <w:rPr>
          <w:color w:val="auto"/>
          <w:vertAlign w:val="superscript"/>
        </w:rPr>
        <w:t>1,</w:t>
      </w:r>
      <w:proofErr w:type="gramStart"/>
      <w:r w:rsidR="00DD5C46" w:rsidRPr="00E033F1">
        <w:rPr>
          <w:color w:val="auto"/>
          <w:vertAlign w:val="superscript"/>
        </w:rPr>
        <w:t>3</w:t>
      </w:r>
      <w:r w:rsidR="00A96CC2" w:rsidRPr="00E033F1">
        <w:rPr>
          <w:color w:val="auto"/>
          <w:vertAlign w:val="superscript"/>
        </w:rPr>
        <w:t>,*</w:t>
      </w:r>
      <w:proofErr w:type="gramEnd"/>
      <w:r w:rsidR="00AC2619" w:rsidRPr="00E033F1">
        <w:rPr>
          <w:color w:val="auto"/>
        </w:rPr>
        <w:t xml:space="preserve">, </w:t>
      </w:r>
      <w:proofErr w:type="spellStart"/>
      <w:r w:rsidR="00AC2619" w:rsidRPr="00E033F1">
        <w:rPr>
          <w:color w:val="auto"/>
        </w:rPr>
        <w:t>Chakradhara</w:t>
      </w:r>
      <w:proofErr w:type="spellEnd"/>
      <w:r w:rsidR="00AC2619" w:rsidRPr="00E033F1">
        <w:rPr>
          <w:color w:val="auto"/>
        </w:rPr>
        <w:t xml:space="preserve"> Rao S. Uppugunduri</w:t>
      </w:r>
      <w:r w:rsidR="00AC2619" w:rsidRPr="00E033F1">
        <w:rPr>
          <w:color w:val="auto"/>
          <w:vertAlign w:val="superscript"/>
        </w:rPr>
        <w:t>1,3</w:t>
      </w:r>
      <w:r w:rsidR="00A96CC2" w:rsidRPr="00E033F1">
        <w:rPr>
          <w:color w:val="auto"/>
          <w:vertAlign w:val="superscript"/>
        </w:rPr>
        <w:t>,*</w:t>
      </w:r>
    </w:p>
    <w:p w14:paraId="698D3DC3" w14:textId="5AB16255" w:rsidR="00014504" w:rsidRPr="00E033F1" w:rsidRDefault="00014504" w:rsidP="00E033F1">
      <w:pPr>
        <w:contextualSpacing/>
        <w:rPr>
          <w:rFonts w:asciiTheme="minorHAnsi" w:hAnsiTheme="minorHAnsi" w:cstheme="minorHAnsi"/>
          <w:color w:val="auto"/>
        </w:rPr>
      </w:pPr>
    </w:p>
    <w:p w14:paraId="52579554" w14:textId="736B9BA8" w:rsidR="00630E9D" w:rsidRPr="00E033F1" w:rsidRDefault="00014504" w:rsidP="00E033F1">
      <w:pPr>
        <w:contextualSpacing/>
        <w:rPr>
          <w:color w:val="auto"/>
        </w:rPr>
      </w:pPr>
      <w:r w:rsidRPr="00E033F1">
        <w:rPr>
          <w:rFonts w:asciiTheme="minorHAnsi" w:hAnsiTheme="minorHAnsi" w:cstheme="minorHAnsi"/>
          <w:color w:val="auto"/>
          <w:vertAlign w:val="superscript"/>
        </w:rPr>
        <w:t>1</w:t>
      </w:r>
      <w:r w:rsidR="00EF3A8A" w:rsidRPr="00E033F1">
        <w:rPr>
          <w:color w:val="auto"/>
        </w:rPr>
        <w:t xml:space="preserve">Platform of Pediatric Onco-Hematology </w:t>
      </w:r>
      <w:r w:rsidR="00795E81" w:rsidRPr="00E033F1">
        <w:rPr>
          <w:color w:val="auto"/>
        </w:rPr>
        <w:t>R</w:t>
      </w:r>
      <w:r w:rsidR="00EF3A8A" w:rsidRPr="00E033F1">
        <w:rPr>
          <w:color w:val="auto"/>
        </w:rPr>
        <w:t>esearch (CANSEARCH Laboratory), Department of Pediatrics, Gynecology, and Obstetrics, University of Geneva, Geneva, Switzerland</w:t>
      </w:r>
    </w:p>
    <w:p w14:paraId="6845EF2A" w14:textId="665F38AD" w:rsidR="00630E9D" w:rsidRPr="00E033F1" w:rsidRDefault="00630E9D" w:rsidP="00E033F1">
      <w:pPr>
        <w:contextualSpacing/>
        <w:rPr>
          <w:color w:val="auto"/>
        </w:rPr>
      </w:pPr>
      <w:r w:rsidRPr="00E033F1">
        <w:rPr>
          <w:color w:val="auto"/>
          <w:vertAlign w:val="superscript"/>
        </w:rPr>
        <w:t>2</w:t>
      </w:r>
      <w:r w:rsidR="00B33F41" w:rsidRPr="00E033F1">
        <w:rPr>
          <w:color w:val="auto"/>
        </w:rPr>
        <w:t xml:space="preserve">Section </w:t>
      </w:r>
      <w:r w:rsidR="00EB6C53" w:rsidRPr="00E033F1">
        <w:rPr>
          <w:color w:val="auto"/>
        </w:rPr>
        <w:t xml:space="preserve">of </w:t>
      </w:r>
      <w:r w:rsidR="00B33F41" w:rsidRPr="00E033F1">
        <w:rPr>
          <w:color w:val="auto"/>
        </w:rPr>
        <w:t>B</w:t>
      </w:r>
      <w:r w:rsidRPr="00E033F1">
        <w:rPr>
          <w:color w:val="auto"/>
        </w:rPr>
        <w:t xml:space="preserve">iology, </w:t>
      </w:r>
      <w:r w:rsidR="00D72040" w:rsidRPr="00E033F1">
        <w:rPr>
          <w:color w:val="auto"/>
        </w:rPr>
        <w:t xml:space="preserve">Faculty of Science, </w:t>
      </w:r>
      <w:r w:rsidRPr="00E033F1">
        <w:rPr>
          <w:color w:val="auto"/>
        </w:rPr>
        <w:t>University of Geneva, Geneva, Switzerland</w:t>
      </w:r>
    </w:p>
    <w:p w14:paraId="015B314C" w14:textId="00AD6CD3" w:rsidR="00EF3A8A" w:rsidRPr="00E033F1" w:rsidRDefault="00630E9D" w:rsidP="00E033F1">
      <w:pPr>
        <w:contextualSpacing/>
        <w:rPr>
          <w:color w:val="auto"/>
        </w:rPr>
      </w:pPr>
      <w:r w:rsidRPr="00E033F1">
        <w:rPr>
          <w:color w:val="auto"/>
          <w:vertAlign w:val="superscript"/>
        </w:rPr>
        <w:t>3</w:t>
      </w:r>
      <w:r w:rsidR="00EF3A8A" w:rsidRPr="00E033F1">
        <w:rPr>
          <w:color w:val="auto"/>
        </w:rPr>
        <w:t xml:space="preserve">Onco-Hematology </w:t>
      </w:r>
      <w:r w:rsidR="00795E81" w:rsidRPr="00E033F1">
        <w:rPr>
          <w:color w:val="auto"/>
        </w:rPr>
        <w:t>U</w:t>
      </w:r>
      <w:r w:rsidR="00EF3A8A" w:rsidRPr="00E033F1">
        <w:rPr>
          <w:color w:val="auto"/>
        </w:rPr>
        <w:t>nit, Department of Women-Children-Adolescents, Geneva University Hospitals, Geneva, Switzerland</w:t>
      </w:r>
    </w:p>
    <w:p w14:paraId="6258CB46" w14:textId="77777777" w:rsidR="00EF3A8A" w:rsidRPr="00E033F1" w:rsidRDefault="00EF3A8A" w:rsidP="00E033F1">
      <w:pPr>
        <w:contextualSpacing/>
        <w:rPr>
          <w:color w:val="auto"/>
        </w:rPr>
      </w:pPr>
    </w:p>
    <w:p w14:paraId="382BEB4D" w14:textId="7114365C" w:rsidR="00EF3A8A" w:rsidRPr="00E033F1" w:rsidRDefault="00EF3A8A" w:rsidP="00E033F1">
      <w:pPr>
        <w:contextualSpacing/>
        <w:rPr>
          <w:color w:val="auto"/>
        </w:rPr>
      </w:pPr>
      <w:r w:rsidRPr="00E033F1">
        <w:rPr>
          <w:color w:val="auto"/>
        </w:rPr>
        <w:t>*</w:t>
      </w:r>
      <w:r w:rsidR="00A96CC2" w:rsidRPr="00E033F1">
        <w:rPr>
          <w:color w:val="auto"/>
        </w:rPr>
        <w:t>These authors contributed equally.</w:t>
      </w:r>
    </w:p>
    <w:p w14:paraId="4B4E326C" w14:textId="3AE6F24F" w:rsidR="00014504" w:rsidRPr="00E033F1" w:rsidRDefault="00014504" w:rsidP="00E033F1">
      <w:pPr>
        <w:contextualSpacing/>
        <w:rPr>
          <w:color w:val="auto"/>
        </w:rPr>
      </w:pPr>
    </w:p>
    <w:p w14:paraId="48EA8782" w14:textId="5A1EB2AB" w:rsidR="00014504" w:rsidRPr="00E033F1" w:rsidRDefault="00014504" w:rsidP="00E033F1">
      <w:pPr>
        <w:contextualSpacing/>
        <w:rPr>
          <w:color w:val="auto"/>
        </w:rPr>
      </w:pPr>
      <w:r w:rsidRPr="00E033F1">
        <w:rPr>
          <w:color w:val="auto"/>
        </w:rPr>
        <w:t>Email address</w:t>
      </w:r>
      <w:r w:rsidR="00630E9D" w:rsidRPr="00E033F1">
        <w:rPr>
          <w:color w:val="auto"/>
        </w:rPr>
        <w:t>es</w:t>
      </w:r>
      <w:r w:rsidRPr="00E033F1">
        <w:rPr>
          <w:color w:val="auto"/>
        </w:rPr>
        <w:t>:</w:t>
      </w:r>
    </w:p>
    <w:p w14:paraId="5323360E" w14:textId="77777777" w:rsidR="00EF3A8A" w:rsidRPr="00E033F1" w:rsidRDefault="00EF3A8A" w:rsidP="00E033F1">
      <w:pPr>
        <w:contextualSpacing/>
        <w:rPr>
          <w:color w:val="auto"/>
        </w:rPr>
      </w:pPr>
      <w:r w:rsidRPr="00E033F1">
        <w:rPr>
          <w:color w:val="auto"/>
        </w:rPr>
        <w:t>Shannon K.D. Robin</w:t>
      </w:r>
      <w:r w:rsidRPr="00E033F1">
        <w:rPr>
          <w:color w:val="auto"/>
        </w:rPr>
        <w:tab/>
      </w:r>
      <w:r w:rsidRPr="00E033F1">
        <w:rPr>
          <w:color w:val="auto"/>
        </w:rPr>
        <w:tab/>
      </w:r>
      <w:r w:rsidRPr="00E033F1">
        <w:rPr>
          <w:color w:val="auto"/>
        </w:rPr>
        <w:tab/>
        <w:t>(</w:t>
      </w:r>
      <w:hyperlink r:id="rId8" w:history="1">
        <w:r w:rsidRPr="00E033F1">
          <w:rPr>
            <w:rStyle w:val="Hyperlink"/>
            <w:color w:val="auto"/>
            <w:u w:val="none"/>
          </w:rPr>
          <w:t>Shannon.robin</w:t>
        </w:r>
        <w:r w:rsidRPr="00E033F1">
          <w:rPr>
            <w:rStyle w:val="Hyperlink"/>
            <w:rFonts w:cs="Arial"/>
            <w:bCs/>
            <w:color w:val="auto"/>
            <w:u w:val="none"/>
          </w:rPr>
          <w:t>@e</w:t>
        </w:r>
        <w:r w:rsidRPr="00E033F1">
          <w:rPr>
            <w:rStyle w:val="Hyperlink"/>
            <w:color w:val="auto"/>
            <w:u w:val="none"/>
          </w:rPr>
          <w:t>tu.unige.ch</w:t>
        </w:r>
      </w:hyperlink>
      <w:r w:rsidRPr="00E033F1">
        <w:rPr>
          <w:color w:val="auto"/>
        </w:rPr>
        <w:t>)</w:t>
      </w:r>
    </w:p>
    <w:p w14:paraId="08DD956D" w14:textId="6624867B" w:rsidR="00EF3A8A" w:rsidRPr="00E033F1" w:rsidRDefault="00EF3A8A" w:rsidP="00E033F1">
      <w:pPr>
        <w:contextualSpacing/>
        <w:rPr>
          <w:color w:val="auto"/>
          <w:lang w:val="fr-CH"/>
        </w:rPr>
      </w:pPr>
      <w:r w:rsidRPr="00E033F1">
        <w:rPr>
          <w:color w:val="auto"/>
          <w:lang w:val="fr-CH"/>
        </w:rPr>
        <w:t>Marc Ansari</w:t>
      </w:r>
      <w:r w:rsidRPr="00E033F1">
        <w:rPr>
          <w:color w:val="auto"/>
          <w:lang w:val="fr-CH"/>
        </w:rPr>
        <w:tab/>
      </w:r>
      <w:r w:rsidRPr="00E033F1">
        <w:rPr>
          <w:color w:val="auto"/>
          <w:lang w:val="fr-CH"/>
        </w:rPr>
        <w:tab/>
      </w:r>
      <w:r w:rsidRPr="00E033F1">
        <w:rPr>
          <w:color w:val="auto"/>
          <w:lang w:val="fr-CH"/>
        </w:rPr>
        <w:tab/>
      </w:r>
      <w:r w:rsidRPr="00E033F1">
        <w:rPr>
          <w:color w:val="auto"/>
          <w:lang w:val="fr-CH"/>
        </w:rPr>
        <w:tab/>
        <w:t>(</w:t>
      </w:r>
      <w:hyperlink r:id="rId9" w:history="1">
        <w:r w:rsidR="00FC2D40" w:rsidRPr="00E033F1">
          <w:rPr>
            <w:rStyle w:val="Hyperlink"/>
            <w:color w:val="auto"/>
            <w:u w:val="none"/>
            <w:lang w:val="fr-CH"/>
          </w:rPr>
          <w:t>Marc.Ansari@hcuge.ch</w:t>
        </w:r>
      </w:hyperlink>
      <w:r w:rsidRPr="00E033F1">
        <w:rPr>
          <w:color w:val="auto"/>
          <w:lang w:val="fr-CH"/>
        </w:rPr>
        <w:t>)</w:t>
      </w:r>
    </w:p>
    <w:p w14:paraId="37BA1E03" w14:textId="77777777" w:rsidR="00EF3A8A" w:rsidRPr="00E033F1" w:rsidRDefault="00EF3A8A" w:rsidP="00E033F1">
      <w:pPr>
        <w:contextualSpacing/>
        <w:rPr>
          <w:color w:val="auto"/>
          <w:lang w:val="de-CH"/>
        </w:rPr>
      </w:pPr>
      <w:r w:rsidRPr="00E033F1">
        <w:rPr>
          <w:color w:val="auto"/>
          <w:lang w:val="de-CH"/>
        </w:rPr>
        <w:t>Chakradhara R. S. Uppugunduri</w:t>
      </w:r>
      <w:r w:rsidRPr="00E033F1">
        <w:rPr>
          <w:color w:val="auto"/>
          <w:lang w:val="de-CH"/>
        </w:rPr>
        <w:tab/>
        <w:t>(Chakradhara.Uppugunduri@unige.ch)</w:t>
      </w:r>
    </w:p>
    <w:p w14:paraId="6C5CAFB8" w14:textId="3ACE211A" w:rsidR="00630E9D" w:rsidRPr="00E033F1" w:rsidRDefault="00630E9D" w:rsidP="00E033F1">
      <w:pPr>
        <w:contextualSpacing/>
        <w:rPr>
          <w:color w:val="auto"/>
          <w:lang w:val="de-CH"/>
        </w:rPr>
      </w:pPr>
    </w:p>
    <w:p w14:paraId="11892FC5" w14:textId="54DFD661" w:rsidR="00630E9D" w:rsidRPr="00E033F1" w:rsidRDefault="00D847C3" w:rsidP="00E033F1">
      <w:pPr>
        <w:contextualSpacing/>
        <w:rPr>
          <w:color w:val="auto"/>
        </w:rPr>
      </w:pPr>
      <w:r w:rsidRPr="00E033F1">
        <w:rPr>
          <w:color w:val="auto"/>
        </w:rPr>
        <w:t>Co-c</w:t>
      </w:r>
      <w:r w:rsidR="00630E9D" w:rsidRPr="00E033F1">
        <w:rPr>
          <w:color w:val="auto"/>
        </w:rPr>
        <w:t>orresponding author:</w:t>
      </w:r>
    </w:p>
    <w:p w14:paraId="53611EBC" w14:textId="77777777" w:rsidR="00D847C3" w:rsidRPr="00E033F1" w:rsidRDefault="00D847C3" w:rsidP="00E033F1">
      <w:pPr>
        <w:contextualSpacing/>
        <w:rPr>
          <w:color w:val="auto"/>
        </w:rPr>
      </w:pPr>
      <w:r w:rsidRPr="00E033F1">
        <w:rPr>
          <w:color w:val="auto"/>
        </w:rPr>
        <w:t>Marc Ansari</w:t>
      </w:r>
      <w:r w:rsidRPr="00E033F1">
        <w:rPr>
          <w:color w:val="auto"/>
        </w:rPr>
        <w:tab/>
      </w:r>
      <w:r w:rsidRPr="00E033F1">
        <w:rPr>
          <w:color w:val="auto"/>
        </w:rPr>
        <w:tab/>
      </w:r>
      <w:r w:rsidRPr="00E033F1">
        <w:rPr>
          <w:color w:val="auto"/>
        </w:rPr>
        <w:tab/>
      </w:r>
      <w:r w:rsidRPr="00E033F1">
        <w:rPr>
          <w:color w:val="auto"/>
        </w:rPr>
        <w:tab/>
        <w:t>(</w:t>
      </w:r>
      <w:hyperlink r:id="rId10" w:history="1">
        <w:r w:rsidRPr="00E033F1">
          <w:rPr>
            <w:rStyle w:val="Hyperlink"/>
            <w:color w:val="auto"/>
            <w:u w:val="none"/>
          </w:rPr>
          <w:t>Marc.Ansari@hcuge.ch</w:t>
        </w:r>
      </w:hyperlink>
      <w:r w:rsidRPr="00E033F1">
        <w:rPr>
          <w:color w:val="auto"/>
        </w:rPr>
        <w:t>)</w:t>
      </w:r>
    </w:p>
    <w:p w14:paraId="3C5C7503" w14:textId="34AAD425" w:rsidR="001643C7" w:rsidRPr="00E033F1" w:rsidRDefault="00D847C3" w:rsidP="00E033F1">
      <w:pPr>
        <w:contextualSpacing/>
        <w:rPr>
          <w:color w:val="auto"/>
          <w:lang w:val="de-CH"/>
        </w:rPr>
      </w:pPr>
      <w:r w:rsidRPr="00E033F1">
        <w:rPr>
          <w:color w:val="auto"/>
          <w:lang w:val="de-CH"/>
        </w:rPr>
        <w:t>Chakradhara R. S. Uppugunduri</w:t>
      </w:r>
      <w:r w:rsidRPr="00E033F1">
        <w:rPr>
          <w:color w:val="auto"/>
          <w:lang w:val="de-CH"/>
        </w:rPr>
        <w:tab/>
        <w:t>(Chakradhara.Uppugunduri@unige.ch)</w:t>
      </w:r>
    </w:p>
    <w:p w14:paraId="13CF4C1E" w14:textId="77777777" w:rsidR="00D847C3" w:rsidRPr="00E033F1" w:rsidRDefault="00D847C3" w:rsidP="00E033F1">
      <w:pPr>
        <w:contextualSpacing/>
        <w:rPr>
          <w:rFonts w:asciiTheme="minorHAnsi" w:hAnsiTheme="minorHAnsi" w:cstheme="minorHAnsi"/>
          <w:bCs/>
          <w:color w:val="auto"/>
        </w:rPr>
      </w:pPr>
    </w:p>
    <w:p w14:paraId="71B79AC9" w14:textId="34C29523" w:rsidR="006305D7" w:rsidRPr="00E033F1" w:rsidRDefault="006305D7" w:rsidP="00E033F1">
      <w:pPr>
        <w:pStyle w:val="NormalWeb"/>
        <w:spacing w:before="0" w:beforeAutospacing="0" w:after="0" w:afterAutospacing="0"/>
        <w:contextualSpacing/>
        <w:rPr>
          <w:rFonts w:asciiTheme="minorHAnsi" w:hAnsiTheme="minorHAnsi" w:cstheme="minorHAnsi"/>
          <w:color w:val="auto"/>
        </w:rPr>
      </w:pPr>
      <w:r w:rsidRPr="00E033F1">
        <w:rPr>
          <w:rFonts w:asciiTheme="minorHAnsi" w:hAnsiTheme="minorHAnsi" w:cstheme="minorHAnsi"/>
          <w:b/>
          <w:bCs/>
          <w:color w:val="auto"/>
        </w:rPr>
        <w:t>KEYWORDS:</w:t>
      </w:r>
      <w:r w:rsidRPr="00E033F1">
        <w:rPr>
          <w:rFonts w:asciiTheme="minorHAnsi" w:hAnsiTheme="minorHAnsi" w:cstheme="minorHAnsi"/>
          <w:color w:val="auto"/>
        </w:rPr>
        <w:t xml:space="preserve"> </w:t>
      </w:r>
    </w:p>
    <w:p w14:paraId="1CB4E390" w14:textId="269926CE" w:rsidR="006305D7" w:rsidRPr="00E033F1" w:rsidRDefault="002E6D9D" w:rsidP="00E033F1">
      <w:pPr>
        <w:pStyle w:val="NormalWeb"/>
        <w:spacing w:before="0" w:beforeAutospacing="0" w:after="0" w:afterAutospacing="0"/>
        <w:contextualSpacing/>
        <w:rPr>
          <w:rFonts w:asciiTheme="minorHAnsi" w:hAnsiTheme="minorHAnsi" w:cstheme="minorHAnsi"/>
          <w:color w:val="auto"/>
        </w:rPr>
      </w:pPr>
      <w:r w:rsidRPr="00E033F1">
        <w:rPr>
          <w:rFonts w:asciiTheme="minorHAnsi" w:hAnsiTheme="minorHAnsi" w:cstheme="minorHAnsi"/>
          <w:color w:val="auto"/>
        </w:rPr>
        <w:t>Glutathione</w:t>
      </w:r>
      <w:r w:rsidR="00D72040" w:rsidRPr="00E033F1">
        <w:rPr>
          <w:rFonts w:asciiTheme="minorHAnsi" w:hAnsiTheme="minorHAnsi" w:cstheme="minorHAnsi"/>
          <w:color w:val="auto"/>
        </w:rPr>
        <w:t xml:space="preserve"> S</w:t>
      </w:r>
      <w:r w:rsidRPr="00E033F1">
        <w:rPr>
          <w:rFonts w:asciiTheme="minorHAnsi" w:hAnsiTheme="minorHAnsi" w:cstheme="minorHAnsi"/>
          <w:color w:val="auto"/>
        </w:rPr>
        <w:t xml:space="preserve">-transferases, </w:t>
      </w:r>
      <w:r w:rsidR="005216A4" w:rsidRPr="00E033F1">
        <w:rPr>
          <w:rFonts w:asciiTheme="minorHAnsi" w:hAnsiTheme="minorHAnsi" w:cstheme="minorHAnsi"/>
          <w:color w:val="auto"/>
        </w:rPr>
        <w:t>GST inhibitors, enzyme</w:t>
      </w:r>
      <w:r w:rsidRPr="00E033F1">
        <w:rPr>
          <w:rFonts w:asciiTheme="minorHAnsi" w:hAnsiTheme="minorHAnsi" w:cstheme="minorHAnsi"/>
          <w:color w:val="auto"/>
        </w:rPr>
        <w:t xml:space="preserve"> assay,</w:t>
      </w:r>
      <w:r w:rsidR="0022019F" w:rsidRPr="00E033F1">
        <w:rPr>
          <w:rFonts w:asciiTheme="minorHAnsi" w:hAnsiTheme="minorHAnsi" w:cstheme="minorHAnsi"/>
          <w:color w:val="auto"/>
        </w:rPr>
        <w:t xml:space="preserve"> </w:t>
      </w:r>
      <w:r w:rsidRPr="00E033F1">
        <w:rPr>
          <w:rFonts w:asciiTheme="minorHAnsi" w:hAnsiTheme="minorHAnsi" w:cstheme="minorHAnsi"/>
          <w:color w:val="auto"/>
        </w:rPr>
        <w:t>inhibition assay, IC50, K</w:t>
      </w:r>
      <w:r w:rsidRPr="00E033F1">
        <w:rPr>
          <w:rFonts w:asciiTheme="minorHAnsi" w:hAnsiTheme="minorHAnsi" w:cstheme="minorHAnsi"/>
          <w:color w:val="auto"/>
          <w:vertAlign w:val="subscript"/>
        </w:rPr>
        <w:t>i</w:t>
      </w:r>
    </w:p>
    <w:p w14:paraId="244EA0E3" w14:textId="77777777" w:rsidR="002F01F5" w:rsidRPr="00E033F1" w:rsidRDefault="002F01F5" w:rsidP="00E033F1">
      <w:pPr>
        <w:pStyle w:val="NormalWeb"/>
        <w:spacing w:before="0" w:beforeAutospacing="0" w:after="0" w:afterAutospacing="0"/>
        <w:contextualSpacing/>
        <w:rPr>
          <w:rFonts w:asciiTheme="minorHAnsi" w:hAnsiTheme="minorHAnsi" w:cstheme="minorHAnsi"/>
          <w:color w:val="auto"/>
        </w:rPr>
      </w:pPr>
    </w:p>
    <w:p w14:paraId="628AC4B5" w14:textId="2368D86B" w:rsidR="006305D7" w:rsidRPr="00E033F1" w:rsidRDefault="00086FF5" w:rsidP="00E033F1">
      <w:pPr>
        <w:contextualSpacing/>
        <w:rPr>
          <w:rFonts w:asciiTheme="minorHAnsi" w:hAnsiTheme="minorHAnsi" w:cstheme="minorHAnsi"/>
          <w:color w:val="auto"/>
        </w:rPr>
      </w:pPr>
      <w:r w:rsidRPr="00E033F1">
        <w:rPr>
          <w:rFonts w:asciiTheme="minorHAnsi" w:hAnsiTheme="minorHAnsi" w:cstheme="minorHAnsi"/>
          <w:b/>
          <w:bCs/>
          <w:color w:val="auto"/>
        </w:rPr>
        <w:t>SUMMARY</w:t>
      </w:r>
      <w:r w:rsidR="006305D7" w:rsidRPr="00E033F1">
        <w:rPr>
          <w:rFonts w:asciiTheme="minorHAnsi" w:hAnsiTheme="minorHAnsi" w:cstheme="minorHAnsi"/>
          <w:b/>
          <w:bCs/>
          <w:color w:val="auto"/>
        </w:rPr>
        <w:t>:</w:t>
      </w:r>
      <w:r w:rsidR="006305D7" w:rsidRPr="00E033F1">
        <w:rPr>
          <w:rFonts w:asciiTheme="minorHAnsi" w:hAnsiTheme="minorHAnsi" w:cstheme="minorHAnsi"/>
          <w:color w:val="auto"/>
        </w:rPr>
        <w:t xml:space="preserve"> </w:t>
      </w:r>
    </w:p>
    <w:p w14:paraId="612E6C28" w14:textId="5C17D412" w:rsidR="00FB5203" w:rsidRPr="00E033F1" w:rsidRDefault="00FB5203" w:rsidP="00E033F1">
      <w:pPr>
        <w:contextualSpacing/>
        <w:rPr>
          <w:rFonts w:asciiTheme="minorHAnsi" w:hAnsiTheme="minorHAnsi" w:cstheme="minorHAnsi"/>
          <w:color w:val="auto"/>
        </w:rPr>
      </w:pPr>
      <w:r w:rsidRPr="00E033F1">
        <w:rPr>
          <w:rFonts w:asciiTheme="minorHAnsi" w:hAnsiTheme="minorHAnsi" w:cstheme="minorHAnsi"/>
          <w:color w:val="auto"/>
        </w:rPr>
        <w:t>Glutathione</w:t>
      </w:r>
      <w:r w:rsidR="00D72040" w:rsidRPr="00E033F1">
        <w:rPr>
          <w:rFonts w:asciiTheme="minorHAnsi" w:hAnsiTheme="minorHAnsi" w:cstheme="minorHAnsi"/>
          <w:color w:val="auto"/>
        </w:rPr>
        <w:t xml:space="preserve"> S</w:t>
      </w:r>
      <w:r w:rsidRPr="00E033F1">
        <w:rPr>
          <w:rFonts w:asciiTheme="minorHAnsi" w:hAnsiTheme="minorHAnsi" w:cstheme="minorHAnsi"/>
          <w:color w:val="auto"/>
        </w:rPr>
        <w:t xml:space="preserve">-transferases (GSTs) are detoxification enzymes </w:t>
      </w:r>
      <w:r w:rsidR="00D72040" w:rsidRPr="00E033F1">
        <w:rPr>
          <w:rFonts w:asciiTheme="minorHAnsi" w:hAnsiTheme="minorHAnsi" w:cstheme="minorHAnsi"/>
          <w:color w:val="auto"/>
        </w:rPr>
        <w:t>involved</w:t>
      </w:r>
      <w:r w:rsidRPr="00E033F1">
        <w:rPr>
          <w:rFonts w:asciiTheme="minorHAnsi" w:hAnsiTheme="minorHAnsi" w:cstheme="minorHAnsi"/>
          <w:color w:val="auto"/>
        </w:rPr>
        <w:t xml:space="preserve"> in the metabolism of numerous chemotherapeutic drugs. </w:t>
      </w:r>
      <w:r w:rsidR="00D72040" w:rsidRPr="00E033F1">
        <w:rPr>
          <w:rFonts w:asciiTheme="minorHAnsi" w:hAnsiTheme="minorHAnsi" w:cstheme="minorHAnsi"/>
          <w:color w:val="auto"/>
        </w:rPr>
        <w:t>O</w:t>
      </w:r>
      <w:r w:rsidRPr="00E033F1">
        <w:rPr>
          <w:rFonts w:asciiTheme="minorHAnsi" w:hAnsiTheme="minorHAnsi" w:cstheme="minorHAnsi"/>
          <w:color w:val="auto"/>
        </w:rPr>
        <w:t>verexpression</w:t>
      </w:r>
      <w:r w:rsidR="00D72040" w:rsidRPr="00E033F1">
        <w:rPr>
          <w:rFonts w:asciiTheme="minorHAnsi" w:hAnsiTheme="minorHAnsi" w:cstheme="minorHAnsi"/>
          <w:color w:val="auto"/>
        </w:rPr>
        <w:t xml:space="preserve"> of GSTs</w:t>
      </w:r>
      <w:r w:rsidRPr="00E033F1">
        <w:rPr>
          <w:rFonts w:asciiTheme="minorHAnsi" w:hAnsiTheme="minorHAnsi" w:cstheme="minorHAnsi"/>
          <w:color w:val="auto"/>
        </w:rPr>
        <w:t xml:space="preserve"> is correlated with cancer </w:t>
      </w:r>
      <w:r w:rsidR="00DC0858" w:rsidRPr="00E033F1">
        <w:rPr>
          <w:rFonts w:asciiTheme="minorHAnsi" w:hAnsiTheme="minorHAnsi" w:cstheme="minorHAnsi"/>
          <w:color w:val="auto"/>
        </w:rPr>
        <w:t xml:space="preserve">chemotherapy </w:t>
      </w:r>
      <w:r w:rsidRPr="00E033F1">
        <w:rPr>
          <w:rFonts w:asciiTheme="minorHAnsi" w:hAnsiTheme="minorHAnsi" w:cstheme="minorHAnsi"/>
          <w:color w:val="auto"/>
        </w:rPr>
        <w:t>resistance</w:t>
      </w:r>
      <w:r w:rsidR="00D72040" w:rsidRPr="00E033F1">
        <w:rPr>
          <w:rFonts w:asciiTheme="minorHAnsi" w:hAnsiTheme="minorHAnsi" w:cstheme="minorHAnsi"/>
          <w:color w:val="auto"/>
        </w:rPr>
        <w:t>. O</w:t>
      </w:r>
      <w:r w:rsidRPr="00E033F1">
        <w:rPr>
          <w:rFonts w:asciiTheme="minorHAnsi" w:hAnsiTheme="minorHAnsi" w:cstheme="minorHAnsi"/>
          <w:color w:val="auto"/>
        </w:rPr>
        <w:t>ne way to counter this phenotype is to use inhibitors</w:t>
      </w:r>
      <w:r w:rsidR="00B33F41" w:rsidRPr="00E033F1">
        <w:rPr>
          <w:rFonts w:asciiTheme="minorHAnsi" w:hAnsiTheme="minorHAnsi" w:cstheme="minorHAnsi"/>
          <w:color w:val="auto"/>
        </w:rPr>
        <w:t xml:space="preserve">. </w:t>
      </w:r>
      <w:r w:rsidR="00D72040" w:rsidRPr="00E033F1">
        <w:rPr>
          <w:rFonts w:asciiTheme="minorHAnsi" w:hAnsiTheme="minorHAnsi" w:cstheme="minorHAnsi"/>
          <w:color w:val="auto"/>
        </w:rPr>
        <w:t>T</w:t>
      </w:r>
      <w:r w:rsidRPr="00E033F1">
        <w:rPr>
          <w:rFonts w:asciiTheme="minorHAnsi" w:hAnsiTheme="minorHAnsi" w:cstheme="minorHAnsi"/>
          <w:color w:val="auto"/>
        </w:rPr>
        <w:t>his protocol</w:t>
      </w:r>
      <w:r w:rsidR="00D72040" w:rsidRPr="00E033F1">
        <w:rPr>
          <w:rFonts w:asciiTheme="minorHAnsi" w:hAnsiTheme="minorHAnsi" w:cstheme="minorHAnsi"/>
          <w:color w:val="auto"/>
        </w:rPr>
        <w:t xml:space="preserve"> describes</w:t>
      </w:r>
      <w:r w:rsidRPr="00E033F1">
        <w:rPr>
          <w:rFonts w:asciiTheme="minorHAnsi" w:hAnsiTheme="minorHAnsi" w:cstheme="minorHAnsi"/>
          <w:color w:val="auto"/>
        </w:rPr>
        <w:t xml:space="preserve"> a method </w:t>
      </w:r>
      <w:r w:rsidR="00D72040" w:rsidRPr="00E033F1">
        <w:rPr>
          <w:rFonts w:asciiTheme="minorHAnsi" w:hAnsiTheme="minorHAnsi" w:cstheme="minorHAnsi"/>
          <w:color w:val="auto"/>
        </w:rPr>
        <w:t xml:space="preserve">using a spectrophotometric assay </w:t>
      </w:r>
      <w:r w:rsidRPr="00E033F1">
        <w:rPr>
          <w:rFonts w:asciiTheme="minorHAnsi" w:hAnsiTheme="minorHAnsi" w:cstheme="minorHAnsi"/>
          <w:color w:val="auto"/>
        </w:rPr>
        <w:t xml:space="preserve">to screen </w:t>
      </w:r>
      <w:r w:rsidR="00B43462" w:rsidRPr="00E033F1">
        <w:rPr>
          <w:rFonts w:asciiTheme="minorHAnsi" w:hAnsiTheme="minorHAnsi" w:cstheme="minorHAnsi"/>
          <w:color w:val="auto"/>
        </w:rPr>
        <w:t>for potential</w:t>
      </w:r>
      <w:r w:rsidRPr="00E033F1">
        <w:rPr>
          <w:rFonts w:asciiTheme="minorHAnsi" w:hAnsiTheme="minorHAnsi" w:cstheme="minorHAnsi"/>
          <w:color w:val="auto"/>
        </w:rPr>
        <w:t xml:space="preserve"> GST inhibitor</w:t>
      </w:r>
      <w:r w:rsidR="0025300D" w:rsidRPr="00E033F1">
        <w:rPr>
          <w:rFonts w:asciiTheme="minorHAnsi" w:hAnsiTheme="minorHAnsi" w:cstheme="minorHAnsi"/>
          <w:color w:val="auto"/>
        </w:rPr>
        <w:t>s</w:t>
      </w:r>
      <w:r w:rsidRPr="00E033F1">
        <w:rPr>
          <w:rFonts w:asciiTheme="minorHAnsi" w:hAnsiTheme="minorHAnsi" w:cstheme="minorHAnsi"/>
          <w:color w:val="auto"/>
        </w:rPr>
        <w:t xml:space="preserve">. </w:t>
      </w:r>
    </w:p>
    <w:p w14:paraId="457FBFBD" w14:textId="7CBAA415" w:rsidR="00EB035B" w:rsidRPr="00E033F1" w:rsidRDefault="00EB035B" w:rsidP="00E033F1">
      <w:pPr>
        <w:contextualSpacing/>
        <w:rPr>
          <w:rFonts w:asciiTheme="minorHAnsi" w:hAnsiTheme="minorHAnsi" w:cstheme="minorHAnsi"/>
          <w:color w:val="auto"/>
        </w:rPr>
      </w:pPr>
    </w:p>
    <w:p w14:paraId="64FB8590" w14:textId="7185C869" w:rsidR="006305D7" w:rsidRPr="00E033F1" w:rsidRDefault="006305D7" w:rsidP="00E033F1">
      <w:pPr>
        <w:widowControl/>
        <w:autoSpaceDE/>
        <w:autoSpaceDN/>
        <w:adjustRightInd/>
        <w:contextualSpacing/>
        <w:jc w:val="left"/>
        <w:rPr>
          <w:rFonts w:asciiTheme="minorHAnsi" w:hAnsiTheme="minorHAnsi" w:cstheme="minorHAnsi"/>
          <w:b/>
          <w:bCs/>
          <w:color w:val="auto"/>
        </w:rPr>
      </w:pPr>
      <w:r w:rsidRPr="00E033F1">
        <w:rPr>
          <w:rFonts w:asciiTheme="minorHAnsi" w:hAnsiTheme="minorHAnsi" w:cstheme="minorHAnsi"/>
          <w:b/>
          <w:bCs/>
          <w:color w:val="auto"/>
        </w:rPr>
        <w:t>ABSTRACT:</w:t>
      </w:r>
      <w:r w:rsidRPr="00E033F1">
        <w:rPr>
          <w:rFonts w:asciiTheme="minorHAnsi" w:hAnsiTheme="minorHAnsi" w:cstheme="minorHAnsi"/>
          <w:color w:val="auto"/>
        </w:rPr>
        <w:t xml:space="preserve"> </w:t>
      </w:r>
    </w:p>
    <w:p w14:paraId="3760A415" w14:textId="0FC85544" w:rsidR="002701D7" w:rsidRPr="00E033F1" w:rsidRDefault="002701D7" w:rsidP="00E033F1">
      <w:pPr>
        <w:contextualSpacing/>
        <w:rPr>
          <w:color w:val="auto"/>
        </w:rPr>
      </w:pPr>
      <w:r w:rsidRPr="00E033F1">
        <w:rPr>
          <w:color w:val="auto"/>
        </w:rPr>
        <w:t xml:space="preserve">Glutathione S-transferases (GSTs) are metabolic enzymes responsible </w:t>
      </w:r>
      <w:r w:rsidR="00FF0CE9" w:rsidRPr="00E033F1">
        <w:rPr>
          <w:color w:val="auto"/>
        </w:rPr>
        <w:t xml:space="preserve">for </w:t>
      </w:r>
      <w:r w:rsidRPr="00E033F1">
        <w:rPr>
          <w:color w:val="auto"/>
        </w:rPr>
        <w:t xml:space="preserve">the elimination of endogenous </w:t>
      </w:r>
      <w:r w:rsidR="00FF0CE9" w:rsidRPr="00E033F1">
        <w:rPr>
          <w:color w:val="auto"/>
        </w:rPr>
        <w:t>or</w:t>
      </w:r>
      <w:r w:rsidRPr="00E033F1">
        <w:rPr>
          <w:color w:val="auto"/>
        </w:rPr>
        <w:t xml:space="preserve"> exogenous </w:t>
      </w:r>
      <w:r w:rsidR="00FF0CE9" w:rsidRPr="00E033F1">
        <w:rPr>
          <w:color w:val="auto"/>
        </w:rPr>
        <w:t xml:space="preserve">electrophilic </w:t>
      </w:r>
      <w:r w:rsidRPr="00E033F1">
        <w:rPr>
          <w:color w:val="auto"/>
        </w:rPr>
        <w:t>compounds by glutathione (GSH) conjugation. In addition, GSTs are regulators of mitogen-activated protein kinases (MAPK</w:t>
      </w:r>
      <w:r w:rsidR="006132DD" w:rsidRPr="00E033F1">
        <w:rPr>
          <w:color w:val="auto"/>
        </w:rPr>
        <w:t>s</w:t>
      </w:r>
      <w:r w:rsidRPr="00E033F1">
        <w:rPr>
          <w:color w:val="auto"/>
        </w:rPr>
        <w:t>) involved in apopto</w:t>
      </w:r>
      <w:r w:rsidR="00B37E04" w:rsidRPr="00E033F1">
        <w:rPr>
          <w:color w:val="auto"/>
        </w:rPr>
        <w:t>tic pathways</w:t>
      </w:r>
      <w:r w:rsidRPr="00E033F1">
        <w:rPr>
          <w:color w:val="auto"/>
        </w:rPr>
        <w:t xml:space="preserve">. Overexpression of GSTs is correlated with decreased therapeutic efficacy among patients undergoing chemotherapy with electrophilic alkylating agents. Using GST inhibitors may be a potential solution to reverse this tendency and augment treatment potency. Achieving this goal requires the discovery of such compounds, with an accurate, </w:t>
      </w:r>
      <w:r w:rsidR="00545347" w:rsidRPr="00E033F1">
        <w:rPr>
          <w:color w:val="auto"/>
        </w:rPr>
        <w:t>quick,</w:t>
      </w:r>
      <w:r w:rsidRPr="00E033F1">
        <w:rPr>
          <w:color w:val="auto"/>
        </w:rPr>
        <w:t xml:space="preserve"> and easy enzym</w:t>
      </w:r>
      <w:r w:rsidR="00EE6B80" w:rsidRPr="00E033F1">
        <w:rPr>
          <w:color w:val="auto"/>
        </w:rPr>
        <w:t>e</w:t>
      </w:r>
      <w:r w:rsidRPr="00E033F1">
        <w:rPr>
          <w:color w:val="auto"/>
        </w:rPr>
        <w:t xml:space="preserve"> assay. A spectrophotometric protocol using 1-chloro-2,4-dinitrobenzene (CDNB) as the substrate is the most employed method in the literature. However, </w:t>
      </w:r>
      <w:r w:rsidR="00B37E04" w:rsidRPr="00E033F1">
        <w:rPr>
          <w:color w:val="auto"/>
        </w:rPr>
        <w:t>already described</w:t>
      </w:r>
      <w:r w:rsidRPr="00E033F1">
        <w:rPr>
          <w:color w:val="auto"/>
        </w:rPr>
        <w:t xml:space="preserve"> GST inhibition experiments do not provide </w:t>
      </w:r>
      <w:r w:rsidR="00B37E04" w:rsidRPr="00E033F1">
        <w:rPr>
          <w:color w:val="auto"/>
        </w:rPr>
        <w:t xml:space="preserve">a protocol detailing </w:t>
      </w:r>
      <w:r w:rsidRPr="00E033F1">
        <w:rPr>
          <w:color w:val="auto"/>
        </w:rPr>
        <w:t>each stage of an optimal inhibition assay, such as the measurement of the Michaelis-Menten constant (K</w:t>
      </w:r>
      <w:r w:rsidRPr="00E033F1">
        <w:rPr>
          <w:color w:val="auto"/>
          <w:vertAlign w:val="subscript"/>
        </w:rPr>
        <w:t>m</w:t>
      </w:r>
      <w:r w:rsidRPr="00E033F1">
        <w:rPr>
          <w:color w:val="auto"/>
        </w:rPr>
        <w:t>)</w:t>
      </w:r>
      <w:r w:rsidR="00545347" w:rsidRPr="00E033F1">
        <w:rPr>
          <w:color w:val="auto"/>
        </w:rPr>
        <w:t xml:space="preserve"> for CDNB</w:t>
      </w:r>
      <w:r w:rsidRPr="00E033F1">
        <w:rPr>
          <w:color w:val="auto"/>
        </w:rPr>
        <w:t xml:space="preserve"> or indication of the </w:t>
      </w:r>
      <w:r w:rsidR="006132DD" w:rsidRPr="00E033F1">
        <w:rPr>
          <w:color w:val="auto"/>
        </w:rPr>
        <w:t>employed</w:t>
      </w:r>
      <w:r w:rsidR="00196D00" w:rsidRPr="00E033F1">
        <w:rPr>
          <w:color w:val="auto"/>
        </w:rPr>
        <w:t xml:space="preserve"> </w:t>
      </w:r>
      <w:r w:rsidRPr="00E033F1">
        <w:rPr>
          <w:color w:val="auto"/>
        </w:rPr>
        <w:lastRenderedPageBreak/>
        <w:t>enzym</w:t>
      </w:r>
      <w:r w:rsidR="00B37E04" w:rsidRPr="00E033F1">
        <w:rPr>
          <w:color w:val="auto"/>
        </w:rPr>
        <w:t>e</w:t>
      </w:r>
      <w:r w:rsidRPr="00E033F1">
        <w:rPr>
          <w:color w:val="auto"/>
        </w:rPr>
        <w:t xml:space="preserve"> concentration, crucial parameters to assess the inhibition potency of a tested compound. </w:t>
      </w:r>
      <w:r w:rsidR="00196D00" w:rsidRPr="00E033F1">
        <w:rPr>
          <w:color w:val="auto"/>
        </w:rPr>
        <w:t>Hence, w</w:t>
      </w:r>
      <w:r w:rsidRPr="00E033F1">
        <w:rPr>
          <w:color w:val="auto"/>
        </w:rPr>
        <w:t xml:space="preserve">ith this protocol, we </w:t>
      </w:r>
      <w:r w:rsidR="00196D00" w:rsidRPr="00E033F1">
        <w:rPr>
          <w:color w:val="auto"/>
        </w:rPr>
        <w:t>describe</w:t>
      </w:r>
      <w:r w:rsidRPr="00E033F1">
        <w:rPr>
          <w:color w:val="auto"/>
        </w:rPr>
        <w:t xml:space="preserve"> e</w:t>
      </w:r>
      <w:r w:rsidR="00196D00" w:rsidRPr="00E033F1">
        <w:rPr>
          <w:color w:val="auto"/>
        </w:rPr>
        <w:t>ach</w:t>
      </w:r>
      <w:r w:rsidRPr="00E033F1">
        <w:rPr>
          <w:color w:val="auto"/>
        </w:rPr>
        <w:t xml:space="preserve"> step of an optimized spectrophotometric GST enzym</w:t>
      </w:r>
      <w:r w:rsidR="00EE6B80" w:rsidRPr="00E033F1">
        <w:rPr>
          <w:color w:val="auto"/>
        </w:rPr>
        <w:t>e</w:t>
      </w:r>
      <w:r w:rsidRPr="00E033F1">
        <w:rPr>
          <w:color w:val="auto"/>
        </w:rPr>
        <w:t xml:space="preserve"> assay, to screen libraries of potential inhibitors. We explain the calculation of both the half-maximal inhibitory concentration (IC50) and the constant of inhibition (K</w:t>
      </w:r>
      <w:r w:rsidRPr="00E033F1">
        <w:rPr>
          <w:color w:val="auto"/>
          <w:vertAlign w:val="subscript"/>
        </w:rPr>
        <w:t>i</w:t>
      </w:r>
      <w:r w:rsidRPr="00E033F1">
        <w:rPr>
          <w:color w:val="auto"/>
        </w:rPr>
        <w:t>)—two characteristics used to measure the potency of an enzym</w:t>
      </w:r>
      <w:r w:rsidR="009147F9" w:rsidRPr="00E033F1">
        <w:rPr>
          <w:color w:val="auto"/>
        </w:rPr>
        <w:t>e</w:t>
      </w:r>
      <w:r w:rsidRPr="00E033F1">
        <w:rPr>
          <w:color w:val="auto"/>
        </w:rPr>
        <w:t xml:space="preserve"> inhibitor. </w:t>
      </w:r>
      <w:r w:rsidR="009147F9" w:rsidRPr="00E033F1">
        <w:rPr>
          <w:color w:val="auto"/>
        </w:rPr>
        <w:t xml:space="preserve">The </w:t>
      </w:r>
      <w:r w:rsidR="00545347" w:rsidRPr="00E033F1">
        <w:rPr>
          <w:color w:val="auto"/>
        </w:rPr>
        <w:t>method</w:t>
      </w:r>
      <w:r w:rsidR="009147F9" w:rsidRPr="00E033F1">
        <w:rPr>
          <w:color w:val="auto"/>
        </w:rPr>
        <w:t xml:space="preserve"> described c</w:t>
      </w:r>
      <w:r w:rsidRPr="00E033F1">
        <w:rPr>
          <w:color w:val="auto"/>
        </w:rPr>
        <w:t xml:space="preserve">an be </w:t>
      </w:r>
      <w:r w:rsidR="009147F9" w:rsidRPr="00E033F1">
        <w:rPr>
          <w:color w:val="auto"/>
        </w:rPr>
        <w:t>implemented using</w:t>
      </w:r>
      <w:r w:rsidRPr="00E033F1">
        <w:rPr>
          <w:color w:val="auto"/>
        </w:rPr>
        <w:t xml:space="preserve"> a pool of GSTs extracted from cells or pure recombinant human GSTs, namely </w:t>
      </w:r>
      <w:r w:rsidR="009147F9" w:rsidRPr="00E033F1">
        <w:rPr>
          <w:color w:val="auto"/>
        </w:rPr>
        <w:t>GST alpha</w:t>
      </w:r>
      <w:r w:rsidR="00186D95" w:rsidRPr="00E033F1">
        <w:rPr>
          <w:color w:val="auto"/>
        </w:rPr>
        <w:t xml:space="preserve"> </w:t>
      </w:r>
      <w:r w:rsidR="009147F9" w:rsidRPr="00E033F1">
        <w:rPr>
          <w:color w:val="auto"/>
        </w:rPr>
        <w:t>1</w:t>
      </w:r>
      <w:r w:rsidR="00545347" w:rsidRPr="00E033F1">
        <w:rPr>
          <w:color w:val="auto"/>
        </w:rPr>
        <w:t xml:space="preserve"> </w:t>
      </w:r>
      <w:r w:rsidR="009147F9" w:rsidRPr="00E033F1">
        <w:rPr>
          <w:color w:val="auto"/>
        </w:rPr>
        <w:t>(GSTA1)</w:t>
      </w:r>
      <w:r w:rsidRPr="00E033F1">
        <w:rPr>
          <w:color w:val="auto"/>
        </w:rPr>
        <w:t xml:space="preserve">, </w:t>
      </w:r>
      <w:r w:rsidR="009147F9" w:rsidRPr="00E033F1">
        <w:rPr>
          <w:color w:val="auto"/>
        </w:rPr>
        <w:t>GST mu</w:t>
      </w:r>
      <w:r w:rsidR="00186D95" w:rsidRPr="00E033F1">
        <w:rPr>
          <w:color w:val="auto"/>
        </w:rPr>
        <w:t xml:space="preserve"> </w:t>
      </w:r>
      <w:r w:rsidR="009147F9" w:rsidRPr="00E033F1">
        <w:rPr>
          <w:color w:val="auto"/>
        </w:rPr>
        <w:t>1 (</w:t>
      </w:r>
      <w:r w:rsidRPr="00E033F1">
        <w:rPr>
          <w:color w:val="auto"/>
        </w:rPr>
        <w:t>GSTM1</w:t>
      </w:r>
      <w:r w:rsidR="009147F9" w:rsidRPr="00E033F1">
        <w:rPr>
          <w:color w:val="auto"/>
        </w:rPr>
        <w:t>)</w:t>
      </w:r>
      <w:r w:rsidRPr="00E033F1">
        <w:rPr>
          <w:color w:val="auto"/>
        </w:rPr>
        <w:t xml:space="preserve"> or </w:t>
      </w:r>
      <w:r w:rsidR="009147F9" w:rsidRPr="00E033F1">
        <w:rPr>
          <w:color w:val="auto"/>
        </w:rPr>
        <w:t>GST pi</w:t>
      </w:r>
      <w:r w:rsidR="00186D95" w:rsidRPr="00E033F1">
        <w:rPr>
          <w:color w:val="auto"/>
        </w:rPr>
        <w:t xml:space="preserve"> </w:t>
      </w:r>
      <w:r w:rsidR="009147F9" w:rsidRPr="00E033F1">
        <w:rPr>
          <w:color w:val="auto"/>
        </w:rPr>
        <w:t>1 (</w:t>
      </w:r>
      <w:r w:rsidRPr="00E033F1">
        <w:rPr>
          <w:color w:val="auto"/>
        </w:rPr>
        <w:t>GSTP1</w:t>
      </w:r>
      <w:r w:rsidR="009147F9" w:rsidRPr="00E033F1">
        <w:rPr>
          <w:color w:val="auto"/>
        </w:rPr>
        <w:t>)</w:t>
      </w:r>
      <w:r w:rsidRPr="00E033F1">
        <w:rPr>
          <w:color w:val="auto"/>
        </w:rPr>
        <w:t xml:space="preserve">. </w:t>
      </w:r>
      <w:r w:rsidR="00D73079" w:rsidRPr="00E033F1">
        <w:rPr>
          <w:color w:val="auto"/>
        </w:rPr>
        <w:t>However</w:t>
      </w:r>
      <w:r w:rsidRPr="00E033F1">
        <w:rPr>
          <w:color w:val="auto"/>
        </w:rPr>
        <w:t>, this protocol cannot be applied to GST</w:t>
      </w:r>
      <w:r w:rsidR="00186D95" w:rsidRPr="00E033F1">
        <w:rPr>
          <w:color w:val="auto"/>
        </w:rPr>
        <w:t xml:space="preserve"> </w:t>
      </w:r>
      <w:r w:rsidR="00D73079" w:rsidRPr="00E033F1">
        <w:rPr>
          <w:color w:val="auto"/>
        </w:rPr>
        <w:t>theta 1 (GST</w:t>
      </w:r>
      <w:r w:rsidRPr="00E033F1">
        <w:rPr>
          <w:color w:val="auto"/>
        </w:rPr>
        <w:t>T1</w:t>
      </w:r>
      <w:r w:rsidR="00D73079" w:rsidRPr="00E033F1">
        <w:rPr>
          <w:color w:val="auto"/>
        </w:rPr>
        <w:t>)</w:t>
      </w:r>
      <w:r w:rsidRPr="00E033F1">
        <w:rPr>
          <w:color w:val="auto"/>
        </w:rPr>
        <w:t xml:space="preserve">, as CDNB is not a substrate for this isoform. </w:t>
      </w:r>
      <w:r w:rsidR="00545347" w:rsidRPr="00E033F1">
        <w:rPr>
          <w:color w:val="auto"/>
        </w:rPr>
        <w:t>This method</w:t>
      </w:r>
      <w:r w:rsidRPr="00E033F1">
        <w:rPr>
          <w:color w:val="auto"/>
        </w:rPr>
        <w:t xml:space="preserve"> was </w:t>
      </w:r>
      <w:r w:rsidR="006071DB" w:rsidRPr="00E033F1">
        <w:rPr>
          <w:color w:val="auto"/>
        </w:rPr>
        <w:t>used</w:t>
      </w:r>
      <w:r w:rsidRPr="00E033F1">
        <w:rPr>
          <w:color w:val="auto"/>
        </w:rPr>
        <w:t xml:space="preserve"> to test the inhibition potency of curcumin</w:t>
      </w:r>
      <w:r w:rsidR="00F913EB" w:rsidRPr="00E033F1">
        <w:rPr>
          <w:color w:val="auto"/>
        </w:rPr>
        <w:t xml:space="preserve"> using GSTs from equine liver. Curcumin is</w:t>
      </w:r>
      <w:r w:rsidRPr="00E033F1">
        <w:rPr>
          <w:color w:val="auto"/>
        </w:rPr>
        <w:t xml:space="preserve"> a molecule </w:t>
      </w:r>
      <w:r w:rsidR="00F913EB" w:rsidRPr="00E033F1">
        <w:rPr>
          <w:color w:val="auto"/>
        </w:rPr>
        <w:t>exhibiting</w:t>
      </w:r>
      <w:r w:rsidRPr="00E033F1">
        <w:rPr>
          <w:color w:val="auto"/>
        </w:rPr>
        <w:t xml:space="preserve"> anti-cancer properties</w:t>
      </w:r>
      <w:r w:rsidR="00F913EB" w:rsidRPr="00E033F1">
        <w:rPr>
          <w:color w:val="auto"/>
        </w:rPr>
        <w:t xml:space="preserve"> and </w:t>
      </w:r>
      <w:r w:rsidR="00F222C1" w:rsidRPr="00E033F1">
        <w:rPr>
          <w:color w:val="auto"/>
        </w:rPr>
        <w:t xml:space="preserve">showed affinity towards GST isoforms </w:t>
      </w:r>
      <w:r w:rsidR="00862921" w:rsidRPr="00E033F1">
        <w:rPr>
          <w:color w:val="auto"/>
        </w:rPr>
        <w:t>after</w:t>
      </w:r>
      <w:r w:rsidR="00F222C1" w:rsidRPr="00E033F1">
        <w:rPr>
          <w:color w:val="auto"/>
        </w:rPr>
        <w:t xml:space="preserve"> in silico </w:t>
      </w:r>
      <w:r w:rsidR="00A947B7" w:rsidRPr="00E033F1">
        <w:rPr>
          <w:color w:val="auto"/>
        </w:rPr>
        <w:t>docking predictions</w:t>
      </w:r>
      <w:r w:rsidRPr="00E033F1">
        <w:rPr>
          <w:color w:val="auto"/>
        </w:rPr>
        <w:t xml:space="preserve">. We demonstrated that </w:t>
      </w:r>
      <w:r w:rsidR="00DB3AA6" w:rsidRPr="00E033F1">
        <w:rPr>
          <w:color w:val="auto"/>
        </w:rPr>
        <w:t>curcumin</w:t>
      </w:r>
      <w:r w:rsidRPr="00E033F1">
        <w:rPr>
          <w:color w:val="auto"/>
        </w:rPr>
        <w:t xml:space="preserve"> is a potent competitive GST inhibitor, with an IC50 of </w:t>
      </w:r>
      <w:r w:rsidRPr="00E033F1">
        <w:rPr>
          <w:rFonts w:asciiTheme="minorHAnsi" w:hAnsiTheme="minorHAnsi" w:cstheme="minorHAnsi"/>
          <w:color w:val="auto"/>
        </w:rPr>
        <w:t>31.6 ± 3.6 </w:t>
      </w:r>
      <w:r w:rsidR="00236C61" w:rsidRPr="00E033F1">
        <w:rPr>
          <w:rFonts w:asciiTheme="minorHAnsi" w:hAnsiTheme="minorHAnsi" w:cstheme="minorHAnsi"/>
          <w:color w:val="auto"/>
        </w:rPr>
        <w:t>µ</w:t>
      </w:r>
      <w:r w:rsidRPr="00E033F1">
        <w:rPr>
          <w:rFonts w:asciiTheme="minorHAnsi" w:hAnsiTheme="minorHAnsi" w:cstheme="minorHAnsi"/>
          <w:color w:val="auto"/>
        </w:rPr>
        <w:t>M and a K</w:t>
      </w:r>
      <w:r w:rsidRPr="00E033F1">
        <w:rPr>
          <w:rFonts w:asciiTheme="minorHAnsi" w:hAnsiTheme="minorHAnsi" w:cstheme="minorHAnsi"/>
          <w:color w:val="auto"/>
          <w:vertAlign w:val="subscript"/>
        </w:rPr>
        <w:t>i</w:t>
      </w:r>
      <w:r w:rsidRPr="00E033F1">
        <w:rPr>
          <w:rFonts w:asciiTheme="minorHAnsi" w:hAnsiTheme="minorHAnsi" w:cstheme="minorHAnsi"/>
          <w:color w:val="auto"/>
        </w:rPr>
        <w:t xml:space="preserve"> of 23.2 ± 3.2 </w:t>
      </w:r>
      <w:r w:rsidR="00236C61" w:rsidRPr="00E033F1">
        <w:rPr>
          <w:rFonts w:asciiTheme="minorHAnsi" w:hAnsiTheme="minorHAnsi" w:cstheme="minorHAnsi"/>
          <w:color w:val="auto"/>
        </w:rPr>
        <w:t>µ</w:t>
      </w:r>
      <w:r w:rsidRPr="00E033F1">
        <w:rPr>
          <w:rFonts w:asciiTheme="minorHAnsi" w:hAnsiTheme="minorHAnsi" w:cstheme="minorHAnsi"/>
          <w:color w:val="auto"/>
        </w:rPr>
        <w:t>M.</w:t>
      </w:r>
      <w:r w:rsidR="00DB3AA6" w:rsidRPr="00E033F1">
        <w:rPr>
          <w:rFonts w:asciiTheme="minorHAnsi" w:hAnsiTheme="minorHAnsi" w:cstheme="minorHAnsi"/>
          <w:color w:val="auto"/>
        </w:rPr>
        <w:t xml:space="preserve"> Curcumin has potential to be combined with electrophilic chemotherapy medication to improve its efficacy. </w:t>
      </w:r>
    </w:p>
    <w:p w14:paraId="4DE1B350" w14:textId="3940153C" w:rsidR="000B4B7B" w:rsidRPr="00E033F1" w:rsidRDefault="00196D00" w:rsidP="00E033F1">
      <w:pPr>
        <w:contextualSpacing/>
        <w:rPr>
          <w:rFonts w:asciiTheme="minorHAnsi" w:hAnsiTheme="minorHAnsi" w:cstheme="minorHAnsi"/>
          <w:color w:val="auto"/>
        </w:rPr>
      </w:pPr>
      <w:r w:rsidRPr="00E033F1">
        <w:rPr>
          <w:color w:val="auto"/>
        </w:rPr>
        <w:t xml:space="preserve"> </w:t>
      </w:r>
    </w:p>
    <w:p w14:paraId="2FCA0E8E" w14:textId="148DD68F" w:rsidR="00B83F5E" w:rsidRPr="00E033F1" w:rsidRDefault="006305D7" w:rsidP="00E033F1">
      <w:pPr>
        <w:widowControl/>
        <w:autoSpaceDE/>
        <w:autoSpaceDN/>
        <w:adjustRightInd/>
        <w:contextualSpacing/>
        <w:jc w:val="left"/>
        <w:rPr>
          <w:rFonts w:asciiTheme="minorHAnsi" w:hAnsiTheme="minorHAnsi" w:cstheme="minorHAnsi"/>
          <w:color w:val="auto"/>
        </w:rPr>
      </w:pPr>
      <w:r w:rsidRPr="00E033F1">
        <w:rPr>
          <w:rFonts w:asciiTheme="minorHAnsi" w:hAnsiTheme="minorHAnsi" w:cstheme="minorHAnsi"/>
          <w:b/>
          <w:color w:val="auto"/>
        </w:rPr>
        <w:t>INTRODUCTION</w:t>
      </w:r>
      <w:r w:rsidRPr="00E033F1">
        <w:rPr>
          <w:rFonts w:asciiTheme="minorHAnsi" w:hAnsiTheme="minorHAnsi" w:cstheme="minorHAnsi"/>
          <w:b/>
          <w:bCs/>
          <w:color w:val="auto"/>
        </w:rPr>
        <w:t>:</w:t>
      </w:r>
      <w:r w:rsidRPr="00E033F1">
        <w:rPr>
          <w:rFonts w:asciiTheme="minorHAnsi" w:hAnsiTheme="minorHAnsi" w:cstheme="minorHAnsi"/>
          <w:color w:val="auto"/>
        </w:rPr>
        <w:t xml:space="preserve"> </w:t>
      </w:r>
    </w:p>
    <w:p w14:paraId="05A7B8FF" w14:textId="414A9A48" w:rsidR="0038267C" w:rsidRPr="00E033F1" w:rsidRDefault="005D3E6E" w:rsidP="00E033F1">
      <w:pPr>
        <w:contextualSpacing/>
        <w:rPr>
          <w:rFonts w:asciiTheme="minorHAnsi" w:hAnsiTheme="minorHAnsi" w:cstheme="minorHAnsi"/>
          <w:color w:val="auto"/>
        </w:rPr>
      </w:pPr>
      <w:r w:rsidRPr="00E033F1">
        <w:rPr>
          <w:color w:val="auto"/>
        </w:rPr>
        <w:t>C</w:t>
      </w:r>
      <w:r w:rsidR="00906493" w:rsidRPr="00E033F1">
        <w:rPr>
          <w:color w:val="auto"/>
        </w:rPr>
        <w:t>ytosolic g</w:t>
      </w:r>
      <w:r w:rsidR="008F28C8" w:rsidRPr="00E033F1">
        <w:rPr>
          <w:color w:val="auto"/>
        </w:rPr>
        <w:t>lutathione</w:t>
      </w:r>
      <w:r w:rsidR="008F49BB" w:rsidRPr="00E033F1">
        <w:rPr>
          <w:color w:val="auto"/>
        </w:rPr>
        <w:t xml:space="preserve"> S</w:t>
      </w:r>
      <w:r w:rsidR="008F28C8" w:rsidRPr="00E033F1">
        <w:rPr>
          <w:color w:val="auto"/>
        </w:rPr>
        <w:t>-transferase</w:t>
      </w:r>
      <w:r w:rsidR="00906493" w:rsidRPr="00E033F1">
        <w:rPr>
          <w:color w:val="auto"/>
        </w:rPr>
        <w:t xml:space="preserve"> enzymes</w:t>
      </w:r>
      <w:r w:rsidR="008F28C8" w:rsidRPr="00E033F1">
        <w:rPr>
          <w:color w:val="auto"/>
        </w:rPr>
        <w:t xml:space="preserve"> (GSTs</w:t>
      </w:r>
      <w:r w:rsidR="00BA418A" w:rsidRPr="00E033F1">
        <w:rPr>
          <w:color w:val="auto"/>
        </w:rPr>
        <w:t>, EC 2.5.1.18</w:t>
      </w:r>
      <w:r w:rsidR="008F28C8" w:rsidRPr="00E033F1">
        <w:rPr>
          <w:color w:val="auto"/>
        </w:rPr>
        <w:t xml:space="preserve">) catalyze the conjugation of glutathione (GSH) </w:t>
      </w:r>
      <w:r w:rsidR="00D853C8" w:rsidRPr="00E033F1">
        <w:rPr>
          <w:color w:val="auto"/>
        </w:rPr>
        <w:t>in</w:t>
      </w:r>
      <w:r w:rsidR="008F28C8" w:rsidRPr="00E033F1">
        <w:rPr>
          <w:color w:val="auto"/>
        </w:rPr>
        <w:t>to various electrophilic compounds</w:t>
      </w:r>
      <w:r w:rsidR="00D53DFD" w:rsidRPr="00E033F1">
        <w:rPr>
          <w:color w:val="auto"/>
        </w:rPr>
        <w:t>, such as</w:t>
      </w:r>
      <w:r w:rsidR="00A8090D" w:rsidRPr="00E033F1">
        <w:rPr>
          <w:color w:val="auto"/>
        </w:rPr>
        <w:t xml:space="preserve"> </w:t>
      </w:r>
      <w:r w:rsidRPr="00E033F1">
        <w:rPr>
          <w:color w:val="auto"/>
        </w:rPr>
        <w:t>chemot</w:t>
      </w:r>
      <w:r w:rsidR="00D53DFD" w:rsidRPr="00E033F1">
        <w:rPr>
          <w:color w:val="auto"/>
        </w:rPr>
        <w:t>he</w:t>
      </w:r>
      <w:r w:rsidRPr="00E033F1">
        <w:rPr>
          <w:color w:val="auto"/>
        </w:rPr>
        <w:t>rapeutic agents</w:t>
      </w:r>
      <w:r w:rsidR="00D853C8" w:rsidRPr="00E033F1">
        <w:rPr>
          <w:color w:val="auto"/>
        </w:rPr>
        <w:t>,</w:t>
      </w:r>
      <w:r w:rsidR="00DD5C46" w:rsidRPr="00E033F1">
        <w:rPr>
          <w:color w:val="auto"/>
        </w:rPr>
        <w:t xml:space="preserve"> to detoxify and eliminate them easily from the body</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{"citationID":"VKMN3mZH","properties":{"formattedCitation":"\\super 1\\nosupersub{}","plainCitation":"1","noteIndex":0},"citationItems":[{"id":194,"uris":["http://zotero.org/users/local/bXXP6LKp/items/X7J5KX38"],"uri":["http://zotero.org/users/local/bXXP6LKp/items/X7J5KX38"],"itemData":{"id":194,"type":"article-journal","abstract":"The glutathione transferases are recognized as important catalysts in the biotransformation of xenobiotics, including drugs as well as environmental pollutants. Multiple forms exist, and numerous transferases from mammalian tissues, insects, and plants have been isolated and characterized. Enzymatic properties, reactions with antibodies, and structural characteristics have been used for classification of the glutathione transferases. The cytosolic mammalian enzymes could be grouped into three distinct classes--Alpha, Mu, and Pi; the microsomal glutathione transferase differs greatly from all the cytosolic enzymes. Members of each enzyme class have been identified in human, rat, and mouse tissues. Comparison of known primary structures of representatives of each class suggests a divergent evolution of the enzyme proteins from a common precursor. Products of oxidative metabolism such as organic hydroperoxides, epoxides, quinones, and activated alkenes are possible \"natural\" substrates for the glutathione transferases. Particularly noteworthy are 4-hydroxyalkenals, which are among the best substrates found. Homologous series of substrates give information about the properties of the corresponding binding site. The catalytic mechanism and the active-site topology have been probed also by use of chiral substrates. Steady-state kinetics have provided evidence for a \"sequential\" mechanism.","container-title":"CRC critical reviews in biochemistry","ISSN":"0045-6411","issue":"3","journalAbbreviation":"CRC Crit. Rev. Biochem.","language":"eng","note":"PMID: 3069329","page":"283-337","source":"PubMed","title":"Glutathione transferases--structure and catalytic activity","volume":"23","author":[{"family":"Mannervik","given":"B."},{"family":"Danielson","given":"U. H."}],"issued":{"date-parts":[["1988"]]}}}],"schema":"https://github.com/citation-style-language/schema/raw/master/csl-citation.json"}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color w:val="auto"/>
          <w:vertAlign w:val="superscript"/>
        </w:rPr>
        <w:t>1</w:t>
      </w:r>
      <w:r w:rsidR="00236C61" w:rsidRPr="00E033F1">
        <w:rPr>
          <w:rFonts w:asciiTheme="minorHAnsi" w:hAnsiTheme="minorHAnsi" w:cstheme="minorHAnsi"/>
          <w:color w:val="auto"/>
        </w:rPr>
        <w:fldChar w:fldCharType="end"/>
      </w:r>
      <w:r w:rsidR="00F979C4" w:rsidRPr="00E033F1">
        <w:rPr>
          <w:rFonts w:asciiTheme="minorHAnsi" w:hAnsiTheme="minorHAnsi" w:cstheme="minorHAnsi"/>
          <w:color w:val="auto"/>
        </w:rPr>
        <w:t>.</w:t>
      </w:r>
      <w:r w:rsidR="008F28C8" w:rsidRPr="00E033F1">
        <w:rPr>
          <w:rFonts w:asciiTheme="minorHAnsi" w:hAnsiTheme="minorHAnsi" w:cstheme="minorHAnsi"/>
          <w:color w:val="auto"/>
        </w:rPr>
        <w:t xml:space="preserve"> </w:t>
      </w:r>
      <w:r w:rsidR="00D853C8" w:rsidRPr="00E033F1">
        <w:rPr>
          <w:rFonts w:asciiTheme="minorHAnsi" w:hAnsiTheme="minorHAnsi" w:cstheme="minorHAnsi"/>
          <w:color w:val="auto"/>
        </w:rPr>
        <w:t>S</w:t>
      </w:r>
      <w:r w:rsidR="00016A93" w:rsidRPr="00E033F1">
        <w:rPr>
          <w:rFonts w:asciiTheme="minorHAnsi" w:hAnsiTheme="minorHAnsi" w:cstheme="minorHAnsi"/>
          <w:color w:val="auto"/>
        </w:rPr>
        <w:t>even</w:t>
      </w:r>
      <w:r w:rsidR="002A0CCF" w:rsidRPr="00E033F1">
        <w:rPr>
          <w:rFonts w:asciiTheme="minorHAnsi" w:hAnsiTheme="minorHAnsi" w:cstheme="minorHAnsi"/>
          <w:color w:val="auto"/>
        </w:rPr>
        <w:t xml:space="preserve"> isoforms of </w:t>
      </w:r>
      <w:r w:rsidR="00D53DFD" w:rsidRPr="00E033F1">
        <w:rPr>
          <w:rFonts w:asciiTheme="minorHAnsi" w:hAnsiTheme="minorHAnsi" w:cstheme="minorHAnsi"/>
          <w:color w:val="auto"/>
        </w:rPr>
        <w:t xml:space="preserve">cytosolic </w:t>
      </w:r>
      <w:r w:rsidR="002A0CCF" w:rsidRPr="00E033F1">
        <w:rPr>
          <w:rFonts w:asciiTheme="minorHAnsi" w:hAnsiTheme="minorHAnsi" w:cstheme="minorHAnsi"/>
          <w:color w:val="auto"/>
        </w:rPr>
        <w:t>GST</w:t>
      </w:r>
      <w:r w:rsidR="00D853C8" w:rsidRPr="00E033F1">
        <w:rPr>
          <w:rFonts w:asciiTheme="minorHAnsi" w:hAnsiTheme="minorHAnsi" w:cstheme="minorHAnsi"/>
          <w:color w:val="auto"/>
        </w:rPr>
        <w:t xml:space="preserve"> have been</w:t>
      </w:r>
      <w:r w:rsidR="002A0CCF" w:rsidRPr="00E033F1">
        <w:rPr>
          <w:rFonts w:asciiTheme="minorHAnsi" w:hAnsiTheme="minorHAnsi" w:cstheme="minorHAnsi"/>
          <w:color w:val="auto"/>
        </w:rPr>
        <w:t xml:space="preserve"> identified as alpha, mu, pi, sigma, omega, theta, and zeta. </w:t>
      </w:r>
      <w:r w:rsidR="00140278" w:rsidRPr="00E033F1">
        <w:rPr>
          <w:rFonts w:asciiTheme="minorHAnsi" w:hAnsiTheme="minorHAnsi" w:cstheme="minorHAnsi"/>
          <w:color w:val="auto"/>
        </w:rPr>
        <w:t xml:space="preserve">GSTs are </w:t>
      </w:r>
      <w:r w:rsidR="00B33F41" w:rsidRPr="00E033F1">
        <w:rPr>
          <w:rFonts w:asciiTheme="minorHAnsi" w:hAnsiTheme="minorHAnsi" w:cstheme="minorHAnsi"/>
          <w:color w:val="auto"/>
        </w:rPr>
        <w:t>mainly expressed</w:t>
      </w:r>
      <w:r w:rsidR="00976A25" w:rsidRPr="00E033F1">
        <w:rPr>
          <w:rFonts w:asciiTheme="minorHAnsi" w:hAnsiTheme="minorHAnsi" w:cstheme="minorHAnsi"/>
          <w:color w:val="auto"/>
        </w:rPr>
        <w:t xml:space="preserve"> in the liver</w:t>
      </w:r>
      <w:r w:rsidR="004041B2" w:rsidRPr="00E033F1">
        <w:rPr>
          <w:rFonts w:asciiTheme="minorHAnsi" w:hAnsiTheme="minorHAnsi" w:cstheme="minorHAnsi"/>
          <w:color w:val="auto"/>
        </w:rPr>
        <w:t>, test</w:t>
      </w:r>
      <w:r w:rsidR="00D853C8" w:rsidRPr="00E033F1">
        <w:rPr>
          <w:rFonts w:asciiTheme="minorHAnsi" w:hAnsiTheme="minorHAnsi" w:cstheme="minorHAnsi"/>
          <w:color w:val="auto"/>
        </w:rPr>
        <w:t>e</w:t>
      </w:r>
      <w:r w:rsidR="004041B2" w:rsidRPr="00E033F1">
        <w:rPr>
          <w:rFonts w:asciiTheme="minorHAnsi" w:hAnsiTheme="minorHAnsi" w:cstheme="minorHAnsi"/>
          <w:color w:val="auto"/>
        </w:rPr>
        <w:t>s, lung</w:t>
      </w:r>
      <w:r w:rsidR="00D853C8" w:rsidRPr="00E033F1">
        <w:rPr>
          <w:rFonts w:asciiTheme="minorHAnsi" w:hAnsiTheme="minorHAnsi" w:cstheme="minorHAnsi"/>
          <w:color w:val="auto"/>
        </w:rPr>
        <w:t>s,</w:t>
      </w:r>
      <w:r w:rsidR="004041B2" w:rsidRPr="00E033F1">
        <w:rPr>
          <w:rFonts w:asciiTheme="minorHAnsi" w:hAnsiTheme="minorHAnsi" w:cstheme="minorHAnsi"/>
          <w:color w:val="auto"/>
        </w:rPr>
        <w:t xml:space="preserve"> and gastrointestinal tract</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{"citationID":"2WI5mUMp","properties":{"formattedCitation":"\\super 2\\nosupersub{}","plainCitation":"2","noteIndex":0},"citationItems":[{"id":420,"uris":["http://zotero.org/users/local/bXXP6LKp/items/72UCQLE4"],"uri":["http://zotero.org/users/local/bXXP6LKp/items/72UCQLE4"],"itemData":{"id":420,"type":"article-journal","abstract":"1. Multiple forms of glutathione S-transferase (GST) isoenzymes present in human tissues are dimers of subunits belonging to three distinct gene families namely alpha, mu and pi. Only the subunits within each class hybridize to give active dimers. 2. These subunits are differentially expressed in a tissue-specific manner and the composition of glutathione S-transferases in various tissues differs significantly. 3. Minor GST subunits not belonging to these three classes are also present in some tissues. 4. An ortholog of rat GST 8-8 and mouse mGSTA4-4 is selectively expressed in some human tissues including bladder, brain, heart, liver, and pancreas. This isoenzyme designated as GST 5.8 expresses several fold higher activity towards 4-hydroxy-2,3-trans-nonenal as compared to the routinely used substrate 1-chloro-2,4-dinitrobenzene.","container-title":"The International Journal of Biochemistry","ISSN":"0020-711X","issue":"3","journalAbbreviation":"Int. J. Biochem.","language":"eng","note":"PMID: 8187927","page":"295-308","source":"PubMed","title":"Human glutathione S-transferases","volume":"26","author":[{"family":"Awasthi","given":"Y. C."},{"family":"Sharma","given":"R."},{"family":"Singhal","given":"S. S."}],"issued":{"date-parts":[["1994",3]]}}}],"schema":"https://github.com/citation-style-language/schema/raw/master/csl-citation.json"}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rFonts w:cs="Times New Roman"/>
          <w:color w:val="auto"/>
          <w:vertAlign w:val="superscript"/>
        </w:rPr>
        <w:t>2</w:t>
      </w:r>
      <w:r w:rsidR="00236C61" w:rsidRPr="00E033F1">
        <w:rPr>
          <w:rFonts w:asciiTheme="minorHAnsi" w:hAnsiTheme="minorHAnsi" w:cstheme="minorHAnsi"/>
          <w:color w:val="auto"/>
        </w:rPr>
        <w:fldChar w:fldCharType="end"/>
      </w:r>
      <w:r w:rsidR="004041B2" w:rsidRPr="00E033F1">
        <w:rPr>
          <w:rFonts w:asciiTheme="minorHAnsi" w:hAnsiTheme="minorHAnsi" w:cstheme="minorHAnsi"/>
          <w:color w:val="auto"/>
        </w:rPr>
        <w:t>.</w:t>
      </w:r>
      <w:r w:rsidR="00522686" w:rsidRPr="00E033F1">
        <w:rPr>
          <w:rFonts w:asciiTheme="minorHAnsi" w:hAnsiTheme="minorHAnsi" w:cstheme="minorHAnsi"/>
          <w:color w:val="auto"/>
        </w:rPr>
        <w:t xml:space="preserve"> </w:t>
      </w:r>
      <w:r w:rsidR="00D853C8" w:rsidRPr="00E033F1">
        <w:rPr>
          <w:rFonts w:asciiTheme="minorHAnsi" w:hAnsiTheme="minorHAnsi" w:cstheme="minorHAnsi"/>
          <w:color w:val="auto"/>
        </w:rPr>
        <w:t xml:space="preserve">The </w:t>
      </w:r>
      <w:r w:rsidR="00976A25" w:rsidRPr="00E033F1">
        <w:rPr>
          <w:rFonts w:asciiTheme="minorHAnsi" w:hAnsiTheme="minorHAnsi" w:cstheme="minorHAnsi"/>
          <w:color w:val="auto"/>
        </w:rPr>
        <w:t>GST alp</w:t>
      </w:r>
      <w:r w:rsidR="00B33F41" w:rsidRPr="00E033F1">
        <w:rPr>
          <w:rFonts w:asciiTheme="minorHAnsi" w:hAnsiTheme="minorHAnsi" w:cstheme="minorHAnsi"/>
          <w:color w:val="auto"/>
        </w:rPr>
        <w:t xml:space="preserve">ha 1 (GSTA1) </w:t>
      </w:r>
      <w:r w:rsidR="00D853C8" w:rsidRPr="00E033F1">
        <w:rPr>
          <w:rFonts w:asciiTheme="minorHAnsi" w:hAnsiTheme="minorHAnsi" w:cstheme="minorHAnsi"/>
          <w:color w:val="auto"/>
        </w:rPr>
        <w:t xml:space="preserve">isoform </w:t>
      </w:r>
      <w:r w:rsidR="00B33F41" w:rsidRPr="00E033F1">
        <w:rPr>
          <w:rFonts w:asciiTheme="minorHAnsi" w:hAnsiTheme="minorHAnsi" w:cstheme="minorHAnsi"/>
          <w:color w:val="auto"/>
        </w:rPr>
        <w:t xml:space="preserve">is highly </w:t>
      </w:r>
      <w:r w:rsidR="00462189" w:rsidRPr="00E033F1">
        <w:rPr>
          <w:rFonts w:asciiTheme="minorHAnsi" w:hAnsiTheme="minorHAnsi" w:cstheme="minorHAnsi"/>
          <w:color w:val="auto"/>
        </w:rPr>
        <w:t>expressed</w:t>
      </w:r>
      <w:r w:rsidR="00D853C8" w:rsidRPr="00E033F1">
        <w:rPr>
          <w:rFonts w:asciiTheme="minorHAnsi" w:hAnsiTheme="minorHAnsi" w:cstheme="minorHAnsi"/>
          <w:color w:val="auto"/>
        </w:rPr>
        <w:t xml:space="preserve"> in hepatocytes</w:t>
      </w:r>
      <w:r w:rsidR="00976A25" w:rsidRPr="00E033F1">
        <w:rPr>
          <w:rFonts w:asciiTheme="minorHAnsi" w:hAnsiTheme="minorHAnsi" w:cstheme="minorHAnsi"/>
          <w:color w:val="auto"/>
        </w:rPr>
        <w:t xml:space="preserve">. </w:t>
      </w:r>
      <w:r w:rsidR="00D853C8" w:rsidRPr="00E033F1">
        <w:rPr>
          <w:rFonts w:asciiTheme="minorHAnsi" w:hAnsiTheme="minorHAnsi" w:cstheme="minorHAnsi"/>
          <w:color w:val="auto"/>
        </w:rPr>
        <w:t xml:space="preserve">The body </w:t>
      </w:r>
      <w:r w:rsidR="00976A25" w:rsidRPr="00E033F1">
        <w:rPr>
          <w:rFonts w:asciiTheme="minorHAnsi" w:hAnsiTheme="minorHAnsi" w:cstheme="minorHAnsi"/>
          <w:color w:val="auto"/>
        </w:rPr>
        <w:t xml:space="preserve">heterogeneously </w:t>
      </w:r>
      <w:r w:rsidR="007C5408" w:rsidRPr="00E033F1">
        <w:rPr>
          <w:rFonts w:asciiTheme="minorHAnsi" w:hAnsiTheme="minorHAnsi" w:cstheme="minorHAnsi"/>
          <w:color w:val="auto"/>
        </w:rPr>
        <w:t>expresse</w:t>
      </w:r>
      <w:r w:rsidR="00D853C8" w:rsidRPr="00E033F1">
        <w:rPr>
          <w:rFonts w:asciiTheme="minorHAnsi" w:hAnsiTheme="minorHAnsi" w:cstheme="minorHAnsi"/>
          <w:color w:val="auto"/>
        </w:rPr>
        <w:t>s other subtypes</w:t>
      </w:r>
      <w:r w:rsidR="000203D9" w:rsidRPr="00E033F1">
        <w:rPr>
          <w:rFonts w:asciiTheme="minorHAnsi" w:hAnsiTheme="minorHAnsi" w:cstheme="minorHAnsi"/>
          <w:color w:val="auto"/>
        </w:rPr>
        <w:t xml:space="preserve">, </w:t>
      </w:r>
      <w:r w:rsidR="00D853C8" w:rsidRPr="00E033F1">
        <w:rPr>
          <w:rFonts w:asciiTheme="minorHAnsi" w:hAnsiTheme="minorHAnsi" w:cstheme="minorHAnsi"/>
          <w:color w:val="auto"/>
        </w:rPr>
        <w:t>including</w:t>
      </w:r>
      <w:r w:rsidR="000203D9" w:rsidRPr="00E033F1">
        <w:rPr>
          <w:rFonts w:asciiTheme="minorHAnsi" w:hAnsiTheme="minorHAnsi" w:cstheme="minorHAnsi"/>
          <w:color w:val="auto"/>
        </w:rPr>
        <w:t xml:space="preserve"> GST</w:t>
      </w:r>
      <w:r w:rsidR="00606975" w:rsidRPr="00E033F1">
        <w:rPr>
          <w:rFonts w:asciiTheme="minorHAnsi" w:hAnsiTheme="minorHAnsi" w:cstheme="minorHAnsi"/>
          <w:color w:val="auto"/>
        </w:rPr>
        <w:t xml:space="preserve"> pi 1 (GSTP1)</w:t>
      </w:r>
      <w:r w:rsidR="000203D9" w:rsidRPr="00E033F1">
        <w:rPr>
          <w:rFonts w:asciiTheme="minorHAnsi" w:hAnsiTheme="minorHAnsi" w:cstheme="minorHAnsi"/>
          <w:color w:val="auto"/>
        </w:rPr>
        <w:t xml:space="preserve"> predominantly in </w:t>
      </w:r>
      <w:r w:rsidR="004041B2" w:rsidRPr="00E033F1">
        <w:rPr>
          <w:rFonts w:asciiTheme="minorHAnsi" w:hAnsiTheme="minorHAnsi" w:cstheme="minorHAnsi"/>
          <w:color w:val="auto"/>
        </w:rPr>
        <w:t>the brain, heart</w:t>
      </w:r>
      <w:r w:rsidR="00D853C8" w:rsidRPr="00E033F1">
        <w:rPr>
          <w:rFonts w:asciiTheme="minorHAnsi" w:hAnsiTheme="minorHAnsi" w:cstheme="minorHAnsi"/>
          <w:color w:val="auto"/>
        </w:rPr>
        <w:t>,</w:t>
      </w:r>
      <w:r w:rsidR="004041B2" w:rsidRPr="00E033F1">
        <w:rPr>
          <w:rFonts w:asciiTheme="minorHAnsi" w:hAnsiTheme="minorHAnsi" w:cstheme="minorHAnsi"/>
          <w:color w:val="auto"/>
        </w:rPr>
        <w:t xml:space="preserve"> and lung</w:t>
      </w:r>
      <w:r w:rsidR="00D853C8" w:rsidRPr="00E033F1">
        <w:rPr>
          <w:rFonts w:asciiTheme="minorHAnsi" w:hAnsiTheme="minorHAnsi" w:cstheme="minorHAnsi"/>
          <w:color w:val="auto"/>
        </w:rPr>
        <w:t>s</w:t>
      </w:r>
      <w:r w:rsidR="004041B2" w:rsidRPr="00E033F1">
        <w:rPr>
          <w:rFonts w:asciiTheme="minorHAnsi" w:hAnsiTheme="minorHAnsi" w:cstheme="minorHAnsi"/>
          <w:color w:val="auto"/>
        </w:rPr>
        <w:t xml:space="preserve">, </w:t>
      </w:r>
      <w:r w:rsidR="00D853C8" w:rsidRPr="00E033F1">
        <w:rPr>
          <w:rFonts w:asciiTheme="minorHAnsi" w:hAnsiTheme="minorHAnsi" w:cstheme="minorHAnsi"/>
          <w:color w:val="auto"/>
        </w:rPr>
        <w:t>and</w:t>
      </w:r>
      <w:r w:rsidR="00606975" w:rsidRPr="00E033F1">
        <w:rPr>
          <w:rFonts w:asciiTheme="minorHAnsi" w:hAnsiTheme="minorHAnsi" w:cstheme="minorHAnsi"/>
          <w:color w:val="auto"/>
        </w:rPr>
        <w:t xml:space="preserve"> GST mu 1</w:t>
      </w:r>
      <w:r w:rsidR="004041B2" w:rsidRPr="00E033F1">
        <w:rPr>
          <w:rFonts w:asciiTheme="minorHAnsi" w:hAnsiTheme="minorHAnsi" w:cstheme="minorHAnsi"/>
          <w:color w:val="auto"/>
        </w:rPr>
        <w:t xml:space="preserve"> </w:t>
      </w:r>
      <w:r w:rsidR="00606975" w:rsidRPr="00E033F1">
        <w:rPr>
          <w:rFonts w:asciiTheme="minorHAnsi" w:hAnsiTheme="minorHAnsi" w:cstheme="minorHAnsi"/>
          <w:color w:val="auto"/>
        </w:rPr>
        <w:t>(</w:t>
      </w:r>
      <w:r w:rsidR="004041B2" w:rsidRPr="00E033F1">
        <w:rPr>
          <w:rFonts w:asciiTheme="minorHAnsi" w:hAnsiTheme="minorHAnsi" w:cstheme="minorHAnsi"/>
          <w:color w:val="auto"/>
        </w:rPr>
        <w:t>GSTM1</w:t>
      </w:r>
      <w:r w:rsidR="00606975" w:rsidRPr="00E033F1">
        <w:rPr>
          <w:rFonts w:asciiTheme="minorHAnsi" w:hAnsiTheme="minorHAnsi" w:cstheme="minorHAnsi"/>
          <w:color w:val="auto"/>
        </w:rPr>
        <w:t>)</w:t>
      </w:r>
      <w:r w:rsidR="004041B2" w:rsidRPr="00E033F1">
        <w:rPr>
          <w:rFonts w:asciiTheme="minorHAnsi" w:hAnsiTheme="minorHAnsi" w:cstheme="minorHAnsi"/>
          <w:color w:val="auto"/>
        </w:rPr>
        <w:t xml:space="preserve"> in the liver and test</w:t>
      </w:r>
      <w:r w:rsidR="00D853C8" w:rsidRPr="00E033F1">
        <w:rPr>
          <w:rFonts w:asciiTheme="minorHAnsi" w:hAnsiTheme="minorHAnsi" w:cstheme="minorHAnsi"/>
          <w:color w:val="auto"/>
        </w:rPr>
        <w:t>e</w:t>
      </w:r>
      <w:r w:rsidR="004041B2" w:rsidRPr="00E033F1">
        <w:rPr>
          <w:rFonts w:asciiTheme="minorHAnsi" w:hAnsiTheme="minorHAnsi" w:cstheme="minorHAnsi"/>
          <w:color w:val="auto"/>
        </w:rPr>
        <w:t>s</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{"citationID":"1qaXYhUH","properties":{"formattedCitation":"\\super 3\\nosupersub{}","plainCitation":"3","noteIndex":0},"citationItems":[{"id":239,"uris":["http://zotero.org/users/local/bXXP6LKp/items/M63G5LC2"],"uri":["http://zotero.org/users/local/bXXP6LKp/items/M63G5LC2"],"itemData":{"id":239,"type":"article-journal","abstract":"Uncertainties about the composition and identities of glutathione S-transferases (GSTs) in human tissue have impeded studies on their biological functions. A rigorous protocol has therefore been developed to characterize the human proteins. Cytosolic GST subunits were resolved by reverse-phase HPLC methods, individual components were assigned to Alpha, Mu and Pi classes on the basis of their immunoreactivities, and peptide-sequence-specific antisera were used to distinguish among five different Mu-class subunits (GSTM1-GSTM5). Each subunit type was characterized and identified unambiguously by electrospray ionization-MS. Acetylation of N-terminal residues in the GSTA1, GSTA2, GSTM3 and GSTM4 subunits were the only natural post-translational modifications detected. The unique structure of GSTM3, with N- and C-terminal peptide extensions predicted from cDNA sequences, was confirmed. Only testis and brain were rich sources of GSTM3 subunits. Subunit profiles were distinct and characteristic of the particular tissue type, and this tissue specificity in GST expression was evident even in organs from different individuals. For instance, livers had relatively simple GST compositions, consisting of a preponderance of Alpha-class subunits and GSTM1 (when present). By contrast, representation of most subunit types was a characteristic feature of testis, which had the highest levels of GSTs. GSTM4 and GSTM5 subunits, here identified for the first time in human tissue extracts, were minor components, with GSTM5 found only in brain, lung and testis. Specimens devoid of GSTM1 subunits, particularly those from null-genotype individuals, were readily discerned at the protein level. Liver was the only rich source of the GSTM1 subunit (although it also constituted a major fraction of adrenal GSTs), and so the functional consequences of the GSTM1 gene deletion are likely to vary in extrahepatic tissues.","container-title":"Biochemical Journal","ISSN":"0264-6021","issue":"Pt 2","journalAbbreviation":"Biochem J","note":"PMID: 9230131\nPMCID: PMC1218585","page":"481-486","source":"PubMed Central","title":"Subunit diversity and tissue distribution of human glutathione S-transferases: interpretations based on electrospray ionization-MS and peptide sequence-specific antisera.","title-short":"Subunit diversity and tissue distribution of human glutathione S-transferases","volume":"325","author":[{"family":"Rowe","given":"J D"},{"family":"Nieves","given":"E"},{"family":"Listowsky","given":"I"}],"issued":{"date-parts":[["1997",7,15]]}}}],"schema":"https://github.com/citation-style-language/schema/raw/master/csl-citation.json"}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rFonts w:cs="Times New Roman"/>
          <w:color w:val="auto"/>
          <w:vertAlign w:val="superscript"/>
        </w:rPr>
        <w:t>3</w:t>
      </w:r>
      <w:r w:rsidR="00236C61" w:rsidRPr="00E033F1">
        <w:rPr>
          <w:rFonts w:asciiTheme="minorHAnsi" w:hAnsiTheme="minorHAnsi" w:cstheme="minorHAnsi"/>
          <w:color w:val="auto"/>
        </w:rPr>
        <w:fldChar w:fldCharType="end"/>
      </w:r>
      <w:r w:rsidR="00976A25" w:rsidRPr="00E033F1">
        <w:rPr>
          <w:rFonts w:asciiTheme="minorHAnsi" w:hAnsiTheme="minorHAnsi" w:cstheme="minorHAnsi"/>
          <w:color w:val="auto"/>
        </w:rPr>
        <w:t xml:space="preserve">. </w:t>
      </w:r>
      <w:r w:rsidR="00D853C8" w:rsidRPr="00E033F1">
        <w:rPr>
          <w:rFonts w:asciiTheme="minorHAnsi" w:hAnsiTheme="minorHAnsi" w:cstheme="minorHAnsi"/>
          <w:color w:val="auto"/>
        </w:rPr>
        <w:t>Alt</w:t>
      </w:r>
      <w:r w:rsidR="00285979" w:rsidRPr="00E033F1">
        <w:rPr>
          <w:rFonts w:asciiTheme="minorHAnsi" w:hAnsiTheme="minorHAnsi" w:cstheme="minorHAnsi"/>
          <w:color w:val="auto"/>
        </w:rPr>
        <w:t>hough there is high sequence homology between GST isoforms, ea</w:t>
      </w:r>
      <w:r w:rsidR="00522686" w:rsidRPr="00E033F1">
        <w:rPr>
          <w:rFonts w:asciiTheme="minorHAnsi" w:hAnsiTheme="minorHAnsi" w:cstheme="minorHAnsi"/>
          <w:color w:val="auto"/>
        </w:rPr>
        <w:t xml:space="preserve">ch </w:t>
      </w:r>
      <w:r w:rsidR="00285979" w:rsidRPr="00E033F1">
        <w:rPr>
          <w:rFonts w:asciiTheme="minorHAnsi" w:hAnsiTheme="minorHAnsi" w:cstheme="minorHAnsi"/>
          <w:color w:val="auto"/>
        </w:rPr>
        <w:t>e</w:t>
      </w:r>
      <w:r w:rsidR="00C03510" w:rsidRPr="00E033F1">
        <w:rPr>
          <w:rFonts w:asciiTheme="minorHAnsi" w:hAnsiTheme="minorHAnsi" w:cstheme="minorHAnsi"/>
          <w:color w:val="auto"/>
        </w:rPr>
        <w:t>xhibit</w:t>
      </w:r>
      <w:r w:rsidR="00D853C8" w:rsidRPr="00E033F1">
        <w:rPr>
          <w:rFonts w:asciiTheme="minorHAnsi" w:hAnsiTheme="minorHAnsi" w:cstheme="minorHAnsi"/>
          <w:color w:val="auto"/>
        </w:rPr>
        <w:t>s</w:t>
      </w:r>
      <w:r w:rsidR="00C03510" w:rsidRPr="00E033F1">
        <w:rPr>
          <w:rFonts w:asciiTheme="minorHAnsi" w:hAnsiTheme="minorHAnsi" w:cstheme="minorHAnsi"/>
          <w:color w:val="auto"/>
        </w:rPr>
        <w:t xml:space="preserve"> substrate specificity and </w:t>
      </w:r>
      <w:r w:rsidR="00D853C8" w:rsidRPr="00E033F1">
        <w:rPr>
          <w:rFonts w:asciiTheme="minorHAnsi" w:hAnsiTheme="minorHAnsi" w:cstheme="minorHAnsi"/>
          <w:color w:val="auto"/>
        </w:rPr>
        <w:t>is</w:t>
      </w:r>
      <w:r w:rsidR="00C03510" w:rsidRPr="00E033F1">
        <w:rPr>
          <w:rFonts w:asciiTheme="minorHAnsi" w:hAnsiTheme="minorHAnsi" w:cstheme="minorHAnsi"/>
          <w:color w:val="auto"/>
        </w:rPr>
        <w:t xml:space="preserve"> implicated in dr</w:t>
      </w:r>
      <w:r w:rsidR="007C543A" w:rsidRPr="00E033F1">
        <w:rPr>
          <w:rFonts w:asciiTheme="minorHAnsi" w:hAnsiTheme="minorHAnsi" w:cstheme="minorHAnsi"/>
          <w:color w:val="auto"/>
        </w:rPr>
        <w:t xml:space="preserve">ug metabolism and cancer in different ways, according to </w:t>
      </w:r>
      <w:r w:rsidR="00B43462" w:rsidRPr="00E033F1">
        <w:rPr>
          <w:rFonts w:asciiTheme="minorHAnsi" w:hAnsiTheme="minorHAnsi" w:cstheme="minorHAnsi"/>
          <w:color w:val="auto"/>
        </w:rPr>
        <w:t>its</w:t>
      </w:r>
      <w:r w:rsidR="007C543A" w:rsidRPr="00E033F1">
        <w:rPr>
          <w:rFonts w:asciiTheme="minorHAnsi" w:hAnsiTheme="minorHAnsi" w:cstheme="minorHAnsi"/>
          <w:color w:val="auto"/>
        </w:rPr>
        <w:t xml:space="preserve"> differential </w:t>
      </w:r>
      <w:r w:rsidR="004018D5" w:rsidRPr="00E033F1">
        <w:rPr>
          <w:rFonts w:asciiTheme="minorHAnsi" w:hAnsiTheme="minorHAnsi" w:cstheme="minorHAnsi"/>
          <w:color w:val="auto"/>
        </w:rPr>
        <w:t>expression</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{"citationID":"7KFcITH4","properties":{"formattedCitation":"\\super 4\\nosupersub{}","plainCitation":"4","noteIndex":0},"citationItems":[{"id":505,"uris":["http://zotero.org/users/local/bXXP6LKp/items/A79XYD4B"],"uri":["http://zotero.org/users/local/bXXP6LKp/items/A79XYD4B"],"itemData":{"id":505,"type":"article-journal","container-title":"Advances in Clinical Chemistry","ISSN":"0065-2423","journalAbbreviation":"Adv Clin Chem","language":"eng","note":"PMID: 8237562","page":"281-380","source":"PubMed","title":"Glutathione S-transferases: biomedical applications","title-short":"Glutathione S-transferases","volume":"30","author":[{"family":"Beckett","given":"G. J."},{"family":"Hayes","given":"J. D."}],"issued":{"date-parts":[["1993"]]}}}],"schema":"https://github.com/citation-style-language/schema/raw/master/csl-citation.json"}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rFonts w:cs="Times New Roman"/>
          <w:color w:val="auto"/>
          <w:vertAlign w:val="superscript"/>
        </w:rPr>
        <w:t>4</w:t>
      </w:r>
      <w:r w:rsidR="00236C61" w:rsidRPr="00E033F1">
        <w:rPr>
          <w:rFonts w:asciiTheme="minorHAnsi" w:hAnsiTheme="minorHAnsi" w:cstheme="minorHAnsi"/>
          <w:color w:val="auto"/>
        </w:rPr>
        <w:fldChar w:fldCharType="end"/>
      </w:r>
      <w:r w:rsidR="00236C61" w:rsidRPr="00E033F1">
        <w:rPr>
          <w:rFonts w:asciiTheme="minorHAnsi" w:hAnsiTheme="minorHAnsi" w:cstheme="minorHAnsi"/>
          <w:color w:val="auto"/>
          <w:vertAlign w:val="superscript"/>
        </w:rPr>
        <w:t>,</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{"citationID":"xefjaYSF","properties":{"formattedCitation":"\\super 5\\nosupersub{}","plainCitation":"5","noteIndex":0},"citationItems":[{"id":507,"uris":["http://zotero.org/users/local/bXXP6LKp/items/YVNBNV2Z"],"uri":["http://zotero.org/users/local/bXXP6LKp/items/YVNBNV2Z"],"itemData":{"id":507,"type":"article-journal","abstract":"The glutathione transferases (GSTs) are one of the most important families of detoxifying enzymes in nature. The classic activity of the GSTs is conjugation of compounds with electrophilic centers to the tripeptide glutathione (GSH), but many other activities are now associated with GSTs, including steroid and leukotriene biosynthesis, peroxide degradation, double-bond cis-trans isomerization, dehydroascorbate reduction, Michael addition, and noncatalytic \"ligandin\" activity (ligand binding and transport). Since the first GST structure was determined in 1991, there has been an explosion in structural data across GSTs of all three families: the cytosolic GSTs, the mitochondrial GSTs, and the membrane-associated proteins in eicosanoid and glutathione metabolism (MAPEG family). In this review, the major insights into GST structure and function will be discussed.","container-title":"Drug Metabolism Reviews","DOI":"10.3109/03602532.2011.558093","ISSN":"1097-9883","issue":"2","journalAbbreviation":"Drug Metab. Rev.","language":"eng","note":"PMID: 21428697","page":"138-151","source":"PubMed","title":"Glutathione transferases: a structural perspective","title-short":"Glutathione transferases","volume":"43","author":[{"family":"Oakley","given":"Aaron"}],"issued":{"date-parts":[["2011",5]]}}}],"schema":"https://github.com/citation-style-language/schema/raw/master/csl-citation.json"}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rFonts w:cs="Times New Roman"/>
          <w:color w:val="auto"/>
          <w:vertAlign w:val="superscript"/>
        </w:rPr>
        <w:t>5</w:t>
      </w:r>
      <w:r w:rsidR="00236C61" w:rsidRPr="00E033F1">
        <w:rPr>
          <w:rFonts w:asciiTheme="minorHAnsi" w:hAnsiTheme="minorHAnsi" w:cstheme="minorHAnsi"/>
          <w:color w:val="auto"/>
        </w:rPr>
        <w:fldChar w:fldCharType="end"/>
      </w:r>
      <w:r w:rsidR="00655E75" w:rsidRPr="00E033F1">
        <w:rPr>
          <w:rFonts w:asciiTheme="minorHAnsi" w:hAnsiTheme="minorHAnsi" w:cstheme="minorHAnsi"/>
          <w:color w:val="auto"/>
        </w:rPr>
        <w:t>.</w:t>
      </w:r>
      <w:r w:rsidR="00236C61" w:rsidRPr="00E033F1">
        <w:rPr>
          <w:rFonts w:asciiTheme="minorHAnsi" w:hAnsiTheme="minorHAnsi" w:cstheme="minorHAnsi"/>
          <w:color w:val="auto"/>
        </w:rPr>
        <w:t xml:space="preserve"> </w:t>
      </w:r>
    </w:p>
    <w:p w14:paraId="62ACE365" w14:textId="77777777" w:rsidR="00236C61" w:rsidRPr="00E033F1" w:rsidRDefault="00236C61" w:rsidP="00E033F1">
      <w:pPr>
        <w:contextualSpacing/>
        <w:rPr>
          <w:rFonts w:asciiTheme="minorHAnsi" w:hAnsiTheme="minorHAnsi" w:cstheme="minorHAnsi"/>
          <w:color w:val="auto"/>
        </w:rPr>
      </w:pPr>
    </w:p>
    <w:p w14:paraId="0FE61318" w14:textId="1742EE99" w:rsidR="00B558A6" w:rsidRPr="00E033F1" w:rsidRDefault="001C7DA6" w:rsidP="00E033F1">
      <w:pPr>
        <w:contextualSpacing/>
        <w:rPr>
          <w:rFonts w:asciiTheme="minorHAnsi" w:hAnsiTheme="minorHAnsi" w:cstheme="minorHAnsi"/>
          <w:color w:val="auto"/>
        </w:rPr>
      </w:pPr>
      <w:r w:rsidRPr="00E033F1">
        <w:rPr>
          <w:rFonts w:asciiTheme="minorHAnsi" w:hAnsiTheme="minorHAnsi" w:cstheme="minorHAnsi"/>
          <w:color w:val="auto"/>
        </w:rPr>
        <w:t>E</w:t>
      </w:r>
      <w:r w:rsidR="00991FEB" w:rsidRPr="00E033F1">
        <w:rPr>
          <w:rFonts w:asciiTheme="minorHAnsi" w:hAnsiTheme="minorHAnsi" w:cstheme="minorHAnsi"/>
          <w:color w:val="auto"/>
        </w:rPr>
        <w:t>lectrophilic compound</w:t>
      </w:r>
      <w:r w:rsidRPr="00E033F1">
        <w:rPr>
          <w:rFonts w:asciiTheme="minorHAnsi" w:hAnsiTheme="minorHAnsi" w:cstheme="minorHAnsi"/>
          <w:color w:val="auto"/>
        </w:rPr>
        <w:t>s</w:t>
      </w:r>
      <w:r w:rsidR="00991FEB" w:rsidRPr="00E033F1">
        <w:rPr>
          <w:rFonts w:asciiTheme="minorHAnsi" w:hAnsiTheme="minorHAnsi" w:cstheme="minorHAnsi"/>
          <w:color w:val="auto"/>
        </w:rPr>
        <w:t xml:space="preserve"> </w:t>
      </w:r>
      <w:r w:rsidR="00C934CE" w:rsidRPr="00E033F1">
        <w:rPr>
          <w:rFonts w:asciiTheme="minorHAnsi" w:hAnsiTheme="minorHAnsi" w:cstheme="minorHAnsi"/>
          <w:color w:val="auto"/>
        </w:rPr>
        <w:t xml:space="preserve">either </w:t>
      </w:r>
      <w:r w:rsidRPr="00E033F1">
        <w:rPr>
          <w:rFonts w:asciiTheme="minorHAnsi" w:hAnsiTheme="minorHAnsi" w:cstheme="minorHAnsi"/>
          <w:color w:val="auto"/>
        </w:rPr>
        <w:t xml:space="preserve">enter </w:t>
      </w:r>
      <w:r w:rsidR="00D853C8" w:rsidRPr="00E033F1">
        <w:rPr>
          <w:rFonts w:asciiTheme="minorHAnsi" w:hAnsiTheme="minorHAnsi" w:cstheme="minorHAnsi"/>
          <w:color w:val="auto"/>
        </w:rPr>
        <w:t>the</w:t>
      </w:r>
      <w:r w:rsidRPr="00E033F1">
        <w:rPr>
          <w:rFonts w:asciiTheme="minorHAnsi" w:hAnsiTheme="minorHAnsi" w:cstheme="minorHAnsi"/>
          <w:color w:val="auto"/>
        </w:rPr>
        <w:t xml:space="preserve"> body exogenously or</w:t>
      </w:r>
      <w:r w:rsidR="00C934CE" w:rsidRPr="00E033F1">
        <w:rPr>
          <w:rFonts w:asciiTheme="minorHAnsi" w:hAnsiTheme="minorHAnsi" w:cstheme="minorHAnsi"/>
          <w:color w:val="auto"/>
        </w:rPr>
        <w:t xml:space="preserve"> </w:t>
      </w:r>
      <w:r w:rsidR="00D853C8" w:rsidRPr="00E033F1">
        <w:rPr>
          <w:rFonts w:asciiTheme="minorHAnsi" w:hAnsiTheme="minorHAnsi" w:cstheme="minorHAnsi"/>
          <w:color w:val="auto"/>
        </w:rPr>
        <w:t xml:space="preserve">are </w:t>
      </w:r>
      <w:r w:rsidRPr="00E033F1">
        <w:rPr>
          <w:rFonts w:asciiTheme="minorHAnsi" w:hAnsiTheme="minorHAnsi" w:cstheme="minorHAnsi"/>
          <w:color w:val="auto"/>
        </w:rPr>
        <w:t xml:space="preserve">produced </w:t>
      </w:r>
      <w:r w:rsidR="00C934CE" w:rsidRPr="00E033F1">
        <w:rPr>
          <w:rFonts w:asciiTheme="minorHAnsi" w:hAnsiTheme="minorHAnsi" w:cstheme="minorHAnsi"/>
          <w:color w:val="auto"/>
        </w:rPr>
        <w:t>endogenously</w:t>
      </w:r>
      <w:r w:rsidR="00D853C8" w:rsidRPr="00E033F1">
        <w:rPr>
          <w:rFonts w:asciiTheme="minorHAnsi" w:hAnsiTheme="minorHAnsi" w:cstheme="minorHAnsi"/>
          <w:color w:val="auto"/>
        </w:rPr>
        <w:t>. P</w:t>
      </w:r>
      <w:r w:rsidR="00B558A6" w:rsidRPr="00E033F1">
        <w:rPr>
          <w:rFonts w:asciiTheme="minorHAnsi" w:hAnsiTheme="minorHAnsi" w:cstheme="minorHAnsi"/>
          <w:color w:val="auto"/>
        </w:rPr>
        <w:t>esticides</w:t>
      </w:r>
      <w:r w:rsidR="0086263A" w:rsidRPr="00E033F1">
        <w:rPr>
          <w:rFonts w:asciiTheme="minorHAnsi" w:hAnsiTheme="minorHAnsi" w:cstheme="minorHAnsi"/>
          <w:color w:val="auto"/>
        </w:rPr>
        <w:t>, prostaglandins</w:t>
      </w:r>
      <w:r w:rsidR="00991FEB" w:rsidRPr="00E033F1">
        <w:rPr>
          <w:rFonts w:asciiTheme="minorHAnsi" w:hAnsiTheme="minorHAnsi" w:cstheme="minorHAnsi"/>
          <w:color w:val="auto"/>
        </w:rPr>
        <w:t>, carcinogens</w:t>
      </w:r>
      <w:r w:rsidR="00D853C8" w:rsidRPr="00E033F1">
        <w:rPr>
          <w:rFonts w:asciiTheme="minorHAnsi" w:hAnsiTheme="minorHAnsi" w:cstheme="minorHAnsi"/>
          <w:color w:val="auto"/>
        </w:rPr>
        <w:t>, and</w:t>
      </w:r>
      <w:r w:rsidR="00B558A6" w:rsidRPr="00E033F1">
        <w:rPr>
          <w:rFonts w:asciiTheme="minorHAnsi" w:hAnsiTheme="minorHAnsi" w:cstheme="minorHAnsi"/>
          <w:color w:val="auto"/>
        </w:rPr>
        <w:t xml:space="preserve"> chemotherapeutic drugs are some of the potential substrate</w:t>
      </w:r>
      <w:r w:rsidR="000C7A58" w:rsidRPr="00E033F1">
        <w:rPr>
          <w:rFonts w:asciiTheme="minorHAnsi" w:hAnsiTheme="minorHAnsi" w:cstheme="minorHAnsi"/>
          <w:color w:val="auto"/>
        </w:rPr>
        <w:t>s</w:t>
      </w:r>
      <w:r w:rsidR="00B558A6" w:rsidRPr="00E033F1">
        <w:rPr>
          <w:rFonts w:asciiTheme="minorHAnsi" w:hAnsiTheme="minorHAnsi" w:cstheme="minorHAnsi"/>
          <w:color w:val="auto"/>
        </w:rPr>
        <w:t xml:space="preserve"> for </w:t>
      </w:r>
      <w:r w:rsidR="000C7A58" w:rsidRPr="00E033F1">
        <w:rPr>
          <w:rFonts w:asciiTheme="minorHAnsi" w:hAnsiTheme="minorHAnsi" w:cstheme="minorHAnsi"/>
          <w:color w:val="auto"/>
        </w:rPr>
        <w:t>glutathione conjugation</w:t>
      </w:r>
      <w:r w:rsidR="00B558A6" w:rsidRPr="00E033F1">
        <w:rPr>
          <w:rFonts w:asciiTheme="minorHAnsi" w:hAnsiTheme="minorHAnsi" w:cstheme="minorHAnsi"/>
          <w:color w:val="auto"/>
        </w:rPr>
        <w:t xml:space="preserve"> reaction</w:t>
      </w:r>
      <w:r w:rsidR="00D853C8" w:rsidRPr="00E033F1">
        <w:rPr>
          <w:rFonts w:asciiTheme="minorHAnsi" w:hAnsiTheme="minorHAnsi" w:cstheme="minorHAnsi"/>
          <w:color w:val="auto"/>
        </w:rPr>
        <w:t>s</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{"citationID":"SPeiIr4T","properties":{"formattedCitation":"\\super 6\\nosupersub{}","plainCitation":"6","noteIndex":0},"citationItems":[{"id":52,"uris":["http://zotero.org/users/local/bXXP6LKp/items/NE7VC3VP"],"uri":["http://zotero.org/users/local/bXXP6LKp/items/NE7VC3VP"],"itemData":{"id":52,"type":"article-journal","abstract":"Glutathione-S-transferases (GSTs) are a family of Phase II detoxification enzymes that catalyse the conjugation of glutathione (GSH) to a wide variety of endogenous and exogenous electrophilic compounds. GSTs are divided into two distinct super-family members: the membrane-bound microsomal and cytosolic family members. Microsomal GSTs are structurally distinct from the cytosolic in that they homo- and heterotrimerize rather than dimerize to form a single active site. Microsomal GSTs play a key role in the endogenous metabolism of leukotrienes and prostaglandins. Human cytosolic GSTs are highly polymorphic and can be divided into six classes: alpha, mu, omega, pi, theta, and zeta. The pi and mu classes of GSTs play a regulatory role in the mitogen-activated protein (MAP) kinase pathway that participates in cellular survival and death signals via protein : protein interactions with c-Jun N-terminal kinase 1 (JNK1) and ASK1 (apoptosis signal-regulating kinase). JNK and ASK1 are activated in response to cellular stress. GSTs have been implicated in the development of resistance toward chemotherapy agents. It is plausible that GSTs serve two distinct roles in the development of drug resistance via direct detoxification as well as acting as an inhibitor of the MAP kinase pathway. The link between GSTs and the MAP kinase pathway provides a rationale as to why in many cases the drugs used to select for resistance are neither subject to conjugation with GSH, nor substrates for GSTs. GSTs have emerged as a promising therapeutic target because specific isozymes are overexpressed in a wide variety of tumors and may play a role in the etiology of other diseases, including neurodegenerative diseases, multiple sclerosis, and asthma. Some of the therapeutic strategies so far employed are described in this review.","container-title":"Oncogene","DOI":"10.1038/sj.onc.1206940","ISSN":"0950-9232","issue":"47","journalAbbreviation":"Oncogene","language":"eng","note":"PMID: 14576844","page":"7369-7375","source":"PubMed","title":"The role of glutathione-S-transferase in anti-cancer drug resistance","volume":"22","author":[{"family":"Townsend","given":"Danyelle M."},{"family":"Tew","given":"Kenneth D."}],"issued":{"date-parts":[["2003",10,20]]}}}],"schema":"https://github.com/citation-style-language/schema/raw/master/csl-citation.json"}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color w:val="auto"/>
          <w:vertAlign w:val="superscript"/>
        </w:rPr>
        <w:t>6</w:t>
      </w:r>
      <w:r w:rsidR="00236C61" w:rsidRPr="00E033F1">
        <w:rPr>
          <w:rFonts w:asciiTheme="minorHAnsi" w:hAnsiTheme="minorHAnsi" w:cstheme="minorHAnsi"/>
          <w:color w:val="auto"/>
        </w:rPr>
        <w:fldChar w:fldCharType="end"/>
      </w:r>
      <w:r w:rsidR="00B558A6" w:rsidRPr="00E033F1">
        <w:rPr>
          <w:rFonts w:asciiTheme="minorHAnsi" w:hAnsiTheme="minorHAnsi" w:cstheme="minorHAnsi"/>
          <w:color w:val="auto"/>
        </w:rPr>
        <w:t>.</w:t>
      </w:r>
      <w:r w:rsidR="00C934CE" w:rsidRPr="00E033F1">
        <w:rPr>
          <w:rFonts w:asciiTheme="minorHAnsi" w:hAnsiTheme="minorHAnsi" w:cstheme="minorHAnsi"/>
          <w:color w:val="auto"/>
        </w:rPr>
        <w:t xml:space="preserve"> </w:t>
      </w:r>
      <w:r w:rsidR="007C543A" w:rsidRPr="00E033F1">
        <w:rPr>
          <w:rFonts w:asciiTheme="minorHAnsi" w:hAnsiTheme="minorHAnsi" w:cstheme="minorHAnsi"/>
          <w:color w:val="auto"/>
        </w:rPr>
        <w:t xml:space="preserve">For </w:t>
      </w:r>
      <w:r w:rsidR="000E329A" w:rsidRPr="00E033F1">
        <w:rPr>
          <w:rFonts w:asciiTheme="minorHAnsi" w:hAnsiTheme="minorHAnsi" w:cstheme="minorHAnsi"/>
          <w:color w:val="auto"/>
        </w:rPr>
        <w:t>example</w:t>
      </w:r>
      <w:r w:rsidR="007C543A" w:rsidRPr="00E033F1">
        <w:rPr>
          <w:rFonts w:asciiTheme="minorHAnsi" w:hAnsiTheme="minorHAnsi" w:cstheme="minorHAnsi"/>
          <w:color w:val="auto"/>
        </w:rPr>
        <w:t>, a</w:t>
      </w:r>
      <w:r w:rsidR="00C934CE" w:rsidRPr="00E033F1">
        <w:rPr>
          <w:rFonts w:asciiTheme="minorHAnsi" w:hAnsiTheme="minorHAnsi" w:cstheme="minorHAnsi"/>
          <w:color w:val="auto"/>
        </w:rPr>
        <w:t>ny electron</w:t>
      </w:r>
      <w:r w:rsidR="000E329A" w:rsidRPr="00E033F1">
        <w:rPr>
          <w:rFonts w:asciiTheme="minorHAnsi" w:hAnsiTheme="minorHAnsi" w:cstheme="minorHAnsi"/>
          <w:color w:val="auto"/>
        </w:rPr>
        <w:t>-</w:t>
      </w:r>
      <w:r w:rsidR="00C934CE" w:rsidRPr="00E033F1">
        <w:rPr>
          <w:rFonts w:asciiTheme="minorHAnsi" w:hAnsiTheme="minorHAnsi" w:cstheme="minorHAnsi"/>
          <w:color w:val="auto"/>
        </w:rPr>
        <w:t xml:space="preserve">deficient reactive compound </w:t>
      </w:r>
      <w:r w:rsidR="007C543A" w:rsidRPr="00E033F1">
        <w:rPr>
          <w:rFonts w:asciiTheme="minorHAnsi" w:hAnsiTheme="minorHAnsi" w:cstheme="minorHAnsi"/>
          <w:color w:val="auto"/>
        </w:rPr>
        <w:t xml:space="preserve">formed </w:t>
      </w:r>
      <w:r w:rsidR="000E329A" w:rsidRPr="00E033F1">
        <w:rPr>
          <w:rFonts w:asciiTheme="minorHAnsi" w:hAnsiTheme="minorHAnsi" w:cstheme="minorHAnsi"/>
          <w:color w:val="auto"/>
        </w:rPr>
        <w:t>with</w:t>
      </w:r>
      <w:r w:rsidR="007C543A" w:rsidRPr="00E033F1">
        <w:rPr>
          <w:rFonts w:asciiTheme="minorHAnsi" w:hAnsiTheme="minorHAnsi" w:cstheme="minorHAnsi"/>
          <w:color w:val="auto"/>
        </w:rPr>
        <w:t xml:space="preserve">in </w:t>
      </w:r>
      <w:r w:rsidR="000E329A" w:rsidRPr="00E033F1">
        <w:rPr>
          <w:rFonts w:asciiTheme="minorHAnsi" w:hAnsiTheme="minorHAnsi" w:cstheme="minorHAnsi"/>
          <w:color w:val="auto"/>
        </w:rPr>
        <w:t>a</w:t>
      </w:r>
      <w:r w:rsidR="007C543A" w:rsidRPr="00E033F1">
        <w:rPr>
          <w:rFonts w:asciiTheme="minorHAnsi" w:hAnsiTheme="minorHAnsi" w:cstheme="minorHAnsi"/>
          <w:color w:val="auto"/>
        </w:rPr>
        <w:t xml:space="preserve"> cell is likely to become an</w:t>
      </w:r>
      <w:r w:rsidR="00C934CE" w:rsidRPr="00E033F1">
        <w:rPr>
          <w:rFonts w:asciiTheme="minorHAnsi" w:hAnsiTheme="minorHAnsi" w:cstheme="minorHAnsi"/>
          <w:color w:val="auto"/>
        </w:rPr>
        <w:t xml:space="preserve"> electrophilic substrate.</w:t>
      </w:r>
      <w:r w:rsidR="00B558A6" w:rsidRPr="00E033F1">
        <w:rPr>
          <w:rFonts w:asciiTheme="minorHAnsi" w:hAnsiTheme="minorHAnsi" w:cstheme="minorHAnsi"/>
          <w:color w:val="auto"/>
        </w:rPr>
        <w:t xml:space="preserve"> </w:t>
      </w:r>
      <w:r w:rsidR="001F3041" w:rsidRPr="00E033F1">
        <w:rPr>
          <w:rFonts w:asciiTheme="minorHAnsi" w:hAnsiTheme="minorHAnsi" w:cstheme="minorHAnsi"/>
          <w:color w:val="auto"/>
        </w:rPr>
        <w:t>Alkylating agents</w:t>
      </w:r>
      <w:r w:rsidR="00B558A6" w:rsidRPr="00E033F1">
        <w:rPr>
          <w:rFonts w:asciiTheme="minorHAnsi" w:hAnsiTheme="minorHAnsi" w:cstheme="minorHAnsi"/>
          <w:color w:val="auto"/>
        </w:rPr>
        <w:t xml:space="preserve"> such as </w:t>
      </w:r>
      <w:r w:rsidR="000E329A" w:rsidRPr="00E033F1">
        <w:rPr>
          <w:rFonts w:asciiTheme="minorHAnsi" w:hAnsiTheme="minorHAnsi" w:cstheme="minorHAnsi"/>
          <w:color w:val="auto"/>
        </w:rPr>
        <w:t>c</w:t>
      </w:r>
      <w:r w:rsidR="00B558A6" w:rsidRPr="00E033F1">
        <w:rPr>
          <w:rFonts w:asciiTheme="minorHAnsi" w:hAnsiTheme="minorHAnsi" w:cstheme="minorHAnsi"/>
          <w:color w:val="auto"/>
        </w:rPr>
        <w:t>hlorambuci</w:t>
      </w:r>
      <w:r w:rsidR="0086263A" w:rsidRPr="00E033F1">
        <w:rPr>
          <w:rFonts w:asciiTheme="minorHAnsi" w:hAnsiTheme="minorHAnsi" w:cstheme="minorHAnsi"/>
          <w:color w:val="auto"/>
        </w:rPr>
        <w:t xml:space="preserve">l or </w:t>
      </w:r>
      <w:r w:rsidR="000E329A" w:rsidRPr="00E033F1">
        <w:rPr>
          <w:rFonts w:asciiTheme="minorHAnsi" w:hAnsiTheme="minorHAnsi" w:cstheme="minorHAnsi"/>
          <w:color w:val="auto"/>
        </w:rPr>
        <w:t>m</w:t>
      </w:r>
      <w:r w:rsidR="0086263A" w:rsidRPr="00E033F1">
        <w:rPr>
          <w:rFonts w:asciiTheme="minorHAnsi" w:hAnsiTheme="minorHAnsi" w:cstheme="minorHAnsi"/>
          <w:color w:val="auto"/>
        </w:rPr>
        <w:t xml:space="preserve">elphalan are </w:t>
      </w:r>
      <w:r w:rsidR="00DD1271" w:rsidRPr="00E033F1">
        <w:rPr>
          <w:rFonts w:asciiTheme="minorHAnsi" w:hAnsiTheme="minorHAnsi" w:cstheme="minorHAnsi"/>
          <w:color w:val="auto"/>
        </w:rPr>
        <w:t>el</w:t>
      </w:r>
      <w:r w:rsidR="00E16535" w:rsidRPr="00E033F1">
        <w:rPr>
          <w:rFonts w:asciiTheme="minorHAnsi" w:hAnsiTheme="minorHAnsi" w:cstheme="minorHAnsi"/>
          <w:color w:val="auto"/>
        </w:rPr>
        <w:t>i</w:t>
      </w:r>
      <w:r w:rsidR="00DD1271" w:rsidRPr="00E033F1">
        <w:rPr>
          <w:rFonts w:asciiTheme="minorHAnsi" w:hAnsiTheme="minorHAnsi" w:cstheme="minorHAnsi"/>
          <w:color w:val="auto"/>
        </w:rPr>
        <w:t xml:space="preserve">minated as </w:t>
      </w:r>
      <w:r w:rsidR="001F3041" w:rsidRPr="00E033F1">
        <w:rPr>
          <w:rFonts w:asciiTheme="minorHAnsi" w:hAnsiTheme="minorHAnsi" w:cstheme="minorHAnsi"/>
          <w:color w:val="auto"/>
        </w:rPr>
        <w:t>conjugate</w:t>
      </w:r>
      <w:r w:rsidR="00DD1271" w:rsidRPr="00E033F1">
        <w:rPr>
          <w:rFonts w:asciiTheme="minorHAnsi" w:hAnsiTheme="minorHAnsi" w:cstheme="minorHAnsi"/>
          <w:color w:val="auto"/>
        </w:rPr>
        <w:t>s</w:t>
      </w:r>
      <w:r w:rsidR="001F3041" w:rsidRPr="00E033F1">
        <w:rPr>
          <w:rFonts w:asciiTheme="minorHAnsi" w:hAnsiTheme="minorHAnsi" w:cstheme="minorHAnsi"/>
          <w:color w:val="auto"/>
        </w:rPr>
        <w:t xml:space="preserve"> of GSH catalyzed by</w:t>
      </w:r>
      <w:r w:rsidR="00B558A6" w:rsidRPr="00E033F1">
        <w:rPr>
          <w:rFonts w:asciiTheme="minorHAnsi" w:hAnsiTheme="minorHAnsi" w:cstheme="minorHAnsi"/>
          <w:color w:val="auto"/>
        </w:rPr>
        <w:t xml:space="preserve"> GSTs</w:t>
      </w:r>
      <w:r w:rsidR="000E329A" w:rsidRPr="00E033F1">
        <w:rPr>
          <w:rFonts w:asciiTheme="minorHAnsi" w:hAnsiTheme="minorHAnsi" w:cstheme="minorHAnsi"/>
          <w:color w:val="auto"/>
        </w:rPr>
        <w:t>,</w:t>
      </w:r>
      <w:r w:rsidR="00B558A6" w:rsidRPr="00E033F1">
        <w:rPr>
          <w:rFonts w:asciiTheme="minorHAnsi" w:hAnsiTheme="minorHAnsi" w:cstheme="minorHAnsi"/>
          <w:color w:val="auto"/>
        </w:rPr>
        <w:t xml:space="preserve"> and increase</w:t>
      </w:r>
      <w:r w:rsidR="0086263A" w:rsidRPr="00E033F1">
        <w:rPr>
          <w:rFonts w:asciiTheme="minorHAnsi" w:hAnsiTheme="minorHAnsi" w:cstheme="minorHAnsi"/>
          <w:color w:val="auto"/>
        </w:rPr>
        <w:t>d</w:t>
      </w:r>
      <w:r w:rsidR="001F3041" w:rsidRPr="00E033F1">
        <w:rPr>
          <w:rFonts w:asciiTheme="minorHAnsi" w:hAnsiTheme="minorHAnsi" w:cstheme="minorHAnsi"/>
          <w:color w:val="auto"/>
        </w:rPr>
        <w:t xml:space="preserve"> levels of these</w:t>
      </w:r>
      <w:r w:rsidR="00B558A6" w:rsidRPr="00E033F1">
        <w:rPr>
          <w:rFonts w:asciiTheme="minorHAnsi" w:hAnsiTheme="minorHAnsi" w:cstheme="minorHAnsi"/>
          <w:color w:val="auto"/>
        </w:rPr>
        <w:t xml:space="preserve"> enzyme</w:t>
      </w:r>
      <w:r w:rsidR="001F3041" w:rsidRPr="00E033F1">
        <w:rPr>
          <w:rFonts w:asciiTheme="minorHAnsi" w:hAnsiTheme="minorHAnsi" w:cstheme="minorHAnsi"/>
          <w:color w:val="auto"/>
        </w:rPr>
        <w:t>s</w:t>
      </w:r>
      <w:r w:rsidR="00B558A6" w:rsidRPr="00E033F1">
        <w:rPr>
          <w:rFonts w:asciiTheme="minorHAnsi" w:hAnsiTheme="minorHAnsi" w:cstheme="minorHAnsi"/>
          <w:color w:val="auto"/>
        </w:rPr>
        <w:t xml:space="preserve"> </w:t>
      </w:r>
      <w:r w:rsidR="000E329A" w:rsidRPr="00E033F1">
        <w:rPr>
          <w:rFonts w:asciiTheme="minorHAnsi" w:hAnsiTheme="minorHAnsi" w:cstheme="minorHAnsi"/>
          <w:color w:val="auto"/>
        </w:rPr>
        <w:t>ha</w:t>
      </w:r>
      <w:r w:rsidR="00B43462" w:rsidRPr="00E033F1">
        <w:rPr>
          <w:rFonts w:asciiTheme="minorHAnsi" w:hAnsiTheme="minorHAnsi" w:cstheme="minorHAnsi"/>
          <w:color w:val="auto"/>
        </w:rPr>
        <w:t>ve</w:t>
      </w:r>
      <w:r w:rsidR="000E329A" w:rsidRPr="00E033F1">
        <w:rPr>
          <w:rFonts w:asciiTheme="minorHAnsi" w:hAnsiTheme="minorHAnsi" w:cstheme="minorHAnsi"/>
          <w:color w:val="auto"/>
        </w:rPr>
        <w:t xml:space="preserve"> been</w:t>
      </w:r>
      <w:r w:rsidR="00B558A6" w:rsidRPr="00E033F1">
        <w:rPr>
          <w:rFonts w:asciiTheme="minorHAnsi" w:hAnsiTheme="minorHAnsi" w:cstheme="minorHAnsi"/>
          <w:color w:val="auto"/>
        </w:rPr>
        <w:t xml:space="preserve"> correlated with </w:t>
      </w:r>
      <w:r w:rsidR="002E0CAD" w:rsidRPr="00E033F1">
        <w:rPr>
          <w:rFonts w:asciiTheme="minorHAnsi" w:hAnsiTheme="minorHAnsi" w:cstheme="minorHAnsi"/>
          <w:color w:val="auto"/>
        </w:rPr>
        <w:t>resistance to these compounds</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{"citationID":"MBIh5jJ7","properties":{"formattedCitation":"\\super 6, 7\\nosupersub{}","plainCitation":"6, 7","noteIndex":0},"citationItems":[{"id":52,"uris":["http://zotero.org/users/local/bXXP6LKp/items/NE7VC3VP"],"uri":["http://zotero.org/users/local/bXXP6LKp/items/NE7VC3VP"],"itemData":{"id":52,"type":"article-journal","abstract":"Glutathione-S-transferases (GSTs) are a family of Phase II detoxification enzymes that catalyse the conjugation of glutathione (GSH) to a wide variety of endogenous and exogenous electrophilic compounds. GSTs are divided into two distinct super-family members: the membrane-bound microsomal and cytosolic family members. Microsomal GSTs are structurally distinct from the cytosolic in that they homo- and heterotrimerize rather than dimerize to form a single active site. Microsomal GSTs play a key role in the endogenous metabolism of leukotrienes and prostaglandins. Human cytosolic GSTs are highly polymorphic and can be divided into six classes: alpha, mu, omega, pi, theta, and zeta. The pi and mu classes of GSTs play a regulatory role in the mitogen-activated protein (MAP) kinase pathway that participates in cellular survival and death signals via protein : protein interactions with c-Jun N-terminal kinase 1 (JNK1) and ASK1 (apoptosis signal-regulating kinase). JNK and ASK1 are activated in response to cellular stress. GSTs have been implicated in the development of resistance toward chemotherapy agents. It is plausible that GSTs serve two distinct roles in the development of drug resistance via direct detoxification as well as acting as an inhibitor of the MAP kinase pathway. The link between GSTs and the MAP kinase pathway provides a rationale as to why in many cases the drugs used to select for resistance are neither subject to conjugation with GSH, nor substrates for GSTs. GSTs have emerged as a promising therapeutic target because specific isozymes are overexpressed in a wide variety of tumors and may play a role in the etiology of other diseases, including neurodegenerative diseases, multiple sclerosis, and asthma. Some of the therapeutic strategies so far employed are described in this review.","container-title":"Oncogene","DOI":"10.1038/sj.onc.1206940","ISSN":"0950-9232","issue":"47","journalAbbreviation":"Oncogene","language":"eng","note":"PMID: 14576844","page":"7369-7375","source":"PubMed","title":"The role of glutathione-S-transferase in anti-cancer drug resistance","volume":"22","author":[{"family":"Townsend","given":"Danyelle M."},{"family":"Tew","given":"Kenneth D."}],"issued":{"date-parts":[["2003",10,20]]}}},{"id":57,"uris":["http://zotero.org/users/local/bXXP6LKp/items/V8F2WHLS"],"uri":["http://zotero.org/users/local/bXXP6LKp/items/V8F2WHLS"],"itemData":{"id":57,"type":"article-journal","abstract":"The importance of thiol-mediated detoxification of anticancer drugs that produce toxic electrophiles has been of considerable interest to many investigators. Glutathione and glutathione S-transferases (GST) are the focus of much attention in characterizing drug resistant cells. However, ambiguous and sometimes conflicting data have complicated the field. This article attempts to clarify some of the confusion. The following observations are well established: (a) tumors express high levels of GST, especially GSTπ, although the isozyme components vary quite markedly between tissues and the isozymes are inducible; (b) nitrogen mustards are good substrates for the GSTα family of isozymes which are frequently overexpressed in cells with acquired resistance to these drugs; (c) most drugs of the multidrug-resistant phenotype have not been shown to be GST substrates and although GSTπ is frequently overexpressed in multidrug-resistant cells, most indications are that this is an accompaniment to, rather than a cause of, the resistant phenotype; (d) transfection of GST complementary DNAs has produced some lines with increased resistance to alkylating agents. Most studies of the relationships between GST and resistance have overlooked the potential importance of other enzymes involved in the maintenance of cellular glutathione homeostasis, and this has complicated data interpretation. Translational research aimed at applying our knowledge of glutathione pathways has produced preclinical and clinical testing of some glutathione and GST inhibitors, with some encouraging preliminary results. In brief, GSTs are important determinants of drug response for some, not all, anticancer drugs. Caution should be encouraged in assessing cause/effect relationships between GST over-expression and resistance mechanisms.","container-title":"Cancer Research","ISSN":"0008-5472, 1538-7445","issue":"16","journalAbbreviation":"Cancer Res","language":"en","note":"PMID: 8044778","page":"4313-4320","source":"cancerres.aacrjournals.org","title":"Glutathione-associated Enzymes in Anticancer Drug Resistance","volume":"54","author":[{"family":"Tew","given":"Kenneth D."}],"issued":{"date-parts":[["1994",8,15]]}}}],"schema":"https://github.com/citation-style-language/schema/raw/master/csl-citation.json"}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rFonts w:cs="Times New Roman"/>
          <w:color w:val="auto"/>
          <w:vertAlign w:val="superscript"/>
        </w:rPr>
        <w:t>6,7</w:t>
      </w:r>
      <w:r w:rsidR="00236C61" w:rsidRPr="00E033F1">
        <w:rPr>
          <w:rFonts w:asciiTheme="minorHAnsi" w:hAnsiTheme="minorHAnsi" w:cstheme="minorHAnsi"/>
          <w:color w:val="auto"/>
        </w:rPr>
        <w:fldChar w:fldCharType="end"/>
      </w:r>
      <w:r w:rsidR="00B558A6" w:rsidRPr="00E033F1">
        <w:rPr>
          <w:rFonts w:asciiTheme="minorHAnsi" w:hAnsiTheme="minorHAnsi" w:cstheme="minorHAnsi"/>
          <w:color w:val="auto"/>
        </w:rPr>
        <w:t>.</w:t>
      </w:r>
      <w:r w:rsidR="00236C61" w:rsidRPr="00E033F1">
        <w:rPr>
          <w:rFonts w:asciiTheme="minorHAnsi" w:hAnsiTheme="minorHAnsi" w:cstheme="minorHAnsi"/>
          <w:color w:val="auto"/>
        </w:rPr>
        <w:t xml:space="preserve"> </w:t>
      </w:r>
    </w:p>
    <w:p w14:paraId="4E81B879" w14:textId="1D758A67" w:rsidR="00542CE8" w:rsidRPr="00E033F1" w:rsidRDefault="00542CE8" w:rsidP="00E033F1">
      <w:pPr>
        <w:contextualSpacing/>
        <w:rPr>
          <w:rFonts w:asciiTheme="minorHAnsi" w:hAnsiTheme="minorHAnsi" w:cstheme="minorHAnsi"/>
          <w:color w:val="auto"/>
        </w:rPr>
      </w:pPr>
    </w:p>
    <w:p w14:paraId="414B4ABD" w14:textId="06EA701B" w:rsidR="00542CE8" w:rsidRPr="00E033F1" w:rsidRDefault="00542CE8" w:rsidP="00E033F1">
      <w:pPr>
        <w:contextualSpacing/>
        <w:rPr>
          <w:color w:val="auto"/>
        </w:rPr>
      </w:pPr>
      <w:r w:rsidRPr="00E033F1">
        <w:rPr>
          <w:color w:val="auto"/>
        </w:rPr>
        <w:t xml:space="preserve">Another </w:t>
      </w:r>
      <w:r w:rsidR="00AE4589" w:rsidRPr="00E033F1">
        <w:rPr>
          <w:color w:val="auto"/>
        </w:rPr>
        <w:t xml:space="preserve">important </w:t>
      </w:r>
      <w:r w:rsidRPr="00E033F1">
        <w:rPr>
          <w:color w:val="auto"/>
        </w:rPr>
        <w:t xml:space="preserve">role of </w:t>
      </w:r>
      <w:r w:rsidR="00AE4589" w:rsidRPr="00E033F1">
        <w:rPr>
          <w:color w:val="auto"/>
        </w:rPr>
        <w:t>cytos</w:t>
      </w:r>
      <w:r w:rsidR="003B04BE" w:rsidRPr="00E033F1">
        <w:rPr>
          <w:color w:val="auto"/>
        </w:rPr>
        <w:t>o</w:t>
      </w:r>
      <w:r w:rsidR="00AE4589" w:rsidRPr="00E033F1">
        <w:rPr>
          <w:color w:val="auto"/>
        </w:rPr>
        <w:t xml:space="preserve">lic </w:t>
      </w:r>
      <w:r w:rsidRPr="00E033F1">
        <w:rPr>
          <w:color w:val="auto"/>
        </w:rPr>
        <w:t>GST</w:t>
      </w:r>
      <w:r w:rsidR="00AE4589" w:rsidRPr="00E033F1">
        <w:rPr>
          <w:color w:val="auto"/>
        </w:rPr>
        <w:t>s</w:t>
      </w:r>
      <w:r w:rsidRPr="00E033F1">
        <w:rPr>
          <w:color w:val="auto"/>
        </w:rPr>
        <w:t xml:space="preserve"> is regulati</w:t>
      </w:r>
      <w:r w:rsidR="000E329A" w:rsidRPr="00E033F1">
        <w:rPr>
          <w:color w:val="auto"/>
        </w:rPr>
        <w:t>ng</w:t>
      </w:r>
      <w:r w:rsidRPr="00E033F1">
        <w:rPr>
          <w:color w:val="auto"/>
        </w:rPr>
        <w:t xml:space="preserve"> the activity of mitogen-activated protein kinases</w:t>
      </w:r>
      <w:r w:rsidR="001F3041" w:rsidRPr="00E033F1">
        <w:rPr>
          <w:color w:val="auto"/>
        </w:rPr>
        <w:t xml:space="preserve"> </w:t>
      </w:r>
      <w:r w:rsidR="00250115" w:rsidRPr="00E033F1">
        <w:rPr>
          <w:color w:val="auto"/>
        </w:rPr>
        <w:t xml:space="preserve">(MAPK) </w:t>
      </w:r>
      <w:r w:rsidR="0036467C" w:rsidRPr="00E033F1">
        <w:rPr>
          <w:color w:val="auto"/>
        </w:rPr>
        <w:t>such as MAPK8</w:t>
      </w:r>
      <w:r w:rsidR="009B4A3E" w:rsidRPr="00E033F1">
        <w:rPr>
          <w:color w:val="auto"/>
        </w:rPr>
        <w:t xml:space="preserve"> (also known as c-Jun N-terminal kinase</w:t>
      </w:r>
      <w:r w:rsidR="000E329A" w:rsidRPr="00E033F1">
        <w:rPr>
          <w:color w:val="auto"/>
        </w:rPr>
        <w:t>,</w:t>
      </w:r>
      <w:r w:rsidR="009B4A3E" w:rsidRPr="00E033F1">
        <w:rPr>
          <w:color w:val="auto"/>
        </w:rPr>
        <w:t xml:space="preserve"> or JNK1)</w:t>
      </w:r>
      <w:r w:rsidR="0036467C" w:rsidRPr="00E033F1">
        <w:rPr>
          <w:color w:val="auto"/>
        </w:rPr>
        <w:t xml:space="preserve"> and MAP3K5</w:t>
      </w:r>
      <w:r w:rsidR="00C12197" w:rsidRPr="00E033F1">
        <w:rPr>
          <w:color w:val="auto"/>
        </w:rPr>
        <w:t xml:space="preserve"> (also known as apoptosis signal-regulating kinase 1, or ASK1)</w:t>
      </w:r>
      <w:r w:rsidR="00236C61" w:rsidRPr="00E033F1">
        <w:rPr>
          <w:color w:val="auto"/>
        </w:rPr>
        <w:fldChar w:fldCharType="begin"/>
      </w:r>
      <w:r w:rsidR="00236C61" w:rsidRPr="00E033F1">
        <w:rPr>
          <w:color w:val="auto"/>
        </w:rPr>
        <w:instrText xml:space="preserve"> ADDIN ZOTERO_ITEM CSL_CITATION {"citationID":"JKTCgb3E","properties":{"formattedCitation":"\\super 8\\nosupersub{}","plainCitation":"8","noteIndex":0},"citationItems":[{"id":134,"uris":["http://zotero.org/users/local/bXXP6LKp/items/2NS53VK7"],"uri":["http://zotero.org/users/local/bXXP6LKp/items/2NS53VK7"],"itemData":{"id":134,"type":"article-journal","abstract":"Glutathione transferases (GSTs) are enzymes that catalyze the conjugation of glutathione (GSH) to a variety of electrophilic substances. Their best known role is as cell housekeepers engaged in the detoxification of xenobiotics. Recently, GSTs have also been shown to act as modulators of signal transduction pathways that control cell proliferation and cell death. Their involvement in cancer cell growth and differentiation, and in the development of resistance to anticancer agents, has made them attractive drug targets. This review is focused on the inhibition of GSTs, in particular GSTP1-1, as a potential therapeutic approach for the treatment of cancer and other diseases associated with aberrant cell proliferation.","container-title":"Cell Death and Differentiation","DOI":"10.1038/cdd.2010.80","ISSN":"1476-5403","issue":"9","language":"en","page":"1373-1380","source":"www.nature.com","title":"Glutathione transferases as mediators of signaling pathways involved in cell proliferation and cell death","volume":"17","author":[{"family":"Laborde","given":"E."}],"issued":{"date-parts":[["2010",9]]}}}],"schema":"https://github.com/citation-style-language/schema/raw/master/csl-citation.json"} </w:instrText>
      </w:r>
      <w:r w:rsidR="00236C61" w:rsidRPr="00E033F1">
        <w:rPr>
          <w:color w:val="auto"/>
        </w:rPr>
        <w:fldChar w:fldCharType="separate"/>
      </w:r>
      <w:r w:rsidR="00236C61" w:rsidRPr="00E033F1">
        <w:rPr>
          <w:rFonts w:cs="Times New Roman"/>
          <w:color w:val="auto"/>
          <w:vertAlign w:val="superscript"/>
        </w:rPr>
        <w:t>8</w:t>
      </w:r>
      <w:r w:rsidR="00236C61" w:rsidRPr="00E033F1">
        <w:rPr>
          <w:color w:val="auto"/>
        </w:rPr>
        <w:fldChar w:fldCharType="end"/>
      </w:r>
      <w:r w:rsidR="00250115" w:rsidRPr="00E033F1">
        <w:rPr>
          <w:color w:val="auto"/>
        </w:rPr>
        <w:t>.</w:t>
      </w:r>
      <w:r w:rsidRPr="00E033F1">
        <w:rPr>
          <w:color w:val="auto"/>
        </w:rPr>
        <w:t xml:space="preserve"> </w:t>
      </w:r>
      <w:r w:rsidR="001F3041" w:rsidRPr="00E033F1">
        <w:rPr>
          <w:color w:val="auto"/>
        </w:rPr>
        <w:t>Some</w:t>
      </w:r>
      <w:r w:rsidRPr="00E033F1">
        <w:rPr>
          <w:color w:val="auto"/>
        </w:rPr>
        <w:t xml:space="preserve"> isoforms</w:t>
      </w:r>
      <w:r w:rsidR="001F3041" w:rsidRPr="00E033F1">
        <w:rPr>
          <w:color w:val="auto"/>
        </w:rPr>
        <w:t xml:space="preserve"> in their monomeric conformation</w:t>
      </w:r>
      <w:r w:rsidRPr="00E033F1">
        <w:rPr>
          <w:color w:val="auto"/>
        </w:rPr>
        <w:t xml:space="preserve"> will bind to these </w:t>
      </w:r>
      <w:r w:rsidR="00430E4E" w:rsidRPr="00E033F1">
        <w:rPr>
          <w:color w:val="auto"/>
        </w:rPr>
        <w:t xml:space="preserve">proteins </w:t>
      </w:r>
      <w:r w:rsidRPr="00E033F1">
        <w:rPr>
          <w:color w:val="auto"/>
        </w:rPr>
        <w:t>and th</w:t>
      </w:r>
      <w:r w:rsidR="000E329A" w:rsidRPr="00E033F1">
        <w:rPr>
          <w:color w:val="auto"/>
        </w:rPr>
        <w:t>us</w:t>
      </w:r>
      <w:r w:rsidRPr="00E033F1">
        <w:rPr>
          <w:color w:val="auto"/>
        </w:rPr>
        <w:t xml:space="preserve"> block the phosphorylation</w:t>
      </w:r>
      <w:r w:rsidR="00B43462" w:rsidRPr="00E033F1">
        <w:rPr>
          <w:color w:val="auto"/>
        </w:rPr>
        <w:t xml:space="preserve"> cascade</w:t>
      </w:r>
      <w:r w:rsidRPr="00E033F1">
        <w:rPr>
          <w:color w:val="auto"/>
        </w:rPr>
        <w:t xml:space="preserve">. </w:t>
      </w:r>
      <w:r w:rsidR="00E16535" w:rsidRPr="00E033F1">
        <w:rPr>
          <w:color w:val="auto"/>
        </w:rPr>
        <w:t>U</w:t>
      </w:r>
      <w:r w:rsidR="00430E4E" w:rsidRPr="00E033F1">
        <w:rPr>
          <w:color w:val="auto"/>
        </w:rPr>
        <w:t>nder normal</w:t>
      </w:r>
      <w:r w:rsidR="008962B1" w:rsidRPr="00E033F1">
        <w:rPr>
          <w:color w:val="auto"/>
        </w:rPr>
        <w:t xml:space="preserve"> conditions, </w:t>
      </w:r>
      <w:r w:rsidR="002E0CAD" w:rsidRPr="00E033F1">
        <w:rPr>
          <w:color w:val="auto"/>
        </w:rPr>
        <w:t xml:space="preserve">the </w:t>
      </w:r>
      <w:r w:rsidR="00565D31" w:rsidRPr="00E033F1">
        <w:rPr>
          <w:color w:val="auto"/>
        </w:rPr>
        <w:t>GSTP1</w:t>
      </w:r>
      <w:r w:rsidR="002E0CAD" w:rsidRPr="00E033F1">
        <w:rPr>
          <w:color w:val="auto"/>
        </w:rPr>
        <w:t xml:space="preserve"> isoform</w:t>
      </w:r>
      <w:r w:rsidR="00565D31" w:rsidRPr="00E033F1">
        <w:rPr>
          <w:color w:val="auto"/>
        </w:rPr>
        <w:t xml:space="preserve"> will sequester </w:t>
      </w:r>
      <w:r w:rsidR="00C12197" w:rsidRPr="00E033F1">
        <w:rPr>
          <w:color w:val="auto"/>
        </w:rPr>
        <w:t>MAPK8</w:t>
      </w:r>
      <w:r w:rsidR="000E329A" w:rsidRPr="00E033F1">
        <w:rPr>
          <w:color w:val="auto"/>
        </w:rPr>
        <w:t xml:space="preserve"> (the</w:t>
      </w:r>
      <w:r w:rsidR="00DD4B59" w:rsidRPr="00E033F1">
        <w:rPr>
          <w:color w:val="auto"/>
        </w:rPr>
        <w:t xml:space="preserve"> activator of the c-Jun protein</w:t>
      </w:r>
      <w:r w:rsidR="000E329A" w:rsidRPr="00E033F1">
        <w:rPr>
          <w:color w:val="auto"/>
        </w:rPr>
        <w:t>)</w:t>
      </w:r>
      <w:r w:rsidR="00DD4B59" w:rsidRPr="00E033F1">
        <w:rPr>
          <w:color w:val="auto"/>
        </w:rPr>
        <w:t>.</w:t>
      </w:r>
      <w:r w:rsidR="00565D31" w:rsidRPr="00E033F1">
        <w:rPr>
          <w:color w:val="auto"/>
        </w:rPr>
        <w:t xml:space="preserve"> </w:t>
      </w:r>
      <w:r w:rsidR="00C12197" w:rsidRPr="00E033F1">
        <w:rPr>
          <w:color w:val="auto"/>
        </w:rPr>
        <w:t>Combin</w:t>
      </w:r>
      <w:r w:rsidR="000E329A" w:rsidRPr="00E033F1">
        <w:rPr>
          <w:color w:val="auto"/>
        </w:rPr>
        <w:t>ing the</w:t>
      </w:r>
      <w:r w:rsidR="00C12197" w:rsidRPr="00E033F1">
        <w:rPr>
          <w:color w:val="auto"/>
        </w:rPr>
        <w:t xml:space="preserve"> c-Jun</w:t>
      </w:r>
      <w:r w:rsidR="00DD4B59" w:rsidRPr="00E033F1">
        <w:rPr>
          <w:color w:val="auto"/>
        </w:rPr>
        <w:t xml:space="preserve"> with the c-</w:t>
      </w:r>
      <w:proofErr w:type="spellStart"/>
      <w:r w:rsidR="00DD4B59" w:rsidRPr="00E033F1">
        <w:rPr>
          <w:color w:val="auto"/>
        </w:rPr>
        <w:t>Fos</w:t>
      </w:r>
      <w:proofErr w:type="spellEnd"/>
      <w:r w:rsidR="00DD4B59" w:rsidRPr="00E033F1">
        <w:rPr>
          <w:color w:val="auto"/>
        </w:rPr>
        <w:t xml:space="preserve"> protein form</w:t>
      </w:r>
      <w:r w:rsidR="000E329A" w:rsidRPr="00E033F1">
        <w:rPr>
          <w:color w:val="auto"/>
        </w:rPr>
        <w:t>s</w:t>
      </w:r>
      <w:r w:rsidR="00DD4B59" w:rsidRPr="00E033F1">
        <w:rPr>
          <w:color w:val="auto"/>
        </w:rPr>
        <w:t xml:space="preserve"> the </w:t>
      </w:r>
      <w:r w:rsidR="007054B6" w:rsidRPr="00E033F1">
        <w:rPr>
          <w:color w:val="auto"/>
        </w:rPr>
        <w:t>activator protein 1 (</w:t>
      </w:r>
      <w:r w:rsidR="00DD4B59" w:rsidRPr="00E033F1">
        <w:rPr>
          <w:color w:val="auto"/>
        </w:rPr>
        <w:t>AP-1</w:t>
      </w:r>
      <w:r w:rsidR="007054B6" w:rsidRPr="00E033F1">
        <w:rPr>
          <w:color w:val="auto"/>
        </w:rPr>
        <w:t>)</w:t>
      </w:r>
      <w:r w:rsidR="00C12197" w:rsidRPr="00E033F1">
        <w:rPr>
          <w:color w:val="auto"/>
        </w:rPr>
        <w:t xml:space="preserve"> </w:t>
      </w:r>
      <w:r w:rsidR="000E329A" w:rsidRPr="00E033F1">
        <w:rPr>
          <w:color w:val="auto"/>
        </w:rPr>
        <w:t xml:space="preserve">transcription factor, which is </w:t>
      </w:r>
      <w:r w:rsidR="00C12197" w:rsidRPr="00E033F1">
        <w:rPr>
          <w:color w:val="auto"/>
        </w:rPr>
        <w:t>responsible for</w:t>
      </w:r>
      <w:r w:rsidR="00DD4B59" w:rsidRPr="00E033F1">
        <w:rPr>
          <w:color w:val="auto"/>
        </w:rPr>
        <w:t xml:space="preserve"> transcri</w:t>
      </w:r>
      <w:r w:rsidR="000E329A" w:rsidRPr="00E033F1">
        <w:rPr>
          <w:color w:val="auto"/>
        </w:rPr>
        <w:t>bing</w:t>
      </w:r>
      <w:r w:rsidR="00DD4B59" w:rsidRPr="00E033F1">
        <w:rPr>
          <w:color w:val="auto"/>
        </w:rPr>
        <w:t xml:space="preserve"> pro-apoptotic genes.</w:t>
      </w:r>
      <w:r w:rsidR="008962B1" w:rsidRPr="00E033F1">
        <w:rPr>
          <w:color w:val="auto"/>
        </w:rPr>
        <w:t xml:space="preserve"> </w:t>
      </w:r>
      <w:r w:rsidR="00BB1EC6" w:rsidRPr="00E033F1">
        <w:rPr>
          <w:color w:val="auto"/>
        </w:rPr>
        <w:t>In stressed cells, the complex</w:t>
      </w:r>
      <w:r w:rsidR="00DD4B59" w:rsidRPr="00E033F1">
        <w:rPr>
          <w:color w:val="auto"/>
        </w:rPr>
        <w:t xml:space="preserve"> </w:t>
      </w:r>
      <w:r w:rsidR="007054B6" w:rsidRPr="00E033F1">
        <w:rPr>
          <w:color w:val="auto"/>
        </w:rPr>
        <w:t xml:space="preserve">formed by </w:t>
      </w:r>
      <w:r w:rsidR="00DD4B59" w:rsidRPr="00E033F1">
        <w:rPr>
          <w:color w:val="auto"/>
        </w:rPr>
        <w:t>GST</w:t>
      </w:r>
      <w:r w:rsidR="00C12197" w:rsidRPr="00E033F1">
        <w:rPr>
          <w:color w:val="auto"/>
        </w:rPr>
        <w:t>P1</w:t>
      </w:r>
      <w:r w:rsidR="007054B6" w:rsidRPr="00E033F1">
        <w:rPr>
          <w:color w:val="auto"/>
        </w:rPr>
        <w:t xml:space="preserve"> and </w:t>
      </w:r>
      <w:r w:rsidR="00C12197" w:rsidRPr="00E033F1">
        <w:rPr>
          <w:color w:val="auto"/>
        </w:rPr>
        <w:t>MAPK8</w:t>
      </w:r>
      <w:r w:rsidR="00BB1EC6" w:rsidRPr="00E033F1">
        <w:rPr>
          <w:color w:val="auto"/>
        </w:rPr>
        <w:t xml:space="preserve"> dissociate</w:t>
      </w:r>
      <w:r w:rsidR="00236D6F" w:rsidRPr="00E033F1">
        <w:rPr>
          <w:color w:val="auto"/>
        </w:rPr>
        <w:t>s</w:t>
      </w:r>
      <w:r w:rsidR="009B4A3E" w:rsidRPr="00E033F1">
        <w:rPr>
          <w:color w:val="auto"/>
        </w:rPr>
        <w:t xml:space="preserve">, </w:t>
      </w:r>
      <w:r w:rsidR="00BB1EC6" w:rsidRPr="00E033F1">
        <w:rPr>
          <w:color w:val="auto"/>
        </w:rPr>
        <w:t>c-Jun is activated</w:t>
      </w:r>
      <w:r w:rsidR="00236D6F" w:rsidRPr="00E033F1">
        <w:rPr>
          <w:color w:val="auto"/>
        </w:rPr>
        <w:t>,</w:t>
      </w:r>
      <w:r w:rsidR="001F3041" w:rsidRPr="00E033F1">
        <w:rPr>
          <w:color w:val="auto"/>
        </w:rPr>
        <w:t xml:space="preserve"> and the genes leading to apoptosis </w:t>
      </w:r>
      <w:r w:rsidR="00236D6F" w:rsidRPr="00E033F1">
        <w:rPr>
          <w:color w:val="auto"/>
        </w:rPr>
        <w:t>start to be expressed</w:t>
      </w:r>
      <w:r w:rsidR="00236C61" w:rsidRPr="00E033F1">
        <w:rPr>
          <w:color w:val="auto"/>
        </w:rPr>
        <w:fldChar w:fldCharType="begin"/>
      </w:r>
      <w:r w:rsidR="00236C61" w:rsidRPr="00E033F1">
        <w:rPr>
          <w:color w:val="auto"/>
        </w:rPr>
        <w:instrText xml:space="preserve"> ADDIN ZOTERO_ITEM CSL_CITATION {"citationID":"nYuhXsJw","properties":{"formattedCitation":"\\super 9\\nosupersub{}","plainCitation":"9","noteIndex":0},"citationItems":[{"id":4,"uris":["http://zotero.org/users/local/bXXP6LKp/items/H84N3REQ"],"uri":["http://zotero.org/users/local/bXXP6LKp/items/H84N3REQ"],"itemData":{"id":4,"type":"article-journal","abstract":"Studies of low basal Jun N‐terminal kinase (JNK) activity in non‐stressed cells led us to identify a JNK inhibitor that was purified and identified as glutathione S‐transferase Pi (GSTp) and was characterized as a JNK‐associated protein. UV irradiation or H2O2 treatment caused GSTp oligomerization and dissociation of the GSTp–JNK complex, indicating that it is the monomeric form of GSTp that elicits JNK inhibition. Addition of purified GSTp to the Jun–JNK complex caused a dose‐dependent inhibition of JNK activity. Conversely, immunodepleting GSTp from protein extracts attenuated JNK inhibition. Furthermore, JNK activity was increased in the presence of specific GSTp inhibitors and a GSTp‐derived peptide. Forced expression of GSTp decreased MKK4 and JNK phosphorylation which coincided with decreased JNK activity, increased c‐Jun ubiquitination and decreased c‐Jun‐mediated transcription. Co‐transfection of MEKK1 and GSTp restored MKK4 phosphorylation but did not affect GSTp inhibition of JNK activity, suggesting that the effect of GSTp on JNK is independent of the MEKK1–MKK4 module. Mouse embryo fibroblasts from GSTp‐null mice exhibited a high basal level of JNK activity that could be reduced by forced expression of GSTp cDNA. In demonstrating the relationships between GSTp expression and its association with JNK, our findings provide new insight into the regulation of stress kinases.","container-title":"The EMBO Journal","DOI":"10.1093/emboj/18.5.1321","ISSN":"0261-4189, 1460-2075","issue":"5","language":"en","note":"PMID: 10064598","page":"1321-1334","source":"emboj.embopress.org","title":"Regulation of JNK signaling by GSTp","volume":"18","author":[{"family":"Adler","given":"Victor"},{"family":"Yin","given":"Zhimin"},{"family":"Fuchs","given":"Serge Y."},{"family":"Benezra","given":"Miriam"},{"family":"Rosario","given":"Lilliam"},{"family":"Tew","given":"Kenneth D."},{"family":"Pincus","given":"Matthew R."},{"family":"Sardana","given":"Mohinder"},{"family":"Henderson","given":"Colin J."},{"family":"Wolf","given":"C. Roland"},{"family":"Davis","given":"Roger J."},{"family":"Ronai","given":"Ze'ev"}],"issued":{"date-parts":[["1999",3,1]]}}}],"schema":"https://github.com/citation-style-language/schema/raw/master/csl-citation.json"} </w:instrText>
      </w:r>
      <w:r w:rsidR="00236C61" w:rsidRPr="00E033F1">
        <w:rPr>
          <w:color w:val="auto"/>
        </w:rPr>
        <w:fldChar w:fldCharType="separate"/>
      </w:r>
      <w:r w:rsidR="00236C61" w:rsidRPr="00E033F1">
        <w:rPr>
          <w:rFonts w:cs="Times New Roman"/>
          <w:color w:val="auto"/>
          <w:vertAlign w:val="superscript"/>
        </w:rPr>
        <w:t>9</w:t>
      </w:r>
      <w:r w:rsidR="00236C61" w:rsidRPr="00E033F1">
        <w:rPr>
          <w:color w:val="auto"/>
        </w:rPr>
        <w:fldChar w:fldCharType="end"/>
      </w:r>
      <w:r w:rsidR="00BB1EC6" w:rsidRPr="00E033F1">
        <w:rPr>
          <w:color w:val="auto"/>
        </w:rPr>
        <w:t>.</w:t>
      </w:r>
      <w:r w:rsidR="001B2CC2" w:rsidRPr="00E033F1">
        <w:rPr>
          <w:color w:val="auto"/>
        </w:rPr>
        <w:t xml:space="preserve"> </w:t>
      </w:r>
      <w:r w:rsidR="00236D6F" w:rsidRPr="00E033F1">
        <w:rPr>
          <w:color w:val="auto"/>
        </w:rPr>
        <w:t>Greater</w:t>
      </w:r>
      <w:r w:rsidR="001B2CC2" w:rsidRPr="00E033F1">
        <w:rPr>
          <w:color w:val="auto"/>
        </w:rPr>
        <w:t xml:space="preserve"> expression of this </w:t>
      </w:r>
      <w:r w:rsidR="00C12197" w:rsidRPr="00E033F1">
        <w:rPr>
          <w:color w:val="auto"/>
        </w:rPr>
        <w:t xml:space="preserve">GST </w:t>
      </w:r>
      <w:r w:rsidR="001B2CC2" w:rsidRPr="00E033F1">
        <w:rPr>
          <w:color w:val="auto"/>
        </w:rPr>
        <w:t xml:space="preserve">isoform might therefore </w:t>
      </w:r>
      <w:r w:rsidR="0061488C" w:rsidRPr="00E033F1">
        <w:rPr>
          <w:color w:val="auto"/>
        </w:rPr>
        <w:t>block</w:t>
      </w:r>
      <w:r w:rsidR="00F80B47" w:rsidRPr="00E033F1">
        <w:rPr>
          <w:color w:val="auto"/>
        </w:rPr>
        <w:t xml:space="preserve"> </w:t>
      </w:r>
      <w:r w:rsidR="002E0CAD" w:rsidRPr="00E033F1">
        <w:rPr>
          <w:color w:val="auto"/>
        </w:rPr>
        <w:t xml:space="preserve">the </w:t>
      </w:r>
      <w:r w:rsidR="001F3041" w:rsidRPr="00E033F1">
        <w:rPr>
          <w:color w:val="auto"/>
        </w:rPr>
        <w:t xml:space="preserve">pathway, leading to increased </w:t>
      </w:r>
      <w:r w:rsidR="00236D6F" w:rsidRPr="00E033F1">
        <w:rPr>
          <w:color w:val="auto"/>
        </w:rPr>
        <w:t xml:space="preserve">cell </w:t>
      </w:r>
      <w:r w:rsidR="001F3041" w:rsidRPr="00E033F1">
        <w:rPr>
          <w:color w:val="auto"/>
        </w:rPr>
        <w:t>viability</w:t>
      </w:r>
      <w:r w:rsidR="00B03B05" w:rsidRPr="00E033F1">
        <w:rPr>
          <w:color w:val="auto"/>
        </w:rPr>
        <w:t>,</w:t>
      </w:r>
      <w:r w:rsidR="001F3041" w:rsidRPr="00E033F1">
        <w:rPr>
          <w:color w:val="auto"/>
        </w:rPr>
        <w:t xml:space="preserve"> more cellular proliferation</w:t>
      </w:r>
      <w:r w:rsidR="00B43462" w:rsidRPr="00E033F1">
        <w:rPr>
          <w:color w:val="auto"/>
        </w:rPr>
        <w:t>,</w:t>
      </w:r>
      <w:r w:rsidR="00B03B05" w:rsidRPr="00E033F1">
        <w:rPr>
          <w:color w:val="auto"/>
        </w:rPr>
        <w:t xml:space="preserve"> and </w:t>
      </w:r>
      <w:r w:rsidR="00236D6F" w:rsidRPr="00E033F1">
        <w:rPr>
          <w:color w:val="auto"/>
        </w:rPr>
        <w:t>lower</w:t>
      </w:r>
      <w:r w:rsidR="00B03B05" w:rsidRPr="00E033F1">
        <w:rPr>
          <w:color w:val="auto"/>
        </w:rPr>
        <w:t xml:space="preserve"> cellular sensitivity to chemotherapy</w:t>
      </w:r>
      <w:r w:rsidR="001F3041" w:rsidRPr="00E033F1">
        <w:rPr>
          <w:color w:val="auto"/>
        </w:rPr>
        <w:t>.</w:t>
      </w:r>
      <w:r w:rsidR="00250115" w:rsidRPr="00E033F1">
        <w:rPr>
          <w:color w:val="auto"/>
        </w:rPr>
        <w:t xml:space="preserve"> </w:t>
      </w:r>
      <w:r w:rsidR="009B4A3E" w:rsidRPr="00E033F1">
        <w:rPr>
          <w:color w:val="auto"/>
        </w:rPr>
        <w:t xml:space="preserve">Similar scenarios </w:t>
      </w:r>
      <w:r w:rsidR="008A3DDF" w:rsidRPr="00E033F1">
        <w:rPr>
          <w:color w:val="auto"/>
        </w:rPr>
        <w:t xml:space="preserve">may occur </w:t>
      </w:r>
      <w:r w:rsidR="009B4A3E" w:rsidRPr="00E033F1">
        <w:rPr>
          <w:color w:val="auto"/>
        </w:rPr>
        <w:t xml:space="preserve">with paralogs of GSTP1, </w:t>
      </w:r>
      <w:r w:rsidR="00952296" w:rsidRPr="00E033F1">
        <w:rPr>
          <w:color w:val="auto"/>
        </w:rPr>
        <w:t xml:space="preserve">for </w:t>
      </w:r>
      <w:r w:rsidR="00236D6F" w:rsidRPr="00E033F1">
        <w:rPr>
          <w:color w:val="auto"/>
        </w:rPr>
        <w:t>example,</w:t>
      </w:r>
      <w:r w:rsidR="00952296" w:rsidRPr="00E033F1">
        <w:rPr>
          <w:color w:val="auto"/>
        </w:rPr>
        <w:t xml:space="preserve"> GSTM1</w:t>
      </w:r>
      <w:r w:rsidR="00236D6F" w:rsidRPr="00E033F1">
        <w:rPr>
          <w:color w:val="auto"/>
        </w:rPr>
        <w:t>,</w:t>
      </w:r>
      <w:r w:rsidR="00C12197" w:rsidRPr="00E033F1">
        <w:rPr>
          <w:color w:val="auto"/>
        </w:rPr>
        <w:t xml:space="preserve"> which </w:t>
      </w:r>
      <w:r w:rsidR="00C12197" w:rsidRPr="00E033F1">
        <w:rPr>
          <w:color w:val="auto"/>
        </w:rPr>
        <w:lastRenderedPageBreak/>
        <w:t>interact</w:t>
      </w:r>
      <w:r w:rsidR="00236D6F" w:rsidRPr="00E033F1">
        <w:rPr>
          <w:color w:val="auto"/>
        </w:rPr>
        <w:t>s</w:t>
      </w:r>
      <w:r w:rsidR="00C12197" w:rsidRPr="00E033F1">
        <w:rPr>
          <w:color w:val="auto"/>
        </w:rPr>
        <w:t xml:space="preserve"> with MAP3K5</w:t>
      </w:r>
      <w:r w:rsidR="00236C61" w:rsidRPr="00E033F1">
        <w:rPr>
          <w:color w:val="auto"/>
        </w:rPr>
        <w:fldChar w:fldCharType="begin"/>
      </w:r>
      <w:r w:rsidR="00236C61" w:rsidRPr="00E033F1">
        <w:rPr>
          <w:color w:val="auto"/>
        </w:rPr>
        <w:instrText xml:space="preserve"> ADDIN ZOTERO_ITEM CSL_CITATION {"citationID":"g5hZRn5F","properties":{"formattedCitation":"\\super 10\\nosupersub{}","plainCitation":"10","noteIndex":0},"citationItems":[{"id":8,"uris":["http://zotero.org/users/local/bXXP6LKp/items/8TF3Z57Y"],"uri":["http://zotero.org/users/local/bXXP6LKp/items/8TF3Z57Y"],"itemData":{"id":8,"type":"article-journal","abstract":"Apoptosis signal-regulating kinase 1 (ASK1) is a mitogen-activated protein kinase kinase kinase that can activate the c-Jun N-terminal kinase and the p38 signaling pathways. It plays a critical role in cytokine- and stress-induced apoptosis. To further characterize the mechanism of the regulation of the ASK1 signal, we searched for ASK1-interacting proteins employing the yeast two-hybrid method. The yeast two-hybrid assay indicated that mouse glutathioneS-transferase Mu 1-1 (mGSTM1-1), an enzyme involved in the metabolism of drugs and xenobiotics, interacted with ASK1. We subsequently confirmed that mGSTM1-1 physically associated with ASK1 both in vivo and in vitro. The in vitro binding assay indicated that the C-terminal portion of mGSTM1-1 and the N-terminal region of ASK1 were crucial for binding one another. Furthermore, mGSTM1-1 suppressed stress-stimulated ASK1 activity in cultured cells. mGSTM1-1 also blocked ASK1 oligomerization. The ASK1 inhibition by mGSTM1-1 occurred independently of the glutathione-conjugating activity of mGSTM1-1. Moreover, mGSTM1-1 repressed ASK1-dependent apoptotic cell death. Taken together, our findings suggest that mGSTM1-1 functions as an endogenous inhibitor of ASK1. This highlights a novel function for mGSTM1-1 insofar as mGSTM1-1 may modulate stress-mediated signals by repressing ASK1, and this activity occurs independently of its well-known catalytic activity in intracellular glutathione metabolism.","container-title":"Journal of Biological Chemistry","DOI":"10.1074/jbc.M005561200","ISSN":"0021-9258, 1083-351X","issue":"16","journalAbbreviation":"J. Biol. Chem.","language":"en","note":"PMID: 11278289","page":"12749-12755","source":"www.jbc.org","title":"Glutathione S-Transferase Mu Modulates the Stress-activated Signals by Suppressing Apoptosis Signal-regulating Kinase 1","volume":"276","author":[{"family":"Cho","given":"Ssang-Goo"},{"family":"Lee","given":"Yong Hee"},{"family":"Park","given":"Hee-Sae"},{"family":"Ryoo","given":"Kanghyun"},{"family":"Kang","given":"Keon Wook"},{"family":"Park","given":"Jihyun"},{"family":"Eom","given":"Soo-Jung"},{"family":"Kim","given":"Myung Jin"},{"family":"Chang","given":"Tong-Shin"},{"family":"Choi","given":"Soo-Yeon"},{"family":"Shim","given":"Jaekyung"},{"family":"Kim","given":"Youngho"},{"family":"Dong","given":"Mi-Sook"},{"family":"Lee","given":"Min-Jae"},{"family":"Kim","given":"Sang Geon"},{"family":"Ichijo","given":"Hidenori"},{"family":"Choi","given":"Eui-Ju"}],"issued":{"date-parts":[["2001",4,20]]}}}],"schema":"https://github.com/citation-style-language/schema/raw/master/csl-citation.json"} </w:instrText>
      </w:r>
      <w:r w:rsidR="00236C61" w:rsidRPr="00E033F1">
        <w:rPr>
          <w:color w:val="auto"/>
        </w:rPr>
        <w:fldChar w:fldCharType="separate"/>
      </w:r>
      <w:r w:rsidR="00236C61" w:rsidRPr="00E033F1">
        <w:rPr>
          <w:color w:val="auto"/>
          <w:vertAlign w:val="superscript"/>
        </w:rPr>
        <w:t>10</w:t>
      </w:r>
      <w:r w:rsidR="00236C61" w:rsidRPr="00E033F1">
        <w:rPr>
          <w:color w:val="auto"/>
        </w:rPr>
        <w:fldChar w:fldCharType="end"/>
      </w:r>
      <w:r w:rsidR="00DD4B59" w:rsidRPr="00E033F1">
        <w:rPr>
          <w:color w:val="auto"/>
        </w:rPr>
        <w:t>.</w:t>
      </w:r>
      <w:r w:rsidR="00236C61" w:rsidRPr="00E033F1">
        <w:rPr>
          <w:color w:val="auto"/>
        </w:rPr>
        <w:t xml:space="preserve"> </w:t>
      </w:r>
    </w:p>
    <w:p w14:paraId="13EC216D" w14:textId="77777777" w:rsidR="00976A25" w:rsidRPr="00E033F1" w:rsidRDefault="00976A25" w:rsidP="00E033F1">
      <w:pPr>
        <w:contextualSpacing/>
        <w:rPr>
          <w:rFonts w:asciiTheme="minorHAnsi" w:hAnsiTheme="minorHAnsi" w:cstheme="minorHAnsi"/>
          <w:color w:val="auto"/>
        </w:rPr>
      </w:pPr>
    </w:p>
    <w:p w14:paraId="677AFAD8" w14:textId="103FC1F7" w:rsidR="003B3891" w:rsidRPr="00E033F1" w:rsidRDefault="00542CE8" w:rsidP="00E033F1">
      <w:pPr>
        <w:contextualSpacing/>
        <w:rPr>
          <w:rFonts w:asciiTheme="minorHAnsi" w:hAnsiTheme="minorHAnsi" w:cstheme="minorHAnsi"/>
          <w:color w:val="auto"/>
        </w:rPr>
      </w:pPr>
      <w:r w:rsidRPr="00E033F1">
        <w:rPr>
          <w:color w:val="auto"/>
        </w:rPr>
        <w:t xml:space="preserve">The </w:t>
      </w:r>
      <w:r w:rsidR="008F28C8" w:rsidRPr="00E033F1">
        <w:rPr>
          <w:color w:val="auto"/>
        </w:rPr>
        <w:t>role</w:t>
      </w:r>
      <w:r w:rsidRPr="00E033F1">
        <w:rPr>
          <w:color w:val="auto"/>
        </w:rPr>
        <w:t>s</w:t>
      </w:r>
      <w:r w:rsidR="00577439" w:rsidRPr="00E033F1">
        <w:rPr>
          <w:color w:val="auto"/>
        </w:rPr>
        <w:t xml:space="preserve"> played by</w:t>
      </w:r>
      <w:r w:rsidR="008F28C8" w:rsidRPr="00E033F1">
        <w:rPr>
          <w:color w:val="auto"/>
        </w:rPr>
        <w:t xml:space="preserve"> GSTs in </w:t>
      </w:r>
      <w:r w:rsidR="00577439" w:rsidRPr="00E033F1">
        <w:rPr>
          <w:color w:val="auto"/>
        </w:rPr>
        <w:t>drug</w:t>
      </w:r>
      <w:r w:rsidR="008F28C8" w:rsidRPr="00E033F1">
        <w:rPr>
          <w:color w:val="auto"/>
        </w:rPr>
        <w:t xml:space="preserve"> metaboli</w:t>
      </w:r>
      <w:r w:rsidR="000E0E08" w:rsidRPr="00E033F1">
        <w:rPr>
          <w:color w:val="auto"/>
        </w:rPr>
        <w:t>sm</w:t>
      </w:r>
      <w:r w:rsidR="008F28C8" w:rsidRPr="00E033F1">
        <w:rPr>
          <w:color w:val="auto"/>
        </w:rPr>
        <w:t xml:space="preserve"> </w:t>
      </w:r>
      <w:r w:rsidR="00203E45" w:rsidRPr="00E033F1">
        <w:rPr>
          <w:color w:val="auto"/>
        </w:rPr>
        <w:t xml:space="preserve">and </w:t>
      </w:r>
      <w:r w:rsidR="00CC71D1" w:rsidRPr="00E033F1">
        <w:rPr>
          <w:color w:val="auto"/>
        </w:rPr>
        <w:t xml:space="preserve">in </w:t>
      </w:r>
      <w:r w:rsidR="00577439" w:rsidRPr="00E033F1">
        <w:rPr>
          <w:color w:val="auto"/>
        </w:rPr>
        <w:t xml:space="preserve">the </w:t>
      </w:r>
      <w:r w:rsidR="00203E45" w:rsidRPr="00E033F1">
        <w:rPr>
          <w:color w:val="auto"/>
        </w:rPr>
        <w:t>sequest</w:t>
      </w:r>
      <w:r w:rsidR="009B4A3E" w:rsidRPr="00E033F1">
        <w:rPr>
          <w:color w:val="auto"/>
        </w:rPr>
        <w:t>ration</w:t>
      </w:r>
      <w:r w:rsidR="00203E45" w:rsidRPr="00E033F1">
        <w:rPr>
          <w:color w:val="auto"/>
        </w:rPr>
        <w:t xml:space="preserve"> of </w:t>
      </w:r>
      <w:r w:rsidR="00B443BB" w:rsidRPr="00E033F1">
        <w:rPr>
          <w:color w:val="auto"/>
        </w:rPr>
        <w:t>MAPKs</w:t>
      </w:r>
      <w:r w:rsidR="00203E45" w:rsidRPr="00E033F1">
        <w:rPr>
          <w:color w:val="auto"/>
        </w:rPr>
        <w:t xml:space="preserve"> </w:t>
      </w:r>
      <w:r w:rsidR="00CC71D1" w:rsidRPr="00E033F1">
        <w:rPr>
          <w:color w:val="auto"/>
        </w:rPr>
        <w:t>led to</w:t>
      </w:r>
      <w:r w:rsidR="008F28C8" w:rsidRPr="00E033F1">
        <w:rPr>
          <w:color w:val="auto"/>
        </w:rPr>
        <w:t xml:space="preserve"> the hypothesis that </w:t>
      </w:r>
      <w:r w:rsidR="00577439" w:rsidRPr="00E033F1">
        <w:rPr>
          <w:color w:val="auto"/>
        </w:rPr>
        <w:t>a greater</w:t>
      </w:r>
      <w:r w:rsidR="008F28C8" w:rsidRPr="00E033F1">
        <w:rPr>
          <w:color w:val="auto"/>
        </w:rPr>
        <w:t xml:space="preserve"> expression of </w:t>
      </w:r>
      <w:r w:rsidR="00CC71D1" w:rsidRPr="00E033F1">
        <w:rPr>
          <w:color w:val="auto"/>
        </w:rPr>
        <w:t>GSTs</w:t>
      </w:r>
      <w:r w:rsidR="008F28C8" w:rsidRPr="00E033F1">
        <w:rPr>
          <w:color w:val="auto"/>
        </w:rPr>
        <w:t xml:space="preserve"> might be </w:t>
      </w:r>
      <w:r w:rsidR="00577439" w:rsidRPr="00E033F1">
        <w:rPr>
          <w:color w:val="auto"/>
        </w:rPr>
        <w:t>a sign</w:t>
      </w:r>
      <w:r w:rsidR="008F28C8" w:rsidRPr="00E033F1">
        <w:rPr>
          <w:color w:val="auto"/>
        </w:rPr>
        <w:t xml:space="preserve"> of </w:t>
      </w:r>
      <w:r w:rsidR="00577439" w:rsidRPr="00E033F1">
        <w:rPr>
          <w:color w:val="auto"/>
        </w:rPr>
        <w:t xml:space="preserve">a </w:t>
      </w:r>
      <w:r w:rsidR="008F28C8" w:rsidRPr="00E033F1">
        <w:rPr>
          <w:color w:val="auto"/>
        </w:rPr>
        <w:t>tumor</w:t>
      </w:r>
      <w:r w:rsidR="00577439" w:rsidRPr="00E033F1">
        <w:rPr>
          <w:color w:val="auto"/>
        </w:rPr>
        <w:t>al</w:t>
      </w:r>
      <w:r w:rsidR="008F28C8" w:rsidRPr="00E033F1">
        <w:rPr>
          <w:color w:val="auto"/>
        </w:rPr>
        <w:t xml:space="preserve"> resistance</w:t>
      </w:r>
      <w:r w:rsidR="00577439" w:rsidRPr="00E033F1">
        <w:rPr>
          <w:color w:val="auto"/>
        </w:rPr>
        <w:t xml:space="preserve"> mechanism</w:t>
      </w:r>
      <w:r w:rsidR="008F28C8" w:rsidRPr="00E033F1">
        <w:rPr>
          <w:color w:val="auto"/>
        </w:rPr>
        <w:t xml:space="preserve"> </w:t>
      </w:r>
      <w:r w:rsidR="002E0CAD" w:rsidRPr="00E033F1">
        <w:rPr>
          <w:color w:val="auto"/>
        </w:rPr>
        <w:t>to chemotherapeutic treatment</w:t>
      </w:r>
      <w:r w:rsidR="00236C61" w:rsidRPr="00E033F1">
        <w:rPr>
          <w:color w:val="auto"/>
        </w:rPr>
        <w:fldChar w:fldCharType="begin"/>
      </w:r>
      <w:r w:rsidR="00236C61" w:rsidRPr="00E033F1">
        <w:rPr>
          <w:color w:val="auto"/>
        </w:rPr>
        <w:instrText xml:space="preserve"> ADDIN ZOTERO_ITEM CSL_CITATION {"citationID":"mDQsLTju","properties":{"formattedCitation":"\\super 6, 11\\nosupersub{}","plainCitation":"6, 11","noteIndex":0},"citationItems":[{"id":52,"uris":["http://zotero.org/users/local/bXXP6LKp/items/NE7VC3VP"],"uri":["http://zotero.org/users/local/bXXP6LKp/items/NE7VC3VP"],"itemData":{"id":52,"type":"article-journal","abstract":"Glutathione-S-transferases (GSTs) are a family of Phase II detoxification enzymes that catalyse the conjugation of glutathione (GSH) to a wide variety of endogenous and exogenous electrophilic compounds. GSTs are divided into two distinct super-family members: the membrane-bound microsomal and cytosolic family members. Microsomal GSTs are structurally distinct from the cytosolic in that they homo- and heterotrimerize rather than dimerize to form a single active site. Microsomal GSTs play a key role in the endogenous metabolism of leukotrienes and prostaglandins. Human cytosolic GSTs are highly polymorphic and can be divided into six classes: alpha, mu, omega, pi, theta, and zeta. The pi and mu classes of GSTs play a regulatory role in the mitogen-activated protein (MAP) kinase pathway that participates in cellular survival and death signals via protein : protein interactions with c-Jun N-terminal kinase 1 (JNK1) and ASK1 (apoptosis signal-regulating kinase). JNK and ASK1 are activated in response to cellular stress. GSTs have been implicated in the development of resistance toward chemotherapy agents. It is plausible that GSTs serve two distinct roles in the development of drug resistance via direct detoxification as well as acting as an inhibitor of the MAP kinase pathway. The link between GSTs and the MAP kinase pathway provides a rationale as to why in many cases the drugs used to select for resistance are neither subject to conjugation with GSH, nor substrates for GSTs. GSTs have emerged as a promising therapeutic target because specific isozymes are overexpressed in a wide variety of tumors and may play a role in the etiology of other diseases, including neurodegenerative diseases, multiple sclerosis, and asthma. Some of the therapeutic strategies so far employed are described in this review.","container-title":"Oncogene","DOI":"10.1038/sj.onc.1206940","ISSN":"0950-9232","issue":"47","journalAbbreviation":"Oncogene","language":"eng","note":"PMID: 14576844","page":"7369-7375","source":"PubMed","title":"The role of glutathione-S-transferase in anti-cancer drug resistance","volume":"22","author":[{"family":"Townsend","given":"Danyelle M."},{"family":"Tew","given":"Kenneth D."}],"issued":{"date-parts":[["2003",10,20]]}}},{"id":334,"uris":["http://zotero.org/users/local/bXXP6LKp/items/NVGA337U"],"uri":["http://zotero.org/users/local/bXXP6LKp/items/NVGA337U"],"itemData":{"id":334,"type":"article-journal","abstract":"This review describes the three mammalian glutathione transferase (GST) families, namely cytosolic, mitochondrial, and microsomal GST, the latter now designated MAPEG. Besides detoxifying electrophilic xenobiotics, such as chemical carcinogens, environmental pollutants, and antitumor agents, these transferases inactivate endogenous α,β-unsaturated aldehydes, quinones, epoxides, and hydroperoxides formed as secondary metabolites during oxidative stress. These enzymes are also intimately involved in the biosynthesis of leukotrienes, prostaglandins, testosterone, and progesterone, as well as the degradation of tyrosine. Among their substrates, GSTs conjugate the signaling molecules 15-deoxy-Δ12,14-prostaglandin J2 (15d-PGJ2) and 4-hydroxynonenal with glutathione, and consequently they antagonize expression of genes trans-activated by the peroxisome proliferator-activated receptor γ (PPARγ) and nuclear factor-erythroid 2 p45-related factor 2 (Nrf2). Through metabolism of 15d-PGJ2, GST may enhance gene expression driven by nuclear factor-κB (NF-κB). Cytosolic human GST exhibit genetic polymorphisms and this variation can increase susceptibility to carcinogenesis and inflammatory disease. Polymorphisms in human MAPEG are associated with alterations in lung function and increased risk of myocardial infarction and stroke. Targeted disruption of murine genes has demonstrated that cytosolic GST isoenzymes are broadly cytoprotective, whereas MAPEG proteins have proinflammatory activities. Furthermore, knockout of mouse GSTA4 and GSTZ1 leads to overexpression of transferases in the Alpha, Mu, and Pi classes, an observation suggesting they are part of an adaptive mechanism that responds to endogenous chemical cues such as 4-hydroxynonenal and tyrosine degradation products. Consistent with this hypothesis, the promoters of cytosolic GST and MAPEG genes contain antioxidant response elements through which they are transcriptionally activated during exposure to Michael reaction acceptors and oxidative stress.","container-title":"Annual Review of Pharmacology and Toxicology","DOI":"10.1146/annurev.pharmtox.45.120403.095857","issue":"1","note":"PMID: 15822171","page":"51-88","source":"Annual Reviews","title":"Glutathione Transferases","volume":"45","author":[{"family":"Hayes","given":"John D."},{"family":"Flanagan","given":"Jack U."},{"family":"Jowsey","given":"Ian R."}],"issued":{"date-parts":[["2005"]]}}}],"schema":"https://github.com/citation-style-language/schema/raw/master/csl-citation.json"} </w:instrText>
      </w:r>
      <w:r w:rsidR="00236C61" w:rsidRPr="00E033F1">
        <w:rPr>
          <w:color w:val="auto"/>
        </w:rPr>
        <w:fldChar w:fldCharType="separate"/>
      </w:r>
      <w:r w:rsidR="00236C61" w:rsidRPr="00E033F1">
        <w:rPr>
          <w:color w:val="auto"/>
          <w:vertAlign w:val="superscript"/>
        </w:rPr>
        <w:t>6,11</w:t>
      </w:r>
      <w:r w:rsidR="00236C61" w:rsidRPr="00E033F1">
        <w:rPr>
          <w:color w:val="auto"/>
        </w:rPr>
        <w:fldChar w:fldCharType="end"/>
      </w:r>
      <w:r w:rsidR="008F28C8" w:rsidRPr="00E033F1">
        <w:rPr>
          <w:color w:val="auto"/>
        </w:rPr>
        <w:t>.</w:t>
      </w:r>
      <w:r w:rsidR="00F979C4" w:rsidRPr="00E033F1">
        <w:rPr>
          <w:color w:val="auto"/>
        </w:rPr>
        <w:t xml:space="preserve"> </w:t>
      </w:r>
      <w:r w:rsidR="00CC71D1" w:rsidRPr="00E033F1">
        <w:rPr>
          <w:color w:val="auto"/>
        </w:rPr>
        <w:t xml:space="preserve">For </w:t>
      </w:r>
      <w:r w:rsidR="00577439" w:rsidRPr="00E033F1">
        <w:rPr>
          <w:color w:val="auto"/>
        </w:rPr>
        <w:t>example,</w:t>
      </w:r>
      <w:r w:rsidR="00CC71D1" w:rsidRPr="00E033F1">
        <w:rPr>
          <w:color w:val="auto"/>
        </w:rPr>
        <w:t xml:space="preserve"> </w:t>
      </w:r>
      <w:r w:rsidR="00606975" w:rsidRPr="00E033F1">
        <w:rPr>
          <w:color w:val="auto"/>
        </w:rPr>
        <w:t>GSTP1</w:t>
      </w:r>
      <w:r w:rsidR="0068774E" w:rsidRPr="00E033F1">
        <w:rPr>
          <w:color w:val="auto"/>
        </w:rPr>
        <w:t xml:space="preserve"> is overexpressed in numerous cancer</w:t>
      </w:r>
      <w:r w:rsidR="007E0399" w:rsidRPr="00E033F1">
        <w:rPr>
          <w:color w:val="auto"/>
        </w:rPr>
        <w:t>s</w:t>
      </w:r>
      <w:r w:rsidR="0068774E" w:rsidRPr="00E033F1">
        <w:rPr>
          <w:color w:val="auto"/>
        </w:rPr>
        <w:t xml:space="preserve"> and </w:t>
      </w:r>
      <w:r w:rsidR="00577439" w:rsidRPr="00E033F1">
        <w:rPr>
          <w:color w:val="auto"/>
        </w:rPr>
        <w:t>its</w:t>
      </w:r>
      <w:r w:rsidR="0068774E" w:rsidRPr="00E033F1">
        <w:rPr>
          <w:color w:val="auto"/>
        </w:rPr>
        <w:t xml:space="preserve"> presence </w:t>
      </w:r>
      <w:r w:rsidR="00577439" w:rsidRPr="00E033F1">
        <w:rPr>
          <w:color w:val="auto"/>
        </w:rPr>
        <w:t>has been</w:t>
      </w:r>
      <w:r w:rsidR="0068774E" w:rsidRPr="00E033F1">
        <w:rPr>
          <w:color w:val="auto"/>
        </w:rPr>
        <w:t xml:space="preserve"> correlated with </w:t>
      </w:r>
      <w:r w:rsidR="00577439" w:rsidRPr="00E033F1">
        <w:rPr>
          <w:color w:val="auto"/>
        </w:rPr>
        <w:t xml:space="preserve">a </w:t>
      </w:r>
      <w:r w:rsidR="0068774E" w:rsidRPr="00E033F1">
        <w:rPr>
          <w:color w:val="auto"/>
        </w:rPr>
        <w:t xml:space="preserve">poor </w:t>
      </w:r>
      <w:r w:rsidR="00CD0113" w:rsidRPr="00E033F1">
        <w:rPr>
          <w:color w:val="auto"/>
        </w:rPr>
        <w:t>prognosis</w:t>
      </w:r>
      <w:r w:rsidR="003B3891" w:rsidRPr="00E033F1">
        <w:rPr>
          <w:color w:val="auto"/>
        </w:rPr>
        <w:t xml:space="preserve"> and</w:t>
      </w:r>
      <w:r w:rsidR="00577439" w:rsidRPr="00E033F1">
        <w:rPr>
          <w:color w:val="auto"/>
        </w:rPr>
        <w:t xml:space="preserve"> an</w:t>
      </w:r>
      <w:r w:rsidR="003B3891" w:rsidRPr="00E033F1">
        <w:rPr>
          <w:color w:val="auto"/>
        </w:rPr>
        <w:t xml:space="preserve"> </w:t>
      </w:r>
      <w:r w:rsidR="00CC71D1" w:rsidRPr="00E033F1">
        <w:rPr>
          <w:color w:val="auto"/>
        </w:rPr>
        <w:t xml:space="preserve">increased incidence of </w:t>
      </w:r>
      <w:r w:rsidR="003B3891" w:rsidRPr="00E033F1">
        <w:rPr>
          <w:color w:val="auto"/>
        </w:rPr>
        <w:t>relapse</w:t>
      </w:r>
      <w:r w:rsidR="00236C61" w:rsidRPr="00E033F1">
        <w:rPr>
          <w:color w:val="auto"/>
        </w:rPr>
        <w:fldChar w:fldCharType="begin"/>
      </w:r>
      <w:r w:rsidR="00236C61" w:rsidRPr="00E033F1">
        <w:rPr>
          <w:color w:val="auto"/>
        </w:rPr>
        <w:instrText xml:space="preserve"> ADDIN ZOTERO_ITEM CSL_CITATION {"citationID":"tudnFXEd","properties":{"formattedCitation":"\\super 8\\nosupersub{}","plainCitation":"8","noteIndex":0},"citationItems":[{"id":134,"uris":["http://zotero.org/users/local/bXXP6LKp/items/2NS53VK7"],"uri":["http://zotero.org/users/local/bXXP6LKp/items/2NS53VK7"],"itemData":{"id":134,"type":"article-journal","abstract":"Glutathione transferases (GSTs) are enzymes that catalyze the conjugation of glutathione (GSH) to a variety of electrophilic substances. Their best known role is as cell housekeepers engaged in the detoxification of xenobiotics. Recently, GSTs have also been shown to act as modulators of signal transduction pathways that control cell proliferation and cell death. Their involvement in cancer cell growth and differentiation, and in the development of resistance to anticancer agents, has made them attractive drug targets. This review is focused on the inhibition of GSTs, in particular GSTP1-1, as a potential therapeutic approach for the treatment of cancer and other diseases associated with aberrant cell proliferation.","container-title":"Cell Death and Differentiation","DOI":"10.1038/cdd.2010.80","ISSN":"1476-5403","issue":"9","language":"en","page":"1373-1380","source":"www.nature.com","title":"Glutathione transferases as mediators of signaling pathways involved in cell proliferation and cell death","volume":"17","author":[{"family":"Laborde","given":"E."}],"issued":{"date-parts":[["2010",9]]}}}],"schema":"https://github.com/citation-style-language/schema/raw/master/csl-citation.json"} </w:instrText>
      </w:r>
      <w:r w:rsidR="00236C61" w:rsidRPr="00E033F1">
        <w:rPr>
          <w:color w:val="auto"/>
        </w:rPr>
        <w:fldChar w:fldCharType="separate"/>
      </w:r>
      <w:r w:rsidR="00236C61" w:rsidRPr="00E033F1">
        <w:rPr>
          <w:rFonts w:cs="Times New Roman"/>
          <w:color w:val="auto"/>
          <w:vertAlign w:val="superscript"/>
        </w:rPr>
        <w:t>8</w:t>
      </w:r>
      <w:r w:rsidR="00236C61" w:rsidRPr="00E033F1">
        <w:rPr>
          <w:color w:val="auto"/>
        </w:rPr>
        <w:fldChar w:fldCharType="end"/>
      </w:r>
      <w:r w:rsidR="0068774E" w:rsidRPr="00E033F1">
        <w:rPr>
          <w:color w:val="auto"/>
        </w:rPr>
        <w:t xml:space="preserve">. Polymorphism in these genes </w:t>
      </w:r>
      <w:r w:rsidR="00577439" w:rsidRPr="00E033F1">
        <w:rPr>
          <w:color w:val="auto"/>
        </w:rPr>
        <w:t xml:space="preserve">has also shown </w:t>
      </w:r>
      <w:r w:rsidR="0068774E" w:rsidRPr="00E033F1">
        <w:rPr>
          <w:color w:val="auto"/>
        </w:rPr>
        <w:t xml:space="preserve">differential </w:t>
      </w:r>
      <w:r w:rsidR="00996E79" w:rsidRPr="00E033F1">
        <w:rPr>
          <w:color w:val="auto"/>
        </w:rPr>
        <w:t>drug exposure and</w:t>
      </w:r>
      <w:r w:rsidR="0068774E" w:rsidRPr="00E033F1">
        <w:rPr>
          <w:color w:val="auto"/>
        </w:rPr>
        <w:t xml:space="preserve"> </w:t>
      </w:r>
      <w:r w:rsidR="00996E79" w:rsidRPr="00E033F1">
        <w:rPr>
          <w:color w:val="auto"/>
        </w:rPr>
        <w:t xml:space="preserve">survival rates </w:t>
      </w:r>
      <w:r w:rsidR="0068774E" w:rsidRPr="00E033F1">
        <w:rPr>
          <w:color w:val="auto"/>
        </w:rPr>
        <w:t>for patient</w:t>
      </w:r>
      <w:r w:rsidR="00B43462" w:rsidRPr="00E033F1">
        <w:rPr>
          <w:color w:val="auto"/>
        </w:rPr>
        <w:t>s</w:t>
      </w:r>
      <w:r w:rsidR="0068774E" w:rsidRPr="00E033F1">
        <w:rPr>
          <w:color w:val="auto"/>
        </w:rPr>
        <w:t xml:space="preserve"> presenting various diseases, reinforcing the idea that these enzymes are crucial </w:t>
      </w:r>
      <w:r w:rsidR="00577439" w:rsidRPr="00E033F1">
        <w:rPr>
          <w:color w:val="auto"/>
        </w:rPr>
        <w:t>to</w:t>
      </w:r>
      <w:r w:rsidR="0068774E" w:rsidRPr="00E033F1">
        <w:rPr>
          <w:color w:val="auto"/>
        </w:rPr>
        <w:t xml:space="preserve"> mechanism</w:t>
      </w:r>
      <w:r w:rsidR="00577439" w:rsidRPr="00E033F1">
        <w:rPr>
          <w:color w:val="auto"/>
        </w:rPr>
        <w:t>s</w:t>
      </w:r>
      <w:r w:rsidR="0068774E" w:rsidRPr="00E033F1">
        <w:rPr>
          <w:color w:val="auto"/>
        </w:rPr>
        <w:t xml:space="preserve"> of drug resistance.</w:t>
      </w:r>
      <w:r w:rsidR="00996E79" w:rsidRPr="00E033F1">
        <w:rPr>
          <w:color w:val="auto"/>
        </w:rPr>
        <w:t xml:space="preserve"> For instance, individuals with the GSTM1 null genotype are associated with lower drug clearance and better survival</w:t>
      </w:r>
      <w:r w:rsidR="00236C61" w:rsidRPr="00E033F1">
        <w:rPr>
          <w:color w:val="auto"/>
        </w:rPr>
        <w:fldChar w:fldCharType="begin"/>
      </w:r>
      <w:r w:rsidR="00236C61" w:rsidRPr="00E033F1">
        <w:rPr>
          <w:color w:val="auto"/>
        </w:rPr>
        <w:instrText xml:space="preserve"> ADDIN ZOTERO_ITEM CSL_CITATION {"citationID":"aWsrgUoe","properties":{"formattedCitation":"\\super 12, 13\\nosupersub{}","plainCitation":"12, 13","noteIndex":0},"citationItems":[{"id":157,"uris":["http://zotero.org/users/local/bXXP6LKp/items/G9PIHFSF"],"uri":["http://zotero.org/users/local/bXXP6LKp/items/G9PIHFSF"],"itemData":{"id":157,"type":"article-journal","abstract":"The human glutathione S-transferase, GSTs, possess both enzymatic and non-enzymatic functions and are involved in many important cellular processes, such as, phase II metabolism, stress response, cell proliferation, apoptosis, oncogenesis, tumor progression and drug resistance. The non-enzymatic functions of GSTs involve their interactions with cellular proteins, such as, JNK, TRAF, ASK, PKC, and TGM2, during which, either the interacting protein partner undergoes functional alteration or the GST protein itself is post-translationally modified and/or functionally altered. The majority of GST genes harbor polymorphisms that influence their transcription and/or function of their encoded proteins. This overview focuses on recent insights into the biology and pharmacogenetics of GSTs as a determinant of cancer drug resistance and response of cancer patients to therapy.","container-title":"Current Opinion in Pharmacology","DOI":"10.1016/j.coph.2007.06.009","ISSN":"1471-4892","issue":"4","journalAbbreviation":"Curr Opin Pharmacol","language":"eng","note":"PMID: 17681492","page":"367-374","source":"PubMed","title":"Genetic polymorphism and function of glutathione S-transferases in tumor drug resistance","volume":"7","author":[{"family":"Lo","given":"Hui-Wen"},{"family":"Ali-Osman","given":"Francis"}],"issued":{"date-parts":[["2007",8]]}}},{"id":185,"uris":["http://zotero.org/users/local/bXXP6LKp/items/NAQDBSXK"],"uri":["http://zotero.org/users/local/bXXP6LKp/items/NAQDBSXK"],"itemData":{"id":185,"type":"article-journal","abstract":"BU is a key compound of conditioning regimens in children undergoing hematopoietic SCT (HSCT). Inter-individual differences in BU pharmacokinetics (PKs) might affect BU efficacy and toxicity. As BU is mainly metabolized by glutathione S-transferase (GST), we investigated the relationship between GSTA1, GSTM1 and GSTP1 genotypes with first-dose BU PKs, and the relationship with HSCT outcomes in 69 children receiving myeloablative conditioning regimen. GSTM1 null genotype correlated with higher BU exposure and lower clearance in patients older than 4 years (P ≤ 0.04). In accordance with the suggested functional role, GSTA1*A2 haplotype was associated with lower drug levels and higher drug clearance (P ≤ 0.03). Gene-dosage effect was also observed (P ≤ 0.007). GSTA1 haplotypes were associated with HSCT outcomes. Patients with two copies of haplotype *A2 had better event free survival (P=0.03). In contrast, homozygous individuals for haplotypes *B and *B1 had higher occurrence of veno-occlusive disease (P=0.009). GSTM1 null individuals older than 4 years had more frequently graft versus host disease (P=0.03). In conclusion, we showed that GST gene variants influence BU PK and outcomes of HSCT in children. A model for the dosage adjustment with the inclusion of genetic and non-genetic factors should be evaluated in a future prospective validation cohort.","container-title":"Bone Marrow Transplantation","DOI":"10.1038/bmt.2012.265","ISSN":"1476-5365","issue":"7","journalAbbreviation":"Bone Marrow Transplant.","language":"eng","note":"PMID: 23292236","page":"939-946","source":"PubMed","title":"Glutathione S-transferase gene variations influence BU pharmacokinetics and outcome of hematopoietic SCT in pediatric patients","volume":"48","author":[{"family":"Ansari","given":"M."},{"family":"Rezgui","given":"M. A."},{"family":"Théoret","given":"Y."},{"family":"Uppugunduri","given":"C. R. S."},{"family":"Mezziani","given":"S."},{"family":"Vachon","given":"M.-F."},{"family":"Desjean","given":"C."},{"family":"Rousseau","given":"J."},{"family":"Labuda","given":"M."},{"family":"Przybyla","given":"C."},{"family":"Duval","given":"M."},{"family":"Champagne","given":"M."},{"family":"Peters","given":"C."},{"family":"Bittencourt","given":"H."},{"family":"Krajinovic","given":"M."},{"literal":"Pediatric Disease Working Parties of the European Blood and Marrow Transplant Group"}],"issued":{"date-parts":[["2013",7]]}}}],"schema":"https://github.com/citation-style-language/schema/raw/master/csl-citation.json"} </w:instrText>
      </w:r>
      <w:r w:rsidR="00236C61" w:rsidRPr="00E033F1">
        <w:rPr>
          <w:color w:val="auto"/>
        </w:rPr>
        <w:fldChar w:fldCharType="separate"/>
      </w:r>
      <w:r w:rsidR="00236C61" w:rsidRPr="00E033F1">
        <w:rPr>
          <w:color w:val="auto"/>
          <w:vertAlign w:val="superscript"/>
        </w:rPr>
        <w:t>12,13</w:t>
      </w:r>
      <w:r w:rsidR="00236C61" w:rsidRPr="00E033F1">
        <w:rPr>
          <w:color w:val="auto"/>
        </w:rPr>
        <w:fldChar w:fldCharType="end"/>
      </w:r>
      <w:r w:rsidR="00996E79" w:rsidRPr="00E033F1">
        <w:rPr>
          <w:color w:val="auto"/>
        </w:rPr>
        <w:t>.</w:t>
      </w:r>
      <w:r w:rsidR="000E0E08" w:rsidRPr="00E033F1">
        <w:rPr>
          <w:color w:val="auto"/>
        </w:rPr>
        <w:t xml:space="preserve"> </w:t>
      </w:r>
      <w:r w:rsidR="008F28C8" w:rsidRPr="00E033F1">
        <w:rPr>
          <w:rFonts w:asciiTheme="minorHAnsi" w:hAnsiTheme="minorHAnsi" w:cstheme="minorHAnsi"/>
          <w:color w:val="auto"/>
        </w:rPr>
        <w:t>T</w:t>
      </w:r>
      <w:r w:rsidR="00577439" w:rsidRPr="00E033F1">
        <w:rPr>
          <w:rFonts w:asciiTheme="minorHAnsi" w:hAnsiTheme="minorHAnsi" w:cstheme="minorHAnsi"/>
          <w:color w:val="auto"/>
        </w:rPr>
        <w:t>here are several potential means of</w:t>
      </w:r>
      <w:r w:rsidR="008F28C8" w:rsidRPr="00E033F1">
        <w:rPr>
          <w:rFonts w:asciiTheme="minorHAnsi" w:hAnsiTheme="minorHAnsi" w:cstheme="minorHAnsi"/>
          <w:color w:val="auto"/>
        </w:rPr>
        <w:t xml:space="preserve"> counter</w:t>
      </w:r>
      <w:r w:rsidR="00577439" w:rsidRPr="00E033F1">
        <w:rPr>
          <w:rFonts w:asciiTheme="minorHAnsi" w:hAnsiTheme="minorHAnsi" w:cstheme="minorHAnsi"/>
          <w:color w:val="auto"/>
        </w:rPr>
        <w:t>ing</w:t>
      </w:r>
      <w:r w:rsidR="008F28C8" w:rsidRPr="00E033F1">
        <w:rPr>
          <w:rFonts w:asciiTheme="minorHAnsi" w:hAnsiTheme="minorHAnsi" w:cstheme="minorHAnsi"/>
          <w:color w:val="auto"/>
        </w:rPr>
        <w:t xml:space="preserve"> this overexpression, such as the use of </w:t>
      </w:r>
      <w:r w:rsidR="00606975" w:rsidRPr="00E033F1">
        <w:rPr>
          <w:rFonts w:asciiTheme="minorHAnsi" w:hAnsiTheme="minorHAnsi" w:cstheme="minorHAnsi"/>
          <w:color w:val="auto"/>
        </w:rPr>
        <w:t xml:space="preserve">GSH </w:t>
      </w:r>
      <w:r w:rsidR="008F28C8" w:rsidRPr="00E033F1">
        <w:rPr>
          <w:rFonts w:asciiTheme="minorHAnsi" w:hAnsiTheme="minorHAnsi" w:cstheme="minorHAnsi"/>
          <w:color w:val="auto"/>
        </w:rPr>
        <w:t xml:space="preserve">analogues, </w:t>
      </w:r>
      <w:r w:rsidR="00F979C4" w:rsidRPr="00E033F1">
        <w:rPr>
          <w:rFonts w:asciiTheme="minorHAnsi" w:hAnsiTheme="minorHAnsi" w:cstheme="minorHAnsi"/>
          <w:color w:val="auto"/>
        </w:rPr>
        <w:t xml:space="preserve">prodrugs that are activated by conjugation </w:t>
      </w:r>
      <w:r w:rsidR="00577439" w:rsidRPr="00E033F1">
        <w:rPr>
          <w:rFonts w:asciiTheme="minorHAnsi" w:hAnsiTheme="minorHAnsi" w:cstheme="minorHAnsi"/>
          <w:color w:val="auto"/>
        </w:rPr>
        <w:t>with</w:t>
      </w:r>
      <w:r w:rsidR="00F979C4" w:rsidRPr="00E033F1">
        <w:rPr>
          <w:rFonts w:asciiTheme="minorHAnsi" w:hAnsiTheme="minorHAnsi" w:cstheme="minorHAnsi"/>
          <w:color w:val="auto"/>
        </w:rPr>
        <w:t xml:space="preserve"> GSTs</w:t>
      </w:r>
      <w:r w:rsidR="00577439" w:rsidRPr="00E033F1">
        <w:rPr>
          <w:rFonts w:asciiTheme="minorHAnsi" w:hAnsiTheme="minorHAnsi" w:cstheme="minorHAnsi"/>
          <w:color w:val="auto"/>
        </w:rPr>
        <w:t>,</w:t>
      </w:r>
      <w:r w:rsidR="00217F8F" w:rsidRPr="00E033F1">
        <w:rPr>
          <w:rFonts w:asciiTheme="minorHAnsi" w:hAnsiTheme="minorHAnsi" w:cstheme="minorHAnsi"/>
          <w:color w:val="auto"/>
        </w:rPr>
        <w:t xml:space="preserve"> or direct </w:t>
      </w:r>
      <w:r w:rsidR="007F7B2F" w:rsidRPr="00E033F1">
        <w:rPr>
          <w:rFonts w:asciiTheme="minorHAnsi" w:hAnsiTheme="minorHAnsi" w:cstheme="minorHAnsi"/>
          <w:color w:val="auto"/>
        </w:rPr>
        <w:t xml:space="preserve">GST </w:t>
      </w:r>
      <w:r w:rsidR="00217F8F" w:rsidRPr="00E033F1">
        <w:rPr>
          <w:rFonts w:asciiTheme="minorHAnsi" w:hAnsiTheme="minorHAnsi" w:cstheme="minorHAnsi"/>
          <w:color w:val="auto"/>
        </w:rPr>
        <w:t>inhibitors</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{"citationID":"nQzXlRwB","properties":{"formattedCitation":"\\super 14, 15\\nosupersub{}","plainCitation":"14, 15","noteIndex":0},"citationItems":[{"id":336,"uris":["http://zotero.org/users/local/bXXP6LKp/items/BCKZ5TWZ"],"uri":["http://zotero.org/users/local/bXXP6LKp/items/BCKZ5TWZ"],"itemData":{"id":336,"type":"article-journal","abstract":"The cytosolic glutathione S-transferases are a family of structurally homologous enzymes with multiple functions, including xenobiotic detoxification, clearance of oxidative stress products, and modulation of cell proliferation and apoptosis signaling pathways. This wide-ranging functional repertoire leads to several possible therapeutic uses for isoform-specific GST inhibitors. These inhibitors may be used, in principle, to modulate tumor cell drug resistance, as sensitizers to therapeutically directed oxidative stress, to enhance cell proliferation and to augment anti-malarial drugs. With increasing knowledge of GST structural and function, rational design strategies and mechanism-based inhibitors have been exploited successfully. However, design of isoform specificity remains a significant challenge in GST inhibitor development. Strategies for further inhibitor design and their possible limitations, along with potential therapeutic uses, are summarized.","container-title":"Cellular and molecular life sciences: CMLS","DOI":"10.1007/s00018-005-4524-6","ISSN":"1420-682X","issue":"11","journalAbbreviation":"Cell. Mol. Life Sci.","language":"eng","note":"PMID: 15798895","page":"1221-1233","source":"PubMed","title":"The chemistry and biology of inhibitors and pro-drugs targeted to glutathione S-transferases","volume":"62","author":[{"family":"Mahajan","given":"S."},{"family":"Atkins","given":"W. M."}],"issued":{"date-parts":[["2005",6]]}}},{"id":366,"uris":["http://zotero.org/users/local/bXXP6LKp/items/L4BV3A5Y"],"uri":["http://zotero.org/users/local/bXXP6LKp/items/L4BV3A5Y"],"itemData":{"id":366,"type":"article-journal","abstract":"Glutathione transferase classical GSH conjugation activity plays a critical role in cellular detoxification against xenobiotics and noxious compounds as well as against oxidative stress. However, this feature is also exploited by cancer cells to acquire drug resistance and improve their survival. As a result, various members of the family were found overexpressed in a number of different cancers. Moreover several GST polymorphisms, ranging from null phenotypes to point mutations, were detected in members of the family and found to correlate with the onset of neuro-degenerative diseases. In the last decades, a great deal of research aimed at clarifying the role played by GSTs in drug resistance, at developing inhibitors to counteract this activity but also at exploiting GSTs for prodrugs specific activation in cancer cells. Here we summarize some of the most important achievements reached in this lively area of research.","container-title":"Oncogenesis","DOI":"10.1038/s41389-017-0025-3","ISSN":"2157-9024","issue":"1","language":"En","page":"8","source":"www.nature.com","title":"Glutathione transferases: substrates, inihibitors and pro-drugs in cancer and neurodegenerative diseases","title-short":"Glutathione transferases","volume":"7","author":[{"family":"Allocati","given":"Nerino"},{"family":"Masulli","given":"Michele"},{"family":"Ilio","given":"Carmine Di"},{"family":"Federici","given":"Luca"}],"issued":{"date-parts":[["2018",1,24]]}}}],"schema":"https://github.com/citation-style-language/schema/raw/master/csl-citation.json"}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color w:val="auto"/>
          <w:vertAlign w:val="superscript"/>
        </w:rPr>
        <w:t>14,15</w:t>
      </w:r>
      <w:r w:rsidR="00236C61" w:rsidRPr="00E033F1">
        <w:rPr>
          <w:rFonts w:asciiTheme="minorHAnsi" w:hAnsiTheme="minorHAnsi" w:cstheme="minorHAnsi"/>
          <w:color w:val="auto"/>
        </w:rPr>
        <w:fldChar w:fldCharType="end"/>
      </w:r>
      <w:r w:rsidR="00217F8F" w:rsidRPr="00E033F1">
        <w:rPr>
          <w:rFonts w:asciiTheme="minorHAnsi" w:hAnsiTheme="minorHAnsi" w:cstheme="minorHAnsi"/>
          <w:color w:val="auto"/>
        </w:rPr>
        <w:t xml:space="preserve">. </w:t>
      </w:r>
    </w:p>
    <w:p w14:paraId="11F62136" w14:textId="77777777" w:rsidR="004D71FD" w:rsidRPr="00E033F1" w:rsidRDefault="004D71FD" w:rsidP="00E033F1">
      <w:pPr>
        <w:contextualSpacing/>
        <w:rPr>
          <w:rFonts w:asciiTheme="minorHAnsi" w:hAnsiTheme="minorHAnsi" w:cstheme="minorHAnsi"/>
          <w:color w:val="auto"/>
        </w:rPr>
      </w:pPr>
    </w:p>
    <w:p w14:paraId="12817B88" w14:textId="3A7E86DD" w:rsidR="004D71FD" w:rsidRPr="00E033F1" w:rsidRDefault="00862921" w:rsidP="00E033F1">
      <w:pPr>
        <w:contextualSpacing/>
        <w:rPr>
          <w:rFonts w:asciiTheme="minorHAnsi" w:hAnsiTheme="minorHAnsi" w:cstheme="minorHAnsi"/>
          <w:color w:val="auto"/>
        </w:rPr>
      </w:pPr>
      <w:r w:rsidRPr="00E033F1">
        <w:rPr>
          <w:rFonts w:asciiTheme="minorHAnsi" w:hAnsiTheme="minorHAnsi" w:cstheme="minorHAnsi"/>
          <w:color w:val="auto"/>
        </w:rPr>
        <w:t>All</w:t>
      </w:r>
      <w:r w:rsidR="00577439" w:rsidRPr="00E033F1">
        <w:rPr>
          <w:rFonts w:asciiTheme="minorHAnsi" w:hAnsiTheme="minorHAnsi" w:cstheme="minorHAnsi"/>
          <w:color w:val="auto"/>
        </w:rPr>
        <w:t xml:space="preserve"> </w:t>
      </w:r>
      <w:r w:rsidR="007847F1" w:rsidRPr="00E033F1">
        <w:rPr>
          <w:rFonts w:asciiTheme="minorHAnsi" w:hAnsiTheme="minorHAnsi" w:cstheme="minorHAnsi"/>
          <w:color w:val="auto"/>
        </w:rPr>
        <w:t xml:space="preserve">these methods are </w:t>
      </w:r>
      <w:r w:rsidR="00577439" w:rsidRPr="00E033F1">
        <w:rPr>
          <w:rFonts w:asciiTheme="minorHAnsi" w:hAnsiTheme="minorHAnsi" w:cstheme="minorHAnsi"/>
          <w:color w:val="auto"/>
        </w:rPr>
        <w:t>currently under investigation</w:t>
      </w:r>
      <w:r w:rsidR="00C57A14" w:rsidRPr="00E033F1">
        <w:rPr>
          <w:rFonts w:asciiTheme="minorHAnsi" w:hAnsiTheme="minorHAnsi" w:cstheme="minorHAnsi"/>
          <w:color w:val="auto"/>
        </w:rPr>
        <w:t>,</w:t>
      </w:r>
      <w:r w:rsidR="007847F1" w:rsidRPr="00E033F1">
        <w:rPr>
          <w:rFonts w:asciiTheme="minorHAnsi" w:hAnsiTheme="minorHAnsi" w:cstheme="minorHAnsi"/>
          <w:color w:val="auto"/>
        </w:rPr>
        <w:t xml:space="preserve"> </w:t>
      </w:r>
      <w:r w:rsidR="008259DD" w:rsidRPr="00E033F1">
        <w:rPr>
          <w:rFonts w:asciiTheme="minorHAnsi" w:hAnsiTheme="minorHAnsi" w:cstheme="minorHAnsi"/>
          <w:color w:val="auto"/>
        </w:rPr>
        <w:t xml:space="preserve">and </w:t>
      </w:r>
      <w:r w:rsidR="001B3657" w:rsidRPr="00E033F1">
        <w:rPr>
          <w:rFonts w:asciiTheme="minorHAnsi" w:hAnsiTheme="minorHAnsi" w:cstheme="minorHAnsi"/>
          <w:color w:val="auto"/>
        </w:rPr>
        <w:t xml:space="preserve">a </w:t>
      </w:r>
      <w:r w:rsidR="008259DD" w:rsidRPr="00E033F1">
        <w:rPr>
          <w:rFonts w:asciiTheme="minorHAnsi" w:hAnsiTheme="minorHAnsi" w:cstheme="minorHAnsi"/>
          <w:color w:val="auto"/>
        </w:rPr>
        <w:t xml:space="preserve">few </w:t>
      </w:r>
      <w:r w:rsidR="0020326A" w:rsidRPr="00E033F1">
        <w:rPr>
          <w:rFonts w:asciiTheme="minorHAnsi" w:hAnsiTheme="minorHAnsi" w:cstheme="minorHAnsi"/>
          <w:color w:val="auto"/>
        </w:rPr>
        <w:t>compounds</w:t>
      </w:r>
      <w:r w:rsidR="008259DD" w:rsidRPr="00E033F1">
        <w:rPr>
          <w:rFonts w:asciiTheme="minorHAnsi" w:hAnsiTheme="minorHAnsi" w:cstheme="minorHAnsi"/>
          <w:color w:val="auto"/>
        </w:rPr>
        <w:t xml:space="preserve"> </w:t>
      </w:r>
      <w:r w:rsidR="001B3657" w:rsidRPr="00E033F1">
        <w:rPr>
          <w:rFonts w:asciiTheme="minorHAnsi" w:hAnsiTheme="minorHAnsi" w:cstheme="minorHAnsi"/>
          <w:color w:val="auto"/>
        </w:rPr>
        <w:t>have begun</w:t>
      </w:r>
      <w:r w:rsidR="008259DD" w:rsidRPr="00E033F1">
        <w:rPr>
          <w:rFonts w:asciiTheme="minorHAnsi" w:hAnsiTheme="minorHAnsi" w:cstheme="minorHAnsi"/>
          <w:color w:val="auto"/>
        </w:rPr>
        <w:t xml:space="preserve"> clinical trials for</w:t>
      </w:r>
      <w:r w:rsidR="001B3657" w:rsidRPr="00E033F1">
        <w:rPr>
          <w:rFonts w:asciiTheme="minorHAnsi" w:hAnsiTheme="minorHAnsi" w:cstheme="minorHAnsi"/>
          <w:color w:val="auto"/>
        </w:rPr>
        <w:t xml:space="preserve"> their</w:t>
      </w:r>
      <w:r w:rsidR="008259DD" w:rsidRPr="00E033F1">
        <w:rPr>
          <w:rFonts w:asciiTheme="minorHAnsi" w:hAnsiTheme="minorHAnsi" w:cstheme="minorHAnsi"/>
          <w:color w:val="auto"/>
        </w:rPr>
        <w:t xml:space="preserve"> potential usage </w:t>
      </w:r>
      <w:r w:rsidR="001B3657" w:rsidRPr="00E033F1">
        <w:rPr>
          <w:rFonts w:asciiTheme="minorHAnsi" w:hAnsiTheme="minorHAnsi" w:cstheme="minorHAnsi"/>
          <w:color w:val="auto"/>
        </w:rPr>
        <w:t>among</w:t>
      </w:r>
      <w:r w:rsidR="008259DD" w:rsidRPr="00E033F1">
        <w:rPr>
          <w:rFonts w:asciiTheme="minorHAnsi" w:hAnsiTheme="minorHAnsi" w:cstheme="minorHAnsi"/>
          <w:color w:val="auto"/>
        </w:rPr>
        <w:t xml:space="preserve"> patients. </w:t>
      </w:r>
      <w:r w:rsidR="001B3657" w:rsidRPr="00E033F1">
        <w:rPr>
          <w:rFonts w:asciiTheme="minorHAnsi" w:hAnsiTheme="minorHAnsi" w:cstheme="minorHAnsi"/>
          <w:color w:val="auto"/>
        </w:rPr>
        <w:t xml:space="preserve">However, to the best of our knowledge, there are </w:t>
      </w:r>
      <w:r w:rsidR="00555431" w:rsidRPr="00E033F1">
        <w:rPr>
          <w:rFonts w:asciiTheme="minorHAnsi" w:hAnsiTheme="minorHAnsi" w:cstheme="minorHAnsi"/>
          <w:color w:val="auto"/>
        </w:rPr>
        <w:t>no</w:t>
      </w:r>
      <w:r w:rsidR="0020326A" w:rsidRPr="00E033F1">
        <w:rPr>
          <w:rFonts w:asciiTheme="minorHAnsi" w:hAnsiTheme="minorHAnsi" w:cstheme="minorHAnsi"/>
          <w:color w:val="auto"/>
        </w:rPr>
        <w:t xml:space="preserve"> compounds</w:t>
      </w:r>
      <w:r w:rsidR="001B3657" w:rsidRPr="00E033F1">
        <w:rPr>
          <w:rFonts w:asciiTheme="minorHAnsi" w:hAnsiTheme="minorHAnsi" w:cstheme="minorHAnsi"/>
          <w:color w:val="auto"/>
        </w:rPr>
        <w:t xml:space="preserve"> in</w:t>
      </w:r>
      <w:r w:rsidR="008259DD" w:rsidRPr="00E033F1">
        <w:rPr>
          <w:rFonts w:asciiTheme="minorHAnsi" w:hAnsiTheme="minorHAnsi" w:cstheme="minorHAnsi"/>
          <w:color w:val="auto"/>
        </w:rPr>
        <w:t xml:space="preserve"> use as GST inhibitor</w:t>
      </w:r>
      <w:r w:rsidR="001B3657" w:rsidRPr="00E033F1">
        <w:rPr>
          <w:rFonts w:asciiTheme="minorHAnsi" w:hAnsiTheme="minorHAnsi" w:cstheme="minorHAnsi"/>
          <w:color w:val="auto"/>
        </w:rPr>
        <w:t>s</w:t>
      </w:r>
      <w:r w:rsidR="008259DD" w:rsidRPr="00E033F1">
        <w:rPr>
          <w:rFonts w:asciiTheme="minorHAnsi" w:hAnsiTheme="minorHAnsi" w:cstheme="minorHAnsi"/>
          <w:color w:val="auto"/>
        </w:rPr>
        <w:t xml:space="preserve"> in clinical </w:t>
      </w:r>
      <w:r w:rsidR="001B3657" w:rsidRPr="00E033F1">
        <w:rPr>
          <w:rFonts w:asciiTheme="minorHAnsi" w:hAnsiTheme="minorHAnsi" w:cstheme="minorHAnsi"/>
          <w:color w:val="auto"/>
        </w:rPr>
        <w:t>settings</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{"citationID":"q2oDNRuB","properties":{"formattedCitation":"\\super 15\\nosupersub{}","plainCitation":"15","noteIndex":0},"citationItems":[{"id":366,"uris":["http://zotero.org/users/local/bXXP6LKp/items/L4BV3A5Y"],"uri":["http://zotero.org/users/local/bXXP6LKp/items/L4BV3A5Y"],"itemData":{"id":366,"type":"article-journal","abstract":"Glutathione transferase classical GSH conjugation activity plays a critical role in cellular detoxification against xenobiotics and noxious compounds as well as against oxidative stress. However, this feature is also exploited by cancer cells to acquire drug resistance and improve their survival. As a result, various members of the family were found overexpressed in a number of different cancers. Moreover several GST polymorphisms, ranging from null phenotypes to point mutations, were detected in members of the family and found to correlate with the onset of neuro-degenerative diseases. In the last decades, a great deal of research aimed at clarifying the role played by GSTs in drug resistance, at developing inhibitors to counteract this activity but also at exploiting GSTs for prodrugs specific activation in cancer cells. Here we summarize some of the most important achievements reached in this lively area of research.","container-title":"Oncogenesis","DOI":"10.1038/s41389-017-0025-3","ISSN":"2157-9024","issue":"1","language":"En","page":"8","source":"www.nature.com","title":"Glutathione transferases: substrates, inihibitors and pro-drugs in cancer and neurodegenerative diseases","title-short":"Glutathione transferases","volume":"7","author":[{"family":"Allocati","given":"Nerino"},{"family":"Masulli","given":"Michele"},{"family":"Ilio","given":"Carmine Di"},{"family":"Federici","given":"Luca"}],"issued":{"date-parts":[["2018",1,24]]}}}],"schema":"https://github.com/citation-style-language/schema/raw/master/csl-citation.json"}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color w:val="auto"/>
          <w:vertAlign w:val="superscript"/>
        </w:rPr>
        <w:t>15</w:t>
      </w:r>
      <w:r w:rsidR="00236C61" w:rsidRPr="00E033F1">
        <w:rPr>
          <w:rFonts w:asciiTheme="minorHAnsi" w:hAnsiTheme="minorHAnsi" w:cstheme="minorHAnsi"/>
          <w:color w:val="auto"/>
        </w:rPr>
        <w:fldChar w:fldCharType="end"/>
      </w:r>
      <w:r w:rsidR="007847F1" w:rsidRPr="00E033F1">
        <w:rPr>
          <w:rFonts w:asciiTheme="minorHAnsi" w:hAnsiTheme="minorHAnsi" w:cstheme="minorHAnsi"/>
          <w:color w:val="auto"/>
        </w:rPr>
        <w:t>.</w:t>
      </w:r>
      <w:r w:rsidR="008259DD" w:rsidRPr="00E033F1">
        <w:rPr>
          <w:rFonts w:asciiTheme="minorHAnsi" w:hAnsiTheme="minorHAnsi" w:cstheme="minorHAnsi"/>
          <w:color w:val="auto"/>
        </w:rPr>
        <w:t xml:space="preserve"> </w:t>
      </w:r>
      <w:r w:rsidR="001B3657" w:rsidRPr="00E033F1">
        <w:rPr>
          <w:rFonts w:asciiTheme="minorHAnsi" w:hAnsiTheme="minorHAnsi" w:cstheme="minorHAnsi"/>
          <w:color w:val="auto"/>
        </w:rPr>
        <w:t>Indeed</w:t>
      </w:r>
      <w:r w:rsidR="008259DD" w:rsidRPr="00E033F1">
        <w:rPr>
          <w:rFonts w:asciiTheme="minorHAnsi" w:hAnsiTheme="minorHAnsi" w:cstheme="minorHAnsi"/>
          <w:color w:val="auto"/>
        </w:rPr>
        <w:t>,</w:t>
      </w:r>
      <w:r w:rsidR="007847F1" w:rsidRPr="00E033F1">
        <w:rPr>
          <w:rFonts w:asciiTheme="minorHAnsi" w:hAnsiTheme="minorHAnsi" w:cstheme="minorHAnsi"/>
          <w:color w:val="auto"/>
        </w:rPr>
        <w:t xml:space="preserve"> </w:t>
      </w:r>
      <w:r w:rsidR="001B3657" w:rsidRPr="00E033F1">
        <w:rPr>
          <w:rFonts w:asciiTheme="minorHAnsi" w:hAnsiTheme="minorHAnsi" w:cstheme="minorHAnsi"/>
          <w:color w:val="auto"/>
        </w:rPr>
        <w:t>a</w:t>
      </w:r>
      <w:r w:rsidR="00217F8F" w:rsidRPr="00E033F1">
        <w:rPr>
          <w:rFonts w:asciiTheme="minorHAnsi" w:hAnsiTheme="minorHAnsi" w:cstheme="minorHAnsi"/>
          <w:color w:val="auto"/>
        </w:rPr>
        <w:t xml:space="preserve"> lack of specificity for certain isoform</w:t>
      </w:r>
      <w:r w:rsidR="001B3657" w:rsidRPr="00E033F1">
        <w:rPr>
          <w:rFonts w:asciiTheme="minorHAnsi" w:hAnsiTheme="minorHAnsi" w:cstheme="minorHAnsi"/>
          <w:color w:val="auto"/>
        </w:rPr>
        <w:t>s</w:t>
      </w:r>
      <w:r w:rsidR="00CD0113" w:rsidRPr="00E033F1">
        <w:rPr>
          <w:rFonts w:asciiTheme="minorHAnsi" w:hAnsiTheme="minorHAnsi" w:cstheme="minorHAnsi"/>
          <w:color w:val="auto"/>
        </w:rPr>
        <w:t xml:space="preserve"> or </w:t>
      </w:r>
      <w:r w:rsidR="001B3657" w:rsidRPr="00E033F1">
        <w:rPr>
          <w:rFonts w:asciiTheme="minorHAnsi" w:hAnsiTheme="minorHAnsi" w:cstheme="minorHAnsi"/>
          <w:color w:val="auto"/>
        </w:rPr>
        <w:t xml:space="preserve">the </w:t>
      </w:r>
      <w:r w:rsidR="00CD0113" w:rsidRPr="00E033F1">
        <w:rPr>
          <w:rFonts w:asciiTheme="minorHAnsi" w:hAnsiTheme="minorHAnsi" w:cstheme="minorHAnsi"/>
          <w:color w:val="auto"/>
        </w:rPr>
        <w:t xml:space="preserve">depletion of </w:t>
      </w:r>
      <w:r w:rsidR="00606975" w:rsidRPr="00E033F1">
        <w:rPr>
          <w:rFonts w:asciiTheme="minorHAnsi" w:hAnsiTheme="minorHAnsi" w:cstheme="minorHAnsi"/>
          <w:color w:val="auto"/>
        </w:rPr>
        <w:t xml:space="preserve">GSH </w:t>
      </w:r>
      <w:r w:rsidR="00CD0113" w:rsidRPr="00E033F1">
        <w:rPr>
          <w:rFonts w:asciiTheme="minorHAnsi" w:hAnsiTheme="minorHAnsi" w:cstheme="minorHAnsi"/>
          <w:color w:val="auto"/>
        </w:rPr>
        <w:t>in normal cells</w:t>
      </w:r>
      <w:r w:rsidR="00F407C2" w:rsidRPr="00E033F1">
        <w:rPr>
          <w:rFonts w:asciiTheme="minorHAnsi" w:hAnsiTheme="minorHAnsi" w:cstheme="minorHAnsi"/>
          <w:color w:val="auto"/>
        </w:rPr>
        <w:t xml:space="preserve">, </w:t>
      </w:r>
      <w:r w:rsidR="00955152" w:rsidRPr="00E033F1">
        <w:rPr>
          <w:rFonts w:asciiTheme="minorHAnsi" w:hAnsiTheme="minorHAnsi" w:cstheme="minorHAnsi"/>
          <w:color w:val="auto"/>
        </w:rPr>
        <w:t xml:space="preserve">which may </w:t>
      </w:r>
      <w:r w:rsidR="00F407C2" w:rsidRPr="00E033F1">
        <w:rPr>
          <w:rFonts w:asciiTheme="minorHAnsi" w:hAnsiTheme="minorHAnsi" w:cstheme="minorHAnsi"/>
          <w:color w:val="auto"/>
        </w:rPr>
        <w:t>lead to toxicities caused by the accumulation of reactive oxygen species (ROS)</w:t>
      </w:r>
      <w:r w:rsidR="00955152" w:rsidRPr="00E033F1">
        <w:rPr>
          <w:rFonts w:asciiTheme="minorHAnsi" w:hAnsiTheme="minorHAnsi" w:cstheme="minorHAnsi"/>
          <w:color w:val="auto"/>
        </w:rPr>
        <w:t xml:space="preserve"> </w:t>
      </w:r>
      <w:r w:rsidR="007E0399" w:rsidRPr="00E033F1">
        <w:rPr>
          <w:rFonts w:asciiTheme="minorHAnsi" w:hAnsiTheme="minorHAnsi" w:cstheme="minorHAnsi"/>
          <w:color w:val="auto"/>
        </w:rPr>
        <w:t>in organ systems</w:t>
      </w:r>
      <w:r w:rsidR="001B3657" w:rsidRPr="00E033F1">
        <w:rPr>
          <w:rFonts w:asciiTheme="minorHAnsi" w:hAnsiTheme="minorHAnsi" w:cstheme="minorHAnsi"/>
          <w:color w:val="auto"/>
        </w:rPr>
        <w:t>,</w:t>
      </w:r>
      <w:r w:rsidR="007E0399" w:rsidRPr="00E033F1">
        <w:rPr>
          <w:rFonts w:asciiTheme="minorHAnsi" w:hAnsiTheme="minorHAnsi" w:cstheme="minorHAnsi"/>
          <w:color w:val="auto"/>
        </w:rPr>
        <w:t xml:space="preserve"> </w:t>
      </w:r>
      <w:r w:rsidR="009B4A3E" w:rsidRPr="00E033F1">
        <w:rPr>
          <w:rFonts w:asciiTheme="minorHAnsi" w:hAnsiTheme="minorHAnsi" w:cstheme="minorHAnsi"/>
          <w:color w:val="auto"/>
        </w:rPr>
        <w:t xml:space="preserve">are </w:t>
      </w:r>
      <w:r w:rsidR="001B3657" w:rsidRPr="00E033F1">
        <w:rPr>
          <w:rFonts w:asciiTheme="minorHAnsi" w:hAnsiTheme="minorHAnsi" w:cstheme="minorHAnsi"/>
          <w:color w:val="auto"/>
        </w:rPr>
        <w:t xml:space="preserve">just </w:t>
      </w:r>
      <w:r w:rsidR="009B4A3E" w:rsidRPr="00E033F1">
        <w:rPr>
          <w:rFonts w:asciiTheme="minorHAnsi" w:hAnsiTheme="minorHAnsi" w:cstheme="minorHAnsi"/>
          <w:color w:val="auto"/>
        </w:rPr>
        <w:t>some of the</w:t>
      </w:r>
      <w:r w:rsidR="00F85788" w:rsidRPr="00E033F1">
        <w:rPr>
          <w:rFonts w:asciiTheme="minorHAnsi" w:hAnsiTheme="minorHAnsi" w:cstheme="minorHAnsi"/>
          <w:color w:val="auto"/>
        </w:rPr>
        <w:t xml:space="preserve"> drawbacks </w:t>
      </w:r>
      <w:r w:rsidR="001B3657" w:rsidRPr="00E033F1">
        <w:rPr>
          <w:rFonts w:asciiTheme="minorHAnsi" w:hAnsiTheme="minorHAnsi" w:cstheme="minorHAnsi"/>
          <w:color w:val="auto"/>
        </w:rPr>
        <w:t>which</w:t>
      </w:r>
      <w:r w:rsidR="008259DD" w:rsidRPr="00E033F1">
        <w:rPr>
          <w:rFonts w:asciiTheme="minorHAnsi" w:hAnsiTheme="minorHAnsi" w:cstheme="minorHAnsi"/>
          <w:color w:val="auto"/>
        </w:rPr>
        <w:t xml:space="preserve"> </w:t>
      </w:r>
      <w:r w:rsidR="00F85788" w:rsidRPr="00E033F1">
        <w:rPr>
          <w:rFonts w:asciiTheme="minorHAnsi" w:hAnsiTheme="minorHAnsi" w:cstheme="minorHAnsi"/>
          <w:color w:val="auto"/>
        </w:rPr>
        <w:t>reduce the potential</w:t>
      </w:r>
      <w:r w:rsidR="009B4A3E" w:rsidRPr="00E033F1">
        <w:rPr>
          <w:rFonts w:asciiTheme="minorHAnsi" w:hAnsiTheme="minorHAnsi" w:cstheme="minorHAnsi"/>
          <w:color w:val="auto"/>
        </w:rPr>
        <w:t xml:space="preserve"> </w:t>
      </w:r>
      <w:r w:rsidR="00F85788" w:rsidRPr="00E033F1">
        <w:rPr>
          <w:rFonts w:asciiTheme="minorHAnsi" w:hAnsiTheme="minorHAnsi" w:cstheme="minorHAnsi"/>
          <w:color w:val="auto"/>
        </w:rPr>
        <w:t>of</w:t>
      </w:r>
      <w:r w:rsidR="00CD0113" w:rsidRPr="00E033F1">
        <w:rPr>
          <w:rFonts w:asciiTheme="minorHAnsi" w:hAnsiTheme="minorHAnsi" w:cstheme="minorHAnsi"/>
          <w:color w:val="auto"/>
        </w:rPr>
        <w:t xml:space="preserve"> </w:t>
      </w:r>
      <w:r w:rsidR="007F7B2F" w:rsidRPr="00E033F1">
        <w:rPr>
          <w:rFonts w:asciiTheme="minorHAnsi" w:hAnsiTheme="minorHAnsi" w:cstheme="minorHAnsi"/>
          <w:color w:val="auto"/>
        </w:rPr>
        <w:t xml:space="preserve">GST </w:t>
      </w:r>
      <w:r w:rsidR="00CD0113" w:rsidRPr="00E033F1">
        <w:rPr>
          <w:rFonts w:asciiTheme="minorHAnsi" w:hAnsiTheme="minorHAnsi" w:cstheme="minorHAnsi"/>
          <w:color w:val="auto"/>
        </w:rPr>
        <w:t>inhibitors</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{"citationID":"B5sMyPum","properties":{"formattedCitation":"\\super 14, 15\\nosupersub{}","plainCitation":"14, 15","noteIndex":0},"citationItems":[{"id":336,"uris":["http://zotero.org/users/local/bXXP6LKp/items/BCKZ5TWZ"],"uri":["http://zotero.org/users/local/bXXP6LKp/items/BCKZ5TWZ"],"itemData":{"id":336,"type":"article-journal","abstract":"The cytosolic glutathione S-transferases are a family of structurally homologous enzymes with multiple functions, including xenobiotic detoxification, clearance of oxidative stress products, and modulation of cell proliferation and apoptosis signaling pathways. This wide-ranging functional repertoire leads to several possible therapeutic uses for isoform-specific GST inhibitors. These inhibitors may be used, in principle, to modulate tumor cell drug resistance, as sensitizers to therapeutically directed oxidative stress, to enhance cell proliferation and to augment anti-malarial drugs. With increasing knowledge of GST structural and function, rational design strategies and mechanism-based inhibitors have been exploited successfully. However, design of isoform specificity remains a significant challenge in GST inhibitor development. Strategies for further inhibitor design and their possible limitations, along with potential therapeutic uses, are summarized.","container-title":"Cellular and molecular life sciences: CMLS","DOI":"10.1007/s00018-005-4524-6","ISSN":"1420-682X","issue":"11","journalAbbreviation":"Cell. Mol. Life Sci.","language":"eng","note":"PMID: 15798895","page":"1221-1233","source":"PubMed","title":"The chemistry and biology of inhibitors and pro-drugs targeted to glutathione S-transferases","volume":"62","author":[{"family":"Mahajan","given":"S."},{"family":"Atkins","given":"W. M."}],"issued":{"date-parts":[["2005",6]]}}},{"id":366,"uris":["http://zotero.org/users/local/bXXP6LKp/items/L4BV3A5Y"],"uri":["http://zotero.org/users/local/bXXP6LKp/items/L4BV3A5Y"],"itemData":{"id":366,"type":"article-journal","abstract":"Glutathione transferase classical GSH conjugation activity plays a critical role in cellular detoxification against xenobiotics and noxious compounds as well as against oxidative stress. However, this feature is also exploited by cancer cells to acquire drug resistance and improve their survival. As a result, various members of the family were found overexpressed in a number of different cancers. Moreover several GST polymorphisms, ranging from null phenotypes to point mutations, were detected in members of the family and found to correlate with the onset of neuro-degenerative diseases. In the last decades, a great deal of research aimed at clarifying the role played by GSTs in drug resistance, at developing inhibitors to counteract this activity but also at exploiting GSTs for prodrugs specific activation in cancer cells. Here we summarize some of the most important achievements reached in this lively area of research.","container-title":"Oncogenesis","DOI":"10.1038/s41389-017-0025-3","ISSN":"2157-9024","issue":"1","language":"En","page":"8","source":"www.nature.com","title":"Glutathione transferases: substrates, inihibitors and pro-drugs in cancer and neurodegenerative diseases","title-short":"Glutathione transferases","volume":"7","author":[{"family":"Allocati","given":"Nerino"},{"family":"Masulli","given":"Michele"},{"family":"Ilio","given":"Carmine Di"},{"family":"Federici","given":"Luca"}],"issued":{"date-parts":[["2018",1,24]]}}}],"schema":"https://github.com/citation-style-language/schema/raw/master/csl-citation.json"}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color w:val="auto"/>
          <w:vertAlign w:val="superscript"/>
        </w:rPr>
        <w:t>14,15</w:t>
      </w:r>
      <w:r w:rsidR="00236C61" w:rsidRPr="00E033F1">
        <w:rPr>
          <w:rFonts w:asciiTheme="minorHAnsi" w:hAnsiTheme="minorHAnsi" w:cstheme="minorHAnsi"/>
          <w:color w:val="auto"/>
        </w:rPr>
        <w:fldChar w:fldCharType="end"/>
      </w:r>
      <w:r w:rsidR="00CD0113" w:rsidRPr="00E033F1">
        <w:rPr>
          <w:rFonts w:asciiTheme="minorHAnsi" w:hAnsiTheme="minorHAnsi" w:cstheme="minorHAnsi"/>
          <w:color w:val="auto"/>
        </w:rPr>
        <w:t xml:space="preserve">. </w:t>
      </w:r>
      <w:r w:rsidR="0026594A" w:rsidRPr="00E033F1">
        <w:rPr>
          <w:rFonts w:asciiTheme="minorHAnsi" w:hAnsiTheme="minorHAnsi" w:cstheme="minorHAnsi"/>
          <w:color w:val="auto"/>
        </w:rPr>
        <w:t>The</w:t>
      </w:r>
      <w:r w:rsidR="001B3657" w:rsidRPr="00E033F1">
        <w:rPr>
          <w:rFonts w:asciiTheme="minorHAnsi" w:hAnsiTheme="minorHAnsi" w:cstheme="minorHAnsi"/>
          <w:color w:val="auto"/>
        </w:rPr>
        <w:t xml:space="preserve"> risk that these</w:t>
      </w:r>
      <w:r w:rsidR="0026594A" w:rsidRPr="00E033F1">
        <w:rPr>
          <w:rFonts w:asciiTheme="minorHAnsi" w:hAnsiTheme="minorHAnsi" w:cstheme="minorHAnsi"/>
          <w:color w:val="auto"/>
        </w:rPr>
        <w:t xml:space="preserve"> c</w:t>
      </w:r>
      <w:r w:rsidR="00F85788" w:rsidRPr="00E033F1">
        <w:rPr>
          <w:rFonts w:asciiTheme="minorHAnsi" w:hAnsiTheme="minorHAnsi" w:cstheme="minorHAnsi"/>
          <w:color w:val="auto"/>
        </w:rPr>
        <w:t>ompounds</w:t>
      </w:r>
      <w:r w:rsidR="00CD0113" w:rsidRPr="00E033F1">
        <w:rPr>
          <w:rFonts w:asciiTheme="minorHAnsi" w:hAnsiTheme="minorHAnsi" w:cstheme="minorHAnsi"/>
          <w:color w:val="auto"/>
        </w:rPr>
        <w:t xml:space="preserve"> </w:t>
      </w:r>
      <w:r w:rsidR="00F85788" w:rsidRPr="00E033F1">
        <w:rPr>
          <w:rFonts w:asciiTheme="minorHAnsi" w:hAnsiTheme="minorHAnsi" w:cstheme="minorHAnsi"/>
          <w:color w:val="auto"/>
        </w:rPr>
        <w:t>might</w:t>
      </w:r>
      <w:r w:rsidR="00CD0113" w:rsidRPr="00E033F1">
        <w:rPr>
          <w:rFonts w:asciiTheme="minorHAnsi" w:hAnsiTheme="minorHAnsi" w:cstheme="minorHAnsi"/>
          <w:color w:val="auto"/>
        </w:rPr>
        <w:t xml:space="preserve"> exert other </w:t>
      </w:r>
      <w:r w:rsidR="00704D7B" w:rsidRPr="00E033F1">
        <w:rPr>
          <w:rFonts w:asciiTheme="minorHAnsi" w:hAnsiTheme="minorHAnsi" w:cstheme="minorHAnsi"/>
          <w:color w:val="auto"/>
        </w:rPr>
        <w:t xml:space="preserve">pharmacodynamic </w:t>
      </w:r>
      <w:r w:rsidR="00CD0113" w:rsidRPr="00E033F1">
        <w:rPr>
          <w:rFonts w:asciiTheme="minorHAnsi" w:hAnsiTheme="minorHAnsi" w:cstheme="minorHAnsi"/>
          <w:color w:val="auto"/>
        </w:rPr>
        <w:t>effects on the body</w:t>
      </w:r>
      <w:r w:rsidR="001B3657" w:rsidRPr="00E033F1">
        <w:rPr>
          <w:rFonts w:asciiTheme="minorHAnsi" w:hAnsiTheme="minorHAnsi" w:cstheme="minorHAnsi"/>
          <w:color w:val="auto"/>
        </w:rPr>
        <w:t xml:space="preserve"> are also</w:t>
      </w:r>
      <w:r w:rsidR="00CD0113" w:rsidRPr="00E033F1">
        <w:rPr>
          <w:rFonts w:asciiTheme="minorHAnsi" w:hAnsiTheme="minorHAnsi" w:cstheme="minorHAnsi"/>
          <w:color w:val="auto"/>
        </w:rPr>
        <w:t xml:space="preserve"> limiting their usage. </w:t>
      </w:r>
      <w:r w:rsidR="001B3657" w:rsidRPr="00E033F1">
        <w:rPr>
          <w:rFonts w:asciiTheme="minorHAnsi" w:hAnsiTheme="minorHAnsi" w:cstheme="minorHAnsi"/>
          <w:color w:val="auto"/>
        </w:rPr>
        <w:t>E</w:t>
      </w:r>
      <w:r w:rsidR="00E962A1" w:rsidRPr="00E033F1">
        <w:rPr>
          <w:rFonts w:asciiTheme="minorHAnsi" w:hAnsiTheme="minorHAnsi" w:cstheme="minorHAnsi"/>
          <w:color w:val="auto"/>
        </w:rPr>
        <w:t>thacrynic acid</w:t>
      </w:r>
      <w:r w:rsidR="001B3657" w:rsidRPr="00E033F1">
        <w:rPr>
          <w:rFonts w:asciiTheme="minorHAnsi" w:hAnsiTheme="minorHAnsi" w:cstheme="minorHAnsi"/>
          <w:color w:val="auto"/>
        </w:rPr>
        <w:t>, for instance,</w:t>
      </w:r>
      <w:r w:rsidR="00E962A1" w:rsidRPr="00E033F1">
        <w:rPr>
          <w:rFonts w:asciiTheme="minorHAnsi" w:hAnsiTheme="minorHAnsi" w:cstheme="minorHAnsi"/>
          <w:color w:val="auto"/>
        </w:rPr>
        <w:t xml:space="preserve"> is the most widely studied GST inhibitor in</w:t>
      </w:r>
      <w:r w:rsidR="00B73908" w:rsidRPr="00E033F1">
        <w:rPr>
          <w:rFonts w:asciiTheme="minorHAnsi" w:hAnsiTheme="minorHAnsi" w:cstheme="minorHAnsi"/>
          <w:color w:val="auto"/>
        </w:rPr>
        <w:t xml:space="preserve"> lab</w:t>
      </w:r>
      <w:r w:rsidR="00F85788" w:rsidRPr="00E033F1">
        <w:rPr>
          <w:rFonts w:asciiTheme="minorHAnsi" w:hAnsiTheme="minorHAnsi" w:cstheme="minorHAnsi"/>
          <w:color w:val="auto"/>
        </w:rPr>
        <w:t xml:space="preserve">oratory </w:t>
      </w:r>
      <w:r w:rsidR="0026594A" w:rsidRPr="00E033F1">
        <w:rPr>
          <w:rFonts w:asciiTheme="minorHAnsi" w:hAnsiTheme="minorHAnsi" w:cstheme="minorHAnsi"/>
          <w:color w:val="auto"/>
        </w:rPr>
        <w:t>environment</w:t>
      </w:r>
      <w:r w:rsidR="001B3657" w:rsidRPr="00E033F1">
        <w:rPr>
          <w:rFonts w:asciiTheme="minorHAnsi" w:hAnsiTheme="minorHAnsi" w:cstheme="minorHAnsi"/>
          <w:color w:val="auto"/>
        </w:rPr>
        <w:t>s</w:t>
      </w:r>
      <w:r w:rsidR="0026594A" w:rsidRPr="00E033F1">
        <w:rPr>
          <w:rFonts w:asciiTheme="minorHAnsi" w:hAnsiTheme="minorHAnsi" w:cstheme="minorHAnsi"/>
          <w:color w:val="auto"/>
        </w:rPr>
        <w:t>,</w:t>
      </w:r>
      <w:r w:rsidR="00B73908" w:rsidRPr="00E033F1">
        <w:rPr>
          <w:rFonts w:asciiTheme="minorHAnsi" w:hAnsiTheme="minorHAnsi" w:cstheme="minorHAnsi"/>
          <w:color w:val="auto"/>
        </w:rPr>
        <w:t xml:space="preserve"> but </w:t>
      </w:r>
      <w:r w:rsidR="001B3657" w:rsidRPr="00E033F1">
        <w:rPr>
          <w:rFonts w:asciiTheme="minorHAnsi" w:hAnsiTheme="minorHAnsi" w:cstheme="minorHAnsi"/>
          <w:color w:val="auto"/>
        </w:rPr>
        <w:t xml:space="preserve">because </w:t>
      </w:r>
      <w:r w:rsidR="00B73908" w:rsidRPr="00E033F1">
        <w:rPr>
          <w:rFonts w:asciiTheme="minorHAnsi" w:hAnsiTheme="minorHAnsi" w:cstheme="minorHAnsi"/>
          <w:color w:val="auto"/>
        </w:rPr>
        <w:t xml:space="preserve">it is </w:t>
      </w:r>
      <w:r w:rsidR="00E962A1" w:rsidRPr="00E033F1">
        <w:rPr>
          <w:rFonts w:asciiTheme="minorHAnsi" w:hAnsiTheme="minorHAnsi" w:cstheme="minorHAnsi"/>
          <w:color w:val="auto"/>
        </w:rPr>
        <w:t xml:space="preserve">primarily used as a </w:t>
      </w:r>
      <w:r w:rsidR="00F407C2" w:rsidRPr="00E033F1">
        <w:rPr>
          <w:rFonts w:asciiTheme="minorHAnsi" w:hAnsiTheme="minorHAnsi" w:cstheme="minorHAnsi"/>
          <w:color w:val="auto"/>
        </w:rPr>
        <w:t xml:space="preserve">strong </w:t>
      </w:r>
      <w:r w:rsidR="00E962A1" w:rsidRPr="00E033F1">
        <w:rPr>
          <w:rFonts w:asciiTheme="minorHAnsi" w:hAnsiTheme="minorHAnsi" w:cstheme="minorHAnsi"/>
          <w:color w:val="auto"/>
        </w:rPr>
        <w:t xml:space="preserve">diuretic, this property </w:t>
      </w:r>
      <w:r w:rsidR="00F407C2" w:rsidRPr="00E033F1">
        <w:rPr>
          <w:rFonts w:asciiTheme="minorHAnsi" w:hAnsiTheme="minorHAnsi" w:cstheme="minorHAnsi"/>
          <w:color w:val="auto"/>
        </w:rPr>
        <w:t>limits its</w:t>
      </w:r>
      <w:r w:rsidR="00E962A1" w:rsidRPr="00E033F1">
        <w:rPr>
          <w:rFonts w:asciiTheme="minorHAnsi" w:hAnsiTheme="minorHAnsi" w:cstheme="minorHAnsi"/>
          <w:color w:val="auto"/>
        </w:rPr>
        <w:t xml:space="preserve"> use in combination with other drugs in clinic</w:t>
      </w:r>
      <w:r w:rsidR="0026594A" w:rsidRPr="00E033F1">
        <w:rPr>
          <w:rFonts w:asciiTheme="minorHAnsi" w:hAnsiTheme="minorHAnsi" w:cstheme="minorHAnsi"/>
          <w:color w:val="auto"/>
        </w:rPr>
        <w:t>al setting</w:t>
      </w:r>
      <w:r w:rsidR="001B3657" w:rsidRPr="00E033F1">
        <w:rPr>
          <w:rFonts w:asciiTheme="minorHAnsi" w:hAnsiTheme="minorHAnsi" w:cstheme="minorHAnsi"/>
          <w:color w:val="auto"/>
        </w:rPr>
        <w:t>s</w:t>
      </w:r>
      <w:r w:rsidR="00F85788" w:rsidRPr="00E033F1">
        <w:rPr>
          <w:rFonts w:asciiTheme="minorHAnsi" w:hAnsiTheme="minorHAnsi" w:cstheme="minorHAnsi"/>
          <w:color w:val="auto"/>
        </w:rPr>
        <w:t>.</w:t>
      </w:r>
      <w:r w:rsidR="00B23395" w:rsidRPr="00E033F1">
        <w:rPr>
          <w:rFonts w:asciiTheme="minorHAnsi" w:hAnsiTheme="minorHAnsi" w:cstheme="minorHAnsi"/>
          <w:color w:val="auto"/>
        </w:rPr>
        <w:t xml:space="preserve"> </w:t>
      </w:r>
      <w:r w:rsidR="00B23395" w:rsidRPr="00E033F1">
        <w:rPr>
          <w:color w:val="auto"/>
        </w:rPr>
        <w:t xml:space="preserve">Curcumin is </w:t>
      </w:r>
      <w:r w:rsidR="00A645E1" w:rsidRPr="00E033F1">
        <w:rPr>
          <w:color w:val="auto"/>
        </w:rPr>
        <w:t>another natural</w:t>
      </w:r>
      <w:r w:rsidR="00B23395" w:rsidRPr="00E033F1">
        <w:rPr>
          <w:color w:val="auto"/>
        </w:rPr>
        <w:t xml:space="preserve"> compound successfully screened as a GST inhibitor. This molecule is a polyphenol ether extracted from the </w:t>
      </w:r>
      <w:r w:rsidR="00B23395" w:rsidRPr="00E033F1">
        <w:rPr>
          <w:i/>
          <w:color w:val="auto"/>
        </w:rPr>
        <w:t>Curcuma longa</w:t>
      </w:r>
      <w:r w:rsidR="00B23395" w:rsidRPr="00E033F1">
        <w:rPr>
          <w:color w:val="auto"/>
        </w:rPr>
        <w:t xml:space="preserve"> species of turmeric</w:t>
      </w:r>
      <w:r w:rsidR="00B23395" w:rsidRPr="00E033F1">
        <w:rPr>
          <w:iCs/>
          <w:color w:val="auto"/>
        </w:rPr>
        <w:t>. It has</w:t>
      </w:r>
      <w:r w:rsidR="00B23395" w:rsidRPr="00E033F1">
        <w:rPr>
          <w:color w:val="auto"/>
        </w:rPr>
        <w:t xml:space="preserve"> shown promising results as a </w:t>
      </w:r>
      <w:r w:rsidR="00A645E1" w:rsidRPr="00E033F1">
        <w:rPr>
          <w:color w:val="auto"/>
        </w:rPr>
        <w:t xml:space="preserve">possible </w:t>
      </w:r>
      <w:r w:rsidR="00B23395" w:rsidRPr="00E033F1">
        <w:rPr>
          <w:color w:val="auto"/>
        </w:rPr>
        <w:t xml:space="preserve">treatment </w:t>
      </w:r>
      <w:r w:rsidR="00A645E1" w:rsidRPr="00E033F1">
        <w:rPr>
          <w:color w:val="auto"/>
        </w:rPr>
        <w:t xml:space="preserve">option </w:t>
      </w:r>
      <w:r w:rsidR="00B23395" w:rsidRPr="00E033F1">
        <w:rPr>
          <w:color w:val="auto"/>
        </w:rPr>
        <w:t>against cancer by inducing the apoptosis of various kind of tumor cell lines</w:t>
      </w:r>
      <w:r w:rsidR="00236C61" w:rsidRPr="00E033F1">
        <w:rPr>
          <w:color w:val="auto"/>
        </w:rPr>
        <w:fldChar w:fldCharType="begin"/>
      </w:r>
      <w:r w:rsidR="00236C61" w:rsidRPr="00E033F1">
        <w:rPr>
          <w:color w:val="auto"/>
        </w:rPr>
        <w:instrText xml:space="preserve"> ADDIN ZOTERO_ITEM CSL_CITATION {"citationID":"F2Tg2Rox","properties":{"formattedCitation":"\\super 16, 17\\nosupersub{}","plainCitation":"16, 17","noteIndex":0},"citationItems":[{"id":102,"uris":["http://zotero.org/users/local/bXXP6LKp/items/P5L4VB9L"],"uri":["http://zotero.org/users/local/bXXP6LKp/items/P5L4VB9L"],"itemData":{"id":102,"type":"article-journal","abstract":"Curcumin (diferuloylmethane) is a polyphenol derived from the plant Curcuma longa, commonly called turmeric. Extensive research over the last 50 years has indicated this polyphenol can both prevent and treat cancer. The anticancer potential of curcumin stems from its ability to suppress proliferation of a wide variety of tumor cells, down-regulate transcription factors NF-kappa B, AP-1 and Egr-1; down-regulate the expression of COX2, LOX, NOS, MMP-9, uPA, TNF, chemokines, cell surface adhesion molecules and cyclin D1; down-regulate growth factor receptors (such as EGFR and HER2); and inhibit the activity of c-Jun N-terminal kinase, protein tyrosine kinases and protein serine/threonine kinases. In several systems, curcumin has been described as a potent antioxidant and anti-inflammatory agent. Evidence has also been presented to suggest that curcumin can suppress tumor initiation, promotion and metastasis. Pharmacologically, curcumin has been found to be safe. Human clinical trials indicated no dose-limiting toxicity when administered at doses up to 10 g/day. All of these studies suggest that curcumin has enormous potential in the prevention and therapy of cancer. The current review describes in detail the data supporting these studies.","container-title":"Anticancer Research","ISSN":"0250-7005","issue":"1A","journalAbbreviation":"Anticancer Res.","language":"eng","note":"PMID: 12680238","page":"363-398","source":"PubMed","title":"Anticancer potential of curcumin: preclinical and clinical studies","title-short":"Anticancer potential of curcumin","volume":"23","author":[{"family":"Aggarwal","given":"Bharat B."},{"family":"Kumar","given":"Anushree"},{"family":"Bharti","given":"Alok C."}],"issued":{"date-parts":[["2003",2]]}}},{"id":233,"uris":["http://zotero.org/users/local/bXXP6LKp/items/77AVMDJL"],"uri":["http://zotero.org/users/local/bXXP6LKp/items/77AVMDJL"],"itemData":{"id":233,"type":"article-journal","abstract":"It has been well known that curcumin is a powerful inhibitor of proliferation of several tumor cells. However, the molecular basis of the anti-proliferative effect of curcumin has not been investigated in detail. In this paper, we present evidence to show that curcumin inhibited proliferation of a variety of B lymphoma cells. At low concentrations curcumin inhibited the proliferation of BKS-2, an immature B cell lymphoma, more effectively than that of normal B lymphocytes and caused the apoptosis of BKS-2 cells in a dose- and time-dependent manner. Furthermore, curcumin downregulated the expression of survival genes egr-1, c-myc, and bcl-X(L) as well as the tumor suppressor gene p53 in B cells. In addition, NF-kappaB binding activity was also downregulated almost completely by curcumin. Stimulation with CpG oligonucleotides or anti-CD40 overcame growth inhibition induced by low concentrations of curcumin. Our results suggest that curcumin caused the growth arrest and apoptosis of BKS-2 immature B cell lymphoma by downregulation of growth and survival promoting genes.","container-title":"Clinical Immunology (Orlando, Fla.)","DOI":"10.1006/clim.1999.4769","ISSN":"1521-6616","issue":"2","journalAbbreviation":"Clin. Immunol.","language":"eng","note":"PMID: 10527691","page":"152-161","source":"PubMed","title":"Curcumin causes the growth arrest and apoptosis of B cell lymphoma by downregulation of egr-1, c-myc, bcl-XL, NF-kappa B, and p53","volume":"93","author":[{"family":"Han","given":"S. S."},{"family":"Chung","given":"S. T."},{"family":"Robertson","given":"D. A."},{"family":"Ranjan","given":"D."},{"family":"Bondada","given":"S."}],"issued":{"date-parts":[["1999",11]]}}}],"schema":"https://github.com/citation-style-language/schema/raw/master/csl-citation.json"} </w:instrText>
      </w:r>
      <w:r w:rsidR="00236C61" w:rsidRPr="00E033F1">
        <w:rPr>
          <w:color w:val="auto"/>
        </w:rPr>
        <w:fldChar w:fldCharType="separate"/>
      </w:r>
      <w:r w:rsidR="00236C61" w:rsidRPr="00E033F1">
        <w:rPr>
          <w:color w:val="auto"/>
          <w:vertAlign w:val="superscript"/>
        </w:rPr>
        <w:t>16,17</w:t>
      </w:r>
      <w:r w:rsidR="00236C61" w:rsidRPr="00E033F1">
        <w:rPr>
          <w:color w:val="auto"/>
        </w:rPr>
        <w:fldChar w:fldCharType="end"/>
      </w:r>
      <w:r w:rsidR="00B23395" w:rsidRPr="00E033F1">
        <w:rPr>
          <w:color w:val="auto"/>
        </w:rPr>
        <w:t>. The compound can regulate diverse cellular pathways, such as the tyrosine kinase</w:t>
      </w:r>
      <w:r w:rsidR="00B23395" w:rsidRPr="00E033F1">
        <w:rPr>
          <w:color w:val="auto"/>
        </w:rPr>
        <w:fldChar w:fldCharType="begin"/>
      </w:r>
      <w:r w:rsidR="00EC55D1" w:rsidRPr="00E033F1">
        <w:rPr>
          <w:color w:val="auto"/>
        </w:rPr>
        <w:instrText xml:space="preserve"> ADDIN ZOTERO_ITEM CSL_CITATION {"citationID":"sUHVBuJU","properties":{"formattedCitation":"\\super 18\\nosupersub{}","plainCitation":"18","noteIndex":0},"citationItems":[{"id":484,"uris":["http://zotero.org/users/local/bXXP6LKp/items/IPEMNA8N"],"uri":["http://zotero.org/users/local/bXXP6LKp/items/IPEMNA8N"],"itemData":{"id":484,"type":"article-journal","abstract":"Curcumin is a natural substance known for ages, exhibiting a multidirectional effect in cancer prevention and adjuvant cancer therapies. The great advantage of using nutraceuticals of vegetable origin in comparison to popular cytostatic drugs is the minimized side effect and reduced toxicity. The targets in oncological therapy are, among others, tyrosine kinases, important mediators of signaling pathways whose impaired expression is observed in many types of cancer. Unfortunately, the hydrophobic nature of the curcumin molecule often limits its bioavailability, which is why many studies focus on the chemical modification of this compound. Current research is aimed at modifying structures that improve the pharmacokinetic parameters of curcumin, e.g. the formation of nanoparticles, complexes with metals or the synthesis of curcumin derivatives with functional substituents that allow tumor targeting. The article is a review and analysis of current literature on the properties of curcumin and its derivatives in the treatment of cancers directed to signaling pathways of tyrosine kinases and confronts the problem of low assimilation of curcumin with potential therapeutic effects.","container-title":"European Journal of Medicinal Chemistry","DOI":"10.1016/j.ejmech.2019.07.015","ISSN":"1768-3254","journalAbbreviation":"Eur J Med Chem","language":"eng","note":"PMID: 31404861","page":"111512","source":"PubMed","title":"Curcumin as tyrosine kinase inhibitor in cancer treatment","volume":"181","author":[{"family":"Golonko","given":"A."},{"family":"Lewandowska","given":"H."},{"family":"Świsłocka","given":"R."},{"family":"Jasińska","given":"U. T."},{"family":"Priebe","given":"W."},{"family":"Lewandowski","given":"W."}],"issued":{"date-parts":[["2019",7,15]]}}}],"schema":"https://github.com/citation-style-language/schema/raw/master/csl-citation.json"} </w:instrText>
      </w:r>
      <w:r w:rsidR="00B23395" w:rsidRPr="00E033F1">
        <w:rPr>
          <w:color w:val="auto"/>
        </w:rPr>
        <w:fldChar w:fldCharType="separate"/>
      </w:r>
      <w:r w:rsidR="00EC55D1" w:rsidRPr="00E033F1">
        <w:rPr>
          <w:color w:val="auto"/>
          <w:vertAlign w:val="superscript"/>
        </w:rPr>
        <w:t>18</w:t>
      </w:r>
      <w:r w:rsidR="00B23395" w:rsidRPr="00E033F1">
        <w:rPr>
          <w:color w:val="auto"/>
        </w:rPr>
        <w:fldChar w:fldCharType="end"/>
      </w:r>
      <w:r w:rsidR="00B23395" w:rsidRPr="00E033F1">
        <w:rPr>
          <w:color w:val="auto"/>
        </w:rPr>
        <w:t xml:space="preserve"> or the GST pathway. Studies with pure proteins have shown its inhibition potency on GSTA1, GSTM1 and GSTP1</w:t>
      </w:r>
      <w:r w:rsidR="00236C61" w:rsidRPr="00E033F1">
        <w:rPr>
          <w:color w:val="auto"/>
        </w:rPr>
        <w:fldChar w:fldCharType="begin"/>
      </w:r>
      <w:r w:rsidR="00236C61" w:rsidRPr="00E033F1">
        <w:rPr>
          <w:color w:val="auto"/>
        </w:rPr>
        <w:instrText xml:space="preserve"> ADDIN ZOTERO_ITEM CSL_CITATION {"citationID":"m0bSO5O6","properties":{"formattedCitation":"\\super 19, 20\\nosupersub{}","plainCitation":"19, 20","noteIndex":0},"citationItems":[{"id":131,"uris":["http://zotero.org/users/local/bXXP6LKp/items/I7BPBZYN"],"uri":["http://zotero.org/users/local/bXXP6LKp/items/I7BPBZYN"],"itemData":{"id":131,"type":"article-journal","abstract":"Curcumin (diferuloylmethane), a yellow pigment of turmeric with antioxidant properties has been shown to be a cancer preventative in animal studies. It contains two electrophilic alpha, beta-unsaturated carbonyl groups, which can react with nucleophilic compounds such as glutathione (GSH), but formation of the GSH-curcumin conjugates has not previously been demonstrated. In the present studies, we investigated the reactions of curcumin with GSH and the effect of recombinant human glutathione S-transferase(GST)P1-1 on reaction kinetics. Glutathionylated products of curcumin identified by FAB-MS and MALDI-MS included mono- and di-glutathionyl-adducts of curcumin as well as cyclic rearrangement products of GSH adducts of feruloylmethylketone (FMK) and feruloylaldehyde (FAL). The presence of GSTP1-1 significantly accelerated the initial rate of GSH-mediated consumption of curcumin in 10 mM potassium phosphate, pH 7.0, and 1 mM GSH. GSTP1-1 kinetics determined using HPLC indicated substrate inhibition (apparent K(m) for curcumin of 25+/-11 microM, and apparent K(i) for curcumin of 8+/-3 microM). GSTP1-1 was also shown to catalyze the reverse reaction leading to the formation of curcumin from GSH adducts of FMK and FAL.","container-title":"Chemico-Biological Interactions","ISSN":"0009-2797","issue":"1","journalAbbreviation":"Chem. Biol. Interact.","language":"eng","note":"PMID: 10996298","page":"19-38","source":"PubMed","title":"Curcumin-glutathione interactions and the role of human glutathione S-transferase P1-1","volume":"128","author":[{"family":"Awasthi","given":"S."},{"family":"Pandya","given":"U."},{"family":"Singhal","given":"S. S."},{"family":"Lin","given":"J. T."},{"family":"Thiviyanathan","given":"V."},{"family":"Seifert","given":"W. E."},{"family":"Awasthi","given":"Y. C."},{"family":"Ansari","given":"G. A."}],"issued":{"date-parts":[["2000",8,15]]}}},{"id":86,"uris":["http://zotero.org/users/local/bXXP6LKp/items/H49CLFMU"],"uri":["http://zotero.org/users/local/bXXP6LKp/items/H49CLFMU"],"itemData":{"id":86,"type":"article-journal","abstract":"Glutathione S-transferases (GSTs) are important phase II drug-metabolizing enzymes that play a major role in protecting cells from the toxic insults of electrophilic compounds. Curcumin, a promising chemotherapeutic agent, inhibits human GSTA1-1, GSTM1-1, and GSTP1-1 isoenzymes. In the present study, the effect of three series of curcumin analogues, 2,6-dibenzylidenecyclohexanone (A series), 2,5-dibenzylidenecyclopentanone (B series), and 1,4-pentadiene-3-one (C series) substituted analogues (n = 34), on these three human GST isoenzymes, and on human and rat liver cytosolic GSTs, was investigated using 1-chloro-2,4-dinitrobenzene (CDNB) as a substrate. Most of the 34 curcumin analogues showed less potent inhibitory activities towards GSTA1-1, GSTM1-1, and GSTP1-1 than the parent curcumin. Compounds B14 and C10 were the most potent inhibitors of GSTA1-1 and human liver cytosolic GSTs, with IC(50) values of 0.2-0.6 microM. The most potent inhibitors of GSTM1-1 were C1, C3 and C10, with IC(50) values of 0.2-0.7 microM. Similarly, GSTP1-1 was predominantly strongly inhibited by compounds of the C series C0, C1, C2 C10 and A0, with IC(50) values of 0.4-4.6 microM. Compounds in the B series showed no significant inhibition of GSTP1-1. Molecular Operating Environment (MOE) program-based quantitative structure-activity relationship (QSAR) analyses have also suggested the relevance of Van der Waals surface area and compound lipophilicity factors for the inhibition of GSTA1-1 and GSTM1-1 and partial charge factors for GSTP1-1. These results may be useful in the design and synthesis of curcumin analogues with either more or less potency for GST inhibition.","container-title":"Xenobiotica; the Fate of Foreign Compounds in Biological Systems","DOI":"10.1080/00498250802702316","ISSN":"1366-5928","issue":"4","journalAbbreviation":"Xenobiotica","language":"eng","note":"PMID: 19350453","page":"302-311","source":"PubMed","title":"Inhibition of human glutathione S-transferases by curcumin and analogues","volume":"39","author":[{"family":"Appiah-Opong","given":"R."},{"family":"Commandeur","given":"J. N. M."},{"family":"Istyastono","given":"E."},{"family":"Bogaards","given":"J. J."},{"family":"Vermeulen","given":"N. P. E."}],"issued":{"date-parts":[["2009",4]]}}}],"schema":"https://github.com/citation-style-language/schema/raw/master/csl-citation.json"} </w:instrText>
      </w:r>
      <w:r w:rsidR="00236C61" w:rsidRPr="00E033F1">
        <w:rPr>
          <w:color w:val="auto"/>
        </w:rPr>
        <w:fldChar w:fldCharType="separate"/>
      </w:r>
      <w:r w:rsidR="00236C61" w:rsidRPr="00E033F1">
        <w:rPr>
          <w:color w:val="auto"/>
          <w:vertAlign w:val="superscript"/>
        </w:rPr>
        <w:t>19,20</w:t>
      </w:r>
      <w:r w:rsidR="00236C61" w:rsidRPr="00E033F1">
        <w:rPr>
          <w:color w:val="auto"/>
        </w:rPr>
        <w:fldChar w:fldCharType="end"/>
      </w:r>
      <w:r w:rsidR="00B23395" w:rsidRPr="00E033F1">
        <w:rPr>
          <w:color w:val="auto"/>
        </w:rPr>
        <w:t>. However, conflicting results were observed in cancer cells, where greater</w:t>
      </w:r>
      <w:r w:rsidR="004D71FD" w:rsidRPr="00E033F1">
        <w:rPr>
          <w:color w:val="auto"/>
        </w:rPr>
        <w:t xml:space="preserve"> </w:t>
      </w:r>
      <w:r w:rsidR="0018137A" w:rsidRPr="00E033F1">
        <w:rPr>
          <w:color w:val="auto"/>
        </w:rPr>
        <w:t>intracellular</w:t>
      </w:r>
      <w:r w:rsidR="00B23395" w:rsidRPr="00E033F1">
        <w:rPr>
          <w:color w:val="auto"/>
        </w:rPr>
        <w:t xml:space="preserve"> GST activity</w:t>
      </w:r>
      <w:r w:rsidR="00FC63F7" w:rsidRPr="00E033F1">
        <w:rPr>
          <w:color w:val="auto"/>
        </w:rPr>
        <w:t xml:space="preserve"> </w:t>
      </w:r>
      <w:r w:rsidR="00B23395" w:rsidRPr="00E033F1">
        <w:rPr>
          <w:color w:val="auto"/>
        </w:rPr>
        <w:t xml:space="preserve">was measured when </w:t>
      </w:r>
      <w:r w:rsidR="0018137A" w:rsidRPr="00E033F1">
        <w:rPr>
          <w:color w:val="auto"/>
        </w:rPr>
        <w:t>cells</w:t>
      </w:r>
      <w:r w:rsidR="00B23395" w:rsidRPr="00E033F1">
        <w:rPr>
          <w:color w:val="auto"/>
        </w:rPr>
        <w:t xml:space="preserve"> were treated with curcumin</w:t>
      </w:r>
      <w:r w:rsidR="00236C61" w:rsidRPr="00E033F1">
        <w:rPr>
          <w:color w:val="auto"/>
        </w:rPr>
        <w:fldChar w:fldCharType="begin"/>
      </w:r>
      <w:r w:rsidR="00236C61" w:rsidRPr="00E033F1">
        <w:rPr>
          <w:color w:val="auto"/>
        </w:rPr>
        <w:instrText xml:space="preserve"> ADDIN ZOTERO_ITEM CSL_CITATION {"citationID":"spkcCeJT","properties":{"formattedCitation":"\\super 21\\nosupersub{}","plainCitation":"21","noteIndex":0},"citationItems":[{"id":478,"uris":["http://zotero.org/users/local/bXXP6LKp/items/VYFSRKS9"],"uri":["http://zotero.org/users/local/bXXP6LKp/items/VYFSRKS9"],"itemData":{"id":478,"type":"article-journal","abstract":"Prostate cancer is a leading cause of death in males aged fifty and over. Glutathione transferase (GST) activity is depressed in prostate cancer cells. The aim of this study was to assess GST reactivation in LNCaP prostate cancer cells treated with curcumin or 5-azacitidine (5-Aza) which is a known hypomethylation agent. GST activity was determined using monochlorobimane (MCB). Cell viability was assessed with resazurin (Vision blue TM) or 3-(4, 5-Dimethyl-thiazol-2-yl)-2, 5-di-phenyltetrazolium-bromide (MTT). From the results, treatment with &gt;5 μM of curcumin or 5-Aza for 3 or 6 days depressed LNCaP cell viability. The concentrations of curcumin leading to 50% reduction of LNCaP cell viability (IC50) was 10-25 μM or 2-3 μM for 3 days or 6 days of treatment, respectively. The IC50 with 5-Aza was 17-23 μM (3 days) or 50-52 μM (6 days). Combination treatment using curcumin and 5-Aza showed complimentary interactions affecting cell viability. Low levels of curcumin or 5-Aza had no effect on GST activity. By contrast, cytotoxic doses of curcumin or 5-Aza increased GST activity by 450-750 % (3days) or 161-2800 % (6days). In conclusion, GST reactivation was feasible but only when LNCaP prostate cancer cells were treated with cytotoxic doses of curcumin or 5-azacytidne. 62 Vaibhav Dubey and Richard Owusu-Apenten","container-title":"Pure and Applied Chemistry","DOI":"10.12988/pacs.2014.411","journalAbbreviation":"Pure and Applied Chemistry","page":"61-72","source":"ResearchGate","title":"Curcumin Restores Glutathione-S-Transferase Activity for LNCaP Prostate Cancer Cells","volume":"2","author":[{"family":"Dubey","given":"Vaibhav"},{"family":"Owusu-Apenten","given":"Richard"}],"issued":{"date-parts":[["2014",5,8]]}}}],"schema":"https://github.com/citation-style-language/schema/raw/master/csl-citation.json"} </w:instrText>
      </w:r>
      <w:r w:rsidR="00236C61" w:rsidRPr="00E033F1">
        <w:rPr>
          <w:color w:val="auto"/>
        </w:rPr>
        <w:fldChar w:fldCharType="separate"/>
      </w:r>
      <w:r w:rsidR="00236C61" w:rsidRPr="00E033F1">
        <w:rPr>
          <w:color w:val="auto"/>
          <w:vertAlign w:val="superscript"/>
        </w:rPr>
        <w:t>21</w:t>
      </w:r>
      <w:r w:rsidR="00236C61" w:rsidRPr="00E033F1">
        <w:rPr>
          <w:color w:val="auto"/>
        </w:rPr>
        <w:fldChar w:fldCharType="end"/>
      </w:r>
      <w:r w:rsidR="00B23395" w:rsidRPr="00E033F1">
        <w:rPr>
          <w:color w:val="auto"/>
        </w:rPr>
        <w:t xml:space="preserve">. </w:t>
      </w:r>
      <w:r w:rsidR="00FC63F7" w:rsidRPr="00E033F1">
        <w:rPr>
          <w:color w:val="auto"/>
        </w:rPr>
        <w:t xml:space="preserve">Thus, </w:t>
      </w:r>
      <w:r w:rsidR="00236C61" w:rsidRPr="00E033F1">
        <w:rPr>
          <w:color w:val="auto"/>
        </w:rPr>
        <w:t>i</w:t>
      </w:r>
      <w:r w:rsidR="00FC63F7" w:rsidRPr="00E033F1">
        <w:rPr>
          <w:color w:val="auto"/>
        </w:rPr>
        <w:t>t is important to investigate half-maximal inhibitory concentration (IC50) and the constant of inhibition (K</w:t>
      </w:r>
      <w:r w:rsidR="00FC63F7" w:rsidRPr="00E033F1">
        <w:rPr>
          <w:color w:val="auto"/>
          <w:vertAlign w:val="subscript"/>
        </w:rPr>
        <w:t>i</w:t>
      </w:r>
      <w:r w:rsidR="00FC63F7" w:rsidRPr="00E033F1">
        <w:rPr>
          <w:color w:val="auto"/>
        </w:rPr>
        <w:t xml:space="preserve">) of any putative GST inhibitor using a clearly described protocol with proper controls before planning any </w:t>
      </w:r>
      <w:r w:rsidR="00EE6B80" w:rsidRPr="00E033F1">
        <w:rPr>
          <w:color w:val="auto"/>
        </w:rPr>
        <w:t>further cellular experiments.</w:t>
      </w:r>
    </w:p>
    <w:p w14:paraId="1D0134AB" w14:textId="6982F1EF" w:rsidR="00217F8F" w:rsidRPr="00E033F1" w:rsidRDefault="00217F8F" w:rsidP="00E033F1">
      <w:pPr>
        <w:contextualSpacing/>
        <w:rPr>
          <w:rFonts w:asciiTheme="minorHAnsi" w:hAnsiTheme="minorHAnsi" w:cstheme="minorHAnsi"/>
          <w:color w:val="auto"/>
        </w:rPr>
      </w:pPr>
    </w:p>
    <w:p w14:paraId="27ED1FB2" w14:textId="66A6727F" w:rsidR="007847F1" w:rsidRPr="00E033F1" w:rsidRDefault="00FB6F31" w:rsidP="00E033F1">
      <w:pPr>
        <w:contextualSpacing/>
        <w:rPr>
          <w:rFonts w:asciiTheme="minorHAnsi" w:hAnsiTheme="minorHAnsi" w:cstheme="minorHAnsi"/>
          <w:color w:val="auto"/>
        </w:rPr>
      </w:pPr>
      <w:r w:rsidRPr="00E033F1">
        <w:rPr>
          <w:rFonts w:asciiTheme="minorHAnsi" w:hAnsiTheme="minorHAnsi" w:cstheme="minorHAnsi"/>
          <w:color w:val="auto"/>
        </w:rPr>
        <w:t>Screening and testing</w:t>
      </w:r>
      <w:r w:rsidR="001B3657" w:rsidRPr="00E033F1">
        <w:rPr>
          <w:rFonts w:asciiTheme="minorHAnsi" w:hAnsiTheme="minorHAnsi" w:cstheme="minorHAnsi"/>
          <w:color w:val="auto"/>
        </w:rPr>
        <w:t xml:space="preserve"> potential</w:t>
      </w:r>
      <w:r w:rsidRPr="00E033F1">
        <w:rPr>
          <w:rFonts w:asciiTheme="minorHAnsi" w:hAnsiTheme="minorHAnsi" w:cstheme="minorHAnsi"/>
          <w:color w:val="auto"/>
        </w:rPr>
        <w:t xml:space="preserve"> new GST inhibitors is therefo</w:t>
      </w:r>
      <w:r w:rsidR="00A4084E" w:rsidRPr="00E033F1">
        <w:rPr>
          <w:rFonts w:asciiTheme="minorHAnsi" w:hAnsiTheme="minorHAnsi" w:cstheme="minorHAnsi"/>
          <w:color w:val="auto"/>
        </w:rPr>
        <w:t xml:space="preserve">re of </w:t>
      </w:r>
      <w:r w:rsidR="001B3657" w:rsidRPr="00E033F1">
        <w:rPr>
          <w:rFonts w:asciiTheme="minorHAnsi" w:hAnsiTheme="minorHAnsi" w:cstheme="minorHAnsi"/>
          <w:color w:val="auto"/>
        </w:rPr>
        <w:t xml:space="preserve">significant </w:t>
      </w:r>
      <w:r w:rsidR="00A4084E" w:rsidRPr="00E033F1">
        <w:rPr>
          <w:rFonts w:asciiTheme="minorHAnsi" w:hAnsiTheme="minorHAnsi" w:cstheme="minorHAnsi"/>
          <w:color w:val="auto"/>
        </w:rPr>
        <w:t xml:space="preserve">clinical interest, </w:t>
      </w:r>
      <w:r w:rsidR="001B3657" w:rsidRPr="00E033F1">
        <w:rPr>
          <w:rFonts w:asciiTheme="minorHAnsi" w:hAnsiTheme="minorHAnsi" w:cstheme="minorHAnsi"/>
          <w:color w:val="auto"/>
        </w:rPr>
        <w:t>and any</w:t>
      </w:r>
      <w:r w:rsidRPr="00E033F1">
        <w:rPr>
          <w:rFonts w:asciiTheme="minorHAnsi" w:hAnsiTheme="minorHAnsi" w:cstheme="minorHAnsi"/>
          <w:color w:val="auto"/>
        </w:rPr>
        <w:t xml:space="preserve"> </w:t>
      </w:r>
      <w:r w:rsidR="00555431" w:rsidRPr="00E033F1">
        <w:rPr>
          <w:rFonts w:asciiTheme="minorHAnsi" w:hAnsiTheme="minorHAnsi" w:cstheme="minorHAnsi"/>
          <w:color w:val="auto"/>
        </w:rPr>
        <w:t>new</w:t>
      </w:r>
      <w:r w:rsidR="0020326A" w:rsidRPr="00E033F1">
        <w:rPr>
          <w:rFonts w:asciiTheme="minorHAnsi" w:hAnsiTheme="minorHAnsi" w:cstheme="minorHAnsi"/>
          <w:color w:val="auto"/>
        </w:rPr>
        <w:t xml:space="preserve"> compound</w:t>
      </w:r>
      <w:r w:rsidRPr="00E033F1">
        <w:rPr>
          <w:rFonts w:asciiTheme="minorHAnsi" w:hAnsiTheme="minorHAnsi" w:cstheme="minorHAnsi"/>
          <w:color w:val="auto"/>
        </w:rPr>
        <w:t xml:space="preserve"> </w:t>
      </w:r>
      <w:r w:rsidR="001B3657" w:rsidRPr="00E033F1">
        <w:rPr>
          <w:rFonts w:asciiTheme="minorHAnsi" w:hAnsiTheme="minorHAnsi" w:cstheme="minorHAnsi"/>
          <w:color w:val="auto"/>
        </w:rPr>
        <w:t>found must</w:t>
      </w:r>
      <w:r w:rsidRPr="00E033F1">
        <w:rPr>
          <w:rFonts w:asciiTheme="minorHAnsi" w:hAnsiTheme="minorHAnsi" w:cstheme="minorHAnsi"/>
          <w:color w:val="auto"/>
        </w:rPr>
        <w:t xml:space="preserve"> be safe and efficient </w:t>
      </w:r>
      <w:r w:rsidR="001B3657" w:rsidRPr="00E033F1">
        <w:rPr>
          <w:rFonts w:asciiTheme="minorHAnsi" w:hAnsiTheme="minorHAnsi" w:cstheme="minorHAnsi"/>
          <w:color w:val="auto"/>
        </w:rPr>
        <w:t>for use</w:t>
      </w:r>
      <w:r w:rsidRPr="00E033F1">
        <w:rPr>
          <w:rFonts w:asciiTheme="minorHAnsi" w:hAnsiTheme="minorHAnsi" w:cstheme="minorHAnsi"/>
          <w:color w:val="auto"/>
        </w:rPr>
        <w:t xml:space="preserve"> in combin</w:t>
      </w:r>
      <w:r w:rsidR="000B4CE3" w:rsidRPr="00E033F1">
        <w:rPr>
          <w:rFonts w:asciiTheme="minorHAnsi" w:hAnsiTheme="minorHAnsi" w:cstheme="minorHAnsi"/>
          <w:color w:val="auto"/>
        </w:rPr>
        <w:t>ation with electrophilic drugs.</w:t>
      </w:r>
      <w:r w:rsidR="002E0CAD" w:rsidRPr="00E033F1">
        <w:rPr>
          <w:rFonts w:asciiTheme="minorHAnsi" w:hAnsiTheme="minorHAnsi" w:cstheme="minorHAnsi"/>
          <w:color w:val="auto"/>
        </w:rPr>
        <w:t xml:space="preserve"> </w:t>
      </w:r>
      <w:r w:rsidR="007847F1" w:rsidRPr="00E033F1">
        <w:rPr>
          <w:rFonts w:asciiTheme="minorHAnsi" w:hAnsiTheme="minorHAnsi" w:cstheme="minorHAnsi"/>
          <w:color w:val="auto"/>
        </w:rPr>
        <w:t>Focusing research on isoform</w:t>
      </w:r>
      <w:r w:rsidR="00707D66" w:rsidRPr="00E033F1">
        <w:rPr>
          <w:rFonts w:asciiTheme="minorHAnsi" w:hAnsiTheme="minorHAnsi" w:cstheme="minorHAnsi"/>
          <w:color w:val="auto"/>
        </w:rPr>
        <w:t>-</w:t>
      </w:r>
      <w:r w:rsidR="007847F1" w:rsidRPr="00E033F1">
        <w:rPr>
          <w:rFonts w:asciiTheme="minorHAnsi" w:hAnsiTheme="minorHAnsi" w:cstheme="minorHAnsi"/>
          <w:color w:val="auto"/>
        </w:rPr>
        <w:t xml:space="preserve">specific inhibitors </w:t>
      </w:r>
      <w:r w:rsidR="00707D66" w:rsidRPr="00E033F1">
        <w:rPr>
          <w:rFonts w:asciiTheme="minorHAnsi" w:hAnsiTheme="minorHAnsi" w:cstheme="minorHAnsi"/>
          <w:color w:val="auto"/>
        </w:rPr>
        <w:t>might enable</w:t>
      </w:r>
      <w:r w:rsidR="00A4084E" w:rsidRPr="00E033F1">
        <w:rPr>
          <w:rFonts w:asciiTheme="minorHAnsi" w:hAnsiTheme="minorHAnsi" w:cstheme="minorHAnsi"/>
          <w:color w:val="auto"/>
        </w:rPr>
        <w:t xml:space="preserve"> </w:t>
      </w:r>
      <w:r w:rsidR="00E22DFE" w:rsidRPr="00E033F1">
        <w:rPr>
          <w:rFonts w:asciiTheme="minorHAnsi" w:hAnsiTheme="minorHAnsi" w:cstheme="minorHAnsi"/>
          <w:color w:val="auto"/>
        </w:rPr>
        <w:t xml:space="preserve">GST </w:t>
      </w:r>
      <w:r w:rsidR="00A4084E" w:rsidRPr="00E033F1">
        <w:rPr>
          <w:rFonts w:asciiTheme="minorHAnsi" w:hAnsiTheme="minorHAnsi" w:cstheme="minorHAnsi"/>
          <w:color w:val="auto"/>
        </w:rPr>
        <w:t xml:space="preserve">inhibition </w:t>
      </w:r>
      <w:r w:rsidR="00E22DFE" w:rsidRPr="00E033F1">
        <w:rPr>
          <w:rFonts w:asciiTheme="minorHAnsi" w:hAnsiTheme="minorHAnsi" w:cstheme="minorHAnsi"/>
          <w:color w:val="auto"/>
        </w:rPr>
        <w:t xml:space="preserve">in </w:t>
      </w:r>
      <w:r w:rsidR="00A4084E" w:rsidRPr="00E033F1">
        <w:rPr>
          <w:rFonts w:asciiTheme="minorHAnsi" w:hAnsiTheme="minorHAnsi" w:cstheme="minorHAnsi"/>
          <w:color w:val="auto"/>
        </w:rPr>
        <w:t>tumor tissue</w:t>
      </w:r>
      <w:r w:rsidR="00707D66" w:rsidRPr="00E033F1">
        <w:rPr>
          <w:rFonts w:asciiTheme="minorHAnsi" w:hAnsiTheme="minorHAnsi" w:cstheme="minorHAnsi"/>
          <w:color w:val="auto"/>
        </w:rPr>
        <w:t>s</w:t>
      </w:r>
      <w:r w:rsidR="007847F1" w:rsidRPr="00E033F1">
        <w:rPr>
          <w:rFonts w:asciiTheme="minorHAnsi" w:hAnsiTheme="minorHAnsi" w:cstheme="minorHAnsi"/>
          <w:color w:val="auto"/>
        </w:rPr>
        <w:t xml:space="preserve"> exhibiting specific pattern</w:t>
      </w:r>
      <w:r w:rsidR="00707D66" w:rsidRPr="00E033F1">
        <w:rPr>
          <w:rFonts w:asciiTheme="minorHAnsi" w:hAnsiTheme="minorHAnsi" w:cstheme="minorHAnsi"/>
          <w:color w:val="auto"/>
        </w:rPr>
        <w:t>s</w:t>
      </w:r>
      <w:r w:rsidR="007847F1" w:rsidRPr="00E033F1">
        <w:rPr>
          <w:rFonts w:asciiTheme="minorHAnsi" w:hAnsiTheme="minorHAnsi" w:cstheme="minorHAnsi"/>
          <w:color w:val="auto"/>
        </w:rPr>
        <w:t xml:space="preserve"> of GST expression</w:t>
      </w:r>
      <w:r w:rsidR="00707D66" w:rsidRPr="00E033F1">
        <w:rPr>
          <w:rFonts w:asciiTheme="minorHAnsi" w:hAnsiTheme="minorHAnsi" w:cstheme="minorHAnsi"/>
          <w:color w:val="auto"/>
        </w:rPr>
        <w:t>, thus</w:t>
      </w:r>
      <w:r w:rsidR="00E22DFE" w:rsidRPr="00E033F1">
        <w:rPr>
          <w:rFonts w:asciiTheme="minorHAnsi" w:hAnsiTheme="minorHAnsi" w:cstheme="minorHAnsi"/>
          <w:color w:val="auto"/>
        </w:rPr>
        <w:t xml:space="preserve"> allow</w:t>
      </w:r>
      <w:r w:rsidR="00707D66" w:rsidRPr="00E033F1">
        <w:rPr>
          <w:rFonts w:asciiTheme="minorHAnsi" w:hAnsiTheme="minorHAnsi" w:cstheme="minorHAnsi"/>
          <w:color w:val="auto"/>
        </w:rPr>
        <w:t>ing the development of an</w:t>
      </w:r>
      <w:r w:rsidR="00E22DFE" w:rsidRPr="00E033F1">
        <w:rPr>
          <w:rFonts w:asciiTheme="minorHAnsi" w:hAnsiTheme="minorHAnsi" w:cstheme="minorHAnsi"/>
          <w:color w:val="auto"/>
        </w:rPr>
        <w:t xml:space="preserve"> effective combination therapy</w:t>
      </w:r>
      <w:r w:rsidR="007847F1" w:rsidRPr="00E033F1">
        <w:rPr>
          <w:rFonts w:asciiTheme="minorHAnsi" w:hAnsiTheme="minorHAnsi" w:cstheme="minorHAnsi"/>
          <w:color w:val="auto"/>
        </w:rPr>
        <w:t>. Finding inhibit</w:t>
      </w:r>
      <w:r w:rsidR="00707D66" w:rsidRPr="00E033F1">
        <w:rPr>
          <w:rFonts w:asciiTheme="minorHAnsi" w:hAnsiTheme="minorHAnsi" w:cstheme="minorHAnsi"/>
          <w:color w:val="auto"/>
        </w:rPr>
        <w:t>ors</w:t>
      </w:r>
      <w:r w:rsidR="007847F1" w:rsidRPr="00E033F1">
        <w:rPr>
          <w:rFonts w:asciiTheme="minorHAnsi" w:hAnsiTheme="minorHAnsi" w:cstheme="minorHAnsi"/>
          <w:color w:val="auto"/>
        </w:rPr>
        <w:t xml:space="preserve"> with differential mode</w:t>
      </w:r>
      <w:r w:rsidR="00707D66" w:rsidRPr="00E033F1">
        <w:rPr>
          <w:rFonts w:asciiTheme="minorHAnsi" w:hAnsiTheme="minorHAnsi" w:cstheme="minorHAnsi"/>
          <w:color w:val="auto"/>
        </w:rPr>
        <w:t>s</w:t>
      </w:r>
      <w:r w:rsidR="007847F1" w:rsidRPr="00E033F1">
        <w:rPr>
          <w:rFonts w:asciiTheme="minorHAnsi" w:hAnsiTheme="minorHAnsi" w:cstheme="minorHAnsi"/>
          <w:color w:val="auto"/>
        </w:rPr>
        <w:t xml:space="preserve"> of inhibition </w:t>
      </w:r>
      <w:r w:rsidR="00707D66" w:rsidRPr="00E033F1">
        <w:rPr>
          <w:rFonts w:asciiTheme="minorHAnsi" w:hAnsiTheme="minorHAnsi" w:cstheme="minorHAnsi"/>
          <w:color w:val="auto"/>
        </w:rPr>
        <w:t>might also</w:t>
      </w:r>
      <w:r w:rsidR="007847F1" w:rsidRPr="00E033F1">
        <w:rPr>
          <w:rFonts w:asciiTheme="minorHAnsi" w:hAnsiTheme="minorHAnsi" w:cstheme="minorHAnsi"/>
          <w:color w:val="auto"/>
        </w:rPr>
        <w:t xml:space="preserve"> be of </w:t>
      </w:r>
      <w:r w:rsidR="00A4084E" w:rsidRPr="00E033F1">
        <w:rPr>
          <w:rFonts w:asciiTheme="minorHAnsi" w:hAnsiTheme="minorHAnsi" w:cstheme="minorHAnsi"/>
          <w:color w:val="auto"/>
        </w:rPr>
        <w:t>interest</w:t>
      </w:r>
      <w:r w:rsidR="00F85788" w:rsidRPr="00E033F1">
        <w:rPr>
          <w:rFonts w:asciiTheme="minorHAnsi" w:hAnsiTheme="minorHAnsi" w:cstheme="minorHAnsi"/>
          <w:color w:val="auto"/>
        </w:rPr>
        <w:t xml:space="preserve">. </w:t>
      </w:r>
      <w:r w:rsidR="00F407C2" w:rsidRPr="00E033F1">
        <w:rPr>
          <w:rFonts w:asciiTheme="minorHAnsi" w:hAnsiTheme="minorHAnsi" w:cstheme="minorHAnsi"/>
          <w:color w:val="auto"/>
        </w:rPr>
        <w:t xml:space="preserve">For instance, </w:t>
      </w:r>
      <w:r w:rsidR="00E85159" w:rsidRPr="00E033F1">
        <w:rPr>
          <w:rFonts w:asciiTheme="minorHAnsi" w:hAnsiTheme="minorHAnsi" w:cstheme="minorHAnsi"/>
          <w:color w:val="auto"/>
        </w:rPr>
        <w:t>a competitive inhibitor that uses GSH as a substrate can induce its depletion. This reduction of</w:t>
      </w:r>
      <w:r w:rsidR="00795E81" w:rsidRPr="00E033F1">
        <w:rPr>
          <w:rFonts w:asciiTheme="minorHAnsi" w:hAnsiTheme="minorHAnsi" w:cstheme="minorHAnsi"/>
          <w:color w:val="auto"/>
        </w:rPr>
        <w:t xml:space="preserve"> the</w:t>
      </w:r>
      <w:r w:rsidR="00E85159" w:rsidRPr="00E033F1">
        <w:rPr>
          <w:rFonts w:asciiTheme="minorHAnsi" w:hAnsiTheme="minorHAnsi" w:cstheme="minorHAnsi"/>
          <w:color w:val="auto"/>
        </w:rPr>
        <w:t xml:space="preserve"> GSH concentration in cells </w:t>
      </w:r>
      <w:r w:rsidR="00F407C2" w:rsidRPr="00E033F1">
        <w:rPr>
          <w:rFonts w:asciiTheme="minorHAnsi" w:hAnsiTheme="minorHAnsi" w:cstheme="minorHAnsi"/>
          <w:color w:val="auto"/>
        </w:rPr>
        <w:t xml:space="preserve">was shown to induce oxidative stress in neurons, leading to </w:t>
      </w:r>
      <w:r w:rsidR="00E85159" w:rsidRPr="00E033F1">
        <w:rPr>
          <w:rFonts w:asciiTheme="minorHAnsi" w:hAnsiTheme="minorHAnsi" w:cstheme="minorHAnsi"/>
          <w:color w:val="auto"/>
        </w:rPr>
        <w:t>apoptosis</w:t>
      </w:r>
      <w:r w:rsidR="00F407C2" w:rsidRPr="00E033F1">
        <w:rPr>
          <w:rFonts w:asciiTheme="minorHAnsi" w:hAnsiTheme="minorHAnsi" w:cstheme="minorHAnsi"/>
          <w:color w:val="auto"/>
        </w:rPr>
        <w:t xml:space="preserve">. </w:t>
      </w:r>
      <w:r w:rsidR="00E85159" w:rsidRPr="00E033F1">
        <w:rPr>
          <w:rFonts w:asciiTheme="minorHAnsi" w:hAnsiTheme="minorHAnsi" w:cstheme="minorHAnsi"/>
          <w:color w:val="auto"/>
        </w:rPr>
        <w:t>Another common mode of inhibition</w:t>
      </w:r>
      <w:r w:rsidR="00795E81" w:rsidRPr="00E033F1">
        <w:rPr>
          <w:rFonts w:asciiTheme="minorHAnsi" w:hAnsiTheme="minorHAnsi" w:cstheme="minorHAnsi"/>
          <w:color w:val="auto"/>
        </w:rPr>
        <w:t>—</w:t>
      </w:r>
      <w:r w:rsidR="00E85159" w:rsidRPr="00E033F1">
        <w:rPr>
          <w:rFonts w:asciiTheme="minorHAnsi" w:hAnsiTheme="minorHAnsi" w:cstheme="minorHAnsi"/>
          <w:color w:val="auto"/>
        </w:rPr>
        <w:t>u</w:t>
      </w:r>
      <w:r w:rsidR="00F407C2" w:rsidRPr="00E033F1">
        <w:rPr>
          <w:rFonts w:asciiTheme="minorHAnsi" w:hAnsiTheme="minorHAnsi" w:cstheme="minorHAnsi"/>
          <w:color w:val="auto"/>
        </w:rPr>
        <w:t>ncompetitive</w:t>
      </w:r>
      <w:r w:rsidR="003F3857" w:rsidRPr="00E033F1">
        <w:rPr>
          <w:rFonts w:asciiTheme="minorHAnsi" w:hAnsiTheme="minorHAnsi" w:cstheme="minorHAnsi"/>
          <w:color w:val="auto"/>
        </w:rPr>
        <w:t xml:space="preserve"> inhibition</w:t>
      </w:r>
      <w:r w:rsidR="00795E81" w:rsidRPr="00E033F1">
        <w:rPr>
          <w:rFonts w:asciiTheme="minorHAnsi" w:hAnsiTheme="minorHAnsi" w:cstheme="minorHAnsi"/>
          <w:color w:val="auto"/>
        </w:rPr>
        <w:t>—</w:t>
      </w:r>
      <w:r w:rsidR="00F407C2" w:rsidRPr="00E033F1">
        <w:rPr>
          <w:rFonts w:asciiTheme="minorHAnsi" w:hAnsiTheme="minorHAnsi" w:cstheme="minorHAnsi"/>
          <w:color w:val="auto"/>
        </w:rPr>
        <w:t xml:space="preserve">cannot be reversed </w:t>
      </w:r>
      <w:r w:rsidR="00FC63F7" w:rsidRPr="00E033F1">
        <w:rPr>
          <w:rFonts w:asciiTheme="minorHAnsi" w:hAnsiTheme="minorHAnsi" w:cstheme="minorHAnsi"/>
          <w:color w:val="auto"/>
        </w:rPr>
        <w:t xml:space="preserve">even </w:t>
      </w:r>
      <w:r w:rsidR="00F407C2" w:rsidRPr="00E033F1">
        <w:rPr>
          <w:rFonts w:asciiTheme="minorHAnsi" w:hAnsiTheme="minorHAnsi" w:cstheme="minorHAnsi"/>
          <w:color w:val="auto"/>
        </w:rPr>
        <w:t>if the substrate is present in high concentrations.</w:t>
      </w:r>
    </w:p>
    <w:p w14:paraId="1A834FE0" w14:textId="77777777" w:rsidR="00EB3CBC" w:rsidRPr="00E033F1" w:rsidRDefault="00EB3CBC" w:rsidP="00E033F1">
      <w:pPr>
        <w:contextualSpacing/>
        <w:rPr>
          <w:rFonts w:asciiTheme="minorHAnsi" w:hAnsiTheme="minorHAnsi" w:cstheme="minorHAnsi"/>
          <w:color w:val="auto"/>
        </w:rPr>
      </w:pPr>
    </w:p>
    <w:p w14:paraId="0F917E57" w14:textId="4347CAA5" w:rsidR="00EB3CBC" w:rsidRPr="00E033F1" w:rsidRDefault="00236C61" w:rsidP="00E033F1">
      <w:pPr>
        <w:contextualSpacing/>
        <w:rPr>
          <w:rFonts w:asciiTheme="minorHAnsi" w:hAnsiTheme="minorHAnsi" w:cstheme="minorHAnsi"/>
          <w:color w:val="auto"/>
        </w:rPr>
      </w:pPr>
      <w:r w:rsidRPr="00E033F1">
        <w:rPr>
          <w:rFonts w:asciiTheme="minorHAnsi" w:hAnsiTheme="minorHAnsi" w:cstheme="minorHAnsi"/>
          <w:color w:val="auto"/>
        </w:rPr>
        <w:t>The r</w:t>
      </w:r>
      <w:r w:rsidR="00EB3CBC" w:rsidRPr="00E033F1">
        <w:rPr>
          <w:rFonts w:asciiTheme="minorHAnsi" w:hAnsiTheme="minorHAnsi" w:cstheme="minorHAnsi"/>
          <w:color w:val="auto"/>
        </w:rPr>
        <w:t>ate of enzymatic activity is represented by the Michaelis-Menten constant (K</w:t>
      </w:r>
      <w:r w:rsidR="00EB3CBC" w:rsidRPr="00E033F1">
        <w:rPr>
          <w:rFonts w:asciiTheme="minorHAnsi" w:hAnsiTheme="minorHAnsi" w:cstheme="minorHAnsi"/>
          <w:color w:val="auto"/>
          <w:vertAlign w:val="subscript"/>
        </w:rPr>
        <w:t>m</w:t>
      </w:r>
      <w:r w:rsidR="00EB3CBC" w:rsidRPr="00E033F1">
        <w:rPr>
          <w:rFonts w:asciiTheme="minorHAnsi" w:hAnsiTheme="minorHAnsi" w:cstheme="minorHAnsi"/>
          <w:color w:val="auto"/>
        </w:rPr>
        <w:t xml:space="preserve">) and the </w:t>
      </w:r>
      <w:r w:rsidR="00EB3CBC" w:rsidRPr="00E033F1">
        <w:rPr>
          <w:rFonts w:asciiTheme="minorHAnsi" w:hAnsiTheme="minorHAnsi" w:cstheme="minorHAnsi"/>
          <w:color w:val="auto"/>
        </w:rPr>
        <w:lastRenderedPageBreak/>
        <w:t>maximum velocity (V</w:t>
      </w:r>
      <w:r w:rsidR="00EB3CBC" w:rsidRPr="00E033F1">
        <w:rPr>
          <w:rFonts w:asciiTheme="minorHAnsi" w:hAnsiTheme="minorHAnsi" w:cstheme="minorHAnsi"/>
          <w:color w:val="auto"/>
          <w:vertAlign w:val="subscript"/>
        </w:rPr>
        <w:t>max</w:t>
      </w:r>
      <w:r w:rsidR="00EB3CBC" w:rsidRPr="00E033F1">
        <w:rPr>
          <w:rFonts w:asciiTheme="minorHAnsi" w:hAnsiTheme="minorHAnsi" w:cstheme="minorHAnsi"/>
          <w:color w:val="auto"/>
        </w:rPr>
        <w:t xml:space="preserve">), </w:t>
      </w:r>
      <w:r w:rsidR="004D71FD" w:rsidRPr="00E033F1">
        <w:rPr>
          <w:rFonts w:asciiTheme="minorHAnsi" w:hAnsiTheme="minorHAnsi" w:cstheme="minorHAnsi"/>
          <w:color w:val="auto"/>
        </w:rPr>
        <w:t>which</w:t>
      </w:r>
      <w:r w:rsidR="00EB3CBC" w:rsidRPr="00E033F1">
        <w:rPr>
          <w:rFonts w:asciiTheme="minorHAnsi" w:hAnsiTheme="minorHAnsi" w:cstheme="minorHAnsi"/>
          <w:color w:val="auto"/>
        </w:rPr>
        <w:t xml:space="preserve"> can be determined by plotting a Michaelis-Menten graph, with the substrate concentration against the velocity of the reaction</w:t>
      </w:r>
      <w:r w:rsidRPr="00E033F1">
        <w:rPr>
          <w:rFonts w:asciiTheme="minorHAnsi" w:hAnsiTheme="minorHAnsi" w:cstheme="minorHAnsi"/>
          <w:color w:val="auto"/>
        </w:rPr>
        <w:fldChar w:fldCharType="begin"/>
      </w:r>
      <w:r w:rsidRPr="00E033F1">
        <w:rPr>
          <w:rFonts w:asciiTheme="minorHAnsi" w:hAnsiTheme="minorHAnsi" w:cstheme="minorHAnsi"/>
          <w:color w:val="auto"/>
        </w:rPr>
        <w:instrText xml:space="preserve"> ADDIN ZOTERO_ITEM CSL_CITATION {"citationID":"MTMN5hNy","properties":{"formattedCitation":"\\super 23\\nosupersub{}","plainCitation":"23","noteIndex":0},"citationItems":[{"id":427,"uris":["http://zotero.org/users/local/bXXP6LKp/items/M9JVJ8PR"],"uri":["http://zotero.org/users/local/bXXP6LKp/items/M9JVJ8PR"],"itemData":{"id":427,"type":"article-journal","abstract":"Nearly 100 years ago Michaelis and Menten published their now classic paper (Michaelis, L., and Menten, M. L. (1913) Die Kinetik der Invertinwirkung, Biochemische Zeitschrift 49, 333–369), in which they show that the rate of an enzyme-catalyzed reaction is proportional to the concentration of enzyme-substrate complex predicted by the Michaelis-Menten equation. Because the original text was written in German, yet is often quoted by English speaking authors, we undertook a complete translation of the 1913 publication, which we provide as an  (http://pubs.acs.org). Here we introduce the translation, describe the historical context of the work, and show a new analysis of the original data. In doing so, we uncovered several surprises that reveal an interesting glimpse into the early history of enzymology. In particular, our re-analysis of Michaelis and Menten’s data using modern computational methods revealed an unanticipated rigor and precision in the original publication and uncovered a sophisticated, comprehensive analysis that has been overlooked in the century since their work was published. Michaelis and Menten not only analyzed initial velocity measurements, but they also fit their full time course data to the integrated form of the rate equations, including product inhibition, and derived a single global constant to represent all of their data. That constant was not the Michaelis constant, but rather, Vmax/Km, the specificity constant times the enzyme concentration (kcat/Km*E0).","container-title":"Biochemistry","DOI":"10.1021/bi201284u","ISSN":"0006-2960","issue":"39","journalAbbreviation":"Biochemistry","note":"PMID: 21888353\nPMCID: PMC3381512","page":"8264-8269","source":"PubMed Central","title":"The Original Michaelis Constant: Translation of the 1913 Michaelis-Menten Paper","title-short":"The Original Michaelis Constant","volume":"50","author":[{"family":"Johnson","given":"Kenneth A."},{"family":"Goody","given":"Roger S."}],"issued":{"date-parts":[["2011",10,4]]}}}],"schema":"https://github.com/citation-style-language/schema/raw/master/csl-citation.json"} </w:instrText>
      </w:r>
      <w:r w:rsidRPr="00E033F1">
        <w:rPr>
          <w:rFonts w:asciiTheme="minorHAnsi" w:hAnsiTheme="minorHAnsi" w:cstheme="minorHAnsi"/>
          <w:color w:val="auto"/>
        </w:rPr>
        <w:fldChar w:fldCharType="separate"/>
      </w:r>
      <w:r w:rsidRPr="00E033F1">
        <w:rPr>
          <w:color w:val="auto"/>
          <w:vertAlign w:val="superscript"/>
        </w:rPr>
        <w:t>23</w:t>
      </w:r>
      <w:r w:rsidRPr="00E033F1">
        <w:rPr>
          <w:rFonts w:asciiTheme="minorHAnsi" w:hAnsiTheme="minorHAnsi" w:cstheme="minorHAnsi"/>
          <w:color w:val="auto"/>
        </w:rPr>
        <w:fldChar w:fldCharType="end"/>
      </w:r>
      <w:r w:rsidR="00EB3CBC" w:rsidRPr="00E033F1">
        <w:rPr>
          <w:rFonts w:asciiTheme="minorHAnsi" w:hAnsiTheme="minorHAnsi" w:cstheme="minorHAnsi"/>
          <w:color w:val="auto"/>
        </w:rPr>
        <w:t>. K</w:t>
      </w:r>
      <w:r w:rsidR="00EB3CBC" w:rsidRPr="00E033F1">
        <w:rPr>
          <w:rFonts w:asciiTheme="minorHAnsi" w:hAnsiTheme="minorHAnsi" w:cstheme="minorHAnsi"/>
          <w:color w:val="auto"/>
          <w:vertAlign w:val="subscript"/>
        </w:rPr>
        <w:t>m</w:t>
      </w:r>
      <w:r w:rsidR="00EB3CBC" w:rsidRPr="00E033F1">
        <w:rPr>
          <w:rFonts w:asciiTheme="minorHAnsi" w:hAnsiTheme="minorHAnsi" w:cstheme="minorHAnsi"/>
          <w:color w:val="auto"/>
        </w:rPr>
        <w:t xml:space="preserve"> is the concentration of substrate </w:t>
      </w:r>
      <w:r w:rsidR="006748D2" w:rsidRPr="00E033F1">
        <w:rPr>
          <w:rFonts w:asciiTheme="minorHAnsi" w:hAnsiTheme="minorHAnsi" w:cstheme="minorHAnsi"/>
          <w:color w:val="auto"/>
        </w:rPr>
        <w:t xml:space="preserve">required </w:t>
      </w:r>
      <w:r w:rsidR="00EB3CBC" w:rsidRPr="00E033F1">
        <w:rPr>
          <w:rFonts w:asciiTheme="minorHAnsi" w:hAnsiTheme="minorHAnsi" w:cstheme="minorHAnsi"/>
          <w:color w:val="auto"/>
        </w:rPr>
        <w:t>t</w:t>
      </w:r>
      <w:r w:rsidR="004D71FD" w:rsidRPr="00E033F1">
        <w:rPr>
          <w:rFonts w:asciiTheme="minorHAnsi" w:hAnsiTheme="minorHAnsi" w:cstheme="minorHAnsi"/>
          <w:color w:val="auto"/>
        </w:rPr>
        <w:t>o</w:t>
      </w:r>
      <w:r w:rsidR="00EB3CBC" w:rsidRPr="00E033F1">
        <w:rPr>
          <w:rFonts w:asciiTheme="minorHAnsi" w:hAnsiTheme="minorHAnsi" w:cstheme="minorHAnsi"/>
          <w:color w:val="auto"/>
        </w:rPr>
        <w:t xml:space="preserve"> occupy half the enzymatic active site</w:t>
      </w:r>
      <w:r w:rsidR="004D71FD" w:rsidRPr="00E033F1">
        <w:rPr>
          <w:rFonts w:asciiTheme="minorHAnsi" w:hAnsiTheme="minorHAnsi" w:cstheme="minorHAnsi"/>
          <w:color w:val="auto"/>
        </w:rPr>
        <w:t>s</w:t>
      </w:r>
      <w:r w:rsidR="00EB3CBC" w:rsidRPr="00E033F1">
        <w:rPr>
          <w:rFonts w:asciiTheme="minorHAnsi" w:hAnsiTheme="minorHAnsi" w:cstheme="minorHAnsi"/>
          <w:color w:val="auto"/>
        </w:rPr>
        <w:t>, meaning that a high K</w:t>
      </w:r>
      <w:r w:rsidR="00EB3CBC" w:rsidRPr="00E033F1">
        <w:rPr>
          <w:rFonts w:asciiTheme="minorHAnsi" w:hAnsiTheme="minorHAnsi" w:cstheme="minorHAnsi"/>
          <w:color w:val="auto"/>
          <w:vertAlign w:val="subscript"/>
        </w:rPr>
        <w:t>m</w:t>
      </w:r>
      <w:r w:rsidR="00EB3CBC" w:rsidRPr="00E033F1">
        <w:rPr>
          <w:rFonts w:asciiTheme="minorHAnsi" w:hAnsiTheme="minorHAnsi" w:cstheme="minorHAnsi"/>
          <w:color w:val="auto"/>
        </w:rPr>
        <w:t xml:space="preserve"> represent less affinity. V</w:t>
      </w:r>
      <w:r w:rsidR="00EB3CBC" w:rsidRPr="00E033F1">
        <w:rPr>
          <w:rFonts w:asciiTheme="minorHAnsi" w:hAnsiTheme="minorHAnsi" w:cstheme="minorHAnsi"/>
          <w:color w:val="auto"/>
          <w:vertAlign w:val="subscript"/>
        </w:rPr>
        <w:t>max</w:t>
      </w:r>
      <w:r w:rsidR="00EB3CBC" w:rsidRPr="00E033F1">
        <w:rPr>
          <w:rFonts w:asciiTheme="minorHAnsi" w:hAnsiTheme="minorHAnsi" w:cstheme="minorHAnsi"/>
          <w:color w:val="auto"/>
        </w:rPr>
        <w:t xml:space="preserve"> </w:t>
      </w:r>
      <w:r w:rsidR="004D71FD" w:rsidRPr="00E033F1">
        <w:rPr>
          <w:rFonts w:asciiTheme="minorHAnsi" w:hAnsiTheme="minorHAnsi" w:cstheme="minorHAnsi"/>
          <w:color w:val="auto"/>
        </w:rPr>
        <w:t>represent</w:t>
      </w:r>
      <w:r w:rsidR="006748D2" w:rsidRPr="00E033F1">
        <w:rPr>
          <w:rFonts w:asciiTheme="minorHAnsi" w:hAnsiTheme="minorHAnsi" w:cstheme="minorHAnsi"/>
          <w:color w:val="auto"/>
        </w:rPr>
        <w:t>s</w:t>
      </w:r>
      <w:r w:rsidR="004D71FD" w:rsidRPr="00E033F1">
        <w:rPr>
          <w:rFonts w:asciiTheme="minorHAnsi" w:hAnsiTheme="minorHAnsi" w:cstheme="minorHAnsi"/>
          <w:color w:val="auto"/>
        </w:rPr>
        <w:t xml:space="preserve"> the maximum velocity of the reaction, reached when all the active sites are occupied by the substrate.</w:t>
      </w:r>
      <w:r w:rsidR="00EB3CBC" w:rsidRPr="00E033F1">
        <w:rPr>
          <w:rFonts w:asciiTheme="minorHAnsi" w:hAnsiTheme="minorHAnsi" w:cstheme="minorHAnsi"/>
          <w:color w:val="auto"/>
        </w:rPr>
        <w:t xml:space="preserve"> K</w:t>
      </w:r>
      <w:r w:rsidR="00EB3CBC" w:rsidRPr="00E033F1">
        <w:rPr>
          <w:rFonts w:asciiTheme="minorHAnsi" w:hAnsiTheme="minorHAnsi" w:cstheme="minorHAnsi"/>
          <w:color w:val="auto"/>
          <w:vertAlign w:val="subscript"/>
        </w:rPr>
        <w:t>m</w:t>
      </w:r>
      <w:r w:rsidR="00EB3CBC" w:rsidRPr="00E033F1">
        <w:rPr>
          <w:rFonts w:asciiTheme="minorHAnsi" w:hAnsiTheme="minorHAnsi" w:cstheme="minorHAnsi"/>
          <w:color w:val="auto"/>
        </w:rPr>
        <w:t xml:space="preserve"> </w:t>
      </w:r>
      <w:r w:rsidR="004D71FD" w:rsidRPr="00E033F1">
        <w:rPr>
          <w:rFonts w:asciiTheme="minorHAnsi" w:hAnsiTheme="minorHAnsi" w:cstheme="minorHAnsi"/>
          <w:color w:val="auto"/>
        </w:rPr>
        <w:t xml:space="preserve">is equal to </w:t>
      </w:r>
      <w:r w:rsidR="00EB3CBC" w:rsidRPr="00E033F1">
        <w:rPr>
          <w:rFonts w:asciiTheme="minorHAnsi" w:hAnsiTheme="minorHAnsi" w:cstheme="minorHAnsi"/>
          <w:color w:val="auto"/>
        </w:rPr>
        <w:t>half V</w:t>
      </w:r>
      <w:r w:rsidR="00EB3CBC" w:rsidRPr="00E033F1">
        <w:rPr>
          <w:rFonts w:asciiTheme="minorHAnsi" w:hAnsiTheme="minorHAnsi" w:cstheme="minorHAnsi"/>
          <w:color w:val="auto"/>
          <w:vertAlign w:val="subscript"/>
        </w:rPr>
        <w:t>max</w:t>
      </w:r>
      <w:r w:rsidR="00EB3CBC" w:rsidRPr="00E033F1">
        <w:rPr>
          <w:rFonts w:asciiTheme="minorHAnsi" w:hAnsiTheme="minorHAnsi" w:cstheme="minorHAnsi"/>
          <w:color w:val="auto"/>
        </w:rPr>
        <w:t>.</w:t>
      </w:r>
      <w:r w:rsidR="004D71FD" w:rsidRPr="00E033F1">
        <w:rPr>
          <w:rFonts w:asciiTheme="minorHAnsi" w:hAnsiTheme="minorHAnsi" w:cstheme="minorHAnsi"/>
          <w:color w:val="auto"/>
        </w:rPr>
        <w:t xml:space="preserve"> </w:t>
      </w:r>
      <w:r w:rsidR="00EB3CBC" w:rsidRPr="00E033F1">
        <w:rPr>
          <w:rFonts w:asciiTheme="minorHAnsi" w:hAnsiTheme="minorHAnsi" w:cstheme="minorHAnsi"/>
          <w:color w:val="auto"/>
        </w:rPr>
        <w:t>There are three most common modes of inhibition</w:t>
      </w:r>
      <w:r w:rsidRPr="00E033F1">
        <w:rPr>
          <w:rFonts w:asciiTheme="minorHAnsi" w:hAnsiTheme="minorHAnsi" w:cstheme="minorHAnsi"/>
          <w:color w:val="auto"/>
        </w:rPr>
        <w:t>:</w:t>
      </w:r>
      <w:r w:rsidR="00EB3CBC" w:rsidRPr="00E033F1">
        <w:rPr>
          <w:rFonts w:asciiTheme="minorHAnsi" w:hAnsiTheme="minorHAnsi" w:cstheme="minorHAnsi"/>
          <w:color w:val="auto"/>
        </w:rPr>
        <w:t xml:space="preserve"> competitive, </w:t>
      </w:r>
      <w:r w:rsidR="0018137A" w:rsidRPr="00E033F1">
        <w:rPr>
          <w:rFonts w:asciiTheme="minorHAnsi" w:hAnsiTheme="minorHAnsi" w:cstheme="minorHAnsi"/>
          <w:color w:val="auto"/>
        </w:rPr>
        <w:t>uncompetitive,</w:t>
      </w:r>
      <w:r w:rsidR="00EB3CBC" w:rsidRPr="00E033F1">
        <w:rPr>
          <w:rFonts w:asciiTheme="minorHAnsi" w:hAnsiTheme="minorHAnsi" w:cstheme="minorHAnsi"/>
          <w:color w:val="auto"/>
        </w:rPr>
        <w:t xml:space="preserve"> and noncompetitive. </w:t>
      </w:r>
      <w:r w:rsidR="00D1372C" w:rsidRPr="00E033F1">
        <w:rPr>
          <w:rFonts w:asciiTheme="minorHAnsi" w:hAnsiTheme="minorHAnsi" w:cstheme="minorHAnsi"/>
          <w:color w:val="auto"/>
        </w:rPr>
        <w:t>In case of c</w:t>
      </w:r>
      <w:r w:rsidR="00EB3CBC" w:rsidRPr="00E033F1">
        <w:rPr>
          <w:rFonts w:asciiTheme="minorHAnsi" w:hAnsiTheme="minorHAnsi" w:cstheme="minorHAnsi"/>
          <w:color w:val="auto"/>
        </w:rPr>
        <w:t xml:space="preserve">ompetitive </w:t>
      </w:r>
      <w:r w:rsidR="00D1372C" w:rsidRPr="00E033F1">
        <w:rPr>
          <w:rFonts w:asciiTheme="minorHAnsi" w:hAnsiTheme="minorHAnsi" w:cstheme="minorHAnsi"/>
          <w:color w:val="auto"/>
        </w:rPr>
        <w:t>inhibition,</w:t>
      </w:r>
      <w:r w:rsidR="00EB3CBC" w:rsidRPr="00E033F1">
        <w:rPr>
          <w:rFonts w:asciiTheme="minorHAnsi" w:hAnsiTheme="minorHAnsi" w:cstheme="minorHAnsi"/>
          <w:color w:val="auto"/>
        </w:rPr>
        <w:t xml:space="preserve"> the inhibitor binds to the active site of the enzyme and competes with the substrate. </w:t>
      </w:r>
      <w:r w:rsidR="00D1372C" w:rsidRPr="00E033F1">
        <w:rPr>
          <w:rFonts w:asciiTheme="minorHAnsi" w:hAnsiTheme="minorHAnsi" w:cstheme="minorHAnsi"/>
          <w:color w:val="auto"/>
        </w:rPr>
        <w:t>Hence</w:t>
      </w:r>
      <w:r w:rsidR="00EB3CBC" w:rsidRPr="00E033F1">
        <w:rPr>
          <w:rFonts w:asciiTheme="minorHAnsi" w:hAnsiTheme="minorHAnsi" w:cstheme="minorHAnsi"/>
          <w:color w:val="auto"/>
        </w:rPr>
        <w:t>, V</w:t>
      </w:r>
      <w:r w:rsidR="00EB3CBC" w:rsidRPr="00E033F1">
        <w:rPr>
          <w:rFonts w:asciiTheme="minorHAnsi" w:hAnsiTheme="minorHAnsi" w:cstheme="minorHAnsi"/>
          <w:color w:val="auto"/>
          <w:vertAlign w:val="subscript"/>
        </w:rPr>
        <w:t>max</w:t>
      </w:r>
      <w:r w:rsidR="00EB3CBC" w:rsidRPr="00E033F1">
        <w:rPr>
          <w:rFonts w:asciiTheme="minorHAnsi" w:hAnsiTheme="minorHAnsi" w:cstheme="minorHAnsi"/>
          <w:color w:val="auto"/>
        </w:rPr>
        <w:t xml:space="preserve"> does not change after addition of the inhibitor, but K</w:t>
      </w:r>
      <w:r w:rsidR="00EB3CBC" w:rsidRPr="00E033F1">
        <w:rPr>
          <w:rFonts w:asciiTheme="minorHAnsi" w:hAnsiTheme="minorHAnsi" w:cstheme="minorHAnsi"/>
          <w:color w:val="auto"/>
          <w:vertAlign w:val="subscript"/>
        </w:rPr>
        <w:t>m</w:t>
      </w:r>
      <w:r w:rsidR="00EB3CBC" w:rsidRPr="00E033F1">
        <w:rPr>
          <w:rFonts w:asciiTheme="minorHAnsi" w:hAnsiTheme="minorHAnsi" w:cstheme="minorHAnsi"/>
          <w:color w:val="auto"/>
        </w:rPr>
        <w:t xml:space="preserve"> increases, as more substrate is needed to counter the inhibition. Uncompetitive inhibition occurs only when the substrate forms a complex with the enzyme. In this case, as the level of inhibition depends on the substrate and enzyme concentration, </w:t>
      </w:r>
      <w:proofErr w:type="gramStart"/>
      <w:r w:rsidR="00EB3CBC" w:rsidRPr="00E033F1">
        <w:rPr>
          <w:rFonts w:asciiTheme="minorHAnsi" w:hAnsiTheme="minorHAnsi" w:cstheme="minorHAnsi"/>
          <w:color w:val="auto"/>
        </w:rPr>
        <w:t>V</w:t>
      </w:r>
      <w:r w:rsidR="00EB3CBC" w:rsidRPr="00E033F1">
        <w:rPr>
          <w:rFonts w:asciiTheme="minorHAnsi" w:hAnsiTheme="minorHAnsi" w:cstheme="minorHAnsi"/>
          <w:color w:val="auto"/>
          <w:vertAlign w:val="subscript"/>
        </w:rPr>
        <w:t>max</w:t>
      </w:r>
      <w:proofErr w:type="gramEnd"/>
      <w:r w:rsidR="00EB3CBC" w:rsidRPr="00E033F1">
        <w:rPr>
          <w:rFonts w:asciiTheme="minorHAnsi" w:hAnsiTheme="minorHAnsi" w:cstheme="minorHAnsi"/>
          <w:color w:val="auto"/>
        </w:rPr>
        <w:t xml:space="preserve"> and K</w:t>
      </w:r>
      <w:r w:rsidR="00EB3CBC" w:rsidRPr="00E033F1">
        <w:rPr>
          <w:rFonts w:asciiTheme="minorHAnsi" w:hAnsiTheme="minorHAnsi" w:cstheme="minorHAnsi"/>
          <w:color w:val="auto"/>
          <w:vertAlign w:val="subscript"/>
        </w:rPr>
        <w:t>m</w:t>
      </w:r>
      <w:r w:rsidR="00EB3CBC" w:rsidRPr="00E033F1">
        <w:rPr>
          <w:rFonts w:asciiTheme="minorHAnsi" w:hAnsiTheme="minorHAnsi" w:cstheme="minorHAnsi"/>
          <w:color w:val="auto"/>
        </w:rPr>
        <w:t xml:space="preserve"> decrease when the inhibitor is added to the reaction. The last mode of inhibition is non-competitive and is a mix of the two other inhibition </w:t>
      </w:r>
      <w:r w:rsidR="00D1372C" w:rsidRPr="00E033F1">
        <w:rPr>
          <w:rFonts w:asciiTheme="minorHAnsi" w:hAnsiTheme="minorHAnsi" w:cstheme="minorHAnsi"/>
          <w:color w:val="auto"/>
        </w:rPr>
        <w:t>patterns</w:t>
      </w:r>
      <w:r w:rsidR="00EB3CBC" w:rsidRPr="00E033F1">
        <w:rPr>
          <w:rFonts w:asciiTheme="minorHAnsi" w:hAnsiTheme="minorHAnsi" w:cstheme="minorHAnsi"/>
          <w:color w:val="auto"/>
        </w:rPr>
        <w:t>. The inhibitor can bind to the active site of the enzyme whether the enzyme is bound to its substrate or not. Here V</w:t>
      </w:r>
      <w:r w:rsidR="00EB3CBC" w:rsidRPr="00E033F1">
        <w:rPr>
          <w:rFonts w:asciiTheme="minorHAnsi" w:hAnsiTheme="minorHAnsi" w:cstheme="minorHAnsi"/>
          <w:color w:val="auto"/>
          <w:vertAlign w:val="subscript"/>
        </w:rPr>
        <w:t>max</w:t>
      </w:r>
      <w:r w:rsidR="00EB3CBC" w:rsidRPr="00E033F1">
        <w:rPr>
          <w:rFonts w:asciiTheme="minorHAnsi" w:hAnsiTheme="minorHAnsi" w:cstheme="minorHAnsi"/>
          <w:color w:val="auto"/>
        </w:rPr>
        <w:t xml:space="preserve"> decreases after addition of the inhibitor, but K</w:t>
      </w:r>
      <w:r w:rsidR="00EB3CBC" w:rsidRPr="00E033F1">
        <w:rPr>
          <w:rFonts w:asciiTheme="minorHAnsi" w:hAnsiTheme="minorHAnsi" w:cstheme="minorHAnsi"/>
          <w:color w:val="auto"/>
          <w:vertAlign w:val="subscript"/>
        </w:rPr>
        <w:t>m</w:t>
      </w:r>
      <w:r w:rsidR="00EB3CBC" w:rsidRPr="00E033F1">
        <w:rPr>
          <w:rFonts w:asciiTheme="minorHAnsi" w:hAnsiTheme="minorHAnsi" w:cstheme="minorHAnsi"/>
          <w:color w:val="auto"/>
        </w:rPr>
        <w:t xml:space="preserve"> does not change</w:t>
      </w:r>
      <w:r w:rsidRPr="00E033F1">
        <w:rPr>
          <w:rFonts w:asciiTheme="minorHAnsi" w:hAnsiTheme="minorHAnsi" w:cstheme="minorHAnsi"/>
          <w:color w:val="auto"/>
        </w:rPr>
        <w:fldChar w:fldCharType="begin"/>
      </w:r>
      <w:r w:rsidRPr="00E033F1">
        <w:rPr>
          <w:rFonts w:asciiTheme="minorHAnsi" w:hAnsiTheme="minorHAnsi" w:cstheme="minorHAnsi"/>
          <w:color w:val="auto"/>
        </w:rPr>
        <w:instrText xml:space="preserve"> ADDIN ZOTERO_ITEM CSL_CITATION {"citationID":"JiOJF72Z","properties":{"formattedCitation":"\\super 24\\nosupersub{}","plainCitation":"24","noteIndex":0},"citationItems":[{"id":394,"uris":["http://zotero.org/users/local/bXXP6LKp/items/9P3IPJIV"],"uri":["http://zotero.org/users/local/bXXP6LKp/items/9P3IPJIV"],"itemData":{"id":394,"type":"article-journal","abstract":"While enzyme inhibition is a widely taught subject across chemical and biochemical disciplines, it remains poorly understood. A mental image is presented to facilitate the understanding of inhibition types other than competitive. Subsequently, enzyme inhibition is developed using Vmax/Km in place of Km. Interpretation of direct (initial velocity vs substrate concentration) plots makes clear the meanings of competitive, noncompetitive, and mixed inhibition in a manner entirely distinct from current textbook treatments. The effects of inhibitors on enzymes can be seen to be reduced to a simple consideration of actions at zero and infinite substrate concentrations, corresponding to Vmax/Km and Vmax, respectively.","container-title":"Journal of Chemical Education","DOI":"10.1021/ed077p1453","ISSN":"0021-9584","issue":"11","journalAbbreviation":"J. Chem. Educ.","page":"1453","source":"ACS Publications","title":"Understanding Enzyme Inhibition","volume":"77","author":[{"family":"Ochs","given":"Raymond S."}],"issued":{"date-parts":[["2000",11,1]]}}}],"schema":"https://github.com/citation-style-language/schema/raw/master/csl-citation.json"} </w:instrText>
      </w:r>
      <w:r w:rsidRPr="00E033F1">
        <w:rPr>
          <w:rFonts w:asciiTheme="minorHAnsi" w:hAnsiTheme="minorHAnsi" w:cstheme="minorHAnsi"/>
          <w:color w:val="auto"/>
        </w:rPr>
        <w:fldChar w:fldCharType="separate"/>
      </w:r>
      <w:r w:rsidRPr="00E033F1">
        <w:rPr>
          <w:color w:val="auto"/>
          <w:vertAlign w:val="superscript"/>
        </w:rPr>
        <w:t>24</w:t>
      </w:r>
      <w:r w:rsidRPr="00E033F1">
        <w:rPr>
          <w:rFonts w:asciiTheme="minorHAnsi" w:hAnsiTheme="minorHAnsi" w:cstheme="minorHAnsi"/>
          <w:color w:val="auto"/>
        </w:rPr>
        <w:fldChar w:fldCharType="end"/>
      </w:r>
      <w:r w:rsidR="00EB3CBC" w:rsidRPr="00E033F1">
        <w:rPr>
          <w:rFonts w:asciiTheme="minorHAnsi" w:hAnsiTheme="minorHAnsi" w:cstheme="minorHAnsi"/>
          <w:color w:val="auto"/>
        </w:rPr>
        <w:t>.</w:t>
      </w:r>
      <w:r w:rsidRPr="00E033F1">
        <w:rPr>
          <w:rFonts w:asciiTheme="minorHAnsi" w:hAnsiTheme="minorHAnsi" w:cstheme="minorHAnsi"/>
          <w:color w:val="auto"/>
        </w:rPr>
        <w:t xml:space="preserve"> </w:t>
      </w:r>
    </w:p>
    <w:p w14:paraId="103FA12D" w14:textId="77777777" w:rsidR="007847F1" w:rsidRPr="00E033F1" w:rsidRDefault="007847F1" w:rsidP="00E033F1">
      <w:pPr>
        <w:contextualSpacing/>
        <w:rPr>
          <w:rFonts w:asciiTheme="minorHAnsi" w:hAnsiTheme="minorHAnsi" w:cstheme="minorHAnsi"/>
          <w:color w:val="auto"/>
        </w:rPr>
      </w:pPr>
    </w:p>
    <w:p w14:paraId="7F12EFBF" w14:textId="0BBAB916" w:rsidR="00FB6F31" w:rsidRPr="00E033F1" w:rsidRDefault="007F7B2F" w:rsidP="00E033F1">
      <w:pPr>
        <w:contextualSpacing/>
        <w:rPr>
          <w:rFonts w:asciiTheme="minorHAnsi" w:hAnsiTheme="minorHAnsi" w:cstheme="minorHAnsi"/>
          <w:color w:val="auto"/>
        </w:rPr>
      </w:pPr>
      <w:r w:rsidRPr="00E033F1">
        <w:rPr>
          <w:rFonts w:asciiTheme="minorHAnsi" w:hAnsiTheme="minorHAnsi" w:cstheme="minorHAnsi"/>
          <w:color w:val="auto"/>
        </w:rPr>
        <w:t>A</w:t>
      </w:r>
      <w:r w:rsidR="003B02D3" w:rsidRPr="00E033F1">
        <w:rPr>
          <w:rFonts w:asciiTheme="minorHAnsi" w:hAnsiTheme="minorHAnsi" w:cstheme="minorHAnsi"/>
          <w:color w:val="auto"/>
        </w:rPr>
        <w:t xml:space="preserve"> spectrophotometric assay that measure</w:t>
      </w:r>
      <w:r w:rsidR="005D632D" w:rsidRPr="00E033F1">
        <w:rPr>
          <w:rFonts w:asciiTheme="minorHAnsi" w:hAnsiTheme="minorHAnsi" w:cstheme="minorHAnsi"/>
          <w:color w:val="auto"/>
        </w:rPr>
        <w:t>d</w:t>
      </w:r>
      <w:r w:rsidR="003B02D3" w:rsidRPr="00E033F1">
        <w:rPr>
          <w:rFonts w:asciiTheme="minorHAnsi" w:hAnsiTheme="minorHAnsi" w:cstheme="minorHAnsi"/>
          <w:color w:val="auto"/>
        </w:rPr>
        <w:t xml:space="preserve"> the </w:t>
      </w:r>
      <w:r w:rsidR="00555431" w:rsidRPr="00E033F1">
        <w:rPr>
          <w:rFonts w:asciiTheme="minorHAnsi" w:hAnsiTheme="minorHAnsi" w:cstheme="minorHAnsi"/>
          <w:color w:val="auto"/>
        </w:rPr>
        <w:t>GST activity</w:t>
      </w:r>
      <w:r w:rsidR="003B02D3" w:rsidRPr="00E033F1">
        <w:rPr>
          <w:rFonts w:asciiTheme="minorHAnsi" w:hAnsiTheme="minorHAnsi" w:cstheme="minorHAnsi"/>
          <w:color w:val="auto"/>
        </w:rPr>
        <w:t xml:space="preserve"> </w:t>
      </w:r>
      <w:r w:rsidR="002E0CAD" w:rsidRPr="00E033F1">
        <w:rPr>
          <w:rFonts w:asciiTheme="minorHAnsi" w:hAnsiTheme="minorHAnsi" w:cstheme="minorHAnsi"/>
          <w:color w:val="auto"/>
        </w:rPr>
        <w:t xml:space="preserve">was first developed by </w:t>
      </w:r>
      <w:proofErr w:type="spellStart"/>
      <w:r w:rsidR="002E0CAD" w:rsidRPr="00E033F1">
        <w:rPr>
          <w:rFonts w:asciiTheme="minorHAnsi" w:hAnsiTheme="minorHAnsi" w:cstheme="minorHAnsi"/>
          <w:color w:val="auto"/>
        </w:rPr>
        <w:t>Habig</w:t>
      </w:r>
      <w:proofErr w:type="spellEnd"/>
      <w:r w:rsidR="002E0CAD" w:rsidRPr="00E033F1">
        <w:rPr>
          <w:rFonts w:asciiTheme="minorHAnsi" w:hAnsiTheme="minorHAnsi" w:cstheme="minorHAnsi"/>
          <w:color w:val="auto"/>
        </w:rPr>
        <w:t xml:space="preserve"> </w:t>
      </w:r>
      <w:r w:rsidR="00236C61" w:rsidRPr="00E033F1">
        <w:rPr>
          <w:rFonts w:asciiTheme="minorHAnsi" w:hAnsiTheme="minorHAnsi" w:cstheme="minorHAnsi"/>
          <w:color w:val="auto"/>
        </w:rPr>
        <w:t>et al.</w:t>
      </w:r>
      <w:r w:rsidR="002E0CAD" w:rsidRPr="00E033F1">
        <w:rPr>
          <w:rFonts w:asciiTheme="minorHAnsi" w:hAnsiTheme="minorHAnsi" w:cstheme="minorHAnsi"/>
          <w:color w:val="auto"/>
        </w:rPr>
        <w:t xml:space="preserve"> </w:t>
      </w:r>
      <w:r w:rsidR="00A4084E" w:rsidRPr="00E033F1">
        <w:rPr>
          <w:rFonts w:asciiTheme="minorHAnsi" w:hAnsiTheme="minorHAnsi" w:cstheme="minorHAnsi"/>
          <w:color w:val="auto"/>
        </w:rPr>
        <w:t>in 1974</w:t>
      </w:r>
      <w:r w:rsidR="005D632D" w:rsidRPr="00E033F1">
        <w:rPr>
          <w:rFonts w:asciiTheme="minorHAnsi" w:hAnsiTheme="minorHAnsi" w:cstheme="minorHAnsi"/>
          <w:color w:val="auto"/>
        </w:rPr>
        <w:t xml:space="preserve"> using 1-</w:t>
      </w:r>
      <w:r w:rsidR="00236C61" w:rsidRPr="00E033F1">
        <w:rPr>
          <w:rFonts w:asciiTheme="minorHAnsi" w:hAnsiTheme="minorHAnsi" w:cstheme="minorHAnsi"/>
          <w:color w:val="auto"/>
        </w:rPr>
        <w:t>c</w:t>
      </w:r>
      <w:r w:rsidR="005D632D" w:rsidRPr="00E033F1">
        <w:rPr>
          <w:rFonts w:asciiTheme="minorHAnsi" w:hAnsiTheme="minorHAnsi" w:cstheme="minorHAnsi"/>
          <w:color w:val="auto"/>
        </w:rPr>
        <w:t>hloro-2,4-dinitrobenzene (CDNB) as the substrate</w:t>
      </w:r>
      <w:r w:rsidR="00555431" w:rsidRPr="00E033F1">
        <w:rPr>
          <w:rFonts w:asciiTheme="minorHAnsi" w:hAnsiTheme="minorHAnsi" w:cstheme="minorHAnsi"/>
          <w:color w:val="auto"/>
        </w:rPr>
        <w:t xml:space="preserve"> for the reaction</w:t>
      </w:r>
      <w:r w:rsidR="00236C61" w:rsidRPr="00E033F1">
        <w:rPr>
          <w:rFonts w:asciiTheme="minorHAnsi" w:hAnsiTheme="minorHAnsi" w:cstheme="minorHAnsi"/>
          <w:color w:val="auto"/>
        </w:rPr>
        <w:fldChar w:fldCharType="begin"/>
      </w:r>
      <w:r w:rsidR="00236C61" w:rsidRPr="00E033F1">
        <w:rPr>
          <w:rFonts w:asciiTheme="minorHAnsi" w:hAnsiTheme="minorHAnsi" w:cstheme="minorHAnsi"/>
          <w:color w:val="auto"/>
        </w:rPr>
        <w:instrText xml:space="preserve"> ADDIN ZOTERO_ITEM CSL_CITATION {"citationID":"gJuJiq2n","properties":{"formattedCitation":"\\super 22\\nosupersub{}","plainCitation":"22","noteIndex":0},"citationItems":[{"id":94,"uris":["http://zotero.org/users/local/bXXP6LKp/items/HMQY824D"],"uri":["http://zotero.org/users/local/bXXP6LKp/items/HMQY824D"],"itemData":{"id":94,"type":"article-journal","container-title":"The Journal of Biological Chemistry","ISSN":"0021-9258","issue":"22","journalAbbreviation":"J. Biol. Chem.","language":"eng","note":"PMID: 4436300","page":"7130-7139","source":"PubMed","title":"Glutathione S-transferases. The first enzymatic step in mercapturic acid formation","volume":"249","author":[{"family":"Habig","given":"W. H."},{"family":"Pabst","given":"M. J."},{"family":"Jakoby","given":"W. B."}],"issued":{"date-parts":[["1974",11,25]]}}}],"schema":"https://github.com/citation-style-language/schema/raw/master/csl-citation.json"} </w:instrText>
      </w:r>
      <w:r w:rsidR="00236C61" w:rsidRPr="00E033F1">
        <w:rPr>
          <w:rFonts w:asciiTheme="minorHAnsi" w:hAnsiTheme="minorHAnsi" w:cstheme="minorHAnsi"/>
          <w:color w:val="auto"/>
        </w:rPr>
        <w:fldChar w:fldCharType="separate"/>
      </w:r>
      <w:r w:rsidR="00236C61" w:rsidRPr="00E033F1">
        <w:rPr>
          <w:color w:val="auto"/>
          <w:vertAlign w:val="superscript"/>
        </w:rPr>
        <w:t>22</w:t>
      </w:r>
      <w:r w:rsidR="00236C61" w:rsidRPr="00E033F1">
        <w:rPr>
          <w:rFonts w:asciiTheme="minorHAnsi" w:hAnsiTheme="minorHAnsi" w:cstheme="minorHAnsi"/>
          <w:color w:val="auto"/>
        </w:rPr>
        <w:fldChar w:fldCharType="end"/>
      </w:r>
      <w:r w:rsidR="005D632D" w:rsidRPr="00E033F1">
        <w:rPr>
          <w:rFonts w:asciiTheme="minorHAnsi" w:hAnsiTheme="minorHAnsi" w:cstheme="minorHAnsi"/>
          <w:color w:val="auto"/>
        </w:rPr>
        <w:t>.</w:t>
      </w:r>
      <w:r w:rsidR="001427DB" w:rsidRPr="00E033F1">
        <w:rPr>
          <w:rFonts w:asciiTheme="minorHAnsi" w:hAnsiTheme="minorHAnsi" w:cstheme="minorHAnsi"/>
          <w:color w:val="auto"/>
        </w:rPr>
        <w:t xml:space="preserve"> </w:t>
      </w:r>
      <w:r w:rsidR="00B012C6" w:rsidRPr="00E033F1">
        <w:rPr>
          <w:rFonts w:asciiTheme="minorHAnsi" w:hAnsiTheme="minorHAnsi" w:cstheme="minorHAnsi"/>
          <w:color w:val="auto"/>
        </w:rPr>
        <w:t xml:space="preserve">Conjugation between GSH and CDNB </w:t>
      </w:r>
      <w:r w:rsidR="00555431" w:rsidRPr="00E033F1">
        <w:rPr>
          <w:rFonts w:asciiTheme="minorHAnsi" w:hAnsiTheme="minorHAnsi" w:cstheme="minorHAnsi"/>
          <w:color w:val="auto"/>
        </w:rPr>
        <w:t>forms</w:t>
      </w:r>
      <w:r w:rsidR="009B4A3E" w:rsidRPr="00E033F1">
        <w:rPr>
          <w:rFonts w:asciiTheme="minorHAnsi" w:hAnsiTheme="minorHAnsi" w:cstheme="minorHAnsi"/>
          <w:color w:val="auto"/>
        </w:rPr>
        <w:t xml:space="preserve"> </w:t>
      </w:r>
      <w:r w:rsidR="00B012C6" w:rsidRPr="00E033F1">
        <w:rPr>
          <w:rFonts w:asciiTheme="minorHAnsi" w:hAnsiTheme="minorHAnsi" w:cstheme="minorHAnsi"/>
          <w:color w:val="auto"/>
        </w:rPr>
        <w:t>GS-DNB</w:t>
      </w:r>
      <w:r w:rsidR="005D632D" w:rsidRPr="00E033F1">
        <w:rPr>
          <w:rFonts w:asciiTheme="minorHAnsi" w:hAnsiTheme="minorHAnsi" w:cstheme="minorHAnsi"/>
          <w:color w:val="auto"/>
        </w:rPr>
        <w:t>, which exhibits</w:t>
      </w:r>
      <w:r w:rsidR="009B4A3E" w:rsidRPr="00E033F1">
        <w:rPr>
          <w:rFonts w:asciiTheme="minorHAnsi" w:hAnsiTheme="minorHAnsi" w:cstheme="minorHAnsi"/>
          <w:color w:val="auto"/>
        </w:rPr>
        <w:t xml:space="preserve"> a maximum </w:t>
      </w:r>
      <w:r w:rsidR="008E1050" w:rsidRPr="00E033F1">
        <w:rPr>
          <w:rFonts w:asciiTheme="minorHAnsi" w:hAnsiTheme="minorHAnsi" w:cstheme="minorHAnsi"/>
          <w:color w:val="auto"/>
        </w:rPr>
        <w:t xml:space="preserve">light </w:t>
      </w:r>
      <w:r w:rsidR="009B4A3E" w:rsidRPr="00E033F1">
        <w:rPr>
          <w:rFonts w:asciiTheme="minorHAnsi" w:hAnsiTheme="minorHAnsi" w:cstheme="minorHAnsi"/>
          <w:color w:val="auto"/>
        </w:rPr>
        <w:t>absorbance at</w:t>
      </w:r>
      <w:r w:rsidR="00555431" w:rsidRPr="00E033F1">
        <w:rPr>
          <w:rFonts w:asciiTheme="minorHAnsi" w:hAnsiTheme="minorHAnsi" w:cstheme="minorHAnsi"/>
          <w:color w:val="auto"/>
        </w:rPr>
        <w:t xml:space="preserve"> the wavelength</w:t>
      </w:r>
      <w:r w:rsidR="008E1050" w:rsidRPr="00E033F1">
        <w:rPr>
          <w:rFonts w:asciiTheme="minorHAnsi" w:hAnsiTheme="minorHAnsi" w:cstheme="minorHAnsi"/>
          <w:color w:val="auto"/>
        </w:rPr>
        <w:t xml:space="preserve"> of </w:t>
      </w:r>
      <w:r w:rsidR="009B4A3E" w:rsidRPr="00E033F1">
        <w:rPr>
          <w:rFonts w:asciiTheme="minorHAnsi" w:hAnsiTheme="minorHAnsi" w:cstheme="minorHAnsi"/>
          <w:color w:val="auto"/>
        </w:rPr>
        <w:t>340</w:t>
      </w:r>
      <w:r w:rsidR="005D632D" w:rsidRPr="00E033F1">
        <w:rPr>
          <w:rFonts w:asciiTheme="minorHAnsi" w:hAnsiTheme="minorHAnsi" w:cstheme="minorHAnsi"/>
          <w:color w:val="auto"/>
        </w:rPr>
        <w:t> </w:t>
      </w:r>
      <w:r w:rsidR="009B4A3E" w:rsidRPr="00E033F1">
        <w:rPr>
          <w:rFonts w:asciiTheme="minorHAnsi" w:hAnsiTheme="minorHAnsi" w:cstheme="minorHAnsi"/>
          <w:color w:val="auto"/>
        </w:rPr>
        <w:t>nm, recordable</w:t>
      </w:r>
      <w:r w:rsidR="00B012C6" w:rsidRPr="00E033F1">
        <w:rPr>
          <w:rFonts w:asciiTheme="minorHAnsi" w:hAnsiTheme="minorHAnsi" w:cstheme="minorHAnsi"/>
          <w:color w:val="auto"/>
        </w:rPr>
        <w:t xml:space="preserve"> with a spectrophotometer. </w:t>
      </w:r>
      <w:r w:rsidR="001427DB" w:rsidRPr="00E033F1">
        <w:rPr>
          <w:rFonts w:asciiTheme="minorHAnsi" w:hAnsiTheme="minorHAnsi" w:cstheme="minorHAnsi"/>
          <w:color w:val="auto"/>
        </w:rPr>
        <w:t xml:space="preserve">Most of the technique </w:t>
      </w:r>
      <w:r w:rsidR="007567E1" w:rsidRPr="00E033F1">
        <w:rPr>
          <w:rFonts w:asciiTheme="minorHAnsi" w:hAnsiTheme="minorHAnsi" w:cstheme="minorHAnsi"/>
          <w:color w:val="auto"/>
        </w:rPr>
        <w:t xml:space="preserve">explained below </w:t>
      </w:r>
      <w:r w:rsidR="001427DB" w:rsidRPr="00E033F1">
        <w:rPr>
          <w:rFonts w:asciiTheme="minorHAnsi" w:hAnsiTheme="minorHAnsi" w:cstheme="minorHAnsi"/>
          <w:color w:val="auto"/>
        </w:rPr>
        <w:t>is de</w:t>
      </w:r>
      <w:r w:rsidR="00B012C6" w:rsidRPr="00E033F1">
        <w:rPr>
          <w:rFonts w:asciiTheme="minorHAnsi" w:hAnsiTheme="minorHAnsi" w:cstheme="minorHAnsi"/>
          <w:color w:val="auto"/>
        </w:rPr>
        <w:t xml:space="preserve">rived from </w:t>
      </w:r>
      <w:proofErr w:type="spellStart"/>
      <w:r w:rsidR="007567E1" w:rsidRPr="00E033F1">
        <w:rPr>
          <w:rFonts w:asciiTheme="minorHAnsi" w:hAnsiTheme="minorHAnsi" w:cstheme="minorHAnsi"/>
          <w:color w:val="auto"/>
        </w:rPr>
        <w:t>Habig</w:t>
      </w:r>
      <w:proofErr w:type="spellEnd"/>
      <w:r w:rsidR="007567E1" w:rsidRPr="00E033F1">
        <w:rPr>
          <w:rFonts w:asciiTheme="minorHAnsi" w:hAnsiTheme="minorHAnsi" w:cstheme="minorHAnsi"/>
          <w:color w:val="auto"/>
        </w:rPr>
        <w:t xml:space="preserve"> </w:t>
      </w:r>
      <w:r w:rsidR="00236C61" w:rsidRPr="00E033F1">
        <w:rPr>
          <w:rFonts w:asciiTheme="minorHAnsi" w:hAnsiTheme="minorHAnsi" w:cstheme="minorHAnsi"/>
          <w:color w:val="auto"/>
        </w:rPr>
        <w:t>et al.</w:t>
      </w:r>
      <w:r w:rsidR="001427DB" w:rsidRPr="00E033F1">
        <w:rPr>
          <w:rFonts w:asciiTheme="minorHAnsi" w:hAnsiTheme="minorHAnsi" w:cstheme="minorHAnsi"/>
          <w:color w:val="auto"/>
        </w:rPr>
        <w:t xml:space="preserve">, </w:t>
      </w:r>
      <w:r w:rsidR="007567E1" w:rsidRPr="00E033F1">
        <w:rPr>
          <w:rFonts w:asciiTheme="minorHAnsi" w:hAnsiTheme="minorHAnsi" w:cstheme="minorHAnsi"/>
          <w:color w:val="auto"/>
        </w:rPr>
        <w:t>including information</w:t>
      </w:r>
      <w:r w:rsidR="001427DB" w:rsidRPr="00E033F1">
        <w:rPr>
          <w:rFonts w:asciiTheme="minorHAnsi" w:hAnsiTheme="minorHAnsi" w:cstheme="minorHAnsi"/>
          <w:color w:val="auto"/>
        </w:rPr>
        <w:t xml:space="preserve"> </w:t>
      </w:r>
      <w:r w:rsidR="00A4084E" w:rsidRPr="00E033F1">
        <w:rPr>
          <w:rFonts w:asciiTheme="minorHAnsi" w:hAnsiTheme="minorHAnsi" w:cstheme="minorHAnsi"/>
          <w:color w:val="auto"/>
        </w:rPr>
        <w:t>on</w:t>
      </w:r>
      <w:r w:rsidR="001427DB" w:rsidRPr="00E033F1">
        <w:rPr>
          <w:rFonts w:asciiTheme="minorHAnsi" w:hAnsiTheme="minorHAnsi" w:cstheme="minorHAnsi"/>
          <w:color w:val="auto"/>
        </w:rPr>
        <w:t xml:space="preserve"> the best settings</w:t>
      </w:r>
      <w:r w:rsidR="008E1050" w:rsidRPr="00E033F1">
        <w:rPr>
          <w:rFonts w:asciiTheme="minorHAnsi" w:hAnsiTheme="minorHAnsi" w:cstheme="minorHAnsi"/>
          <w:color w:val="auto"/>
        </w:rPr>
        <w:t xml:space="preserve"> and important optimization points</w:t>
      </w:r>
      <w:r w:rsidR="001427DB" w:rsidRPr="00E033F1">
        <w:rPr>
          <w:rFonts w:asciiTheme="minorHAnsi" w:hAnsiTheme="minorHAnsi" w:cstheme="minorHAnsi"/>
          <w:color w:val="auto"/>
        </w:rPr>
        <w:t xml:space="preserve"> for an inhibitory assay.</w:t>
      </w:r>
      <w:r w:rsidR="002E0CAD" w:rsidRPr="00E033F1">
        <w:rPr>
          <w:rFonts w:asciiTheme="minorHAnsi" w:hAnsiTheme="minorHAnsi" w:cstheme="minorHAnsi"/>
          <w:color w:val="auto"/>
        </w:rPr>
        <w:t xml:space="preserve"> </w:t>
      </w:r>
      <w:r w:rsidR="007567E1" w:rsidRPr="00E033F1">
        <w:rPr>
          <w:rFonts w:asciiTheme="minorHAnsi" w:hAnsiTheme="minorHAnsi" w:cstheme="minorHAnsi"/>
          <w:color w:val="auto"/>
        </w:rPr>
        <w:t>The technique</w:t>
      </w:r>
      <w:r w:rsidR="00FB6F31" w:rsidRPr="00E033F1">
        <w:rPr>
          <w:rFonts w:asciiTheme="minorHAnsi" w:hAnsiTheme="minorHAnsi" w:cstheme="minorHAnsi"/>
          <w:color w:val="auto"/>
        </w:rPr>
        <w:t xml:space="preserve"> can be applied </w:t>
      </w:r>
      <w:r w:rsidR="007567E1" w:rsidRPr="00E033F1">
        <w:rPr>
          <w:rFonts w:asciiTheme="minorHAnsi" w:hAnsiTheme="minorHAnsi" w:cstheme="minorHAnsi"/>
          <w:color w:val="auto"/>
        </w:rPr>
        <w:t>to</w:t>
      </w:r>
      <w:r w:rsidR="00606975" w:rsidRPr="00E033F1">
        <w:rPr>
          <w:rFonts w:asciiTheme="minorHAnsi" w:hAnsiTheme="minorHAnsi" w:cstheme="minorHAnsi"/>
          <w:color w:val="auto"/>
        </w:rPr>
        <w:t xml:space="preserve"> screening </w:t>
      </w:r>
      <w:r w:rsidR="007567E1" w:rsidRPr="00E033F1">
        <w:rPr>
          <w:rFonts w:asciiTheme="minorHAnsi" w:hAnsiTheme="minorHAnsi" w:cstheme="minorHAnsi"/>
          <w:color w:val="auto"/>
        </w:rPr>
        <w:t>potential</w:t>
      </w:r>
      <w:r w:rsidR="00E36F57" w:rsidRPr="00E033F1">
        <w:rPr>
          <w:rFonts w:asciiTheme="minorHAnsi" w:hAnsiTheme="minorHAnsi" w:cstheme="minorHAnsi"/>
          <w:color w:val="auto"/>
        </w:rPr>
        <w:t xml:space="preserve"> </w:t>
      </w:r>
      <w:r w:rsidR="000758B6" w:rsidRPr="00E033F1">
        <w:rPr>
          <w:rFonts w:asciiTheme="minorHAnsi" w:hAnsiTheme="minorHAnsi" w:cstheme="minorHAnsi"/>
          <w:color w:val="auto"/>
        </w:rPr>
        <w:t>GST inhibitor</w:t>
      </w:r>
      <w:r w:rsidR="007567E1" w:rsidRPr="00E033F1">
        <w:rPr>
          <w:rFonts w:asciiTheme="minorHAnsi" w:hAnsiTheme="minorHAnsi" w:cstheme="minorHAnsi"/>
          <w:color w:val="auto"/>
        </w:rPr>
        <w:t>s</w:t>
      </w:r>
      <w:r w:rsidR="001427DB" w:rsidRPr="00E033F1">
        <w:rPr>
          <w:rFonts w:asciiTheme="minorHAnsi" w:hAnsiTheme="minorHAnsi" w:cstheme="minorHAnsi"/>
          <w:color w:val="auto"/>
        </w:rPr>
        <w:t xml:space="preserve">, </w:t>
      </w:r>
      <w:r w:rsidR="007567E1" w:rsidRPr="00E033F1">
        <w:rPr>
          <w:rFonts w:asciiTheme="minorHAnsi" w:hAnsiTheme="minorHAnsi" w:cstheme="minorHAnsi"/>
          <w:color w:val="auto"/>
        </w:rPr>
        <w:t xml:space="preserve">whether </w:t>
      </w:r>
      <w:r w:rsidR="00A4084E" w:rsidRPr="00E033F1">
        <w:rPr>
          <w:rFonts w:asciiTheme="minorHAnsi" w:hAnsiTheme="minorHAnsi" w:cstheme="minorHAnsi"/>
          <w:color w:val="auto"/>
        </w:rPr>
        <w:t>chosen</w:t>
      </w:r>
      <w:r w:rsidR="001427DB" w:rsidRPr="00E033F1">
        <w:rPr>
          <w:rFonts w:asciiTheme="minorHAnsi" w:hAnsiTheme="minorHAnsi" w:cstheme="minorHAnsi"/>
          <w:color w:val="auto"/>
        </w:rPr>
        <w:t xml:space="preserve"> </w:t>
      </w:r>
      <w:r w:rsidR="005935CF" w:rsidRPr="00E033F1">
        <w:rPr>
          <w:rFonts w:asciiTheme="minorHAnsi" w:hAnsiTheme="minorHAnsi" w:cstheme="minorHAnsi"/>
          <w:color w:val="auto"/>
        </w:rPr>
        <w:t>by</w:t>
      </w:r>
      <w:r w:rsidR="00A4084E" w:rsidRPr="00E033F1">
        <w:rPr>
          <w:rFonts w:asciiTheme="minorHAnsi" w:hAnsiTheme="minorHAnsi" w:cstheme="minorHAnsi"/>
          <w:color w:val="auto"/>
        </w:rPr>
        <w:t xml:space="preserve"> rational drug selection </w:t>
      </w:r>
      <w:r w:rsidR="005935CF" w:rsidRPr="00E033F1">
        <w:rPr>
          <w:rFonts w:asciiTheme="minorHAnsi" w:hAnsiTheme="minorHAnsi" w:cstheme="minorHAnsi"/>
          <w:color w:val="auto"/>
        </w:rPr>
        <w:t>using</w:t>
      </w:r>
      <w:r w:rsidR="001427DB" w:rsidRPr="00E033F1">
        <w:rPr>
          <w:rFonts w:asciiTheme="minorHAnsi" w:hAnsiTheme="minorHAnsi" w:cstheme="minorHAnsi"/>
          <w:color w:val="auto"/>
        </w:rPr>
        <w:t xml:space="preserve"> computational predictions or by literature review. </w:t>
      </w:r>
      <w:r w:rsidR="005935CF" w:rsidRPr="00E033F1">
        <w:rPr>
          <w:rFonts w:asciiTheme="minorHAnsi" w:hAnsiTheme="minorHAnsi" w:cstheme="minorHAnsi"/>
          <w:color w:val="auto"/>
        </w:rPr>
        <w:t>H</w:t>
      </w:r>
      <w:r w:rsidR="001427DB" w:rsidRPr="00E033F1">
        <w:rPr>
          <w:rFonts w:asciiTheme="minorHAnsi" w:hAnsiTheme="minorHAnsi" w:cstheme="minorHAnsi"/>
          <w:color w:val="auto"/>
        </w:rPr>
        <w:t>ow to adapt the protocol to newly synthesized GST proteins</w:t>
      </w:r>
      <w:r w:rsidR="00F55D23" w:rsidRPr="00E033F1">
        <w:rPr>
          <w:rFonts w:asciiTheme="minorHAnsi" w:hAnsiTheme="minorHAnsi" w:cstheme="minorHAnsi"/>
          <w:color w:val="auto"/>
        </w:rPr>
        <w:t xml:space="preserve"> or specific isoforms </w:t>
      </w:r>
      <w:r w:rsidR="00E36F57" w:rsidRPr="00E033F1">
        <w:rPr>
          <w:rFonts w:asciiTheme="minorHAnsi" w:hAnsiTheme="minorHAnsi" w:cstheme="minorHAnsi"/>
          <w:color w:val="auto"/>
        </w:rPr>
        <w:t>is also discussed</w:t>
      </w:r>
      <w:r w:rsidR="00F85788" w:rsidRPr="00E033F1">
        <w:rPr>
          <w:rFonts w:asciiTheme="minorHAnsi" w:hAnsiTheme="minorHAnsi" w:cstheme="minorHAnsi"/>
          <w:color w:val="auto"/>
        </w:rPr>
        <w:t>.</w:t>
      </w:r>
      <w:r w:rsidR="001427DB" w:rsidRPr="00E033F1">
        <w:rPr>
          <w:rFonts w:asciiTheme="minorHAnsi" w:hAnsiTheme="minorHAnsi" w:cstheme="minorHAnsi"/>
          <w:color w:val="auto"/>
        </w:rPr>
        <w:t xml:space="preserve"> </w:t>
      </w:r>
      <w:r w:rsidR="00F85788" w:rsidRPr="00E033F1">
        <w:rPr>
          <w:rFonts w:asciiTheme="minorHAnsi" w:hAnsiTheme="minorHAnsi" w:cstheme="minorHAnsi"/>
          <w:color w:val="auto"/>
        </w:rPr>
        <w:t>F</w:t>
      </w:r>
      <w:r w:rsidR="001427DB" w:rsidRPr="00E033F1">
        <w:rPr>
          <w:rFonts w:asciiTheme="minorHAnsi" w:hAnsiTheme="minorHAnsi" w:cstheme="minorHAnsi"/>
          <w:color w:val="auto"/>
        </w:rPr>
        <w:t xml:space="preserve">or </w:t>
      </w:r>
      <w:r w:rsidR="00F07C30" w:rsidRPr="00E033F1">
        <w:rPr>
          <w:rFonts w:asciiTheme="minorHAnsi" w:hAnsiTheme="minorHAnsi" w:cstheme="minorHAnsi"/>
          <w:color w:val="auto"/>
        </w:rPr>
        <w:t>instance,</w:t>
      </w:r>
      <w:r w:rsidR="001427DB" w:rsidRPr="00E033F1">
        <w:rPr>
          <w:rFonts w:asciiTheme="minorHAnsi" w:hAnsiTheme="minorHAnsi" w:cstheme="minorHAnsi"/>
          <w:color w:val="auto"/>
        </w:rPr>
        <w:t xml:space="preserve"> </w:t>
      </w:r>
      <w:r w:rsidR="00F85788" w:rsidRPr="00E033F1">
        <w:rPr>
          <w:rFonts w:asciiTheme="minorHAnsi" w:hAnsiTheme="minorHAnsi" w:cstheme="minorHAnsi"/>
          <w:color w:val="auto"/>
        </w:rPr>
        <w:t>testing the inhibitory potency o</w:t>
      </w:r>
      <w:r w:rsidR="005935CF" w:rsidRPr="00E033F1">
        <w:rPr>
          <w:rFonts w:asciiTheme="minorHAnsi" w:hAnsiTheme="minorHAnsi" w:cstheme="minorHAnsi"/>
          <w:color w:val="auto"/>
        </w:rPr>
        <w:t>f</w:t>
      </w:r>
      <w:r w:rsidR="00F85788" w:rsidRPr="00E033F1">
        <w:rPr>
          <w:rFonts w:asciiTheme="minorHAnsi" w:hAnsiTheme="minorHAnsi" w:cstheme="minorHAnsi"/>
          <w:color w:val="auto"/>
        </w:rPr>
        <w:t xml:space="preserve"> GST isoforms exhibiting </w:t>
      </w:r>
      <w:r w:rsidR="005935CF" w:rsidRPr="00E033F1">
        <w:rPr>
          <w:rFonts w:asciiTheme="minorHAnsi" w:hAnsiTheme="minorHAnsi" w:cstheme="minorHAnsi"/>
          <w:color w:val="auto"/>
        </w:rPr>
        <w:t xml:space="preserve">a </w:t>
      </w:r>
      <w:r w:rsidR="00F85788" w:rsidRPr="00E033F1">
        <w:rPr>
          <w:rFonts w:asciiTheme="minorHAnsi" w:hAnsiTheme="minorHAnsi" w:cstheme="minorHAnsi"/>
          <w:color w:val="auto"/>
        </w:rPr>
        <w:t>clinically relevant polymorphism</w:t>
      </w:r>
      <w:r w:rsidR="007544A2" w:rsidRPr="00E033F1">
        <w:rPr>
          <w:rFonts w:asciiTheme="minorHAnsi" w:hAnsiTheme="minorHAnsi" w:cstheme="minorHAnsi"/>
          <w:color w:val="auto"/>
        </w:rPr>
        <w:t xml:space="preserve"> or </w:t>
      </w:r>
      <w:r w:rsidR="00061B79" w:rsidRPr="00E033F1">
        <w:rPr>
          <w:rFonts w:asciiTheme="minorHAnsi" w:hAnsiTheme="minorHAnsi" w:cstheme="minorHAnsi"/>
          <w:color w:val="auto"/>
        </w:rPr>
        <w:t xml:space="preserve">of </w:t>
      </w:r>
      <w:r w:rsidR="007544A2" w:rsidRPr="00E033F1">
        <w:rPr>
          <w:rFonts w:asciiTheme="minorHAnsi" w:hAnsiTheme="minorHAnsi" w:cstheme="minorHAnsi"/>
          <w:color w:val="auto"/>
        </w:rPr>
        <w:t>single-nucleotide polymorphism</w:t>
      </w:r>
      <w:r w:rsidR="00B43462" w:rsidRPr="00E033F1">
        <w:rPr>
          <w:rFonts w:asciiTheme="minorHAnsi" w:hAnsiTheme="minorHAnsi" w:cstheme="minorHAnsi"/>
          <w:color w:val="auto"/>
        </w:rPr>
        <w:t>s</w:t>
      </w:r>
      <w:r w:rsidR="007544A2" w:rsidRPr="00E033F1">
        <w:rPr>
          <w:rFonts w:asciiTheme="minorHAnsi" w:hAnsiTheme="minorHAnsi" w:cstheme="minorHAnsi"/>
          <w:color w:val="auto"/>
        </w:rPr>
        <w:t xml:space="preserve"> (SNP</w:t>
      </w:r>
      <w:r w:rsidR="00B43462" w:rsidRPr="00E033F1">
        <w:rPr>
          <w:rFonts w:asciiTheme="minorHAnsi" w:hAnsiTheme="minorHAnsi" w:cstheme="minorHAnsi"/>
          <w:color w:val="auto"/>
        </w:rPr>
        <w:t>s</w:t>
      </w:r>
      <w:r w:rsidR="007544A2" w:rsidRPr="00E033F1">
        <w:rPr>
          <w:rFonts w:asciiTheme="minorHAnsi" w:hAnsiTheme="minorHAnsi" w:cstheme="minorHAnsi"/>
          <w:color w:val="auto"/>
        </w:rPr>
        <w:t>)</w:t>
      </w:r>
      <w:r w:rsidR="00F85788" w:rsidRPr="00E033F1">
        <w:rPr>
          <w:rFonts w:asciiTheme="minorHAnsi" w:hAnsiTheme="minorHAnsi" w:cstheme="minorHAnsi"/>
          <w:color w:val="auto"/>
        </w:rPr>
        <w:t xml:space="preserve"> </w:t>
      </w:r>
      <w:r w:rsidR="00061B79" w:rsidRPr="00E033F1">
        <w:rPr>
          <w:rFonts w:asciiTheme="minorHAnsi" w:hAnsiTheme="minorHAnsi" w:cstheme="minorHAnsi"/>
          <w:color w:val="auto"/>
        </w:rPr>
        <w:t>could</w:t>
      </w:r>
      <w:r w:rsidR="00F85788" w:rsidRPr="00E033F1">
        <w:rPr>
          <w:rFonts w:asciiTheme="minorHAnsi" w:hAnsiTheme="minorHAnsi" w:cstheme="minorHAnsi"/>
          <w:color w:val="auto"/>
        </w:rPr>
        <w:t xml:space="preserve"> be potential </w:t>
      </w:r>
      <w:r w:rsidR="00061B79" w:rsidRPr="00E033F1">
        <w:rPr>
          <w:rFonts w:asciiTheme="minorHAnsi" w:hAnsiTheme="minorHAnsi" w:cstheme="minorHAnsi"/>
          <w:color w:val="auto"/>
        </w:rPr>
        <w:t>uses for</w:t>
      </w:r>
      <w:r w:rsidR="00F85788" w:rsidRPr="00E033F1">
        <w:rPr>
          <w:rFonts w:asciiTheme="minorHAnsi" w:hAnsiTheme="minorHAnsi" w:cstheme="minorHAnsi"/>
          <w:color w:val="auto"/>
        </w:rPr>
        <w:t xml:space="preserve"> this </w:t>
      </w:r>
      <w:r w:rsidR="007544A2" w:rsidRPr="00E033F1">
        <w:rPr>
          <w:rFonts w:asciiTheme="minorHAnsi" w:hAnsiTheme="minorHAnsi" w:cstheme="minorHAnsi"/>
          <w:color w:val="auto"/>
        </w:rPr>
        <w:t>protocol, target</w:t>
      </w:r>
      <w:r w:rsidR="00061B79" w:rsidRPr="00E033F1">
        <w:rPr>
          <w:rFonts w:asciiTheme="minorHAnsi" w:hAnsiTheme="minorHAnsi" w:cstheme="minorHAnsi"/>
          <w:color w:val="auto"/>
        </w:rPr>
        <w:t>ing</w:t>
      </w:r>
      <w:r w:rsidR="007544A2" w:rsidRPr="00E033F1">
        <w:rPr>
          <w:rFonts w:asciiTheme="minorHAnsi" w:hAnsiTheme="minorHAnsi" w:cstheme="minorHAnsi"/>
          <w:color w:val="auto"/>
        </w:rPr>
        <w:t xml:space="preserve"> patient-specific GSTs.</w:t>
      </w:r>
    </w:p>
    <w:p w14:paraId="27BEA990" w14:textId="77777777" w:rsidR="00067A13" w:rsidRPr="00E033F1" w:rsidRDefault="00067A13" w:rsidP="00E033F1">
      <w:pPr>
        <w:contextualSpacing/>
        <w:rPr>
          <w:rFonts w:asciiTheme="minorHAnsi" w:hAnsiTheme="minorHAnsi" w:cstheme="minorHAnsi"/>
          <w:color w:val="auto"/>
        </w:rPr>
      </w:pPr>
    </w:p>
    <w:p w14:paraId="1E2A17E6" w14:textId="6E7A5919" w:rsidR="00067A13" w:rsidRPr="00E033F1" w:rsidRDefault="006748D2" w:rsidP="00E033F1">
      <w:pPr>
        <w:contextualSpacing/>
        <w:rPr>
          <w:rFonts w:asciiTheme="minorHAnsi" w:hAnsiTheme="minorHAnsi" w:cstheme="minorHAnsi"/>
          <w:color w:val="auto"/>
        </w:rPr>
      </w:pPr>
      <w:r w:rsidRPr="00E033F1">
        <w:rPr>
          <w:rFonts w:asciiTheme="minorHAnsi" w:hAnsiTheme="minorHAnsi" w:cstheme="minorHAnsi"/>
          <w:color w:val="auto"/>
        </w:rPr>
        <w:t xml:space="preserve">This protocol provides a quick, feasible, and effective method for the screening of potential GST inhibitors </w:t>
      </w:r>
      <w:r w:rsidRPr="00E033F1">
        <w:rPr>
          <w:rFonts w:asciiTheme="minorHAnsi" w:hAnsiTheme="minorHAnsi" w:cstheme="minorHAnsi"/>
          <w:iCs/>
          <w:color w:val="auto"/>
        </w:rPr>
        <w:t>in vitro</w:t>
      </w:r>
      <w:r w:rsidRPr="00E033F1">
        <w:rPr>
          <w:rFonts w:asciiTheme="minorHAnsi" w:hAnsiTheme="minorHAnsi" w:cstheme="minorHAnsi"/>
          <w:color w:val="auto"/>
        </w:rPr>
        <w:t xml:space="preserve"> before any other functional studies. The steps needed</w:t>
      </w:r>
      <w:r w:rsidR="00D1372C" w:rsidRPr="00E033F1">
        <w:rPr>
          <w:rFonts w:asciiTheme="minorHAnsi" w:hAnsiTheme="minorHAnsi" w:cstheme="minorHAnsi"/>
          <w:color w:val="auto"/>
        </w:rPr>
        <w:t xml:space="preserve"> </w:t>
      </w:r>
      <w:r w:rsidR="00377EFB" w:rsidRPr="00E033F1">
        <w:rPr>
          <w:rFonts w:asciiTheme="minorHAnsi" w:hAnsiTheme="minorHAnsi" w:cstheme="minorHAnsi"/>
          <w:color w:val="auto"/>
        </w:rPr>
        <w:t xml:space="preserve">to </w:t>
      </w:r>
      <w:r w:rsidR="00061B79" w:rsidRPr="00E033F1">
        <w:rPr>
          <w:rFonts w:asciiTheme="minorHAnsi" w:hAnsiTheme="minorHAnsi" w:cstheme="minorHAnsi"/>
          <w:color w:val="auto"/>
        </w:rPr>
        <w:t>evaluate</w:t>
      </w:r>
      <w:r w:rsidR="00377EFB" w:rsidRPr="00E033F1">
        <w:rPr>
          <w:rFonts w:asciiTheme="minorHAnsi" w:hAnsiTheme="minorHAnsi" w:cstheme="minorHAnsi"/>
          <w:color w:val="auto"/>
        </w:rPr>
        <w:t xml:space="preserve"> </w:t>
      </w:r>
      <w:r w:rsidR="0038267C" w:rsidRPr="00E033F1">
        <w:rPr>
          <w:rFonts w:asciiTheme="minorHAnsi" w:hAnsiTheme="minorHAnsi" w:cstheme="minorHAnsi"/>
          <w:color w:val="auto"/>
        </w:rPr>
        <w:t xml:space="preserve">the most </w:t>
      </w:r>
      <w:r w:rsidR="00061B79" w:rsidRPr="00E033F1">
        <w:rPr>
          <w:rFonts w:asciiTheme="minorHAnsi" w:hAnsiTheme="minorHAnsi" w:cstheme="minorHAnsi"/>
          <w:color w:val="auto"/>
        </w:rPr>
        <w:t>commonly measured</w:t>
      </w:r>
      <w:r w:rsidR="0038267C" w:rsidRPr="00E033F1">
        <w:rPr>
          <w:rFonts w:asciiTheme="minorHAnsi" w:hAnsiTheme="minorHAnsi" w:cstheme="minorHAnsi"/>
          <w:color w:val="auto"/>
        </w:rPr>
        <w:t xml:space="preserve"> characteristics of an</w:t>
      </w:r>
      <w:r w:rsidR="00F07C30" w:rsidRPr="00E033F1">
        <w:rPr>
          <w:rFonts w:asciiTheme="minorHAnsi" w:hAnsiTheme="minorHAnsi" w:cstheme="minorHAnsi"/>
          <w:color w:val="auto"/>
        </w:rPr>
        <w:t xml:space="preserve"> enzymatic</w:t>
      </w:r>
      <w:r w:rsidR="0038267C" w:rsidRPr="00E033F1">
        <w:rPr>
          <w:rFonts w:asciiTheme="minorHAnsi" w:hAnsiTheme="minorHAnsi" w:cstheme="minorHAnsi"/>
          <w:color w:val="auto"/>
        </w:rPr>
        <w:t xml:space="preserve"> inhibitor</w:t>
      </w:r>
      <w:r w:rsidRPr="00E033F1">
        <w:rPr>
          <w:rFonts w:asciiTheme="minorHAnsi" w:hAnsiTheme="minorHAnsi" w:cstheme="minorHAnsi"/>
          <w:color w:val="auto"/>
        </w:rPr>
        <w:t xml:space="preserve"> are described</w:t>
      </w:r>
      <w:r w:rsidR="00B33C23" w:rsidRPr="00E033F1">
        <w:rPr>
          <w:rFonts w:asciiTheme="minorHAnsi" w:hAnsiTheme="minorHAnsi" w:cstheme="minorHAnsi"/>
          <w:color w:val="auto"/>
        </w:rPr>
        <w:t>: t</w:t>
      </w:r>
      <w:r w:rsidR="0038267C" w:rsidRPr="00E033F1">
        <w:rPr>
          <w:rFonts w:asciiTheme="minorHAnsi" w:hAnsiTheme="minorHAnsi" w:cstheme="minorHAnsi"/>
          <w:color w:val="auto"/>
        </w:rPr>
        <w:t xml:space="preserve">he </w:t>
      </w:r>
      <w:r w:rsidR="00DD5C46" w:rsidRPr="00E033F1">
        <w:rPr>
          <w:rFonts w:asciiTheme="minorHAnsi" w:hAnsiTheme="minorHAnsi" w:cstheme="minorHAnsi"/>
          <w:color w:val="auto"/>
        </w:rPr>
        <w:t>inhibitory concentration 50 (</w:t>
      </w:r>
      <w:r w:rsidR="0038267C" w:rsidRPr="00E033F1">
        <w:rPr>
          <w:rFonts w:asciiTheme="minorHAnsi" w:hAnsiTheme="minorHAnsi" w:cstheme="minorHAnsi"/>
          <w:color w:val="auto"/>
        </w:rPr>
        <w:t>IC50</w:t>
      </w:r>
      <w:r w:rsidR="00DD5C46" w:rsidRPr="00E033F1">
        <w:rPr>
          <w:rFonts w:asciiTheme="minorHAnsi" w:hAnsiTheme="minorHAnsi" w:cstheme="minorHAnsi"/>
          <w:color w:val="auto"/>
        </w:rPr>
        <w:t>)</w:t>
      </w:r>
      <w:r w:rsidR="00B33C23" w:rsidRPr="00E033F1">
        <w:rPr>
          <w:rFonts w:asciiTheme="minorHAnsi" w:hAnsiTheme="minorHAnsi" w:cstheme="minorHAnsi"/>
          <w:color w:val="auto"/>
        </w:rPr>
        <w:t xml:space="preserve"> that is </w:t>
      </w:r>
      <w:r w:rsidR="009077B2" w:rsidRPr="00E033F1">
        <w:rPr>
          <w:rFonts w:asciiTheme="minorHAnsi" w:hAnsiTheme="minorHAnsi" w:cstheme="minorHAnsi"/>
          <w:color w:val="auto"/>
        </w:rPr>
        <w:t>concentration of inhibitor required to decrease the enzymatic activity by half</w:t>
      </w:r>
      <w:r w:rsidR="00B33C23" w:rsidRPr="00E033F1">
        <w:rPr>
          <w:rFonts w:asciiTheme="minorHAnsi" w:hAnsiTheme="minorHAnsi" w:cstheme="minorHAnsi"/>
          <w:color w:val="auto"/>
        </w:rPr>
        <w:t>;</w:t>
      </w:r>
      <w:r w:rsidR="00061B79" w:rsidRPr="00E033F1">
        <w:rPr>
          <w:rFonts w:asciiTheme="minorHAnsi" w:hAnsiTheme="minorHAnsi" w:cstheme="minorHAnsi"/>
          <w:color w:val="auto"/>
        </w:rPr>
        <w:t xml:space="preserve"> and </w:t>
      </w:r>
      <w:r w:rsidR="0038267C" w:rsidRPr="00E033F1">
        <w:rPr>
          <w:rFonts w:asciiTheme="minorHAnsi" w:hAnsiTheme="minorHAnsi" w:cstheme="minorHAnsi"/>
          <w:color w:val="auto"/>
        </w:rPr>
        <w:t>the</w:t>
      </w:r>
      <w:r w:rsidR="00A4084E" w:rsidRPr="00E033F1">
        <w:rPr>
          <w:rFonts w:asciiTheme="minorHAnsi" w:hAnsiTheme="minorHAnsi" w:cstheme="minorHAnsi"/>
          <w:color w:val="auto"/>
        </w:rPr>
        <w:t xml:space="preserve"> constant of inhibition</w:t>
      </w:r>
      <w:r w:rsidR="0038267C" w:rsidRPr="00E033F1">
        <w:rPr>
          <w:rFonts w:asciiTheme="minorHAnsi" w:hAnsiTheme="minorHAnsi" w:cstheme="minorHAnsi"/>
          <w:color w:val="auto"/>
        </w:rPr>
        <w:t xml:space="preserve"> </w:t>
      </w:r>
      <w:r w:rsidR="00F42BF9" w:rsidRPr="00E033F1">
        <w:rPr>
          <w:rFonts w:asciiTheme="minorHAnsi" w:hAnsiTheme="minorHAnsi" w:cstheme="minorHAnsi"/>
          <w:color w:val="auto"/>
        </w:rPr>
        <w:t>(</w:t>
      </w:r>
      <w:r w:rsidR="0038267C" w:rsidRPr="00E033F1">
        <w:rPr>
          <w:rFonts w:asciiTheme="minorHAnsi" w:hAnsiTheme="minorHAnsi" w:cstheme="minorHAnsi"/>
          <w:color w:val="auto"/>
        </w:rPr>
        <w:t>K</w:t>
      </w:r>
      <w:r w:rsidR="0038267C" w:rsidRPr="00E033F1">
        <w:rPr>
          <w:rFonts w:asciiTheme="minorHAnsi" w:hAnsiTheme="minorHAnsi" w:cstheme="minorHAnsi"/>
          <w:color w:val="auto"/>
          <w:vertAlign w:val="subscript"/>
        </w:rPr>
        <w:t>i</w:t>
      </w:r>
      <w:r w:rsidR="00F42BF9" w:rsidRPr="00E033F1">
        <w:rPr>
          <w:rFonts w:asciiTheme="minorHAnsi" w:hAnsiTheme="minorHAnsi" w:cstheme="minorHAnsi"/>
          <w:color w:val="auto"/>
        </w:rPr>
        <w:t>)</w:t>
      </w:r>
      <w:r w:rsidR="00B33C23" w:rsidRPr="00E033F1">
        <w:rPr>
          <w:rFonts w:asciiTheme="minorHAnsi" w:hAnsiTheme="minorHAnsi" w:cstheme="minorHAnsi"/>
          <w:color w:val="auto"/>
        </w:rPr>
        <w:t xml:space="preserve"> that </w:t>
      </w:r>
      <w:r w:rsidR="009077B2" w:rsidRPr="00E033F1">
        <w:rPr>
          <w:rFonts w:asciiTheme="minorHAnsi" w:hAnsiTheme="minorHAnsi" w:cstheme="minorHAnsi"/>
          <w:color w:val="auto"/>
        </w:rPr>
        <w:t xml:space="preserve">represents the </w:t>
      </w:r>
      <w:r w:rsidR="00BF2B8D" w:rsidRPr="00E033F1">
        <w:rPr>
          <w:rFonts w:asciiTheme="minorHAnsi" w:hAnsiTheme="minorHAnsi" w:cstheme="minorHAnsi"/>
          <w:color w:val="auto"/>
        </w:rPr>
        <w:t xml:space="preserve">equilibrium </w:t>
      </w:r>
      <w:r w:rsidR="009077B2" w:rsidRPr="00E033F1">
        <w:rPr>
          <w:rFonts w:asciiTheme="minorHAnsi" w:hAnsiTheme="minorHAnsi" w:cstheme="minorHAnsi"/>
          <w:color w:val="auto"/>
        </w:rPr>
        <w:t>constant</w:t>
      </w:r>
      <w:r w:rsidR="00BF2B8D" w:rsidRPr="00E033F1">
        <w:rPr>
          <w:rFonts w:asciiTheme="minorHAnsi" w:hAnsiTheme="minorHAnsi" w:cstheme="minorHAnsi"/>
          <w:color w:val="auto"/>
        </w:rPr>
        <w:t xml:space="preserve"> of the dissociation</w:t>
      </w:r>
      <w:r w:rsidR="009077B2" w:rsidRPr="00E033F1">
        <w:rPr>
          <w:rFonts w:asciiTheme="minorHAnsi" w:hAnsiTheme="minorHAnsi" w:cstheme="minorHAnsi"/>
          <w:color w:val="auto"/>
        </w:rPr>
        <w:t xml:space="preserve"> between the inhibitor and the enzyme, characteristic of the affinity between these two molecules. These two values are measured </w:t>
      </w:r>
      <w:r w:rsidR="00D1372C" w:rsidRPr="00E033F1">
        <w:rPr>
          <w:rFonts w:asciiTheme="minorHAnsi" w:hAnsiTheme="minorHAnsi" w:cstheme="minorHAnsi"/>
          <w:color w:val="auto"/>
        </w:rPr>
        <w:t xml:space="preserve">by </w:t>
      </w:r>
      <w:r w:rsidR="009077B2" w:rsidRPr="00E033F1">
        <w:rPr>
          <w:rFonts w:asciiTheme="minorHAnsi" w:hAnsiTheme="minorHAnsi" w:cstheme="minorHAnsi"/>
          <w:color w:val="auto"/>
        </w:rPr>
        <w:t xml:space="preserve">non-linear regression and </w:t>
      </w:r>
      <w:r w:rsidR="00D1372C" w:rsidRPr="00E033F1">
        <w:rPr>
          <w:rFonts w:asciiTheme="minorHAnsi" w:hAnsiTheme="minorHAnsi" w:cstheme="minorHAnsi"/>
          <w:color w:val="auto"/>
        </w:rPr>
        <w:t xml:space="preserve">using </w:t>
      </w:r>
      <w:r w:rsidR="009077B2" w:rsidRPr="00E033F1">
        <w:rPr>
          <w:rFonts w:asciiTheme="minorHAnsi" w:hAnsiTheme="minorHAnsi" w:cstheme="minorHAnsi"/>
          <w:color w:val="auto"/>
        </w:rPr>
        <w:t xml:space="preserve">equations </w:t>
      </w:r>
      <w:r w:rsidR="00D1372C" w:rsidRPr="00E033F1">
        <w:rPr>
          <w:rFonts w:asciiTheme="minorHAnsi" w:hAnsiTheme="minorHAnsi" w:cstheme="minorHAnsi"/>
          <w:color w:val="auto"/>
        </w:rPr>
        <w:t xml:space="preserve">specific for each </w:t>
      </w:r>
      <w:r w:rsidR="009077B2" w:rsidRPr="00E033F1">
        <w:rPr>
          <w:rFonts w:asciiTheme="minorHAnsi" w:hAnsiTheme="minorHAnsi" w:cstheme="minorHAnsi"/>
          <w:color w:val="auto"/>
        </w:rPr>
        <w:t>mode of</w:t>
      </w:r>
      <w:r w:rsidR="001B5216" w:rsidRPr="00E033F1">
        <w:rPr>
          <w:rFonts w:asciiTheme="minorHAnsi" w:hAnsiTheme="minorHAnsi" w:cstheme="minorHAnsi"/>
          <w:color w:val="auto"/>
        </w:rPr>
        <w:t xml:space="preserve"> </w:t>
      </w:r>
      <w:r w:rsidR="009077B2" w:rsidRPr="00E033F1">
        <w:rPr>
          <w:rFonts w:asciiTheme="minorHAnsi" w:hAnsiTheme="minorHAnsi" w:cstheme="minorHAnsi"/>
          <w:color w:val="auto"/>
        </w:rPr>
        <w:t xml:space="preserve">inhibition, respectively. </w:t>
      </w:r>
      <w:r w:rsidR="00067A13" w:rsidRPr="00E033F1">
        <w:rPr>
          <w:rFonts w:asciiTheme="minorHAnsi" w:hAnsiTheme="minorHAnsi" w:cstheme="minorHAnsi"/>
          <w:color w:val="auto"/>
        </w:rPr>
        <w:t>We also demonstrate the assessment of th</w:t>
      </w:r>
      <w:r w:rsidR="001B5216" w:rsidRPr="00E033F1">
        <w:rPr>
          <w:rFonts w:asciiTheme="minorHAnsi" w:hAnsiTheme="minorHAnsi" w:cstheme="minorHAnsi"/>
          <w:color w:val="auto"/>
        </w:rPr>
        <w:t>is</w:t>
      </w:r>
      <w:r w:rsidR="00067A13" w:rsidRPr="00E033F1">
        <w:rPr>
          <w:rFonts w:asciiTheme="minorHAnsi" w:hAnsiTheme="minorHAnsi" w:cstheme="minorHAnsi"/>
          <w:color w:val="auto"/>
        </w:rPr>
        <w:t xml:space="preserve"> </w:t>
      </w:r>
      <w:r w:rsidR="001B5216" w:rsidRPr="00E033F1">
        <w:rPr>
          <w:rFonts w:asciiTheme="minorHAnsi" w:hAnsiTheme="minorHAnsi" w:cstheme="minorHAnsi"/>
          <w:color w:val="auto"/>
        </w:rPr>
        <w:t>pattern</w:t>
      </w:r>
      <w:r w:rsidR="00067A13" w:rsidRPr="00E033F1">
        <w:rPr>
          <w:rFonts w:asciiTheme="minorHAnsi" w:hAnsiTheme="minorHAnsi" w:cstheme="minorHAnsi"/>
          <w:color w:val="auto"/>
        </w:rPr>
        <w:t xml:space="preserve"> of inhibition, using Michaelis-Menten </w:t>
      </w:r>
      <w:r w:rsidR="00D1372C" w:rsidRPr="00E033F1">
        <w:rPr>
          <w:rFonts w:asciiTheme="minorHAnsi" w:hAnsiTheme="minorHAnsi" w:cstheme="minorHAnsi"/>
          <w:color w:val="auto"/>
        </w:rPr>
        <w:t>plot</w:t>
      </w:r>
      <w:r w:rsidR="00067A13" w:rsidRPr="00E033F1">
        <w:rPr>
          <w:rFonts w:asciiTheme="minorHAnsi" w:hAnsiTheme="minorHAnsi" w:cstheme="minorHAnsi"/>
          <w:color w:val="auto"/>
        </w:rPr>
        <w:t>s</w:t>
      </w:r>
      <w:r w:rsidR="005E4FAD" w:rsidRPr="00E033F1">
        <w:rPr>
          <w:rFonts w:asciiTheme="minorHAnsi" w:hAnsiTheme="minorHAnsi" w:cstheme="minorHAnsi"/>
          <w:color w:val="auto"/>
        </w:rPr>
        <w:t xml:space="preserve"> to determine the change of V</w:t>
      </w:r>
      <w:r w:rsidR="005E4FAD" w:rsidRPr="00E033F1">
        <w:rPr>
          <w:rFonts w:asciiTheme="minorHAnsi" w:hAnsiTheme="minorHAnsi" w:cstheme="minorHAnsi"/>
          <w:color w:val="auto"/>
          <w:vertAlign w:val="subscript"/>
        </w:rPr>
        <w:t>max</w:t>
      </w:r>
      <w:r w:rsidR="005E4FAD" w:rsidRPr="00E033F1">
        <w:rPr>
          <w:rFonts w:asciiTheme="minorHAnsi" w:hAnsiTheme="minorHAnsi" w:cstheme="minorHAnsi"/>
          <w:color w:val="auto"/>
        </w:rPr>
        <w:t xml:space="preserve"> and K</w:t>
      </w:r>
      <w:r w:rsidR="005E4FAD" w:rsidRPr="00E033F1">
        <w:rPr>
          <w:rFonts w:asciiTheme="minorHAnsi" w:hAnsiTheme="minorHAnsi" w:cstheme="minorHAnsi"/>
          <w:color w:val="auto"/>
          <w:vertAlign w:val="subscript"/>
        </w:rPr>
        <w:t>m</w:t>
      </w:r>
      <w:r w:rsidR="005E4FAD" w:rsidRPr="00E033F1">
        <w:rPr>
          <w:rFonts w:asciiTheme="minorHAnsi" w:hAnsiTheme="minorHAnsi" w:cstheme="minorHAnsi"/>
          <w:color w:val="auto"/>
        </w:rPr>
        <w:t xml:space="preserve"> after addition of the inhibitor</w:t>
      </w:r>
      <w:r w:rsidR="00B33C23" w:rsidRPr="00E033F1">
        <w:rPr>
          <w:rFonts w:asciiTheme="minorHAnsi" w:hAnsiTheme="minorHAnsi" w:cstheme="minorHAnsi"/>
          <w:color w:val="auto"/>
        </w:rPr>
        <w:fldChar w:fldCharType="begin"/>
      </w:r>
      <w:r w:rsidR="00B33C23" w:rsidRPr="00E033F1">
        <w:rPr>
          <w:rFonts w:asciiTheme="minorHAnsi" w:hAnsiTheme="minorHAnsi" w:cstheme="minorHAnsi"/>
          <w:color w:val="auto"/>
        </w:rPr>
        <w:instrText xml:space="preserve"> ADDIN ZOTERO_ITEM CSL_CITATION {"citationID":"aZsfJc6B","properties":{"formattedCitation":"\\super 23, 25, 26\\nosupersub{}","plainCitation":"23, 25, 26","noteIndex":0},"citationItems":[{"id":427,"uris":["http://zotero.org/users/local/bXXP6LKp/items/M9JVJ8PR"],"uri":["http://zotero.org/users/local/bXXP6LKp/items/M9JVJ8PR"],"itemData":{"id":427,"type":"article-journal","abstract":"Nearly 100 years ago Michaelis and Menten published their now classic paper (Michaelis, L., and Menten, M. L. (1913) Die Kinetik der Invertinwirkung, Biochemische Zeitschrift 49, 333–369), in which they show that the rate of an enzyme-catalyzed reaction is proportional to the concentration of enzyme-substrate complex predicted by the Michaelis-Menten equation. Because the original text was written in German, yet is often quoted by English speaking authors, we undertook a complete translation of the 1913 publication, which we provide as an  (http://pubs.acs.org). Here we introduce the translation, describe the historical context of the work, and show a new analysis of the original data. In doing so, we uncovered several surprises that reveal an interesting glimpse into the early history of enzymology. In particular, our re-analysis of Michaelis and Menten’s data using modern computational methods revealed an unanticipated rigor and precision in the original publication and uncovered a sophisticated, comprehensive analysis that has been overlooked in the century since their work was published. Michaelis and Menten not only analyzed initial velocity measurements, but they also fit their full time course data to the integrated form of the rate equations, including product inhibition, and derived a single global constant to represent all of their data. That constant was not the Michaelis constant, but rather, Vmax/Km, the specificity constant times the enzyme concentration (kcat/Km*E0).","container-title":"Biochemistry","DOI":"10.1021/bi201284u","ISSN":"0006-2960","issue":"39","journalAbbreviation":"Biochemistry","note":"PMID: 21888353\nPMCID: PMC3381512","page":"8264-8269","source":"PubMed Central","title":"The Original Michaelis Constant: Translation of the 1913 Michaelis-Menten Paper","title-short":"The Original Michaelis Constant","volume":"50","author":[{"family":"Johnson","given":"Kenneth A."},{"family":"Goody","given":"Roger S."}],"issued":{"date-parts":[["2011",10,4]]}}},{"id":144,"uris":["http://zotero.org/users/local/bXXP6LKp/items/JDNEA635"],"uri":["http://zotero.org/users/local/bXXP6LKp/items/JDNEA635"],"itemData":{"id":144,"type":"article-journal","abstract":"The essential requirements for enzyme assays are described and frequently occurring errors and pitfalls as well as their avoidance are discussed. The main factors, which must be considered for assaying enzymes, are temperature, pH, ionic strength and the proper concentrations of the essential components like substrates and enzymes. Standardization of these parameters would be desirable, but the diversity of the features of different enzymes prevents unification of assay conditions. Nevertheless, many enzymes, especially those from mammalian sources, possess a pH optimum near the physiological pH of 7.5, and the body temperature of about 37°C can serve as assay temperature, although because of experimental reasons frequently 25°C is preferred. But in many cases the particular features of the individual enzyme dictate special assay conditions, which can deviate considerably from recommended conditions. In addition, exact values for the concentrations of assay components such as substrates and enzymes cannot be given, unless general rules depending on the relative degree of saturation can be stated. Rules for performing the enzyme assay, appropriate handling, methodical aspects, preparation of assay mixtures and blanks, choice of the assay time, are discussed and suggestions to avoid frequent and trivial errors are given. Particularities of more complex enzyme assays, including reversible reactions and coupled tests are considered. Finally the treatment of experimental data to estimate the enzyme activity is described. The procedure for determining the initial enzyme velocity and its transformation into defined enzyme units as well as suggestions for documentation of the results are presented.","collection-title":"Reporting Enzymology Data – STRENDA Recommendations and Beyond","container-title":"Perspectives in Science","DOI":"10.1016/j.pisc.2014.02.005","ISSN":"2213-0209","issue":"1","journalAbbreviation":"Perspectives in Science","page":"41-55","source":"ScienceDirect","title":"Enzyme assays","volume":"1","author":[{"family":"Bisswanger","given":"Hans"}],"issued":{"date-parts":[["2014",5,1]]}}},{"id":280,"uris":["http://zotero.org/users/local/bXXP6LKp/items/SLFA6DSF"],"uri":["http://zotero.org/users/local/bXXP6LKp/items/SLFA6DSF"],"itemData":{"id":280,"type":"article-journal","abstract":"This review describes the key steps and methods which are used to develop enzyme assays suitable for high-throughput screening (HTS) applications. The goals of HTS enzyme assays are defined relative to lower-throughput bench top assays and important aspects which go into constructing robust and sensitive enzyme assays are described. Methods that have been applied to common enzyme classes are reviewed and pitfalls related to assay artifacts are discussed. We also suggest a reporting format to describe the steps in HTS enzyme assays.","collection-title":"Reporting Enzymology Data – STRENDA Recommendations and Beyond","container-title":"Perspectives in Science","DOI":"10.1016/j.pisc.2013.12.001","ISSN":"2213-0209","issue":"1","journalAbbreviation":"Perspectives in Science","page":"56-73","source":"ScienceDirect","title":"Considerations for the design and reporting of enzyme assays in high-throughput screening applications","volume":"1","author":[{"family":"Acker","given":"Michael G."},{"family":"Auld","given":"Douglas S."}],"issued":{"date-parts":[["2014",5,1]]}}}],"schema":"https://github.com/citation-style-language/schema/raw/master/csl-citation.json"} </w:instrText>
      </w:r>
      <w:r w:rsidR="00B33C23" w:rsidRPr="00E033F1">
        <w:rPr>
          <w:rFonts w:asciiTheme="minorHAnsi" w:hAnsiTheme="minorHAnsi" w:cstheme="minorHAnsi"/>
          <w:color w:val="auto"/>
        </w:rPr>
        <w:fldChar w:fldCharType="separate"/>
      </w:r>
      <w:r w:rsidR="00B33C23" w:rsidRPr="00E033F1">
        <w:rPr>
          <w:color w:val="auto"/>
          <w:vertAlign w:val="superscript"/>
        </w:rPr>
        <w:t>23,25,26</w:t>
      </w:r>
      <w:r w:rsidR="00B33C23" w:rsidRPr="00E033F1">
        <w:rPr>
          <w:rFonts w:asciiTheme="minorHAnsi" w:hAnsiTheme="minorHAnsi" w:cstheme="minorHAnsi"/>
          <w:color w:val="auto"/>
        </w:rPr>
        <w:fldChar w:fldCharType="end"/>
      </w:r>
      <w:r w:rsidR="00067A13" w:rsidRPr="00E033F1">
        <w:rPr>
          <w:rFonts w:asciiTheme="minorHAnsi" w:hAnsiTheme="minorHAnsi" w:cstheme="minorHAnsi"/>
          <w:color w:val="auto"/>
        </w:rPr>
        <w:t xml:space="preserve">. </w:t>
      </w:r>
    </w:p>
    <w:p w14:paraId="4211ABFB" w14:textId="0255B942" w:rsidR="008F28C8" w:rsidRPr="00E033F1" w:rsidRDefault="008F28C8" w:rsidP="00E033F1">
      <w:pPr>
        <w:contextualSpacing/>
        <w:rPr>
          <w:rFonts w:asciiTheme="minorHAnsi" w:hAnsiTheme="minorHAnsi" w:cstheme="minorHAnsi"/>
          <w:color w:val="auto"/>
        </w:rPr>
      </w:pPr>
    </w:p>
    <w:p w14:paraId="05A44343" w14:textId="0623D3F9" w:rsidR="007C543A" w:rsidRPr="00E033F1" w:rsidRDefault="006305D7" w:rsidP="00E033F1">
      <w:pPr>
        <w:widowControl/>
        <w:autoSpaceDE/>
        <w:autoSpaceDN/>
        <w:adjustRightInd/>
        <w:contextualSpacing/>
        <w:jc w:val="left"/>
        <w:rPr>
          <w:rFonts w:asciiTheme="minorHAnsi" w:hAnsiTheme="minorHAnsi" w:cstheme="minorHAnsi"/>
          <w:color w:val="auto"/>
        </w:rPr>
      </w:pPr>
      <w:r w:rsidRPr="00E033F1">
        <w:rPr>
          <w:rFonts w:asciiTheme="minorHAnsi" w:hAnsiTheme="minorHAnsi" w:cstheme="minorHAnsi"/>
          <w:b/>
          <w:color w:val="auto"/>
        </w:rPr>
        <w:t>PROTOCOL:</w:t>
      </w:r>
      <w:r w:rsidRPr="00E033F1">
        <w:rPr>
          <w:rFonts w:asciiTheme="minorHAnsi" w:hAnsiTheme="minorHAnsi" w:cstheme="minorHAnsi"/>
          <w:color w:val="auto"/>
        </w:rPr>
        <w:t xml:space="preserve"> </w:t>
      </w:r>
    </w:p>
    <w:p w14:paraId="2787AAC9" w14:textId="77777777" w:rsidR="00B33C23" w:rsidRPr="00E033F1" w:rsidRDefault="00B33C23" w:rsidP="00E033F1">
      <w:pPr>
        <w:widowControl/>
        <w:autoSpaceDE/>
        <w:autoSpaceDN/>
        <w:adjustRightInd/>
        <w:contextualSpacing/>
        <w:jc w:val="left"/>
        <w:rPr>
          <w:rFonts w:asciiTheme="minorHAnsi" w:hAnsiTheme="minorHAnsi" w:cstheme="minorHAnsi"/>
          <w:color w:val="auto"/>
        </w:rPr>
      </w:pPr>
    </w:p>
    <w:p w14:paraId="7D7F4E96" w14:textId="43D77164" w:rsidR="00F97205" w:rsidRPr="00E033F1" w:rsidRDefault="00F97205" w:rsidP="00E033F1">
      <w:pPr>
        <w:pStyle w:val="ListParagraph"/>
        <w:numPr>
          <w:ilvl w:val="0"/>
          <w:numId w:val="31"/>
        </w:numPr>
        <w:ind w:left="0" w:firstLine="0"/>
        <w:rPr>
          <w:rFonts w:asciiTheme="minorHAnsi" w:hAnsiTheme="minorHAnsi" w:cstheme="minorHAnsi"/>
          <w:b/>
          <w:color w:val="auto"/>
        </w:rPr>
      </w:pPr>
      <w:r w:rsidRPr="00E033F1">
        <w:rPr>
          <w:rFonts w:asciiTheme="minorHAnsi" w:hAnsiTheme="minorHAnsi" w:cstheme="minorHAnsi"/>
          <w:b/>
          <w:color w:val="auto"/>
        </w:rPr>
        <w:t xml:space="preserve">Preparation of the </w:t>
      </w:r>
      <w:r w:rsidR="00606975" w:rsidRPr="00E033F1">
        <w:rPr>
          <w:rFonts w:asciiTheme="minorHAnsi" w:hAnsiTheme="minorHAnsi" w:cstheme="minorHAnsi"/>
          <w:b/>
          <w:color w:val="auto"/>
        </w:rPr>
        <w:t>GST</w:t>
      </w:r>
      <w:r w:rsidR="007B0FC7" w:rsidRPr="00E033F1">
        <w:rPr>
          <w:rFonts w:asciiTheme="minorHAnsi" w:hAnsiTheme="minorHAnsi" w:cstheme="minorHAnsi"/>
          <w:b/>
          <w:color w:val="auto"/>
        </w:rPr>
        <w:t xml:space="preserve"> enzyme</w:t>
      </w:r>
      <w:r w:rsidR="00357CEE" w:rsidRPr="00E033F1">
        <w:rPr>
          <w:rFonts w:asciiTheme="minorHAnsi" w:hAnsiTheme="minorHAnsi" w:cstheme="minorHAnsi"/>
          <w:b/>
          <w:color w:val="auto"/>
        </w:rPr>
        <w:t xml:space="preserve"> solution</w:t>
      </w:r>
    </w:p>
    <w:p w14:paraId="17F6C742" w14:textId="77777777" w:rsidR="00F97205" w:rsidRPr="00E033F1" w:rsidRDefault="00F97205" w:rsidP="00E033F1">
      <w:pPr>
        <w:pStyle w:val="ListParagraph"/>
        <w:ind w:left="0"/>
        <w:rPr>
          <w:rFonts w:asciiTheme="minorHAnsi" w:hAnsiTheme="minorHAnsi" w:cstheme="minorHAnsi"/>
          <w:b/>
          <w:color w:val="auto"/>
        </w:rPr>
      </w:pPr>
    </w:p>
    <w:p w14:paraId="782578AB" w14:textId="54BDA791" w:rsidR="00B53F04" w:rsidRPr="00E033F1" w:rsidRDefault="00F97205"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 xml:space="preserve">NOTE: The </w:t>
      </w:r>
      <w:r w:rsidR="00F478CA" w:rsidRPr="00E033F1">
        <w:rPr>
          <w:rFonts w:asciiTheme="minorHAnsi" w:hAnsiTheme="minorHAnsi" w:cstheme="minorHAnsi"/>
          <w:color w:val="auto"/>
        </w:rPr>
        <w:t xml:space="preserve">procedure </w:t>
      </w:r>
      <w:r w:rsidR="00061B79" w:rsidRPr="00E033F1">
        <w:rPr>
          <w:rFonts w:asciiTheme="minorHAnsi" w:hAnsiTheme="minorHAnsi" w:cstheme="minorHAnsi"/>
          <w:color w:val="auto"/>
        </w:rPr>
        <w:t>for</w:t>
      </w:r>
      <w:r w:rsidRPr="00E033F1">
        <w:rPr>
          <w:rFonts w:asciiTheme="minorHAnsi" w:hAnsiTheme="minorHAnsi" w:cstheme="minorHAnsi"/>
          <w:color w:val="auto"/>
        </w:rPr>
        <w:t xml:space="preserve"> prepar</w:t>
      </w:r>
      <w:r w:rsidR="00061B79" w:rsidRPr="00E033F1">
        <w:rPr>
          <w:rFonts w:asciiTheme="minorHAnsi" w:hAnsiTheme="minorHAnsi" w:cstheme="minorHAnsi"/>
          <w:color w:val="auto"/>
        </w:rPr>
        <w:t>ing</w:t>
      </w:r>
      <w:r w:rsidRPr="00E033F1">
        <w:rPr>
          <w:rFonts w:asciiTheme="minorHAnsi" w:hAnsiTheme="minorHAnsi" w:cstheme="minorHAnsi"/>
          <w:color w:val="auto"/>
        </w:rPr>
        <w:t xml:space="preserve"> the enzyme solution depend</w:t>
      </w:r>
      <w:r w:rsidR="00061B79" w:rsidRPr="00E033F1">
        <w:rPr>
          <w:rFonts w:asciiTheme="minorHAnsi" w:hAnsiTheme="minorHAnsi" w:cstheme="minorHAnsi"/>
          <w:color w:val="auto"/>
        </w:rPr>
        <w:t>s</w:t>
      </w:r>
      <w:r w:rsidRPr="00E033F1">
        <w:rPr>
          <w:rFonts w:asciiTheme="minorHAnsi" w:hAnsiTheme="minorHAnsi" w:cstheme="minorHAnsi"/>
          <w:color w:val="auto"/>
        </w:rPr>
        <w:t xml:space="preserve"> </w:t>
      </w:r>
      <w:r w:rsidR="00F478CA" w:rsidRPr="00E033F1">
        <w:rPr>
          <w:rFonts w:asciiTheme="minorHAnsi" w:hAnsiTheme="minorHAnsi" w:cstheme="minorHAnsi"/>
          <w:color w:val="auto"/>
        </w:rPr>
        <w:t xml:space="preserve">upon </w:t>
      </w:r>
      <w:proofErr w:type="gramStart"/>
      <w:r w:rsidR="00F478CA" w:rsidRPr="00E033F1">
        <w:rPr>
          <w:rFonts w:asciiTheme="minorHAnsi" w:hAnsiTheme="minorHAnsi" w:cstheme="minorHAnsi"/>
          <w:color w:val="auto"/>
        </w:rPr>
        <w:t xml:space="preserve">whether </w:t>
      </w:r>
      <w:r w:rsidR="00061B79" w:rsidRPr="00E033F1">
        <w:rPr>
          <w:rFonts w:asciiTheme="minorHAnsi" w:hAnsiTheme="minorHAnsi" w:cstheme="minorHAnsi"/>
          <w:color w:val="auto"/>
        </w:rPr>
        <w:t>or not</w:t>
      </w:r>
      <w:proofErr w:type="gramEnd"/>
      <w:r w:rsidR="00061B79" w:rsidRPr="00E033F1">
        <w:rPr>
          <w:rFonts w:asciiTheme="minorHAnsi" w:hAnsiTheme="minorHAnsi" w:cstheme="minorHAnsi"/>
          <w:color w:val="auto"/>
        </w:rPr>
        <w:t xml:space="preserve"> </w:t>
      </w:r>
      <w:r w:rsidRPr="00E033F1">
        <w:rPr>
          <w:rFonts w:asciiTheme="minorHAnsi" w:hAnsiTheme="minorHAnsi" w:cstheme="minorHAnsi"/>
          <w:color w:val="auto"/>
        </w:rPr>
        <w:t xml:space="preserve">the </w:t>
      </w:r>
      <w:r w:rsidR="00061B79" w:rsidRPr="00E033F1">
        <w:rPr>
          <w:rFonts w:asciiTheme="minorHAnsi" w:hAnsiTheme="minorHAnsi" w:cstheme="minorHAnsi"/>
          <w:color w:val="auto"/>
        </w:rPr>
        <w:t xml:space="preserve">units of </w:t>
      </w:r>
      <w:r w:rsidRPr="00E033F1">
        <w:rPr>
          <w:rFonts w:asciiTheme="minorHAnsi" w:hAnsiTheme="minorHAnsi" w:cstheme="minorHAnsi"/>
          <w:color w:val="auto"/>
        </w:rPr>
        <w:t>enzymatic activity</w:t>
      </w:r>
      <w:r w:rsidR="00C0271D" w:rsidRPr="00E033F1">
        <w:rPr>
          <w:rFonts w:asciiTheme="minorHAnsi" w:hAnsiTheme="minorHAnsi" w:cstheme="minorHAnsi"/>
          <w:color w:val="auto"/>
        </w:rPr>
        <w:t xml:space="preserve"> </w:t>
      </w:r>
      <w:r w:rsidR="00061B79" w:rsidRPr="00E033F1">
        <w:rPr>
          <w:rFonts w:asciiTheme="minorHAnsi" w:hAnsiTheme="minorHAnsi" w:cstheme="minorHAnsi"/>
          <w:color w:val="auto"/>
        </w:rPr>
        <w:t>are</w:t>
      </w:r>
      <w:r w:rsidRPr="00E033F1">
        <w:rPr>
          <w:rFonts w:asciiTheme="minorHAnsi" w:hAnsiTheme="minorHAnsi" w:cstheme="minorHAnsi"/>
          <w:color w:val="auto"/>
        </w:rPr>
        <w:t xml:space="preserve"> known before the assay. </w:t>
      </w:r>
      <w:r w:rsidR="00B53F04" w:rsidRPr="00E033F1">
        <w:rPr>
          <w:rFonts w:asciiTheme="minorHAnsi" w:hAnsiTheme="minorHAnsi" w:cstheme="minorHAnsi"/>
          <w:color w:val="auto"/>
        </w:rPr>
        <w:t xml:space="preserve">One </w:t>
      </w:r>
      <w:r w:rsidR="0030016B" w:rsidRPr="00E033F1">
        <w:rPr>
          <w:rFonts w:asciiTheme="minorHAnsi" w:hAnsiTheme="minorHAnsi" w:cstheme="minorHAnsi"/>
          <w:color w:val="auto"/>
        </w:rPr>
        <w:t xml:space="preserve">enzymatic </w:t>
      </w:r>
      <w:r w:rsidR="00B53F04" w:rsidRPr="00E033F1">
        <w:rPr>
          <w:rFonts w:asciiTheme="minorHAnsi" w:hAnsiTheme="minorHAnsi" w:cstheme="minorHAnsi"/>
          <w:color w:val="auto"/>
        </w:rPr>
        <w:t xml:space="preserve">unit is the amount of enzyme </w:t>
      </w:r>
      <w:r w:rsidR="00B53F04" w:rsidRPr="00E033F1">
        <w:rPr>
          <w:rFonts w:asciiTheme="minorHAnsi" w:hAnsiTheme="minorHAnsi" w:cstheme="minorHAnsi"/>
          <w:color w:val="auto"/>
        </w:rPr>
        <w:lastRenderedPageBreak/>
        <w:t>needed to synthesize 1</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B53F04" w:rsidRPr="00E033F1">
        <w:rPr>
          <w:rFonts w:asciiTheme="minorHAnsi" w:hAnsiTheme="minorHAnsi" w:cstheme="minorHAnsi"/>
          <w:color w:val="auto"/>
        </w:rPr>
        <w:t>mol</w:t>
      </w:r>
      <w:r w:rsidR="0030016B" w:rsidRPr="00E033F1">
        <w:rPr>
          <w:rFonts w:asciiTheme="minorHAnsi" w:hAnsiTheme="minorHAnsi" w:cstheme="minorHAnsi"/>
          <w:color w:val="auto"/>
        </w:rPr>
        <w:t xml:space="preserve"> of product per minute</w:t>
      </w:r>
      <w:r w:rsidR="00B53F04" w:rsidRPr="00E033F1">
        <w:rPr>
          <w:rFonts w:asciiTheme="minorHAnsi" w:hAnsiTheme="minorHAnsi" w:cstheme="minorHAnsi"/>
          <w:color w:val="auto"/>
        </w:rPr>
        <w:t xml:space="preserve">. </w:t>
      </w:r>
      <w:r w:rsidR="00C0271D" w:rsidRPr="00E033F1">
        <w:rPr>
          <w:rFonts w:asciiTheme="minorHAnsi" w:hAnsiTheme="minorHAnsi" w:cstheme="minorHAnsi"/>
          <w:color w:val="auto"/>
        </w:rPr>
        <w:t>Enzymatic activity is</w:t>
      </w:r>
      <w:r w:rsidR="00A76E75" w:rsidRPr="00E033F1">
        <w:rPr>
          <w:rFonts w:asciiTheme="minorHAnsi" w:hAnsiTheme="minorHAnsi" w:cstheme="minorHAnsi"/>
          <w:color w:val="auto"/>
        </w:rPr>
        <w:t xml:space="preserve"> represented in</w:t>
      </w:r>
      <w:r w:rsidR="00C0271D" w:rsidRPr="00E033F1">
        <w:rPr>
          <w:rFonts w:asciiTheme="minorHAnsi" w:hAnsiTheme="minorHAnsi" w:cstheme="minorHAnsi"/>
          <w:color w:val="auto"/>
        </w:rPr>
        <w:t xml:space="preserve"> unit/</w:t>
      </w:r>
      <w:r w:rsidR="00140D24" w:rsidRPr="00E033F1">
        <w:rPr>
          <w:rFonts w:asciiTheme="minorHAnsi" w:hAnsiTheme="minorHAnsi" w:cstheme="minorHAnsi"/>
          <w:color w:val="auto"/>
        </w:rPr>
        <w:t>mL</w:t>
      </w:r>
      <w:r w:rsidR="00A76E75" w:rsidRPr="00E033F1">
        <w:rPr>
          <w:rFonts w:asciiTheme="minorHAnsi" w:hAnsiTheme="minorHAnsi" w:cstheme="minorHAnsi"/>
          <w:color w:val="auto"/>
        </w:rPr>
        <w:t xml:space="preserve"> or </w:t>
      </w:r>
      <w:r w:rsidR="00B33C23" w:rsidRPr="00E033F1">
        <w:rPr>
          <w:rFonts w:asciiTheme="minorHAnsi" w:hAnsiTheme="minorHAnsi" w:cstheme="minorHAnsi"/>
          <w:color w:val="auto"/>
        </w:rPr>
        <w:t>µ</w:t>
      </w:r>
      <w:r w:rsidR="00A76E75" w:rsidRPr="00E033F1">
        <w:rPr>
          <w:rFonts w:asciiTheme="minorHAnsi" w:hAnsiTheme="minorHAnsi" w:cstheme="minorHAnsi"/>
          <w:color w:val="auto"/>
        </w:rPr>
        <w:t>mol/min/mL</w:t>
      </w:r>
      <w:r w:rsidR="00C0271D" w:rsidRPr="00E033F1">
        <w:rPr>
          <w:rFonts w:asciiTheme="minorHAnsi" w:hAnsiTheme="minorHAnsi" w:cstheme="minorHAnsi"/>
          <w:color w:val="auto"/>
        </w:rPr>
        <w:t xml:space="preserve"> and depend</w:t>
      </w:r>
      <w:r w:rsidR="002F5237" w:rsidRPr="00E033F1">
        <w:rPr>
          <w:rFonts w:asciiTheme="minorHAnsi" w:hAnsiTheme="minorHAnsi" w:cstheme="minorHAnsi"/>
          <w:color w:val="auto"/>
        </w:rPr>
        <w:t>s</w:t>
      </w:r>
      <w:r w:rsidR="00C0271D" w:rsidRPr="00E033F1">
        <w:rPr>
          <w:rFonts w:asciiTheme="minorHAnsi" w:hAnsiTheme="minorHAnsi" w:cstheme="minorHAnsi"/>
          <w:color w:val="auto"/>
        </w:rPr>
        <w:t xml:space="preserve"> on the dilution of the enzymatic solution. Specific enzymatic activity is </w:t>
      </w:r>
      <w:r w:rsidR="002F5237" w:rsidRPr="00E033F1">
        <w:rPr>
          <w:rFonts w:asciiTheme="minorHAnsi" w:hAnsiTheme="minorHAnsi" w:cstheme="minorHAnsi"/>
          <w:color w:val="auto"/>
        </w:rPr>
        <w:t xml:space="preserve">represented </w:t>
      </w:r>
      <w:r w:rsidR="00C0271D" w:rsidRPr="00E033F1">
        <w:rPr>
          <w:rFonts w:asciiTheme="minorHAnsi" w:hAnsiTheme="minorHAnsi" w:cstheme="minorHAnsi"/>
          <w:color w:val="auto"/>
        </w:rPr>
        <w:t>in unit/mg</w:t>
      </w:r>
      <w:r w:rsidR="00A76E75" w:rsidRPr="00E033F1">
        <w:rPr>
          <w:rFonts w:asciiTheme="minorHAnsi" w:hAnsiTheme="minorHAnsi" w:cstheme="minorHAnsi"/>
          <w:color w:val="auto"/>
        </w:rPr>
        <w:t xml:space="preserve"> or </w:t>
      </w:r>
      <w:r w:rsidR="00B33C23" w:rsidRPr="00E033F1">
        <w:rPr>
          <w:rFonts w:asciiTheme="minorHAnsi" w:hAnsiTheme="minorHAnsi" w:cstheme="minorHAnsi"/>
          <w:color w:val="auto"/>
        </w:rPr>
        <w:t>µ</w:t>
      </w:r>
      <w:r w:rsidR="00A76E75" w:rsidRPr="00E033F1">
        <w:rPr>
          <w:rFonts w:asciiTheme="minorHAnsi" w:hAnsiTheme="minorHAnsi" w:cstheme="minorHAnsi"/>
          <w:color w:val="auto"/>
        </w:rPr>
        <w:t>mol/min/mg</w:t>
      </w:r>
      <w:r w:rsidR="00C0271D" w:rsidRPr="00E033F1">
        <w:rPr>
          <w:rFonts w:asciiTheme="minorHAnsi" w:hAnsiTheme="minorHAnsi" w:cstheme="minorHAnsi"/>
          <w:color w:val="auto"/>
        </w:rPr>
        <w:t xml:space="preserve"> and depend</w:t>
      </w:r>
      <w:r w:rsidR="00A76E75" w:rsidRPr="00E033F1">
        <w:rPr>
          <w:rFonts w:asciiTheme="minorHAnsi" w:hAnsiTheme="minorHAnsi" w:cstheme="minorHAnsi"/>
          <w:color w:val="auto"/>
        </w:rPr>
        <w:t>s</w:t>
      </w:r>
      <w:r w:rsidR="00C0271D" w:rsidRPr="00E033F1">
        <w:rPr>
          <w:rFonts w:asciiTheme="minorHAnsi" w:hAnsiTheme="minorHAnsi" w:cstheme="minorHAnsi"/>
          <w:color w:val="auto"/>
        </w:rPr>
        <w:t xml:space="preserve"> </w:t>
      </w:r>
      <w:r w:rsidR="002F5237" w:rsidRPr="00E033F1">
        <w:rPr>
          <w:rFonts w:asciiTheme="minorHAnsi" w:hAnsiTheme="minorHAnsi" w:cstheme="minorHAnsi"/>
          <w:color w:val="auto"/>
        </w:rPr>
        <w:t>solely</w:t>
      </w:r>
      <w:r w:rsidR="0030016B" w:rsidRPr="00E033F1">
        <w:rPr>
          <w:rFonts w:asciiTheme="minorHAnsi" w:hAnsiTheme="minorHAnsi" w:cstheme="minorHAnsi"/>
          <w:color w:val="auto"/>
        </w:rPr>
        <w:t xml:space="preserve"> on</w:t>
      </w:r>
      <w:r w:rsidR="00C0271D" w:rsidRPr="00E033F1">
        <w:rPr>
          <w:rFonts w:asciiTheme="minorHAnsi" w:hAnsiTheme="minorHAnsi" w:cstheme="minorHAnsi"/>
          <w:color w:val="auto"/>
        </w:rPr>
        <w:t xml:space="preserve"> the purity of the solution.</w:t>
      </w:r>
      <w:r w:rsidR="0030016B" w:rsidRPr="00E033F1">
        <w:rPr>
          <w:rFonts w:asciiTheme="minorHAnsi" w:hAnsiTheme="minorHAnsi" w:cstheme="minorHAnsi"/>
          <w:color w:val="auto"/>
        </w:rPr>
        <w:t xml:space="preserve"> </w:t>
      </w:r>
      <w:r w:rsidR="002F5237" w:rsidRPr="00E033F1">
        <w:rPr>
          <w:rFonts w:asciiTheme="minorHAnsi" w:hAnsiTheme="minorHAnsi" w:cstheme="minorHAnsi"/>
          <w:color w:val="auto"/>
        </w:rPr>
        <w:t>B</w:t>
      </w:r>
      <w:r w:rsidR="00A76E75" w:rsidRPr="00E033F1">
        <w:rPr>
          <w:rFonts w:asciiTheme="minorHAnsi" w:hAnsiTheme="minorHAnsi" w:cstheme="minorHAnsi"/>
          <w:color w:val="auto"/>
        </w:rPr>
        <w:t>oth these characteristics are determined</w:t>
      </w:r>
      <w:r w:rsidR="002F5237" w:rsidRPr="00E033F1">
        <w:rPr>
          <w:rFonts w:asciiTheme="minorHAnsi" w:hAnsiTheme="minorHAnsi" w:cstheme="minorHAnsi"/>
          <w:color w:val="auto"/>
        </w:rPr>
        <w:t xml:space="preserve"> below</w:t>
      </w:r>
      <w:r w:rsidR="00A76E75" w:rsidRPr="00E033F1">
        <w:rPr>
          <w:rFonts w:asciiTheme="minorHAnsi" w:hAnsiTheme="minorHAnsi" w:cstheme="minorHAnsi"/>
          <w:color w:val="auto"/>
        </w:rPr>
        <w:t>.</w:t>
      </w:r>
      <w:r w:rsidR="001C4A31" w:rsidRPr="00E033F1">
        <w:rPr>
          <w:rFonts w:asciiTheme="minorHAnsi" w:hAnsiTheme="minorHAnsi" w:cstheme="minorHAnsi"/>
          <w:color w:val="auto"/>
        </w:rPr>
        <w:t xml:space="preserve"> If the enzymatic unit of an isolated GST isoform is unknown, it must be estimated to adjust the enzymatic concentrations for each reaction</w:t>
      </w:r>
      <w:r w:rsidR="005358E1" w:rsidRPr="00E033F1">
        <w:rPr>
          <w:rFonts w:asciiTheme="minorHAnsi" w:hAnsiTheme="minorHAnsi" w:cstheme="minorHAnsi"/>
          <w:color w:val="auto"/>
        </w:rPr>
        <w:t xml:space="preserve"> and provide reproducible results</w:t>
      </w:r>
      <w:r w:rsidR="001C4A31" w:rsidRPr="00E033F1">
        <w:rPr>
          <w:rFonts w:asciiTheme="minorHAnsi" w:hAnsiTheme="minorHAnsi" w:cstheme="minorHAnsi"/>
          <w:color w:val="auto"/>
        </w:rPr>
        <w:t>.</w:t>
      </w:r>
    </w:p>
    <w:p w14:paraId="46DA9447" w14:textId="77777777" w:rsidR="00F97205" w:rsidRPr="00E033F1" w:rsidRDefault="00F97205" w:rsidP="00E033F1">
      <w:pPr>
        <w:pStyle w:val="ListParagraph"/>
        <w:ind w:left="0"/>
        <w:rPr>
          <w:rFonts w:asciiTheme="minorHAnsi" w:hAnsiTheme="minorHAnsi" w:cstheme="minorHAnsi"/>
          <w:color w:val="auto"/>
        </w:rPr>
      </w:pPr>
    </w:p>
    <w:p w14:paraId="4A774F6B" w14:textId="4D93F9D8" w:rsidR="00F97205" w:rsidRPr="00E033F1" w:rsidRDefault="00B33C23" w:rsidP="00E033F1">
      <w:pPr>
        <w:pStyle w:val="ListParagraph"/>
        <w:numPr>
          <w:ilvl w:val="1"/>
          <w:numId w:val="31"/>
        </w:numPr>
        <w:ind w:left="0" w:firstLine="0"/>
        <w:rPr>
          <w:rFonts w:asciiTheme="minorHAnsi" w:hAnsiTheme="minorHAnsi" w:cstheme="minorHAnsi"/>
          <w:bCs/>
          <w:color w:val="auto"/>
        </w:rPr>
      </w:pPr>
      <w:bookmarkStart w:id="1" w:name="_Hlk28271961"/>
      <w:r w:rsidRPr="00E033F1">
        <w:rPr>
          <w:rFonts w:asciiTheme="minorHAnsi" w:hAnsiTheme="minorHAnsi" w:cstheme="minorHAnsi"/>
          <w:bCs/>
          <w:color w:val="auto"/>
        </w:rPr>
        <w:t xml:space="preserve">If the </w:t>
      </w:r>
      <w:r w:rsidR="00F97205" w:rsidRPr="00E033F1">
        <w:rPr>
          <w:rFonts w:asciiTheme="minorHAnsi" w:hAnsiTheme="minorHAnsi" w:cstheme="minorHAnsi"/>
          <w:bCs/>
          <w:color w:val="auto"/>
        </w:rPr>
        <w:t xml:space="preserve">enzymatic unit of the GST used </w:t>
      </w:r>
      <w:r w:rsidR="002F5237" w:rsidRPr="00E033F1">
        <w:rPr>
          <w:rFonts w:asciiTheme="minorHAnsi" w:hAnsiTheme="minorHAnsi" w:cstheme="minorHAnsi"/>
          <w:bCs/>
          <w:color w:val="auto"/>
        </w:rPr>
        <w:t>in</w:t>
      </w:r>
      <w:r w:rsidR="00F97205" w:rsidRPr="00E033F1">
        <w:rPr>
          <w:rFonts w:asciiTheme="minorHAnsi" w:hAnsiTheme="minorHAnsi" w:cstheme="minorHAnsi"/>
          <w:bCs/>
          <w:color w:val="auto"/>
        </w:rPr>
        <w:t xml:space="preserve"> the assay is known</w:t>
      </w:r>
      <w:r w:rsidRPr="00E033F1">
        <w:rPr>
          <w:rFonts w:asciiTheme="minorHAnsi" w:hAnsiTheme="minorHAnsi" w:cstheme="minorHAnsi"/>
          <w:bCs/>
          <w:color w:val="auto"/>
        </w:rPr>
        <w:t>:</w:t>
      </w:r>
    </w:p>
    <w:p w14:paraId="5E2E9DBA" w14:textId="77777777" w:rsidR="00F97205" w:rsidRPr="00E033F1" w:rsidRDefault="00F97205" w:rsidP="00E033F1">
      <w:pPr>
        <w:pStyle w:val="ListParagraph"/>
        <w:ind w:left="0"/>
        <w:rPr>
          <w:rFonts w:asciiTheme="minorHAnsi" w:hAnsiTheme="minorHAnsi" w:cstheme="minorHAnsi"/>
          <w:color w:val="auto"/>
        </w:rPr>
      </w:pPr>
    </w:p>
    <w:p w14:paraId="601DC3DF" w14:textId="18FD1B07" w:rsidR="0030016B" w:rsidRPr="00E033F1" w:rsidRDefault="00357CEE"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Prepare</w:t>
      </w:r>
      <w:r w:rsidR="00F97205" w:rsidRPr="00E033F1">
        <w:rPr>
          <w:rFonts w:asciiTheme="minorHAnsi" w:hAnsiTheme="minorHAnsi" w:cstheme="minorHAnsi"/>
          <w:color w:val="auto"/>
        </w:rPr>
        <w:t xml:space="preserve"> a </w:t>
      </w:r>
      <w:r w:rsidR="00C0271D" w:rsidRPr="00E033F1">
        <w:rPr>
          <w:rFonts w:asciiTheme="minorHAnsi" w:hAnsiTheme="minorHAnsi" w:cstheme="minorHAnsi"/>
          <w:color w:val="auto"/>
        </w:rPr>
        <w:t xml:space="preserve">fresh </w:t>
      </w:r>
      <w:r w:rsidR="00F97205" w:rsidRPr="00E033F1">
        <w:rPr>
          <w:rFonts w:asciiTheme="minorHAnsi" w:hAnsiTheme="minorHAnsi" w:cstheme="minorHAnsi"/>
          <w:color w:val="auto"/>
        </w:rPr>
        <w:t>stock solution of the GST enzyme at 0.1</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U</w:t>
      </w:r>
      <w:r w:rsidR="00B53F04" w:rsidRPr="00E033F1">
        <w:rPr>
          <w:rFonts w:asciiTheme="minorHAnsi" w:hAnsiTheme="minorHAnsi" w:cstheme="minorHAnsi"/>
          <w:color w:val="auto"/>
        </w:rPr>
        <w:t>/</w:t>
      </w:r>
      <w:r w:rsidR="00140D24" w:rsidRPr="00E033F1">
        <w:rPr>
          <w:rFonts w:asciiTheme="minorHAnsi" w:hAnsiTheme="minorHAnsi" w:cstheme="minorHAnsi"/>
          <w:color w:val="auto"/>
        </w:rPr>
        <w:t>mL</w:t>
      </w:r>
      <w:r w:rsidR="00F97205" w:rsidRPr="00E033F1">
        <w:rPr>
          <w:rFonts w:asciiTheme="minorHAnsi" w:hAnsiTheme="minorHAnsi" w:cstheme="minorHAnsi"/>
          <w:color w:val="auto"/>
        </w:rPr>
        <w:t xml:space="preserve"> in water</w:t>
      </w:r>
      <w:r w:rsidR="002B52ED" w:rsidRPr="00E033F1">
        <w:rPr>
          <w:rFonts w:asciiTheme="minorHAnsi" w:hAnsiTheme="minorHAnsi" w:cstheme="minorHAnsi"/>
          <w:color w:val="auto"/>
        </w:rPr>
        <w:t xml:space="preserve"> and </w:t>
      </w:r>
      <w:r w:rsidR="002F5237" w:rsidRPr="00E033F1">
        <w:rPr>
          <w:rFonts w:asciiTheme="minorHAnsi" w:hAnsiTheme="minorHAnsi" w:cstheme="minorHAnsi"/>
          <w:color w:val="auto"/>
        </w:rPr>
        <w:t>then</w:t>
      </w:r>
      <w:r w:rsidR="002B52ED" w:rsidRPr="00E033F1">
        <w:rPr>
          <w:rFonts w:asciiTheme="minorHAnsi" w:hAnsiTheme="minorHAnsi" w:cstheme="minorHAnsi"/>
          <w:color w:val="auto"/>
        </w:rPr>
        <w:t xml:space="preserve"> proceed </w:t>
      </w:r>
      <w:r w:rsidR="0030016B" w:rsidRPr="00E033F1">
        <w:rPr>
          <w:rFonts w:asciiTheme="minorHAnsi" w:hAnsiTheme="minorHAnsi" w:cstheme="minorHAnsi"/>
          <w:color w:val="auto"/>
        </w:rPr>
        <w:t xml:space="preserve">with </w:t>
      </w:r>
      <w:r w:rsidR="00C0271D" w:rsidRPr="00E033F1">
        <w:rPr>
          <w:rFonts w:asciiTheme="minorHAnsi" w:hAnsiTheme="minorHAnsi" w:cstheme="minorHAnsi"/>
          <w:color w:val="auto"/>
        </w:rPr>
        <w:t>step 2</w:t>
      </w:r>
      <w:r w:rsidR="00F618D6" w:rsidRPr="00E033F1">
        <w:rPr>
          <w:rFonts w:asciiTheme="minorHAnsi" w:hAnsiTheme="minorHAnsi" w:cstheme="minorHAnsi"/>
          <w:color w:val="auto"/>
        </w:rPr>
        <w:t>.</w:t>
      </w:r>
      <w:r w:rsidR="00C0271D" w:rsidRPr="00E033F1">
        <w:rPr>
          <w:rFonts w:asciiTheme="minorHAnsi" w:hAnsiTheme="minorHAnsi" w:cstheme="minorHAnsi"/>
          <w:color w:val="auto"/>
        </w:rPr>
        <w:t xml:space="preserve"> </w:t>
      </w:r>
    </w:p>
    <w:p w14:paraId="1E407CA8" w14:textId="77777777" w:rsidR="0030016B" w:rsidRPr="00E033F1" w:rsidRDefault="0030016B" w:rsidP="00E033F1">
      <w:pPr>
        <w:pStyle w:val="ListParagraph"/>
        <w:ind w:left="0"/>
        <w:rPr>
          <w:rFonts w:asciiTheme="minorHAnsi" w:hAnsiTheme="minorHAnsi" w:cstheme="minorHAnsi"/>
          <w:color w:val="auto"/>
        </w:rPr>
      </w:pPr>
    </w:p>
    <w:p w14:paraId="3D65CAF4" w14:textId="53062294" w:rsidR="00F97205" w:rsidRPr="00E033F1" w:rsidRDefault="0030016B"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 xml:space="preserve">NOTE: </w:t>
      </w:r>
      <w:r w:rsidR="00C0271D" w:rsidRPr="00E033F1">
        <w:rPr>
          <w:rFonts w:asciiTheme="minorHAnsi" w:hAnsiTheme="minorHAnsi" w:cstheme="minorHAnsi"/>
          <w:color w:val="auto"/>
        </w:rPr>
        <w:t xml:space="preserve">This solution can be </w:t>
      </w:r>
      <w:r w:rsidRPr="00E033F1">
        <w:rPr>
          <w:rFonts w:asciiTheme="minorHAnsi" w:hAnsiTheme="minorHAnsi" w:cstheme="minorHAnsi"/>
          <w:color w:val="auto"/>
        </w:rPr>
        <w:t>stored</w:t>
      </w:r>
      <w:r w:rsidR="008E1210" w:rsidRPr="00E033F1">
        <w:rPr>
          <w:rFonts w:asciiTheme="minorHAnsi" w:hAnsiTheme="minorHAnsi" w:cstheme="minorHAnsi"/>
          <w:color w:val="auto"/>
        </w:rPr>
        <w:t xml:space="preserve"> at -20</w:t>
      </w:r>
      <w:r w:rsidR="00B33C23" w:rsidRPr="00E033F1">
        <w:rPr>
          <w:rFonts w:asciiTheme="minorHAnsi" w:hAnsiTheme="minorHAnsi" w:cstheme="minorHAnsi"/>
          <w:color w:val="auto"/>
        </w:rPr>
        <w:t xml:space="preserve"> </w:t>
      </w:r>
      <w:r w:rsidR="00C0271D" w:rsidRPr="00E033F1">
        <w:rPr>
          <w:rFonts w:asciiTheme="minorHAnsi" w:hAnsiTheme="minorHAnsi" w:cstheme="minorHAnsi"/>
          <w:color w:val="auto"/>
        </w:rPr>
        <w:t>°</w:t>
      </w:r>
      <w:r w:rsidR="004B5E1E" w:rsidRPr="00E033F1">
        <w:rPr>
          <w:rFonts w:asciiTheme="minorHAnsi" w:hAnsiTheme="minorHAnsi" w:cstheme="minorHAnsi"/>
          <w:color w:val="auto"/>
        </w:rPr>
        <w:t>C</w:t>
      </w:r>
      <w:r w:rsidR="00C0271D" w:rsidRPr="00E033F1">
        <w:rPr>
          <w:rFonts w:asciiTheme="minorHAnsi" w:hAnsiTheme="minorHAnsi" w:cstheme="minorHAnsi"/>
          <w:color w:val="auto"/>
        </w:rPr>
        <w:t xml:space="preserve"> in aliquots for several month</w:t>
      </w:r>
      <w:r w:rsidR="00B43462" w:rsidRPr="00E033F1">
        <w:rPr>
          <w:rFonts w:asciiTheme="minorHAnsi" w:hAnsiTheme="minorHAnsi" w:cstheme="minorHAnsi"/>
          <w:color w:val="auto"/>
        </w:rPr>
        <w:t>s</w:t>
      </w:r>
      <w:r w:rsidR="008E1210" w:rsidRPr="00E033F1">
        <w:rPr>
          <w:rFonts w:asciiTheme="minorHAnsi" w:hAnsiTheme="minorHAnsi" w:cstheme="minorHAnsi"/>
          <w:color w:val="auto"/>
        </w:rPr>
        <w:t xml:space="preserve"> or</w:t>
      </w:r>
      <w:r w:rsidR="00B43462" w:rsidRPr="00E033F1">
        <w:rPr>
          <w:rFonts w:asciiTheme="minorHAnsi" w:hAnsiTheme="minorHAnsi" w:cstheme="minorHAnsi"/>
          <w:color w:val="auto"/>
        </w:rPr>
        <w:t xml:space="preserve"> at</w:t>
      </w:r>
      <w:r w:rsidR="008E1210" w:rsidRPr="00E033F1">
        <w:rPr>
          <w:rFonts w:asciiTheme="minorHAnsi" w:hAnsiTheme="minorHAnsi" w:cstheme="minorHAnsi"/>
          <w:color w:val="auto"/>
        </w:rPr>
        <w:t xml:space="preserve"> -80</w:t>
      </w:r>
      <w:r w:rsidR="00B33C23" w:rsidRPr="00E033F1">
        <w:rPr>
          <w:rFonts w:asciiTheme="minorHAnsi" w:hAnsiTheme="minorHAnsi" w:cstheme="minorHAnsi"/>
          <w:color w:val="auto"/>
        </w:rPr>
        <w:t xml:space="preserve"> </w:t>
      </w:r>
      <w:r w:rsidR="008E1210" w:rsidRPr="00E033F1">
        <w:rPr>
          <w:rFonts w:asciiTheme="minorHAnsi" w:hAnsiTheme="minorHAnsi" w:cstheme="minorHAnsi"/>
          <w:color w:val="auto"/>
        </w:rPr>
        <w:t>°</w:t>
      </w:r>
      <w:r w:rsidR="004B5E1E" w:rsidRPr="00E033F1">
        <w:rPr>
          <w:rFonts w:asciiTheme="minorHAnsi" w:hAnsiTheme="minorHAnsi" w:cstheme="minorHAnsi"/>
          <w:color w:val="auto"/>
        </w:rPr>
        <w:t>C</w:t>
      </w:r>
      <w:r w:rsidR="008E1210" w:rsidRPr="00E033F1">
        <w:rPr>
          <w:rFonts w:asciiTheme="minorHAnsi" w:hAnsiTheme="minorHAnsi" w:cstheme="minorHAnsi"/>
          <w:color w:val="auto"/>
        </w:rPr>
        <w:t xml:space="preserve"> for longer </w:t>
      </w:r>
      <w:r w:rsidR="002F5237" w:rsidRPr="00E033F1">
        <w:rPr>
          <w:rFonts w:asciiTheme="minorHAnsi" w:hAnsiTheme="minorHAnsi" w:cstheme="minorHAnsi"/>
          <w:color w:val="auto"/>
        </w:rPr>
        <w:t>periods, but the</w:t>
      </w:r>
      <w:r w:rsidR="00C0271D" w:rsidRPr="00E033F1">
        <w:rPr>
          <w:rFonts w:asciiTheme="minorHAnsi" w:hAnsiTheme="minorHAnsi" w:cstheme="minorHAnsi"/>
          <w:color w:val="auto"/>
        </w:rPr>
        <w:t xml:space="preserve"> </w:t>
      </w:r>
      <w:r w:rsidRPr="00E033F1">
        <w:rPr>
          <w:rFonts w:asciiTheme="minorHAnsi" w:hAnsiTheme="minorHAnsi" w:cstheme="minorHAnsi"/>
          <w:color w:val="auto"/>
        </w:rPr>
        <w:t>freeze/thaw cycle must be avoided.</w:t>
      </w:r>
    </w:p>
    <w:p w14:paraId="0527B914" w14:textId="77777777" w:rsidR="00F97205" w:rsidRPr="00E033F1" w:rsidRDefault="00F97205" w:rsidP="00E033F1">
      <w:pPr>
        <w:pStyle w:val="ListParagraph"/>
        <w:ind w:left="0"/>
        <w:rPr>
          <w:rFonts w:asciiTheme="minorHAnsi" w:hAnsiTheme="minorHAnsi" w:cstheme="minorHAnsi"/>
          <w:color w:val="auto"/>
        </w:rPr>
      </w:pPr>
    </w:p>
    <w:p w14:paraId="5FF3DDD9" w14:textId="483E1037" w:rsidR="00F97205" w:rsidRPr="00E033F1" w:rsidRDefault="00B33C23"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If the </w:t>
      </w:r>
      <w:r w:rsidR="00F97205" w:rsidRPr="00E033F1">
        <w:rPr>
          <w:rFonts w:asciiTheme="minorHAnsi" w:hAnsiTheme="minorHAnsi" w:cstheme="minorHAnsi"/>
          <w:color w:val="auto"/>
        </w:rPr>
        <w:t xml:space="preserve">enzymatic unit of the GST used </w:t>
      </w:r>
      <w:r w:rsidR="002F5237" w:rsidRPr="00E033F1">
        <w:rPr>
          <w:rFonts w:asciiTheme="minorHAnsi" w:hAnsiTheme="minorHAnsi" w:cstheme="minorHAnsi"/>
          <w:color w:val="auto"/>
        </w:rPr>
        <w:t>in</w:t>
      </w:r>
      <w:r w:rsidR="00F97205" w:rsidRPr="00E033F1">
        <w:rPr>
          <w:rFonts w:asciiTheme="minorHAnsi" w:hAnsiTheme="minorHAnsi" w:cstheme="minorHAnsi"/>
          <w:color w:val="auto"/>
        </w:rPr>
        <w:t xml:space="preserve"> the assay is unknown</w:t>
      </w:r>
      <w:r w:rsidRPr="00E033F1">
        <w:rPr>
          <w:rFonts w:asciiTheme="minorHAnsi" w:hAnsiTheme="minorHAnsi" w:cstheme="minorHAnsi"/>
          <w:color w:val="auto"/>
        </w:rPr>
        <w:t>:</w:t>
      </w:r>
    </w:p>
    <w:p w14:paraId="793DD78B" w14:textId="223FF46B" w:rsidR="00F97205" w:rsidRPr="00E033F1" w:rsidRDefault="00F97205" w:rsidP="00E033F1">
      <w:pPr>
        <w:contextualSpacing/>
        <w:rPr>
          <w:rFonts w:asciiTheme="minorHAnsi" w:hAnsiTheme="minorHAnsi" w:cstheme="minorHAnsi"/>
          <w:color w:val="auto"/>
        </w:rPr>
      </w:pPr>
    </w:p>
    <w:p w14:paraId="5482E61B" w14:textId="2AB356C8" w:rsidR="00F97205" w:rsidRPr="00E033F1" w:rsidRDefault="00F97205"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Quantify the </w:t>
      </w:r>
      <w:r w:rsidR="002F5237" w:rsidRPr="00E033F1">
        <w:rPr>
          <w:rFonts w:asciiTheme="minorHAnsi" w:hAnsiTheme="minorHAnsi" w:cstheme="minorHAnsi"/>
          <w:color w:val="auto"/>
        </w:rPr>
        <w:t xml:space="preserve">enzyme solution’s </w:t>
      </w:r>
      <w:r w:rsidRPr="00E033F1">
        <w:rPr>
          <w:rFonts w:asciiTheme="minorHAnsi" w:hAnsiTheme="minorHAnsi" w:cstheme="minorHAnsi"/>
          <w:color w:val="auto"/>
        </w:rPr>
        <w:t xml:space="preserve">protein concentration </w:t>
      </w:r>
      <w:r w:rsidR="002F104E" w:rsidRPr="00E033F1">
        <w:rPr>
          <w:rFonts w:asciiTheme="minorHAnsi" w:hAnsiTheme="minorHAnsi" w:cstheme="minorHAnsi"/>
          <w:color w:val="auto"/>
        </w:rPr>
        <w:t xml:space="preserve">using </w:t>
      </w:r>
      <w:r w:rsidRPr="00E033F1">
        <w:rPr>
          <w:rFonts w:asciiTheme="minorHAnsi" w:hAnsiTheme="minorHAnsi" w:cstheme="minorHAnsi"/>
          <w:color w:val="auto"/>
        </w:rPr>
        <w:t xml:space="preserve">a </w:t>
      </w:r>
      <w:r w:rsidR="00140D24" w:rsidRPr="00E033F1">
        <w:rPr>
          <w:rFonts w:asciiTheme="minorHAnsi" w:hAnsiTheme="minorHAnsi" w:cstheme="minorHAnsi"/>
          <w:color w:val="auto"/>
        </w:rPr>
        <w:t xml:space="preserve">bicinchoninic acid (BCA) </w:t>
      </w:r>
      <w:r w:rsidR="00692E31" w:rsidRPr="00E033F1">
        <w:rPr>
          <w:rFonts w:asciiTheme="minorHAnsi" w:hAnsiTheme="minorHAnsi" w:cstheme="minorHAnsi"/>
          <w:color w:val="auto"/>
        </w:rPr>
        <w:t>protein assay, or any other kit.</w:t>
      </w:r>
    </w:p>
    <w:p w14:paraId="3CC28854" w14:textId="77777777" w:rsidR="00F97205" w:rsidRPr="00E033F1" w:rsidRDefault="00F97205" w:rsidP="00E033F1">
      <w:pPr>
        <w:pStyle w:val="ListParagraph"/>
        <w:ind w:left="0"/>
        <w:rPr>
          <w:rFonts w:asciiTheme="minorHAnsi" w:hAnsiTheme="minorHAnsi" w:cstheme="minorHAnsi"/>
          <w:color w:val="auto"/>
        </w:rPr>
      </w:pPr>
    </w:p>
    <w:p w14:paraId="0DF4D549" w14:textId="1F8840A3" w:rsidR="00F97205" w:rsidRPr="00E033F1" w:rsidRDefault="00F97205"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Dilute the protein solution to a final protein concentration of </w:t>
      </w:r>
      <w:r w:rsidR="00255E2F" w:rsidRPr="00E033F1">
        <w:rPr>
          <w:rFonts w:asciiTheme="minorHAnsi" w:hAnsiTheme="minorHAnsi" w:cstheme="minorHAnsi"/>
          <w:color w:val="auto"/>
        </w:rPr>
        <w:t>0.02</w:t>
      </w:r>
      <w:r w:rsidR="004B5E1E" w:rsidRPr="00E033F1">
        <w:rPr>
          <w:rFonts w:asciiTheme="minorHAnsi" w:hAnsiTheme="minorHAnsi" w:cstheme="minorHAnsi"/>
          <w:color w:val="auto"/>
        </w:rPr>
        <w:t> </w:t>
      </w:r>
      <w:r w:rsidR="00255E2F" w:rsidRPr="00E033F1">
        <w:rPr>
          <w:rFonts w:asciiTheme="minorHAnsi" w:hAnsiTheme="minorHAnsi" w:cstheme="minorHAnsi"/>
          <w:color w:val="auto"/>
        </w:rPr>
        <w:t>mg/</w:t>
      </w:r>
      <w:proofErr w:type="spellStart"/>
      <w:r w:rsidR="00140D24" w:rsidRPr="00E033F1">
        <w:rPr>
          <w:rFonts w:asciiTheme="minorHAnsi" w:hAnsiTheme="minorHAnsi" w:cstheme="minorHAnsi"/>
          <w:color w:val="auto"/>
        </w:rPr>
        <w:t>mL</w:t>
      </w:r>
      <w:r w:rsidR="00255E2F" w:rsidRPr="00E033F1">
        <w:rPr>
          <w:rFonts w:asciiTheme="minorHAnsi" w:hAnsiTheme="minorHAnsi" w:cstheme="minorHAnsi"/>
          <w:color w:val="auto"/>
        </w:rPr>
        <w:t>.</w:t>
      </w:r>
      <w:proofErr w:type="spellEnd"/>
      <w:r w:rsidR="00255E2F" w:rsidRPr="00E033F1">
        <w:rPr>
          <w:rFonts w:asciiTheme="minorHAnsi" w:hAnsiTheme="minorHAnsi" w:cstheme="minorHAnsi"/>
          <w:color w:val="auto"/>
        </w:rPr>
        <w:t xml:space="preserve"> </w:t>
      </w:r>
    </w:p>
    <w:p w14:paraId="04A71209" w14:textId="37212561" w:rsidR="00F97205" w:rsidRPr="00E033F1" w:rsidRDefault="00F97205" w:rsidP="00E033F1">
      <w:pPr>
        <w:pStyle w:val="ListParagraph"/>
        <w:ind w:left="0"/>
        <w:rPr>
          <w:rFonts w:asciiTheme="minorHAnsi" w:hAnsiTheme="minorHAnsi" w:cstheme="minorHAnsi"/>
          <w:color w:val="auto"/>
        </w:rPr>
      </w:pPr>
    </w:p>
    <w:p w14:paraId="2721992A" w14:textId="56325378" w:rsidR="00357CEE" w:rsidRPr="00E033F1" w:rsidRDefault="002F5237"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Add</w:t>
      </w:r>
      <w:r w:rsidR="00F97205" w:rsidRPr="00E033F1">
        <w:rPr>
          <w:rFonts w:asciiTheme="minorHAnsi" w:hAnsiTheme="minorHAnsi" w:cstheme="minorHAnsi"/>
          <w:color w:val="auto"/>
        </w:rPr>
        <w:t xml:space="preserve">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2F104E" w:rsidRPr="00E033F1">
        <w:rPr>
          <w:rFonts w:asciiTheme="minorHAnsi" w:hAnsiTheme="minorHAnsi" w:cstheme="minorHAnsi"/>
          <w:color w:val="auto"/>
        </w:rPr>
        <w:t xml:space="preserve"> </w:t>
      </w:r>
      <w:r w:rsidR="00F97205" w:rsidRPr="00E033F1">
        <w:rPr>
          <w:rFonts w:asciiTheme="minorHAnsi" w:hAnsiTheme="minorHAnsi" w:cstheme="minorHAnsi"/>
          <w:color w:val="auto"/>
        </w:rPr>
        <w:t>of the enzyme solution,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F97205" w:rsidRPr="00E033F1">
        <w:rPr>
          <w:rFonts w:asciiTheme="minorHAnsi" w:hAnsiTheme="minorHAnsi" w:cstheme="minorHAnsi"/>
          <w:color w:val="auto"/>
        </w:rPr>
        <w:t xml:space="preserve"> of GSH 25</w:t>
      </w:r>
      <w:r w:rsidR="004B5E1E" w:rsidRPr="00E033F1">
        <w:rPr>
          <w:rFonts w:asciiTheme="minorHAnsi" w:hAnsiTheme="minorHAnsi" w:cstheme="minorHAnsi"/>
          <w:color w:val="auto"/>
        </w:rPr>
        <w:t> </w:t>
      </w:r>
      <w:r w:rsidR="00F97205" w:rsidRPr="00E033F1">
        <w:rPr>
          <w:rFonts w:asciiTheme="minorHAnsi" w:hAnsiTheme="minorHAnsi" w:cstheme="minorHAnsi"/>
          <w:color w:val="auto"/>
        </w:rPr>
        <w:t>mM</w:t>
      </w:r>
      <w:r w:rsidR="0030016B" w:rsidRPr="00E033F1">
        <w:rPr>
          <w:rFonts w:asciiTheme="minorHAnsi" w:hAnsiTheme="minorHAnsi" w:cstheme="minorHAnsi"/>
          <w:color w:val="auto"/>
        </w:rPr>
        <w:t xml:space="preserve"> (molecular weight: 307.32</w:t>
      </w:r>
      <w:r w:rsidR="004B5E1E" w:rsidRPr="00E033F1">
        <w:rPr>
          <w:rFonts w:asciiTheme="minorHAnsi" w:hAnsiTheme="minorHAnsi" w:cstheme="minorHAnsi"/>
          <w:color w:val="auto"/>
        </w:rPr>
        <w:t> </w:t>
      </w:r>
      <w:r w:rsidR="0030016B" w:rsidRPr="00E033F1">
        <w:rPr>
          <w:rFonts w:asciiTheme="minorHAnsi" w:hAnsiTheme="minorHAnsi" w:cstheme="minorHAnsi"/>
          <w:color w:val="auto"/>
        </w:rPr>
        <w:t>g/mol)</w:t>
      </w:r>
      <w:r w:rsidRPr="00E033F1">
        <w:rPr>
          <w:rFonts w:asciiTheme="minorHAnsi" w:hAnsiTheme="minorHAnsi" w:cstheme="minorHAnsi"/>
          <w:color w:val="auto"/>
        </w:rPr>
        <w:t>,</w:t>
      </w:r>
      <w:r w:rsidR="00F97205" w:rsidRPr="00E033F1">
        <w:rPr>
          <w:rFonts w:asciiTheme="minorHAnsi" w:hAnsiTheme="minorHAnsi" w:cstheme="minorHAnsi"/>
          <w:color w:val="auto"/>
        </w:rPr>
        <w:t xml:space="preserve"> and 150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F97205" w:rsidRPr="00E033F1">
        <w:rPr>
          <w:rFonts w:asciiTheme="minorHAnsi" w:hAnsiTheme="minorHAnsi" w:cstheme="minorHAnsi"/>
          <w:color w:val="auto"/>
        </w:rPr>
        <w:t xml:space="preserve"> of</w:t>
      </w:r>
      <w:r w:rsidR="00AF1952" w:rsidRPr="00E033F1">
        <w:rPr>
          <w:rFonts w:asciiTheme="minorHAnsi" w:hAnsiTheme="minorHAnsi" w:cstheme="minorHAnsi"/>
          <w:color w:val="auto"/>
        </w:rPr>
        <w:t xml:space="preserve"> Dulbecco’s </w:t>
      </w:r>
      <w:r w:rsidR="00D1215A" w:rsidRPr="00E033F1">
        <w:rPr>
          <w:rFonts w:asciiTheme="minorHAnsi" w:hAnsiTheme="minorHAnsi" w:cstheme="minorHAnsi"/>
          <w:color w:val="auto"/>
        </w:rPr>
        <w:t>phosphate</w:t>
      </w:r>
      <w:r w:rsidR="00B43462" w:rsidRPr="00E033F1">
        <w:rPr>
          <w:rFonts w:asciiTheme="minorHAnsi" w:hAnsiTheme="minorHAnsi" w:cstheme="minorHAnsi"/>
          <w:color w:val="auto"/>
        </w:rPr>
        <w:t>-</w:t>
      </w:r>
      <w:r w:rsidR="00D1215A" w:rsidRPr="00E033F1">
        <w:rPr>
          <w:rFonts w:asciiTheme="minorHAnsi" w:hAnsiTheme="minorHAnsi" w:cstheme="minorHAnsi"/>
          <w:color w:val="auto"/>
        </w:rPr>
        <w:t>buffered saline (</w:t>
      </w:r>
      <w:r w:rsidR="00AF1952" w:rsidRPr="00E033F1">
        <w:rPr>
          <w:rFonts w:asciiTheme="minorHAnsi" w:hAnsiTheme="minorHAnsi" w:cstheme="minorHAnsi"/>
          <w:color w:val="auto"/>
        </w:rPr>
        <w:t>D</w:t>
      </w:r>
      <w:r w:rsidR="00D1215A" w:rsidRPr="00E033F1">
        <w:rPr>
          <w:rFonts w:asciiTheme="minorHAnsi" w:hAnsiTheme="minorHAnsi" w:cstheme="minorHAnsi"/>
          <w:color w:val="auto"/>
        </w:rPr>
        <w:t>PBS)</w:t>
      </w:r>
      <w:r w:rsidRPr="00E033F1">
        <w:rPr>
          <w:rFonts w:asciiTheme="minorHAnsi" w:hAnsiTheme="minorHAnsi" w:cstheme="minorHAnsi"/>
          <w:color w:val="auto"/>
        </w:rPr>
        <w:t xml:space="preserve"> to </w:t>
      </w:r>
      <w:r w:rsidR="00B43462" w:rsidRPr="00E033F1">
        <w:rPr>
          <w:rFonts w:asciiTheme="minorHAnsi" w:hAnsiTheme="minorHAnsi" w:cstheme="minorHAnsi"/>
          <w:color w:val="auto"/>
        </w:rPr>
        <w:t>a</w:t>
      </w:r>
      <w:r w:rsidRPr="00E033F1">
        <w:rPr>
          <w:rFonts w:asciiTheme="minorHAnsi" w:hAnsiTheme="minorHAnsi" w:cstheme="minorHAnsi"/>
          <w:color w:val="auto"/>
        </w:rPr>
        <w:t xml:space="preserve"> 96</w:t>
      </w:r>
      <w:r w:rsidR="00B43462" w:rsidRPr="00E033F1">
        <w:rPr>
          <w:rFonts w:asciiTheme="minorHAnsi" w:hAnsiTheme="minorHAnsi" w:cstheme="minorHAnsi"/>
          <w:color w:val="auto"/>
        </w:rPr>
        <w:t>-</w:t>
      </w:r>
      <w:r w:rsidRPr="00E033F1">
        <w:rPr>
          <w:rFonts w:asciiTheme="minorHAnsi" w:hAnsiTheme="minorHAnsi" w:cstheme="minorHAnsi"/>
          <w:color w:val="auto"/>
        </w:rPr>
        <w:t>well plate</w:t>
      </w:r>
      <w:r w:rsidR="00F97205" w:rsidRPr="00E033F1">
        <w:rPr>
          <w:rFonts w:asciiTheme="minorHAnsi" w:hAnsiTheme="minorHAnsi" w:cstheme="minorHAnsi"/>
          <w:color w:val="auto"/>
        </w:rPr>
        <w:t>.</w:t>
      </w:r>
      <w:r w:rsidR="00357CEE" w:rsidRPr="00E033F1">
        <w:rPr>
          <w:rFonts w:asciiTheme="minorHAnsi" w:hAnsiTheme="minorHAnsi" w:cstheme="minorHAnsi"/>
          <w:color w:val="auto"/>
        </w:rPr>
        <w:t xml:space="preserve"> For the blank, </w:t>
      </w:r>
      <w:r w:rsidRPr="00E033F1">
        <w:rPr>
          <w:rFonts w:asciiTheme="minorHAnsi" w:hAnsiTheme="minorHAnsi" w:cstheme="minorHAnsi"/>
          <w:color w:val="auto"/>
        </w:rPr>
        <w:t>add</w:t>
      </w:r>
      <w:r w:rsidR="00357CEE" w:rsidRPr="00E033F1">
        <w:rPr>
          <w:rFonts w:asciiTheme="minorHAnsi" w:hAnsiTheme="minorHAnsi" w:cstheme="minorHAnsi"/>
          <w:color w:val="auto"/>
        </w:rPr>
        <w:t xml:space="preserve">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357CEE" w:rsidRPr="00E033F1">
        <w:rPr>
          <w:rFonts w:asciiTheme="minorHAnsi" w:hAnsiTheme="minorHAnsi" w:cstheme="minorHAnsi"/>
          <w:color w:val="auto"/>
        </w:rPr>
        <w:t xml:space="preserve"> of water instead of the enzyme</w:t>
      </w:r>
      <w:r w:rsidR="007B0FC7" w:rsidRPr="00E033F1">
        <w:rPr>
          <w:rFonts w:asciiTheme="minorHAnsi" w:hAnsiTheme="minorHAnsi" w:cstheme="minorHAnsi"/>
          <w:color w:val="auto"/>
        </w:rPr>
        <w:t xml:space="preserve"> solution</w:t>
      </w:r>
      <w:r w:rsidR="00357CEE" w:rsidRPr="00E033F1">
        <w:rPr>
          <w:rFonts w:asciiTheme="minorHAnsi" w:hAnsiTheme="minorHAnsi" w:cstheme="minorHAnsi"/>
          <w:color w:val="auto"/>
        </w:rPr>
        <w:t xml:space="preserve">. </w:t>
      </w:r>
    </w:p>
    <w:p w14:paraId="74C4B510" w14:textId="77777777" w:rsidR="00F97205" w:rsidRPr="00E033F1" w:rsidRDefault="00F97205" w:rsidP="00E033F1">
      <w:pPr>
        <w:pStyle w:val="ListParagraph"/>
        <w:ind w:left="0"/>
        <w:rPr>
          <w:rFonts w:asciiTheme="minorHAnsi" w:hAnsiTheme="minorHAnsi" w:cstheme="minorHAnsi"/>
          <w:color w:val="auto"/>
        </w:rPr>
      </w:pPr>
    </w:p>
    <w:p w14:paraId="39630FDD" w14:textId="4A882232" w:rsidR="00F97205" w:rsidRPr="00E033F1" w:rsidRDefault="00F97205"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Add 10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CDNB</w:t>
      </w:r>
      <w:r w:rsidR="00B201B1" w:rsidRPr="00E033F1">
        <w:rPr>
          <w:rFonts w:asciiTheme="minorHAnsi" w:hAnsiTheme="minorHAnsi" w:cstheme="minorHAnsi"/>
          <w:color w:val="auto"/>
        </w:rPr>
        <w:t xml:space="preserve"> </w:t>
      </w:r>
      <w:r w:rsidR="00012CD3" w:rsidRPr="00E033F1">
        <w:rPr>
          <w:rFonts w:asciiTheme="minorHAnsi" w:hAnsiTheme="minorHAnsi" w:cstheme="minorHAnsi"/>
          <w:color w:val="auto"/>
        </w:rPr>
        <w:t>5</w:t>
      </w:r>
      <w:r w:rsidR="00232DF8" w:rsidRPr="00E033F1">
        <w:rPr>
          <w:rFonts w:asciiTheme="minorHAnsi" w:hAnsiTheme="minorHAnsi" w:cstheme="minorHAnsi"/>
          <w:color w:val="auto"/>
        </w:rPr>
        <w:t>0</w:t>
      </w:r>
      <w:r w:rsidR="004B5E1E" w:rsidRPr="00E033F1">
        <w:rPr>
          <w:rFonts w:asciiTheme="minorHAnsi" w:hAnsiTheme="minorHAnsi" w:cstheme="minorHAnsi"/>
          <w:color w:val="auto"/>
        </w:rPr>
        <w:t> </w:t>
      </w:r>
      <w:r w:rsidR="00232DF8" w:rsidRPr="00E033F1">
        <w:rPr>
          <w:rFonts w:asciiTheme="minorHAnsi" w:hAnsiTheme="minorHAnsi" w:cstheme="minorHAnsi"/>
          <w:color w:val="auto"/>
        </w:rPr>
        <w:t xml:space="preserve">mM </w:t>
      </w:r>
      <w:r w:rsidR="00B201B1" w:rsidRPr="00E033F1">
        <w:rPr>
          <w:rFonts w:asciiTheme="minorHAnsi" w:hAnsiTheme="minorHAnsi" w:cstheme="minorHAnsi"/>
          <w:color w:val="auto"/>
        </w:rPr>
        <w:t xml:space="preserve">(molecular weight: </w:t>
      </w:r>
      <w:r w:rsidR="00140D24" w:rsidRPr="00E033F1">
        <w:rPr>
          <w:rFonts w:asciiTheme="minorHAnsi" w:hAnsiTheme="minorHAnsi" w:cstheme="minorHAnsi"/>
          <w:color w:val="auto"/>
        </w:rPr>
        <w:t>202.55</w:t>
      </w:r>
      <w:r w:rsidR="004B5E1E" w:rsidRPr="00E033F1">
        <w:rPr>
          <w:rFonts w:asciiTheme="minorHAnsi" w:hAnsiTheme="minorHAnsi" w:cstheme="minorHAnsi"/>
          <w:color w:val="auto"/>
        </w:rPr>
        <w:t> </w:t>
      </w:r>
      <w:r w:rsidR="00140D24" w:rsidRPr="00E033F1">
        <w:rPr>
          <w:rFonts w:asciiTheme="minorHAnsi" w:hAnsiTheme="minorHAnsi" w:cstheme="minorHAnsi"/>
          <w:color w:val="auto"/>
        </w:rPr>
        <w:t>g/mol</w:t>
      </w:r>
      <w:r w:rsidR="00B201B1" w:rsidRPr="00E033F1">
        <w:rPr>
          <w:rFonts w:asciiTheme="minorHAnsi" w:hAnsiTheme="minorHAnsi" w:cstheme="minorHAnsi"/>
          <w:color w:val="auto"/>
        </w:rPr>
        <w:t>)</w:t>
      </w:r>
      <w:r w:rsidRPr="00E033F1">
        <w:rPr>
          <w:rFonts w:asciiTheme="minorHAnsi" w:hAnsiTheme="minorHAnsi" w:cstheme="minorHAnsi"/>
          <w:color w:val="auto"/>
        </w:rPr>
        <w:t xml:space="preserve"> </w:t>
      </w:r>
      <w:r w:rsidR="003821B7" w:rsidRPr="00E033F1">
        <w:rPr>
          <w:rFonts w:asciiTheme="minorHAnsi" w:hAnsiTheme="minorHAnsi" w:cstheme="minorHAnsi"/>
          <w:color w:val="auto"/>
        </w:rPr>
        <w:t>subst</w:t>
      </w:r>
      <w:r w:rsidR="00140D24" w:rsidRPr="00E033F1">
        <w:rPr>
          <w:rFonts w:asciiTheme="minorHAnsi" w:hAnsiTheme="minorHAnsi" w:cstheme="minorHAnsi"/>
          <w:color w:val="auto"/>
        </w:rPr>
        <w:t>ra</w:t>
      </w:r>
      <w:r w:rsidR="003821B7" w:rsidRPr="00E033F1">
        <w:rPr>
          <w:rFonts w:asciiTheme="minorHAnsi" w:hAnsiTheme="minorHAnsi" w:cstheme="minorHAnsi"/>
          <w:color w:val="auto"/>
        </w:rPr>
        <w:t xml:space="preserve">te </w:t>
      </w:r>
      <w:r w:rsidR="002F5237" w:rsidRPr="00E033F1">
        <w:rPr>
          <w:rFonts w:asciiTheme="minorHAnsi" w:hAnsiTheme="minorHAnsi" w:cstheme="minorHAnsi"/>
          <w:color w:val="auto"/>
        </w:rPr>
        <w:t>to</w:t>
      </w:r>
      <w:r w:rsidRPr="00E033F1">
        <w:rPr>
          <w:rFonts w:asciiTheme="minorHAnsi" w:hAnsiTheme="minorHAnsi" w:cstheme="minorHAnsi"/>
          <w:color w:val="auto"/>
        </w:rPr>
        <w:t xml:space="preserve"> each well.</w:t>
      </w:r>
      <w:r w:rsidR="00B201B1" w:rsidRPr="00E033F1">
        <w:rPr>
          <w:rFonts w:asciiTheme="minorHAnsi" w:hAnsiTheme="minorHAnsi" w:cstheme="minorHAnsi"/>
          <w:color w:val="auto"/>
        </w:rPr>
        <w:t xml:space="preserve"> </w:t>
      </w:r>
    </w:p>
    <w:p w14:paraId="28645E3D" w14:textId="77777777" w:rsidR="00F97205" w:rsidRPr="00E033F1" w:rsidRDefault="00F97205" w:rsidP="00E033F1">
      <w:pPr>
        <w:pStyle w:val="ListParagraph"/>
        <w:ind w:left="0"/>
        <w:rPr>
          <w:rFonts w:asciiTheme="minorHAnsi" w:hAnsiTheme="minorHAnsi" w:cstheme="minorHAnsi"/>
          <w:color w:val="auto"/>
        </w:rPr>
      </w:pPr>
    </w:p>
    <w:p w14:paraId="72E35AAF" w14:textId="64B9A178" w:rsidR="00692E31" w:rsidRPr="00E033F1" w:rsidRDefault="00692E31"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On a spectrophotometric microplate reader, set the parameters for reading the wells at 340 nm. It is recommended to measure the absorbance every minute for 10 minutes.</w:t>
      </w:r>
    </w:p>
    <w:p w14:paraId="76C3B005" w14:textId="77777777" w:rsidR="00692E31" w:rsidRPr="00E033F1" w:rsidRDefault="00692E31" w:rsidP="00E033F1">
      <w:pPr>
        <w:pStyle w:val="ListParagraph"/>
        <w:ind w:left="0"/>
        <w:rPr>
          <w:rFonts w:asciiTheme="minorHAnsi" w:hAnsiTheme="minorHAnsi" w:cstheme="minorHAnsi"/>
          <w:color w:val="auto"/>
        </w:rPr>
      </w:pPr>
    </w:p>
    <w:bookmarkEnd w:id="1"/>
    <w:p w14:paraId="2E5A79C8" w14:textId="0100C467" w:rsidR="00357CEE" w:rsidRPr="00E033F1" w:rsidRDefault="00692E31"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Insert the plate into the microplate </w:t>
      </w:r>
      <w:proofErr w:type="gramStart"/>
      <w:r w:rsidRPr="00E033F1">
        <w:rPr>
          <w:rFonts w:asciiTheme="minorHAnsi" w:hAnsiTheme="minorHAnsi" w:cstheme="minorHAnsi"/>
          <w:color w:val="auto"/>
        </w:rPr>
        <w:t>reader, and</w:t>
      </w:r>
      <w:proofErr w:type="gramEnd"/>
      <w:r w:rsidRPr="00E033F1">
        <w:rPr>
          <w:rFonts w:asciiTheme="minorHAnsi" w:hAnsiTheme="minorHAnsi" w:cstheme="minorHAnsi"/>
          <w:color w:val="auto"/>
        </w:rPr>
        <w:t xml:space="preserve"> start the reading according to settings of step 1.2.5.</w:t>
      </w:r>
    </w:p>
    <w:p w14:paraId="2372DC8D" w14:textId="7CFBD7A4" w:rsidR="00692E31" w:rsidRPr="00E033F1" w:rsidRDefault="00692E31" w:rsidP="00E033F1">
      <w:pPr>
        <w:contextualSpacing/>
        <w:rPr>
          <w:rFonts w:asciiTheme="minorHAnsi" w:hAnsiTheme="minorHAnsi" w:cstheme="minorHAnsi"/>
          <w:color w:val="auto"/>
        </w:rPr>
      </w:pPr>
    </w:p>
    <w:p w14:paraId="27EE705A" w14:textId="2C188C8B" w:rsidR="00F97205" w:rsidRPr="00E033F1" w:rsidRDefault="00F97205"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Calculate the c</w:t>
      </w:r>
      <w:r w:rsidR="00357CEE" w:rsidRPr="00E033F1">
        <w:rPr>
          <w:rFonts w:asciiTheme="minorHAnsi" w:hAnsiTheme="minorHAnsi" w:cstheme="minorHAnsi"/>
          <w:color w:val="auto"/>
        </w:rPr>
        <w:t xml:space="preserve">hange </w:t>
      </w:r>
      <w:r w:rsidR="002F5237" w:rsidRPr="00E033F1">
        <w:rPr>
          <w:rFonts w:asciiTheme="minorHAnsi" w:hAnsiTheme="minorHAnsi" w:cstheme="minorHAnsi"/>
          <w:color w:val="auto"/>
        </w:rPr>
        <w:t>in</w:t>
      </w:r>
      <w:r w:rsidR="00357CEE" w:rsidRPr="00E033F1">
        <w:rPr>
          <w:rFonts w:asciiTheme="minorHAnsi" w:hAnsiTheme="minorHAnsi" w:cstheme="minorHAnsi"/>
          <w:color w:val="auto"/>
        </w:rPr>
        <w:t xml:space="preserve"> absorbance per minute for the enzymatic sample</w:t>
      </w:r>
      <w:r w:rsidR="002F5237" w:rsidRPr="00E033F1">
        <w:rPr>
          <w:rFonts w:asciiTheme="minorHAnsi" w:hAnsiTheme="minorHAnsi" w:cstheme="minorHAnsi"/>
          <w:color w:val="auto"/>
        </w:rPr>
        <w:t>s</w:t>
      </w:r>
      <w:r w:rsidR="00357CEE" w:rsidRPr="00E033F1">
        <w:rPr>
          <w:rFonts w:asciiTheme="minorHAnsi" w:hAnsiTheme="minorHAnsi" w:cstheme="minorHAnsi"/>
          <w:color w:val="auto"/>
        </w:rPr>
        <w:t xml:space="preserve"> and the blank.</w:t>
      </w:r>
    </w:p>
    <w:p w14:paraId="3617A0D8" w14:textId="77777777" w:rsidR="00357CEE" w:rsidRPr="00E033F1" w:rsidRDefault="00357CEE" w:rsidP="00E033F1">
      <w:pPr>
        <w:pStyle w:val="ListParagraph"/>
        <w:ind w:left="0"/>
        <w:rPr>
          <w:rFonts w:asciiTheme="minorHAnsi" w:hAnsiTheme="minorHAnsi" w:cstheme="minorHAnsi"/>
          <w:color w:val="auto"/>
        </w:rPr>
      </w:pPr>
    </w:p>
    <w:p w14:paraId="57DF6120" w14:textId="3B8565B7" w:rsidR="00357CEE" w:rsidRPr="00E033F1" w:rsidRDefault="00357CEE"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NOTE: Verify that the reaction is linear by plotting absorbance</w:t>
      </w:r>
      <w:r w:rsidR="00692E31" w:rsidRPr="00E033F1">
        <w:rPr>
          <w:rFonts w:asciiTheme="minorHAnsi" w:hAnsiTheme="minorHAnsi" w:cstheme="minorHAnsi"/>
          <w:color w:val="auto"/>
        </w:rPr>
        <w:t xml:space="preserve"> on y-axis and minutes on the x-axis</w:t>
      </w:r>
      <w:r w:rsidRPr="00E033F1">
        <w:rPr>
          <w:rFonts w:asciiTheme="minorHAnsi" w:hAnsiTheme="minorHAnsi" w:cstheme="minorHAnsi"/>
          <w:color w:val="auto"/>
        </w:rPr>
        <w:t>. I</w:t>
      </w:r>
      <w:r w:rsidR="00762FB0" w:rsidRPr="00E033F1">
        <w:rPr>
          <w:rFonts w:asciiTheme="minorHAnsi" w:hAnsiTheme="minorHAnsi" w:cstheme="minorHAnsi"/>
          <w:color w:val="auto"/>
        </w:rPr>
        <w:t>f the reaction is not linear and reac</w:t>
      </w:r>
      <w:r w:rsidR="00A35E23" w:rsidRPr="00E033F1">
        <w:rPr>
          <w:rFonts w:asciiTheme="minorHAnsi" w:hAnsiTheme="minorHAnsi" w:cstheme="minorHAnsi"/>
          <w:color w:val="auto"/>
        </w:rPr>
        <w:t>h</w:t>
      </w:r>
      <w:r w:rsidR="00E033F1" w:rsidRPr="00E033F1">
        <w:rPr>
          <w:rFonts w:asciiTheme="minorHAnsi" w:hAnsiTheme="minorHAnsi" w:cstheme="minorHAnsi"/>
          <w:color w:val="auto"/>
        </w:rPr>
        <w:t>es</w:t>
      </w:r>
      <w:r w:rsidR="00A35E23" w:rsidRPr="00E033F1">
        <w:rPr>
          <w:rFonts w:asciiTheme="minorHAnsi" w:hAnsiTheme="minorHAnsi" w:cstheme="minorHAnsi"/>
          <w:color w:val="auto"/>
        </w:rPr>
        <w:t xml:space="preserve"> a plateau, it means that all the</w:t>
      </w:r>
      <w:r w:rsidR="00762FB0" w:rsidRPr="00E033F1">
        <w:rPr>
          <w:rFonts w:asciiTheme="minorHAnsi" w:hAnsiTheme="minorHAnsi" w:cstheme="minorHAnsi"/>
          <w:color w:val="auto"/>
        </w:rPr>
        <w:t xml:space="preserve"> substrate is </w:t>
      </w:r>
      <w:proofErr w:type="gramStart"/>
      <w:r w:rsidR="00762FB0" w:rsidRPr="00E033F1">
        <w:rPr>
          <w:rFonts w:asciiTheme="minorHAnsi" w:hAnsiTheme="minorHAnsi" w:cstheme="minorHAnsi"/>
          <w:color w:val="auto"/>
        </w:rPr>
        <w:t>used</w:t>
      </w:r>
      <w:proofErr w:type="gramEnd"/>
      <w:r w:rsidR="00A35E23" w:rsidRPr="00E033F1">
        <w:rPr>
          <w:rFonts w:asciiTheme="minorHAnsi" w:hAnsiTheme="minorHAnsi" w:cstheme="minorHAnsi"/>
          <w:color w:val="auto"/>
        </w:rPr>
        <w:t xml:space="preserve"> and the reaction is too quick</w:t>
      </w:r>
      <w:r w:rsidR="00762FB0" w:rsidRPr="00E033F1">
        <w:rPr>
          <w:rFonts w:asciiTheme="minorHAnsi" w:hAnsiTheme="minorHAnsi" w:cstheme="minorHAnsi"/>
          <w:color w:val="auto"/>
        </w:rPr>
        <w:t>. Thus, r</w:t>
      </w:r>
      <w:r w:rsidRPr="00E033F1">
        <w:rPr>
          <w:rFonts w:asciiTheme="minorHAnsi" w:hAnsiTheme="minorHAnsi" w:cstheme="minorHAnsi"/>
          <w:color w:val="auto"/>
        </w:rPr>
        <w:t xml:space="preserve">educe the amount of enzyme added </w:t>
      </w:r>
      <w:r w:rsidR="002F5237" w:rsidRPr="00E033F1">
        <w:rPr>
          <w:rFonts w:asciiTheme="minorHAnsi" w:hAnsiTheme="minorHAnsi" w:cstheme="minorHAnsi"/>
          <w:color w:val="auto"/>
        </w:rPr>
        <w:t>to</w:t>
      </w:r>
      <w:r w:rsidRPr="00E033F1">
        <w:rPr>
          <w:rFonts w:asciiTheme="minorHAnsi" w:hAnsiTheme="minorHAnsi" w:cstheme="minorHAnsi"/>
          <w:color w:val="auto"/>
        </w:rPr>
        <w:t xml:space="preserve"> the well</w:t>
      </w:r>
      <w:r w:rsidR="00232DF8" w:rsidRPr="00E033F1">
        <w:rPr>
          <w:rFonts w:asciiTheme="minorHAnsi" w:hAnsiTheme="minorHAnsi" w:cstheme="minorHAnsi"/>
          <w:color w:val="auto"/>
        </w:rPr>
        <w:t xml:space="preserve"> by diluting the stock solution</w:t>
      </w:r>
      <w:r w:rsidR="006D5FE1" w:rsidRPr="00E033F1">
        <w:rPr>
          <w:rFonts w:asciiTheme="minorHAnsi" w:hAnsiTheme="minorHAnsi" w:cstheme="minorHAnsi"/>
          <w:color w:val="auto"/>
        </w:rPr>
        <w:t xml:space="preserve"> </w:t>
      </w:r>
      <w:r w:rsidR="00772475" w:rsidRPr="00E033F1">
        <w:rPr>
          <w:rFonts w:asciiTheme="minorHAnsi" w:hAnsiTheme="minorHAnsi" w:cstheme="minorHAnsi"/>
          <w:color w:val="auto"/>
        </w:rPr>
        <w:t xml:space="preserve">by </w:t>
      </w:r>
      <w:r w:rsidR="00232DF8" w:rsidRPr="00E033F1">
        <w:rPr>
          <w:rFonts w:asciiTheme="minorHAnsi" w:hAnsiTheme="minorHAnsi" w:cstheme="minorHAnsi"/>
          <w:color w:val="auto"/>
        </w:rPr>
        <w:t>two.</w:t>
      </w:r>
      <w:r w:rsidRPr="00E033F1">
        <w:rPr>
          <w:rFonts w:asciiTheme="minorHAnsi" w:hAnsiTheme="minorHAnsi" w:cstheme="minorHAnsi"/>
          <w:color w:val="auto"/>
        </w:rPr>
        <w:t xml:space="preserve"> </w:t>
      </w:r>
    </w:p>
    <w:p w14:paraId="5695A5F2" w14:textId="77777777" w:rsidR="00357CEE" w:rsidRPr="00E033F1" w:rsidRDefault="00357CEE" w:rsidP="00E033F1">
      <w:pPr>
        <w:pStyle w:val="ListParagraph"/>
        <w:ind w:left="0"/>
        <w:rPr>
          <w:rFonts w:asciiTheme="minorHAnsi" w:hAnsiTheme="minorHAnsi" w:cstheme="minorHAnsi"/>
          <w:color w:val="auto"/>
        </w:rPr>
      </w:pPr>
    </w:p>
    <w:p w14:paraId="0158F05C" w14:textId="7819C4F0" w:rsidR="00F97205" w:rsidRPr="00E033F1" w:rsidRDefault="00D644C1"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Blank</w:t>
      </w:r>
      <w:r w:rsidR="00B43462" w:rsidRPr="00E033F1">
        <w:rPr>
          <w:rFonts w:asciiTheme="minorHAnsi" w:hAnsiTheme="minorHAnsi" w:cstheme="minorHAnsi"/>
          <w:color w:val="auto"/>
        </w:rPr>
        <w:t>-</w:t>
      </w:r>
      <w:r w:rsidRPr="00E033F1">
        <w:rPr>
          <w:rFonts w:asciiTheme="minorHAnsi" w:hAnsiTheme="minorHAnsi" w:cstheme="minorHAnsi"/>
          <w:color w:val="auto"/>
        </w:rPr>
        <w:t>corr</w:t>
      </w:r>
      <w:r w:rsidR="006E12C9" w:rsidRPr="00E033F1">
        <w:rPr>
          <w:rFonts w:asciiTheme="minorHAnsi" w:hAnsiTheme="minorHAnsi" w:cstheme="minorHAnsi"/>
          <w:color w:val="auto"/>
        </w:rPr>
        <w:t xml:space="preserve">ect the </w:t>
      </w:r>
      <w:r w:rsidR="001C4A31" w:rsidRPr="00E033F1">
        <w:rPr>
          <w:color w:val="auto"/>
        </w:rPr>
        <w:t>test samples’ absorbance readings</w:t>
      </w:r>
      <w:r w:rsidR="00692E31" w:rsidRPr="00E033F1">
        <w:rPr>
          <w:color w:val="auto"/>
        </w:rPr>
        <w:t>.</w:t>
      </w:r>
    </w:p>
    <w:p w14:paraId="5CA5F2B4" w14:textId="77777777" w:rsidR="008502DF" w:rsidRPr="00E033F1" w:rsidRDefault="00591F10" w:rsidP="00E033F1">
      <w:pPr>
        <w:pStyle w:val="ListParagraph"/>
        <w:ind w:left="0"/>
        <w:jc w:val="left"/>
        <w:rPr>
          <w:color w:val="auto"/>
        </w:rPr>
      </w:pPr>
      <w:r w:rsidRPr="00E033F1">
        <w:rPr>
          <w:rFonts w:asciiTheme="minorHAnsi" w:hAnsiTheme="minorHAnsi" w:cstheme="minorHAnsi"/>
          <w:color w:val="auto"/>
        </w:rPr>
        <w:fldChar w:fldCharType="begin"/>
      </w:r>
      <w:r w:rsidRPr="00E033F1">
        <w:rPr>
          <w:rFonts w:asciiTheme="minorHAnsi" w:hAnsiTheme="minorHAnsi" w:cstheme="minorHAnsi"/>
          <w:color w:val="auto"/>
        </w:rPr>
        <w:instrText xml:space="preserve"> REF _Ref19620552 </w:instrText>
      </w:r>
      <w:r w:rsidR="00225631" w:rsidRPr="00E033F1">
        <w:rPr>
          <w:rFonts w:asciiTheme="minorHAnsi" w:hAnsiTheme="minorHAnsi" w:cstheme="minorHAnsi"/>
          <w:color w:val="auto"/>
        </w:rPr>
        <w:instrText xml:space="preserve"> \* MERGEFORMAT </w:instrText>
      </w:r>
      <w:r w:rsidRPr="00E033F1">
        <w:rPr>
          <w:rFonts w:asciiTheme="minorHAnsi" w:hAnsiTheme="minorHAnsi" w:cstheme="minorHAnsi"/>
          <w:color w:val="auto"/>
        </w:rPr>
        <w:fldChar w:fldCharType="separate"/>
      </w:r>
      <m:oMath>
        <m:r>
          <m:rPr>
            <m:sty m:val="p"/>
          </m:rPr>
          <w:rPr>
            <w:rFonts w:ascii="Cambria Math" w:hAnsi="Cambria Math" w:cstheme="minorHAnsi"/>
            <w:color w:val="auto"/>
          </w:rPr>
          <m:t xml:space="preserve"> </m:t>
        </m:r>
      </m:oMath>
    </w:p>
    <w:p w14:paraId="4C09ADB9" w14:textId="2078A7D2" w:rsidR="00F97205" w:rsidRPr="00E033F1" w:rsidRDefault="00591F10"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fldChar w:fldCharType="end"/>
      </w:r>
      <w:r w:rsidR="00646280" w:rsidRPr="00E033F1">
        <w:rPr>
          <w:rFonts w:asciiTheme="minorHAnsi" w:hAnsiTheme="minorHAnsi" w:cstheme="minorHAnsi"/>
          <w:color w:val="auto"/>
        </w:rPr>
        <w:t>With equation 1</w:t>
      </w:r>
      <w:r w:rsidR="00F97205" w:rsidRPr="00E033F1">
        <w:rPr>
          <w:rFonts w:asciiTheme="minorHAnsi" w:hAnsiTheme="minorHAnsi" w:cstheme="minorHAnsi"/>
          <w:color w:val="auto"/>
        </w:rPr>
        <w:t>, representing the Beer</w:t>
      </w:r>
      <w:r w:rsidR="00B43462" w:rsidRPr="00E033F1">
        <w:rPr>
          <w:rFonts w:asciiTheme="minorHAnsi" w:hAnsiTheme="minorHAnsi" w:cstheme="minorHAnsi"/>
          <w:color w:val="auto"/>
        </w:rPr>
        <w:t>–</w:t>
      </w:r>
      <w:r w:rsidR="00F97205" w:rsidRPr="00E033F1">
        <w:rPr>
          <w:rFonts w:asciiTheme="minorHAnsi" w:hAnsiTheme="minorHAnsi" w:cstheme="minorHAnsi"/>
          <w:color w:val="auto"/>
        </w:rPr>
        <w:t xml:space="preserve">Lambert law, calculate the concentration of </w:t>
      </w:r>
      <w:r w:rsidR="001C4A31" w:rsidRPr="00E033F1">
        <w:rPr>
          <w:rFonts w:asciiTheme="minorHAnsi" w:hAnsiTheme="minorHAnsi" w:cstheme="minorHAnsi"/>
          <w:color w:val="auto"/>
        </w:rPr>
        <w:t>GS-</w:t>
      </w:r>
      <w:r w:rsidR="001C4A31" w:rsidRPr="00E033F1">
        <w:rPr>
          <w:rFonts w:asciiTheme="minorHAnsi" w:hAnsiTheme="minorHAnsi" w:cstheme="minorHAnsi"/>
          <w:color w:val="auto"/>
        </w:rPr>
        <w:lastRenderedPageBreak/>
        <w:t xml:space="preserve">DNB </w:t>
      </w:r>
      <w:r w:rsidR="00F97205" w:rsidRPr="00E033F1">
        <w:rPr>
          <w:rFonts w:asciiTheme="minorHAnsi" w:hAnsiTheme="minorHAnsi" w:cstheme="minorHAnsi"/>
          <w:color w:val="auto"/>
        </w:rPr>
        <w:t xml:space="preserve">formed (in </w:t>
      </w:r>
      <w:r w:rsidR="00B33C23" w:rsidRPr="00E033F1">
        <w:rPr>
          <w:rFonts w:asciiTheme="minorHAnsi" w:hAnsiTheme="minorHAnsi" w:cstheme="minorHAnsi"/>
          <w:color w:val="auto"/>
        </w:rPr>
        <w:t>µ</w:t>
      </w:r>
      <w:r w:rsidR="00F97205" w:rsidRPr="00E033F1">
        <w:rPr>
          <w:rFonts w:asciiTheme="minorHAnsi" w:hAnsiTheme="minorHAnsi" w:cstheme="minorHAnsi"/>
          <w:color w:val="auto"/>
        </w:rPr>
        <w:t>M) by the reaction</w:t>
      </w:r>
      <w:r w:rsidR="00225631" w:rsidRPr="00E033F1">
        <w:rPr>
          <w:rFonts w:asciiTheme="minorHAnsi" w:hAnsiTheme="minorHAnsi" w:cstheme="minorHAnsi"/>
          <w:color w:val="auto"/>
        </w:rPr>
        <w:t xml:space="preserve"> each minute</w:t>
      </w:r>
      <w:r w:rsidR="00F97205" w:rsidRPr="00E033F1">
        <w:rPr>
          <w:rFonts w:asciiTheme="minorHAnsi" w:hAnsiTheme="minorHAnsi" w:cstheme="minorHAnsi"/>
          <w:color w:val="auto"/>
        </w:rPr>
        <w:t>.</w:t>
      </w:r>
      <w:bookmarkStart w:id="2" w:name="_Ref19614467"/>
      <w:bookmarkStart w:id="3" w:name="_Ref19614476"/>
    </w:p>
    <w:p w14:paraId="0FA449E6" w14:textId="77777777" w:rsidR="00D60061" w:rsidRPr="00E033F1" w:rsidRDefault="00D60061" w:rsidP="00E033F1">
      <w:pPr>
        <w:pStyle w:val="ListParagraph"/>
        <w:ind w:left="0"/>
        <w:rPr>
          <w:rFonts w:asciiTheme="minorHAnsi" w:hAnsiTheme="minorHAnsi" w:cstheme="minorHAnsi"/>
          <w:color w:val="auto"/>
        </w:rPr>
      </w:pPr>
    </w:p>
    <w:p w14:paraId="0FC82F9B" w14:textId="00F0F21E" w:rsidR="00D60061" w:rsidRPr="00E033F1" w:rsidRDefault="00D60061" w:rsidP="00E033F1">
      <w:pPr>
        <w:pStyle w:val="ListParagraph"/>
        <w:ind w:left="0"/>
        <w:jc w:val="left"/>
        <w:rPr>
          <w:color w:val="auto"/>
        </w:rPr>
      </w:pPr>
      <w:r w:rsidRPr="00E033F1">
        <w:rPr>
          <w:b/>
          <w:color w:val="auto"/>
        </w:rPr>
        <w:t xml:space="preserve">Equation </w:t>
      </w:r>
      <w:r w:rsidRPr="00E033F1">
        <w:rPr>
          <w:b/>
          <w:color w:val="auto"/>
        </w:rPr>
        <w:fldChar w:fldCharType="begin"/>
      </w:r>
      <w:r w:rsidRPr="00E033F1">
        <w:rPr>
          <w:b/>
          <w:color w:val="auto"/>
        </w:rPr>
        <w:instrText xml:space="preserve"> SEQ Equation \* ARABIC </w:instrText>
      </w:r>
      <w:r w:rsidRPr="00E033F1">
        <w:rPr>
          <w:b/>
          <w:color w:val="auto"/>
        </w:rPr>
        <w:fldChar w:fldCharType="separate"/>
      </w:r>
      <w:r w:rsidR="008502DF" w:rsidRPr="00E033F1">
        <w:rPr>
          <w:b/>
          <w:noProof/>
          <w:color w:val="auto"/>
        </w:rPr>
        <w:t>1</w:t>
      </w:r>
      <w:r w:rsidRPr="00E033F1">
        <w:rPr>
          <w:b/>
          <w:color w:val="auto"/>
        </w:rPr>
        <w:fldChar w:fldCharType="end"/>
      </w:r>
      <w:r w:rsidRPr="00E033F1">
        <w:rPr>
          <w:b/>
          <w:color w:val="auto"/>
        </w:rPr>
        <w:t>.</w:t>
      </w:r>
    </w:p>
    <w:p w14:paraId="2A5A63CF" w14:textId="77777777" w:rsidR="00F97205" w:rsidRPr="00E033F1" w:rsidRDefault="00F97205" w:rsidP="00E033F1">
      <w:pPr>
        <w:pStyle w:val="ListParagraph"/>
        <w:ind w:left="0"/>
        <w:rPr>
          <w:rFonts w:ascii="Cambria Math" w:hAnsi="Cambria Math" w:cstheme="minorHAnsi"/>
          <w:color w:val="auto"/>
          <w:oMath/>
        </w:rPr>
      </w:pPr>
    </w:p>
    <w:p w14:paraId="1458ADC0" w14:textId="77777777" w:rsidR="00A06FCA" w:rsidRPr="00E033F1" w:rsidRDefault="00F97205" w:rsidP="00E033F1">
      <w:pPr>
        <w:pStyle w:val="ListParagraph"/>
        <w:ind w:left="0"/>
        <w:jc w:val="left"/>
        <w:rPr>
          <w:color w:val="auto"/>
        </w:rPr>
      </w:pPr>
      <m:oMathPara>
        <m:oMathParaPr>
          <m:jc m:val="left"/>
        </m:oMathParaPr>
        <m:oMath>
          <m:r>
            <w:rPr>
              <w:rFonts w:ascii="Cambria Math" w:hAnsi="Cambria Math" w:cstheme="minorHAnsi"/>
              <w:color w:val="auto"/>
            </w:rPr>
            <m:t xml:space="preserve">C = </m:t>
          </m:r>
          <m:f>
            <m:fPr>
              <m:ctrlPr>
                <w:rPr>
                  <w:rFonts w:ascii="Cambria Math" w:hAnsi="Cambria Math" w:cstheme="minorHAnsi"/>
                  <w:i/>
                  <w:color w:val="auto"/>
                </w:rPr>
              </m:ctrlPr>
            </m:fPr>
            <m:num>
              <m:r>
                <w:rPr>
                  <w:rFonts w:ascii="Cambria Math" w:hAnsi="Cambria Math" w:cstheme="minorHAnsi"/>
                  <w:color w:val="auto"/>
                </w:rPr>
                <m:t>A340/min</m:t>
              </m:r>
            </m:num>
            <m:den>
              <m:r>
                <w:rPr>
                  <w:rFonts w:ascii="Cambria Math" w:hAnsi="Cambria Math" w:cstheme="minorHAnsi"/>
                  <w:color w:val="auto"/>
                </w:rPr>
                <m:t>ε*l</m:t>
              </m:r>
            </m:den>
          </m:f>
          <w:bookmarkStart w:id="4" w:name="_Ref19620552"/>
          <w:bookmarkEnd w:id="2"/>
          <w:bookmarkEnd w:id="3"/>
          <m:r>
            <w:rPr>
              <w:rFonts w:ascii="Cambria Math" w:hAnsi="Cambria Math" w:cstheme="minorHAnsi"/>
              <w:color w:val="auto"/>
            </w:rPr>
            <m:t xml:space="preserve"> </m:t>
          </m:r>
        </m:oMath>
      </m:oMathPara>
    </w:p>
    <w:bookmarkEnd w:id="4"/>
    <w:p w14:paraId="69898ACD" w14:textId="77777777" w:rsidR="00F97205" w:rsidRPr="00E033F1" w:rsidRDefault="00F97205" w:rsidP="00E033F1">
      <w:pPr>
        <w:pStyle w:val="ListParagraph"/>
        <w:ind w:left="0"/>
        <w:jc w:val="left"/>
        <w:rPr>
          <w:rFonts w:asciiTheme="minorHAnsi" w:hAnsiTheme="minorHAnsi" w:cstheme="minorHAnsi"/>
          <w:color w:val="auto"/>
        </w:rPr>
      </w:pPr>
    </w:p>
    <w:p w14:paraId="5C9EBCED" w14:textId="568A8339" w:rsidR="00F97205" w:rsidRPr="00E033F1" w:rsidRDefault="00225631" w:rsidP="00E033F1">
      <w:pPr>
        <w:pStyle w:val="ListParagraph"/>
        <w:ind w:left="0"/>
        <w:jc w:val="left"/>
        <w:rPr>
          <w:rFonts w:asciiTheme="minorHAnsi" w:hAnsiTheme="minorHAnsi" w:cstheme="minorHAnsi"/>
          <w:color w:val="auto"/>
        </w:rPr>
      </w:pPr>
      <w:r w:rsidRPr="00E033F1">
        <w:rPr>
          <w:rFonts w:asciiTheme="minorHAnsi" w:hAnsiTheme="minorHAnsi" w:cstheme="minorHAnsi"/>
          <w:color w:val="auto"/>
        </w:rPr>
        <w:t>w</w:t>
      </w:r>
      <w:r w:rsidR="00F97205" w:rsidRPr="00E033F1">
        <w:rPr>
          <w:rFonts w:asciiTheme="minorHAnsi" w:hAnsiTheme="minorHAnsi" w:cstheme="minorHAnsi"/>
          <w:color w:val="auto"/>
        </w:rPr>
        <w:t>here C is the con</w:t>
      </w:r>
      <w:r w:rsidR="003E2EA6" w:rsidRPr="00E033F1">
        <w:rPr>
          <w:rFonts w:asciiTheme="minorHAnsi" w:hAnsiTheme="minorHAnsi" w:cstheme="minorHAnsi"/>
          <w:color w:val="auto"/>
        </w:rPr>
        <w:t xml:space="preserve">centration of the substrate in </w:t>
      </w:r>
      <w:r w:rsidR="00B33C23" w:rsidRPr="00E033F1">
        <w:rPr>
          <w:rFonts w:asciiTheme="minorHAnsi" w:hAnsiTheme="minorHAnsi" w:cstheme="minorHAnsi"/>
          <w:color w:val="auto"/>
        </w:rPr>
        <w:t>µ</w:t>
      </w:r>
      <w:r w:rsidR="00F97205" w:rsidRPr="00E033F1">
        <w:rPr>
          <w:rFonts w:asciiTheme="minorHAnsi" w:hAnsiTheme="minorHAnsi" w:cstheme="minorHAnsi"/>
          <w:color w:val="auto"/>
        </w:rPr>
        <w:t>M,</w:t>
      </w:r>
      <w:r w:rsidR="006E12C9" w:rsidRPr="00E033F1">
        <w:rPr>
          <w:rFonts w:asciiTheme="minorHAnsi" w:hAnsiTheme="minorHAnsi" w:cstheme="minorHAnsi"/>
          <w:color w:val="auto"/>
        </w:rPr>
        <w:t xml:space="preserve"> A</w:t>
      </w:r>
      <w:r w:rsidR="006E12C9" w:rsidRPr="00E033F1">
        <w:rPr>
          <w:rFonts w:asciiTheme="minorHAnsi" w:hAnsiTheme="minorHAnsi" w:cstheme="minorHAnsi"/>
          <w:color w:val="auto"/>
          <w:vertAlign w:val="subscript"/>
        </w:rPr>
        <w:t>340/min</w:t>
      </w:r>
      <w:r w:rsidR="006E12C9" w:rsidRPr="00E033F1">
        <w:rPr>
          <w:rFonts w:asciiTheme="minorHAnsi" w:hAnsiTheme="minorHAnsi" w:cstheme="minorHAnsi"/>
          <w:color w:val="auto"/>
        </w:rPr>
        <w:t xml:space="preserve"> </w:t>
      </w:r>
      <w:r w:rsidRPr="00E033F1">
        <w:rPr>
          <w:rFonts w:asciiTheme="minorHAnsi" w:hAnsiTheme="minorHAnsi" w:cstheme="minorHAnsi"/>
          <w:color w:val="auto"/>
        </w:rPr>
        <w:t xml:space="preserve">is </w:t>
      </w:r>
      <w:r w:rsidR="006E12C9" w:rsidRPr="00E033F1">
        <w:rPr>
          <w:rFonts w:asciiTheme="minorHAnsi" w:hAnsiTheme="minorHAnsi" w:cstheme="minorHAnsi"/>
          <w:color w:val="auto"/>
        </w:rPr>
        <w:t xml:space="preserve">the change </w:t>
      </w:r>
      <w:r w:rsidRPr="00E033F1">
        <w:rPr>
          <w:rFonts w:asciiTheme="minorHAnsi" w:hAnsiTheme="minorHAnsi" w:cstheme="minorHAnsi"/>
          <w:color w:val="auto"/>
        </w:rPr>
        <w:t>in</w:t>
      </w:r>
      <w:r w:rsidR="006E12C9" w:rsidRPr="00E033F1">
        <w:rPr>
          <w:rFonts w:asciiTheme="minorHAnsi" w:hAnsiTheme="minorHAnsi" w:cstheme="minorHAnsi"/>
          <w:color w:val="auto"/>
        </w:rPr>
        <w:t xml:space="preserve"> absorbance per minute</w:t>
      </w:r>
      <w:r w:rsidRPr="00E033F1">
        <w:rPr>
          <w:rFonts w:asciiTheme="minorHAnsi" w:hAnsiTheme="minorHAnsi" w:cstheme="minorHAnsi"/>
          <w:color w:val="auto"/>
        </w:rPr>
        <w:t>, as</w:t>
      </w:r>
      <w:r w:rsidR="006E12C9" w:rsidRPr="00E033F1">
        <w:rPr>
          <w:rFonts w:asciiTheme="minorHAnsi" w:hAnsiTheme="minorHAnsi" w:cstheme="minorHAnsi"/>
          <w:color w:val="auto"/>
        </w:rPr>
        <w:t xml:space="preserve"> measured </w:t>
      </w:r>
      <w:r w:rsidRPr="00E033F1">
        <w:rPr>
          <w:rFonts w:asciiTheme="minorHAnsi" w:hAnsiTheme="minorHAnsi" w:cstheme="minorHAnsi"/>
          <w:color w:val="auto"/>
        </w:rPr>
        <w:t>in</w:t>
      </w:r>
      <w:r w:rsidR="006E12C9" w:rsidRPr="00E033F1">
        <w:rPr>
          <w:rFonts w:asciiTheme="minorHAnsi" w:hAnsiTheme="minorHAnsi" w:cstheme="minorHAnsi"/>
          <w:color w:val="auto"/>
        </w:rPr>
        <w:t xml:space="preserve"> </w:t>
      </w:r>
      <w:r w:rsidR="00B43462" w:rsidRPr="00E033F1">
        <w:rPr>
          <w:rFonts w:asciiTheme="minorHAnsi" w:hAnsiTheme="minorHAnsi" w:cstheme="minorHAnsi"/>
          <w:color w:val="auto"/>
        </w:rPr>
        <w:t xml:space="preserve">step </w:t>
      </w:r>
      <w:r w:rsidR="006E12C9" w:rsidRPr="00E033F1">
        <w:rPr>
          <w:rFonts w:asciiTheme="minorHAnsi" w:hAnsiTheme="minorHAnsi" w:cstheme="minorHAnsi"/>
          <w:color w:val="auto"/>
        </w:rPr>
        <w:t>1.2.7,</w:t>
      </w:r>
      <w:r w:rsidR="00F97205" w:rsidRPr="00E033F1">
        <w:rPr>
          <w:rFonts w:asciiTheme="minorHAnsi" w:hAnsiTheme="minorHAnsi" w:cstheme="minorHAnsi"/>
          <w:color w:val="auto"/>
        </w:rPr>
        <w:t xml:space="preserve"> ε </w:t>
      </w:r>
      <w:r w:rsidRPr="00E033F1">
        <w:rPr>
          <w:rFonts w:asciiTheme="minorHAnsi" w:hAnsiTheme="minorHAnsi" w:cstheme="minorHAnsi"/>
          <w:color w:val="auto"/>
        </w:rPr>
        <w:t xml:space="preserve">is </w:t>
      </w:r>
      <w:r w:rsidR="00F97205" w:rsidRPr="00E033F1">
        <w:rPr>
          <w:rFonts w:asciiTheme="minorHAnsi" w:hAnsiTheme="minorHAnsi" w:cstheme="minorHAnsi"/>
          <w:color w:val="auto"/>
        </w:rPr>
        <w:t xml:space="preserve">the </w:t>
      </w:r>
      <w:r w:rsidR="001F4504" w:rsidRPr="00E033F1">
        <w:rPr>
          <w:rFonts w:asciiTheme="minorHAnsi" w:hAnsiTheme="minorHAnsi" w:cstheme="minorHAnsi"/>
          <w:color w:val="auto"/>
        </w:rPr>
        <w:t xml:space="preserve">molar </w:t>
      </w:r>
      <w:r w:rsidR="00F97205" w:rsidRPr="00E033F1">
        <w:rPr>
          <w:rFonts w:asciiTheme="minorHAnsi" w:hAnsiTheme="minorHAnsi" w:cstheme="minorHAnsi"/>
          <w:color w:val="auto"/>
        </w:rPr>
        <w:t>extinction coefficient for the CDNB conjugate at 340</w:t>
      </w:r>
      <w:r w:rsidR="004B5E1E" w:rsidRPr="00E033F1">
        <w:rPr>
          <w:rFonts w:asciiTheme="minorHAnsi" w:hAnsiTheme="minorHAnsi" w:cstheme="minorHAnsi"/>
          <w:color w:val="auto"/>
        </w:rPr>
        <w:t> </w:t>
      </w:r>
      <w:r w:rsidR="00F97205" w:rsidRPr="00E033F1">
        <w:rPr>
          <w:rFonts w:asciiTheme="minorHAnsi" w:hAnsiTheme="minorHAnsi" w:cstheme="minorHAnsi"/>
          <w:color w:val="auto"/>
        </w:rPr>
        <w:t>nm (</w:t>
      </w:r>
      <w:r w:rsidR="00762FB0" w:rsidRPr="00E033F1">
        <w:rPr>
          <w:color w:val="auto"/>
        </w:rPr>
        <w:t>9.6 </w:t>
      </w:r>
      <w:r w:rsidR="00B33C23" w:rsidRPr="00E033F1">
        <w:rPr>
          <w:color w:val="auto"/>
        </w:rPr>
        <w:t>µ</w:t>
      </w:r>
      <w:r w:rsidR="00762FB0" w:rsidRPr="00E033F1">
        <w:rPr>
          <w:rFonts w:eastAsiaTheme="minorEastAsia"/>
          <w:color w:val="auto"/>
        </w:rPr>
        <w:t>M</w:t>
      </w:r>
      <w:r w:rsidR="00762FB0" w:rsidRPr="00E033F1">
        <w:rPr>
          <w:rFonts w:eastAsiaTheme="minorEastAsia"/>
          <w:color w:val="auto"/>
          <w:vertAlign w:val="superscript"/>
        </w:rPr>
        <w:t>-4</w:t>
      </w:r>
      <w:r w:rsidR="00762FB0" w:rsidRPr="00E033F1">
        <w:rPr>
          <w:rFonts w:eastAsiaTheme="minorEastAsia"/>
          <w:color w:val="auto"/>
        </w:rPr>
        <w:t>*cm</w:t>
      </w:r>
      <w:r w:rsidR="00762FB0" w:rsidRPr="00E033F1">
        <w:rPr>
          <w:rFonts w:eastAsiaTheme="minorEastAsia"/>
          <w:color w:val="auto"/>
          <w:vertAlign w:val="superscript"/>
        </w:rPr>
        <w:t>-1</w:t>
      </w:r>
      <w:r w:rsidR="00F97205" w:rsidRPr="00E033F1">
        <w:rPr>
          <w:rFonts w:asciiTheme="minorHAnsi" w:hAnsiTheme="minorHAnsi" w:cstheme="minorHAnsi"/>
          <w:color w:val="auto"/>
        </w:rPr>
        <w:t>)</w:t>
      </w:r>
      <w:r w:rsidRPr="00E033F1">
        <w:rPr>
          <w:rFonts w:asciiTheme="minorHAnsi" w:hAnsiTheme="minorHAnsi" w:cstheme="minorHAnsi"/>
          <w:color w:val="auto"/>
        </w:rPr>
        <w:t>,</w:t>
      </w:r>
      <w:r w:rsidR="00F97205" w:rsidRPr="00E033F1">
        <w:rPr>
          <w:rFonts w:asciiTheme="minorHAnsi" w:hAnsiTheme="minorHAnsi" w:cstheme="minorHAnsi"/>
          <w:color w:val="auto"/>
        </w:rPr>
        <w:t xml:space="preserve"> and l </w:t>
      </w:r>
      <w:r w:rsidRPr="00E033F1">
        <w:rPr>
          <w:rFonts w:asciiTheme="minorHAnsi" w:hAnsiTheme="minorHAnsi" w:cstheme="minorHAnsi"/>
          <w:color w:val="auto"/>
        </w:rPr>
        <w:t xml:space="preserve">is </w:t>
      </w:r>
      <w:r w:rsidR="00F97205" w:rsidRPr="00E033F1">
        <w:rPr>
          <w:rFonts w:asciiTheme="minorHAnsi" w:hAnsiTheme="minorHAnsi" w:cstheme="minorHAnsi"/>
          <w:color w:val="auto"/>
        </w:rPr>
        <w:t>the length of the light path in the well (in cm). For a 96</w:t>
      </w:r>
      <w:r w:rsidRPr="00E033F1">
        <w:rPr>
          <w:rFonts w:asciiTheme="minorHAnsi" w:hAnsiTheme="minorHAnsi" w:cstheme="minorHAnsi"/>
          <w:color w:val="auto"/>
        </w:rPr>
        <w:t>-</w:t>
      </w:r>
      <w:r w:rsidR="00F97205" w:rsidRPr="00E033F1">
        <w:rPr>
          <w:rFonts w:asciiTheme="minorHAnsi" w:hAnsiTheme="minorHAnsi" w:cstheme="minorHAnsi"/>
          <w:color w:val="auto"/>
        </w:rPr>
        <w:t>well plate filled with 200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7B0FC7" w:rsidRPr="00E033F1">
        <w:rPr>
          <w:rFonts w:asciiTheme="minorHAnsi" w:hAnsiTheme="minorHAnsi" w:cstheme="minorHAnsi"/>
          <w:color w:val="auto"/>
        </w:rPr>
        <w:t xml:space="preserve"> of enzymatic solution</w:t>
      </w:r>
      <w:r w:rsidR="00F97205" w:rsidRPr="00E033F1">
        <w:rPr>
          <w:rFonts w:asciiTheme="minorHAnsi" w:hAnsiTheme="minorHAnsi" w:cstheme="minorHAnsi"/>
          <w:color w:val="auto"/>
        </w:rPr>
        <w:t>, the path length</w:t>
      </w:r>
      <w:r w:rsidR="001049AF" w:rsidRPr="00E033F1">
        <w:rPr>
          <w:rFonts w:asciiTheme="minorHAnsi" w:hAnsiTheme="minorHAnsi" w:cstheme="minorHAnsi"/>
          <w:color w:val="auto"/>
        </w:rPr>
        <w:t xml:space="preserve"> is around 0.55</w:t>
      </w:r>
      <w:r w:rsidR="004B5E1E" w:rsidRPr="00E033F1">
        <w:rPr>
          <w:rFonts w:asciiTheme="minorHAnsi" w:hAnsiTheme="minorHAnsi" w:cstheme="minorHAnsi"/>
          <w:color w:val="auto"/>
        </w:rPr>
        <w:t> </w:t>
      </w:r>
      <w:r w:rsidR="00F97205" w:rsidRPr="00E033F1">
        <w:rPr>
          <w:rFonts w:asciiTheme="minorHAnsi" w:hAnsiTheme="minorHAnsi" w:cstheme="minorHAnsi"/>
          <w:color w:val="auto"/>
        </w:rPr>
        <w:t>cm.</w:t>
      </w:r>
      <w:r w:rsidR="001049AF" w:rsidRPr="00E033F1">
        <w:rPr>
          <w:rFonts w:asciiTheme="minorHAnsi" w:hAnsiTheme="minorHAnsi" w:cstheme="minorHAnsi"/>
          <w:color w:val="auto"/>
        </w:rPr>
        <w:t xml:space="preserve"> </w:t>
      </w:r>
      <w:r w:rsidR="00F97205" w:rsidRPr="00E033F1">
        <w:rPr>
          <w:rFonts w:asciiTheme="minorHAnsi" w:hAnsiTheme="minorHAnsi" w:cstheme="minorHAnsi"/>
          <w:color w:val="auto"/>
        </w:rPr>
        <w:t xml:space="preserve">This value can </w:t>
      </w:r>
      <w:r w:rsidRPr="00E033F1">
        <w:rPr>
          <w:rFonts w:asciiTheme="minorHAnsi" w:hAnsiTheme="minorHAnsi" w:cstheme="minorHAnsi"/>
          <w:color w:val="auto"/>
        </w:rPr>
        <w:t>vary according to the plate</w:t>
      </w:r>
      <w:r w:rsidR="00F97205" w:rsidRPr="00E033F1">
        <w:rPr>
          <w:rFonts w:asciiTheme="minorHAnsi" w:hAnsiTheme="minorHAnsi" w:cstheme="minorHAnsi"/>
          <w:color w:val="auto"/>
        </w:rPr>
        <w:t xml:space="preserve"> model and </w:t>
      </w:r>
      <w:r w:rsidR="00B43462" w:rsidRPr="00E033F1">
        <w:rPr>
          <w:rFonts w:asciiTheme="minorHAnsi" w:hAnsiTheme="minorHAnsi" w:cstheme="minorHAnsi"/>
          <w:color w:val="auto"/>
        </w:rPr>
        <w:t>should</w:t>
      </w:r>
      <w:r w:rsidR="00F97205" w:rsidRPr="00E033F1">
        <w:rPr>
          <w:rFonts w:asciiTheme="minorHAnsi" w:hAnsiTheme="minorHAnsi" w:cstheme="minorHAnsi"/>
          <w:color w:val="auto"/>
        </w:rPr>
        <w:t xml:space="preserve"> be verified </w:t>
      </w:r>
      <w:r w:rsidRPr="00E033F1">
        <w:rPr>
          <w:rFonts w:asciiTheme="minorHAnsi" w:hAnsiTheme="minorHAnsi" w:cstheme="minorHAnsi"/>
          <w:color w:val="auto"/>
        </w:rPr>
        <w:t>with the manufacturer</w:t>
      </w:r>
      <w:r w:rsidR="00F97205" w:rsidRPr="00E033F1">
        <w:rPr>
          <w:rFonts w:asciiTheme="minorHAnsi" w:hAnsiTheme="minorHAnsi" w:cstheme="minorHAnsi"/>
          <w:color w:val="auto"/>
        </w:rPr>
        <w:t xml:space="preserve">. </w:t>
      </w:r>
    </w:p>
    <w:p w14:paraId="50C2C3DC" w14:textId="77777777" w:rsidR="00F97205" w:rsidRPr="00E033F1" w:rsidRDefault="00F97205" w:rsidP="00E033F1">
      <w:pPr>
        <w:pStyle w:val="ListParagraph"/>
        <w:ind w:left="0"/>
        <w:jc w:val="left"/>
        <w:rPr>
          <w:rFonts w:asciiTheme="minorHAnsi" w:hAnsiTheme="minorHAnsi" w:cstheme="minorHAnsi"/>
          <w:color w:val="auto"/>
        </w:rPr>
      </w:pPr>
    </w:p>
    <w:p w14:paraId="5B8C129D" w14:textId="153C0D3C" w:rsidR="006E12C9" w:rsidRPr="00E033F1" w:rsidRDefault="00F97205" w:rsidP="00E033F1">
      <w:pPr>
        <w:pStyle w:val="ListParagraph"/>
        <w:numPr>
          <w:ilvl w:val="2"/>
          <w:numId w:val="31"/>
        </w:numPr>
        <w:ind w:left="0" w:firstLine="0"/>
        <w:jc w:val="left"/>
        <w:rPr>
          <w:rFonts w:asciiTheme="minorHAnsi" w:hAnsiTheme="minorHAnsi" w:cstheme="minorHAnsi"/>
          <w:color w:val="auto"/>
        </w:rPr>
      </w:pPr>
      <w:r w:rsidRPr="00E033F1">
        <w:rPr>
          <w:rFonts w:asciiTheme="minorHAnsi" w:hAnsiTheme="minorHAnsi" w:cstheme="minorHAnsi"/>
          <w:color w:val="auto"/>
        </w:rPr>
        <w:t xml:space="preserve">To </w:t>
      </w:r>
      <w:r w:rsidR="006E12C9" w:rsidRPr="00E033F1">
        <w:rPr>
          <w:rFonts w:asciiTheme="minorHAnsi" w:hAnsiTheme="minorHAnsi" w:cstheme="minorHAnsi"/>
          <w:color w:val="auto"/>
        </w:rPr>
        <w:t>determine</w:t>
      </w:r>
      <w:r w:rsidRPr="00E033F1">
        <w:rPr>
          <w:rFonts w:asciiTheme="minorHAnsi" w:hAnsiTheme="minorHAnsi" w:cstheme="minorHAnsi"/>
          <w:color w:val="auto"/>
        </w:rPr>
        <w:t xml:space="preserve"> th</w:t>
      </w:r>
      <w:r w:rsidR="006E12C9" w:rsidRPr="00E033F1">
        <w:rPr>
          <w:rFonts w:asciiTheme="minorHAnsi" w:hAnsiTheme="minorHAnsi" w:cstheme="minorHAnsi"/>
          <w:color w:val="auto"/>
        </w:rPr>
        <w:t>e amount of product present in one</w:t>
      </w:r>
      <w:r w:rsidRPr="00E033F1">
        <w:rPr>
          <w:rFonts w:asciiTheme="minorHAnsi" w:hAnsiTheme="minorHAnsi" w:cstheme="minorHAnsi"/>
          <w:color w:val="auto"/>
        </w:rPr>
        <w:t xml:space="preserve"> well</w:t>
      </w:r>
      <w:r w:rsidR="003E2EA6" w:rsidRPr="00E033F1">
        <w:rPr>
          <w:rFonts w:asciiTheme="minorHAnsi" w:hAnsiTheme="minorHAnsi" w:cstheme="minorHAnsi"/>
          <w:color w:val="auto"/>
        </w:rPr>
        <w:t xml:space="preserve"> in </w:t>
      </w:r>
      <w:r w:rsidR="00B33C23" w:rsidRPr="00E033F1">
        <w:rPr>
          <w:rFonts w:asciiTheme="minorHAnsi" w:hAnsiTheme="minorHAnsi" w:cstheme="minorHAnsi"/>
          <w:color w:val="auto"/>
        </w:rPr>
        <w:t>µ</w:t>
      </w:r>
      <w:r w:rsidR="003E2EA6" w:rsidRPr="00E033F1">
        <w:rPr>
          <w:rFonts w:asciiTheme="minorHAnsi" w:hAnsiTheme="minorHAnsi" w:cstheme="minorHAnsi"/>
          <w:color w:val="auto"/>
        </w:rPr>
        <w:t>mol</w:t>
      </w:r>
      <w:r w:rsidR="00296B20" w:rsidRPr="00E033F1">
        <w:rPr>
          <w:rFonts w:asciiTheme="minorHAnsi" w:hAnsiTheme="minorHAnsi" w:cstheme="minorHAnsi"/>
          <w:color w:val="auto"/>
        </w:rPr>
        <w:t>/min</w:t>
      </w:r>
      <w:r w:rsidRPr="00E033F1">
        <w:rPr>
          <w:rFonts w:asciiTheme="minorHAnsi" w:hAnsiTheme="minorHAnsi" w:cstheme="minorHAnsi"/>
          <w:color w:val="auto"/>
        </w:rPr>
        <w:t xml:space="preserve">, multiply the results found </w:t>
      </w:r>
      <w:r w:rsidR="00225631" w:rsidRPr="00E033F1">
        <w:rPr>
          <w:rFonts w:asciiTheme="minorHAnsi" w:hAnsiTheme="minorHAnsi" w:cstheme="minorHAnsi"/>
          <w:color w:val="auto"/>
        </w:rPr>
        <w:t>using</w:t>
      </w:r>
      <w:r w:rsidRPr="00E033F1">
        <w:rPr>
          <w:rFonts w:asciiTheme="minorHAnsi" w:hAnsiTheme="minorHAnsi" w:cstheme="minorHAnsi"/>
          <w:color w:val="auto"/>
        </w:rPr>
        <w:t xml:space="preserve"> </w:t>
      </w:r>
      <w:r w:rsidR="005B438B" w:rsidRPr="00E033F1">
        <w:rPr>
          <w:bCs/>
          <w:color w:val="auto"/>
        </w:rPr>
        <w:t>e</w:t>
      </w:r>
      <w:r w:rsidRPr="00E033F1">
        <w:rPr>
          <w:bCs/>
          <w:color w:val="auto"/>
        </w:rPr>
        <w:t>quation 1</w:t>
      </w:r>
      <w:r w:rsidRPr="00E033F1">
        <w:rPr>
          <w:b/>
          <w:color w:val="auto"/>
        </w:rPr>
        <w:t xml:space="preserve"> </w:t>
      </w:r>
      <w:r w:rsidRPr="00E033F1">
        <w:rPr>
          <w:color w:val="auto"/>
        </w:rPr>
        <w:t xml:space="preserve">by the volume of solution, </w:t>
      </w:r>
      <w:r w:rsidR="003A1229" w:rsidRPr="00E033F1">
        <w:rPr>
          <w:color w:val="auto"/>
        </w:rPr>
        <w:t>2</w:t>
      </w:r>
      <w:r w:rsidR="004B5E1E" w:rsidRPr="00E033F1">
        <w:rPr>
          <w:color w:val="auto"/>
        </w:rPr>
        <w:t> </w:t>
      </w:r>
      <w:r w:rsidR="003A1229" w:rsidRPr="00E033F1">
        <w:rPr>
          <w:color w:val="auto"/>
        </w:rPr>
        <w:t>x</w:t>
      </w:r>
      <w:r w:rsidR="004B5E1E" w:rsidRPr="00E033F1">
        <w:rPr>
          <w:color w:val="auto"/>
        </w:rPr>
        <w:t> </w:t>
      </w:r>
      <w:r w:rsidR="003A1229" w:rsidRPr="00E033F1">
        <w:rPr>
          <w:color w:val="auto"/>
        </w:rPr>
        <w:t>10</w:t>
      </w:r>
      <w:r w:rsidR="003A1229" w:rsidRPr="00E033F1">
        <w:rPr>
          <w:color w:val="auto"/>
          <w:vertAlign w:val="superscript"/>
        </w:rPr>
        <w:t>-4</w:t>
      </w:r>
      <w:r w:rsidR="004B5E1E" w:rsidRPr="00E033F1">
        <w:rPr>
          <w:color w:val="auto"/>
        </w:rPr>
        <w:t> </w:t>
      </w:r>
      <w:r w:rsidR="00140D24" w:rsidRPr="00E033F1">
        <w:rPr>
          <w:color w:val="auto"/>
        </w:rPr>
        <w:t>L</w:t>
      </w:r>
      <w:r w:rsidRPr="00E033F1">
        <w:rPr>
          <w:color w:val="auto"/>
        </w:rPr>
        <w:t xml:space="preserve">. </w:t>
      </w:r>
    </w:p>
    <w:p w14:paraId="53BC33B9" w14:textId="77777777" w:rsidR="00255E2F" w:rsidRPr="00E033F1" w:rsidRDefault="00255E2F" w:rsidP="00E033F1">
      <w:pPr>
        <w:pStyle w:val="ListParagraph"/>
        <w:ind w:left="0"/>
        <w:jc w:val="left"/>
        <w:rPr>
          <w:rFonts w:asciiTheme="minorHAnsi" w:hAnsiTheme="minorHAnsi" w:cstheme="minorHAnsi"/>
          <w:color w:val="auto"/>
        </w:rPr>
      </w:pPr>
    </w:p>
    <w:p w14:paraId="405557A0" w14:textId="620BADEC" w:rsidR="00762FF2" w:rsidRPr="00E033F1" w:rsidRDefault="00296B20" w:rsidP="00E033F1">
      <w:pPr>
        <w:pStyle w:val="ListParagraph"/>
        <w:numPr>
          <w:ilvl w:val="2"/>
          <w:numId w:val="31"/>
        </w:numPr>
        <w:ind w:left="0" w:firstLine="0"/>
        <w:jc w:val="left"/>
        <w:rPr>
          <w:rFonts w:asciiTheme="minorHAnsi" w:hAnsiTheme="minorHAnsi" w:cstheme="minorHAnsi"/>
          <w:color w:val="auto"/>
        </w:rPr>
      </w:pPr>
      <w:r w:rsidRPr="00E033F1">
        <w:rPr>
          <w:color w:val="auto"/>
        </w:rPr>
        <w:t>Norma</w:t>
      </w:r>
      <w:r w:rsidR="00205DCF" w:rsidRPr="00E033F1">
        <w:rPr>
          <w:color w:val="auto"/>
        </w:rPr>
        <w:t>liz</w:t>
      </w:r>
      <w:r w:rsidRPr="00E033F1">
        <w:rPr>
          <w:color w:val="auto"/>
        </w:rPr>
        <w:t>e the activity per amount of protein used by dividing the results of step 1.2.9 by 4</w:t>
      </w:r>
      <w:r w:rsidR="004B5E1E" w:rsidRPr="00E033F1">
        <w:rPr>
          <w:color w:val="auto"/>
        </w:rPr>
        <w:t> </w:t>
      </w:r>
      <w:r w:rsidRPr="00E033F1">
        <w:rPr>
          <w:color w:val="auto"/>
        </w:rPr>
        <w:t>x</w:t>
      </w:r>
      <w:r w:rsidR="004B5E1E" w:rsidRPr="00E033F1">
        <w:rPr>
          <w:color w:val="auto"/>
        </w:rPr>
        <w:t> </w:t>
      </w:r>
      <w:r w:rsidRPr="00E033F1">
        <w:rPr>
          <w:color w:val="auto"/>
        </w:rPr>
        <w:t>10</w:t>
      </w:r>
      <w:r w:rsidRPr="00E033F1">
        <w:rPr>
          <w:color w:val="auto"/>
          <w:vertAlign w:val="superscript"/>
        </w:rPr>
        <w:t>-</w:t>
      </w:r>
      <w:r w:rsidR="0069316B" w:rsidRPr="00E033F1">
        <w:rPr>
          <w:color w:val="auto"/>
          <w:vertAlign w:val="superscript"/>
        </w:rPr>
        <w:t>4</w:t>
      </w:r>
      <w:r w:rsidR="004B5E1E" w:rsidRPr="00E033F1">
        <w:rPr>
          <w:color w:val="auto"/>
        </w:rPr>
        <w:t> </w:t>
      </w:r>
      <w:r w:rsidRPr="00E033F1">
        <w:rPr>
          <w:color w:val="auto"/>
        </w:rPr>
        <w:t xml:space="preserve">mg. </w:t>
      </w:r>
      <w:r w:rsidR="00205DCF" w:rsidRPr="00E033F1">
        <w:rPr>
          <w:color w:val="auto"/>
        </w:rPr>
        <w:t>The result is the specific enzym</w:t>
      </w:r>
      <w:r w:rsidR="00B43462" w:rsidRPr="00E033F1">
        <w:rPr>
          <w:color w:val="auto"/>
        </w:rPr>
        <w:t>atic</w:t>
      </w:r>
      <w:r w:rsidR="00205DCF" w:rsidRPr="00E033F1">
        <w:rPr>
          <w:color w:val="auto"/>
        </w:rPr>
        <w:t xml:space="preserve"> activity in unit/mg or </w:t>
      </w:r>
      <w:r w:rsidR="00B33C23" w:rsidRPr="00E033F1">
        <w:rPr>
          <w:color w:val="auto"/>
        </w:rPr>
        <w:t>µ</w:t>
      </w:r>
      <w:r w:rsidR="00205DCF" w:rsidRPr="00E033F1">
        <w:rPr>
          <w:color w:val="auto"/>
        </w:rPr>
        <w:t>mol/min/mg.</w:t>
      </w:r>
    </w:p>
    <w:p w14:paraId="7156D8CD" w14:textId="77777777" w:rsidR="006E12C9" w:rsidRPr="00E033F1" w:rsidRDefault="006E12C9" w:rsidP="00E033F1">
      <w:pPr>
        <w:pStyle w:val="ListParagraph"/>
        <w:ind w:left="0"/>
        <w:rPr>
          <w:rFonts w:asciiTheme="minorHAnsi" w:hAnsiTheme="minorHAnsi" w:cstheme="minorHAnsi"/>
          <w:color w:val="auto"/>
        </w:rPr>
      </w:pPr>
    </w:p>
    <w:p w14:paraId="5417B425" w14:textId="17EFB5D2" w:rsidR="006E12C9" w:rsidRPr="00E033F1" w:rsidRDefault="006E12C9" w:rsidP="00E033F1">
      <w:pPr>
        <w:pStyle w:val="ListParagraph"/>
        <w:ind w:left="0"/>
        <w:jc w:val="left"/>
        <w:rPr>
          <w:rFonts w:asciiTheme="minorHAnsi" w:hAnsiTheme="minorHAnsi" w:cstheme="minorHAnsi"/>
          <w:color w:val="auto"/>
        </w:rPr>
      </w:pPr>
      <w:r w:rsidRPr="00E033F1">
        <w:rPr>
          <w:rFonts w:asciiTheme="minorHAnsi" w:hAnsiTheme="minorHAnsi" w:cstheme="minorHAnsi"/>
          <w:color w:val="auto"/>
        </w:rPr>
        <w:t xml:space="preserve">NOTE: </w:t>
      </w:r>
      <w:r w:rsidR="00225631" w:rsidRPr="00E033F1">
        <w:rPr>
          <w:rFonts w:asciiTheme="minorHAnsi" w:hAnsiTheme="minorHAnsi" w:cstheme="minorHAnsi"/>
          <w:color w:val="auto"/>
        </w:rPr>
        <w:t>I</w:t>
      </w:r>
      <w:r w:rsidRPr="00E033F1">
        <w:rPr>
          <w:rFonts w:asciiTheme="minorHAnsi" w:hAnsiTheme="minorHAnsi" w:cstheme="minorHAnsi"/>
          <w:color w:val="auto"/>
        </w:rPr>
        <w:t xml:space="preserve">f the dilution was changed in </w:t>
      </w:r>
      <w:r w:rsidR="00B43462" w:rsidRPr="00E033F1">
        <w:rPr>
          <w:rFonts w:asciiTheme="minorHAnsi" w:hAnsiTheme="minorHAnsi" w:cstheme="minorHAnsi"/>
          <w:color w:val="auto"/>
        </w:rPr>
        <w:t>step</w:t>
      </w:r>
      <w:r w:rsidRPr="00E033F1">
        <w:rPr>
          <w:rFonts w:asciiTheme="minorHAnsi" w:hAnsiTheme="minorHAnsi" w:cstheme="minorHAnsi"/>
          <w:color w:val="auto"/>
        </w:rPr>
        <w:t xml:space="preserve"> 1.2.6</w:t>
      </w:r>
      <w:r w:rsidR="00225631" w:rsidRPr="00E033F1">
        <w:rPr>
          <w:rFonts w:asciiTheme="minorHAnsi" w:hAnsiTheme="minorHAnsi" w:cstheme="minorHAnsi"/>
          <w:color w:val="auto"/>
        </w:rPr>
        <w:t>,</w:t>
      </w:r>
      <w:r w:rsidR="00512E01" w:rsidRPr="00E033F1">
        <w:rPr>
          <w:rFonts w:asciiTheme="minorHAnsi" w:hAnsiTheme="minorHAnsi" w:cstheme="minorHAnsi"/>
          <w:color w:val="auto"/>
        </w:rPr>
        <w:t xml:space="preserve"> because of </w:t>
      </w:r>
      <w:r w:rsidR="00225631" w:rsidRPr="00E033F1">
        <w:rPr>
          <w:rFonts w:asciiTheme="minorHAnsi" w:hAnsiTheme="minorHAnsi" w:cstheme="minorHAnsi"/>
          <w:color w:val="auto"/>
        </w:rPr>
        <w:t xml:space="preserve">a </w:t>
      </w:r>
      <w:r w:rsidR="00512E01" w:rsidRPr="00E033F1">
        <w:rPr>
          <w:rFonts w:asciiTheme="minorHAnsi" w:hAnsiTheme="minorHAnsi" w:cstheme="minorHAnsi"/>
          <w:color w:val="auto"/>
        </w:rPr>
        <w:t>non-linear reaction</w:t>
      </w:r>
      <w:r w:rsidRPr="00E033F1">
        <w:rPr>
          <w:rFonts w:asciiTheme="minorHAnsi" w:hAnsiTheme="minorHAnsi" w:cstheme="minorHAnsi"/>
          <w:color w:val="auto"/>
        </w:rPr>
        <w:t>, adjust th</w:t>
      </w:r>
      <w:r w:rsidR="00225631" w:rsidRPr="00E033F1">
        <w:rPr>
          <w:rFonts w:asciiTheme="minorHAnsi" w:hAnsiTheme="minorHAnsi" w:cstheme="minorHAnsi"/>
          <w:color w:val="auto"/>
        </w:rPr>
        <w:t>e</w:t>
      </w:r>
      <w:r w:rsidRPr="00E033F1">
        <w:rPr>
          <w:rFonts w:asciiTheme="minorHAnsi" w:hAnsiTheme="minorHAnsi" w:cstheme="minorHAnsi"/>
          <w:color w:val="auto"/>
        </w:rPr>
        <w:t xml:space="preserve"> protein amount accordingly. </w:t>
      </w:r>
    </w:p>
    <w:p w14:paraId="08AAD14C" w14:textId="02B926ED" w:rsidR="006E12C9" w:rsidRPr="00E033F1" w:rsidRDefault="006E12C9" w:rsidP="00E033F1">
      <w:pPr>
        <w:contextualSpacing/>
        <w:jc w:val="left"/>
        <w:rPr>
          <w:rFonts w:asciiTheme="minorHAnsi" w:hAnsiTheme="minorHAnsi" w:cstheme="minorHAnsi"/>
          <w:color w:val="auto"/>
        </w:rPr>
      </w:pPr>
    </w:p>
    <w:p w14:paraId="54078A66" w14:textId="5521361E" w:rsidR="00762FF2" w:rsidRPr="00E033F1" w:rsidRDefault="00205DCF" w:rsidP="00E033F1">
      <w:pPr>
        <w:pStyle w:val="ListParagraph"/>
        <w:numPr>
          <w:ilvl w:val="2"/>
          <w:numId w:val="31"/>
        </w:numPr>
        <w:ind w:left="0" w:firstLine="0"/>
        <w:jc w:val="left"/>
        <w:rPr>
          <w:rFonts w:asciiTheme="minorHAnsi" w:hAnsiTheme="minorHAnsi" w:cstheme="minorHAnsi"/>
          <w:color w:val="auto"/>
        </w:rPr>
      </w:pPr>
      <w:r w:rsidRPr="00E033F1">
        <w:rPr>
          <w:rFonts w:asciiTheme="minorHAnsi" w:hAnsiTheme="minorHAnsi" w:cstheme="minorHAnsi"/>
          <w:color w:val="auto"/>
        </w:rPr>
        <w:t xml:space="preserve">To find the enzymatic activity, adjust the results to the protein concentration in mg/mL by </w:t>
      </w:r>
      <w:r w:rsidR="00E773EC" w:rsidRPr="00E033F1">
        <w:rPr>
          <w:rFonts w:asciiTheme="minorHAnsi" w:hAnsiTheme="minorHAnsi" w:cstheme="minorHAnsi"/>
          <w:color w:val="auto"/>
        </w:rPr>
        <w:t xml:space="preserve">multiplying </w:t>
      </w:r>
      <w:r w:rsidRPr="00E033F1">
        <w:rPr>
          <w:rFonts w:asciiTheme="minorHAnsi" w:hAnsiTheme="minorHAnsi" w:cstheme="minorHAnsi"/>
          <w:color w:val="auto"/>
        </w:rPr>
        <w:t>the specific enzymatic activity fou</w:t>
      </w:r>
      <w:r w:rsidR="00512E01" w:rsidRPr="00E033F1">
        <w:rPr>
          <w:rFonts w:asciiTheme="minorHAnsi" w:hAnsiTheme="minorHAnsi" w:cstheme="minorHAnsi"/>
          <w:color w:val="auto"/>
        </w:rPr>
        <w:t xml:space="preserve">nd in </w:t>
      </w:r>
      <w:r w:rsidR="00B43462" w:rsidRPr="00E033F1">
        <w:rPr>
          <w:rFonts w:asciiTheme="minorHAnsi" w:hAnsiTheme="minorHAnsi" w:cstheme="minorHAnsi"/>
          <w:color w:val="auto"/>
        </w:rPr>
        <w:t xml:space="preserve">step </w:t>
      </w:r>
      <w:r w:rsidR="00512E01" w:rsidRPr="00E033F1">
        <w:rPr>
          <w:rFonts w:asciiTheme="minorHAnsi" w:hAnsiTheme="minorHAnsi" w:cstheme="minorHAnsi"/>
          <w:color w:val="auto"/>
        </w:rPr>
        <w:t>1.2.10 by 0.0</w:t>
      </w:r>
      <w:r w:rsidR="00E773EC" w:rsidRPr="00E033F1">
        <w:rPr>
          <w:rFonts w:asciiTheme="minorHAnsi" w:hAnsiTheme="minorHAnsi" w:cstheme="minorHAnsi"/>
          <w:color w:val="auto"/>
        </w:rPr>
        <w:t>0</w:t>
      </w:r>
      <w:r w:rsidR="00512E01" w:rsidRPr="00E033F1">
        <w:rPr>
          <w:rFonts w:asciiTheme="minorHAnsi" w:hAnsiTheme="minorHAnsi" w:cstheme="minorHAnsi"/>
          <w:color w:val="auto"/>
        </w:rPr>
        <w:t>2</w:t>
      </w:r>
      <w:r w:rsidR="004B5E1E" w:rsidRPr="00E033F1">
        <w:rPr>
          <w:rFonts w:asciiTheme="minorHAnsi" w:hAnsiTheme="minorHAnsi" w:cstheme="minorHAnsi"/>
          <w:color w:val="auto"/>
        </w:rPr>
        <w:t> </w:t>
      </w:r>
      <w:r w:rsidR="00512E01" w:rsidRPr="00E033F1">
        <w:rPr>
          <w:rFonts w:asciiTheme="minorHAnsi" w:hAnsiTheme="minorHAnsi" w:cstheme="minorHAnsi"/>
          <w:color w:val="auto"/>
        </w:rPr>
        <w:t>mg/</w:t>
      </w:r>
      <w:proofErr w:type="spellStart"/>
      <w:r w:rsidR="00512E01" w:rsidRPr="00E033F1">
        <w:rPr>
          <w:rFonts w:asciiTheme="minorHAnsi" w:hAnsiTheme="minorHAnsi" w:cstheme="minorHAnsi"/>
          <w:color w:val="auto"/>
        </w:rPr>
        <w:t>mL</w:t>
      </w:r>
      <w:r w:rsidRPr="00E033F1">
        <w:rPr>
          <w:rFonts w:asciiTheme="minorHAnsi" w:hAnsiTheme="minorHAnsi" w:cstheme="minorHAnsi"/>
          <w:color w:val="auto"/>
        </w:rPr>
        <w:t>.</w:t>
      </w:r>
      <w:proofErr w:type="spellEnd"/>
      <w:r w:rsidRPr="00E033F1">
        <w:rPr>
          <w:rFonts w:asciiTheme="minorHAnsi" w:hAnsiTheme="minorHAnsi" w:cstheme="minorHAnsi"/>
          <w:color w:val="auto"/>
        </w:rPr>
        <w:t xml:space="preserve"> </w:t>
      </w:r>
      <w:r w:rsidR="00762FF2" w:rsidRPr="00E033F1">
        <w:rPr>
          <w:rFonts w:asciiTheme="minorHAnsi" w:hAnsiTheme="minorHAnsi" w:cstheme="minorHAnsi"/>
          <w:color w:val="auto"/>
        </w:rPr>
        <w:t>This will give th</w:t>
      </w:r>
      <w:r w:rsidR="00512E01" w:rsidRPr="00E033F1">
        <w:rPr>
          <w:rFonts w:asciiTheme="minorHAnsi" w:hAnsiTheme="minorHAnsi" w:cstheme="minorHAnsi"/>
          <w:color w:val="auto"/>
        </w:rPr>
        <w:t xml:space="preserve">e enzymatic activity in unit/mL or </w:t>
      </w:r>
      <w:r w:rsidR="00B33C23" w:rsidRPr="00E033F1">
        <w:rPr>
          <w:rFonts w:asciiTheme="minorHAnsi" w:hAnsiTheme="minorHAnsi" w:cstheme="minorHAnsi"/>
          <w:color w:val="auto"/>
        </w:rPr>
        <w:t>µ</w:t>
      </w:r>
      <w:r w:rsidR="00512E01" w:rsidRPr="00E033F1">
        <w:rPr>
          <w:rFonts w:asciiTheme="minorHAnsi" w:hAnsiTheme="minorHAnsi" w:cstheme="minorHAnsi"/>
          <w:color w:val="auto"/>
        </w:rPr>
        <w:t>mol/min/</w:t>
      </w:r>
      <w:proofErr w:type="spellStart"/>
      <w:r w:rsidR="00512E01" w:rsidRPr="00E033F1">
        <w:rPr>
          <w:rFonts w:asciiTheme="minorHAnsi" w:hAnsiTheme="minorHAnsi" w:cstheme="minorHAnsi"/>
          <w:color w:val="auto"/>
        </w:rPr>
        <w:t>mL</w:t>
      </w:r>
      <w:r w:rsidR="00762FF2" w:rsidRPr="00E033F1">
        <w:rPr>
          <w:rFonts w:asciiTheme="minorHAnsi" w:hAnsiTheme="minorHAnsi" w:cstheme="minorHAnsi"/>
          <w:color w:val="auto"/>
        </w:rPr>
        <w:t>.</w:t>
      </w:r>
      <w:proofErr w:type="spellEnd"/>
      <w:r w:rsidR="00762FF2" w:rsidRPr="00E033F1">
        <w:rPr>
          <w:rFonts w:asciiTheme="minorHAnsi" w:hAnsiTheme="minorHAnsi" w:cstheme="minorHAnsi"/>
          <w:color w:val="auto"/>
        </w:rPr>
        <w:t xml:space="preserve"> </w:t>
      </w:r>
    </w:p>
    <w:p w14:paraId="6940FA0C" w14:textId="77777777" w:rsidR="00762FF2" w:rsidRPr="00E033F1" w:rsidRDefault="00762FF2" w:rsidP="00E033F1">
      <w:pPr>
        <w:pStyle w:val="ListParagraph"/>
        <w:ind w:left="0"/>
        <w:rPr>
          <w:rFonts w:asciiTheme="minorHAnsi" w:hAnsiTheme="minorHAnsi" w:cstheme="minorHAnsi"/>
          <w:color w:val="auto"/>
        </w:rPr>
      </w:pPr>
    </w:p>
    <w:p w14:paraId="7D672214" w14:textId="7962FDDF" w:rsidR="006E12C9" w:rsidRPr="00E033F1" w:rsidRDefault="00762FF2" w:rsidP="00E033F1">
      <w:pPr>
        <w:pStyle w:val="ListParagraph"/>
        <w:ind w:left="0"/>
        <w:jc w:val="left"/>
        <w:rPr>
          <w:rFonts w:asciiTheme="minorHAnsi" w:hAnsiTheme="minorHAnsi" w:cstheme="minorHAnsi"/>
          <w:color w:val="auto"/>
        </w:rPr>
      </w:pPr>
      <w:r w:rsidRPr="00E033F1">
        <w:rPr>
          <w:rFonts w:asciiTheme="minorHAnsi" w:hAnsiTheme="minorHAnsi" w:cstheme="minorHAnsi"/>
          <w:color w:val="auto"/>
        </w:rPr>
        <w:t xml:space="preserve">NOTE: </w:t>
      </w:r>
      <w:r w:rsidR="003C4514" w:rsidRPr="00E033F1">
        <w:rPr>
          <w:rFonts w:asciiTheme="minorHAnsi" w:hAnsiTheme="minorHAnsi" w:cstheme="minorHAnsi"/>
          <w:color w:val="auto"/>
        </w:rPr>
        <w:t>In contrast</w:t>
      </w:r>
      <w:r w:rsidRPr="00E033F1">
        <w:rPr>
          <w:rFonts w:asciiTheme="minorHAnsi" w:hAnsiTheme="minorHAnsi" w:cstheme="minorHAnsi"/>
          <w:color w:val="auto"/>
        </w:rPr>
        <w:t xml:space="preserve"> to the enzym</w:t>
      </w:r>
      <w:r w:rsidR="00B43462" w:rsidRPr="00E033F1">
        <w:rPr>
          <w:rFonts w:asciiTheme="minorHAnsi" w:hAnsiTheme="minorHAnsi" w:cstheme="minorHAnsi"/>
          <w:color w:val="auto"/>
        </w:rPr>
        <w:t>atic</w:t>
      </w:r>
      <w:r w:rsidRPr="00E033F1">
        <w:rPr>
          <w:rFonts w:asciiTheme="minorHAnsi" w:hAnsiTheme="minorHAnsi" w:cstheme="minorHAnsi"/>
          <w:color w:val="auto"/>
        </w:rPr>
        <w:t xml:space="preserve"> activity, this measure will not change depending on the dilution of the protein solution. </w:t>
      </w:r>
      <w:r w:rsidR="00E6789E" w:rsidRPr="00E033F1">
        <w:rPr>
          <w:rFonts w:asciiTheme="minorHAnsi" w:hAnsiTheme="minorHAnsi" w:cstheme="minorHAnsi"/>
          <w:color w:val="auto"/>
        </w:rPr>
        <w:t xml:space="preserve">Same note as </w:t>
      </w:r>
      <w:r w:rsidR="00B43462" w:rsidRPr="00E033F1">
        <w:rPr>
          <w:rFonts w:asciiTheme="minorHAnsi" w:hAnsiTheme="minorHAnsi" w:cstheme="minorHAnsi"/>
          <w:color w:val="auto"/>
        </w:rPr>
        <w:t xml:space="preserve">step </w:t>
      </w:r>
      <w:r w:rsidR="00E6789E" w:rsidRPr="00E033F1">
        <w:rPr>
          <w:rFonts w:asciiTheme="minorHAnsi" w:hAnsiTheme="minorHAnsi" w:cstheme="minorHAnsi"/>
          <w:color w:val="auto"/>
        </w:rPr>
        <w:t>1.2.10 but for the protein concentration.</w:t>
      </w:r>
    </w:p>
    <w:p w14:paraId="3946DCAE" w14:textId="77777777" w:rsidR="00357CEE" w:rsidRPr="00E033F1" w:rsidRDefault="00357CEE" w:rsidP="00E033F1">
      <w:pPr>
        <w:pStyle w:val="ListParagraph"/>
        <w:ind w:left="0"/>
        <w:rPr>
          <w:rFonts w:asciiTheme="minorHAnsi" w:hAnsiTheme="minorHAnsi" w:cstheme="minorHAnsi"/>
          <w:color w:val="auto"/>
        </w:rPr>
      </w:pPr>
    </w:p>
    <w:p w14:paraId="7A37C9E4" w14:textId="7CD2FBA6" w:rsidR="00357CEE" w:rsidRPr="00E033F1" w:rsidRDefault="00357CEE" w:rsidP="00E033F1">
      <w:pPr>
        <w:pStyle w:val="ListParagraph"/>
        <w:numPr>
          <w:ilvl w:val="2"/>
          <w:numId w:val="31"/>
        </w:numPr>
        <w:ind w:left="0" w:firstLine="0"/>
        <w:rPr>
          <w:rFonts w:asciiTheme="minorHAnsi" w:hAnsiTheme="minorHAnsi" w:cstheme="minorHAnsi"/>
          <w:color w:val="auto"/>
        </w:rPr>
      </w:pPr>
      <w:bookmarkStart w:id="5" w:name="_Hlk28271939"/>
      <w:r w:rsidRPr="00E033F1">
        <w:rPr>
          <w:rFonts w:asciiTheme="minorHAnsi" w:hAnsiTheme="minorHAnsi" w:cstheme="minorHAnsi"/>
          <w:color w:val="auto"/>
        </w:rPr>
        <w:t>Prepare a stock solution of the GST enzyme at 0.1</w:t>
      </w:r>
      <w:r w:rsidR="004B5E1E" w:rsidRPr="00E033F1">
        <w:rPr>
          <w:rFonts w:asciiTheme="minorHAnsi" w:hAnsiTheme="minorHAnsi" w:cstheme="minorHAnsi"/>
          <w:color w:val="auto"/>
        </w:rPr>
        <w:t> </w:t>
      </w:r>
      <w:r w:rsidRPr="00E033F1">
        <w:rPr>
          <w:rFonts w:asciiTheme="minorHAnsi" w:hAnsiTheme="minorHAnsi" w:cstheme="minorHAnsi"/>
          <w:color w:val="auto"/>
        </w:rPr>
        <w:t>unit</w:t>
      </w:r>
      <w:r w:rsidR="007B0FC7" w:rsidRPr="00E033F1">
        <w:rPr>
          <w:rFonts w:asciiTheme="minorHAnsi" w:hAnsiTheme="minorHAnsi" w:cstheme="minorHAnsi"/>
          <w:color w:val="auto"/>
        </w:rPr>
        <w:t>/</w:t>
      </w:r>
      <w:r w:rsidR="00140D24" w:rsidRPr="00E033F1">
        <w:rPr>
          <w:rFonts w:asciiTheme="minorHAnsi" w:hAnsiTheme="minorHAnsi" w:cstheme="minorHAnsi"/>
          <w:color w:val="auto"/>
        </w:rPr>
        <w:t>mL</w:t>
      </w:r>
      <w:r w:rsidRPr="00E033F1">
        <w:rPr>
          <w:rFonts w:asciiTheme="minorHAnsi" w:hAnsiTheme="minorHAnsi" w:cstheme="minorHAnsi"/>
          <w:color w:val="auto"/>
        </w:rPr>
        <w:t xml:space="preserve"> in water and </w:t>
      </w:r>
      <w:r w:rsidR="006E3BF4" w:rsidRPr="00E033F1">
        <w:rPr>
          <w:rFonts w:asciiTheme="minorHAnsi" w:hAnsiTheme="minorHAnsi" w:cstheme="minorHAnsi"/>
          <w:color w:val="auto"/>
        </w:rPr>
        <w:t>then</w:t>
      </w:r>
      <w:r w:rsidRPr="00E033F1">
        <w:rPr>
          <w:rFonts w:asciiTheme="minorHAnsi" w:hAnsiTheme="minorHAnsi" w:cstheme="minorHAnsi"/>
          <w:color w:val="auto"/>
        </w:rPr>
        <w:t xml:space="preserve"> proceed with </w:t>
      </w:r>
      <w:r w:rsidR="00140D24" w:rsidRPr="00E033F1">
        <w:rPr>
          <w:rFonts w:asciiTheme="minorHAnsi" w:hAnsiTheme="minorHAnsi" w:cstheme="minorHAnsi"/>
          <w:color w:val="auto"/>
        </w:rPr>
        <w:t xml:space="preserve">step 2. </w:t>
      </w:r>
    </w:p>
    <w:bookmarkEnd w:id="5"/>
    <w:p w14:paraId="212F7AE3" w14:textId="1923A92A" w:rsidR="00512E01" w:rsidRPr="00E033F1" w:rsidRDefault="00512E01" w:rsidP="00E033F1">
      <w:pPr>
        <w:pStyle w:val="ListParagraph"/>
        <w:ind w:left="0"/>
        <w:rPr>
          <w:rFonts w:asciiTheme="minorHAnsi" w:hAnsiTheme="minorHAnsi" w:cstheme="minorHAnsi"/>
          <w:color w:val="auto"/>
        </w:rPr>
      </w:pPr>
    </w:p>
    <w:p w14:paraId="081D6A1B" w14:textId="55D5B736" w:rsidR="00512E01" w:rsidRPr="00E033F1" w:rsidRDefault="00512E01"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NOTE: This solution can be stored at -20</w:t>
      </w:r>
      <w:r w:rsidR="00A768CB">
        <w:rPr>
          <w:rFonts w:asciiTheme="minorHAnsi" w:hAnsiTheme="minorHAnsi" w:cstheme="minorHAnsi"/>
          <w:color w:val="auto"/>
        </w:rPr>
        <w:t xml:space="preserve"> </w:t>
      </w:r>
      <w:r w:rsidRPr="00E033F1">
        <w:rPr>
          <w:rFonts w:asciiTheme="minorHAnsi" w:hAnsiTheme="minorHAnsi" w:cstheme="minorHAnsi"/>
          <w:color w:val="auto"/>
        </w:rPr>
        <w:t>°</w:t>
      </w:r>
      <w:r w:rsidR="004B5E1E" w:rsidRPr="00E033F1">
        <w:rPr>
          <w:rFonts w:asciiTheme="minorHAnsi" w:hAnsiTheme="minorHAnsi" w:cstheme="minorHAnsi"/>
          <w:color w:val="auto"/>
        </w:rPr>
        <w:t>C</w:t>
      </w:r>
      <w:r w:rsidRPr="00E033F1">
        <w:rPr>
          <w:rFonts w:asciiTheme="minorHAnsi" w:hAnsiTheme="minorHAnsi" w:cstheme="minorHAnsi"/>
          <w:color w:val="auto"/>
        </w:rPr>
        <w:t xml:space="preserve"> in aliquots for several month</w:t>
      </w:r>
      <w:r w:rsidR="00B43462" w:rsidRPr="00E033F1">
        <w:rPr>
          <w:rFonts w:asciiTheme="minorHAnsi" w:hAnsiTheme="minorHAnsi" w:cstheme="minorHAnsi"/>
          <w:color w:val="auto"/>
        </w:rPr>
        <w:t>s</w:t>
      </w:r>
      <w:r w:rsidRPr="00E033F1">
        <w:rPr>
          <w:rFonts w:asciiTheme="minorHAnsi" w:hAnsiTheme="minorHAnsi" w:cstheme="minorHAnsi"/>
          <w:color w:val="auto"/>
        </w:rPr>
        <w:t xml:space="preserve"> or</w:t>
      </w:r>
      <w:r w:rsidR="00B43462" w:rsidRPr="00E033F1">
        <w:rPr>
          <w:rFonts w:asciiTheme="minorHAnsi" w:hAnsiTheme="minorHAnsi" w:cstheme="minorHAnsi"/>
          <w:color w:val="auto"/>
        </w:rPr>
        <w:t xml:space="preserve"> at</w:t>
      </w:r>
      <w:r w:rsidRPr="00E033F1">
        <w:rPr>
          <w:rFonts w:asciiTheme="minorHAnsi" w:hAnsiTheme="minorHAnsi" w:cstheme="minorHAnsi"/>
          <w:color w:val="auto"/>
        </w:rPr>
        <w:t xml:space="preserve"> -80</w:t>
      </w:r>
      <w:r w:rsidR="00A768CB">
        <w:rPr>
          <w:rFonts w:asciiTheme="minorHAnsi" w:hAnsiTheme="minorHAnsi" w:cstheme="minorHAnsi"/>
          <w:color w:val="auto"/>
        </w:rPr>
        <w:t xml:space="preserve"> </w:t>
      </w:r>
      <w:r w:rsidRPr="00E033F1">
        <w:rPr>
          <w:rFonts w:asciiTheme="minorHAnsi" w:hAnsiTheme="minorHAnsi" w:cstheme="minorHAnsi"/>
          <w:color w:val="auto"/>
        </w:rPr>
        <w:t>°</w:t>
      </w:r>
      <w:r w:rsidR="004B5E1E" w:rsidRPr="00E033F1">
        <w:rPr>
          <w:rFonts w:asciiTheme="minorHAnsi" w:hAnsiTheme="minorHAnsi" w:cstheme="minorHAnsi"/>
          <w:color w:val="auto"/>
        </w:rPr>
        <w:t>C</w:t>
      </w:r>
      <w:r w:rsidRPr="00E033F1">
        <w:rPr>
          <w:rFonts w:asciiTheme="minorHAnsi" w:hAnsiTheme="minorHAnsi" w:cstheme="minorHAnsi"/>
          <w:color w:val="auto"/>
        </w:rPr>
        <w:t xml:space="preserve"> for longer </w:t>
      </w:r>
      <w:r w:rsidR="00B43462" w:rsidRPr="00E033F1">
        <w:rPr>
          <w:rFonts w:asciiTheme="minorHAnsi" w:hAnsiTheme="minorHAnsi" w:cstheme="minorHAnsi"/>
          <w:color w:val="auto"/>
        </w:rPr>
        <w:t>periods</w:t>
      </w:r>
      <w:r w:rsidR="006E3BF4" w:rsidRPr="00E033F1">
        <w:rPr>
          <w:rFonts w:asciiTheme="minorHAnsi" w:hAnsiTheme="minorHAnsi" w:cstheme="minorHAnsi"/>
          <w:color w:val="auto"/>
        </w:rPr>
        <w:t>, but the</w:t>
      </w:r>
      <w:r w:rsidRPr="00E033F1">
        <w:rPr>
          <w:rFonts w:asciiTheme="minorHAnsi" w:hAnsiTheme="minorHAnsi" w:cstheme="minorHAnsi"/>
          <w:color w:val="auto"/>
        </w:rPr>
        <w:t xml:space="preserve"> freeze/thaw cycle must be avoided.</w:t>
      </w:r>
      <w:r w:rsidR="00985B90" w:rsidRPr="00E033F1">
        <w:rPr>
          <w:rFonts w:asciiTheme="minorHAnsi" w:hAnsiTheme="minorHAnsi" w:cstheme="minorHAnsi"/>
          <w:color w:val="auto"/>
        </w:rPr>
        <w:t xml:space="preserve"> Control of the enzymatic activity is recommended if the experiments are conducted during an extended </w:t>
      </w:r>
      <w:proofErr w:type="gramStart"/>
      <w:r w:rsidR="00985B90" w:rsidRPr="00E033F1">
        <w:rPr>
          <w:rFonts w:asciiTheme="minorHAnsi" w:hAnsiTheme="minorHAnsi" w:cstheme="minorHAnsi"/>
          <w:color w:val="auto"/>
        </w:rPr>
        <w:t>period of time</w:t>
      </w:r>
      <w:proofErr w:type="gramEnd"/>
      <w:r w:rsidR="00A35E23" w:rsidRPr="00E033F1">
        <w:rPr>
          <w:rFonts w:asciiTheme="minorHAnsi" w:hAnsiTheme="minorHAnsi" w:cstheme="minorHAnsi"/>
          <w:color w:val="auto"/>
        </w:rPr>
        <w:t xml:space="preserve"> as degradation of the protein solution might occur</w:t>
      </w:r>
      <w:r w:rsidR="00985B90" w:rsidRPr="00E033F1">
        <w:rPr>
          <w:rFonts w:asciiTheme="minorHAnsi" w:hAnsiTheme="minorHAnsi" w:cstheme="minorHAnsi"/>
          <w:color w:val="auto"/>
        </w:rPr>
        <w:t xml:space="preserve">. </w:t>
      </w:r>
    </w:p>
    <w:p w14:paraId="24BC2235" w14:textId="1322560E" w:rsidR="00255E2F" w:rsidRPr="00E033F1" w:rsidRDefault="00255E2F" w:rsidP="00E033F1">
      <w:pPr>
        <w:contextualSpacing/>
        <w:jc w:val="left"/>
        <w:rPr>
          <w:rFonts w:asciiTheme="minorHAnsi" w:hAnsiTheme="minorHAnsi" w:cstheme="minorHAnsi"/>
          <w:color w:val="auto"/>
        </w:rPr>
      </w:pPr>
    </w:p>
    <w:p w14:paraId="1727B239" w14:textId="39E24069" w:rsidR="00A77858" w:rsidRPr="00E033F1" w:rsidRDefault="00F97205" w:rsidP="00E033F1">
      <w:pPr>
        <w:pStyle w:val="ListParagraph"/>
        <w:numPr>
          <w:ilvl w:val="0"/>
          <w:numId w:val="31"/>
        </w:numPr>
        <w:ind w:left="0" w:firstLine="0"/>
        <w:rPr>
          <w:rFonts w:asciiTheme="minorHAnsi" w:hAnsiTheme="minorHAnsi" w:cstheme="minorHAnsi"/>
          <w:b/>
          <w:color w:val="auto"/>
        </w:rPr>
      </w:pPr>
      <w:r w:rsidRPr="00E033F1">
        <w:rPr>
          <w:rFonts w:asciiTheme="minorHAnsi" w:hAnsiTheme="minorHAnsi" w:cstheme="minorHAnsi"/>
          <w:b/>
          <w:color w:val="auto"/>
        </w:rPr>
        <w:t>Measurement of the Micha</w:t>
      </w:r>
      <w:r w:rsidR="00814A6C" w:rsidRPr="00E033F1">
        <w:rPr>
          <w:rFonts w:asciiTheme="minorHAnsi" w:hAnsiTheme="minorHAnsi" w:cstheme="minorHAnsi"/>
          <w:b/>
          <w:color w:val="auto"/>
        </w:rPr>
        <w:t>e</w:t>
      </w:r>
      <w:r w:rsidRPr="00E033F1">
        <w:rPr>
          <w:rFonts w:asciiTheme="minorHAnsi" w:hAnsiTheme="minorHAnsi" w:cstheme="minorHAnsi"/>
          <w:b/>
          <w:color w:val="auto"/>
        </w:rPr>
        <w:t>lis</w:t>
      </w:r>
      <w:r w:rsidR="006E3BF4" w:rsidRPr="00E033F1">
        <w:rPr>
          <w:rFonts w:asciiTheme="minorHAnsi" w:hAnsiTheme="minorHAnsi" w:cstheme="minorHAnsi"/>
          <w:b/>
          <w:color w:val="auto"/>
        </w:rPr>
        <w:t>–</w:t>
      </w:r>
      <w:r w:rsidRPr="00E033F1">
        <w:rPr>
          <w:rFonts w:asciiTheme="minorHAnsi" w:hAnsiTheme="minorHAnsi" w:cstheme="minorHAnsi"/>
          <w:b/>
          <w:color w:val="auto"/>
        </w:rPr>
        <w:t>Menten constant of the GST isoform for CDNB</w:t>
      </w:r>
    </w:p>
    <w:p w14:paraId="38B18F60" w14:textId="746846D6" w:rsidR="00A77858" w:rsidRPr="00E033F1" w:rsidRDefault="00A77858" w:rsidP="00E033F1">
      <w:pPr>
        <w:pStyle w:val="ListParagraph"/>
        <w:ind w:left="0"/>
        <w:rPr>
          <w:rFonts w:asciiTheme="minorHAnsi" w:hAnsiTheme="minorHAnsi" w:cstheme="minorHAnsi"/>
          <w:b/>
          <w:color w:val="auto"/>
        </w:rPr>
      </w:pPr>
    </w:p>
    <w:p w14:paraId="3E6FA493" w14:textId="53CAAF91" w:rsidR="0025118E" w:rsidRPr="00E033F1" w:rsidRDefault="00A77858"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NOTE: The procedure is explained for</w:t>
      </w:r>
      <w:r w:rsidR="006E3BF4" w:rsidRPr="00E033F1">
        <w:rPr>
          <w:rFonts w:asciiTheme="minorHAnsi" w:hAnsiTheme="minorHAnsi" w:cstheme="minorHAnsi"/>
          <w:color w:val="auto"/>
        </w:rPr>
        <w:t xml:space="preserve"> a</w:t>
      </w:r>
      <w:r w:rsidRPr="00E033F1">
        <w:rPr>
          <w:rFonts w:asciiTheme="minorHAnsi" w:hAnsiTheme="minorHAnsi" w:cstheme="minorHAnsi"/>
          <w:color w:val="auto"/>
        </w:rPr>
        <w:t xml:space="preserve"> CDNB substrate but can be</w:t>
      </w:r>
      <w:r w:rsidR="001E0088" w:rsidRPr="00E033F1">
        <w:rPr>
          <w:rFonts w:asciiTheme="minorHAnsi" w:hAnsiTheme="minorHAnsi" w:cstheme="minorHAnsi"/>
          <w:color w:val="auto"/>
        </w:rPr>
        <w:t xml:space="preserve"> applied to any other substrate</w:t>
      </w:r>
      <w:r w:rsidR="00012CD3" w:rsidRPr="00E033F1">
        <w:rPr>
          <w:rFonts w:asciiTheme="minorHAnsi" w:hAnsiTheme="minorHAnsi" w:cstheme="minorHAnsi"/>
          <w:color w:val="auto"/>
        </w:rPr>
        <w:t>, such as GSH</w:t>
      </w:r>
      <w:r w:rsidR="001E0088" w:rsidRPr="00E033F1">
        <w:rPr>
          <w:rFonts w:asciiTheme="minorHAnsi" w:hAnsiTheme="minorHAnsi" w:cstheme="minorHAnsi"/>
          <w:color w:val="auto"/>
        </w:rPr>
        <w:t>.</w:t>
      </w:r>
      <w:r w:rsidR="00E033F1" w:rsidRPr="00E033F1">
        <w:rPr>
          <w:rFonts w:asciiTheme="minorHAnsi" w:hAnsiTheme="minorHAnsi" w:cstheme="minorHAnsi"/>
          <w:color w:val="auto"/>
        </w:rPr>
        <w:t xml:space="preserve"> </w:t>
      </w:r>
      <w:r w:rsidR="0025118E" w:rsidRPr="00E033F1">
        <w:rPr>
          <w:rFonts w:asciiTheme="minorHAnsi" w:hAnsiTheme="minorHAnsi" w:cstheme="minorHAnsi"/>
          <w:color w:val="auto"/>
        </w:rPr>
        <w:t>Each concentration of CDNB need</w:t>
      </w:r>
      <w:r w:rsidR="00E033F1" w:rsidRPr="00E033F1">
        <w:rPr>
          <w:rFonts w:asciiTheme="minorHAnsi" w:hAnsiTheme="minorHAnsi" w:cstheme="minorHAnsi"/>
          <w:color w:val="auto"/>
        </w:rPr>
        <w:t>s</w:t>
      </w:r>
      <w:r w:rsidR="0025118E" w:rsidRPr="00E033F1">
        <w:rPr>
          <w:rFonts w:asciiTheme="minorHAnsi" w:hAnsiTheme="minorHAnsi" w:cstheme="minorHAnsi"/>
          <w:color w:val="auto"/>
        </w:rPr>
        <w:t xml:space="preserve"> its own blank</w:t>
      </w:r>
      <w:r w:rsidR="000E6BB2" w:rsidRPr="00E033F1">
        <w:rPr>
          <w:rFonts w:asciiTheme="minorHAnsi" w:hAnsiTheme="minorHAnsi" w:cstheme="minorHAnsi"/>
          <w:color w:val="auto"/>
        </w:rPr>
        <w:t xml:space="preserve">, as the absorbance at 340 nm will increase according to the CDNB concentration. </w:t>
      </w:r>
    </w:p>
    <w:p w14:paraId="3ACCAFCC" w14:textId="4917E3D0" w:rsidR="00F97205" w:rsidRPr="00E033F1" w:rsidRDefault="00F97205" w:rsidP="00E033F1">
      <w:pPr>
        <w:contextualSpacing/>
        <w:rPr>
          <w:rFonts w:asciiTheme="minorHAnsi" w:hAnsiTheme="minorHAnsi" w:cstheme="minorHAnsi"/>
          <w:color w:val="auto"/>
        </w:rPr>
      </w:pPr>
    </w:p>
    <w:p w14:paraId="59810803" w14:textId="2B2281F7" w:rsidR="00F97205" w:rsidRPr="00E033F1" w:rsidRDefault="00F97205"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Prepare six different concentrations of CDNB, ranging from 10</w:t>
      </w:r>
      <w:r w:rsidR="004B5E1E" w:rsidRPr="00E033F1">
        <w:rPr>
          <w:rFonts w:asciiTheme="minorHAnsi" w:hAnsiTheme="minorHAnsi" w:cstheme="minorHAnsi"/>
          <w:color w:val="auto"/>
        </w:rPr>
        <w:t> </w:t>
      </w:r>
      <w:r w:rsidRPr="00E033F1">
        <w:rPr>
          <w:rFonts w:asciiTheme="minorHAnsi" w:hAnsiTheme="minorHAnsi" w:cstheme="minorHAnsi"/>
          <w:color w:val="auto"/>
        </w:rPr>
        <w:t>mM to 100</w:t>
      </w:r>
      <w:r w:rsidR="004B5E1E" w:rsidRPr="00E033F1">
        <w:rPr>
          <w:rFonts w:asciiTheme="minorHAnsi" w:hAnsiTheme="minorHAnsi" w:cstheme="minorHAnsi"/>
          <w:color w:val="auto"/>
        </w:rPr>
        <w:t> </w:t>
      </w:r>
      <w:r w:rsidRPr="00E033F1">
        <w:rPr>
          <w:rFonts w:asciiTheme="minorHAnsi" w:hAnsiTheme="minorHAnsi" w:cstheme="minorHAnsi"/>
          <w:color w:val="auto"/>
        </w:rPr>
        <w:t>mM</w:t>
      </w:r>
      <w:r w:rsidR="00B43462" w:rsidRPr="00E033F1">
        <w:rPr>
          <w:rFonts w:asciiTheme="minorHAnsi" w:hAnsiTheme="minorHAnsi" w:cstheme="minorHAnsi"/>
          <w:color w:val="auto"/>
        </w:rPr>
        <w:t>,</w:t>
      </w:r>
      <w:r w:rsidRPr="00E033F1">
        <w:rPr>
          <w:rFonts w:asciiTheme="minorHAnsi" w:hAnsiTheme="minorHAnsi" w:cstheme="minorHAnsi"/>
          <w:color w:val="auto"/>
        </w:rPr>
        <w:t xml:space="preserve"> in ethanol </w:t>
      </w:r>
      <w:r w:rsidRPr="00E033F1">
        <w:rPr>
          <w:rFonts w:asciiTheme="minorHAnsi" w:hAnsiTheme="minorHAnsi" w:cstheme="minorHAnsi"/>
          <w:color w:val="auto"/>
        </w:rPr>
        <w:lastRenderedPageBreak/>
        <w:t xml:space="preserve">95% </w:t>
      </w:r>
      <w:r w:rsidR="00647086" w:rsidRPr="00E033F1">
        <w:rPr>
          <w:rFonts w:asciiTheme="minorHAnsi" w:hAnsiTheme="minorHAnsi" w:cstheme="minorHAnsi"/>
          <w:color w:val="auto"/>
        </w:rPr>
        <w:t>(</w:t>
      </w:r>
      <w:r w:rsidRPr="00E033F1">
        <w:rPr>
          <w:rFonts w:asciiTheme="minorHAnsi" w:hAnsiTheme="minorHAnsi" w:cstheme="minorHAnsi"/>
          <w:color w:val="auto"/>
        </w:rPr>
        <w:t>v/v</w:t>
      </w:r>
      <w:r w:rsidR="00647086" w:rsidRPr="00E033F1">
        <w:rPr>
          <w:rFonts w:asciiTheme="minorHAnsi" w:hAnsiTheme="minorHAnsi" w:cstheme="minorHAnsi"/>
          <w:color w:val="auto"/>
        </w:rPr>
        <w:t>)</w:t>
      </w:r>
      <w:r w:rsidRPr="00E033F1">
        <w:rPr>
          <w:rFonts w:asciiTheme="minorHAnsi" w:hAnsiTheme="minorHAnsi" w:cstheme="minorHAnsi"/>
          <w:color w:val="auto"/>
        </w:rPr>
        <w:t>.</w:t>
      </w:r>
    </w:p>
    <w:p w14:paraId="461D524D" w14:textId="77777777" w:rsidR="00F97205" w:rsidRPr="00E033F1" w:rsidRDefault="00F97205" w:rsidP="00E033F1">
      <w:pPr>
        <w:pStyle w:val="ListParagraph"/>
        <w:ind w:left="0"/>
        <w:rPr>
          <w:rFonts w:asciiTheme="minorHAnsi" w:hAnsiTheme="minorHAnsi" w:cstheme="minorHAnsi"/>
          <w:color w:val="auto"/>
        </w:rPr>
      </w:pPr>
    </w:p>
    <w:p w14:paraId="6DEB2D6F" w14:textId="4A585C56" w:rsidR="00F97205" w:rsidRPr="00E033F1" w:rsidRDefault="00F97205"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Prepare the assay so</w:t>
      </w:r>
      <w:r w:rsidR="00647086" w:rsidRPr="00E033F1">
        <w:rPr>
          <w:rFonts w:asciiTheme="minorHAnsi" w:hAnsiTheme="minorHAnsi" w:cstheme="minorHAnsi"/>
          <w:color w:val="auto"/>
        </w:rPr>
        <w:t>lution, with 10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647086" w:rsidRPr="00E033F1">
        <w:rPr>
          <w:rFonts w:asciiTheme="minorHAnsi" w:hAnsiTheme="minorHAnsi" w:cstheme="minorHAnsi"/>
          <w:color w:val="auto"/>
        </w:rPr>
        <w:t xml:space="preserve"> of CDNB,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w:t>
      </w:r>
      <w:r w:rsidR="00647086" w:rsidRPr="00E033F1">
        <w:rPr>
          <w:rFonts w:asciiTheme="minorHAnsi" w:hAnsiTheme="minorHAnsi" w:cstheme="minorHAnsi"/>
          <w:color w:val="auto"/>
        </w:rPr>
        <w:t xml:space="preserve">GST </w:t>
      </w:r>
      <w:r w:rsidRPr="00E033F1">
        <w:rPr>
          <w:rFonts w:asciiTheme="minorHAnsi" w:hAnsiTheme="minorHAnsi" w:cstheme="minorHAnsi"/>
          <w:color w:val="auto"/>
        </w:rPr>
        <w:t>enzy</w:t>
      </w:r>
      <w:r w:rsidR="00647086" w:rsidRPr="00E033F1">
        <w:rPr>
          <w:rFonts w:asciiTheme="minorHAnsi" w:hAnsiTheme="minorHAnsi" w:cstheme="minorHAnsi"/>
          <w:color w:val="auto"/>
        </w:rPr>
        <w:t>me,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647086" w:rsidRPr="00E033F1">
        <w:rPr>
          <w:rFonts w:asciiTheme="minorHAnsi" w:hAnsiTheme="minorHAnsi" w:cstheme="minorHAnsi"/>
          <w:color w:val="auto"/>
        </w:rPr>
        <w:t xml:space="preserve"> of GSH 25</w:t>
      </w:r>
      <w:r w:rsidR="004B5E1E" w:rsidRPr="00E033F1">
        <w:rPr>
          <w:rFonts w:asciiTheme="minorHAnsi" w:hAnsiTheme="minorHAnsi" w:cstheme="minorHAnsi"/>
          <w:color w:val="auto"/>
        </w:rPr>
        <w:t> </w:t>
      </w:r>
      <w:r w:rsidR="00647086" w:rsidRPr="00E033F1">
        <w:rPr>
          <w:rFonts w:asciiTheme="minorHAnsi" w:hAnsiTheme="minorHAnsi" w:cstheme="minorHAnsi"/>
          <w:color w:val="auto"/>
        </w:rPr>
        <w:t>mM</w:t>
      </w:r>
      <w:r w:rsidR="006E3BF4" w:rsidRPr="00E033F1">
        <w:rPr>
          <w:rFonts w:asciiTheme="minorHAnsi" w:hAnsiTheme="minorHAnsi" w:cstheme="minorHAnsi"/>
          <w:color w:val="auto"/>
        </w:rPr>
        <w:t>,</w:t>
      </w:r>
      <w:r w:rsidR="00647086" w:rsidRPr="00E033F1">
        <w:rPr>
          <w:rFonts w:asciiTheme="minorHAnsi" w:hAnsiTheme="minorHAnsi" w:cstheme="minorHAnsi"/>
          <w:color w:val="auto"/>
        </w:rPr>
        <w:t xml:space="preserve"> and 150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w:t>
      </w:r>
      <w:r w:rsidR="00AF1952" w:rsidRPr="00E033F1">
        <w:rPr>
          <w:rFonts w:asciiTheme="minorHAnsi" w:hAnsiTheme="minorHAnsi" w:cstheme="minorHAnsi"/>
          <w:color w:val="auto"/>
        </w:rPr>
        <w:t>D</w:t>
      </w:r>
      <w:r w:rsidRPr="00E033F1">
        <w:rPr>
          <w:rFonts w:asciiTheme="minorHAnsi" w:hAnsiTheme="minorHAnsi" w:cstheme="minorHAnsi"/>
          <w:color w:val="auto"/>
        </w:rPr>
        <w:t>PBS. For the blank, instead of t</w:t>
      </w:r>
      <w:r w:rsidR="00647086" w:rsidRPr="00E033F1">
        <w:rPr>
          <w:rFonts w:asciiTheme="minorHAnsi" w:hAnsiTheme="minorHAnsi" w:cstheme="minorHAnsi"/>
          <w:color w:val="auto"/>
        </w:rPr>
        <w:t xml:space="preserve">he </w:t>
      </w:r>
      <w:r w:rsidR="000E6BB2" w:rsidRPr="00E033F1">
        <w:rPr>
          <w:rFonts w:asciiTheme="minorHAnsi" w:hAnsiTheme="minorHAnsi" w:cstheme="minorHAnsi"/>
          <w:color w:val="auto"/>
        </w:rPr>
        <w:t>CDNB</w:t>
      </w:r>
      <w:r w:rsidR="00647086" w:rsidRPr="00E033F1">
        <w:rPr>
          <w:rFonts w:asciiTheme="minorHAnsi" w:hAnsiTheme="minorHAnsi" w:cstheme="minorHAnsi"/>
          <w:color w:val="auto"/>
        </w:rPr>
        <w:t xml:space="preserve"> solution</w:t>
      </w:r>
      <w:r w:rsidR="00B43462" w:rsidRPr="00E033F1">
        <w:rPr>
          <w:rFonts w:asciiTheme="minorHAnsi" w:hAnsiTheme="minorHAnsi" w:cstheme="minorHAnsi"/>
          <w:color w:val="auto"/>
        </w:rPr>
        <w:t>,</w:t>
      </w:r>
      <w:r w:rsidR="00647086" w:rsidRPr="00E033F1">
        <w:rPr>
          <w:rFonts w:asciiTheme="minorHAnsi" w:hAnsiTheme="minorHAnsi" w:cstheme="minorHAnsi"/>
          <w:color w:val="auto"/>
        </w:rPr>
        <w:t xml:space="preserve"> </w:t>
      </w:r>
      <w:r w:rsidR="00B43462" w:rsidRPr="00E033F1">
        <w:rPr>
          <w:rFonts w:asciiTheme="minorHAnsi" w:hAnsiTheme="minorHAnsi" w:cstheme="minorHAnsi"/>
          <w:color w:val="auto"/>
        </w:rPr>
        <w:t>add</w:t>
      </w:r>
      <w:r w:rsidR="00647086" w:rsidRPr="00E033F1">
        <w:rPr>
          <w:rFonts w:asciiTheme="minorHAnsi" w:hAnsiTheme="minorHAnsi" w:cstheme="minorHAnsi"/>
          <w:color w:val="auto"/>
        </w:rPr>
        <w:t xml:space="preserve"> only </w:t>
      </w:r>
      <w:r w:rsidR="000E6BB2" w:rsidRPr="00E033F1">
        <w:rPr>
          <w:rFonts w:asciiTheme="minorHAnsi" w:hAnsiTheme="minorHAnsi" w:cstheme="minorHAnsi"/>
          <w:color w:val="auto"/>
        </w:rPr>
        <w:t>1</w:t>
      </w:r>
      <w:r w:rsidR="00647086" w:rsidRPr="00E033F1">
        <w:rPr>
          <w:rFonts w:asciiTheme="minorHAnsi" w:hAnsiTheme="minorHAnsi" w:cstheme="minorHAnsi"/>
          <w:color w:val="auto"/>
        </w:rPr>
        <w:t>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w:t>
      </w:r>
      <w:r w:rsidR="000E6BB2" w:rsidRPr="00E033F1">
        <w:rPr>
          <w:rFonts w:asciiTheme="minorHAnsi" w:hAnsiTheme="minorHAnsi" w:cstheme="minorHAnsi"/>
          <w:color w:val="auto"/>
        </w:rPr>
        <w:t>ethanol 95%</w:t>
      </w:r>
      <w:r w:rsidRPr="00E033F1">
        <w:rPr>
          <w:rFonts w:asciiTheme="minorHAnsi" w:hAnsiTheme="minorHAnsi" w:cstheme="minorHAnsi"/>
          <w:color w:val="auto"/>
        </w:rPr>
        <w:t xml:space="preserve">. </w:t>
      </w:r>
    </w:p>
    <w:p w14:paraId="723AF6E1" w14:textId="77777777" w:rsidR="00F97205" w:rsidRPr="00E033F1" w:rsidRDefault="00F97205" w:rsidP="00E033F1">
      <w:pPr>
        <w:pStyle w:val="ListParagraph"/>
        <w:ind w:left="0"/>
        <w:rPr>
          <w:rFonts w:asciiTheme="minorHAnsi" w:hAnsiTheme="minorHAnsi" w:cstheme="minorHAnsi"/>
          <w:color w:val="auto"/>
        </w:rPr>
      </w:pPr>
    </w:p>
    <w:p w14:paraId="64E26FEF" w14:textId="21AAB199" w:rsidR="000E6BB2" w:rsidRPr="00E033F1" w:rsidRDefault="000E6BB2"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Prepare a blank for each CDNB concentration, with 10 </w:t>
      </w:r>
      <w:r w:rsidR="00B33C23" w:rsidRPr="00E033F1">
        <w:rPr>
          <w:rFonts w:asciiTheme="minorHAnsi" w:hAnsiTheme="minorHAnsi" w:cstheme="minorHAnsi"/>
          <w:color w:val="auto"/>
        </w:rPr>
        <w:t>µ</w:t>
      </w:r>
      <w:r w:rsidRPr="00E033F1">
        <w:rPr>
          <w:rFonts w:asciiTheme="minorHAnsi" w:hAnsiTheme="minorHAnsi" w:cstheme="minorHAnsi"/>
          <w:color w:val="auto"/>
        </w:rPr>
        <w:t>L of CDNB, 20 </w:t>
      </w:r>
      <w:r w:rsidR="00B33C23" w:rsidRPr="00E033F1">
        <w:rPr>
          <w:rFonts w:asciiTheme="minorHAnsi" w:hAnsiTheme="minorHAnsi" w:cstheme="minorHAnsi"/>
          <w:color w:val="auto"/>
        </w:rPr>
        <w:t>µ</w:t>
      </w:r>
      <w:r w:rsidRPr="00E033F1">
        <w:rPr>
          <w:rFonts w:asciiTheme="minorHAnsi" w:hAnsiTheme="minorHAnsi" w:cstheme="minorHAnsi"/>
          <w:color w:val="auto"/>
        </w:rPr>
        <w:t>L of water, 20 </w:t>
      </w:r>
      <w:r w:rsidR="00B33C23" w:rsidRPr="00E033F1">
        <w:rPr>
          <w:rFonts w:asciiTheme="minorHAnsi" w:hAnsiTheme="minorHAnsi" w:cstheme="minorHAnsi"/>
          <w:color w:val="auto"/>
        </w:rPr>
        <w:t>µ</w:t>
      </w:r>
      <w:r w:rsidRPr="00E033F1">
        <w:rPr>
          <w:rFonts w:asciiTheme="minorHAnsi" w:hAnsiTheme="minorHAnsi" w:cstheme="minorHAnsi"/>
          <w:color w:val="auto"/>
        </w:rPr>
        <w:t>L of GSH 25 mM, and 150 </w:t>
      </w:r>
      <w:r w:rsidR="00B33C23" w:rsidRPr="00E033F1">
        <w:rPr>
          <w:rFonts w:asciiTheme="minorHAnsi" w:hAnsiTheme="minorHAnsi" w:cstheme="minorHAnsi"/>
          <w:color w:val="auto"/>
        </w:rPr>
        <w:t>µ</w:t>
      </w:r>
      <w:r w:rsidRPr="00E033F1">
        <w:rPr>
          <w:rFonts w:asciiTheme="minorHAnsi" w:hAnsiTheme="minorHAnsi" w:cstheme="minorHAnsi"/>
          <w:color w:val="auto"/>
        </w:rPr>
        <w:t xml:space="preserve">L </w:t>
      </w:r>
      <w:r w:rsidR="00AF1952" w:rsidRPr="00E033F1">
        <w:rPr>
          <w:rFonts w:asciiTheme="minorHAnsi" w:hAnsiTheme="minorHAnsi" w:cstheme="minorHAnsi"/>
          <w:color w:val="auto"/>
        </w:rPr>
        <w:t>D</w:t>
      </w:r>
      <w:r w:rsidRPr="00E033F1">
        <w:rPr>
          <w:rFonts w:asciiTheme="minorHAnsi" w:hAnsiTheme="minorHAnsi" w:cstheme="minorHAnsi"/>
          <w:color w:val="auto"/>
        </w:rPr>
        <w:t xml:space="preserve">PBS. </w:t>
      </w:r>
    </w:p>
    <w:p w14:paraId="5DED1C75" w14:textId="77777777" w:rsidR="000E6BB2" w:rsidRPr="00E033F1" w:rsidRDefault="000E6BB2" w:rsidP="00E033F1">
      <w:pPr>
        <w:pStyle w:val="ListParagraph"/>
        <w:ind w:left="0"/>
        <w:rPr>
          <w:rFonts w:asciiTheme="minorHAnsi" w:hAnsiTheme="minorHAnsi" w:cstheme="minorHAnsi"/>
          <w:color w:val="auto"/>
        </w:rPr>
      </w:pPr>
    </w:p>
    <w:p w14:paraId="5B1E03CE" w14:textId="5263E422" w:rsidR="00F97205" w:rsidRPr="00E033F1" w:rsidRDefault="00F97205"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Record the absorbance at 340</w:t>
      </w:r>
      <w:r w:rsidR="004B5E1E" w:rsidRPr="00E033F1">
        <w:rPr>
          <w:rFonts w:asciiTheme="minorHAnsi" w:hAnsiTheme="minorHAnsi" w:cstheme="minorHAnsi"/>
          <w:color w:val="auto"/>
        </w:rPr>
        <w:t> </w:t>
      </w:r>
      <w:r w:rsidRPr="00E033F1">
        <w:rPr>
          <w:rFonts w:asciiTheme="minorHAnsi" w:hAnsiTheme="minorHAnsi" w:cstheme="minorHAnsi"/>
          <w:color w:val="auto"/>
        </w:rPr>
        <w:t xml:space="preserve">nm every minute </w:t>
      </w:r>
      <w:r w:rsidR="00F07C30" w:rsidRPr="00E033F1">
        <w:rPr>
          <w:rFonts w:asciiTheme="minorHAnsi" w:hAnsiTheme="minorHAnsi" w:cstheme="minorHAnsi"/>
          <w:color w:val="auto"/>
        </w:rPr>
        <w:t>for</w:t>
      </w:r>
      <w:r w:rsidR="00A259DF" w:rsidRPr="00E033F1">
        <w:rPr>
          <w:rFonts w:asciiTheme="minorHAnsi" w:hAnsiTheme="minorHAnsi" w:cstheme="minorHAnsi"/>
          <w:color w:val="auto"/>
        </w:rPr>
        <w:t xml:space="preserve"> 10 minutes with a microplate reader.</w:t>
      </w:r>
    </w:p>
    <w:p w14:paraId="2984EF99" w14:textId="69CCBFDA" w:rsidR="00F97205" w:rsidRPr="00E033F1" w:rsidRDefault="00F97205" w:rsidP="00E033F1">
      <w:pPr>
        <w:contextualSpacing/>
        <w:rPr>
          <w:rFonts w:asciiTheme="minorHAnsi" w:hAnsiTheme="minorHAnsi" w:cstheme="minorHAnsi"/>
          <w:color w:val="auto"/>
        </w:rPr>
      </w:pPr>
    </w:p>
    <w:p w14:paraId="4A839EFC" w14:textId="478060D1" w:rsidR="008502DF" w:rsidRPr="00E033F1" w:rsidRDefault="00140D24" w:rsidP="00A768CB">
      <w:pPr>
        <w:pStyle w:val="ListParagraph"/>
        <w:numPr>
          <w:ilvl w:val="1"/>
          <w:numId w:val="31"/>
        </w:numPr>
        <w:ind w:left="0" w:firstLine="0"/>
        <w:rPr>
          <w:color w:val="auto"/>
        </w:rPr>
      </w:pPr>
      <w:r w:rsidRPr="00E033F1">
        <w:rPr>
          <w:rFonts w:asciiTheme="minorHAnsi" w:hAnsiTheme="minorHAnsi" w:cstheme="minorHAnsi"/>
          <w:color w:val="auto"/>
        </w:rPr>
        <w:t>Blank</w:t>
      </w:r>
      <w:r w:rsidR="00B43462" w:rsidRPr="00E033F1">
        <w:rPr>
          <w:rFonts w:asciiTheme="minorHAnsi" w:hAnsiTheme="minorHAnsi" w:cstheme="minorHAnsi"/>
          <w:color w:val="auto"/>
        </w:rPr>
        <w:t>-</w:t>
      </w:r>
      <w:r w:rsidRPr="00E033F1">
        <w:rPr>
          <w:rFonts w:asciiTheme="minorHAnsi" w:hAnsiTheme="minorHAnsi" w:cstheme="minorHAnsi"/>
          <w:color w:val="auto"/>
        </w:rPr>
        <w:t xml:space="preserve">correct the absorbance by subtracting the results </w:t>
      </w:r>
      <w:r w:rsidR="006E3BF4" w:rsidRPr="00E033F1">
        <w:rPr>
          <w:rFonts w:asciiTheme="minorHAnsi" w:hAnsiTheme="minorHAnsi" w:cstheme="minorHAnsi"/>
          <w:color w:val="auto"/>
        </w:rPr>
        <w:t>from</w:t>
      </w:r>
      <w:r w:rsidR="00B43462" w:rsidRPr="00E033F1">
        <w:rPr>
          <w:rFonts w:asciiTheme="minorHAnsi" w:hAnsiTheme="minorHAnsi" w:cstheme="minorHAnsi"/>
          <w:color w:val="auto"/>
        </w:rPr>
        <w:t xml:space="preserve"> the</w:t>
      </w:r>
      <w:r w:rsidRPr="00E033F1">
        <w:rPr>
          <w:rFonts w:asciiTheme="minorHAnsi" w:hAnsiTheme="minorHAnsi" w:cstheme="minorHAnsi"/>
          <w:color w:val="auto"/>
        </w:rPr>
        <w:t xml:space="preserve"> blank from</w:t>
      </w:r>
      <w:r w:rsidR="006E3BF4" w:rsidRPr="00E033F1">
        <w:rPr>
          <w:rFonts w:asciiTheme="minorHAnsi" w:hAnsiTheme="minorHAnsi" w:cstheme="minorHAnsi"/>
          <w:color w:val="auto"/>
        </w:rPr>
        <w:t xml:space="preserve"> that of</w:t>
      </w:r>
      <w:r w:rsidRPr="00E033F1">
        <w:rPr>
          <w:rFonts w:asciiTheme="minorHAnsi" w:hAnsiTheme="minorHAnsi" w:cstheme="minorHAnsi"/>
          <w:color w:val="auto"/>
        </w:rPr>
        <w:t xml:space="preserve"> the</w:t>
      </w:r>
      <w:r w:rsidR="006E3BF4" w:rsidRPr="00E033F1">
        <w:rPr>
          <w:rFonts w:asciiTheme="minorHAnsi" w:hAnsiTheme="minorHAnsi" w:cstheme="minorHAnsi"/>
          <w:color w:val="auto"/>
        </w:rPr>
        <w:t xml:space="preserve"> </w:t>
      </w:r>
      <w:r w:rsidR="000E6BB2" w:rsidRPr="00E033F1">
        <w:rPr>
          <w:rFonts w:asciiTheme="minorHAnsi" w:hAnsiTheme="minorHAnsi" w:cstheme="minorHAnsi"/>
          <w:color w:val="auto"/>
        </w:rPr>
        <w:t xml:space="preserve">correct </w:t>
      </w:r>
      <w:r w:rsidR="006E3BF4" w:rsidRPr="00E033F1">
        <w:rPr>
          <w:rFonts w:asciiTheme="minorHAnsi" w:hAnsiTheme="minorHAnsi" w:cstheme="minorHAnsi"/>
          <w:color w:val="auto"/>
        </w:rPr>
        <w:t>other</w:t>
      </w:r>
      <w:r w:rsidRPr="00E033F1">
        <w:rPr>
          <w:rFonts w:asciiTheme="minorHAnsi" w:hAnsiTheme="minorHAnsi" w:cstheme="minorHAnsi"/>
          <w:color w:val="auto"/>
        </w:rPr>
        <w:t xml:space="preserve"> test wells.</w:t>
      </w:r>
      <w:r w:rsidR="00E033F1" w:rsidRPr="00E033F1">
        <w:rPr>
          <w:rFonts w:asciiTheme="minorHAnsi" w:hAnsiTheme="minorHAnsi" w:cstheme="minorHAnsi"/>
          <w:color w:val="auto"/>
        </w:rPr>
        <w:t xml:space="preserve"> </w:t>
      </w:r>
      <w:r w:rsidR="001F4504" w:rsidRPr="00E033F1">
        <w:rPr>
          <w:rFonts w:asciiTheme="minorHAnsi" w:hAnsiTheme="minorHAnsi" w:cstheme="minorHAnsi"/>
          <w:color w:val="auto"/>
        </w:rPr>
        <w:t>According to the measured values, c</w:t>
      </w:r>
      <w:r w:rsidR="00F97205" w:rsidRPr="00E033F1">
        <w:rPr>
          <w:rFonts w:asciiTheme="minorHAnsi" w:hAnsiTheme="minorHAnsi" w:cstheme="minorHAnsi"/>
          <w:color w:val="auto"/>
        </w:rPr>
        <w:t xml:space="preserve">alculate the velocity of the reaction </w:t>
      </w:r>
      <w:r w:rsidR="00B43462" w:rsidRPr="00E033F1">
        <w:rPr>
          <w:rFonts w:asciiTheme="minorHAnsi" w:hAnsiTheme="minorHAnsi" w:cstheme="minorHAnsi"/>
          <w:color w:val="auto"/>
        </w:rPr>
        <w:t>using</w:t>
      </w:r>
      <w:r w:rsidR="00F97205" w:rsidRPr="00E033F1">
        <w:rPr>
          <w:rFonts w:asciiTheme="minorHAnsi" w:hAnsiTheme="minorHAnsi" w:cstheme="minorHAnsi"/>
          <w:color w:val="auto"/>
        </w:rPr>
        <w:t xml:space="preserve"> </w:t>
      </w:r>
      <w:r w:rsidR="00A259DF" w:rsidRPr="00E033F1">
        <w:rPr>
          <w:rFonts w:asciiTheme="minorHAnsi" w:hAnsiTheme="minorHAnsi" w:cstheme="minorHAnsi"/>
          <w:color w:val="auto"/>
        </w:rPr>
        <w:fldChar w:fldCharType="begin"/>
      </w:r>
      <w:r w:rsidR="00A259DF" w:rsidRPr="00E033F1">
        <w:rPr>
          <w:rFonts w:asciiTheme="minorHAnsi" w:hAnsiTheme="minorHAnsi" w:cstheme="minorHAnsi"/>
          <w:color w:val="auto"/>
        </w:rPr>
        <w:instrText xml:space="preserve"> REF _Ref20238986 \h  \* MERGEFORMAT </w:instrText>
      </w:r>
      <w:r w:rsidR="00A259DF" w:rsidRPr="00E033F1">
        <w:rPr>
          <w:rFonts w:asciiTheme="minorHAnsi" w:hAnsiTheme="minorHAnsi" w:cstheme="minorHAnsi"/>
          <w:color w:val="auto"/>
        </w:rPr>
      </w:r>
      <w:r w:rsidR="00A259DF" w:rsidRPr="00E033F1">
        <w:rPr>
          <w:rFonts w:asciiTheme="minorHAnsi" w:hAnsiTheme="minorHAnsi" w:cstheme="minorHAnsi"/>
          <w:color w:val="auto"/>
        </w:rPr>
        <w:fldChar w:fldCharType="separate"/>
      </w:r>
      <w:r w:rsidR="008502DF" w:rsidRPr="00E033F1">
        <w:rPr>
          <w:color w:val="auto"/>
        </w:rPr>
        <w:t xml:space="preserve">Equation </w:t>
      </w:r>
      <w:r w:rsidR="008502DF" w:rsidRPr="00E033F1">
        <w:rPr>
          <w:noProof/>
          <w:color w:val="auto"/>
        </w:rPr>
        <w:t>2.</w:t>
      </w:r>
      <w:r w:rsidR="00A259DF" w:rsidRPr="00E033F1">
        <w:rPr>
          <w:rFonts w:asciiTheme="minorHAnsi" w:hAnsiTheme="minorHAnsi" w:cstheme="minorHAnsi"/>
          <w:color w:val="auto"/>
        </w:rPr>
        <w:fldChar w:fldCharType="end"/>
      </w:r>
      <w:r w:rsidR="00F97205" w:rsidRPr="00E033F1">
        <w:rPr>
          <w:rFonts w:asciiTheme="minorHAnsi" w:hAnsiTheme="minorHAnsi" w:cstheme="minorHAnsi"/>
          <w:color w:val="auto"/>
        </w:rPr>
        <w:fldChar w:fldCharType="begin"/>
      </w:r>
      <w:r w:rsidR="00F97205" w:rsidRPr="00E033F1">
        <w:rPr>
          <w:rFonts w:asciiTheme="minorHAnsi" w:hAnsiTheme="minorHAnsi" w:cstheme="minorHAnsi"/>
          <w:color w:val="auto"/>
        </w:rPr>
        <w:instrText xml:space="preserve"> REF _Ref19875517 \h </w:instrText>
      </w:r>
      <w:r w:rsidR="00647086" w:rsidRPr="00E033F1">
        <w:rPr>
          <w:rFonts w:asciiTheme="minorHAnsi" w:hAnsiTheme="minorHAnsi" w:cstheme="minorHAnsi"/>
          <w:color w:val="auto"/>
        </w:rPr>
        <w:instrText xml:space="preserve"> \* MERGEFORMAT </w:instrText>
      </w:r>
      <w:r w:rsidR="00F97205" w:rsidRPr="00E033F1">
        <w:rPr>
          <w:rFonts w:asciiTheme="minorHAnsi" w:hAnsiTheme="minorHAnsi" w:cstheme="minorHAnsi"/>
          <w:color w:val="auto"/>
        </w:rPr>
      </w:r>
      <w:r w:rsidR="00F97205" w:rsidRPr="00E033F1">
        <w:rPr>
          <w:rFonts w:asciiTheme="minorHAnsi" w:hAnsiTheme="minorHAnsi" w:cstheme="minorHAnsi"/>
          <w:color w:val="auto"/>
        </w:rPr>
        <w:fldChar w:fldCharType="separate"/>
      </w:r>
    </w:p>
    <w:p w14:paraId="40AFF7DA" w14:textId="356044FD" w:rsidR="00D60061" w:rsidRPr="00E033F1" w:rsidRDefault="00F97205" w:rsidP="00E033F1">
      <w:pPr>
        <w:pStyle w:val="ListParagraph"/>
        <w:ind w:left="0"/>
        <w:rPr>
          <w:rFonts w:asciiTheme="minorHAnsi" w:hAnsiTheme="minorHAnsi" w:cstheme="minorHAnsi"/>
          <w:color w:val="auto"/>
        </w:rPr>
      </w:pPr>
      <w:r w:rsidRPr="00E033F1">
        <w:rPr>
          <w:rFonts w:asciiTheme="minorHAnsi" w:hAnsiTheme="minorHAnsi" w:cstheme="minorHAnsi"/>
          <w:color w:val="auto"/>
        </w:rPr>
        <w:fldChar w:fldCharType="end"/>
      </w:r>
    </w:p>
    <w:p w14:paraId="5EE8665F" w14:textId="14E8833A" w:rsidR="00D60061" w:rsidRPr="00E033F1" w:rsidRDefault="00D60061" w:rsidP="00E033F1">
      <w:pPr>
        <w:pStyle w:val="Caption"/>
        <w:spacing w:after="0"/>
        <w:contextualSpacing/>
        <w:rPr>
          <w:b/>
          <w:i w:val="0"/>
          <w:color w:val="auto"/>
          <w:sz w:val="24"/>
          <w:szCs w:val="24"/>
        </w:rPr>
      </w:pPr>
      <w:bookmarkStart w:id="6" w:name="_Ref29145917"/>
      <w:bookmarkStart w:id="7" w:name="_Ref20238986"/>
      <w:r w:rsidRPr="00E033F1">
        <w:rPr>
          <w:b/>
          <w:i w:val="0"/>
          <w:color w:val="auto"/>
          <w:sz w:val="24"/>
          <w:szCs w:val="24"/>
        </w:rPr>
        <w:t xml:space="preserve">Equation </w:t>
      </w:r>
      <w:r w:rsidRPr="00E033F1">
        <w:rPr>
          <w:b/>
          <w:i w:val="0"/>
          <w:color w:val="auto"/>
          <w:sz w:val="24"/>
          <w:szCs w:val="24"/>
        </w:rPr>
        <w:fldChar w:fldCharType="begin"/>
      </w:r>
      <w:r w:rsidRPr="00E033F1">
        <w:rPr>
          <w:b/>
          <w:i w:val="0"/>
          <w:color w:val="auto"/>
          <w:sz w:val="24"/>
          <w:szCs w:val="24"/>
        </w:rPr>
        <w:instrText xml:space="preserve"> SEQ Equation \* ARABIC </w:instrText>
      </w:r>
      <w:r w:rsidRPr="00E033F1">
        <w:rPr>
          <w:b/>
          <w:i w:val="0"/>
          <w:color w:val="auto"/>
          <w:sz w:val="24"/>
          <w:szCs w:val="24"/>
        </w:rPr>
        <w:fldChar w:fldCharType="separate"/>
      </w:r>
      <w:r w:rsidR="008502DF" w:rsidRPr="00E033F1">
        <w:rPr>
          <w:b/>
          <w:i w:val="0"/>
          <w:noProof/>
          <w:color w:val="auto"/>
          <w:sz w:val="24"/>
          <w:szCs w:val="24"/>
        </w:rPr>
        <w:t>2</w:t>
      </w:r>
      <w:r w:rsidRPr="00E033F1">
        <w:rPr>
          <w:b/>
          <w:i w:val="0"/>
          <w:color w:val="auto"/>
          <w:sz w:val="24"/>
          <w:szCs w:val="24"/>
        </w:rPr>
        <w:fldChar w:fldCharType="end"/>
      </w:r>
      <w:bookmarkEnd w:id="6"/>
      <w:r w:rsidRPr="00E033F1">
        <w:rPr>
          <w:b/>
          <w:i w:val="0"/>
          <w:color w:val="auto"/>
          <w:sz w:val="24"/>
          <w:szCs w:val="24"/>
        </w:rPr>
        <w:t>.</w:t>
      </w:r>
      <w:bookmarkEnd w:id="7"/>
    </w:p>
    <w:p w14:paraId="50AD8A21" w14:textId="77777777" w:rsidR="00F97205" w:rsidRPr="00E033F1" w:rsidRDefault="00F97205" w:rsidP="00E033F1">
      <w:pPr>
        <w:contextualSpacing/>
        <w:rPr>
          <w:rFonts w:asciiTheme="minorHAnsi" w:hAnsiTheme="minorHAnsi" w:cstheme="minorHAnsi"/>
          <w:color w:val="auto"/>
        </w:rPr>
      </w:pPr>
    </w:p>
    <w:p w14:paraId="0119B901" w14:textId="2CD7B3C6" w:rsidR="00F97205" w:rsidRPr="00E033F1" w:rsidRDefault="003E0F0D" w:rsidP="00E033F1">
      <w:pPr>
        <w:pStyle w:val="ListParagraph"/>
        <w:ind w:left="0"/>
        <w:rPr>
          <w:rFonts w:asciiTheme="minorHAnsi" w:hAnsiTheme="minorHAnsi" w:cstheme="minorHAnsi"/>
          <w:color w:val="auto"/>
        </w:rPr>
      </w:pPr>
      <m:oMathPara>
        <m:oMathParaPr>
          <m:jc m:val="left"/>
        </m:oMathParaPr>
        <m:oMath>
          <m:r>
            <w:rPr>
              <w:rFonts w:ascii="Cambria Math" w:hAnsi="Cambria Math" w:cstheme="minorHAnsi"/>
              <w:color w:val="auto"/>
            </w:rPr>
            <m:t xml:space="preserve">velocity </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μmol</m:t>
                  </m:r>
                </m:num>
                <m:den>
                  <m:r>
                    <w:rPr>
                      <w:rFonts w:ascii="Cambria Math" w:hAnsi="Cambria Math" w:cstheme="minorHAnsi"/>
                      <w:color w:val="auto"/>
                    </w:rPr>
                    <m:t>mL</m:t>
                  </m:r>
                </m:den>
              </m:f>
              <m:r>
                <w:rPr>
                  <w:rFonts w:ascii="Cambria Math" w:hAnsi="Cambria Math" w:cstheme="minorHAnsi"/>
                  <w:color w:val="auto"/>
                </w:rPr>
                <m:t>/</m:t>
              </m:r>
              <m:func>
                <m:funcPr>
                  <m:ctrlPr>
                    <w:rPr>
                      <w:rFonts w:ascii="Cambria Math" w:hAnsi="Cambria Math" w:cstheme="minorHAnsi"/>
                      <w:i/>
                      <w:color w:val="auto"/>
                    </w:rPr>
                  </m:ctrlPr>
                </m:funcPr>
                <m:fName>
                  <m:r>
                    <m:rPr>
                      <m:sty m:val="p"/>
                    </m:rPr>
                    <w:rPr>
                      <w:rFonts w:ascii="Cambria Math" w:hAnsi="Cambria Math" w:cstheme="minorHAnsi"/>
                      <w:color w:val="auto"/>
                    </w:rPr>
                    <m:t>min</m:t>
                  </m:r>
                </m:fName>
                <m:e>
                  <m:r>
                    <w:rPr>
                      <w:rFonts w:ascii="Cambria Math" w:hAnsi="Cambria Math" w:cstheme="minorHAnsi"/>
                      <w:color w:val="auto"/>
                    </w:rPr>
                    <m:t>or mM/min</m:t>
                  </m:r>
                </m:e>
              </m:func>
            </m:e>
          </m:d>
          <m:r>
            <w:rPr>
              <w:rFonts w:ascii="Cambria Math" w:hAnsi="Cambria Math" w:cstheme="minorHAnsi"/>
              <w:color w:val="auto"/>
            </w:rPr>
            <m:t>=</m:t>
          </m:r>
          <m:f>
            <m:fPr>
              <m:ctrlPr>
                <w:rPr>
                  <w:rFonts w:ascii="Cambria Math" w:hAnsi="Cambria Math" w:cstheme="minorHAnsi"/>
                  <w:color w:val="auto"/>
                </w:rPr>
              </m:ctrlPr>
            </m:fPr>
            <m:num>
              <m:f>
                <m:fPr>
                  <m:ctrlPr>
                    <w:rPr>
                      <w:rFonts w:ascii="Cambria Math" w:hAnsi="Cambria Math" w:cstheme="minorHAnsi"/>
                      <w:color w:val="auto"/>
                    </w:rPr>
                  </m:ctrlPr>
                </m:fPr>
                <m:num>
                  <m:r>
                    <w:rPr>
                      <w:rFonts w:ascii="Cambria Math" w:hAnsi="Cambria Math" w:cstheme="minorHAnsi"/>
                      <w:color w:val="auto"/>
                    </w:rPr>
                    <m:t>A</m:t>
                  </m:r>
                  <m:r>
                    <m:rPr>
                      <m:sty m:val="p"/>
                    </m:rPr>
                    <w:rPr>
                      <w:rFonts w:ascii="Cambria Math" w:hAnsi="Cambria Math" w:cstheme="minorHAnsi"/>
                      <w:color w:val="auto"/>
                    </w:rPr>
                    <m:t>340</m:t>
                  </m:r>
                </m:num>
                <m:den>
                  <m:r>
                    <w:rPr>
                      <w:rFonts w:ascii="Cambria Math" w:hAnsi="Cambria Math" w:cstheme="minorHAnsi"/>
                      <w:color w:val="auto"/>
                    </w:rPr>
                    <m:t>min</m:t>
                  </m:r>
                </m:den>
              </m:f>
              <m:r>
                <m:rPr>
                  <m:sty m:val="p"/>
                </m:rP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V</m:t>
                  </m:r>
                </m:e>
                <m:sub>
                  <m:r>
                    <w:rPr>
                      <w:rFonts w:ascii="Cambria Math" w:hAnsi="Cambria Math" w:cstheme="minorHAnsi"/>
                      <w:color w:val="auto"/>
                    </w:rPr>
                    <m:t>total</m:t>
                  </m:r>
                </m:sub>
              </m:sSub>
            </m:num>
            <m:den>
              <m:sSub>
                <m:sSubPr>
                  <m:ctrlPr>
                    <w:rPr>
                      <w:rFonts w:ascii="Cambria Math" w:hAnsi="Cambria Math" w:cstheme="minorHAnsi"/>
                      <w:color w:val="auto"/>
                    </w:rPr>
                  </m:ctrlPr>
                </m:sSubPr>
                <m:e>
                  <m:r>
                    <w:rPr>
                      <w:rFonts w:ascii="Cambria Math" w:hAnsi="Cambria Math" w:cstheme="minorHAnsi"/>
                      <w:color w:val="auto"/>
                    </w:rPr>
                    <m:t>ε</m:t>
                  </m:r>
                </m:e>
                <m:sub>
                  <m:r>
                    <w:rPr>
                      <w:rFonts w:ascii="Cambria Math" w:hAnsi="Cambria Math" w:cstheme="minorHAnsi"/>
                      <w:color w:val="auto"/>
                    </w:rPr>
                    <m:t>GS-DNB</m:t>
                  </m:r>
                </m:sub>
              </m:sSub>
              <m:r>
                <m:rPr>
                  <m:sty m:val="p"/>
                </m:rP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V</m:t>
                  </m:r>
                </m:e>
                <m:sub>
                  <m:r>
                    <w:rPr>
                      <w:rFonts w:ascii="Cambria Math" w:hAnsi="Cambria Math" w:cstheme="minorHAnsi"/>
                      <w:color w:val="auto"/>
                    </w:rPr>
                    <m:t>enzyme</m:t>
                  </m:r>
                </m:sub>
              </m:sSub>
            </m:den>
          </m:f>
        </m:oMath>
      </m:oMathPara>
      <w:bookmarkStart w:id="8" w:name="_Ref19875517"/>
    </w:p>
    <w:bookmarkEnd w:id="8"/>
    <w:p w14:paraId="373CF225" w14:textId="0F597D08" w:rsidR="00F97205" w:rsidRPr="00E033F1" w:rsidRDefault="006E3BF4" w:rsidP="00E033F1">
      <w:pPr>
        <w:pStyle w:val="ListParagraph"/>
        <w:ind w:left="0"/>
        <w:rPr>
          <w:rFonts w:eastAsiaTheme="minorEastAsia"/>
          <w:color w:val="auto"/>
        </w:rPr>
      </w:pPr>
      <w:r w:rsidRPr="00E033F1">
        <w:rPr>
          <w:rFonts w:asciiTheme="minorHAnsi" w:hAnsiTheme="minorHAnsi" w:cstheme="minorHAnsi"/>
          <w:color w:val="auto"/>
        </w:rPr>
        <w:t>w</w:t>
      </w:r>
      <w:r w:rsidR="00F97205" w:rsidRPr="00E033F1">
        <w:rPr>
          <w:rFonts w:asciiTheme="minorHAnsi" w:hAnsiTheme="minorHAnsi" w:cstheme="minorHAnsi"/>
          <w:color w:val="auto"/>
        </w:rPr>
        <w:t>here</w:t>
      </w:r>
      <w:r w:rsidR="00C54573" w:rsidRPr="00E033F1">
        <w:rPr>
          <w:rFonts w:asciiTheme="minorHAnsi" w:hAnsiTheme="minorHAnsi" w:cstheme="minorHAnsi"/>
          <w:color w:val="auto"/>
        </w:rPr>
        <w:t xml:space="preserve"> A340/min is the </w:t>
      </w:r>
      <w:r w:rsidRPr="00E033F1">
        <w:rPr>
          <w:rFonts w:asciiTheme="minorHAnsi" w:hAnsiTheme="minorHAnsi" w:cstheme="minorHAnsi"/>
          <w:color w:val="auto"/>
        </w:rPr>
        <w:t xml:space="preserve">experimentally determined </w:t>
      </w:r>
      <w:r w:rsidR="00C54573" w:rsidRPr="00E033F1">
        <w:rPr>
          <w:rFonts w:asciiTheme="minorHAnsi" w:hAnsiTheme="minorHAnsi" w:cstheme="minorHAnsi"/>
          <w:color w:val="auto"/>
        </w:rPr>
        <w:t xml:space="preserve">change </w:t>
      </w:r>
      <w:r w:rsidRPr="00E033F1">
        <w:rPr>
          <w:rFonts w:asciiTheme="minorHAnsi" w:hAnsiTheme="minorHAnsi" w:cstheme="minorHAnsi"/>
          <w:color w:val="auto"/>
        </w:rPr>
        <w:t>in</w:t>
      </w:r>
      <w:r w:rsidR="00C54573" w:rsidRPr="00E033F1">
        <w:rPr>
          <w:rFonts w:asciiTheme="minorHAnsi" w:hAnsiTheme="minorHAnsi" w:cstheme="minorHAnsi"/>
          <w:color w:val="auto"/>
        </w:rPr>
        <w:t xml:space="preserve"> absorbance per minute,</w:t>
      </w:r>
      <w:r w:rsidR="00F97205" w:rsidRPr="00E033F1">
        <w:rPr>
          <w:rFonts w:asciiTheme="minorHAnsi" w:hAnsiTheme="minorHAnsi" w:cstheme="minorHAnsi"/>
          <w:color w:val="auto"/>
        </w:rPr>
        <w:t xml:space="preserve"> </w:t>
      </w:r>
      <w:proofErr w:type="spellStart"/>
      <w:r w:rsidR="002D1635" w:rsidRPr="00E033F1">
        <w:rPr>
          <w:rFonts w:asciiTheme="minorHAnsi" w:hAnsiTheme="minorHAnsi" w:cstheme="minorHAnsi"/>
          <w:color w:val="auto"/>
        </w:rPr>
        <w:t>V</w:t>
      </w:r>
      <w:r w:rsidR="002D1635" w:rsidRPr="00E033F1">
        <w:rPr>
          <w:rFonts w:asciiTheme="minorHAnsi" w:hAnsiTheme="minorHAnsi" w:cstheme="minorHAnsi"/>
          <w:color w:val="auto"/>
          <w:vertAlign w:val="subscript"/>
        </w:rPr>
        <w:t>total</w:t>
      </w:r>
      <w:proofErr w:type="spellEnd"/>
      <w:r w:rsidR="00C54573" w:rsidRPr="00E033F1">
        <w:rPr>
          <w:rFonts w:asciiTheme="minorHAnsi" w:hAnsiTheme="minorHAnsi" w:cstheme="minorHAnsi"/>
          <w:color w:val="auto"/>
          <w:vertAlign w:val="subscript"/>
        </w:rPr>
        <w:t xml:space="preserve"> </w:t>
      </w:r>
      <w:r w:rsidR="002D1635" w:rsidRPr="00E033F1">
        <w:rPr>
          <w:rFonts w:asciiTheme="minorHAnsi" w:hAnsiTheme="minorHAnsi" w:cstheme="minorHAnsi"/>
          <w:color w:val="auto"/>
        </w:rPr>
        <w:t>(</w:t>
      </w:r>
      <w:r w:rsidR="00F97205" w:rsidRPr="00E033F1">
        <w:rPr>
          <w:rFonts w:asciiTheme="minorHAnsi" w:hAnsiTheme="minorHAnsi" w:cstheme="minorHAnsi"/>
          <w:color w:val="auto"/>
        </w:rPr>
        <w:t>total volume</w:t>
      </w:r>
      <w:r w:rsidR="002D1635" w:rsidRPr="00E033F1">
        <w:rPr>
          <w:rFonts w:asciiTheme="minorHAnsi" w:hAnsiTheme="minorHAnsi" w:cstheme="minorHAnsi"/>
          <w:color w:val="auto"/>
        </w:rPr>
        <w:t>)</w:t>
      </w:r>
      <w:r w:rsidR="00F97205" w:rsidRPr="00E033F1">
        <w:rPr>
          <w:rFonts w:asciiTheme="minorHAnsi" w:hAnsiTheme="minorHAnsi" w:cstheme="minorHAnsi"/>
          <w:color w:val="auto"/>
        </w:rPr>
        <w:t xml:space="preserve"> </w:t>
      </w:r>
      <w:r w:rsidR="00C54573" w:rsidRPr="00E033F1">
        <w:rPr>
          <w:rFonts w:asciiTheme="minorHAnsi" w:hAnsiTheme="minorHAnsi" w:cstheme="minorHAnsi"/>
          <w:color w:val="auto"/>
        </w:rPr>
        <w:t xml:space="preserve">equals </w:t>
      </w:r>
      <w:r w:rsidR="00F97205" w:rsidRPr="00E033F1">
        <w:rPr>
          <w:rFonts w:asciiTheme="minorHAnsi" w:hAnsiTheme="minorHAnsi" w:cstheme="minorHAnsi"/>
          <w:color w:val="auto"/>
        </w:rPr>
        <w:t>0.2</w:t>
      </w:r>
      <w:r w:rsidR="004B5E1E" w:rsidRPr="00E033F1">
        <w:rPr>
          <w:rFonts w:asciiTheme="minorHAnsi" w:hAnsiTheme="minorHAnsi" w:cstheme="minorHAnsi"/>
          <w:color w:val="auto"/>
        </w:rPr>
        <w:t> </w:t>
      </w:r>
      <w:r w:rsidR="00140D24" w:rsidRPr="00E033F1">
        <w:rPr>
          <w:rFonts w:asciiTheme="minorHAnsi" w:hAnsiTheme="minorHAnsi" w:cstheme="minorHAnsi"/>
          <w:color w:val="auto"/>
        </w:rPr>
        <w:t>mL</w:t>
      </w:r>
      <w:r w:rsidR="00F97205" w:rsidRPr="00E033F1">
        <w:rPr>
          <w:rFonts w:asciiTheme="minorHAnsi" w:hAnsiTheme="minorHAnsi" w:cstheme="minorHAnsi"/>
          <w:color w:val="auto"/>
        </w:rPr>
        <w:t xml:space="preserve">, </w:t>
      </w:r>
      <w:proofErr w:type="spellStart"/>
      <w:r w:rsidR="002D1635" w:rsidRPr="00E033F1">
        <w:rPr>
          <w:rFonts w:asciiTheme="minorHAnsi" w:hAnsiTheme="minorHAnsi" w:cstheme="minorHAnsi"/>
          <w:color w:val="auto"/>
        </w:rPr>
        <w:t>V</w:t>
      </w:r>
      <w:r w:rsidR="002D1635" w:rsidRPr="00E033F1">
        <w:rPr>
          <w:rFonts w:asciiTheme="minorHAnsi" w:hAnsiTheme="minorHAnsi" w:cstheme="minorHAnsi"/>
          <w:color w:val="auto"/>
          <w:vertAlign w:val="subscript"/>
        </w:rPr>
        <w:t>enzyme</w:t>
      </w:r>
      <w:proofErr w:type="spellEnd"/>
      <w:r w:rsidR="002D1635" w:rsidRPr="00E033F1">
        <w:rPr>
          <w:rFonts w:asciiTheme="minorHAnsi" w:hAnsiTheme="minorHAnsi" w:cstheme="minorHAnsi"/>
          <w:color w:val="auto"/>
          <w:vertAlign w:val="subscript"/>
        </w:rPr>
        <w:t xml:space="preserve"> </w:t>
      </w:r>
      <w:r w:rsidR="002D1635" w:rsidRPr="00E033F1">
        <w:rPr>
          <w:rFonts w:asciiTheme="minorHAnsi" w:hAnsiTheme="minorHAnsi" w:cstheme="minorHAnsi"/>
          <w:color w:val="auto"/>
        </w:rPr>
        <w:t>(</w:t>
      </w:r>
      <w:r w:rsidR="00F97205" w:rsidRPr="00E033F1">
        <w:rPr>
          <w:rFonts w:asciiTheme="minorHAnsi" w:hAnsiTheme="minorHAnsi" w:cstheme="minorHAnsi"/>
          <w:color w:val="auto"/>
        </w:rPr>
        <w:t>volume of enzyme</w:t>
      </w:r>
      <w:r w:rsidR="002D1635" w:rsidRPr="00E033F1">
        <w:rPr>
          <w:rFonts w:asciiTheme="minorHAnsi" w:hAnsiTheme="minorHAnsi" w:cstheme="minorHAnsi"/>
          <w:color w:val="auto"/>
        </w:rPr>
        <w:t>)</w:t>
      </w:r>
      <w:r w:rsidR="00F97205" w:rsidRPr="00E033F1">
        <w:rPr>
          <w:rFonts w:asciiTheme="minorHAnsi" w:hAnsiTheme="minorHAnsi" w:cstheme="minorHAnsi"/>
          <w:color w:val="auto"/>
        </w:rPr>
        <w:t xml:space="preserve"> </w:t>
      </w:r>
      <w:r w:rsidRPr="00E033F1">
        <w:rPr>
          <w:rFonts w:asciiTheme="minorHAnsi" w:hAnsiTheme="minorHAnsi" w:cstheme="minorHAnsi"/>
          <w:color w:val="auto"/>
        </w:rPr>
        <w:t xml:space="preserve">is </w:t>
      </w:r>
      <w:r w:rsidR="00F97205" w:rsidRPr="00E033F1">
        <w:rPr>
          <w:rFonts w:asciiTheme="minorHAnsi" w:hAnsiTheme="minorHAnsi" w:cstheme="minorHAnsi"/>
          <w:color w:val="auto"/>
        </w:rPr>
        <w:t>0.02</w:t>
      </w:r>
      <w:r w:rsidR="004B5E1E" w:rsidRPr="00E033F1">
        <w:rPr>
          <w:rFonts w:asciiTheme="minorHAnsi" w:hAnsiTheme="minorHAnsi" w:cstheme="minorHAnsi"/>
          <w:color w:val="auto"/>
        </w:rPr>
        <w:t> </w:t>
      </w:r>
      <w:r w:rsidR="00140D24" w:rsidRPr="00E033F1">
        <w:rPr>
          <w:rFonts w:asciiTheme="minorHAnsi" w:hAnsiTheme="minorHAnsi" w:cstheme="minorHAnsi"/>
          <w:color w:val="auto"/>
        </w:rPr>
        <w:t>mL</w:t>
      </w:r>
      <w:r w:rsidRPr="00E033F1">
        <w:rPr>
          <w:rFonts w:asciiTheme="minorHAnsi" w:hAnsiTheme="minorHAnsi" w:cstheme="minorHAnsi"/>
          <w:color w:val="auto"/>
        </w:rPr>
        <w:t>,</w:t>
      </w:r>
      <w:r w:rsidR="00F97205" w:rsidRPr="00E033F1">
        <w:rPr>
          <w:rFonts w:asciiTheme="minorHAnsi" w:hAnsiTheme="minorHAnsi" w:cstheme="minorHAnsi"/>
          <w:color w:val="auto"/>
        </w:rPr>
        <w:t xml:space="preserve"> and </w:t>
      </w:r>
      <w:proofErr w:type="spellStart"/>
      <w:r w:rsidR="00F97205" w:rsidRPr="00E033F1">
        <w:rPr>
          <w:rFonts w:asciiTheme="minorHAnsi" w:hAnsiTheme="minorHAnsi" w:cstheme="minorHAnsi"/>
          <w:color w:val="auto"/>
        </w:rPr>
        <w:t>ε</w:t>
      </w:r>
      <w:r w:rsidR="00C54573" w:rsidRPr="00E033F1">
        <w:rPr>
          <w:rFonts w:asciiTheme="minorHAnsi" w:hAnsiTheme="minorHAnsi" w:cstheme="minorHAnsi"/>
          <w:color w:val="auto"/>
          <w:vertAlign w:val="subscript"/>
        </w:rPr>
        <w:t>GS</w:t>
      </w:r>
      <w:proofErr w:type="spellEnd"/>
      <w:r w:rsidR="00C54573" w:rsidRPr="00E033F1">
        <w:rPr>
          <w:rFonts w:asciiTheme="minorHAnsi" w:hAnsiTheme="minorHAnsi" w:cstheme="minorHAnsi"/>
          <w:color w:val="auto"/>
          <w:vertAlign w:val="subscript"/>
        </w:rPr>
        <w:t>-DNB</w:t>
      </w:r>
      <w:r w:rsidR="00F97205" w:rsidRPr="00E033F1">
        <w:rPr>
          <w:rFonts w:asciiTheme="minorHAnsi" w:hAnsiTheme="minorHAnsi" w:cstheme="minorHAnsi"/>
          <w:color w:val="auto"/>
        </w:rPr>
        <w:t xml:space="preserve"> </w:t>
      </w:r>
      <w:r w:rsidRPr="00E033F1">
        <w:rPr>
          <w:rFonts w:asciiTheme="minorHAnsi" w:hAnsiTheme="minorHAnsi" w:cstheme="minorHAnsi"/>
          <w:color w:val="auto"/>
        </w:rPr>
        <w:t xml:space="preserve">is </w:t>
      </w:r>
      <w:r w:rsidR="00F97205" w:rsidRPr="00E033F1">
        <w:rPr>
          <w:rFonts w:asciiTheme="minorHAnsi" w:hAnsiTheme="minorHAnsi" w:cstheme="minorHAnsi"/>
          <w:color w:val="auto"/>
        </w:rPr>
        <w:t xml:space="preserve">the </w:t>
      </w:r>
      <w:r w:rsidR="001F4504" w:rsidRPr="00E033F1">
        <w:rPr>
          <w:rFonts w:asciiTheme="minorHAnsi" w:hAnsiTheme="minorHAnsi" w:cstheme="minorHAnsi"/>
          <w:color w:val="auto"/>
        </w:rPr>
        <w:t xml:space="preserve">molar </w:t>
      </w:r>
      <w:r w:rsidR="00F97205" w:rsidRPr="00E033F1">
        <w:rPr>
          <w:rFonts w:asciiTheme="minorHAnsi" w:hAnsiTheme="minorHAnsi" w:cstheme="minorHAnsi"/>
          <w:color w:val="auto"/>
        </w:rPr>
        <w:t xml:space="preserve">extinction coefficient of </w:t>
      </w:r>
      <w:r w:rsidR="003E0F0D" w:rsidRPr="00E033F1">
        <w:rPr>
          <w:rFonts w:asciiTheme="minorHAnsi" w:hAnsiTheme="minorHAnsi" w:cstheme="minorHAnsi"/>
          <w:color w:val="auto"/>
        </w:rPr>
        <w:t xml:space="preserve">the </w:t>
      </w:r>
      <w:r w:rsidR="00ED26D8" w:rsidRPr="00E033F1">
        <w:rPr>
          <w:rFonts w:asciiTheme="minorHAnsi" w:hAnsiTheme="minorHAnsi" w:cstheme="minorHAnsi"/>
          <w:color w:val="auto"/>
        </w:rPr>
        <w:t>GS-DNB</w:t>
      </w:r>
      <w:r w:rsidR="001F4504" w:rsidRPr="00E033F1">
        <w:rPr>
          <w:rFonts w:asciiTheme="minorHAnsi" w:hAnsiTheme="minorHAnsi" w:cstheme="minorHAnsi"/>
          <w:color w:val="auto"/>
        </w:rPr>
        <w:t xml:space="preserve"> conjugate at 340</w:t>
      </w:r>
      <w:r w:rsidR="004B5E1E" w:rsidRPr="00E033F1">
        <w:rPr>
          <w:rFonts w:asciiTheme="minorHAnsi" w:hAnsiTheme="minorHAnsi" w:cstheme="minorHAnsi"/>
          <w:color w:val="auto"/>
        </w:rPr>
        <w:t> </w:t>
      </w:r>
      <w:r w:rsidR="001F4504" w:rsidRPr="00E033F1">
        <w:rPr>
          <w:color w:val="auto"/>
        </w:rPr>
        <w:t>nm</w:t>
      </w:r>
      <w:r w:rsidR="003E0F0D" w:rsidRPr="00E033F1">
        <w:rPr>
          <w:color w:val="auto"/>
        </w:rPr>
        <w:t xml:space="preserve"> </w:t>
      </w:r>
      <w:r w:rsidR="001F4504" w:rsidRPr="00E033F1">
        <w:rPr>
          <w:color w:val="auto"/>
        </w:rPr>
        <w:t>(</w:t>
      </w:r>
      <w:r w:rsidR="003E0F0D" w:rsidRPr="00E033F1">
        <w:rPr>
          <w:color w:val="auto"/>
        </w:rPr>
        <w:t>9</w:t>
      </w:r>
      <w:r w:rsidR="001F4504" w:rsidRPr="00E033F1">
        <w:rPr>
          <w:color w:val="auto"/>
        </w:rPr>
        <w:t>.</w:t>
      </w:r>
      <w:r w:rsidR="00287A2C" w:rsidRPr="00E033F1">
        <w:rPr>
          <w:color w:val="auto"/>
        </w:rPr>
        <w:t>6</w:t>
      </w:r>
      <w:r w:rsidR="004B5E1E" w:rsidRPr="00E033F1">
        <w:rPr>
          <w:color w:val="auto"/>
        </w:rPr>
        <w:t> </w:t>
      </w:r>
      <w:r w:rsidR="00B33C23" w:rsidRPr="00E033F1">
        <w:rPr>
          <w:color w:val="auto"/>
        </w:rPr>
        <w:t>µ</w:t>
      </w:r>
      <w:r w:rsidR="00F97205" w:rsidRPr="00E033F1">
        <w:rPr>
          <w:rFonts w:eastAsiaTheme="minorEastAsia"/>
          <w:color w:val="auto"/>
        </w:rPr>
        <w:t>M</w:t>
      </w:r>
      <w:r w:rsidR="00F97205" w:rsidRPr="00E033F1">
        <w:rPr>
          <w:rFonts w:eastAsiaTheme="minorEastAsia"/>
          <w:color w:val="auto"/>
          <w:vertAlign w:val="superscript"/>
        </w:rPr>
        <w:t>-4</w:t>
      </w:r>
      <w:r w:rsidR="00F97205" w:rsidRPr="00E033F1">
        <w:rPr>
          <w:rFonts w:eastAsiaTheme="minorEastAsia"/>
          <w:color w:val="auto"/>
        </w:rPr>
        <w:t>*cm</w:t>
      </w:r>
      <w:r w:rsidR="00F97205" w:rsidRPr="00E033F1">
        <w:rPr>
          <w:rFonts w:eastAsiaTheme="minorEastAsia"/>
          <w:color w:val="auto"/>
          <w:vertAlign w:val="superscript"/>
        </w:rPr>
        <w:t>-1</w:t>
      </w:r>
      <w:r w:rsidR="001F4504" w:rsidRPr="00E033F1">
        <w:rPr>
          <w:rFonts w:eastAsiaTheme="minorEastAsia"/>
          <w:color w:val="auto"/>
        </w:rPr>
        <w:t>)</w:t>
      </w:r>
      <w:r w:rsidR="006D017E" w:rsidRPr="00E033F1">
        <w:rPr>
          <w:rFonts w:eastAsiaTheme="minorEastAsia"/>
          <w:color w:val="auto"/>
        </w:rPr>
        <w:t>. In a 200</w:t>
      </w:r>
      <w:r w:rsidR="004B5E1E" w:rsidRPr="00E033F1">
        <w:rPr>
          <w:rFonts w:eastAsiaTheme="minorEastAsia"/>
          <w:color w:val="auto"/>
        </w:rPr>
        <w:t> </w:t>
      </w:r>
      <w:r w:rsidR="00B33C23" w:rsidRPr="00E033F1">
        <w:rPr>
          <w:rFonts w:eastAsiaTheme="minorEastAsia"/>
          <w:color w:val="auto"/>
        </w:rPr>
        <w:t>µ</w:t>
      </w:r>
      <w:r w:rsidR="00140D24" w:rsidRPr="00E033F1">
        <w:rPr>
          <w:rFonts w:eastAsiaTheme="minorEastAsia"/>
          <w:color w:val="auto"/>
        </w:rPr>
        <w:t>L</w:t>
      </w:r>
      <w:r w:rsidR="00F97205" w:rsidRPr="00E033F1">
        <w:rPr>
          <w:rFonts w:eastAsiaTheme="minorEastAsia"/>
          <w:color w:val="auto"/>
        </w:rPr>
        <w:t xml:space="preserve"> well of a 96</w:t>
      </w:r>
      <w:r w:rsidRPr="00E033F1">
        <w:rPr>
          <w:rFonts w:eastAsiaTheme="minorEastAsia"/>
          <w:color w:val="auto"/>
        </w:rPr>
        <w:t>-</w:t>
      </w:r>
      <w:r w:rsidR="00F97205" w:rsidRPr="00E033F1">
        <w:rPr>
          <w:rFonts w:eastAsiaTheme="minorEastAsia"/>
          <w:color w:val="auto"/>
        </w:rPr>
        <w:t>well</w:t>
      </w:r>
      <w:r w:rsidR="008E1210" w:rsidRPr="00E033F1">
        <w:rPr>
          <w:rFonts w:eastAsiaTheme="minorEastAsia"/>
          <w:color w:val="auto"/>
        </w:rPr>
        <w:t xml:space="preserve"> plate, the path length is 0.55</w:t>
      </w:r>
      <w:r w:rsidR="004B5E1E" w:rsidRPr="00E033F1">
        <w:rPr>
          <w:rFonts w:eastAsiaTheme="minorEastAsia"/>
          <w:color w:val="auto"/>
        </w:rPr>
        <w:t> </w:t>
      </w:r>
      <w:r w:rsidR="00F97205" w:rsidRPr="00E033F1">
        <w:rPr>
          <w:rFonts w:eastAsiaTheme="minorEastAsia"/>
          <w:color w:val="auto"/>
        </w:rPr>
        <w:t>cm (depending on the plate type) and the ext</w:t>
      </w:r>
      <w:r w:rsidR="001F4504" w:rsidRPr="00E033F1">
        <w:rPr>
          <w:rFonts w:eastAsiaTheme="minorEastAsia"/>
          <w:color w:val="auto"/>
        </w:rPr>
        <w:t>inction coefficient equals 5.3</w:t>
      </w:r>
      <w:r w:rsidR="004B5E1E" w:rsidRPr="00E033F1">
        <w:rPr>
          <w:rFonts w:eastAsiaTheme="minorEastAsia"/>
          <w:color w:val="auto"/>
        </w:rPr>
        <w:t> </w:t>
      </w:r>
      <w:r w:rsidR="00B33C23" w:rsidRPr="00E033F1">
        <w:rPr>
          <w:rFonts w:eastAsiaTheme="minorEastAsia"/>
          <w:color w:val="auto"/>
        </w:rPr>
        <w:t>µ</w:t>
      </w:r>
      <w:r w:rsidR="00F97205" w:rsidRPr="00E033F1">
        <w:rPr>
          <w:rFonts w:eastAsiaTheme="minorEastAsia"/>
          <w:color w:val="auto"/>
        </w:rPr>
        <w:t>M</w:t>
      </w:r>
      <w:r w:rsidR="00F97205" w:rsidRPr="00E033F1">
        <w:rPr>
          <w:rFonts w:eastAsiaTheme="minorEastAsia"/>
          <w:color w:val="auto"/>
          <w:vertAlign w:val="superscript"/>
        </w:rPr>
        <w:t>-1</w:t>
      </w:r>
      <w:r w:rsidR="00F97205" w:rsidRPr="00E033F1">
        <w:rPr>
          <w:rFonts w:eastAsiaTheme="minorEastAsia"/>
          <w:color w:val="auto"/>
        </w:rPr>
        <w:t>.</w:t>
      </w:r>
      <w:r w:rsidR="00294645" w:rsidRPr="00E033F1">
        <w:rPr>
          <w:rFonts w:eastAsiaTheme="minorEastAsia"/>
          <w:color w:val="auto"/>
        </w:rPr>
        <w:t xml:space="preserve"> The velocity can be represented either</w:t>
      </w:r>
      <w:r w:rsidR="00C54573" w:rsidRPr="00E033F1">
        <w:rPr>
          <w:rFonts w:eastAsiaTheme="minorEastAsia"/>
          <w:color w:val="auto"/>
        </w:rPr>
        <w:t xml:space="preserve"> </w:t>
      </w:r>
      <w:r w:rsidR="00294645" w:rsidRPr="00E033F1">
        <w:rPr>
          <w:rFonts w:eastAsiaTheme="minorEastAsia"/>
          <w:color w:val="auto"/>
        </w:rPr>
        <w:t xml:space="preserve">by </w:t>
      </w:r>
      <w:r w:rsidR="00B33C23" w:rsidRPr="00E033F1">
        <w:rPr>
          <w:rFonts w:eastAsiaTheme="minorEastAsia"/>
          <w:color w:val="auto"/>
        </w:rPr>
        <w:t>µ</w:t>
      </w:r>
      <w:r w:rsidR="00294645" w:rsidRPr="00E033F1">
        <w:rPr>
          <w:rFonts w:eastAsiaTheme="minorEastAsia"/>
          <w:color w:val="auto"/>
        </w:rPr>
        <w:t>mol/</w:t>
      </w:r>
      <w:r w:rsidR="00140D24" w:rsidRPr="00E033F1">
        <w:rPr>
          <w:rFonts w:eastAsiaTheme="minorEastAsia"/>
          <w:color w:val="auto"/>
        </w:rPr>
        <w:t>mL</w:t>
      </w:r>
      <w:r w:rsidR="00294645" w:rsidRPr="00E033F1">
        <w:rPr>
          <w:rFonts w:eastAsiaTheme="minorEastAsia"/>
          <w:color w:val="auto"/>
        </w:rPr>
        <w:t>/min or mM/min.</w:t>
      </w:r>
    </w:p>
    <w:p w14:paraId="284CC182" w14:textId="23A86DCC" w:rsidR="00294645" w:rsidRPr="00E033F1" w:rsidRDefault="00294645" w:rsidP="00E033F1">
      <w:pPr>
        <w:pStyle w:val="ListParagraph"/>
        <w:ind w:left="0"/>
        <w:rPr>
          <w:rFonts w:eastAsiaTheme="minorEastAsia"/>
          <w:color w:val="auto"/>
        </w:rPr>
      </w:pPr>
    </w:p>
    <w:p w14:paraId="0F88EF39" w14:textId="77468A83" w:rsidR="00294645" w:rsidRPr="00E033F1" w:rsidRDefault="00294645"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Plot the Michaelis</w:t>
      </w:r>
      <w:r w:rsidR="007567E1" w:rsidRPr="00E033F1">
        <w:rPr>
          <w:rFonts w:asciiTheme="minorHAnsi" w:hAnsiTheme="minorHAnsi" w:cstheme="minorHAnsi"/>
          <w:color w:val="auto"/>
        </w:rPr>
        <w:t>–</w:t>
      </w:r>
      <w:r w:rsidRPr="00E033F1">
        <w:rPr>
          <w:rFonts w:asciiTheme="minorHAnsi" w:hAnsiTheme="minorHAnsi" w:cstheme="minorHAnsi"/>
          <w:color w:val="auto"/>
        </w:rPr>
        <w:t xml:space="preserve">Menten graph with the velocity </w:t>
      </w:r>
      <w:r w:rsidR="00F419E8" w:rsidRPr="00E033F1">
        <w:rPr>
          <w:rFonts w:asciiTheme="minorHAnsi" w:hAnsiTheme="minorHAnsi" w:cstheme="minorHAnsi"/>
          <w:color w:val="auto"/>
        </w:rPr>
        <w:t>(on</w:t>
      </w:r>
      <w:r w:rsidR="00B43462" w:rsidRPr="00E033F1">
        <w:rPr>
          <w:rFonts w:asciiTheme="minorHAnsi" w:hAnsiTheme="minorHAnsi" w:cstheme="minorHAnsi"/>
          <w:color w:val="auto"/>
        </w:rPr>
        <w:t xml:space="preserve"> the</w:t>
      </w:r>
      <w:r w:rsidR="00F419E8" w:rsidRPr="00E033F1">
        <w:rPr>
          <w:rFonts w:asciiTheme="minorHAnsi" w:hAnsiTheme="minorHAnsi" w:cstheme="minorHAnsi"/>
          <w:color w:val="auto"/>
        </w:rPr>
        <w:t xml:space="preserve"> y-axis) </w:t>
      </w:r>
      <w:r w:rsidRPr="00E033F1">
        <w:rPr>
          <w:rFonts w:asciiTheme="minorHAnsi" w:hAnsiTheme="minorHAnsi" w:cstheme="minorHAnsi"/>
          <w:color w:val="auto"/>
        </w:rPr>
        <w:t>against the substrate concentration</w:t>
      </w:r>
      <w:r w:rsidR="00F419E8" w:rsidRPr="00E033F1">
        <w:rPr>
          <w:rFonts w:asciiTheme="minorHAnsi" w:hAnsiTheme="minorHAnsi" w:cstheme="minorHAnsi"/>
          <w:color w:val="auto"/>
        </w:rPr>
        <w:t xml:space="preserve"> (on</w:t>
      </w:r>
      <w:r w:rsidR="00B43462" w:rsidRPr="00E033F1">
        <w:rPr>
          <w:rFonts w:asciiTheme="minorHAnsi" w:hAnsiTheme="minorHAnsi" w:cstheme="minorHAnsi"/>
          <w:color w:val="auto"/>
        </w:rPr>
        <w:t xml:space="preserve"> the</w:t>
      </w:r>
      <w:r w:rsidR="00F419E8" w:rsidRPr="00E033F1">
        <w:rPr>
          <w:rFonts w:asciiTheme="minorHAnsi" w:hAnsiTheme="minorHAnsi" w:cstheme="minorHAnsi"/>
          <w:color w:val="auto"/>
        </w:rPr>
        <w:t xml:space="preserve"> x-axis)</w:t>
      </w:r>
      <w:r w:rsidRPr="00E033F1">
        <w:rPr>
          <w:rFonts w:asciiTheme="minorHAnsi" w:hAnsiTheme="minorHAnsi" w:cstheme="minorHAnsi"/>
          <w:color w:val="auto"/>
        </w:rPr>
        <w:t>.</w:t>
      </w:r>
    </w:p>
    <w:p w14:paraId="48A0A6B7" w14:textId="77777777" w:rsidR="00294645" w:rsidRPr="00E033F1" w:rsidRDefault="00294645" w:rsidP="00E033F1">
      <w:pPr>
        <w:pStyle w:val="ListParagraph"/>
        <w:ind w:left="0"/>
        <w:rPr>
          <w:rFonts w:asciiTheme="minorHAnsi" w:hAnsiTheme="minorHAnsi" w:cstheme="minorHAnsi"/>
          <w:color w:val="auto"/>
        </w:rPr>
      </w:pPr>
    </w:p>
    <w:p w14:paraId="1F2E8BF1" w14:textId="5E3D9609" w:rsidR="00294645" w:rsidRPr="00E033F1" w:rsidRDefault="00294645"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Define the </w:t>
      </w:r>
      <w:r w:rsidR="00F42BF9" w:rsidRPr="00E033F1">
        <w:rPr>
          <w:rFonts w:asciiTheme="minorHAnsi" w:hAnsiTheme="minorHAnsi" w:cstheme="minorHAnsi"/>
          <w:color w:val="auto"/>
        </w:rPr>
        <w:t>maximum velocity (</w:t>
      </w:r>
      <w:r w:rsidR="00322741" w:rsidRPr="00E033F1">
        <w:rPr>
          <w:rFonts w:asciiTheme="minorHAnsi" w:hAnsiTheme="minorHAnsi" w:cstheme="minorHAnsi"/>
          <w:color w:val="auto"/>
        </w:rPr>
        <w:t>V</w:t>
      </w:r>
      <w:r w:rsidR="00322741" w:rsidRPr="00E033F1">
        <w:rPr>
          <w:rFonts w:asciiTheme="minorHAnsi" w:hAnsiTheme="minorHAnsi" w:cstheme="minorHAnsi"/>
          <w:color w:val="auto"/>
          <w:vertAlign w:val="subscript"/>
        </w:rPr>
        <w:t>max</w:t>
      </w:r>
      <w:r w:rsidR="00F42BF9" w:rsidRPr="00E033F1">
        <w:rPr>
          <w:rFonts w:asciiTheme="minorHAnsi" w:hAnsiTheme="minorHAnsi" w:cstheme="minorHAnsi"/>
          <w:color w:val="auto"/>
        </w:rPr>
        <w:t>)</w:t>
      </w:r>
      <w:r w:rsidRPr="00E033F1">
        <w:rPr>
          <w:rFonts w:asciiTheme="minorHAnsi" w:hAnsiTheme="minorHAnsi" w:cstheme="minorHAnsi"/>
          <w:color w:val="auto"/>
        </w:rPr>
        <w:t xml:space="preserve"> of the reaction and the Michaelis</w:t>
      </w:r>
      <w:r w:rsidR="007567E1" w:rsidRPr="00E033F1">
        <w:rPr>
          <w:rFonts w:asciiTheme="minorHAnsi" w:hAnsiTheme="minorHAnsi" w:cstheme="minorHAnsi"/>
          <w:color w:val="auto"/>
        </w:rPr>
        <w:t>–</w:t>
      </w:r>
      <w:r w:rsidRPr="00E033F1">
        <w:rPr>
          <w:rFonts w:asciiTheme="minorHAnsi" w:hAnsiTheme="minorHAnsi" w:cstheme="minorHAnsi"/>
          <w:color w:val="auto"/>
        </w:rPr>
        <w:t xml:space="preserve">Menten constant </w:t>
      </w:r>
      <w:r w:rsidR="00F42BF9" w:rsidRPr="00E033F1">
        <w:rPr>
          <w:rFonts w:asciiTheme="minorHAnsi" w:hAnsiTheme="minorHAnsi" w:cstheme="minorHAnsi"/>
          <w:color w:val="auto"/>
        </w:rPr>
        <w:t>(</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F42BF9" w:rsidRPr="00E033F1">
        <w:rPr>
          <w:rFonts w:asciiTheme="minorHAnsi" w:hAnsiTheme="minorHAnsi" w:cstheme="minorHAnsi"/>
          <w:color w:val="auto"/>
        </w:rPr>
        <w:t>)</w:t>
      </w:r>
      <w:r w:rsidR="00E033F1" w:rsidRPr="00E033F1">
        <w:rPr>
          <w:rFonts w:asciiTheme="minorHAnsi" w:hAnsiTheme="minorHAnsi" w:cstheme="minorHAnsi"/>
          <w:color w:val="auto"/>
        </w:rPr>
        <w:t xml:space="preserve"> (</w:t>
      </w:r>
      <w:r w:rsidR="006E3BF4" w:rsidRPr="00E033F1">
        <w:rPr>
          <w:rFonts w:asciiTheme="minorHAnsi" w:hAnsiTheme="minorHAnsi" w:cstheme="minorHAnsi"/>
          <w:color w:val="auto"/>
        </w:rPr>
        <w:t xml:space="preserve">i.e., </w:t>
      </w:r>
      <w:r w:rsidRPr="00E033F1">
        <w:rPr>
          <w:rFonts w:asciiTheme="minorHAnsi" w:hAnsiTheme="minorHAnsi" w:cstheme="minorHAnsi"/>
          <w:color w:val="auto"/>
        </w:rPr>
        <w:t>the substr</w:t>
      </w:r>
      <w:r w:rsidR="00AE2429" w:rsidRPr="00E033F1">
        <w:rPr>
          <w:rFonts w:asciiTheme="minorHAnsi" w:hAnsiTheme="minorHAnsi" w:cstheme="minorHAnsi"/>
          <w:color w:val="auto"/>
        </w:rPr>
        <w:t xml:space="preserve">ate concentration at half </w:t>
      </w:r>
      <w:r w:rsidR="006204DB" w:rsidRPr="00E033F1">
        <w:rPr>
          <w:rFonts w:asciiTheme="minorHAnsi" w:hAnsiTheme="minorHAnsi" w:cstheme="minorHAnsi"/>
          <w:color w:val="auto"/>
        </w:rPr>
        <w:t xml:space="preserve">of </w:t>
      </w:r>
      <w:r w:rsidR="00322741" w:rsidRPr="00E033F1">
        <w:rPr>
          <w:rFonts w:asciiTheme="minorHAnsi" w:hAnsiTheme="minorHAnsi" w:cstheme="minorHAnsi"/>
          <w:color w:val="auto"/>
        </w:rPr>
        <w:t>V</w:t>
      </w:r>
      <w:r w:rsidR="00322741" w:rsidRPr="00E033F1">
        <w:rPr>
          <w:rFonts w:asciiTheme="minorHAnsi" w:hAnsiTheme="minorHAnsi" w:cstheme="minorHAnsi"/>
          <w:color w:val="auto"/>
          <w:vertAlign w:val="subscript"/>
        </w:rPr>
        <w:t>max</w:t>
      </w:r>
      <w:r w:rsidR="00E033F1" w:rsidRPr="00E033F1">
        <w:rPr>
          <w:rFonts w:asciiTheme="minorHAnsi" w:hAnsiTheme="minorHAnsi" w:cstheme="minorHAnsi"/>
          <w:color w:val="auto"/>
        </w:rPr>
        <w:t>)</w:t>
      </w:r>
      <w:r w:rsidR="00AE2429" w:rsidRPr="00E033F1">
        <w:rPr>
          <w:rFonts w:asciiTheme="minorHAnsi" w:hAnsiTheme="minorHAnsi" w:cstheme="minorHAnsi"/>
          <w:color w:val="auto"/>
        </w:rPr>
        <w:t xml:space="preserve">. </w:t>
      </w:r>
    </w:p>
    <w:p w14:paraId="13D2FBB6" w14:textId="77777777" w:rsidR="00AE2429" w:rsidRPr="00E033F1" w:rsidRDefault="00AE2429" w:rsidP="00E033F1">
      <w:pPr>
        <w:pStyle w:val="ListParagraph"/>
        <w:ind w:left="0"/>
        <w:rPr>
          <w:rFonts w:asciiTheme="minorHAnsi" w:hAnsiTheme="minorHAnsi" w:cstheme="minorHAnsi"/>
          <w:color w:val="auto"/>
        </w:rPr>
      </w:pPr>
    </w:p>
    <w:p w14:paraId="19573C35" w14:textId="4F427C9C" w:rsidR="00AE2429" w:rsidRPr="00E033F1" w:rsidRDefault="00AE2429"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 xml:space="preserve">NOTE: </w:t>
      </w:r>
      <w:r w:rsidR="00A77858" w:rsidRPr="00E033F1">
        <w:rPr>
          <w:rFonts w:asciiTheme="minorHAnsi" w:hAnsiTheme="minorHAnsi" w:cstheme="minorHAnsi"/>
          <w:color w:val="auto"/>
        </w:rPr>
        <w:t>Using software such as GraphPad Prism,</w:t>
      </w:r>
      <w:r w:rsidR="006E3BF4" w:rsidRPr="00E033F1">
        <w:rPr>
          <w:rFonts w:asciiTheme="minorHAnsi" w:hAnsiTheme="minorHAnsi" w:cstheme="minorHAnsi"/>
          <w:color w:val="auto"/>
        </w:rPr>
        <w:t xml:space="preserve"> the</w:t>
      </w:r>
      <w:r w:rsidR="00A77858" w:rsidRPr="00E033F1">
        <w:rPr>
          <w:rFonts w:asciiTheme="minorHAnsi" w:hAnsiTheme="minorHAnsi" w:cstheme="minorHAnsi"/>
          <w:color w:val="auto"/>
        </w:rPr>
        <w:t xml:space="preserve"> enzyme kinetics curve can be fitted</w:t>
      </w:r>
      <w:r w:rsidR="00495BBC" w:rsidRPr="00E033F1">
        <w:rPr>
          <w:rFonts w:asciiTheme="minorHAnsi" w:hAnsiTheme="minorHAnsi" w:cstheme="minorHAnsi"/>
          <w:color w:val="auto"/>
        </w:rPr>
        <w:t xml:space="preserve"> </w:t>
      </w:r>
      <w:r w:rsidR="006E3BF4" w:rsidRPr="00E033F1">
        <w:rPr>
          <w:rFonts w:asciiTheme="minorHAnsi" w:hAnsiTheme="minorHAnsi" w:cstheme="minorHAnsi"/>
          <w:color w:val="auto"/>
        </w:rPr>
        <w:t>using a</w:t>
      </w:r>
      <w:r w:rsidR="00495BBC" w:rsidRPr="00E033F1">
        <w:rPr>
          <w:rFonts w:asciiTheme="minorHAnsi" w:hAnsiTheme="minorHAnsi" w:cstheme="minorHAnsi"/>
          <w:color w:val="auto"/>
        </w:rPr>
        <w:t xml:space="preserve"> non-linear regression</w:t>
      </w:r>
      <w:r w:rsidR="00A77858" w:rsidRPr="00E033F1">
        <w:rPr>
          <w:rFonts w:asciiTheme="minorHAnsi" w:hAnsiTheme="minorHAnsi" w:cstheme="minorHAnsi"/>
          <w:color w:val="auto"/>
        </w:rPr>
        <w:t xml:space="preserve"> for the calculation of the Michaelis</w:t>
      </w:r>
      <w:r w:rsidR="007567E1" w:rsidRPr="00E033F1">
        <w:rPr>
          <w:rFonts w:asciiTheme="minorHAnsi" w:hAnsiTheme="minorHAnsi" w:cstheme="minorHAnsi"/>
          <w:color w:val="auto"/>
        </w:rPr>
        <w:t>–</w:t>
      </w:r>
      <w:r w:rsidR="00A77858" w:rsidRPr="00E033F1">
        <w:rPr>
          <w:rFonts w:asciiTheme="minorHAnsi" w:hAnsiTheme="minorHAnsi" w:cstheme="minorHAnsi"/>
          <w:color w:val="auto"/>
        </w:rPr>
        <w:t>Menten enzyme kinetics parameters</w:t>
      </w:r>
      <w:r w:rsidR="006E3BF4" w:rsidRPr="00E033F1">
        <w:rPr>
          <w:rFonts w:asciiTheme="minorHAnsi" w:hAnsiTheme="minorHAnsi" w:cstheme="minorHAnsi"/>
          <w:color w:val="auto"/>
        </w:rPr>
        <w:t>,</w:t>
      </w:r>
      <w:r w:rsidR="00A77858" w:rsidRPr="00E033F1">
        <w:rPr>
          <w:rFonts w:asciiTheme="minorHAnsi" w:hAnsiTheme="minorHAnsi" w:cstheme="minorHAnsi"/>
          <w:color w:val="auto"/>
        </w:rPr>
        <w:t xml:space="preserve"> such as </w:t>
      </w:r>
      <w:r w:rsidR="00322741" w:rsidRPr="00E033F1">
        <w:rPr>
          <w:rFonts w:asciiTheme="minorHAnsi" w:hAnsiTheme="minorHAnsi" w:cstheme="minorHAnsi"/>
          <w:color w:val="auto"/>
        </w:rPr>
        <w:t>V</w:t>
      </w:r>
      <w:r w:rsidR="00322741" w:rsidRPr="00E033F1">
        <w:rPr>
          <w:rFonts w:asciiTheme="minorHAnsi" w:hAnsiTheme="minorHAnsi" w:cstheme="minorHAnsi"/>
          <w:color w:val="auto"/>
          <w:vertAlign w:val="subscript"/>
        </w:rPr>
        <w:t>max</w:t>
      </w:r>
      <w:r w:rsidR="00A77858" w:rsidRPr="00E033F1">
        <w:rPr>
          <w:rFonts w:asciiTheme="minorHAnsi" w:hAnsiTheme="minorHAnsi" w:cstheme="minorHAnsi"/>
          <w:color w:val="auto"/>
        </w:rPr>
        <w:t xml:space="preserve"> and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A77858" w:rsidRPr="00E033F1">
        <w:rPr>
          <w:rFonts w:asciiTheme="minorHAnsi" w:hAnsiTheme="minorHAnsi" w:cstheme="minorHAnsi"/>
          <w:color w:val="auto"/>
        </w:rPr>
        <w:t xml:space="preserve">. </w:t>
      </w:r>
    </w:p>
    <w:p w14:paraId="61ADE703" w14:textId="77777777" w:rsidR="00294645" w:rsidRPr="00E033F1" w:rsidRDefault="00294645" w:rsidP="00E033F1">
      <w:pPr>
        <w:pStyle w:val="ListParagraph"/>
        <w:ind w:left="0"/>
        <w:rPr>
          <w:rFonts w:asciiTheme="minorHAnsi" w:hAnsiTheme="minorHAnsi" w:cstheme="minorHAnsi"/>
          <w:color w:val="auto"/>
        </w:rPr>
      </w:pPr>
    </w:p>
    <w:p w14:paraId="262E84EB" w14:textId="6D0531BA" w:rsidR="00294645" w:rsidRPr="00E033F1" w:rsidRDefault="00294645"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Prepare a CDNB stock solution at </w:t>
      </w:r>
      <w:r w:rsidR="00DA6485" w:rsidRPr="00E033F1">
        <w:rPr>
          <w:rFonts w:asciiTheme="minorHAnsi" w:hAnsiTheme="minorHAnsi" w:cstheme="minorHAnsi"/>
          <w:color w:val="auto"/>
        </w:rPr>
        <w:t>20</w:t>
      </w:r>
      <w:r w:rsidR="00B43462" w:rsidRPr="00E033F1">
        <w:rPr>
          <w:rFonts w:asciiTheme="minorHAnsi" w:hAnsiTheme="minorHAnsi" w:cstheme="minorHAnsi"/>
          <w:color w:val="auto"/>
        </w:rPr>
        <w:t xml:space="preserve"> times</w:t>
      </w:r>
      <w:r w:rsidR="006204DB" w:rsidRPr="00E033F1">
        <w:rPr>
          <w:rFonts w:asciiTheme="minorHAnsi" w:hAnsiTheme="minorHAnsi" w:cstheme="minorHAnsi"/>
          <w:color w:val="auto"/>
        </w:rPr>
        <w:t xml:space="preserve"> </w:t>
      </w:r>
      <w:r w:rsidRPr="00E033F1">
        <w:rPr>
          <w:rFonts w:asciiTheme="minorHAnsi" w:hAnsiTheme="minorHAnsi" w:cstheme="minorHAnsi"/>
          <w:color w:val="auto"/>
        </w:rPr>
        <w:t>th</w:t>
      </w:r>
      <w:r w:rsidR="00AE2429" w:rsidRPr="00E033F1">
        <w:rPr>
          <w:rFonts w:asciiTheme="minorHAnsi" w:hAnsiTheme="minorHAnsi" w:cstheme="minorHAnsi"/>
          <w:color w:val="auto"/>
        </w:rPr>
        <w:t xml:space="preserve">e </w:t>
      </w:r>
      <w:r w:rsidR="002D2B5E" w:rsidRPr="00E033F1">
        <w:rPr>
          <w:rFonts w:asciiTheme="minorHAnsi" w:hAnsiTheme="minorHAnsi" w:cstheme="minorHAnsi"/>
          <w:color w:val="auto"/>
        </w:rPr>
        <w:t>calculated</w:t>
      </w:r>
      <w:r w:rsidR="00AE2429" w:rsidRPr="00E033F1">
        <w:rPr>
          <w:rFonts w:asciiTheme="minorHAnsi" w:hAnsiTheme="minorHAnsi" w:cstheme="minorHAnsi"/>
          <w:color w:val="auto"/>
        </w:rPr>
        <w:t xml:space="preserve">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AE2429" w:rsidRPr="00E033F1">
        <w:rPr>
          <w:rFonts w:asciiTheme="minorHAnsi" w:hAnsiTheme="minorHAnsi" w:cstheme="minorHAnsi"/>
          <w:color w:val="auto"/>
        </w:rPr>
        <w:t xml:space="preserve"> in ethanol 95% (v/v). </w:t>
      </w:r>
    </w:p>
    <w:p w14:paraId="38223DAC" w14:textId="77777777" w:rsidR="00F97205" w:rsidRPr="00E033F1" w:rsidRDefault="00F97205" w:rsidP="00E033F1">
      <w:pPr>
        <w:pStyle w:val="ListParagraph"/>
        <w:ind w:left="0"/>
        <w:rPr>
          <w:rFonts w:asciiTheme="minorHAnsi" w:hAnsiTheme="minorHAnsi" w:cstheme="minorHAnsi"/>
          <w:b/>
          <w:color w:val="auto"/>
        </w:rPr>
      </w:pPr>
    </w:p>
    <w:p w14:paraId="2F65C0FB" w14:textId="40D34A96" w:rsidR="00EB01D9" w:rsidRPr="00E033F1" w:rsidRDefault="00217F8F" w:rsidP="00E033F1">
      <w:pPr>
        <w:pStyle w:val="ListParagraph"/>
        <w:numPr>
          <w:ilvl w:val="0"/>
          <w:numId w:val="31"/>
        </w:numPr>
        <w:ind w:left="0" w:firstLine="0"/>
        <w:rPr>
          <w:rFonts w:asciiTheme="minorHAnsi" w:hAnsiTheme="minorHAnsi" w:cstheme="minorHAnsi"/>
          <w:b/>
          <w:color w:val="auto"/>
        </w:rPr>
      </w:pPr>
      <w:r w:rsidRPr="00E033F1">
        <w:rPr>
          <w:rFonts w:asciiTheme="minorHAnsi" w:hAnsiTheme="minorHAnsi" w:cstheme="minorHAnsi"/>
          <w:b/>
          <w:color w:val="auto"/>
        </w:rPr>
        <w:t xml:space="preserve">Absorbance of the </w:t>
      </w:r>
      <w:r w:rsidR="002D2B5E" w:rsidRPr="00E033F1">
        <w:rPr>
          <w:rFonts w:asciiTheme="minorHAnsi" w:hAnsiTheme="minorHAnsi" w:cstheme="minorHAnsi"/>
          <w:b/>
          <w:color w:val="auto"/>
        </w:rPr>
        <w:t>potential</w:t>
      </w:r>
      <w:r w:rsidRPr="00E033F1">
        <w:rPr>
          <w:rFonts w:asciiTheme="minorHAnsi" w:hAnsiTheme="minorHAnsi" w:cstheme="minorHAnsi"/>
          <w:b/>
          <w:color w:val="auto"/>
        </w:rPr>
        <w:t xml:space="preserve"> GST inhibitor</w:t>
      </w:r>
    </w:p>
    <w:p w14:paraId="2A032164" w14:textId="77777777" w:rsidR="00B845A9" w:rsidRPr="00E033F1" w:rsidRDefault="00B845A9" w:rsidP="00E033F1">
      <w:pPr>
        <w:pStyle w:val="ListParagraph"/>
        <w:ind w:left="0"/>
        <w:rPr>
          <w:rFonts w:asciiTheme="minorHAnsi" w:hAnsiTheme="minorHAnsi" w:cstheme="minorHAnsi"/>
          <w:b/>
          <w:color w:val="auto"/>
        </w:rPr>
      </w:pPr>
    </w:p>
    <w:p w14:paraId="1C171CC1" w14:textId="48DE2C90" w:rsidR="005A67B0" w:rsidRPr="00E033F1" w:rsidRDefault="00B845A9"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NOTE</w:t>
      </w:r>
      <w:r w:rsidR="00217F8F" w:rsidRPr="00E033F1">
        <w:rPr>
          <w:rFonts w:asciiTheme="minorHAnsi" w:hAnsiTheme="minorHAnsi" w:cstheme="minorHAnsi"/>
          <w:color w:val="auto"/>
        </w:rPr>
        <w:t xml:space="preserve">: </w:t>
      </w:r>
      <w:r w:rsidR="005A67B0" w:rsidRPr="00E033F1">
        <w:rPr>
          <w:rFonts w:asciiTheme="minorHAnsi" w:hAnsiTheme="minorHAnsi" w:cstheme="minorHAnsi"/>
          <w:color w:val="auto"/>
        </w:rPr>
        <w:t xml:space="preserve">This </w:t>
      </w:r>
      <w:r w:rsidR="00B43462" w:rsidRPr="00E033F1">
        <w:rPr>
          <w:rFonts w:asciiTheme="minorHAnsi" w:hAnsiTheme="minorHAnsi" w:cstheme="minorHAnsi"/>
          <w:color w:val="auto"/>
        </w:rPr>
        <w:t>ste</w:t>
      </w:r>
      <w:r w:rsidR="005A67B0" w:rsidRPr="00E033F1">
        <w:rPr>
          <w:rFonts w:asciiTheme="minorHAnsi" w:hAnsiTheme="minorHAnsi" w:cstheme="minorHAnsi"/>
          <w:color w:val="auto"/>
        </w:rPr>
        <w:t xml:space="preserve">p is performed to </w:t>
      </w:r>
      <w:r w:rsidR="002D2B5E" w:rsidRPr="00E033F1">
        <w:rPr>
          <w:rFonts w:asciiTheme="minorHAnsi" w:hAnsiTheme="minorHAnsi" w:cstheme="minorHAnsi"/>
          <w:color w:val="auto"/>
        </w:rPr>
        <w:t>investigate whether</w:t>
      </w:r>
      <w:r w:rsidR="005A67B0" w:rsidRPr="00E033F1">
        <w:rPr>
          <w:rFonts w:asciiTheme="minorHAnsi" w:hAnsiTheme="minorHAnsi" w:cstheme="minorHAnsi"/>
          <w:color w:val="auto"/>
        </w:rPr>
        <w:t xml:space="preserve"> the </w:t>
      </w:r>
      <w:r w:rsidR="002D2B5E" w:rsidRPr="00E033F1">
        <w:rPr>
          <w:rFonts w:asciiTheme="minorHAnsi" w:hAnsiTheme="minorHAnsi" w:cstheme="minorHAnsi"/>
          <w:color w:val="auto"/>
        </w:rPr>
        <w:t>potential</w:t>
      </w:r>
      <w:r w:rsidR="005A67B0" w:rsidRPr="00E033F1">
        <w:rPr>
          <w:rFonts w:asciiTheme="minorHAnsi" w:hAnsiTheme="minorHAnsi" w:cstheme="minorHAnsi"/>
          <w:color w:val="auto"/>
        </w:rPr>
        <w:t xml:space="preserve"> GST inhibitor </w:t>
      </w:r>
      <w:r w:rsidR="00EF63D6" w:rsidRPr="00E033F1">
        <w:rPr>
          <w:rFonts w:asciiTheme="minorHAnsi" w:hAnsiTheme="minorHAnsi" w:cstheme="minorHAnsi"/>
          <w:color w:val="auto"/>
        </w:rPr>
        <w:t>used in</w:t>
      </w:r>
      <w:r w:rsidR="00DB09F7" w:rsidRPr="00E033F1">
        <w:rPr>
          <w:rFonts w:asciiTheme="minorHAnsi" w:hAnsiTheme="minorHAnsi" w:cstheme="minorHAnsi"/>
          <w:color w:val="auto"/>
        </w:rPr>
        <w:t xml:space="preserve"> </w:t>
      </w:r>
      <w:r w:rsidR="00B43462" w:rsidRPr="00E033F1">
        <w:rPr>
          <w:rFonts w:asciiTheme="minorHAnsi" w:hAnsiTheme="minorHAnsi" w:cstheme="minorHAnsi"/>
          <w:color w:val="auto"/>
        </w:rPr>
        <w:t xml:space="preserve">the </w:t>
      </w:r>
      <w:r w:rsidR="00DB09F7" w:rsidRPr="00E033F1">
        <w:rPr>
          <w:rFonts w:asciiTheme="minorHAnsi" w:hAnsiTheme="minorHAnsi" w:cstheme="minorHAnsi"/>
          <w:color w:val="auto"/>
        </w:rPr>
        <w:t>reaction produce</w:t>
      </w:r>
      <w:r w:rsidR="002D2B5E" w:rsidRPr="00E033F1">
        <w:rPr>
          <w:rFonts w:asciiTheme="minorHAnsi" w:hAnsiTheme="minorHAnsi" w:cstheme="minorHAnsi"/>
          <w:color w:val="auto"/>
        </w:rPr>
        <w:t>s</w:t>
      </w:r>
      <w:r w:rsidR="005A67B0" w:rsidRPr="00E033F1">
        <w:rPr>
          <w:rFonts w:asciiTheme="minorHAnsi" w:hAnsiTheme="minorHAnsi" w:cstheme="minorHAnsi"/>
          <w:color w:val="auto"/>
        </w:rPr>
        <w:t xml:space="preserve"> a metabolite that increase</w:t>
      </w:r>
      <w:r w:rsidR="002D2B5E" w:rsidRPr="00E033F1">
        <w:rPr>
          <w:rFonts w:asciiTheme="minorHAnsi" w:hAnsiTheme="minorHAnsi" w:cstheme="minorHAnsi"/>
          <w:color w:val="auto"/>
        </w:rPr>
        <w:t>s</w:t>
      </w:r>
      <w:r w:rsidR="005A67B0" w:rsidRPr="00E033F1">
        <w:rPr>
          <w:rFonts w:asciiTheme="minorHAnsi" w:hAnsiTheme="minorHAnsi" w:cstheme="minorHAnsi"/>
          <w:color w:val="auto"/>
        </w:rPr>
        <w:t xml:space="preserve"> absorbance at the</w:t>
      </w:r>
      <w:r w:rsidR="002D2B5E" w:rsidRPr="00E033F1">
        <w:rPr>
          <w:rFonts w:asciiTheme="minorHAnsi" w:hAnsiTheme="minorHAnsi" w:cstheme="minorHAnsi"/>
          <w:color w:val="auto"/>
        </w:rPr>
        <w:t xml:space="preserve"> wavelength being</w:t>
      </w:r>
      <w:r w:rsidR="005A67B0" w:rsidRPr="00E033F1">
        <w:rPr>
          <w:rFonts w:asciiTheme="minorHAnsi" w:hAnsiTheme="minorHAnsi" w:cstheme="minorHAnsi"/>
          <w:color w:val="auto"/>
        </w:rPr>
        <w:t xml:space="preserve"> measured. If </w:t>
      </w:r>
      <w:r w:rsidR="002D2B5E" w:rsidRPr="00E033F1">
        <w:rPr>
          <w:rFonts w:asciiTheme="minorHAnsi" w:hAnsiTheme="minorHAnsi" w:cstheme="minorHAnsi"/>
          <w:color w:val="auto"/>
        </w:rPr>
        <w:t>it does</w:t>
      </w:r>
      <w:r w:rsidR="005A67B0" w:rsidRPr="00E033F1">
        <w:rPr>
          <w:rFonts w:asciiTheme="minorHAnsi" w:hAnsiTheme="minorHAnsi" w:cstheme="minorHAnsi"/>
          <w:color w:val="auto"/>
        </w:rPr>
        <w:t>, the amount of inhibitor used will have an impact on the results and a specific blank</w:t>
      </w:r>
      <w:r w:rsidR="002D2B5E" w:rsidRPr="00E033F1">
        <w:rPr>
          <w:rFonts w:asciiTheme="minorHAnsi" w:hAnsiTheme="minorHAnsi" w:cstheme="minorHAnsi"/>
          <w:color w:val="auto"/>
        </w:rPr>
        <w:t xml:space="preserve"> should</w:t>
      </w:r>
      <w:r w:rsidR="005A67B0" w:rsidRPr="00E033F1">
        <w:rPr>
          <w:rFonts w:asciiTheme="minorHAnsi" w:hAnsiTheme="minorHAnsi" w:cstheme="minorHAnsi"/>
          <w:color w:val="auto"/>
        </w:rPr>
        <w:t xml:space="preserve"> be prepared for each concentration. </w:t>
      </w:r>
    </w:p>
    <w:p w14:paraId="4C0F728C" w14:textId="58B5FE9C" w:rsidR="00B845A9" w:rsidRPr="00E033F1" w:rsidRDefault="00B845A9" w:rsidP="00E033F1">
      <w:pPr>
        <w:contextualSpacing/>
        <w:rPr>
          <w:rFonts w:asciiTheme="minorHAnsi" w:hAnsiTheme="minorHAnsi" w:cstheme="minorHAnsi"/>
          <w:color w:val="auto"/>
        </w:rPr>
      </w:pPr>
    </w:p>
    <w:p w14:paraId="12C3B8F8" w14:textId="77777777" w:rsidR="00DB09F7" w:rsidRPr="00E033F1" w:rsidRDefault="007A6573" w:rsidP="00E033F1">
      <w:pPr>
        <w:pStyle w:val="ListParagraph"/>
        <w:numPr>
          <w:ilvl w:val="1"/>
          <w:numId w:val="31"/>
        </w:numPr>
        <w:ind w:left="0" w:firstLine="0"/>
        <w:rPr>
          <w:rFonts w:asciiTheme="minorHAnsi" w:hAnsiTheme="minorHAnsi" w:cstheme="minorHAnsi"/>
          <w:b/>
          <w:color w:val="auto"/>
        </w:rPr>
      </w:pPr>
      <w:bookmarkStart w:id="9" w:name="_Hlk28265646"/>
      <w:r w:rsidRPr="00E033F1">
        <w:rPr>
          <w:rFonts w:asciiTheme="minorHAnsi" w:hAnsiTheme="minorHAnsi" w:cstheme="minorHAnsi"/>
          <w:color w:val="auto"/>
        </w:rPr>
        <w:t>Dilute the inhibitor to the required concentrations</w:t>
      </w:r>
      <w:r w:rsidR="00DB09F7" w:rsidRPr="00E033F1">
        <w:rPr>
          <w:rFonts w:asciiTheme="minorHAnsi" w:hAnsiTheme="minorHAnsi" w:cstheme="minorHAnsi"/>
          <w:color w:val="auto"/>
        </w:rPr>
        <w:t>.</w:t>
      </w:r>
    </w:p>
    <w:p w14:paraId="68491469" w14:textId="77777777" w:rsidR="00DB09F7" w:rsidRPr="00E033F1" w:rsidRDefault="00DB09F7" w:rsidP="00E033F1">
      <w:pPr>
        <w:pStyle w:val="ListParagraph"/>
        <w:ind w:left="0"/>
        <w:rPr>
          <w:rFonts w:asciiTheme="minorHAnsi" w:hAnsiTheme="minorHAnsi" w:cstheme="minorHAnsi"/>
          <w:color w:val="auto"/>
        </w:rPr>
      </w:pPr>
    </w:p>
    <w:p w14:paraId="6BB6ED4E" w14:textId="22AA6193" w:rsidR="00AA74E7" w:rsidRPr="00E033F1" w:rsidRDefault="004251D4" w:rsidP="00E033F1">
      <w:pPr>
        <w:pStyle w:val="ListParagraph"/>
        <w:ind w:left="0"/>
        <w:rPr>
          <w:rFonts w:asciiTheme="minorHAnsi" w:hAnsiTheme="minorHAnsi" w:cstheme="minorHAnsi"/>
          <w:b/>
          <w:color w:val="auto"/>
        </w:rPr>
      </w:pPr>
      <w:r w:rsidRPr="00E033F1">
        <w:rPr>
          <w:rFonts w:asciiTheme="minorHAnsi" w:hAnsiTheme="minorHAnsi" w:cstheme="minorHAnsi"/>
          <w:color w:val="auto"/>
        </w:rPr>
        <w:t>NOTE</w:t>
      </w:r>
      <w:r w:rsidR="00DB09F7" w:rsidRPr="00E033F1">
        <w:rPr>
          <w:rFonts w:asciiTheme="minorHAnsi" w:hAnsiTheme="minorHAnsi" w:cstheme="minorHAnsi"/>
          <w:color w:val="auto"/>
        </w:rPr>
        <w:t xml:space="preserve">: </w:t>
      </w:r>
      <w:r w:rsidR="002D2B5E" w:rsidRPr="00E033F1">
        <w:rPr>
          <w:rFonts w:asciiTheme="minorHAnsi" w:hAnsiTheme="minorHAnsi" w:cstheme="minorHAnsi"/>
          <w:color w:val="auto"/>
        </w:rPr>
        <w:t>P</w:t>
      </w:r>
      <w:r w:rsidR="00DB09F7" w:rsidRPr="00E033F1">
        <w:rPr>
          <w:rFonts w:asciiTheme="minorHAnsi" w:hAnsiTheme="minorHAnsi" w:cstheme="minorHAnsi"/>
          <w:color w:val="auto"/>
        </w:rPr>
        <w:t>repare three different dilution</w:t>
      </w:r>
      <w:r w:rsidR="002D2B5E" w:rsidRPr="00E033F1">
        <w:rPr>
          <w:rFonts w:asciiTheme="minorHAnsi" w:hAnsiTheme="minorHAnsi" w:cstheme="minorHAnsi"/>
          <w:color w:val="auto"/>
        </w:rPr>
        <w:t>s,</w:t>
      </w:r>
      <w:r w:rsidR="00DB09F7" w:rsidRPr="00E033F1">
        <w:rPr>
          <w:rFonts w:asciiTheme="minorHAnsi" w:hAnsiTheme="minorHAnsi" w:cstheme="minorHAnsi"/>
          <w:color w:val="auto"/>
        </w:rPr>
        <w:t xml:space="preserve"> preferably the lowest, middle</w:t>
      </w:r>
      <w:r w:rsidR="002D2B5E" w:rsidRPr="00E033F1">
        <w:rPr>
          <w:rFonts w:asciiTheme="minorHAnsi" w:hAnsiTheme="minorHAnsi" w:cstheme="minorHAnsi"/>
          <w:color w:val="auto"/>
        </w:rPr>
        <w:t>,</w:t>
      </w:r>
      <w:r w:rsidR="00DB09F7" w:rsidRPr="00E033F1">
        <w:rPr>
          <w:rFonts w:asciiTheme="minorHAnsi" w:hAnsiTheme="minorHAnsi" w:cstheme="minorHAnsi"/>
          <w:color w:val="auto"/>
        </w:rPr>
        <w:t xml:space="preserve"> and highest concentration</w:t>
      </w:r>
      <w:r w:rsidR="007728F1" w:rsidRPr="00E033F1">
        <w:rPr>
          <w:rFonts w:asciiTheme="minorHAnsi" w:hAnsiTheme="minorHAnsi" w:cstheme="minorHAnsi"/>
          <w:color w:val="auto"/>
        </w:rPr>
        <w:t>s</w:t>
      </w:r>
      <w:r w:rsidR="00DB09F7" w:rsidRPr="00E033F1">
        <w:rPr>
          <w:rFonts w:asciiTheme="minorHAnsi" w:hAnsiTheme="minorHAnsi" w:cstheme="minorHAnsi"/>
          <w:color w:val="auto"/>
        </w:rPr>
        <w:t xml:space="preserve"> tested </w:t>
      </w:r>
      <w:r w:rsidR="00F97205" w:rsidRPr="00E033F1">
        <w:rPr>
          <w:rFonts w:asciiTheme="minorHAnsi" w:hAnsiTheme="minorHAnsi" w:cstheme="minorHAnsi"/>
          <w:color w:val="auto"/>
        </w:rPr>
        <w:t>during</w:t>
      </w:r>
      <w:r w:rsidR="00DB09F7" w:rsidRPr="00E033F1">
        <w:rPr>
          <w:rFonts w:asciiTheme="minorHAnsi" w:hAnsiTheme="minorHAnsi" w:cstheme="minorHAnsi"/>
          <w:color w:val="auto"/>
        </w:rPr>
        <w:t xml:space="preserve"> the inhibition assay.</w:t>
      </w:r>
      <w:r w:rsidR="005A67B0" w:rsidRPr="00E033F1">
        <w:rPr>
          <w:rFonts w:asciiTheme="minorHAnsi" w:hAnsiTheme="minorHAnsi" w:cstheme="minorHAnsi"/>
          <w:color w:val="auto"/>
        </w:rPr>
        <w:t xml:space="preserve"> </w:t>
      </w:r>
      <w:r w:rsidR="00AA74E7" w:rsidRPr="00E033F1">
        <w:rPr>
          <w:rFonts w:asciiTheme="minorHAnsi" w:hAnsiTheme="minorHAnsi" w:cstheme="minorHAnsi"/>
          <w:color w:val="auto"/>
        </w:rPr>
        <w:t xml:space="preserve">The maximum DMSO concentration in the well </w:t>
      </w:r>
      <w:r w:rsidR="002D2B5E" w:rsidRPr="00E033F1">
        <w:rPr>
          <w:rFonts w:asciiTheme="minorHAnsi" w:hAnsiTheme="minorHAnsi" w:cstheme="minorHAnsi"/>
          <w:color w:val="auto"/>
        </w:rPr>
        <w:t>should</w:t>
      </w:r>
      <w:r w:rsidR="00AA74E7" w:rsidRPr="00E033F1">
        <w:rPr>
          <w:rFonts w:asciiTheme="minorHAnsi" w:hAnsiTheme="minorHAnsi" w:cstheme="minorHAnsi"/>
          <w:color w:val="auto"/>
        </w:rPr>
        <w:t xml:space="preserve"> be </w:t>
      </w:r>
      <w:r w:rsidR="007A20E0" w:rsidRPr="00E033F1">
        <w:rPr>
          <w:rFonts w:asciiTheme="minorHAnsi" w:hAnsiTheme="minorHAnsi" w:cstheme="minorHAnsi"/>
          <w:color w:val="auto"/>
        </w:rPr>
        <w:t>equal</w:t>
      </w:r>
      <w:r w:rsidR="00B43462" w:rsidRPr="00E033F1">
        <w:rPr>
          <w:rFonts w:asciiTheme="minorHAnsi" w:hAnsiTheme="minorHAnsi" w:cstheme="minorHAnsi"/>
          <w:color w:val="auto"/>
        </w:rPr>
        <w:t xml:space="preserve"> to</w:t>
      </w:r>
      <w:r w:rsidR="007A20E0" w:rsidRPr="00E033F1">
        <w:rPr>
          <w:rFonts w:asciiTheme="minorHAnsi" w:hAnsiTheme="minorHAnsi" w:cstheme="minorHAnsi"/>
          <w:color w:val="auto"/>
        </w:rPr>
        <w:t xml:space="preserve"> or less than </w:t>
      </w:r>
      <w:r w:rsidR="00AA74E7" w:rsidRPr="00E033F1">
        <w:rPr>
          <w:rFonts w:asciiTheme="minorHAnsi" w:hAnsiTheme="minorHAnsi" w:cstheme="minorHAnsi"/>
          <w:color w:val="auto"/>
        </w:rPr>
        <w:t xml:space="preserve">1% (v/v). </w:t>
      </w:r>
      <w:r w:rsidR="00495BBC" w:rsidRPr="00E033F1">
        <w:rPr>
          <w:rFonts w:asciiTheme="minorHAnsi" w:hAnsiTheme="minorHAnsi" w:cstheme="minorHAnsi"/>
          <w:color w:val="auto"/>
        </w:rPr>
        <w:t>We tested the DMSO concentration</w:t>
      </w:r>
      <w:r w:rsidR="002D2B5E" w:rsidRPr="00E033F1">
        <w:rPr>
          <w:rFonts w:asciiTheme="minorHAnsi" w:hAnsiTheme="minorHAnsi" w:cstheme="minorHAnsi"/>
          <w:color w:val="auto"/>
        </w:rPr>
        <w:t>’s effect</w:t>
      </w:r>
      <w:r w:rsidR="00495BBC" w:rsidRPr="00E033F1">
        <w:rPr>
          <w:rFonts w:asciiTheme="minorHAnsi" w:hAnsiTheme="minorHAnsi" w:cstheme="minorHAnsi"/>
          <w:color w:val="auto"/>
        </w:rPr>
        <w:t xml:space="preserve"> on the assay </w:t>
      </w:r>
      <w:r w:rsidR="002D2B5E" w:rsidRPr="00E033F1">
        <w:rPr>
          <w:rFonts w:asciiTheme="minorHAnsi" w:hAnsiTheme="minorHAnsi" w:cstheme="minorHAnsi"/>
          <w:color w:val="auto"/>
        </w:rPr>
        <w:t xml:space="preserve">in our laboratory, </w:t>
      </w:r>
      <w:r w:rsidR="00495BBC" w:rsidRPr="00E033F1">
        <w:rPr>
          <w:rFonts w:asciiTheme="minorHAnsi" w:hAnsiTheme="minorHAnsi" w:cstheme="minorHAnsi"/>
          <w:color w:val="auto"/>
        </w:rPr>
        <w:t xml:space="preserve">and 1% </w:t>
      </w:r>
      <w:r w:rsidR="002D2B5E" w:rsidRPr="00E033F1">
        <w:rPr>
          <w:rFonts w:asciiTheme="minorHAnsi" w:hAnsiTheme="minorHAnsi" w:cstheme="minorHAnsi"/>
          <w:color w:val="auto"/>
        </w:rPr>
        <w:t>did</w:t>
      </w:r>
      <w:r w:rsidR="00495BBC" w:rsidRPr="00E033F1">
        <w:rPr>
          <w:rFonts w:asciiTheme="minorHAnsi" w:hAnsiTheme="minorHAnsi" w:cstheme="minorHAnsi"/>
          <w:color w:val="auto"/>
        </w:rPr>
        <w:t xml:space="preserve"> not significantly change GST activity.</w:t>
      </w:r>
      <w:r w:rsidR="007A20E0" w:rsidRPr="00E033F1">
        <w:rPr>
          <w:rFonts w:asciiTheme="minorHAnsi" w:hAnsiTheme="minorHAnsi" w:cstheme="minorHAnsi"/>
          <w:color w:val="auto"/>
        </w:rPr>
        <w:t xml:space="preserve"> </w:t>
      </w:r>
    </w:p>
    <w:p w14:paraId="4870D686" w14:textId="77777777" w:rsidR="00765E69" w:rsidRPr="00E033F1" w:rsidRDefault="00765E69" w:rsidP="00E033F1">
      <w:pPr>
        <w:pStyle w:val="ListParagraph"/>
        <w:ind w:left="0"/>
        <w:rPr>
          <w:rFonts w:asciiTheme="minorHAnsi" w:hAnsiTheme="minorHAnsi" w:cstheme="minorHAnsi"/>
          <w:b/>
          <w:color w:val="auto"/>
        </w:rPr>
      </w:pPr>
    </w:p>
    <w:p w14:paraId="78A7324B" w14:textId="6D610A6F" w:rsidR="00765E69" w:rsidRPr="00E033F1" w:rsidRDefault="005A67B0" w:rsidP="00E033F1">
      <w:pPr>
        <w:pStyle w:val="ListParagraph"/>
        <w:numPr>
          <w:ilvl w:val="1"/>
          <w:numId w:val="31"/>
        </w:numPr>
        <w:ind w:left="0" w:firstLine="0"/>
        <w:rPr>
          <w:rFonts w:asciiTheme="minorHAnsi" w:hAnsiTheme="minorHAnsi" w:cstheme="minorHAnsi"/>
          <w:b/>
          <w:color w:val="auto"/>
        </w:rPr>
      </w:pPr>
      <w:r w:rsidRPr="00E033F1">
        <w:rPr>
          <w:rFonts w:asciiTheme="minorHAnsi" w:hAnsiTheme="minorHAnsi" w:cstheme="minorHAnsi"/>
          <w:color w:val="auto"/>
        </w:rPr>
        <w:t>In a 96</w:t>
      </w:r>
      <w:r w:rsidR="002D2B5E" w:rsidRPr="00E033F1">
        <w:rPr>
          <w:rFonts w:asciiTheme="minorHAnsi" w:hAnsiTheme="minorHAnsi" w:cstheme="minorHAnsi"/>
          <w:color w:val="auto"/>
        </w:rPr>
        <w:t>-</w:t>
      </w:r>
      <w:r w:rsidRPr="00E033F1">
        <w:rPr>
          <w:rFonts w:asciiTheme="minorHAnsi" w:hAnsiTheme="minorHAnsi" w:cstheme="minorHAnsi"/>
          <w:color w:val="auto"/>
        </w:rPr>
        <w:t xml:space="preserve">well plate, </w:t>
      </w:r>
      <w:r w:rsidR="002D2B5E" w:rsidRPr="00E033F1">
        <w:rPr>
          <w:rFonts w:asciiTheme="minorHAnsi" w:hAnsiTheme="minorHAnsi" w:cstheme="minorHAnsi"/>
          <w:color w:val="auto"/>
        </w:rPr>
        <w:t>add</w:t>
      </w:r>
      <w:r w:rsidRPr="00E033F1">
        <w:rPr>
          <w:rFonts w:asciiTheme="minorHAnsi" w:hAnsiTheme="minorHAnsi" w:cstheme="minorHAnsi"/>
          <w:color w:val="auto"/>
        </w:rPr>
        <w:t xml:space="preserve"> 2</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w:t>
      </w:r>
      <w:r w:rsidR="00B778AC" w:rsidRPr="00E033F1">
        <w:rPr>
          <w:rFonts w:asciiTheme="minorHAnsi" w:hAnsiTheme="minorHAnsi" w:cstheme="minorHAnsi"/>
          <w:color w:val="auto"/>
        </w:rPr>
        <w:t xml:space="preserve">the </w:t>
      </w:r>
      <w:r w:rsidR="002D2B5E" w:rsidRPr="00E033F1">
        <w:rPr>
          <w:rFonts w:asciiTheme="minorHAnsi" w:hAnsiTheme="minorHAnsi" w:cstheme="minorHAnsi"/>
          <w:color w:val="auto"/>
        </w:rPr>
        <w:t>potential</w:t>
      </w:r>
      <w:r w:rsidR="00B778AC" w:rsidRPr="00E033F1">
        <w:rPr>
          <w:rFonts w:asciiTheme="minorHAnsi" w:hAnsiTheme="minorHAnsi" w:cstheme="minorHAnsi"/>
          <w:color w:val="auto"/>
        </w:rPr>
        <w:t xml:space="preserve"> GST inhibitor,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B778AC" w:rsidRPr="00E033F1">
        <w:rPr>
          <w:rFonts w:asciiTheme="minorHAnsi" w:hAnsiTheme="minorHAnsi" w:cstheme="minorHAnsi"/>
          <w:color w:val="auto"/>
        </w:rPr>
        <w:t xml:space="preserve"> of GSH 25</w:t>
      </w:r>
      <w:r w:rsidR="004B5E1E" w:rsidRPr="00E033F1">
        <w:rPr>
          <w:rFonts w:asciiTheme="minorHAnsi" w:hAnsiTheme="minorHAnsi" w:cstheme="minorHAnsi"/>
          <w:color w:val="auto"/>
        </w:rPr>
        <w:t> </w:t>
      </w:r>
      <w:r w:rsidR="00B778AC" w:rsidRPr="00E033F1">
        <w:rPr>
          <w:rFonts w:asciiTheme="minorHAnsi" w:hAnsiTheme="minorHAnsi" w:cstheme="minorHAnsi"/>
          <w:color w:val="auto"/>
        </w:rPr>
        <w:t>mM</w:t>
      </w:r>
      <w:r w:rsidR="002D2B5E" w:rsidRPr="00E033F1">
        <w:rPr>
          <w:rFonts w:asciiTheme="minorHAnsi" w:hAnsiTheme="minorHAnsi" w:cstheme="minorHAnsi"/>
          <w:color w:val="auto"/>
        </w:rPr>
        <w:t>,</w:t>
      </w:r>
      <w:r w:rsidR="00B778AC" w:rsidRPr="00E033F1">
        <w:rPr>
          <w:rFonts w:asciiTheme="minorHAnsi" w:hAnsiTheme="minorHAnsi" w:cstheme="minorHAnsi"/>
          <w:color w:val="auto"/>
        </w:rPr>
        <w:t xml:space="preserve"> and 168</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AF1952" w:rsidRPr="00E033F1">
        <w:rPr>
          <w:rFonts w:asciiTheme="minorHAnsi" w:hAnsiTheme="minorHAnsi" w:cstheme="minorHAnsi"/>
          <w:color w:val="auto"/>
        </w:rPr>
        <w:t xml:space="preserve"> of DPBS</w:t>
      </w:r>
      <w:r w:rsidRPr="00E033F1">
        <w:rPr>
          <w:rFonts w:asciiTheme="minorHAnsi" w:hAnsiTheme="minorHAnsi" w:cstheme="minorHAnsi"/>
          <w:color w:val="auto"/>
        </w:rPr>
        <w:t>.</w:t>
      </w:r>
      <w:r w:rsidR="00DB09F7" w:rsidRPr="00E033F1">
        <w:rPr>
          <w:rFonts w:asciiTheme="minorHAnsi" w:hAnsiTheme="minorHAnsi" w:cstheme="minorHAnsi"/>
          <w:color w:val="auto"/>
        </w:rPr>
        <w:t xml:space="preserve"> </w:t>
      </w:r>
      <w:r w:rsidR="00C54573" w:rsidRPr="00E033F1">
        <w:rPr>
          <w:rFonts w:asciiTheme="minorHAnsi" w:hAnsiTheme="minorHAnsi" w:cstheme="minorHAnsi"/>
          <w:color w:val="auto"/>
        </w:rPr>
        <w:t xml:space="preserve">Use </w:t>
      </w:r>
      <w:r w:rsidR="002D2B5E" w:rsidRPr="00E033F1">
        <w:rPr>
          <w:rFonts w:asciiTheme="minorHAnsi" w:hAnsiTheme="minorHAnsi" w:cstheme="minorHAnsi"/>
          <w:color w:val="auto"/>
        </w:rPr>
        <w:t xml:space="preserve">an </w:t>
      </w:r>
      <w:r w:rsidR="00C54573" w:rsidRPr="00E033F1">
        <w:rPr>
          <w:rFonts w:asciiTheme="minorHAnsi" w:hAnsiTheme="minorHAnsi" w:cstheme="minorHAnsi"/>
          <w:color w:val="auto"/>
        </w:rPr>
        <w:t>appropriate control</w:t>
      </w:r>
      <w:r w:rsidR="002D2B5E" w:rsidRPr="00E033F1">
        <w:rPr>
          <w:rFonts w:asciiTheme="minorHAnsi" w:hAnsiTheme="minorHAnsi" w:cstheme="minorHAnsi"/>
          <w:color w:val="auto"/>
        </w:rPr>
        <w:t>,</w:t>
      </w:r>
      <w:r w:rsidR="00C54573" w:rsidRPr="00E033F1">
        <w:rPr>
          <w:rFonts w:asciiTheme="minorHAnsi" w:hAnsiTheme="minorHAnsi" w:cstheme="minorHAnsi"/>
          <w:color w:val="auto"/>
        </w:rPr>
        <w:t xml:space="preserve"> with no inhibitor</w:t>
      </w:r>
      <w:r w:rsidR="002D2B5E" w:rsidRPr="00E033F1">
        <w:rPr>
          <w:rFonts w:asciiTheme="minorHAnsi" w:hAnsiTheme="minorHAnsi" w:cstheme="minorHAnsi"/>
          <w:color w:val="auto"/>
        </w:rPr>
        <w:t>,</w:t>
      </w:r>
      <w:r w:rsidR="00C54573" w:rsidRPr="00E033F1">
        <w:rPr>
          <w:rFonts w:asciiTheme="minorHAnsi" w:hAnsiTheme="minorHAnsi" w:cstheme="minorHAnsi"/>
          <w:color w:val="auto"/>
        </w:rPr>
        <w:t xml:space="preserve"> by adding equal volumes of the solvent used for the inhibitor samples. </w:t>
      </w:r>
    </w:p>
    <w:p w14:paraId="16D2F241" w14:textId="77777777" w:rsidR="005A67B0" w:rsidRPr="00E033F1" w:rsidRDefault="005A67B0" w:rsidP="00E033F1">
      <w:pPr>
        <w:pStyle w:val="ListParagraph"/>
        <w:ind w:left="0"/>
        <w:rPr>
          <w:rFonts w:asciiTheme="minorHAnsi" w:hAnsiTheme="minorHAnsi" w:cstheme="minorHAnsi"/>
          <w:b/>
          <w:color w:val="auto"/>
        </w:rPr>
      </w:pPr>
    </w:p>
    <w:p w14:paraId="5BD1B328" w14:textId="7FD1C18B" w:rsidR="005A67B0" w:rsidRPr="00E033F1" w:rsidRDefault="005A67B0" w:rsidP="00E033F1">
      <w:pPr>
        <w:pStyle w:val="ListParagraph"/>
        <w:numPr>
          <w:ilvl w:val="1"/>
          <w:numId w:val="31"/>
        </w:numPr>
        <w:ind w:left="0" w:firstLine="0"/>
        <w:rPr>
          <w:rFonts w:asciiTheme="minorHAnsi" w:hAnsiTheme="minorHAnsi" w:cstheme="minorHAnsi"/>
          <w:b/>
          <w:color w:val="auto"/>
        </w:rPr>
      </w:pPr>
      <w:r w:rsidRPr="00E033F1">
        <w:rPr>
          <w:rFonts w:asciiTheme="minorHAnsi" w:hAnsiTheme="minorHAnsi" w:cstheme="minorHAnsi"/>
          <w:color w:val="auto"/>
        </w:rPr>
        <w:t xml:space="preserve">Incubate the reaction for </w:t>
      </w:r>
      <w:r w:rsidR="00E76AE2" w:rsidRPr="00E033F1">
        <w:rPr>
          <w:rFonts w:asciiTheme="minorHAnsi" w:hAnsiTheme="minorHAnsi" w:cstheme="minorHAnsi"/>
          <w:color w:val="auto"/>
        </w:rPr>
        <w:t>10</w:t>
      </w:r>
      <w:r w:rsidR="005341B2" w:rsidRPr="00E033F1">
        <w:rPr>
          <w:rFonts w:asciiTheme="minorHAnsi" w:hAnsiTheme="minorHAnsi" w:cstheme="minorHAnsi"/>
          <w:color w:val="auto"/>
        </w:rPr>
        <w:t xml:space="preserve"> minutes, to begin the enzymatic reaction</w:t>
      </w:r>
      <w:r w:rsidR="00294645" w:rsidRPr="00E033F1">
        <w:rPr>
          <w:rFonts w:asciiTheme="minorHAnsi" w:hAnsiTheme="minorHAnsi" w:cstheme="minorHAnsi"/>
          <w:color w:val="auto"/>
        </w:rPr>
        <w:t>.</w:t>
      </w:r>
      <w:r w:rsidR="00867C87" w:rsidRPr="00E033F1">
        <w:rPr>
          <w:rFonts w:asciiTheme="minorHAnsi" w:hAnsiTheme="minorHAnsi" w:cstheme="minorHAnsi"/>
          <w:color w:val="auto"/>
        </w:rPr>
        <w:t xml:space="preserve"> </w:t>
      </w:r>
    </w:p>
    <w:p w14:paraId="66FB15C6" w14:textId="77777777" w:rsidR="005341B2" w:rsidRPr="00E033F1" w:rsidRDefault="005341B2" w:rsidP="00E033F1">
      <w:pPr>
        <w:pStyle w:val="ListParagraph"/>
        <w:ind w:left="0"/>
        <w:rPr>
          <w:rFonts w:asciiTheme="minorHAnsi" w:hAnsiTheme="minorHAnsi" w:cstheme="minorHAnsi"/>
          <w:b/>
          <w:color w:val="auto"/>
        </w:rPr>
      </w:pPr>
    </w:p>
    <w:p w14:paraId="29B5B8A9" w14:textId="6E212729" w:rsidR="005341B2" w:rsidRPr="00E033F1" w:rsidRDefault="005341B2"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 xml:space="preserve">NOTE: This </w:t>
      </w:r>
      <w:r w:rsidR="00B43462" w:rsidRPr="00E033F1">
        <w:rPr>
          <w:rFonts w:asciiTheme="minorHAnsi" w:hAnsiTheme="minorHAnsi" w:cstheme="minorHAnsi"/>
          <w:color w:val="auto"/>
        </w:rPr>
        <w:t>step</w:t>
      </w:r>
      <w:r w:rsidRPr="00E033F1">
        <w:rPr>
          <w:rFonts w:asciiTheme="minorHAnsi" w:hAnsiTheme="minorHAnsi" w:cstheme="minorHAnsi"/>
          <w:color w:val="auto"/>
        </w:rPr>
        <w:t xml:space="preserve"> can be optimized, by testing different incubation time</w:t>
      </w:r>
      <w:r w:rsidR="002D2B5E" w:rsidRPr="00E033F1">
        <w:rPr>
          <w:rFonts w:asciiTheme="minorHAnsi" w:hAnsiTheme="minorHAnsi" w:cstheme="minorHAnsi"/>
          <w:color w:val="auto"/>
        </w:rPr>
        <w:t>s, with t</w:t>
      </w:r>
      <w:r w:rsidRPr="00E033F1">
        <w:rPr>
          <w:rFonts w:asciiTheme="minorHAnsi" w:hAnsiTheme="minorHAnsi" w:cstheme="minorHAnsi"/>
          <w:color w:val="auto"/>
        </w:rPr>
        <w:t xml:space="preserve">he </w:t>
      </w:r>
      <w:r w:rsidR="00B43462" w:rsidRPr="00E033F1">
        <w:rPr>
          <w:rFonts w:asciiTheme="minorHAnsi" w:hAnsiTheme="minorHAnsi" w:cstheme="minorHAnsi"/>
          <w:color w:val="auto"/>
        </w:rPr>
        <w:t xml:space="preserve">twin </w:t>
      </w:r>
      <w:r w:rsidRPr="00E033F1">
        <w:rPr>
          <w:rFonts w:asciiTheme="minorHAnsi" w:hAnsiTheme="minorHAnsi" w:cstheme="minorHAnsi"/>
          <w:color w:val="auto"/>
        </w:rPr>
        <w:t>aim</w:t>
      </w:r>
      <w:r w:rsidR="002D2B5E" w:rsidRPr="00E033F1">
        <w:rPr>
          <w:rFonts w:asciiTheme="minorHAnsi" w:hAnsiTheme="minorHAnsi" w:cstheme="minorHAnsi"/>
          <w:color w:val="auto"/>
        </w:rPr>
        <w:t>s of</w:t>
      </w:r>
      <w:r w:rsidRPr="00E033F1">
        <w:rPr>
          <w:rFonts w:asciiTheme="minorHAnsi" w:hAnsiTheme="minorHAnsi" w:cstheme="minorHAnsi"/>
          <w:color w:val="auto"/>
        </w:rPr>
        <w:t xml:space="preserve"> begin</w:t>
      </w:r>
      <w:r w:rsidR="002D2B5E" w:rsidRPr="00E033F1">
        <w:rPr>
          <w:rFonts w:asciiTheme="minorHAnsi" w:hAnsiTheme="minorHAnsi" w:cstheme="minorHAnsi"/>
          <w:color w:val="auto"/>
        </w:rPr>
        <w:t>ning</w:t>
      </w:r>
      <w:r w:rsidRPr="00E033F1">
        <w:rPr>
          <w:rFonts w:asciiTheme="minorHAnsi" w:hAnsiTheme="minorHAnsi" w:cstheme="minorHAnsi"/>
          <w:color w:val="auto"/>
        </w:rPr>
        <w:t xml:space="preserve"> the reaction </w:t>
      </w:r>
      <w:r w:rsidR="002D2B5E" w:rsidRPr="00E033F1">
        <w:rPr>
          <w:rFonts w:asciiTheme="minorHAnsi" w:hAnsiTheme="minorHAnsi" w:cstheme="minorHAnsi"/>
          <w:color w:val="auto"/>
        </w:rPr>
        <w:t>whil</w:t>
      </w:r>
      <w:r w:rsidR="00B43462" w:rsidRPr="00E033F1">
        <w:rPr>
          <w:rFonts w:asciiTheme="minorHAnsi" w:hAnsiTheme="minorHAnsi" w:cstheme="minorHAnsi"/>
          <w:color w:val="auto"/>
        </w:rPr>
        <w:t>e</w:t>
      </w:r>
      <w:r w:rsidRPr="00E033F1">
        <w:rPr>
          <w:rFonts w:asciiTheme="minorHAnsi" w:hAnsiTheme="minorHAnsi" w:cstheme="minorHAnsi"/>
          <w:color w:val="auto"/>
        </w:rPr>
        <w:t xml:space="preserve"> avoid</w:t>
      </w:r>
      <w:r w:rsidR="002D2B5E" w:rsidRPr="00E033F1">
        <w:rPr>
          <w:rFonts w:asciiTheme="minorHAnsi" w:hAnsiTheme="minorHAnsi" w:cstheme="minorHAnsi"/>
          <w:color w:val="auto"/>
        </w:rPr>
        <w:t>ing</w:t>
      </w:r>
      <w:r w:rsidRPr="00E033F1">
        <w:rPr>
          <w:rFonts w:asciiTheme="minorHAnsi" w:hAnsiTheme="minorHAnsi" w:cstheme="minorHAnsi"/>
          <w:color w:val="auto"/>
        </w:rPr>
        <w:t xml:space="preserve"> total depletion of the substrate. </w:t>
      </w:r>
    </w:p>
    <w:p w14:paraId="580BA4C5" w14:textId="77777777" w:rsidR="005A67B0" w:rsidRPr="00E033F1" w:rsidRDefault="005A67B0" w:rsidP="00E033F1">
      <w:pPr>
        <w:pStyle w:val="ListParagraph"/>
        <w:ind w:left="0"/>
        <w:rPr>
          <w:rFonts w:asciiTheme="minorHAnsi" w:hAnsiTheme="minorHAnsi" w:cstheme="minorHAnsi"/>
          <w:b/>
          <w:color w:val="auto"/>
        </w:rPr>
      </w:pPr>
    </w:p>
    <w:p w14:paraId="056CFD57" w14:textId="55E2C808" w:rsidR="00495BBC" w:rsidRPr="00E033F1" w:rsidRDefault="005A67B0"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Add 10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B778AC" w:rsidRPr="00E033F1">
        <w:rPr>
          <w:rFonts w:asciiTheme="minorHAnsi" w:hAnsiTheme="minorHAnsi" w:cstheme="minorHAnsi"/>
          <w:color w:val="auto"/>
        </w:rPr>
        <w:t xml:space="preserve"> </w:t>
      </w:r>
      <w:r w:rsidRPr="00E033F1">
        <w:rPr>
          <w:rFonts w:asciiTheme="minorHAnsi" w:hAnsiTheme="minorHAnsi" w:cstheme="minorHAnsi"/>
          <w:color w:val="auto"/>
        </w:rPr>
        <w:t xml:space="preserve">of CDNB </w:t>
      </w:r>
      <w:r w:rsidR="002D2B5E" w:rsidRPr="00E033F1">
        <w:rPr>
          <w:rFonts w:asciiTheme="minorHAnsi" w:hAnsiTheme="minorHAnsi" w:cstheme="minorHAnsi"/>
          <w:color w:val="auto"/>
        </w:rPr>
        <w:t>to</w:t>
      </w:r>
      <w:r w:rsidR="00294645" w:rsidRPr="00E033F1">
        <w:rPr>
          <w:rFonts w:asciiTheme="minorHAnsi" w:hAnsiTheme="minorHAnsi" w:cstheme="minorHAnsi"/>
          <w:color w:val="auto"/>
        </w:rPr>
        <w:t xml:space="preserve"> </w:t>
      </w:r>
      <w:r w:rsidR="004251D4" w:rsidRPr="00E033F1">
        <w:rPr>
          <w:rFonts w:asciiTheme="minorHAnsi" w:hAnsiTheme="minorHAnsi" w:cstheme="minorHAnsi"/>
          <w:color w:val="auto"/>
        </w:rPr>
        <w:t>each well</w:t>
      </w:r>
      <w:r w:rsidR="00294645" w:rsidRPr="00E033F1">
        <w:rPr>
          <w:rFonts w:asciiTheme="minorHAnsi" w:hAnsiTheme="minorHAnsi" w:cstheme="minorHAnsi"/>
          <w:color w:val="auto"/>
        </w:rPr>
        <w:t xml:space="preserve"> to </w:t>
      </w:r>
      <w:r w:rsidR="002D2B5E" w:rsidRPr="00E033F1">
        <w:rPr>
          <w:rFonts w:asciiTheme="minorHAnsi" w:hAnsiTheme="minorHAnsi" w:cstheme="minorHAnsi"/>
          <w:color w:val="auto"/>
        </w:rPr>
        <w:t>achieve</w:t>
      </w:r>
      <w:r w:rsidR="00294645" w:rsidRPr="00E033F1">
        <w:rPr>
          <w:rFonts w:asciiTheme="minorHAnsi" w:hAnsiTheme="minorHAnsi" w:cstheme="minorHAnsi"/>
          <w:color w:val="auto"/>
        </w:rPr>
        <w:t xml:space="preserve"> a final concentration at the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294645" w:rsidRPr="00E033F1">
        <w:rPr>
          <w:rFonts w:asciiTheme="minorHAnsi" w:hAnsiTheme="minorHAnsi" w:cstheme="minorHAnsi"/>
          <w:color w:val="auto"/>
        </w:rPr>
        <w:t xml:space="preserve"> found </w:t>
      </w:r>
      <w:r w:rsidR="002D2B5E" w:rsidRPr="00E033F1">
        <w:rPr>
          <w:rFonts w:asciiTheme="minorHAnsi" w:hAnsiTheme="minorHAnsi" w:cstheme="minorHAnsi"/>
          <w:color w:val="auto"/>
        </w:rPr>
        <w:t>in</w:t>
      </w:r>
      <w:r w:rsidR="00294645" w:rsidRPr="00E033F1">
        <w:rPr>
          <w:rFonts w:asciiTheme="minorHAnsi" w:hAnsiTheme="minorHAnsi" w:cstheme="minorHAnsi"/>
          <w:color w:val="auto"/>
        </w:rPr>
        <w:t xml:space="preserve"> step </w:t>
      </w:r>
      <w:r w:rsidR="00A35E23" w:rsidRPr="00E033F1">
        <w:rPr>
          <w:rFonts w:asciiTheme="minorHAnsi" w:hAnsiTheme="minorHAnsi" w:cstheme="minorHAnsi"/>
          <w:color w:val="auto"/>
        </w:rPr>
        <w:t>2.</w:t>
      </w:r>
    </w:p>
    <w:p w14:paraId="118D9B3F" w14:textId="77777777" w:rsidR="00A35E23" w:rsidRPr="00E033F1" w:rsidRDefault="00A35E23" w:rsidP="00E033F1">
      <w:pPr>
        <w:pStyle w:val="ListParagraph"/>
        <w:ind w:left="0"/>
        <w:rPr>
          <w:rFonts w:asciiTheme="minorHAnsi" w:hAnsiTheme="minorHAnsi" w:cstheme="minorHAnsi"/>
          <w:color w:val="auto"/>
        </w:rPr>
      </w:pPr>
    </w:p>
    <w:p w14:paraId="45E37D56" w14:textId="5F9BB998" w:rsidR="00A35E23" w:rsidRPr="00E033F1" w:rsidRDefault="00A35E23"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Shake the plate for few seconds.</w:t>
      </w:r>
    </w:p>
    <w:p w14:paraId="1C70CB65" w14:textId="77777777" w:rsidR="006D5FE1" w:rsidRPr="00E033F1" w:rsidRDefault="006D5FE1" w:rsidP="00E033F1">
      <w:pPr>
        <w:contextualSpacing/>
        <w:rPr>
          <w:rFonts w:asciiTheme="minorHAnsi" w:hAnsiTheme="minorHAnsi" w:cstheme="minorHAnsi"/>
          <w:color w:val="auto"/>
        </w:rPr>
      </w:pPr>
    </w:p>
    <w:p w14:paraId="20B843BE" w14:textId="3A322D31" w:rsidR="005A67B0" w:rsidRPr="00E033F1" w:rsidRDefault="00294645"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Record</w:t>
      </w:r>
      <w:r w:rsidR="005A67B0" w:rsidRPr="00E033F1">
        <w:rPr>
          <w:rFonts w:asciiTheme="minorHAnsi" w:hAnsiTheme="minorHAnsi" w:cstheme="minorHAnsi"/>
          <w:color w:val="auto"/>
        </w:rPr>
        <w:t xml:space="preserve"> the absorbance at 340</w:t>
      </w:r>
      <w:r w:rsidR="004B5E1E" w:rsidRPr="00E033F1">
        <w:rPr>
          <w:rFonts w:asciiTheme="minorHAnsi" w:hAnsiTheme="minorHAnsi" w:cstheme="minorHAnsi"/>
          <w:color w:val="auto"/>
        </w:rPr>
        <w:t> </w:t>
      </w:r>
      <w:r w:rsidR="005A67B0" w:rsidRPr="00E033F1">
        <w:rPr>
          <w:rFonts w:asciiTheme="minorHAnsi" w:hAnsiTheme="minorHAnsi" w:cstheme="minorHAnsi"/>
          <w:color w:val="auto"/>
        </w:rPr>
        <w:t xml:space="preserve">nm every minute </w:t>
      </w:r>
      <w:r w:rsidR="00A210F2" w:rsidRPr="00E033F1">
        <w:rPr>
          <w:rFonts w:asciiTheme="minorHAnsi" w:hAnsiTheme="minorHAnsi" w:cstheme="minorHAnsi"/>
          <w:color w:val="auto"/>
        </w:rPr>
        <w:t>for</w:t>
      </w:r>
      <w:r w:rsidR="005A67B0" w:rsidRPr="00E033F1">
        <w:rPr>
          <w:rFonts w:asciiTheme="minorHAnsi" w:hAnsiTheme="minorHAnsi" w:cstheme="minorHAnsi"/>
          <w:color w:val="auto"/>
        </w:rPr>
        <w:t xml:space="preserve"> 10 minutes</w:t>
      </w:r>
      <w:r w:rsidR="00A259DF" w:rsidRPr="00E033F1">
        <w:rPr>
          <w:rFonts w:asciiTheme="minorHAnsi" w:hAnsiTheme="minorHAnsi" w:cstheme="minorHAnsi"/>
          <w:color w:val="auto"/>
        </w:rPr>
        <w:t xml:space="preserve"> with a microplate reader</w:t>
      </w:r>
      <w:r w:rsidR="005A67B0" w:rsidRPr="00E033F1">
        <w:rPr>
          <w:rFonts w:asciiTheme="minorHAnsi" w:hAnsiTheme="minorHAnsi" w:cstheme="minorHAnsi"/>
          <w:color w:val="auto"/>
        </w:rPr>
        <w:t xml:space="preserve">. </w:t>
      </w:r>
    </w:p>
    <w:bookmarkEnd w:id="9"/>
    <w:p w14:paraId="335FEC36" w14:textId="6002C0B4" w:rsidR="00765E69" w:rsidRPr="00E033F1" w:rsidRDefault="00765E69" w:rsidP="00E033F1">
      <w:pPr>
        <w:contextualSpacing/>
        <w:rPr>
          <w:rFonts w:asciiTheme="minorHAnsi" w:hAnsiTheme="minorHAnsi" w:cstheme="minorHAnsi"/>
          <w:b/>
          <w:color w:val="auto"/>
        </w:rPr>
      </w:pPr>
    </w:p>
    <w:p w14:paraId="3A07F0E6" w14:textId="7EB9272C" w:rsidR="005A67B0" w:rsidRPr="00E033F1" w:rsidRDefault="00DB09F7" w:rsidP="00E033F1">
      <w:pPr>
        <w:pStyle w:val="ListParagraph"/>
        <w:numPr>
          <w:ilvl w:val="1"/>
          <w:numId w:val="31"/>
        </w:numPr>
        <w:ind w:left="0" w:firstLine="0"/>
        <w:rPr>
          <w:rFonts w:asciiTheme="minorHAnsi" w:hAnsiTheme="minorHAnsi" w:cstheme="minorHAnsi"/>
          <w:b/>
          <w:color w:val="auto"/>
        </w:rPr>
      </w:pPr>
      <w:r w:rsidRPr="00E033F1">
        <w:rPr>
          <w:rFonts w:asciiTheme="minorHAnsi" w:hAnsiTheme="minorHAnsi" w:cstheme="minorHAnsi"/>
          <w:color w:val="auto"/>
        </w:rPr>
        <w:t xml:space="preserve">Calculate the change </w:t>
      </w:r>
      <w:r w:rsidR="002D2B5E" w:rsidRPr="00E033F1">
        <w:rPr>
          <w:rFonts w:asciiTheme="minorHAnsi" w:hAnsiTheme="minorHAnsi" w:cstheme="minorHAnsi"/>
          <w:color w:val="auto"/>
        </w:rPr>
        <w:t>in</w:t>
      </w:r>
      <w:r w:rsidRPr="00E033F1">
        <w:rPr>
          <w:rFonts w:asciiTheme="minorHAnsi" w:hAnsiTheme="minorHAnsi" w:cstheme="minorHAnsi"/>
          <w:color w:val="auto"/>
        </w:rPr>
        <w:t xml:space="preserve"> absorbance per minute. </w:t>
      </w:r>
    </w:p>
    <w:p w14:paraId="572567C7" w14:textId="05884C00" w:rsidR="00DB09F7" w:rsidRPr="00E033F1" w:rsidRDefault="00DB09F7" w:rsidP="00E033F1">
      <w:pPr>
        <w:contextualSpacing/>
        <w:rPr>
          <w:rFonts w:asciiTheme="minorHAnsi" w:hAnsiTheme="minorHAnsi" w:cstheme="minorHAnsi"/>
          <w:b/>
          <w:color w:val="auto"/>
        </w:rPr>
      </w:pPr>
    </w:p>
    <w:p w14:paraId="53B17180" w14:textId="7ADF9B74" w:rsidR="00765E69" w:rsidRPr="00E033F1" w:rsidRDefault="00DB09F7" w:rsidP="00E033F1">
      <w:pPr>
        <w:pStyle w:val="ListParagraph"/>
        <w:numPr>
          <w:ilvl w:val="1"/>
          <w:numId w:val="31"/>
        </w:numPr>
        <w:ind w:left="0" w:firstLine="0"/>
        <w:rPr>
          <w:rFonts w:asciiTheme="minorHAnsi" w:hAnsiTheme="minorHAnsi" w:cstheme="minorHAnsi"/>
          <w:b/>
          <w:color w:val="auto"/>
        </w:rPr>
      </w:pPr>
      <w:r w:rsidRPr="00E033F1">
        <w:rPr>
          <w:rFonts w:asciiTheme="minorHAnsi" w:hAnsiTheme="minorHAnsi" w:cstheme="minorHAnsi"/>
          <w:color w:val="auto"/>
        </w:rPr>
        <w:t>Verify</w:t>
      </w:r>
      <w:r w:rsidR="00765E69" w:rsidRPr="00E033F1">
        <w:rPr>
          <w:rFonts w:asciiTheme="minorHAnsi" w:hAnsiTheme="minorHAnsi" w:cstheme="minorHAnsi"/>
          <w:color w:val="auto"/>
        </w:rPr>
        <w:t xml:space="preserve"> the </w:t>
      </w:r>
      <w:r w:rsidR="00D1215A" w:rsidRPr="00E033F1">
        <w:rPr>
          <w:rFonts w:asciiTheme="minorHAnsi" w:hAnsiTheme="minorHAnsi" w:cstheme="minorHAnsi"/>
          <w:color w:val="auto"/>
        </w:rPr>
        <w:t xml:space="preserve">change in </w:t>
      </w:r>
      <w:r w:rsidR="005341B2" w:rsidRPr="00E033F1">
        <w:rPr>
          <w:rFonts w:asciiTheme="minorHAnsi" w:hAnsiTheme="minorHAnsi" w:cstheme="minorHAnsi"/>
          <w:color w:val="auto"/>
        </w:rPr>
        <w:t>absorbance compared to</w:t>
      </w:r>
      <w:r w:rsidR="00D1215A" w:rsidRPr="00E033F1">
        <w:rPr>
          <w:rFonts w:asciiTheme="minorHAnsi" w:hAnsiTheme="minorHAnsi" w:cstheme="minorHAnsi"/>
          <w:color w:val="auto"/>
        </w:rPr>
        <w:t xml:space="preserve"> both</w:t>
      </w:r>
      <w:r w:rsidR="005341B2" w:rsidRPr="00E033F1">
        <w:rPr>
          <w:rFonts w:asciiTheme="minorHAnsi" w:hAnsiTheme="minorHAnsi" w:cstheme="minorHAnsi"/>
          <w:color w:val="auto"/>
        </w:rPr>
        <w:t xml:space="preserve"> the blank reaction and the negative control reaction with no inhibitor.</w:t>
      </w:r>
      <w:r w:rsidRPr="00E033F1">
        <w:rPr>
          <w:rFonts w:asciiTheme="minorHAnsi" w:hAnsiTheme="minorHAnsi" w:cstheme="minorHAnsi"/>
          <w:color w:val="auto"/>
        </w:rPr>
        <w:t xml:space="preserve"> </w:t>
      </w:r>
    </w:p>
    <w:p w14:paraId="0E32144E" w14:textId="09EE0207" w:rsidR="00765E69" w:rsidRPr="00E033F1" w:rsidRDefault="00765E69" w:rsidP="00E033F1">
      <w:pPr>
        <w:contextualSpacing/>
        <w:rPr>
          <w:rFonts w:asciiTheme="minorHAnsi" w:hAnsiTheme="minorHAnsi" w:cstheme="minorHAnsi"/>
          <w:b/>
          <w:color w:val="auto"/>
        </w:rPr>
      </w:pPr>
    </w:p>
    <w:p w14:paraId="53BDFAD9" w14:textId="4D6A7A4C" w:rsidR="00765E69" w:rsidRPr="00E033F1" w:rsidRDefault="00765E69" w:rsidP="00E033F1">
      <w:pPr>
        <w:pStyle w:val="ListParagraph"/>
        <w:numPr>
          <w:ilvl w:val="2"/>
          <w:numId w:val="31"/>
        </w:numPr>
        <w:ind w:left="0" w:firstLine="0"/>
        <w:rPr>
          <w:rFonts w:asciiTheme="minorHAnsi" w:hAnsiTheme="minorHAnsi" w:cstheme="minorHAnsi"/>
          <w:b/>
          <w:color w:val="auto"/>
        </w:rPr>
      </w:pPr>
      <w:r w:rsidRPr="00E033F1">
        <w:rPr>
          <w:rFonts w:asciiTheme="minorHAnsi" w:hAnsiTheme="minorHAnsi" w:cstheme="minorHAnsi"/>
          <w:color w:val="auto"/>
        </w:rPr>
        <w:t xml:space="preserve"> If </w:t>
      </w:r>
      <w:r w:rsidR="00791D8F" w:rsidRPr="00E033F1">
        <w:rPr>
          <w:rFonts w:asciiTheme="minorHAnsi" w:hAnsiTheme="minorHAnsi" w:cstheme="minorHAnsi"/>
          <w:color w:val="auto"/>
        </w:rPr>
        <w:t xml:space="preserve">there is </w:t>
      </w:r>
      <w:r w:rsidR="00A35E23" w:rsidRPr="00E033F1">
        <w:rPr>
          <w:rFonts w:asciiTheme="minorHAnsi" w:hAnsiTheme="minorHAnsi" w:cstheme="minorHAnsi"/>
          <w:color w:val="auto"/>
        </w:rPr>
        <w:t>a significant</w:t>
      </w:r>
      <w:r w:rsidR="00791D8F" w:rsidRPr="00E033F1">
        <w:rPr>
          <w:rFonts w:asciiTheme="minorHAnsi" w:hAnsiTheme="minorHAnsi" w:cstheme="minorHAnsi"/>
          <w:color w:val="auto"/>
        </w:rPr>
        <w:t xml:space="preserve"> change</w:t>
      </w:r>
      <w:r w:rsidRPr="00E033F1">
        <w:rPr>
          <w:rFonts w:asciiTheme="minorHAnsi" w:hAnsiTheme="minorHAnsi" w:cstheme="minorHAnsi"/>
          <w:color w:val="auto"/>
        </w:rPr>
        <w:t xml:space="preserve">, </w:t>
      </w:r>
      <w:r w:rsidR="00E033F1">
        <w:rPr>
          <w:rFonts w:asciiTheme="minorHAnsi" w:hAnsiTheme="minorHAnsi" w:cstheme="minorHAnsi"/>
          <w:color w:val="auto"/>
        </w:rPr>
        <w:t>use</w:t>
      </w:r>
      <w:r w:rsidRPr="00E033F1">
        <w:rPr>
          <w:rFonts w:asciiTheme="minorHAnsi" w:hAnsiTheme="minorHAnsi" w:cstheme="minorHAnsi"/>
          <w:color w:val="auto"/>
        </w:rPr>
        <w:t xml:space="preserve"> blank</w:t>
      </w:r>
      <w:r w:rsidR="00D1215A" w:rsidRPr="00E033F1">
        <w:rPr>
          <w:rFonts w:asciiTheme="minorHAnsi" w:hAnsiTheme="minorHAnsi" w:cstheme="minorHAnsi"/>
          <w:color w:val="auto"/>
        </w:rPr>
        <w:t xml:space="preserve"> </w:t>
      </w:r>
      <w:r w:rsidRPr="00E033F1">
        <w:rPr>
          <w:rFonts w:asciiTheme="minorHAnsi" w:hAnsiTheme="minorHAnsi" w:cstheme="minorHAnsi"/>
          <w:color w:val="auto"/>
        </w:rPr>
        <w:t>for each inhibitor concentration</w:t>
      </w:r>
      <w:r w:rsidR="00D1215A" w:rsidRPr="00E033F1">
        <w:rPr>
          <w:rFonts w:asciiTheme="minorHAnsi" w:hAnsiTheme="minorHAnsi" w:cstheme="minorHAnsi"/>
          <w:color w:val="auto"/>
        </w:rPr>
        <w:t xml:space="preserve"> </w:t>
      </w:r>
      <w:proofErr w:type="gramStart"/>
      <w:r w:rsidR="00D1215A" w:rsidRPr="00E033F1">
        <w:rPr>
          <w:rFonts w:asciiTheme="minorHAnsi" w:hAnsiTheme="minorHAnsi" w:cstheme="minorHAnsi"/>
          <w:color w:val="auto"/>
        </w:rPr>
        <w:t>in order</w:t>
      </w:r>
      <w:r w:rsidRPr="00E033F1">
        <w:rPr>
          <w:rFonts w:asciiTheme="minorHAnsi" w:hAnsiTheme="minorHAnsi" w:cstheme="minorHAnsi"/>
          <w:color w:val="auto"/>
        </w:rPr>
        <w:t xml:space="preserve"> to</w:t>
      </w:r>
      <w:proofErr w:type="gramEnd"/>
      <w:r w:rsidRPr="00E033F1">
        <w:rPr>
          <w:rFonts w:asciiTheme="minorHAnsi" w:hAnsiTheme="minorHAnsi" w:cstheme="minorHAnsi"/>
          <w:color w:val="auto"/>
        </w:rPr>
        <w:t xml:space="preserve"> adjust the results. </w:t>
      </w:r>
    </w:p>
    <w:p w14:paraId="2669F9F3" w14:textId="4AA6B871" w:rsidR="004251D4" w:rsidRPr="00E033F1" w:rsidRDefault="004251D4" w:rsidP="00E033F1">
      <w:pPr>
        <w:pStyle w:val="ListParagraph"/>
        <w:ind w:left="0"/>
        <w:rPr>
          <w:rFonts w:asciiTheme="minorHAnsi" w:hAnsiTheme="minorHAnsi" w:cstheme="minorHAnsi"/>
          <w:color w:val="auto"/>
        </w:rPr>
      </w:pPr>
    </w:p>
    <w:p w14:paraId="78FEA6BB" w14:textId="48564D3F" w:rsidR="004251D4" w:rsidRPr="00E033F1" w:rsidRDefault="004251D4" w:rsidP="00E033F1">
      <w:pPr>
        <w:contextualSpacing/>
        <w:rPr>
          <w:rFonts w:asciiTheme="minorHAnsi" w:hAnsiTheme="minorHAnsi" w:cstheme="minorHAnsi"/>
          <w:b/>
          <w:color w:val="auto"/>
        </w:rPr>
      </w:pPr>
      <w:r w:rsidRPr="00E033F1">
        <w:rPr>
          <w:rFonts w:asciiTheme="minorHAnsi" w:hAnsiTheme="minorHAnsi" w:cstheme="minorHAnsi"/>
          <w:color w:val="auto"/>
        </w:rPr>
        <w:t xml:space="preserve">NOTE: </w:t>
      </w:r>
      <w:r w:rsidR="00D1215A" w:rsidRPr="00E033F1">
        <w:rPr>
          <w:rFonts w:asciiTheme="minorHAnsi" w:hAnsiTheme="minorHAnsi" w:cstheme="minorHAnsi"/>
          <w:color w:val="auto"/>
        </w:rPr>
        <w:t>T</w:t>
      </w:r>
      <w:r w:rsidRPr="00E033F1">
        <w:rPr>
          <w:rFonts w:asciiTheme="minorHAnsi" w:hAnsiTheme="minorHAnsi" w:cstheme="minorHAnsi"/>
          <w:color w:val="auto"/>
        </w:rPr>
        <w:t>his result indicate</w:t>
      </w:r>
      <w:r w:rsidR="00F97205" w:rsidRPr="00E033F1">
        <w:rPr>
          <w:rFonts w:asciiTheme="minorHAnsi" w:hAnsiTheme="minorHAnsi" w:cstheme="minorHAnsi"/>
          <w:color w:val="auto"/>
        </w:rPr>
        <w:t>s</w:t>
      </w:r>
      <w:r w:rsidRPr="00E033F1">
        <w:rPr>
          <w:rFonts w:asciiTheme="minorHAnsi" w:hAnsiTheme="minorHAnsi" w:cstheme="minorHAnsi"/>
          <w:color w:val="auto"/>
        </w:rPr>
        <w:t xml:space="preserve"> that the </w:t>
      </w:r>
      <w:r w:rsidR="00D1215A" w:rsidRPr="00E033F1">
        <w:rPr>
          <w:rFonts w:asciiTheme="minorHAnsi" w:hAnsiTheme="minorHAnsi" w:cstheme="minorHAnsi"/>
          <w:color w:val="auto"/>
        </w:rPr>
        <w:t xml:space="preserve">reaction’s </w:t>
      </w:r>
      <w:r w:rsidRPr="00E033F1">
        <w:rPr>
          <w:rFonts w:asciiTheme="minorHAnsi" w:hAnsiTheme="minorHAnsi" w:cstheme="minorHAnsi"/>
          <w:color w:val="auto"/>
        </w:rPr>
        <w:t>constituent</w:t>
      </w:r>
      <w:r w:rsidR="00D1215A" w:rsidRPr="00E033F1">
        <w:rPr>
          <w:rFonts w:asciiTheme="minorHAnsi" w:hAnsiTheme="minorHAnsi" w:cstheme="minorHAnsi"/>
          <w:color w:val="auto"/>
        </w:rPr>
        <w:t>s</w:t>
      </w:r>
      <w:r w:rsidRPr="00E033F1">
        <w:rPr>
          <w:rFonts w:asciiTheme="minorHAnsi" w:hAnsiTheme="minorHAnsi" w:cstheme="minorHAnsi"/>
          <w:color w:val="auto"/>
        </w:rPr>
        <w:t>, with no GST enzyme</w:t>
      </w:r>
      <w:r w:rsidR="00F97205" w:rsidRPr="00E033F1">
        <w:rPr>
          <w:rFonts w:asciiTheme="minorHAnsi" w:hAnsiTheme="minorHAnsi" w:cstheme="minorHAnsi"/>
          <w:color w:val="auto"/>
        </w:rPr>
        <w:t>,</w:t>
      </w:r>
      <w:r w:rsidRPr="00E033F1">
        <w:rPr>
          <w:rFonts w:asciiTheme="minorHAnsi" w:hAnsiTheme="minorHAnsi" w:cstheme="minorHAnsi"/>
          <w:color w:val="auto"/>
        </w:rPr>
        <w:t xml:space="preserve"> react spontaneously and produce a metabolite that increase</w:t>
      </w:r>
      <w:r w:rsidR="00D1215A" w:rsidRPr="00E033F1">
        <w:rPr>
          <w:rFonts w:asciiTheme="minorHAnsi" w:hAnsiTheme="minorHAnsi" w:cstheme="minorHAnsi"/>
          <w:color w:val="auto"/>
        </w:rPr>
        <w:t>s</w:t>
      </w:r>
      <w:r w:rsidRPr="00E033F1">
        <w:rPr>
          <w:rFonts w:asciiTheme="minorHAnsi" w:hAnsiTheme="minorHAnsi" w:cstheme="minorHAnsi"/>
          <w:color w:val="auto"/>
        </w:rPr>
        <w:t xml:space="preserve"> absorbance at 340</w:t>
      </w:r>
      <w:r w:rsidR="004B5E1E" w:rsidRPr="00E033F1">
        <w:rPr>
          <w:rFonts w:asciiTheme="minorHAnsi" w:hAnsiTheme="minorHAnsi" w:cstheme="minorHAnsi"/>
          <w:color w:val="auto"/>
        </w:rPr>
        <w:t> </w:t>
      </w:r>
      <w:r w:rsidRPr="00E033F1">
        <w:rPr>
          <w:rFonts w:asciiTheme="minorHAnsi" w:hAnsiTheme="minorHAnsi" w:cstheme="minorHAnsi"/>
          <w:color w:val="auto"/>
        </w:rPr>
        <w:t>nm.</w:t>
      </w:r>
      <w:r w:rsidR="00F97205" w:rsidRPr="00E033F1">
        <w:rPr>
          <w:rFonts w:asciiTheme="minorHAnsi" w:hAnsiTheme="minorHAnsi" w:cstheme="minorHAnsi"/>
          <w:color w:val="auto"/>
        </w:rPr>
        <w:t xml:space="preserve"> </w:t>
      </w:r>
      <w:r w:rsidR="00867C87" w:rsidRPr="00E033F1">
        <w:rPr>
          <w:rFonts w:asciiTheme="minorHAnsi" w:hAnsiTheme="minorHAnsi" w:cstheme="minorHAnsi"/>
          <w:color w:val="auto"/>
        </w:rPr>
        <w:t>To correct for this additional absorbance</w:t>
      </w:r>
      <w:r w:rsidR="00F97205" w:rsidRPr="00E033F1">
        <w:rPr>
          <w:rFonts w:asciiTheme="minorHAnsi" w:hAnsiTheme="minorHAnsi" w:cstheme="minorHAnsi"/>
          <w:color w:val="auto"/>
        </w:rPr>
        <w:t xml:space="preserve">, a specific blank </w:t>
      </w:r>
      <w:r w:rsidR="00D1215A" w:rsidRPr="00E033F1">
        <w:rPr>
          <w:rFonts w:asciiTheme="minorHAnsi" w:hAnsiTheme="minorHAnsi" w:cstheme="minorHAnsi"/>
          <w:color w:val="auto"/>
        </w:rPr>
        <w:t xml:space="preserve">should be measured </w:t>
      </w:r>
      <w:r w:rsidR="00F97205" w:rsidRPr="00E033F1">
        <w:rPr>
          <w:rFonts w:asciiTheme="minorHAnsi" w:hAnsiTheme="minorHAnsi" w:cstheme="minorHAnsi"/>
          <w:color w:val="auto"/>
        </w:rPr>
        <w:t>for each concentration.</w:t>
      </w:r>
    </w:p>
    <w:p w14:paraId="7D30491A" w14:textId="77777777" w:rsidR="00765E69" w:rsidRPr="00E033F1" w:rsidRDefault="00765E69" w:rsidP="00E033F1">
      <w:pPr>
        <w:contextualSpacing/>
        <w:rPr>
          <w:rFonts w:asciiTheme="minorHAnsi" w:hAnsiTheme="minorHAnsi" w:cstheme="minorHAnsi"/>
          <w:b/>
          <w:color w:val="auto"/>
        </w:rPr>
      </w:pPr>
    </w:p>
    <w:p w14:paraId="65C381EF" w14:textId="3A0B0577" w:rsidR="00F713DF" w:rsidRPr="00E033F1" w:rsidRDefault="00765E69" w:rsidP="00E033F1">
      <w:pPr>
        <w:pStyle w:val="ListParagraph"/>
        <w:numPr>
          <w:ilvl w:val="2"/>
          <w:numId w:val="31"/>
        </w:numPr>
        <w:ind w:left="0" w:firstLine="0"/>
        <w:rPr>
          <w:rFonts w:asciiTheme="minorHAnsi" w:hAnsiTheme="minorHAnsi" w:cstheme="minorHAnsi"/>
          <w:b/>
          <w:color w:val="auto"/>
        </w:rPr>
      </w:pPr>
      <w:r w:rsidRPr="00E033F1">
        <w:rPr>
          <w:rFonts w:asciiTheme="minorHAnsi" w:hAnsiTheme="minorHAnsi" w:cstheme="minorHAnsi"/>
          <w:color w:val="auto"/>
        </w:rPr>
        <w:t xml:space="preserve">If </w:t>
      </w:r>
      <w:r w:rsidR="00A35E23" w:rsidRPr="00E033F1">
        <w:rPr>
          <w:rFonts w:asciiTheme="minorHAnsi" w:hAnsiTheme="minorHAnsi" w:cstheme="minorHAnsi"/>
          <w:color w:val="auto"/>
        </w:rPr>
        <w:t>there is no significant</w:t>
      </w:r>
      <w:r w:rsidR="000203D9" w:rsidRPr="00E033F1">
        <w:rPr>
          <w:rFonts w:asciiTheme="minorHAnsi" w:hAnsiTheme="minorHAnsi" w:cstheme="minorHAnsi"/>
          <w:color w:val="auto"/>
        </w:rPr>
        <w:t xml:space="preserve"> change </w:t>
      </w:r>
      <w:r w:rsidR="00D1215A" w:rsidRPr="00E033F1">
        <w:rPr>
          <w:rFonts w:asciiTheme="minorHAnsi" w:hAnsiTheme="minorHAnsi" w:cstheme="minorHAnsi"/>
          <w:color w:val="auto"/>
        </w:rPr>
        <w:t>in</w:t>
      </w:r>
      <w:r w:rsidR="000203D9" w:rsidRPr="00E033F1">
        <w:rPr>
          <w:rFonts w:asciiTheme="minorHAnsi" w:hAnsiTheme="minorHAnsi" w:cstheme="minorHAnsi"/>
          <w:color w:val="auto"/>
        </w:rPr>
        <w:t xml:space="preserve"> absorbance,</w:t>
      </w:r>
      <w:r w:rsidRPr="00E033F1">
        <w:rPr>
          <w:rFonts w:asciiTheme="minorHAnsi" w:hAnsiTheme="minorHAnsi" w:cstheme="minorHAnsi"/>
          <w:color w:val="auto"/>
        </w:rPr>
        <w:t xml:space="preserve"> </w:t>
      </w:r>
      <w:r w:rsidR="00E033F1">
        <w:rPr>
          <w:rFonts w:asciiTheme="minorHAnsi" w:hAnsiTheme="minorHAnsi" w:cstheme="minorHAnsi"/>
          <w:color w:val="auto"/>
        </w:rPr>
        <w:t xml:space="preserve">use </w:t>
      </w:r>
      <w:r w:rsidRPr="00E033F1">
        <w:rPr>
          <w:rFonts w:asciiTheme="minorHAnsi" w:hAnsiTheme="minorHAnsi" w:cstheme="minorHAnsi"/>
          <w:color w:val="auto"/>
        </w:rPr>
        <w:t xml:space="preserve">a </w:t>
      </w:r>
      <w:r w:rsidR="00B43462" w:rsidRPr="00E033F1">
        <w:rPr>
          <w:rFonts w:asciiTheme="minorHAnsi" w:hAnsiTheme="minorHAnsi" w:cstheme="minorHAnsi"/>
          <w:color w:val="auto"/>
        </w:rPr>
        <w:t xml:space="preserve">general </w:t>
      </w:r>
      <w:r w:rsidRPr="00E033F1">
        <w:rPr>
          <w:rFonts w:asciiTheme="minorHAnsi" w:hAnsiTheme="minorHAnsi" w:cstheme="minorHAnsi"/>
          <w:color w:val="auto"/>
        </w:rPr>
        <w:t xml:space="preserve">blank, containing only the </w:t>
      </w:r>
      <w:r w:rsidR="000203D9" w:rsidRPr="00E033F1">
        <w:rPr>
          <w:rFonts w:asciiTheme="minorHAnsi" w:hAnsiTheme="minorHAnsi" w:cstheme="minorHAnsi"/>
          <w:color w:val="auto"/>
        </w:rPr>
        <w:t xml:space="preserve">solvent </w:t>
      </w:r>
      <w:r w:rsidRPr="00E033F1">
        <w:rPr>
          <w:rFonts w:asciiTheme="minorHAnsi" w:hAnsiTheme="minorHAnsi" w:cstheme="minorHAnsi"/>
          <w:color w:val="auto"/>
        </w:rPr>
        <w:t>used for the GST inhibitor dilution</w:t>
      </w:r>
      <w:r w:rsidR="00D1215A" w:rsidRPr="00E033F1">
        <w:rPr>
          <w:rFonts w:asciiTheme="minorHAnsi" w:hAnsiTheme="minorHAnsi" w:cstheme="minorHAnsi"/>
          <w:color w:val="auto"/>
        </w:rPr>
        <w:t>,</w:t>
      </w:r>
      <w:r w:rsidRPr="00E033F1">
        <w:rPr>
          <w:rFonts w:asciiTheme="minorHAnsi" w:hAnsiTheme="minorHAnsi" w:cstheme="minorHAnsi"/>
          <w:color w:val="auto"/>
        </w:rPr>
        <w:t xml:space="preserve"> for </w:t>
      </w:r>
      <w:r w:rsidR="000203D9" w:rsidRPr="00E033F1">
        <w:rPr>
          <w:rFonts w:asciiTheme="minorHAnsi" w:hAnsiTheme="minorHAnsi" w:cstheme="minorHAnsi"/>
          <w:color w:val="auto"/>
        </w:rPr>
        <w:t>all the concentration</w:t>
      </w:r>
      <w:r w:rsidR="00A227F0" w:rsidRPr="00E033F1">
        <w:rPr>
          <w:rFonts w:asciiTheme="minorHAnsi" w:hAnsiTheme="minorHAnsi" w:cstheme="minorHAnsi"/>
          <w:color w:val="auto"/>
        </w:rPr>
        <w:t>s</w:t>
      </w:r>
      <w:r w:rsidR="000203D9" w:rsidRPr="00E033F1">
        <w:rPr>
          <w:rFonts w:asciiTheme="minorHAnsi" w:hAnsiTheme="minorHAnsi" w:cstheme="minorHAnsi"/>
          <w:color w:val="auto"/>
        </w:rPr>
        <w:t xml:space="preserve">. </w:t>
      </w:r>
    </w:p>
    <w:p w14:paraId="3621311D" w14:textId="77777777" w:rsidR="005C16E3" w:rsidRPr="00E033F1" w:rsidRDefault="005C16E3" w:rsidP="00E033F1">
      <w:pPr>
        <w:contextualSpacing/>
        <w:rPr>
          <w:rFonts w:asciiTheme="minorHAnsi" w:hAnsiTheme="minorHAnsi" w:cstheme="minorHAnsi"/>
          <w:b/>
          <w:color w:val="auto"/>
        </w:rPr>
      </w:pPr>
    </w:p>
    <w:p w14:paraId="3FBC3A8C" w14:textId="3D5BEE27" w:rsidR="0022019F" w:rsidRPr="00E033F1" w:rsidRDefault="00DD39A7" w:rsidP="00E033F1">
      <w:pPr>
        <w:pStyle w:val="ListParagraph"/>
        <w:numPr>
          <w:ilvl w:val="0"/>
          <w:numId w:val="31"/>
        </w:numPr>
        <w:ind w:left="0" w:firstLine="0"/>
        <w:rPr>
          <w:rFonts w:asciiTheme="minorHAnsi" w:hAnsiTheme="minorHAnsi" w:cstheme="minorHAnsi"/>
          <w:b/>
          <w:color w:val="auto"/>
        </w:rPr>
      </w:pPr>
      <w:r w:rsidRPr="00E033F1">
        <w:rPr>
          <w:rFonts w:asciiTheme="minorHAnsi" w:hAnsiTheme="minorHAnsi" w:cstheme="minorHAnsi"/>
          <w:b/>
          <w:color w:val="auto"/>
        </w:rPr>
        <w:t xml:space="preserve">Inhibition assay of </w:t>
      </w:r>
      <w:r w:rsidR="00606975" w:rsidRPr="00E033F1">
        <w:rPr>
          <w:rFonts w:asciiTheme="minorHAnsi" w:hAnsiTheme="minorHAnsi" w:cstheme="minorHAnsi"/>
          <w:b/>
          <w:color w:val="auto"/>
        </w:rPr>
        <w:t>GST</w:t>
      </w:r>
      <w:r w:rsidR="005341B2" w:rsidRPr="00E033F1">
        <w:rPr>
          <w:rFonts w:asciiTheme="minorHAnsi" w:hAnsiTheme="minorHAnsi" w:cstheme="minorHAnsi"/>
          <w:b/>
          <w:color w:val="auto"/>
        </w:rPr>
        <w:t xml:space="preserve"> and</w:t>
      </w:r>
      <w:r w:rsidRPr="00E033F1">
        <w:rPr>
          <w:rFonts w:asciiTheme="minorHAnsi" w:hAnsiTheme="minorHAnsi" w:cstheme="minorHAnsi"/>
          <w:b/>
          <w:color w:val="auto"/>
        </w:rPr>
        <w:t xml:space="preserve"> IC50 assessment </w:t>
      </w:r>
    </w:p>
    <w:p w14:paraId="2ED94047" w14:textId="77777777" w:rsidR="00A32F1C" w:rsidRPr="00E033F1" w:rsidRDefault="00A32F1C" w:rsidP="00E033F1">
      <w:pPr>
        <w:pStyle w:val="ListParagraph"/>
        <w:ind w:left="0"/>
        <w:rPr>
          <w:rFonts w:asciiTheme="minorHAnsi" w:hAnsiTheme="minorHAnsi" w:cstheme="minorHAnsi"/>
          <w:color w:val="auto"/>
        </w:rPr>
      </w:pPr>
    </w:p>
    <w:p w14:paraId="072775EA" w14:textId="7A8686C0" w:rsidR="005341B2" w:rsidRPr="00E033F1" w:rsidRDefault="005341B2"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Prep</w:t>
      </w:r>
      <w:r w:rsidR="00F42BF9" w:rsidRPr="00E033F1">
        <w:rPr>
          <w:rFonts w:asciiTheme="minorHAnsi" w:hAnsiTheme="minorHAnsi" w:cstheme="minorHAnsi"/>
          <w:color w:val="auto"/>
        </w:rPr>
        <w:t xml:space="preserve">are </w:t>
      </w:r>
      <w:r w:rsidR="00485240" w:rsidRPr="00E033F1">
        <w:rPr>
          <w:rFonts w:asciiTheme="minorHAnsi" w:hAnsiTheme="minorHAnsi" w:cstheme="minorHAnsi"/>
          <w:color w:val="auto"/>
        </w:rPr>
        <w:t>nine</w:t>
      </w:r>
      <w:r w:rsidR="00F42BF9" w:rsidRPr="00E033F1">
        <w:rPr>
          <w:rFonts w:asciiTheme="minorHAnsi" w:hAnsiTheme="minorHAnsi" w:cstheme="minorHAnsi"/>
          <w:color w:val="auto"/>
        </w:rPr>
        <w:t xml:space="preserve"> concentrations of the </w:t>
      </w:r>
      <w:r w:rsidR="00D1215A" w:rsidRPr="00E033F1">
        <w:rPr>
          <w:rFonts w:asciiTheme="minorHAnsi" w:hAnsiTheme="minorHAnsi" w:cstheme="minorHAnsi"/>
          <w:color w:val="auto"/>
        </w:rPr>
        <w:t>potential</w:t>
      </w:r>
      <w:r w:rsidR="00F42BF9" w:rsidRPr="00E033F1">
        <w:rPr>
          <w:rFonts w:asciiTheme="minorHAnsi" w:hAnsiTheme="minorHAnsi" w:cstheme="minorHAnsi"/>
          <w:color w:val="auto"/>
        </w:rPr>
        <w:t xml:space="preserve"> GST inhibitor. </w:t>
      </w:r>
    </w:p>
    <w:p w14:paraId="6F1C8A32" w14:textId="6598F1F6" w:rsidR="00F42BF9" w:rsidRPr="00E033F1" w:rsidRDefault="00F42BF9" w:rsidP="00E033F1">
      <w:pPr>
        <w:pStyle w:val="ListParagraph"/>
        <w:ind w:left="0"/>
        <w:rPr>
          <w:rFonts w:asciiTheme="minorHAnsi" w:hAnsiTheme="minorHAnsi" w:cstheme="minorHAnsi"/>
          <w:color w:val="auto"/>
        </w:rPr>
      </w:pPr>
    </w:p>
    <w:p w14:paraId="37875B23" w14:textId="22C2C5BA" w:rsidR="00F42BF9" w:rsidRPr="00E033F1" w:rsidRDefault="00F42BF9"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 xml:space="preserve">NOTE: The concentrations can be adapted according to the results. The aim is to define the </w:t>
      </w:r>
      <w:r w:rsidRPr="00E033F1">
        <w:rPr>
          <w:rFonts w:asciiTheme="minorHAnsi" w:hAnsiTheme="minorHAnsi" w:cstheme="minorHAnsi"/>
          <w:color w:val="auto"/>
        </w:rPr>
        <w:lastRenderedPageBreak/>
        <w:t xml:space="preserve">bottom and top plateaus of the non-linear regression curve. See the </w:t>
      </w:r>
      <w:r w:rsidR="00E60ABD" w:rsidRPr="00E033F1">
        <w:rPr>
          <w:rFonts w:asciiTheme="minorHAnsi" w:hAnsiTheme="minorHAnsi" w:cstheme="minorHAnsi"/>
          <w:color w:val="auto"/>
        </w:rPr>
        <w:t xml:space="preserve">discussion </w:t>
      </w:r>
      <w:r w:rsidRPr="00E033F1">
        <w:rPr>
          <w:rFonts w:asciiTheme="minorHAnsi" w:hAnsiTheme="minorHAnsi" w:cstheme="minorHAnsi"/>
          <w:color w:val="auto"/>
        </w:rPr>
        <w:t>section for more details</w:t>
      </w:r>
      <w:r w:rsidR="00495BBC" w:rsidRPr="00E033F1">
        <w:rPr>
          <w:rFonts w:asciiTheme="minorHAnsi" w:hAnsiTheme="minorHAnsi" w:cstheme="minorHAnsi"/>
          <w:color w:val="auto"/>
        </w:rPr>
        <w:t xml:space="preserve"> about this step</w:t>
      </w:r>
      <w:r w:rsidRPr="00E033F1">
        <w:rPr>
          <w:rFonts w:asciiTheme="minorHAnsi" w:hAnsiTheme="minorHAnsi" w:cstheme="minorHAnsi"/>
          <w:color w:val="auto"/>
        </w:rPr>
        <w:t xml:space="preserve">. </w:t>
      </w:r>
    </w:p>
    <w:p w14:paraId="251FE4BC" w14:textId="77777777" w:rsidR="005341B2" w:rsidRPr="00E033F1" w:rsidRDefault="005341B2" w:rsidP="00E033F1">
      <w:pPr>
        <w:pStyle w:val="ListParagraph"/>
        <w:ind w:left="0"/>
        <w:rPr>
          <w:rFonts w:asciiTheme="minorHAnsi" w:hAnsiTheme="minorHAnsi" w:cstheme="minorHAnsi"/>
          <w:color w:val="auto"/>
        </w:rPr>
      </w:pPr>
    </w:p>
    <w:p w14:paraId="1314776C" w14:textId="486F04F1" w:rsidR="0022019F" w:rsidRPr="00E033F1" w:rsidRDefault="0022019F"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Prepare the assay</w:t>
      </w:r>
      <w:r w:rsidR="00EB01D9" w:rsidRPr="00E033F1">
        <w:rPr>
          <w:rFonts w:asciiTheme="minorHAnsi" w:hAnsiTheme="minorHAnsi" w:cstheme="minorHAnsi"/>
          <w:color w:val="auto"/>
        </w:rPr>
        <w:t xml:space="preserve"> solution</w:t>
      </w:r>
      <w:r w:rsidR="007728F1" w:rsidRPr="00E033F1">
        <w:rPr>
          <w:rFonts w:asciiTheme="minorHAnsi" w:hAnsiTheme="minorHAnsi" w:cstheme="minorHAnsi"/>
          <w:color w:val="auto"/>
        </w:rPr>
        <w:t xml:space="preserve"> by diluting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the GSH solution at </w:t>
      </w:r>
      <w:r w:rsidR="00763862" w:rsidRPr="00E033F1">
        <w:rPr>
          <w:rFonts w:asciiTheme="minorHAnsi" w:hAnsiTheme="minorHAnsi" w:cstheme="minorHAnsi"/>
          <w:color w:val="auto"/>
        </w:rPr>
        <w:t>25</w:t>
      </w:r>
      <w:r w:rsidR="004B5E1E" w:rsidRPr="00E033F1">
        <w:rPr>
          <w:rFonts w:asciiTheme="minorHAnsi" w:hAnsiTheme="minorHAnsi" w:cstheme="minorHAnsi"/>
          <w:color w:val="auto"/>
        </w:rPr>
        <w:t> </w:t>
      </w:r>
      <w:r w:rsidR="00763862" w:rsidRPr="00E033F1">
        <w:rPr>
          <w:rFonts w:asciiTheme="minorHAnsi" w:hAnsiTheme="minorHAnsi" w:cstheme="minorHAnsi"/>
          <w:color w:val="auto"/>
        </w:rPr>
        <w:t>mM with 148</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EB01D9" w:rsidRPr="00E033F1">
        <w:rPr>
          <w:rFonts w:asciiTheme="minorHAnsi" w:hAnsiTheme="minorHAnsi" w:cstheme="minorHAnsi"/>
          <w:color w:val="auto"/>
        </w:rPr>
        <w:t xml:space="preserve"> of </w:t>
      </w:r>
      <w:r w:rsidR="00AF1952" w:rsidRPr="00E033F1">
        <w:rPr>
          <w:rFonts w:asciiTheme="minorHAnsi" w:hAnsiTheme="minorHAnsi" w:cstheme="minorHAnsi"/>
          <w:color w:val="auto"/>
        </w:rPr>
        <w:t>D</w:t>
      </w:r>
      <w:r w:rsidR="00D1215A" w:rsidRPr="00E033F1">
        <w:rPr>
          <w:rFonts w:asciiTheme="minorHAnsi" w:hAnsiTheme="minorHAnsi" w:cstheme="minorHAnsi"/>
          <w:color w:val="auto"/>
        </w:rPr>
        <w:t>PBS</w:t>
      </w:r>
      <w:r w:rsidR="00EB01D9" w:rsidRPr="00E033F1">
        <w:rPr>
          <w:rFonts w:asciiTheme="minorHAnsi" w:hAnsiTheme="minorHAnsi" w:cstheme="minorHAnsi"/>
          <w:color w:val="auto"/>
        </w:rPr>
        <w:t xml:space="preserve">. Adapt the volume according to the number of wells used </w:t>
      </w:r>
      <w:r w:rsidR="00D1215A" w:rsidRPr="00E033F1">
        <w:rPr>
          <w:rFonts w:asciiTheme="minorHAnsi" w:hAnsiTheme="minorHAnsi" w:cstheme="minorHAnsi"/>
          <w:color w:val="auto"/>
        </w:rPr>
        <w:t>in</w:t>
      </w:r>
      <w:r w:rsidR="00EB01D9" w:rsidRPr="00E033F1">
        <w:rPr>
          <w:rFonts w:asciiTheme="minorHAnsi" w:hAnsiTheme="minorHAnsi" w:cstheme="minorHAnsi"/>
          <w:color w:val="auto"/>
        </w:rPr>
        <w:t xml:space="preserve"> the assay. </w:t>
      </w:r>
    </w:p>
    <w:p w14:paraId="6AB8CE47" w14:textId="77777777" w:rsidR="00EB01D9" w:rsidRPr="00E033F1" w:rsidRDefault="00EB01D9" w:rsidP="00E033F1">
      <w:pPr>
        <w:pStyle w:val="ListParagraph"/>
        <w:ind w:left="0"/>
        <w:rPr>
          <w:rFonts w:asciiTheme="minorHAnsi" w:hAnsiTheme="minorHAnsi" w:cstheme="minorHAnsi"/>
          <w:color w:val="auto"/>
        </w:rPr>
      </w:pPr>
    </w:p>
    <w:p w14:paraId="7518B131" w14:textId="10129F7F" w:rsidR="00EB01D9" w:rsidRPr="00E033F1" w:rsidRDefault="00EB01D9"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In a clear 96</w:t>
      </w:r>
      <w:r w:rsidR="00D1215A" w:rsidRPr="00E033F1">
        <w:rPr>
          <w:rFonts w:asciiTheme="minorHAnsi" w:hAnsiTheme="minorHAnsi" w:cstheme="minorHAnsi"/>
          <w:color w:val="auto"/>
        </w:rPr>
        <w:t>-</w:t>
      </w:r>
      <w:r w:rsidRPr="00E033F1">
        <w:rPr>
          <w:rFonts w:asciiTheme="minorHAnsi" w:hAnsiTheme="minorHAnsi" w:cstheme="minorHAnsi"/>
          <w:color w:val="auto"/>
        </w:rPr>
        <w:t>well plate</w:t>
      </w:r>
      <w:r w:rsidR="00D1215A" w:rsidRPr="00E033F1">
        <w:rPr>
          <w:rFonts w:asciiTheme="minorHAnsi" w:hAnsiTheme="minorHAnsi" w:cstheme="minorHAnsi"/>
          <w:color w:val="auto"/>
        </w:rPr>
        <w:t>, prepare</w:t>
      </w:r>
      <w:r w:rsidRPr="00E033F1">
        <w:rPr>
          <w:rFonts w:asciiTheme="minorHAnsi" w:hAnsiTheme="minorHAnsi" w:cstheme="minorHAnsi"/>
          <w:color w:val="auto"/>
        </w:rPr>
        <w:t xml:space="preserve"> the enzymatic rea</w:t>
      </w:r>
      <w:r w:rsidR="00763862" w:rsidRPr="00E033F1">
        <w:rPr>
          <w:rFonts w:asciiTheme="minorHAnsi" w:hAnsiTheme="minorHAnsi" w:cstheme="minorHAnsi"/>
          <w:color w:val="auto"/>
        </w:rPr>
        <w:t>ction in a final volume of 190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w:t>
      </w:r>
      <w:r w:rsidR="00A259DF" w:rsidRPr="00E033F1">
        <w:rPr>
          <w:rFonts w:asciiTheme="minorHAnsi" w:hAnsiTheme="minorHAnsi" w:cstheme="minorHAnsi"/>
          <w:color w:val="auto"/>
        </w:rPr>
        <w:t xml:space="preserve"> It is recommended to use a multichannel pipette for these steps. </w:t>
      </w:r>
    </w:p>
    <w:p w14:paraId="4965B853" w14:textId="77777777" w:rsidR="00EB01D9" w:rsidRPr="00E033F1" w:rsidRDefault="00EB01D9" w:rsidP="00E033F1">
      <w:pPr>
        <w:pStyle w:val="ListParagraph"/>
        <w:ind w:left="0"/>
        <w:rPr>
          <w:rFonts w:asciiTheme="minorHAnsi" w:hAnsiTheme="minorHAnsi" w:cstheme="minorHAnsi"/>
          <w:color w:val="auto"/>
        </w:rPr>
      </w:pPr>
    </w:p>
    <w:p w14:paraId="053560A6" w14:textId="16BC40C2" w:rsidR="00EB01D9" w:rsidRPr="00E033F1" w:rsidRDefault="00763862"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For the test wells, </w:t>
      </w:r>
      <w:r w:rsidR="00D1215A" w:rsidRPr="00E033F1">
        <w:rPr>
          <w:rFonts w:asciiTheme="minorHAnsi" w:hAnsiTheme="minorHAnsi" w:cstheme="minorHAnsi"/>
          <w:color w:val="auto"/>
        </w:rPr>
        <w:t>add</w:t>
      </w:r>
      <w:r w:rsidRPr="00E033F1">
        <w:rPr>
          <w:rFonts w:asciiTheme="minorHAnsi" w:hAnsiTheme="minorHAnsi" w:cstheme="minorHAnsi"/>
          <w:color w:val="auto"/>
        </w:rPr>
        <w:t xml:space="preserve">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the enzyme solution</w:t>
      </w:r>
      <w:r w:rsidR="00D1215A" w:rsidRPr="00E033F1">
        <w:rPr>
          <w:rFonts w:asciiTheme="minorHAnsi" w:hAnsiTheme="minorHAnsi" w:cstheme="minorHAnsi"/>
          <w:color w:val="auto"/>
        </w:rPr>
        <w:t>,</w:t>
      </w:r>
      <w:r w:rsidRPr="00E033F1">
        <w:rPr>
          <w:rFonts w:asciiTheme="minorHAnsi" w:hAnsiTheme="minorHAnsi" w:cstheme="minorHAnsi"/>
          <w:color w:val="auto"/>
        </w:rPr>
        <w:t xml:space="preserve"> 2</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EB01D9" w:rsidRPr="00E033F1">
        <w:rPr>
          <w:rFonts w:asciiTheme="minorHAnsi" w:hAnsiTheme="minorHAnsi" w:cstheme="minorHAnsi"/>
          <w:color w:val="auto"/>
        </w:rPr>
        <w:t xml:space="preserve"> of the </w:t>
      </w:r>
      <w:r w:rsidR="00D1215A" w:rsidRPr="00E033F1">
        <w:rPr>
          <w:rFonts w:asciiTheme="minorHAnsi" w:hAnsiTheme="minorHAnsi" w:cstheme="minorHAnsi"/>
          <w:color w:val="auto"/>
        </w:rPr>
        <w:t>potential</w:t>
      </w:r>
      <w:r w:rsidR="00EB01D9" w:rsidRPr="00E033F1">
        <w:rPr>
          <w:rFonts w:asciiTheme="minorHAnsi" w:hAnsiTheme="minorHAnsi" w:cstheme="minorHAnsi"/>
          <w:color w:val="auto"/>
        </w:rPr>
        <w:t xml:space="preserve"> GST inhibitor solution</w:t>
      </w:r>
      <w:r w:rsidR="00A35E23" w:rsidRPr="00E033F1">
        <w:rPr>
          <w:rFonts w:asciiTheme="minorHAnsi" w:hAnsiTheme="minorHAnsi" w:cstheme="minorHAnsi"/>
          <w:color w:val="auto"/>
        </w:rPr>
        <w:t xml:space="preserve"> and 168 </w:t>
      </w:r>
      <w:r w:rsidR="00B33C23" w:rsidRPr="00E033F1">
        <w:rPr>
          <w:rFonts w:asciiTheme="minorHAnsi" w:hAnsiTheme="minorHAnsi" w:cstheme="minorHAnsi"/>
          <w:color w:val="auto"/>
        </w:rPr>
        <w:t>µ</w:t>
      </w:r>
      <w:r w:rsidR="00A35E23" w:rsidRPr="00E033F1">
        <w:rPr>
          <w:rFonts w:asciiTheme="minorHAnsi" w:hAnsiTheme="minorHAnsi" w:cstheme="minorHAnsi"/>
          <w:color w:val="auto"/>
        </w:rPr>
        <w:t>L of the assay solution</w:t>
      </w:r>
      <w:r w:rsidR="00EB01D9" w:rsidRPr="00E033F1">
        <w:rPr>
          <w:rFonts w:asciiTheme="minorHAnsi" w:hAnsiTheme="minorHAnsi" w:cstheme="minorHAnsi"/>
          <w:color w:val="auto"/>
        </w:rPr>
        <w:t>.</w:t>
      </w:r>
    </w:p>
    <w:p w14:paraId="36697963" w14:textId="77777777" w:rsidR="00EB01D9" w:rsidRPr="00E033F1" w:rsidRDefault="00EB01D9" w:rsidP="00E033F1">
      <w:pPr>
        <w:pStyle w:val="ListParagraph"/>
        <w:ind w:left="0"/>
        <w:rPr>
          <w:rFonts w:asciiTheme="minorHAnsi" w:hAnsiTheme="minorHAnsi" w:cstheme="minorHAnsi"/>
          <w:color w:val="auto"/>
        </w:rPr>
      </w:pPr>
    </w:p>
    <w:p w14:paraId="614A086B" w14:textId="2F5A1325" w:rsidR="00DD39A7" w:rsidRPr="00E033F1" w:rsidRDefault="00DD39A7"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For the control, </w:t>
      </w:r>
      <w:r w:rsidR="00A35E23" w:rsidRPr="00E033F1">
        <w:rPr>
          <w:rFonts w:asciiTheme="minorHAnsi" w:hAnsiTheme="minorHAnsi" w:cstheme="minorHAnsi"/>
          <w:color w:val="auto"/>
        </w:rPr>
        <w:t>add</w:t>
      </w:r>
      <w:r w:rsidR="00763862" w:rsidRPr="00E033F1">
        <w:rPr>
          <w:rFonts w:asciiTheme="minorHAnsi" w:hAnsiTheme="minorHAnsi" w:cstheme="minorHAnsi"/>
          <w:color w:val="auto"/>
        </w:rPr>
        <w:t xml:space="preserve">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w:t>
      </w:r>
      <w:r w:rsidR="00763862" w:rsidRPr="00E033F1">
        <w:rPr>
          <w:rFonts w:asciiTheme="minorHAnsi" w:hAnsiTheme="minorHAnsi" w:cstheme="minorHAnsi"/>
          <w:color w:val="auto"/>
        </w:rPr>
        <w:t>f the enzyme solution</w:t>
      </w:r>
      <w:r w:rsidR="00D1215A" w:rsidRPr="00E033F1">
        <w:rPr>
          <w:rFonts w:asciiTheme="minorHAnsi" w:hAnsiTheme="minorHAnsi" w:cstheme="minorHAnsi"/>
          <w:color w:val="auto"/>
        </w:rPr>
        <w:t>,</w:t>
      </w:r>
      <w:r w:rsidR="00A35E23" w:rsidRPr="00E033F1">
        <w:rPr>
          <w:rFonts w:asciiTheme="minorHAnsi" w:hAnsiTheme="minorHAnsi" w:cstheme="minorHAnsi"/>
          <w:color w:val="auto"/>
        </w:rPr>
        <w:t xml:space="preserve"> </w:t>
      </w:r>
      <w:r w:rsidR="00763862" w:rsidRPr="00E033F1">
        <w:rPr>
          <w:rFonts w:asciiTheme="minorHAnsi" w:hAnsiTheme="minorHAnsi" w:cstheme="minorHAnsi"/>
          <w:color w:val="auto"/>
        </w:rPr>
        <w:t>2</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the diluent used for the GST inhibitor</w:t>
      </w:r>
      <w:r w:rsidR="00A35E23" w:rsidRPr="00E033F1">
        <w:rPr>
          <w:rFonts w:asciiTheme="minorHAnsi" w:hAnsiTheme="minorHAnsi" w:cstheme="minorHAnsi"/>
          <w:color w:val="auto"/>
        </w:rPr>
        <w:t xml:space="preserve"> and 168 </w:t>
      </w:r>
      <w:r w:rsidR="00B33C23" w:rsidRPr="00E033F1">
        <w:rPr>
          <w:rFonts w:asciiTheme="minorHAnsi" w:hAnsiTheme="minorHAnsi" w:cstheme="minorHAnsi"/>
          <w:color w:val="auto"/>
        </w:rPr>
        <w:t>µ</w:t>
      </w:r>
      <w:r w:rsidR="00A35E23" w:rsidRPr="00E033F1">
        <w:rPr>
          <w:rFonts w:asciiTheme="minorHAnsi" w:hAnsiTheme="minorHAnsi" w:cstheme="minorHAnsi"/>
          <w:color w:val="auto"/>
        </w:rPr>
        <w:t>L of the assay solution</w:t>
      </w:r>
      <w:r w:rsidRPr="00E033F1">
        <w:rPr>
          <w:rFonts w:asciiTheme="minorHAnsi" w:hAnsiTheme="minorHAnsi" w:cstheme="minorHAnsi"/>
          <w:color w:val="auto"/>
        </w:rPr>
        <w:t xml:space="preserve">. </w:t>
      </w:r>
    </w:p>
    <w:p w14:paraId="433FE283" w14:textId="3AFDCE69" w:rsidR="00DD39A7" w:rsidRPr="00E033F1" w:rsidRDefault="00DD39A7" w:rsidP="00E033F1">
      <w:pPr>
        <w:contextualSpacing/>
        <w:rPr>
          <w:rFonts w:asciiTheme="minorHAnsi" w:hAnsiTheme="minorHAnsi" w:cstheme="minorHAnsi"/>
          <w:color w:val="auto"/>
        </w:rPr>
      </w:pPr>
    </w:p>
    <w:p w14:paraId="58028DD2" w14:textId="45C3758D" w:rsidR="00EB01D9" w:rsidRPr="00E033F1" w:rsidRDefault="00EB01D9" w:rsidP="00E033F1">
      <w:pPr>
        <w:pStyle w:val="ListParagraph"/>
        <w:numPr>
          <w:ilvl w:val="2"/>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For the blank wells, </w:t>
      </w:r>
      <w:r w:rsidR="00D1215A" w:rsidRPr="00E033F1">
        <w:rPr>
          <w:rFonts w:asciiTheme="minorHAnsi" w:hAnsiTheme="minorHAnsi" w:cstheme="minorHAnsi"/>
          <w:color w:val="auto"/>
        </w:rPr>
        <w:t>add</w:t>
      </w:r>
      <w:r w:rsidR="00763862" w:rsidRPr="00E033F1">
        <w:rPr>
          <w:rFonts w:asciiTheme="minorHAnsi" w:hAnsiTheme="minorHAnsi" w:cstheme="minorHAnsi"/>
          <w:color w:val="auto"/>
        </w:rPr>
        <w:t xml:space="preserve"> 20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763862" w:rsidRPr="00E033F1">
        <w:rPr>
          <w:rFonts w:asciiTheme="minorHAnsi" w:hAnsiTheme="minorHAnsi" w:cstheme="minorHAnsi"/>
          <w:color w:val="auto"/>
        </w:rPr>
        <w:t xml:space="preserve"> of water</w:t>
      </w:r>
      <w:r w:rsidR="00D1215A" w:rsidRPr="00E033F1">
        <w:rPr>
          <w:rFonts w:asciiTheme="minorHAnsi" w:hAnsiTheme="minorHAnsi" w:cstheme="minorHAnsi"/>
          <w:color w:val="auto"/>
        </w:rPr>
        <w:t>,</w:t>
      </w:r>
      <w:r w:rsidR="00763862" w:rsidRPr="00E033F1">
        <w:rPr>
          <w:rFonts w:asciiTheme="minorHAnsi" w:hAnsiTheme="minorHAnsi" w:cstheme="minorHAnsi"/>
          <w:color w:val="auto"/>
        </w:rPr>
        <w:t xml:space="preserve"> 2</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Pr="00E033F1">
        <w:rPr>
          <w:rFonts w:asciiTheme="minorHAnsi" w:hAnsiTheme="minorHAnsi" w:cstheme="minorHAnsi"/>
          <w:color w:val="auto"/>
        </w:rPr>
        <w:t xml:space="preserve"> of the </w:t>
      </w:r>
      <w:r w:rsidR="00B43462" w:rsidRPr="00E033F1">
        <w:rPr>
          <w:rFonts w:asciiTheme="minorHAnsi" w:hAnsiTheme="minorHAnsi" w:cstheme="minorHAnsi"/>
          <w:color w:val="auto"/>
        </w:rPr>
        <w:t xml:space="preserve">potential </w:t>
      </w:r>
      <w:r w:rsidRPr="00E033F1">
        <w:rPr>
          <w:rFonts w:asciiTheme="minorHAnsi" w:hAnsiTheme="minorHAnsi" w:cstheme="minorHAnsi"/>
          <w:color w:val="auto"/>
        </w:rPr>
        <w:t>GST inhibitor</w:t>
      </w:r>
      <w:r w:rsidR="00A35E23" w:rsidRPr="00E033F1">
        <w:rPr>
          <w:rFonts w:asciiTheme="minorHAnsi" w:hAnsiTheme="minorHAnsi" w:cstheme="minorHAnsi"/>
          <w:color w:val="auto"/>
        </w:rPr>
        <w:t xml:space="preserve"> and 168 </w:t>
      </w:r>
      <w:r w:rsidR="00B33C23" w:rsidRPr="00E033F1">
        <w:rPr>
          <w:rFonts w:asciiTheme="minorHAnsi" w:hAnsiTheme="minorHAnsi" w:cstheme="minorHAnsi"/>
          <w:color w:val="auto"/>
        </w:rPr>
        <w:t>µ</w:t>
      </w:r>
      <w:r w:rsidR="00A35E23" w:rsidRPr="00E033F1">
        <w:rPr>
          <w:rFonts w:asciiTheme="minorHAnsi" w:hAnsiTheme="minorHAnsi" w:cstheme="minorHAnsi"/>
          <w:color w:val="auto"/>
        </w:rPr>
        <w:t>L of the assay solution</w:t>
      </w:r>
      <w:r w:rsidRPr="00E033F1">
        <w:rPr>
          <w:rFonts w:asciiTheme="minorHAnsi" w:hAnsiTheme="minorHAnsi" w:cstheme="minorHAnsi"/>
          <w:color w:val="auto"/>
        </w:rPr>
        <w:t>.</w:t>
      </w:r>
    </w:p>
    <w:p w14:paraId="06D15B27" w14:textId="77777777" w:rsidR="00DD39A7" w:rsidRPr="00E033F1" w:rsidRDefault="00DD39A7" w:rsidP="00E033F1">
      <w:pPr>
        <w:pStyle w:val="ListParagraph"/>
        <w:ind w:left="0"/>
        <w:rPr>
          <w:rFonts w:asciiTheme="minorHAnsi" w:hAnsiTheme="minorHAnsi" w:cstheme="minorHAnsi"/>
          <w:color w:val="auto"/>
        </w:rPr>
      </w:pPr>
    </w:p>
    <w:p w14:paraId="0127B44B" w14:textId="4A26F760" w:rsidR="00DD39A7" w:rsidRPr="00E033F1" w:rsidRDefault="00DD39A7"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NOTE: If the GST inhibitor absorb</w:t>
      </w:r>
      <w:r w:rsidR="00D1215A" w:rsidRPr="00E033F1">
        <w:rPr>
          <w:rFonts w:asciiTheme="minorHAnsi" w:hAnsiTheme="minorHAnsi" w:cstheme="minorHAnsi"/>
          <w:color w:val="auto"/>
        </w:rPr>
        <w:t>s</w:t>
      </w:r>
      <w:r w:rsidRPr="00E033F1">
        <w:rPr>
          <w:rFonts w:asciiTheme="minorHAnsi" w:hAnsiTheme="minorHAnsi" w:cstheme="minorHAnsi"/>
          <w:color w:val="auto"/>
        </w:rPr>
        <w:t xml:space="preserve"> the 340</w:t>
      </w:r>
      <w:r w:rsidR="004B5E1E" w:rsidRPr="00E033F1">
        <w:rPr>
          <w:rFonts w:asciiTheme="minorHAnsi" w:hAnsiTheme="minorHAnsi" w:cstheme="minorHAnsi"/>
          <w:color w:val="auto"/>
        </w:rPr>
        <w:t> </w:t>
      </w:r>
      <w:r w:rsidRPr="00E033F1">
        <w:rPr>
          <w:rFonts w:asciiTheme="minorHAnsi" w:hAnsiTheme="minorHAnsi" w:cstheme="minorHAnsi"/>
          <w:color w:val="auto"/>
        </w:rPr>
        <w:t>nm</w:t>
      </w:r>
      <w:r w:rsidR="00D1215A" w:rsidRPr="00E033F1">
        <w:rPr>
          <w:rFonts w:asciiTheme="minorHAnsi" w:hAnsiTheme="minorHAnsi" w:cstheme="minorHAnsi"/>
          <w:color w:val="auto"/>
        </w:rPr>
        <w:t xml:space="preserve"> wavelength</w:t>
      </w:r>
      <w:r w:rsidRPr="00E033F1">
        <w:rPr>
          <w:rFonts w:asciiTheme="minorHAnsi" w:hAnsiTheme="minorHAnsi" w:cstheme="minorHAnsi"/>
          <w:color w:val="auto"/>
        </w:rPr>
        <w:t xml:space="preserve">, </w:t>
      </w:r>
      <w:r w:rsidR="00D1215A" w:rsidRPr="00E033F1">
        <w:rPr>
          <w:rFonts w:asciiTheme="minorHAnsi" w:hAnsiTheme="minorHAnsi" w:cstheme="minorHAnsi"/>
          <w:color w:val="auto"/>
        </w:rPr>
        <w:t xml:space="preserve">then </w:t>
      </w:r>
      <w:r w:rsidRPr="00E033F1">
        <w:rPr>
          <w:rFonts w:asciiTheme="minorHAnsi" w:hAnsiTheme="minorHAnsi" w:cstheme="minorHAnsi"/>
          <w:color w:val="auto"/>
        </w:rPr>
        <w:t xml:space="preserve">a specific blank </w:t>
      </w:r>
      <w:r w:rsidR="00D1215A" w:rsidRPr="00E033F1">
        <w:rPr>
          <w:rFonts w:asciiTheme="minorHAnsi" w:hAnsiTheme="minorHAnsi" w:cstheme="minorHAnsi"/>
          <w:color w:val="auto"/>
        </w:rPr>
        <w:t xml:space="preserve">should be prepared </w:t>
      </w:r>
      <w:r w:rsidRPr="00E033F1">
        <w:rPr>
          <w:rFonts w:asciiTheme="minorHAnsi" w:hAnsiTheme="minorHAnsi" w:cstheme="minorHAnsi"/>
          <w:color w:val="auto"/>
        </w:rPr>
        <w:t xml:space="preserve">for each concentration tested. </w:t>
      </w:r>
    </w:p>
    <w:p w14:paraId="5CD8BD54" w14:textId="5A4C8590" w:rsidR="00A32F1C" w:rsidRPr="00E033F1" w:rsidRDefault="00A32F1C" w:rsidP="00E033F1">
      <w:pPr>
        <w:contextualSpacing/>
        <w:rPr>
          <w:rFonts w:asciiTheme="minorHAnsi" w:hAnsiTheme="minorHAnsi" w:cstheme="minorHAnsi"/>
          <w:color w:val="auto"/>
        </w:rPr>
      </w:pPr>
    </w:p>
    <w:p w14:paraId="1694FD6E" w14:textId="1C9494BB" w:rsidR="00A32F1C" w:rsidRPr="00E033F1" w:rsidRDefault="006A5C54"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A</w:t>
      </w:r>
      <w:r w:rsidR="00357729" w:rsidRPr="00E033F1">
        <w:rPr>
          <w:rFonts w:asciiTheme="minorHAnsi" w:hAnsiTheme="minorHAnsi" w:cstheme="minorHAnsi"/>
          <w:color w:val="auto"/>
        </w:rPr>
        <w:t>dd 10</w:t>
      </w:r>
      <w:r w:rsidR="004B5E1E"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763862" w:rsidRPr="00E033F1">
        <w:rPr>
          <w:rFonts w:asciiTheme="minorHAnsi" w:hAnsiTheme="minorHAnsi" w:cstheme="minorHAnsi"/>
          <w:color w:val="auto"/>
        </w:rPr>
        <w:t xml:space="preserve"> of the CDNB solution at</w:t>
      </w:r>
      <w:r w:rsidR="00DD39A7" w:rsidRPr="00E033F1">
        <w:rPr>
          <w:rFonts w:asciiTheme="minorHAnsi" w:hAnsiTheme="minorHAnsi" w:cstheme="minorHAnsi"/>
          <w:color w:val="auto"/>
        </w:rPr>
        <w:t xml:space="preserve"> </w:t>
      </w:r>
      <w:r w:rsidR="00A259DF" w:rsidRPr="00E033F1">
        <w:rPr>
          <w:rFonts w:asciiTheme="minorHAnsi" w:hAnsiTheme="minorHAnsi" w:cstheme="minorHAnsi"/>
          <w:color w:val="auto"/>
        </w:rPr>
        <w:t>20</w:t>
      </w:r>
      <w:r w:rsidR="00E033F1">
        <w:rPr>
          <w:rFonts w:asciiTheme="minorHAnsi" w:hAnsiTheme="minorHAnsi" w:cstheme="minorHAnsi"/>
          <w:color w:val="auto"/>
        </w:rPr>
        <w:t>x</w:t>
      </w:r>
      <w:r w:rsidR="004B5E1E" w:rsidRPr="00E033F1">
        <w:rPr>
          <w:rFonts w:asciiTheme="minorHAnsi" w:hAnsiTheme="minorHAnsi" w:cstheme="minorHAnsi"/>
          <w:color w:val="auto"/>
        </w:rPr>
        <w:t>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DD39A7" w:rsidRPr="00E033F1">
        <w:rPr>
          <w:rFonts w:asciiTheme="minorHAnsi" w:hAnsiTheme="minorHAnsi" w:cstheme="minorHAnsi"/>
          <w:color w:val="auto"/>
        </w:rPr>
        <w:t xml:space="preserve"> </w:t>
      </w:r>
      <w:r w:rsidR="00D1215A" w:rsidRPr="00E033F1">
        <w:rPr>
          <w:rFonts w:asciiTheme="minorHAnsi" w:hAnsiTheme="minorHAnsi" w:cstheme="minorHAnsi"/>
          <w:color w:val="auto"/>
        </w:rPr>
        <w:t>to</w:t>
      </w:r>
      <w:r w:rsidR="00A32F1C" w:rsidRPr="00E033F1">
        <w:rPr>
          <w:rFonts w:asciiTheme="minorHAnsi" w:hAnsiTheme="minorHAnsi" w:cstheme="minorHAnsi"/>
          <w:color w:val="auto"/>
        </w:rPr>
        <w:t xml:space="preserve"> each well, including the blank. </w:t>
      </w:r>
      <w:r w:rsidR="00A35E23" w:rsidRPr="00E033F1">
        <w:rPr>
          <w:rFonts w:asciiTheme="minorHAnsi" w:hAnsiTheme="minorHAnsi" w:cstheme="minorHAnsi"/>
          <w:color w:val="auto"/>
        </w:rPr>
        <w:t>It is recommended to use a multichannel pipette for this step.</w:t>
      </w:r>
    </w:p>
    <w:p w14:paraId="0486D573" w14:textId="77777777" w:rsidR="00A35E23" w:rsidRPr="00E033F1" w:rsidRDefault="00A35E23" w:rsidP="00E033F1">
      <w:pPr>
        <w:pStyle w:val="ListParagraph"/>
        <w:ind w:left="0"/>
        <w:rPr>
          <w:rFonts w:asciiTheme="minorHAnsi" w:hAnsiTheme="minorHAnsi" w:cstheme="minorHAnsi"/>
          <w:color w:val="auto"/>
        </w:rPr>
      </w:pPr>
    </w:p>
    <w:p w14:paraId="0CBFEE7C" w14:textId="66103572" w:rsidR="00A35E23" w:rsidRPr="00E033F1" w:rsidRDefault="00A35E23"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Shake the plate for few seconds.</w:t>
      </w:r>
    </w:p>
    <w:p w14:paraId="3B510D06" w14:textId="35DEA157" w:rsidR="00A32F1C" w:rsidRPr="00E033F1" w:rsidRDefault="00A32F1C" w:rsidP="00E033F1">
      <w:pPr>
        <w:contextualSpacing/>
        <w:rPr>
          <w:rFonts w:asciiTheme="minorHAnsi" w:hAnsiTheme="minorHAnsi" w:cstheme="minorHAnsi"/>
          <w:color w:val="auto"/>
        </w:rPr>
      </w:pPr>
    </w:p>
    <w:p w14:paraId="13E8AF61" w14:textId="5BADEFD8" w:rsidR="00357729" w:rsidRPr="00E033F1" w:rsidRDefault="00357729"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Measure the absorbance at 340</w:t>
      </w:r>
      <w:r w:rsidR="004B5E1E" w:rsidRPr="00E033F1">
        <w:rPr>
          <w:rFonts w:asciiTheme="minorHAnsi" w:hAnsiTheme="minorHAnsi" w:cstheme="minorHAnsi"/>
          <w:color w:val="auto"/>
        </w:rPr>
        <w:t> </w:t>
      </w:r>
      <w:r w:rsidRPr="00E033F1">
        <w:rPr>
          <w:rFonts w:asciiTheme="minorHAnsi" w:hAnsiTheme="minorHAnsi" w:cstheme="minorHAnsi"/>
          <w:color w:val="auto"/>
        </w:rPr>
        <w:t xml:space="preserve">nm every minute </w:t>
      </w:r>
      <w:r w:rsidR="00D1215A" w:rsidRPr="00E033F1">
        <w:rPr>
          <w:rFonts w:asciiTheme="minorHAnsi" w:hAnsiTheme="minorHAnsi" w:cstheme="minorHAnsi"/>
          <w:color w:val="auto"/>
        </w:rPr>
        <w:t>for</w:t>
      </w:r>
      <w:r w:rsidRPr="00E033F1">
        <w:rPr>
          <w:rFonts w:asciiTheme="minorHAnsi" w:hAnsiTheme="minorHAnsi" w:cstheme="minorHAnsi"/>
          <w:color w:val="auto"/>
        </w:rPr>
        <w:t xml:space="preserve"> 10 minutes</w:t>
      </w:r>
      <w:r w:rsidR="00D1215A" w:rsidRPr="00E033F1">
        <w:rPr>
          <w:rFonts w:asciiTheme="minorHAnsi" w:hAnsiTheme="minorHAnsi" w:cstheme="minorHAnsi"/>
          <w:color w:val="auto"/>
        </w:rPr>
        <w:t xml:space="preserve"> using</w:t>
      </w:r>
      <w:r w:rsidRPr="00E033F1">
        <w:rPr>
          <w:rFonts w:asciiTheme="minorHAnsi" w:hAnsiTheme="minorHAnsi" w:cstheme="minorHAnsi"/>
          <w:color w:val="auto"/>
        </w:rPr>
        <w:t xml:space="preserve"> </w:t>
      </w:r>
      <w:r w:rsidR="00A35E23" w:rsidRPr="00E033F1">
        <w:rPr>
          <w:rFonts w:asciiTheme="minorHAnsi" w:hAnsiTheme="minorHAnsi" w:cstheme="minorHAnsi"/>
          <w:color w:val="auto"/>
        </w:rPr>
        <w:t>a microplate reader</w:t>
      </w:r>
      <w:r w:rsidRPr="00E033F1">
        <w:rPr>
          <w:rFonts w:asciiTheme="minorHAnsi" w:hAnsiTheme="minorHAnsi" w:cstheme="minorHAnsi"/>
          <w:color w:val="auto"/>
        </w:rPr>
        <w:t>.</w:t>
      </w:r>
    </w:p>
    <w:p w14:paraId="67A19F56" w14:textId="3051CD62" w:rsidR="00DD39A7" w:rsidRPr="00E033F1" w:rsidRDefault="00DD39A7" w:rsidP="00E033F1">
      <w:pPr>
        <w:contextualSpacing/>
        <w:rPr>
          <w:rFonts w:asciiTheme="minorHAnsi" w:hAnsiTheme="minorHAnsi" w:cstheme="minorHAnsi"/>
          <w:color w:val="auto"/>
        </w:rPr>
      </w:pPr>
    </w:p>
    <w:p w14:paraId="04B57C93" w14:textId="5CF14106" w:rsidR="00F42BF9" w:rsidRPr="00E033F1" w:rsidRDefault="00F42BF9"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Blank</w:t>
      </w:r>
      <w:r w:rsidR="00B43462" w:rsidRPr="00E033F1">
        <w:rPr>
          <w:rFonts w:asciiTheme="minorHAnsi" w:hAnsiTheme="minorHAnsi" w:cstheme="minorHAnsi"/>
          <w:color w:val="auto"/>
        </w:rPr>
        <w:t>-</w:t>
      </w:r>
      <w:r w:rsidRPr="00E033F1">
        <w:rPr>
          <w:rFonts w:asciiTheme="minorHAnsi" w:hAnsiTheme="minorHAnsi" w:cstheme="minorHAnsi"/>
          <w:color w:val="auto"/>
        </w:rPr>
        <w:t xml:space="preserve">correct the absorbance by subtracting the results </w:t>
      </w:r>
      <w:r w:rsidR="00D1215A" w:rsidRPr="00E033F1">
        <w:rPr>
          <w:rFonts w:asciiTheme="minorHAnsi" w:hAnsiTheme="minorHAnsi" w:cstheme="minorHAnsi"/>
          <w:color w:val="auto"/>
        </w:rPr>
        <w:t>from the test well</w:t>
      </w:r>
      <w:r w:rsidRPr="00E033F1">
        <w:rPr>
          <w:rFonts w:asciiTheme="minorHAnsi" w:hAnsiTheme="minorHAnsi" w:cstheme="minorHAnsi"/>
          <w:color w:val="auto"/>
        </w:rPr>
        <w:t xml:space="preserve"> blanks.</w:t>
      </w:r>
    </w:p>
    <w:p w14:paraId="2A5A0772" w14:textId="77777777" w:rsidR="00F42BF9" w:rsidRPr="00E033F1" w:rsidRDefault="00F42BF9" w:rsidP="00E033F1">
      <w:pPr>
        <w:pStyle w:val="ListParagraph"/>
        <w:ind w:left="0"/>
        <w:rPr>
          <w:rFonts w:asciiTheme="minorHAnsi" w:hAnsiTheme="minorHAnsi" w:cstheme="minorHAnsi"/>
          <w:color w:val="auto"/>
        </w:rPr>
      </w:pPr>
    </w:p>
    <w:p w14:paraId="0F310BE2" w14:textId="3B38E8D4" w:rsidR="00DD39A7" w:rsidRPr="00E033F1" w:rsidRDefault="00F42BF9"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 xml:space="preserve">Normalize the results by dividing </w:t>
      </w:r>
      <w:r w:rsidR="00DD39A7" w:rsidRPr="00E033F1">
        <w:rPr>
          <w:rFonts w:asciiTheme="minorHAnsi" w:hAnsiTheme="minorHAnsi" w:cstheme="minorHAnsi"/>
          <w:color w:val="auto"/>
        </w:rPr>
        <w:t>the</w:t>
      </w:r>
      <w:r w:rsidRPr="00E033F1">
        <w:rPr>
          <w:rFonts w:asciiTheme="minorHAnsi" w:hAnsiTheme="minorHAnsi" w:cstheme="minorHAnsi"/>
          <w:color w:val="auto"/>
        </w:rPr>
        <w:t xml:space="preserve"> values obtained </w:t>
      </w:r>
      <w:r w:rsidR="00D1215A" w:rsidRPr="00E033F1">
        <w:rPr>
          <w:rFonts w:asciiTheme="minorHAnsi" w:hAnsiTheme="minorHAnsi" w:cstheme="minorHAnsi"/>
          <w:color w:val="auto"/>
        </w:rPr>
        <w:t>using</w:t>
      </w:r>
      <w:r w:rsidRPr="00E033F1">
        <w:rPr>
          <w:rFonts w:asciiTheme="minorHAnsi" w:hAnsiTheme="minorHAnsi" w:cstheme="minorHAnsi"/>
          <w:color w:val="auto"/>
        </w:rPr>
        <w:t xml:space="preserve"> the</w:t>
      </w:r>
      <w:r w:rsidR="00DD39A7" w:rsidRPr="00E033F1">
        <w:rPr>
          <w:rFonts w:asciiTheme="minorHAnsi" w:hAnsiTheme="minorHAnsi" w:cstheme="minorHAnsi"/>
          <w:color w:val="auto"/>
        </w:rPr>
        <w:t xml:space="preserve"> GST inhibitor</w:t>
      </w:r>
      <w:r w:rsidR="00D1215A" w:rsidRPr="00E033F1">
        <w:rPr>
          <w:rFonts w:asciiTheme="minorHAnsi" w:hAnsiTheme="minorHAnsi" w:cstheme="minorHAnsi"/>
          <w:color w:val="auto"/>
        </w:rPr>
        <w:t xml:space="preserve"> solution</w:t>
      </w:r>
      <w:r w:rsidR="00DD39A7" w:rsidRPr="00E033F1">
        <w:rPr>
          <w:rFonts w:asciiTheme="minorHAnsi" w:hAnsiTheme="minorHAnsi" w:cstheme="minorHAnsi"/>
          <w:color w:val="auto"/>
        </w:rPr>
        <w:t xml:space="preserve"> by the </w:t>
      </w:r>
      <w:r w:rsidR="000B5714" w:rsidRPr="00E033F1">
        <w:rPr>
          <w:rFonts w:asciiTheme="minorHAnsi" w:hAnsiTheme="minorHAnsi" w:cstheme="minorHAnsi"/>
          <w:color w:val="auto"/>
        </w:rPr>
        <w:t xml:space="preserve">control’s </w:t>
      </w:r>
      <w:r w:rsidR="00DD39A7" w:rsidRPr="00E033F1">
        <w:rPr>
          <w:rFonts w:asciiTheme="minorHAnsi" w:hAnsiTheme="minorHAnsi" w:cstheme="minorHAnsi"/>
          <w:color w:val="auto"/>
        </w:rPr>
        <w:t>absorbance per m</w:t>
      </w:r>
      <w:r w:rsidRPr="00E033F1">
        <w:rPr>
          <w:rFonts w:asciiTheme="minorHAnsi" w:hAnsiTheme="minorHAnsi" w:cstheme="minorHAnsi"/>
          <w:color w:val="auto"/>
        </w:rPr>
        <w:t xml:space="preserve">inute </w:t>
      </w:r>
      <w:r w:rsidR="00DD39A7" w:rsidRPr="00E033F1">
        <w:rPr>
          <w:rFonts w:asciiTheme="minorHAnsi" w:hAnsiTheme="minorHAnsi" w:cstheme="minorHAnsi"/>
          <w:color w:val="auto"/>
        </w:rPr>
        <w:t xml:space="preserve">with no inhibitor. </w:t>
      </w:r>
    </w:p>
    <w:p w14:paraId="3E4497CD" w14:textId="77777777" w:rsidR="00DD39A7" w:rsidRPr="00E033F1" w:rsidRDefault="00DD39A7" w:rsidP="00E033F1">
      <w:pPr>
        <w:pStyle w:val="ListParagraph"/>
        <w:ind w:left="0"/>
        <w:rPr>
          <w:rFonts w:asciiTheme="minorHAnsi" w:hAnsiTheme="minorHAnsi" w:cstheme="minorHAnsi"/>
          <w:color w:val="auto"/>
        </w:rPr>
      </w:pPr>
    </w:p>
    <w:p w14:paraId="50A8EA05" w14:textId="6A73D0F7" w:rsidR="00763862" w:rsidRPr="00E033F1" w:rsidRDefault="00763862" w:rsidP="00E033F1">
      <w:pPr>
        <w:pStyle w:val="ListParagraph"/>
        <w:numPr>
          <w:ilvl w:val="1"/>
          <w:numId w:val="31"/>
        </w:numPr>
        <w:ind w:left="0" w:firstLine="0"/>
        <w:rPr>
          <w:rFonts w:asciiTheme="minorHAnsi" w:hAnsiTheme="minorHAnsi" w:cstheme="minorHAnsi"/>
          <w:color w:val="auto"/>
        </w:rPr>
      </w:pPr>
      <w:r w:rsidRPr="00E033F1">
        <w:rPr>
          <w:rFonts w:asciiTheme="minorHAnsi" w:hAnsiTheme="minorHAnsi" w:cstheme="minorHAnsi"/>
          <w:color w:val="auto"/>
        </w:rPr>
        <w:t>Plot the non-linear regression graphs of the logarithmic concentration</w:t>
      </w:r>
      <w:r w:rsidR="00495BBC" w:rsidRPr="00E033F1">
        <w:rPr>
          <w:rFonts w:asciiTheme="minorHAnsi" w:hAnsiTheme="minorHAnsi" w:cstheme="minorHAnsi"/>
          <w:color w:val="auto"/>
        </w:rPr>
        <w:t xml:space="preserve"> (x-axis)</w:t>
      </w:r>
      <w:r w:rsidRPr="00E033F1">
        <w:rPr>
          <w:rFonts w:asciiTheme="minorHAnsi" w:hAnsiTheme="minorHAnsi" w:cstheme="minorHAnsi"/>
          <w:color w:val="auto"/>
        </w:rPr>
        <w:t xml:space="preserve"> of the inhibitor against the GST activity </w:t>
      </w:r>
      <w:r w:rsidR="00495BBC" w:rsidRPr="00E033F1">
        <w:rPr>
          <w:rFonts w:asciiTheme="minorHAnsi" w:hAnsiTheme="minorHAnsi" w:cstheme="minorHAnsi"/>
          <w:color w:val="auto"/>
        </w:rPr>
        <w:t>(y-axis)</w:t>
      </w:r>
      <w:r w:rsidR="00814A6C" w:rsidRPr="00E033F1">
        <w:rPr>
          <w:rFonts w:asciiTheme="minorHAnsi" w:hAnsiTheme="minorHAnsi" w:cstheme="minorHAnsi"/>
          <w:color w:val="auto"/>
        </w:rPr>
        <w:t>,</w:t>
      </w:r>
      <w:r w:rsidR="00495BBC" w:rsidRPr="00E033F1">
        <w:rPr>
          <w:rFonts w:asciiTheme="minorHAnsi" w:hAnsiTheme="minorHAnsi" w:cstheme="minorHAnsi"/>
          <w:color w:val="auto"/>
        </w:rPr>
        <w:t xml:space="preserve"> </w:t>
      </w:r>
      <w:r w:rsidRPr="00E033F1">
        <w:rPr>
          <w:rFonts w:asciiTheme="minorHAnsi" w:hAnsiTheme="minorHAnsi" w:cstheme="minorHAnsi"/>
          <w:color w:val="auto"/>
        </w:rPr>
        <w:t xml:space="preserve">and </w:t>
      </w:r>
      <w:r w:rsidR="00814A6C" w:rsidRPr="00E033F1">
        <w:rPr>
          <w:rFonts w:asciiTheme="minorHAnsi" w:hAnsiTheme="minorHAnsi" w:cstheme="minorHAnsi"/>
          <w:color w:val="auto"/>
        </w:rPr>
        <w:t xml:space="preserve">thus </w:t>
      </w:r>
      <w:r w:rsidR="00495BBC" w:rsidRPr="00E033F1">
        <w:rPr>
          <w:rFonts w:asciiTheme="minorHAnsi" w:hAnsiTheme="minorHAnsi" w:cstheme="minorHAnsi"/>
          <w:color w:val="auto"/>
        </w:rPr>
        <w:t>determine the IC50</w:t>
      </w:r>
      <w:r w:rsidRPr="00E033F1">
        <w:rPr>
          <w:rFonts w:asciiTheme="minorHAnsi" w:hAnsiTheme="minorHAnsi" w:cstheme="minorHAnsi"/>
          <w:color w:val="auto"/>
        </w:rPr>
        <w:t>.</w:t>
      </w:r>
    </w:p>
    <w:p w14:paraId="42EFBD97" w14:textId="77777777" w:rsidR="00763862" w:rsidRPr="00E033F1" w:rsidRDefault="00763862" w:rsidP="00E033F1">
      <w:pPr>
        <w:pStyle w:val="ListParagraph"/>
        <w:ind w:left="0"/>
        <w:rPr>
          <w:rFonts w:asciiTheme="minorHAnsi" w:hAnsiTheme="minorHAnsi" w:cstheme="minorHAnsi"/>
          <w:color w:val="auto"/>
        </w:rPr>
      </w:pPr>
    </w:p>
    <w:p w14:paraId="343DD3B6" w14:textId="78A85BC0" w:rsidR="00763862" w:rsidRPr="00E033F1" w:rsidRDefault="00763862" w:rsidP="00E033F1">
      <w:pPr>
        <w:pStyle w:val="ListParagraph"/>
        <w:ind w:left="0"/>
        <w:rPr>
          <w:rFonts w:asciiTheme="minorHAnsi" w:hAnsiTheme="minorHAnsi" w:cstheme="minorHAnsi"/>
          <w:color w:val="auto"/>
        </w:rPr>
      </w:pPr>
      <w:r w:rsidRPr="00E033F1">
        <w:rPr>
          <w:rFonts w:asciiTheme="minorHAnsi" w:hAnsiTheme="minorHAnsi" w:cstheme="minorHAnsi"/>
          <w:color w:val="auto"/>
        </w:rPr>
        <w:t>NOTE: GraphPad Prism calculate</w:t>
      </w:r>
      <w:r w:rsidR="00814A6C" w:rsidRPr="00E033F1">
        <w:rPr>
          <w:rFonts w:asciiTheme="minorHAnsi" w:hAnsiTheme="minorHAnsi" w:cstheme="minorHAnsi"/>
          <w:color w:val="auto"/>
        </w:rPr>
        <w:t>s</w:t>
      </w:r>
      <w:r w:rsidRPr="00E033F1">
        <w:rPr>
          <w:rFonts w:asciiTheme="minorHAnsi" w:hAnsiTheme="minorHAnsi" w:cstheme="minorHAnsi"/>
          <w:color w:val="auto"/>
        </w:rPr>
        <w:t xml:space="preserve"> the IC50 from the non-linear regression plots</w:t>
      </w:r>
      <w:r w:rsidR="001D442A" w:rsidRPr="00E033F1">
        <w:rPr>
          <w:rFonts w:asciiTheme="minorHAnsi" w:hAnsiTheme="minorHAnsi" w:cstheme="minorHAnsi"/>
          <w:color w:val="auto"/>
        </w:rPr>
        <w:t xml:space="preserve"> by predicting the concentration that will show </w:t>
      </w:r>
      <w:r w:rsidR="002032D2" w:rsidRPr="00E033F1">
        <w:rPr>
          <w:rFonts w:asciiTheme="minorHAnsi" w:hAnsiTheme="minorHAnsi" w:cstheme="minorHAnsi"/>
          <w:color w:val="auto"/>
        </w:rPr>
        <w:t xml:space="preserve">50% </w:t>
      </w:r>
      <w:r w:rsidR="00795E81" w:rsidRPr="00E033F1">
        <w:rPr>
          <w:rFonts w:asciiTheme="minorHAnsi" w:hAnsiTheme="minorHAnsi" w:cstheme="minorHAnsi"/>
          <w:color w:val="auto"/>
        </w:rPr>
        <w:t xml:space="preserve">of the </w:t>
      </w:r>
      <w:r w:rsidR="002032D2" w:rsidRPr="00E033F1">
        <w:rPr>
          <w:rFonts w:asciiTheme="minorHAnsi" w:hAnsiTheme="minorHAnsi" w:cstheme="minorHAnsi"/>
          <w:color w:val="auto"/>
        </w:rPr>
        <w:t xml:space="preserve">enzymatic activity </w:t>
      </w:r>
      <w:r w:rsidR="00795E81" w:rsidRPr="00E033F1">
        <w:rPr>
          <w:rFonts w:asciiTheme="minorHAnsi" w:hAnsiTheme="minorHAnsi" w:cstheme="minorHAnsi"/>
          <w:color w:val="auto"/>
        </w:rPr>
        <w:t>in</w:t>
      </w:r>
      <w:r w:rsidR="002032D2" w:rsidRPr="00E033F1">
        <w:rPr>
          <w:rFonts w:asciiTheme="minorHAnsi" w:hAnsiTheme="minorHAnsi" w:cstheme="minorHAnsi"/>
          <w:color w:val="auto"/>
        </w:rPr>
        <w:t xml:space="preserve"> the control</w:t>
      </w:r>
      <w:r w:rsidRPr="00E033F1">
        <w:rPr>
          <w:rFonts w:asciiTheme="minorHAnsi" w:hAnsiTheme="minorHAnsi" w:cstheme="minorHAnsi"/>
          <w:color w:val="auto"/>
        </w:rPr>
        <w:t>.</w:t>
      </w:r>
      <w:r w:rsidR="00E76AE2" w:rsidRPr="00E033F1">
        <w:rPr>
          <w:rFonts w:asciiTheme="minorHAnsi" w:hAnsiTheme="minorHAnsi" w:cstheme="minorHAnsi"/>
          <w:color w:val="auto"/>
        </w:rPr>
        <w:t xml:space="preserve"> Th</w:t>
      </w:r>
      <w:r w:rsidR="000A3C13" w:rsidRPr="00E033F1">
        <w:rPr>
          <w:rFonts w:asciiTheme="minorHAnsi" w:hAnsiTheme="minorHAnsi" w:cstheme="minorHAnsi"/>
          <w:color w:val="auto"/>
        </w:rPr>
        <w:t xml:space="preserve">e prediction is </w:t>
      </w:r>
      <w:r w:rsidR="00E76AE2" w:rsidRPr="00E033F1">
        <w:rPr>
          <w:rFonts w:asciiTheme="minorHAnsi" w:hAnsiTheme="minorHAnsi" w:cstheme="minorHAnsi"/>
          <w:color w:val="auto"/>
        </w:rPr>
        <w:t>based on the bottom and top plateaus, as well as the curve of the slope formed by the sigmoid graph.</w:t>
      </w:r>
      <w:r w:rsidRPr="00E033F1">
        <w:rPr>
          <w:rFonts w:asciiTheme="minorHAnsi" w:hAnsiTheme="minorHAnsi" w:cstheme="minorHAnsi"/>
          <w:color w:val="auto"/>
        </w:rPr>
        <w:t xml:space="preserve"> </w:t>
      </w:r>
    </w:p>
    <w:p w14:paraId="12DB0759" w14:textId="212B47D3" w:rsidR="00A32F1C" w:rsidRPr="00E033F1" w:rsidRDefault="00A32F1C" w:rsidP="00E033F1">
      <w:pPr>
        <w:contextualSpacing/>
        <w:rPr>
          <w:rFonts w:asciiTheme="minorHAnsi" w:hAnsiTheme="minorHAnsi" w:cstheme="minorHAnsi"/>
          <w:color w:val="auto"/>
        </w:rPr>
      </w:pPr>
    </w:p>
    <w:p w14:paraId="496AB0B4" w14:textId="0C3901F5" w:rsidR="001C1E49" w:rsidRPr="00E033F1" w:rsidRDefault="0037318E" w:rsidP="00E033F1">
      <w:pPr>
        <w:pStyle w:val="NormalWeb"/>
        <w:numPr>
          <w:ilvl w:val="0"/>
          <w:numId w:val="31"/>
        </w:numPr>
        <w:spacing w:before="0" w:beforeAutospacing="0" w:after="0" w:afterAutospacing="0"/>
        <w:ind w:left="0" w:firstLine="0"/>
        <w:contextualSpacing/>
        <w:rPr>
          <w:rFonts w:asciiTheme="minorHAnsi" w:hAnsiTheme="minorHAnsi" w:cstheme="minorHAnsi"/>
          <w:b/>
          <w:color w:val="auto"/>
        </w:rPr>
      </w:pPr>
      <w:r w:rsidRPr="00E033F1">
        <w:rPr>
          <w:rFonts w:asciiTheme="minorHAnsi" w:hAnsiTheme="minorHAnsi" w:cstheme="minorHAnsi"/>
          <w:b/>
          <w:color w:val="auto"/>
        </w:rPr>
        <w:t>Assessment of the K</w:t>
      </w:r>
      <w:r w:rsidRPr="00E033F1">
        <w:rPr>
          <w:rFonts w:asciiTheme="minorHAnsi" w:hAnsiTheme="minorHAnsi" w:cstheme="minorHAnsi"/>
          <w:b/>
          <w:color w:val="auto"/>
          <w:vertAlign w:val="subscript"/>
        </w:rPr>
        <w:t>i</w:t>
      </w:r>
      <w:r w:rsidR="00DD39A7" w:rsidRPr="00E033F1">
        <w:rPr>
          <w:rFonts w:asciiTheme="minorHAnsi" w:hAnsiTheme="minorHAnsi" w:cstheme="minorHAnsi"/>
          <w:b/>
          <w:color w:val="auto"/>
        </w:rPr>
        <w:t xml:space="preserve"> and the type of inhibition</w:t>
      </w:r>
    </w:p>
    <w:p w14:paraId="7593A2D4" w14:textId="77777777" w:rsidR="00DD39A7" w:rsidRPr="00E033F1" w:rsidRDefault="00DD39A7" w:rsidP="00E033F1">
      <w:pPr>
        <w:widowControl/>
        <w:autoSpaceDE/>
        <w:autoSpaceDN/>
        <w:adjustRightInd/>
        <w:contextualSpacing/>
        <w:jc w:val="left"/>
        <w:rPr>
          <w:rFonts w:asciiTheme="minorHAnsi" w:hAnsiTheme="minorHAnsi" w:cstheme="minorHAnsi"/>
          <w:b/>
          <w:color w:val="auto"/>
        </w:rPr>
      </w:pPr>
    </w:p>
    <w:p w14:paraId="24F08EDD" w14:textId="75624F1B" w:rsidR="0087513B" w:rsidRPr="00E033F1" w:rsidRDefault="00DD39A7" w:rsidP="00E033F1">
      <w:pPr>
        <w:pStyle w:val="ListParagraph"/>
        <w:widowControl/>
        <w:numPr>
          <w:ilvl w:val="1"/>
          <w:numId w:val="31"/>
        </w:numPr>
        <w:autoSpaceDE/>
        <w:autoSpaceDN/>
        <w:adjustRightInd/>
        <w:ind w:left="0" w:firstLine="0"/>
        <w:jc w:val="left"/>
        <w:rPr>
          <w:rFonts w:asciiTheme="minorHAnsi" w:hAnsiTheme="minorHAnsi" w:cstheme="minorHAnsi"/>
          <w:b/>
          <w:color w:val="auto"/>
        </w:rPr>
      </w:pPr>
      <w:r w:rsidRPr="00E033F1">
        <w:rPr>
          <w:rFonts w:asciiTheme="minorHAnsi" w:hAnsiTheme="minorHAnsi" w:cstheme="minorHAnsi"/>
          <w:color w:val="auto"/>
        </w:rPr>
        <w:lastRenderedPageBreak/>
        <w:t>Prepare four different CDNB concentration</w:t>
      </w:r>
      <w:r w:rsidR="00814A6C" w:rsidRPr="00E033F1">
        <w:rPr>
          <w:rFonts w:asciiTheme="minorHAnsi" w:hAnsiTheme="minorHAnsi" w:cstheme="minorHAnsi"/>
          <w:color w:val="auto"/>
        </w:rPr>
        <w:t>s</w:t>
      </w:r>
      <w:r w:rsidR="00E033F1">
        <w:rPr>
          <w:rFonts w:asciiTheme="minorHAnsi" w:hAnsiTheme="minorHAnsi" w:cstheme="minorHAnsi"/>
          <w:color w:val="auto"/>
        </w:rPr>
        <w:t>:</w:t>
      </w:r>
      <w:r w:rsidRPr="00E033F1">
        <w:rPr>
          <w:rFonts w:asciiTheme="minorHAnsi" w:hAnsiTheme="minorHAnsi" w:cstheme="minorHAnsi"/>
          <w:color w:val="auto"/>
        </w:rPr>
        <w:t xml:space="preserve"> </w:t>
      </w:r>
      <w:r w:rsidR="000A3C13" w:rsidRPr="00E033F1">
        <w:rPr>
          <w:rFonts w:asciiTheme="minorHAnsi" w:hAnsiTheme="minorHAnsi" w:cstheme="minorHAnsi"/>
          <w:color w:val="auto"/>
        </w:rPr>
        <w:t xml:space="preserve">three higher and </w:t>
      </w:r>
      <w:r w:rsidR="001F7D9E" w:rsidRPr="00E033F1">
        <w:rPr>
          <w:rFonts w:asciiTheme="minorHAnsi" w:hAnsiTheme="minorHAnsi" w:cstheme="minorHAnsi"/>
          <w:color w:val="auto"/>
        </w:rPr>
        <w:t>one equal</w:t>
      </w:r>
      <w:r w:rsidR="000A3C13" w:rsidRPr="00E033F1">
        <w:rPr>
          <w:rFonts w:asciiTheme="minorHAnsi" w:hAnsiTheme="minorHAnsi" w:cstheme="minorHAnsi"/>
          <w:color w:val="auto"/>
        </w:rPr>
        <w:t xml:space="preserve"> to</w:t>
      </w:r>
      <w:r w:rsidRPr="00E033F1">
        <w:rPr>
          <w:rFonts w:asciiTheme="minorHAnsi" w:hAnsiTheme="minorHAnsi" w:cstheme="minorHAnsi"/>
          <w:color w:val="auto"/>
        </w:rPr>
        <w:t xml:space="preserve"> the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87513B" w:rsidRPr="00E033F1">
        <w:rPr>
          <w:rFonts w:asciiTheme="minorHAnsi" w:hAnsiTheme="minorHAnsi" w:cstheme="minorHAnsi"/>
          <w:color w:val="auto"/>
        </w:rPr>
        <w:t xml:space="preserve"> previously found. </w:t>
      </w:r>
    </w:p>
    <w:p w14:paraId="25F822A2" w14:textId="77777777" w:rsidR="0087513B" w:rsidRPr="00E033F1" w:rsidRDefault="0087513B" w:rsidP="00E033F1">
      <w:pPr>
        <w:widowControl/>
        <w:autoSpaceDE/>
        <w:autoSpaceDN/>
        <w:adjustRightInd/>
        <w:contextualSpacing/>
        <w:jc w:val="left"/>
        <w:rPr>
          <w:rFonts w:asciiTheme="minorHAnsi" w:hAnsiTheme="minorHAnsi" w:cstheme="minorHAnsi"/>
          <w:b/>
          <w:color w:val="auto"/>
        </w:rPr>
      </w:pPr>
    </w:p>
    <w:p w14:paraId="6FF8E211" w14:textId="1CA39E27" w:rsidR="0087513B" w:rsidRPr="00E033F1" w:rsidRDefault="0087513B" w:rsidP="00E033F1">
      <w:pPr>
        <w:pStyle w:val="ListParagraph"/>
        <w:widowControl/>
        <w:numPr>
          <w:ilvl w:val="1"/>
          <w:numId w:val="31"/>
        </w:numPr>
        <w:autoSpaceDE/>
        <w:autoSpaceDN/>
        <w:adjustRightInd/>
        <w:ind w:left="0" w:firstLine="0"/>
        <w:jc w:val="left"/>
        <w:rPr>
          <w:rFonts w:asciiTheme="minorHAnsi" w:hAnsiTheme="minorHAnsi" w:cstheme="minorHAnsi"/>
          <w:b/>
          <w:color w:val="auto"/>
        </w:rPr>
      </w:pPr>
      <w:r w:rsidRPr="00E033F1">
        <w:rPr>
          <w:rFonts w:asciiTheme="minorHAnsi" w:hAnsiTheme="minorHAnsi" w:cstheme="minorHAnsi"/>
          <w:color w:val="auto"/>
        </w:rPr>
        <w:t xml:space="preserve">Prepare </w:t>
      </w:r>
      <w:r w:rsidR="000A3C13" w:rsidRPr="00E033F1">
        <w:rPr>
          <w:rFonts w:asciiTheme="minorHAnsi" w:hAnsiTheme="minorHAnsi" w:cstheme="minorHAnsi"/>
          <w:color w:val="auto"/>
        </w:rPr>
        <w:t xml:space="preserve">three </w:t>
      </w:r>
      <w:r w:rsidRPr="00E033F1">
        <w:rPr>
          <w:rFonts w:asciiTheme="minorHAnsi" w:hAnsiTheme="minorHAnsi" w:cstheme="minorHAnsi"/>
          <w:color w:val="auto"/>
        </w:rPr>
        <w:t>different GST inhibitor concentration</w:t>
      </w:r>
      <w:r w:rsidR="00814A6C" w:rsidRPr="00E033F1">
        <w:rPr>
          <w:rFonts w:asciiTheme="minorHAnsi" w:hAnsiTheme="minorHAnsi" w:cstheme="minorHAnsi"/>
          <w:color w:val="auto"/>
        </w:rPr>
        <w:t>s</w:t>
      </w:r>
      <w:r w:rsidR="001F7D9E" w:rsidRPr="00E033F1">
        <w:rPr>
          <w:rFonts w:asciiTheme="minorHAnsi" w:hAnsiTheme="minorHAnsi" w:cstheme="minorHAnsi"/>
          <w:color w:val="auto"/>
        </w:rPr>
        <w:t xml:space="preserve">, equal </w:t>
      </w:r>
      <w:r w:rsidR="00814A6C" w:rsidRPr="00E033F1">
        <w:rPr>
          <w:rFonts w:asciiTheme="minorHAnsi" w:hAnsiTheme="minorHAnsi" w:cstheme="minorHAnsi"/>
          <w:color w:val="auto"/>
        </w:rPr>
        <w:t xml:space="preserve">to </w:t>
      </w:r>
      <w:r w:rsidR="001F7D9E" w:rsidRPr="00E033F1">
        <w:rPr>
          <w:rFonts w:asciiTheme="minorHAnsi" w:hAnsiTheme="minorHAnsi" w:cstheme="minorHAnsi"/>
          <w:color w:val="auto"/>
        </w:rPr>
        <w:t>or below</w:t>
      </w:r>
      <w:r w:rsidR="00A77858" w:rsidRPr="00E033F1">
        <w:rPr>
          <w:rFonts w:asciiTheme="minorHAnsi" w:hAnsiTheme="minorHAnsi" w:cstheme="minorHAnsi"/>
          <w:color w:val="auto"/>
        </w:rPr>
        <w:t xml:space="preserve"> </w:t>
      </w:r>
      <w:r w:rsidRPr="00E033F1">
        <w:rPr>
          <w:rFonts w:asciiTheme="minorHAnsi" w:hAnsiTheme="minorHAnsi" w:cstheme="minorHAnsi"/>
          <w:color w:val="auto"/>
        </w:rPr>
        <w:t xml:space="preserve">the previously found IC50. </w:t>
      </w:r>
    </w:p>
    <w:p w14:paraId="3A05AB8C" w14:textId="77777777" w:rsidR="0087513B" w:rsidRPr="00E033F1" w:rsidRDefault="0087513B" w:rsidP="00E033F1">
      <w:pPr>
        <w:pStyle w:val="ListParagraph"/>
        <w:ind w:left="0"/>
        <w:rPr>
          <w:rFonts w:asciiTheme="minorHAnsi" w:hAnsiTheme="minorHAnsi" w:cstheme="minorHAnsi"/>
          <w:b/>
          <w:color w:val="auto"/>
        </w:rPr>
      </w:pPr>
    </w:p>
    <w:p w14:paraId="28073D7B" w14:textId="06B201DA" w:rsidR="0087513B" w:rsidRPr="00E033F1" w:rsidRDefault="0087513B" w:rsidP="00E033F1">
      <w:pPr>
        <w:pStyle w:val="ListParagraph"/>
        <w:widowControl/>
        <w:numPr>
          <w:ilvl w:val="1"/>
          <w:numId w:val="31"/>
        </w:numPr>
        <w:autoSpaceDE/>
        <w:autoSpaceDN/>
        <w:adjustRightInd/>
        <w:ind w:left="0" w:firstLine="0"/>
        <w:jc w:val="left"/>
        <w:rPr>
          <w:rFonts w:asciiTheme="minorHAnsi" w:hAnsiTheme="minorHAnsi" w:cstheme="minorHAnsi"/>
          <w:b/>
          <w:color w:val="auto"/>
        </w:rPr>
      </w:pPr>
      <w:r w:rsidRPr="00E033F1">
        <w:rPr>
          <w:rFonts w:asciiTheme="minorHAnsi" w:hAnsiTheme="minorHAnsi" w:cstheme="minorHAnsi"/>
          <w:color w:val="auto"/>
        </w:rPr>
        <w:t>Perform the inhibition assay</w:t>
      </w:r>
      <w:r w:rsidR="001D442A" w:rsidRPr="00E033F1">
        <w:rPr>
          <w:rFonts w:asciiTheme="minorHAnsi" w:hAnsiTheme="minorHAnsi" w:cstheme="minorHAnsi"/>
          <w:color w:val="auto"/>
        </w:rPr>
        <w:t xml:space="preserve"> as </w:t>
      </w:r>
      <w:r w:rsidR="00814A6C" w:rsidRPr="00E033F1">
        <w:rPr>
          <w:rFonts w:asciiTheme="minorHAnsi" w:hAnsiTheme="minorHAnsi" w:cstheme="minorHAnsi"/>
          <w:color w:val="auto"/>
        </w:rPr>
        <w:t>described in</w:t>
      </w:r>
      <w:r w:rsidR="001D442A" w:rsidRPr="00E033F1">
        <w:rPr>
          <w:rFonts w:asciiTheme="minorHAnsi" w:hAnsiTheme="minorHAnsi" w:cstheme="minorHAnsi"/>
          <w:color w:val="auto"/>
        </w:rPr>
        <w:t xml:space="preserve"> steps 4.2 to 4.7.</w:t>
      </w:r>
    </w:p>
    <w:p w14:paraId="38CE6D7A" w14:textId="77777777" w:rsidR="0087513B" w:rsidRPr="00E033F1" w:rsidRDefault="0087513B" w:rsidP="00E033F1">
      <w:pPr>
        <w:pStyle w:val="ListParagraph"/>
        <w:ind w:left="0"/>
        <w:rPr>
          <w:rFonts w:asciiTheme="minorHAnsi" w:hAnsiTheme="minorHAnsi" w:cstheme="minorHAnsi"/>
          <w:b/>
          <w:color w:val="auto"/>
        </w:rPr>
      </w:pPr>
    </w:p>
    <w:p w14:paraId="32C852A2" w14:textId="5E5D4465" w:rsidR="001F7D9E" w:rsidRPr="00E033F1" w:rsidRDefault="001F7D9E" w:rsidP="00E033F1">
      <w:pPr>
        <w:pStyle w:val="ListParagraph"/>
        <w:widowControl/>
        <w:numPr>
          <w:ilvl w:val="1"/>
          <w:numId w:val="31"/>
        </w:numPr>
        <w:autoSpaceDE/>
        <w:autoSpaceDN/>
        <w:adjustRightInd/>
        <w:ind w:left="0" w:firstLine="0"/>
        <w:jc w:val="left"/>
        <w:rPr>
          <w:rFonts w:asciiTheme="minorHAnsi" w:hAnsiTheme="minorHAnsi" w:cstheme="minorHAnsi"/>
          <w:b/>
          <w:color w:val="auto"/>
        </w:rPr>
      </w:pPr>
      <w:r w:rsidRPr="00E033F1">
        <w:rPr>
          <w:rFonts w:asciiTheme="minorHAnsi" w:hAnsiTheme="minorHAnsi" w:cstheme="minorHAnsi"/>
          <w:color w:val="auto"/>
        </w:rPr>
        <w:t>Calculate the velocity of the reaction</w:t>
      </w:r>
      <w:r w:rsidR="00B43462" w:rsidRPr="00E033F1">
        <w:rPr>
          <w:rFonts w:asciiTheme="minorHAnsi" w:hAnsiTheme="minorHAnsi" w:cstheme="minorHAnsi"/>
          <w:color w:val="auto"/>
        </w:rPr>
        <w:t>s</w:t>
      </w:r>
      <w:r w:rsidRPr="00E033F1">
        <w:rPr>
          <w:rFonts w:asciiTheme="minorHAnsi" w:hAnsiTheme="minorHAnsi" w:cstheme="minorHAnsi"/>
          <w:color w:val="auto"/>
        </w:rPr>
        <w:t xml:space="preserve"> </w:t>
      </w:r>
      <w:r w:rsidR="00814A6C" w:rsidRPr="00E033F1">
        <w:rPr>
          <w:rFonts w:asciiTheme="minorHAnsi" w:hAnsiTheme="minorHAnsi" w:cstheme="minorHAnsi"/>
          <w:color w:val="auto"/>
        </w:rPr>
        <w:t>using</w:t>
      </w:r>
      <w:r w:rsidRPr="00E033F1">
        <w:rPr>
          <w:rFonts w:asciiTheme="minorHAnsi" w:hAnsiTheme="minorHAnsi" w:cstheme="minorHAnsi"/>
          <w:color w:val="auto"/>
        </w:rPr>
        <w:t xml:space="preserve"> </w:t>
      </w:r>
      <w:r w:rsidRPr="00E033F1">
        <w:rPr>
          <w:rFonts w:asciiTheme="minorHAnsi" w:hAnsiTheme="minorHAnsi" w:cstheme="minorHAnsi"/>
          <w:color w:val="auto"/>
        </w:rPr>
        <w:fldChar w:fldCharType="begin"/>
      </w:r>
      <w:r w:rsidRPr="00E033F1">
        <w:rPr>
          <w:rFonts w:asciiTheme="minorHAnsi" w:hAnsiTheme="minorHAnsi" w:cstheme="minorHAnsi"/>
          <w:color w:val="auto"/>
        </w:rPr>
        <w:instrText xml:space="preserve"> REF _Ref20238986 \h  \* MERGEFORMAT </w:instrText>
      </w:r>
      <w:r w:rsidRPr="00E033F1">
        <w:rPr>
          <w:rFonts w:asciiTheme="minorHAnsi" w:hAnsiTheme="minorHAnsi" w:cstheme="minorHAnsi"/>
          <w:color w:val="auto"/>
        </w:rPr>
      </w:r>
      <w:r w:rsidRPr="00E033F1">
        <w:rPr>
          <w:rFonts w:asciiTheme="minorHAnsi" w:hAnsiTheme="minorHAnsi" w:cstheme="minorHAnsi"/>
          <w:color w:val="auto"/>
        </w:rPr>
        <w:fldChar w:fldCharType="separate"/>
      </w:r>
      <w:r w:rsidR="008502DF" w:rsidRPr="00E033F1">
        <w:rPr>
          <w:b/>
          <w:color w:val="auto"/>
        </w:rPr>
        <w:t>Equation 2.</w:t>
      </w:r>
      <w:r w:rsidRPr="00E033F1">
        <w:rPr>
          <w:rFonts w:asciiTheme="minorHAnsi" w:hAnsiTheme="minorHAnsi" w:cstheme="minorHAnsi"/>
          <w:color w:val="auto"/>
        </w:rPr>
        <w:fldChar w:fldCharType="end"/>
      </w:r>
    </w:p>
    <w:p w14:paraId="1E25D325" w14:textId="77777777" w:rsidR="001F7D9E" w:rsidRPr="00E033F1" w:rsidRDefault="001F7D9E" w:rsidP="00E033F1">
      <w:pPr>
        <w:pStyle w:val="ListParagraph"/>
        <w:ind w:left="0"/>
        <w:rPr>
          <w:rFonts w:asciiTheme="minorHAnsi" w:hAnsiTheme="minorHAnsi" w:cstheme="minorHAnsi"/>
          <w:color w:val="auto"/>
        </w:rPr>
      </w:pPr>
    </w:p>
    <w:p w14:paraId="127F9C4D" w14:textId="21005781" w:rsidR="0087513B" w:rsidRPr="00E033F1" w:rsidRDefault="0087513B" w:rsidP="00E033F1">
      <w:pPr>
        <w:pStyle w:val="ListParagraph"/>
        <w:widowControl/>
        <w:numPr>
          <w:ilvl w:val="1"/>
          <w:numId w:val="31"/>
        </w:numPr>
        <w:autoSpaceDE/>
        <w:autoSpaceDN/>
        <w:adjustRightInd/>
        <w:ind w:left="0" w:firstLine="0"/>
        <w:jc w:val="left"/>
        <w:rPr>
          <w:rFonts w:asciiTheme="minorHAnsi" w:hAnsiTheme="minorHAnsi" w:cstheme="minorHAnsi"/>
          <w:b/>
          <w:color w:val="auto"/>
        </w:rPr>
      </w:pPr>
      <w:r w:rsidRPr="00E033F1">
        <w:rPr>
          <w:rFonts w:asciiTheme="minorHAnsi" w:hAnsiTheme="minorHAnsi" w:cstheme="minorHAnsi"/>
          <w:color w:val="auto"/>
        </w:rPr>
        <w:t>Plot the Micha</w:t>
      </w:r>
      <w:r w:rsidR="00814A6C" w:rsidRPr="00E033F1">
        <w:rPr>
          <w:rFonts w:asciiTheme="minorHAnsi" w:hAnsiTheme="minorHAnsi" w:cstheme="minorHAnsi"/>
          <w:color w:val="auto"/>
        </w:rPr>
        <w:t>e</w:t>
      </w:r>
      <w:r w:rsidRPr="00E033F1">
        <w:rPr>
          <w:rFonts w:asciiTheme="minorHAnsi" w:hAnsiTheme="minorHAnsi" w:cstheme="minorHAnsi"/>
          <w:color w:val="auto"/>
        </w:rPr>
        <w:t>lis</w:t>
      </w:r>
      <w:r w:rsidR="00814A6C" w:rsidRPr="00E033F1">
        <w:rPr>
          <w:rFonts w:asciiTheme="minorHAnsi" w:hAnsiTheme="minorHAnsi" w:cstheme="minorHAnsi"/>
          <w:color w:val="auto"/>
        </w:rPr>
        <w:t>–</w:t>
      </w:r>
      <w:r w:rsidRPr="00E033F1">
        <w:rPr>
          <w:rFonts w:asciiTheme="minorHAnsi" w:hAnsiTheme="minorHAnsi" w:cstheme="minorHAnsi"/>
          <w:color w:val="auto"/>
        </w:rPr>
        <w:t xml:space="preserve">Menten graphs </w:t>
      </w:r>
      <w:r w:rsidR="00814A6C" w:rsidRPr="00E033F1">
        <w:rPr>
          <w:rFonts w:asciiTheme="minorHAnsi" w:hAnsiTheme="minorHAnsi" w:cstheme="minorHAnsi"/>
          <w:color w:val="auto"/>
        </w:rPr>
        <w:t>for</w:t>
      </w:r>
      <w:r w:rsidRPr="00E033F1">
        <w:rPr>
          <w:rFonts w:asciiTheme="minorHAnsi" w:hAnsiTheme="minorHAnsi" w:cstheme="minorHAnsi"/>
          <w:color w:val="auto"/>
        </w:rPr>
        <w:t xml:space="preserve"> each inhibitor concentration and calculate the </w:t>
      </w:r>
      <w:r w:rsidR="00322741" w:rsidRPr="00E033F1">
        <w:rPr>
          <w:rFonts w:asciiTheme="minorHAnsi" w:hAnsiTheme="minorHAnsi" w:cstheme="minorHAnsi"/>
          <w:color w:val="auto"/>
        </w:rPr>
        <w:t>V</w:t>
      </w:r>
      <w:r w:rsidR="00322741" w:rsidRPr="00E033F1">
        <w:rPr>
          <w:rFonts w:asciiTheme="minorHAnsi" w:hAnsiTheme="minorHAnsi" w:cstheme="minorHAnsi"/>
          <w:color w:val="auto"/>
          <w:vertAlign w:val="subscript"/>
        </w:rPr>
        <w:t>max</w:t>
      </w:r>
      <w:r w:rsidRPr="00E033F1">
        <w:rPr>
          <w:rFonts w:asciiTheme="minorHAnsi" w:hAnsiTheme="minorHAnsi" w:cstheme="minorHAnsi"/>
          <w:color w:val="auto"/>
        </w:rPr>
        <w:t xml:space="preserve"> and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Pr="00E033F1">
        <w:rPr>
          <w:rFonts w:asciiTheme="minorHAnsi" w:hAnsiTheme="minorHAnsi" w:cstheme="minorHAnsi"/>
          <w:color w:val="auto"/>
        </w:rPr>
        <w:t xml:space="preserve"> of each reaction. </w:t>
      </w:r>
    </w:p>
    <w:p w14:paraId="58BD1E3A" w14:textId="44E09E84" w:rsidR="00D50838" w:rsidRPr="00E033F1" w:rsidRDefault="00D50838" w:rsidP="00E033F1">
      <w:pPr>
        <w:widowControl/>
        <w:autoSpaceDE/>
        <w:autoSpaceDN/>
        <w:adjustRightInd/>
        <w:contextualSpacing/>
        <w:jc w:val="left"/>
        <w:rPr>
          <w:rFonts w:asciiTheme="minorHAnsi" w:hAnsiTheme="minorHAnsi" w:cstheme="minorHAnsi"/>
          <w:color w:val="auto"/>
        </w:rPr>
      </w:pPr>
    </w:p>
    <w:p w14:paraId="44D78C85" w14:textId="09214740" w:rsidR="00D50838" w:rsidRPr="00E033F1" w:rsidRDefault="00D50838" w:rsidP="00E033F1">
      <w:pPr>
        <w:pStyle w:val="ListParagraph"/>
        <w:widowControl/>
        <w:numPr>
          <w:ilvl w:val="1"/>
          <w:numId w:val="31"/>
        </w:numPr>
        <w:autoSpaceDE/>
        <w:autoSpaceDN/>
        <w:adjustRightInd/>
        <w:ind w:left="0" w:firstLine="0"/>
        <w:jc w:val="left"/>
        <w:rPr>
          <w:rFonts w:asciiTheme="minorHAnsi" w:hAnsiTheme="minorHAnsi" w:cstheme="minorHAnsi"/>
          <w:color w:val="auto"/>
        </w:rPr>
      </w:pPr>
      <w:r w:rsidRPr="00E033F1">
        <w:rPr>
          <w:rFonts w:asciiTheme="minorHAnsi" w:hAnsiTheme="minorHAnsi" w:cstheme="minorHAnsi"/>
          <w:color w:val="auto"/>
        </w:rPr>
        <w:t>According to the change</w:t>
      </w:r>
      <w:r w:rsidR="00814A6C" w:rsidRPr="00E033F1">
        <w:rPr>
          <w:rFonts w:asciiTheme="minorHAnsi" w:hAnsiTheme="minorHAnsi" w:cstheme="minorHAnsi"/>
          <w:color w:val="auto"/>
        </w:rPr>
        <w:t>s</w:t>
      </w:r>
      <w:r w:rsidRPr="00E033F1">
        <w:rPr>
          <w:rFonts w:asciiTheme="minorHAnsi" w:hAnsiTheme="minorHAnsi" w:cstheme="minorHAnsi"/>
          <w:color w:val="auto"/>
        </w:rPr>
        <w:t xml:space="preserve"> </w:t>
      </w:r>
      <w:r w:rsidR="00814A6C" w:rsidRPr="00E033F1">
        <w:rPr>
          <w:rFonts w:asciiTheme="minorHAnsi" w:hAnsiTheme="minorHAnsi" w:cstheme="minorHAnsi"/>
          <w:color w:val="auto"/>
        </w:rPr>
        <w:t xml:space="preserve">in </w:t>
      </w:r>
      <w:r w:rsidR="00322741" w:rsidRPr="00E033F1">
        <w:rPr>
          <w:rFonts w:asciiTheme="minorHAnsi" w:hAnsiTheme="minorHAnsi" w:cstheme="minorHAnsi"/>
          <w:color w:val="auto"/>
        </w:rPr>
        <w:t>V</w:t>
      </w:r>
      <w:r w:rsidR="00322741" w:rsidRPr="00E033F1">
        <w:rPr>
          <w:rFonts w:asciiTheme="minorHAnsi" w:hAnsiTheme="minorHAnsi" w:cstheme="minorHAnsi"/>
          <w:color w:val="auto"/>
          <w:vertAlign w:val="subscript"/>
        </w:rPr>
        <w:t>max</w:t>
      </w:r>
      <w:r w:rsidRPr="00E033F1">
        <w:rPr>
          <w:rFonts w:asciiTheme="minorHAnsi" w:hAnsiTheme="minorHAnsi" w:cstheme="minorHAnsi"/>
          <w:color w:val="auto"/>
        </w:rPr>
        <w:t xml:space="preserve"> and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Pr="00E033F1">
        <w:rPr>
          <w:rFonts w:asciiTheme="minorHAnsi" w:hAnsiTheme="minorHAnsi" w:cstheme="minorHAnsi"/>
          <w:color w:val="auto"/>
        </w:rPr>
        <w:t xml:space="preserve"> </w:t>
      </w:r>
      <w:r w:rsidR="00814A6C" w:rsidRPr="00E033F1">
        <w:rPr>
          <w:rFonts w:asciiTheme="minorHAnsi" w:hAnsiTheme="minorHAnsi" w:cstheme="minorHAnsi"/>
          <w:color w:val="auto"/>
        </w:rPr>
        <w:t>when using</w:t>
      </w:r>
      <w:r w:rsidRPr="00E033F1">
        <w:rPr>
          <w:rFonts w:asciiTheme="minorHAnsi" w:hAnsiTheme="minorHAnsi" w:cstheme="minorHAnsi"/>
          <w:color w:val="auto"/>
        </w:rPr>
        <w:t xml:space="preserve"> different concentrations, assess the GST inhibitor</w:t>
      </w:r>
      <w:r w:rsidR="00814A6C" w:rsidRPr="00E033F1">
        <w:rPr>
          <w:rFonts w:asciiTheme="minorHAnsi" w:hAnsiTheme="minorHAnsi" w:cstheme="minorHAnsi"/>
          <w:color w:val="auto"/>
        </w:rPr>
        <w:t>’s mode of inhibition</w:t>
      </w:r>
      <w:r w:rsidRPr="00E033F1">
        <w:rPr>
          <w:rFonts w:asciiTheme="minorHAnsi" w:hAnsiTheme="minorHAnsi" w:cstheme="minorHAnsi"/>
          <w:color w:val="auto"/>
        </w:rPr>
        <w:t xml:space="preserve">. </w:t>
      </w:r>
    </w:p>
    <w:p w14:paraId="6F8ED42C" w14:textId="556E97B1" w:rsidR="00D50838" w:rsidRPr="00E033F1" w:rsidRDefault="00D50838" w:rsidP="00E033F1">
      <w:pPr>
        <w:pStyle w:val="ListParagraph"/>
        <w:widowControl/>
        <w:autoSpaceDE/>
        <w:autoSpaceDN/>
        <w:adjustRightInd/>
        <w:ind w:left="0"/>
        <w:jc w:val="left"/>
        <w:rPr>
          <w:rFonts w:asciiTheme="minorHAnsi" w:hAnsiTheme="minorHAnsi" w:cstheme="minorHAnsi"/>
          <w:color w:val="auto"/>
        </w:rPr>
      </w:pPr>
    </w:p>
    <w:p w14:paraId="0EBE36F2" w14:textId="7FA1445D" w:rsidR="00D50838" w:rsidRPr="00E033F1" w:rsidRDefault="00D50838" w:rsidP="00E033F1">
      <w:pPr>
        <w:pStyle w:val="ListParagraph"/>
        <w:widowControl/>
        <w:autoSpaceDE/>
        <w:autoSpaceDN/>
        <w:adjustRightInd/>
        <w:ind w:left="0"/>
        <w:jc w:val="left"/>
        <w:rPr>
          <w:rFonts w:asciiTheme="minorHAnsi" w:hAnsiTheme="minorHAnsi" w:cstheme="minorHAnsi"/>
          <w:color w:val="auto"/>
        </w:rPr>
      </w:pPr>
      <w:r w:rsidRPr="00E033F1">
        <w:rPr>
          <w:rFonts w:asciiTheme="minorHAnsi" w:hAnsiTheme="minorHAnsi" w:cstheme="minorHAnsi"/>
          <w:color w:val="auto"/>
        </w:rPr>
        <w:t xml:space="preserve">NOTE: </w:t>
      </w:r>
      <w:r w:rsidR="00814A6C" w:rsidRPr="00E033F1">
        <w:rPr>
          <w:rFonts w:asciiTheme="minorHAnsi" w:hAnsiTheme="minorHAnsi" w:cstheme="minorHAnsi"/>
          <w:color w:val="auto"/>
        </w:rPr>
        <w:t>T</w:t>
      </w:r>
      <w:r w:rsidRPr="00E033F1">
        <w:rPr>
          <w:rFonts w:asciiTheme="minorHAnsi" w:hAnsiTheme="minorHAnsi" w:cstheme="minorHAnsi"/>
          <w:color w:val="auto"/>
        </w:rPr>
        <w:t xml:space="preserve">his </w:t>
      </w:r>
      <w:r w:rsidR="00814A6C" w:rsidRPr="00E033F1">
        <w:rPr>
          <w:rFonts w:asciiTheme="minorHAnsi" w:hAnsiTheme="minorHAnsi" w:cstheme="minorHAnsi"/>
          <w:color w:val="auto"/>
        </w:rPr>
        <w:t>step</w:t>
      </w:r>
      <w:r w:rsidRPr="00E033F1">
        <w:rPr>
          <w:rFonts w:asciiTheme="minorHAnsi" w:hAnsiTheme="minorHAnsi" w:cstheme="minorHAnsi"/>
          <w:color w:val="auto"/>
        </w:rPr>
        <w:t xml:space="preserve"> is explained in </w:t>
      </w:r>
      <w:r w:rsidR="001F7D9E" w:rsidRPr="00E033F1">
        <w:rPr>
          <w:rFonts w:asciiTheme="minorHAnsi" w:hAnsiTheme="minorHAnsi" w:cstheme="minorHAnsi"/>
          <w:color w:val="auto"/>
        </w:rPr>
        <w:t xml:space="preserve">more </w:t>
      </w:r>
      <w:r w:rsidRPr="00E033F1">
        <w:rPr>
          <w:rFonts w:asciiTheme="minorHAnsi" w:hAnsiTheme="minorHAnsi" w:cstheme="minorHAnsi"/>
          <w:color w:val="auto"/>
        </w:rPr>
        <w:t xml:space="preserve">detail in the results and discussion </w:t>
      </w:r>
      <w:r w:rsidR="00F76586" w:rsidRPr="00E033F1">
        <w:rPr>
          <w:rFonts w:asciiTheme="minorHAnsi" w:hAnsiTheme="minorHAnsi" w:cstheme="minorHAnsi"/>
          <w:color w:val="auto"/>
        </w:rPr>
        <w:t>sections</w:t>
      </w:r>
      <w:r w:rsidRPr="00E033F1">
        <w:rPr>
          <w:rFonts w:asciiTheme="minorHAnsi" w:hAnsiTheme="minorHAnsi" w:cstheme="minorHAnsi"/>
          <w:color w:val="auto"/>
        </w:rPr>
        <w:t xml:space="preserve">. </w:t>
      </w:r>
    </w:p>
    <w:p w14:paraId="3708A9A1" w14:textId="10926358" w:rsidR="00D50838" w:rsidRPr="00E033F1" w:rsidRDefault="00D50838" w:rsidP="00E033F1">
      <w:pPr>
        <w:widowControl/>
        <w:autoSpaceDE/>
        <w:autoSpaceDN/>
        <w:adjustRightInd/>
        <w:contextualSpacing/>
        <w:jc w:val="left"/>
        <w:rPr>
          <w:rFonts w:asciiTheme="minorHAnsi" w:hAnsiTheme="minorHAnsi" w:cstheme="minorHAnsi"/>
          <w:color w:val="auto"/>
        </w:rPr>
      </w:pPr>
    </w:p>
    <w:p w14:paraId="55204F57" w14:textId="784FB092" w:rsidR="00D50838" w:rsidRPr="00E033F1" w:rsidRDefault="00D50838" w:rsidP="00E033F1">
      <w:pPr>
        <w:pStyle w:val="ListParagraph"/>
        <w:widowControl/>
        <w:numPr>
          <w:ilvl w:val="1"/>
          <w:numId w:val="31"/>
        </w:numPr>
        <w:autoSpaceDE/>
        <w:autoSpaceDN/>
        <w:adjustRightInd/>
        <w:ind w:left="0" w:firstLine="0"/>
        <w:jc w:val="left"/>
        <w:rPr>
          <w:rFonts w:asciiTheme="minorHAnsi" w:hAnsiTheme="minorHAnsi" w:cstheme="minorHAnsi"/>
          <w:color w:val="auto"/>
        </w:rPr>
      </w:pPr>
      <w:r w:rsidRPr="00E033F1">
        <w:rPr>
          <w:rFonts w:asciiTheme="minorHAnsi" w:hAnsiTheme="minorHAnsi" w:cstheme="minorHAnsi"/>
          <w:color w:val="auto"/>
        </w:rPr>
        <w:t>Based on the mode of inhibition, calculate the K</w:t>
      </w:r>
      <w:r w:rsidRPr="00E033F1">
        <w:rPr>
          <w:rFonts w:asciiTheme="minorHAnsi" w:hAnsiTheme="minorHAnsi" w:cstheme="minorHAnsi"/>
          <w:color w:val="auto"/>
          <w:vertAlign w:val="subscript"/>
        </w:rPr>
        <w:t>i</w:t>
      </w:r>
      <w:r w:rsidRPr="00E033F1">
        <w:rPr>
          <w:rFonts w:asciiTheme="minorHAnsi" w:hAnsiTheme="minorHAnsi" w:cstheme="minorHAnsi"/>
          <w:color w:val="auto"/>
        </w:rPr>
        <w:t>.</w:t>
      </w:r>
    </w:p>
    <w:p w14:paraId="2435CE05" w14:textId="3F2D6EC2" w:rsidR="00D50838" w:rsidRPr="00E033F1" w:rsidRDefault="00D50838" w:rsidP="00E033F1">
      <w:pPr>
        <w:pStyle w:val="ListParagraph"/>
        <w:widowControl/>
        <w:autoSpaceDE/>
        <w:autoSpaceDN/>
        <w:adjustRightInd/>
        <w:ind w:left="0"/>
        <w:jc w:val="left"/>
        <w:rPr>
          <w:rFonts w:asciiTheme="minorHAnsi" w:hAnsiTheme="minorHAnsi" w:cstheme="minorHAnsi"/>
          <w:color w:val="auto"/>
        </w:rPr>
      </w:pPr>
    </w:p>
    <w:p w14:paraId="4CFED341" w14:textId="54B2B22E" w:rsidR="00D50838" w:rsidRPr="00E033F1" w:rsidRDefault="00D50838" w:rsidP="00E033F1">
      <w:pPr>
        <w:pStyle w:val="ListParagraph"/>
        <w:widowControl/>
        <w:autoSpaceDE/>
        <w:autoSpaceDN/>
        <w:adjustRightInd/>
        <w:ind w:left="0"/>
        <w:jc w:val="left"/>
        <w:rPr>
          <w:rFonts w:asciiTheme="minorHAnsi" w:hAnsiTheme="minorHAnsi" w:cstheme="minorHAnsi"/>
          <w:color w:val="auto"/>
        </w:rPr>
      </w:pPr>
      <w:r w:rsidRPr="00E033F1">
        <w:rPr>
          <w:rFonts w:asciiTheme="minorHAnsi" w:hAnsiTheme="minorHAnsi" w:cstheme="minorHAnsi"/>
          <w:color w:val="auto"/>
        </w:rPr>
        <w:t xml:space="preserve">NOTE: In GraphPad Prism, </w:t>
      </w:r>
      <w:r w:rsidR="00432C6B" w:rsidRPr="00E033F1">
        <w:rPr>
          <w:rFonts w:asciiTheme="minorHAnsi" w:hAnsiTheme="minorHAnsi" w:cstheme="minorHAnsi"/>
          <w:color w:val="auto"/>
        </w:rPr>
        <w:t>different</w:t>
      </w:r>
      <w:r w:rsidR="001D442A" w:rsidRPr="00E033F1">
        <w:rPr>
          <w:rFonts w:asciiTheme="minorHAnsi" w:hAnsiTheme="minorHAnsi" w:cstheme="minorHAnsi"/>
          <w:color w:val="auto"/>
        </w:rPr>
        <w:t xml:space="preserve"> equation</w:t>
      </w:r>
      <w:r w:rsidR="00432C6B" w:rsidRPr="00E033F1">
        <w:rPr>
          <w:rFonts w:asciiTheme="minorHAnsi" w:hAnsiTheme="minorHAnsi" w:cstheme="minorHAnsi"/>
          <w:color w:val="auto"/>
        </w:rPr>
        <w:t>s</w:t>
      </w:r>
      <w:r w:rsidR="001D442A" w:rsidRPr="00E033F1">
        <w:rPr>
          <w:rFonts w:asciiTheme="minorHAnsi" w:hAnsiTheme="minorHAnsi" w:cstheme="minorHAnsi"/>
          <w:color w:val="auto"/>
        </w:rPr>
        <w:t xml:space="preserve"> will be used to calculate the K</w:t>
      </w:r>
      <w:r w:rsidR="001D442A" w:rsidRPr="00E033F1">
        <w:rPr>
          <w:rFonts w:asciiTheme="minorHAnsi" w:hAnsiTheme="minorHAnsi" w:cstheme="minorHAnsi"/>
          <w:color w:val="auto"/>
          <w:vertAlign w:val="subscript"/>
        </w:rPr>
        <w:t>i</w:t>
      </w:r>
      <w:r w:rsidR="001D442A" w:rsidRPr="00E033F1">
        <w:rPr>
          <w:rFonts w:asciiTheme="minorHAnsi" w:hAnsiTheme="minorHAnsi" w:cstheme="minorHAnsi"/>
          <w:color w:val="auto"/>
        </w:rPr>
        <w:t xml:space="preserve"> according to the nature of </w:t>
      </w:r>
      <w:r w:rsidR="00795E81" w:rsidRPr="00E033F1">
        <w:rPr>
          <w:rFonts w:asciiTheme="minorHAnsi" w:hAnsiTheme="minorHAnsi" w:cstheme="minorHAnsi"/>
          <w:color w:val="auto"/>
        </w:rPr>
        <w:t xml:space="preserve">the </w:t>
      </w:r>
      <w:r w:rsidR="001D442A" w:rsidRPr="00E033F1">
        <w:rPr>
          <w:rFonts w:asciiTheme="minorHAnsi" w:hAnsiTheme="minorHAnsi" w:cstheme="minorHAnsi"/>
          <w:color w:val="auto"/>
        </w:rPr>
        <w:t xml:space="preserve">inhibition. </w:t>
      </w:r>
      <w:r w:rsidR="00012CD3" w:rsidRPr="00E033F1">
        <w:rPr>
          <w:rFonts w:asciiTheme="minorHAnsi" w:hAnsiTheme="minorHAnsi" w:cstheme="minorHAnsi"/>
          <w:color w:val="auto"/>
        </w:rPr>
        <w:t xml:space="preserve">The equations </w:t>
      </w:r>
      <w:r w:rsidR="00432C6B" w:rsidRPr="00E033F1">
        <w:rPr>
          <w:rFonts w:asciiTheme="minorHAnsi" w:hAnsiTheme="minorHAnsi" w:cstheme="minorHAnsi"/>
          <w:color w:val="auto"/>
        </w:rPr>
        <w:t xml:space="preserve">used </w:t>
      </w:r>
      <w:r w:rsidR="00012CD3" w:rsidRPr="00E033F1">
        <w:rPr>
          <w:rFonts w:asciiTheme="minorHAnsi" w:hAnsiTheme="minorHAnsi" w:cstheme="minorHAnsi"/>
          <w:color w:val="auto"/>
        </w:rPr>
        <w:t>are based on the observed K</w:t>
      </w:r>
      <w:r w:rsidR="00012CD3" w:rsidRPr="00E033F1">
        <w:rPr>
          <w:rFonts w:asciiTheme="minorHAnsi" w:hAnsiTheme="minorHAnsi" w:cstheme="minorHAnsi"/>
          <w:color w:val="auto"/>
          <w:vertAlign w:val="subscript"/>
        </w:rPr>
        <w:t>m</w:t>
      </w:r>
      <w:r w:rsidR="00012CD3" w:rsidRPr="00E033F1">
        <w:rPr>
          <w:rFonts w:asciiTheme="minorHAnsi" w:hAnsiTheme="minorHAnsi" w:cstheme="minorHAnsi"/>
          <w:color w:val="auto"/>
        </w:rPr>
        <w:t xml:space="preserve"> and V</w:t>
      </w:r>
      <w:r w:rsidR="00012CD3" w:rsidRPr="00E033F1">
        <w:rPr>
          <w:rFonts w:asciiTheme="minorHAnsi" w:hAnsiTheme="minorHAnsi" w:cstheme="minorHAnsi"/>
          <w:color w:val="auto"/>
          <w:vertAlign w:val="subscript"/>
        </w:rPr>
        <w:t xml:space="preserve">max </w:t>
      </w:r>
      <w:r w:rsidR="00012CD3" w:rsidRPr="00E033F1">
        <w:rPr>
          <w:rFonts w:asciiTheme="minorHAnsi" w:hAnsiTheme="minorHAnsi" w:cstheme="minorHAnsi"/>
          <w:color w:val="auto"/>
        </w:rPr>
        <w:t xml:space="preserve">after addition of the inhibitor </w:t>
      </w:r>
      <w:r w:rsidR="00432C6B" w:rsidRPr="00E033F1">
        <w:rPr>
          <w:rFonts w:asciiTheme="minorHAnsi" w:hAnsiTheme="minorHAnsi" w:cstheme="minorHAnsi"/>
          <w:color w:val="auto"/>
        </w:rPr>
        <w:t xml:space="preserve">and </w:t>
      </w:r>
      <w:r w:rsidR="00795E81" w:rsidRPr="00E033F1">
        <w:rPr>
          <w:rFonts w:asciiTheme="minorHAnsi" w:hAnsiTheme="minorHAnsi" w:cstheme="minorHAnsi"/>
          <w:color w:val="auto"/>
        </w:rPr>
        <w:t>compared</w:t>
      </w:r>
      <w:r w:rsidR="00012CD3" w:rsidRPr="00E033F1">
        <w:rPr>
          <w:rFonts w:asciiTheme="minorHAnsi" w:hAnsiTheme="minorHAnsi" w:cstheme="minorHAnsi"/>
          <w:color w:val="auto"/>
        </w:rPr>
        <w:t xml:space="preserve"> to the</w:t>
      </w:r>
      <w:r w:rsidR="00961893" w:rsidRPr="00E033F1">
        <w:rPr>
          <w:rFonts w:asciiTheme="minorHAnsi" w:hAnsiTheme="minorHAnsi" w:cstheme="minorHAnsi"/>
          <w:color w:val="auto"/>
        </w:rPr>
        <w:t xml:space="preserve"> control’s</w:t>
      </w:r>
      <w:r w:rsidR="00012CD3" w:rsidRPr="00E033F1">
        <w:rPr>
          <w:rFonts w:asciiTheme="minorHAnsi" w:hAnsiTheme="minorHAnsi" w:cstheme="minorHAnsi"/>
          <w:color w:val="auto"/>
        </w:rPr>
        <w:t xml:space="preserve"> </w:t>
      </w:r>
      <w:r w:rsidR="00D458E2" w:rsidRPr="00E033F1">
        <w:rPr>
          <w:rFonts w:asciiTheme="minorHAnsi" w:hAnsiTheme="minorHAnsi" w:cstheme="minorHAnsi"/>
          <w:color w:val="auto"/>
        </w:rPr>
        <w:t>K</w:t>
      </w:r>
      <w:r w:rsidR="00D458E2" w:rsidRPr="00E033F1">
        <w:rPr>
          <w:rFonts w:asciiTheme="minorHAnsi" w:hAnsiTheme="minorHAnsi" w:cstheme="minorHAnsi"/>
          <w:color w:val="auto"/>
          <w:vertAlign w:val="subscript"/>
        </w:rPr>
        <w:t>m</w:t>
      </w:r>
      <w:r w:rsidR="00D458E2" w:rsidRPr="00E033F1">
        <w:rPr>
          <w:rFonts w:asciiTheme="minorHAnsi" w:hAnsiTheme="minorHAnsi" w:cstheme="minorHAnsi"/>
          <w:color w:val="auto"/>
        </w:rPr>
        <w:t xml:space="preserve"> and V</w:t>
      </w:r>
      <w:r w:rsidR="00D458E2" w:rsidRPr="00E033F1">
        <w:rPr>
          <w:rFonts w:asciiTheme="minorHAnsi" w:hAnsiTheme="minorHAnsi" w:cstheme="minorHAnsi"/>
          <w:color w:val="auto"/>
          <w:vertAlign w:val="subscript"/>
        </w:rPr>
        <w:t>max</w:t>
      </w:r>
      <w:r w:rsidR="00012CD3" w:rsidRPr="00E033F1">
        <w:rPr>
          <w:rFonts w:asciiTheme="minorHAnsi" w:hAnsiTheme="minorHAnsi" w:cstheme="minorHAnsi"/>
          <w:color w:val="auto"/>
        </w:rPr>
        <w:t>.</w:t>
      </w:r>
    </w:p>
    <w:p w14:paraId="418AA206" w14:textId="14D0B00D" w:rsidR="005C16E3" w:rsidRPr="00E033F1" w:rsidRDefault="005C16E3" w:rsidP="00E033F1">
      <w:pPr>
        <w:contextualSpacing/>
        <w:rPr>
          <w:rFonts w:asciiTheme="minorHAnsi" w:hAnsiTheme="minorHAnsi" w:cstheme="minorHAnsi"/>
          <w:b/>
          <w:color w:val="auto"/>
        </w:rPr>
      </w:pPr>
    </w:p>
    <w:p w14:paraId="3F4FAA78" w14:textId="4AFCD76F" w:rsidR="00406B1F" w:rsidRPr="00E033F1" w:rsidRDefault="006305D7" w:rsidP="00E033F1">
      <w:pPr>
        <w:widowControl/>
        <w:autoSpaceDE/>
        <w:autoSpaceDN/>
        <w:adjustRightInd/>
        <w:contextualSpacing/>
        <w:jc w:val="left"/>
        <w:rPr>
          <w:rFonts w:asciiTheme="minorHAnsi" w:hAnsiTheme="minorHAnsi" w:cstheme="minorHAnsi"/>
          <w:b/>
          <w:color w:val="auto"/>
        </w:rPr>
      </w:pPr>
      <w:r w:rsidRPr="00E033F1">
        <w:rPr>
          <w:rFonts w:asciiTheme="minorHAnsi" w:hAnsiTheme="minorHAnsi" w:cstheme="minorHAnsi"/>
          <w:b/>
          <w:color w:val="auto"/>
        </w:rPr>
        <w:t>REPRESENTATIVE RESULTS</w:t>
      </w:r>
      <w:r w:rsidR="00EF1462" w:rsidRPr="00E033F1">
        <w:rPr>
          <w:rFonts w:asciiTheme="minorHAnsi" w:hAnsiTheme="minorHAnsi" w:cstheme="minorHAnsi"/>
          <w:b/>
          <w:color w:val="auto"/>
        </w:rPr>
        <w:t xml:space="preserve">: </w:t>
      </w:r>
    </w:p>
    <w:p w14:paraId="2DD87CA7" w14:textId="390A2573" w:rsidR="007326C7" w:rsidRPr="00E033F1" w:rsidRDefault="007326C7" w:rsidP="00E033F1">
      <w:pPr>
        <w:pStyle w:val="NormalWeb"/>
        <w:spacing w:before="0" w:beforeAutospacing="0" w:after="0" w:afterAutospacing="0"/>
        <w:contextualSpacing/>
        <w:rPr>
          <w:rFonts w:asciiTheme="minorHAnsi" w:hAnsiTheme="minorHAnsi" w:cstheme="minorHAnsi"/>
          <w:b/>
          <w:bCs/>
          <w:color w:val="auto"/>
        </w:rPr>
      </w:pPr>
      <w:r w:rsidRPr="00E033F1">
        <w:rPr>
          <w:rFonts w:asciiTheme="minorHAnsi" w:hAnsiTheme="minorHAnsi" w:cstheme="minorHAnsi"/>
          <w:b/>
          <w:bCs/>
          <w:color w:val="auto"/>
        </w:rPr>
        <w:t>Michaelis</w:t>
      </w:r>
      <w:r w:rsidR="007567E1" w:rsidRPr="00E033F1">
        <w:rPr>
          <w:rFonts w:asciiTheme="minorHAnsi" w:hAnsiTheme="minorHAnsi" w:cstheme="minorHAnsi"/>
          <w:color w:val="auto"/>
        </w:rPr>
        <w:t>–</w:t>
      </w:r>
      <w:r w:rsidRPr="00E033F1">
        <w:rPr>
          <w:rFonts w:asciiTheme="minorHAnsi" w:hAnsiTheme="minorHAnsi" w:cstheme="minorHAnsi"/>
          <w:b/>
          <w:bCs/>
          <w:color w:val="auto"/>
        </w:rPr>
        <w:t>Menten constant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Pr="00E033F1">
        <w:rPr>
          <w:rFonts w:asciiTheme="minorHAnsi" w:hAnsiTheme="minorHAnsi" w:cstheme="minorHAnsi"/>
          <w:b/>
          <w:bCs/>
          <w:color w:val="auto"/>
        </w:rPr>
        <w:t xml:space="preserve">) of CDNB </w:t>
      </w:r>
      <w:r w:rsidR="00636D9D" w:rsidRPr="00E033F1">
        <w:rPr>
          <w:rFonts w:asciiTheme="minorHAnsi" w:hAnsiTheme="minorHAnsi" w:cstheme="minorHAnsi"/>
          <w:b/>
          <w:bCs/>
          <w:color w:val="auto"/>
        </w:rPr>
        <w:t xml:space="preserve">with </w:t>
      </w:r>
      <w:r w:rsidRPr="00E033F1">
        <w:rPr>
          <w:rFonts w:asciiTheme="minorHAnsi" w:hAnsiTheme="minorHAnsi" w:cstheme="minorHAnsi"/>
          <w:b/>
          <w:bCs/>
          <w:color w:val="auto"/>
        </w:rPr>
        <w:t>GST from equine liver</w:t>
      </w:r>
    </w:p>
    <w:p w14:paraId="7C8C9A7E" w14:textId="69E8DEC7" w:rsidR="00B12851" w:rsidRPr="00E033F1" w:rsidRDefault="005D6B62" w:rsidP="00E033F1">
      <w:pPr>
        <w:contextualSpacing/>
        <w:rPr>
          <w:color w:val="auto"/>
        </w:rPr>
      </w:pPr>
      <w:r w:rsidRPr="00E033F1">
        <w:rPr>
          <w:color w:val="auto"/>
        </w:rPr>
        <w:t xml:space="preserve">Curcumin is a </w:t>
      </w:r>
      <w:r w:rsidR="00EC55D1" w:rsidRPr="00E033F1">
        <w:rPr>
          <w:color w:val="auto"/>
        </w:rPr>
        <w:t>safe</w:t>
      </w:r>
      <w:r w:rsidRPr="00E033F1">
        <w:rPr>
          <w:color w:val="auto"/>
        </w:rPr>
        <w:t xml:space="preserve"> natural compound</w:t>
      </w:r>
      <w:r w:rsidR="00EC55D1" w:rsidRPr="00E033F1">
        <w:rPr>
          <w:color w:val="auto"/>
        </w:rPr>
        <w:t xml:space="preserve"> even </w:t>
      </w:r>
      <w:r w:rsidRPr="00E033F1">
        <w:rPr>
          <w:color w:val="auto"/>
        </w:rPr>
        <w:t xml:space="preserve">after ingestion </w:t>
      </w:r>
      <w:r w:rsidR="004519BA" w:rsidRPr="00E033F1">
        <w:rPr>
          <w:color w:val="auto"/>
        </w:rPr>
        <w:t>at</w:t>
      </w:r>
      <w:r w:rsidRPr="00E033F1">
        <w:rPr>
          <w:color w:val="auto"/>
        </w:rPr>
        <w:t xml:space="preserve"> </w:t>
      </w:r>
      <w:r w:rsidR="00EC55D1" w:rsidRPr="00E033F1">
        <w:rPr>
          <w:color w:val="auto"/>
        </w:rPr>
        <w:t>high</w:t>
      </w:r>
      <w:r w:rsidR="004519BA" w:rsidRPr="00E033F1">
        <w:rPr>
          <w:color w:val="auto"/>
        </w:rPr>
        <w:t>er</w:t>
      </w:r>
      <w:r w:rsidR="00EC55D1" w:rsidRPr="00E033F1">
        <w:rPr>
          <w:color w:val="auto"/>
        </w:rPr>
        <w:t xml:space="preserve"> doses</w:t>
      </w:r>
      <w:r w:rsidR="00EC55D1" w:rsidRPr="00E033F1">
        <w:rPr>
          <w:color w:val="auto"/>
        </w:rPr>
        <w:fldChar w:fldCharType="begin"/>
      </w:r>
      <w:r w:rsidR="00067A13" w:rsidRPr="00E033F1">
        <w:rPr>
          <w:color w:val="auto"/>
        </w:rPr>
        <w:instrText xml:space="preserve"> ADDIN ZOTERO_ITEM CSL_CITATION {"citationID":"5pCt7ulw","properties":{"formattedCitation":"\\super 27\\nosupersub{}","plainCitation":"27","noteIndex":0},"citationItems":[{"id":127,"uris":["http://zotero.org/users/local/bXXP6LKp/items/NHJTIEIV"],"uri":["http://zotero.org/users/local/bXXP6LKp/items/NHJTIEIV"],"itemData":{"id":127,"type":"article-journal","abstract":"Curcumin (diferuloylmethane), a yellow substance from the root of the plant Curcuma longa Linn., has been demonstrated to inhibit carcinogenesis of murine skin, stomach, intestine and liver. However, the toxicology, pharmacokinetics and biologically effective dose of curcumin in humans have not been reported. This prospective phase-I study evaluated these issues of curcumin in patients with one of the following five high-risk conditions: 1) recently resected urinary bladder cancer; 2) arsenic Bowen's disease of the skin; 3) uterine cervical intraepithelial neoplasm (CIN); 4) oral leucoplakia; and 5) intestinal metaplasia of the stomach. Curcumin was taken orally for 3 months. Biopsy of the lesion sites was done immediately before and 3 months after starting curcumin treament. The starting dose was 500 mg/day. If no toxicity &gt; or = grade II was noted in at least 3 successive patients, the dose was then escalated to another level in the order of 1,000, 2,000, 4,000, 8,000, and 12,000 mg/day. The concentration of curcumin in serum and urine was determined by high pressure liquid chromatography (HPLC). A total of 25 patients were enrolled in this study. There was no treatment-related toxicity up to 8,000 mg/day. Beyond 8,000 mg/day, the bulky volume of the drug was unacceptable to the patients. The serum concentration of curcumin usually peaked at 1 to 2 hours after oral intake of crucumin and gradually declined within 12 hours. The average peak serum concentrations after taking 4,000 mg, 6,000 mg and 8,000 mg of curcumin were 0.51 +/- 0.11 microM, 0.63 +/- 0.06 microM and 1.77 +/- 1.87 microM, respectively. Urinary excretion of curcumin was undetectable. One of 4 patients with CIN and 1 of 7 patients with oral leucoplakia proceeded to develop frank malignancies in spite of curcumin treatment. In contrast, histologic improvement of precancerous lesions was seen in 1 out of 2 patients with recently resected bladder cancer, 2 out of 7 patients of oral leucoplakia, 1 out of 6 patients of intestinal metaplasia of the stomach, I out of 4 patients with CIN and 2 out of 6 patients with Bowen's disease. In conclusion, this study demonstrated that curcumin is not toxic to humans up to 8,000 mg/day when taken by mouth for 3 months. Our results also suggest a biologic effect of curcumin in the chemoprevention of cancer.","container-title":"Anticancer Research","ISSN":"0250-7005","issue":"4B","journalAbbreviation":"Anticancer Res.","language":"eng","note":"PMID: 11712783","page":"2895-2900","source":"PubMed","volume":"21","author":[{"family":"Cheng","given":"A. L."},{"family":"Hsu","given":"C. H."},{"family":"Lin","given":"J. K."},{"family":"Hsu","given":"M. M."},{"family":"Ho","given":"Y. F."},{"family":"Shen","given":"T. S."},{"family":"Ko","given":"J. Y."},{"family":"Lin","given":"J. T."},{"family":"Lin","given":"B. R."},{"family":"Ming-Shiang","given":"W."},{"family":"Yu","given":"H. S."},{"family":"Jee","given":"S. H."},{"family":"Chen","given":"G. S."},{"family":"Chen","given":"T. M."},{"family":"Chen","given":"C. A."},{"family":"Lai","given":"M. K."},{"family":"Pu","given":"Y. S."},{"family":"Pan","given":"M. H."},{"family":"Wang","given":"Y. J."},{"family":"Tsai","given":"C. C."},{"family":"Hsieh","given":"C. Y."}],"issued":{"date-parts":[["2001",8]]}}}],"schema":"https://github.com/citation-style-language/schema/raw/master/csl-citation.json"} </w:instrText>
      </w:r>
      <w:r w:rsidR="00EC55D1" w:rsidRPr="00E033F1">
        <w:rPr>
          <w:color w:val="auto"/>
        </w:rPr>
        <w:fldChar w:fldCharType="separate"/>
      </w:r>
      <w:r w:rsidR="00067A13" w:rsidRPr="00E033F1">
        <w:rPr>
          <w:color w:val="auto"/>
          <w:vertAlign w:val="superscript"/>
        </w:rPr>
        <w:t>27</w:t>
      </w:r>
      <w:r w:rsidR="00EC55D1" w:rsidRPr="00E033F1">
        <w:rPr>
          <w:color w:val="auto"/>
        </w:rPr>
        <w:fldChar w:fldCharType="end"/>
      </w:r>
      <w:r w:rsidR="00EC55D1" w:rsidRPr="00E033F1">
        <w:rPr>
          <w:color w:val="auto"/>
        </w:rPr>
        <w:t xml:space="preserve"> </w:t>
      </w:r>
      <w:r w:rsidR="00E033F1">
        <w:rPr>
          <w:color w:val="auto"/>
        </w:rPr>
        <w:t>that</w:t>
      </w:r>
      <w:r w:rsidR="00EC55D1" w:rsidRPr="00E033F1">
        <w:rPr>
          <w:color w:val="auto"/>
        </w:rPr>
        <w:t xml:space="preserve"> showed </w:t>
      </w:r>
      <w:r w:rsidRPr="00E033F1">
        <w:rPr>
          <w:color w:val="auto"/>
        </w:rPr>
        <w:t>anticancer properties</w:t>
      </w:r>
      <w:r w:rsidR="00E033F1" w:rsidRPr="00E033F1">
        <w:rPr>
          <w:color w:val="auto"/>
        </w:rPr>
        <w:fldChar w:fldCharType="begin"/>
      </w:r>
      <w:r w:rsidR="00E033F1" w:rsidRPr="00E033F1">
        <w:rPr>
          <w:color w:val="auto"/>
        </w:rPr>
        <w:instrText xml:space="preserve"> ADDIN ZOTERO_ITEM CSL_CITATION {"citationID":"j6ylmUlO","properties":{"formattedCitation":"\\super 16\\nosupersub{}","plainCitation":"16","noteIndex":0},"citationItems":[{"id":102,"uris":["http://zotero.org/users/local/bXXP6LKp/items/P5L4VB9L"],"uri":["http://zotero.org/users/local/bXXP6LKp/items/P5L4VB9L"],"itemData":{"id":102,"type":"article-journal","abstract":"Curcumin (diferuloylmethane) is a polyphenol derived from the plant Curcuma longa, commonly called turmeric. Extensive research over the last 50 years has indicated this polyphenol can both prevent and treat cancer. The anticancer potential of curcumin stems from its ability to suppress proliferation of a wide variety of tumor cells, down-regulate transcription factors NF-kappa B, AP-1 and Egr-1; down-regulate the expression of COX2, LOX, NOS, MMP-9, uPA, TNF, chemokines, cell surface adhesion molecules and cyclin D1; down-regulate growth factor receptors (such as EGFR and HER2); and inhibit the activity of c-Jun N-terminal kinase, protein tyrosine kinases and protein serine/threonine kinases. In several systems, curcumin has been described as a potent antioxidant and anti-inflammatory agent. Evidence has also been presented to suggest that curcumin can suppress tumor initiation, promotion and metastasis. Pharmacologically, curcumin has been found to be safe. Human clinical trials indicated no dose-limiting toxicity when administered at doses up to 10 g/day. All of these studies suggest that curcumin has enormous potential in the prevention and therapy of cancer. The current review describes in detail the data supporting these studies.","container-title":"Anticancer Research","ISSN":"0250-7005","issue":"1A","journalAbbreviation":"Anticancer Res.","language":"eng","note":"PMID: 12680238","page":"363-398","source":"PubMed","title":"Anticancer potential of curcumin: preclinical and clinical studies","title-short":"Anticancer potential of curcumin","volume":"23","author":[{"family":"Aggarwal","given":"Bharat B."},{"family":"Kumar","given":"Anushree"},{"family":"Bharti","given":"Alok C."}],"issued":{"date-parts":[["2003",2]]}}}],"schema":"https://github.com/citation-style-language/schema/raw/master/csl-citation.json"} </w:instrText>
      </w:r>
      <w:r w:rsidR="00E033F1" w:rsidRPr="00E033F1">
        <w:rPr>
          <w:color w:val="auto"/>
        </w:rPr>
        <w:fldChar w:fldCharType="separate"/>
      </w:r>
      <w:r w:rsidR="00E033F1" w:rsidRPr="00E033F1">
        <w:rPr>
          <w:color w:val="auto"/>
          <w:vertAlign w:val="superscript"/>
        </w:rPr>
        <w:t>16</w:t>
      </w:r>
      <w:r w:rsidR="00E033F1" w:rsidRPr="00E033F1">
        <w:rPr>
          <w:color w:val="auto"/>
        </w:rPr>
        <w:fldChar w:fldCharType="end"/>
      </w:r>
      <w:r w:rsidRPr="00E033F1">
        <w:rPr>
          <w:color w:val="auto"/>
        </w:rPr>
        <w:t xml:space="preserve">. The inhibitory potency of this molecule </w:t>
      </w:r>
      <w:r w:rsidR="004519BA" w:rsidRPr="00E033F1">
        <w:rPr>
          <w:color w:val="auto"/>
        </w:rPr>
        <w:t>h</w:t>
      </w:r>
      <w:r w:rsidRPr="00E033F1">
        <w:rPr>
          <w:color w:val="auto"/>
        </w:rPr>
        <w:t xml:space="preserve">as </w:t>
      </w:r>
      <w:r w:rsidR="004519BA" w:rsidRPr="00E033F1">
        <w:rPr>
          <w:color w:val="auto"/>
        </w:rPr>
        <w:t xml:space="preserve">been </w:t>
      </w:r>
      <w:r w:rsidRPr="00E033F1">
        <w:rPr>
          <w:color w:val="auto"/>
        </w:rPr>
        <w:t>demonstrated on human recombinant GSTs</w:t>
      </w:r>
      <w:r w:rsidR="00E033F1" w:rsidRPr="00E033F1">
        <w:rPr>
          <w:color w:val="auto"/>
        </w:rPr>
        <w:fldChar w:fldCharType="begin"/>
      </w:r>
      <w:r w:rsidR="00E033F1" w:rsidRPr="00E033F1">
        <w:rPr>
          <w:color w:val="auto"/>
        </w:rPr>
        <w:instrText xml:space="preserve"> ADDIN ZOTERO_ITEM CSL_CITATION {"citationID":"ngj4M52F","properties":{"formattedCitation":"\\super 19, 20\\nosupersub{}","plainCitation":"19, 20","noteIndex":0},"citationItems":[{"id":131,"uris":["http://zotero.org/users/local/bXXP6LKp/items/I7BPBZYN"],"uri":["http://zotero.org/users/local/bXXP6LKp/items/I7BPBZYN"],"itemData":{"id":131,"type":"article-journal","abstract":"Curcumin (diferuloylmethane), a yellow pigment of turmeric with antioxidant properties has been shown to be a cancer preventative in animal studies. It contains two electrophilic alpha, beta-unsaturated carbonyl groups, which can react with nucleophilic compounds such as glutathione (GSH), but formation of the GSH-curcumin conjugates has not previously been demonstrated. In the present studies, we investigated the reactions of curcumin with GSH and the effect of recombinant human glutathione S-transferase(GST)P1-1 on reaction kinetics. Glutathionylated products of curcumin identified by FAB-MS and MALDI-MS included mono- and di-glutathionyl-adducts of curcumin as well as cyclic rearrangement products of GSH adducts of feruloylmethylketone (FMK) and feruloylaldehyde (FAL). The presence of GSTP1-1 significantly accelerated the initial rate of GSH-mediated consumption of curcumin in 10 mM potassium phosphate, pH 7.0, and 1 mM GSH. GSTP1-1 kinetics determined using HPLC indicated substrate inhibition (apparent K(m) for curcumin of 25+/-11 microM, and apparent K(i) for curcumin of 8+/-3 microM). GSTP1-1 was also shown to catalyze the reverse reaction leading to the formation of curcumin from GSH adducts of FMK and FAL.","container-title":"Chemico-Biological Interactions","ISSN":"0009-2797","issue":"1","journalAbbreviation":"Chem. Biol. Interact.","language":"eng","note":"PMID: 10996298","page":"19-38","source":"PubMed","title":"Curcumin-glutathione interactions and the role of human glutathione S-transferase P1-1","volume":"128","author":[{"family":"Awasthi","given":"S."},{"family":"Pandya","given":"U."},{"family":"Singhal","given":"S. S."},{"family":"Lin","given":"J. T."},{"family":"Thiviyanathan","given":"V."},{"family":"Seifert","given":"W. E."},{"family":"Awasthi","given":"Y. C."},{"family":"Ansari","given":"G. A."}],"issued":{"date-parts":[["2000",8,15]]}}},{"id":86,"uris":["http://zotero.org/users/local/bXXP6LKp/items/H49CLFMU"],"uri":["http://zotero.org/users/local/bXXP6LKp/items/H49CLFMU"],"itemData":{"id":86,"type":"article-journal","abstract":"Glutathione S-transferases (GSTs) are important phase II drug-metabolizing enzymes that play a major role in protecting cells from the toxic insults of electrophilic compounds. Curcumin, a promising chemotherapeutic agent, inhibits human GSTA1-1, GSTM1-1, and GSTP1-1 isoenzymes. In the present study, the effect of three series of curcumin analogues, 2,6-dibenzylidenecyclohexanone (A series), 2,5-dibenzylidenecyclopentanone (B series), and 1,4-pentadiene-3-one (C series) substituted analogues (n = 34), on these three human GST isoenzymes, and on human and rat liver cytosolic GSTs, was investigated using 1-chloro-2,4-dinitrobenzene (CDNB) as a substrate. Most of the 34 curcumin analogues showed less potent inhibitory activities towards GSTA1-1, GSTM1-1, and GSTP1-1 than the parent curcumin. Compounds B14 and C10 were the most potent inhibitors of GSTA1-1 and human liver cytosolic GSTs, with IC(50) values of 0.2-0.6 microM. The most potent inhibitors of GSTM1-1 were C1, C3 and C10, with IC(50) values of 0.2-0.7 microM. Similarly, GSTP1-1 was predominantly strongly inhibited by compounds of the C series C0, C1, C2 C10 and A0, with IC(50) values of 0.4-4.6 microM. Compounds in the B series showed no significant inhibition of GSTP1-1. Molecular Operating Environment (MOE) program-based quantitative structure-activity relationship (QSAR) analyses have also suggested the relevance of Van der Waals surface area and compound lipophilicity factors for the inhibition of GSTA1-1 and GSTM1-1 and partial charge factors for GSTP1-1. These results may be useful in the design and synthesis of curcumin analogues with either more or less potency for GST inhibition.","container-title":"Xenobiotica; the Fate of Foreign Compounds in Biological Systems","DOI":"10.1080/00498250802702316","ISSN":"1366-5928","issue":"4","journalAbbreviation":"Xenobiotica","language":"eng","note":"PMID: 19350453","page":"302-311","source":"PubMed","title":"Inhibition of human glutathione S-transferases by curcumin and analogues","volume":"39","author":[{"family":"Appiah-Opong","given":"R."},{"family":"Commandeur","given":"J. N. M."},{"family":"Istyastono","given":"E."},{"family":"Bogaards","given":"J. J."},{"family":"Vermeulen","given":"N. P. E."}],"issued":{"date-parts":[["2009",4]]}}}],"schema":"https://github.com/citation-style-language/schema/raw/master/csl-citation.json"} </w:instrText>
      </w:r>
      <w:r w:rsidR="00E033F1" w:rsidRPr="00E033F1">
        <w:rPr>
          <w:color w:val="auto"/>
        </w:rPr>
        <w:fldChar w:fldCharType="separate"/>
      </w:r>
      <w:r w:rsidR="00E033F1" w:rsidRPr="00E033F1">
        <w:rPr>
          <w:color w:val="auto"/>
          <w:vertAlign w:val="superscript"/>
        </w:rPr>
        <w:t>19,20</w:t>
      </w:r>
      <w:r w:rsidR="00E033F1" w:rsidRPr="00E033F1">
        <w:rPr>
          <w:color w:val="auto"/>
        </w:rPr>
        <w:fldChar w:fldCharType="end"/>
      </w:r>
      <w:r w:rsidR="006748D2" w:rsidRPr="00E033F1">
        <w:rPr>
          <w:color w:val="auto"/>
        </w:rPr>
        <w:t>.</w:t>
      </w:r>
      <w:r w:rsidR="00CC30F7" w:rsidRPr="00E033F1">
        <w:rPr>
          <w:color w:val="auto"/>
        </w:rPr>
        <w:t xml:space="preserve"> </w:t>
      </w:r>
      <w:r w:rsidR="006748D2" w:rsidRPr="00E033F1">
        <w:rPr>
          <w:color w:val="auto"/>
        </w:rPr>
        <w:t>By u</w:t>
      </w:r>
      <w:r w:rsidR="004519BA" w:rsidRPr="00E033F1">
        <w:rPr>
          <w:color w:val="auto"/>
        </w:rPr>
        <w:t>sing the described protocol, we evaluated curcumin’s</w:t>
      </w:r>
      <w:r w:rsidR="00F07617" w:rsidRPr="00E033F1">
        <w:rPr>
          <w:color w:val="auto"/>
        </w:rPr>
        <w:t xml:space="preserve"> </w:t>
      </w:r>
      <w:r w:rsidR="003177A2" w:rsidRPr="00E033F1">
        <w:rPr>
          <w:color w:val="auto"/>
        </w:rPr>
        <w:t>effect</w:t>
      </w:r>
      <w:r w:rsidR="00F07617" w:rsidRPr="00E033F1">
        <w:rPr>
          <w:color w:val="auto"/>
        </w:rPr>
        <w:t xml:space="preserve"> </w:t>
      </w:r>
      <w:r w:rsidR="00AE2429" w:rsidRPr="00E033F1">
        <w:rPr>
          <w:rFonts w:asciiTheme="minorHAnsi" w:hAnsiTheme="minorHAnsi" w:cstheme="minorHAnsi"/>
          <w:bCs/>
          <w:color w:val="auto"/>
        </w:rPr>
        <w:t xml:space="preserve">on </w:t>
      </w:r>
      <w:r w:rsidR="00606975" w:rsidRPr="00E033F1">
        <w:rPr>
          <w:rFonts w:asciiTheme="minorHAnsi" w:hAnsiTheme="minorHAnsi" w:cstheme="minorHAnsi"/>
          <w:bCs/>
          <w:color w:val="auto"/>
        </w:rPr>
        <w:t>GST</w:t>
      </w:r>
      <w:r w:rsidR="003177A2" w:rsidRPr="00E033F1">
        <w:rPr>
          <w:rFonts w:asciiTheme="minorHAnsi" w:hAnsiTheme="minorHAnsi" w:cstheme="minorHAnsi"/>
          <w:bCs/>
          <w:color w:val="auto"/>
        </w:rPr>
        <w:t xml:space="preserve"> activity</w:t>
      </w:r>
      <w:r w:rsidR="009E3EA9" w:rsidRPr="00E033F1">
        <w:rPr>
          <w:rFonts w:asciiTheme="minorHAnsi" w:hAnsiTheme="minorHAnsi" w:cstheme="minorHAnsi"/>
          <w:bCs/>
          <w:color w:val="auto"/>
        </w:rPr>
        <w:t xml:space="preserve"> </w:t>
      </w:r>
      <w:r w:rsidR="00EB7249" w:rsidRPr="00E033F1">
        <w:rPr>
          <w:rFonts w:asciiTheme="minorHAnsi" w:hAnsiTheme="minorHAnsi" w:cstheme="minorHAnsi"/>
          <w:bCs/>
          <w:color w:val="auto"/>
        </w:rPr>
        <w:t>using</w:t>
      </w:r>
      <w:r w:rsidR="00AE2429" w:rsidRPr="00E033F1">
        <w:rPr>
          <w:rFonts w:asciiTheme="minorHAnsi" w:hAnsiTheme="minorHAnsi" w:cstheme="minorHAnsi"/>
          <w:bCs/>
          <w:color w:val="auto"/>
        </w:rPr>
        <w:t xml:space="preserve"> a pool of</w:t>
      </w:r>
      <w:r w:rsidR="009E3EA9" w:rsidRPr="00E033F1">
        <w:rPr>
          <w:rFonts w:asciiTheme="minorHAnsi" w:hAnsiTheme="minorHAnsi" w:cstheme="minorHAnsi"/>
          <w:bCs/>
          <w:color w:val="auto"/>
        </w:rPr>
        <w:t xml:space="preserve"> GST isoforms </w:t>
      </w:r>
      <w:r w:rsidR="00AE2429" w:rsidRPr="00E033F1">
        <w:rPr>
          <w:rFonts w:asciiTheme="minorHAnsi" w:hAnsiTheme="minorHAnsi" w:cstheme="minorHAnsi"/>
          <w:bCs/>
          <w:color w:val="auto"/>
        </w:rPr>
        <w:t>from equine liver</w:t>
      </w:r>
      <w:r w:rsidR="00EB7249" w:rsidRPr="00E033F1">
        <w:rPr>
          <w:rFonts w:asciiTheme="minorHAnsi" w:hAnsiTheme="minorHAnsi" w:cstheme="minorHAnsi"/>
          <w:bCs/>
          <w:color w:val="auto"/>
        </w:rPr>
        <w:t>. According to the supplier, t</w:t>
      </w:r>
      <w:r w:rsidR="00A80D08" w:rsidRPr="00E033F1">
        <w:rPr>
          <w:rFonts w:asciiTheme="minorHAnsi" w:hAnsiTheme="minorHAnsi" w:cstheme="minorHAnsi"/>
          <w:bCs/>
          <w:color w:val="auto"/>
        </w:rPr>
        <w:t xml:space="preserve">he specific activity of this mix of proteins </w:t>
      </w:r>
      <w:r w:rsidR="009E3EA9" w:rsidRPr="00E033F1">
        <w:rPr>
          <w:rFonts w:asciiTheme="minorHAnsi" w:hAnsiTheme="minorHAnsi" w:cstheme="minorHAnsi"/>
          <w:bCs/>
          <w:color w:val="auto"/>
        </w:rPr>
        <w:t>is</w:t>
      </w:r>
      <w:r w:rsidR="00A80D08" w:rsidRPr="00E033F1">
        <w:rPr>
          <w:rFonts w:asciiTheme="minorHAnsi" w:hAnsiTheme="minorHAnsi" w:cstheme="minorHAnsi"/>
          <w:bCs/>
          <w:color w:val="auto"/>
        </w:rPr>
        <w:t xml:space="preserve"> 25</w:t>
      </w:r>
      <w:r w:rsidR="00D2105D" w:rsidRPr="00E033F1">
        <w:rPr>
          <w:rFonts w:asciiTheme="minorHAnsi" w:hAnsiTheme="minorHAnsi" w:cstheme="minorHAnsi"/>
          <w:bCs/>
          <w:color w:val="auto"/>
        </w:rPr>
        <w:t> </w:t>
      </w:r>
      <w:r w:rsidR="00E033F1">
        <w:rPr>
          <w:rFonts w:asciiTheme="minorHAnsi" w:hAnsiTheme="minorHAnsi" w:cstheme="minorHAnsi"/>
          <w:bCs/>
          <w:color w:val="auto"/>
        </w:rPr>
        <w:t>U</w:t>
      </w:r>
      <w:r w:rsidR="00A80D08" w:rsidRPr="00E033F1">
        <w:rPr>
          <w:rFonts w:asciiTheme="minorHAnsi" w:hAnsiTheme="minorHAnsi" w:cstheme="minorHAnsi"/>
          <w:bCs/>
          <w:color w:val="auto"/>
        </w:rPr>
        <w:t>/mg. A stock solution of 0.1</w:t>
      </w:r>
      <w:r w:rsidR="004B5E1E" w:rsidRPr="00E033F1">
        <w:rPr>
          <w:rFonts w:asciiTheme="minorHAnsi" w:hAnsiTheme="minorHAnsi" w:cstheme="minorHAnsi"/>
          <w:bCs/>
          <w:color w:val="auto"/>
        </w:rPr>
        <w:t> </w:t>
      </w:r>
      <w:r w:rsidR="00E033F1">
        <w:rPr>
          <w:rFonts w:asciiTheme="minorHAnsi" w:hAnsiTheme="minorHAnsi" w:cstheme="minorHAnsi"/>
          <w:bCs/>
          <w:color w:val="auto"/>
        </w:rPr>
        <w:t>U</w:t>
      </w:r>
      <w:r w:rsidR="009E3EA9" w:rsidRPr="00E033F1">
        <w:rPr>
          <w:rFonts w:asciiTheme="minorHAnsi" w:hAnsiTheme="minorHAnsi" w:cstheme="minorHAnsi"/>
          <w:bCs/>
          <w:color w:val="auto"/>
        </w:rPr>
        <w:t>/</w:t>
      </w:r>
      <w:r w:rsidR="00140D24" w:rsidRPr="00E033F1">
        <w:rPr>
          <w:rFonts w:asciiTheme="minorHAnsi" w:hAnsiTheme="minorHAnsi" w:cstheme="minorHAnsi"/>
          <w:bCs/>
          <w:color w:val="auto"/>
        </w:rPr>
        <w:t>mL</w:t>
      </w:r>
      <w:r w:rsidR="00A80D08" w:rsidRPr="00E033F1">
        <w:rPr>
          <w:rFonts w:asciiTheme="minorHAnsi" w:hAnsiTheme="minorHAnsi" w:cstheme="minorHAnsi"/>
          <w:bCs/>
          <w:color w:val="auto"/>
        </w:rPr>
        <w:t xml:space="preserve"> was prepared by dissolving the lyophilized powder in the </w:t>
      </w:r>
      <w:r w:rsidR="00D2105D" w:rsidRPr="00E033F1">
        <w:rPr>
          <w:rFonts w:asciiTheme="minorHAnsi" w:hAnsiTheme="minorHAnsi" w:cstheme="minorHAnsi"/>
          <w:bCs/>
          <w:color w:val="auto"/>
        </w:rPr>
        <w:t xml:space="preserve">appropriate </w:t>
      </w:r>
      <w:r w:rsidR="00A80D08" w:rsidRPr="00E033F1">
        <w:rPr>
          <w:rFonts w:asciiTheme="minorHAnsi" w:hAnsiTheme="minorHAnsi" w:cstheme="minorHAnsi"/>
          <w:bCs/>
          <w:color w:val="auto"/>
        </w:rPr>
        <w:t xml:space="preserve">amount of water. </w:t>
      </w:r>
      <w:r w:rsidR="00401260" w:rsidRPr="00E033F1">
        <w:rPr>
          <w:rFonts w:asciiTheme="minorHAnsi" w:hAnsiTheme="minorHAnsi" w:cstheme="minorHAnsi"/>
          <w:bCs/>
          <w:color w:val="auto"/>
        </w:rPr>
        <w:t>Ethacrynic acid was used</w:t>
      </w:r>
      <w:r w:rsidR="001710FD" w:rsidRPr="00E033F1">
        <w:rPr>
          <w:rFonts w:asciiTheme="minorHAnsi" w:hAnsiTheme="minorHAnsi" w:cstheme="minorHAnsi"/>
          <w:bCs/>
          <w:color w:val="auto"/>
        </w:rPr>
        <w:t xml:space="preserve"> in parallel</w:t>
      </w:r>
      <w:r w:rsidR="00401260" w:rsidRPr="00E033F1">
        <w:rPr>
          <w:rFonts w:asciiTheme="minorHAnsi" w:hAnsiTheme="minorHAnsi" w:cstheme="minorHAnsi"/>
          <w:bCs/>
          <w:color w:val="auto"/>
        </w:rPr>
        <w:t xml:space="preserve"> as </w:t>
      </w:r>
      <w:r w:rsidR="001710FD" w:rsidRPr="00E033F1">
        <w:rPr>
          <w:rFonts w:asciiTheme="minorHAnsi" w:hAnsiTheme="minorHAnsi" w:cstheme="minorHAnsi"/>
          <w:bCs/>
          <w:color w:val="auto"/>
        </w:rPr>
        <w:t>a</w:t>
      </w:r>
      <w:r w:rsidR="00401260" w:rsidRPr="00E033F1">
        <w:rPr>
          <w:rFonts w:asciiTheme="minorHAnsi" w:hAnsiTheme="minorHAnsi" w:cstheme="minorHAnsi"/>
          <w:bCs/>
          <w:color w:val="auto"/>
        </w:rPr>
        <w:t xml:space="preserve"> positive control as this </w:t>
      </w:r>
      <w:r w:rsidR="0020326A" w:rsidRPr="00E033F1">
        <w:rPr>
          <w:rFonts w:asciiTheme="minorHAnsi" w:hAnsiTheme="minorHAnsi" w:cstheme="minorHAnsi"/>
          <w:bCs/>
          <w:color w:val="auto"/>
        </w:rPr>
        <w:t>compound</w:t>
      </w:r>
      <w:r w:rsidR="00401260" w:rsidRPr="00E033F1">
        <w:rPr>
          <w:rFonts w:asciiTheme="minorHAnsi" w:hAnsiTheme="minorHAnsi" w:cstheme="minorHAnsi"/>
          <w:bCs/>
          <w:color w:val="auto"/>
        </w:rPr>
        <w:t xml:space="preserve"> is the most widely used GST inhibitor in studies. </w:t>
      </w:r>
      <w:r w:rsidR="00D645BF" w:rsidRPr="00E033F1">
        <w:rPr>
          <w:rFonts w:asciiTheme="minorHAnsi" w:hAnsiTheme="minorHAnsi" w:cstheme="minorHAnsi"/>
          <w:bCs/>
          <w:color w:val="auto"/>
        </w:rPr>
        <w:t xml:space="preserve">Steps in setting up a GST activity assay and testing </w:t>
      </w:r>
      <w:r w:rsidR="00282C4A" w:rsidRPr="00E033F1">
        <w:rPr>
          <w:rFonts w:asciiTheme="minorHAnsi" w:hAnsiTheme="minorHAnsi" w:cstheme="minorHAnsi"/>
          <w:bCs/>
          <w:color w:val="auto"/>
        </w:rPr>
        <w:t xml:space="preserve">of </w:t>
      </w:r>
      <w:r w:rsidR="00D645BF" w:rsidRPr="00E033F1">
        <w:rPr>
          <w:rFonts w:asciiTheme="minorHAnsi" w:hAnsiTheme="minorHAnsi" w:cstheme="minorHAnsi"/>
          <w:bCs/>
          <w:color w:val="auto"/>
        </w:rPr>
        <w:t xml:space="preserve">inhibitors is outlined in </w:t>
      </w:r>
      <w:r w:rsidR="00D645BF" w:rsidRPr="00E033F1">
        <w:rPr>
          <w:b/>
          <w:color w:val="auto"/>
        </w:rPr>
        <w:t>Figure 1.</w:t>
      </w:r>
    </w:p>
    <w:p w14:paraId="06E16E93" w14:textId="77777777" w:rsidR="001B5216" w:rsidRPr="00E033F1" w:rsidRDefault="001B5216" w:rsidP="00E033F1">
      <w:pPr>
        <w:contextualSpacing/>
        <w:rPr>
          <w:color w:val="auto"/>
        </w:rPr>
      </w:pPr>
    </w:p>
    <w:p w14:paraId="6AF5F7E4" w14:textId="25A44D7A" w:rsidR="00406B1F" w:rsidRDefault="007E3FA4" w:rsidP="00E033F1">
      <w:pPr>
        <w:pStyle w:val="NormalWeb"/>
        <w:spacing w:before="0" w:beforeAutospacing="0" w:after="0" w:afterAutospacing="0"/>
        <w:contextualSpacing/>
        <w:rPr>
          <w:rFonts w:asciiTheme="minorHAnsi" w:hAnsiTheme="minorHAnsi" w:cstheme="minorHAnsi"/>
          <w:bCs/>
          <w:color w:val="auto"/>
        </w:rPr>
      </w:pPr>
      <w:r w:rsidRPr="00E033F1">
        <w:rPr>
          <w:rFonts w:asciiTheme="minorHAnsi" w:hAnsiTheme="minorHAnsi" w:cstheme="minorHAnsi"/>
          <w:bCs/>
          <w:color w:val="auto"/>
        </w:rPr>
        <w:t>The K</w:t>
      </w:r>
      <w:r w:rsidRPr="00E033F1">
        <w:rPr>
          <w:rFonts w:asciiTheme="minorHAnsi" w:hAnsiTheme="minorHAnsi" w:cstheme="minorHAnsi"/>
          <w:bCs/>
          <w:color w:val="auto"/>
          <w:vertAlign w:val="subscript"/>
        </w:rPr>
        <w:t>m</w:t>
      </w:r>
      <w:r w:rsidRPr="00E033F1">
        <w:rPr>
          <w:rFonts w:asciiTheme="minorHAnsi" w:hAnsiTheme="minorHAnsi" w:cstheme="minorHAnsi"/>
          <w:bCs/>
          <w:color w:val="auto"/>
        </w:rPr>
        <w:t xml:space="preserve"> has to be defined for each enzyme substrate reaction because using</w:t>
      </w:r>
      <w:r w:rsidR="0010033D" w:rsidRPr="00E033F1">
        <w:rPr>
          <w:rFonts w:asciiTheme="minorHAnsi" w:hAnsiTheme="minorHAnsi" w:cstheme="minorHAnsi"/>
          <w:bCs/>
          <w:color w:val="auto"/>
        </w:rPr>
        <w:t xml:space="preserve"> the substrate concentration </w:t>
      </w:r>
      <w:r w:rsidRPr="00E033F1">
        <w:rPr>
          <w:rFonts w:asciiTheme="minorHAnsi" w:hAnsiTheme="minorHAnsi" w:cstheme="minorHAnsi"/>
          <w:bCs/>
          <w:color w:val="auto"/>
        </w:rPr>
        <w:t>equivalent to K</w:t>
      </w:r>
      <w:r w:rsidRPr="00E033F1">
        <w:rPr>
          <w:rFonts w:asciiTheme="minorHAnsi" w:hAnsiTheme="minorHAnsi" w:cstheme="minorHAnsi"/>
          <w:bCs/>
          <w:color w:val="auto"/>
          <w:vertAlign w:val="subscript"/>
        </w:rPr>
        <w:t>m</w:t>
      </w:r>
      <w:r w:rsidRPr="00E033F1">
        <w:rPr>
          <w:rFonts w:asciiTheme="minorHAnsi" w:hAnsiTheme="minorHAnsi" w:cstheme="minorHAnsi"/>
          <w:bCs/>
          <w:color w:val="auto"/>
        </w:rPr>
        <w:t xml:space="preserve"> would </w:t>
      </w:r>
      <w:r w:rsidR="0010033D" w:rsidRPr="00E033F1">
        <w:rPr>
          <w:rFonts w:asciiTheme="minorHAnsi" w:hAnsiTheme="minorHAnsi" w:cstheme="minorHAnsi"/>
          <w:bCs/>
          <w:color w:val="auto"/>
        </w:rPr>
        <w:t>ensure no bias regarding the determination of the mode of inhibition</w:t>
      </w:r>
      <w:r w:rsidR="00E033F1" w:rsidRPr="00E033F1">
        <w:rPr>
          <w:rFonts w:asciiTheme="minorHAnsi" w:hAnsiTheme="minorHAnsi" w:cstheme="minorHAnsi"/>
          <w:bCs/>
          <w:color w:val="auto"/>
        </w:rPr>
        <w:fldChar w:fldCharType="begin"/>
      </w:r>
      <w:r w:rsidR="00E033F1" w:rsidRPr="00E033F1">
        <w:rPr>
          <w:rFonts w:asciiTheme="minorHAnsi" w:hAnsiTheme="minorHAnsi" w:cstheme="minorHAnsi"/>
          <w:bCs/>
          <w:color w:val="auto"/>
        </w:rPr>
        <w:instrText xml:space="preserve"> ADDIN ZOTERO_ITEM CSL_CITATION {"citationID":"dAUBLTCC","properties":{"formattedCitation":"\\super 28\\nosupersub{}","plainCitation":"28","noteIndex":0},"citationItems":[{"id":387,"uris":["http://zotero.org/users/local/bXXP6LKp/items/UWQYNIIH"],"uri":["http://zotero.org/users/local/bXXP6LKp/items/UWQYNIIH"],"itemData":{"id":387,"type":"article-journal","abstract":"High-throughput screening (HTS) is a common mechanism for identifying lead compounds for drug discovery efforts. Small molecules can inhibit enzymes by a variety of mechanisms, such as competitive, noncompetitive, and uncompetitive with respect to the substrate(s) of the catalytic reaction. To optimize the chances of finding the broadest diversity of inhibitor modalities during screening, one must run assays under ``balanced'' conditions where the potency of inhibitors with various modes of action falls within a similar range. When an enzyme reaction involves more than one substrate, the definition and assessment of the apparent potency of inhibitors (IC50), in relation to their true potency (Ki), can be nontrivial. This article provides a theoretical analysis, on the basis of the Cheng-Prusoff derivation, of the IC50/K i relationship of bisubstrate enzyme reactions following various sequential kinetic mechanisms, as well as the application and limitations of this information for defining optimal screening conditions for such enzymes. (Journal of Biomolecular Screening 2009:111-120)","container-title":"Journal of Biomolecular Screening","DOI":"10.1177/1087057108328763","ISSN":"1087-0571","issue":"2","journalAbbreviation":"J Biomol Screen","language":"en","page":"111-120","source":"SAGE Journals","title":"Defining Balanced Conditions for Inhibitor Screening Assays That Target Bisubstrate Enzymes","volume":"14","author":[{"family":"Yang","given":"Jingsong"},{"family":"Copeland","given":"Robert A."},{"family":"Lai","given":"Zhihong"}],"issued":{"date-parts":[["2009",2,1]]}}}],"schema":"https://github.com/citation-style-language/schema/raw/master/csl-citation.json"} </w:instrText>
      </w:r>
      <w:r w:rsidR="00E033F1" w:rsidRPr="00E033F1">
        <w:rPr>
          <w:rFonts w:asciiTheme="minorHAnsi" w:hAnsiTheme="minorHAnsi" w:cstheme="minorHAnsi"/>
          <w:bCs/>
          <w:color w:val="auto"/>
        </w:rPr>
        <w:fldChar w:fldCharType="separate"/>
      </w:r>
      <w:r w:rsidR="00E033F1" w:rsidRPr="00E033F1">
        <w:rPr>
          <w:color w:val="auto"/>
          <w:vertAlign w:val="superscript"/>
        </w:rPr>
        <w:t>28</w:t>
      </w:r>
      <w:r w:rsidR="00E033F1" w:rsidRPr="00E033F1">
        <w:rPr>
          <w:rFonts w:asciiTheme="minorHAnsi" w:hAnsiTheme="minorHAnsi" w:cstheme="minorHAnsi"/>
          <w:bCs/>
          <w:color w:val="auto"/>
        </w:rPr>
        <w:fldChar w:fldCharType="end"/>
      </w:r>
      <w:r w:rsidR="0010033D" w:rsidRPr="00E033F1">
        <w:rPr>
          <w:rFonts w:asciiTheme="minorHAnsi" w:hAnsiTheme="minorHAnsi" w:cstheme="minorHAnsi"/>
          <w:bCs/>
          <w:color w:val="auto"/>
        </w:rPr>
        <w:t xml:space="preserve">. </w:t>
      </w:r>
      <w:r w:rsidR="00DD4A91" w:rsidRPr="00E033F1">
        <w:rPr>
          <w:rFonts w:asciiTheme="minorHAnsi" w:hAnsiTheme="minorHAnsi" w:cstheme="minorHAnsi"/>
          <w:bCs/>
          <w:color w:val="auto"/>
        </w:rPr>
        <w:t>S</w:t>
      </w:r>
      <w:r w:rsidR="00406B1F" w:rsidRPr="00E033F1">
        <w:rPr>
          <w:rFonts w:asciiTheme="minorHAnsi" w:hAnsiTheme="minorHAnsi" w:cstheme="minorHAnsi"/>
          <w:bCs/>
          <w:color w:val="auto"/>
        </w:rPr>
        <w:t>ix different concentrations of CDNB</w:t>
      </w:r>
      <w:r w:rsidR="00DD4A91" w:rsidRPr="00E033F1">
        <w:rPr>
          <w:rFonts w:asciiTheme="minorHAnsi" w:hAnsiTheme="minorHAnsi" w:cstheme="minorHAnsi"/>
          <w:bCs/>
          <w:color w:val="auto"/>
        </w:rPr>
        <w:t>,</w:t>
      </w:r>
      <w:r w:rsidR="00406B1F" w:rsidRPr="00E033F1">
        <w:rPr>
          <w:rFonts w:asciiTheme="minorHAnsi" w:hAnsiTheme="minorHAnsi" w:cstheme="minorHAnsi"/>
          <w:bCs/>
          <w:color w:val="auto"/>
        </w:rPr>
        <w:t xml:space="preserve"> ranging </w:t>
      </w:r>
      <w:r w:rsidR="00DD4A91" w:rsidRPr="00E033F1">
        <w:rPr>
          <w:rFonts w:asciiTheme="minorHAnsi" w:hAnsiTheme="minorHAnsi" w:cstheme="minorHAnsi"/>
          <w:bCs/>
          <w:color w:val="auto"/>
        </w:rPr>
        <w:t>from</w:t>
      </w:r>
      <w:r w:rsidR="00406B1F" w:rsidRPr="00E033F1">
        <w:rPr>
          <w:rFonts w:asciiTheme="minorHAnsi" w:hAnsiTheme="minorHAnsi" w:cstheme="minorHAnsi"/>
          <w:bCs/>
          <w:color w:val="auto"/>
        </w:rPr>
        <w:t xml:space="preserve"> 0.5</w:t>
      </w:r>
      <w:r w:rsidR="004B5E1E" w:rsidRPr="00E033F1">
        <w:rPr>
          <w:rFonts w:asciiTheme="minorHAnsi" w:hAnsiTheme="minorHAnsi" w:cstheme="minorHAnsi"/>
          <w:bCs/>
          <w:color w:val="auto"/>
        </w:rPr>
        <w:t> </w:t>
      </w:r>
      <w:r w:rsidR="00406B1F" w:rsidRPr="00E033F1">
        <w:rPr>
          <w:rFonts w:asciiTheme="minorHAnsi" w:hAnsiTheme="minorHAnsi" w:cstheme="minorHAnsi"/>
          <w:bCs/>
          <w:color w:val="auto"/>
        </w:rPr>
        <w:t xml:space="preserve">mM </w:t>
      </w:r>
      <w:r w:rsidR="00DD4A91" w:rsidRPr="00E033F1">
        <w:rPr>
          <w:rFonts w:asciiTheme="minorHAnsi" w:hAnsiTheme="minorHAnsi" w:cstheme="minorHAnsi"/>
          <w:bCs/>
          <w:color w:val="auto"/>
        </w:rPr>
        <w:t>to</w:t>
      </w:r>
      <w:r w:rsidR="00406B1F" w:rsidRPr="00E033F1">
        <w:rPr>
          <w:rFonts w:asciiTheme="minorHAnsi" w:hAnsiTheme="minorHAnsi" w:cstheme="minorHAnsi"/>
          <w:bCs/>
          <w:color w:val="auto"/>
        </w:rPr>
        <w:t xml:space="preserve"> 5</w:t>
      </w:r>
      <w:r w:rsidR="004B5E1E" w:rsidRPr="00E033F1">
        <w:rPr>
          <w:rFonts w:asciiTheme="minorHAnsi" w:hAnsiTheme="minorHAnsi" w:cstheme="minorHAnsi"/>
          <w:bCs/>
          <w:color w:val="auto"/>
        </w:rPr>
        <w:t> </w:t>
      </w:r>
      <w:r w:rsidR="00406B1F" w:rsidRPr="00E033F1">
        <w:rPr>
          <w:rFonts w:asciiTheme="minorHAnsi" w:hAnsiTheme="minorHAnsi" w:cstheme="minorHAnsi"/>
          <w:bCs/>
          <w:color w:val="auto"/>
        </w:rPr>
        <w:t>mM</w:t>
      </w:r>
      <w:r w:rsidR="00DD4A91" w:rsidRPr="00E033F1">
        <w:rPr>
          <w:rFonts w:asciiTheme="minorHAnsi" w:hAnsiTheme="minorHAnsi" w:cstheme="minorHAnsi"/>
          <w:bCs/>
          <w:color w:val="auto"/>
        </w:rPr>
        <w:t>,</w:t>
      </w:r>
      <w:r w:rsidR="00406B1F" w:rsidRPr="00E033F1">
        <w:rPr>
          <w:rFonts w:asciiTheme="minorHAnsi" w:hAnsiTheme="minorHAnsi" w:cstheme="minorHAnsi"/>
          <w:bCs/>
          <w:color w:val="auto"/>
        </w:rPr>
        <w:t xml:space="preserve"> were tested</w:t>
      </w:r>
      <w:r w:rsidR="00DD4A91" w:rsidRPr="00E033F1">
        <w:rPr>
          <w:rFonts w:asciiTheme="minorHAnsi" w:hAnsiTheme="minorHAnsi" w:cstheme="minorHAnsi"/>
          <w:bCs/>
          <w:color w:val="auto"/>
        </w:rPr>
        <w:t xml:space="preserve"> to measure this parameter</w:t>
      </w:r>
      <w:r w:rsidR="00406B1F" w:rsidRPr="00E033F1">
        <w:rPr>
          <w:rFonts w:asciiTheme="minorHAnsi" w:hAnsiTheme="minorHAnsi" w:cstheme="minorHAnsi"/>
          <w:bCs/>
          <w:color w:val="auto"/>
        </w:rPr>
        <w:t xml:space="preserve">, </w:t>
      </w:r>
      <w:r w:rsidR="00DD4A91" w:rsidRPr="00E033F1">
        <w:rPr>
          <w:rFonts w:asciiTheme="minorHAnsi" w:hAnsiTheme="minorHAnsi" w:cstheme="minorHAnsi"/>
          <w:bCs/>
          <w:color w:val="auto"/>
        </w:rPr>
        <w:t>using</w:t>
      </w:r>
      <w:r w:rsidR="00406B1F" w:rsidRPr="00E033F1">
        <w:rPr>
          <w:rFonts w:asciiTheme="minorHAnsi" w:hAnsiTheme="minorHAnsi" w:cstheme="minorHAnsi"/>
          <w:bCs/>
          <w:color w:val="auto"/>
        </w:rPr>
        <w:t xml:space="preserve"> a f</w:t>
      </w:r>
      <w:r w:rsidR="00682575" w:rsidRPr="00E033F1">
        <w:rPr>
          <w:rFonts w:asciiTheme="minorHAnsi" w:hAnsiTheme="minorHAnsi" w:cstheme="minorHAnsi"/>
          <w:bCs/>
          <w:color w:val="auto"/>
        </w:rPr>
        <w:t>ixed concentration of 2.5</w:t>
      </w:r>
      <w:r w:rsidR="004B5E1E" w:rsidRPr="00E033F1">
        <w:rPr>
          <w:rFonts w:asciiTheme="minorHAnsi" w:hAnsiTheme="minorHAnsi" w:cstheme="minorHAnsi"/>
          <w:bCs/>
          <w:color w:val="auto"/>
        </w:rPr>
        <w:t> </w:t>
      </w:r>
      <w:r w:rsidR="00682575" w:rsidRPr="00E033F1">
        <w:rPr>
          <w:rFonts w:asciiTheme="minorHAnsi" w:hAnsiTheme="minorHAnsi" w:cstheme="minorHAnsi"/>
          <w:bCs/>
          <w:color w:val="auto"/>
        </w:rPr>
        <w:t xml:space="preserve">mM </w:t>
      </w:r>
      <w:r w:rsidR="0023303E" w:rsidRPr="00E033F1">
        <w:rPr>
          <w:rFonts w:asciiTheme="minorHAnsi" w:hAnsiTheme="minorHAnsi" w:cstheme="minorHAnsi"/>
          <w:bCs/>
          <w:color w:val="auto"/>
        </w:rPr>
        <w:t>GSH</w:t>
      </w:r>
      <w:r w:rsidR="00406B1F" w:rsidRPr="00E033F1">
        <w:rPr>
          <w:rFonts w:asciiTheme="minorHAnsi" w:hAnsiTheme="minorHAnsi" w:cstheme="minorHAnsi"/>
          <w:bCs/>
          <w:color w:val="auto"/>
        </w:rPr>
        <w:t xml:space="preserve">. </w:t>
      </w:r>
    </w:p>
    <w:p w14:paraId="1B7EC857" w14:textId="77777777" w:rsidR="00E033F1" w:rsidRPr="00E033F1" w:rsidRDefault="00E033F1" w:rsidP="00E033F1">
      <w:pPr>
        <w:pStyle w:val="NormalWeb"/>
        <w:spacing w:before="0" w:beforeAutospacing="0" w:after="0" w:afterAutospacing="0"/>
        <w:contextualSpacing/>
        <w:rPr>
          <w:rFonts w:asciiTheme="minorHAnsi" w:hAnsiTheme="minorHAnsi" w:cstheme="minorHAnsi"/>
          <w:bCs/>
          <w:color w:val="auto"/>
        </w:rPr>
      </w:pPr>
    </w:p>
    <w:p w14:paraId="00B0579D" w14:textId="7DFC4C35" w:rsidR="005F0DEF" w:rsidRPr="00E033F1" w:rsidRDefault="00A80D08" w:rsidP="00E033F1">
      <w:pPr>
        <w:contextualSpacing/>
        <w:rPr>
          <w:color w:val="auto"/>
        </w:rPr>
      </w:pPr>
      <w:r w:rsidRPr="00E033F1">
        <w:rPr>
          <w:color w:val="auto"/>
        </w:rPr>
        <w:t xml:space="preserve">The </w:t>
      </w:r>
      <w:r w:rsidR="00DD4A91" w:rsidRPr="00E033F1">
        <w:rPr>
          <w:color w:val="auto"/>
        </w:rPr>
        <w:t xml:space="preserve">reaction’s </w:t>
      </w:r>
      <w:r w:rsidRPr="00E033F1">
        <w:rPr>
          <w:color w:val="auto"/>
        </w:rPr>
        <w:t>final volume was 200</w:t>
      </w:r>
      <w:r w:rsidR="004B5E1E" w:rsidRPr="00E033F1">
        <w:rPr>
          <w:color w:val="auto"/>
        </w:rPr>
        <w:t> </w:t>
      </w:r>
      <w:r w:rsidR="00B33C23" w:rsidRPr="00E033F1">
        <w:rPr>
          <w:color w:val="auto"/>
        </w:rPr>
        <w:t>µ</w:t>
      </w:r>
      <w:r w:rsidR="00140D24" w:rsidRPr="00E033F1">
        <w:rPr>
          <w:color w:val="auto"/>
        </w:rPr>
        <w:t>L</w:t>
      </w:r>
      <w:r w:rsidRPr="00E033F1">
        <w:rPr>
          <w:color w:val="auto"/>
        </w:rPr>
        <w:t>, in a 96</w:t>
      </w:r>
      <w:r w:rsidR="00DD4A91" w:rsidRPr="00E033F1">
        <w:rPr>
          <w:color w:val="auto"/>
        </w:rPr>
        <w:t>-</w:t>
      </w:r>
      <w:r w:rsidRPr="00E033F1">
        <w:rPr>
          <w:color w:val="auto"/>
        </w:rPr>
        <w:t xml:space="preserve">well plate. </w:t>
      </w:r>
      <w:r w:rsidR="00E3005B" w:rsidRPr="00E033F1">
        <w:rPr>
          <w:color w:val="auto"/>
        </w:rPr>
        <w:t>A specific blank was used for each experiment</w:t>
      </w:r>
      <w:r w:rsidR="00DD4A91" w:rsidRPr="00E033F1">
        <w:rPr>
          <w:color w:val="auto"/>
        </w:rPr>
        <w:t>,</w:t>
      </w:r>
      <w:r w:rsidR="00B2002B" w:rsidRPr="00E033F1">
        <w:rPr>
          <w:color w:val="auto"/>
        </w:rPr>
        <w:t xml:space="preserve"> </w:t>
      </w:r>
      <w:r w:rsidR="00DD4A91" w:rsidRPr="00E033F1">
        <w:rPr>
          <w:color w:val="auto"/>
        </w:rPr>
        <w:t>using</w:t>
      </w:r>
      <w:r w:rsidR="00B2002B" w:rsidRPr="00E033F1">
        <w:rPr>
          <w:color w:val="auto"/>
        </w:rPr>
        <w:t xml:space="preserve"> the same concentration of CDNB as the test well</w:t>
      </w:r>
      <w:r w:rsidR="00DD4A91" w:rsidRPr="00E033F1">
        <w:rPr>
          <w:color w:val="auto"/>
        </w:rPr>
        <w:t xml:space="preserve"> because</w:t>
      </w:r>
      <w:r w:rsidR="00E3005B" w:rsidRPr="00E033F1">
        <w:rPr>
          <w:color w:val="auto"/>
        </w:rPr>
        <w:t xml:space="preserve"> spontaneous conjugation of CDNB </w:t>
      </w:r>
      <w:r w:rsidR="00DD4A91" w:rsidRPr="00E033F1">
        <w:rPr>
          <w:color w:val="auto"/>
        </w:rPr>
        <w:t>and</w:t>
      </w:r>
      <w:r w:rsidR="00E3005B" w:rsidRPr="00E033F1">
        <w:rPr>
          <w:color w:val="auto"/>
        </w:rPr>
        <w:t xml:space="preserve"> GSH </w:t>
      </w:r>
      <w:r w:rsidR="00DD4A91" w:rsidRPr="00E033F1">
        <w:rPr>
          <w:color w:val="auto"/>
        </w:rPr>
        <w:t>could</w:t>
      </w:r>
      <w:r w:rsidR="00406B1F" w:rsidRPr="00E033F1">
        <w:rPr>
          <w:color w:val="auto"/>
        </w:rPr>
        <w:t xml:space="preserve"> occur and might</w:t>
      </w:r>
      <w:r w:rsidR="00E3005B" w:rsidRPr="00E033F1">
        <w:rPr>
          <w:color w:val="auto"/>
        </w:rPr>
        <w:t xml:space="preserve"> increase</w:t>
      </w:r>
      <w:r w:rsidRPr="00E033F1">
        <w:rPr>
          <w:color w:val="auto"/>
        </w:rPr>
        <w:t xml:space="preserve"> absorbance</w:t>
      </w:r>
      <w:r w:rsidR="00B2002B" w:rsidRPr="00E033F1">
        <w:rPr>
          <w:color w:val="auto"/>
        </w:rPr>
        <w:t xml:space="preserve">. </w:t>
      </w:r>
      <w:r w:rsidR="00E3005B" w:rsidRPr="00E033F1">
        <w:rPr>
          <w:color w:val="auto"/>
        </w:rPr>
        <w:t>A final enzyme concentration of 0.01</w:t>
      </w:r>
      <w:r w:rsidR="004B5E1E" w:rsidRPr="00E033F1">
        <w:rPr>
          <w:color w:val="auto"/>
        </w:rPr>
        <w:t> </w:t>
      </w:r>
      <w:r w:rsidR="00E3005B" w:rsidRPr="00E033F1">
        <w:rPr>
          <w:color w:val="auto"/>
        </w:rPr>
        <w:t>unit</w:t>
      </w:r>
      <w:r w:rsidR="00406B1F" w:rsidRPr="00E033F1">
        <w:rPr>
          <w:color w:val="auto"/>
        </w:rPr>
        <w:t>/</w:t>
      </w:r>
      <w:r w:rsidR="00140D24" w:rsidRPr="00E033F1">
        <w:rPr>
          <w:color w:val="auto"/>
        </w:rPr>
        <w:t>mL</w:t>
      </w:r>
      <w:r w:rsidR="00E3005B" w:rsidRPr="00E033F1">
        <w:rPr>
          <w:color w:val="auto"/>
        </w:rPr>
        <w:t xml:space="preserve"> was used for all the reactions</w:t>
      </w:r>
      <w:r w:rsidRPr="00E033F1">
        <w:rPr>
          <w:color w:val="auto"/>
        </w:rPr>
        <w:t>, by adding 20</w:t>
      </w:r>
      <w:r w:rsidR="004B5E1E" w:rsidRPr="00E033F1">
        <w:rPr>
          <w:color w:val="auto"/>
        </w:rPr>
        <w:t> </w:t>
      </w:r>
      <w:r w:rsidR="00B33C23" w:rsidRPr="00E033F1">
        <w:rPr>
          <w:color w:val="auto"/>
        </w:rPr>
        <w:t>µ</w:t>
      </w:r>
      <w:r w:rsidR="00140D24" w:rsidRPr="00E033F1">
        <w:rPr>
          <w:color w:val="auto"/>
        </w:rPr>
        <w:t>L</w:t>
      </w:r>
      <w:r w:rsidRPr="00E033F1">
        <w:rPr>
          <w:color w:val="auto"/>
        </w:rPr>
        <w:t xml:space="preserve"> of</w:t>
      </w:r>
      <w:r w:rsidR="00AF1952" w:rsidRPr="00E033F1">
        <w:rPr>
          <w:color w:val="auto"/>
        </w:rPr>
        <w:t xml:space="preserve"> the stock solution </w:t>
      </w:r>
      <w:r w:rsidR="00AF1952" w:rsidRPr="00E033F1">
        <w:rPr>
          <w:color w:val="auto"/>
        </w:rPr>
        <w:lastRenderedPageBreak/>
        <w:t>to the assay mix</w:t>
      </w:r>
      <w:r w:rsidR="00E3005B" w:rsidRPr="00E033F1">
        <w:rPr>
          <w:color w:val="auto"/>
        </w:rPr>
        <w:t xml:space="preserve">. </w:t>
      </w:r>
      <w:r w:rsidR="00DD4A91" w:rsidRPr="00E033F1">
        <w:rPr>
          <w:color w:val="auto"/>
        </w:rPr>
        <w:t>A</w:t>
      </w:r>
      <w:r w:rsidR="00E3005B" w:rsidRPr="00E033F1">
        <w:rPr>
          <w:color w:val="auto"/>
        </w:rPr>
        <w:t xml:space="preserve">bsorbance </w:t>
      </w:r>
      <w:r w:rsidR="00DD4A91" w:rsidRPr="00E033F1">
        <w:rPr>
          <w:color w:val="auto"/>
        </w:rPr>
        <w:t xml:space="preserve">at 340 nm </w:t>
      </w:r>
      <w:r w:rsidR="00E3005B" w:rsidRPr="00E033F1">
        <w:rPr>
          <w:color w:val="auto"/>
        </w:rPr>
        <w:t>was recorded every minute for 10 minutes</w:t>
      </w:r>
      <w:r w:rsidR="0023303E" w:rsidRPr="00E033F1">
        <w:rPr>
          <w:color w:val="auto"/>
        </w:rPr>
        <w:t>.</w:t>
      </w:r>
      <w:r w:rsidR="006748D2" w:rsidRPr="00E033F1">
        <w:rPr>
          <w:color w:val="auto"/>
        </w:rPr>
        <w:t xml:space="preserve"> </w:t>
      </w:r>
      <w:r w:rsidR="00C02BD2" w:rsidRPr="00E033F1">
        <w:rPr>
          <w:color w:val="auto"/>
        </w:rPr>
        <w:t>The velocity</w:t>
      </w:r>
      <w:r w:rsidR="00B2002B" w:rsidRPr="00E033F1">
        <w:rPr>
          <w:color w:val="auto"/>
        </w:rPr>
        <w:t xml:space="preserve"> (in mM/min)</w:t>
      </w:r>
      <w:r w:rsidR="00C02BD2" w:rsidRPr="00E033F1">
        <w:rPr>
          <w:color w:val="auto"/>
        </w:rPr>
        <w:t xml:space="preserve"> of the reaction was calculated </w:t>
      </w:r>
      <w:r w:rsidR="00203A1C" w:rsidRPr="00E033F1">
        <w:rPr>
          <w:color w:val="auto"/>
        </w:rPr>
        <w:t xml:space="preserve">using </w:t>
      </w:r>
      <w:r w:rsidR="005A09BB" w:rsidRPr="00E033F1">
        <w:rPr>
          <w:color w:val="auto"/>
        </w:rPr>
        <w:fldChar w:fldCharType="begin"/>
      </w:r>
      <w:r w:rsidR="005A09BB" w:rsidRPr="00E033F1">
        <w:rPr>
          <w:color w:val="auto"/>
        </w:rPr>
        <w:instrText xml:space="preserve"> REF _Ref29145917 \h  \* MERGEFORMAT </w:instrText>
      </w:r>
      <w:r w:rsidR="005A09BB" w:rsidRPr="00E033F1">
        <w:rPr>
          <w:color w:val="auto"/>
        </w:rPr>
      </w:r>
      <w:r w:rsidR="005A09BB" w:rsidRPr="00E033F1">
        <w:rPr>
          <w:color w:val="auto"/>
        </w:rPr>
        <w:fldChar w:fldCharType="separate"/>
      </w:r>
      <w:r w:rsidR="008502DF" w:rsidRPr="00E033F1">
        <w:rPr>
          <w:b/>
          <w:color w:val="auto"/>
        </w:rPr>
        <w:t xml:space="preserve">Equation </w:t>
      </w:r>
      <w:r w:rsidR="008502DF" w:rsidRPr="00E033F1">
        <w:rPr>
          <w:b/>
          <w:noProof/>
          <w:color w:val="auto"/>
        </w:rPr>
        <w:t>2</w:t>
      </w:r>
      <w:r w:rsidR="005A09BB" w:rsidRPr="00E033F1">
        <w:rPr>
          <w:color w:val="auto"/>
        </w:rPr>
        <w:fldChar w:fldCharType="end"/>
      </w:r>
      <w:r w:rsidR="005A09BB" w:rsidRPr="00E033F1">
        <w:rPr>
          <w:color w:val="auto"/>
        </w:rPr>
        <w:t>.</w:t>
      </w:r>
      <w:r w:rsidR="006748D2" w:rsidRPr="00E033F1" w:rsidDel="006748D2">
        <w:rPr>
          <w:color w:val="auto"/>
        </w:rPr>
        <w:t xml:space="preserve"> </w:t>
      </w:r>
      <w:r w:rsidR="00C02BD2" w:rsidRPr="00E033F1">
        <w:rPr>
          <w:color w:val="auto"/>
        </w:rPr>
        <w:t>A Michaelis</w:t>
      </w:r>
      <w:r w:rsidR="007567E1" w:rsidRPr="00E033F1">
        <w:rPr>
          <w:color w:val="auto"/>
        </w:rPr>
        <w:t>–</w:t>
      </w:r>
      <w:r w:rsidR="00C02BD2" w:rsidRPr="00E033F1">
        <w:rPr>
          <w:color w:val="auto"/>
        </w:rPr>
        <w:t>Menten graph</w:t>
      </w:r>
      <w:r w:rsidR="00DD4A91" w:rsidRPr="00E033F1">
        <w:rPr>
          <w:color w:val="auto"/>
        </w:rPr>
        <w:t xml:space="preserve"> was plotted</w:t>
      </w:r>
      <w:r w:rsidR="00C02BD2" w:rsidRPr="00E033F1">
        <w:rPr>
          <w:color w:val="auto"/>
        </w:rPr>
        <w:t xml:space="preserve"> of the substrate concentration</w:t>
      </w:r>
      <w:r w:rsidR="00B2002B" w:rsidRPr="00E033F1">
        <w:rPr>
          <w:color w:val="auto"/>
        </w:rPr>
        <w:t xml:space="preserve"> (mM)</w:t>
      </w:r>
      <w:r w:rsidR="00C02BD2" w:rsidRPr="00E033F1">
        <w:rPr>
          <w:color w:val="auto"/>
        </w:rPr>
        <w:t xml:space="preserve"> against the velocity</w:t>
      </w:r>
      <w:r w:rsidR="00682575" w:rsidRPr="00E033F1">
        <w:rPr>
          <w:color w:val="auto"/>
        </w:rPr>
        <w:t xml:space="preserve"> (</w:t>
      </w:r>
      <w:r w:rsidR="00B33C23" w:rsidRPr="00E033F1">
        <w:rPr>
          <w:color w:val="auto"/>
        </w:rPr>
        <w:t>µ</w:t>
      </w:r>
      <w:r w:rsidR="00682575" w:rsidRPr="00E033F1">
        <w:rPr>
          <w:color w:val="auto"/>
        </w:rPr>
        <w:t>m/min)</w:t>
      </w:r>
      <w:r w:rsidR="00CC30F7" w:rsidRPr="00E033F1">
        <w:rPr>
          <w:color w:val="auto"/>
        </w:rPr>
        <w:t xml:space="preserve"> (</w:t>
      </w:r>
      <w:r w:rsidR="00CC30F7" w:rsidRPr="00E033F1">
        <w:rPr>
          <w:color w:val="auto"/>
        </w:rPr>
        <w:fldChar w:fldCharType="begin"/>
      </w:r>
      <w:r w:rsidR="00CC30F7" w:rsidRPr="00E033F1">
        <w:rPr>
          <w:color w:val="auto"/>
        </w:rPr>
        <w:instrText xml:space="preserve"> REF _Ref43888855 \h </w:instrText>
      </w:r>
      <w:r w:rsidR="005F0DEF" w:rsidRPr="00E033F1">
        <w:rPr>
          <w:color w:val="auto"/>
        </w:rPr>
        <w:instrText xml:space="preserve"> \* MERGEFORMAT </w:instrText>
      </w:r>
      <w:r w:rsidR="00CC30F7" w:rsidRPr="00E033F1">
        <w:rPr>
          <w:color w:val="auto"/>
        </w:rPr>
      </w:r>
      <w:r w:rsidR="00CC30F7" w:rsidRPr="00E033F1">
        <w:rPr>
          <w:color w:val="auto"/>
        </w:rPr>
        <w:fldChar w:fldCharType="separate"/>
      </w:r>
      <w:r w:rsidR="008502DF" w:rsidRPr="00E033F1">
        <w:rPr>
          <w:b/>
          <w:color w:val="auto"/>
        </w:rPr>
        <w:t xml:space="preserve">Figure </w:t>
      </w:r>
      <w:r w:rsidR="008502DF" w:rsidRPr="00E033F1">
        <w:rPr>
          <w:b/>
          <w:noProof/>
          <w:color w:val="auto"/>
        </w:rPr>
        <w:t>2</w:t>
      </w:r>
      <w:r w:rsidR="00CC30F7" w:rsidRPr="00E033F1">
        <w:rPr>
          <w:color w:val="auto"/>
        </w:rPr>
        <w:fldChar w:fldCharType="end"/>
      </w:r>
      <w:r w:rsidR="00CC30F7" w:rsidRPr="00E033F1">
        <w:rPr>
          <w:color w:val="auto"/>
        </w:rPr>
        <w:t>)</w:t>
      </w:r>
      <w:r w:rsidR="00DD4A91" w:rsidRPr="00E033F1">
        <w:rPr>
          <w:color w:val="auto"/>
        </w:rPr>
        <w:t>,</w:t>
      </w:r>
      <w:r w:rsidR="00C02BD2" w:rsidRPr="00E033F1">
        <w:rPr>
          <w:color w:val="auto"/>
        </w:rPr>
        <w:t xml:space="preserve"> and the </w:t>
      </w:r>
      <w:r w:rsidR="004B5E1E" w:rsidRPr="00E033F1">
        <w:rPr>
          <w:color w:val="auto"/>
        </w:rPr>
        <w:t>K</w:t>
      </w:r>
      <w:r w:rsidR="004B5E1E" w:rsidRPr="00E033F1">
        <w:rPr>
          <w:color w:val="auto"/>
          <w:vertAlign w:val="subscript"/>
        </w:rPr>
        <w:t>m</w:t>
      </w:r>
      <w:r w:rsidR="00C02BD2" w:rsidRPr="00E033F1">
        <w:rPr>
          <w:color w:val="auto"/>
        </w:rPr>
        <w:t xml:space="preserve"> of the reaction was calculated.</w:t>
      </w:r>
      <w:r w:rsidR="008D64E8" w:rsidRPr="00E033F1">
        <w:rPr>
          <w:color w:val="auto"/>
        </w:rPr>
        <w:t xml:space="preserve"> </w:t>
      </w:r>
      <w:r w:rsidRPr="00E033F1">
        <w:rPr>
          <w:color w:val="auto"/>
        </w:rPr>
        <w:t xml:space="preserve">The experiment was repeated until at least </w:t>
      </w:r>
      <w:r w:rsidR="00533C73" w:rsidRPr="00E033F1">
        <w:rPr>
          <w:color w:val="auto"/>
        </w:rPr>
        <w:t xml:space="preserve">three sets of </w:t>
      </w:r>
      <w:r w:rsidR="00FD6DA3" w:rsidRPr="00E033F1">
        <w:rPr>
          <w:color w:val="auto"/>
        </w:rPr>
        <w:t>data</w:t>
      </w:r>
      <w:r w:rsidR="00533C73" w:rsidRPr="00E033F1">
        <w:rPr>
          <w:color w:val="auto"/>
        </w:rPr>
        <w:t xml:space="preserve"> </w:t>
      </w:r>
      <w:r w:rsidR="00B2002B" w:rsidRPr="00E033F1">
        <w:rPr>
          <w:color w:val="auto"/>
        </w:rPr>
        <w:t>show</w:t>
      </w:r>
      <w:r w:rsidR="00DD4A91" w:rsidRPr="00E033F1">
        <w:rPr>
          <w:color w:val="auto"/>
        </w:rPr>
        <w:t>ed</w:t>
      </w:r>
      <w:r w:rsidR="00B2002B" w:rsidRPr="00E033F1">
        <w:rPr>
          <w:color w:val="auto"/>
        </w:rPr>
        <w:t xml:space="preserve"> similar results. </w:t>
      </w:r>
      <w:r w:rsidR="008473C1" w:rsidRPr="00E033F1">
        <w:rPr>
          <w:color w:val="auto"/>
        </w:rPr>
        <w:t xml:space="preserve">The </w:t>
      </w:r>
      <w:r w:rsidR="004B5E1E" w:rsidRPr="00E033F1">
        <w:rPr>
          <w:color w:val="auto"/>
        </w:rPr>
        <w:t>K</w:t>
      </w:r>
      <w:r w:rsidR="004B5E1E" w:rsidRPr="00E033F1">
        <w:rPr>
          <w:color w:val="auto"/>
          <w:vertAlign w:val="subscript"/>
        </w:rPr>
        <w:t>m</w:t>
      </w:r>
      <w:r w:rsidR="008473C1" w:rsidRPr="00E033F1">
        <w:rPr>
          <w:color w:val="auto"/>
        </w:rPr>
        <w:t xml:space="preserve"> of CDNB with GST from equine liver was measured as 0.26</w:t>
      </w:r>
      <w:r w:rsidR="00F8650B" w:rsidRPr="00E033F1">
        <w:rPr>
          <w:color w:val="auto"/>
        </w:rPr>
        <w:t xml:space="preserve"> ± 0.08</w:t>
      </w:r>
      <w:r w:rsidR="007567E1" w:rsidRPr="00E033F1">
        <w:rPr>
          <w:color w:val="auto"/>
        </w:rPr>
        <w:t> </w:t>
      </w:r>
      <w:proofErr w:type="spellStart"/>
      <w:r w:rsidR="001B7D4C" w:rsidRPr="00E033F1">
        <w:rPr>
          <w:color w:val="auto"/>
        </w:rPr>
        <w:t>mM.</w:t>
      </w:r>
      <w:proofErr w:type="spellEnd"/>
      <w:r w:rsidR="008473C1" w:rsidRPr="00E033F1">
        <w:rPr>
          <w:color w:val="auto"/>
        </w:rPr>
        <w:t xml:space="preserve"> </w:t>
      </w:r>
      <w:r w:rsidR="00B67521" w:rsidRPr="00E033F1">
        <w:rPr>
          <w:color w:val="auto"/>
        </w:rPr>
        <w:t>A concentration of 0.2</w:t>
      </w:r>
      <w:r w:rsidR="007567E1" w:rsidRPr="00E033F1">
        <w:rPr>
          <w:color w:val="auto"/>
        </w:rPr>
        <w:t> </w:t>
      </w:r>
      <w:r w:rsidR="00B67521" w:rsidRPr="00E033F1">
        <w:rPr>
          <w:color w:val="auto"/>
        </w:rPr>
        <w:t>mM of CDNB</w:t>
      </w:r>
      <w:r w:rsidR="00656CA3" w:rsidRPr="00E033F1">
        <w:rPr>
          <w:color w:val="auto"/>
        </w:rPr>
        <w:t xml:space="preserve"> was used for each </w:t>
      </w:r>
      <w:r w:rsidR="003B3C17" w:rsidRPr="00E033F1">
        <w:rPr>
          <w:color w:val="auto"/>
        </w:rPr>
        <w:t xml:space="preserve">inhibitory assay </w:t>
      </w:r>
      <w:r w:rsidR="00DD4A91" w:rsidRPr="00E033F1">
        <w:rPr>
          <w:color w:val="auto"/>
        </w:rPr>
        <w:t>using</w:t>
      </w:r>
      <w:r w:rsidR="003B3C17" w:rsidRPr="00E033F1">
        <w:rPr>
          <w:color w:val="auto"/>
        </w:rPr>
        <w:t xml:space="preserve"> this </w:t>
      </w:r>
      <w:r w:rsidR="00682575" w:rsidRPr="00E033F1">
        <w:rPr>
          <w:color w:val="auto"/>
        </w:rPr>
        <w:t>batch</w:t>
      </w:r>
      <w:r w:rsidR="003B3C17" w:rsidRPr="00E033F1">
        <w:rPr>
          <w:color w:val="auto"/>
        </w:rPr>
        <w:t xml:space="preserve"> of </w:t>
      </w:r>
      <w:r w:rsidR="00606975" w:rsidRPr="00E033F1">
        <w:rPr>
          <w:color w:val="auto"/>
        </w:rPr>
        <w:t>GSTs</w:t>
      </w:r>
      <w:r w:rsidR="003B3C17" w:rsidRPr="00E033F1">
        <w:rPr>
          <w:color w:val="auto"/>
        </w:rPr>
        <w:t xml:space="preserve">. </w:t>
      </w:r>
    </w:p>
    <w:p w14:paraId="7D4DA41C" w14:textId="77777777" w:rsidR="005F0DEF" w:rsidRPr="00E033F1" w:rsidRDefault="005F0DEF" w:rsidP="00E033F1">
      <w:pPr>
        <w:contextualSpacing/>
        <w:rPr>
          <w:color w:val="auto"/>
        </w:rPr>
      </w:pPr>
    </w:p>
    <w:p w14:paraId="4493184A" w14:textId="5B2D8B80" w:rsidR="00B2002B" w:rsidRPr="00E033F1" w:rsidRDefault="00B2002B" w:rsidP="00E033F1">
      <w:pPr>
        <w:contextualSpacing/>
        <w:rPr>
          <w:color w:val="auto"/>
        </w:rPr>
      </w:pPr>
      <w:r w:rsidRPr="00E033F1">
        <w:rPr>
          <w:color w:val="auto"/>
        </w:rPr>
        <w:t xml:space="preserve">No spontaneous formation of a </w:t>
      </w:r>
      <w:r w:rsidR="00E904C1" w:rsidRPr="00E033F1">
        <w:rPr>
          <w:color w:val="auto"/>
        </w:rPr>
        <w:t>metabolite</w:t>
      </w:r>
      <w:r w:rsidRPr="00E033F1">
        <w:rPr>
          <w:color w:val="auto"/>
        </w:rPr>
        <w:t xml:space="preserve"> that absorb</w:t>
      </w:r>
      <w:r w:rsidR="00D60061" w:rsidRPr="00E033F1">
        <w:rPr>
          <w:color w:val="auto"/>
        </w:rPr>
        <w:t>ed</w:t>
      </w:r>
      <w:r w:rsidRPr="00E033F1">
        <w:rPr>
          <w:color w:val="auto"/>
        </w:rPr>
        <w:t xml:space="preserve"> at 340</w:t>
      </w:r>
      <w:r w:rsidR="007567E1" w:rsidRPr="00E033F1">
        <w:rPr>
          <w:color w:val="auto"/>
        </w:rPr>
        <w:t> </w:t>
      </w:r>
      <w:r w:rsidRPr="00E033F1">
        <w:rPr>
          <w:color w:val="auto"/>
        </w:rPr>
        <w:t xml:space="preserve">nm was measured </w:t>
      </w:r>
      <w:r w:rsidR="00C30BF8" w:rsidRPr="00E033F1">
        <w:rPr>
          <w:color w:val="auto"/>
        </w:rPr>
        <w:t xml:space="preserve">during </w:t>
      </w:r>
      <w:r w:rsidRPr="00E033F1">
        <w:rPr>
          <w:color w:val="auto"/>
        </w:rPr>
        <w:t xml:space="preserve">experiments </w:t>
      </w:r>
      <w:r w:rsidR="00D60061" w:rsidRPr="00E033F1">
        <w:rPr>
          <w:color w:val="auto"/>
        </w:rPr>
        <w:t>using</w:t>
      </w:r>
      <w:r w:rsidRPr="00E033F1">
        <w:rPr>
          <w:color w:val="auto"/>
        </w:rPr>
        <w:t xml:space="preserve"> curcumin incubated</w:t>
      </w:r>
      <w:r w:rsidR="00D60061" w:rsidRPr="00E033F1">
        <w:rPr>
          <w:color w:val="auto"/>
        </w:rPr>
        <w:t xml:space="preserve"> alone</w:t>
      </w:r>
      <w:r w:rsidRPr="00E033F1">
        <w:rPr>
          <w:color w:val="auto"/>
        </w:rPr>
        <w:t xml:space="preserve"> with GSH a</w:t>
      </w:r>
      <w:r w:rsidR="001710FD" w:rsidRPr="00E033F1">
        <w:rPr>
          <w:color w:val="auto"/>
        </w:rPr>
        <w:t>nd CDNB.</w:t>
      </w:r>
      <w:r w:rsidR="00D60061" w:rsidRPr="00E033F1">
        <w:rPr>
          <w:color w:val="auto"/>
        </w:rPr>
        <w:t xml:space="preserve"> T</w:t>
      </w:r>
      <w:r w:rsidR="001710FD" w:rsidRPr="00E033F1">
        <w:rPr>
          <w:color w:val="auto"/>
        </w:rPr>
        <w:t xml:space="preserve">he same </w:t>
      </w:r>
      <w:r w:rsidRPr="00E033F1">
        <w:rPr>
          <w:color w:val="auto"/>
        </w:rPr>
        <w:t xml:space="preserve">blank </w:t>
      </w:r>
      <w:r w:rsidR="00D60061" w:rsidRPr="00E033F1">
        <w:rPr>
          <w:color w:val="auto"/>
        </w:rPr>
        <w:t xml:space="preserve">was used </w:t>
      </w:r>
      <w:r w:rsidRPr="00E033F1">
        <w:rPr>
          <w:color w:val="auto"/>
        </w:rPr>
        <w:t xml:space="preserve">for </w:t>
      </w:r>
      <w:r w:rsidR="001710FD" w:rsidRPr="00E033F1">
        <w:rPr>
          <w:color w:val="auto"/>
        </w:rPr>
        <w:t>every</w:t>
      </w:r>
      <w:r w:rsidRPr="00E033F1">
        <w:rPr>
          <w:color w:val="auto"/>
        </w:rPr>
        <w:t xml:space="preserve"> inhibitor concentration </w:t>
      </w:r>
      <w:r w:rsidR="00D60061" w:rsidRPr="00E033F1">
        <w:rPr>
          <w:color w:val="auto"/>
        </w:rPr>
        <w:t>in each experiment</w:t>
      </w:r>
      <w:r w:rsidRPr="00E033F1">
        <w:rPr>
          <w:color w:val="auto"/>
        </w:rPr>
        <w:t xml:space="preserve">. </w:t>
      </w:r>
    </w:p>
    <w:p w14:paraId="5671ACBE" w14:textId="61FCE0FE" w:rsidR="00B2002B" w:rsidRPr="00E033F1" w:rsidRDefault="00B2002B" w:rsidP="00E033F1">
      <w:pPr>
        <w:contextualSpacing/>
        <w:rPr>
          <w:color w:val="auto"/>
        </w:rPr>
      </w:pPr>
    </w:p>
    <w:p w14:paraId="3D5066A9" w14:textId="4627366A" w:rsidR="00B2002B" w:rsidRPr="00E033F1" w:rsidRDefault="00D60061" w:rsidP="00E033F1">
      <w:pPr>
        <w:pStyle w:val="NormalWeb"/>
        <w:spacing w:before="0" w:beforeAutospacing="0" w:after="0" w:afterAutospacing="0"/>
        <w:contextualSpacing/>
        <w:rPr>
          <w:rFonts w:asciiTheme="minorHAnsi" w:hAnsiTheme="minorHAnsi" w:cstheme="minorHAnsi"/>
          <w:b/>
          <w:bCs/>
          <w:color w:val="auto"/>
        </w:rPr>
      </w:pPr>
      <w:r w:rsidRPr="00E033F1">
        <w:rPr>
          <w:rFonts w:asciiTheme="minorHAnsi" w:hAnsiTheme="minorHAnsi" w:cstheme="minorHAnsi"/>
          <w:b/>
          <w:bCs/>
          <w:color w:val="auto"/>
        </w:rPr>
        <w:t>Curcumin’s i</w:t>
      </w:r>
      <w:r w:rsidR="00C30BF8" w:rsidRPr="00E033F1">
        <w:rPr>
          <w:rFonts w:asciiTheme="minorHAnsi" w:hAnsiTheme="minorHAnsi" w:cstheme="minorHAnsi"/>
          <w:b/>
          <w:bCs/>
          <w:color w:val="auto"/>
        </w:rPr>
        <w:t xml:space="preserve">nhibitory </w:t>
      </w:r>
      <w:r w:rsidR="00B2002B" w:rsidRPr="00E033F1">
        <w:rPr>
          <w:rFonts w:asciiTheme="minorHAnsi" w:hAnsiTheme="minorHAnsi" w:cstheme="minorHAnsi"/>
          <w:b/>
          <w:bCs/>
          <w:color w:val="auto"/>
        </w:rPr>
        <w:t xml:space="preserve">potency on </w:t>
      </w:r>
      <w:r w:rsidR="00606975" w:rsidRPr="00E033F1">
        <w:rPr>
          <w:rFonts w:asciiTheme="minorHAnsi" w:hAnsiTheme="minorHAnsi" w:cstheme="minorHAnsi"/>
          <w:b/>
          <w:bCs/>
          <w:color w:val="auto"/>
        </w:rPr>
        <w:t>GSTs</w:t>
      </w:r>
    </w:p>
    <w:p w14:paraId="1D429963" w14:textId="5D9E7268" w:rsidR="00B2002B" w:rsidRPr="00E033F1" w:rsidRDefault="00D60061" w:rsidP="00E033F1">
      <w:pPr>
        <w:pStyle w:val="NormalWeb"/>
        <w:spacing w:before="0" w:beforeAutospacing="0" w:after="0" w:afterAutospacing="0"/>
        <w:contextualSpacing/>
        <w:rPr>
          <w:rFonts w:asciiTheme="minorHAnsi" w:hAnsiTheme="minorHAnsi" w:cstheme="minorHAnsi"/>
          <w:bCs/>
          <w:color w:val="auto"/>
        </w:rPr>
      </w:pPr>
      <w:r w:rsidRPr="00E033F1">
        <w:rPr>
          <w:rFonts w:asciiTheme="minorHAnsi" w:hAnsiTheme="minorHAnsi" w:cstheme="minorHAnsi"/>
          <w:bCs/>
          <w:color w:val="auto"/>
        </w:rPr>
        <w:t>Curcumin’s</w:t>
      </w:r>
      <w:r w:rsidR="00B2002B" w:rsidRPr="00E033F1">
        <w:rPr>
          <w:rFonts w:asciiTheme="minorHAnsi" w:hAnsiTheme="minorHAnsi" w:cstheme="minorHAnsi"/>
          <w:bCs/>
          <w:color w:val="auto"/>
        </w:rPr>
        <w:t xml:space="preserve"> </w:t>
      </w:r>
      <w:r w:rsidR="00C30BF8" w:rsidRPr="00E033F1">
        <w:rPr>
          <w:rFonts w:asciiTheme="minorHAnsi" w:hAnsiTheme="minorHAnsi" w:cstheme="minorHAnsi"/>
          <w:bCs/>
          <w:color w:val="auto"/>
        </w:rPr>
        <w:t xml:space="preserve">inhibitory </w:t>
      </w:r>
      <w:r w:rsidR="00B2002B" w:rsidRPr="00E033F1">
        <w:rPr>
          <w:rFonts w:asciiTheme="minorHAnsi" w:hAnsiTheme="minorHAnsi" w:cstheme="minorHAnsi"/>
          <w:bCs/>
          <w:color w:val="auto"/>
        </w:rPr>
        <w:t xml:space="preserve">potency was predicted </w:t>
      </w:r>
      <w:r w:rsidRPr="00E033F1">
        <w:rPr>
          <w:rFonts w:asciiTheme="minorHAnsi" w:hAnsiTheme="minorHAnsi" w:cstheme="minorHAnsi"/>
          <w:bCs/>
          <w:color w:val="auto"/>
        </w:rPr>
        <w:t>using an</w:t>
      </w:r>
      <w:r w:rsidR="00B2002B" w:rsidRPr="00E033F1">
        <w:rPr>
          <w:rFonts w:asciiTheme="minorHAnsi" w:hAnsiTheme="minorHAnsi" w:cstheme="minorHAnsi"/>
          <w:bCs/>
          <w:color w:val="auto"/>
        </w:rPr>
        <w:t xml:space="preserve"> </w:t>
      </w:r>
      <w:r w:rsidR="00C30BF8" w:rsidRPr="00E033F1">
        <w:rPr>
          <w:rFonts w:asciiTheme="minorHAnsi" w:hAnsiTheme="minorHAnsi" w:cstheme="minorHAnsi"/>
          <w:bCs/>
          <w:iCs/>
          <w:color w:val="auto"/>
        </w:rPr>
        <w:t>in silico</w:t>
      </w:r>
      <w:r w:rsidR="00B06C1A" w:rsidRPr="00E033F1">
        <w:rPr>
          <w:rFonts w:asciiTheme="minorHAnsi" w:hAnsiTheme="minorHAnsi" w:cstheme="minorHAnsi"/>
          <w:bCs/>
          <w:color w:val="auto"/>
        </w:rPr>
        <w:t xml:space="preserve"> </w:t>
      </w:r>
      <w:r w:rsidR="00C30BF8" w:rsidRPr="00E033F1">
        <w:rPr>
          <w:rFonts w:asciiTheme="minorHAnsi" w:hAnsiTheme="minorHAnsi" w:cstheme="minorHAnsi"/>
          <w:bCs/>
          <w:color w:val="auto"/>
        </w:rPr>
        <w:t>docking</w:t>
      </w:r>
      <w:r w:rsidR="00B06C1A" w:rsidRPr="00E033F1">
        <w:rPr>
          <w:rFonts w:asciiTheme="minorHAnsi" w:hAnsiTheme="minorHAnsi" w:cstheme="minorHAnsi"/>
          <w:bCs/>
          <w:color w:val="auto"/>
        </w:rPr>
        <w:t xml:space="preserve"> simulation</w:t>
      </w:r>
      <w:r w:rsidR="00C30BF8" w:rsidRPr="00E033F1">
        <w:rPr>
          <w:rFonts w:asciiTheme="minorHAnsi" w:hAnsiTheme="minorHAnsi" w:cstheme="minorHAnsi"/>
          <w:bCs/>
          <w:color w:val="auto"/>
        </w:rPr>
        <w:t xml:space="preserve"> </w:t>
      </w:r>
      <w:r w:rsidRPr="00E033F1">
        <w:rPr>
          <w:rFonts w:asciiTheme="minorHAnsi" w:hAnsiTheme="minorHAnsi" w:cstheme="minorHAnsi"/>
          <w:bCs/>
          <w:color w:val="auto"/>
        </w:rPr>
        <w:t>with</w:t>
      </w:r>
      <w:r w:rsidR="00C30BF8" w:rsidRPr="00E033F1">
        <w:rPr>
          <w:rFonts w:asciiTheme="minorHAnsi" w:hAnsiTheme="minorHAnsi" w:cstheme="minorHAnsi"/>
          <w:bCs/>
          <w:color w:val="auto"/>
        </w:rPr>
        <w:t xml:space="preserve"> </w:t>
      </w:r>
      <w:r w:rsidRPr="00E033F1">
        <w:rPr>
          <w:rFonts w:asciiTheme="minorHAnsi" w:hAnsiTheme="minorHAnsi" w:cstheme="minorHAnsi"/>
          <w:bCs/>
          <w:color w:val="auto"/>
        </w:rPr>
        <w:t>software</w:t>
      </w:r>
      <w:r w:rsidR="006748D2" w:rsidRPr="00E033F1">
        <w:rPr>
          <w:rFonts w:asciiTheme="minorHAnsi" w:hAnsiTheme="minorHAnsi" w:cstheme="minorHAnsi"/>
          <w:bCs/>
          <w:color w:val="auto"/>
        </w:rPr>
        <w:t xml:space="preserve"> (</w:t>
      </w:r>
      <w:r w:rsidR="00E033F1">
        <w:rPr>
          <w:rFonts w:asciiTheme="minorHAnsi" w:hAnsiTheme="minorHAnsi" w:cstheme="minorHAnsi"/>
          <w:bCs/>
          <w:color w:val="auto"/>
        </w:rPr>
        <w:t xml:space="preserve">e.g., </w:t>
      </w:r>
      <w:proofErr w:type="spellStart"/>
      <w:r w:rsidR="00E033F1" w:rsidRPr="00E033F1">
        <w:rPr>
          <w:rFonts w:asciiTheme="minorHAnsi" w:hAnsiTheme="minorHAnsi" w:cstheme="minorHAnsi"/>
          <w:bCs/>
          <w:color w:val="auto"/>
        </w:rPr>
        <w:t>AutoDock</w:t>
      </w:r>
      <w:proofErr w:type="spellEnd"/>
      <w:r w:rsidR="00E033F1" w:rsidRPr="00E033F1">
        <w:rPr>
          <w:rFonts w:asciiTheme="minorHAnsi" w:hAnsiTheme="minorHAnsi" w:cstheme="minorHAnsi"/>
          <w:bCs/>
          <w:color w:val="auto"/>
        </w:rPr>
        <w:t xml:space="preserve"> Vina </w:t>
      </w:r>
      <w:r w:rsidR="006748D2" w:rsidRPr="00E033F1">
        <w:rPr>
          <w:rFonts w:asciiTheme="minorHAnsi" w:hAnsiTheme="minorHAnsi" w:cstheme="minorHAnsi"/>
          <w:bCs/>
          <w:color w:val="auto"/>
        </w:rPr>
        <w:t>version 1.1.2)</w:t>
      </w:r>
      <w:r w:rsidR="00B2002B" w:rsidRPr="00E033F1">
        <w:rPr>
          <w:rFonts w:asciiTheme="minorHAnsi" w:hAnsiTheme="minorHAnsi" w:cstheme="minorHAnsi"/>
          <w:bCs/>
          <w:color w:val="auto"/>
        </w:rPr>
        <w:t>.</w:t>
      </w:r>
      <w:r w:rsidR="0023303E" w:rsidRPr="00E033F1">
        <w:rPr>
          <w:rFonts w:asciiTheme="minorHAnsi" w:hAnsiTheme="minorHAnsi" w:cstheme="minorHAnsi"/>
          <w:bCs/>
          <w:color w:val="auto"/>
        </w:rPr>
        <w:fldChar w:fldCharType="begin"/>
      </w:r>
      <w:r w:rsidR="00067A13" w:rsidRPr="00E033F1">
        <w:rPr>
          <w:rFonts w:asciiTheme="minorHAnsi" w:hAnsiTheme="minorHAnsi" w:cstheme="minorHAnsi"/>
          <w:bCs/>
          <w:color w:val="auto"/>
        </w:rPr>
        <w:instrText xml:space="preserve"> ADDIN ZOTERO_ITEM CSL_CITATION {"citationID":"1QTqd2WP","properties":{"formattedCitation":"\\super 29\\nosupersub{}","plainCitation":"29","noteIndex":0},"citationItems":[{"id":543,"uris":["http://zotero.org/users/local/bXXP6LKp/items/9HXJEFSQ"],"uri":["http://zotero.org/users/local/bXXP6LKp/items/9HXJEFSQ"],"itemData":{"id":543,"type":"speech","abstract":"Glutathione S-transferases (GSTs) comprise a family of enzymes that utilizes glutathione (GSH) in many enzymatic reactions that involved in transformation of several compounds including therapeutic drug molecules and carcinogens. In addition, GSTs influence cellular survival and proliferation, by repressing apoptosis signal-regulating kinase 1 (ASK1) thus affecting the activation of p38 mitogen-activated protein kinase (MAPK) and c-Jun N-terminal kinase (JNK) in response to various intra and extracellular stresses. Molecules inhibiting the function of GSTs received attention as an adjuvant therapy to the highly toxic electrophilic agents to avoid usage of high doses and toxicity for better outcomes. There is no detailed in silico analysis exists in literature to describe the binding patterns of known inhibitors to all GST isoforms. This study is aimed at providing details of binding patterns of known and putative substrates (Busulfan, Treosulfan, SS-EBDM, SS-DEB), inhibitors (Ethacrynic acid, Sulfolane and Curcumin) with predominately-expressed seven isoforms of GST (Alpha1, Alpha2, Pi1, Mu1, Mu2, Mu5 and Theta1). In silico methodology include six steps namely (a) Retrieval of three-dimensional structure of GSTs and Ligand molecules from RCSB-PDB and NCBI-PubChem databases, (b) Protein and Ligand preparation using Auto Dock Tools (ADT), (c) Receptor grid preparation based on known binding site (Direct docking protocol) of GSTs using AutoDock/Vina plugin in PyMOL, (d) Preparation of Auto Dock Vina configuration file, (e) Running of docking calculation using Auto Dock Vina and (f) Analysis of docking results using ADT, PyMOL and LigPlus programs. Molecular docking studies of substrates/inhibitors are performed with both Apo and GSH bounded forms of GSTs. Structural parameters such as estimated free energy of binding (ΔH), estimated inhibition constant (Ki), binding orientation, intermolecular interactions were noted for all the docking interaction models. Then the parameters were compared against each substrate or inhibitor for the affinity towards a selective GST isoform. Out of the three putative or known inhibitors screened, Curcumin showed a significant high binding affinity towards all the classes of GSTs, particularly GST Alpha1 (ΔH: -9.7 kcal/mol and Ki: 0.08 µM). Ethacrynic acid also showed better binding affinity towards GST Alpha1 (ΔH: -7.6 kcal/mol and Ki: 2.7 uM). Sulfolane did not exhibited a stronger affinity towards all the seven GST isoforms. Busulfan and Treosulfan exhibited a reasonable binding affinity towards GST Alpha1 (ΔH: -5.2 and -5.3 kcal/mol) and weakened affinity for the remaining six GST isoforms. Thus, treosulfan could be a possible substrate for GST Alpha1. Manual inspection of three-dimensional structures of the docking complexes revealed that binding-sites for inhibitor and substrate are different. In an on-going study, we are evaluating the inhibitory potential of Curcumin and Ethacrynic acid against GSTs in in vitro studies. The detailed description of the binding interactions may be useful to screen new putative GST substrates and inhibitors. Presence or absence of variants in these binding pockets also can define the amount of inhibitor required and the affinity and potency of an inhibitor and or substrate. This poster is presented at \" ESPT 2017 in Catania, Italy from Oct 4th-7th 2017\"","language":"eng","note":"DOI: 10.5281/zenodo.1005592","title":"Identification of putative substrates and inhibitors for Glutathione S-transferases using computational methods","URL":"https://zenodo.org/record/1005592#.XamGTsRS_cs","author":[{"family":"C R S Uppugunduri","given":""},{"family":"J Muthukumaran","given":""},{"family":"Teresa Santos-Silva","given":""},{"family":"Marc Ansari","given":""}],"accessed":{"date-parts":[["2019",10,18]]},"issued":{"date-parts":[["2017",10,9]]}}}],"schema":"https://github.com/citation-style-language/schema/raw/master/csl-citation.json"} </w:instrText>
      </w:r>
      <w:r w:rsidR="0023303E" w:rsidRPr="00E033F1">
        <w:rPr>
          <w:rFonts w:asciiTheme="minorHAnsi" w:hAnsiTheme="minorHAnsi" w:cstheme="minorHAnsi"/>
          <w:bCs/>
          <w:color w:val="auto"/>
        </w:rPr>
        <w:fldChar w:fldCharType="separate"/>
      </w:r>
      <w:r w:rsidR="00067A13" w:rsidRPr="00E033F1">
        <w:rPr>
          <w:color w:val="auto"/>
          <w:vertAlign w:val="superscript"/>
        </w:rPr>
        <w:t>29</w:t>
      </w:r>
      <w:r w:rsidR="0023303E" w:rsidRPr="00E033F1">
        <w:rPr>
          <w:rFonts w:asciiTheme="minorHAnsi" w:hAnsiTheme="minorHAnsi" w:cstheme="minorHAnsi"/>
          <w:bCs/>
          <w:color w:val="auto"/>
        </w:rPr>
        <w:fldChar w:fldCharType="end"/>
      </w:r>
      <w:r w:rsidR="00B2002B" w:rsidRPr="00E033F1">
        <w:rPr>
          <w:rFonts w:asciiTheme="minorHAnsi" w:hAnsiTheme="minorHAnsi" w:cstheme="minorHAnsi"/>
          <w:bCs/>
          <w:color w:val="auto"/>
        </w:rPr>
        <w:t xml:space="preserve"> The free binding energy between different GST isoforms</w:t>
      </w:r>
      <w:r w:rsidR="00864F1C" w:rsidRPr="00E033F1">
        <w:rPr>
          <w:rFonts w:asciiTheme="minorHAnsi" w:hAnsiTheme="minorHAnsi" w:cstheme="minorHAnsi"/>
          <w:bCs/>
          <w:color w:val="auto"/>
        </w:rPr>
        <w:t xml:space="preserve"> (namely GSTA1, GSTM1 and GSTP1)</w:t>
      </w:r>
      <w:r w:rsidR="00B2002B" w:rsidRPr="00E033F1">
        <w:rPr>
          <w:rFonts w:asciiTheme="minorHAnsi" w:hAnsiTheme="minorHAnsi" w:cstheme="minorHAnsi"/>
          <w:bCs/>
          <w:color w:val="auto"/>
        </w:rPr>
        <w:t xml:space="preserve"> and curcumin was </w:t>
      </w:r>
      <w:r w:rsidR="00D85A0E" w:rsidRPr="00E033F1">
        <w:rPr>
          <w:rFonts w:asciiTheme="minorHAnsi" w:hAnsiTheme="minorHAnsi" w:cstheme="minorHAnsi"/>
          <w:bCs/>
          <w:color w:val="auto"/>
        </w:rPr>
        <w:t>predicted</w:t>
      </w:r>
      <w:r w:rsidR="00C4409A" w:rsidRPr="00E033F1">
        <w:rPr>
          <w:rFonts w:asciiTheme="minorHAnsi" w:hAnsiTheme="minorHAnsi" w:cstheme="minorHAnsi"/>
          <w:bCs/>
          <w:color w:val="auto"/>
        </w:rPr>
        <w:t xml:space="preserve"> (data not shown)</w:t>
      </w:r>
      <w:r w:rsidR="00D85A0E" w:rsidRPr="00E033F1">
        <w:rPr>
          <w:rFonts w:asciiTheme="minorHAnsi" w:hAnsiTheme="minorHAnsi" w:cstheme="minorHAnsi"/>
          <w:bCs/>
          <w:color w:val="auto"/>
        </w:rPr>
        <w:t>. Then</w:t>
      </w:r>
      <w:r w:rsidRPr="00E033F1">
        <w:rPr>
          <w:rFonts w:asciiTheme="minorHAnsi" w:hAnsiTheme="minorHAnsi" w:cstheme="minorHAnsi"/>
          <w:bCs/>
          <w:color w:val="auto"/>
        </w:rPr>
        <w:t>,</w:t>
      </w:r>
      <w:r w:rsidR="00D85A0E" w:rsidRPr="00E033F1">
        <w:rPr>
          <w:rFonts w:asciiTheme="minorHAnsi" w:hAnsiTheme="minorHAnsi" w:cstheme="minorHAnsi"/>
          <w:bCs/>
          <w:color w:val="auto"/>
        </w:rPr>
        <w:t xml:space="preserve"> the constant of inhibition K</w:t>
      </w:r>
      <w:r w:rsidR="00D85A0E" w:rsidRPr="00E033F1">
        <w:rPr>
          <w:rFonts w:asciiTheme="minorHAnsi" w:hAnsiTheme="minorHAnsi" w:cstheme="minorHAnsi"/>
          <w:bCs/>
          <w:color w:val="auto"/>
          <w:vertAlign w:val="subscript"/>
        </w:rPr>
        <w:t>i</w:t>
      </w:r>
      <w:r w:rsidR="00D85A0E" w:rsidRPr="00E033F1">
        <w:rPr>
          <w:rFonts w:asciiTheme="minorHAnsi" w:hAnsiTheme="minorHAnsi" w:cstheme="minorHAnsi"/>
          <w:bCs/>
          <w:color w:val="auto"/>
        </w:rPr>
        <w:t xml:space="preserve"> was calculated</w:t>
      </w:r>
      <w:r w:rsidRPr="00E033F1">
        <w:rPr>
          <w:rFonts w:asciiTheme="minorHAnsi" w:hAnsiTheme="minorHAnsi" w:cstheme="minorHAnsi"/>
          <w:bCs/>
          <w:color w:val="auto"/>
        </w:rPr>
        <w:t xml:space="preserve"> using </w:t>
      </w:r>
      <w:r w:rsidRPr="00E033F1">
        <w:rPr>
          <w:rFonts w:asciiTheme="minorHAnsi" w:hAnsiTheme="minorHAnsi" w:cstheme="minorHAnsi"/>
          <w:bCs/>
          <w:color w:val="auto"/>
        </w:rPr>
        <w:fldChar w:fldCharType="begin"/>
      </w:r>
      <w:r w:rsidRPr="00E033F1">
        <w:rPr>
          <w:rFonts w:asciiTheme="minorHAnsi" w:hAnsiTheme="minorHAnsi" w:cstheme="minorHAnsi"/>
          <w:bCs/>
          <w:color w:val="auto"/>
        </w:rPr>
        <w:instrText xml:space="preserve"> REF _Ref21424909 \h </w:instrText>
      </w:r>
      <w:r w:rsidR="00E033F1">
        <w:rPr>
          <w:rFonts w:asciiTheme="minorHAnsi" w:hAnsiTheme="minorHAnsi" w:cstheme="minorHAnsi"/>
          <w:bCs/>
          <w:color w:val="auto"/>
        </w:rPr>
        <w:instrText xml:space="preserve"> \* MERGEFORMAT </w:instrText>
      </w:r>
      <w:r w:rsidRPr="00E033F1">
        <w:rPr>
          <w:rFonts w:asciiTheme="minorHAnsi" w:hAnsiTheme="minorHAnsi" w:cstheme="minorHAnsi"/>
          <w:bCs/>
          <w:color w:val="auto"/>
        </w:rPr>
      </w:r>
      <w:r w:rsidRPr="00E033F1">
        <w:rPr>
          <w:rFonts w:asciiTheme="minorHAnsi" w:hAnsiTheme="minorHAnsi" w:cstheme="minorHAnsi"/>
          <w:bCs/>
          <w:color w:val="auto"/>
        </w:rPr>
        <w:fldChar w:fldCharType="separate"/>
      </w:r>
      <w:r w:rsidR="008502DF" w:rsidRPr="00E033F1">
        <w:rPr>
          <w:b/>
          <w:color w:val="auto"/>
        </w:rPr>
        <w:t xml:space="preserve">Equation </w:t>
      </w:r>
      <w:r w:rsidR="008502DF" w:rsidRPr="00E033F1">
        <w:rPr>
          <w:b/>
          <w:noProof/>
          <w:color w:val="auto"/>
        </w:rPr>
        <w:t>3</w:t>
      </w:r>
      <w:r w:rsidR="008502DF" w:rsidRPr="00E033F1">
        <w:rPr>
          <w:b/>
          <w:color w:val="auto"/>
        </w:rPr>
        <w:t>.</w:t>
      </w:r>
      <w:r w:rsidRPr="00E033F1">
        <w:rPr>
          <w:rFonts w:asciiTheme="minorHAnsi" w:hAnsiTheme="minorHAnsi" w:cstheme="minorHAnsi"/>
          <w:bCs/>
          <w:color w:val="auto"/>
        </w:rPr>
        <w:fldChar w:fldCharType="end"/>
      </w:r>
      <w:r w:rsidR="00D85A0E" w:rsidRPr="00E033F1">
        <w:rPr>
          <w:rFonts w:asciiTheme="minorHAnsi" w:hAnsiTheme="minorHAnsi" w:cstheme="minorHAnsi"/>
          <w:bCs/>
          <w:color w:val="auto"/>
        </w:rPr>
        <w:t xml:space="preserve"> </w:t>
      </w:r>
    </w:p>
    <w:p w14:paraId="6AC7FEFC" w14:textId="158E0927" w:rsidR="00D60061" w:rsidRPr="00E033F1" w:rsidRDefault="00D60061" w:rsidP="00E033F1">
      <w:pPr>
        <w:pStyle w:val="NormalWeb"/>
        <w:spacing w:before="0" w:beforeAutospacing="0" w:after="0" w:afterAutospacing="0"/>
        <w:contextualSpacing/>
        <w:rPr>
          <w:rFonts w:asciiTheme="minorHAnsi" w:hAnsiTheme="minorHAnsi" w:cstheme="minorHAnsi"/>
          <w:bCs/>
          <w:color w:val="auto"/>
        </w:rPr>
      </w:pPr>
    </w:p>
    <w:p w14:paraId="0501DD89" w14:textId="0C7AA5D6" w:rsidR="00D60061" w:rsidRPr="00E033F1" w:rsidRDefault="00D60061" w:rsidP="00E033F1">
      <w:pPr>
        <w:contextualSpacing/>
        <w:rPr>
          <w:rFonts w:asciiTheme="minorHAnsi" w:hAnsiTheme="minorHAnsi" w:cstheme="minorHAnsi"/>
          <w:bCs/>
          <w:color w:val="auto"/>
        </w:rPr>
      </w:pPr>
      <w:bookmarkStart w:id="10" w:name="_Ref21424909"/>
      <w:r w:rsidRPr="00E033F1">
        <w:rPr>
          <w:b/>
          <w:color w:val="auto"/>
        </w:rPr>
        <w:t xml:space="preserve">Equation </w:t>
      </w:r>
      <w:r w:rsidRPr="00E033F1">
        <w:rPr>
          <w:b/>
          <w:color w:val="auto"/>
        </w:rPr>
        <w:fldChar w:fldCharType="begin"/>
      </w:r>
      <w:r w:rsidRPr="00E033F1">
        <w:rPr>
          <w:b/>
          <w:color w:val="auto"/>
        </w:rPr>
        <w:instrText xml:space="preserve"> SEQ Equation \* ARABIC </w:instrText>
      </w:r>
      <w:r w:rsidRPr="00E033F1">
        <w:rPr>
          <w:b/>
          <w:color w:val="auto"/>
        </w:rPr>
        <w:fldChar w:fldCharType="separate"/>
      </w:r>
      <w:r w:rsidR="008502DF" w:rsidRPr="00E033F1">
        <w:rPr>
          <w:b/>
          <w:noProof/>
          <w:color w:val="auto"/>
        </w:rPr>
        <w:t>3</w:t>
      </w:r>
      <w:r w:rsidRPr="00E033F1">
        <w:rPr>
          <w:b/>
          <w:color w:val="auto"/>
        </w:rPr>
        <w:fldChar w:fldCharType="end"/>
      </w:r>
      <w:r w:rsidRPr="00E033F1">
        <w:rPr>
          <w:b/>
          <w:color w:val="auto"/>
        </w:rPr>
        <w:t>.</w:t>
      </w:r>
      <w:bookmarkEnd w:id="10"/>
    </w:p>
    <w:p w14:paraId="79D91730" w14:textId="185B94CF" w:rsidR="00B2002B" w:rsidRPr="00E033F1" w:rsidRDefault="00B2002B" w:rsidP="00E033F1">
      <w:pPr>
        <w:pStyle w:val="NormalWeb"/>
        <w:spacing w:before="0" w:beforeAutospacing="0" w:after="0" w:afterAutospacing="0"/>
        <w:contextualSpacing/>
        <w:rPr>
          <w:rFonts w:asciiTheme="minorHAnsi" w:hAnsiTheme="minorHAnsi" w:cstheme="minorHAnsi"/>
          <w:bCs/>
          <w:color w:val="auto"/>
        </w:rPr>
      </w:pPr>
    </w:p>
    <w:p w14:paraId="3BEEDEA5" w14:textId="1E6D935B" w:rsidR="00AA2185" w:rsidRPr="00E033F1" w:rsidRDefault="00AA2185" w:rsidP="00E033F1">
      <w:pPr>
        <w:contextualSpacing/>
        <w:rPr>
          <w:rFonts w:asciiTheme="minorHAnsi" w:hAnsiTheme="minorHAnsi" w:cstheme="minorHAnsi"/>
          <w:color w:val="auto"/>
        </w:rPr>
      </w:pPr>
      <m:oMathPara>
        <m:oMathParaPr>
          <m:jc m:val="left"/>
        </m:oMathParaPr>
        <m:oMath>
          <m:r>
            <w:rPr>
              <w:rFonts w:ascii="Cambria Math" w:hAnsi="Cambria Math" w:cstheme="minorHAnsi"/>
              <w:color w:val="auto"/>
            </w:rPr>
            <m:t>Ki</m:t>
          </m:r>
          <m:r>
            <m:rPr>
              <m:sty m:val="p"/>
            </m:rPr>
            <w:rPr>
              <w:rFonts w:ascii="Cambria Math" w:hAnsi="Cambria Math" w:cstheme="minorHAnsi"/>
              <w:color w:val="auto"/>
            </w:rPr>
            <m:t xml:space="preserve"> (</m:t>
          </m:r>
          <m:r>
            <w:rPr>
              <w:rFonts w:ascii="Cambria Math" w:hAnsi="Cambria Math" w:cstheme="minorHAnsi"/>
              <w:color w:val="auto"/>
            </w:rPr>
            <m:t>uM</m:t>
          </m:r>
          <m:r>
            <m:rPr>
              <m:sty m:val="p"/>
            </m:rPr>
            <w:rPr>
              <w:rFonts w:ascii="Cambria Math" w:hAnsi="Cambria Math" w:cstheme="minorHAnsi"/>
              <w:color w:val="auto"/>
            </w:rPr>
            <m:t>)=exp⁡(</m:t>
          </m:r>
          <m:f>
            <m:fPr>
              <m:ctrlPr>
                <w:rPr>
                  <w:rFonts w:ascii="Cambria Math" w:hAnsi="Cambria Math" w:cstheme="minorHAnsi"/>
                  <w:color w:val="auto"/>
                </w:rPr>
              </m:ctrlPr>
            </m:fPr>
            <m:num>
              <m:r>
                <m:rPr>
                  <m:sty m:val="p"/>
                </m:rPr>
                <w:rPr>
                  <w:rFonts w:ascii="Cambria Math" w:hAnsi="Cambria Math" w:cstheme="minorHAnsi"/>
                  <w:color w:val="auto"/>
                </w:rPr>
                <m:t>∆</m:t>
              </m:r>
              <m:r>
                <w:rPr>
                  <w:rFonts w:ascii="Cambria Math" w:hAnsi="Cambria Math" w:cstheme="minorHAnsi"/>
                  <w:color w:val="auto"/>
                </w:rPr>
                <m:t>G</m:t>
              </m:r>
            </m:num>
            <m:den>
              <m:r>
                <w:rPr>
                  <w:rFonts w:ascii="Cambria Math" w:hAnsi="Cambria Math" w:cstheme="minorHAnsi"/>
                  <w:color w:val="auto"/>
                </w:rPr>
                <m:t>R</m:t>
              </m:r>
              <m:r>
                <m:rPr>
                  <m:sty m:val="p"/>
                </m:rPr>
                <w:rPr>
                  <w:rFonts w:ascii="Cambria Math" w:hAnsi="Cambria Math" w:cstheme="minorHAnsi"/>
                  <w:color w:val="auto"/>
                </w:rPr>
                <m:t>*</m:t>
              </m:r>
              <m:r>
                <w:rPr>
                  <w:rFonts w:ascii="Cambria Math" w:hAnsi="Cambria Math" w:cstheme="minorHAnsi"/>
                  <w:color w:val="auto"/>
                </w:rPr>
                <m:t>T</m:t>
              </m:r>
            </m:den>
          </m:f>
          <m:r>
            <m:rPr>
              <m:sty m:val="p"/>
            </m:rPr>
            <w:rPr>
              <w:rFonts w:ascii="Cambria Math" w:hAnsi="Cambria Math" w:cstheme="minorHAnsi"/>
              <w:color w:val="auto"/>
            </w:rPr>
            <m:t>)</m:t>
          </m:r>
        </m:oMath>
      </m:oMathPara>
    </w:p>
    <w:p w14:paraId="6A31306A" w14:textId="7C1B327D" w:rsidR="00B2002B" w:rsidRPr="00E033F1" w:rsidRDefault="00B2002B" w:rsidP="00E033F1">
      <w:pPr>
        <w:pStyle w:val="NormalWeb"/>
        <w:spacing w:before="0" w:beforeAutospacing="0" w:after="0" w:afterAutospacing="0"/>
        <w:contextualSpacing/>
        <w:rPr>
          <w:rFonts w:asciiTheme="minorHAnsi" w:hAnsiTheme="minorHAnsi" w:cstheme="minorHAnsi"/>
          <w:bCs/>
          <w:color w:val="auto"/>
        </w:rPr>
      </w:pPr>
    </w:p>
    <w:p w14:paraId="57519419" w14:textId="07E46057" w:rsidR="00B2002B" w:rsidRPr="00E033F1" w:rsidRDefault="00D60061" w:rsidP="00E033F1">
      <w:pPr>
        <w:pStyle w:val="NormalWeb"/>
        <w:spacing w:before="0" w:beforeAutospacing="0" w:after="0" w:afterAutospacing="0"/>
        <w:contextualSpacing/>
        <w:rPr>
          <w:color w:val="auto"/>
        </w:rPr>
      </w:pPr>
      <w:r w:rsidRPr="00E033F1">
        <w:rPr>
          <w:rFonts w:asciiTheme="minorHAnsi" w:hAnsiTheme="minorHAnsi" w:cstheme="minorHAnsi"/>
          <w:bCs/>
          <w:color w:val="auto"/>
        </w:rPr>
        <w:t>w</w:t>
      </w:r>
      <w:r w:rsidR="00D85A0E" w:rsidRPr="00E033F1">
        <w:rPr>
          <w:rFonts w:asciiTheme="minorHAnsi" w:hAnsiTheme="minorHAnsi" w:cstheme="minorHAnsi"/>
          <w:bCs/>
          <w:color w:val="auto"/>
        </w:rPr>
        <w:t xml:space="preserve">here ∆G is the free binding energy found </w:t>
      </w:r>
      <w:r w:rsidRPr="00E033F1">
        <w:rPr>
          <w:rFonts w:asciiTheme="minorHAnsi" w:hAnsiTheme="minorHAnsi" w:cstheme="minorHAnsi"/>
          <w:bCs/>
          <w:color w:val="auto"/>
        </w:rPr>
        <w:t>using</w:t>
      </w:r>
      <w:r w:rsidR="00D85A0E" w:rsidRPr="00E033F1">
        <w:rPr>
          <w:rFonts w:asciiTheme="minorHAnsi" w:hAnsiTheme="minorHAnsi" w:cstheme="minorHAnsi"/>
          <w:bCs/>
          <w:color w:val="auto"/>
        </w:rPr>
        <w:t xml:space="preserve"> the </w:t>
      </w:r>
      <w:r w:rsidR="00D85A0E" w:rsidRPr="00E033F1">
        <w:rPr>
          <w:rFonts w:asciiTheme="minorHAnsi" w:hAnsiTheme="minorHAnsi" w:cstheme="minorHAnsi"/>
          <w:bCs/>
          <w:iCs/>
          <w:color w:val="auto"/>
        </w:rPr>
        <w:t>in silico</w:t>
      </w:r>
      <w:r w:rsidR="00D85A0E" w:rsidRPr="00E033F1">
        <w:rPr>
          <w:rFonts w:asciiTheme="minorHAnsi" w:hAnsiTheme="minorHAnsi" w:cstheme="minorHAnsi"/>
          <w:bCs/>
          <w:i/>
          <w:color w:val="auto"/>
        </w:rPr>
        <w:t xml:space="preserve"> </w:t>
      </w:r>
      <w:r w:rsidR="00D85A0E" w:rsidRPr="00E033F1">
        <w:rPr>
          <w:rFonts w:asciiTheme="minorHAnsi" w:hAnsiTheme="minorHAnsi" w:cstheme="minorHAnsi"/>
          <w:bCs/>
          <w:color w:val="auto"/>
        </w:rPr>
        <w:t xml:space="preserve">analysis, R </w:t>
      </w:r>
      <w:r w:rsidRPr="00E033F1">
        <w:rPr>
          <w:rFonts w:asciiTheme="minorHAnsi" w:hAnsiTheme="minorHAnsi" w:cstheme="minorHAnsi"/>
          <w:bCs/>
          <w:color w:val="auto"/>
        </w:rPr>
        <w:t xml:space="preserve">is </w:t>
      </w:r>
      <w:r w:rsidR="00D85A0E" w:rsidRPr="00E033F1">
        <w:rPr>
          <w:rFonts w:asciiTheme="minorHAnsi" w:hAnsiTheme="minorHAnsi" w:cstheme="minorHAnsi"/>
          <w:bCs/>
          <w:color w:val="auto"/>
        </w:rPr>
        <w:t>the ga</w:t>
      </w:r>
      <w:r w:rsidR="004B384B" w:rsidRPr="00E033F1">
        <w:rPr>
          <w:rFonts w:asciiTheme="minorHAnsi" w:hAnsiTheme="minorHAnsi" w:cstheme="minorHAnsi"/>
          <w:bCs/>
          <w:color w:val="auto"/>
        </w:rPr>
        <w:t>s</w:t>
      </w:r>
      <w:r w:rsidR="00D85A0E" w:rsidRPr="00E033F1">
        <w:rPr>
          <w:rFonts w:asciiTheme="minorHAnsi" w:hAnsiTheme="minorHAnsi" w:cstheme="minorHAnsi"/>
          <w:bCs/>
          <w:color w:val="auto"/>
        </w:rPr>
        <w:t xml:space="preserve"> constant of </w:t>
      </w:r>
      <w:r w:rsidR="00D85A0E" w:rsidRPr="00E033F1">
        <w:rPr>
          <w:color w:val="auto"/>
        </w:rPr>
        <w:t>1.987</w:t>
      </w:r>
      <w:r w:rsidR="007567E1" w:rsidRPr="00E033F1">
        <w:rPr>
          <w:color w:val="auto"/>
        </w:rPr>
        <w:t> </w:t>
      </w:r>
      <w:proofErr w:type="spellStart"/>
      <w:r w:rsidR="00D85A0E" w:rsidRPr="00E033F1">
        <w:rPr>
          <w:color w:val="auto"/>
        </w:rPr>
        <w:t>cal</w:t>
      </w:r>
      <w:proofErr w:type="spellEnd"/>
      <w:r w:rsidR="00D85A0E" w:rsidRPr="00E033F1">
        <w:rPr>
          <w:color w:val="auto"/>
        </w:rPr>
        <w:t>*K</w:t>
      </w:r>
      <w:r w:rsidR="00D85A0E" w:rsidRPr="00E033F1">
        <w:rPr>
          <w:color w:val="auto"/>
          <w:vertAlign w:val="superscript"/>
        </w:rPr>
        <w:t>-1</w:t>
      </w:r>
      <w:r w:rsidR="00D85A0E" w:rsidRPr="00E033F1">
        <w:rPr>
          <w:color w:val="auto"/>
        </w:rPr>
        <w:t>*mol</w:t>
      </w:r>
      <w:r w:rsidR="00D85A0E" w:rsidRPr="00E033F1">
        <w:rPr>
          <w:color w:val="auto"/>
          <w:vertAlign w:val="superscript"/>
        </w:rPr>
        <w:t>-1</w:t>
      </w:r>
      <w:r w:rsidR="004B384B" w:rsidRPr="00E033F1">
        <w:rPr>
          <w:color w:val="auto"/>
        </w:rPr>
        <w:t xml:space="preserve">, </w:t>
      </w:r>
      <w:r w:rsidR="00D85A0E" w:rsidRPr="00E033F1">
        <w:rPr>
          <w:color w:val="auto"/>
        </w:rPr>
        <w:t xml:space="preserve">and T </w:t>
      </w:r>
      <w:r w:rsidR="004B384B" w:rsidRPr="00E033F1">
        <w:rPr>
          <w:color w:val="auto"/>
        </w:rPr>
        <w:t xml:space="preserve">is </w:t>
      </w:r>
      <w:r w:rsidR="00D85A0E" w:rsidRPr="00E033F1">
        <w:rPr>
          <w:color w:val="auto"/>
        </w:rPr>
        <w:t>the temperature</w:t>
      </w:r>
      <w:r w:rsidR="00AF0CC1" w:rsidRPr="00E033F1">
        <w:rPr>
          <w:color w:val="auto"/>
        </w:rPr>
        <w:t xml:space="preserve"> during the experiment</w:t>
      </w:r>
      <w:r w:rsidR="004919B1" w:rsidRPr="00E033F1">
        <w:rPr>
          <w:color w:val="auto"/>
        </w:rPr>
        <w:t>, in this case</w:t>
      </w:r>
      <w:r w:rsidR="00D85A0E" w:rsidRPr="00E033F1">
        <w:rPr>
          <w:color w:val="auto"/>
        </w:rPr>
        <w:t xml:space="preserve"> in Kelvin</w:t>
      </w:r>
      <w:r w:rsidR="00AF0CC1" w:rsidRPr="00E033F1">
        <w:rPr>
          <w:color w:val="auto"/>
        </w:rPr>
        <w:t xml:space="preserve"> (298 K)</w:t>
      </w:r>
      <w:r w:rsidR="00D85A0E" w:rsidRPr="00E033F1">
        <w:rPr>
          <w:color w:val="auto"/>
        </w:rPr>
        <w:t xml:space="preserve">. </w:t>
      </w:r>
    </w:p>
    <w:p w14:paraId="67060ABB" w14:textId="4FB65090" w:rsidR="00D85A0E" w:rsidRPr="00E033F1" w:rsidRDefault="00D85A0E" w:rsidP="00E033F1">
      <w:pPr>
        <w:pStyle w:val="NormalWeb"/>
        <w:spacing w:before="0" w:beforeAutospacing="0" w:after="0" w:afterAutospacing="0"/>
        <w:contextualSpacing/>
        <w:rPr>
          <w:rFonts w:asciiTheme="minorHAnsi" w:hAnsiTheme="minorHAnsi" w:cstheme="minorHAnsi"/>
          <w:bCs/>
          <w:color w:val="auto"/>
        </w:rPr>
      </w:pPr>
    </w:p>
    <w:p w14:paraId="6D71A748" w14:textId="5BD74C2C" w:rsidR="002E6D9D" w:rsidRPr="00E033F1" w:rsidRDefault="00DB4210" w:rsidP="00E033F1">
      <w:pPr>
        <w:pStyle w:val="NormalWeb"/>
        <w:spacing w:before="0" w:beforeAutospacing="0" w:after="0" w:afterAutospacing="0"/>
        <w:contextualSpacing/>
        <w:rPr>
          <w:rFonts w:asciiTheme="minorHAnsi" w:hAnsiTheme="minorHAnsi" w:cstheme="minorHAnsi"/>
          <w:bCs/>
          <w:color w:val="auto"/>
        </w:rPr>
      </w:pPr>
      <w:r w:rsidRPr="00E033F1">
        <w:rPr>
          <w:rFonts w:asciiTheme="minorHAnsi" w:hAnsiTheme="minorHAnsi" w:cstheme="minorHAnsi"/>
          <w:bCs/>
          <w:color w:val="auto"/>
        </w:rPr>
        <w:t xml:space="preserve">Based on the free binding energy results returned by the </w:t>
      </w:r>
      <w:proofErr w:type="spellStart"/>
      <w:r w:rsidRPr="00E033F1">
        <w:rPr>
          <w:rFonts w:asciiTheme="minorHAnsi" w:hAnsiTheme="minorHAnsi" w:cstheme="minorHAnsi"/>
          <w:bCs/>
          <w:color w:val="auto"/>
        </w:rPr>
        <w:t>AutoDock</w:t>
      </w:r>
      <w:proofErr w:type="spellEnd"/>
      <w:r w:rsidRPr="00E033F1">
        <w:rPr>
          <w:rFonts w:asciiTheme="minorHAnsi" w:hAnsiTheme="minorHAnsi" w:cstheme="minorHAnsi"/>
          <w:bCs/>
          <w:color w:val="auto"/>
        </w:rPr>
        <w:t xml:space="preserve"> Vina,</w:t>
      </w:r>
      <w:r w:rsidR="003F4629" w:rsidRPr="00E033F1">
        <w:rPr>
          <w:rFonts w:asciiTheme="minorHAnsi" w:hAnsiTheme="minorHAnsi" w:cstheme="minorHAnsi"/>
          <w:bCs/>
          <w:color w:val="auto"/>
        </w:rPr>
        <w:t xml:space="preserve"> curcumin is a potent GST inhibitor of human</w:t>
      </w:r>
      <w:r w:rsidR="00F8707C" w:rsidRPr="00E033F1">
        <w:rPr>
          <w:rFonts w:asciiTheme="minorHAnsi" w:hAnsiTheme="minorHAnsi" w:cstheme="minorHAnsi"/>
          <w:bCs/>
          <w:color w:val="auto"/>
        </w:rPr>
        <w:t xml:space="preserve"> GSTA1, GSTM1 and GSTP1</w:t>
      </w:r>
      <w:r w:rsidR="003F4629" w:rsidRPr="00E033F1">
        <w:rPr>
          <w:rFonts w:asciiTheme="minorHAnsi" w:hAnsiTheme="minorHAnsi" w:cstheme="minorHAnsi"/>
          <w:bCs/>
          <w:color w:val="auto"/>
        </w:rPr>
        <w:t>, with K</w:t>
      </w:r>
      <w:r w:rsidR="003F4629" w:rsidRPr="00E033F1">
        <w:rPr>
          <w:rFonts w:asciiTheme="minorHAnsi" w:hAnsiTheme="minorHAnsi" w:cstheme="minorHAnsi"/>
          <w:bCs/>
          <w:color w:val="auto"/>
          <w:vertAlign w:val="subscript"/>
        </w:rPr>
        <w:t>i</w:t>
      </w:r>
      <w:r w:rsidR="003F4629" w:rsidRPr="00E033F1">
        <w:rPr>
          <w:rFonts w:asciiTheme="minorHAnsi" w:hAnsiTheme="minorHAnsi" w:cstheme="minorHAnsi"/>
          <w:bCs/>
          <w:color w:val="auto"/>
        </w:rPr>
        <w:t xml:space="preserve"> values of</w:t>
      </w:r>
      <w:r w:rsidRPr="00E033F1">
        <w:rPr>
          <w:rFonts w:asciiTheme="minorHAnsi" w:hAnsiTheme="minorHAnsi" w:cstheme="minorHAnsi"/>
          <w:bCs/>
          <w:color w:val="auto"/>
        </w:rPr>
        <w:t xml:space="preserve"> 78.1 </w:t>
      </w:r>
      <w:r w:rsidR="00B33C23" w:rsidRPr="00E033F1">
        <w:rPr>
          <w:rFonts w:asciiTheme="minorHAnsi" w:hAnsiTheme="minorHAnsi" w:cstheme="minorHAnsi"/>
          <w:bCs/>
          <w:color w:val="auto"/>
        </w:rPr>
        <w:t>µ</w:t>
      </w:r>
      <w:r w:rsidR="00F8707C" w:rsidRPr="00E033F1">
        <w:rPr>
          <w:rFonts w:asciiTheme="minorHAnsi" w:hAnsiTheme="minorHAnsi" w:cstheme="minorHAnsi"/>
          <w:bCs/>
          <w:color w:val="auto"/>
        </w:rPr>
        <w:t xml:space="preserve">M, </w:t>
      </w:r>
      <w:r w:rsidR="00864F1C" w:rsidRPr="00E033F1">
        <w:rPr>
          <w:rFonts w:asciiTheme="minorHAnsi" w:hAnsiTheme="minorHAnsi" w:cstheme="minorHAnsi"/>
          <w:bCs/>
          <w:color w:val="auto"/>
        </w:rPr>
        <w:t xml:space="preserve">78.1 </w:t>
      </w:r>
      <w:r w:rsidR="00B33C23" w:rsidRPr="00E033F1">
        <w:rPr>
          <w:rFonts w:asciiTheme="minorHAnsi" w:hAnsiTheme="minorHAnsi" w:cstheme="minorHAnsi"/>
          <w:bCs/>
          <w:color w:val="auto"/>
        </w:rPr>
        <w:t>µ</w:t>
      </w:r>
      <w:r w:rsidR="00864F1C" w:rsidRPr="00E033F1">
        <w:rPr>
          <w:rFonts w:asciiTheme="minorHAnsi" w:hAnsiTheme="minorHAnsi" w:cstheme="minorHAnsi"/>
          <w:bCs/>
          <w:color w:val="auto"/>
        </w:rPr>
        <w:t xml:space="preserve">M and </w:t>
      </w:r>
      <w:r w:rsidRPr="00E033F1">
        <w:rPr>
          <w:rFonts w:asciiTheme="minorHAnsi" w:hAnsiTheme="minorHAnsi" w:cstheme="minorHAnsi"/>
          <w:bCs/>
          <w:color w:val="auto"/>
        </w:rPr>
        <w:t xml:space="preserve">27.4 </w:t>
      </w:r>
      <w:proofErr w:type="gramStart"/>
      <w:r w:rsidR="00B33C23" w:rsidRPr="00E033F1">
        <w:rPr>
          <w:rFonts w:asciiTheme="minorHAnsi" w:hAnsiTheme="minorHAnsi" w:cstheme="minorHAnsi"/>
          <w:bCs/>
          <w:color w:val="auto"/>
        </w:rPr>
        <w:t>µ</w:t>
      </w:r>
      <w:r w:rsidR="003F4629" w:rsidRPr="00E033F1">
        <w:rPr>
          <w:rFonts w:asciiTheme="minorHAnsi" w:hAnsiTheme="minorHAnsi" w:cstheme="minorHAnsi"/>
          <w:bCs/>
          <w:color w:val="auto"/>
        </w:rPr>
        <w:t>M</w:t>
      </w:r>
      <w:proofErr w:type="gramEnd"/>
      <w:r w:rsidR="003F4629" w:rsidRPr="00E033F1">
        <w:rPr>
          <w:rFonts w:asciiTheme="minorHAnsi" w:hAnsiTheme="minorHAnsi" w:cstheme="minorHAnsi"/>
          <w:bCs/>
          <w:color w:val="auto"/>
        </w:rPr>
        <w:t xml:space="preserve"> respectively.</w:t>
      </w:r>
      <w:r w:rsidR="00E94412" w:rsidRPr="00E033F1">
        <w:rPr>
          <w:rFonts w:asciiTheme="minorHAnsi" w:hAnsiTheme="minorHAnsi" w:cstheme="minorHAnsi"/>
          <w:bCs/>
          <w:color w:val="auto"/>
        </w:rPr>
        <w:t xml:space="preserve"> </w:t>
      </w:r>
      <w:r w:rsidR="004B384B" w:rsidRPr="00E033F1">
        <w:rPr>
          <w:rFonts w:asciiTheme="minorHAnsi" w:hAnsiTheme="minorHAnsi" w:cstheme="minorHAnsi"/>
          <w:bCs/>
          <w:color w:val="auto"/>
        </w:rPr>
        <w:t>T</w:t>
      </w:r>
      <w:r w:rsidR="00D85A0E" w:rsidRPr="00E033F1">
        <w:rPr>
          <w:rFonts w:asciiTheme="minorHAnsi" w:hAnsiTheme="minorHAnsi" w:cstheme="minorHAnsi"/>
          <w:bCs/>
          <w:color w:val="auto"/>
        </w:rPr>
        <w:t xml:space="preserve">he first inhibitory assays were conducted </w:t>
      </w:r>
      <w:r w:rsidR="004B384B" w:rsidRPr="00E033F1">
        <w:rPr>
          <w:rFonts w:asciiTheme="minorHAnsi" w:hAnsiTheme="minorHAnsi" w:cstheme="minorHAnsi"/>
          <w:bCs/>
          <w:color w:val="auto"/>
        </w:rPr>
        <w:t xml:space="preserve">using these </w:t>
      </w:r>
      <w:r w:rsidR="00E94412" w:rsidRPr="00E033F1">
        <w:rPr>
          <w:rFonts w:asciiTheme="minorHAnsi" w:hAnsiTheme="minorHAnsi" w:cstheme="minorHAnsi"/>
          <w:bCs/>
          <w:color w:val="auto"/>
        </w:rPr>
        <w:t xml:space="preserve">computational </w:t>
      </w:r>
      <w:r w:rsidR="00C32163" w:rsidRPr="00E033F1">
        <w:rPr>
          <w:rFonts w:asciiTheme="minorHAnsi" w:hAnsiTheme="minorHAnsi" w:cstheme="minorHAnsi"/>
          <w:bCs/>
          <w:color w:val="auto"/>
        </w:rPr>
        <w:t>K</w:t>
      </w:r>
      <w:r w:rsidR="00C32163" w:rsidRPr="00E033F1">
        <w:rPr>
          <w:rFonts w:asciiTheme="minorHAnsi" w:hAnsiTheme="minorHAnsi" w:cstheme="minorHAnsi"/>
          <w:bCs/>
          <w:color w:val="auto"/>
          <w:vertAlign w:val="subscript"/>
        </w:rPr>
        <w:t>i</w:t>
      </w:r>
      <w:r w:rsidR="00C32163" w:rsidRPr="00E033F1">
        <w:rPr>
          <w:rFonts w:asciiTheme="minorHAnsi" w:hAnsiTheme="minorHAnsi" w:cstheme="minorHAnsi"/>
          <w:bCs/>
          <w:color w:val="auto"/>
        </w:rPr>
        <w:t xml:space="preserve"> </w:t>
      </w:r>
      <w:r w:rsidR="004B384B" w:rsidRPr="00E033F1">
        <w:rPr>
          <w:rFonts w:asciiTheme="minorHAnsi" w:hAnsiTheme="minorHAnsi" w:cstheme="minorHAnsi"/>
          <w:bCs/>
          <w:color w:val="auto"/>
        </w:rPr>
        <w:t xml:space="preserve">estimations, </w:t>
      </w:r>
      <w:r w:rsidR="00D85A0E" w:rsidRPr="00E033F1">
        <w:rPr>
          <w:rFonts w:asciiTheme="minorHAnsi" w:hAnsiTheme="minorHAnsi" w:cstheme="minorHAnsi"/>
          <w:bCs/>
          <w:color w:val="auto"/>
        </w:rPr>
        <w:t xml:space="preserve">and the concentrations were adjusted </w:t>
      </w:r>
      <w:r w:rsidR="004B384B" w:rsidRPr="00E033F1">
        <w:rPr>
          <w:rFonts w:asciiTheme="minorHAnsi" w:hAnsiTheme="minorHAnsi" w:cstheme="minorHAnsi"/>
          <w:bCs/>
          <w:color w:val="auto"/>
        </w:rPr>
        <w:t>according to the results</w:t>
      </w:r>
      <w:r w:rsidR="00D2105D" w:rsidRPr="00E033F1">
        <w:rPr>
          <w:rFonts w:asciiTheme="minorHAnsi" w:hAnsiTheme="minorHAnsi" w:cstheme="minorHAnsi"/>
          <w:bCs/>
          <w:color w:val="auto"/>
        </w:rPr>
        <w:t>,</w:t>
      </w:r>
      <w:r w:rsidR="004B384B" w:rsidRPr="00E033F1">
        <w:rPr>
          <w:rFonts w:asciiTheme="minorHAnsi" w:hAnsiTheme="minorHAnsi" w:cstheme="minorHAnsi"/>
          <w:bCs/>
          <w:color w:val="auto"/>
        </w:rPr>
        <w:t xml:space="preserve"> </w:t>
      </w:r>
      <w:r w:rsidR="00D85A0E" w:rsidRPr="00E033F1">
        <w:rPr>
          <w:rFonts w:asciiTheme="minorHAnsi" w:hAnsiTheme="minorHAnsi" w:cstheme="minorHAnsi"/>
          <w:bCs/>
          <w:color w:val="auto"/>
        </w:rPr>
        <w:t xml:space="preserve">if </w:t>
      </w:r>
      <w:r w:rsidR="00D2105D" w:rsidRPr="00E033F1">
        <w:rPr>
          <w:rFonts w:asciiTheme="minorHAnsi" w:hAnsiTheme="minorHAnsi" w:cstheme="minorHAnsi"/>
          <w:bCs/>
          <w:color w:val="auto"/>
        </w:rPr>
        <w:t>necessary</w:t>
      </w:r>
      <w:r w:rsidR="00D85A0E" w:rsidRPr="00E033F1">
        <w:rPr>
          <w:rFonts w:asciiTheme="minorHAnsi" w:hAnsiTheme="minorHAnsi" w:cstheme="minorHAnsi"/>
          <w:bCs/>
          <w:color w:val="auto"/>
        </w:rPr>
        <w:t xml:space="preserve">. </w:t>
      </w:r>
    </w:p>
    <w:p w14:paraId="4FF2D2ED" w14:textId="77777777" w:rsidR="00AF0CC1" w:rsidRPr="00E033F1" w:rsidRDefault="00AF0CC1" w:rsidP="00E033F1">
      <w:pPr>
        <w:pStyle w:val="NormalWeb"/>
        <w:spacing w:before="0" w:beforeAutospacing="0" w:after="0" w:afterAutospacing="0"/>
        <w:contextualSpacing/>
        <w:rPr>
          <w:rFonts w:asciiTheme="minorHAnsi" w:hAnsiTheme="minorHAnsi" w:cstheme="minorHAnsi"/>
          <w:bCs/>
          <w:color w:val="auto"/>
        </w:rPr>
      </w:pPr>
    </w:p>
    <w:p w14:paraId="5D1E50E1" w14:textId="6DCB5052" w:rsidR="0048207F" w:rsidRDefault="00175EE8" w:rsidP="00E033F1">
      <w:pPr>
        <w:pStyle w:val="NormalWeb"/>
        <w:spacing w:before="0" w:beforeAutospacing="0" w:after="0" w:afterAutospacing="0"/>
        <w:contextualSpacing/>
        <w:rPr>
          <w:color w:val="auto"/>
        </w:rPr>
      </w:pPr>
      <w:r w:rsidRPr="00E033F1">
        <w:rPr>
          <w:rFonts w:asciiTheme="minorHAnsi" w:hAnsiTheme="minorHAnsi" w:cstheme="minorHAnsi"/>
          <w:bCs/>
          <w:color w:val="auto"/>
        </w:rPr>
        <w:t>First,</w:t>
      </w:r>
      <w:r w:rsidR="00D85A0E" w:rsidRPr="00E033F1">
        <w:rPr>
          <w:rFonts w:asciiTheme="minorHAnsi" w:hAnsiTheme="minorHAnsi" w:cstheme="minorHAnsi"/>
          <w:bCs/>
          <w:color w:val="auto"/>
        </w:rPr>
        <w:t xml:space="preserve"> the IC50 was estimated. This characteristic is the concentration of inhibitor that </w:t>
      </w:r>
      <w:r w:rsidR="00AC00E0" w:rsidRPr="00E033F1">
        <w:rPr>
          <w:rFonts w:asciiTheme="minorHAnsi" w:hAnsiTheme="minorHAnsi" w:cstheme="minorHAnsi"/>
          <w:bCs/>
          <w:color w:val="auto"/>
        </w:rPr>
        <w:t>reduce</w:t>
      </w:r>
      <w:r w:rsidR="004B384B" w:rsidRPr="00E033F1">
        <w:rPr>
          <w:rFonts w:asciiTheme="minorHAnsi" w:hAnsiTheme="minorHAnsi" w:cstheme="minorHAnsi"/>
          <w:bCs/>
          <w:color w:val="auto"/>
        </w:rPr>
        <w:t>s</w:t>
      </w:r>
      <w:r w:rsidR="00AC00E0" w:rsidRPr="00E033F1">
        <w:rPr>
          <w:rFonts w:asciiTheme="minorHAnsi" w:hAnsiTheme="minorHAnsi" w:cstheme="minorHAnsi"/>
          <w:bCs/>
          <w:color w:val="auto"/>
        </w:rPr>
        <w:t xml:space="preserve"> an enzyme</w:t>
      </w:r>
      <w:r w:rsidR="004B384B" w:rsidRPr="00E033F1">
        <w:rPr>
          <w:rFonts w:asciiTheme="minorHAnsi" w:hAnsiTheme="minorHAnsi" w:cstheme="minorHAnsi"/>
          <w:bCs/>
          <w:color w:val="auto"/>
        </w:rPr>
        <w:t xml:space="preserve">’s reaction rate </w:t>
      </w:r>
      <w:r w:rsidR="00AC00E0" w:rsidRPr="00E033F1">
        <w:rPr>
          <w:rFonts w:asciiTheme="minorHAnsi" w:hAnsiTheme="minorHAnsi" w:cstheme="minorHAnsi"/>
          <w:bCs/>
          <w:color w:val="auto"/>
        </w:rPr>
        <w:t>by 50%.</w:t>
      </w:r>
      <w:r w:rsidR="00D85A0E" w:rsidRPr="00E033F1">
        <w:rPr>
          <w:rFonts w:asciiTheme="minorHAnsi" w:hAnsiTheme="minorHAnsi" w:cstheme="minorHAnsi"/>
          <w:bCs/>
          <w:color w:val="auto"/>
        </w:rPr>
        <w:t xml:space="preserve"> It is therefore dependent o</w:t>
      </w:r>
      <w:r w:rsidR="004B384B" w:rsidRPr="00E033F1">
        <w:rPr>
          <w:rFonts w:asciiTheme="minorHAnsi" w:hAnsiTheme="minorHAnsi" w:cstheme="minorHAnsi"/>
          <w:bCs/>
          <w:color w:val="auto"/>
        </w:rPr>
        <w:t>n</w:t>
      </w:r>
      <w:r w:rsidR="00D85A0E" w:rsidRPr="00E033F1">
        <w:rPr>
          <w:rFonts w:asciiTheme="minorHAnsi" w:hAnsiTheme="minorHAnsi" w:cstheme="minorHAnsi"/>
          <w:bCs/>
          <w:color w:val="auto"/>
        </w:rPr>
        <w:t xml:space="preserve"> th</w:t>
      </w:r>
      <w:r w:rsidR="00831EA9" w:rsidRPr="00E033F1">
        <w:rPr>
          <w:rFonts w:asciiTheme="minorHAnsi" w:hAnsiTheme="minorHAnsi" w:cstheme="minorHAnsi"/>
          <w:bCs/>
          <w:color w:val="auto"/>
        </w:rPr>
        <w:t>e enzyme concentration</w:t>
      </w:r>
      <w:r w:rsidR="00E033F1" w:rsidRPr="00E033F1">
        <w:rPr>
          <w:rFonts w:asciiTheme="minorHAnsi" w:hAnsiTheme="minorHAnsi" w:cstheme="minorHAnsi"/>
          <w:bCs/>
          <w:color w:val="auto"/>
        </w:rPr>
        <w:fldChar w:fldCharType="begin"/>
      </w:r>
      <w:r w:rsidR="00E033F1" w:rsidRPr="00E033F1">
        <w:rPr>
          <w:rFonts w:asciiTheme="minorHAnsi" w:hAnsiTheme="minorHAnsi" w:cstheme="minorHAnsi"/>
          <w:bCs/>
          <w:color w:val="auto"/>
        </w:rPr>
        <w:instrText xml:space="preserve"> ADDIN ZOTERO_ITEM CSL_CITATION {"citationID":"x32ycPCA","properties":{"formattedCitation":"\\super 30\\nosupersub{}","plainCitation":"30","noteIndex":0},"citationItems":[{"id":390,"uris":["http://zotero.org/users/local/bXXP6LKp/items/I7WHAR6B"],"uri":["http://zotero.org/users/local/bXXP6LKp/items/I7WHAR6B"],"itemData":{"id":390,"type":"article-journal","abstract":"To compare the relative potencies of a variety of enzyme-inhibiting compounds, a quantitative measure must be employed. IC50 values and Ki values are often reported in the literature, but direct comparison of these values is not possible. The relationship of Ki and IC50 for a given compound varies depending on the assay conditions and the compound’s mechanism of inhibition. The Cheng–Prusoff equations describe this relationship mathematically, and an intuitive description of this relationship is presented. Although there are currently a number of means to graphically determine IC50 values, there is not a biochemically intuitive linear method. A novel use of the Dixon plot will aid students in the determination of IC50 values. While the Dixon plot has been traditionally used to determine Ki in limited cases, a more widely applicable use is in IC50 determination. A new convention for presenting IC50 values is suggested.","container-title":"Journal of Chemical Education","DOI":"10.1021/ed080p214","ISSN":"0021-9584","issue":"2","journalAbbreviation":"J. Chem. Educ.","page":"214","source":"ACS Publications","title":"An Intuitive Look at the Relationship of Ki and IC50: A More General Use for the Dixon Plot","title-short":"An Intuitive Look at the Relationship of Ki and IC50","volume":"80","author":[{"family":"Burlingham","given":"Benjamin T."},{"family":"Widlanski","given":"Theodore S."}],"issued":{"date-parts":[["2003",2,1]]}}}],"schema":"https://github.com/citation-style-language/schema/raw/master/csl-citation.json"} </w:instrText>
      </w:r>
      <w:r w:rsidR="00E033F1" w:rsidRPr="00E033F1">
        <w:rPr>
          <w:rFonts w:asciiTheme="minorHAnsi" w:hAnsiTheme="minorHAnsi" w:cstheme="minorHAnsi"/>
          <w:bCs/>
          <w:color w:val="auto"/>
        </w:rPr>
        <w:fldChar w:fldCharType="separate"/>
      </w:r>
      <w:r w:rsidR="00E033F1" w:rsidRPr="00E033F1">
        <w:rPr>
          <w:color w:val="auto"/>
          <w:vertAlign w:val="superscript"/>
        </w:rPr>
        <w:t>30</w:t>
      </w:r>
      <w:r w:rsidR="00E033F1" w:rsidRPr="00E033F1">
        <w:rPr>
          <w:rFonts w:asciiTheme="minorHAnsi" w:hAnsiTheme="minorHAnsi" w:cstheme="minorHAnsi"/>
          <w:bCs/>
          <w:color w:val="auto"/>
        </w:rPr>
        <w:fldChar w:fldCharType="end"/>
      </w:r>
      <w:r w:rsidR="00831EA9" w:rsidRPr="00E033F1">
        <w:rPr>
          <w:rFonts w:asciiTheme="minorHAnsi" w:hAnsiTheme="minorHAnsi" w:cstheme="minorHAnsi"/>
          <w:bCs/>
          <w:color w:val="auto"/>
        </w:rPr>
        <w:t xml:space="preserve">. </w:t>
      </w:r>
      <w:r w:rsidR="005A09BB" w:rsidRPr="00E033F1">
        <w:rPr>
          <w:rFonts w:asciiTheme="minorHAnsi" w:hAnsiTheme="minorHAnsi" w:cstheme="minorHAnsi"/>
          <w:bCs/>
          <w:color w:val="auto"/>
        </w:rPr>
        <w:t>Nine</w:t>
      </w:r>
      <w:r w:rsidR="00831EA9" w:rsidRPr="00E033F1">
        <w:rPr>
          <w:rFonts w:asciiTheme="minorHAnsi" w:hAnsiTheme="minorHAnsi" w:cstheme="minorHAnsi"/>
          <w:bCs/>
          <w:color w:val="auto"/>
        </w:rPr>
        <w:t xml:space="preserve"> final concentrations</w:t>
      </w:r>
      <w:r w:rsidR="000203D9" w:rsidRPr="00E033F1">
        <w:rPr>
          <w:rFonts w:asciiTheme="minorHAnsi" w:hAnsiTheme="minorHAnsi" w:cstheme="minorHAnsi"/>
          <w:bCs/>
          <w:color w:val="auto"/>
        </w:rPr>
        <w:t xml:space="preserve"> of the inhibitor</w:t>
      </w:r>
      <w:r w:rsidR="004B384B" w:rsidRPr="00E033F1">
        <w:rPr>
          <w:rFonts w:asciiTheme="minorHAnsi" w:hAnsiTheme="minorHAnsi" w:cstheme="minorHAnsi"/>
          <w:bCs/>
          <w:color w:val="auto"/>
        </w:rPr>
        <w:t xml:space="preserve"> were prepared</w:t>
      </w:r>
      <w:r w:rsidR="00831EA9" w:rsidRPr="00E033F1">
        <w:rPr>
          <w:rFonts w:asciiTheme="minorHAnsi" w:hAnsiTheme="minorHAnsi" w:cstheme="minorHAnsi"/>
          <w:bCs/>
          <w:color w:val="auto"/>
        </w:rPr>
        <w:t>, ranging from 0.39</w:t>
      </w:r>
      <w:r w:rsidR="007567E1" w:rsidRPr="00E033F1">
        <w:rPr>
          <w:rFonts w:asciiTheme="minorHAnsi" w:hAnsiTheme="minorHAnsi" w:cstheme="minorHAnsi"/>
          <w:bCs/>
          <w:color w:val="auto"/>
        </w:rPr>
        <w:t> </w:t>
      </w:r>
      <w:r w:rsidR="00B33C23" w:rsidRPr="00E033F1">
        <w:rPr>
          <w:rFonts w:asciiTheme="minorHAnsi" w:hAnsiTheme="minorHAnsi" w:cstheme="minorHAnsi"/>
          <w:bCs/>
          <w:color w:val="auto"/>
        </w:rPr>
        <w:t>µ</w:t>
      </w:r>
      <w:r w:rsidR="00831EA9" w:rsidRPr="00E033F1">
        <w:rPr>
          <w:rFonts w:asciiTheme="minorHAnsi" w:hAnsiTheme="minorHAnsi" w:cstheme="minorHAnsi"/>
          <w:bCs/>
          <w:color w:val="auto"/>
        </w:rPr>
        <w:t xml:space="preserve">M to </w:t>
      </w:r>
      <w:r w:rsidR="005A09BB" w:rsidRPr="00E033F1">
        <w:rPr>
          <w:rFonts w:asciiTheme="minorHAnsi" w:hAnsiTheme="minorHAnsi" w:cstheme="minorHAnsi"/>
          <w:bCs/>
          <w:color w:val="auto"/>
        </w:rPr>
        <w:t>100</w:t>
      </w:r>
      <w:r w:rsidR="007567E1" w:rsidRPr="00E033F1">
        <w:rPr>
          <w:rFonts w:asciiTheme="minorHAnsi" w:hAnsiTheme="minorHAnsi" w:cstheme="minorHAnsi"/>
          <w:bCs/>
          <w:color w:val="auto"/>
        </w:rPr>
        <w:t> </w:t>
      </w:r>
      <w:r w:rsidR="00B33C23" w:rsidRPr="00E033F1">
        <w:rPr>
          <w:rFonts w:asciiTheme="minorHAnsi" w:hAnsiTheme="minorHAnsi" w:cstheme="minorHAnsi"/>
          <w:bCs/>
          <w:color w:val="auto"/>
        </w:rPr>
        <w:t>µ</w:t>
      </w:r>
      <w:r w:rsidR="00831EA9" w:rsidRPr="00E033F1">
        <w:rPr>
          <w:rFonts w:asciiTheme="minorHAnsi" w:hAnsiTheme="minorHAnsi" w:cstheme="minorHAnsi"/>
          <w:bCs/>
          <w:color w:val="auto"/>
        </w:rPr>
        <w:t>M</w:t>
      </w:r>
      <w:r w:rsidR="00840F2B" w:rsidRPr="00E033F1">
        <w:rPr>
          <w:rFonts w:asciiTheme="minorHAnsi" w:hAnsiTheme="minorHAnsi" w:cstheme="minorHAnsi"/>
          <w:bCs/>
          <w:color w:val="auto"/>
        </w:rPr>
        <w:t xml:space="preserve"> </w:t>
      </w:r>
      <w:r w:rsidR="004B384B" w:rsidRPr="00E033F1">
        <w:rPr>
          <w:rFonts w:asciiTheme="minorHAnsi" w:hAnsiTheme="minorHAnsi" w:cstheme="minorHAnsi"/>
          <w:bCs/>
          <w:color w:val="auto"/>
        </w:rPr>
        <w:t xml:space="preserve">with </w:t>
      </w:r>
      <w:r w:rsidR="00831EA9" w:rsidRPr="00E033F1">
        <w:rPr>
          <w:rFonts w:asciiTheme="minorHAnsi" w:hAnsiTheme="minorHAnsi" w:cstheme="minorHAnsi"/>
          <w:bCs/>
          <w:color w:val="auto"/>
        </w:rPr>
        <w:t xml:space="preserve">each concentration </w:t>
      </w:r>
      <w:r w:rsidR="00B06C1A" w:rsidRPr="00E033F1">
        <w:rPr>
          <w:rFonts w:asciiTheme="minorHAnsi" w:hAnsiTheme="minorHAnsi" w:cstheme="minorHAnsi"/>
          <w:bCs/>
          <w:color w:val="auto"/>
        </w:rPr>
        <w:t xml:space="preserve">double </w:t>
      </w:r>
      <w:r w:rsidR="004B384B" w:rsidRPr="00E033F1">
        <w:rPr>
          <w:rFonts w:asciiTheme="minorHAnsi" w:hAnsiTheme="minorHAnsi" w:cstheme="minorHAnsi"/>
          <w:bCs/>
          <w:color w:val="auto"/>
        </w:rPr>
        <w:t>that of</w:t>
      </w:r>
      <w:r w:rsidR="00B06C1A" w:rsidRPr="00E033F1">
        <w:rPr>
          <w:rFonts w:asciiTheme="minorHAnsi" w:hAnsiTheme="minorHAnsi" w:cstheme="minorHAnsi"/>
          <w:bCs/>
          <w:color w:val="auto"/>
        </w:rPr>
        <w:t xml:space="preserve"> the previous one</w:t>
      </w:r>
      <w:r w:rsidR="00831EA9" w:rsidRPr="00E033F1">
        <w:rPr>
          <w:rFonts w:asciiTheme="minorHAnsi" w:hAnsiTheme="minorHAnsi" w:cstheme="minorHAnsi"/>
          <w:bCs/>
          <w:color w:val="auto"/>
        </w:rPr>
        <w:t xml:space="preserve">. </w:t>
      </w:r>
      <w:r w:rsidR="000104E8" w:rsidRPr="00E033F1">
        <w:rPr>
          <w:rFonts w:asciiTheme="minorHAnsi" w:hAnsiTheme="minorHAnsi" w:cstheme="minorHAnsi"/>
          <w:color w:val="auto"/>
        </w:rPr>
        <w:t xml:space="preserve">The assay solution was composed of </w:t>
      </w:r>
      <w:r w:rsidR="00E539E5" w:rsidRPr="00E033F1">
        <w:rPr>
          <w:rFonts w:asciiTheme="minorHAnsi" w:hAnsiTheme="minorHAnsi" w:cstheme="minorHAnsi"/>
          <w:color w:val="auto"/>
        </w:rPr>
        <w:t>20</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E539E5" w:rsidRPr="00E033F1">
        <w:rPr>
          <w:rFonts w:asciiTheme="minorHAnsi" w:hAnsiTheme="minorHAnsi" w:cstheme="minorHAnsi"/>
          <w:color w:val="auto"/>
        </w:rPr>
        <w:t xml:space="preserve"> of </w:t>
      </w:r>
      <w:r w:rsidR="00606975" w:rsidRPr="00E033F1">
        <w:rPr>
          <w:rFonts w:asciiTheme="minorHAnsi" w:hAnsiTheme="minorHAnsi" w:cstheme="minorHAnsi"/>
          <w:color w:val="auto"/>
        </w:rPr>
        <w:t>GSH</w:t>
      </w:r>
      <w:r w:rsidR="00E539E5" w:rsidRPr="00E033F1">
        <w:rPr>
          <w:rFonts w:asciiTheme="minorHAnsi" w:hAnsiTheme="minorHAnsi" w:cstheme="minorHAnsi"/>
          <w:color w:val="auto"/>
        </w:rPr>
        <w:t xml:space="preserve"> 2.5</w:t>
      </w:r>
      <w:r w:rsidR="007567E1" w:rsidRPr="00E033F1">
        <w:rPr>
          <w:rFonts w:asciiTheme="minorHAnsi" w:hAnsiTheme="minorHAnsi" w:cstheme="minorHAnsi"/>
          <w:color w:val="auto"/>
        </w:rPr>
        <w:t> </w:t>
      </w:r>
      <w:r w:rsidR="00E539E5" w:rsidRPr="00E033F1">
        <w:rPr>
          <w:rFonts w:asciiTheme="minorHAnsi" w:hAnsiTheme="minorHAnsi" w:cstheme="minorHAnsi"/>
          <w:color w:val="auto"/>
        </w:rPr>
        <w:t>mM</w:t>
      </w:r>
      <w:r w:rsidR="000131A3" w:rsidRPr="00E033F1">
        <w:rPr>
          <w:rFonts w:asciiTheme="minorHAnsi" w:hAnsiTheme="minorHAnsi" w:cstheme="minorHAnsi"/>
          <w:color w:val="auto"/>
        </w:rPr>
        <w:t>,</w:t>
      </w:r>
      <w:r w:rsidR="00E539E5" w:rsidRPr="00E033F1">
        <w:rPr>
          <w:rFonts w:asciiTheme="minorHAnsi" w:hAnsiTheme="minorHAnsi" w:cstheme="minorHAnsi"/>
          <w:color w:val="auto"/>
        </w:rPr>
        <w:t xml:space="preserve"> 20</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E539E5" w:rsidRPr="00E033F1">
        <w:rPr>
          <w:rFonts w:asciiTheme="minorHAnsi" w:hAnsiTheme="minorHAnsi" w:cstheme="minorHAnsi"/>
          <w:color w:val="auto"/>
        </w:rPr>
        <w:t xml:space="preserve"> of GST from equine liver at 0.01</w:t>
      </w:r>
      <w:r w:rsidR="007567E1" w:rsidRPr="00E033F1">
        <w:rPr>
          <w:rFonts w:asciiTheme="minorHAnsi" w:hAnsiTheme="minorHAnsi" w:cstheme="minorHAnsi"/>
          <w:color w:val="auto"/>
        </w:rPr>
        <w:t> </w:t>
      </w:r>
      <w:r w:rsidR="00E033F1">
        <w:rPr>
          <w:rFonts w:asciiTheme="minorHAnsi" w:hAnsiTheme="minorHAnsi" w:cstheme="minorHAnsi"/>
          <w:color w:val="auto"/>
        </w:rPr>
        <w:t>U</w:t>
      </w:r>
      <w:r w:rsidR="006A5C54" w:rsidRPr="00E033F1">
        <w:rPr>
          <w:rFonts w:asciiTheme="minorHAnsi" w:hAnsiTheme="minorHAnsi" w:cstheme="minorHAnsi"/>
          <w:color w:val="auto"/>
        </w:rPr>
        <w:t>/m</w:t>
      </w:r>
      <w:r w:rsidR="00D2105D" w:rsidRPr="00E033F1">
        <w:rPr>
          <w:rFonts w:asciiTheme="minorHAnsi" w:hAnsiTheme="minorHAnsi" w:cstheme="minorHAnsi"/>
          <w:color w:val="auto"/>
        </w:rPr>
        <w:t>L</w:t>
      </w:r>
      <w:r w:rsidR="000131A3" w:rsidRPr="00E033F1">
        <w:rPr>
          <w:rFonts w:asciiTheme="minorHAnsi" w:hAnsiTheme="minorHAnsi" w:cstheme="minorHAnsi"/>
          <w:color w:val="auto"/>
        </w:rPr>
        <w:t xml:space="preserve"> final</w:t>
      </w:r>
      <w:r w:rsidR="00E539E5" w:rsidRPr="00E033F1">
        <w:rPr>
          <w:rFonts w:asciiTheme="minorHAnsi" w:hAnsiTheme="minorHAnsi" w:cstheme="minorHAnsi"/>
          <w:color w:val="auto"/>
        </w:rPr>
        <w:t>, 2</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E539E5" w:rsidRPr="00E033F1">
        <w:rPr>
          <w:rFonts w:asciiTheme="minorHAnsi" w:hAnsiTheme="minorHAnsi" w:cstheme="minorHAnsi"/>
          <w:color w:val="auto"/>
        </w:rPr>
        <w:t xml:space="preserve"> of the curcumin solution</w:t>
      </w:r>
      <w:r w:rsidR="004B384B" w:rsidRPr="00E033F1">
        <w:rPr>
          <w:rFonts w:asciiTheme="minorHAnsi" w:hAnsiTheme="minorHAnsi" w:cstheme="minorHAnsi"/>
          <w:color w:val="auto"/>
        </w:rPr>
        <w:t>,</w:t>
      </w:r>
      <w:r w:rsidR="00E539E5" w:rsidRPr="00E033F1">
        <w:rPr>
          <w:rFonts w:asciiTheme="minorHAnsi" w:hAnsiTheme="minorHAnsi" w:cstheme="minorHAnsi"/>
          <w:color w:val="auto"/>
        </w:rPr>
        <w:t xml:space="preserve"> and 148</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AF1952" w:rsidRPr="00E033F1">
        <w:rPr>
          <w:rFonts w:asciiTheme="minorHAnsi" w:hAnsiTheme="minorHAnsi" w:cstheme="minorHAnsi"/>
          <w:color w:val="auto"/>
        </w:rPr>
        <w:t xml:space="preserve"> of PBS</w:t>
      </w:r>
      <w:r w:rsidR="00E539E5" w:rsidRPr="00E033F1">
        <w:rPr>
          <w:rFonts w:asciiTheme="minorHAnsi" w:hAnsiTheme="minorHAnsi" w:cstheme="minorHAnsi"/>
          <w:color w:val="auto"/>
        </w:rPr>
        <w:t xml:space="preserve">. </w:t>
      </w:r>
      <w:r w:rsidR="00216B8B" w:rsidRPr="00E033F1">
        <w:rPr>
          <w:rFonts w:asciiTheme="minorHAnsi" w:hAnsiTheme="minorHAnsi" w:cstheme="minorHAnsi"/>
          <w:color w:val="auto"/>
        </w:rPr>
        <w:t xml:space="preserve">The control was composed of the same solution with </w:t>
      </w:r>
      <w:r w:rsidR="00831EA9" w:rsidRPr="00E033F1">
        <w:rPr>
          <w:rFonts w:asciiTheme="minorHAnsi" w:hAnsiTheme="minorHAnsi" w:cstheme="minorHAnsi"/>
          <w:color w:val="auto"/>
        </w:rPr>
        <w:t>the diluent used for curcumin</w:t>
      </w:r>
      <w:r w:rsidR="00216B8B" w:rsidRPr="00E033F1">
        <w:rPr>
          <w:rFonts w:asciiTheme="minorHAnsi" w:hAnsiTheme="minorHAnsi" w:cstheme="minorHAnsi"/>
          <w:color w:val="auto"/>
        </w:rPr>
        <w:t xml:space="preserve">. </w:t>
      </w:r>
      <w:r w:rsidR="00E539E5" w:rsidRPr="00E033F1">
        <w:rPr>
          <w:rFonts w:asciiTheme="minorHAnsi" w:hAnsiTheme="minorHAnsi" w:cstheme="minorHAnsi"/>
          <w:color w:val="auto"/>
        </w:rPr>
        <w:t>This mixture was incubated for 15 minutes</w:t>
      </w:r>
      <w:r w:rsidR="00831EA9" w:rsidRPr="00E033F1">
        <w:rPr>
          <w:rFonts w:asciiTheme="minorHAnsi" w:hAnsiTheme="minorHAnsi" w:cstheme="minorHAnsi"/>
          <w:color w:val="auto"/>
        </w:rPr>
        <w:t xml:space="preserve"> to begin the enzym</w:t>
      </w:r>
      <w:r w:rsidR="00EE6B80" w:rsidRPr="00E033F1">
        <w:rPr>
          <w:rFonts w:asciiTheme="minorHAnsi" w:hAnsiTheme="minorHAnsi" w:cstheme="minorHAnsi"/>
          <w:color w:val="auto"/>
        </w:rPr>
        <w:t>e</w:t>
      </w:r>
      <w:r w:rsidR="00831EA9" w:rsidRPr="00E033F1">
        <w:rPr>
          <w:rFonts w:asciiTheme="minorHAnsi" w:hAnsiTheme="minorHAnsi" w:cstheme="minorHAnsi"/>
          <w:color w:val="auto"/>
        </w:rPr>
        <w:t xml:space="preserve"> assay</w:t>
      </w:r>
      <w:r w:rsidR="00B06C1A" w:rsidRPr="00E033F1">
        <w:rPr>
          <w:rFonts w:asciiTheme="minorHAnsi" w:hAnsiTheme="minorHAnsi" w:cstheme="minorHAnsi"/>
          <w:color w:val="auto"/>
        </w:rPr>
        <w:t xml:space="preserve"> and </w:t>
      </w:r>
      <w:r w:rsidR="00DD0EC8" w:rsidRPr="00E033F1">
        <w:rPr>
          <w:rFonts w:asciiTheme="minorHAnsi" w:hAnsiTheme="minorHAnsi" w:cstheme="minorHAnsi"/>
          <w:color w:val="auto"/>
        </w:rPr>
        <w:t xml:space="preserve">to </w:t>
      </w:r>
      <w:r w:rsidR="00B06C1A" w:rsidRPr="00E033F1">
        <w:rPr>
          <w:rFonts w:asciiTheme="minorHAnsi" w:hAnsiTheme="minorHAnsi" w:cstheme="minorHAnsi"/>
          <w:color w:val="auto"/>
        </w:rPr>
        <w:t>avoid degradation of</w:t>
      </w:r>
      <w:r w:rsidR="00DD0EC8" w:rsidRPr="00E033F1">
        <w:rPr>
          <w:rFonts w:asciiTheme="minorHAnsi" w:hAnsiTheme="minorHAnsi" w:cstheme="minorHAnsi"/>
          <w:color w:val="auto"/>
        </w:rPr>
        <w:t xml:space="preserve"> the</w:t>
      </w:r>
      <w:r w:rsidR="00B06C1A" w:rsidRPr="00E033F1">
        <w:rPr>
          <w:rFonts w:asciiTheme="minorHAnsi" w:hAnsiTheme="minorHAnsi" w:cstheme="minorHAnsi"/>
          <w:color w:val="auto"/>
        </w:rPr>
        <w:t xml:space="preserve"> curcumin in the assay solution, as this </w:t>
      </w:r>
      <w:r w:rsidR="0020326A" w:rsidRPr="00E033F1">
        <w:rPr>
          <w:rFonts w:asciiTheme="minorHAnsi" w:hAnsiTheme="minorHAnsi" w:cstheme="minorHAnsi"/>
          <w:color w:val="auto"/>
        </w:rPr>
        <w:t>compound</w:t>
      </w:r>
      <w:r w:rsidR="00B06C1A" w:rsidRPr="00E033F1">
        <w:rPr>
          <w:rFonts w:asciiTheme="minorHAnsi" w:hAnsiTheme="minorHAnsi" w:cstheme="minorHAnsi"/>
          <w:color w:val="auto"/>
        </w:rPr>
        <w:t xml:space="preserve"> is </w:t>
      </w:r>
      <w:r w:rsidR="00DD0EC8" w:rsidRPr="00E033F1">
        <w:rPr>
          <w:rFonts w:asciiTheme="minorHAnsi" w:hAnsiTheme="minorHAnsi" w:cstheme="minorHAnsi"/>
          <w:color w:val="auto"/>
        </w:rPr>
        <w:t>un</w:t>
      </w:r>
      <w:r w:rsidR="00B06C1A" w:rsidRPr="00E033F1">
        <w:rPr>
          <w:rFonts w:asciiTheme="minorHAnsi" w:hAnsiTheme="minorHAnsi" w:cstheme="minorHAnsi"/>
          <w:color w:val="auto"/>
        </w:rPr>
        <w:t>stable in buffer solutions</w:t>
      </w:r>
      <w:r w:rsidR="00E033F1" w:rsidRPr="00E033F1">
        <w:rPr>
          <w:rFonts w:asciiTheme="minorHAnsi" w:hAnsiTheme="minorHAnsi" w:cstheme="minorHAnsi"/>
          <w:color w:val="auto"/>
        </w:rPr>
        <w:fldChar w:fldCharType="begin"/>
      </w:r>
      <w:r w:rsidR="00E033F1" w:rsidRPr="00E033F1">
        <w:rPr>
          <w:rFonts w:asciiTheme="minorHAnsi" w:hAnsiTheme="minorHAnsi" w:cstheme="minorHAnsi"/>
          <w:color w:val="auto"/>
        </w:rPr>
        <w:instrText xml:space="preserve"> ADDIN ZOTERO_ITEM CSL_CITATION {"citationID":"lMnk4dRB","properties":{"formattedCitation":"\\super 31\\nosupersub{}","plainCitation":"31","noteIndex":0},"citationItems":[{"id":104,"uris":["http://zotero.org/users/local/bXXP6LKp/items/ZDQD7GXI"],"uri":["http://zotero.org/users/local/bXXP6LKp/items/ZDQD7GXI"],"itemData":{"id":104,"type":"article-journal","abstract":"The degradation kinetics of curcumin under various pH conditions and the stability of curcumin in physiological matrices were investigated. When curcumin was incubated in 0.1 M phosphate buffer and serum-free medium, pH 7.2 at 37°C, about 90% decomposed within 30 min. A series of pH conditions ranging from 3 to 10 were tested and the result showed that decomposition was pH-dependent and occurred faster at neutral-basic conditions. It is more stable in cell culture medium containing 10% fetal calf serum and in human blood; less than 20% of curcumin decomposed within 1 h, and after incubation for 8 h, about 50% of curcumin is still remained. Trans-6-(4′-hydroxy-3′-methoxyphenyl)-2,4-dioxo-5-hexenal was predicted as major degradation product and vanillin, ferulic acid, feruloyl methane were identified as minor degradation products. The amount of vanillin increased with incubation time.","container-title":"Journal of Pharmaceutical and Biomedical Analysis","DOI":"10.1016/S0731-7085(96)02024-9","ISSN":"0731-7085","issue":"12","journalAbbreviation":"Journal of Pharmaceutical and Biomedical Analysis","page":"1867-1876","source":"ScienceDirect","title":"Stability of curcumin in buffer solutions and characterization of its degradation products","volume":"15","author":[{"family":"Wang","given":"Ying-Jan"},{"family":"Pan","given":"Min-Hsiung"},{"family":"Cheng","given":"Ann-Lii"},{"family":"Lin","given":"Liang-In"},{"family":"Ho","given":"Yuan-Soon"},{"family":"Hsieh","given":"Chang-Yao"},{"family":"Lin","given":"Jen-Kun"}],"issued":{"date-parts":[["1997",8,1]]}}}],"schema":"https://github.com/citation-style-language/schema/raw/master/csl-citation.json"} </w:instrText>
      </w:r>
      <w:r w:rsidR="00E033F1" w:rsidRPr="00E033F1">
        <w:rPr>
          <w:rFonts w:asciiTheme="minorHAnsi" w:hAnsiTheme="minorHAnsi" w:cstheme="minorHAnsi"/>
          <w:color w:val="auto"/>
        </w:rPr>
        <w:fldChar w:fldCharType="separate"/>
      </w:r>
      <w:r w:rsidR="00E033F1" w:rsidRPr="00E033F1">
        <w:rPr>
          <w:color w:val="auto"/>
          <w:vertAlign w:val="superscript"/>
        </w:rPr>
        <w:t>31</w:t>
      </w:r>
      <w:r w:rsidR="00E033F1" w:rsidRPr="00E033F1">
        <w:rPr>
          <w:rFonts w:asciiTheme="minorHAnsi" w:hAnsiTheme="minorHAnsi" w:cstheme="minorHAnsi"/>
          <w:color w:val="auto"/>
        </w:rPr>
        <w:fldChar w:fldCharType="end"/>
      </w:r>
      <w:r w:rsidR="00B06C1A" w:rsidRPr="00E033F1">
        <w:rPr>
          <w:rFonts w:asciiTheme="minorHAnsi" w:hAnsiTheme="minorHAnsi" w:cstheme="minorHAnsi"/>
          <w:color w:val="auto"/>
        </w:rPr>
        <w:t>.</w:t>
      </w:r>
      <w:r w:rsidR="00E539E5" w:rsidRPr="00E033F1">
        <w:rPr>
          <w:rFonts w:asciiTheme="minorHAnsi" w:hAnsiTheme="minorHAnsi" w:cstheme="minorHAnsi"/>
          <w:color w:val="auto"/>
        </w:rPr>
        <w:t xml:space="preserve"> </w:t>
      </w:r>
      <w:r w:rsidR="00DD0EC8" w:rsidRPr="00E033F1">
        <w:rPr>
          <w:rFonts w:asciiTheme="minorHAnsi" w:hAnsiTheme="minorHAnsi" w:cstheme="minorHAnsi"/>
          <w:color w:val="auto"/>
        </w:rPr>
        <w:t>Next,</w:t>
      </w:r>
      <w:r w:rsidR="00E539E5" w:rsidRPr="00E033F1">
        <w:rPr>
          <w:rFonts w:asciiTheme="minorHAnsi" w:hAnsiTheme="minorHAnsi" w:cstheme="minorHAnsi"/>
          <w:color w:val="auto"/>
        </w:rPr>
        <w:t xml:space="preserve"> 10</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140D24" w:rsidRPr="00E033F1">
        <w:rPr>
          <w:rFonts w:asciiTheme="minorHAnsi" w:hAnsiTheme="minorHAnsi" w:cstheme="minorHAnsi"/>
          <w:color w:val="auto"/>
        </w:rPr>
        <w:t>L</w:t>
      </w:r>
      <w:r w:rsidR="00E539E5" w:rsidRPr="00E033F1">
        <w:rPr>
          <w:rFonts w:asciiTheme="minorHAnsi" w:hAnsiTheme="minorHAnsi" w:cstheme="minorHAnsi"/>
          <w:color w:val="auto"/>
        </w:rPr>
        <w:t xml:space="preserve"> of CDNB solution at 4</w:t>
      </w:r>
      <w:r w:rsidR="007567E1" w:rsidRPr="00E033F1">
        <w:rPr>
          <w:rFonts w:asciiTheme="minorHAnsi" w:hAnsiTheme="minorHAnsi" w:cstheme="minorHAnsi"/>
          <w:color w:val="auto"/>
        </w:rPr>
        <w:t> </w:t>
      </w:r>
      <w:r w:rsidR="00E539E5" w:rsidRPr="00E033F1">
        <w:rPr>
          <w:rFonts w:asciiTheme="minorHAnsi" w:hAnsiTheme="minorHAnsi" w:cstheme="minorHAnsi"/>
          <w:color w:val="auto"/>
        </w:rPr>
        <w:t>mM was added to each well</w:t>
      </w:r>
      <w:r w:rsidR="00D11233" w:rsidRPr="00E033F1">
        <w:rPr>
          <w:rFonts w:asciiTheme="minorHAnsi" w:hAnsiTheme="minorHAnsi" w:cstheme="minorHAnsi"/>
          <w:color w:val="auto"/>
        </w:rPr>
        <w:t xml:space="preserve">, </w:t>
      </w:r>
      <w:r w:rsidR="00646840" w:rsidRPr="00E033F1">
        <w:rPr>
          <w:rFonts w:asciiTheme="minorHAnsi" w:hAnsiTheme="minorHAnsi" w:cstheme="minorHAnsi"/>
          <w:color w:val="auto"/>
        </w:rPr>
        <w:t>for a final concentration of 0.2</w:t>
      </w:r>
      <w:r w:rsidR="007567E1" w:rsidRPr="00E033F1">
        <w:rPr>
          <w:rFonts w:asciiTheme="minorHAnsi" w:hAnsiTheme="minorHAnsi" w:cstheme="minorHAnsi"/>
          <w:color w:val="auto"/>
        </w:rPr>
        <w:t> </w:t>
      </w:r>
      <w:r w:rsidR="00D11233" w:rsidRPr="00E033F1">
        <w:rPr>
          <w:rFonts w:asciiTheme="minorHAnsi" w:hAnsiTheme="minorHAnsi" w:cstheme="minorHAnsi"/>
          <w:color w:val="auto"/>
        </w:rPr>
        <w:t>mM</w:t>
      </w:r>
      <w:r w:rsidR="00831EA9" w:rsidRPr="00E033F1">
        <w:rPr>
          <w:rFonts w:asciiTheme="minorHAnsi" w:hAnsiTheme="minorHAnsi" w:cstheme="minorHAnsi"/>
          <w:color w:val="auto"/>
        </w:rPr>
        <w:t xml:space="preserve"> CDNB</w:t>
      </w:r>
      <w:r w:rsidR="00E539E5" w:rsidRPr="00E033F1">
        <w:rPr>
          <w:rFonts w:asciiTheme="minorHAnsi" w:hAnsiTheme="minorHAnsi" w:cstheme="minorHAnsi"/>
          <w:color w:val="auto"/>
        </w:rPr>
        <w:t xml:space="preserve">. </w:t>
      </w:r>
      <w:r w:rsidR="00DD0EC8" w:rsidRPr="00E033F1">
        <w:rPr>
          <w:rFonts w:asciiTheme="minorHAnsi" w:hAnsiTheme="minorHAnsi" w:cstheme="minorHAnsi"/>
          <w:color w:val="auto"/>
        </w:rPr>
        <w:t>A</w:t>
      </w:r>
      <w:r w:rsidR="00E539E5" w:rsidRPr="00E033F1">
        <w:rPr>
          <w:rFonts w:asciiTheme="minorHAnsi" w:hAnsiTheme="minorHAnsi" w:cstheme="minorHAnsi"/>
          <w:color w:val="auto"/>
        </w:rPr>
        <w:t>bsorbance at 340</w:t>
      </w:r>
      <w:r w:rsidR="007567E1" w:rsidRPr="00E033F1">
        <w:rPr>
          <w:rFonts w:asciiTheme="minorHAnsi" w:hAnsiTheme="minorHAnsi" w:cstheme="minorHAnsi"/>
          <w:color w:val="auto"/>
        </w:rPr>
        <w:t> </w:t>
      </w:r>
      <w:r w:rsidR="00E539E5" w:rsidRPr="00E033F1">
        <w:rPr>
          <w:rFonts w:asciiTheme="minorHAnsi" w:hAnsiTheme="minorHAnsi" w:cstheme="minorHAnsi"/>
          <w:color w:val="auto"/>
        </w:rPr>
        <w:t xml:space="preserve">nm was recorded every minute </w:t>
      </w:r>
      <w:r w:rsidR="000131A3" w:rsidRPr="00E033F1">
        <w:rPr>
          <w:rFonts w:asciiTheme="minorHAnsi" w:hAnsiTheme="minorHAnsi" w:cstheme="minorHAnsi"/>
          <w:color w:val="auto"/>
        </w:rPr>
        <w:t>for</w:t>
      </w:r>
      <w:r w:rsidR="00E539E5" w:rsidRPr="00E033F1">
        <w:rPr>
          <w:rFonts w:asciiTheme="minorHAnsi" w:hAnsiTheme="minorHAnsi" w:cstheme="minorHAnsi"/>
          <w:color w:val="auto"/>
        </w:rPr>
        <w:t xml:space="preserve"> 10</w:t>
      </w:r>
      <w:r w:rsidR="007567E1" w:rsidRPr="00E033F1">
        <w:rPr>
          <w:rFonts w:asciiTheme="minorHAnsi" w:hAnsiTheme="minorHAnsi" w:cstheme="minorHAnsi"/>
          <w:color w:val="auto"/>
        </w:rPr>
        <w:t> </w:t>
      </w:r>
      <w:r w:rsidR="00E539E5" w:rsidRPr="00E033F1">
        <w:rPr>
          <w:rFonts w:asciiTheme="minorHAnsi" w:hAnsiTheme="minorHAnsi" w:cstheme="minorHAnsi"/>
          <w:color w:val="auto"/>
        </w:rPr>
        <w:t>minute</w:t>
      </w:r>
      <w:r w:rsidR="000131A3" w:rsidRPr="00E033F1">
        <w:rPr>
          <w:rFonts w:asciiTheme="minorHAnsi" w:hAnsiTheme="minorHAnsi" w:cstheme="minorHAnsi"/>
          <w:color w:val="auto"/>
        </w:rPr>
        <w:t>s</w:t>
      </w:r>
      <w:r w:rsidR="00E539E5" w:rsidRPr="00E033F1">
        <w:rPr>
          <w:rFonts w:asciiTheme="minorHAnsi" w:hAnsiTheme="minorHAnsi" w:cstheme="minorHAnsi"/>
          <w:color w:val="auto"/>
        </w:rPr>
        <w:t>, to calculate change</w:t>
      </w:r>
      <w:r w:rsidR="00DD0EC8" w:rsidRPr="00E033F1">
        <w:rPr>
          <w:rFonts w:asciiTheme="minorHAnsi" w:hAnsiTheme="minorHAnsi" w:cstheme="minorHAnsi"/>
          <w:color w:val="auto"/>
        </w:rPr>
        <w:t>s in</w:t>
      </w:r>
      <w:r w:rsidR="00E539E5" w:rsidRPr="00E033F1">
        <w:rPr>
          <w:rFonts w:asciiTheme="minorHAnsi" w:hAnsiTheme="minorHAnsi" w:cstheme="minorHAnsi"/>
          <w:color w:val="auto"/>
        </w:rPr>
        <w:t xml:space="preserve"> absorbance per minute. </w:t>
      </w:r>
      <w:r w:rsidR="000131A3" w:rsidRPr="00E033F1">
        <w:rPr>
          <w:color w:val="auto"/>
        </w:rPr>
        <w:t xml:space="preserve">To calculate the </w:t>
      </w:r>
      <w:r w:rsidR="00216B8B" w:rsidRPr="00E033F1">
        <w:rPr>
          <w:color w:val="auto"/>
        </w:rPr>
        <w:t xml:space="preserve">IC50, each sample incubated with curcumin was </w:t>
      </w:r>
      <w:r w:rsidR="00D77EBE" w:rsidRPr="00E033F1">
        <w:rPr>
          <w:color w:val="auto"/>
        </w:rPr>
        <w:t>normalized</w:t>
      </w:r>
      <w:r w:rsidR="00216B8B" w:rsidRPr="00E033F1">
        <w:rPr>
          <w:color w:val="auto"/>
        </w:rPr>
        <w:t xml:space="preserve"> </w:t>
      </w:r>
      <w:r w:rsidR="00DD0EC8" w:rsidRPr="00E033F1">
        <w:rPr>
          <w:color w:val="auto"/>
        </w:rPr>
        <w:t>to</w:t>
      </w:r>
      <w:r w:rsidR="00216B8B" w:rsidRPr="00E033F1">
        <w:rPr>
          <w:color w:val="auto"/>
        </w:rPr>
        <w:t xml:space="preserve"> the control</w:t>
      </w:r>
      <w:r w:rsidR="001A1E38" w:rsidRPr="00E033F1">
        <w:rPr>
          <w:color w:val="auto"/>
        </w:rPr>
        <w:t xml:space="preserve">, to </w:t>
      </w:r>
      <w:r w:rsidR="00DD0EC8" w:rsidRPr="00E033F1">
        <w:rPr>
          <w:color w:val="auto"/>
        </w:rPr>
        <w:t>give</w:t>
      </w:r>
      <w:r w:rsidR="001A1E38" w:rsidRPr="00E033F1">
        <w:rPr>
          <w:color w:val="auto"/>
        </w:rPr>
        <w:t xml:space="preserve"> the percentage of activity</w:t>
      </w:r>
      <w:r w:rsidR="00216B8B" w:rsidRPr="00E033F1">
        <w:rPr>
          <w:color w:val="auto"/>
        </w:rPr>
        <w:t>. The</w:t>
      </w:r>
      <w:r w:rsidR="001A1E38" w:rsidRPr="00E033F1">
        <w:rPr>
          <w:color w:val="auto"/>
        </w:rPr>
        <w:t>se</w:t>
      </w:r>
      <w:r w:rsidR="00216B8B" w:rsidRPr="00E033F1">
        <w:rPr>
          <w:color w:val="auto"/>
        </w:rPr>
        <w:t xml:space="preserve"> </w:t>
      </w:r>
      <w:r w:rsidR="00216B8B" w:rsidRPr="00E033F1">
        <w:rPr>
          <w:color w:val="auto"/>
        </w:rPr>
        <w:lastRenderedPageBreak/>
        <w:t xml:space="preserve">results were analyzed </w:t>
      </w:r>
      <w:r w:rsidR="00DD0EC8" w:rsidRPr="00E033F1">
        <w:rPr>
          <w:color w:val="auto"/>
        </w:rPr>
        <w:t>using</w:t>
      </w:r>
      <w:r w:rsidR="00216B8B" w:rsidRPr="00E033F1">
        <w:rPr>
          <w:color w:val="auto"/>
        </w:rPr>
        <w:t xml:space="preserve"> </w:t>
      </w:r>
      <w:r w:rsidR="00E033F1">
        <w:rPr>
          <w:bCs/>
          <w:color w:val="auto"/>
        </w:rPr>
        <w:t xml:space="preserve">the plotting </w:t>
      </w:r>
      <w:r w:rsidR="00DD0EC8" w:rsidRPr="00E033F1">
        <w:rPr>
          <w:bCs/>
          <w:color w:val="auto"/>
        </w:rPr>
        <w:t>software by calculating the</w:t>
      </w:r>
      <w:r w:rsidR="001B1FB0" w:rsidRPr="00E033F1">
        <w:rPr>
          <w:color w:val="auto"/>
        </w:rPr>
        <w:t xml:space="preserve"> non-linear regression of the </w:t>
      </w:r>
      <w:r w:rsidR="00831EA9" w:rsidRPr="00E033F1">
        <w:rPr>
          <w:color w:val="auto"/>
        </w:rPr>
        <w:t>logarithmic concentration of the inhibitor</w:t>
      </w:r>
      <w:r w:rsidR="001B1FB0" w:rsidRPr="00E033F1">
        <w:rPr>
          <w:color w:val="auto"/>
        </w:rPr>
        <w:t xml:space="preserve"> versus the inhibition.</w:t>
      </w:r>
      <w:r w:rsidR="00831EA9" w:rsidRPr="00E033F1">
        <w:rPr>
          <w:color w:val="auto"/>
        </w:rPr>
        <w:t xml:space="preserve"> The IC50 </w:t>
      </w:r>
      <w:r w:rsidR="00DD0EC8" w:rsidRPr="00E033F1">
        <w:rPr>
          <w:color w:val="auto"/>
        </w:rPr>
        <w:t xml:space="preserve">found </w:t>
      </w:r>
      <w:r w:rsidR="00831EA9" w:rsidRPr="00E033F1">
        <w:rPr>
          <w:color w:val="auto"/>
        </w:rPr>
        <w:t>for curcumin on GST from equine</w:t>
      </w:r>
      <w:r w:rsidR="00DD0EC8" w:rsidRPr="00E033F1">
        <w:rPr>
          <w:color w:val="auto"/>
        </w:rPr>
        <w:t xml:space="preserve"> liver</w:t>
      </w:r>
      <w:r w:rsidR="00F8650B" w:rsidRPr="00E033F1">
        <w:rPr>
          <w:color w:val="auto"/>
        </w:rPr>
        <w:t xml:space="preserve"> was 31.6 ± 3.6</w:t>
      </w:r>
      <w:r w:rsidR="007567E1" w:rsidRPr="00E033F1">
        <w:rPr>
          <w:color w:val="auto"/>
        </w:rPr>
        <w:t> </w:t>
      </w:r>
      <w:r w:rsidR="00B33C23" w:rsidRPr="00E033F1">
        <w:rPr>
          <w:color w:val="auto"/>
        </w:rPr>
        <w:t>µ</w:t>
      </w:r>
      <w:r w:rsidR="00831EA9" w:rsidRPr="00E033F1">
        <w:rPr>
          <w:color w:val="auto"/>
        </w:rPr>
        <w:t>M</w:t>
      </w:r>
      <w:r w:rsidR="00CC30F7" w:rsidRPr="00E033F1">
        <w:rPr>
          <w:color w:val="auto"/>
        </w:rPr>
        <w:t xml:space="preserve"> (</w:t>
      </w:r>
      <w:r w:rsidR="00CC30F7" w:rsidRPr="00E033F1">
        <w:rPr>
          <w:b/>
          <w:color w:val="auto"/>
        </w:rPr>
        <w:fldChar w:fldCharType="begin"/>
      </w:r>
      <w:r w:rsidR="00CC30F7" w:rsidRPr="00E033F1">
        <w:rPr>
          <w:b/>
          <w:color w:val="auto"/>
        </w:rPr>
        <w:instrText xml:space="preserve"> REF _Ref43888919 \h </w:instrText>
      </w:r>
      <w:r w:rsidR="00EE6B80" w:rsidRPr="00E033F1">
        <w:rPr>
          <w:b/>
          <w:color w:val="auto"/>
        </w:rPr>
        <w:instrText xml:space="preserve"> \* MERGEFORMAT </w:instrText>
      </w:r>
      <w:r w:rsidR="00CC30F7" w:rsidRPr="00E033F1">
        <w:rPr>
          <w:b/>
          <w:color w:val="auto"/>
        </w:rPr>
      </w:r>
      <w:r w:rsidR="00CC30F7" w:rsidRPr="00E033F1">
        <w:rPr>
          <w:b/>
          <w:color w:val="auto"/>
        </w:rPr>
        <w:fldChar w:fldCharType="separate"/>
      </w:r>
      <w:r w:rsidR="008502DF" w:rsidRPr="00E033F1">
        <w:rPr>
          <w:b/>
          <w:color w:val="auto"/>
        </w:rPr>
        <w:t xml:space="preserve">Figure </w:t>
      </w:r>
      <w:r w:rsidR="008502DF" w:rsidRPr="00E033F1">
        <w:rPr>
          <w:b/>
          <w:noProof/>
          <w:color w:val="auto"/>
        </w:rPr>
        <w:t>3</w:t>
      </w:r>
      <w:r w:rsidR="00CC30F7" w:rsidRPr="00E033F1">
        <w:rPr>
          <w:b/>
          <w:color w:val="auto"/>
        </w:rPr>
        <w:fldChar w:fldCharType="end"/>
      </w:r>
      <w:r w:rsidR="00CC30F7" w:rsidRPr="00E033F1">
        <w:rPr>
          <w:b/>
          <w:color w:val="auto"/>
        </w:rPr>
        <w:t>A</w:t>
      </w:r>
      <w:r w:rsidR="00CC30F7" w:rsidRPr="00E033F1">
        <w:rPr>
          <w:color w:val="auto"/>
        </w:rPr>
        <w:t>)</w:t>
      </w:r>
      <w:r w:rsidR="00831EA9" w:rsidRPr="00E033F1">
        <w:rPr>
          <w:color w:val="auto"/>
        </w:rPr>
        <w:t>.</w:t>
      </w:r>
      <w:r w:rsidR="0097031F" w:rsidRPr="00E033F1">
        <w:rPr>
          <w:color w:val="auto"/>
        </w:rPr>
        <w:t xml:space="preserve"> </w:t>
      </w:r>
    </w:p>
    <w:p w14:paraId="49E5233C" w14:textId="77777777" w:rsidR="00E033F1" w:rsidRPr="00E033F1" w:rsidRDefault="00E033F1" w:rsidP="00E033F1">
      <w:pPr>
        <w:pStyle w:val="NormalWeb"/>
        <w:spacing w:before="0" w:beforeAutospacing="0" w:after="0" w:afterAutospacing="0"/>
        <w:contextualSpacing/>
        <w:rPr>
          <w:color w:val="auto"/>
        </w:rPr>
      </w:pPr>
    </w:p>
    <w:p w14:paraId="0EB7302C" w14:textId="7BD8A733" w:rsidR="000131A3" w:rsidRPr="00E033F1" w:rsidRDefault="00D2105D" w:rsidP="00E033F1">
      <w:pPr>
        <w:contextualSpacing/>
        <w:rPr>
          <w:rFonts w:asciiTheme="minorHAnsi" w:hAnsiTheme="minorHAnsi" w:cstheme="minorHAnsi"/>
          <w:color w:val="auto"/>
        </w:rPr>
      </w:pPr>
      <w:r w:rsidRPr="00E033F1">
        <w:rPr>
          <w:rFonts w:asciiTheme="minorHAnsi" w:hAnsiTheme="minorHAnsi" w:cstheme="minorHAnsi"/>
          <w:color w:val="auto"/>
        </w:rPr>
        <w:t>T</w:t>
      </w:r>
      <w:r w:rsidR="0097031F" w:rsidRPr="00E033F1">
        <w:rPr>
          <w:rFonts w:asciiTheme="minorHAnsi" w:hAnsiTheme="minorHAnsi" w:cstheme="minorHAnsi"/>
          <w:color w:val="auto"/>
        </w:rPr>
        <w:t xml:space="preserve">he same experiment was conducted </w:t>
      </w:r>
      <w:r w:rsidRPr="00E033F1">
        <w:rPr>
          <w:rFonts w:asciiTheme="minorHAnsi" w:hAnsiTheme="minorHAnsi" w:cstheme="minorHAnsi"/>
          <w:color w:val="auto"/>
        </w:rPr>
        <w:t xml:space="preserve">in parallel </w:t>
      </w:r>
      <w:r w:rsidR="00DD0EC8" w:rsidRPr="00E033F1">
        <w:rPr>
          <w:rFonts w:asciiTheme="minorHAnsi" w:hAnsiTheme="minorHAnsi" w:cstheme="minorHAnsi"/>
          <w:color w:val="auto"/>
        </w:rPr>
        <w:t>using</w:t>
      </w:r>
      <w:r w:rsidR="0097031F" w:rsidRPr="00E033F1">
        <w:rPr>
          <w:rFonts w:asciiTheme="minorHAnsi" w:hAnsiTheme="minorHAnsi" w:cstheme="minorHAnsi"/>
          <w:color w:val="auto"/>
        </w:rPr>
        <w:t xml:space="preserve"> ethacrynic acid as a positive control,</w:t>
      </w:r>
      <w:r w:rsidR="0048207F" w:rsidRPr="00E033F1">
        <w:rPr>
          <w:rFonts w:asciiTheme="minorHAnsi" w:hAnsiTheme="minorHAnsi" w:cstheme="minorHAnsi"/>
          <w:color w:val="auto"/>
        </w:rPr>
        <w:t xml:space="preserve"> </w:t>
      </w:r>
      <w:r w:rsidR="0097031F" w:rsidRPr="00E033F1">
        <w:rPr>
          <w:rFonts w:asciiTheme="minorHAnsi" w:hAnsiTheme="minorHAnsi" w:cstheme="minorHAnsi"/>
          <w:color w:val="auto"/>
        </w:rPr>
        <w:t xml:space="preserve">with concentrations ranging from </w:t>
      </w:r>
      <w:r w:rsidR="00A85FCC" w:rsidRPr="00E033F1">
        <w:rPr>
          <w:rFonts w:asciiTheme="minorHAnsi" w:hAnsiTheme="minorHAnsi" w:cstheme="minorHAnsi"/>
          <w:color w:val="auto"/>
        </w:rPr>
        <w:t xml:space="preserve">0.39 to </w:t>
      </w:r>
      <w:r w:rsidR="00646840" w:rsidRPr="00E033F1">
        <w:rPr>
          <w:rFonts w:asciiTheme="minorHAnsi" w:hAnsiTheme="minorHAnsi" w:cstheme="minorHAnsi"/>
          <w:color w:val="auto"/>
        </w:rPr>
        <w:t>1</w:t>
      </w:r>
      <w:r w:rsidR="00A85FCC" w:rsidRPr="00E033F1">
        <w:rPr>
          <w:rFonts w:asciiTheme="minorHAnsi" w:hAnsiTheme="minorHAnsi" w:cstheme="minorHAnsi"/>
          <w:color w:val="auto"/>
        </w:rPr>
        <w:t>00</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A85FCC" w:rsidRPr="00E033F1">
        <w:rPr>
          <w:rFonts w:asciiTheme="minorHAnsi" w:hAnsiTheme="minorHAnsi" w:cstheme="minorHAnsi"/>
          <w:color w:val="auto"/>
        </w:rPr>
        <w:t>M</w:t>
      </w:r>
      <w:r w:rsidR="00DD0EC8" w:rsidRPr="00E033F1">
        <w:rPr>
          <w:rFonts w:asciiTheme="minorHAnsi" w:hAnsiTheme="minorHAnsi" w:cstheme="minorHAnsi"/>
          <w:color w:val="auto"/>
        </w:rPr>
        <w:t xml:space="preserve">, </w:t>
      </w:r>
      <w:r w:rsidR="00A85FCC" w:rsidRPr="00E033F1">
        <w:rPr>
          <w:rFonts w:asciiTheme="minorHAnsi" w:hAnsiTheme="minorHAnsi" w:cstheme="minorHAnsi"/>
          <w:color w:val="auto"/>
        </w:rPr>
        <w:t xml:space="preserve">as </w:t>
      </w:r>
      <w:r w:rsidR="00DD0EC8" w:rsidRPr="00E033F1">
        <w:rPr>
          <w:rFonts w:asciiTheme="minorHAnsi" w:hAnsiTheme="minorHAnsi" w:cstheme="minorHAnsi"/>
          <w:color w:val="auto"/>
        </w:rPr>
        <w:t>with</w:t>
      </w:r>
      <w:r w:rsidR="00A85FCC" w:rsidRPr="00E033F1">
        <w:rPr>
          <w:rFonts w:asciiTheme="minorHAnsi" w:hAnsiTheme="minorHAnsi" w:cstheme="minorHAnsi"/>
          <w:color w:val="auto"/>
        </w:rPr>
        <w:t xml:space="preserve"> curcumin. </w:t>
      </w:r>
      <w:r w:rsidR="00F8650B" w:rsidRPr="00E033F1">
        <w:rPr>
          <w:rFonts w:asciiTheme="minorHAnsi" w:hAnsiTheme="minorHAnsi" w:cstheme="minorHAnsi"/>
          <w:color w:val="auto"/>
        </w:rPr>
        <w:t>The IC50 was found to be 6.6 ± 1.1</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893A14" w:rsidRPr="00E033F1">
        <w:rPr>
          <w:rFonts w:asciiTheme="minorHAnsi" w:hAnsiTheme="minorHAnsi" w:cstheme="minorHAnsi"/>
          <w:color w:val="auto"/>
        </w:rPr>
        <w:t>M</w:t>
      </w:r>
      <w:r w:rsidR="00CC30F7" w:rsidRPr="00E033F1">
        <w:rPr>
          <w:rFonts w:asciiTheme="minorHAnsi" w:hAnsiTheme="minorHAnsi" w:cstheme="minorHAnsi"/>
          <w:color w:val="auto"/>
        </w:rPr>
        <w:t xml:space="preserve"> (</w:t>
      </w:r>
      <w:r w:rsidR="00CC30F7" w:rsidRPr="00E033F1">
        <w:rPr>
          <w:rFonts w:asciiTheme="minorHAnsi" w:hAnsiTheme="minorHAnsi" w:cstheme="minorHAnsi"/>
          <w:color w:val="auto"/>
        </w:rPr>
        <w:fldChar w:fldCharType="begin"/>
      </w:r>
      <w:r w:rsidR="00CC30F7" w:rsidRPr="00E033F1">
        <w:rPr>
          <w:rFonts w:asciiTheme="minorHAnsi" w:hAnsiTheme="minorHAnsi" w:cstheme="minorHAnsi"/>
          <w:color w:val="auto"/>
        </w:rPr>
        <w:instrText xml:space="preserve"> REF _Ref43888919 \h </w:instrText>
      </w:r>
      <w:r w:rsidR="00E033F1">
        <w:rPr>
          <w:rFonts w:asciiTheme="minorHAnsi" w:hAnsiTheme="minorHAnsi" w:cstheme="minorHAnsi"/>
          <w:color w:val="auto"/>
        </w:rPr>
        <w:instrText xml:space="preserve"> \* MERGEFORMAT </w:instrText>
      </w:r>
      <w:r w:rsidR="00CC30F7" w:rsidRPr="00E033F1">
        <w:rPr>
          <w:rFonts w:asciiTheme="minorHAnsi" w:hAnsiTheme="minorHAnsi" w:cstheme="minorHAnsi"/>
          <w:color w:val="auto"/>
        </w:rPr>
      </w:r>
      <w:r w:rsidR="00CC30F7" w:rsidRPr="00E033F1">
        <w:rPr>
          <w:rFonts w:asciiTheme="minorHAnsi" w:hAnsiTheme="minorHAnsi" w:cstheme="minorHAnsi"/>
          <w:color w:val="auto"/>
        </w:rPr>
        <w:fldChar w:fldCharType="separate"/>
      </w:r>
      <w:r w:rsidR="008502DF" w:rsidRPr="00E033F1">
        <w:rPr>
          <w:b/>
          <w:color w:val="auto"/>
        </w:rPr>
        <w:t xml:space="preserve">Figure </w:t>
      </w:r>
      <w:r w:rsidR="008502DF" w:rsidRPr="00E033F1">
        <w:rPr>
          <w:b/>
          <w:noProof/>
          <w:color w:val="auto"/>
        </w:rPr>
        <w:t>3</w:t>
      </w:r>
      <w:r w:rsidR="00CC30F7" w:rsidRPr="00E033F1">
        <w:rPr>
          <w:rFonts w:asciiTheme="minorHAnsi" w:hAnsiTheme="minorHAnsi" w:cstheme="minorHAnsi"/>
          <w:color w:val="auto"/>
        </w:rPr>
        <w:fldChar w:fldCharType="end"/>
      </w:r>
      <w:r w:rsidR="00CC30F7" w:rsidRPr="00E033F1">
        <w:rPr>
          <w:rFonts w:asciiTheme="minorHAnsi" w:hAnsiTheme="minorHAnsi" w:cstheme="minorHAnsi"/>
          <w:b/>
          <w:color w:val="auto"/>
        </w:rPr>
        <w:t>B</w:t>
      </w:r>
      <w:r w:rsidR="00CC30F7" w:rsidRPr="00E033F1">
        <w:rPr>
          <w:rFonts w:asciiTheme="minorHAnsi" w:hAnsiTheme="minorHAnsi" w:cstheme="minorHAnsi"/>
          <w:color w:val="auto"/>
        </w:rPr>
        <w:t>).</w:t>
      </w:r>
    </w:p>
    <w:p w14:paraId="7181D1D0" w14:textId="540F14A8" w:rsidR="001A1E38" w:rsidRPr="00E033F1" w:rsidRDefault="001A1E38" w:rsidP="00E033F1">
      <w:pPr>
        <w:contextualSpacing/>
        <w:rPr>
          <w:rFonts w:asciiTheme="minorHAnsi" w:hAnsiTheme="minorHAnsi" w:cstheme="minorHAnsi"/>
          <w:color w:val="auto"/>
        </w:rPr>
      </w:pPr>
    </w:p>
    <w:p w14:paraId="10F789CF" w14:textId="7959F71F" w:rsidR="000855D8" w:rsidRPr="00E033F1" w:rsidRDefault="00831EA9" w:rsidP="00E033F1">
      <w:pPr>
        <w:contextualSpacing/>
        <w:rPr>
          <w:rFonts w:asciiTheme="minorHAnsi" w:hAnsiTheme="minorHAnsi" w:cstheme="minorHAnsi"/>
          <w:color w:val="auto"/>
        </w:rPr>
      </w:pPr>
      <w:r w:rsidRPr="00E033F1">
        <w:rPr>
          <w:rFonts w:asciiTheme="minorHAnsi" w:hAnsiTheme="minorHAnsi" w:cstheme="minorHAnsi"/>
          <w:color w:val="auto"/>
        </w:rPr>
        <w:t xml:space="preserve">The next step was to assess </w:t>
      </w:r>
      <w:r w:rsidR="00DD0EC8" w:rsidRPr="00E033F1">
        <w:rPr>
          <w:rFonts w:asciiTheme="minorHAnsi" w:hAnsiTheme="minorHAnsi" w:cstheme="minorHAnsi"/>
          <w:color w:val="auto"/>
        </w:rPr>
        <w:t>curcumin’s</w:t>
      </w:r>
      <w:r w:rsidRPr="00E033F1">
        <w:rPr>
          <w:rFonts w:asciiTheme="minorHAnsi" w:hAnsiTheme="minorHAnsi" w:cstheme="minorHAnsi"/>
          <w:color w:val="auto"/>
        </w:rPr>
        <w:t xml:space="preserve"> mode of inhibition on these transferases.</w:t>
      </w:r>
      <w:r w:rsidR="007E16CE" w:rsidRPr="00E033F1">
        <w:rPr>
          <w:rFonts w:asciiTheme="minorHAnsi" w:hAnsiTheme="minorHAnsi" w:cstheme="minorHAnsi"/>
          <w:color w:val="auto"/>
        </w:rPr>
        <w:t xml:space="preserve"> Four different concentration</w:t>
      </w:r>
      <w:r w:rsidR="00DD0EC8" w:rsidRPr="00E033F1">
        <w:rPr>
          <w:rFonts w:asciiTheme="minorHAnsi" w:hAnsiTheme="minorHAnsi" w:cstheme="minorHAnsi"/>
          <w:color w:val="auto"/>
        </w:rPr>
        <w:t>s</w:t>
      </w:r>
      <w:r w:rsidR="007E16CE" w:rsidRPr="00E033F1">
        <w:rPr>
          <w:rFonts w:asciiTheme="minorHAnsi" w:hAnsiTheme="minorHAnsi" w:cstheme="minorHAnsi"/>
          <w:color w:val="auto"/>
        </w:rPr>
        <w:t xml:space="preserve"> of curcumin were tested</w:t>
      </w:r>
      <w:r w:rsidR="00DD0EC8" w:rsidRPr="00E033F1">
        <w:rPr>
          <w:rFonts w:asciiTheme="minorHAnsi" w:hAnsiTheme="minorHAnsi" w:cstheme="minorHAnsi"/>
          <w:color w:val="auto"/>
        </w:rPr>
        <w:t>:</w:t>
      </w:r>
      <w:r w:rsidR="007E16CE" w:rsidRPr="00E033F1">
        <w:rPr>
          <w:rFonts w:asciiTheme="minorHAnsi" w:hAnsiTheme="minorHAnsi" w:cstheme="minorHAnsi"/>
          <w:color w:val="auto"/>
        </w:rPr>
        <w:t xml:space="preserve"> 0, 7.5, 15</w:t>
      </w:r>
      <w:r w:rsidR="007567E1" w:rsidRPr="00E033F1">
        <w:rPr>
          <w:rFonts w:asciiTheme="minorHAnsi" w:hAnsiTheme="minorHAnsi" w:cstheme="minorHAnsi"/>
          <w:color w:val="auto"/>
        </w:rPr>
        <w:t>,</w:t>
      </w:r>
      <w:r w:rsidR="007E16CE" w:rsidRPr="00E033F1">
        <w:rPr>
          <w:rFonts w:asciiTheme="minorHAnsi" w:hAnsiTheme="minorHAnsi" w:cstheme="minorHAnsi"/>
          <w:color w:val="auto"/>
        </w:rPr>
        <w:t xml:space="preserve"> and 30</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7E16CE" w:rsidRPr="00E033F1">
        <w:rPr>
          <w:rFonts w:asciiTheme="minorHAnsi" w:hAnsiTheme="minorHAnsi" w:cstheme="minorHAnsi"/>
          <w:color w:val="auto"/>
        </w:rPr>
        <w:t>M</w:t>
      </w:r>
      <w:r w:rsidR="00DD0EC8" w:rsidRPr="00E033F1">
        <w:rPr>
          <w:rFonts w:asciiTheme="minorHAnsi" w:hAnsiTheme="minorHAnsi" w:cstheme="minorHAnsi"/>
          <w:color w:val="auto"/>
        </w:rPr>
        <w:t>,</w:t>
      </w:r>
      <w:r w:rsidR="007E16CE" w:rsidRPr="00E033F1">
        <w:rPr>
          <w:rFonts w:asciiTheme="minorHAnsi" w:hAnsiTheme="minorHAnsi" w:cstheme="minorHAnsi"/>
          <w:color w:val="auto"/>
        </w:rPr>
        <w:t xml:space="preserve"> along with four different concentrations of CDNB</w:t>
      </w:r>
      <w:r w:rsidR="00DD0EC8" w:rsidRPr="00E033F1">
        <w:rPr>
          <w:rFonts w:asciiTheme="minorHAnsi" w:hAnsiTheme="minorHAnsi" w:cstheme="minorHAnsi"/>
          <w:color w:val="auto"/>
        </w:rPr>
        <w:t>:</w:t>
      </w:r>
      <w:r w:rsidR="007E16CE" w:rsidRPr="00E033F1">
        <w:rPr>
          <w:rFonts w:asciiTheme="minorHAnsi" w:hAnsiTheme="minorHAnsi" w:cstheme="minorHAnsi"/>
          <w:color w:val="auto"/>
        </w:rPr>
        <w:t xml:space="preserve"> 0.2, 0.4, 1</w:t>
      </w:r>
      <w:r w:rsidR="007567E1" w:rsidRPr="00E033F1">
        <w:rPr>
          <w:rFonts w:asciiTheme="minorHAnsi" w:hAnsiTheme="minorHAnsi" w:cstheme="minorHAnsi"/>
          <w:color w:val="auto"/>
        </w:rPr>
        <w:t>,</w:t>
      </w:r>
      <w:r w:rsidR="007E16CE" w:rsidRPr="00E033F1">
        <w:rPr>
          <w:rFonts w:asciiTheme="minorHAnsi" w:hAnsiTheme="minorHAnsi" w:cstheme="minorHAnsi"/>
          <w:color w:val="auto"/>
        </w:rPr>
        <w:t xml:space="preserve"> and 1.5</w:t>
      </w:r>
      <w:r w:rsidR="007567E1" w:rsidRPr="00E033F1">
        <w:rPr>
          <w:rFonts w:asciiTheme="minorHAnsi" w:hAnsiTheme="minorHAnsi" w:cstheme="minorHAnsi"/>
          <w:color w:val="auto"/>
        </w:rPr>
        <w:t> </w:t>
      </w:r>
      <w:proofErr w:type="spellStart"/>
      <w:r w:rsidR="007E16CE" w:rsidRPr="00E033F1">
        <w:rPr>
          <w:rFonts w:asciiTheme="minorHAnsi" w:hAnsiTheme="minorHAnsi" w:cstheme="minorHAnsi"/>
          <w:color w:val="auto"/>
        </w:rPr>
        <w:t>mM.</w:t>
      </w:r>
      <w:proofErr w:type="spellEnd"/>
      <w:r w:rsidR="007E16CE" w:rsidRPr="00E033F1">
        <w:rPr>
          <w:rFonts w:asciiTheme="minorHAnsi" w:hAnsiTheme="minorHAnsi" w:cstheme="minorHAnsi"/>
          <w:color w:val="auto"/>
        </w:rPr>
        <w:t xml:space="preserve"> The protocol </w:t>
      </w:r>
      <w:r w:rsidR="00DD0EC8" w:rsidRPr="00E033F1">
        <w:rPr>
          <w:rFonts w:asciiTheme="minorHAnsi" w:hAnsiTheme="minorHAnsi" w:cstheme="minorHAnsi"/>
          <w:color w:val="auto"/>
        </w:rPr>
        <w:t>was</w:t>
      </w:r>
      <w:r w:rsidR="007E16CE" w:rsidRPr="00E033F1">
        <w:rPr>
          <w:rFonts w:asciiTheme="minorHAnsi" w:hAnsiTheme="minorHAnsi" w:cstheme="minorHAnsi"/>
          <w:color w:val="auto"/>
        </w:rPr>
        <w:t xml:space="preserve"> the same as for the previous experiment. </w:t>
      </w:r>
      <w:r w:rsidR="00DD0EC8" w:rsidRPr="00E033F1">
        <w:rPr>
          <w:rFonts w:asciiTheme="minorHAnsi" w:hAnsiTheme="minorHAnsi" w:cstheme="minorHAnsi"/>
          <w:color w:val="auto"/>
        </w:rPr>
        <w:t>Each condition’s</w:t>
      </w:r>
      <w:r w:rsidR="007E16CE" w:rsidRPr="00E033F1">
        <w:rPr>
          <w:rFonts w:asciiTheme="minorHAnsi" w:hAnsiTheme="minorHAnsi" w:cstheme="minorHAnsi"/>
          <w:color w:val="auto"/>
        </w:rPr>
        <w:t xml:space="preserve"> velocity was calculated </w:t>
      </w:r>
      <w:r w:rsidR="00DD0EC8" w:rsidRPr="00E033F1">
        <w:rPr>
          <w:rFonts w:asciiTheme="minorHAnsi" w:hAnsiTheme="minorHAnsi" w:cstheme="minorHAnsi"/>
          <w:color w:val="auto"/>
        </w:rPr>
        <w:t>using</w:t>
      </w:r>
      <w:r w:rsidR="007E16CE" w:rsidRPr="00E033F1">
        <w:rPr>
          <w:rFonts w:asciiTheme="minorHAnsi" w:hAnsiTheme="minorHAnsi" w:cstheme="minorHAnsi"/>
          <w:color w:val="auto"/>
        </w:rPr>
        <w:t xml:space="preserve"> </w:t>
      </w:r>
      <w:r w:rsidR="007E16CE" w:rsidRPr="00E033F1">
        <w:rPr>
          <w:rFonts w:asciiTheme="minorHAnsi" w:hAnsiTheme="minorHAnsi" w:cstheme="minorHAnsi"/>
          <w:color w:val="auto"/>
        </w:rPr>
        <w:fldChar w:fldCharType="begin"/>
      </w:r>
      <w:r w:rsidR="007E16CE" w:rsidRPr="00E033F1">
        <w:rPr>
          <w:rFonts w:asciiTheme="minorHAnsi" w:hAnsiTheme="minorHAnsi" w:cstheme="minorHAnsi"/>
          <w:color w:val="auto"/>
        </w:rPr>
        <w:instrText xml:space="preserve"> REF _Ref20238986 \h </w:instrText>
      </w:r>
      <w:r w:rsidR="00D77EBE" w:rsidRPr="00E033F1">
        <w:rPr>
          <w:rFonts w:asciiTheme="minorHAnsi" w:hAnsiTheme="minorHAnsi" w:cstheme="minorHAnsi"/>
          <w:color w:val="auto"/>
        </w:rPr>
        <w:instrText xml:space="preserve"> \* MERGEFORMAT </w:instrText>
      </w:r>
      <w:r w:rsidR="007E16CE" w:rsidRPr="00E033F1">
        <w:rPr>
          <w:rFonts w:asciiTheme="minorHAnsi" w:hAnsiTheme="minorHAnsi" w:cstheme="minorHAnsi"/>
          <w:color w:val="auto"/>
        </w:rPr>
      </w:r>
      <w:r w:rsidR="007E16CE" w:rsidRPr="00E033F1">
        <w:rPr>
          <w:rFonts w:asciiTheme="minorHAnsi" w:hAnsiTheme="minorHAnsi" w:cstheme="minorHAnsi"/>
          <w:color w:val="auto"/>
        </w:rPr>
        <w:fldChar w:fldCharType="separate"/>
      </w:r>
      <w:r w:rsidR="008502DF" w:rsidRPr="00E033F1">
        <w:rPr>
          <w:b/>
          <w:color w:val="auto"/>
        </w:rPr>
        <w:t>Equation 2.</w:t>
      </w:r>
      <w:r w:rsidR="007E16CE" w:rsidRPr="00E033F1">
        <w:rPr>
          <w:rFonts w:asciiTheme="minorHAnsi" w:hAnsiTheme="minorHAnsi" w:cstheme="minorHAnsi"/>
          <w:color w:val="auto"/>
        </w:rPr>
        <w:fldChar w:fldCharType="end"/>
      </w:r>
      <w:r w:rsidR="007E16CE" w:rsidRPr="00E033F1">
        <w:rPr>
          <w:rFonts w:asciiTheme="minorHAnsi" w:hAnsiTheme="minorHAnsi" w:cstheme="minorHAnsi"/>
          <w:color w:val="auto"/>
        </w:rPr>
        <w:t xml:space="preserve"> A curve </w:t>
      </w:r>
      <w:r w:rsidR="00DD0EC8" w:rsidRPr="00E033F1">
        <w:rPr>
          <w:rFonts w:asciiTheme="minorHAnsi" w:hAnsiTheme="minorHAnsi" w:cstheme="minorHAnsi"/>
          <w:color w:val="auto"/>
        </w:rPr>
        <w:t xml:space="preserve">was plotted </w:t>
      </w:r>
      <w:r w:rsidR="007E16CE" w:rsidRPr="00E033F1">
        <w:rPr>
          <w:rFonts w:asciiTheme="minorHAnsi" w:hAnsiTheme="minorHAnsi" w:cstheme="minorHAnsi"/>
          <w:color w:val="auto"/>
        </w:rPr>
        <w:t xml:space="preserve">for each inhibitor concentration, with the velocity (in </w:t>
      </w:r>
      <w:r w:rsidR="00B33C23" w:rsidRPr="00E033F1">
        <w:rPr>
          <w:rFonts w:asciiTheme="minorHAnsi" w:hAnsiTheme="minorHAnsi" w:cstheme="minorHAnsi"/>
          <w:color w:val="auto"/>
        </w:rPr>
        <w:t>µ</w:t>
      </w:r>
      <w:r w:rsidR="007E16CE" w:rsidRPr="00E033F1">
        <w:rPr>
          <w:rFonts w:asciiTheme="minorHAnsi" w:hAnsiTheme="minorHAnsi" w:cstheme="minorHAnsi"/>
          <w:color w:val="auto"/>
        </w:rPr>
        <w:t>M/min) against the substrate concentration</w:t>
      </w:r>
      <w:r w:rsidR="00D77EBE" w:rsidRPr="00E033F1">
        <w:rPr>
          <w:rFonts w:asciiTheme="minorHAnsi" w:hAnsiTheme="minorHAnsi" w:cstheme="minorHAnsi"/>
          <w:color w:val="auto"/>
        </w:rPr>
        <w:t xml:space="preserve"> (mM)</w:t>
      </w:r>
      <w:r w:rsidR="00CC30F7" w:rsidRPr="00E033F1">
        <w:rPr>
          <w:rFonts w:asciiTheme="minorHAnsi" w:hAnsiTheme="minorHAnsi" w:cstheme="minorHAnsi"/>
          <w:color w:val="auto"/>
        </w:rPr>
        <w:t xml:space="preserve"> (</w:t>
      </w:r>
      <w:r w:rsidR="00CC30F7" w:rsidRPr="00E033F1">
        <w:rPr>
          <w:rFonts w:asciiTheme="minorHAnsi" w:hAnsiTheme="minorHAnsi" w:cstheme="minorHAnsi"/>
          <w:color w:val="auto"/>
        </w:rPr>
        <w:fldChar w:fldCharType="begin"/>
      </w:r>
      <w:r w:rsidR="00CC30F7" w:rsidRPr="00E033F1">
        <w:rPr>
          <w:rFonts w:asciiTheme="minorHAnsi" w:hAnsiTheme="minorHAnsi" w:cstheme="minorHAnsi"/>
          <w:color w:val="auto"/>
        </w:rPr>
        <w:instrText xml:space="preserve"> REF _Ref43888919 \h </w:instrText>
      </w:r>
      <w:r w:rsidR="00E033F1">
        <w:rPr>
          <w:rFonts w:asciiTheme="minorHAnsi" w:hAnsiTheme="minorHAnsi" w:cstheme="minorHAnsi"/>
          <w:color w:val="auto"/>
        </w:rPr>
        <w:instrText xml:space="preserve"> \* MERGEFORMAT </w:instrText>
      </w:r>
      <w:r w:rsidR="00CC30F7" w:rsidRPr="00E033F1">
        <w:rPr>
          <w:rFonts w:asciiTheme="minorHAnsi" w:hAnsiTheme="minorHAnsi" w:cstheme="minorHAnsi"/>
          <w:color w:val="auto"/>
        </w:rPr>
      </w:r>
      <w:r w:rsidR="00CC30F7" w:rsidRPr="00E033F1">
        <w:rPr>
          <w:rFonts w:asciiTheme="minorHAnsi" w:hAnsiTheme="minorHAnsi" w:cstheme="minorHAnsi"/>
          <w:color w:val="auto"/>
        </w:rPr>
        <w:fldChar w:fldCharType="separate"/>
      </w:r>
      <w:r w:rsidR="008502DF" w:rsidRPr="00E033F1">
        <w:rPr>
          <w:b/>
          <w:color w:val="auto"/>
        </w:rPr>
        <w:t xml:space="preserve">Figure </w:t>
      </w:r>
      <w:r w:rsidR="008502DF" w:rsidRPr="00E033F1">
        <w:rPr>
          <w:b/>
          <w:noProof/>
          <w:color w:val="auto"/>
        </w:rPr>
        <w:t>3</w:t>
      </w:r>
      <w:r w:rsidR="00CC30F7" w:rsidRPr="00E033F1">
        <w:rPr>
          <w:rFonts w:asciiTheme="minorHAnsi" w:hAnsiTheme="minorHAnsi" w:cstheme="minorHAnsi"/>
          <w:color w:val="auto"/>
        </w:rPr>
        <w:fldChar w:fldCharType="end"/>
      </w:r>
      <w:r w:rsidR="00CC30F7" w:rsidRPr="00E033F1">
        <w:rPr>
          <w:rFonts w:asciiTheme="minorHAnsi" w:hAnsiTheme="minorHAnsi" w:cstheme="minorHAnsi"/>
          <w:b/>
          <w:color w:val="auto"/>
        </w:rPr>
        <w:t>C</w:t>
      </w:r>
      <w:r w:rsidR="00CC30F7" w:rsidRPr="00E033F1">
        <w:rPr>
          <w:rFonts w:asciiTheme="minorHAnsi" w:hAnsiTheme="minorHAnsi" w:cstheme="minorHAnsi"/>
          <w:color w:val="auto"/>
        </w:rPr>
        <w:t>)</w:t>
      </w:r>
      <w:r w:rsidR="007E16CE" w:rsidRPr="00E033F1">
        <w:rPr>
          <w:rFonts w:asciiTheme="minorHAnsi" w:hAnsiTheme="minorHAnsi" w:cstheme="minorHAnsi"/>
          <w:color w:val="auto"/>
        </w:rPr>
        <w:t>.</w:t>
      </w:r>
      <w:r w:rsidR="003D6A55" w:rsidRPr="00E033F1">
        <w:rPr>
          <w:rFonts w:asciiTheme="minorHAnsi" w:hAnsiTheme="minorHAnsi" w:cstheme="minorHAnsi"/>
          <w:color w:val="auto"/>
        </w:rPr>
        <w:t xml:space="preserve"> The </w:t>
      </w:r>
      <w:r w:rsidR="00322741" w:rsidRPr="00E033F1">
        <w:rPr>
          <w:rFonts w:asciiTheme="minorHAnsi" w:hAnsiTheme="minorHAnsi" w:cstheme="minorHAnsi"/>
          <w:color w:val="auto"/>
        </w:rPr>
        <w:t>V</w:t>
      </w:r>
      <w:r w:rsidR="00322741" w:rsidRPr="00E033F1">
        <w:rPr>
          <w:rFonts w:asciiTheme="minorHAnsi" w:hAnsiTheme="minorHAnsi" w:cstheme="minorHAnsi"/>
          <w:color w:val="auto"/>
          <w:vertAlign w:val="subscript"/>
        </w:rPr>
        <w:t>max</w:t>
      </w:r>
      <w:r w:rsidR="003D6A55" w:rsidRPr="00E033F1">
        <w:rPr>
          <w:rFonts w:asciiTheme="minorHAnsi" w:hAnsiTheme="minorHAnsi" w:cstheme="minorHAnsi"/>
          <w:color w:val="auto"/>
        </w:rPr>
        <w:t xml:space="preserve"> and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3D6A55" w:rsidRPr="00E033F1">
        <w:rPr>
          <w:rFonts w:asciiTheme="minorHAnsi" w:hAnsiTheme="minorHAnsi" w:cstheme="minorHAnsi"/>
          <w:color w:val="auto"/>
        </w:rPr>
        <w:t xml:space="preserve"> were </w:t>
      </w:r>
      <w:r w:rsidR="00D77EBE" w:rsidRPr="00E033F1">
        <w:rPr>
          <w:rFonts w:asciiTheme="minorHAnsi" w:hAnsiTheme="minorHAnsi" w:cstheme="minorHAnsi"/>
          <w:color w:val="auto"/>
        </w:rPr>
        <w:t>determined based on</w:t>
      </w:r>
      <w:r w:rsidR="003D6A55" w:rsidRPr="00E033F1">
        <w:rPr>
          <w:rFonts w:asciiTheme="minorHAnsi" w:hAnsiTheme="minorHAnsi" w:cstheme="minorHAnsi"/>
          <w:color w:val="auto"/>
        </w:rPr>
        <w:t xml:space="preserve"> each plot</w:t>
      </w:r>
      <w:r w:rsidR="00EB1758" w:rsidRPr="00E033F1">
        <w:rPr>
          <w:rFonts w:asciiTheme="minorHAnsi" w:hAnsiTheme="minorHAnsi" w:cstheme="minorHAnsi"/>
          <w:color w:val="auto"/>
        </w:rPr>
        <w:t xml:space="preserve"> with GraphPad Prism</w:t>
      </w:r>
      <w:r w:rsidR="003D6A55" w:rsidRPr="00E033F1">
        <w:rPr>
          <w:rFonts w:asciiTheme="minorHAnsi" w:hAnsiTheme="minorHAnsi" w:cstheme="minorHAnsi"/>
          <w:color w:val="auto"/>
        </w:rPr>
        <w:t>.</w:t>
      </w:r>
      <w:r w:rsidR="007E16CE" w:rsidRPr="00E033F1">
        <w:rPr>
          <w:rFonts w:asciiTheme="minorHAnsi" w:hAnsiTheme="minorHAnsi" w:cstheme="minorHAnsi"/>
          <w:color w:val="auto"/>
        </w:rPr>
        <w:t xml:space="preserve"> </w:t>
      </w:r>
      <w:r w:rsidR="00DD0EC8" w:rsidRPr="00E033F1">
        <w:rPr>
          <w:rFonts w:asciiTheme="minorHAnsi" w:hAnsiTheme="minorHAnsi" w:cstheme="minorHAnsi"/>
          <w:color w:val="auto"/>
        </w:rPr>
        <w:t>The potential inhibitor’s mode of inhibition was assessed a</w:t>
      </w:r>
      <w:r w:rsidR="007E16CE" w:rsidRPr="00E033F1">
        <w:rPr>
          <w:rFonts w:asciiTheme="minorHAnsi" w:hAnsiTheme="minorHAnsi" w:cstheme="minorHAnsi"/>
          <w:color w:val="auto"/>
        </w:rPr>
        <w:t>ccording to the change</w:t>
      </w:r>
      <w:r w:rsidR="00DD0EC8" w:rsidRPr="00E033F1">
        <w:rPr>
          <w:rFonts w:asciiTheme="minorHAnsi" w:hAnsiTheme="minorHAnsi" w:cstheme="minorHAnsi"/>
          <w:color w:val="auto"/>
        </w:rPr>
        <w:t>s in</w:t>
      </w:r>
      <w:r w:rsidR="007E16CE" w:rsidRPr="00E033F1">
        <w:rPr>
          <w:rFonts w:asciiTheme="minorHAnsi" w:hAnsiTheme="minorHAnsi" w:cstheme="minorHAnsi"/>
          <w:color w:val="auto"/>
        </w:rPr>
        <w:t xml:space="preserve"> these two </w:t>
      </w:r>
      <w:r w:rsidR="00AC00E0" w:rsidRPr="00E033F1">
        <w:rPr>
          <w:rFonts w:asciiTheme="minorHAnsi" w:hAnsiTheme="minorHAnsi" w:cstheme="minorHAnsi"/>
          <w:color w:val="auto"/>
        </w:rPr>
        <w:t xml:space="preserve">parameters </w:t>
      </w:r>
      <w:r w:rsidR="001E0B81" w:rsidRPr="00E033F1">
        <w:rPr>
          <w:rFonts w:asciiTheme="minorHAnsi" w:hAnsiTheme="minorHAnsi" w:cstheme="minorHAnsi"/>
          <w:color w:val="auto"/>
        </w:rPr>
        <w:t>and</w:t>
      </w:r>
      <w:r w:rsidR="007E16CE" w:rsidRPr="00E033F1">
        <w:rPr>
          <w:rFonts w:asciiTheme="minorHAnsi" w:hAnsiTheme="minorHAnsi" w:cstheme="minorHAnsi"/>
          <w:color w:val="auto"/>
        </w:rPr>
        <w:t xml:space="preserve"> the</w:t>
      </w:r>
      <w:r w:rsidR="00DD0EC8" w:rsidRPr="00E033F1">
        <w:rPr>
          <w:rFonts w:asciiTheme="minorHAnsi" w:hAnsiTheme="minorHAnsi" w:cstheme="minorHAnsi"/>
          <w:color w:val="auto"/>
        </w:rPr>
        <w:t xml:space="preserve"> assays’</w:t>
      </w:r>
      <w:r w:rsidR="007E16CE" w:rsidRPr="00E033F1">
        <w:rPr>
          <w:rFonts w:asciiTheme="minorHAnsi" w:hAnsiTheme="minorHAnsi" w:cstheme="minorHAnsi"/>
          <w:color w:val="auto"/>
        </w:rPr>
        <w:t xml:space="preserve"> different condition.</w:t>
      </w:r>
      <w:r w:rsidR="000855D8" w:rsidRPr="00E033F1">
        <w:rPr>
          <w:rFonts w:asciiTheme="minorHAnsi" w:hAnsiTheme="minorHAnsi" w:cstheme="minorHAnsi"/>
          <w:color w:val="auto"/>
        </w:rPr>
        <w:fldChar w:fldCharType="begin"/>
      </w:r>
      <w:r w:rsidR="00067A13" w:rsidRPr="00E033F1">
        <w:rPr>
          <w:rFonts w:asciiTheme="minorHAnsi" w:hAnsiTheme="minorHAnsi" w:cstheme="minorHAnsi"/>
          <w:color w:val="auto"/>
        </w:rPr>
        <w:instrText xml:space="preserve"> ADDIN ZOTERO_ITEM CSL_CITATION {"citationID":"jxD4n8q1","properties":{"formattedCitation":"\\super 24\\nosupersub{}","plainCitation":"24","noteIndex":0},"citationItems":[{"id":394,"uris":["http://zotero.org/users/local/bXXP6LKp/items/9P3IPJIV"],"uri":["http://zotero.org/users/local/bXXP6LKp/items/9P3IPJIV"],"itemData":{"id":394,"type":"article-journal","abstract":"While enzyme inhibition is a widely taught subject across chemical and biochemical disciplines, it remains poorly understood. A mental image is presented to facilitate the understanding of inhibition types other than competitive. Subsequently, enzyme inhibition is developed using Vmax/Km in place of Km. Interpretation of direct (initial velocity vs substrate concentration) plots makes clear the meanings of competitive, noncompetitive, and mixed inhibition in a manner entirely distinct from current textbook treatments. The effects of inhibitors on enzymes can be seen to be reduced to a simple consideration of actions at zero and infinite substrate concentrations, corresponding to Vmax/Km and Vmax, respectively.","container-title":"Journal of Chemical Education","DOI":"10.1021/ed077p1453","ISSN":"0021-9584","issue":"11","journalAbbreviation":"J. Chem. Educ.","page":"1453","source":"ACS Publications","title":"Understanding Enzyme Inhibition","volume":"77","author":[{"family":"Ochs","given":"Raymond S."}],"issued":{"date-parts":[["2000",11,1]]}}}],"schema":"https://github.com/citation-style-language/schema/raw/master/csl-citation.json"} </w:instrText>
      </w:r>
      <w:r w:rsidR="000855D8" w:rsidRPr="00E033F1">
        <w:rPr>
          <w:rFonts w:asciiTheme="minorHAnsi" w:hAnsiTheme="minorHAnsi" w:cstheme="minorHAnsi"/>
          <w:color w:val="auto"/>
        </w:rPr>
        <w:fldChar w:fldCharType="separate"/>
      </w:r>
      <w:r w:rsidR="00067A13" w:rsidRPr="00E033F1">
        <w:rPr>
          <w:color w:val="auto"/>
          <w:vertAlign w:val="superscript"/>
        </w:rPr>
        <w:t>24</w:t>
      </w:r>
      <w:r w:rsidR="000855D8" w:rsidRPr="00E033F1">
        <w:rPr>
          <w:rFonts w:asciiTheme="minorHAnsi" w:hAnsiTheme="minorHAnsi" w:cstheme="minorHAnsi"/>
          <w:color w:val="auto"/>
        </w:rPr>
        <w:fldChar w:fldCharType="end"/>
      </w:r>
      <w:r w:rsidR="007E16CE" w:rsidRPr="00E033F1">
        <w:rPr>
          <w:rFonts w:asciiTheme="minorHAnsi" w:hAnsiTheme="minorHAnsi" w:cstheme="minorHAnsi"/>
          <w:color w:val="auto"/>
        </w:rPr>
        <w:t xml:space="preserve"> </w:t>
      </w:r>
      <w:r w:rsidR="000855D8" w:rsidRPr="00E033F1">
        <w:rPr>
          <w:rFonts w:asciiTheme="minorHAnsi" w:hAnsiTheme="minorHAnsi" w:cstheme="minorHAnsi"/>
          <w:color w:val="auto"/>
        </w:rPr>
        <w:t xml:space="preserve">As </w:t>
      </w:r>
      <w:r w:rsidR="00322741" w:rsidRPr="00E033F1">
        <w:rPr>
          <w:rFonts w:asciiTheme="minorHAnsi" w:hAnsiTheme="minorHAnsi" w:cstheme="minorHAnsi"/>
          <w:color w:val="auto"/>
        </w:rPr>
        <w:t>V</w:t>
      </w:r>
      <w:r w:rsidR="00322741" w:rsidRPr="00E033F1">
        <w:rPr>
          <w:rFonts w:asciiTheme="minorHAnsi" w:hAnsiTheme="minorHAnsi" w:cstheme="minorHAnsi"/>
          <w:color w:val="auto"/>
          <w:vertAlign w:val="subscript"/>
        </w:rPr>
        <w:t>max</w:t>
      </w:r>
      <w:r w:rsidR="000855D8" w:rsidRPr="00E033F1">
        <w:rPr>
          <w:rFonts w:asciiTheme="minorHAnsi" w:hAnsiTheme="minorHAnsi" w:cstheme="minorHAnsi"/>
          <w:color w:val="auto"/>
        </w:rPr>
        <w:t xml:space="preserve"> </w:t>
      </w:r>
      <w:r w:rsidR="003869B4" w:rsidRPr="00E033F1">
        <w:rPr>
          <w:rFonts w:asciiTheme="minorHAnsi" w:hAnsiTheme="minorHAnsi" w:cstheme="minorHAnsi"/>
          <w:color w:val="auto"/>
        </w:rPr>
        <w:t xml:space="preserve">did not significantly change between conditions </w:t>
      </w:r>
      <w:r w:rsidR="006E265E" w:rsidRPr="00E033F1">
        <w:rPr>
          <w:rFonts w:asciiTheme="minorHAnsi" w:hAnsiTheme="minorHAnsi" w:cstheme="minorHAnsi"/>
          <w:color w:val="auto"/>
        </w:rPr>
        <w:t>but</w:t>
      </w:r>
      <w:r w:rsidR="000855D8" w:rsidRPr="00E033F1">
        <w:rPr>
          <w:rFonts w:asciiTheme="minorHAnsi" w:hAnsiTheme="minorHAnsi" w:cstheme="minorHAnsi"/>
          <w:color w:val="auto"/>
        </w:rPr>
        <w:t xml:space="preserve">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0855D8" w:rsidRPr="00E033F1">
        <w:rPr>
          <w:rFonts w:asciiTheme="minorHAnsi" w:hAnsiTheme="minorHAnsi" w:cstheme="minorHAnsi"/>
          <w:color w:val="auto"/>
        </w:rPr>
        <w:t xml:space="preserve"> increased </w:t>
      </w:r>
      <w:r w:rsidR="006E265E" w:rsidRPr="00E033F1">
        <w:rPr>
          <w:rFonts w:asciiTheme="minorHAnsi" w:hAnsiTheme="minorHAnsi" w:cstheme="minorHAnsi"/>
          <w:color w:val="auto"/>
        </w:rPr>
        <w:t>with</w:t>
      </w:r>
      <w:r w:rsidR="000855D8" w:rsidRPr="00E033F1">
        <w:rPr>
          <w:rFonts w:asciiTheme="minorHAnsi" w:hAnsiTheme="minorHAnsi" w:cstheme="minorHAnsi"/>
          <w:color w:val="auto"/>
        </w:rPr>
        <w:t xml:space="preserve"> the different inhibitor concentrations, </w:t>
      </w:r>
      <w:r w:rsidR="006E265E" w:rsidRPr="00E033F1">
        <w:rPr>
          <w:rFonts w:asciiTheme="minorHAnsi" w:hAnsiTheme="minorHAnsi" w:cstheme="minorHAnsi"/>
          <w:color w:val="auto"/>
        </w:rPr>
        <w:t>curcumin’s</w:t>
      </w:r>
      <w:r w:rsidR="000855D8" w:rsidRPr="00E033F1">
        <w:rPr>
          <w:rFonts w:asciiTheme="minorHAnsi" w:hAnsiTheme="minorHAnsi" w:cstheme="minorHAnsi"/>
          <w:color w:val="auto"/>
        </w:rPr>
        <w:t xml:space="preserve"> inhibition of GSTs is competitive.</w:t>
      </w:r>
      <w:r w:rsidR="005E4FAD" w:rsidRPr="00E033F1">
        <w:rPr>
          <w:rFonts w:asciiTheme="minorHAnsi" w:hAnsiTheme="minorHAnsi" w:cstheme="minorHAnsi"/>
          <w:color w:val="auto"/>
        </w:rPr>
        <w:t xml:space="preserve"> </w:t>
      </w:r>
      <w:r w:rsidR="000F2D68" w:rsidRPr="00E033F1">
        <w:rPr>
          <w:rFonts w:asciiTheme="minorHAnsi" w:hAnsiTheme="minorHAnsi" w:cstheme="minorHAnsi"/>
          <w:color w:val="auto"/>
        </w:rPr>
        <w:t xml:space="preserve">This pattern of inhibition occurs when the inhibitor competes with the substrate for the active site of the enzyme. </w:t>
      </w:r>
      <w:r w:rsidR="000855D8" w:rsidRPr="00E033F1">
        <w:rPr>
          <w:rFonts w:asciiTheme="minorHAnsi" w:hAnsiTheme="minorHAnsi" w:cstheme="minorHAnsi"/>
          <w:color w:val="auto"/>
        </w:rPr>
        <w:t>To measure the K</w:t>
      </w:r>
      <w:r w:rsidR="000855D8" w:rsidRPr="00E033F1">
        <w:rPr>
          <w:rFonts w:asciiTheme="minorHAnsi" w:hAnsiTheme="minorHAnsi" w:cstheme="minorHAnsi"/>
          <w:color w:val="auto"/>
          <w:vertAlign w:val="subscript"/>
        </w:rPr>
        <w:t>i</w:t>
      </w:r>
      <w:r w:rsidR="00BA1C46" w:rsidRPr="00E033F1">
        <w:rPr>
          <w:rFonts w:asciiTheme="minorHAnsi" w:hAnsiTheme="minorHAnsi" w:cstheme="minorHAnsi"/>
          <w:color w:val="auto"/>
        </w:rPr>
        <w:t xml:space="preserve"> of a competitive inhibitor</w:t>
      </w:r>
      <w:r w:rsidR="000855D8" w:rsidRPr="00E033F1">
        <w:rPr>
          <w:rFonts w:asciiTheme="minorHAnsi" w:hAnsiTheme="minorHAnsi" w:cstheme="minorHAnsi"/>
          <w:color w:val="auto"/>
        </w:rPr>
        <w:t xml:space="preserve">, </w:t>
      </w:r>
      <w:r w:rsidR="00BA1C46" w:rsidRPr="00E033F1">
        <w:rPr>
          <w:rFonts w:asciiTheme="minorHAnsi" w:hAnsiTheme="minorHAnsi" w:cstheme="minorHAnsi"/>
          <w:color w:val="auto"/>
        </w:rPr>
        <w:t xml:space="preserve">GraphPad uses </w:t>
      </w:r>
      <w:r w:rsidR="00BA1C46" w:rsidRPr="00E033F1">
        <w:rPr>
          <w:rFonts w:asciiTheme="minorHAnsi" w:hAnsiTheme="minorHAnsi" w:cstheme="minorHAnsi"/>
          <w:color w:val="auto"/>
        </w:rPr>
        <w:fldChar w:fldCharType="begin"/>
      </w:r>
      <w:r w:rsidR="00BA1C46" w:rsidRPr="00E033F1">
        <w:rPr>
          <w:rFonts w:asciiTheme="minorHAnsi" w:hAnsiTheme="minorHAnsi" w:cstheme="minorHAnsi"/>
          <w:color w:val="auto"/>
        </w:rPr>
        <w:instrText xml:space="preserve"> REF _Ref21439247 \h </w:instrText>
      </w:r>
      <w:r w:rsidR="00E033F1">
        <w:rPr>
          <w:rFonts w:asciiTheme="minorHAnsi" w:hAnsiTheme="minorHAnsi" w:cstheme="minorHAnsi"/>
          <w:color w:val="auto"/>
        </w:rPr>
        <w:instrText xml:space="preserve"> \* MERGEFORMAT </w:instrText>
      </w:r>
      <w:r w:rsidR="00BA1C46" w:rsidRPr="00E033F1">
        <w:rPr>
          <w:rFonts w:asciiTheme="minorHAnsi" w:hAnsiTheme="minorHAnsi" w:cstheme="minorHAnsi"/>
          <w:color w:val="auto"/>
        </w:rPr>
      </w:r>
      <w:r w:rsidR="00BA1C46" w:rsidRPr="00E033F1">
        <w:rPr>
          <w:rFonts w:asciiTheme="minorHAnsi" w:hAnsiTheme="minorHAnsi" w:cstheme="minorHAnsi"/>
          <w:color w:val="auto"/>
        </w:rPr>
        <w:fldChar w:fldCharType="separate"/>
      </w:r>
      <w:r w:rsidR="008502DF" w:rsidRPr="00E033F1">
        <w:rPr>
          <w:b/>
          <w:color w:val="auto"/>
        </w:rPr>
        <w:t xml:space="preserve">Equation </w:t>
      </w:r>
      <w:r w:rsidR="008502DF" w:rsidRPr="00E033F1">
        <w:rPr>
          <w:b/>
          <w:noProof/>
          <w:color w:val="auto"/>
        </w:rPr>
        <w:t>4</w:t>
      </w:r>
      <w:r w:rsidR="00BA1C46" w:rsidRPr="00E033F1">
        <w:rPr>
          <w:rFonts w:asciiTheme="minorHAnsi" w:hAnsiTheme="minorHAnsi" w:cstheme="minorHAnsi"/>
          <w:color w:val="auto"/>
        </w:rPr>
        <w:fldChar w:fldCharType="end"/>
      </w:r>
      <w:r w:rsidR="00BA1C46" w:rsidRPr="00E033F1">
        <w:rPr>
          <w:rFonts w:asciiTheme="minorHAnsi" w:hAnsiTheme="minorHAnsi" w:cstheme="minorHAnsi"/>
          <w:color w:val="auto"/>
        </w:rPr>
        <w:t xml:space="preserve"> and </w:t>
      </w:r>
      <w:r w:rsidR="00BA1C46" w:rsidRPr="00E033F1">
        <w:rPr>
          <w:rFonts w:asciiTheme="minorHAnsi" w:hAnsiTheme="minorHAnsi" w:cstheme="minorHAnsi"/>
          <w:color w:val="auto"/>
        </w:rPr>
        <w:fldChar w:fldCharType="begin"/>
      </w:r>
      <w:r w:rsidR="00BA1C46" w:rsidRPr="00E033F1">
        <w:rPr>
          <w:rFonts w:asciiTheme="minorHAnsi" w:hAnsiTheme="minorHAnsi" w:cstheme="minorHAnsi"/>
          <w:color w:val="auto"/>
        </w:rPr>
        <w:instrText xml:space="preserve"> REF _Ref21439588 \h </w:instrText>
      </w:r>
      <w:r w:rsidR="00E033F1">
        <w:rPr>
          <w:rFonts w:asciiTheme="minorHAnsi" w:hAnsiTheme="minorHAnsi" w:cstheme="minorHAnsi"/>
          <w:color w:val="auto"/>
        </w:rPr>
        <w:instrText xml:space="preserve"> \* MERGEFORMAT </w:instrText>
      </w:r>
      <w:r w:rsidR="00BA1C46" w:rsidRPr="00E033F1">
        <w:rPr>
          <w:rFonts w:asciiTheme="minorHAnsi" w:hAnsiTheme="minorHAnsi" w:cstheme="minorHAnsi"/>
          <w:color w:val="auto"/>
        </w:rPr>
      </w:r>
      <w:r w:rsidR="00BA1C46" w:rsidRPr="00E033F1">
        <w:rPr>
          <w:rFonts w:asciiTheme="minorHAnsi" w:hAnsiTheme="minorHAnsi" w:cstheme="minorHAnsi"/>
          <w:color w:val="auto"/>
        </w:rPr>
        <w:fldChar w:fldCharType="separate"/>
      </w:r>
      <w:r w:rsidR="008502DF" w:rsidRPr="00E033F1">
        <w:rPr>
          <w:b/>
          <w:color w:val="auto"/>
        </w:rPr>
        <w:t xml:space="preserve">Equation </w:t>
      </w:r>
      <w:r w:rsidR="008502DF" w:rsidRPr="00E033F1">
        <w:rPr>
          <w:b/>
          <w:noProof/>
          <w:color w:val="auto"/>
        </w:rPr>
        <w:t>5</w:t>
      </w:r>
      <w:r w:rsidR="00BA1C46" w:rsidRPr="00E033F1">
        <w:rPr>
          <w:rFonts w:asciiTheme="minorHAnsi" w:hAnsiTheme="minorHAnsi" w:cstheme="minorHAnsi"/>
          <w:color w:val="auto"/>
        </w:rPr>
        <w:fldChar w:fldCharType="end"/>
      </w:r>
      <w:r w:rsidR="00E033F1">
        <w:rPr>
          <w:rFonts w:asciiTheme="minorHAnsi" w:hAnsiTheme="minorHAnsi" w:cstheme="minorHAnsi"/>
          <w:color w:val="auto"/>
        </w:rPr>
        <w:t xml:space="preserve"> </w:t>
      </w:r>
      <w:r w:rsidR="00BA1C46" w:rsidRPr="00E033F1">
        <w:rPr>
          <w:rFonts w:asciiTheme="minorHAnsi" w:hAnsiTheme="minorHAnsi" w:cstheme="minorHAnsi"/>
          <w:color w:val="auto"/>
        </w:rPr>
        <w:t>a</w:t>
      </w:r>
      <w:r w:rsidR="006E265E" w:rsidRPr="00E033F1">
        <w:rPr>
          <w:rFonts w:asciiTheme="minorHAnsi" w:hAnsiTheme="minorHAnsi" w:cstheme="minorHAnsi"/>
          <w:color w:val="auto"/>
        </w:rPr>
        <w:t>s described by</w:t>
      </w:r>
      <w:r w:rsidR="00BA1C46" w:rsidRPr="00E033F1">
        <w:rPr>
          <w:rFonts w:asciiTheme="minorHAnsi" w:hAnsiTheme="minorHAnsi" w:cstheme="minorHAnsi"/>
          <w:color w:val="auto"/>
        </w:rPr>
        <w:t xml:space="preserve"> Copeland </w:t>
      </w:r>
      <w:r w:rsidR="00236C61" w:rsidRPr="00E033F1">
        <w:rPr>
          <w:rFonts w:asciiTheme="minorHAnsi" w:hAnsiTheme="minorHAnsi" w:cstheme="minorHAnsi"/>
          <w:color w:val="auto"/>
        </w:rPr>
        <w:t>et al.</w:t>
      </w:r>
      <w:r w:rsidR="00E033F1" w:rsidRPr="00E033F1">
        <w:rPr>
          <w:rFonts w:asciiTheme="minorHAnsi" w:hAnsiTheme="minorHAnsi" w:cstheme="minorHAnsi"/>
          <w:color w:val="auto"/>
        </w:rPr>
        <w:fldChar w:fldCharType="begin"/>
      </w:r>
      <w:r w:rsidR="00E033F1" w:rsidRPr="00E033F1">
        <w:rPr>
          <w:rFonts w:asciiTheme="minorHAnsi" w:hAnsiTheme="minorHAnsi" w:cstheme="minorHAnsi"/>
          <w:color w:val="auto"/>
        </w:rPr>
        <w:instrText xml:space="preserve"> ADDIN ZOTERO_ITEM CSL_CITATION {"citationID":"JXffQUJN","properties":{"formattedCitation":"\\super 32\\nosupersub{}","plainCitation":"32","noteIndex":0},"citationItems":[{"id":514,"uris":["http://zotero.org/users/local/bXXP6LKp/items/Q4X9D79K"],"uri":["http://zotero.org/users/local/bXXP6LKp/items/Q4X9D79K"],"itemData":{"id":514,"type":"article-journal","container-title":"Methods of Biochemical Analysis","ISSN":"0076-6941","journalAbbreviation":"Methods Biochem Anal","language":"eng","note":"PMID: 16350889","page":"1-265","source":"PubMed","title":"Evaluation of enzyme inhibitors in drug discovery. A guide for medicinal chemists and pharmacologists","volume":"46","author":[{"family":"Copeland","given":"Robert A."}],"issued":{"date-parts":[["2005"]]}}}],"schema":"https://github.com/citation-style-language/schema/raw/master/csl-citation.json"} </w:instrText>
      </w:r>
      <w:r w:rsidR="00E033F1" w:rsidRPr="00E033F1">
        <w:rPr>
          <w:rFonts w:asciiTheme="minorHAnsi" w:hAnsiTheme="minorHAnsi" w:cstheme="minorHAnsi"/>
          <w:color w:val="auto"/>
        </w:rPr>
        <w:fldChar w:fldCharType="separate"/>
      </w:r>
      <w:r w:rsidR="00E033F1" w:rsidRPr="00E033F1">
        <w:rPr>
          <w:color w:val="auto"/>
          <w:vertAlign w:val="superscript"/>
        </w:rPr>
        <w:t>32</w:t>
      </w:r>
      <w:r w:rsidR="00E033F1" w:rsidRPr="00E033F1">
        <w:rPr>
          <w:rFonts w:asciiTheme="minorHAnsi" w:hAnsiTheme="minorHAnsi" w:cstheme="minorHAnsi"/>
          <w:color w:val="auto"/>
        </w:rPr>
        <w:fldChar w:fldCharType="end"/>
      </w:r>
      <w:r w:rsidR="006E265E" w:rsidRPr="00E033F1">
        <w:rPr>
          <w:rFonts w:asciiTheme="minorHAnsi" w:hAnsiTheme="minorHAnsi" w:cstheme="minorHAnsi"/>
          <w:color w:val="auto"/>
        </w:rPr>
        <w:t>.</w:t>
      </w:r>
      <w:r w:rsidR="00BA1C46" w:rsidRPr="00E033F1">
        <w:rPr>
          <w:rFonts w:asciiTheme="minorHAnsi" w:hAnsiTheme="minorHAnsi" w:cstheme="minorHAnsi"/>
          <w:color w:val="auto"/>
        </w:rPr>
        <w:t xml:space="preserve"> </w:t>
      </w:r>
    </w:p>
    <w:p w14:paraId="54DC3C9D" w14:textId="24882DA8" w:rsidR="00BA1C46" w:rsidRPr="00E033F1" w:rsidRDefault="00BA1C46" w:rsidP="00E033F1">
      <w:pPr>
        <w:contextualSpacing/>
        <w:rPr>
          <w:rFonts w:asciiTheme="minorHAnsi" w:hAnsiTheme="minorHAnsi" w:cstheme="minorHAnsi"/>
          <w:color w:val="auto"/>
        </w:rPr>
      </w:pPr>
    </w:p>
    <w:p w14:paraId="174C3FE1" w14:textId="2A73BE0A" w:rsidR="006E265E" w:rsidRPr="00E033F1" w:rsidRDefault="006E265E" w:rsidP="00E033F1">
      <w:pPr>
        <w:contextualSpacing/>
        <w:rPr>
          <w:rFonts w:asciiTheme="minorHAnsi" w:hAnsiTheme="minorHAnsi" w:cstheme="minorHAnsi"/>
          <w:color w:val="auto"/>
        </w:rPr>
      </w:pPr>
      <w:bookmarkStart w:id="11" w:name="_Ref21439247"/>
      <w:r w:rsidRPr="00E033F1">
        <w:rPr>
          <w:b/>
          <w:color w:val="auto"/>
        </w:rPr>
        <w:t xml:space="preserve">Equation </w:t>
      </w:r>
      <w:r w:rsidRPr="00E033F1">
        <w:rPr>
          <w:b/>
          <w:color w:val="auto"/>
        </w:rPr>
        <w:fldChar w:fldCharType="begin"/>
      </w:r>
      <w:r w:rsidRPr="00E033F1">
        <w:rPr>
          <w:b/>
          <w:color w:val="auto"/>
        </w:rPr>
        <w:instrText xml:space="preserve"> SEQ Equation \* ARABIC </w:instrText>
      </w:r>
      <w:r w:rsidRPr="00E033F1">
        <w:rPr>
          <w:b/>
          <w:color w:val="auto"/>
        </w:rPr>
        <w:fldChar w:fldCharType="separate"/>
      </w:r>
      <w:r w:rsidR="008502DF" w:rsidRPr="00E033F1">
        <w:rPr>
          <w:b/>
          <w:noProof/>
          <w:color w:val="auto"/>
        </w:rPr>
        <w:t>4</w:t>
      </w:r>
      <w:r w:rsidRPr="00E033F1">
        <w:rPr>
          <w:b/>
          <w:color w:val="auto"/>
        </w:rPr>
        <w:fldChar w:fldCharType="end"/>
      </w:r>
      <w:bookmarkEnd w:id="11"/>
    </w:p>
    <w:p w14:paraId="7681D6A6" w14:textId="77777777" w:rsidR="006E265E" w:rsidRPr="00E033F1" w:rsidRDefault="006E265E" w:rsidP="00E033F1">
      <w:pPr>
        <w:contextualSpacing/>
        <w:rPr>
          <w:rFonts w:asciiTheme="minorHAnsi" w:hAnsiTheme="minorHAnsi" w:cstheme="minorHAnsi"/>
          <w:color w:val="auto"/>
        </w:rPr>
      </w:pPr>
    </w:p>
    <w:p w14:paraId="5CE1C7C4" w14:textId="23A9803E" w:rsidR="00BA1C46" w:rsidRPr="00E033F1" w:rsidRDefault="00A768CB" w:rsidP="00E033F1">
      <w:pPr>
        <w:contextualSpacing/>
        <w:rPr>
          <w:rFonts w:asciiTheme="minorHAnsi" w:hAnsiTheme="minorHAnsi" w:cstheme="minorHAnsi"/>
          <w:color w:val="auto"/>
        </w:rPr>
      </w:pPr>
      <m:oMathPara>
        <m:oMathParaPr>
          <m:jc m:val="left"/>
        </m:oMathParaPr>
        <m:oMath>
          <m:sSub>
            <m:sSubPr>
              <m:ctrlPr>
                <w:rPr>
                  <w:rFonts w:ascii="Cambria Math" w:hAnsi="Cambria Math" w:cstheme="minorHAnsi"/>
                  <w:i/>
                  <w:color w:val="auto"/>
                </w:rPr>
              </m:ctrlPr>
            </m:sSubPr>
            <m:e>
              <m:r>
                <w:rPr>
                  <w:rFonts w:ascii="Cambria Math" w:hAnsi="Cambria Math" w:cstheme="minorHAnsi"/>
                  <w:color w:val="auto"/>
                </w:rPr>
                <m:t>Km</m:t>
              </m:r>
            </m:e>
            <m:sub>
              <m:r>
                <w:rPr>
                  <w:rFonts w:ascii="Cambria Math" w:hAnsi="Cambria Math" w:cstheme="minorHAnsi"/>
                  <w:color w:val="auto"/>
                </w:rPr>
                <m:t>obs</m:t>
              </m:r>
            </m:sub>
          </m:sSub>
          <m:r>
            <w:rPr>
              <w:rFonts w:ascii="Cambria Math" w:hAnsi="Cambria Math" w:cstheme="minorHAnsi"/>
              <w:color w:val="auto"/>
            </w:rPr>
            <m:t>=Km*(</m:t>
          </m:r>
          <m:f>
            <m:fPr>
              <m:ctrlPr>
                <w:rPr>
                  <w:rFonts w:ascii="Cambria Math" w:hAnsi="Cambria Math" w:cstheme="minorHAnsi"/>
                  <w:i/>
                  <w:color w:val="auto"/>
                </w:rPr>
              </m:ctrlPr>
            </m:fPr>
            <m:num>
              <m:r>
                <w:rPr>
                  <w:rFonts w:ascii="Cambria Math" w:hAnsi="Cambria Math" w:cstheme="minorHAnsi"/>
                  <w:color w:val="auto"/>
                </w:rPr>
                <m:t>1+</m:t>
              </m:r>
              <m:d>
                <m:dPr>
                  <m:begChr m:val="["/>
                  <m:endChr m:val="]"/>
                  <m:ctrlPr>
                    <w:rPr>
                      <w:rFonts w:ascii="Cambria Math" w:hAnsi="Cambria Math" w:cstheme="minorHAnsi"/>
                      <w:i/>
                      <w:color w:val="auto"/>
                    </w:rPr>
                  </m:ctrlPr>
                </m:dPr>
                <m:e>
                  <m:r>
                    <w:rPr>
                      <w:rFonts w:ascii="Cambria Math" w:hAnsi="Cambria Math" w:cstheme="minorHAnsi"/>
                      <w:color w:val="auto"/>
                    </w:rPr>
                    <m:t>I</m:t>
                  </m:r>
                </m:e>
              </m:d>
            </m:num>
            <m:den>
              <m:r>
                <w:rPr>
                  <w:rFonts w:ascii="Cambria Math" w:hAnsi="Cambria Math" w:cstheme="minorHAnsi"/>
                  <w:color w:val="auto"/>
                </w:rPr>
                <m:t>Ki</m:t>
              </m:r>
            </m:den>
          </m:f>
          <m:r>
            <w:rPr>
              <w:rFonts w:ascii="Cambria Math" w:hAnsi="Cambria Math" w:cstheme="minorHAnsi"/>
              <w:color w:val="auto"/>
            </w:rPr>
            <m:t>)</m:t>
          </m:r>
        </m:oMath>
      </m:oMathPara>
    </w:p>
    <w:p w14:paraId="1AAA368C" w14:textId="77777777" w:rsidR="00E033F1" w:rsidRDefault="00E033F1" w:rsidP="00E033F1">
      <w:pPr>
        <w:contextualSpacing/>
        <w:rPr>
          <w:b/>
          <w:color w:val="auto"/>
        </w:rPr>
      </w:pPr>
      <w:bookmarkStart w:id="12" w:name="_Ref21439588"/>
    </w:p>
    <w:p w14:paraId="4673E9D7" w14:textId="296B7668" w:rsidR="006E265E" w:rsidRPr="00E033F1" w:rsidRDefault="006E265E" w:rsidP="00E033F1">
      <w:pPr>
        <w:contextualSpacing/>
        <w:rPr>
          <w:b/>
          <w:color w:val="auto"/>
        </w:rPr>
      </w:pPr>
      <w:r w:rsidRPr="00E033F1">
        <w:rPr>
          <w:b/>
          <w:color w:val="auto"/>
        </w:rPr>
        <w:t xml:space="preserve">Equation </w:t>
      </w:r>
      <w:r w:rsidRPr="00E033F1">
        <w:rPr>
          <w:b/>
          <w:color w:val="auto"/>
        </w:rPr>
        <w:fldChar w:fldCharType="begin"/>
      </w:r>
      <w:r w:rsidRPr="00E033F1">
        <w:rPr>
          <w:b/>
          <w:color w:val="auto"/>
        </w:rPr>
        <w:instrText xml:space="preserve"> SEQ Equation \* ARABIC </w:instrText>
      </w:r>
      <w:r w:rsidRPr="00E033F1">
        <w:rPr>
          <w:b/>
          <w:color w:val="auto"/>
        </w:rPr>
        <w:fldChar w:fldCharType="separate"/>
      </w:r>
      <w:r w:rsidR="008502DF" w:rsidRPr="00E033F1">
        <w:rPr>
          <w:b/>
          <w:noProof/>
          <w:color w:val="auto"/>
        </w:rPr>
        <w:t>5</w:t>
      </w:r>
      <w:r w:rsidRPr="00E033F1">
        <w:rPr>
          <w:b/>
          <w:color w:val="auto"/>
        </w:rPr>
        <w:fldChar w:fldCharType="end"/>
      </w:r>
      <w:bookmarkEnd w:id="12"/>
    </w:p>
    <w:p w14:paraId="1E16AEE9" w14:textId="6740E953" w:rsidR="00BA1C46" w:rsidRPr="00E033F1" w:rsidRDefault="00BA1C46" w:rsidP="00E033F1">
      <w:pPr>
        <w:contextualSpacing/>
        <w:rPr>
          <w:b/>
          <w:color w:val="auto"/>
        </w:rPr>
      </w:pPr>
    </w:p>
    <w:p w14:paraId="1F0F8A3A" w14:textId="6AE90FA9" w:rsidR="00BA1C46" w:rsidRPr="00E033F1" w:rsidRDefault="00BA1C46" w:rsidP="00E033F1">
      <w:pPr>
        <w:contextualSpacing/>
        <w:rPr>
          <w:color w:val="auto"/>
        </w:rPr>
      </w:pPr>
      <m:oMathPara>
        <m:oMathParaPr>
          <m:jc m:val="left"/>
        </m:oMathParaPr>
        <m:oMath>
          <m:r>
            <w:rPr>
              <w:rFonts w:ascii="Cambria Math" w:hAnsi="Cambria Math"/>
              <w:color w:val="auto"/>
            </w:rPr>
            <m:t>Y</m:t>
          </m:r>
          <m:r>
            <m:rPr>
              <m:sty m:val="p"/>
            </m:rPr>
            <w:rPr>
              <w:rFonts w:ascii="Cambria Math" w:hAnsi="Cambria Math"/>
              <w:color w:val="auto"/>
            </w:rPr>
            <m:t>=</m:t>
          </m:r>
          <m:r>
            <w:rPr>
              <w:rFonts w:ascii="Cambria Math" w:hAnsi="Cambria Math"/>
              <w:color w:val="auto"/>
            </w:rPr>
            <m:t>Vmax</m:t>
          </m:r>
          <m:r>
            <m:rPr>
              <m:sty m:val="p"/>
            </m:rPr>
            <w:rPr>
              <w:rFonts w:ascii="Cambria Math" w:hAnsi="Cambria Math"/>
              <w:color w:val="auto"/>
            </w:rPr>
            <m:t>*</m:t>
          </m:r>
          <m:r>
            <w:rPr>
              <w:rFonts w:ascii="Cambria Math" w:hAnsi="Cambria Math"/>
              <w:color w:val="auto"/>
            </w:rPr>
            <m:t>X</m:t>
          </m:r>
          <m:d>
            <m:dPr>
              <m:ctrlPr>
                <w:rPr>
                  <w:rFonts w:ascii="Cambria Math" w:hAnsi="Cambria Math"/>
                  <w:color w:val="auto"/>
                </w:rPr>
              </m:ctrlPr>
            </m:dPr>
            <m:e>
              <m:sSub>
                <m:sSubPr>
                  <m:ctrlPr>
                    <w:rPr>
                      <w:rFonts w:ascii="Cambria Math" w:hAnsi="Cambria Math"/>
                      <w:color w:val="auto"/>
                    </w:rPr>
                  </m:ctrlPr>
                </m:sSubPr>
                <m:e>
                  <m:r>
                    <w:rPr>
                      <w:rFonts w:ascii="Cambria Math" w:hAnsi="Cambria Math"/>
                      <w:color w:val="auto"/>
                    </w:rPr>
                    <m:t>Km</m:t>
                  </m:r>
                </m:e>
                <m:sub>
                  <m:r>
                    <w:rPr>
                      <w:rFonts w:ascii="Cambria Math" w:hAnsi="Cambria Math"/>
                      <w:color w:val="auto"/>
                    </w:rPr>
                    <m:t>obs</m:t>
                  </m:r>
                </m:sub>
              </m:sSub>
              <m:r>
                <m:rPr>
                  <m:sty m:val="p"/>
                </m:rPr>
                <w:rPr>
                  <w:rFonts w:ascii="Cambria Math" w:hAnsi="Cambria Math"/>
                  <w:color w:val="auto"/>
                </w:rPr>
                <m:t>+</m:t>
              </m:r>
              <m:r>
                <w:rPr>
                  <w:rFonts w:ascii="Cambria Math" w:hAnsi="Cambria Math"/>
                  <w:color w:val="auto"/>
                </w:rPr>
                <m:t>X</m:t>
              </m:r>
            </m:e>
          </m:d>
        </m:oMath>
      </m:oMathPara>
    </w:p>
    <w:p w14:paraId="4BEB7D91" w14:textId="243CF55A" w:rsidR="00831EA9" w:rsidRPr="00E033F1" w:rsidRDefault="00831EA9" w:rsidP="00E033F1">
      <w:pPr>
        <w:contextualSpacing/>
        <w:rPr>
          <w:rFonts w:asciiTheme="minorHAnsi" w:hAnsiTheme="minorHAnsi" w:cstheme="minorHAnsi"/>
          <w:color w:val="auto"/>
        </w:rPr>
      </w:pPr>
    </w:p>
    <w:p w14:paraId="4C8EDCAA" w14:textId="0F856287" w:rsidR="00893A14" w:rsidRDefault="006E265E" w:rsidP="00E033F1">
      <w:pPr>
        <w:contextualSpacing/>
        <w:rPr>
          <w:rFonts w:asciiTheme="minorHAnsi" w:hAnsiTheme="minorHAnsi" w:cstheme="minorHAnsi"/>
          <w:color w:val="auto"/>
        </w:rPr>
      </w:pPr>
      <w:r w:rsidRPr="00E033F1">
        <w:rPr>
          <w:rFonts w:asciiTheme="minorHAnsi" w:hAnsiTheme="minorHAnsi" w:cstheme="minorHAnsi"/>
          <w:color w:val="auto"/>
        </w:rPr>
        <w:t>w</w:t>
      </w:r>
      <w:r w:rsidR="00BA1C46" w:rsidRPr="00E033F1">
        <w:rPr>
          <w:rFonts w:asciiTheme="minorHAnsi" w:hAnsiTheme="minorHAnsi" w:cstheme="minorHAnsi"/>
          <w:color w:val="auto"/>
        </w:rPr>
        <w:t>here K</w:t>
      </w:r>
      <w:r w:rsidR="00BA1C46" w:rsidRPr="00E033F1">
        <w:rPr>
          <w:rFonts w:asciiTheme="minorHAnsi" w:hAnsiTheme="minorHAnsi" w:cstheme="minorHAnsi"/>
          <w:color w:val="auto"/>
          <w:vertAlign w:val="subscript"/>
        </w:rPr>
        <w:t>m</w:t>
      </w:r>
      <w:r w:rsidR="006748D2" w:rsidRPr="00E033F1">
        <w:rPr>
          <w:rFonts w:asciiTheme="minorHAnsi" w:hAnsiTheme="minorHAnsi" w:cstheme="minorHAnsi"/>
          <w:color w:val="auto"/>
          <w:vertAlign w:val="subscript"/>
        </w:rPr>
        <w:t xml:space="preserve"> </w:t>
      </w:r>
      <w:proofErr w:type="spellStart"/>
      <w:r w:rsidR="00BA1C46" w:rsidRPr="00E033F1">
        <w:rPr>
          <w:rFonts w:asciiTheme="minorHAnsi" w:hAnsiTheme="minorHAnsi" w:cstheme="minorHAnsi"/>
          <w:color w:val="auto"/>
          <w:vertAlign w:val="subscript"/>
        </w:rPr>
        <w:t>obs</w:t>
      </w:r>
      <w:proofErr w:type="spellEnd"/>
      <w:r w:rsidR="00BA1C46" w:rsidRPr="00E033F1">
        <w:rPr>
          <w:rFonts w:asciiTheme="minorHAnsi" w:hAnsiTheme="minorHAnsi" w:cstheme="minorHAnsi"/>
          <w:color w:val="auto"/>
        </w:rPr>
        <w:t xml:space="preserve"> is the observed Michaelis</w:t>
      </w:r>
      <w:r w:rsidR="007567E1" w:rsidRPr="00E033F1">
        <w:rPr>
          <w:rFonts w:asciiTheme="minorHAnsi" w:hAnsiTheme="minorHAnsi" w:cstheme="minorHAnsi"/>
          <w:color w:val="auto"/>
        </w:rPr>
        <w:t>–</w:t>
      </w:r>
      <w:r w:rsidR="00BA1C46" w:rsidRPr="00E033F1">
        <w:rPr>
          <w:rFonts w:asciiTheme="minorHAnsi" w:hAnsiTheme="minorHAnsi" w:cstheme="minorHAnsi"/>
          <w:color w:val="auto"/>
        </w:rPr>
        <w:t xml:space="preserve">Menten constant,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BA1C46" w:rsidRPr="00E033F1">
        <w:rPr>
          <w:rFonts w:asciiTheme="minorHAnsi" w:hAnsiTheme="minorHAnsi" w:cstheme="minorHAnsi"/>
          <w:color w:val="auto"/>
        </w:rPr>
        <w:t xml:space="preserve"> </w:t>
      </w:r>
      <w:r w:rsidRPr="00E033F1">
        <w:rPr>
          <w:rFonts w:asciiTheme="minorHAnsi" w:hAnsiTheme="minorHAnsi" w:cstheme="minorHAnsi"/>
          <w:color w:val="auto"/>
        </w:rPr>
        <w:t xml:space="preserve">is </w:t>
      </w:r>
      <w:r w:rsidR="00BA1C46" w:rsidRPr="00E033F1">
        <w:rPr>
          <w:rFonts w:asciiTheme="minorHAnsi" w:hAnsiTheme="minorHAnsi" w:cstheme="minorHAnsi"/>
          <w:color w:val="auto"/>
        </w:rPr>
        <w:t>the Michaelis</w:t>
      </w:r>
      <w:r w:rsidR="007567E1" w:rsidRPr="00E033F1">
        <w:rPr>
          <w:rFonts w:asciiTheme="minorHAnsi" w:hAnsiTheme="minorHAnsi" w:cstheme="minorHAnsi"/>
          <w:color w:val="auto"/>
        </w:rPr>
        <w:t>–</w:t>
      </w:r>
      <w:r w:rsidR="00BA1C46" w:rsidRPr="00E033F1">
        <w:rPr>
          <w:rFonts w:asciiTheme="minorHAnsi" w:hAnsiTheme="minorHAnsi" w:cstheme="minorHAnsi"/>
          <w:color w:val="auto"/>
        </w:rPr>
        <w:t>Menten constant</w:t>
      </w:r>
      <w:r w:rsidR="00E60ABD" w:rsidRPr="00E033F1">
        <w:rPr>
          <w:rFonts w:asciiTheme="minorHAnsi" w:hAnsiTheme="minorHAnsi" w:cstheme="minorHAnsi"/>
          <w:color w:val="auto"/>
        </w:rPr>
        <w:t xml:space="preserve"> of the control</w:t>
      </w:r>
      <w:r w:rsidR="00BA1C46" w:rsidRPr="00E033F1">
        <w:rPr>
          <w:rFonts w:asciiTheme="minorHAnsi" w:hAnsiTheme="minorHAnsi" w:cstheme="minorHAnsi"/>
          <w:color w:val="auto"/>
        </w:rPr>
        <w:t xml:space="preserve">, </w:t>
      </w:r>
      <w:r w:rsidR="00F96C4A" w:rsidRPr="00E033F1">
        <w:rPr>
          <w:rFonts w:asciiTheme="minorHAnsi" w:hAnsiTheme="minorHAnsi" w:cstheme="minorHAnsi"/>
          <w:color w:val="auto"/>
          <w:sz w:val="22"/>
        </w:rPr>
        <w:t>[</w:t>
      </w:r>
      <w:r w:rsidR="00BA1C46" w:rsidRPr="00E033F1">
        <w:rPr>
          <w:rFonts w:asciiTheme="minorHAnsi" w:hAnsiTheme="minorHAnsi" w:cstheme="minorHAnsi"/>
          <w:i/>
          <w:iCs/>
          <w:color w:val="auto"/>
        </w:rPr>
        <w:t>I</w:t>
      </w:r>
      <w:r w:rsidR="00F96C4A" w:rsidRPr="00E033F1">
        <w:rPr>
          <w:rFonts w:asciiTheme="minorHAnsi" w:hAnsiTheme="minorHAnsi" w:cstheme="minorHAnsi"/>
          <w:color w:val="auto"/>
        </w:rPr>
        <w:t>]</w:t>
      </w:r>
      <w:r w:rsidRPr="00E033F1">
        <w:rPr>
          <w:rFonts w:asciiTheme="minorHAnsi" w:hAnsiTheme="minorHAnsi" w:cstheme="minorHAnsi"/>
          <w:color w:val="auto"/>
        </w:rPr>
        <w:t xml:space="preserve"> is</w:t>
      </w:r>
      <w:r w:rsidR="00BA1C46" w:rsidRPr="00E033F1">
        <w:rPr>
          <w:rFonts w:asciiTheme="minorHAnsi" w:hAnsiTheme="minorHAnsi" w:cstheme="minorHAnsi"/>
          <w:color w:val="auto"/>
        </w:rPr>
        <w:t xml:space="preserve"> the inhibitor concentration, K</w:t>
      </w:r>
      <w:r w:rsidR="00BA1C46" w:rsidRPr="00E033F1">
        <w:rPr>
          <w:rFonts w:asciiTheme="minorHAnsi" w:hAnsiTheme="minorHAnsi" w:cstheme="minorHAnsi"/>
          <w:color w:val="auto"/>
          <w:vertAlign w:val="subscript"/>
        </w:rPr>
        <w:t>i</w:t>
      </w:r>
      <w:r w:rsidR="00BA1C46" w:rsidRPr="00E033F1">
        <w:rPr>
          <w:rFonts w:asciiTheme="minorHAnsi" w:hAnsiTheme="minorHAnsi" w:cstheme="minorHAnsi"/>
          <w:color w:val="auto"/>
        </w:rPr>
        <w:t xml:space="preserve"> </w:t>
      </w:r>
      <w:r w:rsidRPr="00E033F1">
        <w:rPr>
          <w:rFonts w:asciiTheme="minorHAnsi" w:hAnsiTheme="minorHAnsi" w:cstheme="minorHAnsi"/>
          <w:color w:val="auto"/>
        </w:rPr>
        <w:t xml:space="preserve">is </w:t>
      </w:r>
      <w:r w:rsidR="00BA1C46" w:rsidRPr="00E033F1">
        <w:rPr>
          <w:rFonts w:asciiTheme="minorHAnsi" w:hAnsiTheme="minorHAnsi" w:cstheme="minorHAnsi"/>
          <w:color w:val="auto"/>
        </w:rPr>
        <w:t xml:space="preserve">the constant of inhibition, Y </w:t>
      </w:r>
      <w:r w:rsidRPr="00E033F1">
        <w:rPr>
          <w:rFonts w:asciiTheme="minorHAnsi" w:hAnsiTheme="minorHAnsi" w:cstheme="minorHAnsi"/>
          <w:color w:val="auto"/>
        </w:rPr>
        <w:t xml:space="preserve">is </w:t>
      </w:r>
      <w:r w:rsidR="00BA1C46" w:rsidRPr="00E033F1">
        <w:rPr>
          <w:rFonts w:asciiTheme="minorHAnsi" w:hAnsiTheme="minorHAnsi" w:cstheme="minorHAnsi"/>
          <w:color w:val="auto"/>
        </w:rPr>
        <w:t xml:space="preserve">the </w:t>
      </w:r>
      <w:r w:rsidR="003D6A55" w:rsidRPr="00E033F1">
        <w:rPr>
          <w:rFonts w:asciiTheme="minorHAnsi" w:hAnsiTheme="minorHAnsi" w:cstheme="minorHAnsi"/>
          <w:color w:val="auto"/>
        </w:rPr>
        <w:t>velocity</w:t>
      </w:r>
      <w:r w:rsidRPr="00E033F1">
        <w:rPr>
          <w:rFonts w:asciiTheme="minorHAnsi" w:hAnsiTheme="minorHAnsi" w:cstheme="minorHAnsi"/>
          <w:color w:val="auto"/>
        </w:rPr>
        <w:t>,</w:t>
      </w:r>
      <w:r w:rsidR="003D6A55" w:rsidRPr="00E033F1">
        <w:rPr>
          <w:rFonts w:asciiTheme="minorHAnsi" w:hAnsiTheme="minorHAnsi" w:cstheme="minorHAnsi"/>
          <w:color w:val="auto"/>
        </w:rPr>
        <w:t xml:space="preserve"> </w:t>
      </w:r>
      <w:r w:rsidR="00BA1C46" w:rsidRPr="00E033F1">
        <w:rPr>
          <w:rFonts w:asciiTheme="minorHAnsi" w:hAnsiTheme="minorHAnsi" w:cstheme="minorHAnsi"/>
          <w:color w:val="auto"/>
        </w:rPr>
        <w:t xml:space="preserve">and X </w:t>
      </w:r>
      <w:r w:rsidRPr="00E033F1">
        <w:rPr>
          <w:rFonts w:asciiTheme="minorHAnsi" w:hAnsiTheme="minorHAnsi" w:cstheme="minorHAnsi"/>
          <w:color w:val="auto"/>
        </w:rPr>
        <w:t xml:space="preserve">is </w:t>
      </w:r>
      <w:r w:rsidR="00BA1C46" w:rsidRPr="00E033F1">
        <w:rPr>
          <w:rFonts w:asciiTheme="minorHAnsi" w:hAnsiTheme="minorHAnsi" w:cstheme="minorHAnsi"/>
          <w:color w:val="auto"/>
        </w:rPr>
        <w:t xml:space="preserve">the substrate concentration. </w:t>
      </w:r>
    </w:p>
    <w:p w14:paraId="0B21A059" w14:textId="77777777" w:rsidR="00E033F1" w:rsidRPr="00E033F1" w:rsidRDefault="00E033F1" w:rsidP="00E033F1">
      <w:pPr>
        <w:contextualSpacing/>
        <w:rPr>
          <w:rFonts w:asciiTheme="minorHAnsi" w:hAnsiTheme="minorHAnsi" w:cstheme="minorHAnsi"/>
          <w:color w:val="auto"/>
        </w:rPr>
      </w:pPr>
    </w:p>
    <w:p w14:paraId="5F5D4428" w14:textId="2D9BEA6D" w:rsidR="005F4315" w:rsidRPr="00E033F1" w:rsidRDefault="00C54573" w:rsidP="00E033F1">
      <w:pPr>
        <w:contextualSpacing/>
        <w:rPr>
          <w:rFonts w:asciiTheme="minorHAnsi" w:hAnsiTheme="minorHAnsi" w:cstheme="minorHAnsi"/>
          <w:color w:val="auto"/>
        </w:rPr>
      </w:pPr>
      <w:r w:rsidRPr="00E033F1">
        <w:rPr>
          <w:rFonts w:asciiTheme="minorHAnsi" w:hAnsiTheme="minorHAnsi" w:cstheme="minorHAnsi"/>
          <w:color w:val="auto"/>
        </w:rPr>
        <w:t xml:space="preserve">The calculations are based on the same experiments </w:t>
      </w:r>
      <w:r w:rsidR="006E265E" w:rsidRPr="00E033F1">
        <w:rPr>
          <w:rFonts w:asciiTheme="minorHAnsi" w:hAnsiTheme="minorHAnsi" w:cstheme="minorHAnsi"/>
          <w:color w:val="auto"/>
        </w:rPr>
        <w:t xml:space="preserve">as </w:t>
      </w:r>
      <w:r w:rsidRPr="00E033F1">
        <w:rPr>
          <w:rFonts w:asciiTheme="minorHAnsi" w:hAnsiTheme="minorHAnsi" w:cstheme="minorHAnsi"/>
          <w:color w:val="auto"/>
        </w:rPr>
        <w:t>the assessment of the mode of inhibition.</w:t>
      </w:r>
      <w:r w:rsidR="00202F81" w:rsidRPr="00E033F1">
        <w:rPr>
          <w:rFonts w:asciiTheme="minorHAnsi" w:hAnsiTheme="minorHAnsi" w:cstheme="minorHAnsi"/>
          <w:color w:val="auto"/>
        </w:rPr>
        <w:t xml:space="preserve"> The K</w:t>
      </w:r>
      <w:r w:rsidR="00202F81" w:rsidRPr="00E033F1">
        <w:rPr>
          <w:rFonts w:asciiTheme="minorHAnsi" w:hAnsiTheme="minorHAnsi" w:cstheme="minorHAnsi"/>
          <w:color w:val="auto"/>
          <w:vertAlign w:val="subscript"/>
        </w:rPr>
        <w:t>i</w:t>
      </w:r>
      <w:r w:rsidR="00202F81" w:rsidRPr="00E033F1">
        <w:rPr>
          <w:rFonts w:asciiTheme="minorHAnsi" w:hAnsiTheme="minorHAnsi" w:cstheme="minorHAnsi"/>
          <w:color w:val="auto"/>
        </w:rPr>
        <w:t xml:space="preserve"> </w:t>
      </w:r>
      <w:r w:rsidR="00CF2A8F" w:rsidRPr="00E033F1">
        <w:rPr>
          <w:rFonts w:asciiTheme="minorHAnsi" w:hAnsiTheme="minorHAnsi" w:cstheme="minorHAnsi"/>
          <w:color w:val="auto"/>
        </w:rPr>
        <w:t xml:space="preserve">estimated </w:t>
      </w:r>
      <w:r w:rsidR="00202F81" w:rsidRPr="00E033F1">
        <w:rPr>
          <w:rFonts w:asciiTheme="minorHAnsi" w:hAnsiTheme="minorHAnsi" w:cstheme="minorHAnsi"/>
          <w:color w:val="auto"/>
        </w:rPr>
        <w:t>for curcumin</w:t>
      </w:r>
      <w:r w:rsidR="006E265E" w:rsidRPr="00E033F1">
        <w:rPr>
          <w:rFonts w:asciiTheme="minorHAnsi" w:hAnsiTheme="minorHAnsi" w:cstheme="minorHAnsi"/>
          <w:color w:val="auto"/>
        </w:rPr>
        <w:t>’s inhibition of</w:t>
      </w:r>
      <w:r w:rsidR="00202F81" w:rsidRPr="00E033F1">
        <w:rPr>
          <w:rFonts w:asciiTheme="minorHAnsi" w:hAnsiTheme="minorHAnsi" w:cstheme="minorHAnsi"/>
          <w:color w:val="auto"/>
        </w:rPr>
        <w:t xml:space="preserve"> GST from equine liver </w:t>
      </w:r>
      <w:r w:rsidR="00D77EBE" w:rsidRPr="00E033F1">
        <w:rPr>
          <w:rFonts w:asciiTheme="minorHAnsi" w:hAnsiTheme="minorHAnsi" w:cstheme="minorHAnsi"/>
          <w:color w:val="auto"/>
        </w:rPr>
        <w:t>was</w:t>
      </w:r>
      <w:r w:rsidR="00202F81" w:rsidRPr="00E033F1">
        <w:rPr>
          <w:rFonts w:asciiTheme="minorHAnsi" w:hAnsiTheme="minorHAnsi" w:cstheme="minorHAnsi"/>
          <w:color w:val="auto"/>
        </w:rPr>
        <w:t xml:space="preserve"> 2</w:t>
      </w:r>
      <w:r w:rsidR="00F8650B" w:rsidRPr="00E033F1">
        <w:rPr>
          <w:rFonts w:asciiTheme="minorHAnsi" w:hAnsiTheme="minorHAnsi" w:cstheme="minorHAnsi"/>
          <w:color w:val="auto"/>
        </w:rPr>
        <w:t>3.2 ± 3.2</w:t>
      </w:r>
      <w:r w:rsidR="007567E1" w:rsidRPr="00E033F1">
        <w:rPr>
          <w:rFonts w:asciiTheme="minorHAnsi" w:hAnsiTheme="minorHAnsi" w:cstheme="minorHAnsi"/>
          <w:color w:val="auto"/>
        </w:rPr>
        <w:t> </w:t>
      </w:r>
      <w:r w:rsidR="00B33C23" w:rsidRPr="00E033F1">
        <w:rPr>
          <w:rFonts w:asciiTheme="minorHAnsi" w:hAnsiTheme="minorHAnsi" w:cstheme="minorHAnsi"/>
          <w:color w:val="auto"/>
        </w:rPr>
        <w:t>µ</w:t>
      </w:r>
      <w:r w:rsidR="00F21878" w:rsidRPr="00E033F1">
        <w:rPr>
          <w:rFonts w:asciiTheme="minorHAnsi" w:hAnsiTheme="minorHAnsi" w:cstheme="minorHAnsi"/>
          <w:color w:val="auto"/>
        </w:rPr>
        <w:t>M.</w:t>
      </w:r>
      <w:r w:rsidR="00E94412" w:rsidRPr="00E033F1">
        <w:rPr>
          <w:rFonts w:asciiTheme="minorHAnsi" w:hAnsiTheme="minorHAnsi" w:cstheme="minorHAnsi"/>
          <w:color w:val="auto"/>
        </w:rPr>
        <w:t xml:space="preserve"> </w:t>
      </w:r>
    </w:p>
    <w:p w14:paraId="6A101A3F" w14:textId="09CEAEBC" w:rsidR="00ED32FB" w:rsidRPr="00E033F1" w:rsidRDefault="00ED32FB" w:rsidP="00E033F1">
      <w:pPr>
        <w:contextualSpacing/>
        <w:rPr>
          <w:rFonts w:asciiTheme="minorHAnsi" w:hAnsiTheme="minorHAnsi" w:cstheme="minorHAnsi"/>
          <w:color w:val="auto"/>
        </w:rPr>
      </w:pPr>
    </w:p>
    <w:p w14:paraId="7C6DF2B6" w14:textId="0B03DE3E" w:rsidR="00883750" w:rsidRDefault="00883750" w:rsidP="00E033F1">
      <w:pPr>
        <w:pStyle w:val="NormalWeb"/>
        <w:spacing w:before="0" w:beforeAutospacing="0" w:after="0" w:afterAutospacing="0"/>
        <w:contextualSpacing/>
        <w:rPr>
          <w:rFonts w:asciiTheme="minorHAnsi" w:hAnsiTheme="minorHAnsi" w:cstheme="minorHAnsi"/>
          <w:bCs/>
          <w:color w:val="auto"/>
        </w:rPr>
      </w:pPr>
      <w:r w:rsidRPr="00E033F1">
        <w:rPr>
          <w:rFonts w:asciiTheme="minorHAnsi" w:hAnsiTheme="minorHAnsi" w:cstheme="minorHAnsi"/>
          <w:bCs/>
          <w:color w:val="auto"/>
        </w:rPr>
        <w:t>(Place Figure 1 here)</w:t>
      </w:r>
    </w:p>
    <w:p w14:paraId="2E71B2FC" w14:textId="77777777" w:rsidR="00E033F1" w:rsidRPr="00E033F1" w:rsidRDefault="00E033F1" w:rsidP="00E033F1">
      <w:pPr>
        <w:pStyle w:val="NormalWeb"/>
        <w:spacing w:before="0" w:beforeAutospacing="0" w:after="0" w:afterAutospacing="0"/>
        <w:contextualSpacing/>
        <w:rPr>
          <w:rFonts w:asciiTheme="minorHAnsi" w:hAnsiTheme="minorHAnsi" w:cstheme="minorHAnsi"/>
          <w:bCs/>
          <w:color w:val="auto"/>
        </w:rPr>
      </w:pPr>
    </w:p>
    <w:p w14:paraId="21052ED3" w14:textId="4F34D7D7" w:rsidR="00883750" w:rsidRPr="00E033F1" w:rsidRDefault="00883750" w:rsidP="00E033F1">
      <w:pPr>
        <w:contextualSpacing/>
        <w:rPr>
          <w:color w:val="auto"/>
        </w:rPr>
      </w:pPr>
      <w:bookmarkStart w:id="13" w:name="_Ref43899297"/>
      <w:r w:rsidRPr="00E033F1">
        <w:rPr>
          <w:b/>
          <w:color w:val="auto"/>
        </w:rPr>
        <w:t xml:space="preserve">Figure </w:t>
      </w:r>
      <w:r w:rsidRPr="00E033F1">
        <w:rPr>
          <w:b/>
          <w:color w:val="auto"/>
        </w:rPr>
        <w:fldChar w:fldCharType="begin"/>
      </w:r>
      <w:r w:rsidRPr="00E033F1">
        <w:rPr>
          <w:b/>
          <w:color w:val="auto"/>
        </w:rPr>
        <w:instrText xml:space="preserve"> SEQ Figure \* ARABIC </w:instrText>
      </w:r>
      <w:r w:rsidRPr="00E033F1">
        <w:rPr>
          <w:b/>
          <w:color w:val="auto"/>
        </w:rPr>
        <w:fldChar w:fldCharType="separate"/>
      </w:r>
      <w:r w:rsidR="008502DF" w:rsidRPr="00E033F1">
        <w:rPr>
          <w:b/>
          <w:noProof/>
          <w:color w:val="auto"/>
        </w:rPr>
        <w:t>1</w:t>
      </w:r>
      <w:r w:rsidRPr="00E033F1">
        <w:rPr>
          <w:b/>
          <w:color w:val="auto"/>
        </w:rPr>
        <w:fldChar w:fldCharType="end"/>
      </w:r>
      <w:bookmarkEnd w:id="13"/>
      <w:r w:rsidRPr="00E033F1">
        <w:rPr>
          <w:b/>
          <w:color w:val="auto"/>
        </w:rPr>
        <w:t>: Flowchart describing the steps of the GST enzymatic and inhibition assay</w:t>
      </w:r>
      <w:r w:rsidR="000D03A4" w:rsidRPr="00E033F1">
        <w:rPr>
          <w:b/>
          <w:color w:val="auto"/>
        </w:rPr>
        <w:t>s</w:t>
      </w:r>
      <w:r w:rsidRPr="00E033F1">
        <w:rPr>
          <w:b/>
          <w:color w:val="auto"/>
        </w:rPr>
        <w:t xml:space="preserve">. </w:t>
      </w:r>
      <w:r w:rsidRPr="00E033F1">
        <w:rPr>
          <w:color w:val="auto"/>
        </w:rPr>
        <w:t xml:space="preserve">Details about the procedure are presented in the protocol section. </w:t>
      </w:r>
    </w:p>
    <w:p w14:paraId="6F7C4040" w14:textId="77777777" w:rsidR="00883750" w:rsidRPr="00E033F1" w:rsidRDefault="00883750" w:rsidP="00E033F1">
      <w:pPr>
        <w:contextualSpacing/>
        <w:rPr>
          <w:rFonts w:asciiTheme="minorHAnsi" w:hAnsiTheme="minorHAnsi" w:cstheme="minorHAnsi"/>
          <w:bCs/>
          <w:color w:val="auto"/>
        </w:rPr>
      </w:pPr>
    </w:p>
    <w:p w14:paraId="0DC4E4C2" w14:textId="081EC187" w:rsidR="00ED32FB" w:rsidRDefault="00B21307" w:rsidP="00E033F1">
      <w:pPr>
        <w:contextualSpacing/>
        <w:rPr>
          <w:color w:val="auto"/>
        </w:rPr>
      </w:pPr>
      <w:r w:rsidRPr="00E033F1">
        <w:rPr>
          <w:color w:val="auto"/>
        </w:rPr>
        <w:t xml:space="preserve">(Place Figure </w:t>
      </w:r>
      <w:r w:rsidR="002473D8" w:rsidRPr="00E033F1">
        <w:rPr>
          <w:color w:val="auto"/>
        </w:rPr>
        <w:t>2</w:t>
      </w:r>
      <w:r w:rsidRPr="00E033F1">
        <w:rPr>
          <w:color w:val="auto"/>
        </w:rPr>
        <w:t xml:space="preserve"> here)</w:t>
      </w:r>
    </w:p>
    <w:p w14:paraId="1EF30A19" w14:textId="77777777" w:rsidR="00E033F1" w:rsidRPr="00E033F1" w:rsidRDefault="00E033F1" w:rsidP="00E033F1">
      <w:pPr>
        <w:contextualSpacing/>
        <w:rPr>
          <w:b/>
          <w:color w:val="auto"/>
          <w:sz w:val="28"/>
        </w:rPr>
      </w:pPr>
    </w:p>
    <w:p w14:paraId="41C336F2" w14:textId="259A3DA6" w:rsidR="00BA1C46" w:rsidRPr="00E033F1" w:rsidRDefault="005F4315" w:rsidP="00E033F1">
      <w:pPr>
        <w:contextualSpacing/>
        <w:rPr>
          <w:b/>
          <w:color w:val="auto"/>
        </w:rPr>
      </w:pPr>
      <w:bookmarkStart w:id="14" w:name="_Ref43888855"/>
      <w:r w:rsidRPr="00E033F1">
        <w:rPr>
          <w:b/>
          <w:color w:val="auto"/>
        </w:rPr>
        <w:lastRenderedPageBreak/>
        <w:t xml:space="preserve">Figure </w:t>
      </w:r>
      <w:r w:rsidRPr="00E033F1">
        <w:rPr>
          <w:b/>
          <w:color w:val="auto"/>
        </w:rPr>
        <w:fldChar w:fldCharType="begin"/>
      </w:r>
      <w:r w:rsidRPr="00E033F1">
        <w:rPr>
          <w:b/>
          <w:color w:val="auto"/>
        </w:rPr>
        <w:instrText xml:space="preserve"> SEQ Figure \* ARABIC </w:instrText>
      </w:r>
      <w:r w:rsidRPr="00E033F1">
        <w:rPr>
          <w:b/>
          <w:color w:val="auto"/>
        </w:rPr>
        <w:fldChar w:fldCharType="separate"/>
      </w:r>
      <w:r w:rsidR="008502DF" w:rsidRPr="00E033F1">
        <w:rPr>
          <w:b/>
          <w:noProof/>
          <w:color w:val="auto"/>
        </w:rPr>
        <w:t>2</w:t>
      </w:r>
      <w:r w:rsidRPr="00E033F1">
        <w:rPr>
          <w:b/>
          <w:color w:val="auto"/>
        </w:rPr>
        <w:fldChar w:fldCharType="end"/>
      </w:r>
      <w:bookmarkEnd w:id="14"/>
      <w:r w:rsidR="0048207F" w:rsidRPr="00E033F1">
        <w:rPr>
          <w:b/>
          <w:color w:val="auto"/>
        </w:rPr>
        <w:t xml:space="preserve">: </w:t>
      </w:r>
      <w:r w:rsidR="00B12851" w:rsidRPr="00E033F1">
        <w:rPr>
          <w:b/>
          <w:color w:val="auto"/>
        </w:rPr>
        <w:t xml:space="preserve">Michaelis-Menten plot of GST </w:t>
      </w:r>
      <w:r w:rsidR="000D03A4" w:rsidRPr="00E033F1">
        <w:rPr>
          <w:b/>
          <w:color w:val="auto"/>
        </w:rPr>
        <w:t xml:space="preserve">enzyme </w:t>
      </w:r>
      <w:r w:rsidR="00B12851" w:rsidRPr="00E033F1">
        <w:rPr>
          <w:b/>
          <w:color w:val="auto"/>
        </w:rPr>
        <w:t xml:space="preserve">activity. </w:t>
      </w:r>
      <w:r w:rsidR="007551AF" w:rsidRPr="00E033F1">
        <w:rPr>
          <w:color w:val="auto"/>
        </w:rPr>
        <w:t xml:space="preserve">Increased concentration of the substrate CDNB were used with a fixed concentration of GSH (2.5 mM) to determine the GST activity from a pool of GST from equine liver. </w:t>
      </w:r>
      <w:r w:rsidR="004B5E1E" w:rsidRPr="00E033F1">
        <w:rPr>
          <w:rFonts w:asciiTheme="minorHAnsi" w:hAnsiTheme="minorHAnsi" w:cstheme="minorHAnsi"/>
          <w:bCs/>
          <w:color w:val="auto"/>
        </w:rPr>
        <w:t>K</w:t>
      </w:r>
      <w:r w:rsidR="004B5E1E" w:rsidRPr="00E033F1">
        <w:rPr>
          <w:rFonts w:asciiTheme="minorHAnsi" w:hAnsiTheme="minorHAnsi" w:cstheme="minorHAnsi"/>
          <w:bCs/>
          <w:color w:val="auto"/>
          <w:vertAlign w:val="subscript"/>
        </w:rPr>
        <w:t>m</w:t>
      </w:r>
      <w:r w:rsidR="006E265E" w:rsidRPr="00E033F1">
        <w:rPr>
          <w:color w:val="auto"/>
        </w:rPr>
        <w:t xml:space="preserve"> </w:t>
      </w:r>
      <w:r w:rsidR="007551AF" w:rsidRPr="00E033F1">
        <w:rPr>
          <w:color w:val="auto"/>
        </w:rPr>
        <w:t>value</w:t>
      </w:r>
      <w:r w:rsidR="00372395" w:rsidRPr="00E033F1">
        <w:rPr>
          <w:color w:val="auto"/>
        </w:rPr>
        <w:t xml:space="preserve"> for CDNB</w:t>
      </w:r>
      <w:r w:rsidR="007551AF" w:rsidRPr="00E033F1">
        <w:rPr>
          <w:color w:val="auto"/>
        </w:rPr>
        <w:t xml:space="preserve"> was determined as </w:t>
      </w:r>
      <w:r w:rsidR="0048207F" w:rsidRPr="00E033F1">
        <w:rPr>
          <w:color w:val="auto"/>
        </w:rPr>
        <w:t>0.26</w:t>
      </w:r>
      <w:r w:rsidR="00F8650B" w:rsidRPr="00E033F1">
        <w:rPr>
          <w:color w:val="auto"/>
        </w:rPr>
        <w:t xml:space="preserve"> ± 0.08</w:t>
      </w:r>
      <w:r w:rsidR="007567E1" w:rsidRPr="00E033F1">
        <w:rPr>
          <w:color w:val="auto"/>
        </w:rPr>
        <w:t> </w:t>
      </w:r>
      <w:r w:rsidR="0048207F" w:rsidRPr="00E033F1">
        <w:rPr>
          <w:color w:val="auto"/>
        </w:rPr>
        <w:t>mM</w:t>
      </w:r>
      <w:r w:rsidR="007551AF" w:rsidRPr="00E033F1">
        <w:rPr>
          <w:color w:val="auto"/>
        </w:rPr>
        <w:t xml:space="preserve"> according to the curve of the graph</w:t>
      </w:r>
      <w:r w:rsidR="0048207F" w:rsidRPr="00E033F1">
        <w:rPr>
          <w:color w:val="auto"/>
        </w:rPr>
        <w:t>.</w:t>
      </w:r>
      <w:r w:rsidR="00AF67DF" w:rsidRPr="00E033F1">
        <w:rPr>
          <w:color w:val="auto"/>
        </w:rPr>
        <w:t xml:space="preserve"> </w:t>
      </w:r>
      <w:r w:rsidR="000D03A4" w:rsidRPr="00E033F1">
        <w:rPr>
          <w:color w:val="auto"/>
        </w:rPr>
        <w:t xml:space="preserve">Each data point on the plot </w:t>
      </w:r>
      <w:r w:rsidR="000A4AE8" w:rsidRPr="00E033F1">
        <w:rPr>
          <w:color w:val="auto"/>
        </w:rPr>
        <w:t>represents</w:t>
      </w:r>
      <w:r w:rsidR="00AF67DF" w:rsidRPr="00E033F1">
        <w:rPr>
          <w:color w:val="auto"/>
        </w:rPr>
        <w:t xml:space="preserve"> the mean of four</w:t>
      </w:r>
      <w:r w:rsidR="00AF67DF" w:rsidRPr="00E033F1">
        <w:rPr>
          <w:b/>
          <w:color w:val="auto"/>
        </w:rPr>
        <w:t xml:space="preserve"> </w:t>
      </w:r>
      <w:r w:rsidR="00AF67DF" w:rsidRPr="00E033F1">
        <w:rPr>
          <w:color w:val="auto"/>
        </w:rPr>
        <w:t>different experiment</w:t>
      </w:r>
      <w:r w:rsidR="00A177B1" w:rsidRPr="00E033F1">
        <w:rPr>
          <w:color w:val="auto"/>
        </w:rPr>
        <w:t>al run</w:t>
      </w:r>
      <w:r w:rsidR="00AF67DF" w:rsidRPr="00E033F1">
        <w:rPr>
          <w:color w:val="auto"/>
        </w:rPr>
        <w:t>s with SD.</w:t>
      </w:r>
    </w:p>
    <w:p w14:paraId="2D477991" w14:textId="5632E98F" w:rsidR="00FD6DA3" w:rsidRPr="00E033F1" w:rsidRDefault="00FD6DA3" w:rsidP="00E033F1">
      <w:pPr>
        <w:contextualSpacing/>
        <w:rPr>
          <w:color w:val="auto"/>
          <w:sz w:val="22"/>
        </w:rPr>
      </w:pPr>
    </w:p>
    <w:p w14:paraId="7A36FADF" w14:textId="697783EE" w:rsidR="00B21307" w:rsidRDefault="00B21307" w:rsidP="00E033F1">
      <w:pPr>
        <w:contextualSpacing/>
        <w:rPr>
          <w:color w:val="auto"/>
        </w:rPr>
      </w:pPr>
      <w:r w:rsidRPr="00E033F1">
        <w:rPr>
          <w:color w:val="auto"/>
        </w:rPr>
        <w:t xml:space="preserve">(Place Figure </w:t>
      </w:r>
      <w:r w:rsidR="002473D8" w:rsidRPr="00E033F1">
        <w:rPr>
          <w:color w:val="auto"/>
        </w:rPr>
        <w:t>3</w:t>
      </w:r>
      <w:r w:rsidRPr="00E033F1">
        <w:rPr>
          <w:color w:val="auto"/>
        </w:rPr>
        <w:t xml:space="preserve"> here)</w:t>
      </w:r>
    </w:p>
    <w:p w14:paraId="290D3886" w14:textId="77777777" w:rsidR="00E033F1" w:rsidRPr="00E033F1" w:rsidRDefault="00E033F1" w:rsidP="00E033F1">
      <w:pPr>
        <w:contextualSpacing/>
        <w:rPr>
          <w:b/>
          <w:color w:val="auto"/>
          <w:sz w:val="28"/>
        </w:rPr>
      </w:pPr>
    </w:p>
    <w:p w14:paraId="1FE2DF33" w14:textId="451FEA08" w:rsidR="003B2798" w:rsidRPr="00E033F1" w:rsidRDefault="005F4315" w:rsidP="00E033F1">
      <w:pPr>
        <w:contextualSpacing/>
        <w:rPr>
          <w:b/>
          <w:color w:val="auto"/>
        </w:rPr>
      </w:pPr>
      <w:bookmarkStart w:id="15" w:name="_Ref43888919"/>
      <w:r w:rsidRPr="00E033F1">
        <w:rPr>
          <w:b/>
          <w:color w:val="auto"/>
        </w:rPr>
        <w:t xml:space="preserve">Figure </w:t>
      </w:r>
      <w:r w:rsidRPr="00E033F1">
        <w:rPr>
          <w:b/>
          <w:color w:val="auto"/>
        </w:rPr>
        <w:fldChar w:fldCharType="begin"/>
      </w:r>
      <w:r w:rsidRPr="00E033F1">
        <w:rPr>
          <w:b/>
          <w:color w:val="auto"/>
        </w:rPr>
        <w:instrText xml:space="preserve"> SEQ Figure \* ARABIC </w:instrText>
      </w:r>
      <w:r w:rsidRPr="00E033F1">
        <w:rPr>
          <w:b/>
          <w:color w:val="auto"/>
        </w:rPr>
        <w:fldChar w:fldCharType="separate"/>
      </w:r>
      <w:r w:rsidR="008502DF" w:rsidRPr="00E033F1">
        <w:rPr>
          <w:b/>
          <w:noProof/>
          <w:color w:val="auto"/>
        </w:rPr>
        <w:t>3</w:t>
      </w:r>
      <w:r w:rsidRPr="00E033F1">
        <w:rPr>
          <w:b/>
          <w:color w:val="auto"/>
        </w:rPr>
        <w:fldChar w:fldCharType="end"/>
      </w:r>
      <w:bookmarkEnd w:id="15"/>
      <w:r w:rsidRPr="00E033F1">
        <w:rPr>
          <w:b/>
          <w:color w:val="auto"/>
        </w:rPr>
        <w:t xml:space="preserve">: </w:t>
      </w:r>
      <w:r w:rsidR="000A4AE8" w:rsidRPr="00E033F1">
        <w:rPr>
          <w:b/>
          <w:color w:val="auto"/>
        </w:rPr>
        <w:t xml:space="preserve">Effect of </w:t>
      </w:r>
      <w:r w:rsidR="00A177B1" w:rsidRPr="00E033F1">
        <w:rPr>
          <w:b/>
          <w:color w:val="auto"/>
        </w:rPr>
        <w:t>curcumin</w:t>
      </w:r>
      <w:r w:rsidR="005C2928" w:rsidRPr="00E033F1">
        <w:rPr>
          <w:b/>
          <w:color w:val="auto"/>
        </w:rPr>
        <w:t xml:space="preserve"> and ethacrynic acid</w:t>
      </w:r>
      <w:r w:rsidR="000A4AE8" w:rsidRPr="00E033F1">
        <w:rPr>
          <w:b/>
          <w:color w:val="auto"/>
        </w:rPr>
        <w:t xml:space="preserve"> on GST enzyme </w:t>
      </w:r>
      <w:r w:rsidR="00F5371A" w:rsidRPr="00E033F1">
        <w:rPr>
          <w:b/>
          <w:color w:val="auto"/>
        </w:rPr>
        <w:t>activity.</w:t>
      </w:r>
      <w:r w:rsidR="002C7193" w:rsidRPr="00E033F1">
        <w:rPr>
          <w:b/>
          <w:color w:val="auto"/>
        </w:rPr>
        <w:t xml:space="preserve"> </w:t>
      </w:r>
      <w:r w:rsidR="00AF0CC1" w:rsidRPr="00E033F1">
        <w:rPr>
          <w:color w:val="auto"/>
        </w:rPr>
        <w:t>(</w:t>
      </w:r>
      <w:r w:rsidR="00AF0CC1" w:rsidRPr="00E033F1">
        <w:rPr>
          <w:b/>
          <w:color w:val="auto"/>
        </w:rPr>
        <w:t>A-B</w:t>
      </w:r>
      <w:r w:rsidR="00AF0CC1" w:rsidRPr="00E033F1">
        <w:rPr>
          <w:color w:val="auto"/>
        </w:rPr>
        <w:t>)</w:t>
      </w:r>
      <w:r w:rsidR="00AF0CC1" w:rsidRPr="00E033F1">
        <w:rPr>
          <w:b/>
          <w:color w:val="auto"/>
        </w:rPr>
        <w:t xml:space="preserve"> </w:t>
      </w:r>
      <w:r w:rsidR="00372395" w:rsidRPr="00E033F1">
        <w:rPr>
          <w:color w:val="auto"/>
        </w:rPr>
        <w:t xml:space="preserve">Addition of </w:t>
      </w:r>
      <w:r w:rsidR="00AF0CC1" w:rsidRPr="00E033F1">
        <w:rPr>
          <w:color w:val="auto"/>
        </w:rPr>
        <w:t>increasing</w:t>
      </w:r>
      <w:r w:rsidR="00372395" w:rsidRPr="00E033F1">
        <w:rPr>
          <w:color w:val="auto"/>
        </w:rPr>
        <w:t xml:space="preserve"> concentration</w:t>
      </w:r>
      <w:r w:rsidR="000A4AE8" w:rsidRPr="00E033F1">
        <w:rPr>
          <w:color w:val="auto"/>
        </w:rPr>
        <w:t>s</w:t>
      </w:r>
      <w:r w:rsidR="00372395" w:rsidRPr="00E033F1">
        <w:rPr>
          <w:color w:val="auto"/>
        </w:rPr>
        <w:t xml:space="preserve"> of </w:t>
      </w:r>
      <w:r w:rsidR="000133C0" w:rsidRPr="00E033F1">
        <w:rPr>
          <w:color w:val="auto"/>
        </w:rPr>
        <w:t xml:space="preserve">either </w:t>
      </w:r>
      <w:r w:rsidR="00372395" w:rsidRPr="00E033F1">
        <w:rPr>
          <w:color w:val="auto"/>
        </w:rPr>
        <w:t>curcumin</w:t>
      </w:r>
      <w:r w:rsidR="000133C0" w:rsidRPr="00E033F1">
        <w:rPr>
          <w:color w:val="auto"/>
        </w:rPr>
        <w:t xml:space="preserve"> (</w:t>
      </w:r>
      <w:r w:rsidR="000133C0" w:rsidRPr="00E033F1">
        <w:rPr>
          <w:b/>
          <w:color w:val="auto"/>
        </w:rPr>
        <w:t>A</w:t>
      </w:r>
      <w:r w:rsidR="000133C0" w:rsidRPr="00E033F1">
        <w:rPr>
          <w:color w:val="auto"/>
        </w:rPr>
        <w:t>) or the positive control ethacrynic acid (</w:t>
      </w:r>
      <w:r w:rsidR="000133C0" w:rsidRPr="00E033F1">
        <w:rPr>
          <w:b/>
          <w:color w:val="auto"/>
        </w:rPr>
        <w:t>B</w:t>
      </w:r>
      <w:r w:rsidR="000133C0" w:rsidRPr="00E033F1">
        <w:rPr>
          <w:color w:val="auto"/>
        </w:rPr>
        <w:t>)</w:t>
      </w:r>
      <w:r w:rsidR="00372395" w:rsidRPr="00E033F1">
        <w:rPr>
          <w:color w:val="auto"/>
        </w:rPr>
        <w:t>, whilst keeping the same GST</w:t>
      </w:r>
      <w:r w:rsidR="000133C0" w:rsidRPr="00E033F1">
        <w:rPr>
          <w:color w:val="auto"/>
        </w:rPr>
        <w:t xml:space="preserve"> (0.01 </w:t>
      </w:r>
      <w:r w:rsidR="00553515">
        <w:rPr>
          <w:color w:val="auto"/>
        </w:rPr>
        <w:t>U</w:t>
      </w:r>
      <w:r w:rsidR="000133C0" w:rsidRPr="00E033F1">
        <w:rPr>
          <w:color w:val="auto"/>
        </w:rPr>
        <w:t>/mL</w:t>
      </w:r>
      <w:r w:rsidR="00AF0CC1" w:rsidRPr="00E033F1">
        <w:rPr>
          <w:color w:val="auto"/>
        </w:rPr>
        <w:t>)</w:t>
      </w:r>
      <w:r w:rsidR="00372395" w:rsidRPr="00E033F1">
        <w:rPr>
          <w:color w:val="auto"/>
        </w:rPr>
        <w:t>, GSH (2.5 mM) and CDNB (</w:t>
      </w:r>
      <w:r w:rsidR="00CA5743" w:rsidRPr="00E033F1">
        <w:rPr>
          <w:color w:val="auto"/>
        </w:rPr>
        <w:t>0.2 mM) final concentrations were used to calculate the IC50 of</w:t>
      </w:r>
      <w:r w:rsidR="000133C0" w:rsidRPr="00E033F1">
        <w:rPr>
          <w:color w:val="auto"/>
        </w:rPr>
        <w:t xml:space="preserve"> both compounds</w:t>
      </w:r>
      <w:r w:rsidR="00CA5743" w:rsidRPr="00E033F1">
        <w:rPr>
          <w:color w:val="auto"/>
        </w:rPr>
        <w:t xml:space="preserve"> for GST from equine liver with a non-linear regression. IC50 was determined as 31.6 ± 3.6 </w:t>
      </w:r>
      <w:r w:rsidR="00B33C23" w:rsidRPr="00E033F1">
        <w:rPr>
          <w:color w:val="auto"/>
        </w:rPr>
        <w:t>µ</w:t>
      </w:r>
      <w:r w:rsidR="00CA5743" w:rsidRPr="00E033F1">
        <w:rPr>
          <w:color w:val="auto"/>
        </w:rPr>
        <w:t>M</w:t>
      </w:r>
      <w:r w:rsidR="000133C0" w:rsidRPr="00E033F1">
        <w:rPr>
          <w:color w:val="auto"/>
        </w:rPr>
        <w:t xml:space="preserve"> for curcumin and</w:t>
      </w:r>
      <w:r w:rsidR="00CA5743" w:rsidRPr="00E033F1">
        <w:rPr>
          <w:color w:val="auto"/>
        </w:rPr>
        <w:t xml:space="preserve"> 6.6 ± 1.1 </w:t>
      </w:r>
      <w:r w:rsidR="00B33C23" w:rsidRPr="00E033F1">
        <w:rPr>
          <w:color w:val="auto"/>
        </w:rPr>
        <w:t>µ</w:t>
      </w:r>
      <w:r w:rsidR="00CA5743" w:rsidRPr="00E033F1">
        <w:rPr>
          <w:color w:val="auto"/>
        </w:rPr>
        <w:t xml:space="preserve">M for ethacrynic acid. </w:t>
      </w:r>
      <w:r w:rsidR="00F5371A" w:rsidRPr="00E033F1">
        <w:rPr>
          <w:color w:val="auto"/>
        </w:rPr>
        <w:t>(</w:t>
      </w:r>
      <w:r w:rsidR="00F5371A" w:rsidRPr="00E033F1">
        <w:rPr>
          <w:b/>
          <w:color w:val="auto"/>
        </w:rPr>
        <w:t>C</w:t>
      </w:r>
      <w:r w:rsidR="00F5371A" w:rsidRPr="00E033F1">
        <w:rPr>
          <w:color w:val="auto"/>
        </w:rPr>
        <w:t>) Michaelis</w:t>
      </w:r>
      <w:r w:rsidR="007567E1" w:rsidRPr="00E033F1">
        <w:rPr>
          <w:color w:val="auto"/>
        </w:rPr>
        <w:t>–</w:t>
      </w:r>
      <w:r w:rsidR="00F5371A" w:rsidRPr="00E033F1">
        <w:rPr>
          <w:color w:val="auto"/>
        </w:rPr>
        <w:t xml:space="preserve">Menten </w:t>
      </w:r>
      <w:r w:rsidR="0083555C" w:rsidRPr="00E033F1">
        <w:rPr>
          <w:color w:val="auto"/>
        </w:rPr>
        <w:t xml:space="preserve">plot </w:t>
      </w:r>
      <w:r w:rsidR="00F5371A" w:rsidRPr="00E033F1">
        <w:rPr>
          <w:color w:val="auto"/>
        </w:rPr>
        <w:t>of different concentration</w:t>
      </w:r>
      <w:r w:rsidR="00A63D5D" w:rsidRPr="00E033F1">
        <w:rPr>
          <w:color w:val="auto"/>
        </w:rPr>
        <w:t>s</w:t>
      </w:r>
      <w:r w:rsidR="00F5371A" w:rsidRPr="00E033F1">
        <w:rPr>
          <w:color w:val="auto"/>
        </w:rPr>
        <w:t xml:space="preserve"> of curcumin</w:t>
      </w:r>
      <w:r w:rsidR="00A177B1" w:rsidRPr="00E033F1">
        <w:rPr>
          <w:color w:val="auto"/>
        </w:rPr>
        <w:t>,</w:t>
      </w:r>
      <w:r w:rsidR="00F5371A" w:rsidRPr="00E033F1">
        <w:rPr>
          <w:color w:val="auto"/>
        </w:rPr>
        <w:t xml:space="preserve"> tested </w:t>
      </w:r>
      <w:r w:rsidR="00D2105D" w:rsidRPr="00E033F1">
        <w:rPr>
          <w:color w:val="auto"/>
        </w:rPr>
        <w:t>against</w:t>
      </w:r>
      <w:r w:rsidR="00F5371A" w:rsidRPr="00E033F1">
        <w:rPr>
          <w:color w:val="auto"/>
        </w:rPr>
        <w:t xml:space="preserve"> </w:t>
      </w:r>
      <w:r w:rsidR="000133C0" w:rsidRPr="00E033F1">
        <w:rPr>
          <w:color w:val="auto"/>
        </w:rPr>
        <w:t xml:space="preserve">varying </w:t>
      </w:r>
      <w:r w:rsidR="00F5371A" w:rsidRPr="00E033F1">
        <w:rPr>
          <w:color w:val="auto"/>
        </w:rPr>
        <w:t xml:space="preserve">concentrations of </w:t>
      </w:r>
      <w:r w:rsidR="00A177B1" w:rsidRPr="00E033F1">
        <w:rPr>
          <w:color w:val="auto"/>
        </w:rPr>
        <w:t xml:space="preserve">CDNB </w:t>
      </w:r>
      <w:r w:rsidR="00F5371A" w:rsidRPr="00E033F1">
        <w:rPr>
          <w:color w:val="auto"/>
        </w:rPr>
        <w:t>substrate</w:t>
      </w:r>
      <w:r w:rsidR="000133C0" w:rsidRPr="00E033F1">
        <w:rPr>
          <w:color w:val="auto"/>
        </w:rPr>
        <w:t xml:space="preserve"> indicating a competitive mode of inhibition</w:t>
      </w:r>
      <w:r w:rsidR="00F5371A" w:rsidRPr="00E033F1">
        <w:rPr>
          <w:color w:val="auto"/>
        </w:rPr>
        <w:t xml:space="preserve">. </w:t>
      </w:r>
      <w:r w:rsidR="00920214" w:rsidRPr="00E033F1">
        <w:rPr>
          <w:color w:val="auto"/>
        </w:rPr>
        <w:t xml:space="preserve">With no inhibitor, </w:t>
      </w:r>
      <w:r w:rsidR="00920214" w:rsidRPr="00E033F1">
        <w:rPr>
          <w:rFonts w:asciiTheme="minorHAnsi" w:hAnsiTheme="minorHAnsi" w:cstheme="minorHAnsi"/>
          <w:color w:val="auto"/>
        </w:rPr>
        <w:t>V</w:t>
      </w:r>
      <w:r w:rsidR="00920214" w:rsidRPr="00E033F1">
        <w:rPr>
          <w:rFonts w:asciiTheme="minorHAnsi" w:hAnsiTheme="minorHAnsi" w:cstheme="minorHAnsi"/>
          <w:color w:val="auto"/>
          <w:vertAlign w:val="subscript"/>
        </w:rPr>
        <w:t>max</w:t>
      </w:r>
      <w:r w:rsidR="00920214" w:rsidRPr="00E033F1">
        <w:rPr>
          <w:color w:val="auto"/>
        </w:rPr>
        <w:t xml:space="preserve"> and </w:t>
      </w:r>
      <w:r w:rsidR="00920214" w:rsidRPr="00E033F1">
        <w:rPr>
          <w:rFonts w:asciiTheme="minorHAnsi" w:hAnsiTheme="minorHAnsi" w:cstheme="minorHAnsi"/>
          <w:bCs/>
          <w:color w:val="auto"/>
        </w:rPr>
        <w:t>K</w:t>
      </w:r>
      <w:r w:rsidR="00920214" w:rsidRPr="00E033F1">
        <w:rPr>
          <w:rFonts w:asciiTheme="minorHAnsi" w:hAnsiTheme="minorHAnsi" w:cstheme="minorHAnsi"/>
          <w:bCs/>
          <w:color w:val="auto"/>
          <w:vertAlign w:val="subscript"/>
        </w:rPr>
        <w:t xml:space="preserve">m </w:t>
      </w:r>
      <w:r w:rsidR="00920214" w:rsidRPr="00E033F1">
        <w:rPr>
          <w:rFonts w:asciiTheme="minorHAnsi" w:hAnsiTheme="minorHAnsi" w:cstheme="minorHAnsi"/>
          <w:bCs/>
          <w:color w:val="auto"/>
        </w:rPr>
        <w:t xml:space="preserve">were </w:t>
      </w:r>
      <w:r w:rsidR="000133C0" w:rsidRPr="00E033F1">
        <w:rPr>
          <w:rFonts w:asciiTheme="minorHAnsi" w:hAnsiTheme="minorHAnsi" w:cstheme="minorHAnsi"/>
          <w:bCs/>
          <w:color w:val="auto"/>
        </w:rPr>
        <w:t xml:space="preserve">measured as </w:t>
      </w:r>
      <w:r w:rsidR="003869B4" w:rsidRPr="00E033F1">
        <w:rPr>
          <w:rFonts w:asciiTheme="minorHAnsi" w:hAnsiTheme="minorHAnsi" w:cstheme="minorHAnsi"/>
          <w:bCs/>
          <w:color w:val="auto"/>
        </w:rPr>
        <w:t xml:space="preserve">132.7 ± 4.6 </w:t>
      </w:r>
      <w:r w:rsidR="00B33C23" w:rsidRPr="00E033F1">
        <w:rPr>
          <w:rFonts w:asciiTheme="minorHAnsi" w:hAnsiTheme="minorHAnsi" w:cstheme="minorHAnsi"/>
          <w:bCs/>
          <w:color w:val="auto"/>
        </w:rPr>
        <w:t>µ</w:t>
      </w:r>
      <w:r w:rsidR="003869B4" w:rsidRPr="00E033F1">
        <w:rPr>
          <w:rFonts w:asciiTheme="minorHAnsi" w:hAnsiTheme="minorHAnsi" w:cstheme="minorHAnsi"/>
          <w:bCs/>
          <w:color w:val="auto"/>
        </w:rPr>
        <w:t xml:space="preserve">M and 0.5 ± 0.08 </w:t>
      </w:r>
      <w:r w:rsidR="00B33C23" w:rsidRPr="00E033F1">
        <w:rPr>
          <w:rFonts w:asciiTheme="minorHAnsi" w:hAnsiTheme="minorHAnsi" w:cstheme="minorHAnsi"/>
          <w:bCs/>
          <w:color w:val="auto"/>
        </w:rPr>
        <w:t>µ</w:t>
      </w:r>
      <w:r w:rsidR="003869B4" w:rsidRPr="00E033F1">
        <w:rPr>
          <w:rFonts w:asciiTheme="minorHAnsi" w:hAnsiTheme="minorHAnsi" w:cstheme="minorHAnsi"/>
          <w:bCs/>
          <w:color w:val="auto"/>
        </w:rPr>
        <w:t>M</w:t>
      </w:r>
      <w:r w:rsidR="00E033F1">
        <w:rPr>
          <w:rFonts w:asciiTheme="minorHAnsi" w:hAnsiTheme="minorHAnsi" w:cstheme="minorHAnsi"/>
          <w:bCs/>
          <w:color w:val="auto"/>
        </w:rPr>
        <w:t>,</w:t>
      </w:r>
      <w:r w:rsidR="003869B4" w:rsidRPr="00E033F1">
        <w:rPr>
          <w:rFonts w:asciiTheme="minorHAnsi" w:hAnsiTheme="minorHAnsi" w:cstheme="minorHAnsi"/>
          <w:bCs/>
          <w:color w:val="auto"/>
        </w:rPr>
        <w:t xml:space="preserve"> respectively. With 30 </w:t>
      </w:r>
      <w:r w:rsidR="00B33C23" w:rsidRPr="00E033F1">
        <w:rPr>
          <w:rFonts w:asciiTheme="minorHAnsi" w:hAnsiTheme="minorHAnsi" w:cstheme="minorHAnsi"/>
          <w:bCs/>
          <w:color w:val="auto"/>
        </w:rPr>
        <w:t>µ</w:t>
      </w:r>
      <w:r w:rsidR="003869B4" w:rsidRPr="00E033F1">
        <w:rPr>
          <w:rFonts w:asciiTheme="minorHAnsi" w:hAnsiTheme="minorHAnsi" w:cstheme="minorHAnsi"/>
          <w:bCs/>
          <w:color w:val="auto"/>
        </w:rPr>
        <w:t xml:space="preserve">M of curcumin, </w:t>
      </w:r>
      <w:r w:rsidR="003869B4" w:rsidRPr="00E033F1">
        <w:rPr>
          <w:rFonts w:asciiTheme="minorHAnsi" w:hAnsiTheme="minorHAnsi" w:cstheme="minorHAnsi"/>
          <w:color w:val="auto"/>
        </w:rPr>
        <w:t>V</w:t>
      </w:r>
      <w:r w:rsidR="003869B4" w:rsidRPr="00E033F1">
        <w:rPr>
          <w:rFonts w:asciiTheme="minorHAnsi" w:hAnsiTheme="minorHAnsi" w:cstheme="minorHAnsi"/>
          <w:color w:val="auto"/>
          <w:vertAlign w:val="subscript"/>
        </w:rPr>
        <w:t>max</w:t>
      </w:r>
      <w:r w:rsidR="003869B4" w:rsidRPr="00E033F1">
        <w:rPr>
          <w:color w:val="auto"/>
        </w:rPr>
        <w:t xml:space="preserve"> and </w:t>
      </w:r>
      <w:r w:rsidR="003869B4" w:rsidRPr="00E033F1">
        <w:rPr>
          <w:rFonts w:asciiTheme="minorHAnsi" w:hAnsiTheme="minorHAnsi" w:cstheme="minorHAnsi"/>
          <w:bCs/>
          <w:color w:val="auto"/>
        </w:rPr>
        <w:t>K</w:t>
      </w:r>
      <w:r w:rsidR="003869B4" w:rsidRPr="00E033F1">
        <w:rPr>
          <w:rFonts w:asciiTheme="minorHAnsi" w:hAnsiTheme="minorHAnsi" w:cstheme="minorHAnsi"/>
          <w:bCs/>
          <w:color w:val="auto"/>
          <w:vertAlign w:val="subscript"/>
        </w:rPr>
        <w:t xml:space="preserve">m </w:t>
      </w:r>
      <w:r w:rsidR="003869B4" w:rsidRPr="00E033F1">
        <w:rPr>
          <w:rFonts w:asciiTheme="minorHAnsi" w:hAnsiTheme="minorHAnsi" w:cstheme="minorHAnsi"/>
          <w:bCs/>
          <w:color w:val="auto"/>
        </w:rPr>
        <w:t xml:space="preserve">were 130.4 ± 13.1 </w:t>
      </w:r>
      <w:r w:rsidR="00B33C23" w:rsidRPr="00E033F1">
        <w:rPr>
          <w:rFonts w:asciiTheme="minorHAnsi" w:hAnsiTheme="minorHAnsi" w:cstheme="minorHAnsi"/>
          <w:bCs/>
          <w:color w:val="auto"/>
        </w:rPr>
        <w:t>µ</w:t>
      </w:r>
      <w:r w:rsidR="003869B4" w:rsidRPr="00E033F1">
        <w:rPr>
          <w:rFonts w:asciiTheme="minorHAnsi" w:hAnsiTheme="minorHAnsi" w:cstheme="minorHAnsi"/>
          <w:bCs/>
          <w:color w:val="auto"/>
        </w:rPr>
        <w:t xml:space="preserve">M and 1.08 ± 0.39 </w:t>
      </w:r>
      <w:r w:rsidR="00B33C23" w:rsidRPr="00E033F1">
        <w:rPr>
          <w:rFonts w:asciiTheme="minorHAnsi" w:hAnsiTheme="minorHAnsi" w:cstheme="minorHAnsi"/>
          <w:bCs/>
          <w:color w:val="auto"/>
        </w:rPr>
        <w:t>µ</w:t>
      </w:r>
      <w:r w:rsidR="003869B4" w:rsidRPr="00E033F1">
        <w:rPr>
          <w:rFonts w:asciiTheme="minorHAnsi" w:hAnsiTheme="minorHAnsi" w:cstheme="minorHAnsi"/>
          <w:bCs/>
          <w:color w:val="auto"/>
        </w:rPr>
        <w:t>M</w:t>
      </w:r>
      <w:r w:rsidR="00202F81" w:rsidRPr="00E033F1">
        <w:rPr>
          <w:color w:val="auto"/>
        </w:rPr>
        <w:t>.</w:t>
      </w:r>
      <w:r w:rsidR="00625996" w:rsidRPr="00E033F1">
        <w:rPr>
          <w:color w:val="auto"/>
        </w:rPr>
        <w:t xml:space="preserve"> </w:t>
      </w:r>
      <w:bookmarkStart w:id="16" w:name="OLE_LINK2"/>
      <w:r w:rsidR="0083555C" w:rsidRPr="00E033F1">
        <w:rPr>
          <w:color w:val="auto"/>
        </w:rPr>
        <w:t>Data points in all</w:t>
      </w:r>
      <w:r w:rsidR="006F6F95" w:rsidRPr="00E033F1">
        <w:rPr>
          <w:color w:val="auto"/>
        </w:rPr>
        <w:t xml:space="preserve"> graphs</w:t>
      </w:r>
      <w:r w:rsidR="000133C0" w:rsidRPr="00E033F1">
        <w:rPr>
          <w:color w:val="auto"/>
        </w:rPr>
        <w:t xml:space="preserve"> (</w:t>
      </w:r>
      <w:r w:rsidR="000133C0" w:rsidRPr="00E033F1">
        <w:rPr>
          <w:b/>
          <w:color w:val="auto"/>
        </w:rPr>
        <w:t>A-C</w:t>
      </w:r>
      <w:r w:rsidR="000133C0" w:rsidRPr="00E033F1">
        <w:rPr>
          <w:color w:val="auto"/>
        </w:rPr>
        <w:t>)</w:t>
      </w:r>
      <w:r w:rsidR="006F6F95" w:rsidRPr="00E033F1">
        <w:rPr>
          <w:color w:val="auto"/>
        </w:rPr>
        <w:t xml:space="preserve"> </w:t>
      </w:r>
      <w:r w:rsidR="0083555C" w:rsidRPr="00E033F1">
        <w:rPr>
          <w:color w:val="auto"/>
        </w:rPr>
        <w:t xml:space="preserve">represent </w:t>
      </w:r>
      <w:r w:rsidR="006F6F95" w:rsidRPr="00E033F1">
        <w:rPr>
          <w:color w:val="auto"/>
        </w:rPr>
        <w:t>the means of</w:t>
      </w:r>
      <w:r w:rsidR="00A85FCC" w:rsidRPr="00E033F1">
        <w:rPr>
          <w:color w:val="auto"/>
        </w:rPr>
        <w:t xml:space="preserve"> </w:t>
      </w:r>
      <w:r w:rsidR="00520FEB" w:rsidRPr="00E033F1">
        <w:rPr>
          <w:color w:val="auto"/>
        </w:rPr>
        <w:t>three different experiment</w:t>
      </w:r>
      <w:r w:rsidR="00A177B1" w:rsidRPr="00E033F1">
        <w:rPr>
          <w:color w:val="auto"/>
        </w:rPr>
        <w:t>al run</w:t>
      </w:r>
      <w:r w:rsidR="00520FEB" w:rsidRPr="00E033F1">
        <w:rPr>
          <w:color w:val="auto"/>
        </w:rPr>
        <w:t>s with SD.</w:t>
      </w:r>
    </w:p>
    <w:bookmarkEnd w:id="16"/>
    <w:p w14:paraId="2FDAD8B0" w14:textId="2D3B80B8" w:rsidR="004B6550" w:rsidRPr="00E033F1" w:rsidRDefault="004B6550" w:rsidP="00E033F1">
      <w:pPr>
        <w:contextualSpacing/>
        <w:rPr>
          <w:rFonts w:asciiTheme="minorHAnsi" w:hAnsiTheme="minorHAnsi" w:cstheme="minorHAnsi"/>
          <w:color w:val="auto"/>
        </w:rPr>
      </w:pPr>
    </w:p>
    <w:p w14:paraId="4D05EB2E" w14:textId="2B880C55" w:rsidR="007C543A" w:rsidRPr="00E033F1" w:rsidRDefault="006305D7" w:rsidP="00E033F1">
      <w:pPr>
        <w:widowControl/>
        <w:autoSpaceDE/>
        <w:autoSpaceDN/>
        <w:adjustRightInd/>
        <w:contextualSpacing/>
        <w:jc w:val="left"/>
        <w:rPr>
          <w:rFonts w:asciiTheme="minorHAnsi" w:hAnsiTheme="minorHAnsi" w:cstheme="minorHAnsi"/>
          <w:b/>
          <w:bCs/>
          <w:color w:val="auto"/>
        </w:rPr>
      </w:pPr>
      <w:r w:rsidRPr="00E033F1">
        <w:rPr>
          <w:rFonts w:asciiTheme="minorHAnsi" w:hAnsiTheme="minorHAnsi" w:cstheme="minorHAnsi"/>
          <w:b/>
          <w:color w:val="auto"/>
        </w:rPr>
        <w:t>DISCUSSION</w:t>
      </w:r>
      <w:r w:rsidRPr="00E033F1">
        <w:rPr>
          <w:rFonts w:asciiTheme="minorHAnsi" w:hAnsiTheme="minorHAnsi" w:cstheme="minorHAnsi"/>
          <w:b/>
          <w:bCs/>
          <w:color w:val="auto"/>
        </w:rPr>
        <w:t xml:space="preserve">: </w:t>
      </w:r>
    </w:p>
    <w:p w14:paraId="50793E10" w14:textId="0DE2EC16" w:rsidR="00D8512B" w:rsidRPr="00E033F1" w:rsidRDefault="007D4049" w:rsidP="00E033F1">
      <w:pPr>
        <w:contextualSpacing/>
        <w:rPr>
          <w:color w:val="auto"/>
        </w:rPr>
      </w:pPr>
      <w:r w:rsidRPr="00E033F1">
        <w:rPr>
          <w:color w:val="auto"/>
        </w:rPr>
        <w:t>We provide a protocol</w:t>
      </w:r>
      <w:r w:rsidR="004B6550" w:rsidRPr="00E033F1">
        <w:rPr>
          <w:color w:val="auto"/>
        </w:rPr>
        <w:t xml:space="preserve"> describ</w:t>
      </w:r>
      <w:r w:rsidRPr="00E033F1">
        <w:rPr>
          <w:color w:val="auto"/>
        </w:rPr>
        <w:t>ing</w:t>
      </w:r>
      <w:r w:rsidR="002364FA" w:rsidRPr="00E033F1">
        <w:rPr>
          <w:color w:val="auto"/>
        </w:rPr>
        <w:t xml:space="preserve"> </w:t>
      </w:r>
      <w:r w:rsidRPr="00E033F1">
        <w:rPr>
          <w:color w:val="auto"/>
        </w:rPr>
        <w:t xml:space="preserve">each step of a spectrophotometric GST </w:t>
      </w:r>
      <w:r w:rsidR="00EE6B80" w:rsidRPr="00E033F1">
        <w:rPr>
          <w:color w:val="auto"/>
        </w:rPr>
        <w:t>enzyme</w:t>
      </w:r>
      <w:r w:rsidRPr="00E033F1">
        <w:rPr>
          <w:color w:val="auto"/>
        </w:rPr>
        <w:t xml:space="preserve"> assay, to screen p</w:t>
      </w:r>
      <w:r w:rsidR="00FB52CD" w:rsidRPr="00E033F1">
        <w:rPr>
          <w:color w:val="auto"/>
        </w:rPr>
        <w:t>utative inhibitors</w:t>
      </w:r>
      <w:r w:rsidRPr="00E033F1">
        <w:rPr>
          <w:color w:val="auto"/>
        </w:rPr>
        <w:t xml:space="preserve"> (</w:t>
      </w:r>
      <w:r w:rsidRPr="00E033F1">
        <w:rPr>
          <w:color w:val="auto"/>
        </w:rPr>
        <w:fldChar w:fldCharType="begin"/>
      </w:r>
      <w:r w:rsidRPr="00E033F1">
        <w:rPr>
          <w:color w:val="auto"/>
        </w:rPr>
        <w:instrText xml:space="preserve"> REF _Ref43899297 \h </w:instrText>
      </w:r>
      <w:r w:rsidR="00E033F1">
        <w:rPr>
          <w:color w:val="auto"/>
        </w:rPr>
        <w:instrText xml:space="preserve"> \* MERGEFORMAT </w:instrText>
      </w:r>
      <w:r w:rsidRPr="00E033F1">
        <w:rPr>
          <w:color w:val="auto"/>
        </w:rPr>
      </w:r>
      <w:r w:rsidRPr="00E033F1">
        <w:rPr>
          <w:color w:val="auto"/>
        </w:rPr>
        <w:fldChar w:fldCharType="separate"/>
      </w:r>
      <w:r w:rsidR="008502DF" w:rsidRPr="00E033F1">
        <w:rPr>
          <w:b/>
          <w:color w:val="auto"/>
        </w:rPr>
        <w:t xml:space="preserve">Figure </w:t>
      </w:r>
      <w:r w:rsidR="008502DF" w:rsidRPr="00E033F1">
        <w:rPr>
          <w:b/>
          <w:noProof/>
          <w:color w:val="auto"/>
        </w:rPr>
        <w:t>1</w:t>
      </w:r>
      <w:r w:rsidRPr="00E033F1">
        <w:rPr>
          <w:color w:val="auto"/>
        </w:rPr>
        <w:fldChar w:fldCharType="end"/>
      </w:r>
      <w:r w:rsidR="00472590" w:rsidRPr="00E033F1">
        <w:rPr>
          <w:color w:val="auto"/>
        </w:rPr>
        <w:t xml:space="preserve">, </w:t>
      </w:r>
      <w:r w:rsidR="00472590" w:rsidRPr="00E033F1">
        <w:rPr>
          <w:color w:val="auto"/>
        </w:rPr>
        <w:fldChar w:fldCharType="begin"/>
      </w:r>
      <w:r w:rsidR="00472590" w:rsidRPr="00E033F1">
        <w:rPr>
          <w:color w:val="auto"/>
        </w:rPr>
        <w:instrText xml:space="preserve"> REF _Ref43903011 \h </w:instrText>
      </w:r>
      <w:r w:rsidR="00E033F1">
        <w:rPr>
          <w:color w:val="auto"/>
        </w:rPr>
        <w:instrText xml:space="preserve"> \* MERGEFORMAT </w:instrText>
      </w:r>
      <w:r w:rsidR="00472590" w:rsidRPr="00E033F1">
        <w:rPr>
          <w:color w:val="auto"/>
        </w:rPr>
      </w:r>
      <w:r w:rsidR="00472590" w:rsidRPr="00E033F1">
        <w:rPr>
          <w:color w:val="auto"/>
        </w:rPr>
        <w:fldChar w:fldCharType="separate"/>
      </w:r>
      <w:r w:rsidR="008502DF" w:rsidRPr="00E033F1">
        <w:rPr>
          <w:b/>
          <w:color w:val="auto"/>
        </w:rPr>
        <w:t xml:space="preserve">Table </w:t>
      </w:r>
      <w:r w:rsidR="008502DF" w:rsidRPr="00E033F1">
        <w:rPr>
          <w:b/>
          <w:noProof/>
          <w:color w:val="auto"/>
        </w:rPr>
        <w:t>1</w:t>
      </w:r>
      <w:r w:rsidR="00472590" w:rsidRPr="00E033F1">
        <w:rPr>
          <w:color w:val="auto"/>
        </w:rPr>
        <w:fldChar w:fldCharType="end"/>
      </w:r>
      <w:r w:rsidRPr="00E033F1">
        <w:rPr>
          <w:color w:val="auto"/>
        </w:rPr>
        <w:t>)</w:t>
      </w:r>
      <w:r w:rsidR="00AC15A9" w:rsidRPr="00E033F1">
        <w:rPr>
          <w:color w:val="auto"/>
        </w:rPr>
        <w:t xml:space="preserve"> and quantify their inhibitory potency</w:t>
      </w:r>
      <w:r w:rsidRPr="00E033F1">
        <w:rPr>
          <w:color w:val="auto"/>
        </w:rPr>
        <w:t>.</w:t>
      </w:r>
      <w:r w:rsidR="00D34FF6" w:rsidRPr="00E033F1">
        <w:rPr>
          <w:color w:val="auto"/>
        </w:rPr>
        <w:t xml:space="preserve"> We </w:t>
      </w:r>
      <w:r w:rsidR="00FB52CD" w:rsidRPr="00E033F1">
        <w:rPr>
          <w:color w:val="auto"/>
        </w:rPr>
        <w:t xml:space="preserve">also </w:t>
      </w:r>
      <w:r w:rsidR="00D34FF6" w:rsidRPr="00E033F1">
        <w:rPr>
          <w:color w:val="auto"/>
        </w:rPr>
        <w:t xml:space="preserve">emphasized the most crucial criteria </w:t>
      </w:r>
      <w:r w:rsidR="00731CF2" w:rsidRPr="00E033F1">
        <w:rPr>
          <w:color w:val="auto"/>
        </w:rPr>
        <w:t>to consider</w:t>
      </w:r>
      <w:r w:rsidR="00D34FF6" w:rsidRPr="00E033F1">
        <w:rPr>
          <w:color w:val="auto"/>
        </w:rPr>
        <w:t xml:space="preserve"> </w:t>
      </w:r>
      <w:r w:rsidR="00731CF2" w:rsidRPr="00E033F1">
        <w:rPr>
          <w:color w:val="auto"/>
        </w:rPr>
        <w:t>for</w:t>
      </w:r>
      <w:r w:rsidR="00D34FF6" w:rsidRPr="00E033F1">
        <w:rPr>
          <w:color w:val="auto"/>
        </w:rPr>
        <w:t xml:space="preserve"> accurate enzym</w:t>
      </w:r>
      <w:r w:rsidR="00731CF2" w:rsidRPr="00E033F1">
        <w:rPr>
          <w:color w:val="auto"/>
        </w:rPr>
        <w:t>e</w:t>
      </w:r>
      <w:r w:rsidR="00D34FF6" w:rsidRPr="00E033F1">
        <w:rPr>
          <w:color w:val="auto"/>
        </w:rPr>
        <w:t xml:space="preserve"> </w:t>
      </w:r>
      <w:r w:rsidR="00731CF2" w:rsidRPr="00E033F1">
        <w:rPr>
          <w:color w:val="auto"/>
        </w:rPr>
        <w:t>assays</w:t>
      </w:r>
      <w:r w:rsidR="00D34FF6" w:rsidRPr="00E033F1">
        <w:rPr>
          <w:color w:val="auto"/>
        </w:rPr>
        <w:t xml:space="preserve"> </w:t>
      </w:r>
      <w:r w:rsidR="00731CF2" w:rsidRPr="00E033F1">
        <w:rPr>
          <w:color w:val="auto"/>
        </w:rPr>
        <w:t xml:space="preserve">providing </w:t>
      </w:r>
      <w:r w:rsidR="00D34FF6" w:rsidRPr="00E033F1">
        <w:rPr>
          <w:color w:val="auto"/>
        </w:rPr>
        <w:t>reproducible results.</w:t>
      </w:r>
      <w:r w:rsidR="004859FD" w:rsidRPr="00E033F1">
        <w:rPr>
          <w:color w:val="auto"/>
        </w:rPr>
        <w:t xml:space="preserve"> Major advantages </w:t>
      </w:r>
      <w:r w:rsidR="00731CF2" w:rsidRPr="00E033F1">
        <w:rPr>
          <w:color w:val="auto"/>
        </w:rPr>
        <w:t xml:space="preserve">of the described protocol </w:t>
      </w:r>
      <w:r w:rsidR="004859FD" w:rsidRPr="00E033F1">
        <w:rPr>
          <w:color w:val="auto"/>
        </w:rPr>
        <w:t>over other colorimetric methods or mass spectrometry is that this p</w:t>
      </w:r>
      <w:r w:rsidR="0089569F" w:rsidRPr="00E033F1">
        <w:rPr>
          <w:color w:val="auto"/>
        </w:rPr>
        <w:t xml:space="preserve">rotocol is quick and easy to </w:t>
      </w:r>
      <w:r w:rsidR="00AE1F31" w:rsidRPr="00E033F1">
        <w:rPr>
          <w:color w:val="auto"/>
        </w:rPr>
        <w:t>perform</w:t>
      </w:r>
      <w:r w:rsidR="004859FD" w:rsidRPr="00E033F1">
        <w:rPr>
          <w:color w:val="auto"/>
        </w:rPr>
        <w:t xml:space="preserve"> an</w:t>
      </w:r>
      <w:r w:rsidR="00047001" w:rsidRPr="00E033F1">
        <w:rPr>
          <w:color w:val="auto"/>
        </w:rPr>
        <w:t xml:space="preserve">d </w:t>
      </w:r>
      <w:r w:rsidR="00AE1F31" w:rsidRPr="00E033F1">
        <w:rPr>
          <w:color w:val="auto"/>
        </w:rPr>
        <w:t xml:space="preserve">provide </w:t>
      </w:r>
      <w:r w:rsidR="00047001" w:rsidRPr="00E033F1">
        <w:rPr>
          <w:color w:val="auto"/>
        </w:rPr>
        <w:t>quantitative measurement</w:t>
      </w:r>
      <w:r w:rsidR="00AF0CC1" w:rsidRPr="00E033F1">
        <w:rPr>
          <w:color w:val="auto"/>
        </w:rPr>
        <w:t>s</w:t>
      </w:r>
      <w:r w:rsidR="00047001" w:rsidRPr="00E033F1">
        <w:rPr>
          <w:color w:val="auto"/>
        </w:rPr>
        <w:t xml:space="preserve"> of the GST</w:t>
      </w:r>
      <w:r w:rsidR="00AF0CC1" w:rsidRPr="00E033F1">
        <w:rPr>
          <w:color w:val="auto"/>
        </w:rPr>
        <w:t xml:space="preserve"> activity as well as the</w:t>
      </w:r>
      <w:r w:rsidR="00047001" w:rsidRPr="00E033F1">
        <w:rPr>
          <w:color w:val="auto"/>
        </w:rPr>
        <w:t xml:space="preserve"> inhibition potency of screened molecules.</w:t>
      </w:r>
      <w:r w:rsidR="008D64E8" w:rsidRPr="00E033F1">
        <w:rPr>
          <w:color w:val="auto"/>
        </w:rPr>
        <w:t xml:space="preserve"> </w:t>
      </w:r>
    </w:p>
    <w:p w14:paraId="7C9B4566" w14:textId="60641F22" w:rsidR="007D4049" w:rsidRPr="00E033F1" w:rsidRDefault="007D4049" w:rsidP="00E033F1">
      <w:pPr>
        <w:contextualSpacing/>
        <w:rPr>
          <w:color w:val="auto"/>
        </w:rPr>
      </w:pPr>
    </w:p>
    <w:p w14:paraId="2CF5A7F6" w14:textId="0F55FE7A" w:rsidR="00002C69" w:rsidRPr="00E033F1" w:rsidRDefault="007D4049" w:rsidP="00E033F1">
      <w:pPr>
        <w:contextualSpacing/>
        <w:rPr>
          <w:color w:val="auto"/>
        </w:rPr>
      </w:pPr>
      <w:r w:rsidRPr="00E033F1">
        <w:rPr>
          <w:color w:val="auto"/>
        </w:rPr>
        <w:t>We</w:t>
      </w:r>
      <w:r w:rsidR="00AC15A9" w:rsidRPr="00E033F1">
        <w:rPr>
          <w:color w:val="auto"/>
        </w:rPr>
        <w:t xml:space="preserve"> </w:t>
      </w:r>
      <w:r w:rsidRPr="00E033F1">
        <w:rPr>
          <w:color w:val="auto"/>
        </w:rPr>
        <w:t xml:space="preserve">present the way of </w:t>
      </w:r>
      <w:r w:rsidR="004B6550" w:rsidRPr="00E033F1">
        <w:rPr>
          <w:color w:val="auto"/>
        </w:rPr>
        <w:t>calculat</w:t>
      </w:r>
      <w:r w:rsidR="002364FA" w:rsidRPr="00E033F1">
        <w:rPr>
          <w:color w:val="auto"/>
        </w:rPr>
        <w:t>ing</w:t>
      </w:r>
      <w:r w:rsidR="004B6550" w:rsidRPr="00E033F1">
        <w:rPr>
          <w:color w:val="auto"/>
        </w:rPr>
        <w:t xml:space="preserve"> the </w:t>
      </w:r>
      <w:r w:rsidR="00EA1D14" w:rsidRPr="00E033F1">
        <w:rPr>
          <w:color w:val="auto"/>
        </w:rPr>
        <w:t>two</w:t>
      </w:r>
      <w:r w:rsidR="000203D9" w:rsidRPr="00E033F1">
        <w:rPr>
          <w:color w:val="auto"/>
        </w:rPr>
        <w:t xml:space="preserve"> most </w:t>
      </w:r>
      <w:r w:rsidR="00EA1D14" w:rsidRPr="00E033F1">
        <w:rPr>
          <w:color w:val="auto"/>
        </w:rPr>
        <w:t>impor</w:t>
      </w:r>
      <w:r w:rsidR="000203D9" w:rsidRPr="00E033F1">
        <w:rPr>
          <w:color w:val="auto"/>
        </w:rPr>
        <w:t>tant</w:t>
      </w:r>
      <w:r w:rsidR="00EA1D14" w:rsidRPr="00E033F1">
        <w:rPr>
          <w:color w:val="auto"/>
        </w:rPr>
        <w:t xml:space="preserve"> </w:t>
      </w:r>
      <w:r w:rsidR="000203D9" w:rsidRPr="00E033F1">
        <w:rPr>
          <w:color w:val="auto"/>
        </w:rPr>
        <w:t>M</w:t>
      </w:r>
      <w:r w:rsidR="00EA1D14" w:rsidRPr="00E033F1">
        <w:rPr>
          <w:color w:val="auto"/>
        </w:rPr>
        <w:t>ichaelis</w:t>
      </w:r>
      <w:r w:rsidR="007567E1" w:rsidRPr="00E033F1">
        <w:rPr>
          <w:color w:val="auto"/>
        </w:rPr>
        <w:t>–</w:t>
      </w:r>
      <w:r w:rsidR="00EA1D14" w:rsidRPr="00E033F1">
        <w:rPr>
          <w:color w:val="auto"/>
        </w:rPr>
        <w:t>Menten parameters of an</w:t>
      </w:r>
      <w:r w:rsidR="004B6550" w:rsidRPr="00E033F1">
        <w:rPr>
          <w:color w:val="auto"/>
        </w:rPr>
        <w:t xml:space="preserve"> enzym</w:t>
      </w:r>
      <w:r w:rsidR="00EE6B80" w:rsidRPr="00E033F1">
        <w:rPr>
          <w:color w:val="auto"/>
        </w:rPr>
        <w:t>e</w:t>
      </w:r>
      <w:r w:rsidR="004B6550" w:rsidRPr="00E033F1">
        <w:rPr>
          <w:color w:val="auto"/>
        </w:rPr>
        <w:t xml:space="preserve"> inhibitor</w:t>
      </w:r>
      <w:r w:rsidR="00553515">
        <w:rPr>
          <w:color w:val="auto"/>
        </w:rPr>
        <w:t xml:space="preserve">: </w:t>
      </w:r>
      <w:r w:rsidR="004B6550" w:rsidRPr="00E033F1">
        <w:rPr>
          <w:color w:val="auto"/>
        </w:rPr>
        <w:t>the IC50 and the K</w:t>
      </w:r>
      <w:r w:rsidR="004B6550" w:rsidRPr="00E033F1">
        <w:rPr>
          <w:color w:val="auto"/>
          <w:vertAlign w:val="subscript"/>
        </w:rPr>
        <w:t>i</w:t>
      </w:r>
      <w:r w:rsidR="004B6550" w:rsidRPr="00E033F1">
        <w:rPr>
          <w:color w:val="auto"/>
        </w:rPr>
        <w:t xml:space="preserve">. </w:t>
      </w:r>
      <w:r w:rsidR="00553515">
        <w:rPr>
          <w:color w:val="auto"/>
        </w:rPr>
        <w:t>A p</w:t>
      </w:r>
      <w:r w:rsidR="00BF2B8D" w:rsidRPr="00E033F1">
        <w:rPr>
          <w:color w:val="auto"/>
        </w:rPr>
        <w:t>otent inhibitor will exert the lowest possible K</w:t>
      </w:r>
      <w:r w:rsidR="00BF2B8D" w:rsidRPr="00E033F1">
        <w:rPr>
          <w:color w:val="auto"/>
          <w:vertAlign w:val="subscript"/>
        </w:rPr>
        <w:t>i</w:t>
      </w:r>
      <w:r w:rsidR="00BF2B8D" w:rsidRPr="00E033F1">
        <w:rPr>
          <w:color w:val="auto"/>
        </w:rPr>
        <w:t xml:space="preserve"> and IC50</w:t>
      </w:r>
      <w:r w:rsidR="00D8512B" w:rsidRPr="00E033F1">
        <w:rPr>
          <w:color w:val="auto"/>
        </w:rPr>
        <w:t>, indicating that the affinity between the inhibitor and the enzyme is high</w:t>
      </w:r>
      <w:r w:rsidR="00553515" w:rsidRPr="00E033F1">
        <w:rPr>
          <w:color w:val="auto"/>
        </w:rPr>
        <w:fldChar w:fldCharType="begin"/>
      </w:r>
      <w:r w:rsidR="00553515" w:rsidRPr="00E033F1">
        <w:rPr>
          <w:color w:val="auto"/>
        </w:rPr>
        <w:instrText xml:space="preserve"> ADDIN ZOTERO_ITEM CSL_CITATION {"citationID":"YZS44aL3","properties":{"formattedCitation":"\\super 30\\nosupersub{}","plainCitation":"30","noteIndex":0},"citationItems":[{"id":390,"uris":["http://zotero.org/users/local/bXXP6LKp/items/I7WHAR6B"],"uri":["http://zotero.org/users/local/bXXP6LKp/items/I7WHAR6B"],"itemData":{"id":390,"type":"article-journal","abstract":"To compare the relative potencies of a variety of enzyme-inhibiting compounds, a quantitative measure must be employed. IC50 values and Ki values are often reported in the literature, but direct comparison of these values is not possible. The relationship of Ki and IC50 for a given compound varies depending on the assay conditions and the compound’s mechanism of inhibition. The Cheng–Prusoff equations describe this relationship mathematically, and an intuitive description of this relationship is presented. Although there are currently a number of means to graphically determine IC50 values, there is not a biochemically intuitive linear method. A novel use of the Dixon plot will aid students in the determination of IC50 values. While the Dixon plot has been traditionally used to determine Ki in limited cases, a more widely applicable use is in IC50 determination. A new convention for presenting IC50 values is suggested.","container-title":"Journal of Chemical Education","DOI":"10.1021/ed080p214","ISSN":"0021-9584","issue":"2","journalAbbreviation":"J. Chem. Educ.","page":"214","source":"ACS Publications","title":"An Intuitive Look at the Relationship of Ki and IC50: A More General Use for the Dixon Plot","title-short":"An Intuitive Look at the Relationship of Ki and IC50","volume":"80","author":[{"family":"Burlingham","given":"Benjamin T."},{"family":"Widlanski","given":"Theodore S."}],"issued":{"date-parts":[["2003",2,1]]}}}],"schema":"https://github.com/citation-style-language/schema/raw/master/csl-citation.json"} </w:instrText>
      </w:r>
      <w:r w:rsidR="00553515" w:rsidRPr="00E033F1">
        <w:rPr>
          <w:color w:val="auto"/>
        </w:rPr>
        <w:fldChar w:fldCharType="separate"/>
      </w:r>
      <w:r w:rsidR="00553515" w:rsidRPr="00E033F1">
        <w:rPr>
          <w:color w:val="auto"/>
          <w:vertAlign w:val="superscript"/>
        </w:rPr>
        <w:t>30</w:t>
      </w:r>
      <w:r w:rsidR="00553515" w:rsidRPr="00E033F1">
        <w:rPr>
          <w:color w:val="auto"/>
        </w:rPr>
        <w:fldChar w:fldCharType="end"/>
      </w:r>
      <w:r w:rsidR="00BF2B8D" w:rsidRPr="00E033F1">
        <w:rPr>
          <w:color w:val="auto"/>
        </w:rPr>
        <w:t xml:space="preserve">. As </w:t>
      </w:r>
      <w:r w:rsidR="00EE35E4" w:rsidRPr="00E033F1">
        <w:rPr>
          <w:color w:val="auto"/>
        </w:rPr>
        <w:t>IC50 is dependent upon the enzyme concentration</w:t>
      </w:r>
      <w:r w:rsidR="002B155E" w:rsidRPr="00E033F1">
        <w:rPr>
          <w:color w:val="auto"/>
        </w:rPr>
        <w:t xml:space="preserve"> and assay conditions</w:t>
      </w:r>
      <w:r w:rsidR="002B155E" w:rsidRPr="00E033F1">
        <w:rPr>
          <w:color w:val="auto"/>
        </w:rPr>
        <w:fldChar w:fldCharType="begin"/>
      </w:r>
      <w:r w:rsidR="00E5170D" w:rsidRPr="00E033F1">
        <w:rPr>
          <w:color w:val="auto"/>
        </w:rPr>
        <w:instrText xml:space="preserve"> ADDIN ZOTERO_ITEM CSL_CITATION {"citationID":"AMRpoyQ2","properties":{"formattedCitation":"\\super 33\\nosupersub{}","plainCitation":"33","noteIndex":0},"citationItems":[{"id":527,"uris":["http://zotero.org/users/local/bXXP6LKp/items/4H9JRNHS"],"uri":["http://zotero.org/users/local/bXXP6LKp/items/4H9JRNHS"],"itemData":{"id":527,"type":"article-journal","abstract":"The biochemical half maximal inhibitory concentration (IC50) is the most commonly used metric for on-target activity in lead optimization. It is used to guide lead optimization, build large-scale chemogenomics analysis, off-target activity and toxicity models based on public data. However, the use of public biochemical IC50 data is problematic, because they are assay specific and comparable only under certain conditions. For large scale analysis it is not feasible to check each data entry manually and it is very tempting to mix all available IC50 values from public database even if assay information is not reported. As previously reported for Ki database analysis, we first analyzed the types of errors, the redundancy and the variability that can be found in ChEMBL IC50 database. For assessing the variability of IC50 data independently measured in two different labs at least ten IC50 data for identical protein-ligand systems against the same target were searched in ChEMBL. As a not sufficient number of cases of this type are available, the variability of IC50 data was assessed by comparing all pairs of independent IC50 measurements on identical protein-ligand systems. The standard deviation of IC50 data is only 25% larger than the standard deviation of Ki data, suggesting that mixing IC50 data from different assays, even not knowing assay conditions details, only adds a moderate amount of noise to the overall data. The standard deviation of public ChEMBL IC50 data, as expected, resulted greater than the standard deviation of in-house intra-laboratory/inter-day IC50 data. Augmenting mixed public IC50 data by public Ki data does not deteriorate the quality of the mixed IC50 data, if the Ki is corrected by an offset. For a broad dataset such as ChEMBL database a Ki- IC50 conversion factor of 2 was found to be the most reasonable.","container-title":"PLoS ONE","DOI":"10.1371/journal.pone.0061007","ISSN":"1932-6203","issue":"4","journalAbbreviation":"PLoS One","note":"PMID: 23613770\nPMCID: PMC3628986","source":"PubMed Central","title":"Comparability of Mixed IC50 Data – A Statistical Analysis","URL":"https://www.ncbi.nlm.nih.gov/pmc/articles/PMC3628986/","volume":"8","author":[{"family":"Kalliokoski","given":"Tuomo"},{"family":"Kramer","given":"Christian"},{"family":"Vulpetti","given":"Anna"},{"family":"Gedeck","given":"Peter"}],"accessed":{"date-parts":[["2019",10,10]]},"issued":{"date-parts":[["2013",4,16]]}}}],"schema":"https://github.com/citation-style-language/schema/raw/master/csl-citation.json"} </w:instrText>
      </w:r>
      <w:r w:rsidR="002B155E" w:rsidRPr="00E033F1">
        <w:rPr>
          <w:color w:val="auto"/>
        </w:rPr>
        <w:fldChar w:fldCharType="separate"/>
      </w:r>
      <w:r w:rsidR="00E5170D" w:rsidRPr="00E033F1">
        <w:rPr>
          <w:color w:val="auto"/>
          <w:vertAlign w:val="superscript"/>
        </w:rPr>
        <w:t>33</w:t>
      </w:r>
      <w:r w:rsidR="002B155E" w:rsidRPr="00E033F1">
        <w:rPr>
          <w:color w:val="auto"/>
        </w:rPr>
        <w:fldChar w:fldCharType="end"/>
      </w:r>
      <w:r w:rsidR="00EE35E4" w:rsidRPr="00E033F1">
        <w:rPr>
          <w:color w:val="auto"/>
        </w:rPr>
        <w:t>, it may be difficult to use this value to compare inhibitors from different experiment</w:t>
      </w:r>
      <w:r w:rsidR="002364FA" w:rsidRPr="00E033F1">
        <w:rPr>
          <w:color w:val="auto"/>
        </w:rPr>
        <w:t>s or</w:t>
      </w:r>
      <w:r w:rsidR="00EE35E4" w:rsidRPr="00E033F1">
        <w:rPr>
          <w:color w:val="auto"/>
        </w:rPr>
        <w:t xml:space="preserve"> obtained </w:t>
      </w:r>
      <w:r w:rsidR="002364FA" w:rsidRPr="00E033F1">
        <w:rPr>
          <w:color w:val="auto"/>
        </w:rPr>
        <w:t>using</w:t>
      </w:r>
      <w:r w:rsidR="00EE35E4" w:rsidRPr="00E033F1">
        <w:rPr>
          <w:color w:val="auto"/>
        </w:rPr>
        <w:t xml:space="preserve"> other assay conditions</w:t>
      </w:r>
      <w:r w:rsidR="00553515" w:rsidRPr="00E033F1">
        <w:rPr>
          <w:color w:val="auto"/>
        </w:rPr>
        <w:fldChar w:fldCharType="begin"/>
      </w:r>
      <w:r w:rsidR="00553515" w:rsidRPr="00E033F1">
        <w:rPr>
          <w:color w:val="auto"/>
        </w:rPr>
        <w:instrText xml:space="preserve"> ADDIN ZOTERO_ITEM CSL_CITATION {"citationID":"Fdk27X8p","properties":{"formattedCitation":"\\super 34\\nosupersub{}","plainCitation":"34","noteIndex":0},"citationItems":[{"id":26,"uris":["http://zotero.org/users/local/bXXP6LKp/items/VXJWRW2I"],"uri":["http://zotero.org/users/local/bXXP6LKp/items/VXJWRW2I"],"itemData":{"id":26,"type":"article-journal","abstract":"The use of I50 (concentration of inhibitor required for 50% inhibition) for enzyme or drug studies has the disadvantage of not allowing easy comparison among data from different laboratories or under different substrate conditions. Modifications of the Michaelis-Menten equation for treatment of inhibitors can allow both the determination of the type of inhibition (competitive, noncompetitive, and uncompetitive) and the Ki for the inhibitor. For competitive and uncompetitive inhibitors when the assay conditions are [S] = Km, then Ki = I502. For different conditions of [S] there is a divergence between competitive and uncompetitive inhibitors that may be used to identify the type of inhibitor. The equation for Ki also differs. For noncompetitive inhibitors the Ki = I50 and this relationship is valid with changing [S]. The equations developed require a single substrate, reversible-type inhibitors, and kinetics of the Michaelis-Menten type. Examples of the use of the equations are illustrated with experimental data from scientific publications.","container-title":"Biochemical Medicine and Metabolic Biology","DOI":"10.1016/0885-4505(87)90046-6","ISSN":"0885-4505","issue":"3","journalAbbreviation":"Biochemical Medicine and Metabolic Biology","page":"344-349","source":"ScienceDirect","title":"Calculation of inhibitor Ki and inhibitor type from the concentration of inhibitor for 50% inhibition for Michaelis-Menten enzymes","volume":"37","author":[{"family":"Brandt","given":"Richard B."},{"family":"Laux","given":"Jerome E."},{"family":"Yates","given":"Steven W."}],"issued":{"date-parts":[["1987",6,1]]}}}],"schema":"https://github.com/citation-style-language/schema/raw/master/csl-citation.json"} </w:instrText>
      </w:r>
      <w:r w:rsidR="00553515" w:rsidRPr="00E033F1">
        <w:rPr>
          <w:color w:val="auto"/>
        </w:rPr>
        <w:fldChar w:fldCharType="separate"/>
      </w:r>
      <w:r w:rsidR="00553515" w:rsidRPr="00E033F1">
        <w:rPr>
          <w:color w:val="auto"/>
          <w:vertAlign w:val="superscript"/>
        </w:rPr>
        <w:t>34</w:t>
      </w:r>
      <w:r w:rsidR="00553515" w:rsidRPr="00E033F1">
        <w:rPr>
          <w:color w:val="auto"/>
        </w:rPr>
        <w:fldChar w:fldCharType="end"/>
      </w:r>
      <w:r w:rsidR="00EE35E4" w:rsidRPr="00E033F1">
        <w:rPr>
          <w:color w:val="auto"/>
        </w:rPr>
        <w:t>.</w:t>
      </w:r>
      <w:r w:rsidR="003D6A55" w:rsidRPr="00E033F1">
        <w:rPr>
          <w:color w:val="auto"/>
        </w:rPr>
        <w:t xml:space="preserve"> </w:t>
      </w:r>
      <w:r w:rsidR="002364FA" w:rsidRPr="00E033F1">
        <w:rPr>
          <w:color w:val="auto"/>
        </w:rPr>
        <w:t>U</w:t>
      </w:r>
      <w:r w:rsidR="00EE35E4" w:rsidRPr="00E033F1">
        <w:rPr>
          <w:color w:val="auto"/>
        </w:rPr>
        <w:t>s</w:t>
      </w:r>
      <w:r w:rsidR="002364FA" w:rsidRPr="00E033F1">
        <w:rPr>
          <w:color w:val="auto"/>
        </w:rPr>
        <w:t>ing</w:t>
      </w:r>
      <w:r w:rsidR="00EE35E4" w:rsidRPr="00E033F1">
        <w:rPr>
          <w:color w:val="auto"/>
        </w:rPr>
        <w:t xml:space="preserve"> the constant of inhibition K</w:t>
      </w:r>
      <w:r w:rsidR="00EE35E4" w:rsidRPr="00E033F1">
        <w:rPr>
          <w:color w:val="auto"/>
          <w:vertAlign w:val="subscript"/>
        </w:rPr>
        <w:t>i</w:t>
      </w:r>
      <w:r w:rsidR="00EE35E4" w:rsidRPr="00E033F1">
        <w:rPr>
          <w:color w:val="auto"/>
        </w:rPr>
        <w:t xml:space="preserve"> is a better indicator of the </w:t>
      </w:r>
      <w:r w:rsidR="00101A03" w:rsidRPr="00E033F1">
        <w:rPr>
          <w:color w:val="auto"/>
        </w:rPr>
        <w:t xml:space="preserve">inhibitory </w:t>
      </w:r>
      <w:r w:rsidR="00EE35E4" w:rsidRPr="00E033F1">
        <w:rPr>
          <w:color w:val="auto"/>
        </w:rPr>
        <w:t xml:space="preserve">potency of </w:t>
      </w:r>
      <w:r w:rsidR="002364FA" w:rsidRPr="00E033F1">
        <w:rPr>
          <w:color w:val="auto"/>
        </w:rPr>
        <w:t>potential</w:t>
      </w:r>
      <w:r w:rsidR="00EE35E4" w:rsidRPr="00E033F1">
        <w:rPr>
          <w:color w:val="auto"/>
        </w:rPr>
        <w:t xml:space="preserve"> compounds</w:t>
      </w:r>
      <w:r w:rsidR="003A3221" w:rsidRPr="00E033F1">
        <w:rPr>
          <w:color w:val="auto"/>
        </w:rPr>
        <w:t xml:space="preserve">. </w:t>
      </w:r>
      <w:r w:rsidR="002364FA" w:rsidRPr="00E033F1">
        <w:rPr>
          <w:color w:val="auto"/>
        </w:rPr>
        <w:t>K</w:t>
      </w:r>
      <w:r w:rsidR="002364FA" w:rsidRPr="00E033F1">
        <w:rPr>
          <w:color w:val="auto"/>
          <w:vertAlign w:val="subscript"/>
        </w:rPr>
        <w:t>i</w:t>
      </w:r>
      <w:r w:rsidR="002364FA" w:rsidRPr="00E033F1">
        <w:rPr>
          <w:color w:val="auto"/>
        </w:rPr>
        <w:t xml:space="preserve"> can</w:t>
      </w:r>
      <w:r w:rsidR="00002C69" w:rsidRPr="00E033F1">
        <w:rPr>
          <w:color w:val="auto"/>
        </w:rPr>
        <w:t xml:space="preserve"> be used to compare two inhibitors with different mode</w:t>
      </w:r>
      <w:r w:rsidR="002364FA" w:rsidRPr="00E033F1">
        <w:rPr>
          <w:color w:val="auto"/>
        </w:rPr>
        <w:t>s</w:t>
      </w:r>
      <w:r w:rsidR="00002C69" w:rsidRPr="00E033F1">
        <w:rPr>
          <w:color w:val="auto"/>
        </w:rPr>
        <w:t xml:space="preserve"> of inhibition, as </w:t>
      </w:r>
      <w:r w:rsidR="002364FA" w:rsidRPr="00E033F1">
        <w:rPr>
          <w:color w:val="auto"/>
        </w:rPr>
        <w:t>it</w:t>
      </w:r>
      <w:r w:rsidR="00002C69" w:rsidRPr="00E033F1">
        <w:rPr>
          <w:color w:val="auto"/>
        </w:rPr>
        <w:t xml:space="preserve"> rel</w:t>
      </w:r>
      <w:r w:rsidR="002364FA" w:rsidRPr="00E033F1">
        <w:rPr>
          <w:color w:val="auto"/>
        </w:rPr>
        <w:t>ies solely</w:t>
      </w:r>
      <w:r w:rsidR="00002C69" w:rsidRPr="00E033F1">
        <w:rPr>
          <w:color w:val="auto"/>
        </w:rPr>
        <w:t xml:space="preserve"> on the affinity between the inhibitor and the enzyme</w:t>
      </w:r>
      <w:r w:rsidR="00EE35E4" w:rsidRPr="00E033F1">
        <w:rPr>
          <w:color w:val="auto"/>
        </w:rPr>
        <w:t xml:space="preserve">. </w:t>
      </w:r>
      <w:r w:rsidR="00AC00E0" w:rsidRPr="00E033F1">
        <w:rPr>
          <w:color w:val="auto"/>
        </w:rPr>
        <w:t>However, to have a clear idea of the nature of</w:t>
      </w:r>
      <w:r w:rsidR="002364FA" w:rsidRPr="00E033F1">
        <w:rPr>
          <w:color w:val="auto"/>
        </w:rPr>
        <w:t xml:space="preserve"> the</w:t>
      </w:r>
      <w:r w:rsidR="00AC00E0" w:rsidRPr="00E033F1">
        <w:rPr>
          <w:color w:val="auto"/>
        </w:rPr>
        <w:t xml:space="preserve"> inhibition one must determine both </w:t>
      </w:r>
      <w:r w:rsidR="002364FA" w:rsidRPr="00E033F1">
        <w:rPr>
          <w:color w:val="auto"/>
        </w:rPr>
        <w:t xml:space="preserve">of the inhibitor’s </w:t>
      </w:r>
      <w:r w:rsidR="00AC00E0" w:rsidRPr="00E033F1">
        <w:rPr>
          <w:color w:val="auto"/>
        </w:rPr>
        <w:t>parameters</w:t>
      </w:r>
      <w:r w:rsidR="00553515" w:rsidRPr="00E033F1">
        <w:rPr>
          <w:color w:val="auto"/>
        </w:rPr>
        <w:fldChar w:fldCharType="begin"/>
      </w:r>
      <w:r w:rsidR="00553515" w:rsidRPr="00E033F1">
        <w:rPr>
          <w:color w:val="auto"/>
        </w:rPr>
        <w:instrText xml:space="preserve"> ADDIN ZOTERO_ITEM CSL_CITATION {"citationID":"eH76AXsc","properties":{"formattedCitation":"\\super 30\\nosupersub{}","plainCitation":"30","noteIndex":0},"citationItems":[{"id":390,"uris":["http://zotero.org/users/local/bXXP6LKp/items/I7WHAR6B"],"uri":["http://zotero.org/users/local/bXXP6LKp/items/I7WHAR6B"],"itemData":{"id":390,"type":"article-journal","abstract":"To compare the relative potencies of a variety of enzyme-inhibiting compounds, a quantitative measure must be employed. IC50 values and Ki values are often reported in the literature, but direct comparison of these values is not possible. The relationship of Ki and IC50 for a given compound varies depending on the assay conditions and the compound’s mechanism of inhibition. The Cheng–Prusoff equations describe this relationship mathematically, and an intuitive description of this relationship is presented. Although there are currently a number of means to graphically determine IC50 values, there is not a biochemically intuitive linear method. A novel use of the Dixon plot will aid students in the determination of IC50 values. While the Dixon plot has been traditionally used to determine Ki in limited cases, a more widely applicable use is in IC50 determination. A new convention for presenting IC50 values is suggested.","container-title":"Journal of Chemical Education","DOI":"10.1021/ed080p214","ISSN":"0021-9584","issue":"2","journalAbbreviation":"J. Chem. Educ.","page":"214","source":"ACS Publications","title":"An Intuitive Look at the Relationship of Ki and IC50: A More General Use for the Dixon Plot","title-short":"An Intuitive Look at the Relationship of Ki and IC50","volume":"80","author":[{"family":"Burlingham","given":"Benjamin T."},{"family":"Widlanski","given":"Theodore S."}],"issued":{"date-parts":[["2003",2,1]]}}}],"schema":"https://github.com/citation-style-language/schema/raw/master/csl-citation.json"} </w:instrText>
      </w:r>
      <w:r w:rsidR="00553515" w:rsidRPr="00E033F1">
        <w:rPr>
          <w:color w:val="auto"/>
        </w:rPr>
        <w:fldChar w:fldCharType="separate"/>
      </w:r>
      <w:r w:rsidR="00553515" w:rsidRPr="00E033F1">
        <w:rPr>
          <w:color w:val="auto"/>
          <w:vertAlign w:val="superscript"/>
        </w:rPr>
        <w:t>30</w:t>
      </w:r>
      <w:r w:rsidR="00553515" w:rsidRPr="00E033F1">
        <w:rPr>
          <w:color w:val="auto"/>
        </w:rPr>
        <w:fldChar w:fldCharType="end"/>
      </w:r>
      <w:r w:rsidR="00516EB1" w:rsidRPr="00E033F1">
        <w:rPr>
          <w:color w:val="auto"/>
        </w:rPr>
        <w:t>.</w:t>
      </w:r>
      <w:r w:rsidR="00BF2B8D" w:rsidRPr="00E033F1">
        <w:rPr>
          <w:color w:val="auto"/>
        </w:rPr>
        <w:t xml:space="preserve"> </w:t>
      </w:r>
      <w:r w:rsidR="003A7B14" w:rsidRPr="00E033F1">
        <w:rPr>
          <w:color w:val="auto"/>
        </w:rPr>
        <w:t>We measured curcumin</w:t>
      </w:r>
      <w:r w:rsidR="00177EAC" w:rsidRPr="00E033F1">
        <w:rPr>
          <w:color w:val="auto"/>
        </w:rPr>
        <w:t>s’</w:t>
      </w:r>
      <w:r w:rsidR="003A7B14" w:rsidRPr="00E033F1">
        <w:rPr>
          <w:color w:val="auto"/>
        </w:rPr>
        <w:t xml:space="preserve"> IC50 and K</w:t>
      </w:r>
      <w:r w:rsidR="003A7B14" w:rsidRPr="00E033F1">
        <w:rPr>
          <w:color w:val="auto"/>
          <w:vertAlign w:val="subscript"/>
        </w:rPr>
        <w:t>i</w:t>
      </w:r>
      <w:r w:rsidR="003A7B14" w:rsidRPr="00E033F1">
        <w:rPr>
          <w:color w:val="auto"/>
        </w:rPr>
        <w:t xml:space="preserve"> as 31.6 ± 3.6 </w:t>
      </w:r>
      <w:r w:rsidR="00B33C23" w:rsidRPr="00E033F1">
        <w:rPr>
          <w:color w:val="auto"/>
        </w:rPr>
        <w:t>µ</w:t>
      </w:r>
      <w:r w:rsidR="003A7B14" w:rsidRPr="00E033F1">
        <w:rPr>
          <w:color w:val="auto"/>
        </w:rPr>
        <w:t xml:space="preserve">M and 23.2 ± 3.2 </w:t>
      </w:r>
      <w:r w:rsidR="00B33C23" w:rsidRPr="00E033F1">
        <w:rPr>
          <w:color w:val="auto"/>
        </w:rPr>
        <w:t>µ</w:t>
      </w:r>
      <w:r w:rsidR="003A7B14" w:rsidRPr="00E033F1">
        <w:rPr>
          <w:color w:val="auto"/>
        </w:rPr>
        <w:t xml:space="preserve">M, respectively, indicating that this compound is a potent GST inhibitor. These </w:t>
      </w:r>
      <w:r w:rsidR="00642919" w:rsidRPr="00E033F1">
        <w:rPr>
          <w:color w:val="auto"/>
        </w:rPr>
        <w:t xml:space="preserve">results confirmed </w:t>
      </w:r>
      <w:r w:rsidR="00553515">
        <w:rPr>
          <w:color w:val="auto"/>
        </w:rPr>
        <w:t>the</w:t>
      </w:r>
      <w:r w:rsidR="003A7B14" w:rsidRPr="00E033F1">
        <w:rPr>
          <w:color w:val="auto"/>
        </w:rPr>
        <w:t xml:space="preserve"> </w:t>
      </w:r>
      <w:proofErr w:type="gramStart"/>
      <w:r w:rsidR="003A7B14" w:rsidRPr="00553515">
        <w:rPr>
          <w:iCs/>
          <w:color w:val="auto"/>
        </w:rPr>
        <w:t>in silico</w:t>
      </w:r>
      <w:proofErr w:type="gramEnd"/>
      <w:r w:rsidR="003A7B14" w:rsidRPr="00E033F1">
        <w:rPr>
          <w:i/>
          <w:color w:val="auto"/>
        </w:rPr>
        <w:t xml:space="preserve"> </w:t>
      </w:r>
      <w:r w:rsidR="003A7B14" w:rsidRPr="00E033F1">
        <w:rPr>
          <w:color w:val="auto"/>
        </w:rPr>
        <w:t>predictions, that estimated the K</w:t>
      </w:r>
      <w:r w:rsidR="003A7B14" w:rsidRPr="00E033F1">
        <w:rPr>
          <w:color w:val="auto"/>
          <w:vertAlign w:val="subscript"/>
        </w:rPr>
        <w:t>i</w:t>
      </w:r>
      <w:r w:rsidR="003A7B14" w:rsidRPr="00E033F1">
        <w:rPr>
          <w:color w:val="auto"/>
        </w:rPr>
        <w:t xml:space="preserve"> values between 27.4 to 78.1 </w:t>
      </w:r>
      <w:r w:rsidR="00B33C23" w:rsidRPr="00E033F1">
        <w:rPr>
          <w:color w:val="auto"/>
        </w:rPr>
        <w:t>µ</w:t>
      </w:r>
      <w:r w:rsidR="003A7B14" w:rsidRPr="00E033F1">
        <w:rPr>
          <w:color w:val="auto"/>
        </w:rPr>
        <w:t xml:space="preserve">M for different human GST isoforms and curcumin. </w:t>
      </w:r>
    </w:p>
    <w:p w14:paraId="1BDBC692" w14:textId="4E855067" w:rsidR="00002C69" w:rsidRPr="00E033F1" w:rsidRDefault="00002C69" w:rsidP="00E033F1">
      <w:pPr>
        <w:contextualSpacing/>
        <w:rPr>
          <w:color w:val="auto"/>
        </w:rPr>
      </w:pPr>
    </w:p>
    <w:p w14:paraId="13934DA7" w14:textId="3F807F59" w:rsidR="00F91B7A" w:rsidRPr="00553515" w:rsidRDefault="00F91B7A" w:rsidP="00E033F1">
      <w:pPr>
        <w:contextualSpacing/>
        <w:rPr>
          <w:b/>
          <w:bCs/>
          <w:color w:val="auto"/>
        </w:rPr>
      </w:pPr>
      <w:r w:rsidRPr="00553515">
        <w:rPr>
          <w:b/>
          <w:bCs/>
          <w:color w:val="auto"/>
        </w:rPr>
        <w:t>Enzym</w:t>
      </w:r>
      <w:r w:rsidR="00B43462" w:rsidRPr="00553515">
        <w:rPr>
          <w:b/>
          <w:bCs/>
          <w:color w:val="auto"/>
        </w:rPr>
        <w:t>atic</w:t>
      </w:r>
      <w:r w:rsidRPr="00553515">
        <w:rPr>
          <w:b/>
          <w:bCs/>
          <w:color w:val="auto"/>
        </w:rPr>
        <w:t xml:space="preserve"> activity </w:t>
      </w:r>
      <w:r w:rsidR="002364FA" w:rsidRPr="00553515">
        <w:rPr>
          <w:b/>
          <w:bCs/>
          <w:color w:val="auto"/>
        </w:rPr>
        <w:t>or</w:t>
      </w:r>
      <w:r w:rsidR="00D4543E" w:rsidRPr="00553515">
        <w:rPr>
          <w:b/>
          <w:bCs/>
          <w:color w:val="auto"/>
        </w:rPr>
        <w:t xml:space="preserve"> </w:t>
      </w:r>
      <w:r w:rsidRPr="00553515">
        <w:rPr>
          <w:b/>
          <w:bCs/>
          <w:color w:val="auto"/>
        </w:rPr>
        <w:t xml:space="preserve">rate of reaction </w:t>
      </w:r>
      <w:r w:rsidR="000E4498" w:rsidRPr="00553515">
        <w:rPr>
          <w:b/>
          <w:bCs/>
          <w:color w:val="auto"/>
        </w:rPr>
        <w:t>and amount of enzyme</w:t>
      </w:r>
    </w:p>
    <w:p w14:paraId="5F22A3E9" w14:textId="74646E95" w:rsidR="00D50F08" w:rsidRPr="00E033F1" w:rsidRDefault="003D6A55" w:rsidP="00E033F1">
      <w:pPr>
        <w:contextualSpacing/>
        <w:rPr>
          <w:color w:val="auto"/>
        </w:rPr>
      </w:pPr>
      <w:r w:rsidRPr="00E033F1">
        <w:rPr>
          <w:color w:val="auto"/>
        </w:rPr>
        <w:t xml:space="preserve">As stated </w:t>
      </w:r>
      <w:r w:rsidR="002364FA" w:rsidRPr="00E033F1">
        <w:rPr>
          <w:color w:val="auto"/>
        </w:rPr>
        <w:t>above</w:t>
      </w:r>
      <w:r w:rsidRPr="00E033F1">
        <w:rPr>
          <w:color w:val="auto"/>
        </w:rPr>
        <w:t xml:space="preserve">, </w:t>
      </w:r>
      <w:r w:rsidR="00287E19" w:rsidRPr="00E033F1">
        <w:rPr>
          <w:color w:val="auto"/>
        </w:rPr>
        <w:t xml:space="preserve">IC50 is dependent on the enzyme concentration, </w:t>
      </w:r>
      <w:r w:rsidRPr="00E033F1">
        <w:rPr>
          <w:color w:val="auto"/>
        </w:rPr>
        <w:t xml:space="preserve">and conducting </w:t>
      </w:r>
      <w:r w:rsidR="002364FA" w:rsidRPr="00E033F1">
        <w:rPr>
          <w:color w:val="auto"/>
        </w:rPr>
        <w:t xml:space="preserve">an </w:t>
      </w:r>
      <w:r w:rsidRPr="00E033F1">
        <w:rPr>
          <w:color w:val="auto"/>
        </w:rPr>
        <w:t xml:space="preserve">experiment with an unknown </w:t>
      </w:r>
      <w:r w:rsidR="002364FA" w:rsidRPr="00E033F1">
        <w:rPr>
          <w:color w:val="auto"/>
        </w:rPr>
        <w:t xml:space="preserve">level of </w:t>
      </w:r>
      <w:r w:rsidRPr="00E033F1">
        <w:rPr>
          <w:color w:val="auto"/>
        </w:rPr>
        <w:t>enzymatic activity might lead to false conclusions</w:t>
      </w:r>
      <w:r w:rsidR="00553515" w:rsidRPr="00E033F1">
        <w:rPr>
          <w:color w:val="auto"/>
        </w:rPr>
        <w:fldChar w:fldCharType="begin"/>
      </w:r>
      <w:r w:rsidR="00553515" w:rsidRPr="00E033F1">
        <w:rPr>
          <w:color w:val="auto"/>
        </w:rPr>
        <w:instrText xml:space="preserve"> ADDIN ZOTERO_ITEM CSL_CITATION {"citationID":"OFORKQX2","properties":{"formattedCitation":"\\super 33\\nosupersub{}","plainCitation":"33","noteIndex":0},"citationItems":[{"id":527,"uris":["http://zotero.org/users/local/bXXP6LKp/items/4H9JRNHS"],"uri":["http://zotero.org/users/local/bXXP6LKp/items/4H9JRNHS"],"itemData":{"id":527,"type":"article-journal","abstract":"The biochemical half maximal inhibitory concentration (IC50) is the most commonly used metric for on-target activity in lead optimization. It is used to guide lead optimization, build large-scale chemogenomics analysis, off-target activity and toxicity models based on public data. However, the use of public biochemical IC50 data is problematic, because they are assay specific and comparable only under certain conditions. For large scale analysis it is not feasible to check each data entry manually and it is very tempting to mix all available IC50 values from public database even if assay information is not reported. As previously reported for Ki database analysis, we first analyzed the types of errors, the redundancy and the variability that can be found in ChEMBL IC50 database. For assessing the variability of IC50 data independently measured in two different labs at least ten IC50 data for identical protein-ligand systems against the same target were searched in ChEMBL. As a not sufficient number of cases of this type are available, the variability of IC50 data was assessed by comparing all pairs of independent IC50 measurements on identical protein-ligand systems. The standard deviation of IC50 data is only 25% larger than the standard deviation of Ki data, suggesting that mixing IC50 data from different assays, even not knowing assay conditions details, only adds a moderate amount of noise to the overall data. The standard deviation of public ChEMBL IC50 data, as expected, resulted greater than the standard deviation of in-house intra-laboratory/inter-day IC50 data. Augmenting mixed public IC50 data by public Ki data does not deteriorate the quality of the mixed IC50 data, if the Ki is corrected by an offset. For a broad dataset such as ChEMBL database a Ki- IC50 conversion factor of 2 was found to be the most reasonable.","container-title":"PLoS ONE","DOI":"10.1371/journal.pone.0061007","ISSN":"1932-6203","issue":"4","journalAbbreviation":"PLoS One","note":"PMID: 23613770\nPMCID: PMC3628986","source":"PubMed Central","title":"Comparability of Mixed IC50 Data – A Statistical Analysis","URL":"https://www.ncbi.nlm.nih.gov/pmc/articles/PMC3628986/","volume":"8","author":[{"family":"Kalliokoski","given":"Tuomo"},{"family":"Kramer","given":"Christian"},{"family":"Vulpetti","given":"Anna"},{"family":"Gedeck","given":"Peter"}],"accessed":{"date-parts":[["2019",10,10]]},"issued":{"date-parts":[["2013",4,16]]}}}],"schema":"https://github.com/citation-style-language/schema/raw/master/csl-citation.json"} </w:instrText>
      </w:r>
      <w:r w:rsidR="00553515" w:rsidRPr="00E033F1">
        <w:rPr>
          <w:color w:val="auto"/>
        </w:rPr>
        <w:fldChar w:fldCharType="separate"/>
      </w:r>
      <w:r w:rsidR="00553515" w:rsidRPr="00E033F1">
        <w:rPr>
          <w:color w:val="auto"/>
          <w:vertAlign w:val="superscript"/>
        </w:rPr>
        <w:t>33</w:t>
      </w:r>
      <w:r w:rsidR="00553515" w:rsidRPr="00E033F1">
        <w:rPr>
          <w:color w:val="auto"/>
        </w:rPr>
        <w:fldChar w:fldCharType="end"/>
      </w:r>
      <w:r w:rsidR="00287E19" w:rsidRPr="00E033F1">
        <w:rPr>
          <w:color w:val="auto"/>
        </w:rPr>
        <w:t>.</w:t>
      </w:r>
      <w:r w:rsidRPr="00E033F1">
        <w:rPr>
          <w:color w:val="auto"/>
        </w:rPr>
        <w:t xml:space="preserve"> </w:t>
      </w:r>
      <w:r w:rsidR="002364FA" w:rsidRPr="00E033F1">
        <w:rPr>
          <w:color w:val="auto"/>
        </w:rPr>
        <w:t>T</w:t>
      </w:r>
      <w:r w:rsidRPr="00E033F1">
        <w:rPr>
          <w:color w:val="auto"/>
        </w:rPr>
        <w:t xml:space="preserve">o control for other </w:t>
      </w:r>
      <w:r w:rsidR="007D4049" w:rsidRPr="00E033F1">
        <w:rPr>
          <w:color w:val="auto"/>
        </w:rPr>
        <w:t>factors, which</w:t>
      </w:r>
      <w:r w:rsidR="002364FA" w:rsidRPr="00E033F1">
        <w:rPr>
          <w:color w:val="auto"/>
        </w:rPr>
        <w:t xml:space="preserve"> might</w:t>
      </w:r>
      <w:r w:rsidRPr="00E033F1">
        <w:rPr>
          <w:color w:val="auto"/>
        </w:rPr>
        <w:t xml:space="preserve"> reduce </w:t>
      </w:r>
      <w:r w:rsidR="002364FA" w:rsidRPr="00E033F1">
        <w:rPr>
          <w:color w:val="auto"/>
        </w:rPr>
        <w:t>inhibitory</w:t>
      </w:r>
      <w:r w:rsidRPr="00E033F1">
        <w:rPr>
          <w:color w:val="auto"/>
        </w:rPr>
        <w:t xml:space="preserve"> activity</w:t>
      </w:r>
      <w:r w:rsidR="002364FA" w:rsidRPr="00E033F1">
        <w:rPr>
          <w:color w:val="auto"/>
        </w:rPr>
        <w:t>, one should consider and measure enzym</w:t>
      </w:r>
      <w:r w:rsidR="00B43462" w:rsidRPr="00E033F1">
        <w:rPr>
          <w:color w:val="auto"/>
        </w:rPr>
        <w:t>atic</w:t>
      </w:r>
      <w:r w:rsidR="002364FA" w:rsidRPr="00E033F1">
        <w:rPr>
          <w:color w:val="auto"/>
        </w:rPr>
        <w:t xml:space="preserve"> </w:t>
      </w:r>
      <w:r w:rsidR="002364FA" w:rsidRPr="00E033F1">
        <w:rPr>
          <w:color w:val="auto"/>
        </w:rPr>
        <w:lastRenderedPageBreak/>
        <w:t>activity for each new batch of GSTs</w:t>
      </w:r>
      <w:r w:rsidRPr="00E033F1">
        <w:rPr>
          <w:color w:val="auto"/>
        </w:rPr>
        <w:t>. For instance,</w:t>
      </w:r>
      <w:r w:rsidR="00E82759" w:rsidRPr="00E033F1">
        <w:rPr>
          <w:color w:val="auto"/>
        </w:rPr>
        <w:t xml:space="preserve"> degradation of </w:t>
      </w:r>
      <w:r w:rsidR="00585B02" w:rsidRPr="00E033F1">
        <w:rPr>
          <w:color w:val="auto"/>
        </w:rPr>
        <w:t>an</w:t>
      </w:r>
      <w:r w:rsidR="00E82759" w:rsidRPr="00E033F1">
        <w:rPr>
          <w:color w:val="auto"/>
        </w:rPr>
        <w:t xml:space="preserve"> enzymatic batch</w:t>
      </w:r>
      <w:r w:rsidR="00585B02" w:rsidRPr="00E033F1">
        <w:rPr>
          <w:color w:val="auto"/>
        </w:rPr>
        <w:t>,</w:t>
      </w:r>
      <w:r w:rsidR="00E82759" w:rsidRPr="00E033F1">
        <w:rPr>
          <w:color w:val="auto"/>
        </w:rPr>
        <w:t xml:space="preserve"> caused by too many freeze/thaw cycles</w:t>
      </w:r>
      <w:r w:rsidR="00585B02" w:rsidRPr="00E033F1">
        <w:rPr>
          <w:color w:val="auto"/>
        </w:rPr>
        <w:t>,</w:t>
      </w:r>
      <w:r w:rsidR="00E82759" w:rsidRPr="00E033F1">
        <w:rPr>
          <w:color w:val="auto"/>
        </w:rPr>
        <w:t xml:space="preserve"> might decrease the </w:t>
      </w:r>
      <w:proofErr w:type="gramStart"/>
      <w:r w:rsidR="00E82759" w:rsidRPr="00E033F1">
        <w:rPr>
          <w:color w:val="auto"/>
        </w:rPr>
        <w:t>activity</w:t>
      </w:r>
      <w:proofErr w:type="gramEnd"/>
      <w:r w:rsidR="00A17478" w:rsidRPr="00E033F1">
        <w:rPr>
          <w:color w:val="auto"/>
        </w:rPr>
        <w:t xml:space="preserve"> and thus </w:t>
      </w:r>
      <w:r w:rsidR="00585B02" w:rsidRPr="00E033F1">
        <w:rPr>
          <w:color w:val="auto"/>
        </w:rPr>
        <w:t>lead to a lower</w:t>
      </w:r>
      <w:r w:rsidR="00A17478" w:rsidRPr="00E033F1">
        <w:rPr>
          <w:color w:val="auto"/>
        </w:rPr>
        <w:t xml:space="preserve"> IC50</w:t>
      </w:r>
      <w:r w:rsidR="00E82759" w:rsidRPr="00E033F1">
        <w:rPr>
          <w:color w:val="auto"/>
        </w:rPr>
        <w:t xml:space="preserve"> even </w:t>
      </w:r>
      <w:r w:rsidR="00A17478" w:rsidRPr="00E033F1">
        <w:rPr>
          <w:color w:val="auto"/>
        </w:rPr>
        <w:t>if the experiment was run under</w:t>
      </w:r>
      <w:r w:rsidR="00E82759" w:rsidRPr="00E033F1">
        <w:rPr>
          <w:color w:val="auto"/>
        </w:rPr>
        <w:t xml:space="preserve"> the same</w:t>
      </w:r>
      <w:r w:rsidR="002B155E" w:rsidRPr="00E033F1">
        <w:rPr>
          <w:color w:val="auto"/>
        </w:rPr>
        <w:t xml:space="preserve"> </w:t>
      </w:r>
      <w:r w:rsidR="00E82759" w:rsidRPr="00E033F1">
        <w:rPr>
          <w:color w:val="auto"/>
        </w:rPr>
        <w:t xml:space="preserve">conditions. </w:t>
      </w:r>
      <w:r w:rsidR="00D50F08" w:rsidRPr="00E033F1">
        <w:rPr>
          <w:color w:val="auto"/>
        </w:rPr>
        <w:t>In other words, using 0.01 unit</w:t>
      </w:r>
      <w:r w:rsidR="00585B02" w:rsidRPr="00E033F1">
        <w:rPr>
          <w:color w:val="auto"/>
        </w:rPr>
        <w:t>s</w:t>
      </w:r>
      <w:r w:rsidR="00E60ABD" w:rsidRPr="00E033F1">
        <w:rPr>
          <w:color w:val="auto"/>
        </w:rPr>
        <w:t xml:space="preserve"> of enzyme</w:t>
      </w:r>
      <w:r w:rsidR="00D50F08" w:rsidRPr="00E033F1">
        <w:rPr>
          <w:color w:val="auto"/>
        </w:rPr>
        <w:t xml:space="preserve"> will not give the same results as using 1 unit. </w:t>
      </w:r>
      <w:r w:rsidR="00585B02" w:rsidRPr="00E033F1">
        <w:rPr>
          <w:color w:val="auto"/>
        </w:rPr>
        <w:t>U</w:t>
      </w:r>
      <w:r w:rsidR="00D50F08" w:rsidRPr="00E033F1">
        <w:rPr>
          <w:color w:val="auto"/>
        </w:rPr>
        <w:t xml:space="preserve">sing too </w:t>
      </w:r>
      <w:r w:rsidR="00585B02" w:rsidRPr="00E033F1">
        <w:rPr>
          <w:color w:val="auto"/>
        </w:rPr>
        <w:t>many</w:t>
      </w:r>
      <w:r w:rsidR="00D50F08" w:rsidRPr="00E033F1">
        <w:rPr>
          <w:color w:val="auto"/>
        </w:rPr>
        <w:t xml:space="preserve"> enzymes</w:t>
      </w:r>
      <w:r w:rsidR="00585B02" w:rsidRPr="00E033F1">
        <w:rPr>
          <w:color w:val="auto"/>
        </w:rPr>
        <w:t xml:space="preserve"> might lead to a rapid</w:t>
      </w:r>
      <w:r w:rsidR="00D50F08" w:rsidRPr="00E033F1">
        <w:rPr>
          <w:color w:val="auto"/>
        </w:rPr>
        <w:t xml:space="preserve"> depletion of the substrate and the reaction will not have a linear shape. This parameter </w:t>
      </w:r>
      <w:r w:rsidR="00585B02" w:rsidRPr="00E033F1">
        <w:rPr>
          <w:color w:val="auto"/>
        </w:rPr>
        <w:t>could thus</w:t>
      </w:r>
      <w:r w:rsidR="00D50F08" w:rsidRPr="00E033F1">
        <w:rPr>
          <w:color w:val="auto"/>
        </w:rPr>
        <w:t xml:space="preserve"> lead to </w:t>
      </w:r>
      <w:r w:rsidR="00E60ABD" w:rsidRPr="00E033F1">
        <w:rPr>
          <w:color w:val="auto"/>
        </w:rPr>
        <w:t>inexact result,</w:t>
      </w:r>
      <w:r w:rsidR="00D50F08" w:rsidRPr="00E033F1">
        <w:rPr>
          <w:color w:val="auto"/>
        </w:rPr>
        <w:t xml:space="preserve"> as no change </w:t>
      </w:r>
      <w:r w:rsidR="00585B02" w:rsidRPr="00E033F1">
        <w:rPr>
          <w:color w:val="auto"/>
        </w:rPr>
        <w:t>in</w:t>
      </w:r>
      <w:r w:rsidR="00D50F08" w:rsidRPr="00E033F1">
        <w:rPr>
          <w:color w:val="auto"/>
        </w:rPr>
        <w:t xml:space="preserve"> absorbance </w:t>
      </w:r>
      <w:r w:rsidR="00585B02" w:rsidRPr="00E033F1">
        <w:rPr>
          <w:color w:val="auto"/>
        </w:rPr>
        <w:t xml:space="preserve">would be </w:t>
      </w:r>
      <w:r w:rsidR="00D50F08" w:rsidRPr="00E033F1">
        <w:rPr>
          <w:color w:val="auto"/>
        </w:rPr>
        <w:t>seen after a long incubation time.</w:t>
      </w:r>
    </w:p>
    <w:p w14:paraId="50CBC2C6" w14:textId="0DBB38AD" w:rsidR="00287E19" w:rsidRPr="00E033F1" w:rsidRDefault="00287E19" w:rsidP="00E033F1">
      <w:pPr>
        <w:contextualSpacing/>
        <w:rPr>
          <w:color w:val="auto"/>
        </w:rPr>
      </w:pPr>
    </w:p>
    <w:p w14:paraId="627A08A8" w14:textId="6C4345B4" w:rsidR="00F91B7A" w:rsidRPr="00553515" w:rsidRDefault="004B5E1E" w:rsidP="00E033F1">
      <w:pPr>
        <w:contextualSpacing/>
        <w:rPr>
          <w:b/>
          <w:color w:val="auto"/>
        </w:rPr>
      </w:pPr>
      <w:r w:rsidRPr="00553515">
        <w:rPr>
          <w:rFonts w:asciiTheme="minorHAnsi" w:hAnsiTheme="minorHAnsi" w:cstheme="minorHAnsi"/>
          <w:b/>
          <w:color w:val="auto"/>
        </w:rPr>
        <w:t>K</w:t>
      </w:r>
      <w:r w:rsidRPr="00553515">
        <w:rPr>
          <w:rFonts w:asciiTheme="minorHAnsi" w:hAnsiTheme="minorHAnsi" w:cstheme="minorHAnsi"/>
          <w:b/>
          <w:color w:val="auto"/>
          <w:vertAlign w:val="subscript"/>
        </w:rPr>
        <w:t>m</w:t>
      </w:r>
      <w:r w:rsidR="00F91B7A" w:rsidRPr="00553515">
        <w:rPr>
          <w:b/>
          <w:color w:val="auto"/>
        </w:rPr>
        <w:t xml:space="preserve"> Value</w:t>
      </w:r>
    </w:p>
    <w:p w14:paraId="43C0AA08" w14:textId="3C191ADE" w:rsidR="00287E19" w:rsidRPr="00E033F1" w:rsidRDefault="00CC30F7" w:rsidP="00E033F1">
      <w:pPr>
        <w:contextualSpacing/>
        <w:rPr>
          <w:color w:val="auto"/>
        </w:rPr>
      </w:pPr>
      <w:r w:rsidRPr="00E033F1">
        <w:rPr>
          <w:rFonts w:asciiTheme="minorHAnsi" w:hAnsiTheme="minorHAnsi" w:cstheme="minorHAnsi"/>
          <w:bCs/>
          <w:color w:val="auto"/>
        </w:rPr>
        <w:t xml:space="preserve">To ensure the best conditions for assessing the type of inhibition </w:t>
      </w:r>
      <w:r w:rsidR="000E4498" w:rsidRPr="00E033F1">
        <w:rPr>
          <w:rFonts w:asciiTheme="minorHAnsi" w:hAnsiTheme="minorHAnsi" w:cstheme="minorHAnsi"/>
          <w:bCs/>
          <w:color w:val="auto"/>
        </w:rPr>
        <w:t>exhibited</w:t>
      </w:r>
      <w:r w:rsidRPr="00E033F1">
        <w:rPr>
          <w:rFonts w:asciiTheme="minorHAnsi" w:hAnsiTheme="minorHAnsi" w:cstheme="minorHAnsi"/>
          <w:bCs/>
          <w:color w:val="auto"/>
        </w:rPr>
        <w:t xml:space="preserve"> by an inhibitor, the substrate concentration must be equal to or below the Michaelis–Menten constant (K</w:t>
      </w:r>
      <w:r w:rsidRPr="00E033F1">
        <w:rPr>
          <w:rFonts w:asciiTheme="minorHAnsi" w:hAnsiTheme="minorHAnsi" w:cstheme="minorHAnsi"/>
          <w:bCs/>
          <w:color w:val="auto"/>
          <w:vertAlign w:val="subscript"/>
        </w:rPr>
        <w:t>m</w:t>
      </w:r>
      <w:r w:rsidRPr="00E033F1">
        <w:rPr>
          <w:rFonts w:asciiTheme="minorHAnsi" w:hAnsiTheme="minorHAnsi" w:cstheme="minorHAnsi"/>
          <w:bCs/>
          <w:color w:val="auto"/>
        </w:rPr>
        <w:t>)</w:t>
      </w:r>
      <w:r w:rsidR="000E4498" w:rsidRPr="00E033F1">
        <w:rPr>
          <w:rFonts w:asciiTheme="minorHAnsi" w:hAnsiTheme="minorHAnsi" w:cstheme="minorHAnsi"/>
          <w:bCs/>
          <w:color w:val="auto"/>
        </w:rPr>
        <w:t>. K</w:t>
      </w:r>
      <w:r w:rsidR="000E4498" w:rsidRPr="00E033F1">
        <w:rPr>
          <w:rFonts w:asciiTheme="minorHAnsi" w:hAnsiTheme="minorHAnsi" w:cstheme="minorHAnsi"/>
          <w:bCs/>
          <w:color w:val="auto"/>
          <w:vertAlign w:val="subscript"/>
        </w:rPr>
        <w:t>m</w:t>
      </w:r>
      <w:r w:rsidR="000E4498" w:rsidRPr="00E033F1">
        <w:rPr>
          <w:rFonts w:asciiTheme="minorHAnsi" w:hAnsiTheme="minorHAnsi" w:cstheme="minorHAnsi"/>
          <w:bCs/>
          <w:color w:val="auto"/>
        </w:rPr>
        <w:t xml:space="preserve"> </w:t>
      </w:r>
      <w:r w:rsidRPr="00E033F1">
        <w:rPr>
          <w:rFonts w:asciiTheme="minorHAnsi" w:hAnsiTheme="minorHAnsi" w:cstheme="minorHAnsi"/>
          <w:bCs/>
          <w:color w:val="auto"/>
        </w:rPr>
        <w:t xml:space="preserve">is represented by the concentration of substrate </w:t>
      </w:r>
      <w:r w:rsidR="00AF0CC1" w:rsidRPr="00E033F1">
        <w:rPr>
          <w:rFonts w:asciiTheme="minorHAnsi" w:hAnsiTheme="minorHAnsi" w:cstheme="minorHAnsi"/>
          <w:bCs/>
          <w:color w:val="auto"/>
        </w:rPr>
        <w:t>required to occupy</w:t>
      </w:r>
      <w:r w:rsidRPr="00E033F1">
        <w:rPr>
          <w:rFonts w:asciiTheme="minorHAnsi" w:hAnsiTheme="minorHAnsi" w:cstheme="minorHAnsi"/>
          <w:bCs/>
          <w:color w:val="auto"/>
        </w:rPr>
        <w:t xml:space="preserve"> half of the active sites on the enzyme</w:t>
      </w:r>
      <w:r w:rsidR="00553515" w:rsidRPr="00E033F1">
        <w:rPr>
          <w:rFonts w:asciiTheme="minorHAnsi" w:hAnsiTheme="minorHAnsi" w:cstheme="minorHAnsi"/>
          <w:bCs/>
          <w:color w:val="auto"/>
        </w:rPr>
        <w:fldChar w:fldCharType="begin"/>
      </w:r>
      <w:r w:rsidR="00553515" w:rsidRPr="00E033F1">
        <w:rPr>
          <w:rFonts w:asciiTheme="minorHAnsi" w:hAnsiTheme="minorHAnsi" w:cstheme="minorHAnsi"/>
          <w:bCs/>
          <w:color w:val="auto"/>
        </w:rPr>
        <w:instrText xml:space="preserve"> ADDIN ZOTERO_ITEM CSL_CITATION {"citationID":"NvHTNHFZ","properties":{"formattedCitation":"\\super 28\\nosupersub{}","plainCitation":"28","noteIndex":0},"citationItems":[{"id":387,"uris":["http://zotero.org/users/local/bXXP6LKp/items/UWQYNIIH"],"uri":["http://zotero.org/users/local/bXXP6LKp/items/UWQYNIIH"],"itemData":{"id":387,"type":"article-journal","abstract":"High-throughput screening (HTS) is a common mechanism for identifying lead compounds for drug discovery efforts. Small molecules can inhibit enzymes by a variety of mechanisms, such as competitive, noncompetitive, and uncompetitive with respect to the substrate(s) of the catalytic reaction. To optimize the chances of finding the broadest diversity of inhibitor modalities during screening, one must run assays under ``balanced'' conditions where the potency of inhibitors with various modes of action falls within a similar range. When an enzyme reaction involves more than one substrate, the definition and assessment of the apparent potency of inhibitors (IC50), in relation to their true potency (Ki), can be nontrivial. This article provides a theoretical analysis, on the basis of the Cheng-Prusoff derivation, of the IC50/K i relationship of bisubstrate enzyme reactions following various sequential kinetic mechanisms, as well as the application and limitations of this information for defining optimal screening conditions for such enzymes. (Journal of Biomolecular Screening 2009:111-120)","container-title":"Journal of Biomolecular Screening","DOI":"10.1177/1087057108328763","ISSN":"1087-0571","issue":"2","journalAbbreviation":"J Biomol Screen","language":"en","page":"111-120","source":"SAGE Journals","title":"Defining Balanced Conditions for Inhibitor Screening Assays That Target Bisubstrate Enzymes","volume":"14","author":[{"family":"Yang","given":"Jingsong"},{"family":"Copeland","given":"Robert A."},{"family":"Lai","given":"Zhihong"}],"issued":{"date-parts":[["2009",2,1]]}}}],"schema":"https://github.com/citation-style-language/schema/raw/master/csl-citation.json"} </w:instrText>
      </w:r>
      <w:r w:rsidR="00553515" w:rsidRPr="00E033F1">
        <w:rPr>
          <w:rFonts w:asciiTheme="minorHAnsi" w:hAnsiTheme="minorHAnsi" w:cstheme="minorHAnsi"/>
          <w:bCs/>
          <w:color w:val="auto"/>
        </w:rPr>
        <w:fldChar w:fldCharType="separate"/>
      </w:r>
      <w:r w:rsidR="00553515" w:rsidRPr="00E033F1">
        <w:rPr>
          <w:color w:val="auto"/>
          <w:vertAlign w:val="superscript"/>
        </w:rPr>
        <w:t>28</w:t>
      </w:r>
      <w:r w:rsidR="00553515" w:rsidRPr="00E033F1">
        <w:rPr>
          <w:rFonts w:asciiTheme="minorHAnsi" w:hAnsiTheme="minorHAnsi" w:cstheme="minorHAnsi"/>
          <w:bCs/>
          <w:color w:val="auto"/>
        </w:rPr>
        <w:fldChar w:fldCharType="end"/>
      </w:r>
      <w:r w:rsidRPr="00E033F1">
        <w:rPr>
          <w:rFonts w:asciiTheme="minorHAnsi" w:hAnsiTheme="minorHAnsi" w:cstheme="minorHAnsi"/>
          <w:bCs/>
          <w:color w:val="auto"/>
        </w:rPr>
        <w:t>. For instance, high</w:t>
      </w:r>
      <w:r w:rsidR="000E4498" w:rsidRPr="00E033F1">
        <w:rPr>
          <w:rFonts w:asciiTheme="minorHAnsi" w:hAnsiTheme="minorHAnsi" w:cstheme="minorHAnsi"/>
          <w:bCs/>
          <w:color w:val="auto"/>
        </w:rPr>
        <w:t>er</w:t>
      </w:r>
      <w:r w:rsidRPr="00E033F1">
        <w:rPr>
          <w:rFonts w:asciiTheme="minorHAnsi" w:hAnsiTheme="minorHAnsi" w:cstheme="minorHAnsi"/>
          <w:bCs/>
          <w:color w:val="auto"/>
        </w:rPr>
        <w:t xml:space="preserve"> substrate concentration can counteract a competitive inhibitor and assessing this type of inhibition will be difficult</w:t>
      </w:r>
      <w:r w:rsidR="000E4498" w:rsidRPr="00E033F1">
        <w:rPr>
          <w:rFonts w:asciiTheme="minorHAnsi" w:hAnsiTheme="minorHAnsi" w:cstheme="minorHAnsi"/>
          <w:bCs/>
          <w:color w:val="auto"/>
        </w:rPr>
        <w:t xml:space="preserve"> in such setting</w:t>
      </w:r>
      <w:r w:rsidRPr="00E033F1">
        <w:rPr>
          <w:rFonts w:asciiTheme="minorHAnsi" w:hAnsiTheme="minorHAnsi" w:cstheme="minorHAnsi"/>
          <w:bCs/>
          <w:color w:val="auto"/>
        </w:rPr>
        <w:t>.</w:t>
      </w:r>
      <w:r w:rsidRPr="00E033F1">
        <w:rPr>
          <w:color w:val="auto"/>
        </w:rPr>
        <w:t xml:space="preserve"> Thus, one of the crucial steps in this methodology is the determination of the enzyme’s </w:t>
      </w:r>
      <w:r w:rsidRPr="00E033F1">
        <w:rPr>
          <w:rFonts w:asciiTheme="minorHAnsi" w:hAnsiTheme="minorHAnsi" w:cstheme="minorHAnsi"/>
          <w:bCs/>
          <w:color w:val="auto"/>
        </w:rPr>
        <w:t>K</w:t>
      </w:r>
      <w:r w:rsidRPr="00E033F1">
        <w:rPr>
          <w:rFonts w:asciiTheme="minorHAnsi" w:hAnsiTheme="minorHAnsi" w:cstheme="minorHAnsi"/>
          <w:bCs/>
          <w:color w:val="auto"/>
          <w:vertAlign w:val="subscript"/>
        </w:rPr>
        <w:t>m</w:t>
      </w:r>
      <w:r w:rsidRPr="00E033F1">
        <w:rPr>
          <w:color w:val="auto"/>
        </w:rPr>
        <w:t xml:space="preserve"> for </w:t>
      </w:r>
      <w:r w:rsidR="000E4498" w:rsidRPr="00E033F1">
        <w:rPr>
          <w:color w:val="auto"/>
        </w:rPr>
        <w:t>the selected</w:t>
      </w:r>
      <w:r w:rsidRPr="00E033F1">
        <w:rPr>
          <w:color w:val="auto"/>
        </w:rPr>
        <w:t xml:space="preserve"> substrate</w:t>
      </w:r>
      <w:r w:rsidR="000E4498" w:rsidRPr="00E033F1">
        <w:rPr>
          <w:color w:val="auto"/>
        </w:rPr>
        <w:t xml:space="preserve"> (here CDNB)</w:t>
      </w:r>
      <w:r w:rsidRPr="00E033F1">
        <w:rPr>
          <w:color w:val="auto"/>
        </w:rPr>
        <w:t xml:space="preserve">. </w:t>
      </w:r>
      <w:r w:rsidR="00287E19" w:rsidRPr="00E033F1">
        <w:rPr>
          <w:color w:val="auto"/>
        </w:rPr>
        <w:t xml:space="preserve">In some studies, </w:t>
      </w:r>
      <w:r w:rsidR="00AF0CC1" w:rsidRPr="00E033F1">
        <w:rPr>
          <w:color w:val="auto"/>
        </w:rPr>
        <w:t xml:space="preserve">this value </w:t>
      </w:r>
      <w:r w:rsidR="009E1F29" w:rsidRPr="00E033F1">
        <w:rPr>
          <w:color w:val="auto"/>
        </w:rPr>
        <w:t>was</w:t>
      </w:r>
      <w:r w:rsidR="00287E19" w:rsidRPr="00E033F1">
        <w:rPr>
          <w:color w:val="auto"/>
        </w:rPr>
        <w:t xml:space="preserve"> not determined and this </w:t>
      </w:r>
      <w:r w:rsidR="009E1F29" w:rsidRPr="00E033F1">
        <w:rPr>
          <w:color w:val="auto"/>
        </w:rPr>
        <w:t>could</w:t>
      </w:r>
      <w:r w:rsidR="00287E19" w:rsidRPr="00E033F1">
        <w:rPr>
          <w:color w:val="auto"/>
        </w:rPr>
        <w:t xml:space="preserve"> lead to false conclusions about the pattern of inh</w:t>
      </w:r>
      <w:r w:rsidR="00A17478" w:rsidRPr="00E033F1">
        <w:rPr>
          <w:color w:val="auto"/>
        </w:rPr>
        <w:t>ibition caused by the inhibitor</w:t>
      </w:r>
      <w:r w:rsidR="009E1F29" w:rsidRPr="00E033F1">
        <w:rPr>
          <w:color w:val="auto"/>
        </w:rPr>
        <w:t>,</w:t>
      </w:r>
      <w:r w:rsidR="00A17478" w:rsidRPr="00E033F1">
        <w:rPr>
          <w:color w:val="auto"/>
        </w:rPr>
        <w:t xml:space="preserve"> and</w:t>
      </w:r>
      <w:r w:rsidR="009E1F29" w:rsidRPr="00E033F1">
        <w:rPr>
          <w:color w:val="auto"/>
        </w:rPr>
        <w:t>,</w:t>
      </w:r>
      <w:r w:rsidR="00A17478" w:rsidRPr="00E033F1">
        <w:rPr>
          <w:color w:val="auto"/>
        </w:rPr>
        <w:t xml:space="preserve"> if the mode of inhibition is incorrect, the K</w:t>
      </w:r>
      <w:r w:rsidR="00A17478" w:rsidRPr="00E033F1">
        <w:rPr>
          <w:color w:val="auto"/>
          <w:vertAlign w:val="subscript"/>
        </w:rPr>
        <w:t>i</w:t>
      </w:r>
      <w:r w:rsidR="00A17478" w:rsidRPr="00E033F1">
        <w:rPr>
          <w:color w:val="auto"/>
        </w:rPr>
        <w:t xml:space="preserve"> will </w:t>
      </w:r>
      <w:r w:rsidR="009E1F29" w:rsidRPr="00E033F1">
        <w:rPr>
          <w:color w:val="auto"/>
        </w:rPr>
        <w:t>be calculated in</w:t>
      </w:r>
      <w:r w:rsidR="00A17478" w:rsidRPr="00E033F1">
        <w:rPr>
          <w:color w:val="auto"/>
        </w:rPr>
        <w:t>correctly as the equation rel</w:t>
      </w:r>
      <w:r w:rsidR="009E1F29" w:rsidRPr="00E033F1">
        <w:rPr>
          <w:color w:val="auto"/>
        </w:rPr>
        <w:t>ies</w:t>
      </w:r>
      <w:r w:rsidR="00A17478" w:rsidRPr="00E033F1">
        <w:rPr>
          <w:color w:val="auto"/>
        </w:rPr>
        <w:t xml:space="preserve"> on the </w:t>
      </w:r>
      <w:r w:rsidR="00AF0CC1" w:rsidRPr="00E033F1">
        <w:rPr>
          <w:color w:val="auto"/>
        </w:rPr>
        <w:t xml:space="preserve">pattern </w:t>
      </w:r>
      <w:r w:rsidR="00A17478" w:rsidRPr="00E033F1">
        <w:rPr>
          <w:color w:val="auto"/>
        </w:rPr>
        <w:t>of</w:t>
      </w:r>
      <w:r w:rsidR="00D2105D" w:rsidRPr="00E033F1">
        <w:rPr>
          <w:color w:val="auto"/>
        </w:rPr>
        <w:t xml:space="preserve"> </w:t>
      </w:r>
      <w:r w:rsidR="00A17478" w:rsidRPr="00E033F1">
        <w:rPr>
          <w:color w:val="auto"/>
        </w:rPr>
        <w:t>inhibition</w:t>
      </w:r>
      <w:r w:rsidR="00553515" w:rsidRPr="00E033F1">
        <w:rPr>
          <w:color w:val="auto"/>
        </w:rPr>
        <w:fldChar w:fldCharType="begin"/>
      </w:r>
      <w:r w:rsidR="00553515" w:rsidRPr="00E033F1">
        <w:rPr>
          <w:color w:val="auto"/>
        </w:rPr>
        <w:instrText xml:space="preserve"> ADDIN ZOTERO_ITEM CSL_CITATION {"citationID":"NjweCFQI","properties":{"formattedCitation":"\\super 26, 28\\nosupersub{}","plainCitation":"26, 28","noteIndex":0},"citationItems":[{"id":387,"uris":["http://zotero.org/users/local/bXXP6LKp/items/UWQYNIIH"],"uri":["http://zotero.org/users/local/bXXP6LKp/items/UWQYNIIH"],"itemData":{"id":387,"type":"article-journal","abstract":"High-throughput screening (HTS) is a common mechanism for identifying lead compounds for drug discovery efforts. Small molecules can inhibit enzymes by a variety of mechanisms, such as competitive, noncompetitive, and uncompetitive with respect to the substrate(s) of the catalytic reaction. To optimize the chances of finding the broadest diversity of inhibitor modalities during screening, one must run assays under ``balanced'' conditions where the potency of inhibitors with various modes of action falls within a similar range. When an enzyme reaction involves more than one substrate, the definition and assessment of the apparent potency of inhibitors (IC50), in relation to their true potency (Ki), can be nontrivial. This article provides a theoretical analysis, on the basis of the Cheng-Prusoff derivation, of the IC50/K i relationship of bisubstrate enzyme reactions following various sequential kinetic mechanisms, as well as the application and limitations of this information for defining optimal screening conditions for such enzymes. (Journal of Biomolecular Screening 2009:111-120)","container-title":"Journal of Biomolecular Screening","DOI":"10.1177/1087057108328763","ISSN":"1087-0571","issue":"2","journalAbbreviation":"J Biomol Screen","language":"en","page":"111-120","source":"SAGE Journals","title":"Defining Balanced Conditions for Inhibitor Screening Assays That Target Bisubstrate Enzymes","volume":"14","author":[{"family":"Yang","given":"Jingsong"},{"family":"Copeland","given":"Robert A."},{"family":"Lai","given":"Zhihong"}],"issued":{"date-parts":[["2009",2,1]]}}},{"id":280,"uris":["http://zotero.org/users/local/bXXP6LKp/items/SLFA6DSF"],"uri":["http://zotero.org/users/local/bXXP6LKp/items/SLFA6DSF"],"itemData":{"id":280,"type":"article-journal","abstract":"This review describes the key steps and methods which are used to develop enzyme assays suitable for high-throughput screening (HTS) applications. The goals of HTS enzyme assays are defined relative to lower-throughput bench top assays and important aspects which go into constructing robust and sensitive enzyme assays are described. Methods that have been applied to common enzyme classes are reviewed and pitfalls related to assay artifacts are discussed. We also suggest a reporting format to describe the steps in HTS enzyme assays.","collection-title":"Reporting Enzymology Data – STRENDA Recommendations and Beyond","container-title":"Perspectives in Science","DOI":"10.1016/j.pisc.2013.12.001","ISSN":"2213-0209","issue":"1","journalAbbreviation":"Perspectives in Science","page":"56-73","source":"ScienceDirect","title":"Considerations for the design and reporting of enzyme assays in high-throughput screening applications","volume":"1","author":[{"family":"Acker","given":"Michael G."},{"family":"Auld","given":"Douglas S."}],"issued":{"date-parts":[["2014",5,1]]}}}],"schema":"https://github.com/citation-style-language/schema/raw/master/csl-citation.json"} </w:instrText>
      </w:r>
      <w:r w:rsidR="00553515" w:rsidRPr="00E033F1">
        <w:rPr>
          <w:color w:val="auto"/>
        </w:rPr>
        <w:fldChar w:fldCharType="separate"/>
      </w:r>
      <w:r w:rsidR="00553515" w:rsidRPr="00E033F1">
        <w:rPr>
          <w:color w:val="auto"/>
          <w:vertAlign w:val="superscript"/>
        </w:rPr>
        <w:t>26,28</w:t>
      </w:r>
      <w:r w:rsidR="00553515" w:rsidRPr="00E033F1">
        <w:rPr>
          <w:color w:val="auto"/>
        </w:rPr>
        <w:fldChar w:fldCharType="end"/>
      </w:r>
      <w:r w:rsidR="00A17478" w:rsidRPr="00E033F1">
        <w:rPr>
          <w:color w:val="auto"/>
        </w:rPr>
        <w:t>.</w:t>
      </w:r>
      <w:r w:rsidR="00B02364" w:rsidRPr="00E033F1">
        <w:rPr>
          <w:color w:val="auto"/>
        </w:rPr>
        <w:t xml:space="preserve"> </w:t>
      </w:r>
      <w:r w:rsidR="006B0DEB" w:rsidRPr="00E033F1">
        <w:rPr>
          <w:rFonts w:asciiTheme="minorHAnsi" w:hAnsiTheme="minorHAnsi" w:cstheme="minorHAnsi"/>
          <w:bCs/>
          <w:color w:val="auto"/>
        </w:rPr>
        <w:t>If a different GST isoform is tested, a new assessment of the K</w:t>
      </w:r>
      <w:r w:rsidR="006B0DEB" w:rsidRPr="00E033F1">
        <w:rPr>
          <w:rFonts w:asciiTheme="minorHAnsi" w:hAnsiTheme="minorHAnsi" w:cstheme="minorHAnsi"/>
          <w:bCs/>
          <w:color w:val="auto"/>
          <w:vertAlign w:val="subscript"/>
        </w:rPr>
        <w:t>m</w:t>
      </w:r>
      <w:r w:rsidR="006B0DEB" w:rsidRPr="00E033F1">
        <w:rPr>
          <w:rFonts w:asciiTheme="minorHAnsi" w:hAnsiTheme="minorHAnsi" w:cstheme="minorHAnsi"/>
          <w:bCs/>
          <w:color w:val="auto"/>
        </w:rPr>
        <w:t xml:space="preserve"> value is mandatory, as this value is unique for a pair of enzyme and ligand. </w:t>
      </w:r>
      <w:r w:rsidR="006B0DEB" w:rsidRPr="00E033F1">
        <w:rPr>
          <w:color w:val="auto"/>
        </w:rPr>
        <w:t>As we used a concentration of CD</w:t>
      </w:r>
      <w:r w:rsidR="00AF0CC1" w:rsidRPr="00E033F1">
        <w:rPr>
          <w:color w:val="auto"/>
        </w:rPr>
        <w:t>NB slightly lower</w:t>
      </w:r>
      <w:r w:rsidR="006B0DEB" w:rsidRPr="00E033F1">
        <w:rPr>
          <w:color w:val="auto"/>
        </w:rPr>
        <w:t xml:space="preserve"> </w:t>
      </w:r>
      <w:r w:rsidR="00AF0CC1" w:rsidRPr="00E033F1">
        <w:rPr>
          <w:color w:val="auto"/>
        </w:rPr>
        <w:t xml:space="preserve">than </w:t>
      </w:r>
      <w:r w:rsidR="006B0DEB" w:rsidRPr="00E033F1">
        <w:rPr>
          <w:color w:val="auto"/>
        </w:rPr>
        <w:t>the K</w:t>
      </w:r>
      <w:r w:rsidR="006B0DEB" w:rsidRPr="00E033F1">
        <w:rPr>
          <w:color w:val="auto"/>
          <w:vertAlign w:val="subscript"/>
        </w:rPr>
        <w:t>m</w:t>
      </w:r>
      <w:r w:rsidR="00AF0CC1" w:rsidRPr="00E033F1">
        <w:rPr>
          <w:color w:val="auto"/>
          <w:vertAlign w:val="subscript"/>
        </w:rPr>
        <w:t xml:space="preserve"> </w:t>
      </w:r>
      <w:r w:rsidR="00AF0CC1" w:rsidRPr="00E033F1">
        <w:rPr>
          <w:color w:val="auto"/>
        </w:rPr>
        <w:t>(0.2 mM)</w:t>
      </w:r>
      <w:r w:rsidR="006B0DEB" w:rsidRPr="00E033F1">
        <w:rPr>
          <w:color w:val="auto"/>
        </w:rPr>
        <w:t xml:space="preserve">, that we defined as </w:t>
      </w:r>
      <w:r w:rsidR="006B0DEB" w:rsidRPr="00E033F1">
        <w:rPr>
          <w:rFonts w:asciiTheme="minorHAnsi" w:hAnsiTheme="minorHAnsi" w:cstheme="minorHAnsi"/>
          <w:bCs/>
          <w:color w:val="auto"/>
        </w:rPr>
        <w:t>0.26 ± 0.08 mM, the predicted competitive mode of inhibition of curcumin on GST was accurately determined.</w:t>
      </w:r>
      <w:r w:rsidR="006B0DEB" w:rsidRPr="00E033F1">
        <w:rPr>
          <w:color w:val="auto"/>
        </w:rPr>
        <w:t xml:space="preserve"> </w:t>
      </w:r>
    </w:p>
    <w:p w14:paraId="1A5AD3FB" w14:textId="77777777" w:rsidR="00D4543E" w:rsidRPr="00E033F1" w:rsidRDefault="00D4543E" w:rsidP="00E033F1">
      <w:pPr>
        <w:contextualSpacing/>
        <w:rPr>
          <w:color w:val="auto"/>
        </w:rPr>
      </w:pPr>
    </w:p>
    <w:p w14:paraId="4C754654" w14:textId="4A397C1A" w:rsidR="00287E19" w:rsidRPr="00553515" w:rsidRDefault="00F91B7A" w:rsidP="00E033F1">
      <w:pPr>
        <w:contextualSpacing/>
        <w:rPr>
          <w:b/>
          <w:bCs/>
          <w:color w:val="auto"/>
        </w:rPr>
      </w:pPr>
      <w:r w:rsidRPr="00553515">
        <w:rPr>
          <w:b/>
          <w:bCs/>
          <w:color w:val="auto"/>
        </w:rPr>
        <w:t>IC50</w:t>
      </w:r>
    </w:p>
    <w:p w14:paraId="0AAFCFC6" w14:textId="382C66F6" w:rsidR="00EE35E4" w:rsidRPr="00E033F1" w:rsidRDefault="009E1F29" w:rsidP="00E033F1">
      <w:pPr>
        <w:contextualSpacing/>
        <w:rPr>
          <w:color w:val="auto"/>
        </w:rPr>
      </w:pPr>
      <w:r w:rsidRPr="00E033F1">
        <w:rPr>
          <w:color w:val="auto"/>
        </w:rPr>
        <w:t>Obtaining</w:t>
      </w:r>
      <w:r w:rsidR="00002C69" w:rsidRPr="00E033F1">
        <w:rPr>
          <w:color w:val="auto"/>
        </w:rPr>
        <w:t xml:space="preserve"> a good sigmoid</w:t>
      </w:r>
      <w:r w:rsidR="00D50F08" w:rsidRPr="00E033F1">
        <w:rPr>
          <w:color w:val="auto"/>
        </w:rPr>
        <w:t>al</w:t>
      </w:r>
      <w:r w:rsidR="00002C69" w:rsidRPr="00E033F1">
        <w:rPr>
          <w:color w:val="auto"/>
        </w:rPr>
        <w:t xml:space="preserve"> curve </w:t>
      </w:r>
      <w:r w:rsidRPr="00E033F1">
        <w:rPr>
          <w:color w:val="auto"/>
        </w:rPr>
        <w:t xml:space="preserve">with which </w:t>
      </w:r>
      <w:r w:rsidR="00002C69" w:rsidRPr="00E033F1">
        <w:rPr>
          <w:color w:val="auto"/>
        </w:rPr>
        <w:t xml:space="preserve">to </w:t>
      </w:r>
      <w:r w:rsidR="00776F9E" w:rsidRPr="00E033F1">
        <w:rPr>
          <w:color w:val="auto"/>
        </w:rPr>
        <w:t xml:space="preserve">estimate </w:t>
      </w:r>
      <w:r w:rsidR="00D50F08" w:rsidRPr="00E033F1">
        <w:rPr>
          <w:color w:val="auto"/>
        </w:rPr>
        <w:t>the IC50</w:t>
      </w:r>
      <w:r w:rsidRPr="00E033F1">
        <w:rPr>
          <w:color w:val="auto"/>
        </w:rPr>
        <w:t xml:space="preserve"> requires</w:t>
      </w:r>
      <w:r w:rsidR="00002C69" w:rsidRPr="00E033F1">
        <w:rPr>
          <w:color w:val="auto"/>
        </w:rPr>
        <w:t xml:space="preserve"> find</w:t>
      </w:r>
      <w:r w:rsidRPr="00E033F1">
        <w:rPr>
          <w:color w:val="auto"/>
        </w:rPr>
        <w:t>ing</w:t>
      </w:r>
      <w:r w:rsidR="00002C69" w:rsidRPr="00E033F1">
        <w:rPr>
          <w:color w:val="auto"/>
        </w:rPr>
        <w:t xml:space="preserve"> both the bottom and top plateaus. The bottom </w:t>
      </w:r>
      <w:r w:rsidR="00D4543E" w:rsidRPr="00E033F1">
        <w:rPr>
          <w:color w:val="auto"/>
        </w:rPr>
        <w:t>plateau represents the</w:t>
      </w:r>
      <w:r w:rsidR="00002C69" w:rsidRPr="00E033F1">
        <w:rPr>
          <w:color w:val="auto"/>
        </w:rPr>
        <w:t xml:space="preserve"> concentrations of </w:t>
      </w:r>
      <w:r w:rsidR="00776F9E" w:rsidRPr="00E033F1">
        <w:rPr>
          <w:color w:val="auto"/>
        </w:rPr>
        <w:t xml:space="preserve">an </w:t>
      </w:r>
      <w:r w:rsidR="00002C69" w:rsidRPr="00E033F1">
        <w:rPr>
          <w:color w:val="auto"/>
        </w:rPr>
        <w:t xml:space="preserve">inhibitor that </w:t>
      </w:r>
      <w:r w:rsidRPr="00E033F1">
        <w:rPr>
          <w:color w:val="auto"/>
        </w:rPr>
        <w:t xml:space="preserve">provide the </w:t>
      </w:r>
      <w:r w:rsidR="00002C69" w:rsidRPr="00E033F1">
        <w:rPr>
          <w:color w:val="auto"/>
        </w:rPr>
        <w:t>maxim</w:t>
      </w:r>
      <w:r w:rsidRPr="00E033F1">
        <w:rPr>
          <w:color w:val="auto"/>
        </w:rPr>
        <w:t>um</w:t>
      </w:r>
      <w:r w:rsidR="00002C69" w:rsidRPr="00E033F1">
        <w:rPr>
          <w:color w:val="auto"/>
        </w:rPr>
        <w:t xml:space="preserve"> inhibit</w:t>
      </w:r>
      <w:r w:rsidR="007609D7" w:rsidRPr="00E033F1">
        <w:rPr>
          <w:color w:val="auto"/>
        </w:rPr>
        <w:t>ory</w:t>
      </w:r>
      <w:r w:rsidR="00002C69" w:rsidRPr="00E033F1">
        <w:rPr>
          <w:color w:val="auto"/>
        </w:rPr>
        <w:t xml:space="preserve"> activity. In some </w:t>
      </w:r>
      <w:r w:rsidR="00894B41" w:rsidRPr="00E033F1">
        <w:rPr>
          <w:color w:val="auto"/>
        </w:rPr>
        <w:t>cases,</w:t>
      </w:r>
      <w:r w:rsidR="00002C69" w:rsidRPr="00E033F1">
        <w:rPr>
          <w:color w:val="auto"/>
        </w:rPr>
        <w:t xml:space="preserve"> a compound might not inhibit the enzyme </w:t>
      </w:r>
      <w:r w:rsidR="007609D7" w:rsidRPr="00E033F1">
        <w:rPr>
          <w:color w:val="auto"/>
        </w:rPr>
        <w:t xml:space="preserve">fully, </w:t>
      </w:r>
      <w:r w:rsidR="00002C69" w:rsidRPr="00E033F1">
        <w:rPr>
          <w:color w:val="auto"/>
        </w:rPr>
        <w:t>even at high concentrations</w:t>
      </w:r>
      <w:r w:rsidR="007609D7" w:rsidRPr="00E033F1">
        <w:rPr>
          <w:color w:val="auto"/>
        </w:rPr>
        <w:t>,</w:t>
      </w:r>
      <w:r w:rsidR="00002C69" w:rsidRPr="00E033F1">
        <w:rPr>
          <w:color w:val="auto"/>
        </w:rPr>
        <w:t xml:space="preserve"> because of </w:t>
      </w:r>
      <w:r w:rsidR="007609D7" w:rsidRPr="00E033F1">
        <w:rPr>
          <w:color w:val="auto"/>
        </w:rPr>
        <w:t xml:space="preserve">such </w:t>
      </w:r>
      <w:r w:rsidR="00002C69" w:rsidRPr="00E033F1">
        <w:rPr>
          <w:color w:val="auto"/>
        </w:rPr>
        <w:t>technical issues</w:t>
      </w:r>
      <w:r w:rsidR="00D50F08" w:rsidRPr="00E033F1">
        <w:rPr>
          <w:color w:val="auto"/>
        </w:rPr>
        <w:t xml:space="preserve"> as solubility</w:t>
      </w:r>
      <w:r w:rsidR="00002C69" w:rsidRPr="00E033F1">
        <w:rPr>
          <w:color w:val="auto"/>
        </w:rPr>
        <w:t xml:space="preserve">. However, </w:t>
      </w:r>
      <w:r w:rsidR="00776F9E" w:rsidRPr="00E033F1">
        <w:rPr>
          <w:color w:val="auto"/>
        </w:rPr>
        <w:t xml:space="preserve">tools </w:t>
      </w:r>
      <w:r w:rsidR="00D50F08" w:rsidRPr="00E033F1">
        <w:rPr>
          <w:color w:val="auto"/>
        </w:rPr>
        <w:t>like</w:t>
      </w:r>
      <w:r w:rsidR="00002C69" w:rsidRPr="00E033F1">
        <w:rPr>
          <w:color w:val="auto"/>
        </w:rPr>
        <w:t xml:space="preserve"> GraphPad Prism </w:t>
      </w:r>
      <w:r w:rsidR="007609D7" w:rsidRPr="00E033F1">
        <w:rPr>
          <w:color w:val="auto"/>
        </w:rPr>
        <w:t>can</w:t>
      </w:r>
      <w:r w:rsidR="00002C69" w:rsidRPr="00E033F1">
        <w:rPr>
          <w:color w:val="auto"/>
        </w:rPr>
        <w:t xml:space="preserve"> </w:t>
      </w:r>
      <w:r w:rsidR="00776F9E" w:rsidRPr="00E033F1">
        <w:rPr>
          <w:color w:val="auto"/>
        </w:rPr>
        <w:t>fit</w:t>
      </w:r>
      <w:r w:rsidR="00002C69" w:rsidRPr="00E033F1">
        <w:rPr>
          <w:color w:val="auto"/>
        </w:rPr>
        <w:t xml:space="preserve"> the bottom plateau quite accurately. The top plateau </w:t>
      </w:r>
      <w:r w:rsidR="007609D7" w:rsidRPr="00E033F1">
        <w:rPr>
          <w:color w:val="auto"/>
        </w:rPr>
        <w:t>is made up of</w:t>
      </w:r>
      <w:r w:rsidR="00002C69" w:rsidRPr="00E033F1">
        <w:rPr>
          <w:color w:val="auto"/>
        </w:rPr>
        <w:t xml:space="preserve"> concentration</w:t>
      </w:r>
      <w:r w:rsidR="007609D7" w:rsidRPr="00E033F1">
        <w:rPr>
          <w:color w:val="auto"/>
        </w:rPr>
        <w:t>s</w:t>
      </w:r>
      <w:r w:rsidR="00002C69" w:rsidRPr="00E033F1">
        <w:rPr>
          <w:color w:val="auto"/>
        </w:rPr>
        <w:t xml:space="preserve"> of </w:t>
      </w:r>
      <w:r w:rsidR="007609D7" w:rsidRPr="00E033F1">
        <w:rPr>
          <w:color w:val="auto"/>
        </w:rPr>
        <w:t xml:space="preserve">the </w:t>
      </w:r>
      <w:r w:rsidR="00E25315" w:rsidRPr="00E033F1">
        <w:rPr>
          <w:color w:val="auto"/>
        </w:rPr>
        <w:t>inhibitor, which</w:t>
      </w:r>
      <w:r w:rsidR="00002C69" w:rsidRPr="00E033F1">
        <w:rPr>
          <w:color w:val="auto"/>
        </w:rPr>
        <w:t xml:space="preserve"> are </w:t>
      </w:r>
      <w:r w:rsidR="007609D7" w:rsidRPr="00E033F1">
        <w:rPr>
          <w:color w:val="auto"/>
        </w:rPr>
        <w:t>in</w:t>
      </w:r>
      <w:r w:rsidR="00002C69" w:rsidRPr="00E033F1">
        <w:rPr>
          <w:color w:val="auto"/>
        </w:rPr>
        <w:t>sufficient to inhibit the enzyme, and therefore the activity is maximal. Both these plateaus are crucial to determin</w:t>
      </w:r>
      <w:r w:rsidR="007609D7" w:rsidRPr="00E033F1">
        <w:rPr>
          <w:color w:val="auto"/>
        </w:rPr>
        <w:t>ing</w:t>
      </w:r>
      <w:r w:rsidR="00002C69" w:rsidRPr="00E033F1">
        <w:rPr>
          <w:color w:val="auto"/>
        </w:rPr>
        <w:t xml:space="preserve"> the IC50 as well as concentrations in between, in order t</w:t>
      </w:r>
      <w:r w:rsidR="00287E19" w:rsidRPr="00E033F1">
        <w:rPr>
          <w:color w:val="auto"/>
        </w:rPr>
        <w:t>o find the slope of the curve</w:t>
      </w:r>
      <w:r w:rsidR="007609D7" w:rsidRPr="00E033F1">
        <w:rPr>
          <w:color w:val="auto"/>
        </w:rPr>
        <w:t>—t</w:t>
      </w:r>
      <w:r w:rsidR="00287E19" w:rsidRPr="00E033F1">
        <w:rPr>
          <w:color w:val="auto"/>
        </w:rPr>
        <w:t xml:space="preserve">hen the IC50 can be derived from the </w:t>
      </w:r>
      <w:r w:rsidR="00D2105D" w:rsidRPr="00E033F1">
        <w:rPr>
          <w:color w:val="auto"/>
        </w:rPr>
        <w:t>shape</w:t>
      </w:r>
      <w:r w:rsidR="00287E19" w:rsidRPr="00E033F1">
        <w:rPr>
          <w:color w:val="auto"/>
        </w:rPr>
        <w:t xml:space="preserve"> of the sigmoid curve</w:t>
      </w:r>
      <w:r w:rsidR="00553515" w:rsidRPr="00E033F1">
        <w:rPr>
          <w:color w:val="auto"/>
        </w:rPr>
        <w:fldChar w:fldCharType="begin"/>
      </w:r>
      <w:r w:rsidR="00553515" w:rsidRPr="00E033F1">
        <w:rPr>
          <w:color w:val="auto"/>
        </w:rPr>
        <w:instrText xml:space="preserve"> ADDIN ZOTERO_ITEM CSL_CITATION {"citationID":"3FWY0tib","properties":{"formattedCitation":"\\super 35\\nosupersub{}","plainCitation":"35","noteIndex":0},"citationItems":[{"id":381,"uris":["http://zotero.org/users/local/bXXP6LKp/items/BJ4DVU88"],"uri":["http://zotero.org/users/local/bXXP6LKp/items/BJ4DVU88"],"itemData":{"id":381,"type":"book","abstract":"Enzymes are important drug targets. Many marketed drugs today function through inhibition of enzymes mediating disease phenotypes. To design, develop and validate robust enzymatic assays for HTS applications, it is critical to have a thorough understanding of the enzyme biochemistry and the kinetics of enzyme action. This chapter contains basic concepts in enzyme kinetics, selection of appropriate substrates for assay design and the estimation and significance of Km and Vmax, the intrinsic kinetic parameters of enzyme targets. These concepts are addressed in the context of drug discovery and HTS assay development.","language":"en","note":"PMID: 22553875","publisher":"Eli Lilly &amp; Company and the National Center for Advancing Translational Sciences","source":"www.ncbi.nlm.nih.gov","title":"Basics of Enzymatic Assays for HTS","URL":"https://www.ncbi.nlm.nih.gov/books/NBK92007/","author":[{"family":"Brooks","given":"Harold B."},{"family":"Geeganage","given":"Sandaruwan"},{"family":"Kahl","given":"Steven D."},{"family":"Montrose","given":"Chahrzad"},{"family":"Sittampalam","given":"Sitta"},{"family":"Smith","given":"Michelle C."},{"family":"Weidner","given":"Jeffrey R."}],"accessed":{"date-parts":[["2019",7,16]]},"issued":{"date-parts":[["2012",10,1]]}}}],"schema":"https://github.com/citation-style-language/schema/raw/master/csl-citation.json"} </w:instrText>
      </w:r>
      <w:r w:rsidR="00553515" w:rsidRPr="00E033F1">
        <w:rPr>
          <w:color w:val="auto"/>
        </w:rPr>
        <w:fldChar w:fldCharType="separate"/>
      </w:r>
      <w:r w:rsidR="00553515" w:rsidRPr="00E033F1">
        <w:rPr>
          <w:color w:val="auto"/>
          <w:vertAlign w:val="superscript"/>
        </w:rPr>
        <w:t>35</w:t>
      </w:r>
      <w:r w:rsidR="00553515" w:rsidRPr="00E033F1">
        <w:rPr>
          <w:color w:val="auto"/>
        </w:rPr>
        <w:fldChar w:fldCharType="end"/>
      </w:r>
      <w:r w:rsidR="00287E19" w:rsidRPr="00E033F1">
        <w:rPr>
          <w:color w:val="auto"/>
        </w:rPr>
        <w:t>.</w:t>
      </w:r>
      <w:r w:rsidR="003F4FCA" w:rsidRPr="00E033F1">
        <w:rPr>
          <w:color w:val="auto"/>
        </w:rPr>
        <w:t xml:space="preserve"> Curcumin is poorly soluble in water, thus the maximum concentration used in this assay is limited</w:t>
      </w:r>
      <w:r w:rsidR="00E25315" w:rsidRPr="00E033F1">
        <w:rPr>
          <w:color w:val="auto"/>
        </w:rPr>
        <w:t xml:space="preserve">, </w:t>
      </w:r>
      <w:r w:rsidR="003F4FCA" w:rsidRPr="00E033F1">
        <w:rPr>
          <w:color w:val="auto"/>
        </w:rPr>
        <w:t xml:space="preserve">to avoid precipitation in the assay solution. </w:t>
      </w:r>
      <w:r w:rsidR="00EE6B80" w:rsidRPr="00E033F1">
        <w:rPr>
          <w:color w:val="auto"/>
        </w:rPr>
        <w:t xml:space="preserve">Thus, </w:t>
      </w:r>
      <w:r w:rsidR="00AF0CC1" w:rsidRPr="00E033F1">
        <w:rPr>
          <w:color w:val="auto"/>
        </w:rPr>
        <w:t>less concentrated solutions</w:t>
      </w:r>
      <w:r w:rsidR="00E25315" w:rsidRPr="00E033F1">
        <w:rPr>
          <w:color w:val="auto"/>
        </w:rPr>
        <w:t>, which does not inhibit fully the GST activity, were used</w:t>
      </w:r>
      <w:r w:rsidR="00EE6B80" w:rsidRPr="00E033F1">
        <w:rPr>
          <w:color w:val="auto"/>
        </w:rPr>
        <w:t>. This raised</w:t>
      </w:r>
      <w:r w:rsidR="00E25315" w:rsidRPr="00E033F1">
        <w:rPr>
          <w:color w:val="auto"/>
        </w:rPr>
        <w:t xml:space="preserve"> issues </w:t>
      </w:r>
      <w:r w:rsidR="00EE6B80" w:rsidRPr="00E033F1">
        <w:rPr>
          <w:color w:val="auto"/>
        </w:rPr>
        <w:t>for the determination of</w:t>
      </w:r>
      <w:r w:rsidR="00E25315" w:rsidRPr="00E033F1">
        <w:rPr>
          <w:color w:val="auto"/>
        </w:rPr>
        <w:t xml:space="preserve"> the bottom plateau. To counter this </w:t>
      </w:r>
      <w:r w:rsidR="00230892" w:rsidRPr="00E033F1">
        <w:rPr>
          <w:color w:val="auto"/>
        </w:rPr>
        <w:t>problem</w:t>
      </w:r>
      <w:r w:rsidR="00E25315" w:rsidRPr="00E033F1">
        <w:rPr>
          <w:color w:val="auto"/>
        </w:rPr>
        <w:t xml:space="preserve">, we predicted </w:t>
      </w:r>
      <w:r w:rsidR="00230892" w:rsidRPr="00E033F1">
        <w:rPr>
          <w:color w:val="auto"/>
        </w:rPr>
        <w:t>bottom values</w:t>
      </w:r>
      <w:r w:rsidR="00E25315" w:rsidRPr="00E033F1">
        <w:rPr>
          <w:color w:val="auto"/>
        </w:rPr>
        <w:t xml:space="preserve"> based on the non-linear regression graph, which provided </w:t>
      </w:r>
      <w:r w:rsidR="00AF0CC1" w:rsidRPr="00E033F1">
        <w:rPr>
          <w:color w:val="auto"/>
        </w:rPr>
        <w:t xml:space="preserve">an IC50 of 31.6 ± 3.6 </w:t>
      </w:r>
      <w:r w:rsidR="00B33C23" w:rsidRPr="00E033F1">
        <w:rPr>
          <w:color w:val="auto"/>
        </w:rPr>
        <w:t>µ</w:t>
      </w:r>
      <w:r w:rsidR="00AF0CC1" w:rsidRPr="00E033F1">
        <w:rPr>
          <w:color w:val="auto"/>
        </w:rPr>
        <w:t>M for curcumin</w:t>
      </w:r>
      <w:r w:rsidR="00553515">
        <w:rPr>
          <w:color w:val="auto"/>
        </w:rPr>
        <w:t xml:space="preserve"> </w:t>
      </w:r>
      <w:r w:rsidR="00553515" w:rsidRPr="00E033F1">
        <w:rPr>
          <w:color w:val="auto"/>
        </w:rPr>
        <w:t>(</w:t>
      </w:r>
      <w:r w:rsidR="00553515" w:rsidRPr="00E033F1">
        <w:rPr>
          <w:color w:val="auto"/>
        </w:rPr>
        <w:fldChar w:fldCharType="begin"/>
      </w:r>
      <w:r w:rsidR="00553515" w:rsidRPr="00E033F1">
        <w:rPr>
          <w:color w:val="auto"/>
        </w:rPr>
        <w:instrText xml:space="preserve"> REF _Ref43888919 \h </w:instrText>
      </w:r>
      <w:r w:rsidR="00553515">
        <w:rPr>
          <w:color w:val="auto"/>
        </w:rPr>
        <w:instrText xml:space="preserve"> \* MERGEFORMAT </w:instrText>
      </w:r>
      <w:r w:rsidR="00553515" w:rsidRPr="00E033F1">
        <w:rPr>
          <w:color w:val="auto"/>
        </w:rPr>
      </w:r>
      <w:r w:rsidR="00553515" w:rsidRPr="00E033F1">
        <w:rPr>
          <w:color w:val="auto"/>
        </w:rPr>
        <w:fldChar w:fldCharType="separate"/>
      </w:r>
      <w:r w:rsidR="00553515" w:rsidRPr="00E033F1">
        <w:rPr>
          <w:b/>
          <w:color w:val="auto"/>
        </w:rPr>
        <w:t xml:space="preserve">Figure </w:t>
      </w:r>
      <w:r w:rsidR="00553515" w:rsidRPr="00E033F1">
        <w:rPr>
          <w:b/>
          <w:noProof/>
          <w:color w:val="auto"/>
        </w:rPr>
        <w:t>3</w:t>
      </w:r>
      <w:r w:rsidR="00553515" w:rsidRPr="00E033F1">
        <w:rPr>
          <w:color w:val="auto"/>
        </w:rPr>
        <w:fldChar w:fldCharType="end"/>
      </w:r>
      <w:r w:rsidR="00553515" w:rsidRPr="00E033F1">
        <w:rPr>
          <w:b/>
          <w:color w:val="auto"/>
        </w:rPr>
        <w:t>A</w:t>
      </w:r>
      <w:r w:rsidR="00553515" w:rsidRPr="00E033F1">
        <w:rPr>
          <w:color w:val="auto"/>
        </w:rPr>
        <w:t>)</w:t>
      </w:r>
      <w:r w:rsidR="00E25315" w:rsidRPr="00E033F1">
        <w:rPr>
          <w:color w:val="auto"/>
        </w:rPr>
        <w:t xml:space="preserve">. </w:t>
      </w:r>
      <w:r w:rsidR="00AF0CC1" w:rsidRPr="00E033F1">
        <w:rPr>
          <w:color w:val="auto"/>
        </w:rPr>
        <w:t xml:space="preserve">For ethacrynic acid, there was no need to predict the values for the bottom plateau as this compound is soluble in the assay solution and the IC50 was measured at 6.6 ± 1.1 </w:t>
      </w:r>
      <w:r w:rsidR="00B33C23" w:rsidRPr="00E033F1">
        <w:rPr>
          <w:color w:val="auto"/>
        </w:rPr>
        <w:t>µ</w:t>
      </w:r>
      <w:r w:rsidR="00AF0CC1" w:rsidRPr="00E033F1">
        <w:rPr>
          <w:color w:val="auto"/>
        </w:rPr>
        <w:t>M.</w:t>
      </w:r>
    </w:p>
    <w:p w14:paraId="47F2CC31" w14:textId="012700D0" w:rsidR="00CA7C21" w:rsidRPr="00E033F1" w:rsidRDefault="00CA7C21" w:rsidP="00E033F1">
      <w:pPr>
        <w:contextualSpacing/>
        <w:rPr>
          <w:color w:val="auto"/>
        </w:rPr>
      </w:pPr>
    </w:p>
    <w:p w14:paraId="746FD561" w14:textId="47D244D8" w:rsidR="00CA7C21" w:rsidRPr="00E033F1" w:rsidRDefault="00CA7C21" w:rsidP="00E033F1">
      <w:pPr>
        <w:contextualSpacing/>
        <w:rPr>
          <w:color w:val="auto"/>
        </w:rPr>
      </w:pPr>
      <w:r w:rsidRPr="00E033F1">
        <w:rPr>
          <w:color w:val="auto"/>
        </w:rPr>
        <w:t>This method can be applied to the most expressed GST isoform</w:t>
      </w:r>
      <w:r w:rsidR="00EF7341" w:rsidRPr="00E033F1">
        <w:rPr>
          <w:color w:val="auto"/>
        </w:rPr>
        <w:t>s</w:t>
      </w:r>
      <w:r w:rsidRPr="00E033F1">
        <w:rPr>
          <w:color w:val="auto"/>
        </w:rPr>
        <w:t xml:space="preserve"> in human, namely GSTA1, GSTM1 or GSTP1. However, this protocol is not suited to quantify the activity of the GSTT1 isoform, as CDNB is not a substrate for this subtype.</w:t>
      </w:r>
      <w:r w:rsidRPr="00E033F1">
        <w:rPr>
          <w:color w:val="auto"/>
        </w:rPr>
        <w:fldChar w:fldCharType="begin"/>
      </w:r>
      <w:r w:rsidR="00E5170D" w:rsidRPr="00E033F1">
        <w:rPr>
          <w:color w:val="auto"/>
        </w:rPr>
        <w:instrText xml:space="preserve"> ADDIN ZOTERO_ITEM CSL_CITATION {"citationID":"MKQtlVo5","properties":{"formattedCitation":"\\super 36, 37\\nosupersub{}","plainCitation":"36, 37","noteIndex":0},"citationItems":[{"id":896,"uris":["http://zotero.org/users/local/bXXP6LKp/items/JEEYQP2R"],"uri":["http://zotero.org/users/local/bXXP6LKp/items/JEEYQP2R"],"itemData":{"id":896,"type":"article-journal","abstract":"We investigated the impact of glutathione transferases Mu 1 (GSTM1)- and glutathione transferase Theta 1 (GSTT1)-null genotypes on hepatic GST activities in humans and compared the results with those of Gstm1- and Gstt1-null mice. In liver with GSTM1/Gstm1-null genotype, GST activity toward p-nitrobenzyl chloride (NBC) was significantly decreased in both humans and mice. In addition, in liver with GSTT1/Gstt1-null genotype, GST activity toward dichloromethane (DCM) was significantly decreased in both humans and mice. Therefore, null genotypes of GSTM1/Gstm1 and GSTT1/Gstt1 are considered to decrease hepatic GST activities toward NBC and DCM, respectively, in both humans and mice. This observation shows the functional similarity between humans and mice for GSTM1 and GSTT1 toward some substrates. In the case of NBC and DCM, Gst-null mice would be relevant models for humans with GST-null genotype. In addition, decreases in GST activities toward 1,2-dichloro-4-nitrobenzene, trans-4-phenyl-3-buten-2-one, and 1-chloro-2,4,-dinitrobenzene were observed in Gstm1-null mice, and a decrease in GST activity toward 1,2-epoxy-3-(p-nitrophenoxy)propane was observed in Gstt1-null mice. However, an impact of GST-null genotypes on GST activities toward these substrates was not observed in humans. In the case of these mouse-specific substrates, Gst-null mice may be relevant models for humans regardless of GST genotype, because GST activities, which are higher in wild-type mice than in humans, were eliminated in Gst-null mice. This study shows that comparison of hepatic GST activities between humans and mice using genotype information would be valuable in using Gst-null mice as human models.","container-title":"Drug Metabolism and Disposition: The Biological Fate of Chemicals","DOI":"10.1124/dmd.111.042911","ISSN":"1521-009X","issue":"3","journalAbbreviation":"Drug Metab. Dispos.","language":"eng","note":"PMID: 22170331","page":"497-503","source":"PubMed","title":"Evaluation of hepatic glutathione transferase Mu 1 and Theta 1 activities in humans and mice using genotype information","volume":"40","author":[{"family":"Arakawa","given":"Shingo"},{"family":"Fujimoto","given":"Kazunori"},{"family":"Kato","given":"Ayako"},{"family":"Endo","given":"Seiko"},{"family":"Fukahori","given":"Aiko"},{"family":"Shinagawa","given":"Akira"},{"family":"Fischer","given":"Thomas"},{"family":"Mueller","given":"Juergen"},{"family":"Takasaki","given":"Wataru"}],"issued":{"date-parts":[["2012",3]]}}},{"id":898,"uris":["http://zotero.org/users/local/bXXP6LKp/items/JSAABYWK"],"uri":["http://zotero.org/users/local/bXXP6LKp/items/JSAABYWK"],"itemData":{"id":898,"type":"article-journal","abstract":"The cDNA encoding human glutathione S-transferase (GST) T1 has been expressed as two recombinant forms in Escherichia coli that could be purified by affinity chromatography on either IgG-Sepharose or nickel-agarose; one form of the transferase was synthesized from the pALP 1 expression vector as a Staphylococcus aureus protein A fusion, whereas the other form was synthesized from the pET-20b expression vector as a C-terminal polyhistidine-tagged recombinant. The yields of the two purified recombinant proteins from E. coli cultures were approx. 15 mg/l for the protein A fusion and 25 mg/l for the C-terminal polyhistidine-tagged GST T1-1. The purified recombinant proteins were catalytically active, although the protein A fusion was typically only 5-30% as active as the histidine-tagged GST. Both recombinant forms could catalyse the conjugation of glutathione with the model substrates 1,2-epoxy-3-(4'-nitrophenoxy)propane,4-nitrobenzyl chloride and 4-nitrophenethyl bromide but were inactive towards 1-chloro-2,4-dinitrobenzene, ethacrynic acid and 1-menaphthyl sulphate. Recombinant human GST T1-1 was found to exhibit glutathione peroxidase activity and could catalyse the reduction of cumene hydroperoxide. In addition, recombinant human GST T1-1 was found to conjugate glutathione with dichloromethane, a pulmonary and hepatic carcinogen in the mouse. Immunoblotting with antibodies raised against different transferase isoenzymes showed that GST T1-1 is expressed in a large number of human organs in a tissue-specific fashion that differs from the pattern of expression of classes Alpha, Mu and Pi GST. Most significantly, GST T1-1 was found in only low levels in human pulmonary soluble extract of cells, suggesting that in man the lung has little capacity to activate the volatile dichloromethane.","container-title":"The Biochemical Journal","DOI":"10.1042/bj3260837","ISSN":"0264-6021","journalAbbreviation":"Biochem. J.","language":"eng","note":"PMID: 9307035\nPMCID: PMC1218740","page":"837-846","source":"PubMed","title":"Evidence that human class Theta glutathione S-transferase T1-1 can catalyse the activation of dichloromethane, a liver and lung carcinogen in the mouse. Comparison of the tissue distribution of GST T1-1 with that of classes Alpha, Mu and Pi GST in human","volume":"326 ( Pt 3)","author":[{"family":"Sherratt","given":"P. J."},{"family":"Pulford","given":"D. J."},{"family":"Harrison","given":"D. J."},{"family":"Green","given":"T."},{"family":"Hayes","given":"J. D."}],"issued":{"date-parts":[["1997",9,15]]}}}],"schema":"https://github.com/citation-style-language/schema/raw/master/csl-citation.json"} </w:instrText>
      </w:r>
      <w:r w:rsidRPr="00E033F1">
        <w:rPr>
          <w:color w:val="auto"/>
        </w:rPr>
        <w:fldChar w:fldCharType="separate"/>
      </w:r>
      <w:r w:rsidR="00E5170D" w:rsidRPr="00E033F1">
        <w:rPr>
          <w:color w:val="auto"/>
          <w:vertAlign w:val="superscript"/>
        </w:rPr>
        <w:t>36, 37</w:t>
      </w:r>
      <w:r w:rsidRPr="00E033F1">
        <w:rPr>
          <w:color w:val="auto"/>
        </w:rPr>
        <w:fldChar w:fldCharType="end"/>
      </w:r>
      <w:r w:rsidRPr="00E033F1">
        <w:rPr>
          <w:color w:val="auto"/>
        </w:rPr>
        <w:t xml:space="preserve"> Meanwhile, the protocol can be slightly </w:t>
      </w:r>
      <w:r w:rsidRPr="00E033F1">
        <w:rPr>
          <w:color w:val="auto"/>
        </w:rPr>
        <w:lastRenderedPageBreak/>
        <w:t>modified to counter this issue</w:t>
      </w:r>
      <w:r w:rsidR="00E03B6F" w:rsidRPr="00E033F1">
        <w:rPr>
          <w:color w:val="auto"/>
        </w:rPr>
        <w:t xml:space="preserve">. </w:t>
      </w:r>
      <w:r w:rsidR="00807C76" w:rsidRPr="00E033F1">
        <w:rPr>
          <w:color w:val="auto"/>
        </w:rPr>
        <w:t xml:space="preserve">For instance </w:t>
      </w:r>
      <w:r w:rsidRPr="00E033F1">
        <w:rPr>
          <w:color w:val="auto"/>
        </w:rPr>
        <w:t>, using</w:t>
      </w:r>
      <w:r w:rsidR="008D64E8" w:rsidRPr="00E033F1">
        <w:rPr>
          <w:color w:val="auto"/>
        </w:rPr>
        <w:t xml:space="preserve"> </w:t>
      </w:r>
      <w:r w:rsidRPr="00E033F1">
        <w:rPr>
          <w:color w:val="auto"/>
        </w:rPr>
        <w:t xml:space="preserve">1,2-epoxy-3-(4’-nitrophenoxy)propane (ENPP) </w:t>
      </w:r>
      <w:r w:rsidR="00807C76" w:rsidRPr="00E033F1">
        <w:rPr>
          <w:color w:val="auto"/>
        </w:rPr>
        <w:t>as a substrate for GSTT1 and</w:t>
      </w:r>
      <w:r w:rsidR="00E03B6F" w:rsidRPr="00E033F1">
        <w:rPr>
          <w:color w:val="auto"/>
        </w:rPr>
        <w:t xml:space="preserve"> measure the quantity of conjugate at 360nm instead of 340nm.</w:t>
      </w:r>
      <w:r w:rsidRPr="00E033F1">
        <w:rPr>
          <w:color w:val="auto"/>
        </w:rPr>
        <w:fldChar w:fldCharType="begin"/>
      </w:r>
      <w:r w:rsidR="00E5170D" w:rsidRPr="00E033F1">
        <w:rPr>
          <w:color w:val="auto"/>
        </w:rPr>
        <w:instrText xml:space="preserve"> ADDIN ZOTERO_ITEM CSL_CITATION {"citationID":"E5SdBr7j","properties":{"formattedCitation":"\\super 37\\nosupersub{}","plainCitation":"37","noteIndex":0},"citationItems":[{"id":898,"uris":["http://zotero.org/users/local/bXXP6LKp/items/JSAABYWK"],"uri":["http://zotero.org/users/local/bXXP6LKp/items/JSAABYWK"],"itemData":{"id":898,"type":"article-journal","abstract":"The cDNA encoding human glutathione S-transferase (GST) T1 has been expressed as two recombinant forms in Escherichia coli that could be purified by affinity chromatography on either IgG-Sepharose or nickel-agarose; one form of the transferase was synthesized from the pALP 1 expression vector as a Staphylococcus aureus protein A fusion, whereas the other form was synthesized from the pET-20b expression vector as a C-terminal polyhistidine-tagged recombinant. The yields of the two purified recombinant proteins from E. coli cultures were approx. 15 mg/l for the protein A fusion and 25 mg/l for the C-terminal polyhistidine-tagged GST T1-1. The purified recombinant proteins were catalytically active, although the protein A fusion was typically only 5-30% as active as the histidine-tagged GST. Both recombinant forms could catalyse the conjugation of glutathione with the model substrates 1,2-epoxy-3-(4'-nitrophenoxy)propane,4-nitrobenzyl chloride and 4-nitrophenethyl bromide but were inactive towards 1-chloro-2,4-dinitrobenzene, ethacrynic acid and 1-menaphthyl sulphate. Recombinant human GST T1-1 was found to exhibit glutathione peroxidase activity and could catalyse the reduction of cumene hydroperoxide. In addition, recombinant human GST T1-1 was found to conjugate glutathione with dichloromethane, a pulmonary and hepatic carcinogen in the mouse. Immunoblotting with antibodies raised against different transferase isoenzymes showed that GST T1-1 is expressed in a large number of human organs in a tissue-specific fashion that differs from the pattern of expression of classes Alpha, Mu and Pi GST. Most significantly, GST T1-1 was found in only low levels in human pulmonary soluble extract of cells, suggesting that in man the lung has little capacity to activate the volatile dichloromethane.","container-title":"The Biochemical Journal","DOI":"10.1042/bj3260837","ISSN":"0264-6021","journalAbbreviation":"Biochem. J.","language":"eng","note":"PMID: 9307035\nPMCID: PMC1218740","page":"837-846","source":"PubMed","title":"Evidence that human class Theta glutathione S-transferase T1-1 can catalyse the activation of dichloromethane, a liver and lung carcinogen in the mouse. Comparison of the tissue distribution of GST T1-1 with that of classes Alpha, Mu and Pi GST in human","volume":"326 ( Pt 3)","author":[{"family":"Sherratt","given":"P. J."},{"family":"Pulford","given":"D. J."},{"family":"Harrison","given":"D. J."},{"family":"Green","given":"T."},{"family":"Hayes","given":"J. D."}],"issued":{"date-parts":[["1997",9,15]]}}}],"schema":"https://github.com/citation-style-language/schema/raw/master/csl-citation.json"} </w:instrText>
      </w:r>
      <w:r w:rsidRPr="00E033F1">
        <w:rPr>
          <w:color w:val="auto"/>
        </w:rPr>
        <w:fldChar w:fldCharType="separate"/>
      </w:r>
      <w:r w:rsidR="00E5170D" w:rsidRPr="00E033F1">
        <w:rPr>
          <w:color w:val="auto"/>
          <w:vertAlign w:val="superscript"/>
        </w:rPr>
        <w:t>37</w:t>
      </w:r>
      <w:r w:rsidRPr="00E033F1">
        <w:rPr>
          <w:color w:val="auto"/>
        </w:rPr>
        <w:fldChar w:fldCharType="end"/>
      </w:r>
      <w:r w:rsidRPr="00E033F1">
        <w:rPr>
          <w:color w:val="auto"/>
        </w:rPr>
        <w:t xml:space="preserve"> </w:t>
      </w:r>
    </w:p>
    <w:p w14:paraId="09A59D09" w14:textId="77777777" w:rsidR="00CA7C21" w:rsidRPr="00E033F1" w:rsidRDefault="00CA7C21" w:rsidP="00E033F1">
      <w:pPr>
        <w:contextualSpacing/>
        <w:rPr>
          <w:color w:val="auto"/>
        </w:rPr>
      </w:pPr>
    </w:p>
    <w:p w14:paraId="0E4091D2" w14:textId="0ED93096" w:rsidR="00047001" w:rsidRPr="00E033F1" w:rsidRDefault="00AF0CC1" w:rsidP="00E033F1">
      <w:pPr>
        <w:contextualSpacing/>
        <w:rPr>
          <w:color w:val="auto"/>
        </w:rPr>
      </w:pPr>
      <w:r w:rsidRPr="00E033F1">
        <w:rPr>
          <w:color w:val="auto"/>
        </w:rPr>
        <w:t>Steps of</w:t>
      </w:r>
      <w:r w:rsidR="00083321" w:rsidRPr="00E033F1">
        <w:rPr>
          <w:color w:val="auto"/>
        </w:rPr>
        <w:t xml:space="preserve"> protocol </w:t>
      </w:r>
      <w:r w:rsidR="00047001" w:rsidRPr="00E033F1">
        <w:rPr>
          <w:color w:val="auto"/>
        </w:rPr>
        <w:t xml:space="preserve">can be the </w:t>
      </w:r>
      <w:r w:rsidR="00F746D4" w:rsidRPr="00E033F1">
        <w:rPr>
          <w:color w:val="auto"/>
        </w:rPr>
        <w:t>ad</w:t>
      </w:r>
      <w:r w:rsidRPr="00E033F1">
        <w:rPr>
          <w:color w:val="auto"/>
        </w:rPr>
        <w:t>a</w:t>
      </w:r>
      <w:r w:rsidR="00F746D4" w:rsidRPr="00E033F1">
        <w:rPr>
          <w:color w:val="auto"/>
        </w:rPr>
        <w:t xml:space="preserve">pted and </w:t>
      </w:r>
      <w:r w:rsidR="00047001" w:rsidRPr="00E033F1">
        <w:rPr>
          <w:color w:val="auto"/>
        </w:rPr>
        <w:t>appli</w:t>
      </w:r>
      <w:r w:rsidR="00083321" w:rsidRPr="00E033F1">
        <w:rPr>
          <w:color w:val="auto"/>
        </w:rPr>
        <w:t>ed</w:t>
      </w:r>
      <w:r w:rsidR="00047001" w:rsidRPr="00E033F1">
        <w:rPr>
          <w:color w:val="auto"/>
        </w:rPr>
        <w:t xml:space="preserve"> to</w:t>
      </w:r>
      <w:r w:rsidR="00F746D4" w:rsidRPr="00E033F1">
        <w:rPr>
          <w:color w:val="auto"/>
        </w:rPr>
        <w:t xml:space="preserve"> test GST activity and inhibitor testing in cell</w:t>
      </w:r>
      <w:r w:rsidR="00047001" w:rsidRPr="00E033F1">
        <w:rPr>
          <w:color w:val="auto"/>
        </w:rPr>
        <w:t xml:space="preserve"> </w:t>
      </w:r>
      <w:r w:rsidR="00F746D4" w:rsidRPr="00E033F1">
        <w:rPr>
          <w:color w:val="auto"/>
        </w:rPr>
        <w:t xml:space="preserve">culture </w:t>
      </w:r>
      <w:r w:rsidR="00047001" w:rsidRPr="00E033F1">
        <w:rPr>
          <w:color w:val="auto"/>
        </w:rPr>
        <w:t xml:space="preserve">experiments. Measurement of the GST activity on cells treated with </w:t>
      </w:r>
      <w:r w:rsidR="00F746D4" w:rsidRPr="00E033F1">
        <w:rPr>
          <w:color w:val="auto"/>
        </w:rPr>
        <w:t xml:space="preserve">and without </w:t>
      </w:r>
      <w:r w:rsidR="00047001" w:rsidRPr="00E033F1">
        <w:rPr>
          <w:color w:val="auto"/>
        </w:rPr>
        <w:t xml:space="preserve">a GST inhibitor will indicate </w:t>
      </w:r>
      <w:r w:rsidR="00F66254" w:rsidRPr="00E033F1">
        <w:rPr>
          <w:color w:val="auto"/>
        </w:rPr>
        <w:t xml:space="preserve">if this compound can be used </w:t>
      </w:r>
      <w:r w:rsidR="00984547" w:rsidRPr="00E033F1">
        <w:rPr>
          <w:color w:val="auto"/>
        </w:rPr>
        <w:t>in such experimental setting</w:t>
      </w:r>
      <w:r w:rsidR="00F66254" w:rsidRPr="00E033F1">
        <w:rPr>
          <w:color w:val="auto"/>
        </w:rPr>
        <w:t xml:space="preserve">. It is </w:t>
      </w:r>
      <w:r w:rsidR="00F746D4" w:rsidRPr="00E033F1">
        <w:rPr>
          <w:color w:val="auto"/>
        </w:rPr>
        <w:t>especially</w:t>
      </w:r>
      <w:r w:rsidR="00F66254" w:rsidRPr="00E033F1">
        <w:rPr>
          <w:color w:val="auto"/>
        </w:rPr>
        <w:t xml:space="preserve"> interesting</w:t>
      </w:r>
      <w:r w:rsidR="00F746D4" w:rsidRPr="00E033F1">
        <w:rPr>
          <w:color w:val="auto"/>
        </w:rPr>
        <w:t xml:space="preserve"> when the inhibitor is lipophilic</w:t>
      </w:r>
      <w:r w:rsidR="00047001" w:rsidRPr="00E033F1">
        <w:rPr>
          <w:color w:val="auto"/>
        </w:rPr>
        <w:t xml:space="preserve">. </w:t>
      </w:r>
      <w:r w:rsidR="00CB233F" w:rsidRPr="00E033F1">
        <w:rPr>
          <w:color w:val="auto"/>
        </w:rPr>
        <w:t xml:space="preserve">For instance, we presented that curcumin is a potent GST inhibitor </w:t>
      </w:r>
      <w:r w:rsidR="00F746D4" w:rsidRPr="00E033F1">
        <w:rPr>
          <w:color w:val="auto"/>
        </w:rPr>
        <w:t>using this protocol</w:t>
      </w:r>
      <w:r w:rsidR="00CB233F" w:rsidRPr="00E033F1">
        <w:rPr>
          <w:color w:val="auto"/>
        </w:rPr>
        <w:t xml:space="preserve">. Nevertheless, its application to cellular studies </w:t>
      </w:r>
      <w:r w:rsidR="00F746D4" w:rsidRPr="00E033F1">
        <w:rPr>
          <w:color w:val="auto"/>
        </w:rPr>
        <w:t xml:space="preserve">may be </w:t>
      </w:r>
      <w:r w:rsidR="00CB233F" w:rsidRPr="00E033F1">
        <w:rPr>
          <w:color w:val="auto"/>
        </w:rPr>
        <w:t xml:space="preserve">limited, as the molecule is poorly soluble in water and </w:t>
      </w:r>
      <w:r w:rsidR="00E5170D" w:rsidRPr="00E033F1">
        <w:rPr>
          <w:color w:val="auto"/>
        </w:rPr>
        <w:t>degrades quickly in medium</w:t>
      </w:r>
      <w:r w:rsidR="00CB233F" w:rsidRPr="00E033F1">
        <w:rPr>
          <w:color w:val="auto"/>
        </w:rPr>
        <w:t>.</w:t>
      </w:r>
      <w:r w:rsidR="00E5170D" w:rsidRPr="00E033F1">
        <w:rPr>
          <w:color w:val="auto"/>
        </w:rPr>
        <w:fldChar w:fldCharType="begin"/>
      </w:r>
      <w:r w:rsidR="00E5170D" w:rsidRPr="00E033F1">
        <w:rPr>
          <w:color w:val="auto"/>
        </w:rPr>
        <w:instrText xml:space="preserve"> ADDIN ZOTERO_ITEM CSL_CITATION {"citationID":"iRswizBW","properties":{"formattedCitation":"\\super 31\\nosupersub{}","plainCitation":"31","noteIndex":0},"citationItems":[{"id":104,"uris":["http://zotero.org/users/local/bXXP6LKp/items/ZDQD7GXI"],"uri":["http://zotero.org/users/local/bXXP6LKp/items/ZDQD7GXI"],"itemData":{"id":104,"type":"article-journal","abstract":"The degradation kinetics of curcumin under various pH conditions and the stability of curcumin in physiological matrices were investigated. When curcumin was incubated in 0.1 M phosphate buffer and serum-free medium, pH 7.2 at 37°C, about 90% decomposed within 30 min. A series of pH conditions ranging from 3 to 10 were tested and the result showed that decomposition was pH-dependent and occurred faster at neutral-basic conditions. It is more stable in cell culture medium containing 10% fetal calf serum and in human blood; less than 20% of curcumin decomposed within 1 h, and after incubation for 8 h, about 50% of curcumin is still remained. Trans-6-(4′-hydroxy-3′-methoxyphenyl)-2,4-dioxo-5-hexenal was predicted as major degradation product and vanillin, ferulic acid, feruloyl methane were identified as minor degradation products. The amount of vanillin increased with incubation time.","container-title":"Journal of Pharmaceutical and Biomedical Analysis","DOI":"10.1016/S0731-7085(96)02024-9","ISSN":"0731-7085","issue":"12","journalAbbreviation":"Journal of Pharmaceutical and Biomedical Analysis","page":"1867-1876","source":"ScienceDirect","title":"Stability of curcumin in buffer solutions and characterization of its degradation products","volume":"15","author":[{"family":"Wang","given":"Ying-Jan"},{"family":"Pan","given":"Min-Hsiung"},{"family":"Cheng","given":"Ann-Lii"},{"family":"Lin","given":"Liang-In"},{"family":"Ho","given":"Yuan-Soon"},{"family":"Hsieh","given":"Chang-Yao"},{"family":"Lin","given":"Jen-Kun"}],"issued":{"date-parts":[["1997",8,1]]}}}],"schema":"https://github.com/citation-style-language/schema/raw/master/csl-citation.json"} </w:instrText>
      </w:r>
      <w:r w:rsidR="00E5170D" w:rsidRPr="00E033F1">
        <w:rPr>
          <w:color w:val="auto"/>
        </w:rPr>
        <w:fldChar w:fldCharType="separate"/>
      </w:r>
      <w:r w:rsidR="00E5170D" w:rsidRPr="00E033F1">
        <w:rPr>
          <w:color w:val="auto"/>
          <w:vertAlign w:val="superscript"/>
        </w:rPr>
        <w:t>31</w:t>
      </w:r>
      <w:r w:rsidR="00E5170D" w:rsidRPr="00E033F1">
        <w:rPr>
          <w:color w:val="auto"/>
        </w:rPr>
        <w:fldChar w:fldCharType="end"/>
      </w:r>
      <w:r w:rsidR="00F66254" w:rsidRPr="00E033F1">
        <w:rPr>
          <w:color w:val="auto"/>
        </w:rPr>
        <w:t xml:space="preserve"> </w:t>
      </w:r>
      <w:r w:rsidR="00CA7C21" w:rsidRPr="00E033F1">
        <w:rPr>
          <w:color w:val="auto"/>
        </w:rPr>
        <w:t xml:space="preserve">Another amelioration of this protocol is possible regarding the non-isoform specificity of the substrate CDNB. Using this protocol in cell studies will only give information about the overall GST activity, but not on the activity of </w:t>
      </w:r>
      <w:r w:rsidR="00CB233F" w:rsidRPr="00E033F1">
        <w:rPr>
          <w:color w:val="auto"/>
        </w:rPr>
        <w:t>precise GST subtype</w:t>
      </w:r>
      <w:r w:rsidR="00CA7C21" w:rsidRPr="00E033F1">
        <w:rPr>
          <w:color w:val="auto"/>
        </w:rPr>
        <w:t xml:space="preserve">. Adding </w:t>
      </w:r>
      <w:r w:rsidR="00CB233F" w:rsidRPr="00E033F1">
        <w:rPr>
          <w:color w:val="auto"/>
        </w:rPr>
        <w:t>isoform-specific</w:t>
      </w:r>
      <w:r w:rsidR="00CA7C21" w:rsidRPr="00E033F1">
        <w:rPr>
          <w:color w:val="auto"/>
        </w:rPr>
        <w:t xml:space="preserve"> substrate </w:t>
      </w:r>
      <w:r w:rsidR="00F746D4" w:rsidRPr="00E033F1">
        <w:rPr>
          <w:color w:val="auto"/>
        </w:rPr>
        <w:t xml:space="preserve">and/or using specific recombinant GST isoform </w:t>
      </w:r>
      <w:r w:rsidR="00CA7C21" w:rsidRPr="00E033F1">
        <w:rPr>
          <w:color w:val="auto"/>
        </w:rPr>
        <w:t xml:space="preserve">will permit to </w:t>
      </w:r>
      <w:r w:rsidR="00F746D4" w:rsidRPr="00E033F1">
        <w:rPr>
          <w:color w:val="auto"/>
        </w:rPr>
        <w:t>test isoform specific GST inhibitors</w:t>
      </w:r>
      <w:r w:rsidR="00CB233F" w:rsidRPr="00E033F1">
        <w:rPr>
          <w:color w:val="auto"/>
        </w:rPr>
        <w:t>.</w:t>
      </w:r>
      <w:r w:rsidR="008D64E8" w:rsidRPr="00E033F1">
        <w:rPr>
          <w:color w:val="auto"/>
        </w:rPr>
        <w:t xml:space="preserve"> </w:t>
      </w:r>
    </w:p>
    <w:p w14:paraId="33912D85" w14:textId="77777777" w:rsidR="00047001" w:rsidRPr="00E033F1" w:rsidRDefault="00047001" w:rsidP="00E033F1">
      <w:pPr>
        <w:contextualSpacing/>
        <w:rPr>
          <w:color w:val="auto"/>
        </w:rPr>
      </w:pPr>
    </w:p>
    <w:p w14:paraId="22458687" w14:textId="1D3EB9BB" w:rsidR="004B6550" w:rsidRPr="00E033F1" w:rsidRDefault="00CE6D5D" w:rsidP="00E033F1">
      <w:pPr>
        <w:contextualSpacing/>
        <w:rPr>
          <w:color w:val="auto"/>
        </w:rPr>
      </w:pPr>
      <w:r w:rsidRPr="00E033F1">
        <w:rPr>
          <w:rFonts w:asciiTheme="minorHAnsi" w:hAnsiTheme="minorHAnsi" w:cstheme="minorHAnsi"/>
          <w:color w:val="auto"/>
        </w:rPr>
        <w:t xml:space="preserve">To conclude, we describe a </w:t>
      </w:r>
      <w:r w:rsidR="00973B41" w:rsidRPr="00E033F1">
        <w:rPr>
          <w:rFonts w:asciiTheme="minorHAnsi" w:hAnsiTheme="minorHAnsi" w:cstheme="minorHAnsi"/>
          <w:color w:val="auto"/>
        </w:rPr>
        <w:t xml:space="preserve">complete </w:t>
      </w:r>
      <w:r w:rsidRPr="00E033F1">
        <w:rPr>
          <w:rFonts w:asciiTheme="minorHAnsi" w:hAnsiTheme="minorHAnsi" w:cstheme="minorHAnsi"/>
          <w:color w:val="auto"/>
        </w:rPr>
        <w:t>pro</w:t>
      </w:r>
      <w:r w:rsidR="00973B41" w:rsidRPr="00E033F1">
        <w:rPr>
          <w:rFonts w:asciiTheme="minorHAnsi" w:hAnsiTheme="minorHAnsi" w:cstheme="minorHAnsi"/>
          <w:color w:val="auto"/>
        </w:rPr>
        <w:t>cedure</w:t>
      </w:r>
      <w:r w:rsidRPr="00E033F1">
        <w:rPr>
          <w:rFonts w:asciiTheme="minorHAnsi" w:hAnsiTheme="minorHAnsi" w:cstheme="minorHAnsi"/>
          <w:color w:val="auto"/>
        </w:rPr>
        <w:t xml:space="preserve"> to test GST inhibitors that have potential to be used in combination with electrophilic chemotherapy. </w:t>
      </w:r>
      <w:r w:rsidRPr="00E033F1">
        <w:rPr>
          <w:color w:val="auto"/>
        </w:rPr>
        <w:t xml:space="preserve">We emphasized </w:t>
      </w:r>
      <w:r w:rsidR="00965F82" w:rsidRPr="00E033F1">
        <w:rPr>
          <w:color w:val="auto"/>
        </w:rPr>
        <w:t>the crucial steps</w:t>
      </w:r>
      <w:r w:rsidRPr="00E033F1">
        <w:rPr>
          <w:color w:val="auto"/>
        </w:rPr>
        <w:t xml:space="preserve"> of a GST </w:t>
      </w:r>
      <w:r w:rsidR="00973B41" w:rsidRPr="00E033F1">
        <w:rPr>
          <w:color w:val="auto"/>
        </w:rPr>
        <w:t>enzyme</w:t>
      </w:r>
      <w:r w:rsidRPr="00E033F1">
        <w:rPr>
          <w:color w:val="auto"/>
        </w:rPr>
        <w:t xml:space="preserve"> </w:t>
      </w:r>
      <w:r w:rsidR="00973B41" w:rsidRPr="00E033F1">
        <w:rPr>
          <w:color w:val="auto"/>
        </w:rPr>
        <w:t xml:space="preserve">and inhibition </w:t>
      </w:r>
      <w:r w:rsidRPr="00E033F1">
        <w:rPr>
          <w:color w:val="auto"/>
        </w:rPr>
        <w:t>assay</w:t>
      </w:r>
      <w:r w:rsidR="00FB21A6" w:rsidRPr="00E033F1">
        <w:rPr>
          <w:color w:val="auto"/>
        </w:rPr>
        <w:t>, to test p</w:t>
      </w:r>
      <w:r w:rsidR="00973B41" w:rsidRPr="00E033F1">
        <w:rPr>
          <w:color w:val="auto"/>
        </w:rPr>
        <w:t>otential interesting molecule</w:t>
      </w:r>
      <w:r w:rsidR="00FB21A6" w:rsidRPr="00E033F1">
        <w:rPr>
          <w:color w:val="auto"/>
        </w:rPr>
        <w:t xml:space="preserve"> and determine their efficiency as inhibitor with quantitative values, the IC50 and the K</w:t>
      </w:r>
      <w:r w:rsidR="00FB21A6" w:rsidRPr="00E033F1">
        <w:rPr>
          <w:color w:val="auto"/>
          <w:vertAlign w:val="subscript"/>
        </w:rPr>
        <w:t>i</w:t>
      </w:r>
      <w:r w:rsidR="00FB21A6" w:rsidRPr="00E033F1">
        <w:rPr>
          <w:color w:val="auto"/>
        </w:rPr>
        <w:t>. This method can be appl</w:t>
      </w:r>
      <w:r w:rsidR="00965F82" w:rsidRPr="00E033F1">
        <w:rPr>
          <w:color w:val="auto"/>
        </w:rPr>
        <w:t xml:space="preserve">ied to any </w:t>
      </w:r>
      <w:r w:rsidR="00A72D70" w:rsidRPr="00E033F1">
        <w:rPr>
          <w:color w:val="auto"/>
        </w:rPr>
        <w:t>putative</w:t>
      </w:r>
      <w:r w:rsidR="00965F82" w:rsidRPr="00E033F1">
        <w:rPr>
          <w:color w:val="auto"/>
        </w:rPr>
        <w:t xml:space="preserve"> </w:t>
      </w:r>
      <w:r w:rsidRPr="00E033F1">
        <w:rPr>
          <w:color w:val="auto"/>
        </w:rPr>
        <w:t>compound</w:t>
      </w:r>
      <w:r w:rsidR="00965F82" w:rsidRPr="00E033F1">
        <w:rPr>
          <w:color w:val="auto"/>
        </w:rPr>
        <w:t xml:space="preserve"> and performed on the most expressed </w:t>
      </w:r>
      <w:r w:rsidR="00A72D70" w:rsidRPr="00E033F1">
        <w:rPr>
          <w:color w:val="auto"/>
        </w:rPr>
        <w:t xml:space="preserve">human </w:t>
      </w:r>
      <w:r w:rsidR="00965F82" w:rsidRPr="00E033F1">
        <w:rPr>
          <w:color w:val="auto"/>
        </w:rPr>
        <w:t>GST isoform</w:t>
      </w:r>
      <w:r w:rsidR="00A72D70" w:rsidRPr="00E033F1">
        <w:rPr>
          <w:color w:val="auto"/>
        </w:rPr>
        <w:t>s</w:t>
      </w:r>
      <w:r w:rsidR="00965F82" w:rsidRPr="00E033F1">
        <w:rPr>
          <w:color w:val="auto"/>
        </w:rPr>
        <w:t xml:space="preserve"> </w:t>
      </w:r>
      <w:r w:rsidR="00973B41" w:rsidRPr="00E033F1">
        <w:rPr>
          <w:color w:val="auto"/>
        </w:rPr>
        <w:t xml:space="preserve">(GSTA1, GSTM1 and GSTP1), or slightly adapted to perform cell culture studies with GST inhibitors or measure the activity of other interesting GST isoform of choice. </w:t>
      </w:r>
    </w:p>
    <w:p w14:paraId="2DA95BE5" w14:textId="77777777" w:rsidR="001805CE" w:rsidRPr="00E033F1" w:rsidRDefault="001805CE" w:rsidP="00E033F1">
      <w:pPr>
        <w:contextualSpacing/>
        <w:rPr>
          <w:color w:val="auto"/>
        </w:rPr>
      </w:pPr>
    </w:p>
    <w:p w14:paraId="0229B4EA" w14:textId="6983A1CE" w:rsidR="00B21307" w:rsidRPr="00E033F1" w:rsidRDefault="00B21307" w:rsidP="00E033F1">
      <w:pPr>
        <w:contextualSpacing/>
        <w:rPr>
          <w:color w:val="auto"/>
        </w:rPr>
      </w:pPr>
      <w:r w:rsidRPr="00E033F1">
        <w:rPr>
          <w:color w:val="auto"/>
        </w:rPr>
        <w:t>(Place table 1</w:t>
      </w:r>
      <w:r w:rsidR="00A768CB">
        <w:rPr>
          <w:color w:val="auto"/>
        </w:rPr>
        <w:t xml:space="preserve"> </w:t>
      </w:r>
      <w:r w:rsidRPr="00E033F1">
        <w:rPr>
          <w:color w:val="auto"/>
        </w:rPr>
        <w:t>Here)</w:t>
      </w:r>
    </w:p>
    <w:p w14:paraId="117E06FA" w14:textId="15D7A0B1" w:rsidR="001805CE" w:rsidRPr="00E033F1" w:rsidRDefault="001805CE" w:rsidP="00E033F1">
      <w:pPr>
        <w:contextualSpacing/>
        <w:rPr>
          <w:rFonts w:asciiTheme="minorHAnsi" w:hAnsiTheme="minorHAnsi" w:cstheme="minorHAnsi"/>
          <w:b/>
          <w:color w:val="auto"/>
        </w:rPr>
      </w:pPr>
      <w:bookmarkStart w:id="17" w:name="_Ref43903011"/>
      <w:r w:rsidRPr="00E033F1">
        <w:rPr>
          <w:b/>
          <w:color w:val="auto"/>
        </w:rPr>
        <w:t xml:space="preserve">Table </w:t>
      </w:r>
      <w:r w:rsidRPr="00E033F1">
        <w:rPr>
          <w:b/>
          <w:color w:val="auto"/>
        </w:rPr>
        <w:fldChar w:fldCharType="begin"/>
      </w:r>
      <w:r w:rsidRPr="00E033F1">
        <w:rPr>
          <w:b/>
          <w:color w:val="auto"/>
        </w:rPr>
        <w:instrText xml:space="preserve"> SEQ Table \* ARABIC </w:instrText>
      </w:r>
      <w:r w:rsidRPr="00E033F1">
        <w:rPr>
          <w:b/>
          <w:color w:val="auto"/>
        </w:rPr>
        <w:fldChar w:fldCharType="separate"/>
      </w:r>
      <w:r w:rsidR="008502DF" w:rsidRPr="00E033F1">
        <w:rPr>
          <w:b/>
          <w:noProof/>
          <w:color w:val="auto"/>
        </w:rPr>
        <w:t>1</w:t>
      </w:r>
      <w:r w:rsidRPr="00E033F1">
        <w:rPr>
          <w:b/>
          <w:color w:val="auto"/>
        </w:rPr>
        <w:fldChar w:fldCharType="end"/>
      </w:r>
      <w:bookmarkEnd w:id="17"/>
      <w:r w:rsidR="003A3221" w:rsidRPr="00E033F1">
        <w:rPr>
          <w:b/>
          <w:color w:val="auto"/>
        </w:rPr>
        <w:t>:</w:t>
      </w:r>
      <w:r w:rsidRPr="00E033F1">
        <w:rPr>
          <w:b/>
          <w:color w:val="auto"/>
        </w:rPr>
        <w:t xml:space="preserve"> Summary of the reagents and parameters to </w:t>
      </w:r>
      <w:r w:rsidR="00970DE2" w:rsidRPr="00E033F1">
        <w:rPr>
          <w:b/>
          <w:color w:val="auto"/>
        </w:rPr>
        <w:t>consider</w:t>
      </w:r>
      <w:r w:rsidRPr="00E033F1">
        <w:rPr>
          <w:b/>
          <w:color w:val="auto"/>
        </w:rPr>
        <w:t xml:space="preserve"> during a </w:t>
      </w:r>
      <w:r w:rsidR="00606975" w:rsidRPr="00E033F1">
        <w:rPr>
          <w:b/>
          <w:color w:val="auto"/>
        </w:rPr>
        <w:t>GST</w:t>
      </w:r>
      <w:r w:rsidR="00F40D30" w:rsidRPr="00E033F1">
        <w:rPr>
          <w:b/>
          <w:color w:val="auto"/>
        </w:rPr>
        <w:t xml:space="preserve"> </w:t>
      </w:r>
      <w:r w:rsidRPr="00E033F1">
        <w:rPr>
          <w:b/>
          <w:color w:val="auto"/>
        </w:rPr>
        <w:t xml:space="preserve">inhibition assay. </w:t>
      </w:r>
    </w:p>
    <w:p w14:paraId="4374EE2C" w14:textId="10ECE914" w:rsidR="001805CE" w:rsidRPr="00E033F1" w:rsidRDefault="001805CE" w:rsidP="00E033F1">
      <w:pPr>
        <w:contextualSpacing/>
        <w:rPr>
          <w:color w:val="auto"/>
        </w:rPr>
      </w:pPr>
    </w:p>
    <w:p w14:paraId="1D4CA450" w14:textId="079CA500" w:rsidR="007C543A" w:rsidRPr="00E033F1" w:rsidRDefault="00AA03DF" w:rsidP="00E033F1">
      <w:pPr>
        <w:pStyle w:val="NormalWeb"/>
        <w:spacing w:before="0" w:beforeAutospacing="0" w:after="0" w:afterAutospacing="0"/>
        <w:contextualSpacing/>
        <w:rPr>
          <w:rFonts w:asciiTheme="minorHAnsi" w:hAnsiTheme="minorHAnsi" w:cstheme="minorHAnsi"/>
          <w:b/>
          <w:bCs/>
          <w:color w:val="auto"/>
        </w:rPr>
      </w:pPr>
      <w:r w:rsidRPr="00E033F1">
        <w:rPr>
          <w:rFonts w:asciiTheme="minorHAnsi" w:hAnsiTheme="minorHAnsi" w:cstheme="minorHAnsi"/>
          <w:b/>
          <w:bCs/>
          <w:color w:val="auto"/>
        </w:rPr>
        <w:t xml:space="preserve">ACKNOWLEDGMENTS: </w:t>
      </w:r>
    </w:p>
    <w:p w14:paraId="71D08926" w14:textId="1CB21B38" w:rsidR="00FF6A9F" w:rsidRPr="00E033F1" w:rsidRDefault="00FF6A9F" w:rsidP="00E033F1">
      <w:pPr>
        <w:contextualSpacing/>
        <w:rPr>
          <w:color w:val="auto"/>
          <w:sz w:val="22"/>
          <w:szCs w:val="22"/>
        </w:rPr>
      </w:pPr>
      <w:r w:rsidRPr="00E033F1">
        <w:rPr>
          <w:color w:val="auto"/>
        </w:rPr>
        <w:t xml:space="preserve">This research work was supported by the CANSEARCH Foundation. The authors would like to acknowledge Ms. Laurence </w:t>
      </w:r>
      <w:proofErr w:type="spellStart"/>
      <w:r w:rsidRPr="00E033F1">
        <w:rPr>
          <w:color w:val="auto"/>
        </w:rPr>
        <w:t>Lesne</w:t>
      </w:r>
      <w:proofErr w:type="spellEnd"/>
      <w:r w:rsidRPr="00E033F1">
        <w:rPr>
          <w:color w:val="auto"/>
        </w:rPr>
        <w:t xml:space="preserve"> and Mr. </w:t>
      </w:r>
      <w:proofErr w:type="spellStart"/>
      <w:r w:rsidRPr="00E033F1">
        <w:rPr>
          <w:color w:val="auto"/>
        </w:rPr>
        <w:t>Yoann</w:t>
      </w:r>
      <w:proofErr w:type="spellEnd"/>
      <w:r w:rsidRPr="00E033F1">
        <w:rPr>
          <w:color w:val="auto"/>
        </w:rPr>
        <w:t xml:space="preserve"> Sarmiento for technical assistance, especially in conducting the replicating experiments while standardizing the assays with inhibitors. Fruitful discussions and inputs by Mr. Denis Marino, Dr. Simona </w:t>
      </w:r>
      <w:proofErr w:type="spellStart"/>
      <w:r w:rsidRPr="00E033F1">
        <w:rPr>
          <w:color w:val="auto"/>
        </w:rPr>
        <w:t>Mlakar</w:t>
      </w:r>
      <w:proofErr w:type="spellEnd"/>
      <w:r w:rsidRPr="00E033F1">
        <w:rPr>
          <w:color w:val="auto"/>
        </w:rPr>
        <w:t xml:space="preserve"> and Dr. Vid </w:t>
      </w:r>
      <w:proofErr w:type="spellStart"/>
      <w:r w:rsidRPr="00E033F1">
        <w:rPr>
          <w:color w:val="auto"/>
        </w:rPr>
        <w:t>Mlakar</w:t>
      </w:r>
      <w:proofErr w:type="spellEnd"/>
      <w:r w:rsidRPr="00E033F1">
        <w:rPr>
          <w:color w:val="auto"/>
        </w:rPr>
        <w:t xml:space="preserve"> are greatly acknowledged. We thank </w:t>
      </w:r>
      <w:proofErr w:type="spellStart"/>
      <w:r w:rsidRPr="00E033F1">
        <w:rPr>
          <w:color w:val="auto"/>
        </w:rPr>
        <w:t>Dr.Patricia</w:t>
      </w:r>
      <w:proofErr w:type="spellEnd"/>
      <w:r w:rsidRPr="00E033F1">
        <w:rPr>
          <w:color w:val="auto"/>
        </w:rPr>
        <w:t xml:space="preserve"> </w:t>
      </w:r>
      <w:proofErr w:type="spellStart"/>
      <w:r w:rsidRPr="00E033F1">
        <w:rPr>
          <w:color w:val="auto"/>
        </w:rPr>
        <w:t>Huezo</w:t>
      </w:r>
      <w:proofErr w:type="spellEnd"/>
      <w:r w:rsidRPr="00E033F1">
        <w:rPr>
          <w:color w:val="auto"/>
        </w:rPr>
        <w:t>-Diaz Curtis for her help with the narration of the video. </w:t>
      </w:r>
      <w:r w:rsidR="00E36D85" w:rsidRPr="00E033F1">
        <w:rPr>
          <w:color w:val="auto"/>
        </w:rPr>
        <w:t xml:space="preserve">We thank Dr. </w:t>
      </w:r>
      <w:proofErr w:type="spellStart"/>
      <w:r w:rsidR="00E36D85" w:rsidRPr="00E033F1">
        <w:rPr>
          <w:color w:val="auto"/>
        </w:rPr>
        <w:t>Muthukumar</w:t>
      </w:r>
      <w:proofErr w:type="spellEnd"/>
      <w:r w:rsidR="00E36D85" w:rsidRPr="00E033F1">
        <w:rPr>
          <w:color w:val="auto"/>
        </w:rPr>
        <w:t xml:space="preserve"> for his inputs on </w:t>
      </w:r>
      <w:r w:rsidR="00E36D85" w:rsidRPr="00E033F1">
        <w:rPr>
          <w:i/>
          <w:color w:val="auto"/>
        </w:rPr>
        <w:t>in silico</w:t>
      </w:r>
      <w:r w:rsidR="00E36D85" w:rsidRPr="00E033F1">
        <w:rPr>
          <w:color w:val="auto"/>
        </w:rPr>
        <w:t xml:space="preserve"> </w:t>
      </w:r>
      <w:r w:rsidR="007A5101" w:rsidRPr="00E033F1">
        <w:rPr>
          <w:color w:val="auto"/>
        </w:rPr>
        <w:t>predictions. We</w:t>
      </w:r>
      <w:r w:rsidRPr="00E033F1">
        <w:rPr>
          <w:color w:val="auto"/>
        </w:rPr>
        <w:t xml:space="preserve"> also thank Mr. Darren Hart for his help in English language proof reading of this manuscript.</w:t>
      </w:r>
    </w:p>
    <w:p w14:paraId="1E17CE0F" w14:textId="77777777" w:rsidR="000902EC" w:rsidRPr="00E033F1" w:rsidRDefault="000902EC" w:rsidP="00E033F1">
      <w:pPr>
        <w:contextualSpacing/>
        <w:rPr>
          <w:rFonts w:asciiTheme="minorHAnsi" w:hAnsiTheme="minorHAnsi" w:cstheme="minorHAnsi"/>
          <w:b/>
          <w:bCs/>
          <w:color w:val="auto"/>
        </w:rPr>
      </w:pPr>
    </w:p>
    <w:p w14:paraId="26DD59A9" w14:textId="6B2EA1AA" w:rsidR="007C543A" w:rsidRPr="00E033F1" w:rsidRDefault="00AA03DF" w:rsidP="00E033F1">
      <w:pPr>
        <w:pStyle w:val="NormalWeb"/>
        <w:spacing w:before="0" w:beforeAutospacing="0" w:after="0" w:afterAutospacing="0"/>
        <w:contextualSpacing/>
        <w:rPr>
          <w:rFonts w:asciiTheme="minorHAnsi" w:hAnsiTheme="minorHAnsi" w:cstheme="minorHAnsi"/>
          <w:b/>
          <w:bCs/>
          <w:color w:val="auto"/>
        </w:rPr>
      </w:pPr>
      <w:r w:rsidRPr="00E033F1">
        <w:rPr>
          <w:rFonts w:asciiTheme="minorHAnsi" w:hAnsiTheme="minorHAnsi" w:cstheme="minorHAnsi"/>
          <w:b/>
          <w:color w:val="auto"/>
        </w:rPr>
        <w:t>DISCLOSURES</w:t>
      </w:r>
      <w:r w:rsidRPr="00E033F1">
        <w:rPr>
          <w:rFonts w:asciiTheme="minorHAnsi" w:hAnsiTheme="minorHAnsi" w:cstheme="minorHAnsi"/>
          <w:b/>
          <w:bCs/>
          <w:color w:val="auto"/>
        </w:rPr>
        <w:t xml:space="preserve">: </w:t>
      </w:r>
    </w:p>
    <w:p w14:paraId="66030076" w14:textId="1E7A3921" w:rsidR="00AA03DF" w:rsidRPr="00E033F1" w:rsidRDefault="00B87E9E" w:rsidP="00E033F1">
      <w:pPr>
        <w:contextualSpacing/>
        <w:rPr>
          <w:rFonts w:asciiTheme="minorHAnsi" w:hAnsiTheme="minorHAnsi" w:cstheme="minorHAnsi"/>
          <w:color w:val="auto"/>
        </w:rPr>
      </w:pPr>
      <w:r w:rsidRPr="00E033F1">
        <w:rPr>
          <w:rFonts w:asciiTheme="minorHAnsi" w:hAnsiTheme="minorHAnsi" w:cstheme="minorHAnsi"/>
          <w:color w:val="auto"/>
        </w:rPr>
        <w:t>The authors have nothing to disclose.</w:t>
      </w:r>
      <w:r w:rsidR="00F91B7A" w:rsidRPr="00E033F1">
        <w:rPr>
          <w:rFonts w:asciiTheme="minorHAnsi" w:hAnsiTheme="minorHAnsi" w:cstheme="minorHAnsi"/>
          <w:color w:val="auto"/>
        </w:rPr>
        <w:t xml:space="preserve"> </w:t>
      </w:r>
    </w:p>
    <w:p w14:paraId="31B16C63" w14:textId="6FD60804" w:rsidR="00D52CA8" w:rsidRPr="00E033F1" w:rsidRDefault="00D52CA8" w:rsidP="00E033F1">
      <w:pPr>
        <w:contextualSpacing/>
        <w:rPr>
          <w:rFonts w:asciiTheme="minorHAnsi" w:hAnsiTheme="minorHAnsi" w:cstheme="minorHAnsi"/>
          <w:b/>
          <w:bCs/>
          <w:color w:val="auto"/>
        </w:rPr>
      </w:pPr>
    </w:p>
    <w:p w14:paraId="626A41AB" w14:textId="08892455" w:rsidR="00C17BFF" w:rsidRPr="00E033F1" w:rsidRDefault="009726EE" w:rsidP="00E033F1">
      <w:pPr>
        <w:contextualSpacing/>
        <w:rPr>
          <w:rFonts w:asciiTheme="minorHAnsi" w:hAnsiTheme="minorHAnsi" w:cstheme="minorHAnsi"/>
          <w:color w:val="auto"/>
        </w:rPr>
      </w:pPr>
      <w:r w:rsidRPr="00E033F1">
        <w:rPr>
          <w:rFonts w:asciiTheme="minorHAnsi" w:hAnsiTheme="minorHAnsi" w:cstheme="minorHAnsi"/>
          <w:b/>
          <w:bCs/>
          <w:color w:val="auto"/>
        </w:rPr>
        <w:t>REFERENCES</w:t>
      </w:r>
      <w:r w:rsidR="00D04760" w:rsidRPr="00E033F1">
        <w:rPr>
          <w:rFonts w:asciiTheme="minorHAnsi" w:hAnsiTheme="minorHAnsi" w:cstheme="minorHAnsi"/>
          <w:b/>
          <w:bCs/>
          <w:color w:val="auto"/>
        </w:rPr>
        <w:t>:</w:t>
      </w:r>
      <w:r w:rsidRPr="00E033F1">
        <w:rPr>
          <w:rFonts w:asciiTheme="minorHAnsi" w:hAnsiTheme="minorHAnsi" w:cstheme="minorHAnsi"/>
          <w:color w:val="auto"/>
        </w:rPr>
        <w:t xml:space="preserve"> </w:t>
      </w:r>
    </w:p>
    <w:p w14:paraId="26A1C0F3" w14:textId="45E21FB3" w:rsidR="00E5170D" w:rsidRPr="00E033F1" w:rsidRDefault="007A2AE7" w:rsidP="00E033F1">
      <w:pPr>
        <w:pStyle w:val="Bibliography"/>
        <w:tabs>
          <w:tab w:val="clear" w:pos="264"/>
        </w:tabs>
        <w:ind w:left="0" w:firstLine="0"/>
        <w:contextualSpacing/>
        <w:rPr>
          <w:color w:val="auto"/>
        </w:rPr>
      </w:pPr>
      <w:r w:rsidRPr="00E033F1">
        <w:rPr>
          <w:rFonts w:asciiTheme="minorHAnsi" w:hAnsiTheme="minorHAnsi" w:cstheme="minorHAnsi"/>
          <w:b/>
          <w:color w:val="auto"/>
        </w:rPr>
        <w:fldChar w:fldCharType="begin"/>
      </w:r>
      <w:r w:rsidR="0038267C" w:rsidRPr="00E033F1">
        <w:rPr>
          <w:rFonts w:asciiTheme="minorHAnsi" w:hAnsiTheme="minorHAnsi" w:cstheme="minorHAnsi"/>
          <w:b/>
          <w:color w:val="auto"/>
        </w:rPr>
        <w:instrText xml:space="preserve"> ADDIN ZOTERO_BIBL {"uncited":[],"omitted":[],"custom":[]} CSL_BIBLIOGRAPHY </w:instrText>
      </w:r>
      <w:r w:rsidRPr="00E033F1">
        <w:rPr>
          <w:rFonts w:asciiTheme="minorHAnsi" w:hAnsiTheme="minorHAnsi" w:cstheme="minorHAnsi"/>
          <w:b/>
          <w:color w:val="auto"/>
        </w:rPr>
        <w:fldChar w:fldCharType="separate"/>
      </w:r>
      <w:r w:rsidR="00E5170D" w:rsidRPr="00E033F1">
        <w:rPr>
          <w:color w:val="auto"/>
        </w:rPr>
        <w:t>1.</w:t>
      </w:r>
      <w:r w:rsidR="00E5170D" w:rsidRPr="00E033F1">
        <w:rPr>
          <w:color w:val="auto"/>
        </w:rPr>
        <w:tab/>
        <w:t xml:space="preserve">Mannervik, B., Danielson, U.H. Glutathione transferases--structure and catalytic activity. </w:t>
      </w:r>
      <w:r w:rsidR="00E5170D" w:rsidRPr="00E033F1">
        <w:rPr>
          <w:i/>
          <w:iCs/>
          <w:color w:val="auto"/>
        </w:rPr>
        <w:t xml:space="preserve">CRC </w:t>
      </w:r>
      <w:r w:rsidR="00A768CB" w:rsidRPr="00E033F1">
        <w:rPr>
          <w:i/>
          <w:iCs/>
          <w:color w:val="auto"/>
        </w:rPr>
        <w:t xml:space="preserve">Critical Reviews </w:t>
      </w:r>
      <w:r w:rsidR="00A768CB">
        <w:rPr>
          <w:i/>
          <w:iCs/>
          <w:color w:val="auto"/>
        </w:rPr>
        <w:t>i</w:t>
      </w:r>
      <w:r w:rsidR="00A768CB" w:rsidRPr="00E033F1">
        <w:rPr>
          <w:i/>
          <w:iCs/>
          <w:color w:val="auto"/>
        </w:rPr>
        <w:t>n Bio</w:t>
      </w:r>
      <w:r w:rsidR="00E5170D" w:rsidRPr="00E033F1">
        <w:rPr>
          <w:i/>
          <w:iCs/>
          <w:color w:val="auto"/>
        </w:rPr>
        <w:t>chemistry</w:t>
      </w:r>
      <w:r w:rsidR="00E5170D" w:rsidRPr="00E033F1">
        <w:rPr>
          <w:color w:val="auto"/>
        </w:rPr>
        <w:t xml:space="preserve">. </w:t>
      </w:r>
      <w:r w:rsidR="00E5170D" w:rsidRPr="00E033F1">
        <w:rPr>
          <w:b/>
          <w:bCs/>
          <w:color w:val="auto"/>
        </w:rPr>
        <w:t>23</w:t>
      </w:r>
      <w:r w:rsidR="00E5170D" w:rsidRPr="00E033F1">
        <w:rPr>
          <w:color w:val="auto"/>
        </w:rPr>
        <w:t xml:space="preserve"> (3), 283–337 (1988).</w:t>
      </w:r>
    </w:p>
    <w:p w14:paraId="2673FEA6" w14:textId="77777777" w:rsidR="00E5170D" w:rsidRPr="00E033F1" w:rsidRDefault="00E5170D" w:rsidP="00E033F1">
      <w:pPr>
        <w:pStyle w:val="Bibliography"/>
        <w:tabs>
          <w:tab w:val="clear" w:pos="264"/>
        </w:tabs>
        <w:ind w:left="0" w:firstLine="0"/>
        <w:contextualSpacing/>
        <w:rPr>
          <w:color w:val="auto"/>
        </w:rPr>
      </w:pPr>
      <w:r w:rsidRPr="00E033F1">
        <w:rPr>
          <w:color w:val="auto"/>
        </w:rPr>
        <w:t>2.</w:t>
      </w:r>
      <w:r w:rsidRPr="00E033F1">
        <w:rPr>
          <w:color w:val="auto"/>
        </w:rPr>
        <w:tab/>
        <w:t xml:space="preserve">Awasthi, Y.C., Sharma, R., Singhal, S.S. Human glutathione S-transferases. </w:t>
      </w:r>
      <w:r w:rsidRPr="00E033F1">
        <w:rPr>
          <w:i/>
          <w:iCs/>
          <w:color w:val="auto"/>
        </w:rPr>
        <w:t>The International Journal of Biochemistry</w:t>
      </w:r>
      <w:r w:rsidRPr="00E033F1">
        <w:rPr>
          <w:color w:val="auto"/>
        </w:rPr>
        <w:t xml:space="preserve">. </w:t>
      </w:r>
      <w:r w:rsidRPr="00E033F1">
        <w:rPr>
          <w:b/>
          <w:bCs/>
          <w:color w:val="auto"/>
        </w:rPr>
        <w:t>26</w:t>
      </w:r>
      <w:r w:rsidRPr="00E033F1">
        <w:rPr>
          <w:color w:val="auto"/>
        </w:rPr>
        <w:t xml:space="preserve"> (3), 295–308 (1994).</w:t>
      </w:r>
    </w:p>
    <w:p w14:paraId="4AFCEE03" w14:textId="77777777" w:rsidR="00E5170D" w:rsidRPr="00E033F1" w:rsidRDefault="00E5170D" w:rsidP="00E033F1">
      <w:pPr>
        <w:pStyle w:val="Bibliography"/>
        <w:tabs>
          <w:tab w:val="clear" w:pos="264"/>
        </w:tabs>
        <w:ind w:left="0" w:firstLine="0"/>
        <w:contextualSpacing/>
        <w:rPr>
          <w:color w:val="auto"/>
        </w:rPr>
      </w:pPr>
      <w:r w:rsidRPr="00E033F1">
        <w:rPr>
          <w:color w:val="auto"/>
        </w:rPr>
        <w:t>3.</w:t>
      </w:r>
      <w:r w:rsidRPr="00E033F1">
        <w:rPr>
          <w:color w:val="auto"/>
        </w:rPr>
        <w:tab/>
        <w:t xml:space="preserve">Rowe, J.D., Nieves, E., Listowsky, I. Subunit diversity and tissue distribution of human glutathione S-transferases: interpretations based on electrospray ionization-MS and peptide </w:t>
      </w:r>
      <w:r w:rsidRPr="00E033F1">
        <w:rPr>
          <w:color w:val="auto"/>
        </w:rPr>
        <w:lastRenderedPageBreak/>
        <w:t xml:space="preserve">sequence-specific antisera. </w:t>
      </w:r>
      <w:r w:rsidRPr="00E033F1">
        <w:rPr>
          <w:i/>
          <w:iCs/>
          <w:color w:val="auto"/>
        </w:rPr>
        <w:t>Biochemical Journal</w:t>
      </w:r>
      <w:r w:rsidRPr="00E033F1">
        <w:rPr>
          <w:color w:val="auto"/>
        </w:rPr>
        <w:t xml:space="preserve">. </w:t>
      </w:r>
      <w:r w:rsidRPr="00E033F1">
        <w:rPr>
          <w:b/>
          <w:bCs/>
          <w:color w:val="auto"/>
        </w:rPr>
        <w:t>325</w:t>
      </w:r>
      <w:r w:rsidRPr="00E033F1">
        <w:rPr>
          <w:color w:val="auto"/>
        </w:rPr>
        <w:t xml:space="preserve"> (Pt 2), 481–486 (1997).</w:t>
      </w:r>
    </w:p>
    <w:p w14:paraId="6443BC69" w14:textId="77777777" w:rsidR="00E5170D" w:rsidRPr="00E033F1" w:rsidRDefault="00E5170D" w:rsidP="00E033F1">
      <w:pPr>
        <w:pStyle w:val="Bibliography"/>
        <w:tabs>
          <w:tab w:val="clear" w:pos="264"/>
        </w:tabs>
        <w:ind w:left="0" w:firstLine="0"/>
        <w:contextualSpacing/>
        <w:rPr>
          <w:color w:val="auto"/>
        </w:rPr>
      </w:pPr>
      <w:r w:rsidRPr="00E033F1">
        <w:rPr>
          <w:color w:val="auto"/>
        </w:rPr>
        <w:t>4.</w:t>
      </w:r>
      <w:r w:rsidRPr="00E033F1">
        <w:rPr>
          <w:color w:val="auto"/>
        </w:rPr>
        <w:tab/>
        <w:t xml:space="preserve">Beckett, G.J., Hayes, J.D. Glutathione S-transferases: biomedical applications. </w:t>
      </w:r>
      <w:r w:rsidRPr="00E033F1">
        <w:rPr>
          <w:i/>
          <w:iCs/>
          <w:color w:val="auto"/>
        </w:rPr>
        <w:t>Advances in Clinical Chemistry</w:t>
      </w:r>
      <w:r w:rsidRPr="00E033F1">
        <w:rPr>
          <w:color w:val="auto"/>
        </w:rPr>
        <w:t xml:space="preserve">. </w:t>
      </w:r>
      <w:r w:rsidRPr="00E033F1">
        <w:rPr>
          <w:b/>
          <w:bCs/>
          <w:color w:val="auto"/>
        </w:rPr>
        <w:t>30</w:t>
      </w:r>
      <w:r w:rsidRPr="00E033F1">
        <w:rPr>
          <w:color w:val="auto"/>
        </w:rPr>
        <w:t>, 281–380 (1993).</w:t>
      </w:r>
    </w:p>
    <w:p w14:paraId="159FE163" w14:textId="77777777" w:rsidR="00E5170D" w:rsidRPr="00E033F1" w:rsidRDefault="00E5170D" w:rsidP="00E033F1">
      <w:pPr>
        <w:pStyle w:val="Bibliography"/>
        <w:tabs>
          <w:tab w:val="clear" w:pos="264"/>
        </w:tabs>
        <w:ind w:left="0" w:firstLine="0"/>
        <w:contextualSpacing/>
        <w:rPr>
          <w:color w:val="auto"/>
        </w:rPr>
      </w:pPr>
      <w:r w:rsidRPr="00E033F1">
        <w:rPr>
          <w:color w:val="auto"/>
        </w:rPr>
        <w:t>5.</w:t>
      </w:r>
      <w:r w:rsidRPr="00E033F1">
        <w:rPr>
          <w:color w:val="auto"/>
        </w:rPr>
        <w:tab/>
        <w:t xml:space="preserve">Oakley, A. Glutathione transferases: a structural perspective. </w:t>
      </w:r>
      <w:r w:rsidRPr="00E033F1">
        <w:rPr>
          <w:i/>
          <w:iCs/>
          <w:color w:val="auto"/>
        </w:rPr>
        <w:t>Drug Metabolism Reviews</w:t>
      </w:r>
      <w:r w:rsidRPr="00E033F1">
        <w:rPr>
          <w:color w:val="auto"/>
        </w:rPr>
        <w:t xml:space="preserve">. </w:t>
      </w:r>
      <w:r w:rsidRPr="00E033F1">
        <w:rPr>
          <w:b/>
          <w:bCs/>
          <w:color w:val="auto"/>
        </w:rPr>
        <w:t>43</w:t>
      </w:r>
      <w:r w:rsidRPr="00E033F1">
        <w:rPr>
          <w:color w:val="auto"/>
        </w:rPr>
        <w:t xml:space="preserve"> (2), 138–151, doi: 10.3109/03602532.2011.558093 (2011).</w:t>
      </w:r>
    </w:p>
    <w:p w14:paraId="31965341" w14:textId="023FDBA1" w:rsidR="00E5170D" w:rsidRPr="00E033F1" w:rsidRDefault="00E5170D" w:rsidP="00E033F1">
      <w:pPr>
        <w:pStyle w:val="Bibliography"/>
        <w:tabs>
          <w:tab w:val="clear" w:pos="264"/>
        </w:tabs>
        <w:ind w:left="0" w:firstLine="0"/>
        <w:contextualSpacing/>
        <w:rPr>
          <w:color w:val="auto"/>
        </w:rPr>
      </w:pPr>
      <w:r w:rsidRPr="00E033F1">
        <w:rPr>
          <w:color w:val="auto"/>
        </w:rPr>
        <w:t>6.</w:t>
      </w:r>
      <w:r w:rsidRPr="00E033F1">
        <w:rPr>
          <w:color w:val="auto"/>
        </w:rPr>
        <w:tab/>
        <w:t xml:space="preserve">Townsend, D.M., Tew, K.D. The role of glutathione-S-transferase in anti-cancer drug resistance. </w:t>
      </w:r>
      <w:r w:rsidRPr="00E033F1">
        <w:rPr>
          <w:i/>
          <w:iCs/>
          <w:color w:val="auto"/>
        </w:rPr>
        <w:t>Oncogene</w:t>
      </w:r>
      <w:r w:rsidRPr="00E033F1">
        <w:rPr>
          <w:color w:val="auto"/>
        </w:rPr>
        <w:t xml:space="preserve">. </w:t>
      </w:r>
      <w:r w:rsidRPr="00E033F1">
        <w:rPr>
          <w:b/>
          <w:bCs/>
          <w:color w:val="auto"/>
        </w:rPr>
        <w:t>22</w:t>
      </w:r>
      <w:r w:rsidRPr="00E033F1">
        <w:rPr>
          <w:color w:val="auto"/>
        </w:rPr>
        <w:t xml:space="preserve"> (47), 7369–7375</w:t>
      </w:r>
      <w:r w:rsidR="00531756">
        <w:rPr>
          <w:color w:val="auto"/>
        </w:rPr>
        <w:t>=</w:t>
      </w:r>
      <w:r w:rsidRPr="00E033F1">
        <w:rPr>
          <w:color w:val="auto"/>
        </w:rPr>
        <w:t xml:space="preserve"> (2003).</w:t>
      </w:r>
    </w:p>
    <w:p w14:paraId="6F04B89B" w14:textId="77777777" w:rsidR="00E5170D" w:rsidRPr="00E033F1" w:rsidRDefault="00E5170D" w:rsidP="00E033F1">
      <w:pPr>
        <w:pStyle w:val="Bibliography"/>
        <w:tabs>
          <w:tab w:val="clear" w:pos="264"/>
        </w:tabs>
        <w:ind w:left="0" w:firstLine="0"/>
        <w:contextualSpacing/>
        <w:rPr>
          <w:color w:val="auto"/>
        </w:rPr>
      </w:pPr>
      <w:r w:rsidRPr="00E033F1">
        <w:rPr>
          <w:color w:val="auto"/>
        </w:rPr>
        <w:t>7.</w:t>
      </w:r>
      <w:r w:rsidRPr="00E033F1">
        <w:rPr>
          <w:color w:val="auto"/>
        </w:rPr>
        <w:tab/>
        <w:t xml:space="preserve">Tew, K.D. Glutathione-associated Enzymes in Anticancer Drug Resistance. </w:t>
      </w:r>
      <w:r w:rsidRPr="00E033F1">
        <w:rPr>
          <w:i/>
          <w:iCs/>
          <w:color w:val="auto"/>
        </w:rPr>
        <w:t>Cancer Research</w:t>
      </w:r>
      <w:r w:rsidRPr="00E033F1">
        <w:rPr>
          <w:color w:val="auto"/>
        </w:rPr>
        <w:t xml:space="preserve">. </w:t>
      </w:r>
      <w:r w:rsidRPr="00E033F1">
        <w:rPr>
          <w:b/>
          <w:bCs/>
          <w:color w:val="auto"/>
        </w:rPr>
        <w:t>54</w:t>
      </w:r>
      <w:r w:rsidRPr="00E033F1">
        <w:rPr>
          <w:color w:val="auto"/>
        </w:rPr>
        <w:t xml:space="preserve"> (16), 4313–4320 (1994).</w:t>
      </w:r>
    </w:p>
    <w:p w14:paraId="232B03E7" w14:textId="4D07D0B0" w:rsidR="00E5170D" w:rsidRPr="00E033F1" w:rsidRDefault="00E5170D" w:rsidP="00E033F1">
      <w:pPr>
        <w:pStyle w:val="Bibliography"/>
        <w:tabs>
          <w:tab w:val="clear" w:pos="264"/>
        </w:tabs>
        <w:ind w:left="0" w:firstLine="0"/>
        <w:contextualSpacing/>
        <w:rPr>
          <w:color w:val="auto"/>
        </w:rPr>
      </w:pPr>
      <w:r w:rsidRPr="00E033F1">
        <w:rPr>
          <w:color w:val="auto"/>
        </w:rPr>
        <w:t>8.</w:t>
      </w:r>
      <w:r w:rsidRPr="00E033F1">
        <w:rPr>
          <w:color w:val="auto"/>
        </w:rPr>
        <w:tab/>
        <w:t xml:space="preserve">Laborde, E. Glutathione transferases as mediators of signaling pathways involved in cell proliferation and cell death. </w:t>
      </w:r>
      <w:r w:rsidRPr="00E033F1">
        <w:rPr>
          <w:i/>
          <w:iCs/>
          <w:color w:val="auto"/>
        </w:rPr>
        <w:t>Cell Death and Differentiation</w:t>
      </w:r>
      <w:r w:rsidRPr="00E033F1">
        <w:rPr>
          <w:color w:val="auto"/>
        </w:rPr>
        <w:t xml:space="preserve">. </w:t>
      </w:r>
      <w:r w:rsidRPr="00E033F1">
        <w:rPr>
          <w:b/>
          <w:bCs/>
          <w:color w:val="auto"/>
        </w:rPr>
        <w:t>17</w:t>
      </w:r>
      <w:r w:rsidRPr="00E033F1">
        <w:rPr>
          <w:color w:val="auto"/>
        </w:rPr>
        <w:t xml:space="preserve"> (9), 1373–1380 (2010).</w:t>
      </w:r>
    </w:p>
    <w:p w14:paraId="4441767B" w14:textId="09275E63" w:rsidR="00E5170D" w:rsidRPr="00E033F1" w:rsidRDefault="00E5170D" w:rsidP="00E033F1">
      <w:pPr>
        <w:pStyle w:val="Bibliography"/>
        <w:tabs>
          <w:tab w:val="clear" w:pos="264"/>
        </w:tabs>
        <w:ind w:left="0" w:firstLine="0"/>
        <w:contextualSpacing/>
        <w:rPr>
          <w:color w:val="auto"/>
          <w:lang w:val="fr-CH"/>
        </w:rPr>
      </w:pPr>
      <w:r w:rsidRPr="00E033F1">
        <w:rPr>
          <w:color w:val="auto"/>
        </w:rPr>
        <w:t>9.</w:t>
      </w:r>
      <w:r w:rsidRPr="00E033F1">
        <w:rPr>
          <w:color w:val="auto"/>
        </w:rPr>
        <w:tab/>
        <w:t xml:space="preserve">Adler, V. </w:t>
      </w:r>
      <w:r w:rsidR="00236C61" w:rsidRPr="00E033F1">
        <w:rPr>
          <w:color w:val="auto"/>
        </w:rPr>
        <w:t>et al.</w:t>
      </w:r>
      <w:r w:rsidRPr="00E033F1">
        <w:rPr>
          <w:color w:val="auto"/>
        </w:rPr>
        <w:t xml:space="preserve"> Regulation of JNK signaling by GSTp. </w:t>
      </w:r>
      <w:r w:rsidRPr="00E033F1">
        <w:rPr>
          <w:i/>
          <w:iCs/>
          <w:color w:val="auto"/>
          <w:lang w:val="fr-CH"/>
        </w:rPr>
        <w:t>The EMBO Journal</w:t>
      </w:r>
      <w:r w:rsidRPr="00E033F1">
        <w:rPr>
          <w:color w:val="auto"/>
          <w:lang w:val="fr-CH"/>
        </w:rPr>
        <w:t xml:space="preserve">. </w:t>
      </w:r>
      <w:r w:rsidRPr="00E033F1">
        <w:rPr>
          <w:b/>
          <w:bCs/>
          <w:color w:val="auto"/>
          <w:lang w:val="fr-CH"/>
        </w:rPr>
        <w:t>18</w:t>
      </w:r>
      <w:r w:rsidRPr="00E033F1">
        <w:rPr>
          <w:color w:val="auto"/>
          <w:lang w:val="fr-CH"/>
        </w:rPr>
        <w:t xml:space="preserve"> (5), 1321–1334 (1999).</w:t>
      </w:r>
    </w:p>
    <w:p w14:paraId="1E6B240D" w14:textId="0A1D83D2" w:rsidR="00E5170D" w:rsidRPr="00E033F1" w:rsidRDefault="00E5170D" w:rsidP="00E033F1">
      <w:pPr>
        <w:pStyle w:val="Bibliography"/>
        <w:tabs>
          <w:tab w:val="clear" w:pos="264"/>
        </w:tabs>
        <w:ind w:left="0" w:firstLine="0"/>
        <w:contextualSpacing/>
        <w:rPr>
          <w:color w:val="auto"/>
        </w:rPr>
      </w:pPr>
      <w:r w:rsidRPr="00E033F1">
        <w:rPr>
          <w:color w:val="auto"/>
          <w:lang w:val="fr-CH"/>
        </w:rPr>
        <w:t>10.</w:t>
      </w:r>
      <w:r w:rsidRPr="00E033F1">
        <w:rPr>
          <w:color w:val="auto"/>
          <w:lang w:val="fr-CH"/>
        </w:rPr>
        <w:tab/>
        <w:t xml:space="preserve">Cho, S.-G. </w:t>
      </w:r>
      <w:r w:rsidR="00236C61" w:rsidRPr="00E033F1">
        <w:rPr>
          <w:color w:val="auto"/>
          <w:lang w:val="fr-CH"/>
        </w:rPr>
        <w:t>et al.</w:t>
      </w:r>
      <w:r w:rsidRPr="00E033F1">
        <w:rPr>
          <w:color w:val="auto"/>
          <w:lang w:val="fr-CH"/>
        </w:rPr>
        <w:t xml:space="preserve"> </w:t>
      </w:r>
      <w:r w:rsidRPr="00E033F1">
        <w:rPr>
          <w:color w:val="auto"/>
        </w:rPr>
        <w:t xml:space="preserve">Glutathione S-Transferase Mu Modulates the Stress-activated Signals by Suppressing Apoptosis Signal-regulating Kinase 1. </w:t>
      </w:r>
      <w:r w:rsidRPr="00E033F1">
        <w:rPr>
          <w:i/>
          <w:iCs/>
          <w:color w:val="auto"/>
        </w:rPr>
        <w:t>Journal of Biological Chemistry</w:t>
      </w:r>
      <w:r w:rsidRPr="00E033F1">
        <w:rPr>
          <w:color w:val="auto"/>
        </w:rPr>
        <w:t xml:space="preserve">. </w:t>
      </w:r>
      <w:r w:rsidRPr="00E033F1">
        <w:rPr>
          <w:b/>
          <w:bCs/>
          <w:color w:val="auto"/>
        </w:rPr>
        <w:t>276</w:t>
      </w:r>
      <w:r w:rsidRPr="00E033F1">
        <w:rPr>
          <w:color w:val="auto"/>
        </w:rPr>
        <w:t xml:space="preserve"> (16), 12749–12755, doi: 10.1074/jbc.M005561200 (2001).</w:t>
      </w:r>
    </w:p>
    <w:p w14:paraId="0F52D89F" w14:textId="139E27FE" w:rsidR="00E5170D" w:rsidRPr="00E033F1" w:rsidRDefault="00E5170D" w:rsidP="00E033F1">
      <w:pPr>
        <w:pStyle w:val="Bibliography"/>
        <w:tabs>
          <w:tab w:val="clear" w:pos="264"/>
        </w:tabs>
        <w:ind w:left="0" w:firstLine="0"/>
        <w:contextualSpacing/>
        <w:rPr>
          <w:color w:val="auto"/>
        </w:rPr>
      </w:pPr>
      <w:r w:rsidRPr="00E033F1">
        <w:rPr>
          <w:color w:val="auto"/>
        </w:rPr>
        <w:t>11.</w:t>
      </w:r>
      <w:r w:rsidRPr="00E033F1">
        <w:rPr>
          <w:color w:val="auto"/>
        </w:rPr>
        <w:tab/>
        <w:t xml:space="preserve">Hayes, J.D., Flanagan, J.U., Jowsey, I.R. Glutathione Transferases. </w:t>
      </w:r>
      <w:r w:rsidRPr="00E033F1">
        <w:rPr>
          <w:i/>
          <w:iCs/>
          <w:color w:val="auto"/>
        </w:rPr>
        <w:t>Annual Review of Pharmacology and Toxicology</w:t>
      </w:r>
      <w:r w:rsidRPr="00E033F1">
        <w:rPr>
          <w:color w:val="auto"/>
        </w:rPr>
        <w:t xml:space="preserve">. </w:t>
      </w:r>
      <w:r w:rsidRPr="00E033F1">
        <w:rPr>
          <w:b/>
          <w:bCs/>
          <w:color w:val="auto"/>
        </w:rPr>
        <w:t>45</w:t>
      </w:r>
      <w:r w:rsidRPr="00E033F1">
        <w:rPr>
          <w:color w:val="auto"/>
        </w:rPr>
        <w:t xml:space="preserve"> (1), 51–88 (2005).</w:t>
      </w:r>
    </w:p>
    <w:p w14:paraId="784D13B1" w14:textId="66C8CD89" w:rsidR="00E5170D" w:rsidRPr="00E033F1" w:rsidRDefault="00E5170D" w:rsidP="00E033F1">
      <w:pPr>
        <w:pStyle w:val="Bibliography"/>
        <w:tabs>
          <w:tab w:val="clear" w:pos="264"/>
        </w:tabs>
        <w:ind w:left="0" w:firstLine="0"/>
        <w:contextualSpacing/>
        <w:rPr>
          <w:color w:val="auto"/>
        </w:rPr>
      </w:pPr>
      <w:r w:rsidRPr="00E033F1">
        <w:rPr>
          <w:color w:val="auto"/>
        </w:rPr>
        <w:t>12.</w:t>
      </w:r>
      <w:r w:rsidRPr="00E033F1">
        <w:rPr>
          <w:color w:val="auto"/>
        </w:rPr>
        <w:tab/>
        <w:t xml:space="preserve">Lo, H.-W., Ali-Osman, F. Genetic polymorphism and function of glutathione S-transferases in tumor drug resistance. </w:t>
      </w:r>
      <w:r w:rsidRPr="00E033F1">
        <w:rPr>
          <w:i/>
          <w:iCs/>
          <w:color w:val="auto"/>
        </w:rPr>
        <w:t>Current Opinion in Pharmacology</w:t>
      </w:r>
      <w:r w:rsidRPr="00E033F1">
        <w:rPr>
          <w:color w:val="auto"/>
        </w:rPr>
        <w:t xml:space="preserve">. </w:t>
      </w:r>
      <w:r w:rsidRPr="00E033F1">
        <w:rPr>
          <w:b/>
          <w:bCs/>
          <w:color w:val="auto"/>
        </w:rPr>
        <w:t>7</w:t>
      </w:r>
      <w:r w:rsidRPr="00E033F1">
        <w:rPr>
          <w:color w:val="auto"/>
        </w:rPr>
        <w:t xml:space="preserve"> (4), 367–374 (2007).</w:t>
      </w:r>
    </w:p>
    <w:p w14:paraId="3FF95587" w14:textId="0E02F012" w:rsidR="00E5170D" w:rsidRPr="00E033F1" w:rsidRDefault="00E5170D" w:rsidP="00E033F1">
      <w:pPr>
        <w:pStyle w:val="Bibliography"/>
        <w:tabs>
          <w:tab w:val="clear" w:pos="264"/>
        </w:tabs>
        <w:ind w:left="0" w:firstLine="0"/>
        <w:contextualSpacing/>
        <w:rPr>
          <w:color w:val="auto"/>
        </w:rPr>
      </w:pPr>
      <w:r w:rsidRPr="00E033F1">
        <w:rPr>
          <w:color w:val="auto"/>
        </w:rPr>
        <w:t>13.</w:t>
      </w:r>
      <w:r w:rsidRPr="00E033F1">
        <w:rPr>
          <w:color w:val="auto"/>
        </w:rPr>
        <w:tab/>
        <w:t xml:space="preserve">Ansari, M. </w:t>
      </w:r>
      <w:r w:rsidR="00236C61" w:rsidRPr="00E033F1">
        <w:rPr>
          <w:color w:val="auto"/>
        </w:rPr>
        <w:t>et al.</w:t>
      </w:r>
      <w:r w:rsidRPr="00E033F1">
        <w:rPr>
          <w:color w:val="auto"/>
        </w:rPr>
        <w:t xml:space="preserve"> Glutathione S-transferase gene variations influence BU pharmacokinetics and outcome of hematopoietic SCT in pediatric patients. </w:t>
      </w:r>
      <w:r w:rsidRPr="00E033F1">
        <w:rPr>
          <w:i/>
          <w:iCs/>
          <w:color w:val="auto"/>
        </w:rPr>
        <w:t>Bone Marrow Transplantation</w:t>
      </w:r>
      <w:r w:rsidRPr="00E033F1">
        <w:rPr>
          <w:color w:val="auto"/>
        </w:rPr>
        <w:t xml:space="preserve">. </w:t>
      </w:r>
      <w:r w:rsidRPr="00E033F1">
        <w:rPr>
          <w:b/>
          <w:bCs/>
          <w:color w:val="auto"/>
        </w:rPr>
        <w:t>48</w:t>
      </w:r>
      <w:r w:rsidRPr="00E033F1">
        <w:rPr>
          <w:color w:val="auto"/>
        </w:rPr>
        <w:t xml:space="preserve"> (7), 939–946 (2013).</w:t>
      </w:r>
    </w:p>
    <w:p w14:paraId="5B52E8FE" w14:textId="3BEDA0FA" w:rsidR="00E5170D" w:rsidRPr="00E033F1" w:rsidRDefault="00E5170D" w:rsidP="00E033F1">
      <w:pPr>
        <w:pStyle w:val="Bibliography"/>
        <w:tabs>
          <w:tab w:val="clear" w:pos="264"/>
        </w:tabs>
        <w:ind w:left="0" w:firstLine="0"/>
        <w:contextualSpacing/>
        <w:rPr>
          <w:color w:val="auto"/>
        </w:rPr>
      </w:pPr>
      <w:r w:rsidRPr="00E033F1">
        <w:rPr>
          <w:color w:val="auto"/>
        </w:rPr>
        <w:t>14.</w:t>
      </w:r>
      <w:r w:rsidRPr="00E033F1">
        <w:rPr>
          <w:color w:val="auto"/>
        </w:rPr>
        <w:tab/>
        <w:t xml:space="preserve">Mahajan, S., Atkins, W.M. The chemistry and biology of inhibitors and pro-drugs targeted to glutathione S-transferases. </w:t>
      </w:r>
      <w:r w:rsidRPr="00E033F1">
        <w:rPr>
          <w:i/>
          <w:iCs/>
          <w:color w:val="auto"/>
        </w:rPr>
        <w:t>Cellular and molecular life sciences: CMLS</w:t>
      </w:r>
      <w:r w:rsidRPr="00E033F1">
        <w:rPr>
          <w:color w:val="auto"/>
        </w:rPr>
        <w:t xml:space="preserve">. </w:t>
      </w:r>
      <w:r w:rsidRPr="00E033F1">
        <w:rPr>
          <w:b/>
          <w:bCs/>
          <w:color w:val="auto"/>
        </w:rPr>
        <w:t>62</w:t>
      </w:r>
      <w:r w:rsidRPr="00E033F1">
        <w:rPr>
          <w:color w:val="auto"/>
        </w:rPr>
        <w:t xml:space="preserve"> (11), 1221–1233 (2005).</w:t>
      </w:r>
    </w:p>
    <w:p w14:paraId="16C14705" w14:textId="6E59A411" w:rsidR="00E5170D" w:rsidRPr="00E033F1" w:rsidRDefault="00E5170D" w:rsidP="00E033F1">
      <w:pPr>
        <w:pStyle w:val="Bibliography"/>
        <w:tabs>
          <w:tab w:val="clear" w:pos="264"/>
        </w:tabs>
        <w:ind w:left="0" w:firstLine="0"/>
        <w:contextualSpacing/>
        <w:rPr>
          <w:color w:val="auto"/>
        </w:rPr>
      </w:pPr>
      <w:r w:rsidRPr="00E033F1">
        <w:rPr>
          <w:color w:val="auto"/>
        </w:rPr>
        <w:t>15.</w:t>
      </w:r>
      <w:r w:rsidRPr="00E033F1">
        <w:rPr>
          <w:color w:val="auto"/>
        </w:rPr>
        <w:tab/>
        <w:t xml:space="preserve">Allocati, N., Masulli, M., Ilio, C.D., Federici, L. Glutathione transferases: substrates, inihibitors and pro-drugs in cancer and neurodegenerative diseases. </w:t>
      </w:r>
      <w:r w:rsidRPr="00E033F1">
        <w:rPr>
          <w:i/>
          <w:iCs/>
          <w:color w:val="auto"/>
        </w:rPr>
        <w:t>Oncogenesis</w:t>
      </w:r>
      <w:r w:rsidRPr="00E033F1">
        <w:rPr>
          <w:color w:val="auto"/>
        </w:rPr>
        <w:t xml:space="preserve">. </w:t>
      </w:r>
      <w:r w:rsidRPr="00E033F1">
        <w:rPr>
          <w:b/>
          <w:bCs/>
          <w:color w:val="auto"/>
        </w:rPr>
        <w:t>7</w:t>
      </w:r>
      <w:r w:rsidRPr="00E033F1">
        <w:rPr>
          <w:color w:val="auto"/>
        </w:rPr>
        <w:t xml:space="preserve"> (1), 8 (2018).</w:t>
      </w:r>
    </w:p>
    <w:p w14:paraId="0FCE5021" w14:textId="77777777" w:rsidR="00E5170D" w:rsidRPr="00E033F1" w:rsidRDefault="00E5170D" w:rsidP="00E033F1">
      <w:pPr>
        <w:pStyle w:val="Bibliography"/>
        <w:tabs>
          <w:tab w:val="clear" w:pos="264"/>
        </w:tabs>
        <w:ind w:left="0" w:firstLine="0"/>
        <w:contextualSpacing/>
        <w:rPr>
          <w:color w:val="auto"/>
        </w:rPr>
      </w:pPr>
      <w:r w:rsidRPr="00E033F1">
        <w:rPr>
          <w:color w:val="auto"/>
        </w:rPr>
        <w:t>16.</w:t>
      </w:r>
      <w:r w:rsidRPr="00E033F1">
        <w:rPr>
          <w:color w:val="auto"/>
        </w:rPr>
        <w:tab/>
        <w:t xml:space="preserve">Aggarwal, B.B., Kumar, A., Bharti, A.C. Anticancer potential of curcumin: preclinical and clinical studies. </w:t>
      </w:r>
      <w:r w:rsidRPr="00E033F1">
        <w:rPr>
          <w:i/>
          <w:iCs/>
          <w:color w:val="auto"/>
        </w:rPr>
        <w:t>Anticancer Research</w:t>
      </w:r>
      <w:r w:rsidRPr="00E033F1">
        <w:rPr>
          <w:color w:val="auto"/>
        </w:rPr>
        <w:t xml:space="preserve">. </w:t>
      </w:r>
      <w:r w:rsidRPr="00E033F1">
        <w:rPr>
          <w:b/>
          <w:bCs/>
          <w:color w:val="auto"/>
        </w:rPr>
        <w:t>23</w:t>
      </w:r>
      <w:r w:rsidRPr="00E033F1">
        <w:rPr>
          <w:color w:val="auto"/>
        </w:rPr>
        <w:t xml:space="preserve"> (1A), 363–398 (2003).</w:t>
      </w:r>
    </w:p>
    <w:p w14:paraId="78E4B623" w14:textId="3286DCEE" w:rsidR="00E5170D" w:rsidRPr="00E033F1" w:rsidRDefault="00E5170D" w:rsidP="00E033F1">
      <w:pPr>
        <w:pStyle w:val="Bibliography"/>
        <w:tabs>
          <w:tab w:val="clear" w:pos="264"/>
        </w:tabs>
        <w:ind w:left="0" w:firstLine="0"/>
        <w:contextualSpacing/>
        <w:rPr>
          <w:color w:val="auto"/>
        </w:rPr>
      </w:pPr>
      <w:r w:rsidRPr="00E033F1">
        <w:rPr>
          <w:color w:val="auto"/>
        </w:rPr>
        <w:t>17.</w:t>
      </w:r>
      <w:r w:rsidRPr="00E033F1">
        <w:rPr>
          <w:color w:val="auto"/>
        </w:rPr>
        <w:tab/>
        <w:t xml:space="preserve">Han, S.S., Chung, S.T., Robertson, D.A., Ranjan, D., Bondada, S. Curcumin causes the growth arrest and apoptosis of B cell lymphoma by downregulation of egr-1, c-myc, bcl-XL, NF-kappa B, and p53. </w:t>
      </w:r>
      <w:r w:rsidRPr="00E033F1">
        <w:rPr>
          <w:i/>
          <w:iCs/>
          <w:color w:val="auto"/>
        </w:rPr>
        <w:t>Clinical Immunology (Orlando, Fla.)</w:t>
      </w:r>
      <w:r w:rsidRPr="00E033F1">
        <w:rPr>
          <w:color w:val="auto"/>
        </w:rPr>
        <w:t xml:space="preserve">. </w:t>
      </w:r>
      <w:r w:rsidRPr="00E033F1">
        <w:rPr>
          <w:b/>
          <w:bCs/>
          <w:color w:val="auto"/>
        </w:rPr>
        <w:t>93</w:t>
      </w:r>
      <w:r w:rsidRPr="00E033F1">
        <w:rPr>
          <w:color w:val="auto"/>
        </w:rPr>
        <w:t xml:space="preserve"> (2), 152–161 (1999).</w:t>
      </w:r>
    </w:p>
    <w:p w14:paraId="792C46BC" w14:textId="61A25217" w:rsidR="00E5170D" w:rsidRPr="00E033F1" w:rsidRDefault="00E5170D" w:rsidP="00E033F1">
      <w:pPr>
        <w:pStyle w:val="Bibliography"/>
        <w:tabs>
          <w:tab w:val="clear" w:pos="264"/>
        </w:tabs>
        <w:ind w:left="0" w:firstLine="0"/>
        <w:contextualSpacing/>
        <w:rPr>
          <w:color w:val="auto"/>
        </w:rPr>
      </w:pPr>
      <w:r w:rsidRPr="00E033F1">
        <w:rPr>
          <w:color w:val="auto"/>
        </w:rPr>
        <w:t>18.</w:t>
      </w:r>
      <w:r w:rsidRPr="00E033F1">
        <w:rPr>
          <w:color w:val="auto"/>
        </w:rPr>
        <w:tab/>
        <w:t xml:space="preserve">Golonko, A., Lewandowska, H., Świsłocka, R., Jasińska, U.T., Priebe, W., Lewandowski, W. Curcumin as tyrosine kinase inhibitor in cancer treatment. </w:t>
      </w:r>
      <w:r w:rsidRPr="00E033F1">
        <w:rPr>
          <w:i/>
          <w:iCs/>
          <w:color w:val="auto"/>
        </w:rPr>
        <w:t>European Journal of Medicinal Chemistry</w:t>
      </w:r>
      <w:r w:rsidRPr="00E033F1">
        <w:rPr>
          <w:color w:val="auto"/>
        </w:rPr>
        <w:t xml:space="preserve">. </w:t>
      </w:r>
      <w:r w:rsidRPr="00E033F1">
        <w:rPr>
          <w:b/>
          <w:bCs/>
          <w:color w:val="auto"/>
        </w:rPr>
        <w:t>181</w:t>
      </w:r>
      <w:r w:rsidRPr="00E033F1">
        <w:rPr>
          <w:color w:val="auto"/>
        </w:rPr>
        <w:t>, 111512 (2019).</w:t>
      </w:r>
    </w:p>
    <w:p w14:paraId="32A29B66" w14:textId="5400FC15" w:rsidR="00E5170D" w:rsidRPr="00E033F1" w:rsidRDefault="00E5170D" w:rsidP="00E033F1">
      <w:pPr>
        <w:pStyle w:val="Bibliography"/>
        <w:tabs>
          <w:tab w:val="clear" w:pos="264"/>
        </w:tabs>
        <w:ind w:left="0" w:firstLine="0"/>
        <w:contextualSpacing/>
        <w:rPr>
          <w:color w:val="auto"/>
        </w:rPr>
      </w:pPr>
      <w:r w:rsidRPr="00E033F1">
        <w:rPr>
          <w:color w:val="auto"/>
        </w:rPr>
        <w:t>19.</w:t>
      </w:r>
      <w:r w:rsidRPr="00E033F1">
        <w:rPr>
          <w:color w:val="auto"/>
        </w:rPr>
        <w:tab/>
        <w:t xml:space="preserve">Awasthi, S. </w:t>
      </w:r>
      <w:r w:rsidR="00236C61" w:rsidRPr="00E033F1">
        <w:rPr>
          <w:color w:val="auto"/>
        </w:rPr>
        <w:t>et al.</w:t>
      </w:r>
      <w:r w:rsidRPr="00E033F1">
        <w:rPr>
          <w:color w:val="auto"/>
        </w:rPr>
        <w:t xml:space="preserve"> Curcumin-glutathione interactions and the role of human glutathione S-transferase P1-1. </w:t>
      </w:r>
      <w:r w:rsidRPr="00E033F1">
        <w:rPr>
          <w:i/>
          <w:iCs/>
          <w:color w:val="auto"/>
        </w:rPr>
        <w:t>Chemico-Biological Interactions</w:t>
      </w:r>
      <w:r w:rsidRPr="00E033F1">
        <w:rPr>
          <w:color w:val="auto"/>
        </w:rPr>
        <w:t xml:space="preserve">. </w:t>
      </w:r>
      <w:r w:rsidRPr="00E033F1">
        <w:rPr>
          <w:b/>
          <w:bCs/>
          <w:color w:val="auto"/>
        </w:rPr>
        <w:t>128</w:t>
      </w:r>
      <w:r w:rsidRPr="00E033F1">
        <w:rPr>
          <w:color w:val="auto"/>
        </w:rPr>
        <w:t xml:space="preserve"> (1), 19–38 (2000).</w:t>
      </w:r>
    </w:p>
    <w:p w14:paraId="233070B2" w14:textId="56F85FEC" w:rsidR="00E5170D" w:rsidRPr="00E033F1" w:rsidRDefault="00E5170D" w:rsidP="00E033F1">
      <w:pPr>
        <w:pStyle w:val="Bibliography"/>
        <w:tabs>
          <w:tab w:val="clear" w:pos="264"/>
        </w:tabs>
        <w:ind w:left="0" w:firstLine="0"/>
        <w:contextualSpacing/>
        <w:rPr>
          <w:color w:val="auto"/>
        </w:rPr>
      </w:pPr>
      <w:r w:rsidRPr="00E033F1">
        <w:rPr>
          <w:color w:val="auto"/>
        </w:rPr>
        <w:t>20.</w:t>
      </w:r>
      <w:r w:rsidRPr="00E033F1">
        <w:rPr>
          <w:color w:val="auto"/>
        </w:rPr>
        <w:tab/>
        <w:t xml:space="preserve">Appiah-Opong, R., Commandeur, J.N.M., Istyastono, E., Bogaards, J.J., Vermeulen, N.P.E. Inhibition of human glutathione S-transferases by curcumin and analogues. </w:t>
      </w:r>
      <w:r w:rsidRPr="00E033F1">
        <w:rPr>
          <w:i/>
          <w:iCs/>
          <w:color w:val="auto"/>
        </w:rPr>
        <w:t>Xenobiotica; the Fate of Foreign Compounds in Biological Systems</w:t>
      </w:r>
      <w:r w:rsidRPr="00E033F1">
        <w:rPr>
          <w:color w:val="auto"/>
        </w:rPr>
        <w:t xml:space="preserve">. </w:t>
      </w:r>
      <w:r w:rsidRPr="00E033F1">
        <w:rPr>
          <w:b/>
          <w:bCs/>
          <w:color w:val="auto"/>
        </w:rPr>
        <w:t>39</w:t>
      </w:r>
      <w:r w:rsidRPr="00E033F1">
        <w:rPr>
          <w:color w:val="auto"/>
        </w:rPr>
        <w:t xml:space="preserve"> (4), 302–311 (2009).</w:t>
      </w:r>
    </w:p>
    <w:p w14:paraId="146031EF" w14:textId="43936151" w:rsidR="00E5170D" w:rsidRPr="00E033F1" w:rsidRDefault="00E5170D" w:rsidP="00E033F1">
      <w:pPr>
        <w:pStyle w:val="Bibliography"/>
        <w:tabs>
          <w:tab w:val="clear" w:pos="264"/>
        </w:tabs>
        <w:ind w:left="0" w:firstLine="0"/>
        <w:contextualSpacing/>
        <w:rPr>
          <w:color w:val="auto"/>
        </w:rPr>
      </w:pPr>
      <w:r w:rsidRPr="00E033F1">
        <w:rPr>
          <w:color w:val="auto"/>
        </w:rPr>
        <w:t>21.</w:t>
      </w:r>
      <w:r w:rsidRPr="00E033F1">
        <w:rPr>
          <w:color w:val="auto"/>
        </w:rPr>
        <w:tab/>
        <w:t xml:space="preserve">Dubey, V., Owusu-Apenten, R. Curcumin Restores Glutathione-S-Transferase Activity for LNCaP Prostate Cancer Cells. </w:t>
      </w:r>
      <w:r w:rsidRPr="00E033F1">
        <w:rPr>
          <w:i/>
          <w:iCs/>
          <w:color w:val="auto"/>
        </w:rPr>
        <w:t>Pure and Applied Chemistry</w:t>
      </w:r>
      <w:r w:rsidRPr="00E033F1">
        <w:rPr>
          <w:color w:val="auto"/>
        </w:rPr>
        <w:t xml:space="preserve">. </w:t>
      </w:r>
      <w:r w:rsidRPr="00E033F1">
        <w:rPr>
          <w:b/>
          <w:bCs/>
          <w:color w:val="auto"/>
        </w:rPr>
        <w:t>2</w:t>
      </w:r>
      <w:r w:rsidRPr="00E033F1">
        <w:rPr>
          <w:color w:val="auto"/>
        </w:rPr>
        <w:t>, 61–72 (2014).</w:t>
      </w:r>
    </w:p>
    <w:p w14:paraId="49686C6C" w14:textId="77777777" w:rsidR="00E5170D" w:rsidRPr="00E033F1" w:rsidRDefault="00E5170D" w:rsidP="00E033F1">
      <w:pPr>
        <w:pStyle w:val="Bibliography"/>
        <w:tabs>
          <w:tab w:val="clear" w:pos="264"/>
        </w:tabs>
        <w:ind w:left="0" w:firstLine="0"/>
        <w:contextualSpacing/>
        <w:rPr>
          <w:color w:val="auto"/>
        </w:rPr>
      </w:pPr>
      <w:r w:rsidRPr="00E033F1">
        <w:rPr>
          <w:color w:val="auto"/>
        </w:rPr>
        <w:t>22.</w:t>
      </w:r>
      <w:r w:rsidRPr="00E033F1">
        <w:rPr>
          <w:color w:val="auto"/>
        </w:rPr>
        <w:tab/>
        <w:t xml:space="preserve">Habig, W.H., Pabst, M.J., Jakoby, W.B. Glutathione S-transferases. The first enzymatic step </w:t>
      </w:r>
      <w:r w:rsidRPr="00E033F1">
        <w:rPr>
          <w:color w:val="auto"/>
        </w:rPr>
        <w:lastRenderedPageBreak/>
        <w:t xml:space="preserve">in mercapturic acid formation. </w:t>
      </w:r>
      <w:r w:rsidRPr="00E033F1">
        <w:rPr>
          <w:i/>
          <w:iCs/>
          <w:color w:val="auto"/>
        </w:rPr>
        <w:t>The Journal of Biological Chemistry</w:t>
      </w:r>
      <w:r w:rsidRPr="00E033F1">
        <w:rPr>
          <w:color w:val="auto"/>
        </w:rPr>
        <w:t xml:space="preserve">. </w:t>
      </w:r>
      <w:r w:rsidRPr="00E033F1">
        <w:rPr>
          <w:b/>
          <w:bCs/>
          <w:color w:val="auto"/>
        </w:rPr>
        <w:t>249</w:t>
      </w:r>
      <w:r w:rsidRPr="00E033F1">
        <w:rPr>
          <w:color w:val="auto"/>
        </w:rPr>
        <w:t xml:space="preserve"> (22), 7130–7139 (1974).</w:t>
      </w:r>
    </w:p>
    <w:p w14:paraId="461459D4" w14:textId="758B5371" w:rsidR="00E5170D" w:rsidRPr="00E033F1" w:rsidRDefault="00E5170D" w:rsidP="00E033F1">
      <w:pPr>
        <w:pStyle w:val="Bibliography"/>
        <w:tabs>
          <w:tab w:val="clear" w:pos="264"/>
        </w:tabs>
        <w:ind w:left="0" w:firstLine="0"/>
        <w:contextualSpacing/>
        <w:rPr>
          <w:color w:val="auto"/>
        </w:rPr>
      </w:pPr>
      <w:r w:rsidRPr="00E033F1">
        <w:rPr>
          <w:color w:val="auto"/>
        </w:rPr>
        <w:t>23.</w:t>
      </w:r>
      <w:r w:rsidRPr="00E033F1">
        <w:rPr>
          <w:color w:val="auto"/>
        </w:rPr>
        <w:tab/>
        <w:t xml:space="preserve">Johnson, K.A., Goody, R.S. The Original Michaelis Constant: Translation of the 1913 Michaelis-Menten Paper. </w:t>
      </w:r>
      <w:r w:rsidRPr="00E033F1">
        <w:rPr>
          <w:i/>
          <w:iCs/>
          <w:color w:val="auto"/>
        </w:rPr>
        <w:t>Biochemistry</w:t>
      </w:r>
      <w:r w:rsidRPr="00E033F1">
        <w:rPr>
          <w:color w:val="auto"/>
        </w:rPr>
        <w:t xml:space="preserve">. </w:t>
      </w:r>
      <w:r w:rsidRPr="00E033F1">
        <w:rPr>
          <w:b/>
          <w:bCs/>
          <w:color w:val="auto"/>
        </w:rPr>
        <w:t>50</w:t>
      </w:r>
      <w:r w:rsidRPr="00E033F1">
        <w:rPr>
          <w:color w:val="auto"/>
        </w:rPr>
        <w:t xml:space="preserve"> (39), 8264–8269 (2011).</w:t>
      </w:r>
    </w:p>
    <w:p w14:paraId="15C6F7C1" w14:textId="684A5860" w:rsidR="00E5170D" w:rsidRPr="00E033F1" w:rsidRDefault="00E5170D" w:rsidP="00E033F1">
      <w:pPr>
        <w:pStyle w:val="Bibliography"/>
        <w:tabs>
          <w:tab w:val="clear" w:pos="264"/>
        </w:tabs>
        <w:ind w:left="0" w:firstLine="0"/>
        <w:contextualSpacing/>
        <w:rPr>
          <w:color w:val="auto"/>
        </w:rPr>
      </w:pPr>
      <w:r w:rsidRPr="00E033F1">
        <w:rPr>
          <w:color w:val="auto"/>
        </w:rPr>
        <w:t>24.</w:t>
      </w:r>
      <w:r w:rsidRPr="00E033F1">
        <w:rPr>
          <w:color w:val="auto"/>
        </w:rPr>
        <w:tab/>
        <w:t xml:space="preserve">Ochs, R.S. Understanding Enzyme Inhibition. </w:t>
      </w:r>
      <w:r w:rsidRPr="00E033F1">
        <w:rPr>
          <w:i/>
          <w:iCs/>
          <w:color w:val="auto"/>
        </w:rPr>
        <w:t>Journal of Chemical Education</w:t>
      </w:r>
      <w:r w:rsidRPr="00E033F1">
        <w:rPr>
          <w:color w:val="auto"/>
        </w:rPr>
        <w:t xml:space="preserve">. </w:t>
      </w:r>
      <w:r w:rsidRPr="00E033F1">
        <w:rPr>
          <w:b/>
          <w:bCs/>
          <w:color w:val="auto"/>
        </w:rPr>
        <w:t>77</w:t>
      </w:r>
      <w:r w:rsidRPr="00E033F1">
        <w:rPr>
          <w:color w:val="auto"/>
        </w:rPr>
        <w:t xml:space="preserve"> (11), 1453</w:t>
      </w:r>
      <w:r w:rsidR="00531756">
        <w:rPr>
          <w:color w:val="auto"/>
        </w:rPr>
        <w:t xml:space="preserve"> </w:t>
      </w:r>
      <w:r w:rsidRPr="00E033F1">
        <w:rPr>
          <w:color w:val="auto"/>
        </w:rPr>
        <w:t>(2000).</w:t>
      </w:r>
    </w:p>
    <w:p w14:paraId="0D1B6382" w14:textId="77777777" w:rsidR="00E5170D" w:rsidRPr="00E033F1" w:rsidRDefault="00E5170D" w:rsidP="00E033F1">
      <w:pPr>
        <w:pStyle w:val="Bibliography"/>
        <w:tabs>
          <w:tab w:val="clear" w:pos="264"/>
        </w:tabs>
        <w:ind w:left="0" w:firstLine="0"/>
        <w:contextualSpacing/>
        <w:rPr>
          <w:color w:val="auto"/>
        </w:rPr>
      </w:pPr>
      <w:r w:rsidRPr="00E033F1">
        <w:rPr>
          <w:color w:val="auto"/>
        </w:rPr>
        <w:t>25.</w:t>
      </w:r>
      <w:r w:rsidRPr="00E033F1">
        <w:rPr>
          <w:color w:val="auto"/>
        </w:rPr>
        <w:tab/>
        <w:t xml:space="preserve">Bisswanger, H. Enzyme assays. </w:t>
      </w:r>
      <w:r w:rsidRPr="00E033F1">
        <w:rPr>
          <w:i/>
          <w:iCs/>
          <w:color w:val="auto"/>
        </w:rPr>
        <w:t>Perspectives in Science</w:t>
      </w:r>
      <w:r w:rsidRPr="00E033F1">
        <w:rPr>
          <w:color w:val="auto"/>
        </w:rPr>
        <w:t xml:space="preserve">. </w:t>
      </w:r>
      <w:r w:rsidRPr="00E033F1">
        <w:rPr>
          <w:b/>
          <w:bCs/>
          <w:color w:val="auto"/>
        </w:rPr>
        <w:t>1</w:t>
      </w:r>
      <w:r w:rsidRPr="00E033F1">
        <w:rPr>
          <w:color w:val="auto"/>
        </w:rPr>
        <w:t xml:space="preserve"> (1), 41–55, doi: 10.1016/j.pisc.2014.02.005 (2014).</w:t>
      </w:r>
    </w:p>
    <w:p w14:paraId="6EC53523" w14:textId="4CFFE257" w:rsidR="00E5170D" w:rsidRPr="00E033F1" w:rsidRDefault="00E5170D" w:rsidP="00E033F1">
      <w:pPr>
        <w:pStyle w:val="Bibliography"/>
        <w:tabs>
          <w:tab w:val="clear" w:pos="264"/>
        </w:tabs>
        <w:ind w:left="0" w:firstLine="0"/>
        <w:contextualSpacing/>
        <w:rPr>
          <w:color w:val="auto"/>
          <w:lang w:val="fr-CH"/>
        </w:rPr>
      </w:pPr>
      <w:r w:rsidRPr="00E033F1">
        <w:rPr>
          <w:color w:val="auto"/>
        </w:rPr>
        <w:t>26.</w:t>
      </w:r>
      <w:r w:rsidRPr="00E033F1">
        <w:rPr>
          <w:color w:val="auto"/>
        </w:rPr>
        <w:tab/>
        <w:t xml:space="preserve">Acker, M.G., Auld, D.S. Considerations for the design and reporting of enzyme assays in high-throughput screening applications. </w:t>
      </w:r>
      <w:r w:rsidRPr="00E033F1">
        <w:rPr>
          <w:i/>
          <w:iCs/>
          <w:color w:val="auto"/>
          <w:lang w:val="fr-CH"/>
        </w:rPr>
        <w:t>Perspectives in Science</w:t>
      </w:r>
      <w:r w:rsidRPr="00E033F1">
        <w:rPr>
          <w:color w:val="auto"/>
          <w:lang w:val="fr-CH"/>
        </w:rPr>
        <w:t xml:space="preserve">. </w:t>
      </w:r>
      <w:r w:rsidRPr="00E033F1">
        <w:rPr>
          <w:b/>
          <w:bCs/>
          <w:color w:val="auto"/>
          <w:lang w:val="fr-CH"/>
        </w:rPr>
        <w:t>1</w:t>
      </w:r>
      <w:r w:rsidRPr="00E033F1">
        <w:rPr>
          <w:color w:val="auto"/>
          <w:lang w:val="fr-CH"/>
        </w:rPr>
        <w:t xml:space="preserve"> (1), 56–73 (2014).</w:t>
      </w:r>
    </w:p>
    <w:p w14:paraId="1E94616C" w14:textId="05677C0A" w:rsidR="00E5170D" w:rsidRPr="00E033F1" w:rsidRDefault="00E5170D" w:rsidP="00E033F1">
      <w:pPr>
        <w:pStyle w:val="Bibliography"/>
        <w:tabs>
          <w:tab w:val="clear" w:pos="264"/>
        </w:tabs>
        <w:ind w:left="0" w:firstLine="0"/>
        <w:contextualSpacing/>
        <w:rPr>
          <w:color w:val="auto"/>
        </w:rPr>
      </w:pPr>
      <w:r w:rsidRPr="00E033F1">
        <w:rPr>
          <w:color w:val="auto"/>
          <w:lang w:val="fr-CH"/>
        </w:rPr>
        <w:t>27.</w:t>
      </w:r>
      <w:r w:rsidRPr="00E033F1">
        <w:rPr>
          <w:color w:val="auto"/>
          <w:lang w:val="fr-CH"/>
        </w:rPr>
        <w:tab/>
        <w:t xml:space="preserve">Cheng, A.L. </w:t>
      </w:r>
      <w:r w:rsidR="00236C61" w:rsidRPr="00E033F1">
        <w:rPr>
          <w:color w:val="auto"/>
          <w:lang w:val="fr-CH"/>
        </w:rPr>
        <w:t>et al.</w:t>
      </w:r>
      <w:r w:rsidRPr="00E033F1">
        <w:rPr>
          <w:color w:val="auto"/>
          <w:lang w:val="fr-CH"/>
        </w:rPr>
        <w:t xml:space="preserve"> </w:t>
      </w:r>
      <w:r w:rsidRPr="00E033F1">
        <w:rPr>
          <w:i/>
          <w:iCs/>
          <w:color w:val="auto"/>
        </w:rPr>
        <w:t>Anticancer Research</w:t>
      </w:r>
      <w:r w:rsidRPr="00E033F1">
        <w:rPr>
          <w:color w:val="auto"/>
        </w:rPr>
        <w:t xml:space="preserve">. </w:t>
      </w:r>
      <w:r w:rsidRPr="00E033F1">
        <w:rPr>
          <w:b/>
          <w:bCs/>
          <w:color w:val="auto"/>
        </w:rPr>
        <w:t>21</w:t>
      </w:r>
      <w:r w:rsidRPr="00E033F1">
        <w:rPr>
          <w:color w:val="auto"/>
        </w:rPr>
        <w:t xml:space="preserve"> (4B), 2895–2900 (2001).</w:t>
      </w:r>
    </w:p>
    <w:p w14:paraId="3D6A40AE" w14:textId="3F693A10" w:rsidR="00E5170D" w:rsidRPr="00E033F1" w:rsidRDefault="00E5170D" w:rsidP="00E033F1">
      <w:pPr>
        <w:pStyle w:val="Bibliography"/>
        <w:tabs>
          <w:tab w:val="clear" w:pos="264"/>
        </w:tabs>
        <w:ind w:left="0" w:firstLine="0"/>
        <w:contextualSpacing/>
        <w:rPr>
          <w:color w:val="auto"/>
        </w:rPr>
      </w:pPr>
      <w:r w:rsidRPr="00E033F1">
        <w:rPr>
          <w:color w:val="auto"/>
        </w:rPr>
        <w:t>28.</w:t>
      </w:r>
      <w:r w:rsidRPr="00E033F1">
        <w:rPr>
          <w:color w:val="auto"/>
        </w:rPr>
        <w:tab/>
        <w:t xml:space="preserve">Yang, J., Copeland, R.A., Lai, Z. Defining Balanced Conditions for Inhibitor Screening Assays That Target Bisubstrate Enzymes. </w:t>
      </w:r>
      <w:r w:rsidRPr="00E033F1">
        <w:rPr>
          <w:i/>
          <w:iCs/>
          <w:color w:val="auto"/>
        </w:rPr>
        <w:t>Journal of Biomolecular Screening</w:t>
      </w:r>
      <w:r w:rsidRPr="00E033F1">
        <w:rPr>
          <w:color w:val="auto"/>
        </w:rPr>
        <w:t xml:space="preserve">. </w:t>
      </w:r>
      <w:r w:rsidRPr="00E033F1">
        <w:rPr>
          <w:b/>
          <w:bCs/>
          <w:color w:val="auto"/>
        </w:rPr>
        <w:t>14</w:t>
      </w:r>
      <w:r w:rsidRPr="00E033F1">
        <w:rPr>
          <w:color w:val="auto"/>
        </w:rPr>
        <w:t xml:space="preserve"> (2), 111–120 (2009).</w:t>
      </w:r>
    </w:p>
    <w:p w14:paraId="304021E3" w14:textId="728D50C5" w:rsidR="00E5170D" w:rsidRPr="00E033F1" w:rsidRDefault="00E5170D" w:rsidP="00E033F1">
      <w:pPr>
        <w:pStyle w:val="Bibliography"/>
        <w:tabs>
          <w:tab w:val="clear" w:pos="264"/>
        </w:tabs>
        <w:ind w:left="0" w:firstLine="0"/>
        <w:contextualSpacing/>
        <w:rPr>
          <w:color w:val="auto"/>
        </w:rPr>
      </w:pPr>
      <w:r w:rsidRPr="00E033F1">
        <w:rPr>
          <w:color w:val="auto"/>
        </w:rPr>
        <w:t>29.</w:t>
      </w:r>
      <w:r w:rsidRPr="00E033F1">
        <w:rPr>
          <w:color w:val="auto"/>
        </w:rPr>
        <w:tab/>
      </w:r>
      <w:proofErr w:type="spellStart"/>
      <w:r w:rsidRPr="00E033F1">
        <w:rPr>
          <w:color w:val="auto"/>
        </w:rPr>
        <w:t>Uppugunduri</w:t>
      </w:r>
      <w:proofErr w:type="spellEnd"/>
      <w:r w:rsidRPr="00E033F1">
        <w:rPr>
          <w:color w:val="auto"/>
        </w:rPr>
        <w:t xml:space="preserve">, </w:t>
      </w:r>
      <w:r w:rsidR="00531756" w:rsidRPr="00E033F1">
        <w:rPr>
          <w:color w:val="auto"/>
        </w:rPr>
        <w:t>C</w:t>
      </w:r>
      <w:r w:rsidR="00531756">
        <w:rPr>
          <w:color w:val="auto"/>
        </w:rPr>
        <w:t>.</w:t>
      </w:r>
      <w:r w:rsidR="00531756" w:rsidRPr="00E033F1">
        <w:rPr>
          <w:color w:val="auto"/>
        </w:rPr>
        <w:t xml:space="preserve"> R</w:t>
      </w:r>
      <w:r w:rsidR="00531756">
        <w:rPr>
          <w:color w:val="auto"/>
        </w:rPr>
        <w:t>.</w:t>
      </w:r>
      <w:r w:rsidR="00531756" w:rsidRPr="00E033F1">
        <w:rPr>
          <w:color w:val="auto"/>
        </w:rPr>
        <w:t xml:space="preserve"> S</w:t>
      </w:r>
      <w:r w:rsidR="00531756">
        <w:rPr>
          <w:color w:val="auto"/>
        </w:rPr>
        <w:t>.,</w:t>
      </w:r>
      <w:r w:rsidR="00531756" w:rsidRPr="00E033F1">
        <w:rPr>
          <w:color w:val="auto"/>
        </w:rPr>
        <w:t xml:space="preserve"> </w:t>
      </w:r>
      <w:proofErr w:type="spellStart"/>
      <w:r w:rsidRPr="00E033F1">
        <w:rPr>
          <w:color w:val="auto"/>
        </w:rPr>
        <w:t>Muthukumaran</w:t>
      </w:r>
      <w:proofErr w:type="spellEnd"/>
      <w:r w:rsidRPr="00E033F1">
        <w:rPr>
          <w:color w:val="auto"/>
        </w:rPr>
        <w:t xml:space="preserve">, </w:t>
      </w:r>
      <w:r w:rsidR="00531756" w:rsidRPr="00E033F1">
        <w:rPr>
          <w:color w:val="auto"/>
        </w:rPr>
        <w:t>J</w:t>
      </w:r>
      <w:r w:rsidR="00531756">
        <w:rPr>
          <w:color w:val="auto"/>
        </w:rPr>
        <w:t>.,</w:t>
      </w:r>
      <w:r w:rsidR="00531756" w:rsidRPr="00E033F1">
        <w:rPr>
          <w:color w:val="auto"/>
        </w:rPr>
        <w:t xml:space="preserve"> </w:t>
      </w:r>
      <w:r w:rsidRPr="00E033F1">
        <w:rPr>
          <w:color w:val="auto"/>
        </w:rPr>
        <w:t xml:space="preserve">Santos-Silva, </w:t>
      </w:r>
      <w:r w:rsidR="00531756">
        <w:rPr>
          <w:color w:val="auto"/>
        </w:rPr>
        <w:t>T.,</w:t>
      </w:r>
      <w:r w:rsidR="00531756" w:rsidRPr="00E033F1">
        <w:rPr>
          <w:color w:val="auto"/>
        </w:rPr>
        <w:t xml:space="preserve"> </w:t>
      </w:r>
      <w:r w:rsidRPr="00E033F1">
        <w:rPr>
          <w:color w:val="auto"/>
        </w:rPr>
        <w:t>Ansari</w:t>
      </w:r>
      <w:r w:rsidR="00531756">
        <w:rPr>
          <w:color w:val="auto"/>
        </w:rPr>
        <w:t xml:space="preserve">, M. </w:t>
      </w:r>
      <w:r w:rsidRPr="00E033F1">
        <w:rPr>
          <w:color w:val="auto"/>
        </w:rPr>
        <w:t xml:space="preserve">Identification of putative substrates and inhibitors for Glutathione S-transferases using computational methods. </w:t>
      </w:r>
      <w:proofErr w:type="spellStart"/>
      <w:r w:rsidR="00531756">
        <w:rPr>
          <w:i/>
          <w:iCs/>
          <w:color w:val="auto"/>
        </w:rPr>
        <w:t>Zenodo</w:t>
      </w:r>
      <w:proofErr w:type="spellEnd"/>
      <w:r w:rsidR="00531756">
        <w:rPr>
          <w:i/>
          <w:iCs/>
          <w:color w:val="auto"/>
        </w:rPr>
        <w:t xml:space="preserve">. </w:t>
      </w:r>
      <w:proofErr w:type="spellStart"/>
      <w:r w:rsidRPr="00E033F1">
        <w:rPr>
          <w:color w:val="auto"/>
        </w:rPr>
        <w:t>doi</w:t>
      </w:r>
      <w:proofErr w:type="spellEnd"/>
      <w:r w:rsidRPr="00E033F1">
        <w:rPr>
          <w:color w:val="auto"/>
        </w:rPr>
        <w:t>: 10.5281/zenodo.1005592 (2017).</w:t>
      </w:r>
    </w:p>
    <w:p w14:paraId="2760D0AA" w14:textId="5C070236" w:rsidR="00E5170D" w:rsidRPr="00E033F1" w:rsidRDefault="00E5170D" w:rsidP="00E033F1">
      <w:pPr>
        <w:pStyle w:val="Bibliography"/>
        <w:tabs>
          <w:tab w:val="clear" w:pos="264"/>
        </w:tabs>
        <w:ind w:left="0" w:firstLine="0"/>
        <w:contextualSpacing/>
        <w:rPr>
          <w:color w:val="auto"/>
        </w:rPr>
      </w:pPr>
      <w:r w:rsidRPr="00E033F1">
        <w:rPr>
          <w:color w:val="auto"/>
        </w:rPr>
        <w:t>30.</w:t>
      </w:r>
      <w:r w:rsidRPr="00E033F1">
        <w:rPr>
          <w:color w:val="auto"/>
        </w:rPr>
        <w:tab/>
        <w:t xml:space="preserve">Burlingham, B.T., Widlanski, T.S. An Intuitive Look at the Relationship of Ki and IC50: A More General Use for the Dixon Plot. </w:t>
      </w:r>
      <w:r w:rsidRPr="00E033F1">
        <w:rPr>
          <w:i/>
          <w:iCs/>
          <w:color w:val="auto"/>
        </w:rPr>
        <w:t>Journal of Chemical Education</w:t>
      </w:r>
      <w:r w:rsidRPr="00E033F1">
        <w:rPr>
          <w:color w:val="auto"/>
        </w:rPr>
        <w:t xml:space="preserve">. </w:t>
      </w:r>
      <w:r w:rsidRPr="00E033F1">
        <w:rPr>
          <w:b/>
          <w:bCs/>
          <w:color w:val="auto"/>
        </w:rPr>
        <w:t>80</w:t>
      </w:r>
      <w:r w:rsidRPr="00E033F1">
        <w:rPr>
          <w:color w:val="auto"/>
        </w:rPr>
        <w:t xml:space="preserve"> (2), 214 (2003).</w:t>
      </w:r>
    </w:p>
    <w:p w14:paraId="4831E35F" w14:textId="089E90DA" w:rsidR="00E5170D" w:rsidRPr="00E033F1" w:rsidRDefault="00E5170D" w:rsidP="00E033F1">
      <w:pPr>
        <w:pStyle w:val="Bibliography"/>
        <w:tabs>
          <w:tab w:val="clear" w:pos="264"/>
        </w:tabs>
        <w:ind w:left="0" w:firstLine="0"/>
        <w:contextualSpacing/>
        <w:rPr>
          <w:color w:val="auto"/>
        </w:rPr>
      </w:pPr>
      <w:r w:rsidRPr="00E033F1">
        <w:rPr>
          <w:color w:val="auto"/>
        </w:rPr>
        <w:t>31.</w:t>
      </w:r>
      <w:r w:rsidRPr="00E033F1">
        <w:rPr>
          <w:color w:val="auto"/>
        </w:rPr>
        <w:tab/>
        <w:t xml:space="preserve">Wang, Y.-J. </w:t>
      </w:r>
      <w:r w:rsidR="00236C61" w:rsidRPr="00E033F1">
        <w:rPr>
          <w:color w:val="auto"/>
        </w:rPr>
        <w:t>et al.</w:t>
      </w:r>
      <w:r w:rsidRPr="00E033F1">
        <w:rPr>
          <w:color w:val="auto"/>
        </w:rPr>
        <w:t xml:space="preserve"> Stability of curcumin in buffer solutions and characterization of its degradation products. </w:t>
      </w:r>
      <w:r w:rsidRPr="00E033F1">
        <w:rPr>
          <w:i/>
          <w:iCs/>
          <w:color w:val="auto"/>
        </w:rPr>
        <w:t>Journal of Pharmaceutical and Biomedical Analysis</w:t>
      </w:r>
      <w:r w:rsidRPr="00E033F1">
        <w:rPr>
          <w:color w:val="auto"/>
        </w:rPr>
        <w:t xml:space="preserve">. </w:t>
      </w:r>
      <w:r w:rsidRPr="00E033F1">
        <w:rPr>
          <w:b/>
          <w:bCs/>
          <w:color w:val="auto"/>
        </w:rPr>
        <w:t>15</w:t>
      </w:r>
      <w:r w:rsidRPr="00E033F1">
        <w:rPr>
          <w:color w:val="auto"/>
        </w:rPr>
        <w:t xml:space="preserve"> (12), 1867–1876 (1997).</w:t>
      </w:r>
    </w:p>
    <w:p w14:paraId="3CEC96A4" w14:textId="77777777" w:rsidR="00E5170D" w:rsidRPr="00E033F1" w:rsidRDefault="00E5170D" w:rsidP="00E033F1">
      <w:pPr>
        <w:pStyle w:val="Bibliography"/>
        <w:tabs>
          <w:tab w:val="clear" w:pos="264"/>
        </w:tabs>
        <w:ind w:left="0" w:firstLine="0"/>
        <w:contextualSpacing/>
        <w:rPr>
          <w:color w:val="auto"/>
        </w:rPr>
      </w:pPr>
      <w:r w:rsidRPr="00E033F1">
        <w:rPr>
          <w:color w:val="auto"/>
        </w:rPr>
        <w:t>32.</w:t>
      </w:r>
      <w:r w:rsidRPr="00E033F1">
        <w:rPr>
          <w:color w:val="auto"/>
        </w:rPr>
        <w:tab/>
        <w:t xml:space="preserve">Copeland, R.A. Evaluation of enzyme inhibitors in drug discovery. A guide for medicinal chemists and pharmacologists. </w:t>
      </w:r>
      <w:r w:rsidRPr="00E033F1">
        <w:rPr>
          <w:i/>
          <w:iCs/>
          <w:color w:val="auto"/>
        </w:rPr>
        <w:t>Methods of Biochemical Analysis</w:t>
      </w:r>
      <w:r w:rsidRPr="00E033F1">
        <w:rPr>
          <w:color w:val="auto"/>
        </w:rPr>
        <w:t xml:space="preserve">. </w:t>
      </w:r>
      <w:r w:rsidRPr="00E033F1">
        <w:rPr>
          <w:b/>
          <w:bCs/>
          <w:color w:val="auto"/>
        </w:rPr>
        <w:t>46</w:t>
      </w:r>
      <w:r w:rsidRPr="00E033F1">
        <w:rPr>
          <w:color w:val="auto"/>
        </w:rPr>
        <w:t>, 1–265 (2005).</w:t>
      </w:r>
    </w:p>
    <w:p w14:paraId="5B5BF754" w14:textId="0E50AE12" w:rsidR="00E5170D" w:rsidRPr="00E033F1" w:rsidRDefault="00E5170D" w:rsidP="00E033F1">
      <w:pPr>
        <w:pStyle w:val="Bibliography"/>
        <w:tabs>
          <w:tab w:val="clear" w:pos="264"/>
        </w:tabs>
        <w:ind w:left="0" w:firstLine="0"/>
        <w:contextualSpacing/>
        <w:rPr>
          <w:color w:val="auto"/>
        </w:rPr>
      </w:pPr>
      <w:r w:rsidRPr="00E033F1">
        <w:rPr>
          <w:color w:val="auto"/>
        </w:rPr>
        <w:t>33.</w:t>
      </w:r>
      <w:r w:rsidRPr="00E033F1">
        <w:rPr>
          <w:color w:val="auto"/>
        </w:rPr>
        <w:tab/>
        <w:t xml:space="preserve">Kalliokoski, T., Kramer, C., Vulpetti, A., Gedeck, P. Comparability of Mixed IC50 Data – A Statistical Analysis. </w:t>
      </w:r>
      <w:r w:rsidRPr="00E033F1">
        <w:rPr>
          <w:i/>
          <w:iCs/>
          <w:color w:val="auto"/>
        </w:rPr>
        <w:t>PLoS ONE</w:t>
      </w:r>
      <w:r w:rsidRPr="00E033F1">
        <w:rPr>
          <w:color w:val="auto"/>
        </w:rPr>
        <w:t xml:space="preserve">. </w:t>
      </w:r>
      <w:r w:rsidRPr="00E033F1">
        <w:rPr>
          <w:b/>
          <w:bCs/>
          <w:color w:val="auto"/>
        </w:rPr>
        <w:t>8</w:t>
      </w:r>
      <w:r w:rsidRPr="00E033F1">
        <w:rPr>
          <w:color w:val="auto"/>
        </w:rPr>
        <w:t xml:space="preserve"> (4) (2013).</w:t>
      </w:r>
    </w:p>
    <w:p w14:paraId="722C44FA" w14:textId="1FCFF848" w:rsidR="00E5170D" w:rsidRPr="00E033F1" w:rsidRDefault="00E5170D" w:rsidP="00E033F1">
      <w:pPr>
        <w:pStyle w:val="Bibliography"/>
        <w:tabs>
          <w:tab w:val="clear" w:pos="264"/>
        </w:tabs>
        <w:ind w:left="0" w:firstLine="0"/>
        <w:contextualSpacing/>
        <w:rPr>
          <w:color w:val="auto"/>
        </w:rPr>
      </w:pPr>
      <w:r w:rsidRPr="00E033F1">
        <w:rPr>
          <w:color w:val="auto"/>
        </w:rPr>
        <w:t>34.</w:t>
      </w:r>
      <w:r w:rsidRPr="00E033F1">
        <w:rPr>
          <w:color w:val="auto"/>
        </w:rPr>
        <w:tab/>
        <w:t xml:space="preserve">Brandt, R.B., Laux, J.E., Yates, S.W. Calculation of inhibitor Ki and inhibitor type from the concentration of inhibitor for 50% inhibition for Michaelis-Menten enzymes. </w:t>
      </w:r>
      <w:r w:rsidRPr="00E033F1">
        <w:rPr>
          <w:i/>
          <w:iCs/>
          <w:color w:val="auto"/>
        </w:rPr>
        <w:t>Biochemical Medicine and Metabolic Biology</w:t>
      </w:r>
      <w:r w:rsidRPr="00E033F1">
        <w:rPr>
          <w:color w:val="auto"/>
        </w:rPr>
        <w:t xml:space="preserve">. </w:t>
      </w:r>
      <w:r w:rsidRPr="00E033F1">
        <w:rPr>
          <w:b/>
          <w:bCs/>
          <w:color w:val="auto"/>
        </w:rPr>
        <w:t>37</w:t>
      </w:r>
      <w:r w:rsidRPr="00E033F1">
        <w:rPr>
          <w:color w:val="auto"/>
        </w:rPr>
        <w:t xml:space="preserve"> (3), 344–349 (1987).</w:t>
      </w:r>
    </w:p>
    <w:p w14:paraId="275F2781" w14:textId="462AD3F1" w:rsidR="00E5170D" w:rsidRPr="00E033F1" w:rsidRDefault="00E5170D" w:rsidP="00E033F1">
      <w:pPr>
        <w:pStyle w:val="Bibliography"/>
        <w:tabs>
          <w:tab w:val="clear" w:pos="264"/>
        </w:tabs>
        <w:ind w:left="0" w:firstLine="0"/>
        <w:contextualSpacing/>
        <w:rPr>
          <w:color w:val="auto"/>
        </w:rPr>
      </w:pPr>
      <w:r w:rsidRPr="00E033F1">
        <w:rPr>
          <w:color w:val="auto"/>
        </w:rPr>
        <w:t>35.</w:t>
      </w:r>
      <w:r w:rsidRPr="00E033F1">
        <w:rPr>
          <w:color w:val="auto"/>
        </w:rPr>
        <w:tab/>
        <w:t xml:space="preserve">Brooks, H.B. </w:t>
      </w:r>
      <w:r w:rsidR="00236C61" w:rsidRPr="00E033F1">
        <w:rPr>
          <w:color w:val="auto"/>
        </w:rPr>
        <w:t>et al.</w:t>
      </w:r>
      <w:r w:rsidRPr="00E033F1">
        <w:rPr>
          <w:color w:val="auto"/>
        </w:rPr>
        <w:t xml:space="preserve"> </w:t>
      </w:r>
      <w:r w:rsidRPr="00E033F1">
        <w:rPr>
          <w:i/>
          <w:iCs/>
          <w:color w:val="auto"/>
        </w:rPr>
        <w:t>Basics of Enzymatic Assays for HTS</w:t>
      </w:r>
      <w:r w:rsidRPr="00E033F1">
        <w:rPr>
          <w:color w:val="auto"/>
        </w:rPr>
        <w:t>. at &lt;https://www.ncbi.nlm.nih.gov/books/NBK92007/&gt;. Eli Lilly &amp; Company and the National Center for Advancing Translational Sciences. (2012).</w:t>
      </w:r>
    </w:p>
    <w:p w14:paraId="087B3CEF" w14:textId="5D12B3EB" w:rsidR="00E5170D" w:rsidRPr="00E033F1" w:rsidRDefault="00E5170D" w:rsidP="00E033F1">
      <w:pPr>
        <w:pStyle w:val="Bibliography"/>
        <w:tabs>
          <w:tab w:val="clear" w:pos="264"/>
        </w:tabs>
        <w:ind w:left="0" w:firstLine="0"/>
        <w:contextualSpacing/>
        <w:rPr>
          <w:color w:val="auto"/>
        </w:rPr>
      </w:pPr>
      <w:r w:rsidRPr="00E033F1">
        <w:rPr>
          <w:color w:val="auto"/>
        </w:rPr>
        <w:t>36.</w:t>
      </w:r>
      <w:r w:rsidRPr="00E033F1">
        <w:rPr>
          <w:color w:val="auto"/>
        </w:rPr>
        <w:tab/>
        <w:t xml:space="preserve">Arakawa, S. </w:t>
      </w:r>
      <w:r w:rsidR="00236C61" w:rsidRPr="00E033F1">
        <w:rPr>
          <w:color w:val="auto"/>
        </w:rPr>
        <w:t>et al.</w:t>
      </w:r>
      <w:r w:rsidRPr="00E033F1">
        <w:rPr>
          <w:color w:val="auto"/>
        </w:rPr>
        <w:t xml:space="preserve"> Evaluation of hepatic glutathione transferase Mu 1 and Theta 1 activities in humans and mice using genotype information. </w:t>
      </w:r>
      <w:r w:rsidRPr="00E033F1">
        <w:rPr>
          <w:i/>
          <w:iCs/>
          <w:color w:val="auto"/>
        </w:rPr>
        <w:t>Drug Metabolism and Disposition: The Biological Fate of Chemicals</w:t>
      </w:r>
      <w:r w:rsidRPr="00E033F1">
        <w:rPr>
          <w:color w:val="auto"/>
        </w:rPr>
        <w:t xml:space="preserve">. </w:t>
      </w:r>
      <w:r w:rsidRPr="00E033F1">
        <w:rPr>
          <w:b/>
          <w:bCs/>
          <w:color w:val="auto"/>
        </w:rPr>
        <w:t>40</w:t>
      </w:r>
      <w:r w:rsidRPr="00E033F1">
        <w:rPr>
          <w:color w:val="auto"/>
        </w:rPr>
        <w:t xml:space="preserve"> (3), 497–503 (2012).</w:t>
      </w:r>
    </w:p>
    <w:p w14:paraId="7ADD51B8" w14:textId="74B202D3" w:rsidR="00E5170D" w:rsidRPr="00E033F1" w:rsidRDefault="00E5170D" w:rsidP="00E033F1">
      <w:pPr>
        <w:pStyle w:val="Bibliography"/>
        <w:tabs>
          <w:tab w:val="clear" w:pos="264"/>
        </w:tabs>
        <w:ind w:left="0" w:firstLine="0"/>
        <w:contextualSpacing/>
        <w:rPr>
          <w:color w:val="auto"/>
        </w:rPr>
      </w:pPr>
      <w:r w:rsidRPr="00E033F1">
        <w:rPr>
          <w:color w:val="auto"/>
        </w:rPr>
        <w:t>37.</w:t>
      </w:r>
      <w:r w:rsidRPr="00E033F1">
        <w:rPr>
          <w:color w:val="auto"/>
        </w:rPr>
        <w:tab/>
        <w:t xml:space="preserve">Sherratt, P.J., Pulford, D.J., Harrison, D.J., Green, T., Hayes, J.D. Evidence that human class Theta glutathione S-transferase T1-1 can catalyse the activation of dichloromethane, a liver and lung carcinogen in the mouse. Comparison of the tissue distribution of GST T1-1 with that of classes Alpha, Mu and Pi GST in human. </w:t>
      </w:r>
      <w:r w:rsidRPr="00E033F1">
        <w:rPr>
          <w:i/>
          <w:iCs/>
          <w:color w:val="auto"/>
        </w:rPr>
        <w:t>The Biochemical Journal</w:t>
      </w:r>
      <w:r w:rsidRPr="00E033F1">
        <w:rPr>
          <w:color w:val="auto"/>
        </w:rPr>
        <w:t xml:space="preserve">. </w:t>
      </w:r>
      <w:r w:rsidRPr="00E033F1">
        <w:rPr>
          <w:b/>
          <w:bCs/>
          <w:color w:val="auto"/>
        </w:rPr>
        <w:t>326</w:t>
      </w:r>
      <w:r w:rsidR="00531756">
        <w:rPr>
          <w:b/>
          <w:bCs/>
          <w:color w:val="auto"/>
        </w:rPr>
        <w:t xml:space="preserve"> </w:t>
      </w:r>
      <w:r w:rsidR="00531756" w:rsidRPr="00531756">
        <w:rPr>
          <w:color w:val="auto"/>
        </w:rPr>
        <w:t>(</w:t>
      </w:r>
      <w:r w:rsidRPr="00531756">
        <w:rPr>
          <w:color w:val="auto"/>
        </w:rPr>
        <w:t>3), 837–846</w:t>
      </w:r>
      <w:r w:rsidR="00531756">
        <w:rPr>
          <w:color w:val="auto"/>
        </w:rPr>
        <w:t xml:space="preserve"> </w:t>
      </w:r>
      <w:r w:rsidRPr="00531756">
        <w:rPr>
          <w:color w:val="auto"/>
        </w:rPr>
        <w:t>(1997).</w:t>
      </w:r>
    </w:p>
    <w:p w14:paraId="6B6BDA4E" w14:textId="6545AAB9" w:rsidR="00EB035B" w:rsidRPr="00B33C23" w:rsidRDefault="007A2AE7" w:rsidP="00E033F1">
      <w:pPr>
        <w:contextualSpacing/>
        <w:jc w:val="left"/>
        <w:rPr>
          <w:rFonts w:asciiTheme="minorHAnsi" w:hAnsiTheme="minorHAnsi" w:cstheme="minorHAnsi"/>
          <w:b/>
          <w:color w:val="auto"/>
        </w:rPr>
      </w:pPr>
      <w:r w:rsidRPr="00E033F1">
        <w:rPr>
          <w:rFonts w:asciiTheme="minorHAnsi" w:hAnsiTheme="minorHAnsi" w:cstheme="minorHAnsi"/>
          <w:b/>
          <w:color w:val="auto"/>
        </w:rPr>
        <w:fldChar w:fldCharType="end"/>
      </w:r>
    </w:p>
    <w:sectPr w:rsidR="00EB035B" w:rsidRPr="00B33C23" w:rsidSect="00F6490D">
      <w:headerReference w:type="default" r:id="rId11"/>
      <w:footerReference w:type="default" r:id="rId12"/>
      <w:headerReference w:type="first" r:id="rId13"/>
      <w:footerReference w:type="first" r:id="rId14"/>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6715" w14:textId="77777777" w:rsidR="00385D86" w:rsidRDefault="00385D86" w:rsidP="00621C4E">
      <w:r>
        <w:separator/>
      </w:r>
    </w:p>
  </w:endnote>
  <w:endnote w:type="continuationSeparator" w:id="0">
    <w:p w14:paraId="04A55377" w14:textId="77777777" w:rsidR="00385D86" w:rsidRDefault="00385D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730314"/>
      <w:docPartObj>
        <w:docPartGallery w:val="Page Numbers (Bottom of Page)"/>
        <w:docPartUnique/>
      </w:docPartObj>
    </w:sdtPr>
    <w:sdtEndPr>
      <w:rPr>
        <w:noProof/>
      </w:rPr>
    </w:sdtEndPr>
    <w:sdtContent>
      <w:p w14:paraId="5DD87F50" w14:textId="6E76249A" w:rsidR="00A768CB" w:rsidRDefault="00A768CB">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510592AB" w14:textId="77777777" w:rsidR="00A768CB" w:rsidRDefault="00A7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768CB" w:rsidRDefault="00A768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74431" w14:textId="77777777" w:rsidR="00385D86" w:rsidRDefault="00385D86" w:rsidP="00621C4E">
      <w:r>
        <w:separator/>
      </w:r>
    </w:p>
  </w:footnote>
  <w:footnote w:type="continuationSeparator" w:id="0">
    <w:p w14:paraId="408E73F0" w14:textId="77777777" w:rsidR="00385D86" w:rsidRDefault="00385D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878493C" w:rsidR="00A768CB" w:rsidRPr="006F06E4" w:rsidRDefault="00A768CB"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A374DC2" w:rsidR="00A768CB" w:rsidRPr="006F06E4" w:rsidRDefault="00A768C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E47A0"/>
    <w:multiLevelType w:val="hybridMultilevel"/>
    <w:tmpl w:val="37E84CAC"/>
    <w:lvl w:ilvl="0" w:tplc="C62648CC">
      <w:start w:val="1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D3599"/>
    <w:multiLevelType w:val="hybridMultilevel"/>
    <w:tmpl w:val="D71A9BB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149E27B1"/>
    <w:multiLevelType w:val="hybridMultilevel"/>
    <w:tmpl w:val="F8F0C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E35F5B"/>
    <w:multiLevelType w:val="hybridMultilevel"/>
    <w:tmpl w:val="ECB8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C1FA1"/>
    <w:multiLevelType w:val="hybridMultilevel"/>
    <w:tmpl w:val="50E0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36FB8"/>
    <w:multiLevelType w:val="hybridMultilevel"/>
    <w:tmpl w:val="8D80F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3B56D96"/>
    <w:multiLevelType w:val="hybridMultilevel"/>
    <w:tmpl w:val="A66624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2A23C5"/>
    <w:multiLevelType w:val="multilevel"/>
    <w:tmpl w:val="F1642B5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10B6462"/>
    <w:multiLevelType w:val="hybridMultilevel"/>
    <w:tmpl w:val="B212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E10F6"/>
    <w:multiLevelType w:val="hybridMultilevel"/>
    <w:tmpl w:val="BA32A19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51584F"/>
    <w:multiLevelType w:val="hybridMultilevel"/>
    <w:tmpl w:val="3684D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9"/>
  </w:num>
  <w:num w:numId="4">
    <w:abstractNumId w:val="25"/>
  </w:num>
  <w:num w:numId="5">
    <w:abstractNumId w:val="16"/>
  </w:num>
  <w:num w:numId="6">
    <w:abstractNumId w:val="24"/>
  </w:num>
  <w:num w:numId="7">
    <w:abstractNumId w:val="0"/>
  </w:num>
  <w:num w:numId="8">
    <w:abstractNumId w:val="17"/>
  </w:num>
  <w:num w:numId="9">
    <w:abstractNumId w:val="18"/>
  </w:num>
  <w:num w:numId="10">
    <w:abstractNumId w:val="26"/>
  </w:num>
  <w:num w:numId="11">
    <w:abstractNumId w:val="31"/>
  </w:num>
  <w:num w:numId="12">
    <w:abstractNumId w:val="2"/>
  </w:num>
  <w:num w:numId="13">
    <w:abstractNumId w:val="28"/>
  </w:num>
  <w:num w:numId="14">
    <w:abstractNumId w:val="36"/>
  </w:num>
  <w:num w:numId="15">
    <w:abstractNumId w:val="19"/>
  </w:num>
  <w:num w:numId="16">
    <w:abstractNumId w:val="15"/>
  </w:num>
  <w:num w:numId="17">
    <w:abstractNumId w:val="30"/>
  </w:num>
  <w:num w:numId="18">
    <w:abstractNumId w:val="20"/>
  </w:num>
  <w:num w:numId="19">
    <w:abstractNumId w:val="33"/>
  </w:num>
  <w:num w:numId="20">
    <w:abstractNumId w:val="3"/>
  </w:num>
  <w:num w:numId="21">
    <w:abstractNumId w:val="34"/>
  </w:num>
  <w:num w:numId="22">
    <w:abstractNumId w:val="32"/>
  </w:num>
  <w:num w:numId="23">
    <w:abstractNumId w:val="22"/>
  </w:num>
  <w:num w:numId="24">
    <w:abstractNumId w:val="37"/>
  </w:num>
  <w:num w:numId="25">
    <w:abstractNumId w:val="13"/>
  </w:num>
  <w:num w:numId="26">
    <w:abstractNumId w:val="1"/>
  </w:num>
  <w:num w:numId="27">
    <w:abstractNumId w:val="12"/>
  </w:num>
  <w:num w:numId="28">
    <w:abstractNumId w:val="38"/>
  </w:num>
  <w:num w:numId="29">
    <w:abstractNumId w:val="8"/>
  </w:num>
  <w:num w:numId="30">
    <w:abstractNumId w:val="35"/>
  </w:num>
  <w:num w:numId="31">
    <w:abstractNumId w:val="21"/>
  </w:num>
  <w:num w:numId="32">
    <w:abstractNumId w:val="4"/>
  </w:num>
  <w:num w:numId="33">
    <w:abstractNumId w:val="11"/>
  </w:num>
  <w:num w:numId="34">
    <w:abstractNumId w:val="17"/>
  </w:num>
  <w:num w:numId="35">
    <w:abstractNumId w:val="5"/>
  </w:num>
  <w:num w:numId="36">
    <w:abstractNumId w:val="23"/>
  </w:num>
  <w:num w:numId="37">
    <w:abstractNumId w:val="14"/>
  </w:num>
  <w:num w:numId="38">
    <w:abstractNumId w:val="29"/>
  </w:num>
  <w:num w:numId="39">
    <w:abstractNumId w:val="7"/>
  </w:num>
  <w:num w:numId="4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NgbSxuaWhsbmFko6SsGpxcWZ+XkgBZa1AC0floQsAAAA"/>
  </w:docVars>
  <w:rsids>
    <w:rsidRoot w:val="00EE705F"/>
    <w:rsid w:val="00001169"/>
    <w:rsid w:val="00001806"/>
    <w:rsid w:val="00002C69"/>
    <w:rsid w:val="00005815"/>
    <w:rsid w:val="0000628B"/>
    <w:rsid w:val="00006E68"/>
    <w:rsid w:val="00007DBC"/>
    <w:rsid w:val="00007EA1"/>
    <w:rsid w:val="000100F0"/>
    <w:rsid w:val="000104E8"/>
    <w:rsid w:val="000129B2"/>
    <w:rsid w:val="00012CD3"/>
    <w:rsid w:val="00012FF9"/>
    <w:rsid w:val="000131A3"/>
    <w:rsid w:val="000133C0"/>
    <w:rsid w:val="0001389C"/>
    <w:rsid w:val="00014314"/>
    <w:rsid w:val="00014504"/>
    <w:rsid w:val="00016A93"/>
    <w:rsid w:val="000203D9"/>
    <w:rsid w:val="000212AE"/>
    <w:rsid w:val="00021434"/>
    <w:rsid w:val="00021774"/>
    <w:rsid w:val="00021DF3"/>
    <w:rsid w:val="000235BD"/>
    <w:rsid w:val="00023869"/>
    <w:rsid w:val="00024598"/>
    <w:rsid w:val="000279B0"/>
    <w:rsid w:val="00031665"/>
    <w:rsid w:val="00032769"/>
    <w:rsid w:val="0003311E"/>
    <w:rsid w:val="00037B58"/>
    <w:rsid w:val="00047001"/>
    <w:rsid w:val="00051B73"/>
    <w:rsid w:val="000525ED"/>
    <w:rsid w:val="00057515"/>
    <w:rsid w:val="000575CF"/>
    <w:rsid w:val="00057EE4"/>
    <w:rsid w:val="00060ABE"/>
    <w:rsid w:val="00061A50"/>
    <w:rsid w:val="00061B79"/>
    <w:rsid w:val="0006361B"/>
    <w:rsid w:val="00064104"/>
    <w:rsid w:val="00064F32"/>
    <w:rsid w:val="000652E3"/>
    <w:rsid w:val="00066025"/>
    <w:rsid w:val="000666AF"/>
    <w:rsid w:val="00067A13"/>
    <w:rsid w:val="00067A8F"/>
    <w:rsid w:val="00067C64"/>
    <w:rsid w:val="000701D1"/>
    <w:rsid w:val="00071A6D"/>
    <w:rsid w:val="000758B6"/>
    <w:rsid w:val="000768DC"/>
    <w:rsid w:val="00080A20"/>
    <w:rsid w:val="00082796"/>
    <w:rsid w:val="00082DF4"/>
    <w:rsid w:val="00083321"/>
    <w:rsid w:val="000855D8"/>
    <w:rsid w:val="00086FF5"/>
    <w:rsid w:val="00087C0A"/>
    <w:rsid w:val="000902EC"/>
    <w:rsid w:val="00091788"/>
    <w:rsid w:val="00092BD2"/>
    <w:rsid w:val="00093BC4"/>
    <w:rsid w:val="00094339"/>
    <w:rsid w:val="000943E6"/>
    <w:rsid w:val="00094E76"/>
    <w:rsid w:val="00097929"/>
    <w:rsid w:val="0009798F"/>
    <w:rsid w:val="000A1E80"/>
    <w:rsid w:val="000A3B70"/>
    <w:rsid w:val="000A3C13"/>
    <w:rsid w:val="000A4AE8"/>
    <w:rsid w:val="000A5153"/>
    <w:rsid w:val="000A570B"/>
    <w:rsid w:val="000B10AE"/>
    <w:rsid w:val="000B2E73"/>
    <w:rsid w:val="000B30BF"/>
    <w:rsid w:val="000B4B7B"/>
    <w:rsid w:val="000B4CE3"/>
    <w:rsid w:val="000B4F75"/>
    <w:rsid w:val="000B566B"/>
    <w:rsid w:val="000B5714"/>
    <w:rsid w:val="000B595C"/>
    <w:rsid w:val="000B662E"/>
    <w:rsid w:val="000B7294"/>
    <w:rsid w:val="000B75D0"/>
    <w:rsid w:val="000C1CF8"/>
    <w:rsid w:val="000C49CF"/>
    <w:rsid w:val="000C52E9"/>
    <w:rsid w:val="000C5B8B"/>
    <w:rsid w:val="000C5CDC"/>
    <w:rsid w:val="000C65DC"/>
    <w:rsid w:val="000C66F3"/>
    <w:rsid w:val="000C6900"/>
    <w:rsid w:val="000C7A58"/>
    <w:rsid w:val="000D03A4"/>
    <w:rsid w:val="000D28BF"/>
    <w:rsid w:val="000D31E8"/>
    <w:rsid w:val="000D364A"/>
    <w:rsid w:val="000D76E4"/>
    <w:rsid w:val="000E0E08"/>
    <w:rsid w:val="000E329A"/>
    <w:rsid w:val="000E3816"/>
    <w:rsid w:val="000E4498"/>
    <w:rsid w:val="000E4F77"/>
    <w:rsid w:val="000E5E35"/>
    <w:rsid w:val="000E6BB2"/>
    <w:rsid w:val="000F265C"/>
    <w:rsid w:val="000F2D68"/>
    <w:rsid w:val="000F3AFA"/>
    <w:rsid w:val="000F437C"/>
    <w:rsid w:val="000F5712"/>
    <w:rsid w:val="000F6611"/>
    <w:rsid w:val="000F7E22"/>
    <w:rsid w:val="000F7ECD"/>
    <w:rsid w:val="0010033D"/>
    <w:rsid w:val="00101A03"/>
    <w:rsid w:val="0010373E"/>
    <w:rsid w:val="001049AF"/>
    <w:rsid w:val="00107554"/>
    <w:rsid w:val="001075E9"/>
    <w:rsid w:val="001104F3"/>
    <w:rsid w:val="00111FE6"/>
    <w:rsid w:val="00112EEB"/>
    <w:rsid w:val="0011452D"/>
    <w:rsid w:val="001173FF"/>
    <w:rsid w:val="001238C0"/>
    <w:rsid w:val="0012563A"/>
    <w:rsid w:val="001264DE"/>
    <w:rsid w:val="001313A7"/>
    <w:rsid w:val="0013276F"/>
    <w:rsid w:val="001342B5"/>
    <w:rsid w:val="001347AC"/>
    <w:rsid w:val="00134B95"/>
    <w:rsid w:val="0013621E"/>
    <w:rsid w:val="0013642E"/>
    <w:rsid w:val="00137EE0"/>
    <w:rsid w:val="00140278"/>
    <w:rsid w:val="00140D24"/>
    <w:rsid w:val="001427DB"/>
    <w:rsid w:val="00142EFE"/>
    <w:rsid w:val="001478E0"/>
    <w:rsid w:val="00152A23"/>
    <w:rsid w:val="00156B11"/>
    <w:rsid w:val="00161139"/>
    <w:rsid w:val="00161742"/>
    <w:rsid w:val="00162CB7"/>
    <w:rsid w:val="001643C7"/>
    <w:rsid w:val="001665C9"/>
    <w:rsid w:val="001666EE"/>
    <w:rsid w:val="00166F32"/>
    <w:rsid w:val="00167951"/>
    <w:rsid w:val="001710FD"/>
    <w:rsid w:val="001718C0"/>
    <w:rsid w:val="00171E5B"/>
    <w:rsid w:val="00171F94"/>
    <w:rsid w:val="00173D2B"/>
    <w:rsid w:val="00175D4E"/>
    <w:rsid w:val="00175EE8"/>
    <w:rsid w:val="0017668A"/>
    <w:rsid w:val="001766FE"/>
    <w:rsid w:val="001771E7"/>
    <w:rsid w:val="0017790F"/>
    <w:rsid w:val="00177EAC"/>
    <w:rsid w:val="001805CE"/>
    <w:rsid w:val="00181355"/>
    <w:rsid w:val="0018137A"/>
    <w:rsid w:val="00184D31"/>
    <w:rsid w:val="00186D95"/>
    <w:rsid w:val="001911FF"/>
    <w:rsid w:val="00192006"/>
    <w:rsid w:val="00193180"/>
    <w:rsid w:val="0019530C"/>
    <w:rsid w:val="0019581B"/>
    <w:rsid w:val="00195B2A"/>
    <w:rsid w:val="00196792"/>
    <w:rsid w:val="00196D00"/>
    <w:rsid w:val="001A1E38"/>
    <w:rsid w:val="001B108D"/>
    <w:rsid w:val="001B1519"/>
    <w:rsid w:val="001B1FB0"/>
    <w:rsid w:val="001B2CC2"/>
    <w:rsid w:val="001B2E2D"/>
    <w:rsid w:val="001B3657"/>
    <w:rsid w:val="001B5216"/>
    <w:rsid w:val="001B5CD2"/>
    <w:rsid w:val="001B7D4C"/>
    <w:rsid w:val="001C0BEE"/>
    <w:rsid w:val="001C1E49"/>
    <w:rsid w:val="001C27C1"/>
    <w:rsid w:val="001C2A98"/>
    <w:rsid w:val="001C34B0"/>
    <w:rsid w:val="001C3B86"/>
    <w:rsid w:val="001C4A31"/>
    <w:rsid w:val="001C4D95"/>
    <w:rsid w:val="001C7DA6"/>
    <w:rsid w:val="001D3D7D"/>
    <w:rsid w:val="001D3FFF"/>
    <w:rsid w:val="001D4181"/>
    <w:rsid w:val="001D442A"/>
    <w:rsid w:val="001D4997"/>
    <w:rsid w:val="001D625F"/>
    <w:rsid w:val="001D68A4"/>
    <w:rsid w:val="001D7576"/>
    <w:rsid w:val="001E0088"/>
    <w:rsid w:val="001E0B81"/>
    <w:rsid w:val="001E0E3F"/>
    <w:rsid w:val="001E14A0"/>
    <w:rsid w:val="001E1C25"/>
    <w:rsid w:val="001E7376"/>
    <w:rsid w:val="001F225C"/>
    <w:rsid w:val="001F3041"/>
    <w:rsid w:val="001F3975"/>
    <w:rsid w:val="001F4504"/>
    <w:rsid w:val="001F7D9E"/>
    <w:rsid w:val="00200792"/>
    <w:rsid w:val="00200F43"/>
    <w:rsid w:val="00201CFA"/>
    <w:rsid w:val="0020220D"/>
    <w:rsid w:val="00202448"/>
    <w:rsid w:val="00202D15"/>
    <w:rsid w:val="00202E14"/>
    <w:rsid w:val="00202F81"/>
    <w:rsid w:val="0020326A"/>
    <w:rsid w:val="002032D2"/>
    <w:rsid w:val="00203A1C"/>
    <w:rsid w:val="00203E45"/>
    <w:rsid w:val="00205B3F"/>
    <w:rsid w:val="00205DCF"/>
    <w:rsid w:val="002119A0"/>
    <w:rsid w:val="00212950"/>
    <w:rsid w:val="00212EAE"/>
    <w:rsid w:val="00214BEE"/>
    <w:rsid w:val="00216B8B"/>
    <w:rsid w:val="002179CE"/>
    <w:rsid w:val="00217F8F"/>
    <w:rsid w:val="0022019F"/>
    <w:rsid w:val="002205B8"/>
    <w:rsid w:val="00225631"/>
    <w:rsid w:val="00225720"/>
    <w:rsid w:val="002259E5"/>
    <w:rsid w:val="00226140"/>
    <w:rsid w:val="002261DF"/>
    <w:rsid w:val="002274F3"/>
    <w:rsid w:val="00230892"/>
    <w:rsid w:val="0023094C"/>
    <w:rsid w:val="00231788"/>
    <w:rsid w:val="00232DF8"/>
    <w:rsid w:val="0023303E"/>
    <w:rsid w:val="00233484"/>
    <w:rsid w:val="00234303"/>
    <w:rsid w:val="00234BE3"/>
    <w:rsid w:val="00235A90"/>
    <w:rsid w:val="0023624F"/>
    <w:rsid w:val="002364FA"/>
    <w:rsid w:val="00236C61"/>
    <w:rsid w:val="00236D6F"/>
    <w:rsid w:val="0023709D"/>
    <w:rsid w:val="00241E48"/>
    <w:rsid w:val="0024214E"/>
    <w:rsid w:val="00242623"/>
    <w:rsid w:val="00246AD7"/>
    <w:rsid w:val="002473D8"/>
    <w:rsid w:val="00250115"/>
    <w:rsid w:val="00250558"/>
    <w:rsid w:val="0025118E"/>
    <w:rsid w:val="0025300D"/>
    <w:rsid w:val="0025357C"/>
    <w:rsid w:val="002552AA"/>
    <w:rsid w:val="00255E2F"/>
    <w:rsid w:val="002572A5"/>
    <w:rsid w:val="0026057F"/>
    <w:rsid w:val="002605D1"/>
    <w:rsid w:val="00260652"/>
    <w:rsid w:val="00261F25"/>
    <w:rsid w:val="002648A9"/>
    <w:rsid w:val="0026536F"/>
    <w:rsid w:val="0026553C"/>
    <w:rsid w:val="0026594A"/>
    <w:rsid w:val="002661A0"/>
    <w:rsid w:val="0026673A"/>
    <w:rsid w:val="0026790A"/>
    <w:rsid w:val="00267DD5"/>
    <w:rsid w:val="002701D7"/>
    <w:rsid w:val="00274A0A"/>
    <w:rsid w:val="00276B1C"/>
    <w:rsid w:val="00277593"/>
    <w:rsid w:val="00280909"/>
    <w:rsid w:val="00280918"/>
    <w:rsid w:val="00282AF6"/>
    <w:rsid w:val="00282C4A"/>
    <w:rsid w:val="0028596A"/>
    <w:rsid w:val="00285979"/>
    <w:rsid w:val="00285F51"/>
    <w:rsid w:val="00287085"/>
    <w:rsid w:val="00287A2C"/>
    <w:rsid w:val="00287DC0"/>
    <w:rsid w:val="00287E19"/>
    <w:rsid w:val="00290AF9"/>
    <w:rsid w:val="00291131"/>
    <w:rsid w:val="0029329C"/>
    <w:rsid w:val="00294645"/>
    <w:rsid w:val="002948C7"/>
    <w:rsid w:val="0029596C"/>
    <w:rsid w:val="00295C7E"/>
    <w:rsid w:val="002967CF"/>
    <w:rsid w:val="00296B20"/>
    <w:rsid w:val="00297788"/>
    <w:rsid w:val="00297D56"/>
    <w:rsid w:val="002A0AB1"/>
    <w:rsid w:val="002A0CCF"/>
    <w:rsid w:val="002A3285"/>
    <w:rsid w:val="002A34F9"/>
    <w:rsid w:val="002A484B"/>
    <w:rsid w:val="002A5EF9"/>
    <w:rsid w:val="002A64A6"/>
    <w:rsid w:val="002B155E"/>
    <w:rsid w:val="002B1FE3"/>
    <w:rsid w:val="002B3301"/>
    <w:rsid w:val="002B52ED"/>
    <w:rsid w:val="002B5399"/>
    <w:rsid w:val="002B61CE"/>
    <w:rsid w:val="002C1445"/>
    <w:rsid w:val="002C47D4"/>
    <w:rsid w:val="002C7193"/>
    <w:rsid w:val="002D0F38"/>
    <w:rsid w:val="002D1635"/>
    <w:rsid w:val="002D29E2"/>
    <w:rsid w:val="002D2B5E"/>
    <w:rsid w:val="002D77E3"/>
    <w:rsid w:val="002E0CAD"/>
    <w:rsid w:val="002E1BC2"/>
    <w:rsid w:val="002E6D9D"/>
    <w:rsid w:val="002F01F5"/>
    <w:rsid w:val="002F104E"/>
    <w:rsid w:val="002F2859"/>
    <w:rsid w:val="002F5237"/>
    <w:rsid w:val="002F6E3C"/>
    <w:rsid w:val="0030016B"/>
    <w:rsid w:val="0030117D"/>
    <w:rsid w:val="00301F30"/>
    <w:rsid w:val="003038FD"/>
    <w:rsid w:val="00303C87"/>
    <w:rsid w:val="00305A63"/>
    <w:rsid w:val="003068F2"/>
    <w:rsid w:val="003074FE"/>
    <w:rsid w:val="003108E5"/>
    <w:rsid w:val="003115A8"/>
    <w:rsid w:val="003120CB"/>
    <w:rsid w:val="0031541E"/>
    <w:rsid w:val="003176B9"/>
    <w:rsid w:val="003177A2"/>
    <w:rsid w:val="00320153"/>
    <w:rsid w:val="00320367"/>
    <w:rsid w:val="00321205"/>
    <w:rsid w:val="00322741"/>
    <w:rsid w:val="00322871"/>
    <w:rsid w:val="003249DD"/>
    <w:rsid w:val="00325A01"/>
    <w:rsid w:val="003268D1"/>
    <w:rsid w:val="00326FB3"/>
    <w:rsid w:val="00331656"/>
    <w:rsid w:val="003316D4"/>
    <w:rsid w:val="00332162"/>
    <w:rsid w:val="003321B2"/>
    <w:rsid w:val="003327FD"/>
    <w:rsid w:val="00332BBE"/>
    <w:rsid w:val="00333822"/>
    <w:rsid w:val="00336715"/>
    <w:rsid w:val="003401EC"/>
    <w:rsid w:val="00340DFD"/>
    <w:rsid w:val="00341503"/>
    <w:rsid w:val="00341F00"/>
    <w:rsid w:val="00344954"/>
    <w:rsid w:val="00350CD7"/>
    <w:rsid w:val="00353AF6"/>
    <w:rsid w:val="003554CD"/>
    <w:rsid w:val="0035674D"/>
    <w:rsid w:val="00356DC4"/>
    <w:rsid w:val="00357729"/>
    <w:rsid w:val="00357CEE"/>
    <w:rsid w:val="00360C17"/>
    <w:rsid w:val="003621C6"/>
    <w:rsid w:val="003622B8"/>
    <w:rsid w:val="0036467C"/>
    <w:rsid w:val="00366B76"/>
    <w:rsid w:val="00367817"/>
    <w:rsid w:val="00370742"/>
    <w:rsid w:val="00370CEA"/>
    <w:rsid w:val="00372395"/>
    <w:rsid w:val="00373051"/>
    <w:rsid w:val="0037318E"/>
    <w:rsid w:val="00373B8F"/>
    <w:rsid w:val="00374739"/>
    <w:rsid w:val="0037682A"/>
    <w:rsid w:val="00376D95"/>
    <w:rsid w:val="00377EFB"/>
    <w:rsid w:val="00377FBB"/>
    <w:rsid w:val="00380559"/>
    <w:rsid w:val="003821B7"/>
    <w:rsid w:val="0038267C"/>
    <w:rsid w:val="00383501"/>
    <w:rsid w:val="00385140"/>
    <w:rsid w:val="00385D86"/>
    <w:rsid w:val="0038668C"/>
    <w:rsid w:val="003869B4"/>
    <w:rsid w:val="00392999"/>
    <w:rsid w:val="00393CC7"/>
    <w:rsid w:val="00396302"/>
    <w:rsid w:val="003971F7"/>
    <w:rsid w:val="003A1229"/>
    <w:rsid w:val="003A16FC"/>
    <w:rsid w:val="003A2C8A"/>
    <w:rsid w:val="003A3221"/>
    <w:rsid w:val="003A491B"/>
    <w:rsid w:val="003A4FCD"/>
    <w:rsid w:val="003A6606"/>
    <w:rsid w:val="003A7B14"/>
    <w:rsid w:val="003B02D3"/>
    <w:rsid w:val="003B04BE"/>
    <w:rsid w:val="003B0944"/>
    <w:rsid w:val="003B1593"/>
    <w:rsid w:val="003B23EA"/>
    <w:rsid w:val="003B2798"/>
    <w:rsid w:val="003B3891"/>
    <w:rsid w:val="003B3C17"/>
    <w:rsid w:val="003B4381"/>
    <w:rsid w:val="003C1043"/>
    <w:rsid w:val="003C1A30"/>
    <w:rsid w:val="003C360E"/>
    <w:rsid w:val="003C4514"/>
    <w:rsid w:val="003C6779"/>
    <w:rsid w:val="003C71BE"/>
    <w:rsid w:val="003D033C"/>
    <w:rsid w:val="003D2998"/>
    <w:rsid w:val="003D2F0A"/>
    <w:rsid w:val="003D3891"/>
    <w:rsid w:val="003D3DA8"/>
    <w:rsid w:val="003D3FE9"/>
    <w:rsid w:val="003D45D1"/>
    <w:rsid w:val="003D5D84"/>
    <w:rsid w:val="003D6654"/>
    <w:rsid w:val="003D6A55"/>
    <w:rsid w:val="003E0F0D"/>
    <w:rsid w:val="003E0F4F"/>
    <w:rsid w:val="003E18AC"/>
    <w:rsid w:val="003E210B"/>
    <w:rsid w:val="003E2A12"/>
    <w:rsid w:val="003E2EA6"/>
    <w:rsid w:val="003E30E1"/>
    <w:rsid w:val="003E3384"/>
    <w:rsid w:val="003E3CA4"/>
    <w:rsid w:val="003E548E"/>
    <w:rsid w:val="003E5835"/>
    <w:rsid w:val="003F110F"/>
    <w:rsid w:val="003F3857"/>
    <w:rsid w:val="003F4629"/>
    <w:rsid w:val="003F4FCA"/>
    <w:rsid w:val="00400CF1"/>
    <w:rsid w:val="00401260"/>
    <w:rsid w:val="004018D5"/>
    <w:rsid w:val="004041B2"/>
    <w:rsid w:val="00404809"/>
    <w:rsid w:val="00404D1A"/>
    <w:rsid w:val="00405F72"/>
    <w:rsid w:val="00406197"/>
    <w:rsid w:val="00406B1F"/>
    <w:rsid w:val="00407EC8"/>
    <w:rsid w:val="0041110A"/>
    <w:rsid w:val="00411624"/>
    <w:rsid w:val="004148E1"/>
    <w:rsid w:val="00414CFA"/>
    <w:rsid w:val="00415EC0"/>
    <w:rsid w:val="00417DED"/>
    <w:rsid w:val="00417E43"/>
    <w:rsid w:val="00420BE9"/>
    <w:rsid w:val="00421275"/>
    <w:rsid w:val="00421ADC"/>
    <w:rsid w:val="00423AD8"/>
    <w:rsid w:val="00423FDD"/>
    <w:rsid w:val="00424C85"/>
    <w:rsid w:val="004251D4"/>
    <w:rsid w:val="004260BD"/>
    <w:rsid w:val="0043012F"/>
    <w:rsid w:val="00430A31"/>
    <w:rsid w:val="00430E4E"/>
    <w:rsid w:val="00430F1F"/>
    <w:rsid w:val="004326EA"/>
    <w:rsid w:val="00432C6B"/>
    <w:rsid w:val="00436431"/>
    <w:rsid w:val="00440BD2"/>
    <w:rsid w:val="0044434C"/>
    <w:rsid w:val="0044456B"/>
    <w:rsid w:val="004455AC"/>
    <w:rsid w:val="00447BD1"/>
    <w:rsid w:val="004507F3"/>
    <w:rsid w:val="00450AF4"/>
    <w:rsid w:val="004517B6"/>
    <w:rsid w:val="004519BA"/>
    <w:rsid w:val="00451E29"/>
    <w:rsid w:val="00452035"/>
    <w:rsid w:val="0045427A"/>
    <w:rsid w:val="004564C8"/>
    <w:rsid w:val="00456A57"/>
    <w:rsid w:val="00460377"/>
    <w:rsid w:val="004607DE"/>
    <w:rsid w:val="00460A56"/>
    <w:rsid w:val="00462189"/>
    <w:rsid w:val="004671C7"/>
    <w:rsid w:val="00472590"/>
    <w:rsid w:val="00472F4D"/>
    <w:rsid w:val="004730BF"/>
    <w:rsid w:val="00474DCB"/>
    <w:rsid w:val="004752B2"/>
    <w:rsid w:val="0047535C"/>
    <w:rsid w:val="004762F6"/>
    <w:rsid w:val="0048207F"/>
    <w:rsid w:val="00485240"/>
    <w:rsid w:val="00485870"/>
    <w:rsid w:val="004859FD"/>
    <w:rsid w:val="00485FE8"/>
    <w:rsid w:val="00487567"/>
    <w:rsid w:val="00487E4D"/>
    <w:rsid w:val="004919B1"/>
    <w:rsid w:val="00492473"/>
    <w:rsid w:val="00492EB5"/>
    <w:rsid w:val="004930A9"/>
    <w:rsid w:val="004943B5"/>
    <w:rsid w:val="00494495"/>
    <w:rsid w:val="00494F77"/>
    <w:rsid w:val="00495BBC"/>
    <w:rsid w:val="00497721"/>
    <w:rsid w:val="004A0229"/>
    <w:rsid w:val="004A35D2"/>
    <w:rsid w:val="004A539C"/>
    <w:rsid w:val="004A5D8E"/>
    <w:rsid w:val="004A6BF7"/>
    <w:rsid w:val="004A71E4"/>
    <w:rsid w:val="004B2F00"/>
    <w:rsid w:val="004B384B"/>
    <w:rsid w:val="004B5E1E"/>
    <w:rsid w:val="004B6550"/>
    <w:rsid w:val="004B667A"/>
    <w:rsid w:val="004B6E31"/>
    <w:rsid w:val="004C1D66"/>
    <w:rsid w:val="004C31D7"/>
    <w:rsid w:val="004C3F02"/>
    <w:rsid w:val="004C4AD2"/>
    <w:rsid w:val="004C6981"/>
    <w:rsid w:val="004C7C65"/>
    <w:rsid w:val="004D1ECD"/>
    <w:rsid w:val="004D1F21"/>
    <w:rsid w:val="004D268C"/>
    <w:rsid w:val="004D32A5"/>
    <w:rsid w:val="004D3381"/>
    <w:rsid w:val="004D59D8"/>
    <w:rsid w:val="004D5DA1"/>
    <w:rsid w:val="004D71FD"/>
    <w:rsid w:val="004D7910"/>
    <w:rsid w:val="004E1283"/>
    <w:rsid w:val="004E150F"/>
    <w:rsid w:val="004E1795"/>
    <w:rsid w:val="004E1DCA"/>
    <w:rsid w:val="004E23A1"/>
    <w:rsid w:val="004E23CC"/>
    <w:rsid w:val="004E3489"/>
    <w:rsid w:val="004E358A"/>
    <w:rsid w:val="004E3AFA"/>
    <w:rsid w:val="004E53C0"/>
    <w:rsid w:val="004E6588"/>
    <w:rsid w:val="004F2742"/>
    <w:rsid w:val="004F59C7"/>
    <w:rsid w:val="005029DF"/>
    <w:rsid w:val="00502A0A"/>
    <w:rsid w:val="00507C50"/>
    <w:rsid w:val="005128A2"/>
    <w:rsid w:val="00512E01"/>
    <w:rsid w:val="005132D2"/>
    <w:rsid w:val="00514D40"/>
    <w:rsid w:val="00516EB1"/>
    <w:rsid w:val="00517C3A"/>
    <w:rsid w:val="00520FEB"/>
    <w:rsid w:val="005216A4"/>
    <w:rsid w:val="00522686"/>
    <w:rsid w:val="00525D30"/>
    <w:rsid w:val="00527BF4"/>
    <w:rsid w:val="00527F72"/>
    <w:rsid w:val="005303F8"/>
    <w:rsid w:val="00531756"/>
    <w:rsid w:val="005324BE"/>
    <w:rsid w:val="0053315A"/>
    <w:rsid w:val="00533C73"/>
    <w:rsid w:val="005341B2"/>
    <w:rsid w:val="0053460E"/>
    <w:rsid w:val="00534F6C"/>
    <w:rsid w:val="005358E1"/>
    <w:rsid w:val="00535994"/>
    <w:rsid w:val="00535D17"/>
    <w:rsid w:val="0053646D"/>
    <w:rsid w:val="00536D67"/>
    <w:rsid w:val="00540AAD"/>
    <w:rsid w:val="0054152B"/>
    <w:rsid w:val="0054269D"/>
    <w:rsid w:val="00542CE8"/>
    <w:rsid w:val="00543497"/>
    <w:rsid w:val="00543EC1"/>
    <w:rsid w:val="00545347"/>
    <w:rsid w:val="00546458"/>
    <w:rsid w:val="00547113"/>
    <w:rsid w:val="00550298"/>
    <w:rsid w:val="0055087C"/>
    <w:rsid w:val="00553413"/>
    <w:rsid w:val="00553515"/>
    <w:rsid w:val="0055358B"/>
    <w:rsid w:val="00553E9A"/>
    <w:rsid w:val="00555431"/>
    <w:rsid w:val="00555983"/>
    <w:rsid w:val="00555D4D"/>
    <w:rsid w:val="00560E31"/>
    <w:rsid w:val="00561BDA"/>
    <w:rsid w:val="00563DB5"/>
    <w:rsid w:val="005641EA"/>
    <w:rsid w:val="00565D31"/>
    <w:rsid w:val="005676A0"/>
    <w:rsid w:val="00567DBF"/>
    <w:rsid w:val="00573093"/>
    <w:rsid w:val="00573842"/>
    <w:rsid w:val="00574640"/>
    <w:rsid w:val="00575D27"/>
    <w:rsid w:val="00577439"/>
    <w:rsid w:val="00581B23"/>
    <w:rsid w:val="0058219C"/>
    <w:rsid w:val="00585B02"/>
    <w:rsid w:val="0058707F"/>
    <w:rsid w:val="0058743F"/>
    <w:rsid w:val="0059008C"/>
    <w:rsid w:val="00590E66"/>
    <w:rsid w:val="00591DBD"/>
    <w:rsid w:val="00591EF0"/>
    <w:rsid w:val="00591F10"/>
    <w:rsid w:val="005931FE"/>
    <w:rsid w:val="005935CF"/>
    <w:rsid w:val="005A0028"/>
    <w:rsid w:val="005A09BB"/>
    <w:rsid w:val="005A0ACC"/>
    <w:rsid w:val="005A2CF6"/>
    <w:rsid w:val="005A2F7A"/>
    <w:rsid w:val="005A67B0"/>
    <w:rsid w:val="005B0072"/>
    <w:rsid w:val="005B0732"/>
    <w:rsid w:val="005B38A0"/>
    <w:rsid w:val="005B438B"/>
    <w:rsid w:val="005B491C"/>
    <w:rsid w:val="005B4DBF"/>
    <w:rsid w:val="005B5DE2"/>
    <w:rsid w:val="005B674C"/>
    <w:rsid w:val="005C16E3"/>
    <w:rsid w:val="005C24F2"/>
    <w:rsid w:val="005C2928"/>
    <w:rsid w:val="005C2E7F"/>
    <w:rsid w:val="005C3013"/>
    <w:rsid w:val="005C684F"/>
    <w:rsid w:val="005C7561"/>
    <w:rsid w:val="005D041C"/>
    <w:rsid w:val="005D14FC"/>
    <w:rsid w:val="005D1E57"/>
    <w:rsid w:val="005D2F57"/>
    <w:rsid w:val="005D34F6"/>
    <w:rsid w:val="005D3E6E"/>
    <w:rsid w:val="005D4447"/>
    <w:rsid w:val="005D4F1A"/>
    <w:rsid w:val="005D632D"/>
    <w:rsid w:val="005D6B62"/>
    <w:rsid w:val="005D6D95"/>
    <w:rsid w:val="005D7EDD"/>
    <w:rsid w:val="005E1884"/>
    <w:rsid w:val="005E33AD"/>
    <w:rsid w:val="005E4FAD"/>
    <w:rsid w:val="005F0DEF"/>
    <w:rsid w:val="005F373A"/>
    <w:rsid w:val="005F4315"/>
    <w:rsid w:val="005F4F87"/>
    <w:rsid w:val="005F6B0E"/>
    <w:rsid w:val="005F760E"/>
    <w:rsid w:val="005F7B1D"/>
    <w:rsid w:val="005F7B59"/>
    <w:rsid w:val="0060222A"/>
    <w:rsid w:val="0060622A"/>
    <w:rsid w:val="00606975"/>
    <w:rsid w:val="00606B35"/>
    <w:rsid w:val="006070C4"/>
    <w:rsid w:val="006071DB"/>
    <w:rsid w:val="00610C21"/>
    <w:rsid w:val="00611907"/>
    <w:rsid w:val="00613116"/>
    <w:rsid w:val="006132DD"/>
    <w:rsid w:val="0061488C"/>
    <w:rsid w:val="00616178"/>
    <w:rsid w:val="006202A6"/>
    <w:rsid w:val="006204DB"/>
    <w:rsid w:val="0062054B"/>
    <w:rsid w:val="00620926"/>
    <w:rsid w:val="00621C4E"/>
    <w:rsid w:val="00622179"/>
    <w:rsid w:val="00622838"/>
    <w:rsid w:val="00622A98"/>
    <w:rsid w:val="006249BA"/>
    <w:rsid w:val="00624EAE"/>
    <w:rsid w:val="00625996"/>
    <w:rsid w:val="006305D7"/>
    <w:rsid w:val="00630E9D"/>
    <w:rsid w:val="0063189D"/>
    <w:rsid w:val="0063199D"/>
    <w:rsid w:val="00632F63"/>
    <w:rsid w:val="00633A01"/>
    <w:rsid w:val="00633B27"/>
    <w:rsid w:val="00633B97"/>
    <w:rsid w:val="006341F7"/>
    <w:rsid w:val="00634585"/>
    <w:rsid w:val="00635014"/>
    <w:rsid w:val="006369CE"/>
    <w:rsid w:val="00636D9D"/>
    <w:rsid w:val="006411CA"/>
    <w:rsid w:val="006426E0"/>
    <w:rsid w:val="00642919"/>
    <w:rsid w:val="006450C9"/>
    <w:rsid w:val="00645FBA"/>
    <w:rsid w:val="0064605E"/>
    <w:rsid w:val="00646280"/>
    <w:rsid w:val="00646840"/>
    <w:rsid w:val="00647086"/>
    <w:rsid w:val="00655E75"/>
    <w:rsid w:val="00656CA3"/>
    <w:rsid w:val="00657BC4"/>
    <w:rsid w:val="006619C8"/>
    <w:rsid w:val="00665F0E"/>
    <w:rsid w:val="00667B37"/>
    <w:rsid w:val="00671710"/>
    <w:rsid w:val="006720ED"/>
    <w:rsid w:val="00673414"/>
    <w:rsid w:val="006748D2"/>
    <w:rsid w:val="00676079"/>
    <w:rsid w:val="00676ECD"/>
    <w:rsid w:val="00677D0A"/>
    <w:rsid w:val="0068185F"/>
    <w:rsid w:val="0068211D"/>
    <w:rsid w:val="00682575"/>
    <w:rsid w:val="0068774E"/>
    <w:rsid w:val="00690B72"/>
    <w:rsid w:val="00691ACE"/>
    <w:rsid w:val="00692E31"/>
    <w:rsid w:val="0069316B"/>
    <w:rsid w:val="00693715"/>
    <w:rsid w:val="006A01CF"/>
    <w:rsid w:val="006A5C54"/>
    <w:rsid w:val="006A60DD"/>
    <w:rsid w:val="006B0679"/>
    <w:rsid w:val="006B074C"/>
    <w:rsid w:val="006B0DEB"/>
    <w:rsid w:val="006B3B84"/>
    <w:rsid w:val="006B4E7C"/>
    <w:rsid w:val="006B5D8C"/>
    <w:rsid w:val="006B72D4"/>
    <w:rsid w:val="006C11CC"/>
    <w:rsid w:val="006C1AEB"/>
    <w:rsid w:val="006C45A1"/>
    <w:rsid w:val="006C57FE"/>
    <w:rsid w:val="006C668E"/>
    <w:rsid w:val="006C7F53"/>
    <w:rsid w:val="006D017E"/>
    <w:rsid w:val="006D5FE1"/>
    <w:rsid w:val="006E0333"/>
    <w:rsid w:val="006E12C9"/>
    <w:rsid w:val="006E265E"/>
    <w:rsid w:val="006E2E6E"/>
    <w:rsid w:val="006E3BF4"/>
    <w:rsid w:val="006E4B63"/>
    <w:rsid w:val="006F06E4"/>
    <w:rsid w:val="006F34BC"/>
    <w:rsid w:val="006F6F95"/>
    <w:rsid w:val="006F7B41"/>
    <w:rsid w:val="00702B5D"/>
    <w:rsid w:val="00703ED2"/>
    <w:rsid w:val="00704D7B"/>
    <w:rsid w:val="007054B6"/>
    <w:rsid w:val="00707B8D"/>
    <w:rsid w:val="00707D66"/>
    <w:rsid w:val="00712EC3"/>
    <w:rsid w:val="00713636"/>
    <w:rsid w:val="00714870"/>
    <w:rsid w:val="00714B8C"/>
    <w:rsid w:val="00714FAA"/>
    <w:rsid w:val="0071675D"/>
    <w:rsid w:val="00716F51"/>
    <w:rsid w:val="00717736"/>
    <w:rsid w:val="00725238"/>
    <w:rsid w:val="00731CF2"/>
    <w:rsid w:val="007326C7"/>
    <w:rsid w:val="00732B47"/>
    <w:rsid w:val="00732DF8"/>
    <w:rsid w:val="00735CF5"/>
    <w:rsid w:val="00735E6C"/>
    <w:rsid w:val="0074063A"/>
    <w:rsid w:val="00742AA4"/>
    <w:rsid w:val="00743BA1"/>
    <w:rsid w:val="00744619"/>
    <w:rsid w:val="00745F1E"/>
    <w:rsid w:val="007515FE"/>
    <w:rsid w:val="00754490"/>
    <w:rsid w:val="007544A2"/>
    <w:rsid w:val="007551AF"/>
    <w:rsid w:val="007567E1"/>
    <w:rsid w:val="007601D0"/>
    <w:rsid w:val="007603BB"/>
    <w:rsid w:val="007609D7"/>
    <w:rsid w:val="0076109D"/>
    <w:rsid w:val="00762FB0"/>
    <w:rsid w:val="00762FF2"/>
    <w:rsid w:val="00763484"/>
    <w:rsid w:val="00763862"/>
    <w:rsid w:val="00765E69"/>
    <w:rsid w:val="00767107"/>
    <w:rsid w:val="00772475"/>
    <w:rsid w:val="007725D1"/>
    <w:rsid w:val="007728F1"/>
    <w:rsid w:val="00773617"/>
    <w:rsid w:val="00773B40"/>
    <w:rsid w:val="00773BFD"/>
    <w:rsid w:val="007743B3"/>
    <w:rsid w:val="00774490"/>
    <w:rsid w:val="007748B4"/>
    <w:rsid w:val="0077581E"/>
    <w:rsid w:val="00776F9E"/>
    <w:rsid w:val="007819FF"/>
    <w:rsid w:val="0078360C"/>
    <w:rsid w:val="007847F1"/>
    <w:rsid w:val="00784A4C"/>
    <w:rsid w:val="00784BC6"/>
    <w:rsid w:val="0078523D"/>
    <w:rsid w:val="00791D8F"/>
    <w:rsid w:val="007929FA"/>
    <w:rsid w:val="007931B6"/>
    <w:rsid w:val="007931DF"/>
    <w:rsid w:val="00795E81"/>
    <w:rsid w:val="0079677F"/>
    <w:rsid w:val="007A0172"/>
    <w:rsid w:val="007A1804"/>
    <w:rsid w:val="007A20E0"/>
    <w:rsid w:val="007A215A"/>
    <w:rsid w:val="007A2511"/>
    <w:rsid w:val="007A260E"/>
    <w:rsid w:val="007A28C1"/>
    <w:rsid w:val="007A2AE7"/>
    <w:rsid w:val="007A3C9E"/>
    <w:rsid w:val="007A46F5"/>
    <w:rsid w:val="007A4D4C"/>
    <w:rsid w:val="007A4DD6"/>
    <w:rsid w:val="007A50BB"/>
    <w:rsid w:val="007A5101"/>
    <w:rsid w:val="007A5BA6"/>
    <w:rsid w:val="007A5CB9"/>
    <w:rsid w:val="007A6573"/>
    <w:rsid w:val="007B0FC7"/>
    <w:rsid w:val="007B20AE"/>
    <w:rsid w:val="007B2E7C"/>
    <w:rsid w:val="007B5B4A"/>
    <w:rsid w:val="007B6B07"/>
    <w:rsid w:val="007B6D43"/>
    <w:rsid w:val="007B749A"/>
    <w:rsid w:val="007B7C6E"/>
    <w:rsid w:val="007C3629"/>
    <w:rsid w:val="007C5408"/>
    <w:rsid w:val="007C543A"/>
    <w:rsid w:val="007C7696"/>
    <w:rsid w:val="007D20B4"/>
    <w:rsid w:val="007D4049"/>
    <w:rsid w:val="007D44D7"/>
    <w:rsid w:val="007D621A"/>
    <w:rsid w:val="007E0399"/>
    <w:rsid w:val="007E058A"/>
    <w:rsid w:val="007E0B4E"/>
    <w:rsid w:val="007E0B7D"/>
    <w:rsid w:val="007E16CE"/>
    <w:rsid w:val="007E2887"/>
    <w:rsid w:val="007E3FA4"/>
    <w:rsid w:val="007E5278"/>
    <w:rsid w:val="007E749C"/>
    <w:rsid w:val="007F1B5C"/>
    <w:rsid w:val="007F22C8"/>
    <w:rsid w:val="007F74BB"/>
    <w:rsid w:val="007F77EF"/>
    <w:rsid w:val="007F7B2F"/>
    <w:rsid w:val="00801257"/>
    <w:rsid w:val="00801564"/>
    <w:rsid w:val="00803B0A"/>
    <w:rsid w:val="00804CE2"/>
    <w:rsid w:val="00804DED"/>
    <w:rsid w:val="00805B96"/>
    <w:rsid w:val="00807C76"/>
    <w:rsid w:val="00810265"/>
    <w:rsid w:val="008105BE"/>
    <w:rsid w:val="008115A5"/>
    <w:rsid w:val="00811D46"/>
    <w:rsid w:val="008139A4"/>
    <w:rsid w:val="0081415D"/>
    <w:rsid w:val="00814A6C"/>
    <w:rsid w:val="00820229"/>
    <w:rsid w:val="00822448"/>
    <w:rsid w:val="00822ABE"/>
    <w:rsid w:val="00824043"/>
    <w:rsid w:val="008244D1"/>
    <w:rsid w:val="008259DD"/>
    <w:rsid w:val="00827F51"/>
    <w:rsid w:val="008306EA"/>
    <w:rsid w:val="0083104E"/>
    <w:rsid w:val="00831EA9"/>
    <w:rsid w:val="008343BE"/>
    <w:rsid w:val="00834732"/>
    <w:rsid w:val="0083555C"/>
    <w:rsid w:val="00836535"/>
    <w:rsid w:val="00840F2B"/>
    <w:rsid w:val="00840F3A"/>
    <w:rsid w:val="00840FB4"/>
    <w:rsid w:val="008410B2"/>
    <w:rsid w:val="008411DD"/>
    <w:rsid w:val="00841780"/>
    <w:rsid w:val="008468C1"/>
    <w:rsid w:val="008472AA"/>
    <w:rsid w:val="008473C1"/>
    <w:rsid w:val="008500A0"/>
    <w:rsid w:val="008502DF"/>
    <w:rsid w:val="00850C39"/>
    <w:rsid w:val="008524E5"/>
    <w:rsid w:val="00852816"/>
    <w:rsid w:val="00853450"/>
    <w:rsid w:val="0085351C"/>
    <w:rsid w:val="0085435A"/>
    <w:rsid w:val="008549CA"/>
    <w:rsid w:val="008552EA"/>
    <w:rsid w:val="008556C3"/>
    <w:rsid w:val="0085687C"/>
    <w:rsid w:val="008611C1"/>
    <w:rsid w:val="00861B0B"/>
    <w:rsid w:val="0086263A"/>
    <w:rsid w:val="00862921"/>
    <w:rsid w:val="00864F1C"/>
    <w:rsid w:val="00866CEA"/>
    <w:rsid w:val="00867C87"/>
    <w:rsid w:val="008706C5"/>
    <w:rsid w:val="00871AF6"/>
    <w:rsid w:val="00873707"/>
    <w:rsid w:val="00873D3D"/>
    <w:rsid w:val="0087439A"/>
    <w:rsid w:val="00874B20"/>
    <w:rsid w:val="0087513B"/>
    <w:rsid w:val="008757C6"/>
    <w:rsid w:val="00875CAF"/>
    <w:rsid w:val="008763E1"/>
    <w:rsid w:val="0087775C"/>
    <w:rsid w:val="00877AAA"/>
    <w:rsid w:val="00877EC8"/>
    <w:rsid w:val="00880F36"/>
    <w:rsid w:val="00883668"/>
    <w:rsid w:val="00883750"/>
    <w:rsid w:val="00883964"/>
    <w:rsid w:val="00885530"/>
    <w:rsid w:val="008910D1"/>
    <w:rsid w:val="008911E1"/>
    <w:rsid w:val="0089169C"/>
    <w:rsid w:val="0089296C"/>
    <w:rsid w:val="00893A14"/>
    <w:rsid w:val="00894B41"/>
    <w:rsid w:val="0089569F"/>
    <w:rsid w:val="008962B1"/>
    <w:rsid w:val="00896ABD"/>
    <w:rsid w:val="00897AB6"/>
    <w:rsid w:val="00897DA8"/>
    <w:rsid w:val="008A3380"/>
    <w:rsid w:val="008A3DDF"/>
    <w:rsid w:val="008A4BCA"/>
    <w:rsid w:val="008A7A9C"/>
    <w:rsid w:val="008B5218"/>
    <w:rsid w:val="008B7102"/>
    <w:rsid w:val="008C3B7D"/>
    <w:rsid w:val="008D0F90"/>
    <w:rsid w:val="008D3715"/>
    <w:rsid w:val="008D5465"/>
    <w:rsid w:val="008D5718"/>
    <w:rsid w:val="008D5E61"/>
    <w:rsid w:val="008D64E8"/>
    <w:rsid w:val="008D7EB7"/>
    <w:rsid w:val="008D7EC5"/>
    <w:rsid w:val="008E1050"/>
    <w:rsid w:val="008E1210"/>
    <w:rsid w:val="008E3684"/>
    <w:rsid w:val="008E57F5"/>
    <w:rsid w:val="008E6732"/>
    <w:rsid w:val="008E7606"/>
    <w:rsid w:val="008F1DAA"/>
    <w:rsid w:val="008F28C8"/>
    <w:rsid w:val="008F3EBD"/>
    <w:rsid w:val="008F49BB"/>
    <w:rsid w:val="008F5673"/>
    <w:rsid w:val="008F60B2"/>
    <w:rsid w:val="008F71BD"/>
    <w:rsid w:val="008F7C41"/>
    <w:rsid w:val="009031E2"/>
    <w:rsid w:val="00905782"/>
    <w:rsid w:val="00906493"/>
    <w:rsid w:val="009077B2"/>
    <w:rsid w:val="00907C6E"/>
    <w:rsid w:val="0091276C"/>
    <w:rsid w:val="009145BE"/>
    <w:rsid w:val="009147F9"/>
    <w:rsid w:val="00914B2A"/>
    <w:rsid w:val="009165AC"/>
    <w:rsid w:val="00916FFC"/>
    <w:rsid w:val="00920214"/>
    <w:rsid w:val="0092053F"/>
    <w:rsid w:val="0092340A"/>
    <w:rsid w:val="009235A3"/>
    <w:rsid w:val="009254AA"/>
    <w:rsid w:val="00925AFB"/>
    <w:rsid w:val="009313D9"/>
    <w:rsid w:val="00935B7F"/>
    <w:rsid w:val="0094013D"/>
    <w:rsid w:val="00941293"/>
    <w:rsid w:val="00942629"/>
    <w:rsid w:val="00942DA6"/>
    <w:rsid w:val="00943ADF"/>
    <w:rsid w:val="009460CA"/>
    <w:rsid w:val="009461EE"/>
    <w:rsid w:val="00946372"/>
    <w:rsid w:val="009501AA"/>
    <w:rsid w:val="0095032B"/>
    <w:rsid w:val="00950B13"/>
    <w:rsid w:val="00950C17"/>
    <w:rsid w:val="00951FAF"/>
    <w:rsid w:val="00952296"/>
    <w:rsid w:val="00954740"/>
    <w:rsid w:val="00955152"/>
    <w:rsid w:val="009557BC"/>
    <w:rsid w:val="00955AE5"/>
    <w:rsid w:val="00960396"/>
    <w:rsid w:val="009613E6"/>
    <w:rsid w:val="00961893"/>
    <w:rsid w:val="0096283A"/>
    <w:rsid w:val="00962E71"/>
    <w:rsid w:val="00963ABC"/>
    <w:rsid w:val="00963CFE"/>
    <w:rsid w:val="00965D21"/>
    <w:rsid w:val="00965F82"/>
    <w:rsid w:val="00967764"/>
    <w:rsid w:val="0097031F"/>
    <w:rsid w:val="00970B0E"/>
    <w:rsid w:val="00970BB9"/>
    <w:rsid w:val="00970BEB"/>
    <w:rsid w:val="00970DE2"/>
    <w:rsid w:val="00972301"/>
    <w:rsid w:val="009726EE"/>
    <w:rsid w:val="00972CDE"/>
    <w:rsid w:val="009733DD"/>
    <w:rsid w:val="00973649"/>
    <w:rsid w:val="00973B41"/>
    <w:rsid w:val="00975573"/>
    <w:rsid w:val="00976A25"/>
    <w:rsid w:val="00976D03"/>
    <w:rsid w:val="00977B30"/>
    <w:rsid w:val="00982F41"/>
    <w:rsid w:val="00984547"/>
    <w:rsid w:val="00985090"/>
    <w:rsid w:val="00985B90"/>
    <w:rsid w:val="00987710"/>
    <w:rsid w:val="009904AB"/>
    <w:rsid w:val="009904D8"/>
    <w:rsid w:val="00990DE6"/>
    <w:rsid w:val="00991FEB"/>
    <w:rsid w:val="00995688"/>
    <w:rsid w:val="009958A6"/>
    <w:rsid w:val="00996456"/>
    <w:rsid w:val="00996AF3"/>
    <w:rsid w:val="00996E79"/>
    <w:rsid w:val="009A04F5"/>
    <w:rsid w:val="009A15EF"/>
    <w:rsid w:val="009A38A5"/>
    <w:rsid w:val="009A5201"/>
    <w:rsid w:val="009A5B73"/>
    <w:rsid w:val="009B115C"/>
    <w:rsid w:val="009B118B"/>
    <w:rsid w:val="009B1538"/>
    <w:rsid w:val="009B1737"/>
    <w:rsid w:val="009B3D4B"/>
    <w:rsid w:val="009B4A3E"/>
    <w:rsid w:val="009B4E63"/>
    <w:rsid w:val="009B5B99"/>
    <w:rsid w:val="009B6EFC"/>
    <w:rsid w:val="009C055A"/>
    <w:rsid w:val="009C086B"/>
    <w:rsid w:val="009C1FD0"/>
    <w:rsid w:val="009C2DF8"/>
    <w:rsid w:val="009C31BF"/>
    <w:rsid w:val="009C68B7"/>
    <w:rsid w:val="009D0834"/>
    <w:rsid w:val="009D08F1"/>
    <w:rsid w:val="009D095A"/>
    <w:rsid w:val="009D0A1E"/>
    <w:rsid w:val="009D2AE3"/>
    <w:rsid w:val="009D31F7"/>
    <w:rsid w:val="009D52BC"/>
    <w:rsid w:val="009D7D0A"/>
    <w:rsid w:val="009E09D9"/>
    <w:rsid w:val="009E12F4"/>
    <w:rsid w:val="009E1F29"/>
    <w:rsid w:val="009E3EA9"/>
    <w:rsid w:val="009F01B1"/>
    <w:rsid w:val="009F0DBB"/>
    <w:rsid w:val="009F3887"/>
    <w:rsid w:val="009F388D"/>
    <w:rsid w:val="009F39A4"/>
    <w:rsid w:val="009F3F7A"/>
    <w:rsid w:val="009F40DC"/>
    <w:rsid w:val="009F659A"/>
    <w:rsid w:val="009F732B"/>
    <w:rsid w:val="00A0065F"/>
    <w:rsid w:val="00A01B4E"/>
    <w:rsid w:val="00A01FE0"/>
    <w:rsid w:val="00A06945"/>
    <w:rsid w:val="00A06FCA"/>
    <w:rsid w:val="00A10656"/>
    <w:rsid w:val="00A113C0"/>
    <w:rsid w:val="00A12FA6"/>
    <w:rsid w:val="00A1339B"/>
    <w:rsid w:val="00A14ABA"/>
    <w:rsid w:val="00A17478"/>
    <w:rsid w:val="00A177B1"/>
    <w:rsid w:val="00A210F2"/>
    <w:rsid w:val="00A227F0"/>
    <w:rsid w:val="00A24C7C"/>
    <w:rsid w:val="00A24CB6"/>
    <w:rsid w:val="00A25865"/>
    <w:rsid w:val="00A259DF"/>
    <w:rsid w:val="00A26CD2"/>
    <w:rsid w:val="00A27667"/>
    <w:rsid w:val="00A32979"/>
    <w:rsid w:val="00A32F1C"/>
    <w:rsid w:val="00A34080"/>
    <w:rsid w:val="00A34673"/>
    <w:rsid w:val="00A34A67"/>
    <w:rsid w:val="00A35E23"/>
    <w:rsid w:val="00A37462"/>
    <w:rsid w:val="00A4084E"/>
    <w:rsid w:val="00A459E1"/>
    <w:rsid w:val="00A46357"/>
    <w:rsid w:val="00A46AC4"/>
    <w:rsid w:val="00A478A5"/>
    <w:rsid w:val="00A512E4"/>
    <w:rsid w:val="00A5224A"/>
    <w:rsid w:val="00A52296"/>
    <w:rsid w:val="00A52A22"/>
    <w:rsid w:val="00A55661"/>
    <w:rsid w:val="00A56C7C"/>
    <w:rsid w:val="00A61B70"/>
    <w:rsid w:val="00A61FA8"/>
    <w:rsid w:val="00A637F4"/>
    <w:rsid w:val="00A63D5D"/>
    <w:rsid w:val="00A645E1"/>
    <w:rsid w:val="00A64DF2"/>
    <w:rsid w:val="00A65485"/>
    <w:rsid w:val="00A66720"/>
    <w:rsid w:val="00A66E05"/>
    <w:rsid w:val="00A67655"/>
    <w:rsid w:val="00A70753"/>
    <w:rsid w:val="00A70C97"/>
    <w:rsid w:val="00A712D2"/>
    <w:rsid w:val="00A7215A"/>
    <w:rsid w:val="00A72D1C"/>
    <w:rsid w:val="00A72D70"/>
    <w:rsid w:val="00A735EB"/>
    <w:rsid w:val="00A768CB"/>
    <w:rsid w:val="00A76E75"/>
    <w:rsid w:val="00A77858"/>
    <w:rsid w:val="00A77B66"/>
    <w:rsid w:val="00A8090D"/>
    <w:rsid w:val="00A80D08"/>
    <w:rsid w:val="00A81285"/>
    <w:rsid w:val="00A82914"/>
    <w:rsid w:val="00A82C8A"/>
    <w:rsid w:val="00A82FC3"/>
    <w:rsid w:val="00A8346B"/>
    <w:rsid w:val="00A838B1"/>
    <w:rsid w:val="00A852FF"/>
    <w:rsid w:val="00A85FCC"/>
    <w:rsid w:val="00A87337"/>
    <w:rsid w:val="00A90C97"/>
    <w:rsid w:val="00A92DDC"/>
    <w:rsid w:val="00A92FFA"/>
    <w:rsid w:val="00A9310F"/>
    <w:rsid w:val="00A93647"/>
    <w:rsid w:val="00A947B7"/>
    <w:rsid w:val="00A94F12"/>
    <w:rsid w:val="00A960C8"/>
    <w:rsid w:val="00A96604"/>
    <w:rsid w:val="00A96CC2"/>
    <w:rsid w:val="00A97EC8"/>
    <w:rsid w:val="00AA03DF"/>
    <w:rsid w:val="00AA1B4F"/>
    <w:rsid w:val="00AA2185"/>
    <w:rsid w:val="00AA21D8"/>
    <w:rsid w:val="00AA271A"/>
    <w:rsid w:val="00AA3270"/>
    <w:rsid w:val="00AA375A"/>
    <w:rsid w:val="00AA54F3"/>
    <w:rsid w:val="00AA6B43"/>
    <w:rsid w:val="00AA720D"/>
    <w:rsid w:val="00AA74E7"/>
    <w:rsid w:val="00AA7A2A"/>
    <w:rsid w:val="00AA7B1F"/>
    <w:rsid w:val="00AB085E"/>
    <w:rsid w:val="00AB3145"/>
    <w:rsid w:val="00AB367A"/>
    <w:rsid w:val="00AB4683"/>
    <w:rsid w:val="00AB4A4A"/>
    <w:rsid w:val="00AB7BF8"/>
    <w:rsid w:val="00AC00E0"/>
    <w:rsid w:val="00AC01D1"/>
    <w:rsid w:val="00AC0AB2"/>
    <w:rsid w:val="00AC0E9F"/>
    <w:rsid w:val="00AC15A9"/>
    <w:rsid w:val="00AC2619"/>
    <w:rsid w:val="00AC52A5"/>
    <w:rsid w:val="00AC6EFD"/>
    <w:rsid w:val="00AC7151"/>
    <w:rsid w:val="00AD460A"/>
    <w:rsid w:val="00AD6A05"/>
    <w:rsid w:val="00AE0982"/>
    <w:rsid w:val="00AE0FB9"/>
    <w:rsid w:val="00AE118B"/>
    <w:rsid w:val="00AE148C"/>
    <w:rsid w:val="00AE1F31"/>
    <w:rsid w:val="00AE2429"/>
    <w:rsid w:val="00AE272B"/>
    <w:rsid w:val="00AE3E3A"/>
    <w:rsid w:val="00AE4494"/>
    <w:rsid w:val="00AE4589"/>
    <w:rsid w:val="00AE4BFA"/>
    <w:rsid w:val="00AE7571"/>
    <w:rsid w:val="00AE77B4"/>
    <w:rsid w:val="00AE7C1A"/>
    <w:rsid w:val="00AE7DF8"/>
    <w:rsid w:val="00AF0CC1"/>
    <w:rsid w:val="00AF0D9C"/>
    <w:rsid w:val="00AF13AB"/>
    <w:rsid w:val="00AF1668"/>
    <w:rsid w:val="00AF1952"/>
    <w:rsid w:val="00AF1D36"/>
    <w:rsid w:val="00AF280B"/>
    <w:rsid w:val="00AF481A"/>
    <w:rsid w:val="00AF5F75"/>
    <w:rsid w:val="00AF6001"/>
    <w:rsid w:val="00AF67DF"/>
    <w:rsid w:val="00B012C6"/>
    <w:rsid w:val="00B01A16"/>
    <w:rsid w:val="00B0223B"/>
    <w:rsid w:val="00B02364"/>
    <w:rsid w:val="00B02B54"/>
    <w:rsid w:val="00B03B05"/>
    <w:rsid w:val="00B03ED1"/>
    <w:rsid w:val="00B044D2"/>
    <w:rsid w:val="00B0491D"/>
    <w:rsid w:val="00B06C1A"/>
    <w:rsid w:val="00B07F45"/>
    <w:rsid w:val="00B1021A"/>
    <w:rsid w:val="00B10271"/>
    <w:rsid w:val="00B12777"/>
    <w:rsid w:val="00B12851"/>
    <w:rsid w:val="00B140D9"/>
    <w:rsid w:val="00B1481A"/>
    <w:rsid w:val="00B15A1F"/>
    <w:rsid w:val="00B15FE9"/>
    <w:rsid w:val="00B2002B"/>
    <w:rsid w:val="00B201B1"/>
    <w:rsid w:val="00B21307"/>
    <w:rsid w:val="00B2148A"/>
    <w:rsid w:val="00B220C2"/>
    <w:rsid w:val="00B2276E"/>
    <w:rsid w:val="00B23395"/>
    <w:rsid w:val="00B23C0E"/>
    <w:rsid w:val="00B24E02"/>
    <w:rsid w:val="00B25B32"/>
    <w:rsid w:val="00B2735E"/>
    <w:rsid w:val="00B2757C"/>
    <w:rsid w:val="00B30AFD"/>
    <w:rsid w:val="00B32616"/>
    <w:rsid w:val="00B33C23"/>
    <w:rsid w:val="00B33F41"/>
    <w:rsid w:val="00B36AF0"/>
    <w:rsid w:val="00B36C42"/>
    <w:rsid w:val="00B37991"/>
    <w:rsid w:val="00B37E04"/>
    <w:rsid w:val="00B41FA0"/>
    <w:rsid w:val="00B42EA7"/>
    <w:rsid w:val="00B43462"/>
    <w:rsid w:val="00B443BB"/>
    <w:rsid w:val="00B4521D"/>
    <w:rsid w:val="00B51845"/>
    <w:rsid w:val="00B51923"/>
    <w:rsid w:val="00B51F28"/>
    <w:rsid w:val="00B5337C"/>
    <w:rsid w:val="00B53F04"/>
    <w:rsid w:val="00B53FDE"/>
    <w:rsid w:val="00B555C6"/>
    <w:rsid w:val="00B558A6"/>
    <w:rsid w:val="00B56397"/>
    <w:rsid w:val="00B571DA"/>
    <w:rsid w:val="00B600D2"/>
    <w:rsid w:val="00B6027B"/>
    <w:rsid w:val="00B623EA"/>
    <w:rsid w:val="00B636C8"/>
    <w:rsid w:val="00B63E9C"/>
    <w:rsid w:val="00B65EDB"/>
    <w:rsid w:val="00B6674A"/>
    <w:rsid w:val="00B66EE6"/>
    <w:rsid w:val="00B67521"/>
    <w:rsid w:val="00B67AFF"/>
    <w:rsid w:val="00B67C41"/>
    <w:rsid w:val="00B707E8"/>
    <w:rsid w:val="00B70B59"/>
    <w:rsid w:val="00B73657"/>
    <w:rsid w:val="00B73908"/>
    <w:rsid w:val="00B739B3"/>
    <w:rsid w:val="00B778AC"/>
    <w:rsid w:val="00B8067C"/>
    <w:rsid w:val="00B811F5"/>
    <w:rsid w:val="00B81852"/>
    <w:rsid w:val="00B81B15"/>
    <w:rsid w:val="00B828B8"/>
    <w:rsid w:val="00B83F5E"/>
    <w:rsid w:val="00B845A9"/>
    <w:rsid w:val="00B84855"/>
    <w:rsid w:val="00B87E9E"/>
    <w:rsid w:val="00B915AE"/>
    <w:rsid w:val="00B91BAF"/>
    <w:rsid w:val="00B9277A"/>
    <w:rsid w:val="00B963E9"/>
    <w:rsid w:val="00BA1735"/>
    <w:rsid w:val="00BA19FA"/>
    <w:rsid w:val="00BA1C46"/>
    <w:rsid w:val="00BA2049"/>
    <w:rsid w:val="00BA418A"/>
    <w:rsid w:val="00BA4288"/>
    <w:rsid w:val="00BB0902"/>
    <w:rsid w:val="00BB1EC6"/>
    <w:rsid w:val="00BB1F9C"/>
    <w:rsid w:val="00BB31CE"/>
    <w:rsid w:val="00BB48E5"/>
    <w:rsid w:val="00BB5607"/>
    <w:rsid w:val="00BB5ACA"/>
    <w:rsid w:val="00BB627F"/>
    <w:rsid w:val="00BC0C17"/>
    <w:rsid w:val="00BC3823"/>
    <w:rsid w:val="00BC5841"/>
    <w:rsid w:val="00BC5E38"/>
    <w:rsid w:val="00BC6357"/>
    <w:rsid w:val="00BC7926"/>
    <w:rsid w:val="00BC7ED8"/>
    <w:rsid w:val="00BD179C"/>
    <w:rsid w:val="00BD201A"/>
    <w:rsid w:val="00BD215F"/>
    <w:rsid w:val="00BD2DC4"/>
    <w:rsid w:val="00BD2EF0"/>
    <w:rsid w:val="00BD60B4"/>
    <w:rsid w:val="00BD796B"/>
    <w:rsid w:val="00BE3070"/>
    <w:rsid w:val="00BE3229"/>
    <w:rsid w:val="00BE40C0"/>
    <w:rsid w:val="00BE445C"/>
    <w:rsid w:val="00BE551A"/>
    <w:rsid w:val="00BE5F4A"/>
    <w:rsid w:val="00BE7AEF"/>
    <w:rsid w:val="00BE7FDA"/>
    <w:rsid w:val="00BF09B0"/>
    <w:rsid w:val="00BF1544"/>
    <w:rsid w:val="00BF1B53"/>
    <w:rsid w:val="00BF246D"/>
    <w:rsid w:val="00BF2682"/>
    <w:rsid w:val="00BF2B8D"/>
    <w:rsid w:val="00C0271D"/>
    <w:rsid w:val="00C02BD2"/>
    <w:rsid w:val="00C02E76"/>
    <w:rsid w:val="00C03510"/>
    <w:rsid w:val="00C06F06"/>
    <w:rsid w:val="00C12197"/>
    <w:rsid w:val="00C17B0E"/>
    <w:rsid w:val="00C17BFF"/>
    <w:rsid w:val="00C20FAD"/>
    <w:rsid w:val="00C2375F"/>
    <w:rsid w:val="00C247CB"/>
    <w:rsid w:val="00C27E71"/>
    <w:rsid w:val="00C30BF8"/>
    <w:rsid w:val="00C3121A"/>
    <w:rsid w:val="00C32163"/>
    <w:rsid w:val="00C32BEF"/>
    <w:rsid w:val="00C32E66"/>
    <w:rsid w:val="00C32F4A"/>
    <w:rsid w:val="00C3355F"/>
    <w:rsid w:val="00C33A04"/>
    <w:rsid w:val="00C3569A"/>
    <w:rsid w:val="00C37E27"/>
    <w:rsid w:val="00C42BD9"/>
    <w:rsid w:val="00C43F48"/>
    <w:rsid w:val="00C4409A"/>
    <w:rsid w:val="00C448FF"/>
    <w:rsid w:val="00C45E57"/>
    <w:rsid w:val="00C52F29"/>
    <w:rsid w:val="00C54573"/>
    <w:rsid w:val="00C56CE6"/>
    <w:rsid w:val="00C5745F"/>
    <w:rsid w:val="00C57A14"/>
    <w:rsid w:val="00C60005"/>
    <w:rsid w:val="00C60BFF"/>
    <w:rsid w:val="00C61A98"/>
    <w:rsid w:val="00C63201"/>
    <w:rsid w:val="00C64E62"/>
    <w:rsid w:val="00C651D5"/>
    <w:rsid w:val="00C65640"/>
    <w:rsid w:val="00C65CCC"/>
    <w:rsid w:val="00C65DA9"/>
    <w:rsid w:val="00C67682"/>
    <w:rsid w:val="00C7010F"/>
    <w:rsid w:val="00C7011C"/>
    <w:rsid w:val="00C718EF"/>
    <w:rsid w:val="00C74D18"/>
    <w:rsid w:val="00C74F95"/>
    <w:rsid w:val="00C7618F"/>
    <w:rsid w:val="00C765A9"/>
    <w:rsid w:val="00C81157"/>
    <w:rsid w:val="00C8162D"/>
    <w:rsid w:val="00C82375"/>
    <w:rsid w:val="00C830BB"/>
    <w:rsid w:val="00C83A0B"/>
    <w:rsid w:val="00C842D0"/>
    <w:rsid w:val="00C84ED1"/>
    <w:rsid w:val="00C863CC"/>
    <w:rsid w:val="00C86BCC"/>
    <w:rsid w:val="00C9038F"/>
    <w:rsid w:val="00C92AAB"/>
    <w:rsid w:val="00C934CE"/>
    <w:rsid w:val="00C95D4C"/>
    <w:rsid w:val="00C9637F"/>
    <w:rsid w:val="00C9708A"/>
    <w:rsid w:val="00CA0C99"/>
    <w:rsid w:val="00CA2435"/>
    <w:rsid w:val="00CA4068"/>
    <w:rsid w:val="00CA5743"/>
    <w:rsid w:val="00CA67F4"/>
    <w:rsid w:val="00CA7C21"/>
    <w:rsid w:val="00CB233F"/>
    <w:rsid w:val="00CB37F8"/>
    <w:rsid w:val="00CB58FE"/>
    <w:rsid w:val="00CB7BD5"/>
    <w:rsid w:val="00CB7DC3"/>
    <w:rsid w:val="00CC01A9"/>
    <w:rsid w:val="00CC30F7"/>
    <w:rsid w:val="00CC5BE1"/>
    <w:rsid w:val="00CC71D1"/>
    <w:rsid w:val="00CC75A2"/>
    <w:rsid w:val="00CC7A18"/>
    <w:rsid w:val="00CD0113"/>
    <w:rsid w:val="00CD0E2F"/>
    <w:rsid w:val="00CD1D49"/>
    <w:rsid w:val="00CD2F20"/>
    <w:rsid w:val="00CD4F62"/>
    <w:rsid w:val="00CD6B20"/>
    <w:rsid w:val="00CE1339"/>
    <w:rsid w:val="00CE4289"/>
    <w:rsid w:val="00CE61CC"/>
    <w:rsid w:val="00CE6A65"/>
    <w:rsid w:val="00CE6D5D"/>
    <w:rsid w:val="00CE6E42"/>
    <w:rsid w:val="00CE7FFA"/>
    <w:rsid w:val="00CF20B7"/>
    <w:rsid w:val="00CF283B"/>
    <w:rsid w:val="00CF2A8F"/>
    <w:rsid w:val="00CF5C95"/>
    <w:rsid w:val="00CF605A"/>
    <w:rsid w:val="00CF6692"/>
    <w:rsid w:val="00CF7441"/>
    <w:rsid w:val="00D004A5"/>
    <w:rsid w:val="00D00D16"/>
    <w:rsid w:val="00D013F2"/>
    <w:rsid w:val="00D03C6C"/>
    <w:rsid w:val="00D043B5"/>
    <w:rsid w:val="00D04760"/>
    <w:rsid w:val="00D04A95"/>
    <w:rsid w:val="00D04D1F"/>
    <w:rsid w:val="00D05148"/>
    <w:rsid w:val="00D06288"/>
    <w:rsid w:val="00D068C7"/>
    <w:rsid w:val="00D11233"/>
    <w:rsid w:val="00D1215A"/>
    <w:rsid w:val="00D12833"/>
    <w:rsid w:val="00D128A4"/>
    <w:rsid w:val="00D1372C"/>
    <w:rsid w:val="00D147C8"/>
    <w:rsid w:val="00D15131"/>
    <w:rsid w:val="00D16FA2"/>
    <w:rsid w:val="00D20954"/>
    <w:rsid w:val="00D2105D"/>
    <w:rsid w:val="00D21C39"/>
    <w:rsid w:val="00D21FC6"/>
    <w:rsid w:val="00D2210C"/>
    <w:rsid w:val="00D2243A"/>
    <w:rsid w:val="00D22A6E"/>
    <w:rsid w:val="00D22CA7"/>
    <w:rsid w:val="00D30308"/>
    <w:rsid w:val="00D31805"/>
    <w:rsid w:val="00D33393"/>
    <w:rsid w:val="00D33D36"/>
    <w:rsid w:val="00D3473B"/>
    <w:rsid w:val="00D34D94"/>
    <w:rsid w:val="00D34FF6"/>
    <w:rsid w:val="00D366FF"/>
    <w:rsid w:val="00D371D6"/>
    <w:rsid w:val="00D409E2"/>
    <w:rsid w:val="00D427D7"/>
    <w:rsid w:val="00D4408F"/>
    <w:rsid w:val="00D443D4"/>
    <w:rsid w:val="00D44E62"/>
    <w:rsid w:val="00D4543E"/>
    <w:rsid w:val="00D45781"/>
    <w:rsid w:val="00D458E2"/>
    <w:rsid w:val="00D50838"/>
    <w:rsid w:val="00D50F08"/>
    <w:rsid w:val="00D51570"/>
    <w:rsid w:val="00D52CA8"/>
    <w:rsid w:val="00D53CD9"/>
    <w:rsid w:val="00D53DFD"/>
    <w:rsid w:val="00D54C4E"/>
    <w:rsid w:val="00D556AD"/>
    <w:rsid w:val="00D56AE0"/>
    <w:rsid w:val="00D60061"/>
    <w:rsid w:val="00D60381"/>
    <w:rsid w:val="00D60E9F"/>
    <w:rsid w:val="00D616DE"/>
    <w:rsid w:val="00D62201"/>
    <w:rsid w:val="00D644C1"/>
    <w:rsid w:val="00D645BF"/>
    <w:rsid w:val="00D6509E"/>
    <w:rsid w:val="00D651D1"/>
    <w:rsid w:val="00D70DF9"/>
    <w:rsid w:val="00D717BB"/>
    <w:rsid w:val="00D72040"/>
    <w:rsid w:val="00D7226B"/>
    <w:rsid w:val="00D72707"/>
    <w:rsid w:val="00D73079"/>
    <w:rsid w:val="00D75A9C"/>
    <w:rsid w:val="00D77EBE"/>
    <w:rsid w:val="00D81D4D"/>
    <w:rsid w:val="00D829C8"/>
    <w:rsid w:val="00D847C3"/>
    <w:rsid w:val="00D8512B"/>
    <w:rsid w:val="00D853C8"/>
    <w:rsid w:val="00D85A0E"/>
    <w:rsid w:val="00D87917"/>
    <w:rsid w:val="00D87C88"/>
    <w:rsid w:val="00D90871"/>
    <w:rsid w:val="00D914E4"/>
    <w:rsid w:val="00D9155F"/>
    <w:rsid w:val="00D9403F"/>
    <w:rsid w:val="00D959B4"/>
    <w:rsid w:val="00D97DDF"/>
    <w:rsid w:val="00DA1B3C"/>
    <w:rsid w:val="00DA1BCF"/>
    <w:rsid w:val="00DA44DE"/>
    <w:rsid w:val="00DA466B"/>
    <w:rsid w:val="00DA4ED4"/>
    <w:rsid w:val="00DA6485"/>
    <w:rsid w:val="00DA750B"/>
    <w:rsid w:val="00DB09F7"/>
    <w:rsid w:val="00DB3AA6"/>
    <w:rsid w:val="00DB4210"/>
    <w:rsid w:val="00DB620A"/>
    <w:rsid w:val="00DC0858"/>
    <w:rsid w:val="00DC3832"/>
    <w:rsid w:val="00DC7A51"/>
    <w:rsid w:val="00DC7B3B"/>
    <w:rsid w:val="00DD0C49"/>
    <w:rsid w:val="00DD0EC8"/>
    <w:rsid w:val="00DD1271"/>
    <w:rsid w:val="00DD39A7"/>
    <w:rsid w:val="00DD3B1E"/>
    <w:rsid w:val="00DD4A91"/>
    <w:rsid w:val="00DD4B59"/>
    <w:rsid w:val="00DD5C46"/>
    <w:rsid w:val="00DE06B2"/>
    <w:rsid w:val="00DE1674"/>
    <w:rsid w:val="00DE5B5F"/>
    <w:rsid w:val="00DE6D42"/>
    <w:rsid w:val="00DF1A9A"/>
    <w:rsid w:val="00DF3598"/>
    <w:rsid w:val="00DF3731"/>
    <w:rsid w:val="00DF4F74"/>
    <w:rsid w:val="00DF614E"/>
    <w:rsid w:val="00E00696"/>
    <w:rsid w:val="00E02C07"/>
    <w:rsid w:val="00E033F1"/>
    <w:rsid w:val="00E03651"/>
    <w:rsid w:val="00E03808"/>
    <w:rsid w:val="00E03B6F"/>
    <w:rsid w:val="00E060C2"/>
    <w:rsid w:val="00E06324"/>
    <w:rsid w:val="00E07B81"/>
    <w:rsid w:val="00E10AFD"/>
    <w:rsid w:val="00E12B11"/>
    <w:rsid w:val="00E12FB0"/>
    <w:rsid w:val="00E13880"/>
    <w:rsid w:val="00E14814"/>
    <w:rsid w:val="00E1591B"/>
    <w:rsid w:val="00E16535"/>
    <w:rsid w:val="00E16A50"/>
    <w:rsid w:val="00E21548"/>
    <w:rsid w:val="00E22615"/>
    <w:rsid w:val="00E22DFE"/>
    <w:rsid w:val="00E249D5"/>
    <w:rsid w:val="00E25017"/>
    <w:rsid w:val="00E250C2"/>
    <w:rsid w:val="00E25315"/>
    <w:rsid w:val="00E25F18"/>
    <w:rsid w:val="00E26F73"/>
    <w:rsid w:val="00E27152"/>
    <w:rsid w:val="00E3005B"/>
    <w:rsid w:val="00E30A34"/>
    <w:rsid w:val="00E33A93"/>
    <w:rsid w:val="00E33C68"/>
    <w:rsid w:val="00E34EEB"/>
    <w:rsid w:val="00E3687C"/>
    <w:rsid w:val="00E36D85"/>
    <w:rsid w:val="00E36F57"/>
    <w:rsid w:val="00E42735"/>
    <w:rsid w:val="00E44EB9"/>
    <w:rsid w:val="00E45BDC"/>
    <w:rsid w:val="00E460B7"/>
    <w:rsid w:val="00E46358"/>
    <w:rsid w:val="00E46D76"/>
    <w:rsid w:val="00E471DC"/>
    <w:rsid w:val="00E50EB4"/>
    <w:rsid w:val="00E513C3"/>
    <w:rsid w:val="00E514D7"/>
    <w:rsid w:val="00E5170D"/>
    <w:rsid w:val="00E51A50"/>
    <w:rsid w:val="00E5239B"/>
    <w:rsid w:val="00E52EE6"/>
    <w:rsid w:val="00E532FC"/>
    <w:rsid w:val="00E539E5"/>
    <w:rsid w:val="00E53FC8"/>
    <w:rsid w:val="00E559B4"/>
    <w:rsid w:val="00E55BB0"/>
    <w:rsid w:val="00E609E5"/>
    <w:rsid w:val="00E60ABD"/>
    <w:rsid w:val="00E60F27"/>
    <w:rsid w:val="00E64D93"/>
    <w:rsid w:val="00E65EDB"/>
    <w:rsid w:val="00E66927"/>
    <w:rsid w:val="00E677B8"/>
    <w:rsid w:val="00E6789E"/>
    <w:rsid w:val="00E67E9E"/>
    <w:rsid w:val="00E67FA1"/>
    <w:rsid w:val="00E7115E"/>
    <w:rsid w:val="00E72D66"/>
    <w:rsid w:val="00E7387D"/>
    <w:rsid w:val="00E73D53"/>
    <w:rsid w:val="00E75111"/>
    <w:rsid w:val="00E76AE2"/>
    <w:rsid w:val="00E77296"/>
    <w:rsid w:val="00E773EC"/>
    <w:rsid w:val="00E82759"/>
    <w:rsid w:val="00E85159"/>
    <w:rsid w:val="00E87527"/>
    <w:rsid w:val="00E87EF7"/>
    <w:rsid w:val="00E904C1"/>
    <w:rsid w:val="00E915EF"/>
    <w:rsid w:val="00E93763"/>
    <w:rsid w:val="00E94412"/>
    <w:rsid w:val="00E9597D"/>
    <w:rsid w:val="00E95DC7"/>
    <w:rsid w:val="00E962A1"/>
    <w:rsid w:val="00E96C4C"/>
    <w:rsid w:val="00EA1AB5"/>
    <w:rsid w:val="00EA1D14"/>
    <w:rsid w:val="00EA2AAE"/>
    <w:rsid w:val="00EA2EC0"/>
    <w:rsid w:val="00EA427A"/>
    <w:rsid w:val="00EA4E18"/>
    <w:rsid w:val="00EA70FE"/>
    <w:rsid w:val="00EA723B"/>
    <w:rsid w:val="00EA7BD4"/>
    <w:rsid w:val="00EB01D9"/>
    <w:rsid w:val="00EB035B"/>
    <w:rsid w:val="00EB1758"/>
    <w:rsid w:val="00EB347B"/>
    <w:rsid w:val="00EB3CBC"/>
    <w:rsid w:val="00EB6350"/>
    <w:rsid w:val="00EB687A"/>
    <w:rsid w:val="00EB6C53"/>
    <w:rsid w:val="00EB7249"/>
    <w:rsid w:val="00EB748F"/>
    <w:rsid w:val="00EC0B01"/>
    <w:rsid w:val="00EC0C3E"/>
    <w:rsid w:val="00EC2D3C"/>
    <w:rsid w:val="00EC2F62"/>
    <w:rsid w:val="00EC55D1"/>
    <w:rsid w:val="00EC62EB"/>
    <w:rsid w:val="00EC6E9F"/>
    <w:rsid w:val="00EC76AD"/>
    <w:rsid w:val="00ED26D8"/>
    <w:rsid w:val="00ED32FB"/>
    <w:rsid w:val="00ED44F0"/>
    <w:rsid w:val="00ED4B33"/>
    <w:rsid w:val="00ED5993"/>
    <w:rsid w:val="00ED77B7"/>
    <w:rsid w:val="00ED7DD6"/>
    <w:rsid w:val="00EE04E2"/>
    <w:rsid w:val="00EE060B"/>
    <w:rsid w:val="00EE15A1"/>
    <w:rsid w:val="00EE2A7C"/>
    <w:rsid w:val="00EE2C42"/>
    <w:rsid w:val="00EE341B"/>
    <w:rsid w:val="00EE35E4"/>
    <w:rsid w:val="00EE4453"/>
    <w:rsid w:val="00EE5393"/>
    <w:rsid w:val="00EE5FCE"/>
    <w:rsid w:val="00EE6B80"/>
    <w:rsid w:val="00EE6BBD"/>
    <w:rsid w:val="00EE6E1E"/>
    <w:rsid w:val="00EE705F"/>
    <w:rsid w:val="00EF13BC"/>
    <w:rsid w:val="00EF1462"/>
    <w:rsid w:val="00EF33D0"/>
    <w:rsid w:val="00EF3A8A"/>
    <w:rsid w:val="00EF54FD"/>
    <w:rsid w:val="00EF63D6"/>
    <w:rsid w:val="00EF643B"/>
    <w:rsid w:val="00EF7341"/>
    <w:rsid w:val="00F008A6"/>
    <w:rsid w:val="00F01B24"/>
    <w:rsid w:val="00F0346E"/>
    <w:rsid w:val="00F060B6"/>
    <w:rsid w:val="00F07617"/>
    <w:rsid w:val="00F07C30"/>
    <w:rsid w:val="00F07F0D"/>
    <w:rsid w:val="00F13112"/>
    <w:rsid w:val="00F16FE6"/>
    <w:rsid w:val="00F21878"/>
    <w:rsid w:val="00F21AC3"/>
    <w:rsid w:val="00F222C1"/>
    <w:rsid w:val="00F238BD"/>
    <w:rsid w:val="00F24992"/>
    <w:rsid w:val="00F308CD"/>
    <w:rsid w:val="00F32F2F"/>
    <w:rsid w:val="00F33F3F"/>
    <w:rsid w:val="00F35BDD"/>
    <w:rsid w:val="00F35EF0"/>
    <w:rsid w:val="00F3781F"/>
    <w:rsid w:val="00F403FD"/>
    <w:rsid w:val="00F407C2"/>
    <w:rsid w:val="00F40D30"/>
    <w:rsid w:val="00F4133B"/>
    <w:rsid w:val="00F419E8"/>
    <w:rsid w:val="00F41E72"/>
    <w:rsid w:val="00F42BF9"/>
    <w:rsid w:val="00F446AA"/>
    <w:rsid w:val="00F44F00"/>
    <w:rsid w:val="00F45BDF"/>
    <w:rsid w:val="00F478CA"/>
    <w:rsid w:val="00F50300"/>
    <w:rsid w:val="00F52ED5"/>
    <w:rsid w:val="00F5371A"/>
    <w:rsid w:val="00F5414B"/>
    <w:rsid w:val="00F54CF2"/>
    <w:rsid w:val="00F54F69"/>
    <w:rsid w:val="00F5588C"/>
    <w:rsid w:val="00F55D23"/>
    <w:rsid w:val="00F55FD5"/>
    <w:rsid w:val="00F56E39"/>
    <w:rsid w:val="00F618D6"/>
    <w:rsid w:val="00F623E9"/>
    <w:rsid w:val="00F63951"/>
    <w:rsid w:val="00F639F9"/>
    <w:rsid w:val="00F63C86"/>
    <w:rsid w:val="00F6490D"/>
    <w:rsid w:val="00F66254"/>
    <w:rsid w:val="00F713DF"/>
    <w:rsid w:val="00F746D4"/>
    <w:rsid w:val="00F76586"/>
    <w:rsid w:val="00F766BE"/>
    <w:rsid w:val="00F77EB9"/>
    <w:rsid w:val="00F80635"/>
    <w:rsid w:val="00F80B47"/>
    <w:rsid w:val="00F8115F"/>
    <w:rsid w:val="00F8154C"/>
    <w:rsid w:val="00F815D1"/>
    <w:rsid w:val="00F81E7E"/>
    <w:rsid w:val="00F81F0F"/>
    <w:rsid w:val="00F822AE"/>
    <w:rsid w:val="00F825F4"/>
    <w:rsid w:val="00F838DF"/>
    <w:rsid w:val="00F83A2F"/>
    <w:rsid w:val="00F85116"/>
    <w:rsid w:val="00F85788"/>
    <w:rsid w:val="00F8650B"/>
    <w:rsid w:val="00F8707C"/>
    <w:rsid w:val="00F90953"/>
    <w:rsid w:val="00F913EB"/>
    <w:rsid w:val="00F91B7A"/>
    <w:rsid w:val="00F91CE0"/>
    <w:rsid w:val="00F92AA1"/>
    <w:rsid w:val="00F932DE"/>
    <w:rsid w:val="00F963DD"/>
    <w:rsid w:val="00F9641A"/>
    <w:rsid w:val="00F96C4A"/>
    <w:rsid w:val="00F97004"/>
    <w:rsid w:val="00F97205"/>
    <w:rsid w:val="00F979C4"/>
    <w:rsid w:val="00FA067D"/>
    <w:rsid w:val="00FA2045"/>
    <w:rsid w:val="00FA29F7"/>
    <w:rsid w:val="00FA706C"/>
    <w:rsid w:val="00FA7A66"/>
    <w:rsid w:val="00FA7E16"/>
    <w:rsid w:val="00FB1AA9"/>
    <w:rsid w:val="00FB21A6"/>
    <w:rsid w:val="00FB4B5A"/>
    <w:rsid w:val="00FB5203"/>
    <w:rsid w:val="00FB52CD"/>
    <w:rsid w:val="00FB5963"/>
    <w:rsid w:val="00FB5DAA"/>
    <w:rsid w:val="00FB5F07"/>
    <w:rsid w:val="00FB6F31"/>
    <w:rsid w:val="00FB760A"/>
    <w:rsid w:val="00FB7CDD"/>
    <w:rsid w:val="00FC04B9"/>
    <w:rsid w:val="00FC161A"/>
    <w:rsid w:val="00FC23D5"/>
    <w:rsid w:val="00FC2842"/>
    <w:rsid w:val="00FC2D40"/>
    <w:rsid w:val="00FC41F5"/>
    <w:rsid w:val="00FC4337"/>
    <w:rsid w:val="00FC4C1A"/>
    <w:rsid w:val="00FC5581"/>
    <w:rsid w:val="00FC628F"/>
    <w:rsid w:val="00FC63F7"/>
    <w:rsid w:val="00FC6468"/>
    <w:rsid w:val="00FC6D49"/>
    <w:rsid w:val="00FD3525"/>
    <w:rsid w:val="00FD4922"/>
    <w:rsid w:val="00FD4BDB"/>
    <w:rsid w:val="00FD50B2"/>
    <w:rsid w:val="00FD6461"/>
    <w:rsid w:val="00FD6DA3"/>
    <w:rsid w:val="00FE0281"/>
    <w:rsid w:val="00FE5B77"/>
    <w:rsid w:val="00FE7083"/>
    <w:rsid w:val="00FF019F"/>
    <w:rsid w:val="00FF0CE9"/>
    <w:rsid w:val="00FF1B2A"/>
    <w:rsid w:val="00FF2160"/>
    <w:rsid w:val="00FF28D3"/>
    <w:rsid w:val="00FF2E31"/>
    <w:rsid w:val="00FF30DE"/>
    <w:rsid w:val="00FF644B"/>
    <w:rsid w:val="00FF6A9F"/>
    <w:rsid w:val="00FF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0AE6AE2-C9CB-4257-8109-ECA18A5F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B4521D"/>
    <w:rPr>
      <w:sz w:val="20"/>
      <w:szCs w:val="20"/>
    </w:rPr>
  </w:style>
  <w:style w:type="character" w:customStyle="1" w:styleId="FootnoteTextChar">
    <w:name w:val="Footnote Text Char"/>
    <w:basedOn w:val="DefaultParagraphFont"/>
    <w:link w:val="FootnoteText"/>
    <w:uiPriority w:val="99"/>
    <w:semiHidden/>
    <w:rsid w:val="00B4521D"/>
    <w:rPr>
      <w:rFonts w:ascii="Calibri" w:hAnsi="Calibri" w:cs="Calibri"/>
      <w:color w:val="000000"/>
    </w:rPr>
  </w:style>
  <w:style w:type="character" w:styleId="FootnoteReference">
    <w:name w:val="footnote reference"/>
    <w:basedOn w:val="DefaultParagraphFont"/>
    <w:uiPriority w:val="99"/>
    <w:semiHidden/>
    <w:unhideWhenUsed/>
    <w:rsid w:val="00B4521D"/>
    <w:rPr>
      <w:vertAlign w:val="superscript"/>
    </w:rPr>
  </w:style>
  <w:style w:type="paragraph" w:styleId="EndnoteText">
    <w:name w:val="endnote text"/>
    <w:basedOn w:val="Normal"/>
    <w:link w:val="EndnoteTextChar"/>
    <w:uiPriority w:val="99"/>
    <w:semiHidden/>
    <w:unhideWhenUsed/>
    <w:rsid w:val="00B4521D"/>
    <w:rPr>
      <w:sz w:val="20"/>
      <w:szCs w:val="20"/>
    </w:rPr>
  </w:style>
  <w:style w:type="character" w:customStyle="1" w:styleId="EndnoteTextChar">
    <w:name w:val="Endnote Text Char"/>
    <w:basedOn w:val="DefaultParagraphFont"/>
    <w:link w:val="EndnoteText"/>
    <w:uiPriority w:val="99"/>
    <w:semiHidden/>
    <w:rsid w:val="00B4521D"/>
    <w:rPr>
      <w:rFonts w:ascii="Calibri" w:hAnsi="Calibri" w:cs="Calibri"/>
      <w:color w:val="000000"/>
    </w:rPr>
  </w:style>
  <w:style w:type="character" w:styleId="EndnoteReference">
    <w:name w:val="endnote reference"/>
    <w:basedOn w:val="DefaultParagraphFont"/>
    <w:uiPriority w:val="99"/>
    <w:semiHidden/>
    <w:unhideWhenUsed/>
    <w:rsid w:val="00B4521D"/>
    <w:rPr>
      <w:vertAlign w:val="superscript"/>
    </w:rPr>
  </w:style>
  <w:style w:type="paragraph" w:styleId="Bibliography">
    <w:name w:val="Bibliography"/>
    <w:basedOn w:val="Normal"/>
    <w:next w:val="Normal"/>
    <w:uiPriority w:val="37"/>
    <w:unhideWhenUsed/>
    <w:rsid w:val="00B4521D"/>
    <w:pPr>
      <w:tabs>
        <w:tab w:val="left" w:pos="264"/>
      </w:tabs>
      <w:ind w:left="264" w:hanging="264"/>
    </w:pPr>
  </w:style>
  <w:style w:type="paragraph" w:styleId="Caption">
    <w:name w:val="caption"/>
    <w:basedOn w:val="Normal"/>
    <w:next w:val="Normal"/>
    <w:uiPriority w:val="35"/>
    <w:unhideWhenUsed/>
    <w:qFormat/>
    <w:rsid w:val="0022019F"/>
    <w:pPr>
      <w:spacing w:after="200"/>
    </w:pPr>
    <w:rPr>
      <w:i/>
      <w:iCs/>
      <w:color w:val="1F497D" w:themeColor="text2"/>
      <w:sz w:val="18"/>
      <w:szCs w:val="18"/>
    </w:rPr>
  </w:style>
  <w:style w:type="table" w:styleId="TableGrid">
    <w:name w:val="Table Grid"/>
    <w:basedOn w:val="TableNormal"/>
    <w:uiPriority w:val="59"/>
    <w:rsid w:val="00D2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09F7"/>
    <w:rPr>
      <w:color w:val="808080"/>
    </w:rPr>
  </w:style>
  <w:style w:type="table" w:styleId="PlainTable3">
    <w:name w:val="Plain Table 3"/>
    <w:basedOn w:val="TableNormal"/>
    <w:uiPriority w:val="99"/>
    <w:rsid w:val="00DA4E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99"/>
    <w:rsid w:val="00EA1AB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5">
    <w:name w:val="Grid Table 4 Accent 5"/>
    <w:basedOn w:val="TableNormal"/>
    <w:uiPriority w:val="49"/>
    <w:rsid w:val="00EA1AB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1">
    <w:name w:val="Plain Table 1"/>
    <w:basedOn w:val="TableNormal"/>
    <w:uiPriority w:val="99"/>
    <w:rsid w:val="00EA1A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2B53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8595871">
      <w:bodyDiv w:val="1"/>
      <w:marLeft w:val="0"/>
      <w:marRight w:val="0"/>
      <w:marTop w:val="0"/>
      <w:marBottom w:val="0"/>
      <w:divBdr>
        <w:top w:val="none" w:sz="0" w:space="0" w:color="auto"/>
        <w:left w:val="none" w:sz="0" w:space="0" w:color="auto"/>
        <w:bottom w:val="none" w:sz="0" w:space="0" w:color="auto"/>
        <w:right w:val="none" w:sz="0" w:space="0" w:color="auto"/>
      </w:divBdr>
    </w:div>
    <w:div w:id="6195293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1987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24328571">
      <w:bodyDiv w:val="1"/>
      <w:marLeft w:val="0"/>
      <w:marRight w:val="0"/>
      <w:marTop w:val="0"/>
      <w:marBottom w:val="0"/>
      <w:divBdr>
        <w:top w:val="none" w:sz="0" w:space="0" w:color="auto"/>
        <w:left w:val="none" w:sz="0" w:space="0" w:color="auto"/>
        <w:bottom w:val="none" w:sz="0" w:space="0" w:color="auto"/>
        <w:right w:val="none" w:sz="0" w:space="0" w:color="auto"/>
      </w:divBdr>
      <w:divsChild>
        <w:div w:id="216747860">
          <w:marLeft w:val="480"/>
          <w:marRight w:val="0"/>
          <w:marTop w:val="0"/>
          <w:marBottom w:val="0"/>
          <w:divBdr>
            <w:top w:val="none" w:sz="0" w:space="0" w:color="auto"/>
            <w:left w:val="none" w:sz="0" w:space="0" w:color="auto"/>
            <w:bottom w:val="none" w:sz="0" w:space="0" w:color="auto"/>
            <w:right w:val="none" w:sz="0" w:space="0" w:color="auto"/>
          </w:divBdr>
          <w:divsChild>
            <w:div w:id="18202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robin@etu.unige.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Ansari@hcuge.ch" TargetMode="External"/><Relationship Id="rId4" Type="http://schemas.openxmlformats.org/officeDocument/2006/relationships/settings" Target="settings.xml"/><Relationship Id="rId9" Type="http://schemas.openxmlformats.org/officeDocument/2006/relationships/hyperlink" Target="mailto:Marc.Ansari@hcuge.c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3E6CC4-42AB-4467-8174-7A88157AA76D}">
  <we:reference id="wa200001482" version="1.0.5.0" store="en-US" storeType="OMEX"/>
  <we:alternateReferences>
    <we:reference id="WA200001482" version="1.0.5.0" store="WA20000148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0B206-BAE4-43DA-9C17-B3A0EAFF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17</Pages>
  <Words>25618</Words>
  <Characters>146024</Characters>
  <Application>Microsoft Office Word</Application>
  <DocSecurity>0</DocSecurity>
  <Lines>1216</Lines>
  <Paragraphs>342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GST inhibitor Screening Protocol_comments_Rao</vt:lpstr>
      <vt:lpstr>GST inhibitor Screening Protocol_comments_Rao</vt:lpstr>
    </vt:vector>
  </TitlesOfParts>
  <Company/>
  <LinksUpToDate>false</LinksUpToDate>
  <CharactersWithSpaces>171300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 inhibitor Screening Protocol_comments_Rao</dc:title>
  <dc:creator>Chakradhara Rao Uppugunduri Satyanarayana</dc:creator>
  <cp:keywords>JoVE</cp:keywords>
  <cp:lastModifiedBy>Nam</cp:lastModifiedBy>
  <cp:revision>99</cp:revision>
  <cp:lastPrinted>2020-06-28T20:30:00Z</cp:lastPrinted>
  <dcterms:created xsi:type="dcterms:W3CDTF">2020-06-23T09:20:00Z</dcterms:created>
  <dcterms:modified xsi:type="dcterms:W3CDTF">2020-08-27T15:45:00Z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id="7Em7AHGa"/&gt;&lt;style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