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D0C" w:rsidRPr="00542C3F" w:rsidRDefault="00CF2FFD">
      <w:pPr>
        <w:rPr>
          <w:b/>
          <w:bCs/>
          <w:sz w:val="28"/>
          <w:szCs w:val="28"/>
        </w:rPr>
      </w:pPr>
      <w:r w:rsidRPr="00542C3F">
        <w:rPr>
          <w:b/>
          <w:bCs/>
          <w:sz w:val="28"/>
          <w:szCs w:val="28"/>
        </w:rPr>
        <w:t>Response to Editorial and Reviewers’ comments</w:t>
      </w:r>
    </w:p>
    <w:p w:rsidR="00542C3F" w:rsidRDefault="00542C3F"/>
    <w:p w:rsidR="00F857E2" w:rsidRDefault="00F857E2" w:rsidP="00CF2FFD">
      <w:r w:rsidRPr="00F857E2">
        <w:t>We would like to thank you and the reviewer</w:t>
      </w:r>
      <w:r>
        <w:t>s</w:t>
      </w:r>
      <w:r w:rsidRPr="00F857E2">
        <w:t xml:space="preserve"> for the valuable comments that we received in response to our submission</w:t>
      </w:r>
      <w:r>
        <w:t xml:space="preserve"> (Manuscript Number JoVE61304)</w:t>
      </w:r>
      <w:r w:rsidRPr="00F857E2">
        <w:t>. We have revised the paper and addressed the concerns according to the  suggestions and believe that the manuscript has improved through the amendments and modifications. We hope that the new version of the article will be suitable for publication.</w:t>
      </w:r>
    </w:p>
    <w:p w:rsidR="00F857E2" w:rsidRDefault="00F857E2" w:rsidP="00CF2FFD"/>
    <w:p w:rsidR="00CF2FFD" w:rsidRPr="00DE697B" w:rsidRDefault="00CF2FFD" w:rsidP="00CF2FFD">
      <w:pPr>
        <w:rPr>
          <w:b/>
          <w:bCs/>
        </w:rPr>
      </w:pPr>
      <w:r w:rsidRPr="00DE697B">
        <w:rPr>
          <w:b/>
          <w:bCs/>
        </w:rPr>
        <w:t>Editorial comments:</w:t>
      </w:r>
    </w:p>
    <w:p w:rsidR="00CF2FFD" w:rsidRPr="00DE697B" w:rsidRDefault="00CF2FFD" w:rsidP="00CF2FFD">
      <w:pPr>
        <w:rPr>
          <w:b/>
          <w:bCs/>
        </w:rPr>
      </w:pPr>
      <w:r w:rsidRPr="00DE697B">
        <w:rPr>
          <w:b/>
          <w:bCs/>
        </w:rPr>
        <w:t>General:</w:t>
      </w:r>
    </w:p>
    <w:p w:rsidR="00CF2FFD" w:rsidRDefault="00CF2FFD" w:rsidP="00DE697B">
      <w:r w:rsidRPr="00DE697B">
        <w:rPr>
          <w:i/>
          <w:iCs/>
        </w:rPr>
        <w:t>Please take this opportunity to thoroughly proofread the manuscript to ensure that there are no spelling or grammar issues</w:t>
      </w:r>
      <w:r>
        <w:t>.</w:t>
      </w:r>
    </w:p>
    <w:p w:rsidR="00DE697B" w:rsidRDefault="00DE697B" w:rsidP="00DE697B">
      <w:r>
        <w:t>We have proofread the manuscript and corrected spelling and grammar issues.</w:t>
      </w:r>
    </w:p>
    <w:p w:rsidR="00DE697B" w:rsidRDefault="00DE697B" w:rsidP="00DE697B"/>
    <w:p w:rsidR="00CF2FFD" w:rsidRPr="00DE697B" w:rsidRDefault="00CF2FFD" w:rsidP="00CF2FFD">
      <w:pPr>
        <w:rPr>
          <w:i/>
          <w:iCs/>
        </w:rPr>
      </w:pPr>
      <w:proofErr w:type="spellStart"/>
      <w:r w:rsidRPr="00DE697B">
        <w:rPr>
          <w:i/>
          <w:iCs/>
        </w:rPr>
        <w:t>JoVE</w:t>
      </w:r>
      <w:proofErr w:type="spellEnd"/>
      <w:r w:rsidRPr="00DE697B">
        <w:rPr>
          <w:i/>
          <w:iCs/>
        </w:rPr>
        <w:t xml:space="preserve"> cannot publish manuscripts containing commercial language. This includes trademark symbols (™), registered symbols (®), and company names before an instrument or reagent. Please limit the use of commercial language from your manuscript and use generic terms instead. All commercial products should be sufficiently referenced in the Table of Materials and Reagents.</w:t>
      </w:r>
    </w:p>
    <w:p w:rsidR="00CF2FFD" w:rsidRDefault="00DE697B" w:rsidP="00CF2FFD">
      <w:r>
        <w:t>We removed commercial language from the manuscript and the trademark symbols from the Table of Materials. In some cases, we found it vital to include the commercial names because of the amendments to the instructions provided by the manufacturer.</w:t>
      </w:r>
    </w:p>
    <w:p w:rsidR="00CF2FFD" w:rsidRDefault="00CF2FFD" w:rsidP="00CF2FFD"/>
    <w:p w:rsidR="00CF2FFD" w:rsidRPr="00DE697B" w:rsidRDefault="00CF2FFD" w:rsidP="00CF2FFD">
      <w:pPr>
        <w:rPr>
          <w:b/>
          <w:bCs/>
        </w:rPr>
      </w:pPr>
      <w:r w:rsidRPr="00DE697B">
        <w:rPr>
          <w:b/>
          <w:bCs/>
        </w:rPr>
        <w:t>Protocol:</w:t>
      </w:r>
    </w:p>
    <w:p w:rsidR="00CF2FFD" w:rsidRPr="00DE697B" w:rsidRDefault="00CF2FFD" w:rsidP="00CF2FFD">
      <w:pPr>
        <w:rPr>
          <w:i/>
          <w:iCs/>
        </w:rPr>
      </w:pPr>
      <w:r w:rsidRPr="00DE697B">
        <w:rPr>
          <w:i/>
          <w:iCs/>
        </w:rPr>
        <w:t>For each protocol step/</w:t>
      </w:r>
      <w:proofErr w:type="spellStart"/>
      <w:r w:rsidRPr="00DE697B">
        <w:rPr>
          <w:i/>
          <w:iCs/>
        </w:rPr>
        <w:t>substep</w:t>
      </w:r>
      <w:proofErr w:type="spellEnd"/>
      <w:r w:rsidRPr="00DE697B">
        <w:rPr>
          <w:i/>
          <w:iCs/>
        </w:rPr>
        <w:t xml:space="preserve">, please ensure you answer the “how” question, i.e., how is the step performed? Alternatively, add references to published material specifying how to perform the protocol action. If revisions cause a step to have more than 2-3 actions and 4 sentences per step, please split into separate steps or </w:t>
      </w:r>
      <w:proofErr w:type="spellStart"/>
      <w:r w:rsidRPr="00DE697B">
        <w:rPr>
          <w:i/>
          <w:iCs/>
        </w:rPr>
        <w:t>substeps</w:t>
      </w:r>
      <w:proofErr w:type="spellEnd"/>
      <w:r w:rsidRPr="00DE697B">
        <w:rPr>
          <w:i/>
          <w:iCs/>
        </w:rPr>
        <w:t>.</w:t>
      </w:r>
    </w:p>
    <w:p w:rsidR="00DE697B" w:rsidRDefault="00DE697B" w:rsidP="00CF2FFD">
      <w:r>
        <w:t xml:space="preserve">We revised the manuscript accordingly and hope that description of each step is adequate and can be further used. If not, please let us know, as this is our first </w:t>
      </w:r>
      <w:proofErr w:type="spellStart"/>
      <w:r>
        <w:t>JoVE</w:t>
      </w:r>
      <w:proofErr w:type="spellEnd"/>
      <w:r>
        <w:t xml:space="preserve"> publication.</w:t>
      </w:r>
    </w:p>
    <w:p w:rsidR="00CF2FFD" w:rsidRDefault="00CF2FFD" w:rsidP="00CF2FFD"/>
    <w:p w:rsidR="00CF2FFD" w:rsidRPr="00DE697B" w:rsidRDefault="00CF2FFD" w:rsidP="00CF2FFD">
      <w:pPr>
        <w:rPr>
          <w:b/>
          <w:bCs/>
        </w:rPr>
      </w:pPr>
      <w:r w:rsidRPr="00DE697B">
        <w:rPr>
          <w:b/>
          <w:bCs/>
        </w:rPr>
        <w:t>Specific Protocol steps:</w:t>
      </w:r>
    </w:p>
    <w:p w:rsidR="00CF2FFD" w:rsidRPr="00DE697B" w:rsidRDefault="00CF2FFD" w:rsidP="00CF2FFD">
      <w:pPr>
        <w:rPr>
          <w:i/>
          <w:iCs/>
        </w:rPr>
      </w:pPr>
      <w:r w:rsidRPr="00DE697B">
        <w:rPr>
          <w:i/>
          <w:iCs/>
        </w:rPr>
        <w:t>Please provide more information (or a reference) about the x-ray spectroscopy (including the ‘provided values’). Also, where do the CoCrMo cylinders come from?</w:t>
      </w:r>
    </w:p>
    <w:p w:rsidR="00DE697B" w:rsidRDefault="00DE697B" w:rsidP="00CF2FFD">
      <w:r>
        <w:t xml:space="preserve">More information on the spectroscopy has been included in the manuscript. The CoCrMo raw material was purchased by </w:t>
      </w:r>
      <w:proofErr w:type="spellStart"/>
      <w:r w:rsidRPr="00DE697B">
        <w:t>Acnis</w:t>
      </w:r>
      <w:proofErr w:type="spellEnd"/>
      <w:r w:rsidRPr="00DE697B">
        <w:t xml:space="preserve"> International</w:t>
      </w:r>
      <w:r>
        <w:t xml:space="preserve"> and the provided composition values where then confirmed. The following table provides the detailed information (from </w:t>
      </w:r>
      <w:proofErr w:type="spellStart"/>
      <w:r>
        <w:t>Stojanovic</w:t>
      </w:r>
      <w:proofErr w:type="spellEnd"/>
      <w:r>
        <w:t xml:space="preserve"> et al, Acta </w:t>
      </w:r>
      <w:proofErr w:type="spellStart"/>
      <w:r>
        <w:t>Biomat</w:t>
      </w:r>
      <w:proofErr w:type="spellEnd"/>
      <w:r>
        <w:t>). This information has also been included in the manuscript.</w:t>
      </w:r>
    </w:p>
    <w:p w:rsidR="00DE697B" w:rsidRDefault="00DE697B" w:rsidP="00CF2FFD">
      <w:r w:rsidRPr="00700072">
        <w:drawing>
          <wp:inline distT="0" distB="0" distL="0" distR="0" wp14:anchorId="1D2303BA" wp14:editId="6352A77F">
            <wp:extent cx="5041900" cy="596900"/>
            <wp:effectExtent l="0" t="0" r="0" b="0"/>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1900" cy="596900"/>
                    </a:xfrm>
                    <a:prstGeom prst="rect">
                      <a:avLst/>
                    </a:prstGeom>
                  </pic:spPr>
                </pic:pic>
              </a:graphicData>
            </a:graphic>
          </wp:inline>
        </w:drawing>
      </w:r>
    </w:p>
    <w:p w:rsidR="00A8540F" w:rsidRDefault="00A8540F" w:rsidP="00CF2FFD"/>
    <w:p w:rsidR="00CF2FFD" w:rsidRPr="00657F61" w:rsidRDefault="00CF2FFD" w:rsidP="00CF2FFD">
      <w:pPr>
        <w:rPr>
          <w:i/>
          <w:iCs/>
        </w:rPr>
      </w:pPr>
      <w:r w:rsidRPr="00657F61">
        <w:rPr>
          <w:i/>
          <w:iCs/>
        </w:rPr>
        <w:t>How do you determine if the roughness is within the tolerance level?</w:t>
      </w:r>
    </w:p>
    <w:p w:rsidR="00CF2FFD" w:rsidRDefault="00657F61" w:rsidP="00CF2FFD">
      <w:r>
        <w:t xml:space="preserve">The surface </w:t>
      </w:r>
      <w:r w:rsidR="0006282F">
        <w:t>roughness</w:t>
      </w:r>
      <w:r>
        <w:t xml:space="preserve"> was determined </w:t>
      </w:r>
      <w:r w:rsidRPr="00A8540F">
        <w:t>using</w:t>
      </w:r>
      <w:r w:rsidR="00A8540F">
        <w:t xml:space="preserve"> a confocal microscope</w:t>
      </w:r>
      <w:r>
        <w:t>. Tolerance levels are defined by the mentioned ISO documents for metallic implants.</w:t>
      </w:r>
      <w:r w:rsidR="0006282F">
        <w:t xml:space="preserve"> </w:t>
      </w:r>
      <w:r w:rsidR="0006282F" w:rsidRPr="0006282F">
        <w:t>The described preparation resulted in a final Ra value of 15 ± 2 nm for the</w:t>
      </w:r>
      <w:r w:rsidR="0006282F">
        <w:t xml:space="preserve"> CoCrMo samples.</w:t>
      </w:r>
    </w:p>
    <w:p w:rsidR="00657F61" w:rsidRDefault="00657F61" w:rsidP="00CF2FFD"/>
    <w:p w:rsidR="00CF2FFD" w:rsidRPr="00657F61" w:rsidRDefault="00CF2FFD" w:rsidP="00CF2FFD">
      <w:pPr>
        <w:rPr>
          <w:b/>
          <w:bCs/>
        </w:rPr>
      </w:pPr>
      <w:r w:rsidRPr="00657F61">
        <w:rPr>
          <w:b/>
          <w:bCs/>
        </w:rPr>
        <w:t>Figures:</w:t>
      </w:r>
    </w:p>
    <w:p w:rsidR="00CF2FFD" w:rsidRPr="009C1BD5" w:rsidRDefault="00CF2FFD" w:rsidP="00CF2FFD">
      <w:pPr>
        <w:rPr>
          <w:i/>
          <w:iCs/>
        </w:rPr>
      </w:pPr>
      <w:r w:rsidRPr="009C1BD5">
        <w:rPr>
          <w:i/>
          <w:iCs/>
        </w:rPr>
        <w:lastRenderedPageBreak/>
        <w:t>Figure 2</w:t>
      </w:r>
      <w:r w:rsidR="009C1BD5" w:rsidRPr="009C1BD5">
        <w:rPr>
          <w:i/>
          <w:iCs/>
        </w:rPr>
        <w:t xml:space="preserve">: </w:t>
      </w:r>
      <w:r w:rsidRPr="009C1BD5">
        <w:rPr>
          <w:i/>
          <w:iCs/>
        </w:rPr>
        <w:t>Please use periods instead of commas for decimals (e.g., 0.01 instead of 0,01).</w:t>
      </w:r>
    </w:p>
    <w:p w:rsidR="009C1BD5" w:rsidRDefault="009C1BD5" w:rsidP="00CF2FFD">
      <w:r w:rsidRPr="000E2329">
        <w:t>We made the according changes to the figure.</w:t>
      </w:r>
    </w:p>
    <w:p w:rsidR="00F264EE" w:rsidRDefault="00F264EE" w:rsidP="00CF2FFD"/>
    <w:p w:rsidR="00CF2FFD" w:rsidRPr="009C1BD5" w:rsidRDefault="00CF2FFD" w:rsidP="00CF2FFD">
      <w:pPr>
        <w:rPr>
          <w:i/>
          <w:iCs/>
        </w:rPr>
      </w:pPr>
      <w:r w:rsidRPr="00A8540F">
        <w:rPr>
          <w:i/>
          <w:iCs/>
        </w:rPr>
        <w:t>Figure 4, 5: What statistical test was used here?</w:t>
      </w:r>
    </w:p>
    <w:p w:rsidR="00CF2FFD" w:rsidRDefault="009C1BD5" w:rsidP="00CF2FFD">
      <w:r>
        <w:t>The nonparametric Kruskal–Wallis test was performed for compari</w:t>
      </w:r>
      <w:bookmarkStart w:id="0" w:name="_GoBack"/>
      <w:bookmarkEnd w:id="0"/>
      <w:r>
        <w:t>son between testing groups followed by Dunn’s post hoc test in case of significance.</w:t>
      </w:r>
      <w:r w:rsidR="00A8540F">
        <w:t xml:space="preserve"> </w:t>
      </w:r>
      <w:r w:rsidR="00A8540F">
        <w:t>The used test was included in the figure legend.</w:t>
      </w:r>
    </w:p>
    <w:p w:rsidR="009C1BD5" w:rsidRDefault="009C1BD5" w:rsidP="00CF2FFD"/>
    <w:p w:rsidR="00CF2FFD" w:rsidRPr="009C1BD5" w:rsidRDefault="00CF2FFD" w:rsidP="00CF2FFD">
      <w:pPr>
        <w:rPr>
          <w:b/>
          <w:bCs/>
        </w:rPr>
      </w:pPr>
      <w:r w:rsidRPr="009C1BD5">
        <w:rPr>
          <w:b/>
          <w:bCs/>
        </w:rPr>
        <w:t>Table of Materials:</w:t>
      </w:r>
    </w:p>
    <w:p w:rsidR="00CF2FFD" w:rsidRPr="009C1BD5" w:rsidRDefault="00CF2FFD" w:rsidP="00CF2FFD">
      <w:pPr>
        <w:rPr>
          <w:i/>
          <w:iCs/>
        </w:rPr>
      </w:pPr>
      <w:r w:rsidRPr="009C1BD5">
        <w:rPr>
          <w:i/>
          <w:iCs/>
        </w:rPr>
        <w:t>Please ensure the Table of Materials has information on all materials and equipment used, especially those mentioned in the Protocol.</w:t>
      </w:r>
      <w:r w:rsidR="009C1BD5" w:rsidRPr="009C1BD5">
        <w:rPr>
          <w:i/>
          <w:iCs/>
        </w:rPr>
        <w:t xml:space="preserve"> </w:t>
      </w:r>
      <w:r w:rsidR="009C1BD5" w:rsidRPr="009C1BD5">
        <w:rPr>
          <w:i/>
          <w:iCs/>
        </w:rPr>
        <w:t>Please remove trademark (™) and registered (®) symbols from the Table of Materials.</w:t>
      </w:r>
    </w:p>
    <w:p w:rsidR="00CF2FFD" w:rsidRDefault="009C1BD5" w:rsidP="00CF2FFD">
      <w:r>
        <w:t>We completed the information in the Table of Materials and removed trademark and registered symbols.</w:t>
      </w:r>
    </w:p>
    <w:p w:rsidR="00CF2FFD" w:rsidRDefault="00CF2FFD" w:rsidP="00CF2FFD"/>
    <w:p w:rsidR="00CF2FFD" w:rsidRPr="009C1BD5" w:rsidRDefault="00CF2FFD" w:rsidP="00CF2FFD">
      <w:pPr>
        <w:rPr>
          <w:b/>
          <w:bCs/>
        </w:rPr>
      </w:pPr>
      <w:r w:rsidRPr="009C1BD5">
        <w:rPr>
          <w:b/>
          <w:bCs/>
        </w:rPr>
        <w:t>Reviewers' comments:</w:t>
      </w:r>
    </w:p>
    <w:p w:rsidR="00CF2FFD" w:rsidRPr="009C1BD5" w:rsidRDefault="00CF2FFD" w:rsidP="00CF2FFD">
      <w:pPr>
        <w:rPr>
          <w:b/>
          <w:bCs/>
        </w:rPr>
      </w:pPr>
      <w:r w:rsidRPr="009C1BD5">
        <w:rPr>
          <w:b/>
          <w:bCs/>
        </w:rPr>
        <w:t>Reviewer #1:</w:t>
      </w:r>
    </w:p>
    <w:p w:rsidR="00CF2FFD" w:rsidRDefault="009C1BD5" w:rsidP="00CF2FFD">
      <w:r>
        <w:t>Thank you for your valuable feedback on our manuscript. We addressed both major and minor concerns and hope that the revised version of the manuscript now provides the additional information.</w:t>
      </w:r>
    </w:p>
    <w:p w:rsidR="00CF2FFD" w:rsidRDefault="00CF2FFD" w:rsidP="00CF2FFD"/>
    <w:p w:rsidR="00CF2FFD" w:rsidRPr="009C1BD5" w:rsidRDefault="00CF2FFD" w:rsidP="00CF2FFD">
      <w:pPr>
        <w:rPr>
          <w:b/>
          <w:bCs/>
        </w:rPr>
      </w:pPr>
      <w:r w:rsidRPr="009C1BD5">
        <w:rPr>
          <w:b/>
          <w:bCs/>
        </w:rPr>
        <w:t>Major Concerns:</w:t>
      </w:r>
    </w:p>
    <w:p w:rsidR="00CF2FFD" w:rsidRPr="009C1BD5" w:rsidRDefault="00CF2FFD" w:rsidP="00CF2FFD">
      <w:pPr>
        <w:rPr>
          <w:i/>
          <w:iCs/>
        </w:rPr>
      </w:pPr>
      <w:r w:rsidRPr="009C1BD5">
        <w:rPr>
          <w:i/>
          <w:iCs/>
        </w:rPr>
        <w:t>The abstract refers to focal metallic implants, whereas the test protocol is more closely suited to a hemiarthroplasty (cartilage-on-metal) model. When a focal metallic implant is used, the interface between the metal implant and the cartilage should be considered as should the influence of the different modulus between the two materials and the effect this has on the opposing cartilage surface, simulating only the metal implant does not take this into consideration. The introduction should discuss the suitability of this protocol to simulate hemi-arthroplasty model.</w:t>
      </w:r>
    </w:p>
    <w:p w:rsidR="00CF2FFD" w:rsidRDefault="009C1BD5" w:rsidP="00CF2FFD">
      <w:r>
        <w:t xml:space="preserve">We are aware of the limitations of this model for focal implants, especially at the implant-cartilage-interface. Hemiarthroplasty also represents a metal-on-cartilage situation </w:t>
      </w:r>
      <w:proofErr w:type="spellStart"/>
      <w:r>
        <w:t>ofter</w:t>
      </w:r>
      <w:proofErr w:type="spellEnd"/>
      <w:r>
        <w:t xml:space="preserve"> the implantation of a bipolar hip arthroplasty, for example. Accordingly, we included and discussed this in the introduction.</w:t>
      </w:r>
    </w:p>
    <w:p w:rsidR="009C1BD5" w:rsidRDefault="009C1BD5" w:rsidP="00CF2FFD"/>
    <w:p w:rsidR="00CF2FFD" w:rsidRPr="009C1BD5" w:rsidRDefault="00CF2FFD" w:rsidP="00CF2FFD">
      <w:pPr>
        <w:rPr>
          <w:i/>
          <w:iCs/>
        </w:rPr>
      </w:pPr>
      <w:r w:rsidRPr="009C1BD5">
        <w:rPr>
          <w:i/>
          <w:iCs/>
        </w:rPr>
        <w:t>The work by Bowland et al should be considered and acknowledged in the introduction to this article. This work, carried out in both simple geometry (JOEIM 2018) and in a whole joint simulation model (J Biomaterials 2018) has investigated the influence of a stainless steel graft implanted either in a bovine plate or a porcine femur and has investigated how the introduction of this graft influences the wear and friction of the articulating surfaces.</w:t>
      </w:r>
    </w:p>
    <w:p w:rsidR="009C1BD5" w:rsidRDefault="009C1BD5" w:rsidP="00CF2FFD">
      <w:r>
        <w:t>Thank you very much for these references. Despite a comprehensive literature research in the course of our project, these study had not come to our attention. However, they provide in depth information on the topic and we included them in the introduction.</w:t>
      </w:r>
    </w:p>
    <w:p w:rsidR="009C1BD5" w:rsidRDefault="009C1BD5" w:rsidP="00CF2FFD"/>
    <w:p w:rsidR="00CF2FFD" w:rsidRPr="009C1BD5" w:rsidRDefault="00CF2FFD" w:rsidP="00CF2FFD">
      <w:pPr>
        <w:rPr>
          <w:b/>
          <w:bCs/>
        </w:rPr>
      </w:pPr>
      <w:r w:rsidRPr="009C1BD5">
        <w:rPr>
          <w:b/>
          <w:bCs/>
        </w:rPr>
        <w:t>Minor Concerns:</w:t>
      </w:r>
    </w:p>
    <w:p w:rsidR="00CF2FFD" w:rsidRPr="00766A66" w:rsidRDefault="00CF2FFD" w:rsidP="00CF2FFD">
      <w:pPr>
        <w:rPr>
          <w:i/>
          <w:iCs/>
        </w:rPr>
      </w:pPr>
      <w:r w:rsidRPr="00766A66">
        <w:rPr>
          <w:i/>
          <w:iCs/>
        </w:rPr>
        <w:t>The title largely reflects the protocol demonstrated, perhaps consider including 'bovine' in the title.</w:t>
      </w:r>
    </w:p>
    <w:p w:rsidR="00CF2FFD" w:rsidRDefault="00766A66" w:rsidP="00CF2FFD">
      <w:r>
        <w:lastRenderedPageBreak/>
        <w:t>We discussed the title of the manuscript and decided not to include “bovine” to keep it short and comprehensive. Furthermore, the similarities in tribological properties of bovine and human cartilage are discussed in the manuscript.</w:t>
      </w:r>
    </w:p>
    <w:p w:rsidR="00766A66" w:rsidRDefault="00766A66" w:rsidP="00CF2FFD"/>
    <w:p w:rsidR="00CF2FFD" w:rsidRPr="00CE62F1" w:rsidRDefault="00CF2FFD" w:rsidP="00CF2FFD">
      <w:pPr>
        <w:rPr>
          <w:i/>
          <w:iCs/>
        </w:rPr>
      </w:pPr>
      <w:r w:rsidRPr="00CE62F1">
        <w:rPr>
          <w:i/>
          <w:iCs/>
        </w:rPr>
        <w:t>The equipment list is very specific for some protocols for example, the microscopes used have been detailed however, for the tribological test, the details of the equipment are very vague, the level of detail given in the article should be consistent throughout.</w:t>
      </w:r>
    </w:p>
    <w:p w:rsidR="00CF2FFD" w:rsidRDefault="00CE62F1" w:rsidP="00CF2FFD">
      <w:r>
        <w:t xml:space="preserve">We made the according changes in the manuscript. As suggested by the editor, commercial names were </w:t>
      </w:r>
      <w:r w:rsidR="007B0313">
        <w:t xml:space="preserve">removed. Additionally, we </w:t>
      </w:r>
      <w:r w:rsidR="006C6AA3">
        <w:t>included</w:t>
      </w:r>
      <w:r w:rsidR="007B0313">
        <w:t xml:space="preserve"> information </w:t>
      </w:r>
      <w:r w:rsidR="006C6AA3">
        <w:t xml:space="preserve">on kinematics and applied loads </w:t>
      </w:r>
      <w:r w:rsidR="007B0313">
        <w:t>for the tribological test.</w:t>
      </w:r>
    </w:p>
    <w:p w:rsidR="006C6AA3" w:rsidRDefault="006C6AA3" w:rsidP="00CF2FFD"/>
    <w:p w:rsidR="00CF2FFD" w:rsidRPr="00F63538" w:rsidRDefault="00CF2FFD" w:rsidP="00CF2FFD">
      <w:pPr>
        <w:rPr>
          <w:i/>
          <w:iCs/>
        </w:rPr>
      </w:pPr>
      <w:r w:rsidRPr="00F63538">
        <w:rPr>
          <w:i/>
          <w:iCs/>
        </w:rPr>
        <w:t>Consider whether a cartilage-on-cartilage model should be included as a control.</w:t>
      </w:r>
    </w:p>
    <w:p w:rsidR="00CF2FFD" w:rsidRDefault="00F63538" w:rsidP="00CF2FFD">
      <w:r>
        <w:t>We have performed cartilage-on-cartilage experiments in previous studies. However, for specifically testing implant materials, in this case CoCrMo, and the effect of various loading conditions, we found that it would not give us additional information.</w:t>
      </w:r>
    </w:p>
    <w:p w:rsidR="00F63538" w:rsidRDefault="00F63538" w:rsidP="00CF2FFD"/>
    <w:p w:rsidR="00CF2FFD" w:rsidRPr="00415113" w:rsidRDefault="00CF2FFD" w:rsidP="00CF2FFD">
      <w:pPr>
        <w:rPr>
          <w:i/>
          <w:iCs/>
        </w:rPr>
      </w:pPr>
      <w:r w:rsidRPr="00415113">
        <w:rPr>
          <w:i/>
          <w:iCs/>
        </w:rPr>
        <w:t>Could a method for assessing cartilage wear or to image the cartilage surfaces be included, this would be interesting to readers.</w:t>
      </w:r>
    </w:p>
    <w:p w:rsidR="00CF2FFD" w:rsidRDefault="00415113" w:rsidP="00CF2FFD">
      <w:r>
        <w:t xml:space="preserve">Cartilage wear can be assessed by volumetric wear or </w:t>
      </w:r>
      <w:proofErr w:type="spellStart"/>
      <w:r>
        <w:t>sGAG</w:t>
      </w:r>
      <w:proofErr w:type="spellEnd"/>
      <w:r>
        <w:t xml:space="preserve"> content.</w:t>
      </w:r>
      <w:r w:rsidR="00310FFF">
        <w:t xml:space="preserve"> In a previous study investigating osteochondral cylinders and the effect of orientation during autologous osteochondral transplantation, we used </w:t>
      </w:r>
      <w:proofErr w:type="spellStart"/>
      <w:r w:rsidR="00310FFF">
        <w:t>Alicona</w:t>
      </w:r>
      <w:proofErr w:type="spellEnd"/>
      <w:r w:rsidR="00310FFF">
        <w:t xml:space="preserve"> 3D microscopy </w:t>
      </w:r>
      <w:r w:rsidR="00446FC8">
        <w:t xml:space="preserve">to image the surface </w:t>
      </w:r>
      <w:r w:rsidR="00310FFF">
        <w:t>(see below, Bauer et al, JOR). However, surface analysis beyond histological section was not planned for this protocol.</w:t>
      </w:r>
    </w:p>
    <w:p w:rsidR="00310FFF" w:rsidRDefault="00310FFF" w:rsidP="00CF2FFD">
      <w:r w:rsidRPr="00310FFF">
        <w:drawing>
          <wp:inline distT="0" distB="0" distL="0" distR="0" wp14:anchorId="44E091A0" wp14:editId="540A9BDA">
            <wp:extent cx="3053593" cy="1176506"/>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58846" cy="1178530"/>
                    </a:xfrm>
                    <a:prstGeom prst="rect">
                      <a:avLst/>
                    </a:prstGeom>
                  </pic:spPr>
                </pic:pic>
              </a:graphicData>
            </a:graphic>
          </wp:inline>
        </w:drawing>
      </w:r>
    </w:p>
    <w:p w:rsidR="00415113" w:rsidRDefault="00415113" w:rsidP="00CF2FFD"/>
    <w:p w:rsidR="00CF2FFD" w:rsidRPr="00756A05" w:rsidRDefault="00CF2FFD" w:rsidP="00CF2FFD">
      <w:pPr>
        <w:rPr>
          <w:i/>
          <w:iCs/>
        </w:rPr>
      </w:pPr>
      <w:r w:rsidRPr="00756A05">
        <w:rPr>
          <w:i/>
          <w:iCs/>
        </w:rPr>
        <w:t>In Figure 1, indicate what is analysed from the fuji film measurements, is only the pink area analysed or is the contact area extrapolated from the pink region?</w:t>
      </w:r>
    </w:p>
    <w:p w:rsidR="00756A05" w:rsidRDefault="00756A05" w:rsidP="00CF2FFD">
      <w:r>
        <w:rPr>
          <w:rFonts w:cstheme="minorHAnsi"/>
          <w:color w:val="000000" w:themeColor="text1"/>
        </w:rPr>
        <w:t>Figure 1 shows p</w:t>
      </w:r>
      <w:r w:rsidRPr="00F67931">
        <w:rPr>
          <w:rFonts w:cstheme="minorHAnsi"/>
          <w:color w:val="000000" w:themeColor="text1"/>
        </w:rPr>
        <w:t xml:space="preserve">ressure measurement </w:t>
      </w:r>
      <w:r w:rsidRPr="00F67931">
        <w:t xml:space="preserve">of the </w:t>
      </w:r>
      <w:r>
        <w:t xml:space="preserve">initial </w:t>
      </w:r>
      <w:r w:rsidRPr="00F67931">
        <w:t xml:space="preserve">contact area </w:t>
      </w:r>
      <w:r>
        <w:t xml:space="preserve">at the metal-cartilage interface </w:t>
      </w:r>
      <w:r w:rsidRPr="00F67931">
        <w:t xml:space="preserve">before </w:t>
      </w:r>
      <w:r>
        <w:t>sliding (static load)</w:t>
      </w:r>
      <w:r>
        <w:t xml:space="preserve">. Due to </w:t>
      </w:r>
      <w:r w:rsidRPr="00F67931">
        <w:t xml:space="preserve">the convexity of the metal cylinder and the articular </w:t>
      </w:r>
      <w:r>
        <w:t>surface and its elastic properties, the</w:t>
      </w:r>
      <w:r w:rsidRPr="00F67931">
        <w:t xml:space="preserve"> </w:t>
      </w:r>
      <w:r>
        <w:t xml:space="preserve">initial </w:t>
      </w:r>
      <w:r w:rsidRPr="00F67931">
        <w:t xml:space="preserve">contact area </w:t>
      </w:r>
      <w:r>
        <w:t>is</w:t>
      </w:r>
      <w:r w:rsidRPr="00F67931">
        <w:t xml:space="preserve"> elliptical</w:t>
      </w:r>
      <w:r>
        <w:t>. During sliding, this initial contact area moves with a stroke of 2mm, resulting in a larger area that is exposed to mechanical loading</w:t>
      </w:r>
      <w:r>
        <w:t>. We changed the figure legend to be more clear. Additionally, we added a scale bar.</w:t>
      </w:r>
    </w:p>
    <w:p w:rsidR="00756A05" w:rsidRDefault="00756A05" w:rsidP="00CF2FFD"/>
    <w:p w:rsidR="00CF2FFD" w:rsidRPr="00F63988" w:rsidRDefault="00CF2FFD" w:rsidP="00CF2FFD">
      <w:pPr>
        <w:rPr>
          <w:i/>
          <w:iCs/>
        </w:rPr>
      </w:pPr>
      <w:r w:rsidRPr="00F63988">
        <w:rPr>
          <w:i/>
          <w:iCs/>
        </w:rPr>
        <w:t>In Figure 2, include a legend detailing the lines, give details of the contact pressure applied and comment on whether the variability in this data is typical.</w:t>
      </w:r>
    </w:p>
    <w:p w:rsidR="00CF2FFD" w:rsidRDefault="00F63988" w:rsidP="00CF2FFD">
      <w:r>
        <w:t xml:space="preserve">The figure legend was changed accordingly. </w:t>
      </w:r>
      <w:r>
        <w:t xml:space="preserve">Each </w:t>
      </w:r>
      <w:r>
        <w:t>coloured</w:t>
      </w:r>
      <w:r>
        <w:t xml:space="preserve"> line represents the COF of one osteochondral cylinder</w:t>
      </w:r>
      <w:r>
        <w:t xml:space="preserve"> (7 in total in this figure)</w:t>
      </w:r>
      <w:r>
        <w:t>. The observed variability is within the limits for biological samples.</w:t>
      </w:r>
      <w:r>
        <w:t xml:space="preserve"> Find below a figure for the time-dependent COF (</w:t>
      </w:r>
      <w:proofErr w:type="spellStart"/>
      <w:r>
        <w:t>mean±SD</w:t>
      </w:r>
      <w:proofErr w:type="spellEnd"/>
      <w:r>
        <w:t>) with different loading conditions (from Stotter et al., JOR)</w:t>
      </w:r>
      <w:r w:rsidR="00052D66">
        <w:t>.</w:t>
      </w:r>
    </w:p>
    <w:p w:rsidR="00F63988" w:rsidRDefault="00F63988" w:rsidP="00CF2FFD">
      <w:r w:rsidRPr="00F63988">
        <w:lastRenderedPageBreak/>
        <w:drawing>
          <wp:inline distT="0" distB="0" distL="0" distR="0" wp14:anchorId="08981221" wp14:editId="65044632">
            <wp:extent cx="1820411" cy="2319589"/>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3757" cy="2349337"/>
                    </a:xfrm>
                    <a:prstGeom prst="rect">
                      <a:avLst/>
                    </a:prstGeom>
                  </pic:spPr>
                </pic:pic>
              </a:graphicData>
            </a:graphic>
          </wp:inline>
        </w:drawing>
      </w:r>
    </w:p>
    <w:p w:rsidR="00635BE3" w:rsidRDefault="00635BE3" w:rsidP="00CF2FFD"/>
    <w:p w:rsidR="00CF2FFD" w:rsidRPr="00635BE3" w:rsidRDefault="00CF2FFD" w:rsidP="00CF2FFD">
      <w:pPr>
        <w:rPr>
          <w:i/>
          <w:iCs/>
        </w:rPr>
      </w:pPr>
      <w:r w:rsidRPr="00635BE3">
        <w:rPr>
          <w:i/>
          <w:iCs/>
        </w:rPr>
        <w:t>In Figure 3, please make labels B and C clearer.</w:t>
      </w:r>
    </w:p>
    <w:p w:rsidR="00CF2FFD" w:rsidRDefault="00635BE3" w:rsidP="00CF2FFD">
      <w:r>
        <w:t>The labels were moved for better visualization.</w:t>
      </w:r>
    </w:p>
    <w:p w:rsidR="00635BE3" w:rsidRDefault="00635BE3" w:rsidP="00CF2FFD"/>
    <w:p w:rsidR="00CF2FFD" w:rsidRPr="00635BE3" w:rsidRDefault="00CF2FFD" w:rsidP="00CF2FFD">
      <w:pPr>
        <w:rPr>
          <w:i/>
          <w:iCs/>
        </w:rPr>
      </w:pPr>
      <w:r w:rsidRPr="00635BE3">
        <w:rPr>
          <w:i/>
          <w:iCs/>
        </w:rPr>
        <w:t>Update ISO 5832-12 to the 2019 reference</w:t>
      </w:r>
    </w:p>
    <w:p w:rsidR="00CF2FFD" w:rsidRDefault="00635BE3" w:rsidP="00CF2FFD">
      <w:r>
        <w:t>We updated to the 2019 ISO reference.</w:t>
      </w:r>
    </w:p>
    <w:p w:rsidR="00635BE3" w:rsidRDefault="00635BE3" w:rsidP="00CF2FFD"/>
    <w:p w:rsidR="00CF2FFD" w:rsidRPr="00635BE3" w:rsidRDefault="00CF2FFD" w:rsidP="00CF2FFD">
      <w:pPr>
        <w:rPr>
          <w:i/>
          <w:iCs/>
        </w:rPr>
      </w:pPr>
      <w:r w:rsidRPr="00635BE3">
        <w:rPr>
          <w:i/>
          <w:iCs/>
        </w:rPr>
        <w:t>Please include a reference demonstrating the similarity between the human and bovine cartilage (lines 334-337).</w:t>
      </w:r>
    </w:p>
    <w:p w:rsidR="00CF2FFD" w:rsidRDefault="00635BE3" w:rsidP="00CF2FFD">
      <w:r>
        <w:t>A reference that demonstrates the similarity between human and bovine cartilage was introduced (Temple et al, BMC 2016).</w:t>
      </w:r>
    </w:p>
    <w:p w:rsidR="00A71E0E" w:rsidRPr="00635BE3" w:rsidRDefault="00A71E0E" w:rsidP="00CF2FFD"/>
    <w:p w:rsidR="00CF2FFD" w:rsidRPr="00A71E0E" w:rsidRDefault="00CF2FFD" w:rsidP="00CF2FFD">
      <w:pPr>
        <w:rPr>
          <w:i/>
          <w:iCs/>
        </w:rPr>
      </w:pPr>
      <w:r w:rsidRPr="00A71E0E">
        <w:rPr>
          <w:i/>
          <w:iCs/>
        </w:rPr>
        <w:t>Consider whether limitations of this method such as the use of bovine plugs rather than whole condyles which disrupts the collagen network and changes the fluid pressurisation within the cartilage should be considered</w:t>
      </w:r>
      <w:r w:rsidR="00A71E0E">
        <w:rPr>
          <w:i/>
          <w:iCs/>
        </w:rPr>
        <w:t>.</w:t>
      </w:r>
    </w:p>
    <w:p w:rsidR="00A71E0E" w:rsidRDefault="00A71E0E" w:rsidP="00CF2FFD">
      <w:r>
        <w:t>We are aware that this protocol is not without limitations. One limitation is that this experimental set-up is not a whole joint model. During harvesting the collagen network might get damaged and the unconfined loading conditions might alter fluid pressurization. However, large sample numbers can be tested and reproducibility is high.</w:t>
      </w:r>
    </w:p>
    <w:p w:rsidR="00CF2FFD" w:rsidRDefault="00A71E0E" w:rsidP="00CF2FFD">
      <w:r>
        <w:t xml:space="preserve">We included this limitation in the discussion section. </w:t>
      </w:r>
    </w:p>
    <w:p w:rsidR="00CF2FFD" w:rsidRDefault="00CF2FFD" w:rsidP="00CF2FFD"/>
    <w:p w:rsidR="00CF2FFD" w:rsidRDefault="00CF2FFD" w:rsidP="00CF2FFD">
      <w:pPr>
        <w:rPr>
          <w:b/>
          <w:bCs/>
        </w:rPr>
      </w:pPr>
      <w:r w:rsidRPr="008239ED">
        <w:rPr>
          <w:b/>
          <w:bCs/>
        </w:rPr>
        <w:t>Reviewer #2:</w:t>
      </w:r>
    </w:p>
    <w:p w:rsidR="008239ED" w:rsidRDefault="008239ED" w:rsidP="00CF2FFD">
      <w:r>
        <w:t xml:space="preserve">Thank you for your detailed response. We addressed your concerns and believe that the manuscript quality improved through the changes. </w:t>
      </w:r>
    </w:p>
    <w:p w:rsidR="008239ED" w:rsidRPr="008239ED" w:rsidRDefault="008239ED" w:rsidP="00CF2FFD"/>
    <w:p w:rsidR="00CF2FFD" w:rsidRPr="008239ED" w:rsidRDefault="00CF2FFD" w:rsidP="00CF2FFD">
      <w:pPr>
        <w:rPr>
          <w:b/>
          <w:bCs/>
        </w:rPr>
      </w:pPr>
      <w:r w:rsidRPr="008239ED">
        <w:rPr>
          <w:b/>
          <w:bCs/>
        </w:rPr>
        <w:t>Major Concerns:</w:t>
      </w:r>
    </w:p>
    <w:p w:rsidR="00CF2FFD" w:rsidRPr="008239ED" w:rsidRDefault="00CF2FFD" w:rsidP="00CF2FFD">
      <w:pPr>
        <w:rPr>
          <w:i/>
          <w:iCs/>
        </w:rPr>
      </w:pPr>
      <w:r w:rsidRPr="008239ED">
        <w:rPr>
          <w:i/>
          <w:iCs/>
        </w:rPr>
        <w:t>Although the authors state that physiological loads and overload conditions can be simulated, very little guidance is given in the methods on how to determine the appropriate loads and speed to attain this. This is somewhat described later, but greater detail in needed in the methods as this is a very important aspect to the protocol.</w:t>
      </w:r>
    </w:p>
    <w:p w:rsidR="00CF2FFD" w:rsidRDefault="008239ED" w:rsidP="00CF2FFD">
      <w:r>
        <w:t xml:space="preserve">The ultimate goal of this protocol is to simulate loading conditions occurring in vivo. Therefore, information on physiological and overload conditions are crucial for the reader. We provided more information in the discussion on the magnitudes of load and sliding velocity observed in  healthy joints under physiological conditions (e.g. level walking) and overload situations. Ultimately, contact pressure is determined at the beginning of the experiments to confirm the desired values. </w:t>
      </w:r>
      <w:r w:rsidRPr="008239ED">
        <w:t xml:space="preserve">For 1N of load, the contact pressure was </w:t>
      </w:r>
      <w:r w:rsidRPr="008239ED">
        <w:lastRenderedPageBreak/>
        <w:t>determined around 2MPa by visual comparison with defined contact pressures.</w:t>
      </w:r>
      <w:r>
        <w:t xml:space="preserve"> This information was added to the protocol.</w:t>
      </w:r>
    </w:p>
    <w:p w:rsidR="008239ED" w:rsidRDefault="008239ED" w:rsidP="00CF2FFD"/>
    <w:p w:rsidR="00CF2FFD" w:rsidRPr="0018438A" w:rsidRDefault="00CF2FFD" w:rsidP="00CF2FFD">
      <w:pPr>
        <w:rPr>
          <w:i/>
          <w:iCs/>
        </w:rPr>
      </w:pPr>
      <w:r w:rsidRPr="0018438A">
        <w:rPr>
          <w:i/>
          <w:iCs/>
        </w:rPr>
        <w:t>Very little is mentioned about the pros and cons of this protocol. Are there cases where this tribological experiment is not appropriate (for example, do the samples need to be a certain size)? Why were these assays picked to assess the cartilage and not others?</w:t>
      </w:r>
    </w:p>
    <w:p w:rsidR="0018438A" w:rsidRDefault="0018438A" w:rsidP="00CF2FFD">
      <w:r>
        <w:t xml:space="preserve">Thank you for this valuable feedback. We are aware that this protocol has certain pros and cons. The provided information on contact mechanics and loading conditions apply for samples with the specified dimensions. Naturally, the protocol might be adapted for larger samples with higher sliding speed and stroke length. </w:t>
      </w:r>
      <w:r w:rsidR="00CA2DFE">
        <w:t xml:space="preserve">The assays that were picked for this protocol have been established during the last years and previous studies. Over time, we have used various assays and methods. We found that gene expression is sensitive for detecting early responses in the biosynthetic activity of articular chondrocytes. We picked a selection of both anabolic and catabolic genes. For histology, we found that Safranin O staining with counterstaining provides the best information on proteoglycan content, collagen network and cellular distribution. Other </w:t>
      </w:r>
      <w:proofErr w:type="spellStart"/>
      <w:r w:rsidR="00CA2DFE">
        <w:t>stainings</w:t>
      </w:r>
      <w:proofErr w:type="spellEnd"/>
      <w:r w:rsidR="00CA2DFE">
        <w:t xml:space="preserve">, like H&amp;E or </w:t>
      </w:r>
      <w:proofErr w:type="spellStart"/>
      <w:r w:rsidR="00CA2DFE">
        <w:t>alcian</w:t>
      </w:r>
      <w:proofErr w:type="spellEnd"/>
      <w:r w:rsidR="00CA2DFE">
        <w:t xml:space="preserve"> staining, do not provide additional information and have certain drawbacks. With </w:t>
      </w:r>
      <w:proofErr w:type="spellStart"/>
      <w:r w:rsidR="00CA2DFE">
        <w:t>alcian</w:t>
      </w:r>
      <w:proofErr w:type="spellEnd"/>
      <w:r w:rsidR="00CA2DFE">
        <w:t xml:space="preserve"> staining, for example, distinguishing between different types of collagen is not possible.</w:t>
      </w:r>
    </w:p>
    <w:p w:rsidR="0018438A" w:rsidRDefault="0018438A" w:rsidP="00CF2FFD"/>
    <w:p w:rsidR="00CF2FFD" w:rsidRPr="00F4197E" w:rsidRDefault="00CF2FFD" w:rsidP="00CF2FFD">
      <w:pPr>
        <w:rPr>
          <w:b/>
          <w:bCs/>
        </w:rPr>
      </w:pPr>
      <w:r w:rsidRPr="00F4197E">
        <w:rPr>
          <w:b/>
          <w:bCs/>
        </w:rPr>
        <w:t>Minor Concerns:</w:t>
      </w:r>
    </w:p>
    <w:p w:rsidR="00CF2FFD" w:rsidRPr="00F4197E" w:rsidRDefault="00CF2FFD" w:rsidP="00CF2FFD">
      <w:pPr>
        <w:rPr>
          <w:i/>
          <w:iCs/>
        </w:rPr>
      </w:pPr>
      <w:r w:rsidRPr="00F4197E">
        <w:rPr>
          <w:i/>
          <w:iCs/>
        </w:rPr>
        <w:t>Line 56: You introduce the use of metal implants here. Can you briefly include a statement about why there is still an interest in metal implants when allograft implantation is an alternative treatment?</w:t>
      </w:r>
    </w:p>
    <w:p w:rsidR="00F4197E" w:rsidRDefault="00F4197E" w:rsidP="00CF2FFD">
      <w:r>
        <w:t xml:space="preserve">Certainly, allograft implantation is an alternative treatment. However, allografts are not easily available for use everywhere. Additionally, in certain countries the regulatory framework makes the use of osteochondral allografts difficult. Focal metallic implants provide an alternative treatment option that allows early weight bearing and provides fast recovery. We included a statement in the introduction section. </w:t>
      </w:r>
    </w:p>
    <w:p w:rsidR="00F4197E" w:rsidRDefault="00F4197E" w:rsidP="00CF2FFD"/>
    <w:p w:rsidR="00CF2FFD" w:rsidRPr="00E973CC" w:rsidRDefault="00CF2FFD" w:rsidP="00CF2FFD">
      <w:pPr>
        <w:rPr>
          <w:i/>
          <w:iCs/>
        </w:rPr>
      </w:pPr>
      <w:r w:rsidRPr="00E973CC">
        <w:rPr>
          <w:i/>
          <w:iCs/>
        </w:rPr>
        <w:t>Line 82: You refer to provided values for the composition analysis. Can you provide these as a reference to readers?</w:t>
      </w:r>
    </w:p>
    <w:p w:rsidR="00E973CC" w:rsidRDefault="00E973CC" w:rsidP="00E973CC">
      <w:r>
        <w:t xml:space="preserve">The CoCrMo raw material was purchased by </w:t>
      </w:r>
      <w:proofErr w:type="spellStart"/>
      <w:r w:rsidRPr="00DE697B">
        <w:t>Acnis</w:t>
      </w:r>
      <w:proofErr w:type="spellEnd"/>
      <w:r w:rsidRPr="00DE697B">
        <w:t xml:space="preserve"> International</w:t>
      </w:r>
      <w:r>
        <w:t xml:space="preserve"> and the provided composition values where then confirmed. The following table provides the detailed information (from </w:t>
      </w:r>
      <w:proofErr w:type="spellStart"/>
      <w:r>
        <w:t>Stojanovic</w:t>
      </w:r>
      <w:proofErr w:type="spellEnd"/>
      <w:r>
        <w:t xml:space="preserve"> et al, Acta </w:t>
      </w:r>
      <w:proofErr w:type="spellStart"/>
      <w:r>
        <w:t>Biomat</w:t>
      </w:r>
      <w:proofErr w:type="spellEnd"/>
      <w:r>
        <w:t>). This information has also been included in the manuscript.</w:t>
      </w:r>
    </w:p>
    <w:p w:rsidR="00700072" w:rsidRDefault="00E973CC" w:rsidP="00CF2FFD">
      <w:r w:rsidRPr="00700072">
        <w:drawing>
          <wp:inline distT="0" distB="0" distL="0" distR="0" wp14:anchorId="7CF179A4" wp14:editId="56D48C60">
            <wp:extent cx="5041900" cy="596900"/>
            <wp:effectExtent l="0" t="0" r="0" b="0"/>
            <wp:docPr id="4"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41900" cy="596900"/>
                    </a:xfrm>
                    <a:prstGeom prst="rect">
                      <a:avLst/>
                    </a:prstGeom>
                  </pic:spPr>
                </pic:pic>
              </a:graphicData>
            </a:graphic>
          </wp:inline>
        </w:drawing>
      </w:r>
    </w:p>
    <w:p w:rsidR="00E973CC" w:rsidRDefault="00E973CC" w:rsidP="00CF2FFD"/>
    <w:p w:rsidR="00CF2FFD" w:rsidRPr="006A3C2D" w:rsidRDefault="00CF2FFD" w:rsidP="00CF2FFD">
      <w:pPr>
        <w:rPr>
          <w:i/>
          <w:iCs/>
        </w:rPr>
      </w:pPr>
      <w:r w:rsidRPr="006A3C2D">
        <w:rPr>
          <w:i/>
          <w:iCs/>
        </w:rPr>
        <w:t>Line 88: How do you know that surface roughness is within tolerance requirements? Are you measuring this? If so, how?</w:t>
      </w:r>
    </w:p>
    <w:p w:rsidR="00E973CC" w:rsidRDefault="00E973CC" w:rsidP="00E973CC">
      <w:r w:rsidRPr="0006282F">
        <w:t xml:space="preserve">The surface roughness is determined by </w:t>
      </w:r>
      <w:proofErr w:type="spellStart"/>
      <w:r w:rsidRPr="0006282F">
        <w:t>analyzing</w:t>
      </w:r>
      <w:proofErr w:type="spellEnd"/>
      <w:r w:rsidRPr="0006282F">
        <w:t xml:space="preserve"> the deviations of the real surface from its ideal form using </w:t>
      </w:r>
      <w:r w:rsidR="0006282F" w:rsidRPr="0006282F">
        <w:t>confocal microscope</w:t>
      </w:r>
      <w:r w:rsidRPr="0006282F">
        <w:t>.</w:t>
      </w:r>
      <w:r w:rsidRPr="0006282F">
        <w:t xml:space="preserve"> The described preparation resulted </w:t>
      </w:r>
      <w:r w:rsidRPr="0006282F">
        <w:t>in a final Ra value of 15 ± 2 nm</w:t>
      </w:r>
      <w:r w:rsidRPr="0006282F">
        <w:t xml:space="preserve"> for the</w:t>
      </w:r>
      <w:r>
        <w:t xml:space="preserve"> CoCrMo samples.</w:t>
      </w:r>
    </w:p>
    <w:p w:rsidR="00E973CC" w:rsidRDefault="00E973CC" w:rsidP="00CF2FFD"/>
    <w:p w:rsidR="00CF2FFD" w:rsidRPr="006A3C2D" w:rsidRDefault="00CF2FFD" w:rsidP="00CF2FFD">
      <w:pPr>
        <w:rPr>
          <w:i/>
          <w:iCs/>
        </w:rPr>
      </w:pPr>
      <w:r w:rsidRPr="006A3C2D">
        <w:rPr>
          <w:i/>
          <w:iCs/>
        </w:rPr>
        <w:t>Line 95: You may want to add a note here to be careful not to damage the surface as this is very easy to do.</w:t>
      </w:r>
    </w:p>
    <w:p w:rsidR="006A3C2D" w:rsidRDefault="006A3C2D" w:rsidP="00CF2FFD">
      <w:r>
        <w:t>We included a note that highlights the importance of caution dissection.</w:t>
      </w:r>
    </w:p>
    <w:p w:rsidR="00CF2FFD" w:rsidRPr="006E2D9E" w:rsidRDefault="00CF2FFD" w:rsidP="00CF2FFD">
      <w:pPr>
        <w:rPr>
          <w:i/>
          <w:iCs/>
        </w:rPr>
      </w:pPr>
      <w:r w:rsidRPr="006E2D9E">
        <w:rPr>
          <w:i/>
          <w:iCs/>
        </w:rPr>
        <w:lastRenderedPageBreak/>
        <w:t>Line 100: While you specify that plugs are obtained from the weight-bearing region of the condyle, a comment on regional differences in tribological properties would be appropriate.</w:t>
      </w:r>
    </w:p>
    <w:p w:rsidR="006E2D9E" w:rsidRDefault="006E2D9E" w:rsidP="00CF2FFD">
      <w:r>
        <w:t xml:space="preserve">We included a corresponding paragraph in the discussion that describes </w:t>
      </w:r>
      <w:r>
        <w:rPr>
          <w:rFonts w:cstheme="minorHAnsi"/>
        </w:rPr>
        <w:t>regional</w:t>
      </w:r>
      <w:r>
        <w:t xml:space="preserve"> </w:t>
      </w:r>
      <w:r>
        <w:rPr>
          <w:rFonts w:cstheme="minorHAnsi"/>
        </w:rPr>
        <w:t>differences</w:t>
      </w:r>
      <w:r>
        <w:rPr>
          <w:rFonts w:cstheme="minorHAnsi"/>
        </w:rPr>
        <w:t xml:space="preserve"> in</w:t>
      </w:r>
      <w:r>
        <w:t xml:space="preserve"> </w:t>
      </w:r>
      <w:r>
        <w:rPr>
          <w:rFonts w:cstheme="minorHAnsi"/>
        </w:rPr>
        <w:t>c</w:t>
      </w:r>
      <w:r>
        <w:rPr>
          <w:rFonts w:cstheme="minorHAnsi"/>
        </w:rPr>
        <w:t>artilage thickness, collagen architecture and resulting tribological properties over the articular</w:t>
      </w:r>
      <w:r>
        <w:rPr>
          <w:rFonts w:cstheme="minorHAnsi"/>
        </w:rPr>
        <w:t xml:space="preserve"> surface.</w:t>
      </w:r>
    </w:p>
    <w:p w:rsidR="006E2D9E" w:rsidRDefault="006E2D9E" w:rsidP="00CF2FFD"/>
    <w:p w:rsidR="00CF2FFD" w:rsidRPr="00201633" w:rsidRDefault="00CF2FFD" w:rsidP="00CF2FFD">
      <w:pPr>
        <w:rPr>
          <w:i/>
          <w:iCs/>
        </w:rPr>
      </w:pPr>
      <w:r w:rsidRPr="00201633">
        <w:rPr>
          <w:i/>
          <w:iCs/>
        </w:rPr>
        <w:t>Line 113: Can you approximate how many plugs can be obtained from the condyle (or weight-bearing region)?</w:t>
      </w:r>
    </w:p>
    <w:p w:rsidR="00201633" w:rsidRDefault="00201633" w:rsidP="00CF2FFD">
      <w:r>
        <w:rPr>
          <w:rFonts w:cstheme="minorHAnsi"/>
          <w:color w:val="000000" w:themeColor="text1"/>
        </w:rPr>
        <w:t>Typically, 9 to 12 osteochondral cylinder can be harvested from the weight bearing area on the medial femoral condyle.</w:t>
      </w:r>
    </w:p>
    <w:p w:rsidR="00201633" w:rsidRDefault="00201633" w:rsidP="00CF2FFD"/>
    <w:p w:rsidR="00CF2FFD" w:rsidRPr="00D07FE7" w:rsidRDefault="00CF2FFD" w:rsidP="00CF2FFD">
      <w:pPr>
        <w:rPr>
          <w:i/>
          <w:iCs/>
        </w:rPr>
      </w:pPr>
      <w:r w:rsidRPr="00D07FE7">
        <w:rPr>
          <w:i/>
          <w:iCs/>
        </w:rPr>
        <w:t>Line 123: Is this tribometer purchased or made in-house? Although the video will show the tribometer, a schematic of the apparatus would be helpful here.</w:t>
      </w:r>
    </w:p>
    <w:p w:rsidR="00F34E41" w:rsidRDefault="00D07FE7" w:rsidP="00CF2FFD">
      <w:r>
        <w:t xml:space="preserve">We used a commercially available </w:t>
      </w:r>
      <w:r>
        <w:t>tribometer</w:t>
      </w:r>
      <w:r w:rsidR="002E77C2">
        <w:t xml:space="preserve"> for our experiments.</w:t>
      </w:r>
      <w:r w:rsidR="002F4197">
        <w:t xml:space="preserve"> As the video will show the experimental set-up and tribometer, we decided not to include a schematic of the apparatus in the manuscript.</w:t>
      </w:r>
    </w:p>
    <w:p w:rsidR="00F34E41" w:rsidRDefault="00F34E41" w:rsidP="00CF2FFD"/>
    <w:p w:rsidR="00CF2FFD" w:rsidRPr="00DB7741" w:rsidRDefault="00CF2FFD" w:rsidP="00CF2FFD">
      <w:pPr>
        <w:rPr>
          <w:i/>
          <w:iCs/>
        </w:rPr>
      </w:pPr>
      <w:r w:rsidRPr="00DB7741">
        <w:rPr>
          <w:i/>
          <w:iCs/>
        </w:rPr>
        <w:t>Line 139: How does one determine stroke length? This is just another example of a parameter that can be adjusted, but it is unclear how it impacts the experiment.</w:t>
      </w:r>
    </w:p>
    <w:p w:rsidR="00DB7741" w:rsidRDefault="00DB7741" w:rsidP="00CF2FFD">
      <w:r>
        <w:t xml:space="preserve">The stroke length can be set like the other parameters. </w:t>
      </w:r>
      <w:r w:rsidRPr="007B542D">
        <w:rPr>
          <w:rFonts w:cstheme="minorHAnsi"/>
          <w:color w:val="000000" w:themeColor="text1"/>
        </w:rPr>
        <w:t>The stroke length of the reciprocating motion must be set according to the contact area to create a migrating contact area (MCA)</w:t>
      </w:r>
      <w:r>
        <w:rPr>
          <w:rFonts w:cstheme="minorHAnsi"/>
          <w:color w:val="000000" w:themeColor="text1"/>
        </w:rPr>
        <w:t>.</w:t>
      </w:r>
      <w:r w:rsidRPr="007B542D">
        <w:rPr>
          <w:rFonts w:cstheme="minorHAnsi"/>
          <w:color w:val="000000" w:themeColor="text1"/>
        </w:rPr>
        <w:t xml:space="preserve"> </w:t>
      </w:r>
      <w:r>
        <w:rPr>
          <w:rFonts w:cstheme="minorHAnsi"/>
          <w:color w:val="000000" w:themeColor="text1"/>
        </w:rPr>
        <w:t xml:space="preserve">For plugs with 8mm in diameter, a 2 mm stroke </w:t>
      </w:r>
      <w:r w:rsidRPr="007B542D">
        <w:rPr>
          <w:rFonts w:cstheme="minorHAnsi"/>
          <w:color w:val="000000" w:themeColor="text1"/>
        </w:rPr>
        <w:t>allow</w:t>
      </w:r>
      <w:r>
        <w:rPr>
          <w:rFonts w:cstheme="minorHAnsi"/>
          <w:color w:val="000000" w:themeColor="text1"/>
        </w:rPr>
        <w:t>s adequate</w:t>
      </w:r>
      <w:r w:rsidRPr="007B542D">
        <w:rPr>
          <w:rFonts w:cstheme="minorHAnsi"/>
          <w:color w:val="000000" w:themeColor="text1"/>
        </w:rPr>
        <w:t xml:space="preserve"> rehydration of the cartilage</w:t>
      </w:r>
      <w:r>
        <w:rPr>
          <w:rFonts w:cstheme="minorHAnsi"/>
          <w:color w:val="000000" w:themeColor="text1"/>
        </w:rPr>
        <w:t>. We included a not</w:t>
      </w:r>
      <w:r w:rsidR="00F51E45">
        <w:rPr>
          <w:rFonts w:cstheme="minorHAnsi"/>
          <w:color w:val="000000" w:themeColor="text1"/>
        </w:rPr>
        <w:t>e</w:t>
      </w:r>
      <w:r>
        <w:rPr>
          <w:rFonts w:cstheme="minorHAnsi"/>
          <w:color w:val="000000" w:themeColor="text1"/>
        </w:rPr>
        <w:t xml:space="preserve"> in the protocol.</w:t>
      </w:r>
    </w:p>
    <w:p w:rsidR="00DB7741" w:rsidRDefault="00DB7741" w:rsidP="00CF2FFD"/>
    <w:p w:rsidR="00CF2FFD" w:rsidRPr="00B24468" w:rsidRDefault="00CF2FFD" w:rsidP="00CF2FFD">
      <w:pPr>
        <w:rPr>
          <w:i/>
          <w:iCs/>
        </w:rPr>
      </w:pPr>
      <w:r w:rsidRPr="00B24468">
        <w:rPr>
          <w:i/>
          <w:iCs/>
        </w:rPr>
        <w:t>Line 148: Are the plugs that are stored after tribology then used for the following assays? It's unclear and sometimes it appears that different plugs are used entirely for different parts of the protocol. Please specify what sample gets stored and used for which assay.</w:t>
      </w:r>
    </w:p>
    <w:p w:rsidR="00B24468" w:rsidRDefault="00B24468" w:rsidP="00CF2FFD">
      <w:r>
        <w:t>All the plugs that are tested in the tribometer are subsequently analysed. In parallel, free-swelling controls are submerged in testing solution for the duration of the tests and are then analysed together with the tested samples.</w:t>
      </w:r>
    </w:p>
    <w:p w:rsidR="00B24468" w:rsidRDefault="00B24468" w:rsidP="00CF2FFD">
      <w:r>
        <w:t>We included additional information for better comprehension</w:t>
      </w:r>
      <w:r w:rsidR="003F1572">
        <w:t>.</w:t>
      </w:r>
    </w:p>
    <w:p w:rsidR="00B24468" w:rsidRDefault="00B24468" w:rsidP="00CF2FFD"/>
    <w:p w:rsidR="00CF2FFD" w:rsidRPr="00C74187" w:rsidRDefault="00CF2FFD" w:rsidP="00CF2FFD">
      <w:pPr>
        <w:rPr>
          <w:i/>
          <w:iCs/>
        </w:rPr>
      </w:pPr>
      <w:r w:rsidRPr="00C74187">
        <w:rPr>
          <w:i/>
          <w:iCs/>
        </w:rPr>
        <w:t xml:space="preserve">Line 168: Can you provide </w:t>
      </w:r>
      <w:proofErr w:type="spellStart"/>
      <w:r w:rsidRPr="00C74187">
        <w:rPr>
          <w:i/>
          <w:iCs/>
        </w:rPr>
        <w:t>hematoxylin</w:t>
      </w:r>
      <w:proofErr w:type="spellEnd"/>
      <w:r w:rsidRPr="00C74187">
        <w:rPr>
          <w:i/>
          <w:iCs/>
        </w:rPr>
        <w:t xml:space="preserve"> &amp; eosin and picrosirius red staining as well? These are also very important to assessing the state of the cartilage along with safranin-O.</w:t>
      </w:r>
    </w:p>
    <w:p w:rsidR="00C74187" w:rsidRDefault="00C74187" w:rsidP="00CF2FFD">
      <w:r>
        <w:t xml:space="preserve">We could provide H&amp;E staining and </w:t>
      </w:r>
      <w:proofErr w:type="spellStart"/>
      <w:r>
        <w:t>Alcian</w:t>
      </w:r>
      <w:proofErr w:type="spellEnd"/>
      <w:r>
        <w:t xml:space="preserve"> staining. However, we have found that these staining do not provide much additional information to Safranin-O  staining with counterstaining.</w:t>
      </w:r>
    </w:p>
    <w:p w:rsidR="00C74187" w:rsidRDefault="00C74187" w:rsidP="00CF2FFD"/>
    <w:p w:rsidR="00CF2FFD" w:rsidRPr="0064408C" w:rsidRDefault="00CF2FFD" w:rsidP="00CF2FFD">
      <w:pPr>
        <w:rPr>
          <w:i/>
          <w:iCs/>
        </w:rPr>
      </w:pPr>
      <w:r w:rsidRPr="0064408C">
        <w:rPr>
          <w:i/>
          <w:iCs/>
        </w:rPr>
        <w:t>Line 236: Prior to storing, did you determine the purity and concentration of the RNA? This is a vital step that must be included in the protocol.</w:t>
      </w:r>
    </w:p>
    <w:p w:rsidR="005D68D6" w:rsidRDefault="005D68D6" w:rsidP="00CF2FFD">
      <w:r w:rsidRPr="0064408C">
        <w:t xml:space="preserve">Determining purity and concentration of RNA before storing is a crucial step </w:t>
      </w:r>
      <w:r w:rsidR="0064408C">
        <w:t>before cDNA synthesis. We determined purity and concentration in preliminary tests when establishing this protocol. Results showed purity without DNA (checked with PCR without RT). Concentrations are naturally low. However, during PCR amplification occurs early. The cycle threshold values are normalized to the housekeeping gene GAPDH.</w:t>
      </w:r>
      <w:r w:rsidR="00CA6991">
        <w:t xml:space="preserve"> By strictly following the protocol, purity of the RNA can be assumed.</w:t>
      </w:r>
      <w:r w:rsidR="0064408C">
        <w:t xml:space="preserve"> </w:t>
      </w:r>
    </w:p>
    <w:p w:rsidR="005D68D6" w:rsidRDefault="005D68D6" w:rsidP="00CF2FFD"/>
    <w:p w:rsidR="00CF2FFD" w:rsidRPr="007F03DB" w:rsidRDefault="00CF2FFD" w:rsidP="00CF2FFD">
      <w:pPr>
        <w:rPr>
          <w:i/>
          <w:iCs/>
        </w:rPr>
      </w:pPr>
      <w:r w:rsidRPr="007F03DB">
        <w:rPr>
          <w:i/>
          <w:iCs/>
        </w:rPr>
        <w:lastRenderedPageBreak/>
        <w:t>Line 283: The description of Figure 3A appears to be incorrect. Across the surface layer, GAG content looks content. In contrast, the GAG content changes as one looks deeper into the tissue.</w:t>
      </w:r>
    </w:p>
    <w:p w:rsidR="00F81B16" w:rsidRDefault="00F81B16" w:rsidP="00CF2FFD">
      <w:r>
        <w:t>Figure 3 shows histological sections of osteochondral samples. A</w:t>
      </w:r>
      <w:r w:rsidR="007F03DB">
        <w:t>)</w:t>
      </w:r>
      <w:r>
        <w:t xml:space="preserve"> shows </w:t>
      </w:r>
      <w:r w:rsidR="007F03DB">
        <w:t xml:space="preserve">a </w:t>
      </w:r>
      <w:r>
        <w:t>baseline sample right after harvesting without mechanical loading.</w:t>
      </w:r>
      <w:r w:rsidR="007F03DB">
        <w:t xml:space="preserve"> Compared with the second sample (B, free-swelling control), A) shows higher GAG content throughout the tissue with small variation between the different zones.</w:t>
      </w:r>
    </w:p>
    <w:p w:rsidR="00F81B16" w:rsidRDefault="00F81B16" w:rsidP="00CF2FFD"/>
    <w:p w:rsidR="00CF2FFD" w:rsidRPr="007C286B" w:rsidRDefault="00CF2FFD" w:rsidP="00CF2FFD">
      <w:pPr>
        <w:rPr>
          <w:i/>
          <w:iCs/>
        </w:rPr>
      </w:pPr>
      <w:r w:rsidRPr="007C286B">
        <w:rPr>
          <w:i/>
          <w:iCs/>
        </w:rPr>
        <w:t>Line 288: Why did you choose to measure gene expression instead of the actual proteins?</w:t>
      </w:r>
    </w:p>
    <w:p w:rsidR="007C286B" w:rsidRPr="007C286B" w:rsidRDefault="007C286B" w:rsidP="00CF2FFD">
      <w:pPr>
        <w:rPr>
          <w:rFonts w:cstheme="minorHAnsi"/>
        </w:rPr>
      </w:pPr>
      <w:r w:rsidRPr="00B46A81">
        <w:rPr>
          <w:rFonts w:cstheme="minorHAnsi"/>
        </w:rPr>
        <w:t>Gene expression levels</w:t>
      </w:r>
      <w:r w:rsidRPr="00777CAB">
        <w:rPr>
          <w:rFonts w:cstheme="minorHAnsi"/>
        </w:rPr>
        <w:t>, but not proteins,</w:t>
      </w:r>
      <w:r w:rsidRPr="00734C47">
        <w:rPr>
          <w:rFonts w:cstheme="minorHAnsi"/>
        </w:rPr>
        <w:t xml:space="preserve"> were </w:t>
      </w:r>
      <w:r w:rsidRPr="00734C47">
        <w:rPr>
          <w:rFonts w:cstheme="minorHAnsi"/>
        </w:rPr>
        <w:t>analysed</w:t>
      </w:r>
      <w:r w:rsidRPr="00734C47">
        <w:rPr>
          <w:rFonts w:cstheme="minorHAnsi"/>
        </w:rPr>
        <w:t xml:space="preserve"> to detect early changes in the biosynthetic activity of articular chondrocytes.</w:t>
      </w:r>
      <w:r>
        <w:rPr>
          <w:rFonts w:cstheme="minorHAnsi"/>
        </w:rPr>
        <w:t xml:space="preserve"> In addition to histological sections and metabolic activity, these assays provide comprehensive information on the effects of mechanical loading on articular cartilage.</w:t>
      </w:r>
    </w:p>
    <w:p w:rsidR="007C286B" w:rsidRDefault="007C286B" w:rsidP="00CF2FFD"/>
    <w:p w:rsidR="00CF2FFD" w:rsidRPr="00CE497F" w:rsidRDefault="00CF2FFD" w:rsidP="00CF2FFD">
      <w:pPr>
        <w:rPr>
          <w:i/>
          <w:iCs/>
        </w:rPr>
      </w:pPr>
      <w:r w:rsidRPr="00CE497F">
        <w:rPr>
          <w:i/>
          <w:iCs/>
        </w:rPr>
        <w:t>Line 340: Boundary lubrication can be obtained with a PBS-only lubricant, but the testing parameters would need to be adjusted. Since a Stribeck curve is not being shown here, it would be good to comment on why the loads/speeds used here are representative of boundary lubrication.</w:t>
      </w:r>
    </w:p>
    <w:p w:rsidR="00CE497F" w:rsidRDefault="00CE497F" w:rsidP="00CF2FFD">
      <w:r>
        <w:t>The different lubrication modes of articular cartilage with different loading conditions are now discussed in a dedicated paragraph in the discussion.</w:t>
      </w:r>
    </w:p>
    <w:p w:rsidR="00CE497F" w:rsidRDefault="00CE497F" w:rsidP="00CF2FFD"/>
    <w:p w:rsidR="00CF2FFD" w:rsidRPr="00F164D7" w:rsidRDefault="00CF2FFD" w:rsidP="00CF2FFD">
      <w:pPr>
        <w:rPr>
          <w:i/>
          <w:iCs/>
        </w:rPr>
      </w:pPr>
      <w:r w:rsidRPr="00F164D7">
        <w:rPr>
          <w:i/>
          <w:iCs/>
        </w:rPr>
        <w:t>Figure 1: Please add a scale bar.</w:t>
      </w:r>
    </w:p>
    <w:p w:rsidR="00F164D7" w:rsidRDefault="00F164D7" w:rsidP="00CF2FFD">
      <w:r>
        <w:t>We added a scale bar (2mm) and changed the figure legend according</w:t>
      </w:r>
      <w:r w:rsidR="004E7345">
        <w:t>l</w:t>
      </w:r>
      <w:r>
        <w:t xml:space="preserve">y. </w:t>
      </w:r>
    </w:p>
    <w:p w:rsidR="0006282F" w:rsidRDefault="0006282F" w:rsidP="00CF2FFD"/>
    <w:p w:rsidR="00CF2FFD" w:rsidRPr="0006282F" w:rsidRDefault="00CF2FFD" w:rsidP="00CF2FFD">
      <w:pPr>
        <w:rPr>
          <w:i/>
          <w:iCs/>
        </w:rPr>
      </w:pPr>
      <w:r w:rsidRPr="0006282F">
        <w:rPr>
          <w:i/>
          <w:iCs/>
        </w:rPr>
        <w:t>Figure 2: Please add a legend describing the differences in colo</w:t>
      </w:r>
      <w:r w:rsidR="0006282F" w:rsidRPr="0006282F">
        <w:rPr>
          <w:i/>
          <w:iCs/>
        </w:rPr>
        <w:t>u</w:t>
      </w:r>
      <w:r w:rsidRPr="0006282F">
        <w:rPr>
          <w:i/>
          <w:iCs/>
        </w:rPr>
        <w:t>r. Why were so many cycles performed?</w:t>
      </w:r>
    </w:p>
    <w:p w:rsidR="0006282F" w:rsidRDefault="0006282F" w:rsidP="00CF2FFD">
      <w:r>
        <w:t>The legend was changed accordingly. The cycles represent the testing duration of one hour.</w:t>
      </w:r>
    </w:p>
    <w:p w:rsidR="0006282F" w:rsidRDefault="0006282F" w:rsidP="00CF2FFD"/>
    <w:p w:rsidR="00CF2FFD" w:rsidRDefault="00CF2FFD" w:rsidP="00CF2FFD">
      <w:pPr>
        <w:rPr>
          <w:i/>
          <w:iCs/>
        </w:rPr>
      </w:pPr>
      <w:r w:rsidRPr="0006282F">
        <w:rPr>
          <w:i/>
          <w:iCs/>
        </w:rPr>
        <w:t>Figure 3: Please define the arrow in panel C.</w:t>
      </w:r>
    </w:p>
    <w:p w:rsidR="0006282F" w:rsidRPr="0006282F" w:rsidRDefault="0006282F" w:rsidP="00CF2FFD">
      <w:r>
        <w:t>The arrow is not part of the figure. It seems that this arrow was created during the automated PDF creating during submission.</w:t>
      </w:r>
    </w:p>
    <w:sectPr w:rsidR="0006282F" w:rsidRPr="0006282F" w:rsidSect="00CF192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D17BE9"/>
    <w:multiLevelType w:val="hybridMultilevel"/>
    <w:tmpl w:val="35824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FFD"/>
    <w:rsid w:val="00003FDC"/>
    <w:rsid w:val="0000717F"/>
    <w:rsid w:val="00047AAC"/>
    <w:rsid w:val="00052D66"/>
    <w:rsid w:val="00055A1C"/>
    <w:rsid w:val="0006282F"/>
    <w:rsid w:val="00075161"/>
    <w:rsid w:val="000934AF"/>
    <w:rsid w:val="000A1ABC"/>
    <w:rsid w:val="000A1D66"/>
    <w:rsid w:val="000B26E3"/>
    <w:rsid w:val="000D7325"/>
    <w:rsid w:val="000E2329"/>
    <w:rsid w:val="00103A8B"/>
    <w:rsid w:val="001528B2"/>
    <w:rsid w:val="00155C47"/>
    <w:rsid w:val="0018438A"/>
    <w:rsid w:val="001E53F8"/>
    <w:rsid w:val="001F529E"/>
    <w:rsid w:val="00201633"/>
    <w:rsid w:val="00222496"/>
    <w:rsid w:val="00252B76"/>
    <w:rsid w:val="00293510"/>
    <w:rsid w:val="002B79C9"/>
    <w:rsid w:val="002D68EC"/>
    <w:rsid w:val="002E77C2"/>
    <w:rsid w:val="002F4197"/>
    <w:rsid w:val="002F6BB1"/>
    <w:rsid w:val="00310FFF"/>
    <w:rsid w:val="00364925"/>
    <w:rsid w:val="00366B2C"/>
    <w:rsid w:val="00372DB9"/>
    <w:rsid w:val="00375047"/>
    <w:rsid w:val="0037539B"/>
    <w:rsid w:val="00385C39"/>
    <w:rsid w:val="003947D9"/>
    <w:rsid w:val="00395EC5"/>
    <w:rsid w:val="003A143A"/>
    <w:rsid w:val="003B0294"/>
    <w:rsid w:val="003E3AC2"/>
    <w:rsid w:val="003F1572"/>
    <w:rsid w:val="00410D5D"/>
    <w:rsid w:val="00415113"/>
    <w:rsid w:val="00446FC8"/>
    <w:rsid w:val="00451F80"/>
    <w:rsid w:val="00454CED"/>
    <w:rsid w:val="004600DE"/>
    <w:rsid w:val="004B494D"/>
    <w:rsid w:val="004D1A32"/>
    <w:rsid w:val="004D713B"/>
    <w:rsid w:val="004E18EE"/>
    <w:rsid w:val="004E7345"/>
    <w:rsid w:val="00542302"/>
    <w:rsid w:val="00542C3F"/>
    <w:rsid w:val="005473C2"/>
    <w:rsid w:val="00555A8E"/>
    <w:rsid w:val="00557CCB"/>
    <w:rsid w:val="00571506"/>
    <w:rsid w:val="00581594"/>
    <w:rsid w:val="005A001E"/>
    <w:rsid w:val="005B3964"/>
    <w:rsid w:val="005D68D6"/>
    <w:rsid w:val="005E19AF"/>
    <w:rsid w:val="005E3EF1"/>
    <w:rsid w:val="005F2561"/>
    <w:rsid w:val="005F3D07"/>
    <w:rsid w:val="00633A71"/>
    <w:rsid w:val="00635BE3"/>
    <w:rsid w:val="0064408C"/>
    <w:rsid w:val="006472E1"/>
    <w:rsid w:val="00657F61"/>
    <w:rsid w:val="00660D75"/>
    <w:rsid w:val="006749C2"/>
    <w:rsid w:val="00684056"/>
    <w:rsid w:val="006A3C2D"/>
    <w:rsid w:val="006C0B3D"/>
    <w:rsid w:val="006C6AA3"/>
    <w:rsid w:val="006E1565"/>
    <w:rsid w:val="006E2D9E"/>
    <w:rsid w:val="006F69F4"/>
    <w:rsid w:val="00700072"/>
    <w:rsid w:val="0073443D"/>
    <w:rsid w:val="0073724C"/>
    <w:rsid w:val="00756A05"/>
    <w:rsid w:val="00766A66"/>
    <w:rsid w:val="007B0313"/>
    <w:rsid w:val="007B1A1B"/>
    <w:rsid w:val="007B6DAF"/>
    <w:rsid w:val="007C286B"/>
    <w:rsid w:val="007C5558"/>
    <w:rsid w:val="007D6061"/>
    <w:rsid w:val="007E3B6A"/>
    <w:rsid w:val="007F03DB"/>
    <w:rsid w:val="007F61A0"/>
    <w:rsid w:val="00811CCB"/>
    <w:rsid w:val="008239ED"/>
    <w:rsid w:val="008241E0"/>
    <w:rsid w:val="008258BD"/>
    <w:rsid w:val="008A0B71"/>
    <w:rsid w:val="008C1DB7"/>
    <w:rsid w:val="008E6C87"/>
    <w:rsid w:val="00903079"/>
    <w:rsid w:val="0093757C"/>
    <w:rsid w:val="00985196"/>
    <w:rsid w:val="009C1BD5"/>
    <w:rsid w:val="009C1F73"/>
    <w:rsid w:val="009E687F"/>
    <w:rsid w:val="00A37919"/>
    <w:rsid w:val="00A615D5"/>
    <w:rsid w:val="00A64C31"/>
    <w:rsid w:val="00A71E0E"/>
    <w:rsid w:val="00A8540F"/>
    <w:rsid w:val="00AB0A4E"/>
    <w:rsid w:val="00B24468"/>
    <w:rsid w:val="00B350F4"/>
    <w:rsid w:val="00B4285F"/>
    <w:rsid w:val="00B65F9C"/>
    <w:rsid w:val="00B65FFC"/>
    <w:rsid w:val="00B70695"/>
    <w:rsid w:val="00B77B26"/>
    <w:rsid w:val="00BF1BBE"/>
    <w:rsid w:val="00C05E6D"/>
    <w:rsid w:val="00C24649"/>
    <w:rsid w:val="00C408CB"/>
    <w:rsid w:val="00C461CB"/>
    <w:rsid w:val="00C74187"/>
    <w:rsid w:val="00C758D6"/>
    <w:rsid w:val="00C77FEE"/>
    <w:rsid w:val="00C93574"/>
    <w:rsid w:val="00CA2DFE"/>
    <w:rsid w:val="00CA6991"/>
    <w:rsid w:val="00CB0876"/>
    <w:rsid w:val="00CD1AC8"/>
    <w:rsid w:val="00CE497F"/>
    <w:rsid w:val="00CE62F1"/>
    <w:rsid w:val="00CF1924"/>
    <w:rsid w:val="00CF2FFD"/>
    <w:rsid w:val="00D0125F"/>
    <w:rsid w:val="00D07FE7"/>
    <w:rsid w:val="00D20963"/>
    <w:rsid w:val="00D26B1B"/>
    <w:rsid w:val="00D6024F"/>
    <w:rsid w:val="00D62CD3"/>
    <w:rsid w:val="00D828BF"/>
    <w:rsid w:val="00D85E27"/>
    <w:rsid w:val="00D96D5B"/>
    <w:rsid w:val="00DB64E7"/>
    <w:rsid w:val="00DB7741"/>
    <w:rsid w:val="00DC1BB5"/>
    <w:rsid w:val="00DD157D"/>
    <w:rsid w:val="00DE3795"/>
    <w:rsid w:val="00DE697B"/>
    <w:rsid w:val="00E30425"/>
    <w:rsid w:val="00E3781F"/>
    <w:rsid w:val="00E46508"/>
    <w:rsid w:val="00E5102F"/>
    <w:rsid w:val="00E828E9"/>
    <w:rsid w:val="00E84411"/>
    <w:rsid w:val="00E973CC"/>
    <w:rsid w:val="00EC6EC7"/>
    <w:rsid w:val="00EF31BA"/>
    <w:rsid w:val="00F164D7"/>
    <w:rsid w:val="00F264EE"/>
    <w:rsid w:val="00F3485D"/>
    <w:rsid w:val="00F34E41"/>
    <w:rsid w:val="00F4197E"/>
    <w:rsid w:val="00F51E45"/>
    <w:rsid w:val="00F524DE"/>
    <w:rsid w:val="00F6019D"/>
    <w:rsid w:val="00F63538"/>
    <w:rsid w:val="00F63988"/>
    <w:rsid w:val="00F81B16"/>
    <w:rsid w:val="00F857E2"/>
    <w:rsid w:val="00FA48CF"/>
    <w:rsid w:val="00FC2714"/>
    <w:rsid w:val="00FD2A7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A372708"/>
  <w15:chartTrackingRefBased/>
  <w15:docId w15:val="{621F929A-98D2-0148-8B34-C1A37A8B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42C3F"/>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42C3F"/>
    <w:rPr>
      <w:rFonts w:ascii="Times New Roman" w:hAnsi="Times New Roman" w:cs="Times New Roman"/>
      <w:sz w:val="18"/>
      <w:szCs w:val="18"/>
      <w:lang w:val="en-GB"/>
    </w:rPr>
  </w:style>
  <w:style w:type="paragraph" w:styleId="Listenabsatz">
    <w:name w:val="List Paragraph"/>
    <w:basedOn w:val="Standard"/>
    <w:uiPriority w:val="34"/>
    <w:qFormat/>
    <w:rsid w:val="00DE6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47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2451</Words>
  <Characters>15443</Characters>
  <Application>Microsoft Office Word</Application>
  <DocSecurity>0</DocSecurity>
  <Lines>128</Lines>
  <Paragraphs>35</Paragraphs>
  <ScaleCrop>false</ScaleCrop>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Stotter</dc:creator>
  <cp:keywords/>
  <dc:description/>
  <cp:lastModifiedBy>Christoph Stotter</cp:lastModifiedBy>
  <cp:revision>51</cp:revision>
  <dcterms:created xsi:type="dcterms:W3CDTF">2020-03-04T09:19:00Z</dcterms:created>
  <dcterms:modified xsi:type="dcterms:W3CDTF">2020-03-05T11:37:00Z</dcterms:modified>
</cp:coreProperties>
</file>