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8F85A" w14:textId="5C2E881E" w:rsidR="001600E9" w:rsidRDefault="001600E9" w:rsidP="001600E9">
      <w:r>
        <w:t xml:space="preserve">Dear </w:t>
      </w:r>
      <w:proofErr w:type="spellStart"/>
      <w:r w:rsidR="003442A9">
        <w:t>Xiaoyan</w:t>
      </w:r>
      <w:proofErr w:type="spellEnd"/>
      <w:r w:rsidR="003442A9">
        <w:t xml:space="preserve"> Cao</w:t>
      </w:r>
      <w:r>
        <w:t>,</w:t>
      </w:r>
    </w:p>
    <w:p w14:paraId="1AAF7B57" w14:textId="791DEEA7" w:rsidR="00545FF7" w:rsidRDefault="001600E9" w:rsidP="001369A3">
      <w:pPr>
        <w:jc w:val="both"/>
      </w:pPr>
      <w:r>
        <w:t xml:space="preserve">We are pleased to resubmit our manuscript entitled “” in </w:t>
      </w:r>
      <w:proofErr w:type="spellStart"/>
      <w:r w:rsidR="003442A9">
        <w:t>JoVE</w:t>
      </w:r>
      <w:proofErr w:type="spellEnd"/>
      <w:r>
        <w:t xml:space="preserve">. The </w:t>
      </w:r>
      <w:r w:rsidR="003442A9">
        <w:t xml:space="preserve">editorial and </w:t>
      </w:r>
      <w:r>
        <w:t xml:space="preserve">reviewers’ comments have been helpful for improving the manuscript. We’ve taken them into consideration to the best of our ability. </w:t>
      </w:r>
      <w:r w:rsidR="00545FF7">
        <w:t>We hope that the current version will meet</w:t>
      </w:r>
      <w:r w:rsidR="003442A9">
        <w:t xml:space="preserve"> </w:t>
      </w:r>
      <w:proofErr w:type="spellStart"/>
      <w:r w:rsidR="003442A9">
        <w:t>JoVE</w:t>
      </w:r>
      <w:proofErr w:type="spellEnd"/>
      <w:r w:rsidR="003442A9">
        <w:t xml:space="preserve"> standards and</w:t>
      </w:r>
      <w:r w:rsidR="00545FF7">
        <w:t xml:space="preserve"> the reviewers’ expectations. You’ll find hereafter point-by-point answers to the </w:t>
      </w:r>
      <w:r w:rsidR="003442A9">
        <w:t>comments</w:t>
      </w:r>
      <w:r w:rsidR="00545FF7">
        <w:t>.</w:t>
      </w:r>
    </w:p>
    <w:p w14:paraId="3B9692A6" w14:textId="33699E61" w:rsidR="001600E9" w:rsidRDefault="00545FF7" w:rsidP="001369A3">
      <w:pPr>
        <w:ind w:firstLine="720"/>
        <w:jc w:val="both"/>
      </w:pPr>
      <w:r>
        <w:t>Some parts of the manuscript have been substantially re</w:t>
      </w:r>
      <w:r w:rsidR="003627EB">
        <w:t>organized like the crystallization and X-ray diffraction sections. T</w:t>
      </w:r>
      <w:r w:rsidR="00BF29CA">
        <w:t>hree</w:t>
      </w:r>
      <w:r w:rsidR="003627EB">
        <w:t xml:space="preserve"> figures (F</w:t>
      </w:r>
      <w:r w:rsidR="00BF29CA">
        <w:t>i</w:t>
      </w:r>
      <w:r w:rsidR="003627EB">
        <w:t>g.</w:t>
      </w:r>
      <w:r w:rsidR="00BF29CA">
        <w:t xml:space="preserve"> 2 - </w:t>
      </w:r>
      <w:r w:rsidR="003627EB">
        <w:t>4) have been adapted in accordance to the comments. The hi</w:t>
      </w:r>
      <w:bookmarkStart w:id="0" w:name="_GoBack"/>
      <w:bookmarkEnd w:id="0"/>
      <w:r w:rsidR="003627EB">
        <w:t>ghlighted steps have been revised to gain coherence for filming.</w:t>
      </w:r>
    </w:p>
    <w:p w14:paraId="23FD57E9" w14:textId="6B838BC6" w:rsidR="001600E9" w:rsidRDefault="001369A3" w:rsidP="001369A3">
      <w:r>
        <w:t>Thank you for considering our manuscript.</w:t>
      </w:r>
    </w:p>
    <w:p w14:paraId="30962519" w14:textId="73A93434" w:rsidR="001369A3" w:rsidRDefault="001369A3" w:rsidP="001369A3">
      <w:r>
        <w:t>Yours sincerely,</w:t>
      </w:r>
    </w:p>
    <w:p w14:paraId="3D44A8CD" w14:textId="5F313091" w:rsidR="001369A3" w:rsidRDefault="001369A3" w:rsidP="001369A3">
      <w:r>
        <w:t>Raphaël Dutoit</w:t>
      </w:r>
    </w:p>
    <w:p w14:paraId="7D21014A" w14:textId="763B732F" w:rsidR="00717039" w:rsidRDefault="00717039" w:rsidP="001369A3"/>
    <w:p w14:paraId="6E56D967" w14:textId="77777777" w:rsidR="00717039" w:rsidRPr="003627EB" w:rsidRDefault="00717039" w:rsidP="00717039">
      <w:pPr>
        <w:rPr>
          <w:b/>
          <w:bCs/>
        </w:rPr>
      </w:pPr>
    </w:p>
    <w:p w14:paraId="14DF375C" w14:textId="0ED0541C" w:rsidR="00717039" w:rsidRPr="000F5743" w:rsidRDefault="00717039" w:rsidP="00717039">
      <w:pPr>
        <w:pStyle w:val="Heading1"/>
        <w:jc w:val="both"/>
        <w:rPr>
          <w:b/>
          <w:bCs/>
        </w:rPr>
      </w:pPr>
      <w:r w:rsidRPr="000F5743">
        <w:rPr>
          <w:b/>
          <w:bCs/>
        </w:rPr>
        <w:t xml:space="preserve">Point-by-point answers to </w:t>
      </w:r>
      <w:r w:rsidR="003627EB">
        <w:rPr>
          <w:b/>
          <w:bCs/>
        </w:rPr>
        <w:t>editorial comments</w:t>
      </w:r>
    </w:p>
    <w:p w14:paraId="22A53442" w14:textId="1F8947F8" w:rsidR="003627EB" w:rsidRDefault="003627EB" w:rsidP="003627EB">
      <w:pPr>
        <w:jc w:val="both"/>
      </w:pPr>
      <w:r>
        <w:rPr>
          <w:b/>
          <w:bCs/>
        </w:rPr>
        <w:t xml:space="preserve">Comment 1: </w:t>
      </w:r>
      <w:r w:rsidRPr="003627EB">
        <w:t xml:space="preserve">Please take this opportunity to thoroughly proofread the manuscript to ensure that there are no spelling or grammar issues. The </w:t>
      </w:r>
      <w:proofErr w:type="spellStart"/>
      <w:r w:rsidRPr="003627EB">
        <w:t>JoVE</w:t>
      </w:r>
      <w:proofErr w:type="spellEnd"/>
      <w:r w:rsidRPr="003627EB">
        <w:t xml:space="preserve"> editor will not copy-edit your manuscript and any errors in the submitted revision may be present in the published version.</w:t>
      </w:r>
    </w:p>
    <w:p w14:paraId="709AAC8A" w14:textId="308ECEE2" w:rsidR="00A10DE5" w:rsidRPr="00A10DE5" w:rsidRDefault="00A10DE5" w:rsidP="003627EB">
      <w:pPr>
        <w:jc w:val="both"/>
        <w:rPr>
          <w:b/>
          <w:bCs/>
          <w:color w:val="4472C4" w:themeColor="accent1"/>
        </w:rPr>
      </w:pPr>
      <w:r w:rsidRPr="00A10DE5">
        <w:rPr>
          <w:color w:val="4472C4" w:themeColor="accent1"/>
        </w:rPr>
        <w:t>We took this opportunity to proofread and correct several errors.</w:t>
      </w:r>
    </w:p>
    <w:p w14:paraId="36D27A1B" w14:textId="71A374C3" w:rsidR="003627EB" w:rsidRDefault="003627EB" w:rsidP="003627EB">
      <w:pPr>
        <w:jc w:val="both"/>
      </w:pPr>
      <w:r>
        <w:rPr>
          <w:b/>
          <w:bCs/>
        </w:rPr>
        <w:t xml:space="preserve">Comment </w:t>
      </w:r>
      <w:r w:rsidRPr="003627EB">
        <w:rPr>
          <w:b/>
          <w:bCs/>
        </w:rPr>
        <w:t>2</w:t>
      </w:r>
      <w:r>
        <w:rPr>
          <w:b/>
          <w:bCs/>
        </w:rPr>
        <w:t>:</w:t>
      </w:r>
      <w:r w:rsidRPr="003627EB">
        <w:rPr>
          <w:b/>
          <w:bCs/>
        </w:rPr>
        <w:t xml:space="preserve"> </w:t>
      </w:r>
      <w:proofErr w:type="spellStart"/>
      <w:r w:rsidRPr="003627EB">
        <w:t>JoVE</w:t>
      </w:r>
      <w:proofErr w:type="spellEnd"/>
      <w:r w:rsidRPr="003627EB">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Phusion, </w:t>
      </w:r>
      <w:proofErr w:type="spellStart"/>
      <w:r w:rsidRPr="003627EB">
        <w:t>ThermoFisher</w:t>
      </w:r>
      <w:proofErr w:type="spellEnd"/>
      <w:r w:rsidRPr="003627EB">
        <w:t xml:space="preserve"> Scientific, </w:t>
      </w:r>
      <w:proofErr w:type="spellStart"/>
      <w:r w:rsidRPr="003627EB">
        <w:t>DreamTaq</w:t>
      </w:r>
      <w:proofErr w:type="spellEnd"/>
      <w:r w:rsidRPr="003627EB">
        <w:t xml:space="preserve">, </w:t>
      </w:r>
      <w:proofErr w:type="spellStart"/>
      <w:r w:rsidRPr="003627EB">
        <w:t>MerckMillipore</w:t>
      </w:r>
      <w:proofErr w:type="spellEnd"/>
      <w:r w:rsidRPr="003627EB">
        <w:t xml:space="preserve">, </w:t>
      </w:r>
      <w:proofErr w:type="spellStart"/>
      <w:r w:rsidRPr="003627EB">
        <w:t>cOmplete</w:t>
      </w:r>
      <w:proofErr w:type="spellEnd"/>
      <w:r w:rsidRPr="003627EB">
        <w:t>, Roche, Source 15Q resin (GE Healthcare), etc.</w:t>
      </w:r>
    </w:p>
    <w:p w14:paraId="26C353AE" w14:textId="153083A1" w:rsidR="00A10DE5" w:rsidRPr="003627EB" w:rsidRDefault="00A10DE5" w:rsidP="003627EB">
      <w:pPr>
        <w:jc w:val="both"/>
        <w:rPr>
          <w:b/>
          <w:bCs/>
        </w:rPr>
      </w:pPr>
      <w:r w:rsidRPr="00A10DE5">
        <w:rPr>
          <w:color w:val="4472C4" w:themeColor="accent1"/>
        </w:rPr>
        <w:t xml:space="preserve">We appreciate that </w:t>
      </w:r>
      <w:proofErr w:type="spellStart"/>
      <w:r w:rsidRPr="00A10DE5">
        <w:rPr>
          <w:color w:val="4472C4" w:themeColor="accent1"/>
        </w:rPr>
        <w:t>JoVE</w:t>
      </w:r>
      <w:proofErr w:type="spellEnd"/>
      <w:r w:rsidRPr="00A10DE5">
        <w:rPr>
          <w:color w:val="4472C4" w:themeColor="accent1"/>
        </w:rPr>
        <w:t xml:space="preserve"> applies such a guideline to make articles “brand-free”. So, we deleted as mush as possible the references to commercial names. We have maintained only two references in the legends of Figure 1 and Figure 3. In Figure 1, the plasmid name is mentioned (</w:t>
      </w:r>
      <w:proofErr w:type="spellStart"/>
      <w:r w:rsidRPr="00A10DE5">
        <w:rPr>
          <w:color w:val="4472C4" w:themeColor="accent1"/>
        </w:rPr>
        <w:t>pBAD</w:t>
      </w:r>
      <w:proofErr w:type="spellEnd"/>
      <w:r w:rsidRPr="00A10DE5">
        <w:rPr>
          <w:color w:val="4472C4" w:themeColor="accent1"/>
        </w:rPr>
        <w:t>). In Figure 3, the resin name (Superdex200) is mentioned because the observed elution volumes and the calibration curve greatly depend on the chromatography support.</w:t>
      </w:r>
    </w:p>
    <w:p w14:paraId="43A32524" w14:textId="2AB5E29E" w:rsidR="003627EB" w:rsidRDefault="003627EB" w:rsidP="003627EB">
      <w:pPr>
        <w:jc w:val="both"/>
      </w:pPr>
      <w:r>
        <w:rPr>
          <w:b/>
          <w:bCs/>
        </w:rPr>
        <w:t xml:space="preserve">Comment 3: </w:t>
      </w:r>
      <w:r w:rsidR="00FE53FA" w:rsidRPr="00FE53FA">
        <w:t xml:space="preserve">1.1.2: </w:t>
      </w:r>
      <w:r w:rsidRPr="003627EB">
        <w:t>Please specify PCR conditions as well.</w:t>
      </w:r>
    </w:p>
    <w:p w14:paraId="1EAFA30B" w14:textId="4C7FF37E" w:rsidR="00A10DE5" w:rsidRPr="00A10DE5" w:rsidRDefault="00A10DE5" w:rsidP="003627EB">
      <w:pPr>
        <w:jc w:val="both"/>
        <w:rPr>
          <w:b/>
          <w:bCs/>
          <w:color w:val="4472C4" w:themeColor="accent1"/>
        </w:rPr>
      </w:pPr>
      <w:r w:rsidRPr="00A10DE5">
        <w:rPr>
          <w:color w:val="4472C4" w:themeColor="accent1"/>
        </w:rPr>
        <w:t>PCR conditions were added.</w:t>
      </w:r>
    </w:p>
    <w:p w14:paraId="64D4ACEB" w14:textId="08B8C59D" w:rsidR="003627EB" w:rsidRDefault="003627EB" w:rsidP="003627EB">
      <w:pPr>
        <w:jc w:val="both"/>
      </w:pPr>
      <w:r>
        <w:rPr>
          <w:b/>
          <w:bCs/>
        </w:rPr>
        <w:t xml:space="preserve">Comment 4: </w:t>
      </w:r>
      <w:r w:rsidR="00FE53FA" w:rsidRPr="00FE53FA">
        <w:t xml:space="preserve">1.1.6: </w:t>
      </w:r>
      <w:r w:rsidRPr="003627EB">
        <w:t>Please specify the voltage used to run the agarose gel.</w:t>
      </w:r>
    </w:p>
    <w:p w14:paraId="00B72249" w14:textId="1EAE0F58" w:rsidR="00A10DE5" w:rsidRPr="00A10DE5" w:rsidRDefault="00A10DE5" w:rsidP="003627EB">
      <w:pPr>
        <w:jc w:val="both"/>
        <w:rPr>
          <w:b/>
          <w:bCs/>
          <w:color w:val="4472C4" w:themeColor="accent1"/>
        </w:rPr>
      </w:pPr>
      <w:r w:rsidRPr="00A10DE5">
        <w:rPr>
          <w:color w:val="4472C4" w:themeColor="accent1"/>
        </w:rPr>
        <w:t>Electrophoresis voltage was added.</w:t>
      </w:r>
    </w:p>
    <w:p w14:paraId="4DFAA137" w14:textId="0417CE4C" w:rsidR="003627EB" w:rsidRDefault="003627EB" w:rsidP="003627EB">
      <w:pPr>
        <w:jc w:val="both"/>
      </w:pPr>
      <w:r>
        <w:rPr>
          <w:b/>
          <w:bCs/>
        </w:rPr>
        <w:t>Comment 5:</w:t>
      </w:r>
      <w:r w:rsidRPr="003627EB">
        <w:rPr>
          <w:b/>
          <w:bCs/>
        </w:rPr>
        <w:t xml:space="preserve"> </w:t>
      </w:r>
      <w:r w:rsidR="00FE53FA" w:rsidRPr="00FE53FA">
        <w:t xml:space="preserve">3.1.4: </w:t>
      </w:r>
      <w:r w:rsidRPr="003627EB">
        <w:t>Please provide the composition of crystallization solution. Is it included in the commercial kit?</w:t>
      </w:r>
    </w:p>
    <w:p w14:paraId="190A4A81" w14:textId="101871C5" w:rsidR="00A10DE5" w:rsidRPr="00FE53FA" w:rsidRDefault="00FE53FA" w:rsidP="003627EB">
      <w:pPr>
        <w:jc w:val="both"/>
        <w:rPr>
          <w:b/>
          <w:bCs/>
          <w:color w:val="4472C4" w:themeColor="accent1"/>
        </w:rPr>
      </w:pPr>
      <w:r w:rsidRPr="00FE53FA">
        <w:rPr>
          <w:color w:val="4472C4" w:themeColor="accent1"/>
        </w:rPr>
        <w:t>The composition of crystallization solutions used for screening is included in the commercial kit. We added the mention in the revised manuscript to refer to manufacturer’s guide and score sheet.</w:t>
      </w:r>
    </w:p>
    <w:p w14:paraId="23079FC3" w14:textId="20F09E78" w:rsidR="003627EB" w:rsidRDefault="003627EB" w:rsidP="003627EB">
      <w:pPr>
        <w:jc w:val="both"/>
      </w:pPr>
      <w:r>
        <w:rPr>
          <w:b/>
          <w:bCs/>
        </w:rPr>
        <w:lastRenderedPageBreak/>
        <w:t xml:space="preserve">Comment </w:t>
      </w:r>
      <w:r w:rsidRPr="003627EB">
        <w:rPr>
          <w:b/>
          <w:bCs/>
        </w:rPr>
        <w:t xml:space="preserve">6: </w:t>
      </w:r>
      <w:r w:rsidR="00FE53FA" w:rsidRPr="00FE53FA">
        <w:t xml:space="preserve">3.2.1-3.2.4, 4.1.2, etc.: </w:t>
      </w:r>
      <w:r w:rsidRPr="003627EB">
        <w:t>Please do not generalize the protocol and be as specific as you can with respect to your experiment providing all the details.</w:t>
      </w:r>
    </w:p>
    <w:p w14:paraId="71A8B56F" w14:textId="048128DF" w:rsidR="00FE53FA" w:rsidRPr="00FE53FA" w:rsidRDefault="00FE53FA" w:rsidP="003627EB">
      <w:pPr>
        <w:jc w:val="both"/>
        <w:rPr>
          <w:color w:val="4472C4" w:themeColor="accent1"/>
        </w:rPr>
      </w:pPr>
      <w:r w:rsidRPr="00FE53FA">
        <w:rPr>
          <w:color w:val="4472C4" w:themeColor="accent1"/>
        </w:rPr>
        <w:t>Indeed, we generalized the protocol for the crystallization and X-ray data acquisition</w:t>
      </w:r>
      <w:r>
        <w:rPr>
          <w:color w:val="4472C4" w:themeColor="accent1"/>
        </w:rPr>
        <w:t xml:space="preserve"> as these steps must be adapted according to the protein of interest. To answer to this comment, we refocused the crystallization and data acquisition parts on what we did with TmPep1050, using TmPep1050</w:t>
      </w:r>
      <w:r w:rsidRPr="00FE53FA">
        <w:rPr>
          <w:color w:val="4472C4" w:themeColor="accent1"/>
          <w:vertAlign w:val="subscript"/>
        </w:rPr>
        <w:t>H60A H307A</w:t>
      </w:r>
      <w:r>
        <w:rPr>
          <w:color w:val="4472C4" w:themeColor="accent1"/>
        </w:rPr>
        <w:t xml:space="preserve"> as an example. We hope that the protocol is less general.</w:t>
      </w:r>
    </w:p>
    <w:p w14:paraId="7688BB14" w14:textId="11ECC984" w:rsidR="003627EB" w:rsidRDefault="001B4A56" w:rsidP="003627EB">
      <w:pPr>
        <w:jc w:val="both"/>
      </w:pPr>
      <w:r>
        <w:rPr>
          <w:b/>
          <w:bCs/>
        </w:rPr>
        <w:t>Comment 7</w:t>
      </w:r>
      <w:r w:rsidR="003627EB" w:rsidRPr="003627EB">
        <w:rPr>
          <w:b/>
          <w:bCs/>
        </w:rPr>
        <w:t xml:space="preserve">: </w:t>
      </w:r>
      <w:r w:rsidR="00FE53FA" w:rsidRPr="00FE53FA">
        <w:t xml:space="preserve">4.2: </w:t>
      </w:r>
      <w:r w:rsidR="003627EB" w:rsidRPr="001B4A56">
        <w:t>The Protocol should be made up almost entirely of discrete steps without large paragraphs of text between sections. Please describe in the imperative tense how to collect data and ensure that individual steps contain only 2-3 actions per step and a maximum of 4 sentences per step. Please move the discussion about the protocol to the Discussion.</w:t>
      </w:r>
    </w:p>
    <w:p w14:paraId="43FB9868" w14:textId="527A8B12" w:rsidR="00FE53FA" w:rsidRPr="007A2F21" w:rsidRDefault="007A2F21" w:rsidP="003627EB">
      <w:pPr>
        <w:jc w:val="both"/>
        <w:rPr>
          <w:b/>
          <w:bCs/>
          <w:color w:val="4472C4" w:themeColor="accent1"/>
        </w:rPr>
      </w:pPr>
      <w:r w:rsidRPr="007A2F21">
        <w:rPr>
          <w:color w:val="4472C4" w:themeColor="accent1"/>
        </w:rPr>
        <w:t xml:space="preserve">We changed the 4.2. section in discrete steps. </w:t>
      </w:r>
    </w:p>
    <w:p w14:paraId="767DD3CA" w14:textId="42361292" w:rsidR="003627EB" w:rsidRDefault="001B4A56" w:rsidP="003627EB">
      <w:pPr>
        <w:jc w:val="both"/>
      </w:pPr>
      <w:r>
        <w:rPr>
          <w:b/>
          <w:bCs/>
        </w:rPr>
        <w:t xml:space="preserve">Comment </w:t>
      </w:r>
      <w:r w:rsidR="003627EB" w:rsidRPr="003627EB">
        <w:rPr>
          <w:b/>
          <w:bCs/>
        </w:rPr>
        <w:t>8</w:t>
      </w:r>
      <w:r>
        <w:rPr>
          <w:b/>
          <w:bCs/>
        </w:rPr>
        <w:t>:</w:t>
      </w:r>
      <w:r w:rsidR="003627EB" w:rsidRPr="003627EB">
        <w:rPr>
          <w:b/>
          <w:bCs/>
        </w:rPr>
        <w:t xml:space="preserve"> </w:t>
      </w:r>
      <w:r w:rsidR="003627EB" w:rsidRPr="001B4A56">
        <w:t>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2F734D7F" w14:textId="754BC33C" w:rsidR="007A2F21" w:rsidRPr="003627EB" w:rsidRDefault="007A2F21" w:rsidP="003627EB">
      <w:pPr>
        <w:jc w:val="both"/>
        <w:rPr>
          <w:b/>
          <w:bCs/>
        </w:rPr>
      </w:pPr>
      <w:r w:rsidRPr="007A2F21">
        <w:rPr>
          <w:color w:val="4472C4" w:themeColor="accent1"/>
        </w:rPr>
        <w:t>We reviewed the highlighted steps to improve narrative coherence. We would have liked to include data acquisition in filming but, unfortunately, we have the localization constraint, this experimental part being done at the SOLEIL synchrotron in Paris.</w:t>
      </w:r>
    </w:p>
    <w:p w14:paraId="5432F161" w14:textId="768DBF44" w:rsidR="003627EB" w:rsidRDefault="001B4A56" w:rsidP="003627EB">
      <w:pPr>
        <w:jc w:val="both"/>
      </w:pPr>
      <w:r>
        <w:rPr>
          <w:b/>
          <w:bCs/>
        </w:rPr>
        <w:t xml:space="preserve">Comment </w:t>
      </w:r>
      <w:r w:rsidR="003627EB" w:rsidRPr="003627EB">
        <w:rPr>
          <w:b/>
          <w:bCs/>
        </w:rPr>
        <w:t>9</w:t>
      </w:r>
      <w:r>
        <w:rPr>
          <w:b/>
          <w:bCs/>
        </w:rPr>
        <w:t>:</w:t>
      </w:r>
      <w:r w:rsidR="003627EB" w:rsidRPr="003627EB">
        <w:rPr>
          <w:b/>
          <w:bCs/>
        </w:rPr>
        <w:t xml:space="preserve"> </w:t>
      </w:r>
      <w:r w:rsidR="003627EB" w:rsidRPr="001B4A56">
        <w:t>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6EF9841" w14:textId="5E0EC0B2" w:rsidR="007A2F21" w:rsidRPr="007A2F21" w:rsidRDefault="007A2F21" w:rsidP="003627EB">
      <w:pPr>
        <w:jc w:val="both"/>
        <w:rPr>
          <w:b/>
          <w:bCs/>
          <w:color w:val="4472C4" w:themeColor="accent1"/>
        </w:rPr>
      </w:pPr>
      <w:r w:rsidRPr="007A2F21">
        <w:rPr>
          <w:color w:val="4472C4" w:themeColor="accent1"/>
        </w:rPr>
        <w:t>We highlighted the sub-steps as well as.</w:t>
      </w:r>
    </w:p>
    <w:p w14:paraId="4162FFF6" w14:textId="77035E07" w:rsidR="003627EB" w:rsidRDefault="001B4A56" w:rsidP="003627EB">
      <w:pPr>
        <w:jc w:val="both"/>
      </w:pPr>
      <w:r>
        <w:rPr>
          <w:b/>
          <w:bCs/>
        </w:rPr>
        <w:t xml:space="preserve">Comment </w:t>
      </w:r>
      <w:r w:rsidR="003627EB" w:rsidRPr="003627EB">
        <w:rPr>
          <w:b/>
          <w:bCs/>
        </w:rPr>
        <w:t>10</w:t>
      </w:r>
      <w:r>
        <w:rPr>
          <w:b/>
          <w:bCs/>
        </w:rPr>
        <w:t>:</w:t>
      </w:r>
      <w:r w:rsidR="003627EB" w:rsidRPr="003627EB">
        <w:rPr>
          <w:b/>
          <w:bCs/>
        </w:rPr>
        <w:t xml:space="preserve"> </w:t>
      </w:r>
      <w:r w:rsidR="003627EB" w:rsidRPr="001B4A56">
        <w:t>When reviewing the highlighting length for the protocol, please watch out for repeated steps. Please ensure that the repeated step has been highlighted previously.</w:t>
      </w:r>
    </w:p>
    <w:p w14:paraId="573B2BED" w14:textId="1257B7ED" w:rsidR="007A2F21" w:rsidRPr="0094022E" w:rsidRDefault="007A2F21" w:rsidP="003627EB">
      <w:pPr>
        <w:jc w:val="both"/>
        <w:rPr>
          <w:b/>
          <w:bCs/>
          <w:color w:val="4472C4" w:themeColor="accent1"/>
        </w:rPr>
      </w:pPr>
      <w:r w:rsidRPr="0094022E">
        <w:rPr>
          <w:color w:val="4472C4" w:themeColor="accent1"/>
        </w:rPr>
        <w:t>We highlighted other sections</w:t>
      </w:r>
      <w:r w:rsidR="0094022E" w:rsidRPr="0094022E">
        <w:rPr>
          <w:color w:val="4472C4" w:themeColor="accent1"/>
        </w:rPr>
        <w:t xml:space="preserve"> to meet this requirement. For instance, section 2.2 refers to an enzymatic assay which has included in the highlighted text (section 2.1.).</w:t>
      </w:r>
    </w:p>
    <w:p w14:paraId="0E026586" w14:textId="4A37B066" w:rsidR="003627EB" w:rsidRDefault="001B4A56" w:rsidP="003627EB">
      <w:pPr>
        <w:jc w:val="both"/>
      </w:pPr>
      <w:r>
        <w:rPr>
          <w:b/>
          <w:bCs/>
        </w:rPr>
        <w:t xml:space="preserve">Comment </w:t>
      </w:r>
      <w:r w:rsidR="003627EB" w:rsidRPr="003627EB">
        <w:rPr>
          <w:b/>
          <w:bCs/>
        </w:rPr>
        <w:t>11</w:t>
      </w:r>
      <w:r>
        <w:rPr>
          <w:b/>
          <w:bCs/>
        </w:rPr>
        <w:t>:</w:t>
      </w:r>
      <w:r w:rsidR="003627EB" w:rsidRPr="003627EB">
        <w:rPr>
          <w:b/>
          <w:bCs/>
        </w:rPr>
        <w:t xml:space="preserve"> </w:t>
      </w:r>
      <w:r w:rsidR="003627EB" w:rsidRPr="001B4A56">
        <w:t>Figure 2 and Figure 3: Please abbreviate liters to L (mL) to avoid confusion.</w:t>
      </w:r>
    </w:p>
    <w:p w14:paraId="557726D3" w14:textId="5E7D905B" w:rsidR="0094022E" w:rsidRPr="0094022E" w:rsidRDefault="0094022E" w:rsidP="003627EB">
      <w:pPr>
        <w:jc w:val="both"/>
        <w:rPr>
          <w:b/>
          <w:bCs/>
          <w:color w:val="4472C4" w:themeColor="accent1"/>
        </w:rPr>
      </w:pPr>
      <w:r w:rsidRPr="0094022E">
        <w:rPr>
          <w:color w:val="4472C4" w:themeColor="accent1"/>
        </w:rPr>
        <w:t>Figure 2 and Figure 3 were adapted as required.</w:t>
      </w:r>
    </w:p>
    <w:p w14:paraId="65B651B4" w14:textId="1217CA81" w:rsidR="003627EB" w:rsidRDefault="001B4A56" w:rsidP="003627EB">
      <w:pPr>
        <w:jc w:val="both"/>
      </w:pPr>
      <w:r>
        <w:rPr>
          <w:b/>
          <w:bCs/>
        </w:rPr>
        <w:t xml:space="preserve">Comment </w:t>
      </w:r>
      <w:r w:rsidR="003627EB" w:rsidRPr="003627EB">
        <w:rPr>
          <w:b/>
          <w:bCs/>
        </w:rPr>
        <w:t>12</w:t>
      </w:r>
      <w:r>
        <w:rPr>
          <w:b/>
          <w:bCs/>
        </w:rPr>
        <w:t xml:space="preserve">: </w:t>
      </w:r>
      <w:r w:rsidR="003627EB" w:rsidRPr="001B4A56">
        <w:t>Figure 4: Please define the error bars in the figure legend. The numbers in the figure can be hardly read.</w:t>
      </w:r>
    </w:p>
    <w:p w14:paraId="35C0695E" w14:textId="315C87BF" w:rsidR="0094022E" w:rsidRPr="0094022E" w:rsidRDefault="0094022E" w:rsidP="003627EB">
      <w:pPr>
        <w:jc w:val="both"/>
        <w:rPr>
          <w:b/>
          <w:bCs/>
          <w:color w:val="4472C4" w:themeColor="accent1"/>
        </w:rPr>
      </w:pPr>
      <w:r w:rsidRPr="0094022E">
        <w:rPr>
          <w:color w:val="4472C4" w:themeColor="accent1"/>
        </w:rPr>
        <w:t xml:space="preserve">Indeed, the scale is almost invisible and was adapted (bigger line width and font size). </w:t>
      </w:r>
    </w:p>
    <w:p w14:paraId="2812AC81" w14:textId="0D4D1D72" w:rsidR="00717039" w:rsidRPr="000F5743" w:rsidRDefault="00717039" w:rsidP="00717039">
      <w:pPr>
        <w:pStyle w:val="Heading1"/>
        <w:jc w:val="both"/>
        <w:rPr>
          <w:b/>
          <w:bCs/>
        </w:rPr>
      </w:pPr>
      <w:r w:rsidRPr="000F5743">
        <w:rPr>
          <w:b/>
          <w:bCs/>
        </w:rPr>
        <w:t>Point-by-point answers to Reviewer #</w:t>
      </w:r>
      <w:r w:rsidR="003627EB">
        <w:rPr>
          <w:b/>
          <w:bCs/>
        </w:rPr>
        <w:t>1</w:t>
      </w:r>
    </w:p>
    <w:p w14:paraId="7018AB4C" w14:textId="70C2F85E" w:rsidR="001B4A56" w:rsidRDefault="001B4A56" w:rsidP="004A0A54">
      <w:pPr>
        <w:jc w:val="both"/>
      </w:pPr>
      <w:r w:rsidRPr="001B4A56">
        <w:rPr>
          <w:b/>
          <w:bCs/>
        </w:rPr>
        <w:t>Comment 1:</w:t>
      </w:r>
      <w:r>
        <w:t xml:space="preserve"> In line 195, as wild-type TmPep1050 is dodecameric in solution, why not use concentrators with higher cut-off size here?</w:t>
      </w:r>
    </w:p>
    <w:p w14:paraId="02BF122F" w14:textId="412A0AE3" w:rsidR="00BE0070" w:rsidRPr="004A0A54" w:rsidRDefault="00BE0070" w:rsidP="004A0A54">
      <w:pPr>
        <w:jc w:val="both"/>
        <w:rPr>
          <w:color w:val="4472C4" w:themeColor="accent1"/>
        </w:rPr>
      </w:pPr>
      <w:r w:rsidRPr="004A0A54">
        <w:rPr>
          <w:color w:val="4472C4" w:themeColor="accent1"/>
        </w:rPr>
        <w:t xml:space="preserve">Indeed, we could have used an ultrafiltration device with 100-kDa cut-off. However, we decided to standardize the purification procedure so that it can be applied to any TmPep1050 variants. To avoid missing low molecular weight oligomers, we chose </w:t>
      </w:r>
      <w:r w:rsidR="004A0A54" w:rsidRPr="004A0A54">
        <w:rPr>
          <w:color w:val="4472C4" w:themeColor="accent1"/>
        </w:rPr>
        <w:t>ultrafiltration units with 30-kDa cut-off.</w:t>
      </w:r>
    </w:p>
    <w:p w14:paraId="7D706CA1" w14:textId="769EE289" w:rsidR="001B4A56" w:rsidRDefault="001B4A56" w:rsidP="004A0A54">
      <w:pPr>
        <w:jc w:val="both"/>
      </w:pPr>
      <w:r w:rsidRPr="001B4A56">
        <w:rPr>
          <w:b/>
          <w:bCs/>
        </w:rPr>
        <w:lastRenderedPageBreak/>
        <w:t>Comment 2:</w:t>
      </w:r>
      <w:r>
        <w:t xml:space="preserve"> In figure 3, it was highly recommended to add a gel filtration standard curve using the same column as molecular weight markers.</w:t>
      </w:r>
    </w:p>
    <w:p w14:paraId="4865A21F" w14:textId="5826AE70" w:rsidR="004A0A54" w:rsidRPr="004A0A54" w:rsidRDefault="004A0A54" w:rsidP="004A0A54">
      <w:pPr>
        <w:jc w:val="both"/>
        <w:rPr>
          <w:color w:val="4472C4" w:themeColor="accent1"/>
        </w:rPr>
      </w:pPr>
      <w:r w:rsidRPr="004A0A54">
        <w:rPr>
          <w:color w:val="4472C4" w:themeColor="accent1"/>
        </w:rPr>
        <w:t>We totally agree with Reviewer 1’s pertinent critic. We added a standard curve for gel filtration in Figure 3 as a new panel (D). The markers were analyzed in the same conditions as those of TmPep1050 samples.</w:t>
      </w:r>
    </w:p>
    <w:p w14:paraId="5D045D97" w14:textId="5EFEE69D" w:rsidR="001B4A56" w:rsidRDefault="001B4A56" w:rsidP="004A0A54">
      <w:pPr>
        <w:jc w:val="both"/>
      </w:pPr>
      <w:r w:rsidRPr="001B4A56">
        <w:rPr>
          <w:b/>
          <w:bCs/>
        </w:rPr>
        <w:t>Comment 3:</w:t>
      </w:r>
      <w:r>
        <w:t xml:space="preserve"> In crystallization method, the temperature was absent. This parameter is critical and should be included in revised manuscript.</w:t>
      </w:r>
    </w:p>
    <w:p w14:paraId="73E1EC66" w14:textId="2CC7DBC7" w:rsidR="004A0A54" w:rsidRPr="004A0A54" w:rsidRDefault="004A0A54" w:rsidP="004A0A54">
      <w:pPr>
        <w:jc w:val="both"/>
        <w:rPr>
          <w:color w:val="4472C4" w:themeColor="accent1"/>
        </w:rPr>
      </w:pPr>
      <w:r w:rsidRPr="004A0A54">
        <w:rPr>
          <w:color w:val="4472C4" w:themeColor="accent1"/>
        </w:rPr>
        <w:t>We added the temperature in the crystallization section.</w:t>
      </w:r>
    </w:p>
    <w:p w14:paraId="0B874280" w14:textId="0A473DFC" w:rsidR="001B4A56" w:rsidRDefault="001B4A56" w:rsidP="004A0A54">
      <w:pPr>
        <w:jc w:val="both"/>
      </w:pPr>
      <w:r w:rsidRPr="001B4A56">
        <w:rPr>
          <w:b/>
          <w:bCs/>
        </w:rPr>
        <w:t>Comment 4:</w:t>
      </w:r>
      <w:r>
        <w:t xml:space="preserve"> In line 286, authors mentioned that crystals might appear in several minutes to months. However, it was of more interest when the crystals would reach their full size.</w:t>
      </w:r>
    </w:p>
    <w:p w14:paraId="6A21941B" w14:textId="3D5845FD" w:rsidR="004A0A54" w:rsidRPr="004A0A54" w:rsidRDefault="004A0A54" w:rsidP="004A0A54">
      <w:pPr>
        <w:jc w:val="both"/>
        <w:rPr>
          <w:color w:val="4472C4" w:themeColor="accent1"/>
        </w:rPr>
      </w:pPr>
      <w:r w:rsidRPr="004A0A54">
        <w:rPr>
          <w:color w:val="4472C4" w:themeColor="accent1"/>
        </w:rPr>
        <w:t>We were a bit inexplicit for describing the crystallization as the first version of our manuscript. This part has been rewritten to meet editorial comments. We added the notion of time for crystal appearance and growth.</w:t>
      </w:r>
    </w:p>
    <w:p w14:paraId="61BEC34A" w14:textId="7E81E18F" w:rsidR="00717039" w:rsidRDefault="001B4A56" w:rsidP="004A0A54">
      <w:pPr>
        <w:jc w:val="both"/>
      </w:pPr>
      <w:r w:rsidRPr="001B4A56">
        <w:rPr>
          <w:b/>
          <w:bCs/>
        </w:rPr>
        <w:t>Comment 5:</w:t>
      </w:r>
      <w:r>
        <w:t xml:space="preserve"> There are a few ambiguous descriptions of concentration using percentage, for example, in line 153 "NaCl 0.9%" and in line 292 "40% PEG 3350". I guess they were both prepared in weight/volume manner, right? However, authors should point it out here.</w:t>
      </w:r>
    </w:p>
    <w:p w14:paraId="57B7254E" w14:textId="20D17BDB" w:rsidR="004A0A54" w:rsidRPr="00A10DE5" w:rsidRDefault="00A10DE5" w:rsidP="004A0A54">
      <w:pPr>
        <w:jc w:val="both"/>
        <w:rPr>
          <w:color w:val="4472C4" w:themeColor="accent1"/>
        </w:rPr>
      </w:pPr>
      <w:r w:rsidRPr="00A10DE5">
        <w:rPr>
          <w:color w:val="4472C4" w:themeColor="accent1"/>
        </w:rPr>
        <w:t>Indeed, these solutions were prepared in weight/volume. We clarified it in the revised manuscript.</w:t>
      </w:r>
    </w:p>
    <w:sectPr w:rsidR="004A0A54" w:rsidRPr="00A10DE5" w:rsidSect="00187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CD"/>
    <w:rsid w:val="00092549"/>
    <w:rsid w:val="000E3323"/>
    <w:rsid w:val="000E7432"/>
    <w:rsid w:val="000F5743"/>
    <w:rsid w:val="000F720A"/>
    <w:rsid w:val="0011187B"/>
    <w:rsid w:val="00115326"/>
    <w:rsid w:val="001369A3"/>
    <w:rsid w:val="001600E9"/>
    <w:rsid w:val="001870CC"/>
    <w:rsid w:val="001B4A56"/>
    <w:rsid w:val="001E0E70"/>
    <w:rsid w:val="002504B4"/>
    <w:rsid w:val="00271A98"/>
    <w:rsid w:val="002A667D"/>
    <w:rsid w:val="002C488A"/>
    <w:rsid w:val="002D6454"/>
    <w:rsid w:val="00320B85"/>
    <w:rsid w:val="003442A9"/>
    <w:rsid w:val="003627EB"/>
    <w:rsid w:val="0039152E"/>
    <w:rsid w:val="003F1B2E"/>
    <w:rsid w:val="004A0A54"/>
    <w:rsid w:val="004E4DD2"/>
    <w:rsid w:val="0050247E"/>
    <w:rsid w:val="00545FF7"/>
    <w:rsid w:val="005D70DF"/>
    <w:rsid w:val="005F7026"/>
    <w:rsid w:val="006940E0"/>
    <w:rsid w:val="00697262"/>
    <w:rsid w:val="006E3773"/>
    <w:rsid w:val="00717039"/>
    <w:rsid w:val="007925D4"/>
    <w:rsid w:val="007A2F21"/>
    <w:rsid w:val="007B7474"/>
    <w:rsid w:val="008B45CD"/>
    <w:rsid w:val="008D2025"/>
    <w:rsid w:val="0094022E"/>
    <w:rsid w:val="00970809"/>
    <w:rsid w:val="0099694A"/>
    <w:rsid w:val="00A10DE5"/>
    <w:rsid w:val="00A63DCF"/>
    <w:rsid w:val="00A66C5F"/>
    <w:rsid w:val="00BE0070"/>
    <w:rsid w:val="00BF29CA"/>
    <w:rsid w:val="00C44CE7"/>
    <w:rsid w:val="00C91C2B"/>
    <w:rsid w:val="00D923C3"/>
    <w:rsid w:val="00DB720C"/>
    <w:rsid w:val="00DC1B08"/>
    <w:rsid w:val="00F63930"/>
    <w:rsid w:val="00F96E61"/>
    <w:rsid w:val="00FE53F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1FE7"/>
  <w15:chartTrackingRefBased/>
  <w15:docId w15:val="{92FEC35F-BF2B-4BD6-B188-751A42BC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7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B2E"/>
    <w:rPr>
      <w:rFonts w:ascii="Segoe UI" w:hAnsi="Segoe UI" w:cs="Segoe UI"/>
      <w:sz w:val="18"/>
      <w:szCs w:val="18"/>
    </w:rPr>
  </w:style>
  <w:style w:type="character" w:customStyle="1" w:styleId="Heading1Char">
    <w:name w:val="Heading 1 Char"/>
    <w:basedOn w:val="DefaultParagraphFont"/>
    <w:link w:val="Heading1"/>
    <w:uiPriority w:val="9"/>
    <w:rsid w:val="000F574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Dutoit</dc:creator>
  <cp:keywords/>
  <dc:description/>
  <cp:lastModifiedBy>Raphaël Dutoit</cp:lastModifiedBy>
  <cp:revision>4</cp:revision>
  <dcterms:created xsi:type="dcterms:W3CDTF">2020-03-08T08:36:00Z</dcterms:created>
  <dcterms:modified xsi:type="dcterms:W3CDTF">2020-03-09T08:12:00Z</dcterms:modified>
</cp:coreProperties>
</file>