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47AABE7" w:rsidR="006305D7" w:rsidRPr="004412A6" w:rsidRDefault="006305D7" w:rsidP="006B70F9">
      <w:pPr>
        <w:pStyle w:val="NormalWeb"/>
        <w:spacing w:before="0" w:beforeAutospacing="0" w:after="0" w:afterAutospacing="0"/>
        <w:contextualSpacing/>
        <w:rPr>
          <w:rFonts w:asciiTheme="minorHAnsi" w:hAnsiTheme="minorHAnsi" w:cstheme="minorHAnsi"/>
          <w:color w:val="auto"/>
        </w:rPr>
      </w:pPr>
      <w:r w:rsidRPr="004412A6">
        <w:rPr>
          <w:rFonts w:asciiTheme="minorHAnsi" w:hAnsiTheme="minorHAnsi" w:cstheme="minorHAnsi"/>
          <w:b/>
          <w:bCs/>
          <w:color w:val="auto"/>
        </w:rPr>
        <w:t>TITLE:</w:t>
      </w:r>
    </w:p>
    <w:p w14:paraId="2E300B21" w14:textId="71216E25" w:rsidR="007A4DD6" w:rsidRPr="004412A6" w:rsidRDefault="00723DDE" w:rsidP="006B70F9">
      <w:pPr>
        <w:contextualSpacing/>
        <w:rPr>
          <w:rFonts w:asciiTheme="minorHAnsi" w:hAnsiTheme="minorHAnsi" w:cstheme="minorHAnsi"/>
          <w:color w:val="auto"/>
        </w:rPr>
      </w:pPr>
      <w:r w:rsidRPr="004412A6">
        <w:rPr>
          <w:color w:val="auto"/>
        </w:rPr>
        <w:t xml:space="preserve">A </w:t>
      </w:r>
      <w:r w:rsidR="00C540DF" w:rsidRPr="004412A6">
        <w:rPr>
          <w:color w:val="auto"/>
        </w:rPr>
        <w:t>Small-Scale Setup</w:t>
      </w:r>
      <w:r w:rsidRPr="004412A6">
        <w:rPr>
          <w:color w:val="auto"/>
        </w:rPr>
        <w:t xml:space="preserve"> for </w:t>
      </w:r>
      <w:r w:rsidR="00C540DF" w:rsidRPr="004412A6">
        <w:rPr>
          <w:color w:val="auto"/>
        </w:rPr>
        <w:t xml:space="preserve">Algal Toxicity Testing of Nanomaterials and </w:t>
      </w:r>
      <w:r w:rsidR="004F0E81">
        <w:rPr>
          <w:color w:val="auto"/>
        </w:rPr>
        <w:t>O</w:t>
      </w:r>
      <w:r w:rsidR="004F0E81" w:rsidRPr="004412A6">
        <w:rPr>
          <w:color w:val="auto"/>
        </w:rPr>
        <w:t xml:space="preserve">ther </w:t>
      </w:r>
      <w:r w:rsidR="00C540DF" w:rsidRPr="004412A6">
        <w:rPr>
          <w:color w:val="auto"/>
        </w:rPr>
        <w:t>Difficult Substances</w:t>
      </w:r>
    </w:p>
    <w:p w14:paraId="67D852DA" w14:textId="77777777" w:rsidR="00723DDE" w:rsidRPr="004412A6" w:rsidRDefault="00723DDE" w:rsidP="006B70F9">
      <w:pPr>
        <w:contextualSpacing/>
        <w:rPr>
          <w:rFonts w:asciiTheme="minorHAnsi" w:hAnsiTheme="minorHAnsi" w:cstheme="minorHAnsi"/>
          <w:b/>
          <w:bCs/>
          <w:color w:val="auto"/>
        </w:rPr>
      </w:pPr>
    </w:p>
    <w:p w14:paraId="6C6E80A9" w14:textId="412AF474" w:rsidR="00723DDE" w:rsidRPr="004412A6" w:rsidRDefault="006305D7" w:rsidP="006B70F9">
      <w:pPr>
        <w:contextualSpacing/>
        <w:rPr>
          <w:rFonts w:asciiTheme="minorHAnsi" w:hAnsiTheme="minorHAnsi" w:cstheme="minorHAnsi"/>
          <w:bCs/>
          <w:color w:val="auto"/>
        </w:rPr>
      </w:pPr>
      <w:r w:rsidRPr="004412A6">
        <w:rPr>
          <w:rFonts w:asciiTheme="minorHAnsi" w:hAnsiTheme="minorHAnsi" w:cstheme="minorHAnsi"/>
          <w:b/>
          <w:bCs/>
          <w:color w:val="auto"/>
        </w:rPr>
        <w:t>AUTHORS</w:t>
      </w:r>
      <w:r w:rsidR="000B662E" w:rsidRPr="004412A6">
        <w:rPr>
          <w:rFonts w:asciiTheme="minorHAnsi" w:hAnsiTheme="minorHAnsi" w:cstheme="minorHAnsi"/>
          <w:b/>
          <w:bCs/>
          <w:color w:val="auto"/>
        </w:rPr>
        <w:t xml:space="preserve"> </w:t>
      </w:r>
      <w:r w:rsidR="004F0E81">
        <w:rPr>
          <w:rFonts w:asciiTheme="minorHAnsi" w:hAnsiTheme="minorHAnsi" w:cstheme="minorHAnsi"/>
          <w:b/>
          <w:bCs/>
          <w:color w:val="auto"/>
        </w:rPr>
        <w:t>AND</w:t>
      </w:r>
      <w:r w:rsidR="004F0E81" w:rsidRPr="004412A6">
        <w:rPr>
          <w:rFonts w:asciiTheme="minorHAnsi" w:hAnsiTheme="minorHAnsi" w:cstheme="minorHAnsi"/>
          <w:b/>
          <w:bCs/>
          <w:color w:val="auto"/>
        </w:rPr>
        <w:t xml:space="preserve"> </w:t>
      </w:r>
      <w:r w:rsidR="000B662E" w:rsidRPr="004412A6">
        <w:rPr>
          <w:rFonts w:asciiTheme="minorHAnsi" w:hAnsiTheme="minorHAnsi" w:cstheme="minorHAnsi"/>
          <w:b/>
          <w:bCs/>
          <w:color w:val="auto"/>
        </w:rPr>
        <w:t>AFFILIATIONS</w:t>
      </w:r>
      <w:r w:rsidRPr="004412A6">
        <w:rPr>
          <w:rFonts w:asciiTheme="minorHAnsi" w:hAnsiTheme="minorHAnsi" w:cstheme="minorHAnsi"/>
          <w:b/>
          <w:bCs/>
          <w:color w:val="auto"/>
        </w:rPr>
        <w:t>:</w:t>
      </w:r>
    </w:p>
    <w:p w14:paraId="60FCB589" w14:textId="16BB25EB" w:rsidR="00D04A95" w:rsidRPr="004412A6" w:rsidRDefault="00723DDE" w:rsidP="006B70F9">
      <w:pPr>
        <w:contextualSpacing/>
        <w:rPr>
          <w:color w:val="auto"/>
        </w:rPr>
      </w:pPr>
      <w:r w:rsidRPr="004412A6">
        <w:rPr>
          <w:color w:val="auto"/>
        </w:rPr>
        <w:t>Lars Michael Skjolding, Susanne Kruse, Sara Nørgaard Sørensen, Rune Hjorth, Anders Baun</w:t>
      </w:r>
    </w:p>
    <w:p w14:paraId="3D40837D" w14:textId="3B107CB2" w:rsidR="00723DDE" w:rsidRPr="004412A6" w:rsidRDefault="00723DDE" w:rsidP="006B70F9">
      <w:pPr>
        <w:contextualSpacing/>
        <w:rPr>
          <w:color w:val="auto"/>
        </w:rPr>
      </w:pPr>
    </w:p>
    <w:p w14:paraId="27D0EBA0" w14:textId="1FC31436" w:rsidR="00723DDE" w:rsidRPr="004412A6" w:rsidRDefault="00723DDE" w:rsidP="006B70F9">
      <w:pPr>
        <w:contextualSpacing/>
        <w:rPr>
          <w:color w:val="auto"/>
        </w:rPr>
      </w:pPr>
      <w:r w:rsidRPr="004412A6">
        <w:rPr>
          <w:color w:val="auto"/>
        </w:rPr>
        <w:t xml:space="preserve">Department of Environmental Engineering, Technical University of Denmark, </w:t>
      </w:r>
      <w:r w:rsidR="00C540DF" w:rsidRPr="004412A6">
        <w:rPr>
          <w:color w:val="auto"/>
        </w:rPr>
        <w:t>Kongens Lyngby, Denmark</w:t>
      </w:r>
    </w:p>
    <w:p w14:paraId="46B2006E" w14:textId="07074D00" w:rsidR="00723DDE" w:rsidRPr="004412A6" w:rsidRDefault="00723DDE" w:rsidP="006B70F9">
      <w:pPr>
        <w:contextualSpacing/>
        <w:rPr>
          <w:color w:val="auto"/>
        </w:rPr>
      </w:pPr>
    </w:p>
    <w:p w14:paraId="09EE720E" w14:textId="2F8337BB" w:rsidR="00723DDE" w:rsidRPr="004412A6" w:rsidRDefault="00723DDE" w:rsidP="006B70F9">
      <w:pPr>
        <w:contextualSpacing/>
        <w:rPr>
          <w:rStyle w:val="Hyperlink"/>
          <w:color w:val="auto"/>
        </w:rPr>
      </w:pPr>
      <w:r w:rsidRPr="004412A6">
        <w:rPr>
          <w:color w:val="auto"/>
        </w:rPr>
        <w:t>Email Address</w:t>
      </w:r>
      <w:r w:rsidR="00260C38">
        <w:rPr>
          <w:color w:val="auto"/>
        </w:rPr>
        <w:t>es of co-authors</w:t>
      </w:r>
      <w:r w:rsidRPr="004412A6">
        <w:rPr>
          <w:color w:val="auto"/>
        </w:rPr>
        <w:t>:</w:t>
      </w:r>
    </w:p>
    <w:p w14:paraId="70034572" w14:textId="5AF9322B" w:rsidR="00F02727" w:rsidRPr="004412A6" w:rsidRDefault="00260C38" w:rsidP="006B70F9">
      <w:pPr>
        <w:contextualSpacing/>
        <w:rPr>
          <w:rStyle w:val="Hyperlink"/>
          <w:color w:val="auto"/>
        </w:rPr>
      </w:pPr>
      <w:r w:rsidRPr="004412A6">
        <w:rPr>
          <w:color w:val="auto"/>
        </w:rPr>
        <w:t>Susanne Kruse</w:t>
      </w:r>
      <w:r>
        <w:tab/>
      </w:r>
      <w:r>
        <w:tab/>
      </w:r>
      <w:r>
        <w:tab/>
        <w:t>(</w:t>
      </w:r>
      <w:hyperlink r:id="rId8" w:history="1">
        <w:r w:rsidRPr="00F72759">
          <w:rPr>
            <w:rStyle w:val="Hyperlink"/>
          </w:rPr>
          <w:t>sukr@env.dtu.dk</w:t>
        </w:r>
      </w:hyperlink>
      <w:r>
        <w:t>)</w:t>
      </w:r>
    </w:p>
    <w:p w14:paraId="642FFEC9" w14:textId="745A6314" w:rsidR="00F02727" w:rsidRPr="004412A6" w:rsidRDefault="00260C38" w:rsidP="006B70F9">
      <w:pPr>
        <w:contextualSpacing/>
        <w:rPr>
          <w:rStyle w:val="Hyperlink"/>
          <w:color w:val="auto"/>
        </w:rPr>
      </w:pPr>
      <w:r w:rsidRPr="004412A6">
        <w:rPr>
          <w:color w:val="auto"/>
        </w:rPr>
        <w:t>Sara Nørgaard Sørensen</w:t>
      </w:r>
      <w:r>
        <w:tab/>
        <w:t>(</w:t>
      </w:r>
      <w:hyperlink r:id="rId9" w:history="1">
        <w:r w:rsidRPr="00F72759">
          <w:rPr>
            <w:rStyle w:val="Hyperlink"/>
          </w:rPr>
          <w:t>sans@env.dtu.dk</w:t>
        </w:r>
      </w:hyperlink>
      <w:r>
        <w:t>)</w:t>
      </w:r>
    </w:p>
    <w:p w14:paraId="43B6B204" w14:textId="20D713DC" w:rsidR="00F02727" w:rsidRPr="004412A6" w:rsidRDefault="00260C38" w:rsidP="006B70F9">
      <w:pPr>
        <w:contextualSpacing/>
        <w:rPr>
          <w:color w:val="auto"/>
        </w:rPr>
      </w:pPr>
      <w:r w:rsidRPr="004412A6">
        <w:rPr>
          <w:color w:val="auto"/>
        </w:rPr>
        <w:t>Rune Hjorth</w:t>
      </w:r>
      <w:r>
        <w:rPr>
          <w:rStyle w:val="Hyperlink"/>
          <w:color w:val="auto"/>
        </w:rPr>
        <w:tab/>
      </w:r>
      <w:r>
        <w:rPr>
          <w:rStyle w:val="Hyperlink"/>
          <w:color w:val="auto"/>
        </w:rPr>
        <w:tab/>
      </w:r>
      <w:r>
        <w:rPr>
          <w:rStyle w:val="Hyperlink"/>
          <w:color w:val="auto"/>
        </w:rPr>
        <w:tab/>
        <w:t>(</w:t>
      </w:r>
      <w:r w:rsidR="00F02727" w:rsidRPr="004412A6">
        <w:rPr>
          <w:rStyle w:val="Hyperlink"/>
          <w:color w:val="auto"/>
        </w:rPr>
        <w:t>ruhjo@mst.dk</w:t>
      </w:r>
      <w:r>
        <w:rPr>
          <w:rStyle w:val="Hyperlink"/>
          <w:color w:val="auto"/>
        </w:rPr>
        <w:t>)</w:t>
      </w:r>
    </w:p>
    <w:p w14:paraId="11B56C24" w14:textId="7E18F172" w:rsidR="00F02727" w:rsidRPr="004412A6" w:rsidRDefault="00260C38" w:rsidP="006B70F9">
      <w:pPr>
        <w:contextualSpacing/>
        <w:rPr>
          <w:rStyle w:val="Hyperlink"/>
          <w:color w:val="auto"/>
        </w:rPr>
      </w:pPr>
      <w:r w:rsidRPr="004412A6">
        <w:rPr>
          <w:color w:val="auto"/>
        </w:rPr>
        <w:t>Anders Baun</w:t>
      </w:r>
      <w:r>
        <w:tab/>
      </w:r>
      <w:r>
        <w:tab/>
      </w:r>
      <w:r>
        <w:tab/>
        <w:t>(</w:t>
      </w:r>
      <w:hyperlink r:id="rId10" w:history="1">
        <w:r w:rsidRPr="00F72759">
          <w:rPr>
            <w:rStyle w:val="Hyperlink"/>
          </w:rPr>
          <w:t>abau@env.dtu.dk</w:t>
        </w:r>
      </w:hyperlink>
      <w:r>
        <w:t>)</w:t>
      </w:r>
    </w:p>
    <w:p w14:paraId="4F4E06A6" w14:textId="5E90C8D0" w:rsidR="00723DDE" w:rsidRDefault="00723DDE" w:rsidP="006B70F9">
      <w:pPr>
        <w:contextualSpacing/>
        <w:rPr>
          <w:color w:val="auto"/>
        </w:rPr>
      </w:pPr>
    </w:p>
    <w:p w14:paraId="2390E32E" w14:textId="77777777" w:rsidR="00260C38" w:rsidRDefault="00260C38" w:rsidP="006B70F9">
      <w:pPr>
        <w:contextualSpacing/>
        <w:rPr>
          <w:color w:val="auto"/>
        </w:rPr>
      </w:pPr>
      <w:r w:rsidRPr="004412A6">
        <w:rPr>
          <w:color w:val="auto"/>
        </w:rPr>
        <w:t>Corresponding Author:</w:t>
      </w:r>
    </w:p>
    <w:p w14:paraId="7374C1DB" w14:textId="532533A0" w:rsidR="00260C38" w:rsidRDefault="00260C38" w:rsidP="006B70F9">
      <w:pPr>
        <w:contextualSpacing/>
        <w:rPr>
          <w:color w:val="auto"/>
        </w:rPr>
      </w:pPr>
      <w:r w:rsidRPr="004412A6">
        <w:rPr>
          <w:color w:val="auto"/>
        </w:rPr>
        <w:t>Lars Michael Skjolding</w:t>
      </w:r>
      <w:r>
        <w:rPr>
          <w:color w:val="auto"/>
        </w:rPr>
        <w:tab/>
      </w:r>
      <w:r>
        <w:rPr>
          <w:color w:val="auto"/>
        </w:rPr>
        <w:tab/>
        <w:t>(</w:t>
      </w:r>
      <w:hyperlink r:id="rId11" w:history="1">
        <w:r w:rsidRPr="004412A6">
          <w:rPr>
            <w:rStyle w:val="Hyperlink"/>
            <w:color w:val="auto"/>
          </w:rPr>
          <w:t>lams@env.dtu.dk</w:t>
        </w:r>
      </w:hyperlink>
      <w:r>
        <w:rPr>
          <w:rStyle w:val="Hyperlink"/>
          <w:color w:val="auto"/>
        </w:rPr>
        <w:t>)</w:t>
      </w:r>
    </w:p>
    <w:p w14:paraId="43FA948F" w14:textId="77777777" w:rsidR="00260C38" w:rsidRPr="004412A6" w:rsidRDefault="00260C38" w:rsidP="006B70F9">
      <w:pPr>
        <w:contextualSpacing/>
        <w:rPr>
          <w:color w:val="auto"/>
        </w:rPr>
      </w:pPr>
    </w:p>
    <w:p w14:paraId="6C0B0781" w14:textId="5A9F1139" w:rsidR="007A4DD6" w:rsidRPr="004412A6" w:rsidRDefault="006305D7" w:rsidP="006B70F9">
      <w:pPr>
        <w:pStyle w:val="NormalWeb"/>
        <w:spacing w:before="0" w:beforeAutospacing="0" w:after="0" w:afterAutospacing="0"/>
        <w:contextualSpacing/>
        <w:rPr>
          <w:rFonts w:asciiTheme="minorHAnsi" w:hAnsiTheme="minorHAnsi" w:cstheme="minorHAnsi"/>
          <w:color w:val="auto"/>
        </w:rPr>
      </w:pPr>
      <w:r w:rsidRPr="004412A6">
        <w:rPr>
          <w:rFonts w:asciiTheme="minorHAnsi" w:hAnsiTheme="minorHAnsi" w:cstheme="minorHAnsi"/>
          <w:b/>
          <w:bCs/>
          <w:color w:val="auto"/>
        </w:rPr>
        <w:t>KEYWORDS:</w:t>
      </w:r>
    </w:p>
    <w:p w14:paraId="05F781A9" w14:textId="57FDD514" w:rsidR="00723DDE" w:rsidRPr="004412A6" w:rsidRDefault="00365868" w:rsidP="006B70F9">
      <w:pPr>
        <w:contextualSpacing/>
        <w:rPr>
          <w:color w:val="auto"/>
        </w:rPr>
      </w:pPr>
      <w:r>
        <w:rPr>
          <w:color w:val="auto"/>
        </w:rPr>
        <w:t>e</w:t>
      </w:r>
      <w:r w:rsidR="00723DDE" w:rsidRPr="004412A6">
        <w:rPr>
          <w:color w:val="auto"/>
        </w:rPr>
        <w:t xml:space="preserve">cotoxicity, growth inhibition, </w:t>
      </w:r>
      <w:r w:rsidR="006A6C4A" w:rsidRPr="004412A6">
        <w:rPr>
          <w:color w:val="auto"/>
        </w:rPr>
        <w:t>c</w:t>
      </w:r>
      <w:r w:rsidR="00723DDE" w:rsidRPr="004412A6">
        <w:rPr>
          <w:color w:val="auto"/>
        </w:rPr>
        <w:t xml:space="preserve">olored substances, </w:t>
      </w:r>
      <w:r w:rsidR="002D2B06" w:rsidRPr="004412A6">
        <w:rPr>
          <w:color w:val="auto"/>
        </w:rPr>
        <w:t>nanomaterials</w:t>
      </w:r>
      <w:r w:rsidR="002011C3" w:rsidRPr="004412A6">
        <w:rPr>
          <w:color w:val="auto"/>
        </w:rPr>
        <w:t>,</w:t>
      </w:r>
      <w:r w:rsidR="002860F6" w:rsidRPr="004412A6">
        <w:rPr>
          <w:color w:val="auto"/>
        </w:rPr>
        <w:t xml:space="preserve"> </w:t>
      </w:r>
      <w:r w:rsidR="002860F6" w:rsidRPr="004412A6">
        <w:rPr>
          <w:i/>
          <w:color w:val="auto"/>
        </w:rPr>
        <w:t>Raphidocelis subcapitata</w:t>
      </w:r>
      <w:r w:rsidR="002860F6" w:rsidRPr="004412A6">
        <w:rPr>
          <w:color w:val="auto"/>
        </w:rPr>
        <w:t>, OECD 201, ISO 8692</w:t>
      </w:r>
      <w:r w:rsidR="009250B7" w:rsidRPr="004412A6">
        <w:rPr>
          <w:color w:val="auto"/>
        </w:rPr>
        <w:t>, LEVITATT</w:t>
      </w:r>
    </w:p>
    <w:p w14:paraId="1CB4E390" w14:textId="77777777" w:rsidR="006305D7" w:rsidRPr="004412A6" w:rsidRDefault="006305D7" w:rsidP="006B70F9">
      <w:pPr>
        <w:pStyle w:val="NormalWeb"/>
        <w:spacing w:before="0" w:beforeAutospacing="0" w:after="0" w:afterAutospacing="0"/>
        <w:contextualSpacing/>
        <w:rPr>
          <w:rFonts w:asciiTheme="minorHAnsi" w:hAnsiTheme="minorHAnsi" w:cstheme="minorHAnsi"/>
          <w:color w:val="auto"/>
        </w:rPr>
      </w:pPr>
    </w:p>
    <w:p w14:paraId="32798D51" w14:textId="3FE4396E" w:rsidR="007A4DD6" w:rsidRPr="004412A6" w:rsidRDefault="00C540DF" w:rsidP="006B70F9">
      <w:pPr>
        <w:contextualSpacing/>
        <w:rPr>
          <w:rFonts w:asciiTheme="minorHAnsi" w:hAnsiTheme="minorHAnsi" w:cstheme="minorHAnsi"/>
          <w:color w:val="auto"/>
        </w:rPr>
      </w:pPr>
      <w:r w:rsidRPr="004412A6">
        <w:rPr>
          <w:rFonts w:asciiTheme="minorHAnsi" w:hAnsiTheme="minorHAnsi" w:cstheme="minorHAnsi"/>
          <w:b/>
          <w:bCs/>
          <w:color w:val="auto"/>
        </w:rPr>
        <w:t>SUMMARY</w:t>
      </w:r>
      <w:r w:rsidR="006305D7" w:rsidRPr="004412A6">
        <w:rPr>
          <w:rFonts w:asciiTheme="minorHAnsi" w:hAnsiTheme="minorHAnsi" w:cstheme="minorHAnsi"/>
          <w:b/>
          <w:bCs/>
          <w:color w:val="auto"/>
        </w:rPr>
        <w:t>:</w:t>
      </w:r>
    </w:p>
    <w:p w14:paraId="215CBD21" w14:textId="079E3F3D" w:rsidR="006A6C4A" w:rsidRPr="004412A6" w:rsidRDefault="00DE47BE" w:rsidP="006B70F9">
      <w:pPr>
        <w:contextualSpacing/>
        <w:rPr>
          <w:color w:val="auto"/>
        </w:rPr>
      </w:pPr>
      <w:r>
        <w:rPr>
          <w:color w:val="auto"/>
        </w:rPr>
        <w:t>W</w:t>
      </w:r>
      <w:r w:rsidR="00C540DF" w:rsidRPr="004412A6">
        <w:rPr>
          <w:color w:val="auto"/>
        </w:rPr>
        <w:t>e demonstrate</w:t>
      </w:r>
      <w:r w:rsidR="00D73593" w:rsidRPr="004412A6">
        <w:rPr>
          <w:color w:val="auto"/>
        </w:rPr>
        <w:t xml:space="preserve"> algal toxicity testing </w:t>
      </w:r>
      <w:r w:rsidR="0054639A" w:rsidRPr="004412A6">
        <w:rPr>
          <w:color w:val="auto"/>
        </w:rPr>
        <w:t>for</w:t>
      </w:r>
      <w:r w:rsidR="00D73593" w:rsidRPr="004412A6">
        <w:rPr>
          <w:color w:val="auto"/>
        </w:rPr>
        <w:t xml:space="preserve"> difficult substances (</w:t>
      </w:r>
      <w:r w:rsidR="00C540DF" w:rsidRPr="004412A6">
        <w:rPr>
          <w:color w:val="auto"/>
        </w:rPr>
        <w:t xml:space="preserve">e.g., </w:t>
      </w:r>
      <w:r w:rsidR="00D73593" w:rsidRPr="004412A6">
        <w:rPr>
          <w:color w:val="auto"/>
        </w:rPr>
        <w:t>colored substances or nanomaterials) using a</w:t>
      </w:r>
      <w:r w:rsidR="009D7AFD" w:rsidRPr="004412A6">
        <w:rPr>
          <w:color w:val="auto"/>
        </w:rPr>
        <w:t xml:space="preserve"> </w:t>
      </w:r>
      <w:r w:rsidR="009D5739" w:rsidRPr="004412A6">
        <w:rPr>
          <w:color w:val="auto"/>
        </w:rPr>
        <w:t>setup</w:t>
      </w:r>
      <w:r w:rsidR="009D7AFD" w:rsidRPr="004412A6">
        <w:rPr>
          <w:color w:val="auto"/>
        </w:rPr>
        <w:t xml:space="preserve"> illuminated vertically with </w:t>
      </w:r>
      <w:r w:rsidR="00C540DF" w:rsidRPr="004412A6">
        <w:rPr>
          <w:color w:val="auto"/>
        </w:rPr>
        <w:t xml:space="preserve">an </w:t>
      </w:r>
      <w:r w:rsidR="009D7AFD" w:rsidRPr="004412A6">
        <w:rPr>
          <w:color w:val="auto"/>
        </w:rPr>
        <w:t>LED</w:t>
      </w:r>
      <w:r w:rsidR="00D73593" w:rsidRPr="004412A6">
        <w:rPr>
          <w:color w:val="auto"/>
        </w:rPr>
        <w:t>.</w:t>
      </w:r>
    </w:p>
    <w:p w14:paraId="761028D6" w14:textId="77777777" w:rsidR="006305D7" w:rsidRPr="004412A6" w:rsidRDefault="006305D7" w:rsidP="006B70F9">
      <w:pPr>
        <w:contextualSpacing/>
        <w:rPr>
          <w:rFonts w:asciiTheme="minorHAnsi" w:hAnsiTheme="minorHAnsi" w:cstheme="minorHAnsi"/>
          <w:color w:val="auto"/>
        </w:rPr>
      </w:pPr>
    </w:p>
    <w:p w14:paraId="103B60DF" w14:textId="317C10A5" w:rsidR="00D73593" w:rsidRPr="004412A6" w:rsidRDefault="006305D7" w:rsidP="006B70F9">
      <w:pPr>
        <w:contextualSpacing/>
        <w:rPr>
          <w:rFonts w:asciiTheme="minorHAnsi" w:hAnsiTheme="minorHAnsi" w:cstheme="minorHAnsi"/>
          <w:color w:val="auto"/>
        </w:rPr>
      </w:pPr>
      <w:r w:rsidRPr="004412A6">
        <w:rPr>
          <w:rFonts w:asciiTheme="minorHAnsi" w:hAnsiTheme="minorHAnsi" w:cstheme="minorHAnsi"/>
          <w:b/>
          <w:bCs/>
          <w:color w:val="auto"/>
        </w:rPr>
        <w:t>LONG ABSTRACT:</w:t>
      </w:r>
    </w:p>
    <w:p w14:paraId="05FE8EFB" w14:textId="6D99A44D" w:rsidR="00DE47BE" w:rsidRDefault="00D73593" w:rsidP="006B70F9">
      <w:pPr>
        <w:contextualSpacing/>
        <w:rPr>
          <w:color w:val="auto"/>
        </w:rPr>
      </w:pPr>
      <w:r w:rsidRPr="004412A6">
        <w:rPr>
          <w:color w:val="auto"/>
        </w:rPr>
        <w:t xml:space="preserve">Ecotoxicity data is a requirement for pre- and post-market registration of chemicals by European and international regulations </w:t>
      </w:r>
      <w:r w:rsidR="00C540DF" w:rsidRPr="004412A6">
        <w:rPr>
          <w:color w:val="auto"/>
        </w:rPr>
        <w:t xml:space="preserve">(e.g., </w:t>
      </w:r>
      <w:r w:rsidRPr="004412A6">
        <w:rPr>
          <w:color w:val="auto"/>
        </w:rPr>
        <w:t>REACH</w:t>
      </w:r>
      <w:r w:rsidR="00C540DF" w:rsidRPr="004412A6">
        <w:rPr>
          <w:color w:val="auto"/>
        </w:rPr>
        <w:t>)</w:t>
      </w:r>
      <w:r w:rsidRPr="004412A6">
        <w:rPr>
          <w:color w:val="auto"/>
        </w:rPr>
        <w:t>.</w:t>
      </w:r>
      <w:r w:rsidR="001600A3">
        <w:rPr>
          <w:color w:val="auto"/>
        </w:rPr>
        <w:t xml:space="preserve"> </w:t>
      </w:r>
      <w:r w:rsidR="00D81311">
        <w:rPr>
          <w:color w:val="auto"/>
        </w:rPr>
        <w:t xml:space="preserve">The algal toxicity test is frequently used in regulatory risk assessment of chemicals. In order to achieve high reliability and reproducibility the development of standardized guidelines is vital. For algal toxicity testing, the guidelines require stable and uniform conditions of parameters such as pH, temperature, carbon dioxide levels and light intensity. </w:t>
      </w:r>
      <w:r w:rsidR="006073CB">
        <w:rPr>
          <w:color w:val="auto"/>
        </w:rPr>
        <w:t xml:space="preserve">Nanomaterials and </w:t>
      </w:r>
      <w:r w:rsidR="00DE47BE">
        <w:rPr>
          <w:color w:val="auto"/>
        </w:rPr>
        <w:t xml:space="preserve">other </w:t>
      </w:r>
      <w:r w:rsidR="006073CB">
        <w:rPr>
          <w:color w:val="auto"/>
        </w:rPr>
        <w:t xml:space="preserve">so-called difficult substances </w:t>
      </w:r>
      <w:r w:rsidR="00175E26">
        <w:rPr>
          <w:color w:val="auto"/>
        </w:rPr>
        <w:t>can</w:t>
      </w:r>
      <w:r w:rsidR="006073CB">
        <w:rPr>
          <w:color w:val="auto"/>
        </w:rPr>
        <w:t xml:space="preserve"> interfere with light causing a large variation in results obtained hampering the</w:t>
      </w:r>
      <w:r w:rsidR="00601C12">
        <w:rPr>
          <w:color w:val="auto"/>
        </w:rPr>
        <w:t>ir</w:t>
      </w:r>
      <w:r w:rsidR="006073CB">
        <w:rPr>
          <w:color w:val="auto"/>
        </w:rPr>
        <w:t xml:space="preserve"> regulatory acceptance. </w:t>
      </w:r>
      <w:r w:rsidR="00601C12">
        <w:rPr>
          <w:color w:val="auto"/>
        </w:rPr>
        <w:t xml:space="preserve">To address these challenges, we have developed LEVITATT (LED Vertical Illumination Table for Algal Toxicity Tests). The setup utilizes LED illumination from below allowing for a homogenous light distribution </w:t>
      </w:r>
      <w:r w:rsidR="00DE47BE">
        <w:rPr>
          <w:color w:val="auto"/>
        </w:rPr>
        <w:t xml:space="preserve">and temperature control </w:t>
      </w:r>
      <w:r w:rsidR="00601C12">
        <w:rPr>
          <w:color w:val="auto"/>
        </w:rPr>
        <w:t xml:space="preserve">while also minimizing intra-sample shading. The setup optimizes the sample volume for biomass quantification </w:t>
      </w:r>
      <w:r w:rsidR="00DE47BE">
        <w:rPr>
          <w:color w:val="auto"/>
        </w:rPr>
        <w:t>and does</w:t>
      </w:r>
      <w:r w:rsidR="00601C12">
        <w:rPr>
          <w:color w:val="auto"/>
        </w:rPr>
        <w:t xml:space="preserve"> at the same time ensur</w:t>
      </w:r>
      <w:r w:rsidR="00DE47BE">
        <w:rPr>
          <w:color w:val="auto"/>
        </w:rPr>
        <w:t>e</w:t>
      </w:r>
      <w:r w:rsidR="00601C12">
        <w:rPr>
          <w:color w:val="auto"/>
        </w:rPr>
        <w:t xml:space="preserve"> a sufficient </w:t>
      </w:r>
      <w:r w:rsidR="00DE47BE">
        <w:rPr>
          <w:color w:val="auto"/>
        </w:rPr>
        <w:t>in</w:t>
      </w:r>
      <w:r w:rsidR="00601C12">
        <w:rPr>
          <w:color w:val="auto"/>
        </w:rPr>
        <w:t>flux of CO</w:t>
      </w:r>
      <w:r w:rsidR="00601C12" w:rsidRPr="00B93420">
        <w:rPr>
          <w:color w:val="auto"/>
          <w:vertAlign w:val="subscript"/>
        </w:rPr>
        <w:t>2</w:t>
      </w:r>
      <w:r w:rsidR="00DE47BE">
        <w:rPr>
          <w:color w:val="auto"/>
        </w:rPr>
        <w:t xml:space="preserve"> to support exponential growth of the algae. </w:t>
      </w:r>
      <w:r w:rsidR="00601C12">
        <w:rPr>
          <w:color w:val="auto"/>
        </w:rPr>
        <w:t xml:space="preserve">Additionally, the material of the test containers can be </w:t>
      </w:r>
      <w:r w:rsidR="00B33AC3">
        <w:rPr>
          <w:color w:val="auto"/>
        </w:rPr>
        <w:t>tailored</w:t>
      </w:r>
      <w:r w:rsidR="00601C12">
        <w:rPr>
          <w:color w:val="auto"/>
        </w:rPr>
        <w:t xml:space="preserve"> to minimize adsorption and </w:t>
      </w:r>
      <w:r w:rsidR="00DE47BE">
        <w:rPr>
          <w:color w:val="auto"/>
        </w:rPr>
        <w:t>volatilization</w:t>
      </w:r>
      <w:r w:rsidR="00601C12">
        <w:rPr>
          <w:color w:val="auto"/>
        </w:rPr>
        <w:t xml:space="preserve">. </w:t>
      </w:r>
      <w:r w:rsidR="00DE47BE">
        <w:rPr>
          <w:color w:val="auto"/>
        </w:rPr>
        <w:t>When testing colored substances or particle suspensions, the use of</w:t>
      </w:r>
      <w:r w:rsidR="00601C12">
        <w:rPr>
          <w:color w:val="auto"/>
        </w:rPr>
        <w:t xml:space="preserve"> LED </w:t>
      </w:r>
      <w:r w:rsidR="00B33AC3">
        <w:rPr>
          <w:color w:val="auto"/>
        </w:rPr>
        <w:t xml:space="preserve">lights also allows for increasing the light intensity without additional heat generation. The compact design and minimal equipment requirements increase the </w:t>
      </w:r>
      <w:r w:rsidR="00DE47BE">
        <w:rPr>
          <w:color w:val="auto"/>
        </w:rPr>
        <w:t xml:space="preserve">possibilities for </w:t>
      </w:r>
      <w:r w:rsidR="00B33AC3">
        <w:rPr>
          <w:color w:val="auto"/>
        </w:rPr>
        <w:t xml:space="preserve">implementation of the </w:t>
      </w:r>
      <w:r w:rsidR="00DE47BE">
        <w:rPr>
          <w:color w:val="auto"/>
        </w:rPr>
        <w:t xml:space="preserve">LEVITATT </w:t>
      </w:r>
      <w:r w:rsidR="00B33AC3">
        <w:rPr>
          <w:color w:val="auto"/>
        </w:rPr>
        <w:t xml:space="preserve">in a wide range of laboratories. While compliant with standardized </w:t>
      </w:r>
      <w:r w:rsidR="002D51C5">
        <w:rPr>
          <w:color w:val="auto"/>
        </w:rPr>
        <w:t xml:space="preserve">ISO and OECD guidelines for algal toxicity </w:t>
      </w:r>
      <w:r w:rsidR="002D51C5">
        <w:rPr>
          <w:color w:val="auto"/>
        </w:rPr>
        <w:lastRenderedPageBreak/>
        <w:t>testing</w:t>
      </w:r>
      <w:r w:rsidR="00DE47BE">
        <w:rPr>
          <w:color w:val="auto"/>
        </w:rPr>
        <w:t>,</w:t>
      </w:r>
      <w:r w:rsidR="002D51C5">
        <w:rPr>
          <w:color w:val="auto"/>
        </w:rPr>
        <w:t xml:space="preserve"> </w:t>
      </w:r>
      <w:r w:rsidR="00B33AC3">
        <w:rPr>
          <w:color w:val="auto"/>
        </w:rPr>
        <w:t xml:space="preserve">LEVITATT </w:t>
      </w:r>
      <w:r w:rsidR="002D51C5">
        <w:rPr>
          <w:color w:val="auto"/>
        </w:rPr>
        <w:t xml:space="preserve">also </w:t>
      </w:r>
      <w:r w:rsidR="00B33AC3">
        <w:rPr>
          <w:color w:val="auto"/>
        </w:rPr>
        <w:t>showed a lower inter-sample variability for two reference substances</w:t>
      </w:r>
      <w:r w:rsidR="002D51C5">
        <w:rPr>
          <w:color w:val="auto"/>
        </w:rPr>
        <w:t xml:space="preserve"> (3,5-</w:t>
      </w:r>
      <w:r w:rsidR="00CC59CA">
        <w:rPr>
          <w:color w:val="auto"/>
        </w:rPr>
        <w:t>D</w:t>
      </w:r>
      <w:r w:rsidR="002D51C5">
        <w:rPr>
          <w:color w:val="auto"/>
        </w:rPr>
        <w:t>icholorophenol and K</w:t>
      </w:r>
      <w:r w:rsidR="002D51C5" w:rsidRPr="00B93420">
        <w:rPr>
          <w:color w:val="auto"/>
          <w:vertAlign w:val="subscript"/>
        </w:rPr>
        <w:t>2</w:t>
      </w:r>
      <w:r w:rsidR="002D51C5">
        <w:rPr>
          <w:color w:val="auto"/>
        </w:rPr>
        <w:t>Cr</w:t>
      </w:r>
      <w:r w:rsidR="002D51C5" w:rsidRPr="00B93420">
        <w:rPr>
          <w:color w:val="auto"/>
          <w:vertAlign w:val="subscript"/>
        </w:rPr>
        <w:t>2</w:t>
      </w:r>
      <w:r w:rsidR="002D51C5">
        <w:rPr>
          <w:color w:val="auto"/>
        </w:rPr>
        <w:t>O</w:t>
      </w:r>
      <w:r w:rsidR="002D51C5" w:rsidRPr="00B93420">
        <w:rPr>
          <w:color w:val="auto"/>
          <w:vertAlign w:val="subscript"/>
        </w:rPr>
        <w:t>7</w:t>
      </w:r>
      <w:r w:rsidR="002D51C5">
        <w:rPr>
          <w:color w:val="auto"/>
        </w:rPr>
        <w:t>)</w:t>
      </w:r>
      <w:r w:rsidR="00B33AC3">
        <w:rPr>
          <w:color w:val="auto"/>
        </w:rPr>
        <w:t xml:space="preserve"> and three nanomaterials</w:t>
      </w:r>
      <w:r w:rsidR="002D51C5">
        <w:rPr>
          <w:color w:val="auto"/>
        </w:rPr>
        <w:t xml:space="preserve"> (ZnO, CeO</w:t>
      </w:r>
      <w:r w:rsidR="002D51C5" w:rsidRPr="00B93420">
        <w:rPr>
          <w:color w:val="auto"/>
          <w:vertAlign w:val="subscript"/>
        </w:rPr>
        <w:t>2</w:t>
      </w:r>
      <w:r w:rsidR="00B54577">
        <w:rPr>
          <w:color w:val="auto"/>
        </w:rPr>
        <w:t>,</w:t>
      </w:r>
      <w:r w:rsidR="002D51C5">
        <w:rPr>
          <w:color w:val="auto"/>
        </w:rPr>
        <w:t xml:space="preserve"> and BaSO</w:t>
      </w:r>
      <w:r w:rsidR="002D51C5" w:rsidRPr="00B93420">
        <w:rPr>
          <w:color w:val="auto"/>
          <w:vertAlign w:val="subscript"/>
        </w:rPr>
        <w:t>4</w:t>
      </w:r>
      <w:r w:rsidR="002D51C5">
        <w:rPr>
          <w:color w:val="auto"/>
        </w:rPr>
        <w:t>)</w:t>
      </w:r>
      <w:r w:rsidR="00B33AC3">
        <w:rPr>
          <w:color w:val="auto"/>
        </w:rPr>
        <w:t xml:space="preserve"> compared to Erlenmeyer flasks and microtiter plates.</w:t>
      </w:r>
    </w:p>
    <w:p w14:paraId="4C7D5FD5" w14:textId="77777777" w:rsidR="006305D7" w:rsidRPr="004412A6" w:rsidRDefault="006305D7" w:rsidP="006B70F9">
      <w:pPr>
        <w:contextualSpacing/>
        <w:rPr>
          <w:rFonts w:asciiTheme="minorHAnsi" w:hAnsiTheme="minorHAnsi" w:cstheme="minorHAnsi"/>
          <w:color w:val="auto"/>
        </w:rPr>
      </w:pPr>
    </w:p>
    <w:p w14:paraId="00D25F73" w14:textId="3A41097F" w:rsidR="006305D7" w:rsidRPr="004412A6" w:rsidRDefault="006305D7" w:rsidP="006B70F9">
      <w:pPr>
        <w:contextualSpacing/>
        <w:rPr>
          <w:rFonts w:asciiTheme="minorHAnsi" w:hAnsiTheme="minorHAnsi" w:cstheme="minorHAnsi"/>
          <w:color w:val="auto"/>
        </w:rPr>
      </w:pPr>
      <w:r w:rsidRPr="004412A6">
        <w:rPr>
          <w:rFonts w:asciiTheme="minorHAnsi" w:hAnsiTheme="minorHAnsi" w:cstheme="minorHAnsi"/>
          <w:b/>
          <w:color w:val="auto"/>
        </w:rPr>
        <w:t>INTRODUCTION</w:t>
      </w:r>
      <w:r w:rsidRPr="004412A6">
        <w:rPr>
          <w:rFonts w:asciiTheme="minorHAnsi" w:hAnsiTheme="minorHAnsi" w:cstheme="minorHAnsi"/>
          <w:b/>
          <w:bCs/>
          <w:color w:val="auto"/>
        </w:rPr>
        <w:t>:</w:t>
      </w:r>
    </w:p>
    <w:p w14:paraId="10BE7952" w14:textId="341CEC8F" w:rsidR="00CE5C5C" w:rsidRPr="004412A6" w:rsidRDefault="005E3A35" w:rsidP="006B70F9">
      <w:pPr>
        <w:contextualSpacing/>
        <w:rPr>
          <w:color w:val="auto"/>
        </w:rPr>
      </w:pPr>
      <w:r w:rsidRPr="004412A6">
        <w:rPr>
          <w:color w:val="auto"/>
        </w:rPr>
        <w:t>The algal toxicity test is one of only three mandatory tests used to generate the ecotoxicity data required for pre- and post-market registration of chemicals by European and international regulations</w:t>
      </w:r>
      <w:r w:rsidR="004412A6" w:rsidRPr="004412A6">
        <w:rPr>
          <w:color w:val="auto"/>
        </w:rPr>
        <w:t xml:space="preserve"> (</w:t>
      </w:r>
      <w:r w:rsidR="00C540DF" w:rsidRPr="004412A6">
        <w:rPr>
          <w:color w:val="auto"/>
        </w:rPr>
        <w:t xml:space="preserve">e.g., </w:t>
      </w:r>
      <w:r w:rsidRPr="004412A6">
        <w:rPr>
          <w:color w:val="auto"/>
        </w:rPr>
        <w:t>REACH</w:t>
      </w:r>
      <w:r w:rsidR="00AC0D9E" w:rsidRPr="004412A6">
        <w:rPr>
          <w:color w:val="auto"/>
        </w:rPr>
        <w:fldChar w:fldCharType="begin" w:fldLock="1"/>
      </w:r>
      <w:r w:rsidR="00AC0D9E" w:rsidRPr="004412A6">
        <w:rPr>
          <w:color w:val="auto"/>
        </w:rPr>
        <w:instrText>ADDIN CSL_CITATION {"citationItems":[{"id":"ITEM-1","itemData":{"author":[{"dropping-particle":"","family":"ECHA","given":"","non-dropping-particle":"","parse-names":false,"suffix":""}],"id":"ITEM-1","issued":{"date-parts":[["2016"]]},"publisher-place":"Helsinki, Finland","title":"Guidance on registration","type":"report"},"uris":["http://www.mendeley.com/documents/?uuid=49d25038-01e4-4ed4-91f6-6a2e2142767c"]}],"mendeley":{"formattedCitation":"&lt;sup&gt;1&lt;/sup&gt;","plainTextFormattedCitation":"1"},"properties":{"noteIndex":0},"schema":"https://github.com/citation-style-language/schema/raw/master/csl-citation.json"}</w:instrText>
      </w:r>
      <w:r w:rsidR="00AC0D9E" w:rsidRPr="004412A6">
        <w:rPr>
          <w:color w:val="auto"/>
        </w:rPr>
        <w:fldChar w:fldCharType="separate"/>
      </w:r>
      <w:r w:rsidR="00AC0D9E" w:rsidRPr="004412A6">
        <w:rPr>
          <w:noProof/>
          <w:color w:val="auto"/>
          <w:vertAlign w:val="superscript"/>
        </w:rPr>
        <w:t>1</w:t>
      </w:r>
      <w:r w:rsidR="00AC0D9E" w:rsidRPr="004412A6">
        <w:rPr>
          <w:color w:val="auto"/>
        </w:rPr>
        <w:fldChar w:fldCharType="end"/>
      </w:r>
      <w:r w:rsidR="003F2A9F" w:rsidRPr="004412A6">
        <w:rPr>
          <w:color w:val="auto"/>
        </w:rPr>
        <w:t xml:space="preserve"> and</w:t>
      </w:r>
      <w:r w:rsidRPr="004412A6">
        <w:rPr>
          <w:color w:val="auto"/>
        </w:rPr>
        <w:t xml:space="preserve"> TSCA (USA)</w:t>
      </w:r>
      <w:r w:rsidR="004412A6" w:rsidRPr="004412A6">
        <w:rPr>
          <w:color w:val="auto"/>
        </w:rPr>
        <w:t>)</w:t>
      </w:r>
      <w:r w:rsidRPr="004412A6">
        <w:rPr>
          <w:color w:val="auto"/>
        </w:rPr>
        <w:t xml:space="preserve">. For this purpose, </w:t>
      </w:r>
      <w:r w:rsidR="003C68F8" w:rsidRPr="004412A6">
        <w:rPr>
          <w:color w:val="auto"/>
        </w:rPr>
        <w:t>standardized</w:t>
      </w:r>
      <w:r w:rsidRPr="004412A6">
        <w:rPr>
          <w:color w:val="auto"/>
        </w:rPr>
        <w:t xml:space="preserve"> algal test guidelines have been developed by international </w:t>
      </w:r>
      <w:r w:rsidR="003C68F8" w:rsidRPr="004412A6">
        <w:rPr>
          <w:color w:val="auto"/>
        </w:rPr>
        <w:t>organizations</w:t>
      </w:r>
      <w:r w:rsidR="004412A6" w:rsidRPr="004412A6">
        <w:rPr>
          <w:color w:val="auto"/>
        </w:rPr>
        <w:t xml:space="preserve"> (</w:t>
      </w:r>
      <w:r w:rsidR="00C540DF" w:rsidRPr="004412A6">
        <w:rPr>
          <w:color w:val="auto"/>
        </w:rPr>
        <w:t xml:space="preserve">e.g., </w:t>
      </w:r>
      <w:r w:rsidRPr="004412A6">
        <w:rPr>
          <w:color w:val="auto"/>
        </w:rPr>
        <w:t>ISO and OECD</w:t>
      </w:r>
      <w:r w:rsidR="004412A6" w:rsidRPr="004412A6">
        <w:rPr>
          <w:color w:val="auto"/>
        </w:rPr>
        <w:t>)</w:t>
      </w:r>
      <w:r w:rsidRPr="004412A6">
        <w:rPr>
          <w:color w:val="auto"/>
        </w:rPr>
        <w:t>. These testing standards and guidelines prescribe ideal test conditions in terms of pH, temperature, carbon dioxide levels and light intensity. However</w:t>
      </w:r>
      <w:r w:rsidR="00A83E60" w:rsidRPr="004412A6">
        <w:rPr>
          <w:color w:val="auto"/>
        </w:rPr>
        <w:t>,</w:t>
      </w:r>
      <w:r w:rsidRPr="004412A6">
        <w:rPr>
          <w:color w:val="auto"/>
        </w:rPr>
        <w:t xml:space="preserve"> maintaining stable test conditions during algal testing is in practice difficult and </w:t>
      </w:r>
      <w:r w:rsidR="00D84A0F">
        <w:rPr>
          <w:color w:val="auto"/>
        </w:rPr>
        <w:t xml:space="preserve">the </w:t>
      </w:r>
      <w:r w:rsidRPr="004412A6">
        <w:rPr>
          <w:color w:val="auto"/>
        </w:rPr>
        <w:t>results suffer from problems with reproducibility and reliability for a range of chemical substances and nanomaterials (often referred to as “difficult substances”</w:t>
      </w:r>
      <w:r w:rsidR="00881A5F" w:rsidRPr="004412A6">
        <w:rPr>
          <w:color w:val="auto"/>
        </w:rPr>
        <w:t>)</w:t>
      </w:r>
      <w:r w:rsidR="00120E6E" w:rsidRPr="004412A6">
        <w:rPr>
          <w:color w:val="auto"/>
        </w:rPr>
        <w:fldChar w:fldCharType="begin" w:fldLock="1"/>
      </w:r>
      <w:r w:rsidR="00AC0D9E" w:rsidRPr="004412A6">
        <w:rPr>
          <w:color w:val="auto"/>
        </w:rPr>
        <w:instrText>ADDIN CSL_CITATION {"citationItems":[{"id":"ITEM-1","itemData":{"DOI":"https://doi.org/https://doi.org/10.1787/0ed2f88e-en","author":[{"dropping-particle":"","family":"OECD","given":"","non-dropping-particle":"","parse-names":false,"suffix":""}],"id":"ITEM-1","issued":{"date-parts":[["2019"]]},"number-of-pages":"81","title":"Guidance Document on Aquatic Toxicity Testing of Difficult Substances and Mixtures","type":"book"},"uris":["http://www.mendeley.com/documents/?uuid=690ed2c7-0e3c-408b-bde9-3bbfd5a64fee"]}],"mendeley":{"formattedCitation":"&lt;sup&gt;2&lt;/sup&gt;","plainTextFormattedCitation":"2","previouslyFormattedCitation":"&lt;sup&gt;2&lt;/sup&gt;"},"properties":{"noteIndex":0},"schema":"https://github.com/citation-style-language/schema/raw/master/csl-citation.json"}</w:instrText>
      </w:r>
      <w:r w:rsidR="00120E6E" w:rsidRPr="004412A6">
        <w:rPr>
          <w:color w:val="auto"/>
        </w:rPr>
        <w:fldChar w:fldCharType="separate"/>
      </w:r>
      <w:r w:rsidR="00AC0D9E" w:rsidRPr="004412A6">
        <w:rPr>
          <w:noProof/>
          <w:color w:val="auto"/>
          <w:vertAlign w:val="superscript"/>
        </w:rPr>
        <w:t>2</w:t>
      </w:r>
      <w:r w:rsidR="00120E6E" w:rsidRPr="004412A6">
        <w:rPr>
          <w:color w:val="auto"/>
        </w:rPr>
        <w:fldChar w:fldCharType="end"/>
      </w:r>
      <w:r w:rsidRPr="004412A6">
        <w:rPr>
          <w:color w:val="auto"/>
        </w:rPr>
        <w:t xml:space="preserve">. </w:t>
      </w:r>
      <w:r w:rsidR="00B8116D" w:rsidRPr="004412A6">
        <w:rPr>
          <w:color w:val="auto"/>
        </w:rPr>
        <w:t xml:space="preserve">Most </w:t>
      </w:r>
      <w:r w:rsidR="00CA451A" w:rsidRPr="004412A6">
        <w:rPr>
          <w:color w:val="auto"/>
        </w:rPr>
        <w:t xml:space="preserve">of the existing </w:t>
      </w:r>
      <w:r w:rsidR="00B8116D" w:rsidRPr="004412A6">
        <w:rPr>
          <w:color w:val="auto"/>
        </w:rPr>
        <w:t xml:space="preserve">algal toxicity </w:t>
      </w:r>
      <w:r w:rsidR="00881A5F" w:rsidRPr="004412A6">
        <w:rPr>
          <w:color w:val="auto"/>
        </w:rPr>
        <w:t xml:space="preserve">testing </w:t>
      </w:r>
      <w:r w:rsidR="00B8116D" w:rsidRPr="004412A6">
        <w:rPr>
          <w:color w:val="auto"/>
        </w:rPr>
        <w:t>setups</w:t>
      </w:r>
      <w:r w:rsidR="000F4A71" w:rsidRPr="004412A6">
        <w:rPr>
          <w:color w:val="auto"/>
        </w:rPr>
        <w:t xml:space="preserve"> </w:t>
      </w:r>
      <w:r w:rsidR="00B8116D" w:rsidRPr="004412A6">
        <w:rPr>
          <w:color w:val="auto"/>
        </w:rPr>
        <w:t>operat</w:t>
      </w:r>
      <w:r w:rsidR="00F856AF" w:rsidRPr="004412A6">
        <w:rPr>
          <w:color w:val="auto"/>
        </w:rPr>
        <w:t>e</w:t>
      </w:r>
      <w:r w:rsidR="00B8116D" w:rsidRPr="004412A6">
        <w:rPr>
          <w:color w:val="auto"/>
        </w:rPr>
        <w:t xml:space="preserve"> with relatively large volumes (100</w:t>
      </w:r>
      <w:r w:rsidR="00D84A0F">
        <w:rPr>
          <w:color w:val="auto"/>
        </w:rPr>
        <w:t>–</w:t>
      </w:r>
      <w:r w:rsidR="00B8116D" w:rsidRPr="004412A6">
        <w:rPr>
          <w:color w:val="auto"/>
        </w:rPr>
        <w:t xml:space="preserve">250 mL) situated on an orbital shaker inside an incubator. Such a setup limits the number of test concentrations and replicates achievable and high volumes of algal culture and test material. Additionally, these setups rarely have a uniform light field and reliable lighting conditions are furthermore difficult to obtain in large flasks, partly as light intensity decreases exponentially the further the light travels and partly due to the flask geometry. Alternative setups </w:t>
      </w:r>
      <w:r w:rsidR="005E6702" w:rsidRPr="004412A6">
        <w:rPr>
          <w:color w:val="auto"/>
        </w:rPr>
        <w:t>comprise</w:t>
      </w:r>
      <w:r w:rsidR="00B8116D" w:rsidRPr="004412A6">
        <w:rPr>
          <w:color w:val="auto"/>
        </w:rPr>
        <w:t xml:space="preserve"> plastic microtiter</w:t>
      </w:r>
      <w:r w:rsidR="000A094F" w:rsidRPr="004412A6">
        <w:rPr>
          <w:color w:val="auto"/>
        </w:rPr>
        <w:fldChar w:fldCharType="begin" w:fldLock="1"/>
      </w:r>
      <w:r w:rsidR="00AC0D9E" w:rsidRPr="004412A6">
        <w:rPr>
          <w:color w:val="auto"/>
        </w:rPr>
        <w:instrText>ADDIN CSL_CITATION {"citationItems":[{"id":"ITEM-1","itemData":{"DOI":"10.1002/tox.2540010302","abstract":"Abstract A simple, miniaturized algal assay procedure using microplates has been developed to assess aquatic toxicity with the green alga, Selenastrum capricornutum. Cell count-generated EC50 data comparisons with the classic assay using flasks have indicated good agreement between the two methods following toxic assessment of various wastewater samples and metal solutions. Parametric comparisons (ATP us cell counts) with the microplate method show equally good correlation. The technique is highly versatile in conducting basic algal bioassays for varying times (4-hour, 4-day, 8-day EC50's) and with differing parameters, depending on set objectives. Other interesting features of the microplate technique include handling rapidity, economy, space-saving convenience, and automation potential.","author":[{"dropping-particle":"","family":"Blaise","given":"C","non-dropping-particle":"","parse-names":false,"suffix":""},{"dropping-particle":"","family":"Legault","given":"R","non-dropping-particle":"","parse-names":false,"suffix":""},{"dropping-particle":"","family":"Bermingham","given":"N","non-dropping-particle":"","parse-names":false,"suffix":""},{"dropping-particle":"","family":"Coillie","given":"R","non-dropping-particle":"Van","parse-names":false,"suffix":""},{"dropping-particle":"","family":"Vasseur","given":"P","non-dropping-particle":"","parse-names":false,"suffix":""}],"container-title":"Toxicity Assessment","id":"ITEM-1","issue":"3","issued":{"date-parts":[["1986"]]},"page":"261-281","title":"A simple microplate algal assay technique for aquatic toxicity assessment","type":"article-journal","volume":"1"},"uris":["http://www.mendeley.com/documents/?uuid=dfdd89ce-5f57-449d-8051-d88576ce80f3"]}],"mendeley":{"formattedCitation":"&lt;sup&gt;3&lt;/sup&gt;","plainTextFormattedCitation":"3","previouslyFormattedCitation":"&lt;sup&gt;3&lt;/sup&gt;"},"properties":{"noteIndex":0},"schema":"https://github.com/citation-style-language/schema/raw/master/csl-citation.json"}</w:instrText>
      </w:r>
      <w:r w:rsidR="000A094F" w:rsidRPr="004412A6">
        <w:rPr>
          <w:color w:val="auto"/>
        </w:rPr>
        <w:fldChar w:fldCharType="separate"/>
      </w:r>
      <w:r w:rsidR="00AC0D9E" w:rsidRPr="004412A6">
        <w:rPr>
          <w:noProof/>
          <w:color w:val="auto"/>
          <w:vertAlign w:val="superscript"/>
        </w:rPr>
        <w:t>3</w:t>
      </w:r>
      <w:r w:rsidR="000A094F" w:rsidRPr="004412A6">
        <w:rPr>
          <w:color w:val="auto"/>
        </w:rPr>
        <w:fldChar w:fldCharType="end"/>
      </w:r>
      <w:r w:rsidR="00B8116D" w:rsidRPr="004412A6">
        <w:rPr>
          <w:color w:val="auto"/>
        </w:rPr>
        <w:t xml:space="preserve"> plates containing small sample volumes that do not allow for adequate sampling volume</w:t>
      </w:r>
      <w:r w:rsidR="005E6702" w:rsidRPr="004412A6">
        <w:rPr>
          <w:color w:val="auto"/>
        </w:rPr>
        <w:t>s</w:t>
      </w:r>
      <w:r w:rsidR="00B8116D" w:rsidRPr="004412A6">
        <w:rPr>
          <w:color w:val="auto"/>
        </w:rPr>
        <w:t xml:space="preserve"> to measure pH, additional biomass measurements, pigment extraction or other </w:t>
      </w:r>
      <w:r w:rsidR="005E6702" w:rsidRPr="004412A6">
        <w:rPr>
          <w:color w:val="auto"/>
        </w:rPr>
        <w:t xml:space="preserve">analyses requiring </w:t>
      </w:r>
      <w:r w:rsidR="00B8116D" w:rsidRPr="004412A6">
        <w:rPr>
          <w:color w:val="auto"/>
        </w:rPr>
        <w:t xml:space="preserve">destructive sampling. </w:t>
      </w:r>
      <w:r w:rsidR="00B64267" w:rsidRPr="004412A6">
        <w:rPr>
          <w:color w:val="auto"/>
        </w:rPr>
        <w:t>One particular challenge using existing setups for algal toxicity testing of nanomaterials and substances forming colored suspensions is the interference or blocking of the light available to the algal cells, often r</w:t>
      </w:r>
      <w:r w:rsidR="0085655B" w:rsidRPr="004412A6">
        <w:rPr>
          <w:color w:val="auto"/>
        </w:rPr>
        <w:t>eferred to as “shading”</w:t>
      </w:r>
      <w:r w:rsidR="000A094F" w:rsidRPr="004412A6">
        <w:rPr>
          <w:color w:val="auto"/>
        </w:rPr>
        <w:fldChar w:fldCharType="begin" w:fldLock="1"/>
      </w:r>
      <w:r w:rsidR="00AC0D9E" w:rsidRPr="004412A6">
        <w:rPr>
          <w:color w:val="auto"/>
        </w:rPr>
        <w:instrText>ADDIN CSL_CITATION {"citationItems":[{"id":"ITEM-1","itemData":{"DOI":"10.1002/ieam.1728","ISSN":"1551-3777","author":[{"dropping-particle":"","family":"Hjorth","given":"Rune","non-dropping-particle":"","parse-names":false,"suffix":""},{"dropping-particle":"","family":"Sorensen","given":"Sara N","non-dropping-particle":"","parse-names":false,"suffix":""},{"dropping-particle":"","family":"Olsson","given":"Mikael E","non-dropping-particle":"","parse-names":false,"suffix":""},{"dropping-particle":"","family":"Baun","given":"Anders","non-dropping-particle":"","parse-names":false,"suffix":""},{"dropping-particle":"","family":"Hartmann","given":"Nanna B","non-dropping-particle":"","parse-names":false,"suffix":""}],"container-title":"INTEGRATED ENVIRONMENTAL ASSESSMENT AND MANAGEMENT","id":"ITEM-1","issue":"1","issued":{"date-parts":[["2016","1"]]},"page":"200-202","publisher":"WILEY-BLACKWELL","publisher-place":"111 RIVER ST, HOBOKEN 07030-5774, NJ USA","title":"A CERTAIN SHADE OF GREEN: CAN ALGAL PIGMENTS REVEAL SHADING EFFECTS OF NANOPARTICLES?","type":"article-journal","volume":"12"},"uris":["http://www.mendeley.com/documents/?uuid=f784aed2-7cc9-4423-a9c9-4462885d35f5"]},{"id":"ITEM-2","itemData":{"DOI":"10.1039/C8EN01368C","abstract":"The growing application of nanotechnology causes the release of engineered nanoparticles (NPs) into aquatic environments. With increasing concerns over the potential effect of NPs on aquatic organisms{,} investigations on NP toxicity to algae are rising. To date{,} the overall algal response to cope with NP toxicity is still uncertain. In this review{,} a meta-analysis was conducted to quantitatively assess the toxicity mechanisms dominated by oxidative stress. The reactive oxygen species elevated by 90% caused retarded algal growth by reduction (38%) in cell density{,} and NP toxicity was strongly dependent on the NP type and dose. Specifically{,} the mechanisms of NP toxicity were discussed in different “omics” levels. Further{,} we summarized the current knowledge and mechanisms of defense strategies{,} including formation of a protective bio-barrier and adjustment in intracellular processes (internalization{,} transformation and compartmentation) to decrease cellular NP concentrations. Based on the response patterns of algae to NPs{,} we addressed the possibility of NP application for algal bloom control. A systematic understanding of algal response mechanisms to NPs will help develop safe and sustainable nanotechnology in aquatic ecosystems.","author":[{"dropping-particle":"","family":"Chen","given":"Feiran","non-dropping-particle":"","parse-names":false,"suffix":""},{"dropping-particle":"","family":"Xiao","given":"Zhenggao","non-dropping-particle":"","parse-names":false,"suffix":""},{"dropping-particle":"","family":"Yue","given":"Le","non-dropping-particle":"","parse-names":false,"suffix":""},{"dropping-particle":"","family":"Wang","given":"Jing","non-dropping-particle":"","parse-names":false,"suffix":""},{"dropping-particle":"","family":"Feng","given":"Yan","non-dropping-particle":"","parse-names":false,"suffix":""},{"dropping-particle":"","family":"Zhu","given":"Xiaoshan","non-dropping-particle":"","parse-names":false,"suffix":""},{"dropping-particle":"","family":"Wang","given":"Zhenyu","non-dropping-particle":"","parse-names":false,"suffix":""},{"dropping-particle":"","family":"Xing","given":"Baoshan","non-dropping-particle":"","parse-names":false,"suffix":""}],"container-title":"Environ. Sci.: Nano","id":"ITEM-2","issue":"4","issued":{"date-parts":[["2019"]]},"page":"1026-1042","publisher":"The Royal Society of Chemistry","title":"Algae response to engineered nanoparticles: current understanding{,} mechanisms and implications","type":"article-journal","volume":"6"},"uris":["http://www.mendeley.com/documents/?uuid=ad114dfb-ff5c-4c44-9e51-723f1ac89321"]}],"mendeley":{"formattedCitation":"&lt;sup&gt;4, 5&lt;/sup&gt;","plainTextFormattedCitation":"4, 5","previouslyFormattedCitation":"&lt;sup&gt;4, 5&lt;/sup&gt;"},"properties":{"noteIndex":0},"schema":"https://github.com/citation-style-language/schema/raw/master/csl-citation.json"}</w:instrText>
      </w:r>
      <w:r w:rsidR="000A094F" w:rsidRPr="004412A6">
        <w:rPr>
          <w:color w:val="auto"/>
        </w:rPr>
        <w:fldChar w:fldCharType="separate"/>
      </w:r>
      <w:r w:rsidR="00AC0D9E" w:rsidRPr="004412A6">
        <w:rPr>
          <w:noProof/>
          <w:color w:val="auto"/>
          <w:vertAlign w:val="superscript"/>
        </w:rPr>
        <w:t>4,5</w:t>
      </w:r>
      <w:r w:rsidR="000A094F" w:rsidRPr="004412A6">
        <w:rPr>
          <w:color w:val="auto"/>
        </w:rPr>
        <w:fldChar w:fldCharType="end"/>
      </w:r>
      <w:r w:rsidR="00B64267" w:rsidRPr="004412A6">
        <w:rPr>
          <w:color w:val="auto"/>
        </w:rPr>
        <w:t xml:space="preserve">. Shading may occur within vials by the test material and/or interactions between </w:t>
      </w:r>
      <w:r w:rsidR="00AF6E0B">
        <w:rPr>
          <w:color w:val="auto"/>
        </w:rPr>
        <w:t xml:space="preserve">the </w:t>
      </w:r>
      <w:r w:rsidR="00B64267" w:rsidRPr="004412A6">
        <w:rPr>
          <w:color w:val="auto"/>
        </w:rPr>
        <w:t xml:space="preserve">test material and </w:t>
      </w:r>
      <w:r w:rsidR="00AF6E0B">
        <w:rPr>
          <w:color w:val="auto"/>
        </w:rPr>
        <w:t xml:space="preserve">the </w:t>
      </w:r>
      <w:r w:rsidR="00B64267" w:rsidRPr="004412A6">
        <w:rPr>
          <w:color w:val="auto"/>
        </w:rPr>
        <w:t xml:space="preserve">algal cells, or shading can occur between vials, </w:t>
      </w:r>
      <w:r w:rsidR="00A232CC" w:rsidRPr="004412A6">
        <w:rPr>
          <w:color w:val="auto"/>
        </w:rPr>
        <w:t xml:space="preserve">due to </w:t>
      </w:r>
      <w:r w:rsidR="00B64267" w:rsidRPr="004412A6">
        <w:rPr>
          <w:color w:val="auto"/>
        </w:rPr>
        <w:t>their positioning relative to each other and the light source.</w:t>
      </w:r>
    </w:p>
    <w:p w14:paraId="523B804E" w14:textId="77777777" w:rsidR="00CE5C5C" w:rsidRPr="004412A6" w:rsidRDefault="00CE5C5C" w:rsidP="006B70F9">
      <w:pPr>
        <w:contextualSpacing/>
        <w:rPr>
          <w:color w:val="auto"/>
        </w:rPr>
      </w:pPr>
    </w:p>
    <w:p w14:paraId="0A786D12" w14:textId="625179A3" w:rsidR="003C68F8" w:rsidRPr="004412A6" w:rsidRDefault="00CE5C5C" w:rsidP="006B70F9">
      <w:pPr>
        <w:contextualSpacing/>
        <w:rPr>
          <w:color w:val="auto"/>
        </w:rPr>
      </w:pPr>
      <w:r w:rsidRPr="004412A6">
        <w:rPr>
          <w:color w:val="auto"/>
        </w:rPr>
        <w:t xml:space="preserve">The method </w:t>
      </w:r>
      <w:r w:rsidR="00881A5F" w:rsidRPr="004412A6">
        <w:rPr>
          <w:color w:val="auto"/>
        </w:rPr>
        <w:t>is based on the</w:t>
      </w:r>
      <w:r w:rsidR="00C540DF" w:rsidRPr="004412A6">
        <w:rPr>
          <w:color w:val="auto"/>
        </w:rPr>
        <w:t xml:space="preserve"> </w:t>
      </w:r>
      <w:r w:rsidR="00A83E60" w:rsidRPr="004412A6">
        <w:rPr>
          <w:color w:val="auto"/>
        </w:rPr>
        <w:t xml:space="preserve">small-scale </w:t>
      </w:r>
      <w:r w:rsidRPr="004412A6">
        <w:rPr>
          <w:color w:val="auto"/>
        </w:rPr>
        <w:t>algal toxicity test</w:t>
      </w:r>
      <w:r w:rsidR="00A83E60" w:rsidRPr="004412A6">
        <w:rPr>
          <w:color w:val="auto"/>
        </w:rPr>
        <w:t xml:space="preserve"> </w:t>
      </w:r>
      <w:r w:rsidR="00A232CC" w:rsidRPr="004412A6">
        <w:rPr>
          <w:color w:val="auto"/>
        </w:rPr>
        <w:t xml:space="preserve">setup </w:t>
      </w:r>
      <w:r w:rsidR="00881A5F" w:rsidRPr="004412A6">
        <w:rPr>
          <w:color w:val="auto"/>
        </w:rPr>
        <w:t>introduced by Arensberg et al.</w:t>
      </w:r>
      <w:r w:rsidR="000A094F" w:rsidRPr="004412A6">
        <w:rPr>
          <w:color w:val="auto"/>
        </w:rPr>
        <w:fldChar w:fldCharType="begin" w:fldLock="1"/>
      </w:r>
      <w:r w:rsidR="00AC0D9E" w:rsidRPr="004412A6">
        <w:rPr>
          <w:color w:val="auto"/>
        </w:rPr>
        <w:instrText>ADDIN CSL_CITATION {"citationItems":[{"id":"ITEM-1","itemData":{"DOI":"https://doi.org/10.1016/0045-6535(95)00090-U","ISSN":"0045-6535","abstract":"A simple miniscale (approx. 1–2.5 ml) toxicity test procedure with the freshwater green alga Selenastrum capricornutum is described. The procedure fulfils the validity criteria of the ISO (International Association for Standardization) standard test protocol. Practically identical concentration-response curves were obtained with the ISO standard test and the minitest for potassium dichromate and 3,5-dichlorophenol. The minitest is conveniently carried out using 2.5 ml test volume in 20 ml glass scintillation vials, placed on a microplate shaker or on an ordinary shaking table, but smaller containers and test volumes (down to 1 ml) could also be used. Tissue culture treated polystyrene microplates were found toxic to algae and thus unusable. pH control is achieved more easily in the minitest than in larger size shake flasks due to greater turbulence and a larger surface/volume ratio which both facilitates CO2 mass transfer. Uniform illumination of the individual units of a minitest setup is obtained readily due to the small area that has to be illuminated. Using the rapidly growing green alga S. capricornutum as test organism, it is proposed generally to reduce the standard test duration from 3 days to 2 days (minitest as well as larger volume tests) in order to avoid excessive biomass growth. Shortening tests to 2 days appears necessary if light intensity and temperature are near the upper limits of the intervals stated in the ISO standard.","author":[{"dropping-particle":"","family":"Arensberg","given":"Pia","non-dropping-particle":"","parse-names":false,"suffix":""},{"dropping-particle":"","family":"Hemmingsen","given":"Vicky H","non-dropping-particle":"","parse-names":false,"suffix":""},{"dropping-particle":"","family":"Nyholm","given":"Niels","non-dropping-particle":"","parse-names":false,"suffix":""}],"container-title":"Chemosphere","id":"ITEM-1","issue":"11","issued":{"date-parts":[["1995"]]},"page":"2103-2115","title":"A miniscale algal toxicity test","type":"article-journal","volume":"30"},"uris":["http://www.mendeley.com/documents/?uuid=48fa96c5-75c5-4383-a431-8209ccd4983f"]}],"mendeley":{"formattedCitation":"&lt;sup&gt;6&lt;/sup&gt;","plainTextFormattedCitation":"6","previouslyFormattedCitation":"&lt;sup&gt;6&lt;/sup&gt;"},"properties":{"noteIndex":0},"schema":"https://github.com/citation-style-language/schema/raw/master/csl-citation.json"}</w:instrText>
      </w:r>
      <w:r w:rsidR="000A094F" w:rsidRPr="004412A6">
        <w:rPr>
          <w:color w:val="auto"/>
        </w:rPr>
        <w:fldChar w:fldCharType="separate"/>
      </w:r>
      <w:r w:rsidR="00AC0D9E" w:rsidRPr="004412A6">
        <w:rPr>
          <w:noProof/>
          <w:color w:val="auto"/>
          <w:vertAlign w:val="superscript"/>
        </w:rPr>
        <w:t>6</w:t>
      </w:r>
      <w:r w:rsidR="000A094F" w:rsidRPr="004412A6">
        <w:rPr>
          <w:color w:val="auto"/>
        </w:rPr>
        <w:fldChar w:fldCharType="end"/>
      </w:r>
      <w:r w:rsidR="00881A5F" w:rsidRPr="004412A6">
        <w:rPr>
          <w:color w:val="auto"/>
        </w:rPr>
        <w:t xml:space="preserve"> </w:t>
      </w:r>
      <w:r w:rsidR="00A232CC" w:rsidRPr="004412A6">
        <w:rPr>
          <w:color w:val="auto"/>
        </w:rPr>
        <w:t xml:space="preserve">that allows for testing in </w:t>
      </w:r>
      <w:r w:rsidR="00A83E60" w:rsidRPr="004412A6">
        <w:rPr>
          <w:color w:val="auto"/>
        </w:rPr>
        <w:t>compl</w:t>
      </w:r>
      <w:r w:rsidR="00A232CC" w:rsidRPr="004412A6">
        <w:rPr>
          <w:color w:val="auto"/>
        </w:rPr>
        <w:t xml:space="preserve">iance </w:t>
      </w:r>
      <w:r w:rsidR="00A83E60" w:rsidRPr="004412A6">
        <w:rPr>
          <w:color w:val="auto"/>
        </w:rPr>
        <w:t>with standards such as OECD 201</w:t>
      </w:r>
      <w:r w:rsidR="000A094F" w:rsidRPr="004412A6">
        <w:rPr>
          <w:color w:val="auto"/>
        </w:rPr>
        <w:fldChar w:fldCharType="begin" w:fldLock="1"/>
      </w:r>
      <w:r w:rsidR="00AC0D9E" w:rsidRPr="004412A6">
        <w:rPr>
          <w:color w:val="auto"/>
        </w:rPr>
        <w:instrText>ADDIN CSL_CITATION {"citationItems":[{"id":"ITEM-1","itemData":{"DOI":"https://doi.org/https://doi.org/10.1787/9789264069923-en","author":[{"dropping-particle":"","family":"OECD","given":"","non-dropping-particle":"","parse-names":false,"suffix":""}],"id":"ITEM-1","issued":{"date-parts":[["2011"]]},"number-of-pages":"25","title":"Test No. 201: Freshwater Alga and Cyanobacteria, Growth Inhibition Test","type":"book"},"uris":["http://www.mendeley.com/documents/?uuid=1a9f6113-e2a9-4d5e-b8d4-96c78fb2727c"]}],"mendeley":{"formattedCitation":"&lt;sup&gt;7&lt;/sup&gt;","plainTextFormattedCitation":"7","previouslyFormattedCitation":"&lt;sup&gt;7&lt;/sup&gt;"},"properties":{"noteIndex":0},"schema":"https://github.com/citation-style-language/schema/raw/master/csl-citation.json"}</w:instrText>
      </w:r>
      <w:r w:rsidR="000A094F" w:rsidRPr="004412A6">
        <w:rPr>
          <w:color w:val="auto"/>
        </w:rPr>
        <w:fldChar w:fldCharType="separate"/>
      </w:r>
      <w:r w:rsidR="00AC0D9E" w:rsidRPr="004412A6">
        <w:rPr>
          <w:noProof/>
          <w:color w:val="auto"/>
          <w:vertAlign w:val="superscript"/>
        </w:rPr>
        <w:t>7</w:t>
      </w:r>
      <w:r w:rsidR="000A094F" w:rsidRPr="004412A6">
        <w:rPr>
          <w:color w:val="auto"/>
        </w:rPr>
        <w:fldChar w:fldCharType="end"/>
      </w:r>
      <w:r w:rsidR="000E3042" w:rsidRPr="004412A6">
        <w:rPr>
          <w:color w:val="auto"/>
        </w:rPr>
        <w:t xml:space="preserve">, </w:t>
      </w:r>
      <w:r w:rsidR="00A83E60" w:rsidRPr="004412A6">
        <w:rPr>
          <w:color w:val="auto"/>
        </w:rPr>
        <w:t>and ISO 8692</w:t>
      </w:r>
      <w:r w:rsidR="000A094F" w:rsidRPr="004412A6">
        <w:rPr>
          <w:color w:val="auto"/>
        </w:rPr>
        <w:fldChar w:fldCharType="begin" w:fldLock="1"/>
      </w:r>
      <w:r w:rsidR="00AC0D9E" w:rsidRPr="004412A6">
        <w:rPr>
          <w:color w:val="auto"/>
        </w:rPr>
        <w:instrText>ADDIN CSL_CITATION {"citationItems":[{"id":"ITEM-1","itemData":{"author":[{"dropping-particle":"","family":"International Organization for Standardization (ISO)","given":"","non-dropping-particle":"","parse-names":false,"suffix":""}],"id":"ITEM-1","issued":{"date-parts":[["2012"]]},"publisher-place":"Geneve, Switzerland","title":"Water quality - Fresh water algal growth inhibition test with unicellular green algae","type":"article"},"uris":["http://www.mendeley.com/documents/?uuid=b785d56e-fb16-45e9-a81a-d0cf98395f01"]}],"mendeley":{"formattedCitation":"&lt;sup&gt;8&lt;/sup&gt;","plainTextFormattedCitation":"8","previouslyFormattedCitation":"&lt;sup&gt;8&lt;/sup&gt;"},"properties":{"noteIndex":0},"schema":"https://github.com/citation-style-language/schema/raw/master/csl-citation.json"}</w:instrText>
      </w:r>
      <w:r w:rsidR="000A094F" w:rsidRPr="004412A6">
        <w:rPr>
          <w:color w:val="auto"/>
        </w:rPr>
        <w:fldChar w:fldCharType="separate"/>
      </w:r>
      <w:r w:rsidR="00AC0D9E" w:rsidRPr="004412A6">
        <w:rPr>
          <w:noProof/>
          <w:color w:val="auto"/>
          <w:vertAlign w:val="superscript"/>
        </w:rPr>
        <w:t>8</w:t>
      </w:r>
      <w:r w:rsidR="000A094F" w:rsidRPr="004412A6">
        <w:rPr>
          <w:color w:val="auto"/>
        </w:rPr>
        <w:fldChar w:fldCharType="end"/>
      </w:r>
      <w:r w:rsidRPr="004412A6">
        <w:rPr>
          <w:color w:val="auto"/>
        </w:rPr>
        <w:t xml:space="preserve">. The method is </w:t>
      </w:r>
      <w:r w:rsidR="00881A5F" w:rsidRPr="004412A6">
        <w:rPr>
          <w:color w:val="auto"/>
        </w:rPr>
        <w:t xml:space="preserve">further </w:t>
      </w:r>
      <w:r w:rsidRPr="004412A6">
        <w:rPr>
          <w:color w:val="auto"/>
        </w:rPr>
        <w:t>o</w:t>
      </w:r>
      <w:r w:rsidR="00B64267" w:rsidRPr="004412A6">
        <w:rPr>
          <w:color w:val="auto"/>
        </w:rPr>
        <w:t xml:space="preserve">ptimized to </w:t>
      </w:r>
      <w:r w:rsidR="00241D2B" w:rsidRPr="004412A6">
        <w:rPr>
          <w:color w:val="auto"/>
        </w:rPr>
        <w:t>address</w:t>
      </w:r>
      <w:r w:rsidR="00B64267" w:rsidRPr="004412A6">
        <w:rPr>
          <w:color w:val="auto"/>
        </w:rPr>
        <w:t xml:space="preserve"> the limitations</w:t>
      </w:r>
      <w:r w:rsidRPr="004412A6">
        <w:rPr>
          <w:color w:val="auto"/>
        </w:rPr>
        <w:t xml:space="preserve"> stated above</w:t>
      </w:r>
      <w:r w:rsidR="00B64267" w:rsidRPr="004412A6">
        <w:rPr>
          <w:color w:val="auto"/>
        </w:rPr>
        <w:t xml:space="preserve"> by</w:t>
      </w:r>
      <w:r w:rsidR="005E2A73">
        <w:rPr>
          <w:color w:val="auto"/>
        </w:rPr>
        <w:t>:</w:t>
      </w:r>
      <w:r w:rsidR="00B64267" w:rsidRPr="004412A6">
        <w:rPr>
          <w:color w:val="auto"/>
        </w:rPr>
        <w:t xml:space="preserve"> 1) utilizing </w:t>
      </w:r>
      <w:r w:rsidR="00030D23">
        <w:rPr>
          <w:color w:val="auto"/>
        </w:rPr>
        <w:t xml:space="preserve">the </w:t>
      </w:r>
      <w:r w:rsidR="00B64267" w:rsidRPr="004412A6">
        <w:rPr>
          <w:color w:val="auto"/>
        </w:rPr>
        <w:t xml:space="preserve">LED light technology to ensure </w:t>
      </w:r>
      <w:r w:rsidR="008A36DF" w:rsidRPr="004412A6">
        <w:rPr>
          <w:color w:val="auto"/>
        </w:rPr>
        <w:t>u</w:t>
      </w:r>
      <w:r w:rsidR="00B64267" w:rsidRPr="004412A6">
        <w:rPr>
          <w:color w:val="auto"/>
        </w:rPr>
        <w:t>n</w:t>
      </w:r>
      <w:r w:rsidR="008A36DF" w:rsidRPr="004412A6">
        <w:rPr>
          <w:color w:val="auto"/>
        </w:rPr>
        <w:t>i</w:t>
      </w:r>
      <w:r w:rsidR="00B64267" w:rsidRPr="004412A6">
        <w:rPr>
          <w:color w:val="auto"/>
        </w:rPr>
        <w:t xml:space="preserve">form light conditions with minimal heat generation, </w:t>
      </w:r>
      <w:r w:rsidRPr="004412A6">
        <w:rPr>
          <w:color w:val="auto"/>
        </w:rPr>
        <w:t>2</w:t>
      </w:r>
      <w:r w:rsidR="00B64267" w:rsidRPr="004412A6">
        <w:rPr>
          <w:color w:val="auto"/>
        </w:rPr>
        <w:t>) providing adequate sample volume for chemical/biological analysis while maintaining constant pH, CO</w:t>
      </w:r>
      <w:r w:rsidR="00B64267" w:rsidRPr="004412A6">
        <w:rPr>
          <w:color w:val="auto"/>
          <w:vertAlign w:val="subscript"/>
        </w:rPr>
        <w:t>2</w:t>
      </w:r>
      <w:r w:rsidR="00B64267" w:rsidRPr="004412A6">
        <w:rPr>
          <w:color w:val="auto"/>
        </w:rPr>
        <w:t xml:space="preserve"> levels,</w:t>
      </w:r>
      <w:r w:rsidR="00241D2B" w:rsidRPr="004412A6">
        <w:rPr>
          <w:color w:val="auto"/>
        </w:rPr>
        <w:t xml:space="preserve"> and</w:t>
      </w:r>
      <w:r w:rsidRPr="004412A6">
        <w:rPr>
          <w:color w:val="auto"/>
        </w:rPr>
        <w:t xml:space="preserve"> </w:t>
      </w:r>
      <w:r w:rsidR="00B64267" w:rsidRPr="004412A6">
        <w:rPr>
          <w:color w:val="auto"/>
        </w:rPr>
        <w:t xml:space="preserve">3) </w:t>
      </w:r>
      <w:r w:rsidRPr="004412A6">
        <w:rPr>
          <w:color w:val="auto"/>
        </w:rPr>
        <w:t>enabl</w:t>
      </w:r>
      <w:r w:rsidR="00241D2B" w:rsidRPr="004412A6">
        <w:rPr>
          <w:color w:val="auto"/>
        </w:rPr>
        <w:t>ing</w:t>
      </w:r>
      <w:r w:rsidRPr="004412A6">
        <w:rPr>
          <w:color w:val="auto"/>
        </w:rPr>
        <w:t xml:space="preserve"> the use of </w:t>
      </w:r>
      <w:r w:rsidR="00B64267" w:rsidRPr="004412A6">
        <w:rPr>
          <w:color w:val="auto"/>
        </w:rPr>
        <w:t>versatile te</w:t>
      </w:r>
      <w:r w:rsidRPr="004412A6">
        <w:rPr>
          <w:color w:val="auto"/>
        </w:rPr>
        <w:t>st container material for testing of volatile substances or substances with a high sorption potential.</w:t>
      </w:r>
    </w:p>
    <w:p w14:paraId="1C451132" w14:textId="6AB44352" w:rsidR="00E57DA5" w:rsidRPr="004412A6" w:rsidRDefault="00E57DA5" w:rsidP="006B70F9">
      <w:pPr>
        <w:widowControl/>
        <w:autoSpaceDE/>
        <w:autoSpaceDN/>
        <w:adjustRightInd/>
        <w:contextualSpacing/>
        <w:jc w:val="left"/>
        <w:rPr>
          <w:color w:val="auto"/>
        </w:rPr>
      </w:pPr>
    </w:p>
    <w:p w14:paraId="3D4CD2F3" w14:textId="20878A37" w:rsidR="006305D7" w:rsidRPr="004412A6" w:rsidRDefault="006305D7" w:rsidP="006B70F9">
      <w:pPr>
        <w:contextualSpacing/>
        <w:rPr>
          <w:rFonts w:asciiTheme="minorHAnsi" w:hAnsiTheme="minorHAnsi" w:cstheme="minorHAnsi"/>
          <w:color w:val="auto"/>
        </w:rPr>
      </w:pPr>
      <w:r w:rsidRPr="004412A6">
        <w:rPr>
          <w:rFonts w:asciiTheme="minorHAnsi" w:hAnsiTheme="minorHAnsi" w:cstheme="minorHAnsi"/>
          <w:b/>
          <w:color w:val="auto"/>
        </w:rPr>
        <w:t>PROTOCOL:</w:t>
      </w:r>
    </w:p>
    <w:p w14:paraId="1A4F9B7D" w14:textId="77777777" w:rsidR="00CE5C5C" w:rsidRPr="004412A6" w:rsidRDefault="00CE5C5C" w:rsidP="006B70F9">
      <w:pPr>
        <w:contextualSpacing/>
        <w:rPr>
          <w:rFonts w:asciiTheme="minorHAnsi" w:hAnsiTheme="minorHAnsi" w:cstheme="minorHAnsi"/>
          <w:color w:val="auto"/>
        </w:rPr>
      </w:pPr>
    </w:p>
    <w:p w14:paraId="04D79210" w14:textId="3E571C91" w:rsidR="00CE5C5C" w:rsidRPr="004412A6" w:rsidRDefault="0063200C" w:rsidP="006B70F9">
      <w:pPr>
        <w:pStyle w:val="ListParagraph"/>
        <w:numPr>
          <w:ilvl w:val="0"/>
          <w:numId w:val="22"/>
        </w:numPr>
        <w:ind w:left="0" w:firstLine="0"/>
        <w:rPr>
          <w:b/>
          <w:color w:val="auto"/>
        </w:rPr>
      </w:pPr>
      <w:r w:rsidRPr="004412A6">
        <w:rPr>
          <w:b/>
          <w:color w:val="auto"/>
        </w:rPr>
        <w:t>Description of the LEVITATT setup</w:t>
      </w:r>
    </w:p>
    <w:p w14:paraId="3038826A" w14:textId="77777777" w:rsidR="0063200C" w:rsidRPr="004412A6" w:rsidRDefault="0063200C" w:rsidP="006B70F9">
      <w:pPr>
        <w:contextualSpacing/>
        <w:rPr>
          <w:color w:val="auto"/>
        </w:rPr>
      </w:pPr>
    </w:p>
    <w:p w14:paraId="11A3302B" w14:textId="0ACE2944" w:rsidR="0063200C" w:rsidRPr="004412A6" w:rsidRDefault="004412A6" w:rsidP="006B70F9">
      <w:pPr>
        <w:pStyle w:val="ListParagraph"/>
        <w:numPr>
          <w:ilvl w:val="1"/>
          <w:numId w:val="22"/>
        </w:numPr>
        <w:ind w:left="0" w:firstLine="0"/>
        <w:rPr>
          <w:color w:val="auto"/>
        </w:rPr>
      </w:pPr>
      <w:r w:rsidRPr="004412A6">
        <w:rPr>
          <w:color w:val="auto"/>
        </w:rPr>
        <w:t>Use</w:t>
      </w:r>
      <w:r w:rsidR="0063200C" w:rsidRPr="004412A6">
        <w:rPr>
          <w:color w:val="auto"/>
        </w:rPr>
        <w:t xml:space="preserve"> 20 mL scintillation </w:t>
      </w:r>
      <w:r w:rsidR="00241D2B" w:rsidRPr="004412A6">
        <w:rPr>
          <w:color w:val="auto"/>
        </w:rPr>
        <w:t xml:space="preserve">glass </w:t>
      </w:r>
      <w:r w:rsidR="0063200C" w:rsidRPr="004412A6">
        <w:rPr>
          <w:color w:val="auto"/>
        </w:rPr>
        <w:t>vials (</w:t>
      </w:r>
      <w:r w:rsidR="0063200C" w:rsidRPr="004412A6">
        <w:rPr>
          <w:b/>
          <w:bCs/>
          <w:color w:val="auto"/>
        </w:rPr>
        <w:t>Figure 1</w:t>
      </w:r>
      <w:r w:rsidR="0063200C" w:rsidRPr="004412A6">
        <w:rPr>
          <w:color w:val="auto"/>
        </w:rPr>
        <w:t>, insert 1) allow</w:t>
      </w:r>
      <w:r w:rsidR="00241D2B" w:rsidRPr="004412A6">
        <w:rPr>
          <w:color w:val="auto"/>
        </w:rPr>
        <w:t>ing</w:t>
      </w:r>
      <w:r w:rsidR="0063200C" w:rsidRPr="004412A6">
        <w:rPr>
          <w:color w:val="auto"/>
        </w:rPr>
        <w:t xml:space="preserve"> light penetrat</w:t>
      </w:r>
      <w:r w:rsidR="00241D2B" w:rsidRPr="004412A6">
        <w:rPr>
          <w:color w:val="auto"/>
        </w:rPr>
        <w:t>ion. A</w:t>
      </w:r>
      <w:r w:rsidR="0063200C" w:rsidRPr="004412A6">
        <w:rPr>
          <w:color w:val="auto"/>
        </w:rPr>
        <w:t>lternative</w:t>
      </w:r>
      <w:r w:rsidR="00241D2B" w:rsidRPr="004412A6">
        <w:rPr>
          <w:color w:val="auto"/>
        </w:rPr>
        <w:t>ly, light penetrable plastic</w:t>
      </w:r>
      <w:r w:rsidR="0063200C" w:rsidRPr="004412A6">
        <w:rPr>
          <w:color w:val="auto"/>
        </w:rPr>
        <w:t xml:space="preserve"> </w:t>
      </w:r>
      <w:r w:rsidR="00241D2B" w:rsidRPr="004412A6">
        <w:rPr>
          <w:color w:val="auto"/>
        </w:rPr>
        <w:t>vials</w:t>
      </w:r>
      <w:r w:rsidR="0063200C" w:rsidRPr="004412A6">
        <w:rPr>
          <w:color w:val="auto"/>
        </w:rPr>
        <w:t xml:space="preserve"> can be used. </w:t>
      </w:r>
      <w:r w:rsidR="00CA2A6F" w:rsidRPr="004412A6">
        <w:rPr>
          <w:color w:val="auto"/>
        </w:rPr>
        <w:t>Quantify t</w:t>
      </w:r>
      <w:r w:rsidR="0063200C" w:rsidRPr="004412A6">
        <w:rPr>
          <w:color w:val="auto"/>
        </w:rPr>
        <w:t xml:space="preserve">he </w:t>
      </w:r>
      <w:r w:rsidR="009D7AFD" w:rsidRPr="004412A6">
        <w:rPr>
          <w:color w:val="auto"/>
        </w:rPr>
        <w:t xml:space="preserve">light intensity </w:t>
      </w:r>
      <w:r w:rsidR="0063200C" w:rsidRPr="004412A6">
        <w:rPr>
          <w:color w:val="auto"/>
        </w:rPr>
        <w:t>using a</w:t>
      </w:r>
      <w:r w:rsidR="009D7AFD" w:rsidRPr="004412A6">
        <w:rPr>
          <w:color w:val="auto"/>
        </w:rPr>
        <w:t xml:space="preserve"> photometer</w:t>
      </w:r>
      <w:r w:rsidR="0063200C" w:rsidRPr="004412A6">
        <w:rPr>
          <w:color w:val="auto"/>
        </w:rPr>
        <w:t>.</w:t>
      </w:r>
    </w:p>
    <w:p w14:paraId="3008A77A" w14:textId="12A89AE4" w:rsidR="0063200C" w:rsidRPr="004412A6" w:rsidRDefault="0063200C" w:rsidP="006B70F9">
      <w:pPr>
        <w:contextualSpacing/>
        <w:rPr>
          <w:color w:val="auto"/>
        </w:rPr>
      </w:pPr>
    </w:p>
    <w:p w14:paraId="694AD519" w14:textId="0D2C837A" w:rsidR="0063200C" w:rsidRPr="004412A6" w:rsidRDefault="00CA2A6F" w:rsidP="006B70F9">
      <w:pPr>
        <w:pStyle w:val="ListParagraph"/>
        <w:numPr>
          <w:ilvl w:val="1"/>
          <w:numId w:val="22"/>
        </w:numPr>
        <w:ind w:left="0" w:firstLine="0"/>
        <w:rPr>
          <w:color w:val="auto"/>
        </w:rPr>
      </w:pPr>
      <w:r w:rsidRPr="004412A6">
        <w:rPr>
          <w:color w:val="auto"/>
        </w:rPr>
        <w:t>Use</w:t>
      </w:r>
      <w:r w:rsidR="0063200C" w:rsidRPr="004412A6">
        <w:rPr>
          <w:color w:val="auto"/>
        </w:rPr>
        <w:t xml:space="preserve"> at least </w:t>
      </w:r>
      <w:r w:rsidR="004412A6" w:rsidRPr="004412A6">
        <w:rPr>
          <w:color w:val="auto"/>
        </w:rPr>
        <w:t xml:space="preserve">a </w:t>
      </w:r>
      <w:r w:rsidR="0063200C" w:rsidRPr="004412A6">
        <w:rPr>
          <w:color w:val="auto"/>
        </w:rPr>
        <w:t xml:space="preserve">4 mL test suspension at the beginning of the test to allow for quantification </w:t>
      </w:r>
      <w:r w:rsidR="0063200C" w:rsidRPr="004412A6">
        <w:rPr>
          <w:color w:val="auto"/>
        </w:rPr>
        <w:lastRenderedPageBreak/>
        <w:t xml:space="preserve">of biomass and </w:t>
      </w:r>
      <w:r w:rsidR="00E873C8" w:rsidRPr="004412A6">
        <w:rPr>
          <w:color w:val="auto"/>
        </w:rPr>
        <w:t>for characterization/quantification of nanomaterials during and after incubation</w:t>
      </w:r>
      <w:r w:rsidR="009D7AFD" w:rsidRPr="004412A6">
        <w:rPr>
          <w:color w:val="auto"/>
        </w:rPr>
        <w:t xml:space="preserve"> </w:t>
      </w:r>
      <w:r w:rsidR="0063200C" w:rsidRPr="004412A6">
        <w:rPr>
          <w:color w:val="auto"/>
        </w:rPr>
        <w:t>(</w:t>
      </w:r>
      <w:r w:rsidR="0063200C" w:rsidRPr="004412A6">
        <w:rPr>
          <w:b/>
          <w:bCs/>
          <w:color w:val="auto"/>
        </w:rPr>
        <w:t>Figure 1</w:t>
      </w:r>
      <w:r w:rsidR="0063200C" w:rsidRPr="004412A6">
        <w:rPr>
          <w:color w:val="auto"/>
        </w:rPr>
        <w:t>, insert 2).</w:t>
      </w:r>
    </w:p>
    <w:p w14:paraId="66BB13E7" w14:textId="77777777" w:rsidR="0063200C" w:rsidRPr="004412A6" w:rsidRDefault="0063200C" w:rsidP="006B70F9">
      <w:pPr>
        <w:contextualSpacing/>
        <w:rPr>
          <w:color w:val="auto"/>
        </w:rPr>
      </w:pPr>
    </w:p>
    <w:p w14:paraId="0C5A03EB" w14:textId="2211BB8B" w:rsidR="00CA2A6F" w:rsidRPr="004412A6" w:rsidRDefault="004412A6" w:rsidP="006B70F9">
      <w:pPr>
        <w:pStyle w:val="ListParagraph"/>
        <w:numPr>
          <w:ilvl w:val="1"/>
          <w:numId w:val="22"/>
        </w:numPr>
        <w:ind w:left="0" w:firstLine="0"/>
        <w:rPr>
          <w:rFonts w:asciiTheme="minorHAnsi" w:hAnsiTheme="minorHAnsi"/>
          <w:color w:val="auto"/>
        </w:rPr>
      </w:pPr>
      <w:r w:rsidRPr="004412A6">
        <w:rPr>
          <w:rFonts w:asciiTheme="minorHAnsi" w:hAnsiTheme="minorHAnsi"/>
          <w:color w:val="auto"/>
        </w:rPr>
        <w:t xml:space="preserve">Fit the </w:t>
      </w:r>
      <w:r w:rsidR="003F2A9F" w:rsidRPr="004412A6">
        <w:rPr>
          <w:rFonts w:asciiTheme="minorHAnsi" w:hAnsiTheme="minorHAnsi"/>
          <w:color w:val="auto"/>
        </w:rPr>
        <w:t xml:space="preserve">20 mL scintillation </w:t>
      </w:r>
      <w:r w:rsidR="006F6D48" w:rsidRPr="004412A6">
        <w:rPr>
          <w:rFonts w:asciiTheme="minorHAnsi" w:hAnsiTheme="minorHAnsi"/>
          <w:color w:val="auto"/>
        </w:rPr>
        <w:t xml:space="preserve">vials </w:t>
      </w:r>
      <w:r w:rsidR="0063200C" w:rsidRPr="004412A6">
        <w:rPr>
          <w:rFonts w:asciiTheme="minorHAnsi" w:hAnsiTheme="minorHAnsi"/>
          <w:color w:val="auto"/>
        </w:rPr>
        <w:t>with a cap (</w:t>
      </w:r>
      <w:r w:rsidR="0063200C" w:rsidRPr="004412A6">
        <w:rPr>
          <w:rFonts w:asciiTheme="minorHAnsi" w:hAnsiTheme="minorHAnsi"/>
          <w:b/>
          <w:bCs/>
          <w:color w:val="auto"/>
        </w:rPr>
        <w:t>Figure 1</w:t>
      </w:r>
      <w:r w:rsidR="0063200C" w:rsidRPr="004412A6">
        <w:rPr>
          <w:rFonts w:asciiTheme="minorHAnsi" w:hAnsiTheme="minorHAnsi"/>
          <w:color w:val="auto"/>
        </w:rPr>
        <w:t xml:space="preserve">, insert 3) where a small hole is </w:t>
      </w:r>
      <w:r w:rsidR="0063200C" w:rsidRPr="004412A6">
        <w:rPr>
          <w:color w:val="auto"/>
        </w:rPr>
        <w:t>drilled</w:t>
      </w:r>
      <w:r w:rsidR="0063200C" w:rsidRPr="004412A6">
        <w:rPr>
          <w:rFonts w:asciiTheme="minorHAnsi" w:hAnsiTheme="minorHAnsi"/>
          <w:color w:val="auto"/>
        </w:rPr>
        <w:t xml:space="preserve"> (approximately 1 mm in diameter) to allow for CO</w:t>
      </w:r>
      <w:r w:rsidR="0063200C" w:rsidRPr="004412A6">
        <w:rPr>
          <w:rFonts w:asciiTheme="minorHAnsi" w:hAnsiTheme="minorHAnsi"/>
          <w:color w:val="auto"/>
          <w:vertAlign w:val="subscript"/>
        </w:rPr>
        <w:t>2</w:t>
      </w:r>
      <w:r w:rsidR="0063200C" w:rsidRPr="004412A6">
        <w:rPr>
          <w:rFonts w:asciiTheme="minorHAnsi" w:hAnsiTheme="minorHAnsi"/>
          <w:color w:val="auto"/>
        </w:rPr>
        <w:t xml:space="preserve"> exchange with the atmosphere. </w:t>
      </w:r>
      <w:r w:rsidR="00E873C8" w:rsidRPr="004412A6">
        <w:rPr>
          <w:rFonts w:asciiTheme="minorHAnsi" w:hAnsiTheme="minorHAnsi"/>
          <w:color w:val="auto"/>
        </w:rPr>
        <w:t xml:space="preserve">This exchange is crucial </w:t>
      </w:r>
      <w:r w:rsidR="009D7AFD" w:rsidRPr="004412A6">
        <w:rPr>
          <w:rFonts w:asciiTheme="minorHAnsi" w:hAnsiTheme="minorHAnsi"/>
          <w:color w:val="auto"/>
        </w:rPr>
        <w:t xml:space="preserve">to </w:t>
      </w:r>
      <w:r w:rsidR="00E873C8" w:rsidRPr="004412A6">
        <w:rPr>
          <w:rFonts w:asciiTheme="minorHAnsi" w:hAnsiTheme="minorHAnsi"/>
          <w:color w:val="auto"/>
        </w:rPr>
        <w:t>ensure stable pH and CO</w:t>
      </w:r>
      <w:r w:rsidR="00E873C8" w:rsidRPr="004412A6">
        <w:rPr>
          <w:rFonts w:asciiTheme="minorHAnsi" w:hAnsiTheme="minorHAnsi"/>
          <w:color w:val="auto"/>
          <w:vertAlign w:val="subscript"/>
        </w:rPr>
        <w:t>2</w:t>
      </w:r>
      <w:r w:rsidR="00E873C8" w:rsidRPr="004412A6">
        <w:rPr>
          <w:rFonts w:asciiTheme="minorHAnsi" w:hAnsiTheme="minorHAnsi"/>
          <w:color w:val="auto"/>
        </w:rPr>
        <w:t xml:space="preserve"> levels during testing.</w:t>
      </w:r>
    </w:p>
    <w:p w14:paraId="4BAFB489" w14:textId="77777777" w:rsidR="00CA2A6F" w:rsidRPr="004412A6" w:rsidRDefault="00CA2A6F" w:rsidP="006B70F9">
      <w:pPr>
        <w:pStyle w:val="Default"/>
        <w:contextualSpacing/>
        <w:rPr>
          <w:rFonts w:asciiTheme="minorHAnsi" w:hAnsiTheme="minorHAnsi"/>
          <w:color w:val="auto"/>
          <w:lang w:val="en-US"/>
        </w:rPr>
      </w:pPr>
    </w:p>
    <w:p w14:paraId="70E31312" w14:textId="470F7579" w:rsidR="0063200C" w:rsidRPr="004412A6" w:rsidRDefault="0063200C" w:rsidP="006B70F9">
      <w:pPr>
        <w:pStyle w:val="ListParagraph"/>
        <w:numPr>
          <w:ilvl w:val="1"/>
          <w:numId w:val="22"/>
        </w:numPr>
        <w:ind w:left="0" w:firstLine="0"/>
        <w:rPr>
          <w:rFonts w:asciiTheme="minorHAnsi" w:hAnsiTheme="minorHAnsi"/>
          <w:color w:val="auto"/>
        </w:rPr>
      </w:pPr>
      <w:r w:rsidRPr="004412A6">
        <w:rPr>
          <w:color w:val="auto"/>
        </w:rPr>
        <w:t>For</w:t>
      </w:r>
      <w:r w:rsidRPr="004412A6">
        <w:rPr>
          <w:rFonts w:asciiTheme="minorHAnsi" w:hAnsiTheme="minorHAnsi"/>
          <w:color w:val="auto"/>
        </w:rPr>
        <w:t xml:space="preserve"> volatile substances</w:t>
      </w:r>
      <w:r w:rsidR="004412A6" w:rsidRPr="004412A6">
        <w:rPr>
          <w:rFonts w:asciiTheme="minorHAnsi" w:hAnsiTheme="minorHAnsi"/>
          <w:color w:val="auto"/>
        </w:rPr>
        <w:t>,</w:t>
      </w:r>
      <w:r w:rsidRPr="004412A6">
        <w:rPr>
          <w:rFonts w:asciiTheme="minorHAnsi" w:hAnsiTheme="minorHAnsi"/>
          <w:color w:val="auto"/>
        </w:rPr>
        <w:t xml:space="preserve"> </w:t>
      </w:r>
      <w:r w:rsidR="00CA2A6F" w:rsidRPr="004412A6">
        <w:rPr>
          <w:rFonts w:asciiTheme="minorHAnsi" w:hAnsiTheme="minorHAnsi"/>
          <w:color w:val="auto"/>
        </w:rPr>
        <w:t xml:space="preserve">use </w:t>
      </w:r>
      <w:r w:rsidRPr="004412A6">
        <w:rPr>
          <w:rFonts w:asciiTheme="minorHAnsi" w:hAnsiTheme="minorHAnsi"/>
          <w:color w:val="auto"/>
        </w:rPr>
        <w:t>an air-tight Teflon coated cap to allow for CO</w:t>
      </w:r>
      <w:r w:rsidRPr="004412A6">
        <w:rPr>
          <w:rFonts w:asciiTheme="minorHAnsi" w:hAnsiTheme="minorHAnsi"/>
          <w:color w:val="auto"/>
          <w:vertAlign w:val="subscript"/>
        </w:rPr>
        <w:t>2</w:t>
      </w:r>
      <w:r w:rsidRPr="004412A6">
        <w:rPr>
          <w:rFonts w:asciiTheme="minorHAnsi" w:hAnsiTheme="minorHAnsi"/>
          <w:color w:val="auto"/>
        </w:rPr>
        <w:t xml:space="preserve"> enriching of the headspace using a syringe</w:t>
      </w:r>
      <w:r w:rsidR="000A094F" w:rsidRPr="004412A6">
        <w:rPr>
          <w:rFonts w:asciiTheme="minorHAnsi" w:hAnsiTheme="minorHAnsi"/>
          <w:color w:val="auto"/>
        </w:rPr>
        <w:fldChar w:fldCharType="begin" w:fldLock="1"/>
      </w:r>
      <w:r w:rsidR="00AC0D9E" w:rsidRPr="004412A6">
        <w:rPr>
          <w:rFonts w:asciiTheme="minorHAnsi" w:hAnsiTheme="minorHAnsi"/>
          <w:color w:val="auto"/>
        </w:rPr>
        <w:instrText>ADDIN CSL_CITATION {"citationItems":[{"id":"ITEM-1","itemData":{"DOI":"https://doi.org/10.1016/0045-6535(96)00059-8","ISSN":"0045-6535","abstract":"The application of an air-tight test flasks with a CO2 enriched head space has been found useful for toxicity testing of volatile and hazardous chemicals with algae. The procedure has been demonstrated to perform well with the green algae Selenastrum capricornutum in tests of one or two days duration for a pH range of 7.0 – 8.5. The procedure makes it possible to maintain a constant pH as well as a constant and well defined concentration of test compound during the entire test. To ensure a sufficient carbon supply for exponential growth of the algae through the whole test period and to avoid pH increase due to bicarbonate utilization, the headspace of the test flask is enriched with I % or 2% CO2 depending on the test duration, the algal growth rate and the inoculated algal density. The test medium is buffered with HCO3 which is added to a (precalculated) concentration in equilibrium with the partial pressure of CO2 in the head space at the end of the test, at the desired test pH. With 1 % CO2, approximately 12.5 mM of [HCO3− (which is high) must be added to obtain the pH of 8.1 prescribed in the ISO 8692 standard procedure. Therefore it is suggested to perform the closed test at pH of 7. Results with the method are shown for phenanthrene, a moderate volatile PAH compound (H = 3.6·10−5 atm·m3/mole). The obtained EC10 and EC50 values were 10 times lower than those obtained with open test systems.","author":[{"dropping-particle":"","family":"Halling-Sørensen","given":"B","non-dropping-particle":"","parse-names":false,"suffix":""},{"dropping-particle":"","family":"Nyhohn","given":"N","non-dropping-particle":"","parse-names":false,"suffix":""},{"dropping-particle":"","family":"Baun","given":"A","non-dropping-particle":"","parse-names":false,"suffix":""}],"container-title":"Chemosphere","id":"ITEM-1","issue":"8","issued":{"date-parts":[["1996"]]},"page":"1513-1526","title":"Algal toxicity tests with volatile and hazardous compounds in air-tight test flasks with CO2 enriched headspace","type":"article-journal","volume":"32"},"uris":["http://www.mendeley.com/documents/?uuid=13c4f02d-dd13-49ea-b17a-b9d006642fc0"]}],"mendeley":{"formattedCitation":"&lt;sup&gt;9&lt;/sup&gt;","plainTextFormattedCitation":"9","previouslyFormattedCitation":"&lt;sup&gt;9&lt;/sup&gt;"},"properties":{"noteIndex":0},"schema":"https://github.com/citation-style-language/schema/raw/master/csl-citation.json"}</w:instrText>
      </w:r>
      <w:r w:rsidR="000A094F" w:rsidRPr="004412A6">
        <w:rPr>
          <w:rFonts w:asciiTheme="minorHAnsi" w:hAnsiTheme="minorHAnsi"/>
          <w:color w:val="auto"/>
        </w:rPr>
        <w:fldChar w:fldCharType="separate"/>
      </w:r>
      <w:r w:rsidR="00AC0D9E" w:rsidRPr="004412A6">
        <w:rPr>
          <w:rFonts w:asciiTheme="minorHAnsi" w:hAnsiTheme="minorHAnsi"/>
          <w:noProof/>
          <w:color w:val="auto"/>
          <w:vertAlign w:val="superscript"/>
        </w:rPr>
        <w:t>9</w:t>
      </w:r>
      <w:r w:rsidR="000A094F" w:rsidRPr="004412A6">
        <w:rPr>
          <w:rFonts w:asciiTheme="minorHAnsi" w:hAnsiTheme="minorHAnsi"/>
          <w:color w:val="auto"/>
        </w:rPr>
        <w:fldChar w:fldCharType="end"/>
      </w:r>
      <w:r w:rsidR="002B2841" w:rsidRPr="004412A6">
        <w:rPr>
          <w:rFonts w:asciiTheme="minorHAnsi" w:hAnsiTheme="minorHAnsi"/>
          <w:color w:val="auto"/>
        </w:rPr>
        <w:t xml:space="preserve"> or completely closed flasks with no gas phase in which CO</w:t>
      </w:r>
      <w:r w:rsidR="002B2841" w:rsidRPr="004412A6">
        <w:rPr>
          <w:rFonts w:asciiTheme="minorHAnsi" w:hAnsiTheme="minorHAnsi"/>
          <w:color w:val="auto"/>
          <w:vertAlign w:val="subscript"/>
        </w:rPr>
        <w:t>2</w:t>
      </w:r>
      <w:r w:rsidR="002B2841" w:rsidRPr="004412A6">
        <w:rPr>
          <w:rFonts w:asciiTheme="minorHAnsi" w:hAnsiTheme="minorHAnsi"/>
          <w:color w:val="auto"/>
        </w:rPr>
        <w:t xml:space="preserve"> is maintained in solution by </w:t>
      </w:r>
      <w:r w:rsidR="00E873C8" w:rsidRPr="004412A6">
        <w:rPr>
          <w:rFonts w:asciiTheme="minorHAnsi" w:hAnsiTheme="minorHAnsi"/>
          <w:color w:val="auto"/>
        </w:rPr>
        <w:t>an enriched</w:t>
      </w:r>
      <w:r w:rsidR="002B2841" w:rsidRPr="004412A6">
        <w:rPr>
          <w:rFonts w:asciiTheme="minorHAnsi" w:hAnsiTheme="minorHAnsi"/>
          <w:color w:val="auto"/>
        </w:rPr>
        <w:t xml:space="preserve"> sodium bicarbonate (NaHCO</w:t>
      </w:r>
      <w:r w:rsidR="002B2841" w:rsidRPr="004412A6">
        <w:rPr>
          <w:rFonts w:asciiTheme="minorHAnsi" w:hAnsiTheme="minorHAnsi"/>
          <w:color w:val="auto"/>
          <w:vertAlign w:val="subscript"/>
        </w:rPr>
        <w:t>3</w:t>
      </w:r>
      <w:r w:rsidR="002B2841" w:rsidRPr="004412A6">
        <w:rPr>
          <w:rFonts w:asciiTheme="minorHAnsi" w:hAnsiTheme="minorHAnsi"/>
          <w:color w:val="auto"/>
        </w:rPr>
        <w:t>) buffer system</w:t>
      </w:r>
      <w:r w:rsidR="000A094F" w:rsidRPr="004412A6">
        <w:rPr>
          <w:rFonts w:asciiTheme="minorHAnsi" w:hAnsiTheme="minorHAnsi"/>
          <w:color w:val="auto"/>
        </w:rPr>
        <w:fldChar w:fldCharType="begin" w:fldLock="1"/>
      </w:r>
      <w:r w:rsidR="00AC0D9E" w:rsidRPr="004412A6">
        <w:rPr>
          <w:rFonts w:asciiTheme="minorHAnsi" w:hAnsiTheme="minorHAnsi"/>
          <w:color w:val="auto"/>
        </w:rPr>
        <w:instrText>ADDIN CSL_CITATION {"citationItems":[{"id":"ITEM-1","itemData":{"DOI":"10.1002/etc.5620191022","abstract":"Abstract Exposure concentrations of many hydrophobic substances are difficult to maintain in algal growth inhibition tests performed in open agitated flasks. This is partly because such compounds tend to volatilize from aqueous solution and partly because of sorption to the algal biomass as well as to the test container. A simple filled closed bottle test with low algal densities and bicarbonate enrichment is described here as an approach to minimize the loss of test material from solution. The algal medium was enriched with 300 mg NaHCO3/L, the pH was adjusted to 7.0 by addition of HCl, and the resulting dissolved CO2 concentration supported maximum algal growth rates without pH drift for algal densities up to 4 mg dry weight/L. Two-day toxicity tests with kerosene were performed with this new test design and compared with an open bottle test and with a closed bottle test with headspace. Exposure concentrations of the volatile fraction of kerosene decreased by 99% in the open test, by 77% in the closed flask test with headspace, and by 16% in the filled closed bottle test. Algal growth inhibition was observed at much lower additions of kerosene in the new test design because of the improved maintenance of a constant exposure.","author":[{"dropping-particle":"","family":"Mayer","given":"Philipp","non-dropping-particle":"","parse-names":false,"suffix":""},{"dropping-particle":"","family":"Nyholm","given":"Niels","non-dropping-particle":"","parse-names":false,"suffix":""},{"dropping-particle":"","family":"Verbruggen","given":"Eric M J","non-dropping-particle":"","parse-names":false,"suffix":""},{"dropping-particle":"","family":"Hermens","given":"Joop L M","non-dropping-particle":"","parse-names":false,"suffix":""},{"dropping-particle":"","family":"Tolls","given":"Johannes","non-dropping-particle":"","parse-names":false,"suffix":""}],"container-title":"Environmental Toxicology and Chemistry","id":"ITEM-1","issue":"10","issued":{"date-parts":[["2000"]]},"page":"2551-2556","title":"Algal growth inhibition test in filled, closed bottles for volatile and sorptive materials","type":"article-journal","volume":"19"},"uris":["http://www.mendeley.com/documents/?uuid=ab7f1f61-b411-44c9-9ec9-6b89e1b0b68d"]}],"mendeley":{"formattedCitation":"&lt;sup&gt;10&lt;/sup&gt;","plainTextFormattedCitation":"10","previouslyFormattedCitation":"&lt;sup&gt;10&lt;/sup&gt;"},"properties":{"noteIndex":0},"schema":"https://github.com/citation-style-language/schema/raw/master/csl-citation.json"}</w:instrText>
      </w:r>
      <w:r w:rsidR="000A094F" w:rsidRPr="004412A6">
        <w:rPr>
          <w:rFonts w:asciiTheme="minorHAnsi" w:hAnsiTheme="minorHAnsi"/>
          <w:color w:val="auto"/>
        </w:rPr>
        <w:fldChar w:fldCharType="separate"/>
      </w:r>
      <w:r w:rsidR="00AC0D9E" w:rsidRPr="004412A6">
        <w:rPr>
          <w:rFonts w:asciiTheme="minorHAnsi" w:hAnsiTheme="minorHAnsi"/>
          <w:noProof/>
          <w:color w:val="auto"/>
          <w:vertAlign w:val="superscript"/>
        </w:rPr>
        <w:t>10</w:t>
      </w:r>
      <w:r w:rsidR="000A094F" w:rsidRPr="004412A6">
        <w:rPr>
          <w:rFonts w:asciiTheme="minorHAnsi" w:hAnsiTheme="minorHAnsi"/>
          <w:color w:val="auto"/>
        </w:rPr>
        <w:fldChar w:fldCharType="end"/>
      </w:r>
      <w:r w:rsidR="002B2841" w:rsidRPr="004412A6">
        <w:rPr>
          <w:rFonts w:asciiTheme="minorHAnsi" w:hAnsiTheme="minorHAnsi"/>
          <w:color w:val="auto"/>
        </w:rPr>
        <w:t>.</w:t>
      </w:r>
    </w:p>
    <w:p w14:paraId="21B86CA5" w14:textId="77777777" w:rsidR="0063200C" w:rsidRPr="004412A6" w:rsidRDefault="0063200C" w:rsidP="006B70F9">
      <w:pPr>
        <w:contextualSpacing/>
        <w:rPr>
          <w:color w:val="auto"/>
        </w:rPr>
      </w:pPr>
    </w:p>
    <w:p w14:paraId="17396179" w14:textId="69AC84FE" w:rsidR="0063200C" w:rsidRPr="004412A6" w:rsidRDefault="004412A6" w:rsidP="006B70F9">
      <w:pPr>
        <w:pStyle w:val="ListParagraph"/>
        <w:numPr>
          <w:ilvl w:val="1"/>
          <w:numId w:val="22"/>
        </w:numPr>
        <w:ind w:left="0" w:firstLine="0"/>
        <w:rPr>
          <w:color w:val="auto"/>
        </w:rPr>
      </w:pPr>
      <w:r w:rsidRPr="004412A6">
        <w:rPr>
          <w:color w:val="auto"/>
        </w:rPr>
        <w:t>Fasten the</w:t>
      </w:r>
      <w:r w:rsidR="0063200C" w:rsidRPr="004412A6">
        <w:rPr>
          <w:color w:val="auto"/>
        </w:rPr>
        <w:t xml:space="preserve"> </w:t>
      </w:r>
      <w:r w:rsidR="006F6D48" w:rsidRPr="004412A6">
        <w:rPr>
          <w:color w:val="auto"/>
        </w:rPr>
        <w:t xml:space="preserve">vials </w:t>
      </w:r>
      <w:r w:rsidR="0063200C" w:rsidRPr="004412A6">
        <w:rPr>
          <w:color w:val="auto"/>
        </w:rPr>
        <w:t xml:space="preserve">with clamps mounted on the exterior </w:t>
      </w:r>
      <w:r w:rsidR="00E37B09" w:rsidRPr="004412A6">
        <w:rPr>
          <w:color w:val="auto"/>
        </w:rPr>
        <w:t xml:space="preserve">casing </w:t>
      </w:r>
      <w:r w:rsidR="0063200C" w:rsidRPr="004412A6">
        <w:rPr>
          <w:color w:val="auto"/>
        </w:rPr>
        <w:t>(</w:t>
      </w:r>
      <w:r w:rsidR="0063200C" w:rsidRPr="004412A6">
        <w:rPr>
          <w:b/>
          <w:bCs/>
          <w:color w:val="auto"/>
        </w:rPr>
        <w:t>Figure 1</w:t>
      </w:r>
      <w:r w:rsidR="0063200C" w:rsidRPr="004412A6">
        <w:rPr>
          <w:color w:val="auto"/>
        </w:rPr>
        <w:t>, insert 4).</w:t>
      </w:r>
    </w:p>
    <w:p w14:paraId="6A6766F0" w14:textId="2D59C2F1" w:rsidR="0063200C" w:rsidRPr="004412A6" w:rsidRDefault="0063200C" w:rsidP="006B70F9">
      <w:pPr>
        <w:contextualSpacing/>
        <w:rPr>
          <w:color w:val="auto"/>
        </w:rPr>
      </w:pPr>
    </w:p>
    <w:p w14:paraId="67986147" w14:textId="065B1499" w:rsidR="0063200C" w:rsidRPr="004412A6" w:rsidRDefault="004412A6" w:rsidP="006B70F9">
      <w:pPr>
        <w:pStyle w:val="ListParagraph"/>
        <w:numPr>
          <w:ilvl w:val="1"/>
          <w:numId w:val="22"/>
        </w:numPr>
        <w:ind w:left="0" w:firstLine="0"/>
        <w:rPr>
          <w:color w:val="auto"/>
        </w:rPr>
      </w:pPr>
      <w:r w:rsidRPr="004412A6">
        <w:rPr>
          <w:color w:val="auto"/>
        </w:rPr>
        <w:t>Use a</w:t>
      </w:r>
      <w:r w:rsidR="0063200C" w:rsidRPr="004412A6">
        <w:rPr>
          <w:color w:val="auto"/>
        </w:rPr>
        <w:t>n LED light source</w:t>
      </w:r>
      <w:r w:rsidR="006F6D48" w:rsidRPr="004412A6">
        <w:rPr>
          <w:color w:val="auto"/>
        </w:rPr>
        <w:t xml:space="preserve"> located</w:t>
      </w:r>
      <w:r w:rsidR="0063200C" w:rsidRPr="004412A6">
        <w:rPr>
          <w:color w:val="auto"/>
        </w:rPr>
        <w:t xml:space="preserve"> </w:t>
      </w:r>
      <w:r w:rsidR="006F6D48" w:rsidRPr="004412A6">
        <w:rPr>
          <w:color w:val="auto"/>
        </w:rPr>
        <w:t>below</w:t>
      </w:r>
      <w:r w:rsidR="00767063" w:rsidRPr="004412A6">
        <w:rPr>
          <w:color w:val="auto"/>
        </w:rPr>
        <w:t xml:space="preserve"> </w:t>
      </w:r>
      <w:r w:rsidR="0063200C" w:rsidRPr="004412A6">
        <w:rPr>
          <w:color w:val="auto"/>
        </w:rPr>
        <w:t>the test v</w:t>
      </w:r>
      <w:r w:rsidR="006F6D48" w:rsidRPr="004412A6">
        <w:rPr>
          <w:color w:val="auto"/>
        </w:rPr>
        <w:t>ial</w:t>
      </w:r>
      <w:r w:rsidR="0063200C" w:rsidRPr="004412A6">
        <w:rPr>
          <w:color w:val="auto"/>
        </w:rPr>
        <w:t>s (</w:t>
      </w:r>
      <w:r w:rsidR="0063200C" w:rsidRPr="004412A6">
        <w:rPr>
          <w:b/>
          <w:bCs/>
          <w:color w:val="auto"/>
        </w:rPr>
        <w:t>Figure 1</w:t>
      </w:r>
      <w:r w:rsidR="0063200C" w:rsidRPr="004412A6">
        <w:rPr>
          <w:color w:val="auto"/>
        </w:rPr>
        <w:t>, insert 5) providing a uniform fluorescent illumination</w:t>
      </w:r>
      <w:r w:rsidRPr="004412A6">
        <w:rPr>
          <w:color w:val="auto"/>
        </w:rPr>
        <w:t xml:space="preserve"> </w:t>
      </w:r>
      <w:r w:rsidR="0063200C" w:rsidRPr="004412A6">
        <w:rPr>
          <w:color w:val="auto"/>
        </w:rPr>
        <w:t>of “cool-white” or “daylight” type and a light intensity in the range 60</w:t>
      </w:r>
      <w:r w:rsidR="00AF6E0B">
        <w:rPr>
          <w:color w:val="auto"/>
        </w:rPr>
        <w:t>–</w:t>
      </w:r>
      <w:r w:rsidR="0063200C" w:rsidRPr="004412A6">
        <w:rPr>
          <w:color w:val="auto"/>
        </w:rPr>
        <w:t>120 µE</w:t>
      </w:r>
      <w:r w:rsidRPr="004412A6">
        <w:rPr>
          <w:color w:val="auto"/>
        </w:rPr>
        <w:t>∙</w:t>
      </w:r>
      <w:r w:rsidR="0063200C" w:rsidRPr="004412A6">
        <w:rPr>
          <w:color w:val="auto"/>
        </w:rPr>
        <w:t>m</w:t>
      </w:r>
      <w:r w:rsidR="0063200C" w:rsidRPr="004412A6">
        <w:rPr>
          <w:color w:val="auto"/>
          <w:vertAlign w:val="superscript"/>
        </w:rPr>
        <w:t>-2</w:t>
      </w:r>
      <w:r w:rsidRPr="004412A6">
        <w:rPr>
          <w:color w:val="auto"/>
        </w:rPr>
        <w:t>∙</w:t>
      </w:r>
      <w:r w:rsidR="0063200C" w:rsidRPr="004412A6">
        <w:rPr>
          <w:color w:val="auto"/>
        </w:rPr>
        <w:t>s</w:t>
      </w:r>
      <w:r w:rsidR="0063200C" w:rsidRPr="004412A6">
        <w:rPr>
          <w:color w:val="auto"/>
          <w:vertAlign w:val="superscript"/>
        </w:rPr>
        <w:t>-1</w:t>
      </w:r>
      <w:r w:rsidR="0063200C" w:rsidRPr="004412A6">
        <w:rPr>
          <w:color w:val="auto"/>
        </w:rPr>
        <w:t xml:space="preserve"> measured in the photosynthetically effective wavelength range of 400 nm to 700 nm. </w:t>
      </w:r>
      <w:r w:rsidR="006F6D48" w:rsidRPr="004412A6">
        <w:rPr>
          <w:color w:val="auto"/>
        </w:rPr>
        <w:t>T</w:t>
      </w:r>
      <w:r w:rsidR="00AD3CCB" w:rsidRPr="004412A6">
        <w:rPr>
          <w:color w:val="auto"/>
        </w:rPr>
        <w:t>he</w:t>
      </w:r>
      <w:r w:rsidR="006F6D48" w:rsidRPr="004412A6">
        <w:rPr>
          <w:color w:val="auto"/>
        </w:rPr>
        <w:t xml:space="preserve"> setup employs a</w:t>
      </w:r>
      <w:r w:rsidR="00C651CD" w:rsidRPr="004412A6">
        <w:rPr>
          <w:color w:val="auto"/>
        </w:rPr>
        <w:t>djustable</w:t>
      </w:r>
      <w:r w:rsidR="006F6D48" w:rsidRPr="004412A6">
        <w:rPr>
          <w:color w:val="auto"/>
        </w:rPr>
        <w:t xml:space="preserve"> light intensity </w:t>
      </w:r>
      <w:r w:rsidR="00C651CD" w:rsidRPr="004412A6">
        <w:rPr>
          <w:color w:val="auto"/>
        </w:rPr>
        <w:t xml:space="preserve">in the range </w:t>
      </w:r>
      <w:r w:rsidR="006F6D48" w:rsidRPr="004412A6">
        <w:rPr>
          <w:color w:val="auto"/>
        </w:rPr>
        <w:t>5</w:t>
      </w:r>
      <w:r w:rsidR="007B7BED">
        <w:rPr>
          <w:color w:val="auto"/>
        </w:rPr>
        <w:t>–</w:t>
      </w:r>
      <w:r w:rsidR="006F6D48" w:rsidRPr="004412A6">
        <w:rPr>
          <w:color w:val="auto"/>
        </w:rPr>
        <w:t xml:space="preserve">160 </w:t>
      </w:r>
      <w:r w:rsidR="004B74F8" w:rsidRPr="004412A6">
        <w:rPr>
          <w:color w:val="auto"/>
        </w:rPr>
        <w:t>µE</w:t>
      </w:r>
      <w:r w:rsidRPr="004412A6">
        <w:rPr>
          <w:color w:val="auto"/>
        </w:rPr>
        <w:t>∙</w:t>
      </w:r>
      <w:r w:rsidR="004B74F8" w:rsidRPr="004412A6">
        <w:rPr>
          <w:color w:val="auto"/>
        </w:rPr>
        <w:t>m</w:t>
      </w:r>
      <w:r w:rsidR="004B74F8" w:rsidRPr="004412A6">
        <w:rPr>
          <w:color w:val="auto"/>
          <w:vertAlign w:val="superscript"/>
        </w:rPr>
        <w:t>-2</w:t>
      </w:r>
      <w:r w:rsidRPr="004412A6">
        <w:rPr>
          <w:color w:val="auto"/>
        </w:rPr>
        <w:t>∙</w:t>
      </w:r>
      <w:r w:rsidR="004B74F8" w:rsidRPr="004412A6">
        <w:rPr>
          <w:color w:val="auto"/>
        </w:rPr>
        <w:t>s</w:t>
      </w:r>
      <w:r w:rsidR="004B74F8" w:rsidRPr="004412A6">
        <w:rPr>
          <w:color w:val="auto"/>
          <w:vertAlign w:val="superscript"/>
        </w:rPr>
        <w:t>-1</w:t>
      </w:r>
      <w:r w:rsidR="004B74F8" w:rsidRPr="004412A6">
        <w:rPr>
          <w:color w:val="auto"/>
        </w:rPr>
        <w:t xml:space="preserve"> </w:t>
      </w:r>
      <w:r w:rsidR="00E873C8" w:rsidRPr="004412A6">
        <w:rPr>
          <w:color w:val="auto"/>
        </w:rPr>
        <w:t xml:space="preserve">by </w:t>
      </w:r>
      <w:r w:rsidR="006F6D48" w:rsidRPr="004412A6">
        <w:rPr>
          <w:color w:val="auto"/>
        </w:rPr>
        <w:t>f</w:t>
      </w:r>
      <w:r w:rsidR="0063200C" w:rsidRPr="004412A6">
        <w:rPr>
          <w:color w:val="auto"/>
        </w:rPr>
        <w:t>itting a light dimmer to the source</w:t>
      </w:r>
      <w:r w:rsidR="00E873C8" w:rsidRPr="004412A6">
        <w:rPr>
          <w:color w:val="auto"/>
        </w:rPr>
        <w:t>. This</w:t>
      </w:r>
      <w:r w:rsidR="0063200C" w:rsidRPr="004412A6">
        <w:rPr>
          <w:color w:val="auto"/>
        </w:rPr>
        <w:t xml:space="preserve"> allows for testing at higher and lower light intensities.</w:t>
      </w:r>
    </w:p>
    <w:p w14:paraId="42E456F1" w14:textId="060C7F96" w:rsidR="0063200C" w:rsidRPr="004412A6" w:rsidRDefault="0063200C" w:rsidP="006B70F9">
      <w:pPr>
        <w:contextualSpacing/>
        <w:rPr>
          <w:color w:val="auto"/>
        </w:rPr>
      </w:pPr>
    </w:p>
    <w:p w14:paraId="28874834" w14:textId="45F82E7B" w:rsidR="0063200C" w:rsidRPr="004412A6" w:rsidRDefault="00CA2A6F" w:rsidP="006B70F9">
      <w:pPr>
        <w:pStyle w:val="ListParagraph"/>
        <w:numPr>
          <w:ilvl w:val="1"/>
          <w:numId w:val="22"/>
        </w:numPr>
        <w:ind w:left="0" w:firstLine="0"/>
        <w:rPr>
          <w:color w:val="auto"/>
        </w:rPr>
      </w:pPr>
      <w:r w:rsidRPr="004412A6">
        <w:rPr>
          <w:color w:val="auto"/>
        </w:rPr>
        <w:t>Mount t</w:t>
      </w:r>
      <w:r w:rsidR="0063200C" w:rsidRPr="004412A6">
        <w:rPr>
          <w:color w:val="auto"/>
        </w:rPr>
        <w:t>he setup</w:t>
      </w:r>
      <w:r w:rsidR="0005162D" w:rsidRPr="004412A6">
        <w:rPr>
          <w:color w:val="auto"/>
        </w:rPr>
        <w:t xml:space="preserve"> </w:t>
      </w:r>
      <w:r w:rsidR="009522AE" w:rsidRPr="004412A6">
        <w:rPr>
          <w:color w:val="auto"/>
        </w:rPr>
        <w:t>on an orbital shaker</w:t>
      </w:r>
      <w:r w:rsidR="0063200C" w:rsidRPr="004412A6">
        <w:rPr>
          <w:color w:val="auto"/>
        </w:rPr>
        <w:t xml:space="preserve"> </w:t>
      </w:r>
      <w:r w:rsidRPr="004412A6">
        <w:rPr>
          <w:color w:val="auto"/>
        </w:rPr>
        <w:t>to</w:t>
      </w:r>
      <w:r w:rsidR="00C540DF" w:rsidRPr="004412A6">
        <w:rPr>
          <w:color w:val="auto"/>
        </w:rPr>
        <w:t xml:space="preserve"> </w:t>
      </w:r>
      <w:r w:rsidR="0063200C" w:rsidRPr="004412A6">
        <w:rPr>
          <w:color w:val="auto"/>
        </w:rPr>
        <w:t>agitat</w:t>
      </w:r>
      <w:r w:rsidRPr="004412A6">
        <w:rPr>
          <w:color w:val="auto"/>
        </w:rPr>
        <w:t>e</w:t>
      </w:r>
      <w:r w:rsidR="0063200C" w:rsidRPr="004412A6">
        <w:rPr>
          <w:color w:val="auto"/>
        </w:rPr>
        <w:t xml:space="preserve"> </w:t>
      </w:r>
      <w:r w:rsidRPr="004412A6">
        <w:rPr>
          <w:color w:val="auto"/>
        </w:rPr>
        <w:t xml:space="preserve">samples </w:t>
      </w:r>
      <w:r w:rsidR="0063200C" w:rsidRPr="004412A6">
        <w:rPr>
          <w:color w:val="auto"/>
        </w:rPr>
        <w:t xml:space="preserve">throughout the </w:t>
      </w:r>
      <w:r w:rsidR="00E873C8" w:rsidRPr="004412A6">
        <w:rPr>
          <w:color w:val="auto"/>
        </w:rPr>
        <w:t xml:space="preserve">duration of the </w:t>
      </w:r>
      <w:r w:rsidR="0063200C" w:rsidRPr="004412A6">
        <w:rPr>
          <w:color w:val="auto"/>
        </w:rPr>
        <w:t>test</w:t>
      </w:r>
      <w:r w:rsidRPr="004412A6">
        <w:rPr>
          <w:color w:val="auto"/>
        </w:rPr>
        <w:t>. This</w:t>
      </w:r>
      <w:r w:rsidR="0063200C" w:rsidRPr="004412A6">
        <w:rPr>
          <w:color w:val="auto"/>
        </w:rPr>
        <w:t xml:space="preserve"> keep</w:t>
      </w:r>
      <w:r w:rsidRPr="004412A6">
        <w:rPr>
          <w:color w:val="auto"/>
        </w:rPr>
        <w:t>s</w:t>
      </w:r>
      <w:r w:rsidR="0063200C" w:rsidRPr="004412A6">
        <w:rPr>
          <w:color w:val="auto"/>
        </w:rPr>
        <w:t xml:space="preserve"> the cells in free suspension and facilitate</w:t>
      </w:r>
      <w:r w:rsidR="003D2465">
        <w:rPr>
          <w:color w:val="auto"/>
        </w:rPr>
        <w:t>s</w:t>
      </w:r>
      <w:r w:rsidR="0063200C" w:rsidRPr="004412A6">
        <w:rPr>
          <w:color w:val="auto"/>
        </w:rPr>
        <w:t xml:space="preserve"> CO</w:t>
      </w:r>
      <w:r w:rsidR="0063200C" w:rsidRPr="004412A6">
        <w:rPr>
          <w:color w:val="auto"/>
          <w:vertAlign w:val="subscript"/>
        </w:rPr>
        <w:t>2</w:t>
      </w:r>
      <w:r w:rsidR="0063200C" w:rsidRPr="004412A6">
        <w:rPr>
          <w:color w:val="auto"/>
        </w:rPr>
        <w:t xml:space="preserve"> mass transfer from air to water (</w:t>
      </w:r>
      <w:r w:rsidR="0063200C" w:rsidRPr="004412A6">
        <w:rPr>
          <w:b/>
          <w:bCs/>
          <w:color w:val="auto"/>
        </w:rPr>
        <w:t>Figure 1</w:t>
      </w:r>
      <w:r w:rsidR="0063200C" w:rsidRPr="004412A6">
        <w:rPr>
          <w:color w:val="auto"/>
        </w:rPr>
        <w:t>, insert 6).</w:t>
      </w:r>
    </w:p>
    <w:p w14:paraId="6AEE915C" w14:textId="2BB45346" w:rsidR="0063200C" w:rsidRPr="004412A6" w:rsidRDefault="0063200C" w:rsidP="006B70F9">
      <w:pPr>
        <w:contextualSpacing/>
        <w:rPr>
          <w:color w:val="auto"/>
        </w:rPr>
      </w:pPr>
    </w:p>
    <w:p w14:paraId="7962AFE5" w14:textId="6A216B9E" w:rsidR="00E651A5" w:rsidRPr="004412A6" w:rsidRDefault="00CA2A6F" w:rsidP="006B70F9">
      <w:pPr>
        <w:pStyle w:val="ListParagraph"/>
        <w:numPr>
          <w:ilvl w:val="1"/>
          <w:numId w:val="22"/>
        </w:numPr>
        <w:ind w:left="0" w:firstLine="0"/>
        <w:rPr>
          <w:color w:val="auto"/>
        </w:rPr>
      </w:pPr>
      <w:r w:rsidRPr="004412A6">
        <w:rPr>
          <w:color w:val="auto"/>
        </w:rPr>
        <w:t>Place t</w:t>
      </w:r>
      <w:r w:rsidR="0063200C" w:rsidRPr="004412A6">
        <w:rPr>
          <w:color w:val="auto"/>
        </w:rPr>
        <w:t>he setup in a temperature</w:t>
      </w:r>
      <w:r w:rsidR="005C1F3B">
        <w:rPr>
          <w:color w:val="auto"/>
        </w:rPr>
        <w:t>-</w:t>
      </w:r>
      <w:r w:rsidR="00E35058" w:rsidRPr="004412A6">
        <w:rPr>
          <w:color w:val="auto"/>
        </w:rPr>
        <w:t>controlled room or a thermostatic cabinet</w:t>
      </w:r>
      <w:r w:rsidR="0063200C" w:rsidRPr="004412A6">
        <w:rPr>
          <w:color w:val="auto"/>
        </w:rPr>
        <w:t xml:space="preserve"> </w:t>
      </w:r>
      <w:r w:rsidR="0005162D" w:rsidRPr="004412A6">
        <w:rPr>
          <w:color w:val="auto"/>
        </w:rPr>
        <w:t xml:space="preserve">to maintain stable temperatures throughout testing </w:t>
      </w:r>
      <w:r w:rsidR="0063200C" w:rsidRPr="004412A6">
        <w:rPr>
          <w:color w:val="auto"/>
        </w:rPr>
        <w:t>(</w:t>
      </w:r>
      <w:r w:rsidR="0063200C" w:rsidRPr="004412A6">
        <w:rPr>
          <w:b/>
          <w:bCs/>
          <w:color w:val="auto"/>
        </w:rPr>
        <w:t>Figure 1</w:t>
      </w:r>
      <w:r w:rsidR="0063200C" w:rsidRPr="004412A6">
        <w:rPr>
          <w:color w:val="auto"/>
        </w:rPr>
        <w:t>, insert 7).</w:t>
      </w:r>
    </w:p>
    <w:p w14:paraId="46517171" w14:textId="34ECED4C" w:rsidR="00E651A5" w:rsidRPr="004412A6" w:rsidRDefault="00E651A5" w:rsidP="006B70F9">
      <w:pPr>
        <w:contextualSpacing/>
        <w:rPr>
          <w:color w:val="auto"/>
        </w:rPr>
      </w:pPr>
    </w:p>
    <w:p w14:paraId="00585208" w14:textId="15163C13" w:rsidR="00E651A5" w:rsidRPr="004412A6" w:rsidRDefault="00E651A5" w:rsidP="006B70F9">
      <w:pPr>
        <w:contextualSpacing/>
        <w:rPr>
          <w:rFonts w:asciiTheme="minorHAnsi" w:hAnsiTheme="minorHAnsi" w:cstheme="minorHAnsi"/>
          <w:color w:val="auto"/>
        </w:rPr>
      </w:pPr>
      <w:r w:rsidRPr="004412A6">
        <w:rPr>
          <w:rFonts w:asciiTheme="minorHAnsi" w:hAnsiTheme="minorHAnsi" w:cstheme="minorHAnsi"/>
          <w:color w:val="auto"/>
        </w:rPr>
        <w:t>[Place Figure 1 here]</w:t>
      </w:r>
    </w:p>
    <w:p w14:paraId="49F7E071" w14:textId="40D1B4EA" w:rsidR="00880336" w:rsidRPr="004412A6" w:rsidRDefault="00880336" w:rsidP="006B70F9">
      <w:pPr>
        <w:keepNext/>
        <w:widowControl/>
        <w:autoSpaceDE/>
        <w:autoSpaceDN/>
        <w:adjustRightInd/>
        <w:contextualSpacing/>
        <w:jc w:val="left"/>
        <w:rPr>
          <w:color w:val="auto"/>
        </w:rPr>
      </w:pPr>
    </w:p>
    <w:p w14:paraId="519045CA" w14:textId="6F4B9D1B" w:rsidR="004412A6" w:rsidRPr="004412A6" w:rsidRDefault="0063200C" w:rsidP="006B70F9">
      <w:pPr>
        <w:pStyle w:val="ListParagraph"/>
        <w:numPr>
          <w:ilvl w:val="0"/>
          <w:numId w:val="22"/>
        </w:numPr>
        <w:ind w:left="0" w:firstLine="0"/>
        <w:rPr>
          <w:b/>
          <w:color w:val="auto"/>
        </w:rPr>
      </w:pPr>
      <w:r w:rsidRPr="004412A6">
        <w:rPr>
          <w:b/>
          <w:color w:val="auto"/>
        </w:rPr>
        <w:t>Preparation of alga</w:t>
      </w:r>
      <w:r w:rsidR="00861BA1" w:rsidRPr="004412A6">
        <w:rPr>
          <w:b/>
          <w:color w:val="auto"/>
        </w:rPr>
        <w:t>l growth</w:t>
      </w:r>
      <w:r w:rsidRPr="004412A6">
        <w:rPr>
          <w:b/>
          <w:color w:val="auto"/>
        </w:rPr>
        <w:t xml:space="preserve"> medi</w:t>
      </w:r>
      <w:r w:rsidR="00861BA1" w:rsidRPr="004412A6">
        <w:rPr>
          <w:b/>
          <w:color w:val="auto"/>
        </w:rPr>
        <w:t>um</w:t>
      </w:r>
    </w:p>
    <w:p w14:paraId="2697F679" w14:textId="6540E6D3" w:rsidR="0063200C" w:rsidRPr="004412A6" w:rsidRDefault="0063200C" w:rsidP="006B70F9">
      <w:pPr>
        <w:contextualSpacing/>
        <w:rPr>
          <w:color w:val="auto"/>
        </w:rPr>
      </w:pPr>
    </w:p>
    <w:p w14:paraId="6CED133E" w14:textId="70BCFC1F" w:rsidR="0063200C" w:rsidRPr="004412A6" w:rsidRDefault="0063200C" w:rsidP="006B70F9">
      <w:pPr>
        <w:pStyle w:val="ListParagraph"/>
        <w:numPr>
          <w:ilvl w:val="1"/>
          <w:numId w:val="22"/>
        </w:numPr>
        <w:ind w:left="0" w:firstLine="0"/>
        <w:rPr>
          <w:color w:val="auto"/>
        </w:rPr>
      </w:pPr>
      <w:r w:rsidRPr="004412A6">
        <w:rPr>
          <w:color w:val="auto"/>
        </w:rPr>
        <w:t xml:space="preserve">The </w:t>
      </w:r>
      <w:r w:rsidR="00E17DEF" w:rsidRPr="004412A6">
        <w:rPr>
          <w:color w:val="auto"/>
        </w:rPr>
        <w:t xml:space="preserve">ISO 8692 </w:t>
      </w:r>
      <w:r w:rsidRPr="004412A6">
        <w:rPr>
          <w:color w:val="auto"/>
        </w:rPr>
        <w:t>algal growth medium consists of four different stock solutions. Weigh out the appropriate amount of</w:t>
      </w:r>
      <w:r w:rsidR="00B7373C" w:rsidRPr="004412A6">
        <w:rPr>
          <w:color w:val="auto"/>
        </w:rPr>
        <w:t xml:space="preserve"> salts</w:t>
      </w:r>
      <w:r w:rsidRPr="004412A6">
        <w:rPr>
          <w:color w:val="auto"/>
        </w:rPr>
        <w:t xml:space="preserve"> and dilute in ultrapure water according to </w:t>
      </w:r>
      <w:r w:rsidR="00E17DEF" w:rsidRPr="004412A6">
        <w:rPr>
          <w:b/>
          <w:bCs/>
          <w:color w:val="auto"/>
        </w:rPr>
        <w:t>T</w:t>
      </w:r>
      <w:r w:rsidRPr="004412A6">
        <w:rPr>
          <w:b/>
          <w:bCs/>
          <w:color w:val="auto"/>
        </w:rPr>
        <w:t>able 1</w:t>
      </w:r>
      <w:r w:rsidRPr="004412A6">
        <w:rPr>
          <w:color w:val="auto"/>
        </w:rPr>
        <w:t>.</w:t>
      </w:r>
    </w:p>
    <w:p w14:paraId="6E1F564B" w14:textId="77777777" w:rsidR="004412A6" w:rsidRPr="004412A6" w:rsidRDefault="004412A6" w:rsidP="006B70F9">
      <w:pPr>
        <w:contextualSpacing/>
        <w:rPr>
          <w:color w:val="auto"/>
        </w:rPr>
      </w:pPr>
    </w:p>
    <w:p w14:paraId="7D8D6BDF" w14:textId="419095F0" w:rsidR="00E651A5" w:rsidRPr="004412A6" w:rsidRDefault="00E651A5" w:rsidP="006B70F9">
      <w:pPr>
        <w:contextualSpacing/>
        <w:rPr>
          <w:rFonts w:asciiTheme="minorHAnsi" w:hAnsiTheme="minorHAnsi" w:cstheme="minorHAnsi"/>
          <w:color w:val="auto"/>
        </w:rPr>
      </w:pPr>
      <w:r w:rsidRPr="004412A6">
        <w:rPr>
          <w:rFonts w:asciiTheme="minorHAnsi" w:hAnsiTheme="minorHAnsi" w:cstheme="minorHAnsi"/>
          <w:color w:val="auto"/>
        </w:rPr>
        <w:t>[Place Table 1 here]</w:t>
      </w:r>
    </w:p>
    <w:p w14:paraId="62D4FD6A" w14:textId="77777777" w:rsidR="004412A6" w:rsidRPr="004412A6" w:rsidRDefault="004412A6" w:rsidP="006B70F9">
      <w:pPr>
        <w:contextualSpacing/>
        <w:rPr>
          <w:rFonts w:asciiTheme="minorHAnsi" w:hAnsiTheme="minorHAnsi" w:cstheme="minorHAnsi"/>
          <w:color w:val="auto"/>
        </w:rPr>
      </w:pPr>
    </w:p>
    <w:p w14:paraId="3AB097FA" w14:textId="0DEBBB27" w:rsidR="0063200C" w:rsidRPr="004412A6" w:rsidRDefault="004412A6" w:rsidP="006B70F9">
      <w:pPr>
        <w:contextualSpacing/>
        <w:rPr>
          <w:color w:val="auto"/>
        </w:rPr>
      </w:pPr>
      <w:r>
        <w:rPr>
          <w:color w:val="auto"/>
        </w:rPr>
        <w:t>NOTE:</w:t>
      </w:r>
      <w:r w:rsidR="0063200C" w:rsidRPr="004412A6">
        <w:rPr>
          <w:color w:val="auto"/>
        </w:rPr>
        <w:t xml:space="preserve"> H</w:t>
      </w:r>
      <w:r w:rsidR="0063200C" w:rsidRPr="004412A6">
        <w:rPr>
          <w:color w:val="auto"/>
          <w:vertAlign w:val="subscript"/>
        </w:rPr>
        <w:t>3</w:t>
      </w:r>
      <w:r w:rsidR="0063200C" w:rsidRPr="004412A6">
        <w:rPr>
          <w:color w:val="auto"/>
        </w:rPr>
        <w:t>BO</w:t>
      </w:r>
      <w:r w:rsidR="0063200C" w:rsidRPr="004412A6">
        <w:rPr>
          <w:color w:val="auto"/>
          <w:vertAlign w:val="subscript"/>
        </w:rPr>
        <w:t>3</w:t>
      </w:r>
      <w:r w:rsidR="0063200C" w:rsidRPr="004412A6">
        <w:rPr>
          <w:color w:val="auto"/>
        </w:rPr>
        <w:t xml:space="preserve"> can be dissolved by </w:t>
      </w:r>
      <w:r w:rsidR="00B576C3">
        <w:rPr>
          <w:color w:val="auto"/>
        </w:rPr>
        <w:t>adding</w:t>
      </w:r>
      <w:r w:rsidR="0063200C" w:rsidRPr="004412A6">
        <w:rPr>
          <w:color w:val="auto"/>
        </w:rPr>
        <w:t xml:space="preserve"> 0.1 M NaOH. EDTA should be removed when testing metals, to avoid </w:t>
      </w:r>
      <w:r w:rsidR="00E17DEF" w:rsidRPr="004412A6">
        <w:rPr>
          <w:color w:val="auto"/>
        </w:rPr>
        <w:t xml:space="preserve">complexation with </w:t>
      </w:r>
      <w:r w:rsidR="0063200C" w:rsidRPr="004412A6">
        <w:rPr>
          <w:color w:val="auto"/>
        </w:rPr>
        <w:t xml:space="preserve">metal ions. Sterilize the stock solutions by membrane filtration (mean pore diameter 0.2 µm) or by autoclaving (120 °C, 15 min). </w:t>
      </w:r>
      <w:r w:rsidR="00E17DEF" w:rsidRPr="004412A6">
        <w:rPr>
          <w:color w:val="auto"/>
        </w:rPr>
        <w:t xml:space="preserve">Do no autoclave stock solutions 2 and 4, but sterilize them by membrane filtration. </w:t>
      </w:r>
      <w:r w:rsidR="0063200C" w:rsidRPr="004412A6">
        <w:rPr>
          <w:color w:val="auto"/>
        </w:rPr>
        <w:t>Store the solution</w:t>
      </w:r>
      <w:r w:rsidR="00E17DEF" w:rsidRPr="004412A6">
        <w:rPr>
          <w:color w:val="auto"/>
        </w:rPr>
        <w:t>s</w:t>
      </w:r>
      <w:r w:rsidR="0063200C" w:rsidRPr="004412A6">
        <w:rPr>
          <w:color w:val="auto"/>
        </w:rPr>
        <w:t xml:space="preserve"> in the dark at 4 °C.</w:t>
      </w:r>
    </w:p>
    <w:p w14:paraId="23867DC2" w14:textId="5B9551D2" w:rsidR="0063200C" w:rsidRPr="004412A6" w:rsidRDefault="0063200C" w:rsidP="006B70F9">
      <w:pPr>
        <w:contextualSpacing/>
        <w:rPr>
          <w:color w:val="auto"/>
        </w:rPr>
      </w:pPr>
    </w:p>
    <w:p w14:paraId="63118707" w14:textId="492F913A" w:rsidR="0063200C" w:rsidRPr="004412A6" w:rsidRDefault="0063200C" w:rsidP="006B70F9">
      <w:pPr>
        <w:pStyle w:val="ListParagraph"/>
        <w:numPr>
          <w:ilvl w:val="1"/>
          <w:numId w:val="22"/>
        </w:numPr>
        <w:ind w:left="0" w:firstLine="0"/>
        <w:rPr>
          <w:color w:val="auto"/>
        </w:rPr>
      </w:pPr>
      <w:r w:rsidRPr="004412A6">
        <w:rPr>
          <w:color w:val="auto"/>
        </w:rPr>
        <w:t>To produce 1</w:t>
      </w:r>
      <w:r w:rsidR="004B74F8" w:rsidRPr="004412A6">
        <w:rPr>
          <w:color w:val="auto"/>
        </w:rPr>
        <w:t xml:space="preserve"> </w:t>
      </w:r>
      <w:r w:rsidRPr="004412A6">
        <w:rPr>
          <w:color w:val="auto"/>
        </w:rPr>
        <w:t>L of algal growth medium</w:t>
      </w:r>
      <w:r w:rsidR="00480146">
        <w:rPr>
          <w:color w:val="auto"/>
        </w:rPr>
        <w:t>,</w:t>
      </w:r>
      <w:r w:rsidRPr="004412A6">
        <w:rPr>
          <w:color w:val="auto"/>
        </w:rPr>
        <w:t xml:space="preserve"> transfer 500 mL sterilized ultrapure water into a 1 L sterilized volumetric flask and add 10 mL of stock solution 1: Macronutrients, 1 mL of stock solution 2: Fe-EDTA, 1 mL of stock solution 3: Trace elements</w:t>
      </w:r>
      <w:r w:rsidR="00B576C3">
        <w:rPr>
          <w:color w:val="auto"/>
        </w:rPr>
        <w:t>,</w:t>
      </w:r>
      <w:r w:rsidRPr="004412A6">
        <w:rPr>
          <w:color w:val="auto"/>
        </w:rPr>
        <w:t xml:space="preserve"> and 1 mL of stock solution 4: </w:t>
      </w:r>
      <w:r w:rsidRPr="004412A6">
        <w:rPr>
          <w:color w:val="auto"/>
        </w:rPr>
        <w:lastRenderedPageBreak/>
        <w:t>NaHCO</w:t>
      </w:r>
      <w:r w:rsidRPr="004412A6">
        <w:rPr>
          <w:color w:val="auto"/>
          <w:vertAlign w:val="subscript"/>
        </w:rPr>
        <w:t>3</w:t>
      </w:r>
      <w:r w:rsidR="007E6A7D" w:rsidRPr="004412A6">
        <w:rPr>
          <w:color w:val="auto"/>
        </w:rPr>
        <w:t>.</w:t>
      </w:r>
    </w:p>
    <w:p w14:paraId="740E72BA" w14:textId="60D6D20B" w:rsidR="0063200C" w:rsidRPr="004412A6" w:rsidRDefault="0063200C" w:rsidP="006B70F9">
      <w:pPr>
        <w:contextualSpacing/>
        <w:rPr>
          <w:color w:val="auto"/>
        </w:rPr>
      </w:pPr>
    </w:p>
    <w:p w14:paraId="2C44DFB7" w14:textId="12BBAB8F" w:rsidR="0063200C" w:rsidRPr="004412A6" w:rsidRDefault="0063200C" w:rsidP="006B70F9">
      <w:pPr>
        <w:pStyle w:val="ListParagraph"/>
        <w:numPr>
          <w:ilvl w:val="1"/>
          <w:numId w:val="22"/>
        </w:numPr>
        <w:ind w:left="0" w:firstLine="0"/>
        <w:rPr>
          <w:color w:val="auto"/>
        </w:rPr>
      </w:pPr>
      <w:r w:rsidRPr="004412A6">
        <w:rPr>
          <w:color w:val="auto"/>
        </w:rPr>
        <w:t>Fill up to 1</w:t>
      </w:r>
      <w:r w:rsidR="004B74F8" w:rsidRPr="004412A6">
        <w:rPr>
          <w:color w:val="auto"/>
        </w:rPr>
        <w:t xml:space="preserve"> </w:t>
      </w:r>
      <w:r w:rsidRPr="004412A6">
        <w:rPr>
          <w:color w:val="auto"/>
        </w:rPr>
        <w:t>L with sterilized ultrapure water, stopper the flask and shake thoroughly to homogenize the algal growth medium.</w:t>
      </w:r>
    </w:p>
    <w:p w14:paraId="07A2C39E" w14:textId="16E76D6D" w:rsidR="0063200C" w:rsidRPr="004412A6" w:rsidRDefault="0063200C" w:rsidP="006B70F9">
      <w:pPr>
        <w:contextualSpacing/>
        <w:rPr>
          <w:color w:val="auto"/>
        </w:rPr>
      </w:pPr>
    </w:p>
    <w:p w14:paraId="475DBA20" w14:textId="418BBCC0" w:rsidR="0063200C" w:rsidRPr="004412A6" w:rsidRDefault="00343FDB" w:rsidP="006B70F9">
      <w:pPr>
        <w:pStyle w:val="ListParagraph"/>
        <w:numPr>
          <w:ilvl w:val="1"/>
          <w:numId w:val="22"/>
        </w:numPr>
        <w:ind w:left="0" w:firstLine="0"/>
        <w:rPr>
          <w:color w:val="auto"/>
        </w:rPr>
      </w:pPr>
      <w:r w:rsidRPr="004412A6">
        <w:rPr>
          <w:color w:val="auto"/>
        </w:rPr>
        <w:t>E</w:t>
      </w:r>
      <w:r w:rsidR="0063200C" w:rsidRPr="004412A6">
        <w:rPr>
          <w:color w:val="auto"/>
        </w:rPr>
        <w:t>quilibrate the solution</w:t>
      </w:r>
      <w:r w:rsidRPr="004412A6">
        <w:rPr>
          <w:color w:val="auto"/>
        </w:rPr>
        <w:t xml:space="preserve"> before use</w:t>
      </w:r>
      <w:r w:rsidR="0063200C" w:rsidRPr="004412A6">
        <w:rPr>
          <w:color w:val="auto"/>
        </w:rPr>
        <w:t xml:space="preserve"> by leaving it overnight in contact with air or by bubbling with sterile, filtered air for 30 min. After equilibration, adjust the pH</w:t>
      </w:r>
      <w:r w:rsidR="00BC0178">
        <w:rPr>
          <w:color w:val="auto"/>
        </w:rPr>
        <w:t>,</w:t>
      </w:r>
      <w:r w:rsidR="0063200C" w:rsidRPr="004412A6">
        <w:rPr>
          <w:color w:val="auto"/>
        </w:rPr>
        <w:t xml:space="preserve"> if necessary</w:t>
      </w:r>
      <w:r w:rsidR="00BC0178">
        <w:rPr>
          <w:color w:val="auto"/>
        </w:rPr>
        <w:t>,</w:t>
      </w:r>
      <w:r w:rsidR="0063200C" w:rsidRPr="004412A6">
        <w:rPr>
          <w:color w:val="auto"/>
        </w:rPr>
        <w:t xml:space="preserve"> to pH 8.1</w:t>
      </w:r>
      <w:r w:rsidR="00BC0178">
        <w:rPr>
          <w:color w:val="auto"/>
        </w:rPr>
        <w:t xml:space="preserve"> </w:t>
      </w:r>
      <w:r w:rsidR="0063200C" w:rsidRPr="004412A6">
        <w:rPr>
          <w:color w:val="auto"/>
        </w:rPr>
        <w:t>± 0.2, with either</w:t>
      </w:r>
      <w:r w:rsidR="00671F69" w:rsidRPr="004412A6">
        <w:rPr>
          <w:color w:val="auto"/>
        </w:rPr>
        <w:t xml:space="preserve"> </w:t>
      </w:r>
      <w:r w:rsidR="0063200C" w:rsidRPr="004412A6">
        <w:rPr>
          <w:color w:val="auto"/>
        </w:rPr>
        <w:t>1 M HCl or 1 M NaOH</w:t>
      </w:r>
      <w:r w:rsidR="007E6A7D" w:rsidRPr="004412A6">
        <w:rPr>
          <w:color w:val="auto"/>
        </w:rPr>
        <w:t>.</w:t>
      </w:r>
    </w:p>
    <w:p w14:paraId="6BA3F7E2" w14:textId="77777777" w:rsidR="0063200C" w:rsidRPr="004412A6" w:rsidRDefault="0063200C" w:rsidP="006B70F9">
      <w:pPr>
        <w:contextualSpacing/>
        <w:rPr>
          <w:color w:val="auto"/>
        </w:rPr>
      </w:pPr>
    </w:p>
    <w:p w14:paraId="47FB4504" w14:textId="40A6A344" w:rsidR="00480146" w:rsidRPr="00480146" w:rsidRDefault="0063200C" w:rsidP="006B70F9">
      <w:pPr>
        <w:pStyle w:val="ListParagraph"/>
        <w:widowControl/>
        <w:numPr>
          <w:ilvl w:val="0"/>
          <w:numId w:val="22"/>
        </w:numPr>
        <w:autoSpaceDE/>
        <w:autoSpaceDN/>
        <w:adjustRightInd/>
        <w:ind w:left="0" w:firstLine="0"/>
        <w:jc w:val="left"/>
        <w:rPr>
          <w:b/>
          <w:color w:val="auto"/>
        </w:rPr>
      </w:pPr>
      <w:r w:rsidRPr="00480146">
        <w:rPr>
          <w:b/>
          <w:color w:val="auto"/>
        </w:rPr>
        <w:t>Setting up the alga</w:t>
      </w:r>
      <w:r w:rsidR="005C4481" w:rsidRPr="00480146">
        <w:rPr>
          <w:b/>
          <w:color w:val="auto"/>
        </w:rPr>
        <w:t>l</w:t>
      </w:r>
      <w:r w:rsidRPr="00480146">
        <w:rPr>
          <w:b/>
          <w:color w:val="auto"/>
        </w:rPr>
        <w:t xml:space="preserve"> test</w:t>
      </w:r>
    </w:p>
    <w:p w14:paraId="411E5A31" w14:textId="192CEFF8" w:rsidR="0063200C" w:rsidRPr="004412A6" w:rsidRDefault="0063200C" w:rsidP="006B70F9">
      <w:pPr>
        <w:contextualSpacing/>
        <w:rPr>
          <w:color w:val="auto"/>
        </w:rPr>
      </w:pPr>
    </w:p>
    <w:p w14:paraId="6BFECA91" w14:textId="7DCB3994" w:rsidR="003D470A" w:rsidRPr="004412A6" w:rsidRDefault="00480146" w:rsidP="006B70F9">
      <w:pPr>
        <w:contextualSpacing/>
        <w:rPr>
          <w:color w:val="auto"/>
        </w:rPr>
      </w:pPr>
      <w:r>
        <w:rPr>
          <w:color w:val="auto"/>
        </w:rPr>
        <w:t xml:space="preserve">NOTE: </w:t>
      </w:r>
      <w:r w:rsidR="003D470A" w:rsidRPr="004412A6">
        <w:rPr>
          <w:color w:val="auto"/>
        </w:rPr>
        <w:t>A flow diagram of the algal test</w:t>
      </w:r>
      <w:r w:rsidR="00343FDB" w:rsidRPr="004412A6">
        <w:rPr>
          <w:color w:val="auto"/>
        </w:rPr>
        <w:t xml:space="preserve"> procedure </w:t>
      </w:r>
      <w:r w:rsidR="003D470A" w:rsidRPr="004412A6">
        <w:rPr>
          <w:color w:val="auto"/>
        </w:rPr>
        <w:t xml:space="preserve">is shown in </w:t>
      </w:r>
      <w:r w:rsidR="003D470A" w:rsidRPr="00480146">
        <w:rPr>
          <w:b/>
          <w:bCs/>
          <w:color w:val="auto"/>
        </w:rPr>
        <w:t>Figure 2</w:t>
      </w:r>
      <w:r w:rsidR="003D470A" w:rsidRPr="004412A6">
        <w:rPr>
          <w:color w:val="auto"/>
        </w:rPr>
        <w:t>.</w:t>
      </w:r>
    </w:p>
    <w:p w14:paraId="14A1BE66" w14:textId="2B651409" w:rsidR="00E651A5" w:rsidRPr="004412A6" w:rsidRDefault="00E651A5" w:rsidP="006B70F9">
      <w:pPr>
        <w:contextualSpacing/>
        <w:rPr>
          <w:color w:val="auto"/>
        </w:rPr>
      </w:pPr>
    </w:p>
    <w:p w14:paraId="5FBE6054" w14:textId="63A1912E" w:rsidR="00E651A5" w:rsidRPr="004412A6" w:rsidRDefault="00E651A5" w:rsidP="006B70F9">
      <w:pPr>
        <w:contextualSpacing/>
        <w:rPr>
          <w:rFonts w:asciiTheme="minorHAnsi" w:hAnsiTheme="minorHAnsi" w:cstheme="minorHAnsi"/>
          <w:color w:val="auto"/>
        </w:rPr>
      </w:pPr>
      <w:r w:rsidRPr="004412A6">
        <w:rPr>
          <w:rFonts w:asciiTheme="minorHAnsi" w:hAnsiTheme="minorHAnsi" w:cstheme="minorHAnsi"/>
          <w:color w:val="auto"/>
        </w:rPr>
        <w:t>[Place Figure 2 here]</w:t>
      </w:r>
    </w:p>
    <w:p w14:paraId="3F8D03B2" w14:textId="77777777" w:rsidR="003D470A" w:rsidRPr="004412A6" w:rsidRDefault="003D470A" w:rsidP="006B70F9">
      <w:pPr>
        <w:contextualSpacing/>
        <w:rPr>
          <w:color w:val="auto"/>
        </w:rPr>
      </w:pPr>
    </w:p>
    <w:p w14:paraId="3A0DD7EA" w14:textId="0BCEBC3D" w:rsidR="0063200C" w:rsidRPr="004412A6" w:rsidRDefault="00861BA1" w:rsidP="006B70F9">
      <w:pPr>
        <w:pStyle w:val="ListParagraph"/>
        <w:numPr>
          <w:ilvl w:val="1"/>
          <w:numId w:val="22"/>
        </w:numPr>
        <w:ind w:left="0" w:firstLine="0"/>
        <w:rPr>
          <w:color w:val="auto"/>
        </w:rPr>
      </w:pPr>
      <w:r w:rsidRPr="004412A6">
        <w:rPr>
          <w:color w:val="auto"/>
        </w:rPr>
        <w:t xml:space="preserve">Prepare a stock solution of </w:t>
      </w:r>
      <w:r w:rsidR="005C4481" w:rsidRPr="004412A6">
        <w:rPr>
          <w:color w:val="auto"/>
        </w:rPr>
        <w:t>the</w:t>
      </w:r>
      <w:r w:rsidRPr="004412A6">
        <w:rPr>
          <w:color w:val="auto"/>
        </w:rPr>
        <w:t xml:space="preserve"> test compound at </w:t>
      </w:r>
      <w:r w:rsidR="005C4481" w:rsidRPr="004412A6">
        <w:rPr>
          <w:color w:val="auto"/>
        </w:rPr>
        <w:t>the</w:t>
      </w:r>
      <w:r w:rsidRPr="004412A6">
        <w:rPr>
          <w:color w:val="auto"/>
        </w:rPr>
        <w:t xml:space="preserve"> desired highest test concentration in </w:t>
      </w:r>
      <w:r w:rsidR="00260C38">
        <w:rPr>
          <w:color w:val="auto"/>
        </w:rPr>
        <w:t xml:space="preserve">the </w:t>
      </w:r>
      <w:r w:rsidRPr="004412A6">
        <w:rPr>
          <w:color w:val="auto"/>
        </w:rPr>
        <w:t xml:space="preserve">algal growth medium prepared </w:t>
      </w:r>
      <w:r w:rsidR="00343FDB" w:rsidRPr="004412A6">
        <w:rPr>
          <w:color w:val="auto"/>
        </w:rPr>
        <w:t xml:space="preserve">according to </w:t>
      </w:r>
      <w:r w:rsidR="00480146">
        <w:rPr>
          <w:color w:val="auto"/>
        </w:rPr>
        <w:t>step</w:t>
      </w:r>
      <w:r w:rsidRPr="004412A6">
        <w:rPr>
          <w:color w:val="auto"/>
        </w:rPr>
        <w:t xml:space="preserve"> 2.</w:t>
      </w:r>
      <w:r w:rsidR="00B87754" w:rsidRPr="004412A6">
        <w:rPr>
          <w:color w:val="auto"/>
        </w:rPr>
        <w:t xml:space="preserve"> For preparation of stock solutions/suspensions</w:t>
      </w:r>
      <w:r w:rsidR="00480146">
        <w:rPr>
          <w:color w:val="auto"/>
        </w:rPr>
        <w:t>,</w:t>
      </w:r>
      <w:r w:rsidR="00B87754" w:rsidRPr="004412A6">
        <w:rPr>
          <w:color w:val="auto"/>
        </w:rPr>
        <w:t xml:space="preserve"> follow OECD 201 (for soluble compounds) or OECD 318 (for nanomaterials).</w:t>
      </w:r>
    </w:p>
    <w:p w14:paraId="723055BA" w14:textId="6E0AEEAD" w:rsidR="00861BA1" w:rsidRPr="004412A6" w:rsidRDefault="00861BA1" w:rsidP="006B70F9">
      <w:pPr>
        <w:contextualSpacing/>
        <w:rPr>
          <w:color w:val="auto"/>
        </w:rPr>
      </w:pPr>
    </w:p>
    <w:p w14:paraId="34734634" w14:textId="33BC35E2" w:rsidR="00861BA1" w:rsidRPr="004412A6" w:rsidRDefault="00861BA1" w:rsidP="006B70F9">
      <w:pPr>
        <w:pStyle w:val="ListParagraph"/>
        <w:numPr>
          <w:ilvl w:val="1"/>
          <w:numId w:val="22"/>
        </w:numPr>
        <w:ind w:left="0" w:firstLine="0"/>
        <w:rPr>
          <w:color w:val="auto"/>
        </w:rPr>
      </w:pPr>
      <w:r w:rsidRPr="004412A6">
        <w:rPr>
          <w:color w:val="auto"/>
        </w:rPr>
        <w:t xml:space="preserve">Measure the pH in the stock solution. If it deviates more than </w:t>
      </w:r>
      <w:r w:rsidR="00343FDB" w:rsidRPr="004412A6">
        <w:rPr>
          <w:color w:val="auto"/>
        </w:rPr>
        <w:t>one</w:t>
      </w:r>
      <w:r w:rsidRPr="004412A6">
        <w:rPr>
          <w:color w:val="auto"/>
        </w:rPr>
        <w:t xml:space="preserve"> unit from the algal growth medium</w:t>
      </w:r>
      <w:r w:rsidR="00343FDB" w:rsidRPr="004412A6">
        <w:rPr>
          <w:color w:val="auto"/>
        </w:rPr>
        <w:t>,</w:t>
      </w:r>
      <w:r w:rsidRPr="004412A6">
        <w:rPr>
          <w:color w:val="auto"/>
        </w:rPr>
        <w:t xml:space="preserve"> adjust the pH to 8 with either 1 M HCl or 1 M NaOH.</w:t>
      </w:r>
    </w:p>
    <w:p w14:paraId="556F7AFE" w14:textId="27801BB3" w:rsidR="00861BA1" w:rsidRPr="004412A6" w:rsidRDefault="00861BA1" w:rsidP="006B70F9">
      <w:pPr>
        <w:contextualSpacing/>
        <w:rPr>
          <w:color w:val="auto"/>
        </w:rPr>
      </w:pPr>
    </w:p>
    <w:p w14:paraId="30E3C236" w14:textId="11F62137" w:rsidR="00480146" w:rsidRDefault="00861BA1" w:rsidP="006B70F9">
      <w:pPr>
        <w:pStyle w:val="ListParagraph"/>
        <w:numPr>
          <w:ilvl w:val="1"/>
          <w:numId w:val="22"/>
        </w:numPr>
        <w:ind w:left="0" w:firstLine="0"/>
        <w:rPr>
          <w:color w:val="auto"/>
        </w:rPr>
      </w:pPr>
      <w:r w:rsidRPr="004412A6">
        <w:rPr>
          <w:color w:val="auto"/>
        </w:rPr>
        <w:t xml:space="preserve">Calculate the inoculum volume needed to reach a final cell concentration of </w:t>
      </w:r>
      <w:r w:rsidR="00B7373C" w:rsidRPr="004412A6">
        <w:rPr>
          <w:color w:val="auto"/>
        </w:rPr>
        <w:t>1</w:t>
      </w:r>
      <w:r w:rsidR="00480146">
        <w:rPr>
          <w:color w:val="auto"/>
        </w:rPr>
        <w:t xml:space="preserve"> x </w:t>
      </w:r>
      <w:r w:rsidR="00A90C04" w:rsidRPr="004412A6">
        <w:rPr>
          <w:color w:val="auto"/>
        </w:rPr>
        <w:t>10</w:t>
      </w:r>
      <w:r w:rsidR="00B7373C" w:rsidRPr="004412A6">
        <w:rPr>
          <w:color w:val="auto"/>
          <w:vertAlign w:val="superscript"/>
        </w:rPr>
        <w:t>4</w:t>
      </w:r>
      <w:r w:rsidR="00A90C04" w:rsidRPr="004412A6">
        <w:rPr>
          <w:color w:val="auto"/>
        </w:rPr>
        <w:t xml:space="preserve"> cells/mL in a 25 mL test solution</w:t>
      </w:r>
      <w:r w:rsidR="00AA5953" w:rsidRPr="004412A6">
        <w:rPr>
          <w:color w:val="auto"/>
        </w:rPr>
        <w:t>.</w:t>
      </w:r>
    </w:p>
    <w:p w14:paraId="74108289" w14:textId="77777777" w:rsidR="00480146" w:rsidRPr="00480146" w:rsidRDefault="00480146" w:rsidP="006B70F9">
      <w:pPr>
        <w:pStyle w:val="ListParagraph"/>
        <w:ind w:left="0"/>
        <w:rPr>
          <w:color w:val="auto"/>
        </w:rPr>
      </w:pPr>
    </w:p>
    <w:p w14:paraId="78B35F04" w14:textId="4FC15EAE" w:rsidR="00861BA1" w:rsidRPr="004412A6" w:rsidRDefault="004412A6" w:rsidP="006B70F9">
      <w:pPr>
        <w:pStyle w:val="ListParagraph"/>
        <w:ind w:left="0"/>
        <w:rPr>
          <w:color w:val="auto"/>
        </w:rPr>
      </w:pPr>
      <w:r w:rsidRPr="00480146">
        <w:rPr>
          <w:bCs/>
          <w:color w:val="auto"/>
        </w:rPr>
        <w:t>NOTE:</w:t>
      </w:r>
      <w:r w:rsidR="00AA5953" w:rsidRPr="004412A6">
        <w:rPr>
          <w:color w:val="auto"/>
        </w:rPr>
        <w:t xml:space="preserve"> The inoculum should </w:t>
      </w:r>
      <w:r w:rsidR="00377CC8" w:rsidRPr="004412A6">
        <w:rPr>
          <w:color w:val="auto"/>
        </w:rPr>
        <w:t xml:space="preserve">come from a culture of </w:t>
      </w:r>
      <w:r w:rsidR="00CC66CF" w:rsidRPr="004412A6">
        <w:rPr>
          <w:color w:val="auto"/>
        </w:rPr>
        <w:t xml:space="preserve">uncontaminated </w:t>
      </w:r>
      <w:r w:rsidR="00AA5953" w:rsidRPr="004412A6">
        <w:rPr>
          <w:color w:val="auto"/>
        </w:rPr>
        <w:t xml:space="preserve">exponentially growing </w:t>
      </w:r>
      <w:r w:rsidR="00AA5953" w:rsidRPr="004412A6">
        <w:rPr>
          <w:i/>
          <w:color w:val="auto"/>
        </w:rPr>
        <w:t>Raphidocelis subcapitata</w:t>
      </w:r>
      <w:r w:rsidR="00377CC8" w:rsidRPr="004412A6">
        <w:rPr>
          <w:color w:val="auto"/>
        </w:rPr>
        <w:t xml:space="preserve"> grown </w:t>
      </w:r>
      <w:r w:rsidR="00B7373C" w:rsidRPr="004412A6">
        <w:rPr>
          <w:color w:val="auto"/>
        </w:rPr>
        <w:t>using</w:t>
      </w:r>
      <w:r w:rsidR="00377CC8" w:rsidRPr="004412A6">
        <w:rPr>
          <w:color w:val="auto"/>
        </w:rPr>
        <w:t xml:space="preserve"> the LEVITATT setup.</w:t>
      </w:r>
    </w:p>
    <w:p w14:paraId="310442EE" w14:textId="207F04EC" w:rsidR="00861BA1" w:rsidRPr="004412A6" w:rsidRDefault="00861BA1" w:rsidP="006B70F9">
      <w:pPr>
        <w:contextualSpacing/>
        <w:rPr>
          <w:color w:val="auto"/>
        </w:rPr>
      </w:pPr>
    </w:p>
    <w:p w14:paraId="43EC85BC" w14:textId="21727659" w:rsidR="00861BA1" w:rsidRPr="004412A6" w:rsidRDefault="00A90C04" w:rsidP="006B70F9">
      <w:pPr>
        <w:pStyle w:val="ListParagraph"/>
        <w:numPr>
          <w:ilvl w:val="1"/>
          <w:numId w:val="22"/>
        </w:numPr>
        <w:ind w:left="0" w:firstLine="0"/>
        <w:rPr>
          <w:color w:val="auto"/>
        </w:rPr>
      </w:pPr>
      <w:r w:rsidRPr="004412A6">
        <w:rPr>
          <w:color w:val="auto"/>
        </w:rPr>
        <w:t>Calculate the amount of stock solution to add</w:t>
      </w:r>
      <w:r w:rsidR="00F021B9" w:rsidRPr="004412A6">
        <w:rPr>
          <w:color w:val="auto"/>
        </w:rPr>
        <w:t xml:space="preserve"> to</w:t>
      </w:r>
      <w:r w:rsidRPr="004412A6">
        <w:rPr>
          <w:color w:val="auto"/>
        </w:rPr>
        <w:t xml:space="preserve"> each 25 mL </w:t>
      </w:r>
      <w:r w:rsidR="00F021B9" w:rsidRPr="004412A6">
        <w:rPr>
          <w:color w:val="auto"/>
        </w:rPr>
        <w:t>volumetric</w:t>
      </w:r>
      <w:r w:rsidR="00B7373C" w:rsidRPr="004412A6">
        <w:rPr>
          <w:color w:val="auto"/>
        </w:rPr>
        <w:t xml:space="preserve"> flask</w:t>
      </w:r>
      <w:r w:rsidRPr="004412A6">
        <w:rPr>
          <w:color w:val="auto"/>
        </w:rPr>
        <w:t xml:space="preserve"> to </w:t>
      </w:r>
      <w:r w:rsidR="00343FDB" w:rsidRPr="004412A6">
        <w:rPr>
          <w:color w:val="auto"/>
        </w:rPr>
        <w:t>obtain</w:t>
      </w:r>
      <w:r w:rsidRPr="004412A6">
        <w:rPr>
          <w:color w:val="auto"/>
        </w:rPr>
        <w:t xml:space="preserve"> the desired test concentrations. The factor between each concentration should not exceed 3.</w:t>
      </w:r>
      <w:r w:rsidR="0023500B" w:rsidRPr="004412A6">
        <w:rPr>
          <w:color w:val="auto"/>
        </w:rPr>
        <w:t>2</w:t>
      </w:r>
      <w:r w:rsidRPr="004412A6">
        <w:rPr>
          <w:color w:val="auto"/>
        </w:rPr>
        <w:t>.</w:t>
      </w:r>
    </w:p>
    <w:p w14:paraId="7EE9712C" w14:textId="2D889D25" w:rsidR="00861BA1" w:rsidRPr="004412A6" w:rsidRDefault="00861BA1" w:rsidP="006B70F9">
      <w:pPr>
        <w:contextualSpacing/>
        <w:rPr>
          <w:color w:val="auto"/>
        </w:rPr>
      </w:pPr>
    </w:p>
    <w:p w14:paraId="6D0172C6" w14:textId="7C2D37D6" w:rsidR="00861BA1" w:rsidRPr="004412A6" w:rsidRDefault="00A90C04" w:rsidP="006B70F9">
      <w:pPr>
        <w:pStyle w:val="ListParagraph"/>
        <w:numPr>
          <w:ilvl w:val="1"/>
          <w:numId w:val="22"/>
        </w:numPr>
        <w:ind w:left="0" w:firstLine="0"/>
        <w:rPr>
          <w:color w:val="auto"/>
        </w:rPr>
      </w:pPr>
      <w:r w:rsidRPr="004412A6">
        <w:rPr>
          <w:color w:val="auto"/>
        </w:rPr>
        <w:t xml:space="preserve">Mark one 25 mL </w:t>
      </w:r>
      <w:r w:rsidR="005A03DF" w:rsidRPr="004412A6">
        <w:rPr>
          <w:color w:val="auto"/>
        </w:rPr>
        <w:t>volumetric</w:t>
      </w:r>
      <w:r w:rsidR="00B7373C" w:rsidRPr="004412A6">
        <w:rPr>
          <w:color w:val="auto"/>
        </w:rPr>
        <w:t xml:space="preserve"> flask</w:t>
      </w:r>
      <w:r w:rsidRPr="004412A6">
        <w:rPr>
          <w:color w:val="auto"/>
        </w:rPr>
        <w:t xml:space="preserve"> for each chosen concentration and an additional 25 mL </w:t>
      </w:r>
      <w:r w:rsidR="005A03DF" w:rsidRPr="004412A6">
        <w:rPr>
          <w:color w:val="auto"/>
        </w:rPr>
        <w:t>volumetric</w:t>
      </w:r>
      <w:r w:rsidR="00B7373C" w:rsidRPr="004412A6">
        <w:rPr>
          <w:color w:val="auto"/>
        </w:rPr>
        <w:t xml:space="preserve"> flask</w:t>
      </w:r>
      <w:r w:rsidRPr="004412A6">
        <w:rPr>
          <w:color w:val="auto"/>
        </w:rPr>
        <w:t xml:space="preserve"> marked control.</w:t>
      </w:r>
    </w:p>
    <w:p w14:paraId="4B3038F7" w14:textId="54AA151B" w:rsidR="00861BA1" w:rsidRPr="004412A6" w:rsidRDefault="00861BA1" w:rsidP="006B70F9">
      <w:pPr>
        <w:contextualSpacing/>
        <w:rPr>
          <w:color w:val="auto"/>
        </w:rPr>
      </w:pPr>
    </w:p>
    <w:p w14:paraId="1BF883BA" w14:textId="51DF2141" w:rsidR="00861BA1" w:rsidRPr="004412A6" w:rsidRDefault="00A90C04" w:rsidP="006B70F9">
      <w:pPr>
        <w:pStyle w:val="ListParagraph"/>
        <w:numPr>
          <w:ilvl w:val="1"/>
          <w:numId w:val="22"/>
        </w:numPr>
        <w:ind w:left="0" w:firstLine="0"/>
        <w:rPr>
          <w:color w:val="auto"/>
        </w:rPr>
      </w:pPr>
      <w:r w:rsidRPr="004412A6">
        <w:rPr>
          <w:color w:val="auto"/>
        </w:rPr>
        <w:t xml:space="preserve">Add the amount of stock solution </w:t>
      </w:r>
      <w:r w:rsidR="00377CC8" w:rsidRPr="004412A6">
        <w:rPr>
          <w:color w:val="auto"/>
        </w:rPr>
        <w:t>of the test compound needed to reach</w:t>
      </w:r>
      <w:r w:rsidRPr="004412A6">
        <w:rPr>
          <w:color w:val="auto"/>
        </w:rPr>
        <w:t xml:space="preserve"> the desired concentrations</w:t>
      </w:r>
      <w:r w:rsidR="00131356" w:rsidRPr="004412A6">
        <w:rPr>
          <w:color w:val="auto"/>
        </w:rPr>
        <w:t xml:space="preserve"> to the 25 mL volumetric flask</w:t>
      </w:r>
      <w:r w:rsidRPr="004412A6">
        <w:rPr>
          <w:color w:val="auto"/>
        </w:rPr>
        <w:t xml:space="preserve">. </w:t>
      </w:r>
      <w:r w:rsidR="00581DCA" w:rsidRPr="004412A6">
        <w:rPr>
          <w:color w:val="auto"/>
        </w:rPr>
        <w:t xml:space="preserve">Do </w:t>
      </w:r>
      <w:r w:rsidR="00581DCA" w:rsidRPr="006A55E9">
        <w:rPr>
          <w:b/>
          <w:color w:val="auto"/>
        </w:rPr>
        <w:t>not</w:t>
      </w:r>
      <w:r w:rsidRPr="004412A6">
        <w:rPr>
          <w:color w:val="auto"/>
        </w:rPr>
        <w:t xml:space="preserve"> add</w:t>
      </w:r>
      <w:r w:rsidR="00581DCA" w:rsidRPr="004412A6">
        <w:rPr>
          <w:color w:val="auto"/>
        </w:rPr>
        <w:t xml:space="preserve"> stock solution</w:t>
      </w:r>
      <w:r w:rsidRPr="004412A6">
        <w:rPr>
          <w:color w:val="auto"/>
        </w:rPr>
        <w:t xml:space="preserve"> to the control.</w:t>
      </w:r>
    </w:p>
    <w:p w14:paraId="752BDB47" w14:textId="4B89E54A" w:rsidR="00861BA1" w:rsidRPr="004412A6" w:rsidRDefault="00861BA1" w:rsidP="006B70F9">
      <w:pPr>
        <w:contextualSpacing/>
        <w:rPr>
          <w:color w:val="auto"/>
        </w:rPr>
      </w:pPr>
    </w:p>
    <w:p w14:paraId="042E2852" w14:textId="0195EE91" w:rsidR="00861BA1" w:rsidRPr="004412A6" w:rsidRDefault="00A90C04" w:rsidP="006B70F9">
      <w:pPr>
        <w:pStyle w:val="ListParagraph"/>
        <w:numPr>
          <w:ilvl w:val="1"/>
          <w:numId w:val="22"/>
        </w:numPr>
        <w:ind w:left="0" w:firstLine="0"/>
        <w:rPr>
          <w:color w:val="auto"/>
        </w:rPr>
      </w:pPr>
      <w:r w:rsidRPr="004412A6">
        <w:rPr>
          <w:color w:val="auto"/>
        </w:rPr>
        <w:t xml:space="preserve">Add </w:t>
      </w:r>
      <w:r w:rsidR="00CC59CA">
        <w:rPr>
          <w:color w:val="auto"/>
        </w:rPr>
        <w:t xml:space="preserve">the </w:t>
      </w:r>
      <w:r w:rsidRPr="004412A6">
        <w:rPr>
          <w:color w:val="auto"/>
        </w:rPr>
        <w:t xml:space="preserve">medium to each 25 mL </w:t>
      </w:r>
      <w:r w:rsidR="005A03DF" w:rsidRPr="004412A6">
        <w:rPr>
          <w:color w:val="auto"/>
        </w:rPr>
        <w:t>volumetric</w:t>
      </w:r>
      <w:r w:rsidR="00B7373C" w:rsidRPr="004412A6">
        <w:rPr>
          <w:color w:val="auto"/>
        </w:rPr>
        <w:t xml:space="preserve"> flask </w:t>
      </w:r>
      <w:r w:rsidRPr="004412A6">
        <w:rPr>
          <w:color w:val="auto"/>
        </w:rPr>
        <w:t xml:space="preserve">to </w:t>
      </w:r>
      <w:r w:rsidR="00EC6CC4" w:rsidRPr="004412A6">
        <w:rPr>
          <w:color w:val="auto"/>
        </w:rPr>
        <w:t>reach a volume of approximately</w:t>
      </w:r>
      <w:r w:rsidRPr="004412A6">
        <w:rPr>
          <w:color w:val="auto"/>
        </w:rPr>
        <w:t xml:space="preserve"> 20 mL.</w:t>
      </w:r>
    </w:p>
    <w:p w14:paraId="3E246643" w14:textId="6A8D6EEB" w:rsidR="003512CE" w:rsidRPr="004412A6" w:rsidRDefault="003512CE" w:rsidP="006B70F9">
      <w:pPr>
        <w:pStyle w:val="ListParagraph"/>
        <w:ind w:left="0"/>
        <w:rPr>
          <w:color w:val="auto"/>
        </w:rPr>
      </w:pPr>
    </w:p>
    <w:p w14:paraId="5C282DD3" w14:textId="78AB1A50" w:rsidR="003512CE" w:rsidRPr="004412A6" w:rsidRDefault="003512CE" w:rsidP="006B70F9">
      <w:pPr>
        <w:pStyle w:val="ListParagraph"/>
        <w:numPr>
          <w:ilvl w:val="1"/>
          <w:numId w:val="22"/>
        </w:numPr>
        <w:ind w:left="0" w:firstLine="0"/>
        <w:rPr>
          <w:color w:val="auto"/>
        </w:rPr>
      </w:pPr>
      <w:r w:rsidRPr="004412A6">
        <w:rPr>
          <w:color w:val="auto"/>
        </w:rPr>
        <w:t>Add the volume of inoculum calculated in step 3.</w:t>
      </w:r>
      <w:r w:rsidR="0023500B" w:rsidRPr="004412A6">
        <w:rPr>
          <w:color w:val="auto"/>
        </w:rPr>
        <w:t>3</w:t>
      </w:r>
      <w:r w:rsidRPr="004412A6">
        <w:rPr>
          <w:color w:val="auto"/>
        </w:rPr>
        <w:t xml:space="preserve"> to each 25 mL </w:t>
      </w:r>
      <w:r w:rsidR="005A03DF" w:rsidRPr="004412A6">
        <w:rPr>
          <w:color w:val="auto"/>
        </w:rPr>
        <w:t>volumetric</w:t>
      </w:r>
      <w:r w:rsidR="00B7373C" w:rsidRPr="004412A6">
        <w:rPr>
          <w:color w:val="auto"/>
        </w:rPr>
        <w:t xml:space="preserve"> flask</w:t>
      </w:r>
      <w:r w:rsidRPr="004412A6">
        <w:rPr>
          <w:color w:val="auto"/>
        </w:rPr>
        <w:t xml:space="preserve">. </w:t>
      </w:r>
      <w:r w:rsidR="00EC6CC4" w:rsidRPr="004412A6">
        <w:rPr>
          <w:color w:val="auto"/>
        </w:rPr>
        <w:t xml:space="preserve">Add </w:t>
      </w:r>
      <w:r w:rsidR="00260C38">
        <w:rPr>
          <w:color w:val="auto"/>
        </w:rPr>
        <w:t xml:space="preserve">the </w:t>
      </w:r>
      <w:r w:rsidR="00EC6CC4" w:rsidRPr="004412A6">
        <w:rPr>
          <w:color w:val="auto"/>
        </w:rPr>
        <w:t>medium to each</w:t>
      </w:r>
      <w:r w:rsidRPr="004412A6">
        <w:rPr>
          <w:color w:val="auto"/>
        </w:rPr>
        <w:t xml:space="preserve"> 25 mL </w:t>
      </w:r>
      <w:r w:rsidR="005A03DF" w:rsidRPr="004412A6">
        <w:rPr>
          <w:color w:val="auto"/>
        </w:rPr>
        <w:t>volumetric</w:t>
      </w:r>
      <w:r w:rsidR="00B7373C" w:rsidRPr="004412A6">
        <w:rPr>
          <w:color w:val="auto"/>
        </w:rPr>
        <w:t xml:space="preserve"> flask</w:t>
      </w:r>
      <w:r w:rsidRPr="004412A6">
        <w:rPr>
          <w:color w:val="auto"/>
        </w:rPr>
        <w:t xml:space="preserve"> to a </w:t>
      </w:r>
      <w:r w:rsidR="00EC6CC4" w:rsidRPr="004412A6">
        <w:rPr>
          <w:color w:val="auto"/>
        </w:rPr>
        <w:t xml:space="preserve">final </w:t>
      </w:r>
      <w:r w:rsidRPr="004412A6">
        <w:rPr>
          <w:color w:val="auto"/>
        </w:rPr>
        <w:t>total volume of 25 mL</w:t>
      </w:r>
      <w:r w:rsidR="00EC6CC4" w:rsidRPr="004412A6">
        <w:rPr>
          <w:color w:val="auto"/>
        </w:rPr>
        <w:t>.</w:t>
      </w:r>
    </w:p>
    <w:p w14:paraId="7308B324" w14:textId="77777777" w:rsidR="003512CE" w:rsidRPr="004412A6" w:rsidRDefault="003512CE" w:rsidP="006B70F9">
      <w:pPr>
        <w:contextualSpacing/>
        <w:rPr>
          <w:color w:val="auto"/>
        </w:rPr>
      </w:pPr>
    </w:p>
    <w:p w14:paraId="3E2B3742" w14:textId="780BABAD" w:rsidR="003512CE" w:rsidRPr="004412A6" w:rsidRDefault="003512CE" w:rsidP="006B70F9">
      <w:pPr>
        <w:pStyle w:val="ListParagraph"/>
        <w:numPr>
          <w:ilvl w:val="1"/>
          <w:numId w:val="22"/>
        </w:numPr>
        <w:ind w:left="0" w:firstLine="0"/>
        <w:rPr>
          <w:color w:val="auto"/>
        </w:rPr>
      </w:pPr>
      <w:r w:rsidRPr="004412A6">
        <w:rPr>
          <w:color w:val="auto"/>
        </w:rPr>
        <w:lastRenderedPageBreak/>
        <w:t xml:space="preserve">Stopper the flasks and mix </w:t>
      </w:r>
      <w:r w:rsidR="00581DCA" w:rsidRPr="004412A6">
        <w:rPr>
          <w:color w:val="auto"/>
        </w:rPr>
        <w:t>thoroughly</w:t>
      </w:r>
      <w:r w:rsidR="00EC6CC4" w:rsidRPr="004412A6">
        <w:rPr>
          <w:color w:val="auto"/>
        </w:rPr>
        <w:t xml:space="preserve"> by </w:t>
      </w:r>
      <w:r w:rsidR="00B7373C" w:rsidRPr="004412A6">
        <w:rPr>
          <w:color w:val="auto"/>
        </w:rPr>
        <w:t xml:space="preserve">turning the flasks </w:t>
      </w:r>
      <w:r w:rsidR="00131356">
        <w:rPr>
          <w:color w:val="auto"/>
        </w:rPr>
        <w:t>two</w:t>
      </w:r>
      <w:r w:rsidR="00131356" w:rsidRPr="004412A6">
        <w:rPr>
          <w:color w:val="auto"/>
        </w:rPr>
        <w:t xml:space="preserve"> </w:t>
      </w:r>
      <w:r w:rsidR="00B7373C" w:rsidRPr="004412A6">
        <w:rPr>
          <w:color w:val="auto"/>
        </w:rPr>
        <w:t>times vertically.</w:t>
      </w:r>
    </w:p>
    <w:p w14:paraId="3298E47C" w14:textId="77777777" w:rsidR="003512CE" w:rsidRPr="004412A6" w:rsidRDefault="003512CE" w:rsidP="006B70F9">
      <w:pPr>
        <w:contextualSpacing/>
        <w:rPr>
          <w:color w:val="auto"/>
        </w:rPr>
      </w:pPr>
    </w:p>
    <w:p w14:paraId="7DFB7C1D" w14:textId="760D0348" w:rsidR="003512CE" w:rsidRPr="004412A6" w:rsidRDefault="003512CE" w:rsidP="006B70F9">
      <w:pPr>
        <w:pStyle w:val="ListParagraph"/>
        <w:numPr>
          <w:ilvl w:val="1"/>
          <w:numId w:val="22"/>
        </w:numPr>
        <w:ind w:left="0" w:firstLine="0"/>
        <w:rPr>
          <w:color w:val="auto"/>
        </w:rPr>
      </w:pPr>
      <w:r w:rsidRPr="004412A6">
        <w:rPr>
          <w:color w:val="auto"/>
        </w:rPr>
        <w:t xml:space="preserve">Transfer 0.4 mL </w:t>
      </w:r>
      <w:r w:rsidR="008407DC" w:rsidRPr="004412A6">
        <w:rPr>
          <w:color w:val="auto"/>
        </w:rPr>
        <w:t xml:space="preserve">from each flask </w:t>
      </w:r>
      <w:r w:rsidRPr="004412A6">
        <w:rPr>
          <w:color w:val="auto"/>
        </w:rPr>
        <w:t xml:space="preserve">into individual screw cap vials and add 1.6 mL </w:t>
      </w:r>
      <w:r w:rsidR="00731745">
        <w:rPr>
          <w:color w:val="auto"/>
        </w:rPr>
        <w:t xml:space="preserve">of </w:t>
      </w:r>
      <w:r w:rsidRPr="004412A6">
        <w:rPr>
          <w:color w:val="auto"/>
        </w:rPr>
        <w:t>acetone (saturated with MgCO</w:t>
      </w:r>
      <w:r w:rsidRPr="004412A6">
        <w:rPr>
          <w:color w:val="auto"/>
          <w:vertAlign w:val="subscript"/>
        </w:rPr>
        <w:t>3</w:t>
      </w:r>
      <w:r w:rsidRPr="004412A6">
        <w:rPr>
          <w:color w:val="auto"/>
        </w:rPr>
        <w:t>)</w:t>
      </w:r>
      <w:r w:rsidR="00731745">
        <w:rPr>
          <w:color w:val="auto"/>
        </w:rPr>
        <w:t>: o</w:t>
      </w:r>
      <w:r w:rsidRPr="004412A6">
        <w:rPr>
          <w:color w:val="auto"/>
        </w:rPr>
        <w:t xml:space="preserve">ne sample for each </w:t>
      </w:r>
      <w:r w:rsidR="000904D0" w:rsidRPr="004412A6">
        <w:rPr>
          <w:color w:val="auto"/>
        </w:rPr>
        <w:t xml:space="preserve">test </w:t>
      </w:r>
      <w:r w:rsidRPr="004412A6">
        <w:rPr>
          <w:color w:val="auto"/>
        </w:rPr>
        <w:t>concentration</w:t>
      </w:r>
      <w:r w:rsidR="00343FDB" w:rsidRPr="004412A6">
        <w:rPr>
          <w:color w:val="auto"/>
        </w:rPr>
        <w:t xml:space="preserve"> and the control</w:t>
      </w:r>
      <w:r w:rsidRPr="004412A6">
        <w:rPr>
          <w:color w:val="auto"/>
        </w:rPr>
        <w:t>. Close the lids tightly and store in the dark at room temperature until fluorescen</w:t>
      </w:r>
      <w:r w:rsidR="000904D0" w:rsidRPr="004412A6">
        <w:rPr>
          <w:color w:val="auto"/>
        </w:rPr>
        <w:t>ce</w:t>
      </w:r>
      <w:r w:rsidRPr="004412A6">
        <w:rPr>
          <w:color w:val="auto"/>
        </w:rPr>
        <w:t xml:space="preserve"> measurements (</w:t>
      </w:r>
      <w:r w:rsidR="00AE1791">
        <w:rPr>
          <w:color w:val="auto"/>
        </w:rPr>
        <w:t>section</w:t>
      </w:r>
      <w:r w:rsidR="00AE1791" w:rsidRPr="004412A6">
        <w:rPr>
          <w:color w:val="auto"/>
        </w:rPr>
        <w:t xml:space="preserve"> </w:t>
      </w:r>
      <w:r w:rsidRPr="004412A6">
        <w:rPr>
          <w:color w:val="auto"/>
        </w:rPr>
        <w:t>4).</w:t>
      </w:r>
    </w:p>
    <w:p w14:paraId="44A204D2" w14:textId="77777777" w:rsidR="003512CE" w:rsidRPr="004412A6" w:rsidRDefault="003512CE" w:rsidP="006B70F9">
      <w:pPr>
        <w:contextualSpacing/>
        <w:rPr>
          <w:color w:val="auto"/>
        </w:rPr>
      </w:pPr>
    </w:p>
    <w:p w14:paraId="76905C6F" w14:textId="4FCEBC98" w:rsidR="003D470A" w:rsidRPr="004412A6" w:rsidRDefault="003512CE" w:rsidP="006B70F9">
      <w:pPr>
        <w:pStyle w:val="ListParagraph"/>
        <w:numPr>
          <w:ilvl w:val="1"/>
          <w:numId w:val="22"/>
        </w:numPr>
        <w:ind w:left="0" w:firstLine="0"/>
        <w:rPr>
          <w:color w:val="auto"/>
        </w:rPr>
      </w:pPr>
      <w:r w:rsidRPr="004412A6">
        <w:rPr>
          <w:color w:val="auto"/>
        </w:rPr>
        <w:t>Pipet 4 mL of each test solution into 20 mL scintillation vials</w:t>
      </w:r>
      <w:r w:rsidR="003D470A" w:rsidRPr="004412A6">
        <w:rPr>
          <w:color w:val="auto"/>
        </w:rPr>
        <w:t xml:space="preserve"> (3 replicates per concentration and 5 </w:t>
      </w:r>
      <w:r w:rsidR="00666479" w:rsidRPr="004412A6">
        <w:rPr>
          <w:color w:val="auto"/>
        </w:rPr>
        <w:t xml:space="preserve">replicates </w:t>
      </w:r>
      <w:r w:rsidR="003D470A" w:rsidRPr="004412A6">
        <w:rPr>
          <w:color w:val="auto"/>
        </w:rPr>
        <w:t xml:space="preserve">for the control). Screw lids on the scintillation vials. </w:t>
      </w:r>
      <w:r w:rsidR="003D470A" w:rsidRPr="004412A6">
        <w:rPr>
          <w:b/>
          <w:color w:val="auto"/>
        </w:rPr>
        <w:t>Remember</w:t>
      </w:r>
      <w:r w:rsidR="003D470A" w:rsidRPr="004412A6">
        <w:rPr>
          <w:color w:val="auto"/>
        </w:rPr>
        <w:t xml:space="preserve"> that the lids must have a drilled hole (approximately 1 mm in diameter) to allow for CO</w:t>
      </w:r>
      <w:r w:rsidR="003D470A" w:rsidRPr="004412A6">
        <w:rPr>
          <w:color w:val="auto"/>
          <w:vertAlign w:val="subscript"/>
        </w:rPr>
        <w:t>2</w:t>
      </w:r>
      <w:r w:rsidR="003D470A" w:rsidRPr="004412A6">
        <w:rPr>
          <w:color w:val="auto"/>
        </w:rPr>
        <w:t xml:space="preserve"> exchange.</w:t>
      </w:r>
    </w:p>
    <w:p w14:paraId="6F07A394" w14:textId="77777777" w:rsidR="003D470A" w:rsidRPr="004412A6" w:rsidRDefault="003D470A" w:rsidP="006B70F9">
      <w:pPr>
        <w:contextualSpacing/>
        <w:rPr>
          <w:color w:val="auto"/>
        </w:rPr>
      </w:pPr>
    </w:p>
    <w:p w14:paraId="6C703869" w14:textId="10BAA6E4" w:rsidR="003D470A" w:rsidRPr="004412A6" w:rsidRDefault="003D470A" w:rsidP="006B70F9">
      <w:pPr>
        <w:pStyle w:val="ListParagraph"/>
        <w:numPr>
          <w:ilvl w:val="1"/>
          <w:numId w:val="22"/>
        </w:numPr>
        <w:ind w:left="0" w:firstLine="0"/>
        <w:rPr>
          <w:color w:val="auto"/>
        </w:rPr>
      </w:pPr>
      <w:r w:rsidRPr="004412A6">
        <w:rPr>
          <w:color w:val="auto"/>
        </w:rPr>
        <w:t>After 24</w:t>
      </w:r>
      <w:r w:rsidR="00A538EF">
        <w:rPr>
          <w:color w:val="auto"/>
        </w:rPr>
        <w:t xml:space="preserve"> h</w:t>
      </w:r>
      <w:r w:rsidRPr="004412A6">
        <w:rPr>
          <w:color w:val="auto"/>
        </w:rPr>
        <w:t>, 48</w:t>
      </w:r>
      <w:r w:rsidR="00A538EF">
        <w:rPr>
          <w:color w:val="auto"/>
        </w:rPr>
        <w:t xml:space="preserve"> h</w:t>
      </w:r>
      <w:r w:rsidR="00AE1791">
        <w:rPr>
          <w:color w:val="auto"/>
        </w:rPr>
        <w:t>,</w:t>
      </w:r>
      <w:r w:rsidRPr="004412A6">
        <w:rPr>
          <w:color w:val="auto"/>
        </w:rPr>
        <w:t xml:space="preserve"> and 72</w:t>
      </w:r>
      <w:r w:rsidR="00731745">
        <w:rPr>
          <w:color w:val="auto"/>
        </w:rPr>
        <w:t xml:space="preserve"> </w:t>
      </w:r>
      <w:r w:rsidRPr="004412A6">
        <w:rPr>
          <w:color w:val="auto"/>
        </w:rPr>
        <w:t>h</w:t>
      </w:r>
      <w:r w:rsidR="00731745">
        <w:rPr>
          <w:color w:val="auto"/>
        </w:rPr>
        <w:t>,</w:t>
      </w:r>
      <w:r w:rsidRPr="004412A6">
        <w:rPr>
          <w:color w:val="auto"/>
        </w:rPr>
        <w:t xml:space="preserve"> pipet 0.4 mL from each vial into screw cap vials and add 1.6 mL </w:t>
      </w:r>
      <w:r w:rsidR="00731745">
        <w:rPr>
          <w:color w:val="auto"/>
        </w:rPr>
        <w:t xml:space="preserve">of </w:t>
      </w:r>
      <w:r w:rsidRPr="004412A6">
        <w:rPr>
          <w:color w:val="auto"/>
        </w:rPr>
        <w:t>acetone (saturated with MgCO</w:t>
      </w:r>
      <w:r w:rsidRPr="004412A6">
        <w:rPr>
          <w:color w:val="auto"/>
          <w:vertAlign w:val="subscript"/>
        </w:rPr>
        <w:t>3</w:t>
      </w:r>
      <w:r w:rsidRPr="004412A6">
        <w:rPr>
          <w:color w:val="auto"/>
        </w:rPr>
        <w:t>). Close the lids tightly and store in the dark at room temperature until fluorescen</w:t>
      </w:r>
      <w:r w:rsidR="00666479" w:rsidRPr="004412A6">
        <w:rPr>
          <w:color w:val="auto"/>
        </w:rPr>
        <w:t>ce</w:t>
      </w:r>
      <w:r w:rsidRPr="004412A6">
        <w:rPr>
          <w:color w:val="auto"/>
        </w:rPr>
        <w:t xml:space="preserve"> measurements (</w:t>
      </w:r>
      <w:r w:rsidR="00AE1791">
        <w:rPr>
          <w:color w:val="auto"/>
        </w:rPr>
        <w:t>section</w:t>
      </w:r>
      <w:r w:rsidR="00AE1791" w:rsidRPr="004412A6">
        <w:rPr>
          <w:color w:val="auto"/>
        </w:rPr>
        <w:t xml:space="preserve"> </w:t>
      </w:r>
      <w:r w:rsidRPr="004412A6">
        <w:rPr>
          <w:color w:val="auto"/>
        </w:rPr>
        <w:t>4).</w:t>
      </w:r>
    </w:p>
    <w:p w14:paraId="6F0C89A0" w14:textId="77777777" w:rsidR="003D470A" w:rsidRPr="004412A6" w:rsidRDefault="003D470A" w:rsidP="006B70F9">
      <w:pPr>
        <w:contextualSpacing/>
        <w:rPr>
          <w:color w:val="auto"/>
        </w:rPr>
      </w:pPr>
    </w:p>
    <w:p w14:paraId="50159EB4" w14:textId="73BD8A67" w:rsidR="003D470A" w:rsidRPr="004412A6" w:rsidRDefault="00F84C32" w:rsidP="006B70F9">
      <w:pPr>
        <w:pStyle w:val="ListParagraph"/>
        <w:numPr>
          <w:ilvl w:val="1"/>
          <w:numId w:val="22"/>
        </w:numPr>
        <w:ind w:left="0" w:firstLine="0"/>
        <w:rPr>
          <w:color w:val="auto"/>
        </w:rPr>
      </w:pPr>
      <w:r w:rsidRPr="004412A6">
        <w:rPr>
          <w:color w:val="auto"/>
        </w:rPr>
        <w:t>After</w:t>
      </w:r>
      <w:r w:rsidR="003D470A" w:rsidRPr="004412A6">
        <w:rPr>
          <w:color w:val="auto"/>
        </w:rPr>
        <w:t xml:space="preserve"> the last sample </w:t>
      </w:r>
      <w:r w:rsidR="005D3824">
        <w:rPr>
          <w:color w:val="auto"/>
        </w:rPr>
        <w:t xml:space="preserve">is </w:t>
      </w:r>
      <w:r w:rsidR="003D470A" w:rsidRPr="004412A6">
        <w:rPr>
          <w:color w:val="auto"/>
        </w:rPr>
        <w:t>taken at 72</w:t>
      </w:r>
      <w:r w:rsidR="00731745">
        <w:rPr>
          <w:color w:val="auto"/>
        </w:rPr>
        <w:t xml:space="preserve"> </w:t>
      </w:r>
      <w:r w:rsidR="003D470A" w:rsidRPr="004412A6">
        <w:rPr>
          <w:color w:val="auto"/>
        </w:rPr>
        <w:t>h</w:t>
      </w:r>
      <w:r w:rsidR="00AE1791">
        <w:rPr>
          <w:color w:val="auto"/>
        </w:rPr>
        <w:t>,</w:t>
      </w:r>
      <w:r w:rsidR="003D470A" w:rsidRPr="004412A6">
        <w:rPr>
          <w:color w:val="auto"/>
        </w:rPr>
        <w:t xml:space="preserve"> </w:t>
      </w:r>
      <w:r w:rsidR="00CE4014" w:rsidRPr="004412A6">
        <w:rPr>
          <w:color w:val="auto"/>
        </w:rPr>
        <w:t xml:space="preserve">gently </w:t>
      </w:r>
      <w:r w:rsidR="003D470A" w:rsidRPr="004412A6">
        <w:rPr>
          <w:color w:val="auto"/>
        </w:rPr>
        <w:t>pool the three replicates for</w:t>
      </w:r>
      <w:r w:rsidR="009055D7" w:rsidRPr="004412A6">
        <w:rPr>
          <w:color w:val="auto"/>
        </w:rPr>
        <w:t xml:space="preserve"> a given concentration in one vial and measure </w:t>
      </w:r>
      <w:r w:rsidR="00731745">
        <w:rPr>
          <w:color w:val="auto"/>
        </w:rPr>
        <w:t xml:space="preserve">the </w:t>
      </w:r>
      <w:r w:rsidR="009055D7" w:rsidRPr="004412A6">
        <w:rPr>
          <w:color w:val="auto"/>
        </w:rPr>
        <w:t xml:space="preserve">pH. Repeat </w:t>
      </w:r>
      <w:r w:rsidR="003D470A" w:rsidRPr="004412A6">
        <w:rPr>
          <w:color w:val="auto"/>
        </w:rPr>
        <w:t>for all concentration</w:t>
      </w:r>
      <w:r w:rsidR="00731745">
        <w:rPr>
          <w:color w:val="auto"/>
        </w:rPr>
        <w:t>s</w:t>
      </w:r>
      <w:r w:rsidR="003D470A" w:rsidRPr="004412A6">
        <w:rPr>
          <w:color w:val="auto"/>
        </w:rPr>
        <w:t xml:space="preserve"> and the control. The pH should not deviate more th</w:t>
      </w:r>
      <w:r w:rsidR="009055D7" w:rsidRPr="004412A6">
        <w:rPr>
          <w:color w:val="auto"/>
        </w:rPr>
        <w:t>a</w:t>
      </w:r>
      <w:r w:rsidR="003D470A" w:rsidRPr="004412A6">
        <w:rPr>
          <w:color w:val="auto"/>
        </w:rPr>
        <w:t>n 1.5 unit</w:t>
      </w:r>
      <w:r w:rsidR="00343FDB" w:rsidRPr="004412A6">
        <w:rPr>
          <w:color w:val="auto"/>
        </w:rPr>
        <w:t>s</w:t>
      </w:r>
      <w:r w:rsidR="003D470A" w:rsidRPr="004412A6">
        <w:rPr>
          <w:color w:val="auto"/>
        </w:rPr>
        <w:t xml:space="preserve"> from the initial pH</w:t>
      </w:r>
      <w:r w:rsidR="009055D7" w:rsidRPr="004412A6">
        <w:rPr>
          <w:color w:val="auto"/>
        </w:rPr>
        <w:t xml:space="preserve"> for any of the samples measured</w:t>
      </w:r>
      <w:r w:rsidR="003D470A" w:rsidRPr="004412A6">
        <w:rPr>
          <w:color w:val="auto"/>
        </w:rPr>
        <w:t>.</w:t>
      </w:r>
    </w:p>
    <w:p w14:paraId="2386F39A" w14:textId="6825B917" w:rsidR="003D470A" w:rsidRPr="004412A6" w:rsidRDefault="003D470A" w:rsidP="006B70F9">
      <w:pPr>
        <w:contextualSpacing/>
        <w:rPr>
          <w:color w:val="auto"/>
        </w:rPr>
      </w:pPr>
    </w:p>
    <w:p w14:paraId="4EE52A33" w14:textId="3B456B2C" w:rsidR="003512CE" w:rsidRPr="004412A6" w:rsidRDefault="003D470A" w:rsidP="006B70F9">
      <w:pPr>
        <w:pStyle w:val="ListParagraph"/>
        <w:numPr>
          <w:ilvl w:val="1"/>
          <w:numId w:val="22"/>
        </w:numPr>
        <w:ind w:left="0" w:firstLine="0"/>
        <w:rPr>
          <w:color w:val="auto"/>
        </w:rPr>
      </w:pPr>
      <w:r w:rsidRPr="004412A6">
        <w:rPr>
          <w:color w:val="auto"/>
        </w:rPr>
        <w:t xml:space="preserve">Discharge </w:t>
      </w:r>
      <w:r w:rsidR="00AE1791">
        <w:rPr>
          <w:color w:val="auto"/>
        </w:rPr>
        <w:t xml:space="preserve">the </w:t>
      </w:r>
      <w:r w:rsidRPr="004412A6">
        <w:rPr>
          <w:color w:val="auto"/>
        </w:rPr>
        <w:t>remaining liquids into a waste container following your institution</w:t>
      </w:r>
      <w:r w:rsidR="00BA3DFE" w:rsidRPr="004412A6">
        <w:rPr>
          <w:color w:val="auto"/>
        </w:rPr>
        <w:t>al</w:t>
      </w:r>
      <w:r w:rsidRPr="004412A6">
        <w:rPr>
          <w:color w:val="auto"/>
        </w:rPr>
        <w:t xml:space="preserve"> rules and regulation</w:t>
      </w:r>
      <w:r w:rsidR="00BA3DFE" w:rsidRPr="004412A6">
        <w:rPr>
          <w:color w:val="auto"/>
        </w:rPr>
        <w:t>s</w:t>
      </w:r>
      <w:r w:rsidRPr="004412A6">
        <w:rPr>
          <w:color w:val="auto"/>
        </w:rPr>
        <w:t>.</w:t>
      </w:r>
    </w:p>
    <w:p w14:paraId="39A519DC" w14:textId="0B5C5899" w:rsidR="003D470A" w:rsidRPr="004412A6" w:rsidRDefault="003D470A" w:rsidP="006B70F9">
      <w:pPr>
        <w:contextualSpacing/>
        <w:rPr>
          <w:color w:val="auto"/>
        </w:rPr>
      </w:pPr>
    </w:p>
    <w:p w14:paraId="1AA496A9" w14:textId="18D22ECD" w:rsidR="0063200C" w:rsidRPr="00731745" w:rsidRDefault="0063200C" w:rsidP="006B70F9">
      <w:pPr>
        <w:pStyle w:val="ListParagraph"/>
        <w:numPr>
          <w:ilvl w:val="0"/>
          <w:numId w:val="22"/>
        </w:numPr>
        <w:ind w:left="0" w:firstLine="0"/>
        <w:rPr>
          <w:b/>
          <w:color w:val="auto"/>
        </w:rPr>
      </w:pPr>
      <w:r w:rsidRPr="00731745">
        <w:rPr>
          <w:b/>
          <w:color w:val="auto"/>
        </w:rPr>
        <w:t>Analyzing alga</w:t>
      </w:r>
      <w:r w:rsidR="003512CE" w:rsidRPr="00731745">
        <w:rPr>
          <w:b/>
          <w:color w:val="auto"/>
        </w:rPr>
        <w:t>l</w:t>
      </w:r>
      <w:r w:rsidRPr="00731745">
        <w:rPr>
          <w:b/>
          <w:color w:val="auto"/>
        </w:rPr>
        <w:t xml:space="preserve"> test samples</w:t>
      </w:r>
    </w:p>
    <w:p w14:paraId="65EDB176" w14:textId="5216C7DC" w:rsidR="009055D7" w:rsidRPr="00731745" w:rsidRDefault="009055D7" w:rsidP="006B70F9">
      <w:pPr>
        <w:pStyle w:val="ListParagraph"/>
        <w:ind w:left="0"/>
        <w:rPr>
          <w:b/>
          <w:color w:val="auto"/>
        </w:rPr>
      </w:pPr>
    </w:p>
    <w:p w14:paraId="473BA9D9" w14:textId="6CA8142C" w:rsidR="00731745" w:rsidRPr="00731745" w:rsidRDefault="00B7373C" w:rsidP="006B70F9">
      <w:pPr>
        <w:pStyle w:val="ListParagraph"/>
        <w:widowControl/>
        <w:numPr>
          <w:ilvl w:val="1"/>
          <w:numId w:val="22"/>
        </w:numPr>
        <w:autoSpaceDE/>
        <w:autoSpaceDN/>
        <w:adjustRightInd/>
        <w:ind w:left="0" w:firstLine="0"/>
        <w:rPr>
          <w:color w:val="auto"/>
        </w:rPr>
      </w:pPr>
      <w:r w:rsidRPr="00731745">
        <w:rPr>
          <w:color w:val="auto"/>
        </w:rPr>
        <w:t xml:space="preserve">Use a </w:t>
      </w:r>
      <w:r w:rsidR="008A46F6" w:rsidRPr="00731745">
        <w:rPr>
          <w:color w:val="auto"/>
        </w:rPr>
        <w:t>fluorescence spectrophotometer</w:t>
      </w:r>
      <w:r w:rsidR="00CE4014" w:rsidRPr="00731745">
        <w:rPr>
          <w:color w:val="auto"/>
        </w:rPr>
        <w:t xml:space="preserve"> to measure the algal biomass</w:t>
      </w:r>
      <w:r w:rsidR="00B87754" w:rsidRPr="00731745">
        <w:rPr>
          <w:color w:val="auto"/>
        </w:rPr>
        <w:t xml:space="preserve"> (here expressed as </w:t>
      </w:r>
      <w:r w:rsidR="00D21FAF" w:rsidRPr="00731745">
        <w:rPr>
          <w:color w:val="auto"/>
        </w:rPr>
        <w:t>c</w:t>
      </w:r>
      <w:r w:rsidR="00B87754" w:rsidRPr="00731745">
        <w:rPr>
          <w:color w:val="auto"/>
        </w:rPr>
        <w:t>hlorophyll A)</w:t>
      </w:r>
      <w:r w:rsidR="00CE4014" w:rsidRPr="00731745">
        <w:rPr>
          <w:color w:val="auto"/>
        </w:rPr>
        <w:t>.</w:t>
      </w:r>
      <w:r w:rsidR="00B87754" w:rsidRPr="00731745">
        <w:rPr>
          <w:color w:val="auto"/>
        </w:rPr>
        <w:t xml:space="preserve"> </w:t>
      </w:r>
      <w:r w:rsidR="00731745">
        <w:rPr>
          <w:color w:val="auto"/>
        </w:rPr>
        <w:t>The p</w:t>
      </w:r>
      <w:r w:rsidR="00B87754" w:rsidRPr="00731745">
        <w:rPr>
          <w:color w:val="auto"/>
        </w:rPr>
        <w:t xml:space="preserve">eak emission for </w:t>
      </w:r>
      <w:r w:rsidR="00D21FAF" w:rsidRPr="00731745">
        <w:rPr>
          <w:color w:val="auto"/>
        </w:rPr>
        <w:t>c</w:t>
      </w:r>
      <w:r w:rsidR="00B87754" w:rsidRPr="00731745">
        <w:rPr>
          <w:color w:val="auto"/>
        </w:rPr>
        <w:t>hlorophyll A is</w:t>
      </w:r>
      <w:r w:rsidR="00731745">
        <w:rPr>
          <w:color w:val="auto"/>
        </w:rPr>
        <w:t xml:space="preserve"> </w:t>
      </w:r>
      <w:r w:rsidR="00F84C32" w:rsidRPr="00731745">
        <w:rPr>
          <w:color w:val="auto"/>
        </w:rPr>
        <w:t>420</w:t>
      </w:r>
      <w:r w:rsidR="005C4B21" w:rsidRPr="00731745">
        <w:rPr>
          <w:color w:val="auto"/>
        </w:rPr>
        <w:t xml:space="preserve"> </w:t>
      </w:r>
      <w:r w:rsidR="00CE4014" w:rsidRPr="00731745">
        <w:rPr>
          <w:color w:val="auto"/>
        </w:rPr>
        <w:t>nm</w:t>
      </w:r>
      <w:r w:rsidR="00731745" w:rsidRPr="00731745">
        <w:rPr>
          <w:color w:val="auto"/>
        </w:rPr>
        <w:t xml:space="preserve"> </w:t>
      </w:r>
      <w:r w:rsidR="00731745">
        <w:rPr>
          <w:color w:val="auto"/>
        </w:rPr>
        <w:t xml:space="preserve">for the </w:t>
      </w:r>
      <w:r w:rsidR="00731745" w:rsidRPr="00731745">
        <w:rPr>
          <w:color w:val="auto"/>
        </w:rPr>
        <w:t>excitation wavelength</w:t>
      </w:r>
      <w:r w:rsidR="00731745">
        <w:rPr>
          <w:color w:val="auto"/>
        </w:rPr>
        <w:t xml:space="preserve"> and </w:t>
      </w:r>
      <w:r w:rsidR="00DA5D67" w:rsidRPr="00731745">
        <w:rPr>
          <w:color w:val="auto"/>
        </w:rPr>
        <w:t>671 nm</w:t>
      </w:r>
      <w:r w:rsidR="00731745" w:rsidRPr="00731745">
        <w:rPr>
          <w:color w:val="auto"/>
        </w:rPr>
        <w:t xml:space="preserve"> </w:t>
      </w:r>
      <w:r w:rsidR="00731745">
        <w:rPr>
          <w:color w:val="auto"/>
        </w:rPr>
        <w:t>for the</w:t>
      </w:r>
      <w:r w:rsidR="00731745" w:rsidRPr="00731745">
        <w:rPr>
          <w:color w:val="auto"/>
        </w:rPr>
        <w:t xml:space="preserve"> emission wavelength</w:t>
      </w:r>
      <w:r w:rsidR="00F84C32" w:rsidRPr="00731745">
        <w:rPr>
          <w:color w:val="auto"/>
        </w:rPr>
        <w:t>.</w:t>
      </w:r>
    </w:p>
    <w:p w14:paraId="605C4BE6" w14:textId="62C9EE4D" w:rsidR="00F84C32" w:rsidRPr="004412A6" w:rsidRDefault="00F84C32" w:rsidP="006B70F9">
      <w:pPr>
        <w:contextualSpacing/>
        <w:rPr>
          <w:color w:val="auto"/>
        </w:rPr>
      </w:pPr>
    </w:p>
    <w:p w14:paraId="77C7EF76" w14:textId="63A13093" w:rsidR="00F84C32" w:rsidRPr="004412A6" w:rsidRDefault="00F84C32" w:rsidP="006B70F9">
      <w:pPr>
        <w:pStyle w:val="ListParagraph"/>
        <w:widowControl/>
        <w:numPr>
          <w:ilvl w:val="1"/>
          <w:numId w:val="22"/>
        </w:numPr>
        <w:autoSpaceDE/>
        <w:autoSpaceDN/>
        <w:adjustRightInd/>
        <w:ind w:left="0" w:firstLine="0"/>
        <w:rPr>
          <w:color w:val="auto"/>
        </w:rPr>
      </w:pPr>
      <w:r w:rsidRPr="004412A6">
        <w:rPr>
          <w:color w:val="auto"/>
        </w:rPr>
        <w:t xml:space="preserve">Measure the </w:t>
      </w:r>
      <w:r w:rsidR="00B7373C" w:rsidRPr="004412A6">
        <w:rPr>
          <w:color w:val="auto"/>
        </w:rPr>
        <w:t>fluorescence</w:t>
      </w:r>
      <w:r w:rsidRPr="004412A6">
        <w:rPr>
          <w:color w:val="auto"/>
        </w:rPr>
        <w:t xml:space="preserve"> of each individual sample three times and </w:t>
      </w:r>
      <w:r w:rsidR="00881F1E" w:rsidRPr="004412A6">
        <w:rPr>
          <w:color w:val="auto"/>
        </w:rPr>
        <w:t xml:space="preserve">calculate </w:t>
      </w:r>
      <w:r w:rsidRPr="004412A6">
        <w:rPr>
          <w:color w:val="auto"/>
        </w:rPr>
        <w:t>the</w:t>
      </w:r>
      <w:r w:rsidR="005C4B21" w:rsidRPr="004412A6">
        <w:rPr>
          <w:color w:val="auto"/>
        </w:rPr>
        <w:t xml:space="preserve"> average</w:t>
      </w:r>
      <w:r w:rsidRPr="004412A6">
        <w:rPr>
          <w:color w:val="auto"/>
        </w:rPr>
        <w:t xml:space="preserve"> value</w:t>
      </w:r>
      <w:r w:rsidR="005C4B21" w:rsidRPr="004412A6">
        <w:rPr>
          <w:color w:val="auto"/>
        </w:rPr>
        <w:t xml:space="preserve"> </w:t>
      </w:r>
      <w:r w:rsidR="00881F1E" w:rsidRPr="004412A6">
        <w:rPr>
          <w:color w:val="auto"/>
        </w:rPr>
        <w:t>for</w:t>
      </w:r>
      <w:r w:rsidR="005C4B21" w:rsidRPr="004412A6">
        <w:rPr>
          <w:color w:val="auto"/>
        </w:rPr>
        <w:t xml:space="preserve"> each sample</w:t>
      </w:r>
      <w:r w:rsidRPr="004412A6">
        <w:rPr>
          <w:color w:val="auto"/>
        </w:rPr>
        <w:t>.</w:t>
      </w:r>
    </w:p>
    <w:p w14:paraId="5C80FBD6" w14:textId="42E8F225" w:rsidR="00F84C32" w:rsidRPr="004412A6" w:rsidRDefault="00F84C32" w:rsidP="006B70F9">
      <w:pPr>
        <w:contextualSpacing/>
        <w:rPr>
          <w:color w:val="auto"/>
        </w:rPr>
      </w:pPr>
    </w:p>
    <w:p w14:paraId="20F62842" w14:textId="1CA34233" w:rsidR="00F84C32" w:rsidRPr="00731745" w:rsidRDefault="00F84C32" w:rsidP="006B70F9">
      <w:pPr>
        <w:pStyle w:val="ListParagraph"/>
        <w:widowControl/>
        <w:numPr>
          <w:ilvl w:val="1"/>
          <w:numId w:val="22"/>
        </w:numPr>
        <w:autoSpaceDE/>
        <w:autoSpaceDN/>
        <w:adjustRightInd/>
        <w:ind w:left="0" w:firstLine="0"/>
        <w:rPr>
          <w:color w:val="auto"/>
        </w:rPr>
      </w:pPr>
      <w:r w:rsidRPr="004412A6">
        <w:rPr>
          <w:color w:val="auto"/>
        </w:rPr>
        <w:t>Use equation 1 to calculate the growth rate. The measured fluorescence (relative units) can be used directly as</w:t>
      </w:r>
      <w:r w:rsidR="008A1E04">
        <w:rPr>
          <w:color w:val="auto"/>
        </w:rPr>
        <w:t xml:space="preserve"> the</w:t>
      </w:r>
      <w:r w:rsidRPr="004412A6">
        <w:rPr>
          <w:color w:val="auto"/>
        </w:rPr>
        <w:t xml:space="preserve"> biomass parameter in equation 1</w:t>
      </w:r>
      <w:r w:rsidR="005C4B21" w:rsidRPr="004412A6">
        <w:rPr>
          <w:color w:val="auto"/>
        </w:rPr>
        <w:t>.</w:t>
      </w:r>
    </w:p>
    <w:p w14:paraId="670374F9" w14:textId="39D156A3" w:rsidR="00F84C32" w:rsidRPr="004412A6" w:rsidRDefault="00F84C32" w:rsidP="006B70F9">
      <w:pPr>
        <w:contextualSpacing/>
        <w:rPr>
          <w:color w:val="auto"/>
        </w:rPr>
      </w:pPr>
      <w:r w:rsidRPr="004412A6">
        <w:rPr>
          <w:color w:val="auto"/>
        </w:rPr>
        <w:t xml:space="preserve">Equation 1: </w:t>
      </w:r>
      <w:r w:rsidR="00BA3DFE" w:rsidRPr="004412A6">
        <w:rPr>
          <w:color w:val="auto"/>
        </w:rPr>
        <w:tab/>
      </w:r>
      <w:r w:rsidRPr="004412A6">
        <w:rPr>
          <w:color w:val="auto"/>
        </w:rPr>
        <w:t>µ = (ln N</w:t>
      </w:r>
      <w:r w:rsidR="00DB1ACB" w:rsidRPr="004412A6">
        <w:rPr>
          <w:color w:val="auto"/>
          <w:vertAlign w:val="subscript"/>
        </w:rPr>
        <w:t>t</w:t>
      </w:r>
      <w:r w:rsidRPr="004412A6">
        <w:rPr>
          <w:color w:val="auto"/>
        </w:rPr>
        <w:t xml:space="preserve"> – ln N</w:t>
      </w:r>
      <w:r w:rsidRPr="004412A6">
        <w:rPr>
          <w:color w:val="auto"/>
          <w:vertAlign w:val="subscript"/>
        </w:rPr>
        <w:t>0</w:t>
      </w:r>
      <w:r w:rsidRPr="004412A6">
        <w:rPr>
          <w:color w:val="auto"/>
        </w:rPr>
        <w:t>) / t</w:t>
      </w:r>
    </w:p>
    <w:p w14:paraId="08D37C5D" w14:textId="1B37E4AF" w:rsidR="000645B1" w:rsidRPr="004412A6" w:rsidRDefault="00731745" w:rsidP="006B70F9">
      <w:pPr>
        <w:contextualSpacing/>
        <w:rPr>
          <w:color w:val="auto"/>
        </w:rPr>
      </w:pPr>
      <w:r>
        <w:rPr>
          <w:color w:val="auto"/>
        </w:rPr>
        <w:t>w</w:t>
      </w:r>
      <w:r w:rsidR="00F84C32" w:rsidRPr="004412A6">
        <w:rPr>
          <w:color w:val="auto"/>
        </w:rPr>
        <w:t>here µ is the growth rate (d</w:t>
      </w:r>
      <w:r w:rsidR="00F84C32" w:rsidRPr="004412A6">
        <w:rPr>
          <w:color w:val="auto"/>
          <w:vertAlign w:val="superscript"/>
        </w:rPr>
        <w:t>-1</w:t>
      </w:r>
      <w:r w:rsidR="00F84C32" w:rsidRPr="004412A6">
        <w:rPr>
          <w:color w:val="auto"/>
        </w:rPr>
        <w:t>), N</w:t>
      </w:r>
      <w:r w:rsidR="00F84C32" w:rsidRPr="004412A6">
        <w:rPr>
          <w:color w:val="auto"/>
          <w:vertAlign w:val="subscript"/>
        </w:rPr>
        <w:t>0</w:t>
      </w:r>
      <w:r w:rsidR="00F84C32" w:rsidRPr="004412A6">
        <w:rPr>
          <w:color w:val="auto"/>
        </w:rPr>
        <w:t xml:space="preserve"> is the initial biomass, N</w:t>
      </w:r>
      <w:r w:rsidR="00DB1ACB" w:rsidRPr="004412A6">
        <w:rPr>
          <w:color w:val="auto"/>
          <w:vertAlign w:val="subscript"/>
        </w:rPr>
        <w:t>t</w:t>
      </w:r>
      <w:r w:rsidR="00F84C32" w:rsidRPr="004412A6">
        <w:rPr>
          <w:color w:val="auto"/>
        </w:rPr>
        <w:t xml:space="preserve"> is the biomass </w:t>
      </w:r>
      <w:r w:rsidR="00DB1ACB" w:rsidRPr="004412A6">
        <w:rPr>
          <w:color w:val="auto"/>
        </w:rPr>
        <w:t>at time t</w:t>
      </w:r>
      <w:r w:rsidR="008A1E04">
        <w:rPr>
          <w:color w:val="auto"/>
        </w:rPr>
        <w:t>,</w:t>
      </w:r>
      <w:r w:rsidR="00F84C32" w:rsidRPr="004412A6">
        <w:rPr>
          <w:color w:val="auto"/>
        </w:rPr>
        <w:t xml:space="preserve"> and t is the length of the test period (d).</w:t>
      </w:r>
      <w:r w:rsidR="00D21FAF" w:rsidRPr="004412A6">
        <w:rPr>
          <w:color w:val="auto"/>
        </w:rPr>
        <w:t xml:space="preserve"> </w:t>
      </w:r>
      <w:r w:rsidR="00D21FAF" w:rsidRPr="00731745">
        <w:rPr>
          <w:bCs/>
          <w:color w:val="auto"/>
        </w:rPr>
        <w:t>Note</w:t>
      </w:r>
      <w:r w:rsidR="008A1E04">
        <w:rPr>
          <w:bCs/>
          <w:color w:val="auto"/>
        </w:rPr>
        <w:t>,</w:t>
      </w:r>
      <w:r w:rsidR="00D21FAF" w:rsidRPr="004412A6">
        <w:rPr>
          <w:color w:val="auto"/>
        </w:rPr>
        <w:t xml:space="preserve"> N</w:t>
      </w:r>
      <w:r w:rsidR="00D21FAF" w:rsidRPr="004412A6">
        <w:rPr>
          <w:color w:val="auto"/>
          <w:vertAlign w:val="subscript"/>
        </w:rPr>
        <w:t>0</w:t>
      </w:r>
      <w:r w:rsidR="00D21FAF" w:rsidRPr="004412A6">
        <w:rPr>
          <w:color w:val="auto"/>
        </w:rPr>
        <w:t xml:space="preserve"> and N</w:t>
      </w:r>
      <w:r w:rsidR="00D21FAF" w:rsidRPr="004412A6">
        <w:rPr>
          <w:color w:val="auto"/>
          <w:vertAlign w:val="subscript"/>
        </w:rPr>
        <w:t>t</w:t>
      </w:r>
      <w:r w:rsidR="00D21FAF" w:rsidRPr="004412A6">
        <w:rPr>
          <w:color w:val="auto"/>
        </w:rPr>
        <w:t xml:space="preserve"> should be expressed in the same unit.</w:t>
      </w:r>
    </w:p>
    <w:p w14:paraId="40F90AF5" w14:textId="77777777" w:rsidR="000645B1" w:rsidRPr="004412A6" w:rsidRDefault="000645B1" w:rsidP="006B70F9">
      <w:pPr>
        <w:contextualSpacing/>
        <w:rPr>
          <w:color w:val="auto"/>
        </w:rPr>
      </w:pPr>
    </w:p>
    <w:p w14:paraId="6C624F5B" w14:textId="7FE426E1" w:rsidR="004A0EC9" w:rsidRPr="004412A6" w:rsidRDefault="0049629C" w:rsidP="006B70F9">
      <w:pPr>
        <w:pStyle w:val="ListParagraph"/>
        <w:widowControl/>
        <w:numPr>
          <w:ilvl w:val="1"/>
          <w:numId w:val="22"/>
        </w:numPr>
        <w:autoSpaceDE/>
        <w:autoSpaceDN/>
        <w:adjustRightInd/>
        <w:ind w:left="0" w:firstLine="0"/>
        <w:rPr>
          <w:rFonts w:asciiTheme="minorHAnsi" w:hAnsiTheme="minorHAnsi"/>
          <w:color w:val="auto"/>
        </w:rPr>
      </w:pPr>
      <w:r w:rsidRPr="004412A6">
        <w:rPr>
          <w:rFonts w:asciiTheme="minorHAnsi" w:hAnsiTheme="minorHAnsi"/>
          <w:color w:val="auto"/>
        </w:rPr>
        <w:t xml:space="preserve">Use a statistical software to fit a </w:t>
      </w:r>
      <w:r w:rsidR="007C17F0" w:rsidRPr="004412A6">
        <w:rPr>
          <w:rFonts w:asciiTheme="minorHAnsi" w:hAnsiTheme="minorHAnsi"/>
          <w:color w:val="auto"/>
        </w:rPr>
        <w:t>non-linear regression curve (</w:t>
      </w:r>
      <w:r w:rsidR="00C540DF" w:rsidRPr="004412A6">
        <w:rPr>
          <w:rFonts w:asciiTheme="minorHAnsi" w:hAnsiTheme="minorHAnsi"/>
          <w:color w:val="auto"/>
        </w:rPr>
        <w:t xml:space="preserve">e.g., </w:t>
      </w:r>
      <w:r w:rsidR="007C17F0" w:rsidRPr="004412A6">
        <w:rPr>
          <w:rFonts w:asciiTheme="minorHAnsi" w:hAnsiTheme="minorHAnsi"/>
          <w:color w:val="auto"/>
        </w:rPr>
        <w:t xml:space="preserve">a </w:t>
      </w:r>
      <w:r w:rsidRPr="004412A6">
        <w:rPr>
          <w:rFonts w:asciiTheme="minorHAnsi" w:hAnsiTheme="minorHAnsi"/>
          <w:color w:val="auto"/>
        </w:rPr>
        <w:t xml:space="preserve">log-logistic </w:t>
      </w:r>
      <w:r w:rsidR="007C17F0" w:rsidRPr="004412A6">
        <w:rPr>
          <w:rFonts w:asciiTheme="minorHAnsi" w:hAnsiTheme="minorHAnsi"/>
          <w:color w:val="auto"/>
        </w:rPr>
        <w:t xml:space="preserve">or Weibull </w:t>
      </w:r>
      <w:r w:rsidRPr="004412A6">
        <w:rPr>
          <w:rFonts w:asciiTheme="minorHAnsi" w:hAnsiTheme="minorHAnsi"/>
          <w:color w:val="auto"/>
        </w:rPr>
        <w:t>function</w:t>
      </w:r>
      <w:r w:rsidR="007C17F0" w:rsidRPr="004412A6">
        <w:rPr>
          <w:rFonts w:asciiTheme="minorHAnsi" w:hAnsiTheme="minorHAnsi"/>
          <w:color w:val="auto"/>
        </w:rPr>
        <w:t>)</w:t>
      </w:r>
      <w:r w:rsidRPr="004412A6">
        <w:rPr>
          <w:rFonts w:asciiTheme="minorHAnsi" w:hAnsiTheme="minorHAnsi"/>
          <w:color w:val="auto"/>
        </w:rPr>
        <w:t xml:space="preserve"> to the growth rate data to obtain effective concentration values at 10</w:t>
      </w:r>
      <w:r w:rsidR="00A74017">
        <w:rPr>
          <w:rFonts w:asciiTheme="minorHAnsi" w:hAnsiTheme="minorHAnsi"/>
          <w:color w:val="auto"/>
        </w:rPr>
        <w:t>%</w:t>
      </w:r>
      <w:r w:rsidRPr="004412A6">
        <w:rPr>
          <w:rFonts w:asciiTheme="minorHAnsi" w:hAnsiTheme="minorHAnsi"/>
          <w:color w:val="auto"/>
        </w:rPr>
        <w:t>, 20</w:t>
      </w:r>
      <w:r w:rsidR="00A74017">
        <w:rPr>
          <w:rFonts w:asciiTheme="minorHAnsi" w:hAnsiTheme="minorHAnsi"/>
          <w:color w:val="auto"/>
        </w:rPr>
        <w:t>%,</w:t>
      </w:r>
      <w:r w:rsidRPr="004412A6">
        <w:rPr>
          <w:rFonts w:asciiTheme="minorHAnsi" w:hAnsiTheme="minorHAnsi"/>
          <w:color w:val="auto"/>
        </w:rPr>
        <w:t xml:space="preserve"> and 50% inhibition. </w:t>
      </w:r>
      <w:r w:rsidR="00D21FAF" w:rsidRPr="004412A6">
        <w:rPr>
          <w:rFonts w:asciiTheme="minorHAnsi" w:hAnsiTheme="minorHAnsi"/>
          <w:color w:val="auto"/>
        </w:rPr>
        <w:t>In the supplementary information</w:t>
      </w:r>
      <w:r w:rsidRPr="004412A6">
        <w:rPr>
          <w:rFonts w:asciiTheme="minorHAnsi" w:hAnsiTheme="minorHAnsi"/>
          <w:color w:val="auto"/>
        </w:rPr>
        <w:t xml:space="preserve"> a</w:t>
      </w:r>
      <w:r w:rsidR="004A0EC9" w:rsidRPr="004412A6">
        <w:rPr>
          <w:rFonts w:asciiTheme="minorHAnsi" w:hAnsiTheme="minorHAnsi"/>
          <w:color w:val="auto"/>
        </w:rPr>
        <w:t>n example of code for fitting in the statistical software R</w:t>
      </w:r>
      <w:r w:rsidR="007C17F0" w:rsidRPr="004412A6">
        <w:rPr>
          <w:rFonts w:asciiTheme="minorHAnsi" w:hAnsiTheme="minorHAnsi"/>
          <w:color w:val="auto"/>
        </w:rPr>
        <w:t xml:space="preserve"> using the DRC package</w:t>
      </w:r>
      <w:r w:rsidR="000A094F" w:rsidRPr="004412A6">
        <w:rPr>
          <w:rFonts w:asciiTheme="minorHAnsi" w:hAnsiTheme="minorHAnsi"/>
          <w:color w:val="auto"/>
        </w:rPr>
        <w:fldChar w:fldCharType="begin" w:fldLock="1"/>
      </w:r>
      <w:r w:rsidR="00AC0D9E" w:rsidRPr="004412A6">
        <w:rPr>
          <w:rFonts w:asciiTheme="minorHAnsi" w:hAnsiTheme="minorHAnsi"/>
          <w:color w:val="auto"/>
        </w:rPr>
        <w:instrText>ADDIN CSL_CITATION {"citationItems":[{"id":"ITEM-1","itemData":{"DOI":"10.1371/journal.pone.0146021","ISSN":"1932-6203","abstract":"Dose-response analysis can be carried out using multi-purpose commercial statistical software, but except for a few special cases the analysis easily becomes cumbersome as relevant, non-standard output requires manual programming. The extension package drc for the statistical environment R provides a flexible and versatile infrastructure for dose-response analyses in general. The present version of the package, reflecting extensions and modifications over the last decade, provides a user-friendly interface to specify the model assumptions about the dose-response relationship and comes with a number of extractors for summarizing fitted models and carrying out inference on derived parameters. The aim of the present paper is to provide an overview of state-of-the-art dose-response analysis, both in terms of general concepts that have evolved and matured over the years and by means of concrete examples.","author":[{"dropping-particle":"","family":"Ritz","given":"Christian","non-dropping-particle":"","parse-names":false,"suffix":""},{"dropping-particle":"","family":"Baty","given":"Florent","non-dropping-particle":"","parse-names":false,"suffix":""},{"dropping-particle":"","family":"Streibig","given":"Jens C","non-dropping-particle":"","parse-names":false,"suffix":""},{"dropping-particle":"","family":"Gerhard","given":"Daniel","non-dropping-particle":"","parse-names":false,"suffix":""}],"container-title":"PloS one","id":"ITEM-1","issue":"12","issued":{"date-parts":[["2015","12","30"]]},"language":"eng","page":"e0146021-e0146021","publisher":"Public Library of Science","title":"Dose-Response Analysis Using R","type":"article-journal","volume":"10"},"uris":["http://www.mendeley.com/documents/?uuid=1bd1db23-0401-4242-8498-438316c24feb"]}],"mendeley":{"formattedCitation":"&lt;sup&gt;11&lt;/sup&gt;","plainTextFormattedCitation":"11","previouslyFormattedCitation":"&lt;sup&gt;11&lt;/sup&gt;"},"properties":{"noteIndex":0},"schema":"https://github.com/citation-style-language/schema/raw/master/csl-citation.json"}</w:instrText>
      </w:r>
      <w:r w:rsidR="000A094F" w:rsidRPr="004412A6">
        <w:rPr>
          <w:rFonts w:asciiTheme="minorHAnsi" w:hAnsiTheme="minorHAnsi"/>
          <w:color w:val="auto"/>
        </w:rPr>
        <w:fldChar w:fldCharType="separate"/>
      </w:r>
      <w:r w:rsidR="00AC0D9E" w:rsidRPr="004412A6">
        <w:rPr>
          <w:rFonts w:asciiTheme="minorHAnsi" w:hAnsiTheme="minorHAnsi"/>
          <w:noProof/>
          <w:color w:val="auto"/>
          <w:vertAlign w:val="superscript"/>
        </w:rPr>
        <w:t>11</w:t>
      </w:r>
      <w:r w:rsidR="000A094F" w:rsidRPr="004412A6">
        <w:rPr>
          <w:rFonts w:asciiTheme="minorHAnsi" w:hAnsiTheme="minorHAnsi"/>
          <w:color w:val="auto"/>
        </w:rPr>
        <w:fldChar w:fldCharType="end"/>
      </w:r>
      <w:r w:rsidR="00B73CCD" w:rsidRPr="004412A6">
        <w:rPr>
          <w:rFonts w:asciiTheme="minorHAnsi" w:hAnsiTheme="minorHAnsi"/>
          <w:color w:val="auto"/>
        </w:rPr>
        <w:t xml:space="preserve"> is given</w:t>
      </w:r>
      <w:r w:rsidR="004A0EC9" w:rsidRPr="004412A6">
        <w:rPr>
          <w:rFonts w:asciiTheme="minorHAnsi" w:hAnsiTheme="minorHAnsi"/>
          <w:color w:val="auto"/>
        </w:rPr>
        <w:t>.</w:t>
      </w:r>
    </w:p>
    <w:p w14:paraId="38FACDD3" w14:textId="70C9BC56" w:rsidR="0049629C" w:rsidRPr="004412A6" w:rsidRDefault="0049629C" w:rsidP="006B70F9">
      <w:pPr>
        <w:contextualSpacing/>
        <w:rPr>
          <w:rFonts w:ascii="Times New Roman" w:hAnsi="Times New Roman"/>
          <w:color w:val="auto"/>
        </w:rPr>
      </w:pPr>
    </w:p>
    <w:p w14:paraId="2DBB841E" w14:textId="2DB5318C" w:rsidR="0023500B" w:rsidRPr="00731745" w:rsidRDefault="0023500B" w:rsidP="006B70F9">
      <w:pPr>
        <w:contextualSpacing/>
        <w:rPr>
          <w:rFonts w:asciiTheme="minorHAnsi" w:hAnsiTheme="minorHAnsi" w:cstheme="minorHAnsi"/>
          <w:b/>
          <w:color w:val="auto"/>
        </w:rPr>
      </w:pPr>
      <w:r w:rsidRPr="004412A6">
        <w:rPr>
          <w:rFonts w:asciiTheme="minorHAnsi" w:hAnsiTheme="minorHAnsi" w:cstheme="minorHAnsi"/>
          <w:b/>
          <w:color w:val="auto"/>
        </w:rPr>
        <w:t>REPRESENTATIVE RESULTS</w:t>
      </w:r>
      <w:r w:rsidR="00B73CCD">
        <w:rPr>
          <w:rFonts w:asciiTheme="minorHAnsi" w:hAnsiTheme="minorHAnsi" w:cstheme="minorHAnsi"/>
          <w:b/>
          <w:color w:val="auto"/>
        </w:rPr>
        <w:t>:</w:t>
      </w:r>
    </w:p>
    <w:p w14:paraId="507E72B5" w14:textId="1E526293" w:rsidR="00FC04CD" w:rsidRDefault="00B7366D" w:rsidP="006B70F9">
      <w:pPr>
        <w:contextualSpacing/>
        <w:rPr>
          <w:color w:val="auto"/>
        </w:rPr>
      </w:pPr>
      <w:r w:rsidRPr="004412A6">
        <w:rPr>
          <w:color w:val="auto"/>
        </w:rPr>
        <w:t xml:space="preserve">An initial test with a reference substance is carried out to determine the sensitivity of the algal </w:t>
      </w:r>
      <w:r w:rsidRPr="004412A6">
        <w:rPr>
          <w:color w:val="auto"/>
        </w:rPr>
        <w:lastRenderedPageBreak/>
        <w:t xml:space="preserve">strain. Reference substances regularly used for </w:t>
      </w:r>
      <w:r w:rsidRPr="004412A6">
        <w:rPr>
          <w:i/>
          <w:color w:val="auto"/>
        </w:rPr>
        <w:t>R. subcapitata</w:t>
      </w:r>
      <w:r w:rsidRPr="004412A6">
        <w:rPr>
          <w:color w:val="auto"/>
        </w:rPr>
        <w:t xml:space="preserve"> are potassium dichromate and 3,5-</w:t>
      </w:r>
      <w:r w:rsidR="00CC59CA">
        <w:rPr>
          <w:color w:val="auto"/>
        </w:rPr>
        <w:t>D</w:t>
      </w:r>
      <w:r w:rsidRPr="004412A6">
        <w:rPr>
          <w:color w:val="auto"/>
        </w:rPr>
        <w:t>ichlorphenol</w:t>
      </w:r>
      <w:r w:rsidR="000A094F" w:rsidRPr="004412A6">
        <w:rPr>
          <w:color w:val="auto"/>
        </w:rPr>
        <w:fldChar w:fldCharType="begin" w:fldLock="1"/>
      </w:r>
      <w:r w:rsidR="00AC0D9E" w:rsidRPr="004412A6">
        <w:rPr>
          <w:color w:val="auto"/>
        </w:rPr>
        <w:instrText>ADDIN CSL_CITATION {"citationItems":[{"id":"ITEM-1","itemData":{"DOI":"https://doi.org/https://doi.org/10.1787/9789264069923-en","author":[{"dropping-particle":"","family":"OECD","given":"","non-dropping-particle":"","parse-names":false,"suffix":""}],"id":"ITEM-1","issued":{"date-parts":[["2011"]]},"number-of-pages":"25","title":"Test No. 201: Freshwater Alga and Cyanobacteria, Growth Inhibition Test","type":"book"},"uris":["http://www.mendeley.com/documents/?uuid=1a9f6113-e2a9-4d5e-b8d4-96c78fb2727c"]},{"id":"ITEM-2","itemData":{"author":[{"dropping-particle":"","family":"International Organization for Standardization (ISO)","given":"","non-dropping-particle":"","parse-names":false,"suffix":""}],"id":"ITEM-2","issued":{"date-parts":[["2012"]]},"publisher-place":"Geneve, Switzerland","title":"Water quality - Fresh water algal growth inhibition test with unicellular green algae","type":"article"},"uris":["http://www.mendeley.com/documents/?uuid=b785d56e-fb16-45e9-a81a-d0cf98395f01"]}],"mendeley":{"formattedCitation":"&lt;sup&gt;7, 8&lt;/sup&gt;","plainTextFormattedCitation":"7, 8","previouslyFormattedCitation":"&lt;sup&gt;7, 8&lt;/sup&gt;"},"properties":{"noteIndex":0},"schema":"https://github.com/citation-style-language/schema/raw/master/csl-citation.json"}</w:instrText>
      </w:r>
      <w:r w:rsidR="000A094F" w:rsidRPr="004412A6">
        <w:rPr>
          <w:color w:val="auto"/>
        </w:rPr>
        <w:fldChar w:fldCharType="separate"/>
      </w:r>
      <w:r w:rsidR="00AC0D9E" w:rsidRPr="004412A6">
        <w:rPr>
          <w:noProof/>
          <w:color w:val="auto"/>
          <w:vertAlign w:val="superscript"/>
        </w:rPr>
        <w:t>7,8</w:t>
      </w:r>
      <w:r w:rsidR="000A094F" w:rsidRPr="004412A6">
        <w:rPr>
          <w:color w:val="auto"/>
        </w:rPr>
        <w:fldChar w:fldCharType="end"/>
      </w:r>
      <w:r w:rsidRPr="004412A6">
        <w:rPr>
          <w:color w:val="auto"/>
        </w:rPr>
        <w:t>.</w:t>
      </w:r>
      <w:r w:rsidR="00C540DF" w:rsidRPr="004412A6">
        <w:rPr>
          <w:color w:val="auto"/>
        </w:rPr>
        <w:t xml:space="preserve"> </w:t>
      </w:r>
      <w:r w:rsidR="0023500B" w:rsidRPr="00731745">
        <w:rPr>
          <w:b/>
          <w:bCs/>
          <w:color w:val="auto"/>
        </w:rPr>
        <w:t>F</w:t>
      </w:r>
      <w:r w:rsidR="004A0EC9" w:rsidRPr="00731745">
        <w:rPr>
          <w:b/>
          <w:bCs/>
          <w:color w:val="auto"/>
        </w:rPr>
        <w:t xml:space="preserve">igure </w:t>
      </w:r>
      <w:r w:rsidR="0023500B" w:rsidRPr="00731745">
        <w:rPr>
          <w:b/>
          <w:bCs/>
          <w:color w:val="auto"/>
        </w:rPr>
        <w:t>3</w:t>
      </w:r>
      <w:r w:rsidR="0023500B" w:rsidRPr="004412A6">
        <w:rPr>
          <w:color w:val="auto"/>
        </w:rPr>
        <w:t xml:space="preserve"> </w:t>
      </w:r>
      <w:r w:rsidR="004A0EC9" w:rsidRPr="004412A6">
        <w:rPr>
          <w:color w:val="auto"/>
        </w:rPr>
        <w:t xml:space="preserve">and </w:t>
      </w:r>
      <w:r w:rsidR="00731745">
        <w:rPr>
          <w:b/>
          <w:bCs/>
          <w:color w:val="auto"/>
        </w:rPr>
        <w:t>T</w:t>
      </w:r>
      <w:r w:rsidR="004A0EC9" w:rsidRPr="00731745">
        <w:rPr>
          <w:b/>
          <w:bCs/>
          <w:color w:val="auto"/>
        </w:rPr>
        <w:t xml:space="preserve">able </w:t>
      </w:r>
      <w:r w:rsidR="0023500B" w:rsidRPr="00731745">
        <w:rPr>
          <w:b/>
          <w:bCs/>
          <w:color w:val="auto"/>
        </w:rPr>
        <w:t>2</w:t>
      </w:r>
      <w:r w:rsidR="0023500B" w:rsidRPr="004412A6">
        <w:rPr>
          <w:color w:val="auto"/>
        </w:rPr>
        <w:t xml:space="preserve"> </w:t>
      </w:r>
      <w:r w:rsidR="004440F1" w:rsidRPr="004412A6">
        <w:rPr>
          <w:color w:val="auto"/>
        </w:rPr>
        <w:t>show</w:t>
      </w:r>
      <w:r w:rsidR="004A0EC9" w:rsidRPr="004412A6">
        <w:rPr>
          <w:color w:val="auto"/>
        </w:rPr>
        <w:t xml:space="preserve"> </w:t>
      </w:r>
      <w:r w:rsidRPr="004412A6">
        <w:rPr>
          <w:color w:val="auto"/>
        </w:rPr>
        <w:t xml:space="preserve">a </w:t>
      </w:r>
      <w:r w:rsidR="004A0EC9" w:rsidRPr="004412A6">
        <w:rPr>
          <w:color w:val="auto"/>
        </w:rPr>
        <w:t xml:space="preserve">representative </w:t>
      </w:r>
      <w:r w:rsidRPr="004412A6">
        <w:rPr>
          <w:color w:val="auto"/>
        </w:rPr>
        <w:t xml:space="preserve">result </w:t>
      </w:r>
      <w:r w:rsidR="0023500B" w:rsidRPr="004412A6">
        <w:rPr>
          <w:color w:val="auto"/>
        </w:rPr>
        <w:t xml:space="preserve">of </w:t>
      </w:r>
      <w:r w:rsidRPr="004412A6">
        <w:rPr>
          <w:color w:val="auto"/>
        </w:rPr>
        <w:t xml:space="preserve">an algal test including curve fitting and </w:t>
      </w:r>
      <w:r w:rsidR="0023500B" w:rsidRPr="004412A6">
        <w:rPr>
          <w:color w:val="auto"/>
        </w:rPr>
        <w:t xml:space="preserve">statistical </w:t>
      </w:r>
      <w:r w:rsidRPr="004412A6">
        <w:rPr>
          <w:color w:val="auto"/>
        </w:rPr>
        <w:t>outputs when the DRC package in R is applied to the growth rates</w:t>
      </w:r>
      <w:r w:rsidR="0023500B" w:rsidRPr="004412A6">
        <w:rPr>
          <w:color w:val="auto"/>
        </w:rPr>
        <w:t>.</w:t>
      </w:r>
    </w:p>
    <w:p w14:paraId="09CADB43" w14:textId="77777777" w:rsidR="00731745" w:rsidRPr="004412A6" w:rsidRDefault="00731745" w:rsidP="006B70F9">
      <w:pPr>
        <w:contextualSpacing/>
        <w:rPr>
          <w:color w:val="auto"/>
        </w:rPr>
      </w:pPr>
    </w:p>
    <w:p w14:paraId="422C1A14" w14:textId="5E798183" w:rsidR="004A0EC9" w:rsidRPr="004412A6" w:rsidRDefault="0023500B" w:rsidP="006B70F9">
      <w:pPr>
        <w:contextualSpacing/>
        <w:rPr>
          <w:color w:val="auto"/>
        </w:rPr>
      </w:pPr>
      <w:r w:rsidRPr="004412A6">
        <w:rPr>
          <w:color w:val="auto"/>
        </w:rPr>
        <w:t>A successful test will have growth rates above 0.9 d</w:t>
      </w:r>
      <w:r w:rsidRPr="004412A6">
        <w:rPr>
          <w:color w:val="auto"/>
          <w:vertAlign w:val="superscript"/>
        </w:rPr>
        <w:t>-1</w:t>
      </w:r>
      <w:r w:rsidR="00744B28" w:rsidRPr="004412A6">
        <w:rPr>
          <w:color w:val="auto"/>
        </w:rPr>
        <w:t xml:space="preserve"> </w:t>
      </w:r>
      <w:r w:rsidR="00CC37B8" w:rsidRPr="004412A6">
        <w:rPr>
          <w:color w:val="auto"/>
        </w:rPr>
        <w:t>to comply with the OECD guideline and</w:t>
      </w:r>
      <w:r w:rsidR="002834E2" w:rsidRPr="004412A6">
        <w:rPr>
          <w:color w:val="auto"/>
        </w:rPr>
        <w:t xml:space="preserve"> 1.</w:t>
      </w:r>
      <w:r w:rsidR="00FC04CD" w:rsidRPr="004412A6">
        <w:rPr>
          <w:color w:val="auto"/>
        </w:rPr>
        <w:t>5</w:t>
      </w:r>
      <w:r w:rsidR="002834E2" w:rsidRPr="004412A6">
        <w:rPr>
          <w:color w:val="auto"/>
        </w:rPr>
        <w:t xml:space="preserve"> d</w:t>
      </w:r>
      <w:r w:rsidR="002834E2" w:rsidRPr="004412A6">
        <w:rPr>
          <w:color w:val="auto"/>
          <w:vertAlign w:val="superscript"/>
        </w:rPr>
        <w:t>-1</w:t>
      </w:r>
      <w:r w:rsidR="002834E2" w:rsidRPr="004412A6">
        <w:rPr>
          <w:color w:val="auto"/>
        </w:rPr>
        <w:t xml:space="preserve"> to comply with ISO 8692 guideline</w:t>
      </w:r>
      <w:r w:rsidR="004B74F8" w:rsidRPr="004412A6">
        <w:rPr>
          <w:color w:val="auto"/>
        </w:rPr>
        <w:t xml:space="preserve"> </w:t>
      </w:r>
      <w:r w:rsidR="00744B28" w:rsidRPr="004412A6">
        <w:rPr>
          <w:color w:val="auto"/>
        </w:rPr>
        <w:t>and should contain at least o</w:t>
      </w:r>
      <w:r w:rsidR="00FC04CD" w:rsidRPr="004412A6">
        <w:rPr>
          <w:color w:val="auto"/>
        </w:rPr>
        <w:t>ne concentration between 0</w:t>
      </w:r>
      <w:r w:rsidR="0065508A">
        <w:rPr>
          <w:color w:val="auto"/>
        </w:rPr>
        <w:t>%</w:t>
      </w:r>
      <w:r w:rsidR="00FC04CD" w:rsidRPr="004412A6">
        <w:rPr>
          <w:color w:val="auto"/>
        </w:rPr>
        <w:t xml:space="preserve"> and 100%</w:t>
      </w:r>
      <w:r w:rsidR="00744B28" w:rsidRPr="004412A6">
        <w:rPr>
          <w:color w:val="auto"/>
        </w:rPr>
        <w:t xml:space="preserve"> inhibition. </w:t>
      </w:r>
      <w:r w:rsidR="00FC04CD" w:rsidRPr="004412A6">
        <w:rPr>
          <w:color w:val="auto"/>
        </w:rPr>
        <w:t>L</w:t>
      </w:r>
      <w:r w:rsidR="00744B28" w:rsidRPr="004412A6">
        <w:rPr>
          <w:color w:val="auto"/>
        </w:rPr>
        <w:t>ow growth rate</w:t>
      </w:r>
      <w:r w:rsidR="00FC04CD" w:rsidRPr="004412A6">
        <w:rPr>
          <w:color w:val="auto"/>
        </w:rPr>
        <w:t>s</w:t>
      </w:r>
      <w:r w:rsidR="00744B28" w:rsidRPr="004412A6">
        <w:rPr>
          <w:color w:val="auto"/>
        </w:rPr>
        <w:t xml:space="preserve"> </w:t>
      </w:r>
      <w:r w:rsidR="007335C8" w:rsidRPr="004412A6">
        <w:rPr>
          <w:color w:val="auto"/>
        </w:rPr>
        <w:t xml:space="preserve">may occur as </w:t>
      </w:r>
      <w:r w:rsidR="004D020B">
        <w:rPr>
          <w:color w:val="auto"/>
        </w:rPr>
        <w:t xml:space="preserve">a </w:t>
      </w:r>
      <w:r w:rsidR="007335C8" w:rsidRPr="004412A6">
        <w:rPr>
          <w:color w:val="auto"/>
        </w:rPr>
        <w:t>result of various issues</w:t>
      </w:r>
      <w:r w:rsidR="00744B28" w:rsidRPr="004412A6">
        <w:rPr>
          <w:color w:val="auto"/>
        </w:rPr>
        <w:t xml:space="preserve"> such as bacterial contamination or inoculum not</w:t>
      </w:r>
      <w:r w:rsidR="007335C8" w:rsidRPr="004412A6">
        <w:rPr>
          <w:color w:val="auto"/>
        </w:rPr>
        <w:t xml:space="preserve"> being</w:t>
      </w:r>
      <w:r w:rsidR="00744B28" w:rsidRPr="004412A6">
        <w:rPr>
          <w:color w:val="auto"/>
        </w:rPr>
        <w:t xml:space="preserve"> in</w:t>
      </w:r>
      <w:r w:rsidR="007335C8" w:rsidRPr="004412A6">
        <w:rPr>
          <w:color w:val="auto"/>
        </w:rPr>
        <w:t xml:space="preserve"> the</w:t>
      </w:r>
      <w:r w:rsidR="00744B28" w:rsidRPr="004412A6">
        <w:rPr>
          <w:color w:val="auto"/>
        </w:rPr>
        <w:t xml:space="preserve"> exponential growth phase at </w:t>
      </w:r>
      <w:r w:rsidR="007335C8" w:rsidRPr="004412A6">
        <w:rPr>
          <w:color w:val="auto"/>
        </w:rPr>
        <w:t xml:space="preserve">the beginning </w:t>
      </w:r>
      <w:r w:rsidR="00744B28" w:rsidRPr="004412A6">
        <w:rPr>
          <w:color w:val="auto"/>
        </w:rPr>
        <w:t>of</w:t>
      </w:r>
      <w:r w:rsidR="007335C8" w:rsidRPr="004412A6">
        <w:rPr>
          <w:color w:val="auto"/>
        </w:rPr>
        <w:t xml:space="preserve"> the</w:t>
      </w:r>
      <w:r w:rsidR="00744B28" w:rsidRPr="004412A6">
        <w:rPr>
          <w:color w:val="auto"/>
        </w:rPr>
        <w:t xml:space="preserve"> test. </w:t>
      </w:r>
      <w:r w:rsidR="00FC04CD" w:rsidRPr="004412A6">
        <w:rPr>
          <w:color w:val="auto"/>
        </w:rPr>
        <w:t>Microscopic investigation of the replicates should only show</w:t>
      </w:r>
      <w:r w:rsidR="00744B28" w:rsidRPr="004412A6">
        <w:rPr>
          <w:color w:val="auto"/>
        </w:rPr>
        <w:t xml:space="preserve"> uniform sickle</w:t>
      </w:r>
      <w:r w:rsidR="0091497E">
        <w:rPr>
          <w:color w:val="auto"/>
        </w:rPr>
        <w:t>-</w:t>
      </w:r>
      <w:r w:rsidR="00744B28" w:rsidRPr="004412A6">
        <w:rPr>
          <w:color w:val="auto"/>
        </w:rPr>
        <w:t>shaped green algae</w:t>
      </w:r>
      <w:r w:rsidR="00FC04CD" w:rsidRPr="004412A6">
        <w:rPr>
          <w:color w:val="auto"/>
        </w:rPr>
        <w:t xml:space="preserve"> </w:t>
      </w:r>
      <w:r w:rsidR="00206DBD" w:rsidRPr="004412A6">
        <w:rPr>
          <w:color w:val="auto"/>
        </w:rPr>
        <w:t>(</w:t>
      </w:r>
      <w:r w:rsidR="00206DBD" w:rsidRPr="004412A6">
        <w:rPr>
          <w:i/>
          <w:color w:val="auto"/>
        </w:rPr>
        <w:t>R. subcapitata</w:t>
      </w:r>
      <w:r w:rsidR="00206DBD" w:rsidRPr="004412A6">
        <w:rPr>
          <w:color w:val="auto"/>
        </w:rPr>
        <w:t xml:space="preserve">) </w:t>
      </w:r>
      <w:r w:rsidR="00FC04CD" w:rsidRPr="004412A6">
        <w:rPr>
          <w:color w:val="auto"/>
        </w:rPr>
        <w:t>with dimensions of approximately 2 µm width and 8 µm</w:t>
      </w:r>
      <w:r w:rsidR="002834E2" w:rsidRPr="004412A6">
        <w:rPr>
          <w:color w:val="auto"/>
        </w:rPr>
        <w:t xml:space="preserve"> </w:t>
      </w:r>
      <w:r w:rsidR="00FC04CD" w:rsidRPr="004412A6">
        <w:rPr>
          <w:color w:val="auto"/>
        </w:rPr>
        <w:t>length</w:t>
      </w:r>
      <w:r w:rsidR="00744B28" w:rsidRPr="004412A6">
        <w:rPr>
          <w:color w:val="auto"/>
        </w:rPr>
        <w:t>. I</w:t>
      </w:r>
      <w:r w:rsidR="002834E2" w:rsidRPr="004412A6">
        <w:rPr>
          <w:color w:val="auto"/>
        </w:rPr>
        <w:t>f a single replicate is contaminated</w:t>
      </w:r>
      <w:r w:rsidR="00CE11A2">
        <w:rPr>
          <w:color w:val="auto"/>
        </w:rPr>
        <w:t>,</w:t>
      </w:r>
      <w:r w:rsidR="002834E2" w:rsidRPr="004412A6">
        <w:rPr>
          <w:color w:val="auto"/>
        </w:rPr>
        <w:t xml:space="preserve"> it can be omitted and </w:t>
      </w:r>
      <w:r w:rsidR="00EC75E2">
        <w:rPr>
          <w:color w:val="auto"/>
        </w:rPr>
        <w:t xml:space="preserve">the </w:t>
      </w:r>
      <w:r w:rsidR="002834E2" w:rsidRPr="004412A6">
        <w:rPr>
          <w:color w:val="auto"/>
        </w:rPr>
        <w:t xml:space="preserve">analysis can be carried out without this </w:t>
      </w:r>
      <w:r w:rsidR="007335C8" w:rsidRPr="004412A6">
        <w:rPr>
          <w:color w:val="auto"/>
        </w:rPr>
        <w:t>data</w:t>
      </w:r>
      <w:r w:rsidR="002834E2" w:rsidRPr="004412A6">
        <w:rPr>
          <w:color w:val="auto"/>
        </w:rPr>
        <w:t>. H</w:t>
      </w:r>
      <w:r w:rsidR="00FC04CD" w:rsidRPr="004412A6">
        <w:rPr>
          <w:color w:val="auto"/>
        </w:rPr>
        <w:t>owever, if multiple replicates</w:t>
      </w:r>
      <w:r w:rsidR="002834E2" w:rsidRPr="004412A6">
        <w:rPr>
          <w:color w:val="auto"/>
        </w:rPr>
        <w:t xml:space="preserve"> are </w:t>
      </w:r>
      <w:r w:rsidR="00744B28" w:rsidRPr="004412A6">
        <w:rPr>
          <w:color w:val="auto"/>
        </w:rPr>
        <w:t>contaminated</w:t>
      </w:r>
      <w:r w:rsidR="00727AC6">
        <w:rPr>
          <w:color w:val="auto"/>
        </w:rPr>
        <w:t>,</w:t>
      </w:r>
      <w:r w:rsidR="00744B28" w:rsidRPr="004412A6">
        <w:rPr>
          <w:color w:val="auto"/>
        </w:rPr>
        <w:t xml:space="preserve"> repeat the experiment with unc</w:t>
      </w:r>
      <w:r w:rsidR="00CC66CF" w:rsidRPr="004412A6">
        <w:rPr>
          <w:color w:val="auto"/>
        </w:rPr>
        <w:t>ontaminated exponentially growing</w:t>
      </w:r>
      <w:r w:rsidR="00744B28" w:rsidRPr="004412A6">
        <w:rPr>
          <w:color w:val="auto"/>
        </w:rPr>
        <w:t xml:space="preserve"> inoculum. To evaluate whether the inoculum was in the exponential growth phase at the beginning of the test</w:t>
      </w:r>
      <w:r w:rsidR="006B3FB2">
        <w:rPr>
          <w:color w:val="auto"/>
        </w:rPr>
        <w:t>,</w:t>
      </w:r>
      <w:r w:rsidR="00744B28" w:rsidRPr="004412A6">
        <w:rPr>
          <w:color w:val="auto"/>
        </w:rPr>
        <w:t xml:space="preserve"> </w:t>
      </w:r>
      <w:r w:rsidR="002834E2" w:rsidRPr="004412A6">
        <w:rPr>
          <w:color w:val="auto"/>
        </w:rPr>
        <w:t>calculate the growth rate</w:t>
      </w:r>
      <w:r w:rsidR="00FC04CD" w:rsidRPr="004412A6">
        <w:rPr>
          <w:color w:val="auto"/>
        </w:rPr>
        <w:t xml:space="preserve"> of the control replicates</w:t>
      </w:r>
      <w:r w:rsidR="002834E2" w:rsidRPr="004412A6">
        <w:rPr>
          <w:color w:val="auto"/>
        </w:rPr>
        <w:t xml:space="preserve"> at 24</w:t>
      </w:r>
      <w:r w:rsidR="00731745">
        <w:rPr>
          <w:color w:val="auto"/>
        </w:rPr>
        <w:t xml:space="preserve"> </w:t>
      </w:r>
      <w:r w:rsidR="002834E2" w:rsidRPr="004412A6">
        <w:rPr>
          <w:color w:val="auto"/>
        </w:rPr>
        <w:t>h intervals and</w:t>
      </w:r>
      <w:r w:rsidR="00FC04CD" w:rsidRPr="004412A6">
        <w:rPr>
          <w:color w:val="auto"/>
        </w:rPr>
        <w:t xml:space="preserve"> use only </w:t>
      </w:r>
      <w:r w:rsidR="002834E2" w:rsidRPr="004412A6">
        <w:rPr>
          <w:color w:val="auto"/>
        </w:rPr>
        <w:t xml:space="preserve">the time interval at which the algal </w:t>
      </w:r>
      <w:r w:rsidR="00FC04CD" w:rsidRPr="004412A6">
        <w:rPr>
          <w:color w:val="auto"/>
        </w:rPr>
        <w:t>growth of the control is</w:t>
      </w:r>
      <w:r w:rsidR="002834E2" w:rsidRPr="004412A6">
        <w:rPr>
          <w:color w:val="auto"/>
        </w:rPr>
        <w:t xml:space="preserve"> exponential</w:t>
      </w:r>
      <w:r w:rsidR="00FC04CD" w:rsidRPr="004412A6">
        <w:rPr>
          <w:color w:val="auto"/>
        </w:rPr>
        <w:t xml:space="preserve"> for statistical analysis</w:t>
      </w:r>
      <w:r w:rsidR="002834E2" w:rsidRPr="004412A6">
        <w:rPr>
          <w:color w:val="auto"/>
        </w:rPr>
        <w:t>.</w:t>
      </w:r>
    </w:p>
    <w:p w14:paraId="113BC26E" w14:textId="0518716D" w:rsidR="00743AF8" w:rsidRPr="004412A6" w:rsidRDefault="00743AF8" w:rsidP="006B70F9">
      <w:pPr>
        <w:contextualSpacing/>
        <w:rPr>
          <w:color w:val="auto"/>
        </w:rPr>
      </w:pPr>
    </w:p>
    <w:p w14:paraId="15C41733" w14:textId="766A5C79" w:rsidR="00743AF8" w:rsidRPr="004412A6" w:rsidRDefault="00743AF8" w:rsidP="006B70F9">
      <w:pPr>
        <w:contextualSpacing/>
        <w:rPr>
          <w:color w:val="auto"/>
        </w:rPr>
      </w:pPr>
      <w:r w:rsidRPr="004412A6">
        <w:rPr>
          <w:color w:val="auto"/>
        </w:rPr>
        <w:t>To test the robustness of the setup</w:t>
      </w:r>
      <w:r w:rsidR="00731745">
        <w:rPr>
          <w:color w:val="auto"/>
        </w:rPr>
        <w:t>,</w:t>
      </w:r>
      <w:r w:rsidRPr="004412A6">
        <w:rPr>
          <w:color w:val="auto"/>
        </w:rPr>
        <w:t xml:space="preserve"> a toxicity test using two reference substances (K</w:t>
      </w:r>
      <w:r w:rsidRPr="004412A6">
        <w:rPr>
          <w:color w:val="auto"/>
          <w:vertAlign w:val="subscript"/>
        </w:rPr>
        <w:t>2</w:t>
      </w:r>
      <w:r w:rsidRPr="004412A6">
        <w:rPr>
          <w:color w:val="auto"/>
        </w:rPr>
        <w:t>Cr</w:t>
      </w:r>
      <w:r w:rsidRPr="004412A6">
        <w:rPr>
          <w:color w:val="auto"/>
          <w:vertAlign w:val="subscript"/>
        </w:rPr>
        <w:t>2</w:t>
      </w:r>
      <w:r w:rsidRPr="004412A6">
        <w:rPr>
          <w:color w:val="auto"/>
        </w:rPr>
        <w:t>O</w:t>
      </w:r>
      <w:r w:rsidRPr="004412A6">
        <w:rPr>
          <w:color w:val="auto"/>
          <w:vertAlign w:val="subscript"/>
        </w:rPr>
        <w:t>7</w:t>
      </w:r>
      <w:r w:rsidRPr="004412A6">
        <w:rPr>
          <w:color w:val="auto"/>
        </w:rPr>
        <w:t xml:space="preserve"> and 3,5-Dichlorophenol) and three nanomaterials was repeated three</w:t>
      </w:r>
      <w:r w:rsidR="00611E1B">
        <w:rPr>
          <w:color w:val="auto"/>
        </w:rPr>
        <w:t xml:space="preserve"> times</w:t>
      </w:r>
      <w:r w:rsidRPr="004412A6">
        <w:rPr>
          <w:color w:val="auto"/>
        </w:rPr>
        <w:t xml:space="preserve"> (3,5-Dichlorophenol, BaSO</w:t>
      </w:r>
      <w:r w:rsidRPr="004412A6">
        <w:rPr>
          <w:color w:val="auto"/>
          <w:vertAlign w:val="subscript"/>
        </w:rPr>
        <w:t>4</w:t>
      </w:r>
      <w:r w:rsidRPr="004412A6">
        <w:rPr>
          <w:color w:val="auto"/>
        </w:rPr>
        <w:t xml:space="preserve"> nanoparticles (NM-220)</w:t>
      </w:r>
      <w:r w:rsidR="008A0422">
        <w:rPr>
          <w:color w:val="auto"/>
        </w:rPr>
        <w:t>,</w:t>
      </w:r>
      <w:r w:rsidRPr="004412A6">
        <w:rPr>
          <w:color w:val="auto"/>
        </w:rPr>
        <w:t xml:space="preserve"> and ZnO nanoparticles (NM-111)) and four times (K</w:t>
      </w:r>
      <w:r w:rsidRPr="004412A6">
        <w:rPr>
          <w:color w:val="auto"/>
          <w:vertAlign w:val="subscript"/>
        </w:rPr>
        <w:t>2</w:t>
      </w:r>
      <w:r w:rsidRPr="004412A6">
        <w:rPr>
          <w:color w:val="auto"/>
        </w:rPr>
        <w:t>Cr</w:t>
      </w:r>
      <w:r w:rsidRPr="004412A6">
        <w:rPr>
          <w:color w:val="auto"/>
          <w:vertAlign w:val="subscript"/>
        </w:rPr>
        <w:t>2</w:t>
      </w:r>
      <w:r w:rsidRPr="004412A6">
        <w:rPr>
          <w:color w:val="auto"/>
        </w:rPr>
        <w:t>O</w:t>
      </w:r>
      <w:r w:rsidRPr="004412A6">
        <w:rPr>
          <w:color w:val="auto"/>
          <w:vertAlign w:val="subscript"/>
        </w:rPr>
        <w:t>7</w:t>
      </w:r>
      <w:r w:rsidRPr="004412A6">
        <w:rPr>
          <w:color w:val="auto"/>
        </w:rPr>
        <w:t xml:space="preserve"> and CeO</w:t>
      </w:r>
      <w:r w:rsidRPr="004412A6">
        <w:rPr>
          <w:color w:val="auto"/>
          <w:vertAlign w:val="subscript"/>
        </w:rPr>
        <w:t>2</w:t>
      </w:r>
      <w:r w:rsidRPr="004412A6">
        <w:rPr>
          <w:color w:val="auto"/>
        </w:rPr>
        <w:t xml:space="preserve"> nanoparticles (NM-212)). The results showed a coe</w:t>
      </w:r>
      <w:r w:rsidR="007A5BE7" w:rsidRPr="004412A6">
        <w:rPr>
          <w:color w:val="auto"/>
        </w:rPr>
        <w:t>fficient of variation</w:t>
      </w:r>
      <w:r w:rsidR="00F2193E" w:rsidRPr="004412A6">
        <w:rPr>
          <w:color w:val="auto"/>
        </w:rPr>
        <w:t xml:space="preserve"> of the EC</w:t>
      </w:r>
      <w:r w:rsidR="00F2193E" w:rsidRPr="004412A6">
        <w:rPr>
          <w:color w:val="auto"/>
          <w:vertAlign w:val="subscript"/>
        </w:rPr>
        <w:t>50</w:t>
      </w:r>
      <w:r w:rsidR="00F2193E" w:rsidRPr="004412A6">
        <w:rPr>
          <w:color w:val="auto"/>
        </w:rPr>
        <w:t>-values</w:t>
      </w:r>
      <w:r w:rsidR="007A5BE7" w:rsidRPr="004412A6">
        <w:rPr>
          <w:color w:val="auto"/>
        </w:rPr>
        <w:t xml:space="preserve"> between 11</w:t>
      </w:r>
      <w:r w:rsidR="00717F21">
        <w:rPr>
          <w:color w:val="auto"/>
        </w:rPr>
        <w:t>%</w:t>
      </w:r>
      <w:r w:rsidR="007A5BE7" w:rsidRPr="004412A6">
        <w:rPr>
          <w:color w:val="auto"/>
        </w:rPr>
        <w:t xml:space="preserve"> and 39</w:t>
      </w:r>
      <w:r w:rsidRPr="004412A6">
        <w:rPr>
          <w:color w:val="auto"/>
        </w:rPr>
        <w:t>%, with the lowest coefficient of variation observed for ZnO nanoparticles (NM-111) and the highest coefficient of variation for CeO</w:t>
      </w:r>
      <w:r w:rsidRPr="004412A6">
        <w:rPr>
          <w:color w:val="auto"/>
          <w:vertAlign w:val="subscript"/>
        </w:rPr>
        <w:t>2</w:t>
      </w:r>
      <w:r w:rsidRPr="004412A6">
        <w:rPr>
          <w:color w:val="auto"/>
        </w:rPr>
        <w:t xml:space="preserve"> nanoparticles (NM-212) (</w:t>
      </w:r>
      <w:r w:rsidRPr="00731745">
        <w:rPr>
          <w:b/>
          <w:bCs/>
          <w:color w:val="auto"/>
        </w:rPr>
        <w:t>Table 3</w:t>
      </w:r>
      <w:r w:rsidRPr="004412A6">
        <w:rPr>
          <w:color w:val="auto"/>
        </w:rPr>
        <w:t>).</w:t>
      </w:r>
    </w:p>
    <w:p w14:paraId="22046953" w14:textId="43B4D2E8" w:rsidR="004A0EC9" w:rsidRPr="004412A6" w:rsidRDefault="004A0EC9" w:rsidP="006B70F9">
      <w:pPr>
        <w:contextualSpacing/>
        <w:rPr>
          <w:color w:val="auto"/>
        </w:rPr>
      </w:pPr>
    </w:p>
    <w:p w14:paraId="2C5F7C86" w14:textId="1CA80FF4" w:rsidR="002F40B5" w:rsidRPr="00731745" w:rsidRDefault="00CD5320" w:rsidP="006B70F9">
      <w:pPr>
        <w:contextualSpacing/>
        <w:rPr>
          <w:rFonts w:asciiTheme="minorHAnsi" w:hAnsiTheme="minorHAnsi" w:cstheme="minorHAnsi"/>
          <w:color w:val="auto"/>
        </w:rPr>
      </w:pPr>
      <w:r w:rsidRPr="004412A6">
        <w:rPr>
          <w:rFonts w:asciiTheme="minorHAnsi" w:hAnsiTheme="minorHAnsi" w:cstheme="minorHAnsi"/>
          <w:color w:val="auto"/>
        </w:rPr>
        <w:t>[Place Table 3 here]</w:t>
      </w:r>
    </w:p>
    <w:p w14:paraId="118D3CF8" w14:textId="3C1D3AF4" w:rsidR="00CE5C5C" w:rsidRPr="004412A6" w:rsidRDefault="00CE5C5C" w:rsidP="006B70F9">
      <w:pPr>
        <w:contextualSpacing/>
        <w:rPr>
          <w:rFonts w:asciiTheme="minorHAnsi" w:hAnsiTheme="minorHAnsi" w:cstheme="minorHAnsi"/>
          <w:color w:val="auto"/>
        </w:rPr>
      </w:pPr>
    </w:p>
    <w:p w14:paraId="75182EC3" w14:textId="696A7EA6" w:rsidR="00B32616" w:rsidRPr="004412A6" w:rsidRDefault="00B32616" w:rsidP="006B70F9">
      <w:pPr>
        <w:contextualSpacing/>
        <w:rPr>
          <w:rFonts w:asciiTheme="minorHAnsi" w:hAnsiTheme="minorHAnsi" w:cstheme="minorHAnsi"/>
          <w:color w:val="auto"/>
        </w:rPr>
      </w:pPr>
      <w:r w:rsidRPr="004412A6">
        <w:rPr>
          <w:rFonts w:asciiTheme="minorHAnsi" w:hAnsiTheme="minorHAnsi" w:cstheme="minorHAnsi"/>
          <w:b/>
          <w:color w:val="auto"/>
        </w:rPr>
        <w:t xml:space="preserve">FIGURE </w:t>
      </w:r>
      <w:r w:rsidR="0013621E" w:rsidRPr="004412A6">
        <w:rPr>
          <w:rFonts w:asciiTheme="minorHAnsi" w:hAnsiTheme="minorHAnsi" w:cstheme="minorHAnsi"/>
          <w:b/>
          <w:color w:val="auto"/>
        </w:rPr>
        <w:t xml:space="preserve">AND TABLE </w:t>
      </w:r>
      <w:r w:rsidRPr="004412A6">
        <w:rPr>
          <w:rFonts w:asciiTheme="minorHAnsi" w:hAnsiTheme="minorHAnsi" w:cstheme="minorHAnsi"/>
          <w:b/>
          <w:color w:val="auto"/>
        </w:rPr>
        <w:t>LEGENDS:</w:t>
      </w:r>
    </w:p>
    <w:p w14:paraId="452B3229" w14:textId="1168306E" w:rsidR="005C4B21" w:rsidRDefault="005C4B21" w:rsidP="006B70F9">
      <w:pPr>
        <w:pStyle w:val="Caption"/>
        <w:spacing w:after="0"/>
        <w:contextualSpacing/>
        <w:jc w:val="left"/>
        <w:rPr>
          <w:i w:val="0"/>
          <w:color w:val="auto"/>
          <w:sz w:val="24"/>
          <w:szCs w:val="24"/>
        </w:rPr>
      </w:pPr>
      <w:r w:rsidRPr="00731745">
        <w:rPr>
          <w:b/>
          <w:bCs/>
          <w:i w:val="0"/>
          <w:color w:val="auto"/>
          <w:sz w:val="24"/>
          <w:szCs w:val="24"/>
        </w:rPr>
        <w:t>Figure 1: Picture of LED Vertical Illumination Table for Algal Toxicity Tests (LEVITATT).</w:t>
      </w:r>
      <w:r w:rsidRPr="004412A6">
        <w:rPr>
          <w:i w:val="0"/>
          <w:color w:val="auto"/>
          <w:sz w:val="24"/>
          <w:szCs w:val="24"/>
        </w:rPr>
        <w:t xml:space="preserve"> 1) 20 mL glass scintillation vials for incubation, 2) 4 mL sample for analysis, 3) </w:t>
      </w:r>
      <w:r w:rsidR="00D520DA">
        <w:rPr>
          <w:i w:val="0"/>
          <w:color w:val="auto"/>
          <w:sz w:val="24"/>
          <w:szCs w:val="24"/>
        </w:rPr>
        <w:t>l</w:t>
      </w:r>
      <w:r w:rsidRPr="004412A6">
        <w:rPr>
          <w:i w:val="0"/>
          <w:color w:val="auto"/>
          <w:sz w:val="24"/>
          <w:szCs w:val="24"/>
        </w:rPr>
        <w:t>id with drilled hole for CO</w:t>
      </w:r>
      <w:r w:rsidRPr="004412A6">
        <w:rPr>
          <w:i w:val="0"/>
          <w:color w:val="auto"/>
          <w:sz w:val="24"/>
          <w:szCs w:val="24"/>
          <w:vertAlign w:val="subscript"/>
        </w:rPr>
        <w:t>2</w:t>
      </w:r>
      <w:r w:rsidRPr="004412A6">
        <w:rPr>
          <w:i w:val="0"/>
          <w:color w:val="auto"/>
          <w:sz w:val="24"/>
          <w:szCs w:val="24"/>
        </w:rPr>
        <w:t xml:space="preserve"> exchange, 4) </w:t>
      </w:r>
      <w:r w:rsidR="00D520DA">
        <w:rPr>
          <w:i w:val="0"/>
          <w:color w:val="auto"/>
          <w:sz w:val="24"/>
          <w:szCs w:val="24"/>
        </w:rPr>
        <w:t>c</w:t>
      </w:r>
      <w:r w:rsidRPr="004412A6">
        <w:rPr>
          <w:i w:val="0"/>
          <w:color w:val="auto"/>
          <w:sz w:val="24"/>
          <w:szCs w:val="24"/>
        </w:rPr>
        <w:t xml:space="preserve">asing for defined light conditions, 5) LED light source located in the center of the casing, 6) </w:t>
      </w:r>
      <w:r w:rsidR="006D6381" w:rsidRPr="004412A6">
        <w:rPr>
          <w:i w:val="0"/>
          <w:color w:val="auto"/>
          <w:sz w:val="24"/>
          <w:szCs w:val="24"/>
        </w:rPr>
        <w:t>orbital shaker</w:t>
      </w:r>
      <w:r w:rsidRPr="004412A6">
        <w:rPr>
          <w:i w:val="0"/>
          <w:color w:val="auto"/>
          <w:sz w:val="24"/>
          <w:szCs w:val="24"/>
        </w:rPr>
        <w:t xml:space="preserve"> for agitation during the experiment</w:t>
      </w:r>
      <w:r w:rsidR="00D520DA">
        <w:rPr>
          <w:i w:val="0"/>
          <w:color w:val="auto"/>
          <w:sz w:val="24"/>
          <w:szCs w:val="24"/>
        </w:rPr>
        <w:t>,</w:t>
      </w:r>
      <w:r w:rsidRPr="004412A6">
        <w:rPr>
          <w:i w:val="0"/>
          <w:color w:val="auto"/>
          <w:sz w:val="24"/>
          <w:szCs w:val="24"/>
        </w:rPr>
        <w:t xml:space="preserve"> and 7) </w:t>
      </w:r>
      <w:r w:rsidR="00D520DA">
        <w:rPr>
          <w:i w:val="0"/>
          <w:color w:val="auto"/>
          <w:sz w:val="24"/>
          <w:szCs w:val="24"/>
        </w:rPr>
        <w:t xml:space="preserve">a </w:t>
      </w:r>
      <w:r w:rsidRPr="004412A6">
        <w:rPr>
          <w:i w:val="0"/>
          <w:color w:val="auto"/>
          <w:sz w:val="24"/>
          <w:szCs w:val="24"/>
        </w:rPr>
        <w:t>t</w:t>
      </w:r>
      <w:r w:rsidR="00CD3DA9" w:rsidRPr="004412A6">
        <w:rPr>
          <w:i w:val="0"/>
          <w:color w:val="auto"/>
          <w:sz w:val="24"/>
          <w:szCs w:val="24"/>
        </w:rPr>
        <w:t>hermostatic cabinet</w:t>
      </w:r>
      <w:r w:rsidRPr="004412A6">
        <w:rPr>
          <w:i w:val="0"/>
          <w:color w:val="auto"/>
          <w:sz w:val="24"/>
          <w:szCs w:val="24"/>
        </w:rPr>
        <w:t>.</w:t>
      </w:r>
    </w:p>
    <w:p w14:paraId="1ADCCE86" w14:textId="77777777" w:rsidR="00731745" w:rsidRPr="00731745" w:rsidRDefault="00731745" w:rsidP="006B70F9"/>
    <w:p w14:paraId="59365DA8" w14:textId="0DE04103" w:rsidR="005C4B21" w:rsidRPr="00731745" w:rsidRDefault="005C4B21" w:rsidP="006B70F9">
      <w:pPr>
        <w:contextualSpacing/>
        <w:rPr>
          <w:b/>
          <w:bCs/>
          <w:color w:val="auto"/>
        </w:rPr>
      </w:pPr>
      <w:r w:rsidRPr="00731745">
        <w:rPr>
          <w:b/>
          <w:bCs/>
          <w:color w:val="auto"/>
        </w:rPr>
        <w:t>Figure 2: Flow</w:t>
      </w:r>
      <w:r w:rsidR="00731745">
        <w:rPr>
          <w:b/>
          <w:bCs/>
          <w:color w:val="auto"/>
        </w:rPr>
        <w:t xml:space="preserve"> </w:t>
      </w:r>
      <w:r w:rsidRPr="00731745">
        <w:rPr>
          <w:b/>
          <w:bCs/>
          <w:color w:val="auto"/>
        </w:rPr>
        <w:t>diagram of the algal test setup.</w:t>
      </w:r>
    </w:p>
    <w:p w14:paraId="55C1A013" w14:textId="77777777" w:rsidR="005C4B21" w:rsidRPr="004412A6" w:rsidRDefault="005C4B21" w:rsidP="006B70F9">
      <w:pPr>
        <w:contextualSpacing/>
        <w:rPr>
          <w:color w:val="auto"/>
        </w:rPr>
      </w:pPr>
    </w:p>
    <w:p w14:paraId="6D82155F" w14:textId="33987333" w:rsidR="005C4B21" w:rsidRDefault="005C4B21" w:rsidP="006B70F9">
      <w:pPr>
        <w:pStyle w:val="Caption"/>
        <w:spacing w:after="0"/>
        <w:contextualSpacing/>
        <w:rPr>
          <w:i w:val="0"/>
          <w:color w:val="auto"/>
          <w:sz w:val="24"/>
          <w:szCs w:val="24"/>
        </w:rPr>
      </w:pPr>
      <w:r w:rsidRPr="00731745">
        <w:rPr>
          <w:b/>
          <w:bCs/>
          <w:i w:val="0"/>
          <w:color w:val="auto"/>
          <w:sz w:val="24"/>
          <w:szCs w:val="24"/>
        </w:rPr>
        <w:t>Figure 3: Representative concentration-response curve for 72 h exposure of a chemical compound to algae (</w:t>
      </w:r>
      <w:r w:rsidRPr="00731745">
        <w:rPr>
          <w:b/>
          <w:bCs/>
          <w:color w:val="auto"/>
          <w:sz w:val="24"/>
          <w:szCs w:val="24"/>
        </w:rPr>
        <w:t>R. subcapitata</w:t>
      </w:r>
      <w:r w:rsidRPr="00731745">
        <w:rPr>
          <w:b/>
          <w:bCs/>
          <w:i w:val="0"/>
          <w:color w:val="auto"/>
          <w:sz w:val="24"/>
          <w:szCs w:val="24"/>
        </w:rPr>
        <w:t>).</w:t>
      </w:r>
      <w:r w:rsidRPr="004412A6">
        <w:rPr>
          <w:i w:val="0"/>
          <w:color w:val="auto"/>
          <w:sz w:val="24"/>
          <w:szCs w:val="24"/>
        </w:rPr>
        <w:t xml:space="preserve"> The solid line represents the log-logistic fit and the shaded area is the 95% confidence interval for the fit. The open circles </w:t>
      </w:r>
      <w:r w:rsidR="00731745" w:rsidRPr="004412A6">
        <w:rPr>
          <w:i w:val="0"/>
          <w:color w:val="auto"/>
          <w:sz w:val="24"/>
          <w:szCs w:val="24"/>
        </w:rPr>
        <w:t>represent</w:t>
      </w:r>
      <w:r w:rsidRPr="004412A6">
        <w:rPr>
          <w:i w:val="0"/>
          <w:color w:val="auto"/>
          <w:sz w:val="24"/>
          <w:szCs w:val="24"/>
        </w:rPr>
        <w:t xml:space="preserve"> </w:t>
      </w:r>
      <w:r w:rsidR="00731745" w:rsidRPr="004412A6">
        <w:rPr>
          <w:i w:val="0"/>
          <w:color w:val="auto"/>
          <w:sz w:val="24"/>
          <w:szCs w:val="24"/>
        </w:rPr>
        <w:t xml:space="preserve">the calculated growth rate </w:t>
      </w:r>
      <w:r w:rsidRPr="004412A6">
        <w:rPr>
          <w:i w:val="0"/>
          <w:color w:val="auto"/>
          <w:sz w:val="24"/>
          <w:szCs w:val="24"/>
        </w:rPr>
        <w:t>for each replicate.</w:t>
      </w:r>
    </w:p>
    <w:p w14:paraId="67730E6C" w14:textId="77777777" w:rsidR="00731745" w:rsidRPr="00731745" w:rsidRDefault="00731745" w:rsidP="006B70F9"/>
    <w:p w14:paraId="63965D3B" w14:textId="53037277" w:rsidR="005C4B21" w:rsidRPr="00731745" w:rsidRDefault="005C4B21" w:rsidP="006B70F9">
      <w:pPr>
        <w:pStyle w:val="Caption"/>
        <w:keepNext/>
        <w:spacing w:after="0"/>
        <w:contextualSpacing/>
        <w:rPr>
          <w:b/>
          <w:bCs/>
          <w:i w:val="0"/>
          <w:color w:val="auto"/>
          <w:sz w:val="24"/>
          <w:szCs w:val="24"/>
        </w:rPr>
      </w:pPr>
      <w:r w:rsidRPr="00731745">
        <w:rPr>
          <w:b/>
          <w:bCs/>
          <w:i w:val="0"/>
          <w:color w:val="auto"/>
          <w:sz w:val="24"/>
          <w:szCs w:val="24"/>
        </w:rPr>
        <w:t>Table 1: Concentrations of nutrients in stock solutions for algal growth medium</w:t>
      </w:r>
    </w:p>
    <w:p w14:paraId="464B2DE6" w14:textId="77777777" w:rsidR="00731745" w:rsidRPr="00731745" w:rsidRDefault="00731745" w:rsidP="006B70F9">
      <w:pPr>
        <w:rPr>
          <w:b/>
          <w:bCs/>
        </w:rPr>
      </w:pPr>
    </w:p>
    <w:p w14:paraId="64A48616" w14:textId="0C4D33A1" w:rsidR="005C4B21" w:rsidRDefault="005C4B21" w:rsidP="006B70F9">
      <w:pPr>
        <w:pStyle w:val="Caption"/>
        <w:keepNext/>
        <w:spacing w:after="0"/>
        <w:contextualSpacing/>
        <w:rPr>
          <w:i w:val="0"/>
          <w:color w:val="auto"/>
          <w:sz w:val="24"/>
          <w:szCs w:val="24"/>
        </w:rPr>
      </w:pPr>
      <w:r w:rsidRPr="00731745">
        <w:rPr>
          <w:b/>
          <w:bCs/>
          <w:i w:val="0"/>
          <w:color w:val="auto"/>
          <w:sz w:val="24"/>
          <w:szCs w:val="24"/>
        </w:rPr>
        <w:t>Table 2: Representative effective concentrations for 10</w:t>
      </w:r>
      <w:r w:rsidR="006F5EAD">
        <w:rPr>
          <w:b/>
          <w:bCs/>
          <w:i w:val="0"/>
          <w:color w:val="auto"/>
          <w:sz w:val="24"/>
          <w:szCs w:val="24"/>
        </w:rPr>
        <w:t>%</w:t>
      </w:r>
      <w:r w:rsidRPr="00731745">
        <w:rPr>
          <w:b/>
          <w:bCs/>
          <w:i w:val="0"/>
          <w:color w:val="auto"/>
          <w:sz w:val="24"/>
          <w:szCs w:val="24"/>
        </w:rPr>
        <w:t>, 20</w:t>
      </w:r>
      <w:r w:rsidR="006F5EAD">
        <w:rPr>
          <w:b/>
          <w:bCs/>
          <w:i w:val="0"/>
          <w:color w:val="auto"/>
          <w:sz w:val="24"/>
          <w:szCs w:val="24"/>
        </w:rPr>
        <w:t>%,</w:t>
      </w:r>
      <w:r w:rsidRPr="00731745">
        <w:rPr>
          <w:b/>
          <w:bCs/>
          <w:i w:val="0"/>
          <w:color w:val="auto"/>
          <w:sz w:val="24"/>
          <w:szCs w:val="24"/>
        </w:rPr>
        <w:t xml:space="preserve"> and 50% inhibition of growth rate for a chemical compound using algae (</w:t>
      </w:r>
      <w:r w:rsidRPr="00731745">
        <w:rPr>
          <w:b/>
          <w:bCs/>
          <w:color w:val="auto"/>
          <w:sz w:val="24"/>
          <w:szCs w:val="24"/>
        </w:rPr>
        <w:t>R. subcapitata</w:t>
      </w:r>
      <w:r w:rsidRPr="00731745">
        <w:rPr>
          <w:b/>
          <w:bCs/>
          <w:i w:val="0"/>
          <w:color w:val="auto"/>
          <w:sz w:val="24"/>
          <w:szCs w:val="24"/>
        </w:rPr>
        <w:t>).</w:t>
      </w:r>
      <w:r w:rsidRPr="004412A6">
        <w:rPr>
          <w:i w:val="0"/>
          <w:color w:val="auto"/>
          <w:sz w:val="24"/>
          <w:szCs w:val="24"/>
        </w:rPr>
        <w:t xml:space="preserve"> The value in brackets represents the </w:t>
      </w:r>
      <w:r w:rsidRPr="004412A6">
        <w:rPr>
          <w:i w:val="0"/>
          <w:color w:val="auto"/>
          <w:sz w:val="24"/>
          <w:szCs w:val="24"/>
        </w:rPr>
        <w:lastRenderedPageBreak/>
        <w:t>95% confidence interval of a log-logistic fitting.</w:t>
      </w:r>
    </w:p>
    <w:p w14:paraId="01F65369" w14:textId="77777777" w:rsidR="00731745" w:rsidRPr="00731745" w:rsidRDefault="00731745" w:rsidP="006B70F9"/>
    <w:p w14:paraId="7237D407" w14:textId="33CD756A" w:rsidR="005C4B21" w:rsidRPr="00731745" w:rsidRDefault="00517832" w:rsidP="006B70F9">
      <w:pPr>
        <w:contextualSpacing/>
        <w:rPr>
          <w:b/>
          <w:bCs/>
          <w:i/>
          <w:color w:val="auto"/>
        </w:rPr>
      </w:pPr>
      <w:r w:rsidRPr="00731745">
        <w:rPr>
          <w:b/>
          <w:bCs/>
          <w:color w:val="auto"/>
        </w:rPr>
        <w:t>Table 3: Results of a</w:t>
      </w:r>
      <w:r w:rsidR="001D5A4A" w:rsidRPr="00731745">
        <w:rPr>
          <w:b/>
          <w:bCs/>
          <w:color w:val="auto"/>
        </w:rPr>
        <w:t>n</w:t>
      </w:r>
      <w:r w:rsidRPr="00731745">
        <w:rPr>
          <w:b/>
          <w:bCs/>
          <w:color w:val="auto"/>
        </w:rPr>
        <w:t xml:space="preserve"> internal laboratory toxicity test with </w:t>
      </w:r>
      <w:r w:rsidRPr="00731745">
        <w:rPr>
          <w:b/>
          <w:bCs/>
          <w:i/>
          <w:color w:val="auto"/>
        </w:rPr>
        <w:t xml:space="preserve">R. subcapitata </w:t>
      </w:r>
      <w:r w:rsidRPr="00731745">
        <w:rPr>
          <w:b/>
          <w:bCs/>
          <w:color w:val="auto"/>
        </w:rPr>
        <w:t>exposed for 72</w:t>
      </w:r>
      <w:r w:rsidR="00731745">
        <w:rPr>
          <w:b/>
          <w:bCs/>
          <w:color w:val="auto"/>
        </w:rPr>
        <w:t xml:space="preserve"> </w:t>
      </w:r>
      <w:r w:rsidRPr="00731745">
        <w:rPr>
          <w:b/>
          <w:bCs/>
          <w:color w:val="auto"/>
        </w:rPr>
        <w:t>h to two reference substances and three nanomaterials from the JRC repository</w:t>
      </w:r>
    </w:p>
    <w:p w14:paraId="3109E2B4" w14:textId="77777777" w:rsidR="00DA5D67" w:rsidRPr="004412A6" w:rsidRDefault="00DA5D67" w:rsidP="006B70F9">
      <w:pPr>
        <w:contextualSpacing/>
        <w:rPr>
          <w:rFonts w:asciiTheme="minorHAnsi" w:hAnsiTheme="minorHAnsi" w:cstheme="minorHAnsi"/>
          <w:color w:val="auto"/>
        </w:rPr>
      </w:pPr>
    </w:p>
    <w:p w14:paraId="78728D18" w14:textId="7A88442A" w:rsidR="00014314" w:rsidRPr="00731745" w:rsidRDefault="006305D7" w:rsidP="006B70F9">
      <w:pPr>
        <w:contextualSpacing/>
        <w:rPr>
          <w:rFonts w:asciiTheme="minorHAnsi" w:hAnsiTheme="minorHAnsi" w:cstheme="minorHAnsi"/>
          <w:b/>
          <w:color w:val="auto"/>
        </w:rPr>
      </w:pPr>
      <w:r w:rsidRPr="004412A6">
        <w:rPr>
          <w:rFonts w:asciiTheme="minorHAnsi" w:hAnsiTheme="minorHAnsi" w:cstheme="minorHAnsi"/>
          <w:b/>
          <w:color w:val="auto"/>
        </w:rPr>
        <w:t>DISCUSSION</w:t>
      </w:r>
      <w:r w:rsidRPr="004412A6">
        <w:rPr>
          <w:rFonts w:asciiTheme="minorHAnsi" w:hAnsiTheme="minorHAnsi" w:cstheme="minorHAnsi"/>
          <w:b/>
          <w:bCs/>
          <w:color w:val="auto"/>
        </w:rPr>
        <w:t>:</w:t>
      </w:r>
    </w:p>
    <w:p w14:paraId="5BDE9566" w14:textId="10C2C2F0" w:rsidR="006B00FF" w:rsidRPr="004412A6" w:rsidRDefault="009A54B7" w:rsidP="006B70F9">
      <w:pPr>
        <w:contextualSpacing/>
        <w:rPr>
          <w:color w:val="auto"/>
        </w:rPr>
      </w:pPr>
      <w:r w:rsidRPr="004412A6">
        <w:rPr>
          <w:color w:val="auto"/>
        </w:rPr>
        <w:t>Phytoplankton converts solar energy and carbon dioxide to organic matter</w:t>
      </w:r>
      <w:r w:rsidR="00C734A6" w:rsidRPr="004412A6">
        <w:rPr>
          <w:color w:val="auto"/>
        </w:rPr>
        <w:t xml:space="preserve"> and</w:t>
      </w:r>
      <w:r w:rsidRPr="004412A6">
        <w:rPr>
          <w:color w:val="auto"/>
        </w:rPr>
        <w:t xml:space="preserve"> thus holds a pivotal role in the aquatic ecosystem. </w:t>
      </w:r>
      <w:r w:rsidR="005E7D66" w:rsidRPr="004412A6">
        <w:rPr>
          <w:color w:val="auto"/>
        </w:rPr>
        <w:t xml:space="preserve">For this </w:t>
      </w:r>
      <w:r w:rsidR="00560C4E" w:rsidRPr="004412A6">
        <w:rPr>
          <w:color w:val="auto"/>
        </w:rPr>
        <w:t>reason,</w:t>
      </w:r>
      <w:r w:rsidR="005E7D66" w:rsidRPr="004412A6">
        <w:rPr>
          <w:color w:val="auto"/>
        </w:rPr>
        <w:t xml:space="preserve"> algal growth rate inhibition tests are included as </w:t>
      </w:r>
      <w:r w:rsidRPr="004412A6">
        <w:rPr>
          <w:color w:val="auto"/>
        </w:rPr>
        <w:t xml:space="preserve">one of three mandatory </w:t>
      </w:r>
      <w:r w:rsidR="00C734A6" w:rsidRPr="004412A6">
        <w:rPr>
          <w:color w:val="auto"/>
        </w:rPr>
        <w:t xml:space="preserve">aquatic toxicity </w:t>
      </w:r>
      <w:r w:rsidRPr="004412A6">
        <w:rPr>
          <w:color w:val="auto"/>
        </w:rPr>
        <w:t>test</w:t>
      </w:r>
      <w:r w:rsidR="00C734A6" w:rsidRPr="004412A6">
        <w:rPr>
          <w:color w:val="auto"/>
        </w:rPr>
        <w:t>s</w:t>
      </w:r>
      <w:r w:rsidRPr="004412A6">
        <w:rPr>
          <w:color w:val="auto"/>
        </w:rPr>
        <w:t xml:space="preserve"> </w:t>
      </w:r>
      <w:r w:rsidR="00C734A6" w:rsidRPr="004412A6">
        <w:rPr>
          <w:color w:val="auto"/>
        </w:rPr>
        <w:t>required for</w:t>
      </w:r>
      <w:r w:rsidRPr="004412A6">
        <w:rPr>
          <w:color w:val="auto"/>
        </w:rPr>
        <w:t xml:space="preserve"> </w:t>
      </w:r>
      <w:r w:rsidR="00C734A6" w:rsidRPr="004412A6">
        <w:rPr>
          <w:color w:val="auto"/>
        </w:rPr>
        <w:t xml:space="preserve">regulatory </w:t>
      </w:r>
      <w:r w:rsidRPr="004412A6">
        <w:rPr>
          <w:color w:val="auto"/>
        </w:rPr>
        <w:t xml:space="preserve">risk assessment of chemicals. The ability to perform a reliable and reproducible </w:t>
      </w:r>
      <w:r w:rsidR="00C734A6" w:rsidRPr="004412A6">
        <w:rPr>
          <w:color w:val="auto"/>
        </w:rPr>
        <w:t xml:space="preserve">algal toxicity </w:t>
      </w:r>
      <w:r w:rsidRPr="004412A6">
        <w:rPr>
          <w:color w:val="auto"/>
        </w:rPr>
        <w:t>test is key in this regard.</w:t>
      </w:r>
      <w:r w:rsidR="006B00FF" w:rsidRPr="004412A6">
        <w:rPr>
          <w:color w:val="auto"/>
        </w:rPr>
        <w:t xml:space="preserve"> </w:t>
      </w:r>
      <w:r w:rsidR="00C734A6" w:rsidRPr="004412A6">
        <w:rPr>
          <w:color w:val="auto"/>
        </w:rPr>
        <w:t>Test s</w:t>
      </w:r>
      <w:r w:rsidR="006B00FF" w:rsidRPr="004412A6">
        <w:rPr>
          <w:color w:val="auto"/>
        </w:rPr>
        <w:t xml:space="preserve">etups using </w:t>
      </w:r>
      <w:r w:rsidR="0049504B" w:rsidRPr="004412A6">
        <w:rPr>
          <w:color w:val="auto"/>
        </w:rPr>
        <w:t xml:space="preserve">Erlenmeyer </w:t>
      </w:r>
      <w:r w:rsidR="006B00FF" w:rsidRPr="004412A6">
        <w:rPr>
          <w:color w:val="auto"/>
        </w:rPr>
        <w:t xml:space="preserve">flasks </w:t>
      </w:r>
      <w:r w:rsidR="0049504B" w:rsidRPr="004412A6">
        <w:rPr>
          <w:color w:val="auto"/>
        </w:rPr>
        <w:t>introduces a range of variabilities and inconveniences as described in the introduction.</w:t>
      </w:r>
      <w:r w:rsidR="006B00FF" w:rsidRPr="004412A6">
        <w:rPr>
          <w:color w:val="auto"/>
        </w:rPr>
        <w:t xml:space="preserve"> T</w:t>
      </w:r>
      <w:r w:rsidR="0049504B" w:rsidRPr="004412A6">
        <w:rPr>
          <w:color w:val="auto"/>
        </w:rPr>
        <w:t>o</w:t>
      </w:r>
      <w:r w:rsidR="006B00FF" w:rsidRPr="004412A6">
        <w:rPr>
          <w:color w:val="auto"/>
        </w:rPr>
        <w:t xml:space="preserve"> circumvent this issue</w:t>
      </w:r>
      <w:r w:rsidR="00731745">
        <w:rPr>
          <w:color w:val="auto"/>
        </w:rPr>
        <w:t>,</w:t>
      </w:r>
      <w:r w:rsidR="006B00FF" w:rsidRPr="004412A6">
        <w:rPr>
          <w:color w:val="auto"/>
        </w:rPr>
        <w:t xml:space="preserve"> </w:t>
      </w:r>
      <w:r w:rsidR="0049504B" w:rsidRPr="004412A6">
        <w:rPr>
          <w:color w:val="auto"/>
        </w:rPr>
        <w:t>micro</w:t>
      </w:r>
      <w:r w:rsidR="009953FD" w:rsidRPr="004412A6">
        <w:rPr>
          <w:color w:val="auto"/>
        </w:rPr>
        <w:t>titer plates have been proposed</w:t>
      </w:r>
      <w:r w:rsidR="008C3A35" w:rsidRPr="004412A6">
        <w:rPr>
          <w:color w:val="auto"/>
        </w:rPr>
        <w:fldChar w:fldCharType="begin" w:fldLock="1"/>
      </w:r>
      <w:r w:rsidR="00AC0D9E" w:rsidRPr="004412A6">
        <w:rPr>
          <w:color w:val="auto"/>
        </w:rPr>
        <w:instrText>ADDIN CSL_CITATION {"citationItems":[{"id":"ITEM-1","itemData":{"DOI":"10.1002/tox.2540010302","abstract":"Abstract A simple, miniaturized algal assay procedure using microplates has been developed to assess aquatic toxicity with the green alga, Selenastrum capricornutum. Cell count-generated EC50 data comparisons with the classic assay using flasks have indicated good agreement between the two methods following toxic assessment of various wastewater samples and metal solutions. Parametric comparisons (ATP us cell counts) with the microplate method show equally good correlation. The technique is highly versatile in conducting basic algal bioassays for varying times (4-hour, 4-day, 8-day EC50's) and with differing parameters, depending on set objectives. Other interesting features of the microplate technique include handling rapidity, economy, space-saving convenience, and automation potential.","author":[{"dropping-particle":"","family":"Blaise","given":"C","non-dropping-particle":"","parse-names":false,"suffix":""},{"dropping-particle":"","family":"Legault","given":"R","non-dropping-particle":"","parse-names":false,"suffix":""},{"dropping-particle":"","family":"Bermingham","given":"N","non-dropping-particle":"","parse-names":false,"suffix":""},{"dropping-particle":"","family":"Coillie","given":"R","non-dropping-particle":"Van","parse-names":false,"suffix":""},{"dropping-particle":"","family":"Vasseur","given":"P","non-dropping-particle":"","parse-names":false,"suffix":""}],"container-title":"Toxicity Assessment","id":"ITEM-1","issue":"3","issued":{"date-parts":[["1986"]]},"page":"261-281","title":"A simple microplate algal assay technique for aquatic toxicity assessment","type":"article-journal","volume":"1"},"uris":["http://www.mendeley.com/documents/?uuid=dfdd89ce-5f57-449d-8051-d88576ce80f3"]}],"mendeley":{"formattedCitation":"&lt;sup&gt;3&lt;/sup&gt;","plainTextFormattedCitation":"3","previouslyFormattedCitation":"&lt;sup&gt;3&lt;/sup&gt;"},"properties":{"noteIndex":0},"schema":"https://github.com/citation-style-language/schema/raw/master/csl-citation.json"}</w:instrText>
      </w:r>
      <w:r w:rsidR="008C3A35" w:rsidRPr="004412A6">
        <w:rPr>
          <w:color w:val="auto"/>
        </w:rPr>
        <w:fldChar w:fldCharType="separate"/>
      </w:r>
      <w:r w:rsidR="00AC0D9E" w:rsidRPr="004412A6">
        <w:rPr>
          <w:noProof/>
          <w:color w:val="auto"/>
          <w:vertAlign w:val="superscript"/>
        </w:rPr>
        <w:t>3</w:t>
      </w:r>
      <w:r w:rsidR="008C3A35" w:rsidRPr="004412A6">
        <w:rPr>
          <w:color w:val="auto"/>
        </w:rPr>
        <w:fldChar w:fldCharType="end"/>
      </w:r>
      <w:r w:rsidR="0049504B" w:rsidRPr="004412A6">
        <w:rPr>
          <w:color w:val="auto"/>
        </w:rPr>
        <w:t>. While</w:t>
      </w:r>
      <w:r w:rsidR="00450A50" w:rsidRPr="004412A6">
        <w:rPr>
          <w:color w:val="auto"/>
        </w:rPr>
        <w:t xml:space="preserve"> the microtiter plates</w:t>
      </w:r>
      <w:r w:rsidR="0049504B" w:rsidRPr="004412A6">
        <w:rPr>
          <w:color w:val="auto"/>
        </w:rPr>
        <w:t xml:space="preserve"> minimize the volume and space required</w:t>
      </w:r>
      <w:r w:rsidR="00450A50" w:rsidRPr="004412A6">
        <w:rPr>
          <w:color w:val="auto"/>
        </w:rPr>
        <w:t xml:space="preserve"> </w:t>
      </w:r>
      <w:r w:rsidR="00C734A6" w:rsidRPr="004412A6">
        <w:rPr>
          <w:color w:val="auto"/>
        </w:rPr>
        <w:t xml:space="preserve">for testing, </w:t>
      </w:r>
      <w:r w:rsidR="00450A50" w:rsidRPr="004412A6">
        <w:rPr>
          <w:color w:val="auto"/>
        </w:rPr>
        <w:t xml:space="preserve">concerns have been raised in literature with regard to </w:t>
      </w:r>
      <w:r w:rsidR="00C734A6" w:rsidRPr="004412A6">
        <w:rPr>
          <w:color w:val="auto"/>
        </w:rPr>
        <w:t xml:space="preserve">the compliance of such setups with the test </w:t>
      </w:r>
      <w:r w:rsidR="00450A50" w:rsidRPr="004412A6">
        <w:rPr>
          <w:color w:val="auto"/>
        </w:rPr>
        <w:t>validity criteria</w:t>
      </w:r>
      <w:r w:rsidR="00C734A6" w:rsidRPr="004412A6">
        <w:rPr>
          <w:color w:val="auto"/>
        </w:rPr>
        <w:t xml:space="preserve"> of test guidelines</w:t>
      </w:r>
      <w:r w:rsidR="00120E6E" w:rsidRPr="004412A6">
        <w:rPr>
          <w:color w:val="auto"/>
        </w:rPr>
        <w:fldChar w:fldCharType="begin" w:fldLock="1"/>
      </w:r>
      <w:r w:rsidR="00AC0D9E" w:rsidRPr="004412A6">
        <w:rPr>
          <w:color w:val="auto"/>
        </w:rPr>
        <w:instrText>ADDIN CSL_CITATION {"citationItems":[{"id":"ITEM-1","itemData":{"DOI":"https://doi.org/10.1016/0045-6535(95)00090-U","ISSN":"0045-6535","abstract":"A simple miniscale (approx. 1–2.5 ml) toxicity test procedure with the freshwater green alga Selenastrum capricornutum is described. The procedure fulfils the validity criteria of the ISO (International Association for Standardization) standard test protocol. Practically identical concentration-response curves were obtained with the ISO standard test and the minitest for potassium dichromate and 3,5-dichlorophenol. The minitest is conveniently carried out using 2.5 ml test volume in 20 ml glass scintillation vials, placed on a microplate shaker or on an ordinary shaking table, but smaller containers and test volumes (down to 1 ml) could also be used. Tissue culture treated polystyrene microplates were found toxic to algae and thus unusable. pH control is achieved more easily in the minitest than in larger size shake flasks due to greater turbulence and a larger surface/volume ratio which both facilitates CO2 mass transfer. Uniform illumination of the individual units of a minitest setup is obtained readily due to the small area that has to be illuminated. Using the rapidly growing green alga S. capricornutum as test organism, it is proposed generally to reduce the standard test duration from 3 days to 2 days (minitest as well as larger volume tests) in order to avoid excessive biomass growth. Shortening tests to 2 days appears necessary if light intensity and temperature are near the upper limits of the intervals stated in the ISO standard.","author":[{"dropping-particle":"","family":"Arensberg","given":"Pia","non-dropping-particle":"","parse-names":false,"suffix":""},{"dropping-particle":"","family":"Hemmingsen","given":"Vicky H","non-dropping-particle":"","parse-names":false,"suffix":""},{"dropping-particle":"","family":"Nyholm","given":"Niels","non-dropping-particle":"","parse-names":false,"suffix":""}],"container-title":"Chemosphere","id":"ITEM-1","issue":"11","issued":{"date-parts":[["1995"]]},"page":"2103-2115","title":"A miniscale algal toxicity test","type":"article-journal","volume":"30"},"uris":["http://www.mendeley.com/documents/?uuid=48fa96c5-75c5-4383-a431-8209ccd4983f"]}],"mendeley":{"formattedCitation":"&lt;sup&gt;6&lt;/sup&gt;","plainTextFormattedCitation":"6","previouslyFormattedCitation":"&lt;sup&gt;6&lt;/sup&gt;"},"properties":{"noteIndex":0},"schema":"https://github.com/citation-style-language/schema/raw/master/csl-citation.json"}</w:instrText>
      </w:r>
      <w:r w:rsidR="00120E6E" w:rsidRPr="004412A6">
        <w:rPr>
          <w:color w:val="auto"/>
        </w:rPr>
        <w:fldChar w:fldCharType="separate"/>
      </w:r>
      <w:r w:rsidR="00AC0D9E" w:rsidRPr="004412A6">
        <w:rPr>
          <w:noProof/>
          <w:color w:val="auto"/>
          <w:vertAlign w:val="superscript"/>
        </w:rPr>
        <w:t>6</w:t>
      </w:r>
      <w:r w:rsidR="00120E6E" w:rsidRPr="004412A6">
        <w:rPr>
          <w:color w:val="auto"/>
        </w:rPr>
        <w:fldChar w:fldCharType="end"/>
      </w:r>
      <w:r w:rsidR="006B00FF" w:rsidRPr="004412A6">
        <w:rPr>
          <w:i/>
          <w:color w:val="auto"/>
        </w:rPr>
        <w:t xml:space="preserve">. </w:t>
      </w:r>
      <w:r w:rsidR="00C734A6" w:rsidRPr="004412A6">
        <w:rPr>
          <w:color w:val="auto"/>
        </w:rPr>
        <w:t>For example,</w:t>
      </w:r>
      <w:r w:rsidR="00E81E53" w:rsidRPr="004412A6">
        <w:rPr>
          <w:color w:val="auto"/>
        </w:rPr>
        <w:t xml:space="preserve"> significant loss</w:t>
      </w:r>
      <w:r w:rsidR="00120E6E" w:rsidRPr="004412A6">
        <w:rPr>
          <w:color w:val="auto"/>
        </w:rPr>
        <w:t xml:space="preserve"> </w:t>
      </w:r>
      <w:r w:rsidR="005E1985" w:rsidRPr="004412A6">
        <w:rPr>
          <w:color w:val="auto"/>
        </w:rPr>
        <w:t>of</w:t>
      </w:r>
      <w:r w:rsidR="00C734A6" w:rsidRPr="004412A6">
        <w:rPr>
          <w:color w:val="auto"/>
        </w:rPr>
        <w:t xml:space="preserve"> </w:t>
      </w:r>
      <w:r w:rsidR="005E1985" w:rsidRPr="004412A6">
        <w:rPr>
          <w:color w:val="auto"/>
        </w:rPr>
        <w:t>semi</w:t>
      </w:r>
      <w:r w:rsidR="006B00FF" w:rsidRPr="004412A6">
        <w:rPr>
          <w:color w:val="auto"/>
        </w:rPr>
        <w:t xml:space="preserve">volatile chemicals </w:t>
      </w:r>
      <w:r w:rsidR="005E1985" w:rsidRPr="004412A6">
        <w:rPr>
          <w:color w:val="auto"/>
        </w:rPr>
        <w:t xml:space="preserve">as well as </w:t>
      </w:r>
      <w:r w:rsidR="0049504B" w:rsidRPr="004412A6">
        <w:rPr>
          <w:color w:val="auto"/>
        </w:rPr>
        <w:t xml:space="preserve">cross-over </w:t>
      </w:r>
      <w:r w:rsidR="005E1985" w:rsidRPr="004412A6">
        <w:rPr>
          <w:color w:val="auto"/>
        </w:rPr>
        <w:t>to other wells</w:t>
      </w:r>
      <w:r w:rsidR="006B00FF" w:rsidRPr="004412A6">
        <w:rPr>
          <w:color w:val="auto"/>
        </w:rPr>
        <w:t xml:space="preserve"> in microtiter plates</w:t>
      </w:r>
      <w:r w:rsidR="00E81E53" w:rsidRPr="004412A6">
        <w:rPr>
          <w:color w:val="auto"/>
        </w:rPr>
        <w:t xml:space="preserve"> at 37</w:t>
      </w:r>
      <w:r w:rsidR="00731745">
        <w:rPr>
          <w:color w:val="auto"/>
        </w:rPr>
        <w:t xml:space="preserve"> </w:t>
      </w:r>
      <w:r w:rsidR="00E81E53" w:rsidRPr="004412A6">
        <w:rPr>
          <w:color w:val="auto"/>
        </w:rPr>
        <w:t>°C</w:t>
      </w:r>
      <w:r w:rsidR="005E1985" w:rsidRPr="004412A6">
        <w:rPr>
          <w:color w:val="auto"/>
        </w:rPr>
        <w:t xml:space="preserve"> </w:t>
      </w:r>
      <w:r w:rsidR="00293E4A" w:rsidRPr="004412A6">
        <w:rPr>
          <w:color w:val="auto"/>
        </w:rPr>
        <w:t>in cellular growth media (DMEM GluteMAX, Opti-MEM</w:t>
      </w:r>
      <w:r w:rsidR="004B3D98">
        <w:rPr>
          <w:color w:val="auto"/>
        </w:rPr>
        <w:t>,</w:t>
      </w:r>
      <w:r w:rsidR="00293E4A" w:rsidRPr="004412A6">
        <w:rPr>
          <w:color w:val="auto"/>
        </w:rPr>
        <w:t xml:space="preserve"> and Hams F12 GlutaMAX) </w:t>
      </w:r>
      <w:r w:rsidR="005E1985" w:rsidRPr="004412A6">
        <w:rPr>
          <w:color w:val="auto"/>
        </w:rPr>
        <w:t>was recently dem</w:t>
      </w:r>
      <w:r w:rsidR="008C3A35" w:rsidRPr="004412A6">
        <w:rPr>
          <w:color w:val="auto"/>
        </w:rPr>
        <w:t>onstrated by Birch et al.</w:t>
      </w:r>
      <w:r w:rsidR="008C3A35" w:rsidRPr="004412A6">
        <w:rPr>
          <w:color w:val="auto"/>
        </w:rPr>
        <w:fldChar w:fldCharType="begin" w:fldLock="1"/>
      </w:r>
      <w:r w:rsidR="00AC0D9E" w:rsidRPr="004412A6">
        <w:rPr>
          <w:color w:val="auto"/>
        </w:rPr>
        <w:instrText>ADDIN CSL_CITATION {"citationItems":[{"id":"ITEM-1","itemData":{"DOI":"10.1021/acs.chemrestox.9b00133","ISSN":"0893-228X","abstract":"In vitro assays are normally conducted in plastic multiwell plates open to exchange with the ambient air. The concentration of test substances freely available to cells is often not known, can change over time, and is difficult to measure in the small volumes in microplates. However, even a well-characterized toxicological response is of limited value if it cannot be linked to a well-defined exposure level. The aim of this study was to develop and apply an approach for determining time-resolved freely dissolved concentrations of semivolatile and hydrophobic organic chemicals (SVHOCs) in in vitro assays: (1) free fractions were measured by a new medium dilution method and (2) time-resolved loss curves were obtained by measurements of total concentrations in 96-well plates during incubations at 37 °C. Headspace solid-phase microextraction was used as an analytical technique for 24 model chemicals spanning 6 chemical groups and 4–5 orders of magnitude in Kow and Kaw. Free fractions were &gt;30% for chemicals with log Kow &lt; 3.5 and then decreased with increasing log Kow. Medium concentrations declined significantly (&gt;50%) within 24 h of incubation for all 20 chemicals having log Kow &gt; 4 or log Kaw &gt; −3.5 in serum-free medium. Losses of chemicals were lower for medium containing 10% fetal bovine serum, most significantly for chemicals with log Kow &gt; 4. High crossover to neighboring wells also was observed below log Kow of 4 and log Kaw of −3.5. Sealing the well plates had limited effect on the losses but clearly reduced crossover. The high losses and crossover of most tested chemicals question the suitability of multiwell plates for in vitro testing of SVHOCs and call for (1) test systems that minimize losses, (2) methods to control in vitro exposure, (3) analytical confirmation of exposure, and (4) exposure control and confirmation being included in good in vitro reporting standards.","author":[{"dropping-particle":"","family":"Birch","given":"Heidi","non-dropping-particle":"","parse-names":false,"suffix":""},{"dropping-particle":"","family":"Kramer","given":"Nynke I","non-dropping-particle":"","parse-names":false,"suffix":""},{"dropping-particle":"","family":"Mayer","given":"Philipp","non-dropping-particle":"","parse-names":false,"suffix":""}],"container-title":"Chemical Research in Toxicology","id":"ITEM-1","issue":"9","issued":{"date-parts":[["2019","9","16"]]},"note":"doi: 10.1021/acs.chemrestox.9b00133","page":"1780-1790","publisher":"American Chemical Society","title":"Time-Resolved Freely Dissolved Concentrations of Semivolatile and Hydrophobic Test Chemicals in In Vitro Assays—Measuring High Losses and Crossover by Headspace Solid-Phase Microextraction","type":"article-journal","volume":"32"},"uris":["http://www.mendeley.com/documents/?uuid=2449c84a-2838-4fc9-b9b1-c8ef0d53e605"]}],"mendeley":{"formattedCitation":"&lt;sup&gt;12&lt;/sup&gt;","plainTextFormattedCitation":"12","previouslyFormattedCitation":"&lt;sup&gt;12&lt;/sup&gt;"},"properties":{"noteIndex":0},"schema":"https://github.com/citation-style-language/schema/raw/master/csl-citation.json"}</w:instrText>
      </w:r>
      <w:r w:rsidR="008C3A35" w:rsidRPr="004412A6">
        <w:rPr>
          <w:color w:val="auto"/>
        </w:rPr>
        <w:fldChar w:fldCharType="separate"/>
      </w:r>
      <w:r w:rsidR="00AC0D9E" w:rsidRPr="004412A6">
        <w:rPr>
          <w:noProof/>
          <w:color w:val="auto"/>
          <w:vertAlign w:val="superscript"/>
        </w:rPr>
        <w:t>12</w:t>
      </w:r>
      <w:r w:rsidR="008C3A35" w:rsidRPr="004412A6">
        <w:rPr>
          <w:color w:val="auto"/>
        </w:rPr>
        <w:fldChar w:fldCharType="end"/>
      </w:r>
      <w:r w:rsidR="00D70703" w:rsidRPr="004412A6">
        <w:rPr>
          <w:color w:val="auto"/>
        </w:rPr>
        <w:t xml:space="preserve">. </w:t>
      </w:r>
      <w:r w:rsidR="006B00FF" w:rsidRPr="004412A6">
        <w:rPr>
          <w:color w:val="auto"/>
        </w:rPr>
        <w:t xml:space="preserve">Testing of volatile substances </w:t>
      </w:r>
      <w:r w:rsidR="00C734A6" w:rsidRPr="004412A6">
        <w:rPr>
          <w:color w:val="auto"/>
        </w:rPr>
        <w:t xml:space="preserve">may </w:t>
      </w:r>
      <w:r w:rsidR="006B00FF" w:rsidRPr="004412A6">
        <w:rPr>
          <w:color w:val="auto"/>
        </w:rPr>
        <w:t xml:space="preserve">be </w:t>
      </w:r>
      <w:r w:rsidR="00C734A6" w:rsidRPr="004412A6">
        <w:rPr>
          <w:color w:val="auto"/>
        </w:rPr>
        <w:t>successfully conducted with the</w:t>
      </w:r>
      <w:r w:rsidR="006B00FF" w:rsidRPr="004412A6">
        <w:rPr>
          <w:color w:val="auto"/>
        </w:rPr>
        <w:t xml:space="preserve"> LEVITATT setup using 1) closed vials with CO</w:t>
      </w:r>
      <w:r w:rsidR="006B00FF" w:rsidRPr="004412A6">
        <w:rPr>
          <w:color w:val="auto"/>
          <w:vertAlign w:val="subscript"/>
        </w:rPr>
        <w:t>2</w:t>
      </w:r>
      <w:r w:rsidR="0085655B" w:rsidRPr="004412A6">
        <w:rPr>
          <w:color w:val="auto"/>
        </w:rPr>
        <w:t xml:space="preserve"> enriched headspace</w:t>
      </w:r>
      <w:r w:rsidR="008C3A35" w:rsidRPr="004412A6">
        <w:rPr>
          <w:color w:val="auto"/>
        </w:rPr>
        <w:fldChar w:fldCharType="begin" w:fldLock="1"/>
      </w:r>
      <w:r w:rsidR="00AC0D9E" w:rsidRPr="004412A6">
        <w:rPr>
          <w:color w:val="auto"/>
        </w:rPr>
        <w:instrText>ADDIN CSL_CITATION {"citationItems":[{"id":"ITEM-1","itemData":{"DOI":"https://doi.org/10.1016/0045-6535(96)00059-8","ISSN":"0045-6535","abstract":"The application of an air-tight test flasks with a CO2 enriched head space has been found useful for toxicity testing of volatile and hazardous chemicals with algae. The procedure has been demonstrated to perform well with the green algae Selenastrum capricornutum in tests of one or two days duration for a pH range of 7.0 – 8.5. The procedure makes it possible to maintain a constant pH as well as a constant and well defined concentration of test compound during the entire test. To ensure a sufficient carbon supply for exponential growth of the algae through the whole test period and to avoid pH increase due to bicarbonate utilization, the headspace of the test flask is enriched with I % or 2% CO2 depending on the test duration, the algal growth rate and the inoculated algal density. The test medium is buffered with HCO3 which is added to a (precalculated) concentration in equilibrium with the partial pressure of CO2 in the head space at the end of the test, at the desired test pH. With 1 % CO2, approximately 12.5 mM of [HCO3− (which is high) must be added to obtain the pH of 8.1 prescribed in the ISO 8692 standard procedure. Therefore it is suggested to perform the closed test at pH of 7. Results with the method are shown for phenanthrene, a moderate volatile PAH compound (H = 3.6·10−5 atm·m3/mole). The obtained EC10 and EC50 values were 10 times lower than those obtained with open test systems.","author":[{"dropping-particle":"","family":"Halling-Sørensen","given":"B","non-dropping-particle":"","parse-names":false,"suffix":""},{"dropping-particle":"","family":"Nyhohn","given":"N","non-dropping-particle":"","parse-names":false,"suffix":""},{"dropping-particle":"","family":"Baun","given":"A","non-dropping-particle":"","parse-names":false,"suffix":""}],"container-title":"Chemosphere","id":"ITEM-1","issue":"8","issued":{"date-parts":[["1996"]]},"page":"1513-1526","title":"Algal toxicity tests with volatile and hazardous compounds in air-tight test flasks with CO2 enriched headspace","type":"article-journal","volume":"32"},"uris":["http://www.mendeley.com/documents/?uuid=13c4f02d-dd13-49ea-b17a-b9d006642fc0"]}],"mendeley":{"formattedCitation":"&lt;sup&gt;9&lt;/sup&gt;","plainTextFormattedCitation":"9","previouslyFormattedCitation":"&lt;sup&gt;9&lt;/sup&gt;"},"properties":{"noteIndex":0},"schema":"https://github.com/citation-style-language/schema/raw/master/csl-citation.json"}</w:instrText>
      </w:r>
      <w:r w:rsidR="008C3A35" w:rsidRPr="004412A6">
        <w:rPr>
          <w:color w:val="auto"/>
        </w:rPr>
        <w:fldChar w:fldCharType="separate"/>
      </w:r>
      <w:r w:rsidR="00AC0D9E" w:rsidRPr="004412A6">
        <w:rPr>
          <w:noProof/>
          <w:color w:val="auto"/>
          <w:vertAlign w:val="superscript"/>
        </w:rPr>
        <w:t>9</w:t>
      </w:r>
      <w:r w:rsidR="008C3A35" w:rsidRPr="004412A6">
        <w:rPr>
          <w:color w:val="auto"/>
        </w:rPr>
        <w:fldChar w:fldCharType="end"/>
      </w:r>
      <w:r w:rsidR="006B00FF" w:rsidRPr="004412A6">
        <w:rPr>
          <w:color w:val="auto"/>
        </w:rPr>
        <w:t>, 2) directly dosing the volatile</w:t>
      </w:r>
      <w:r w:rsidR="009953FD" w:rsidRPr="004412A6">
        <w:rPr>
          <w:color w:val="auto"/>
        </w:rPr>
        <w:t xml:space="preserve"> compound through the headspace</w:t>
      </w:r>
      <w:r w:rsidR="008C3A35" w:rsidRPr="004412A6">
        <w:rPr>
          <w:color w:val="auto"/>
        </w:rPr>
        <w:fldChar w:fldCharType="begin" w:fldLock="1"/>
      </w:r>
      <w:r w:rsidR="00AC0D9E" w:rsidRPr="004412A6">
        <w:rPr>
          <w:color w:val="auto"/>
        </w:rPr>
        <w:instrText>ADDIN CSL_CITATION {"citationItems":[{"id":"ITEM-1","itemData":{"DOI":"https://doi.org/10.1016/j.chemosphere.2018.07.150","ISSN":"0045-6535","abstract":"It is challenging to conduct aquatic tests with highly hydrophobic and volatile chemicals while avoiding substantial sorptive and evaporative losses. A simple and versatile headspace passive dosing (HS-PD) method was thus developed for such chemicals: The pure liquid test chemical was added to a glass insert, which was then placed with the open end in the headspace of a closed test system containing aqueous test medium. The test chemical served as the dominating partitioning donor for establishing and maintaining maximum exposure levels in the headspace and aqueous solution, without direct contact between the donor and the test medium. The HS-PD method was cross validated against passive dosing with a saturated silicone elastomer, using headspace gas chromatography as analytical instrument and saturated vapors as reference. The HS-PD method was then applied to control the exposure in algal growth inhibition tests with the green algae Raphidocelis subcapitata. The model chemicals were C9-C14 n-alkanes and the cyclic volatile methyl siloxanes octamethyltetracyclosiloxane (D4) and decamethylpentacyclosiloxane (D5). Growth rate inhibition at the solubility limit was 100% for C9-C13 n-alkanes and 53 ± 31% (95% CI) for tetradecane. A moderate inhibition of 11 ± 4% (95% CI) was observed for D4, whereas no inhibition was observed for D5. The present study introduces an effective method for aquatic toxicity testing of a difficult-to-test group of chemicals and provides an improved experimental basis for investigating toxicity cut-offs.","author":[{"dropping-particle":"","family":"Trac","given":"Lam Ngoc","non-dropping-particle":"","parse-names":false,"suffix":""},{"dropping-particle":"","family":"Schmidt","given":"Stine Nørgaard","non-dropping-particle":"","parse-names":false,"suffix":""},{"dropping-particle":"","family":"Mayer","given":"Philipp","non-dropping-particle":"","parse-names":false,"suffix":""}],"container-title":"Chemosphere","id":"ITEM-1","issued":{"date-parts":[["2018"]]},"page":"694-700","title":"Headspace passive dosing of volatile hydrophobic chemicals – Aquatic toxicity testing exactly at the saturation level","type":"article-journal","volume":"211"},"uris":["http://www.mendeley.com/documents/?uuid=81913e51-92ea-4d58-98f7-dca6f92c150c"]}],"mendeley":{"formattedCitation":"&lt;sup&gt;13&lt;/sup&gt;","plainTextFormattedCitation":"13","previouslyFormattedCitation":"&lt;sup&gt;13&lt;/sup&gt;"},"properties":{"noteIndex":0},"schema":"https://github.com/citation-style-language/schema/raw/master/csl-citation.json"}</w:instrText>
      </w:r>
      <w:r w:rsidR="008C3A35" w:rsidRPr="004412A6">
        <w:rPr>
          <w:color w:val="auto"/>
        </w:rPr>
        <w:fldChar w:fldCharType="separate"/>
      </w:r>
      <w:r w:rsidR="00AC0D9E" w:rsidRPr="004412A6">
        <w:rPr>
          <w:noProof/>
          <w:color w:val="auto"/>
          <w:vertAlign w:val="superscript"/>
        </w:rPr>
        <w:t>13</w:t>
      </w:r>
      <w:r w:rsidR="008C3A35" w:rsidRPr="004412A6">
        <w:rPr>
          <w:color w:val="auto"/>
        </w:rPr>
        <w:fldChar w:fldCharType="end"/>
      </w:r>
      <w:r w:rsidR="006B00FF" w:rsidRPr="004412A6">
        <w:rPr>
          <w:color w:val="auto"/>
        </w:rPr>
        <w:t xml:space="preserve"> or in a filled test </w:t>
      </w:r>
      <w:r w:rsidR="0085655B" w:rsidRPr="004412A6">
        <w:rPr>
          <w:color w:val="auto"/>
        </w:rPr>
        <w:t>vial</w:t>
      </w:r>
      <w:r w:rsidR="008C3A35" w:rsidRPr="004412A6">
        <w:rPr>
          <w:color w:val="auto"/>
        </w:rPr>
        <w:fldChar w:fldCharType="begin" w:fldLock="1"/>
      </w:r>
      <w:r w:rsidR="00AC0D9E" w:rsidRPr="004412A6">
        <w:rPr>
          <w:color w:val="auto"/>
        </w:rPr>
        <w:instrText>ADDIN CSL_CITATION {"citationItems":[{"id":"ITEM-1","itemData":{"DOI":"10.1002/etc.5620191022","abstract":"Abstract Exposure concentrations of many hydrophobic substances are difficult to maintain in algal growth inhibition tests performed in open agitated flasks. This is partly because such compounds tend to volatilize from aqueous solution and partly because of sorption to the algal biomass as well as to the test container. A simple filled closed bottle test with low algal densities and bicarbonate enrichment is described here as an approach to minimize the loss of test material from solution. The algal medium was enriched with 300 mg NaHCO3/L, the pH was adjusted to 7.0 by addition of HCl, and the resulting dissolved CO2 concentration supported maximum algal growth rates without pH drift for algal densities up to 4 mg dry weight/L. Two-day toxicity tests with kerosene were performed with this new test design and compared with an open bottle test and with a closed bottle test with headspace. Exposure concentrations of the volatile fraction of kerosene decreased by 99% in the open test, by 77% in the closed flask test with headspace, and by 16% in the filled closed bottle test. Algal growth inhibition was observed at much lower additions of kerosene in the new test design because of the improved maintenance of a constant exposure.","author":[{"dropping-particle":"","family":"Mayer","given":"Philipp","non-dropping-particle":"","parse-names":false,"suffix":""},{"dropping-particle":"","family":"Nyholm","given":"Niels","non-dropping-particle":"","parse-names":false,"suffix":""},{"dropping-particle":"","family":"Verbruggen","given":"Eric M J","non-dropping-particle":"","parse-names":false,"suffix":""},{"dropping-particle":"","family":"Hermens","given":"Joop L M","non-dropping-particle":"","parse-names":false,"suffix":""},{"dropping-particle":"","family":"Tolls","given":"Johannes","non-dropping-particle":"","parse-names":false,"suffix":""}],"container-title":"Environmental Toxicology and Chemistry","id":"ITEM-1","issue":"10","issued":{"date-parts":[["2000"]]},"page":"2551-2556","title":"Algal growth inhibition test in filled, closed bottles for volatile and sorptive materials","type":"article-journal","volume":"19"},"uris":["http://www.mendeley.com/documents/?uuid=ab7f1f61-b411-44c9-9ec9-6b89e1b0b68d"]}],"mendeley":{"formattedCitation":"&lt;sup&gt;10&lt;/sup&gt;","plainTextFormattedCitation":"10","previouslyFormattedCitation":"&lt;sup&gt;10&lt;/sup&gt;"},"properties":{"noteIndex":0},"schema":"https://github.com/citation-style-language/schema/raw/master/csl-citation.json"}</w:instrText>
      </w:r>
      <w:r w:rsidR="008C3A35" w:rsidRPr="004412A6">
        <w:rPr>
          <w:color w:val="auto"/>
        </w:rPr>
        <w:fldChar w:fldCharType="separate"/>
      </w:r>
      <w:r w:rsidR="00AC0D9E" w:rsidRPr="004412A6">
        <w:rPr>
          <w:noProof/>
          <w:color w:val="auto"/>
          <w:vertAlign w:val="superscript"/>
        </w:rPr>
        <w:t>10</w:t>
      </w:r>
      <w:r w:rsidR="008C3A35" w:rsidRPr="004412A6">
        <w:rPr>
          <w:color w:val="auto"/>
        </w:rPr>
        <w:fldChar w:fldCharType="end"/>
      </w:r>
      <w:r w:rsidR="006B00FF" w:rsidRPr="004412A6">
        <w:rPr>
          <w:color w:val="auto"/>
        </w:rPr>
        <w:t xml:space="preserve">. </w:t>
      </w:r>
      <w:r w:rsidR="00450A50" w:rsidRPr="004412A6">
        <w:rPr>
          <w:color w:val="auto"/>
        </w:rPr>
        <w:t>In terms of space requirements, LEVITATT provides a test setup that fills the gap between microtiter plates and Erlenmeyer flask setups while still providing benefits from both setups</w:t>
      </w:r>
      <w:r w:rsidR="007E1117">
        <w:rPr>
          <w:color w:val="auto"/>
        </w:rPr>
        <w:t>,</w:t>
      </w:r>
      <w:r w:rsidR="00293E4A" w:rsidRPr="004412A6">
        <w:rPr>
          <w:color w:val="auto"/>
        </w:rPr>
        <w:t xml:space="preserve"> </w:t>
      </w:r>
      <w:r w:rsidR="00C540DF" w:rsidRPr="004412A6">
        <w:rPr>
          <w:color w:val="auto"/>
        </w:rPr>
        <w:t xml:space="preserve">e.g., </w:t>
      </w:r>
      <w:r w:rsidR="00293E4A" w:rsidRPr="004412A6">
        <w:rPr>
          <w:color w:val="auto"/>
        </w:rPr>
        <w:t xml:space="preserve">maintaining a </w:t>
      </w:r>
      <w:r w:rsidR="00206DBD" w:rsidRPr="004412A6">
        <w:rPr>
          <w:color w:val="auto"/>
        </w:rPr>
        <w:t>concise and compact test environment</w:t>
      </w:r>
      <w:r w:rsidR="00535318" w:rsidRPr="004412A6">
        <w:rPr>
          <w:color w:val="auto"/>
        </w:rPr>
        <w:t xml:space="preserve"> </w:t>
      </w:r>
      <w:r w:rsidR="00293E4A" w:rsidRPr="004412A6">
        <w:rPr>
          <w:color w:val="auto"/>
        </w:rPr>
        <w:t>and sufficient test volume for destructive sampling (</w:t>
      </w:r>
      <w:r w:rsidR="00C540DF" w:rsidRPr="004412A6">
        <w:rPr>
          <w:color w:val="auto"/>
        </w:rPr>
        <w:t xml:space="preserve">e.g., </w:t>
      </w:r>
      <w:r w:rsidR="00293E4A" w:rsidRPr="004412A6">
        <w:rPr>
          <w:color w:val="auto"/>
        </w:rPr>
        <w:t>for characterization of nanomaterials during the test)</w:t>
      </w:r>
      <w:r w:rsidR="00450A50" w:rsidRPr="004412A6">
        <w:rPr>
          <w:color w:val="auto"/>
        </w:rPr>
        <w:t>.</w:t>
      </w:r>
    </w:p>
    <w:p w14:paraId="56CCA8CF" w14:textId="55D8A1B6" w:rsidR="001D5A4A" w:rsidRPr="004412A6" w:rsidRDefault="001D5A4A" w:rsidP="006B70F9">
      <w:pPr>
        <w:contextualSpacing/>
        <w:rPr>
          <w:color w:val="auto"/>
        </w:rPr>
      </w:pPr>
    </w:p>
    <w:p w14:paraId="72C0ACD7" w14:textId="1ABD2052" w:rsidR="00053737" w:rsidRPr="004412A6" w:rsidRDefault="00053737" w:rsidP="006B70F9">
      <w:pPr>
        <w:contextualSpacing/>
        <w:rPr>
          <w:color w:val="auto"/>
        </w:rPr>
      </w:pPr>
      <w:r w:rsidRPr="004412A6">
        <w:rPr>
          <w:color w:val="auto"/>
        </w:rPr>
        <w:t xml:space="preserve">The inter-sample variability for the LEVITATT test system ranged from </w:t>
      </w:r>
      <w:r w:rsidR="006D2115" w:rsidRPr="004412A6">
        <w:rPr>
          <w:color w:val="auto"/>
        </w:rPr>
        <w:t>3.4</w:t>
      </w:r>
      <w:r w:rsidRPr="004412A6">
        <w:rPr>
          <w:color w:val="auto"/>
        </w:rPr>
        <w:t>% (</w:t>
      </w:r>
      <w:r w:rsidR="006D2115" w:rsidRPr="004412A6">
        <w:rPr>
          <w:color w:val="auto"/>
        </w:rPr>
        <w:t>3,5-Dichlorophenol and ZnO NP) to</w:t>
      </w:r>
      <w:r w:rsidRPr="004412A6">
        <w:rPr>
          <w:color w:val="auto"/>
        </w:rPr>
        <w:t xml:space="preserve"> </w:t>
      </w:r>
      <w:r w:rsidR="006D2115" w:rsidRPr="004412A6">
        <w:rPr>
          <w:color w:val="auto"/>
        </w:rPr>
        <w:t>5.6% (BaSO</w:t>
      </w:r>
      <w:r w:rsidR="006D2115" w:rsidRPr="004412A6">
        <w:rPr>
          <w:color w:val="auto"/>
          <w:vertAlign w:val="subscript"/>
        </w:rPr>
        <w:t>4</w:t>
      </w:r>
      <w:r w:rsidR="006D2115" w:rsidRPr="004412A6">
        <w:rPr>
          <w:color w:val="auto"/>
        </w:rPr>
        <w:t xml:space="preserve"> NP)</w:t>
      </w:r>
      <w:r w:rsidR="002363BF" w:rsidRPr="004412A6">
        <w:rPr>
          <w:color w:val="auto"/>
        </w:rPr>
        <w:t>.</w:t>
      </w:r>
      <w:r w:rsidR="006D2115" w:rsidRPr="004412A6">
        <w:rPr>
          <w:color w:val="auto"/>
        </w:rPr>
        <w:t xml:space="preserve"> This is within the requirement of coefficient of variation of average growth in replicate control cultures of 15% indicated by the OECD 201 guideline</w:t>
      </w:r>
      <w:r w:rsidR="006D2115" w:rsidRPr="004412A6">
        <w:rPr>
          <w:color w:val="auto"/>
        </w:rPr>
        <w:fldChar w:fldCharType="begin" w:fldLock="1"/>
      </w:r>
      <w:r w:rsidR="00AC0D9E" w:rsidRPr="004412A6">
        <w:rPr>
          <w:color w:val="auto"/>
        </w:rPr>
        <w:instrText>ADDIN CSL_CITATION {"citationItems":[{"id":"ITEM-1","itemData":{"DOI":"https://doi.org/https://doi.org/10.1787/9789264069923-en","author":[{"dropping-particle":"","family":"OECD","given":"","non-dropping-particle":"","parse-names":false,"suffix":""}],"id":"ITEM-1","issued":{"date-parts":[["2011"]]},"number-of-pages":"25","title":"Test No. 201: Freshwater Alga and Cyanobacteria, Growth Inhibition Test","type":"book"},"uris":["http://www.mendeley.com/documents/?uuid=1a9f6113-e2a9-4d5e-b8d4-96c78fb2727c"]}],"mendeley":{"formattedCitation":"&lt;sup&gt;7&lt;/sup&gt;","plainTextFormattedCitation":"7","previouslyFormattedCitation":"&lt;sup&gt;7&lt;/sup&gt;"},"properties":{"noteIndex":0},"schema":"https://github.com/citation-style-language/schema/raw/master/csl-citation.json"}</w:instrText>
      </w:r>
      <w:r w:rsidR="006D2115" w:rsidRPr="004412A6">
        <w:rPr>
          <w:color w:val="auto"/>
        </w:rPr>
        <w:fldChar w:fldCharType="separate"/>
      </w:r>
      <w:r w:rsidR="00AC0D9E" w:rsidRPr="004412A6">
        <w:rPr>
          <w:noProof/>
          <w:color w:val="auto"/>
          <w:vertAlign w:val="superscript"/>
        </w:rPr>
        <w:t>7</w:t>
      </w:r>
      <w:r w:rsidR="006D2115" w:rsidRPr="004412A6">
        <w:rPr>
          <w:color w:val="auto"/>
        </w:rPr>
        <w:fldChar w:fldCharType="end"/>
      </w:r>
      <w:r w:rsidR="006D2115" w:rsidRPr="004412A6">
        <w:rPr>
          <w:color w:val="auto"/>
        </w:rPr>
        <w:t xml:space="preserve"> (for the LEVITATT inter-sample variability all exposure</w:t>
      </w:r>
      <w:r w:rsidR="006A55E9">
        <w:rPr>
          <w:color w:val="auto"/>
        </w:rPr>
        <w:t>s</w:t>
      </w:r>
      <w:r w:rsidR="006D2115" w:rsidRPr="004412A6">
        <w:rPr>
          <w:color w:val="auto"/>
        </w:rPr>
        <w:t xml:space="preserve"> were also included).</w:t>
      </w:r>
    </w:p>
    <w:p w14:paraId="68521972" w14:textId="77777777" w:rsidR="001D5A4A" w:rsidRPr="004412A6" w:rsidRDefault="001D5A4A" w:rsidP="006B70F9">
      <w:pPr>
        <w:contextualSpacing/>
        <w:rPr>
          <w:color w:val="auto"/>
        </w:rPr>
      </w:pPr>
    </w:p>
    <w:p w14:paraId="1BC53AF5" w14:textId="684ED815" w:rsidR="00D8310C" w:rsidRPr="004412A6" w:rsidRDefault="00CD5320" w:rsidP="006B70F9">
      <w:pPr>
        <w:contextualSpacing/>
        <w:rPr>
          <w:color w:val="auto"/>
        </w:rPr>
      </w:pPr>
      <w:r w:rsidRPr="004412A6">
        <w:rPr>
          <w:iCs/>
          <w:color w:val="auto"/>
        </w:rPr>
        <w:t xml:space="preserve">The </w:t>
      </w:r>
      <w:r w:rsidR="00DA0081" w:rsidRPr="004412A6">
        <w:rPr>
          <w:iCs/>
          <w:color w:val="auto"/>
        </w:rPr>
        <w:t>reproducibility with regards to EC</w:t>
      </w:r>
      <w:r w:rsidR="00DA0081" w:rsidRPr="004412A6">
        <w:rPr>
          <w:iCs/>
          <w:color w:val="auto"/>
          <w:vertAlign w:val="subscript"/>
        </w:rPr>
        <w:t>50</w:t>
      </w:r>
      <w:r w:rsidR="00DA0081" w:rsidRPr="004412A6">
        <w:rPr>
          <w:iCs/>
          <w:color w:val="auto"/>
        </w:rPr>
        <w:t xml:space="preserve">-values </w:t>
      </w:r>
      <w:r w:rsidRPr="004412A6">
        <w:rPr>
          <w:iCs/>
          <w:color w:val="auto"/>
        </w:rPr>
        <w:t xml:space="preserve">of the test setup for the reference substances </w:t>
      </w:r>
      <w:r w:rsidR="00DA0081" w:rsidRPr="004412A6">
        <w:rPr>
          <w:iCs/>
          <w:color w:val="auto"/>
        </w:rPr>
        <w:t>showed a coefficient of variance of</w:t>
      </w:r>
      <w:r w:rsidRPr="004412A6">
        <w:rPr>
          <w:iCs/>
          <w:color w:val="auto"/>
        </w:rPr>
        <w:t xml:space="preserve"> 13% for </w:t>
      </w:r>
      <w:r w:rsidRPr="004412A6">
        <w:rPr>
          <w:color w:val="auto"/>
        </w:rPr>
        <w:t>K</w:t>
      </w:r>
      <w:r w:rsidRPr="004412A6">
        <w:rPr>
          <w:color w:val="auto"/>
          <w:vertAlign w:val="subscript"/>
        </w:rPr>
        <w:t>2</w:t>
      </w:r>
      <w:r w:rsidRPr="004412A6">
        <w:rPr>
          <w:color w:val="auto"/>
        </w:rPr>
        <w:t>Cr</w:t>
      </w:r>
      <w:r w:rsidRPr="004412A6">
        <w:rPr>
          <w:color w:val="auto"/>
          <w:vertAlign w:val="subscript"/>
        </w:rPr>
        <w:t>2</w:t>
      </w:r>
      <w:r w:rsidRPr="004412A6">
        <w:rPr>
          <w:color w:val="auto"/>
        </w:rPr>
        <w:t>O</w:t>
      </w:r>
      <w:r w:rsidRPr="004412A6">
        <w:rPr>
          <w:color w:val="auto"/>
          <w:vertAlign w:val="subscript"/>
        </w:rPr>
        <w:t>7</w:t>
      </w:r>
      <w:r w:rsidRPr="004412A6">
        <w:rPr>
          <w:color w:val="auto"/>
        </w:rPr>
        <w:t xml:space="preserve"> (n</w:t>
      </w:r>
      <w:r w:rsidR="00190645">
        <w:rPr>
          <w:color w:val="auto"/>
        </w:rPr>
        <w:t xml:space="preserve"> </w:t>
      </w:r>
      <w:r w:rsidRPr="004412A6">
        <w:rPr>
          <w:color w:val="auto"/>
        </w:rPr>
        <w:t>=</w:t>
      </w:r>
      <w:r w:rsidR="00190645">
        <w:rPr>
          <w:color w:val="auto"/>
        </w:rPr>
        <w:t xml:space="preserve"> </w:t>
      </w:r>
      <w:r w:rsidRPr="004412A6">
        <w:rPr>
          <w:color w:val="auto"/>
        </w:rPr>
        <w:t>4) and 21% for 3,5-Dichlorophenol (n</w:t>
      </w:r>
      <w:r w:rsidR="00190645">
        <w:rPr>
          <w:color w:val="auto"/>
        </w:rPr>
        <w:t xml:space="preserve"> </w:t>
      </w:r>
      <w:r w:rsidRPr="004412A6">
        <w:rPr>
          <w:color w:val="auto"/>
        </w:rPr>
        <w:t>=</w:t>
      </w:r>
      <w:r w:rsidR="00190645">
        <w:rPr>
          <w:color w:val="auto"/>
        </w:rPr>
        <w:t xml:space="preserve"> </w:t>
      </w:r>
      <w:r w:rsidRPr="004412A6">
        <w:rPr>
          <w:color w:val="auto"/>
        </w:rPr>
        <w:t xml:space="preserve">3). This is </w:t>
      </w:r>
      <w:r w:rsidR="006D2115" w:rsidRPr="004412A6">
        <w:rPr>
          <w:color w:val="auto"/>
        </w:rPr>
        <w:t>comparable to</w:t>
      </w:r>
      <w:r w:rsidR="00E950A8" w:rsidRPr="004412A6">
        <w:rPr>
          <w:color w:val="auto"/>
        </w:rPr>
        <w:t xml:space="preserve"> tests</w:t>
      </w:r>
      <w:r w:rsidRPr="004412A6">
        <w:rPr>
          <w:color w:val="auto"/>
        </w:rPr>
        <w:t xml:space="preserve"> carried out with conventional 250 mL Erlenmeyer flask bioassays for the reference substance K</w:t>
      </w:r>
      <w:r w:rsidRPr="004412A6">
        <w:rPr>
          <w:color w:val="auto"/>
          <w:vertAlign w:val="subscript"/>
        </w:rPr>
        <w:t>2</w:t>
      </w:r>
      <w:r w:rsidRPr="004412A6">
        <w:rPr>
          <w:color w:val="auto"/>
        </w:rPr>
        <w:t>Cr</w:t>
      </w:r>
      <w:r w:rsidRPr="004412A6">
        <w:rPr>
          <w:color w:val="auto"/>
          <w:vertAlign w:val="subscript"/>
        </w:rPr>
        <w:t>2</w:t>
      </w:r>
      <w:r w:rsidRPr="004412A6">
        <w:rPr>
          <w:color w:val="auto"/>
        </w:rPr>
        <w:t>O</w:t>
      </w:r>
      <w:r w:rsidRPr="004412A6">
        <w:rPr>
          <w:color w:val="auto"/>
          <w:vertAlign w:val="subscript"/>
        </w:rPr>
        <w:t>7</w:t>
      </w:r>
      <w:r w:rsidRPr="004412A6">
        <w:rPr>
          <w:color w:val="auto"/>
        </w:rPr>
        <w:t xml:space="preserve"> showing 16.8%</w:t>
      </w:r>
      <w:r w:rsidRPr="004412A6">
        <w:rPr>
          <w:color w:val="auto"/>
        </w:rPr>
        <w:fldChar w:fldCharType="begin" w:fldLock="1"/>
      </w:r>
      <w:r w:rsidR="00AC0D9E" w:rsidRPr="004412A6">
        <w:rPr>
          <w:color w:val="auto"/>
        </w:rPr>
        <w:instrText>ADDIN CSL_CITATION {"citationItems":[{"id":"ITEM-1","itemData":{"DOI":"10.1016/S0147-6513(02)00099-4","ISSN":"0147-6513","abstract":"Two fluorometric microplate algae growth-inhibition assays with a liquid\nvolume of 2 mL and 200 muL per well are presented, and comparative\nstudies on the toxicity of chemicals are carried out with Erlemneyer\nflask assays. The test procedures are in accordance with the standards\nISO 8692 (DIN 38412 L9 and EN 28692), OECD 201 and DIN 38412 L33. By\ntesting four toxicants several times laboratory internal repeatability\nis proven. Statistical evaluation demonstrates that the results obtained\nwith both the 24-well and the 96-well microplates are nearly identical\nwith the results of the Erlenmeyer flask assay. Therefore, the\nmicroplate growth-inhibition assays can be applied for the testing of a\nwide range of chemicals and environmental samples if some methodical\naspects are taken into account. Apart from that, there is a strong need\nfor harmonization if the dependency of the EC values on the\ntoxicological endpoint is considered. (C) 2002 Elsevier Science (USA).\nAll rights reserved.","author":[{"dropping-particle":"","family":"Eisentraeger","given":"A","non-dropping-particle":"","parse-names":false,"suffix":""},{"dropping-particle":"","family":"Dott","given":"W","non-dropping-particle":"","parse-names":false,"suffix":""},{"dropping-particle":"","family":"Klein","given":"J","non-dropping-particle":"","parse-names":false,"suffix":""},{"dropping-particle":"","family":"Hahn","given":"S","non-dropping-particle":"","parse-names":false,"suffix":""}],"container-title":"ECOTOXICOLOGY AND ENVIRONMENTAL SAFETY","id":"ITEM-1","issue":"3","issued":{"date-parts":[["2003","3"]]},"page":"346-354","title":"Comparative studies on algal toxicity testing using fluorometric microplate and Erlenmeyer flask growth-inhibition assays","type":"article-journal","volume":"54"},"uris":["http://www.mendeley.com/documents/?uuid=3da276dd-69db-4ad0-b839-f9a26e6581ac"]}],"mendeley":{"formattedCitation":"&lt;sup&gt;14&lt;/sup&gt;","plainTextFormattedCitation":"14","previouslyFormattedCitation":"&lt;sup&gt;14&lt;/sup&gt;"},"properties":{"noteIndex":0},"schema":"https://github.com/citation-style-language/schema/raw/master/csl-citation.json"}</w:instrText>
      </w:r>
      <w:r w:rsidRPr="004412A6">
        <w:rPr>
          <w:color w:val="auto"/>
        </w:rPr>
        <w:fldChar w:fldCharType="separate"/>
      </w:r>
      <w:r w:rsidR="00AC0D9E" w:rsidRPr="004412A6">
        <w:rPr>
          <w:noProof/>
          <w:color w:val="auto"/>
          <w:vertAlign w:val="superscript"/>
        </w:rPr>
        <w:t>14</w:t>
      </w:r>
      <w:r w:rsidRPr="004412A6">
        <w:rPr>
          <w:color w:val="auto"/>
        </w:rPr>
        <w:fldChar w:fldCharType="end"/>
      </w:r>
      <w:r w:rsidRPr="004412A6">
        <w:rPr>
          <w:color w:val="auto"/>
        </w:rPr>
        <w:t xml:space="preserve"> and 25.4%</w:t>
      </w:r>
      <w:r w:rsidRPr="004412A6">
        <w:rPr>
          <w:color w:val="auto"/>
        </w:rPr>
        <w:fldChar w:fldCharType="begin" w:fldLock="1"/>
      </w:r>
      <w:r w:rsidR="00AC0D9E" w:rsidRPr="004412A6">
        <w:rPr>
          <w:color w:val="auto"/>
        </w:rPr>
        <w:instrText>ADDIN CSL_CITATION {"citationItems":[{"id":"ITEM-1","itemData":{"DOI":"10.1007/s10646-007-0179-4","ISSN":"0963-9292","abstract":"A miniaturized and low-cost algal growth-inhibition assay, with\nPseudokirchneriella subcapitata, based on the standard ISO 8692 and\nusing 96-well microplates, was tested and optimized in this work, to be\nused as a useful tool for pollutant phytotoxicity screening. For\nvalidation, the performance of the microplate algal growth-inhibition\nassay was first compared with the standard flask assay for the toxicity\ntesting of five reference toxicants (copper(II) sulfate, zinc sulfate,\npotassium permanganate, potassium dichromate and 3,5-Dichlorophenol) and\nsix wastewater samples. Statistical evaluation of EC50 results from both\nmethods demonstrated a good agreement between microplate and flask\nassays either in testing chemicals (r(2) = 0.975, p &lt; 0.0017) or\nenvironmental samples toxicity (r(2) = 0.984, p &lt; 0.0001). In addition,\nthe performance of this algal microplate bioassay was also evaluated in\ncomparison with Lemna test, ISO 20079, for phytotoxicity assessment of\n27 wastewater samples from industries and treatment plants. The results\nshowed that the algal test was more sensitive for most of the samples,\nbut a significant agreement between both tests was observed (r(2) =\n0.644, p &lt; 0.0001). In conclusion, this miniaturized test can be a good\ntool to include in a battery of tests for phytotoxicity screening of a\nwide range of chemicals and environmental samples, with the advantage of\nrequiring low sample volumes for the test, allowing large numbers of\nsamples to be tested, and generating low volumes of waste.","author":[{"dropping-particle":"","family":"Paixao","given":"Susana M","non-dropping-particle":"","parse-names":false,"suffix":""},{"dropping-particle":"","family":"Silva","given":"Luis","non-dropping-particle":"","parse-names":false,"suffix":""},{"dropping-particle":"","family":"Fernandes","given":"Andreia","non-dropping-particle":"","parse-names":false,"suffix":""},{"dropping-particle":"","family":"O'Rourke","given":"Kathleen","non-dropping-particle":"","parse-names":false,"suffix":""},{"dropping-particle":"","family":"Mendonca","given":"Elsa","non-dropping-particle":"","parse-names":false,"suffix":""},{"dropping-particle":"","family":"Picado","given":"Ana","non-dropping-particle":"","parse-names":false,"suffix":""}],"container-title":"ECOTOXICOLOGY","id":"ITEM-1","issue":"3","issued":{"date-parts":[["2008","4"]]},"page":"165-171","title":"Performance of a miniaturized algal bioassay in phytotoxicity screening","type":"article-journal","volume":"17"},"uris":["http://www.mendeley.com/documents/?uuid=558bbc0b-fa4a-4975-971b-04cb1a30fcf7"]}],"mendeley":{"formattedCitation":"&lt;sup&gt;15&lt;/sup&gt;","plainTextFormattedCitation":"15","previouslyFormattedCitation":"&lt;sup&gt;15&lt;/sup&gt;"},"properties":{"noteIndex":0},"schema":"https://github.com/citation-style-language/schema/raw/master/csl-citation.json"}</w:instrText>
      </w:r>
      <w:r w:rsidRPr="004412A6">
        <w:rPr>
          <w:color w:val="auto"/>
        </w:rPr>
        <w:fldChar w:fldCharType="separate"/>
      </w:r>
      <w:r w:rsidR="00AC0D9E" w:rsidRPr="004412A6">
        <w:rPr>
          <w:noProof/>
          <w:color w:val="auto"/>
          <w:vertAlign w:val="superscript"/>
        </w:rPr>
        <w:t>15</w:t>
      </w:r>
      <w:r w:rsidRPr="004412A6">
        <w:rPr>
          <w:color w:val="auto"/>
        </w:rPr>
        <w:fldChar w:fldCharType="end"/>
      </w:r>
      <w:r w:rsidRPr="004412A6">
        <w:rPr>
          <w:color w:val="auto"/>
        </w:rPr>
        <w:t xml:space="preserve"> coefficient of variation</w:t>
      </w:r>
      <w:r w:rsidR="00DA0081" w:rsidRPr="004412A6">
        <w:rPr>
          <w:color w:val="auto"/>
        </w:rPr>
        <w:t xml:space="preserve"> for EC</w:t>
      </w:r>
      <w:r w:rsidR="00DA0081" w:rsidRPr="004412A6">
        <w:rPr>
          <w:color w:val="auto"/>
          <w:vertAlign w:val="subscript"/>
        </w:rPr>
        <w:t>50</w:t>
      </w:r>
      <w:r w:rsidR="00DA0081" w:rsidRPr="004412A6">
        <w:rPr>
          <w:color w:val="auto"/>
        </w:rPr>
        <w:t>-values</w:t>
      </w:r>
      <w:r w:rsidRPr="004412A6">
        <w:rPr>
          <w:color w:val="auto"/>
        </w:rPr>
        <w:t>.</w:t>
      </w:r>
      <w:r w:rsidR="00DA0081" w:rsidRPr="004412A6">
        <w:rPr>
          <w:color w:val="auto"/>
        </w:rPr>
        <w:t xml:space="preserve"> </w:t>
      </w:r>
      <w:r w:rsidRPr="004412A6">
        <w:rPr>
          <w:color w:val="auto"/>
        </w:rPr>
        <w:t xml:space="preserve">Microtiter plates have shown lower variation coefficient for some reference substances </w:t>
      </w:r>
      <w:r w:rsidR="00731745">
        <w:rPr>
          <w:color w:val="auto"/>
        </w:rPr>
        <w:t>(</w:t>
      </w:r>
      <w:r w:rsidR="00C540DF" w:rsidRPr="004412A6">
        <w:rPr>
          <w:color w:val="auto"/>
        </w:rPr>
        <w:t xml:space="preserve">e.g., </w:t>
      </w:r>
      <w:r w:rsidRPr="004412A6">
        <w:rPr>
          <w:color w:val="auto"/>
        </w:rPr>
        <w:t>K</w:t>
      </w:r>
      <w:r w:rsidRPr="004412A6">
        <w:rPr>
          <w:color w:val="auto"/>
          <w:vertAlign w:val="subscript"/>
        </w:rPr>
        <w:t>2</w:t>
      </w:r>
      <w:r w:rsidRPr="004412A6">
        <w:rPr>
          <w:color w:val="auto"/>
        </w:rPr>
        <w:t>Cr</w:t>
      </w:r>
      <w:r w:rsidRPr="004412A6">
        <w:rPr>
          <w:color w:val="auto"/>
          <w:vertAlign w:val="subscript"/>
        </w:rPr>
        <w:t>2</w:t>
      </w:r>
      <w:r w:rsidRPr="004412A6">
        <w:rPr>
          <w:color w:val="auto"/>
        </w:rPr>
        <w:t>O</w:t>
      </w:r>
      <w:r w:rsidRPr="004412A6">
        <w:rPr>
          <w:color w:val="auto"/>
          <w:vertAlign w:val="subscript"/>
        </w:rPr>
        <w:t>7</w:t>
      </w:r>
      <w:r w:rsidRPr="004412A6">
        <w:rPr>
          <w:color w:val="auto"/>
        </w:rPr>
        <w:t xml:space="preserve"> (9%</w:t>
      </w:r>
      <w:r w:rsidRPr="004412A6">
        <w:rPr>
          <w:color w:val="auto"/>
        </w:rPr>
        <w:fldChar w:fldCharType="begin" w:fldLock="1"/>
      </w:r>
      <w:r w:rsidR="00AC0D9E" w:rsidRPr="004412A6">
        <w:rPr>
          <w:color w:val="auto"/>
        </w:rPr>
        <w:instrText>ADDIN CSL_CITATION {"citationItems":[{"id":"ITEM-1","itemData":{"DOI":"10.1016/S0147-6513(02)00099-4","ISSN":"0147-6513","abstract":"Two fluorometric microplate algae growth-inhibition assays with a liquid\nvolume of 2 mL and 200 muL per well are presented, and comparative\nstudies on the toxicity of chemicals are carried out with Erlemneyer\nflask assays. The test procedures are in accordance with the standards\nISO 8692 (DIN 38412 L9 and EN 28692), OECD 201 and DIN 38412 L33. By\ntesting four toxicants several times laboratory internal repeatability\nis proven. Statistical evaluation demonstrates that the results obtained\nwith both the 24-well and the 96-well microplates are nearly identical\nwith the results of the Erlenmeyer flask assay. Therefore, the\nmicroplate growth-inhibition assays can be applied for the testing of a\nwide range of chemicals and environmental samples if some methodical\naspects are taken into account. Apart from that, there is a strong need\nfor harmonization if the dependency of the EC values on the\ntoxicological endpoint is considered. (C) 2002 Elsevier Science (USA).\nAll rights reserved.","author":[{"dropping-particle":"","family":"Eisentraeger","given":"A","non-dropping-particle":"","parse-names":false,"suffix":""},{"dropping-particle":"","family":"Dott","given":"W","non-dropping-particle":"","parse-names":false,"suffix":""},{"dropping-particle":"","family":"Klein","given":"J","non-dropping-particle":"","parse-names":false,"suffix":""},{"dropping-particle":"","family":"Hahn","given":"S","non-dropping-particle":"","parse-names":false,"suffix":""}],"container-title":"ECOTOXICOLOGY AND ENVIRONMENTAL SAFETY","id":"ITEM-1","issue":"3","issued":{"date-parts":[["2003","3"]]},"page":"346-354","title":"Comparative studies on algal toxicity testing using fluorometric microplate and Erlenmeyer flask growth-inhibition assays","type":"article-journal","volume":"54"},"uris":["http://www.mendeley.com/documents/?uuid=3da276dd-69db-4ad0-b839-f9a26e6581ac"]},{"id":"ITEM-2","itemData":{"DOI":"10.1007/s10646-007-0179-4","ISSN":"0963-9292","abstract":"A miniaturized and low-cost algal growth-inhibition assay, with\nPseudokirchneriella subcapitata, based on the standard ISO 8692 and\nusing 96-well microplates, was tested and optimized in this work, to be\nused as a useful tool for pollutant phytotoxicity screening. For\nvalidation, the performance of the microplate algal growth-inhibition\nassay was first compared with the standard flask assay for the toxicity\ntesting of five reference toxicants (copper(II) sulfate, zinc sulfate,\npotassium permanganate, potassium dichromate and 3,5-Dichlorophenol) and\nsix wastewater samples. Statistical evaluation of EC50 results from both\nmethods demonstrated a good agreement between microplate and flask\nassays either in testing chemicals (r(2) = 0.975, p &lt; 0.0017) or\nenvironmental samples toxicity (r(2) = 0.984, p &lt; 0.0001). In addition,\nthe performance of this algal microplate bioassay was also evaluated in\ncomparison with Lemna test, ISO 20079, for phytotoxicity assessment of\n27 wastewater samples from industries and treatment plants. The results\nshowed that the algal test was more sensitive for most of the samples,\nbut a significant agreement between both tests was observed (r(2) =\n0.644, p &lt; 0.0001). In conclusion, this miniaturized test can be a good\ntool to include in a battery of tests for phytotoxicity screening of a\nwide range of chemicals and environmental samples, with the advantage of\nrequiring low sample volumes for the test, allowing large numbers of\nsamples to be tested, and generating low volumes of waste.","author":[{"dropping-particle":"","family":"Paixao","given":"Susana M","non-dropping-particle":"","parse-names":false,"suffix":""},{"dropping-particle":"","family":"Silva","given":"Luis","non-dropping-particle":"","parse-names":false,"suffix":""},{"dropping-particle":"","family":"Fernandes","given":"Andreia","non-dropping-particle":"","parse-names":false,"suffix":""},{"dropping-particle":"","family":"O'Rourke","given":"Kathleen","non-dropping-particle":"","parse-names":false,"suffix":""},{"dropping-particle":"","family":"Mendonca","given":"Elsa","non-dropping-particle":"","parse-names":false,"suffix":""},{"dropping-particle":"","family":"Picado","given":"Ana","non-dropping-particle":"","parse-names":false,"suffix":""}],"container-title":"ECOTOXICOLOGY","id":"ITEM-2","issue":"3","issued":{"date-parts":[["2008","4"]]},"page":"165-171","title":"Performance of a miniaturized algal bioassay in phytotoxicity screening","type":"article-journal","volume":"17"},"uris":["http://www.mendeley.com/documents/?uuid=558bbc0b-fa4a-4975-971b-04cb1a30fcf7"]}],"mendeley":{"formattedCitation":"&lt;sup&gt;14, 15&lt;/sup&gt;","plainTextFormattedCitation":"14, 15","previouslyFormattedCitation":"&lt;sup&gt;14, 15&lt;/sup&gt;"},"properties":{"noteIndex":0},"schema":"https://github.com/citation-style-language/schema/raw/master/csl-citation.json"}</w:instrText>
      </w:r>
      <w:r w:rsidRPr="004412A6">
        <w:rPr>
          <w:color w:val="auto"/>
        </w:rPr>
        <w:fldChar w:fldCharType="separate"/>
      </w:r>
      <w:r w:rsidR="00AC0D9E" w:rsidRPr="004412A6">
        <w:rPr>
          <w:noProof/>
          <w:color w:val="auto"/>
          <w:vertAlign w:val="superscript"/>
        </w:rPr>
        <w:t>14,15</w:t>
      </w:r>
      <w:r w:rsidRPr="004412A6">
        <w:rPr>
          <w:color w:val="auto"/>
        </w:rPr>
        <w:fldChar w:fldCharType="end"/>
      </w:r>
      <w:r w:rsidRPr="004412A6">
        <w:rPr>
          <w:color w:val="auto"/>
        </w:rPr>
        <w:t>), while higher coefficients of variation have been observed for phenol (34.9%</w:t>
      </w:r>
      <w:r w:rsidRPr="004412A6">
        <w:rPr>
          <w:color w:val="auto"/>
        </w:rPr>
        <w:fldChar w:fldCharType="begin" w:fldLock="1"/>
      </w:r>
      <w:r w:rsidR="00AC0D9E" w:rsidRPr="004412A6">
        <w:rPr>
          <w:color w:val="auto"/>
        </w:rPr>
        <w:instrText>ADDIN CSL_CITATION {"citationItems":[{"id":"ITEM-1","itemData":{"DOI":"10.1007/BF00027791","ISSN":"0018-8158","author":[{"dropping-particle":"","family":"THELLEN","given":"C","non-dropping-particle":"","parse-names":false,"suffix":""},{"dropping-particle":"","family":"BLAISE","given":"C","non-dropping-particle":"","parse-names":false,"suffix":""},{"dropping-particle":"","family":"ROY","given":"Y","non-dropping-particle":"","parse-names":false,"suffix":""},{"dropping-particle":"","family":"HICKEY","given":"C","non-dropping-particle":"","parse-names":false,"suffix":""}],"container-title":"HYDROBIOLOGIA","id":"ITEM-1","issued":{"date-parts":[["1989","12"]]},"note":"INTERNATIONAL CONF ON ENVIRONMENTAL BIOASSAY TECHNIQUES AND THEIR\nAPPLICATION, UNIV LANCASTER, LANCASTER, ENGLAND, JUL 11-14, 1988","page":"259-268","title":"ROUND-ROBIN TESTING WITH THE SELENASTRUM-CAPRICORNUTUM MICROPLATE TOXICITY ASSAY","type":"article-journal","volume":"188"},"uris":["http://www.mendeley.com/documents/?uuid=1cf95b56-0e9d-469b-9266-d32e7d60d804"]}],"mendeley":{"formattedCitation":"&lt;sup&gt;16&lt;/sup&gt;","plainTextFormattedCitation":"16","previouslyFormattedCitation":"&lt;sup&gt;16&lt;/sup&gt;"},"properties":{"noteIndex":0},"schema":"https://github.com/citation-style-language/schema/raw/master/csl-citation.json"}</w:instrText>
      </w:r>
      <w:r w:rsidRPr="004412A6">
        <w:rPr>
          <w:color w:val="auto"/>
        </w:rPr>
        <w:fldChar w:fldCharType="separate"/>
      </w:r>
      <w:r w:rsidR="00AC0D9E" w:rsidRPr="004412A6">
        <w:rPr>
          <w:noProof/>
          <w:color w:val="auto"/>
          <w:vertAlign w:val="superscript"/>
        </w:rPr>
        <w:t>16</w:t>
      </w:r>
      <w:r w:rsidRPr="004412A6">
        <w:rPr>
          <w:color w:val="auto"/>
        </w:rPr>
        <w:fldChar w:fldCharType="end"/>
      </w:r>
      <w:r w:rsidRPr="004412A6">
        <w:rPr>
          <w:color w:val="auto"/>
        </w:rPr>
        <w:t>)</w:t>
      </w:r>
      <w:r w:rsidR="003645B0" w:rsidRPr="004412A6">
        <w:rPr>
          <w:color w:val="auto"/>
        </w:rPr>
        <w:t xml:space="preserve"> and </w:t>
      </w:r>
      <w:r w:rsidRPr="004412A6">
        <w:rPr>
          <w:color w:val="auto"/>
        </w:rPr>
        <w:t>Dichlorophenol (38%</w:t>
      </w:r>
      <w:r w:rsidRPr="004412A6">
        <w:rPr>
          <w:color w:val="auto"/>
        </w:rPr>
        <w:fldChar w:fldCharType="begin" w:fldLock="1"/>
      </w:r>
      <w:r w:rsidR="00AC0D9E" w:rsidRPr="004412A6">
        <w:rPr>
          <w:color w:val="auto"/>
        </w:rPr>
        <w:instrText>ADDIN CSL_CITATION {"citationItems":[{"id":"ITEM-1","itemData":{"DOI":"10.1016/j.ecoenv.2013.04.020","ISSN":"0147-6513","abstract":"Although riverine periphytic algae attached to riverbed gravel are\ndominant species in flowing rivers, there is limited toxicity data on\nthem because of the difficulty in cell culture and assays. Moreover, it\nis well known that sensitivity to pesticides differ markedly among\nspecies, and therefore the toxicity data for multiple species need to be\nefficiently obtained. In this study, we investigated the use of\nfluorometric microplate toxicity assay for testing periphytic algal\nspecies. We selected five candidate test algal species Desmodesmus\nsubspicatus, Achnanthidium minutissimum, Navicula pelliculosa, Nitzschia\npalea, and Pseudanabaena galeata. The selected species are dominant in\nthe river, include a wide range of taxon, and represent actual species\ncomposition. Other additional species were also used to compare the\nsensitivity and suitability of the microplate assay. A 96-well\nmicroplate was used as a test chamber and algal growth was measured by\nin-vivo fluorescence. Assay conditions using microplate and fluorometric\nmeasurement were established, and sensitivities of 3,5-dichlorophenol as\na reference substance were assayed. The 50 percent effect concentrations\n(EC(50)s) obtained by fluorometric microplate assay and those obtained\nby conventional Erlenmeyer flask assay conducted in this study were\nconsistent. Moreover, the EC50 values of 3,5-dichlorophenol were within\nthe reported confidence intervals in literature. These results supported\nthe validity of our microplate assay. Species sensitivity distribution\n(SSD) analysis was conducted using the EC(50)s of five species. The SSD\nwas found to be similar to the SSD obtained using additional tested\nspecies, suggesting that SSD using the five species largely represents\nalgal sensitivity. Our results provide a useful and efficient method for\nhigh-tier probabilistic ecological risk assessment of pesticides. (C)\n2013 Elsevier Inc. All rights reserved.","author":[{"dropping-particle":"","family":"Nagai","given":"Takashi","non-dropping-particle":"","parse-names":false,"suffix":""},{"dropping-particle":"","family":"Taya","given":"Kiyoshi","non-dropping-particle":"","parse-names":false,"suffix":""},{"dropping-particle":"","family":"Annoh","given":"Hirochica","non-dropping-particle":"","parse-names":false,"suffix":""},{"dropping-particle":"","family":"Ishihara","given":"Satoru","non-dropping-particle":"","parse-names":false,"suffix":""}],"container-title":"ECOTOXICOLOGY AND ENVIRONMENTAL SAFETY","id":"ITEM-1","issued":{"date-parts":[["2013","8"]]},"page":"37-44","title":"Application of a fluorometric microplate algal toxicity assay for riverine periphytic algal species","type":"article-journal","volume":"94"},"uris":["http://www.mendeley.com/documents/?uuid=51b16fc9-6e3f-4654-a4bb-4a781c4079be"]}],"mendeley":{"formattedCitation":"&lt;sup&gt;17&lt;/sup&gt;","plainTextFormattedCitation":"17","previouslyFormattedCitation":"&lt;sup&gt;17&lt;/sup&gt;"},"properties":{"noteIndex":0},"schema":"https://github.com/citation-style-language/schema/raw/master/csl-citation.json"}</w:instrText>
      </w:r>
      <w:r w:rsidRPr="004412A6">
        <w:rPr>
          <w:color w:val="auto"/>
        </w:rPr>
        <w:fldChar w:fldCharType="separate"/>
      </w:r>
      <w:r w:rsidR="00AC0D9E" w:rsidRPr="004412A6">
        <w:rPr>
          <w:noProof/>
          <w:color w:val="auto"/>
          <w:vertAlign w:val="superscript"/>
        </w:rPr>
        <w:t>17</w:t>
      </w:r>
      <w:r w:rsidRPr="004412A6">
        <w:rPr>
          <w:color w:val="auto"/>
        </w:rPr>
        <w:fldChar w:fldCharType="end"/>
      </w:r>
      <w:r w:rsidRPr="004412A6">
        <w:rPr>
          <w:color w:val="auto"/>
        </w:rPr>
        <w:t>).</w:t>
      </w:r>
      <w:r w:rsidR="00E950A8" w:rsidRPr="004412A6">
        <w:rPr>
          <w:color w:val="auto"/>
        </w:rPr>
        <w:t xml:space="preserve"> Limited information is available with regard to </w:t>
      </w:r>
      <w:r w:rsidR="00855EE0" w:rsidRPr="004412A6">
        <w:rPr>
          <w:color w:val="auto"/>
        </w:rPr>
        <w:t>reproducibility</w:t>
      </w:r>
      <w:r w:rsidR="00E950A8" w:rsidRPr="004412A6">
        <w:rPr>
          <w:color w:val="auto"/>
        </w:rPr>
        <w:t xml:space="preserve"> of studies with nanomaterials. However, comparing the inter-sample coefficient of variation </w:t>
      </w:r>
      <w:r w:rsidR="00855EE0" w:rsidRPr="004412A6">
        <w:rPr>
          <w:color w:val="auto"/>
        </w:rPr>
        <w:t>for</w:t>
      </w:r>
      <w:r w:rsidR="00E950A8" w:rsidRPr="004412A6">
        <w:rPr>
          <w:color w:val="auto"/>
        </w:rPr>
        <w:t xml:space="preserve"> ZnO NPs</w:t>
      </w:r>
      <w:r w:rsidR="00D8310C" w:rsidRPr="004412A6">
        <w:rPr>
          <w:color w:val="auto"/>
        </w:rPr>
        <w:t xml:space="preserve"> </w:t>
      </w:r>
      <w:r w:rsidR="00855EE0" w:rsidRPr="004412A6">
        <w:rPr>
          <w:color w:val="auto"/>
        </w:rPr>
        <w:t>using</w:t>
      </w:r>
      <w:r w:rsidR="00D8310C" w:rsidRPr="004412A6">
        <w:rPr>
          <w:color w:val="auto"/>
        </w:rPr>
        <w:t xml:space="preserve"> the LEVITATT system (</w:t>
      </w:r>
      <w:r w:rsidR="00810442" w:rsidRPr="004412A6">
        <w:rPr>
          <w:color w:val="auto"/>
        </w:rPr>
        <w:t>3.4</w:t>
      </w:r>
      <w:r w:rsidR="00D8310C" w:rsidRPr="004412A6">
        <w:rPr>
          <w:color w:val="auto"/>
        </w:rPr>
        <w:t>%) with microtiter plates</w:t>
      </w:r>
      <w:r w:rsidR="00E950A8" w:rsidRPr="004412A6">
        <w:rPr>
          <w:color w:val="auto"/>
        </w:rPr>
        <w:t xml:space="preserve"> </w:t>
      </w:r>
      <w:r w:rsidR="00D8310C" w:rsidRPr="004412A6">
        <w:rPr>
          <w:color w:val="auto"/>
        </w:rPr>
        <w:t>(</w:t>
      </w:r>
      <w:r w:rsidR="00E950A8" w:rsidRPr="004412A6">
        <w:rPr>
          <w:color w:val="auto"/>
        </w:rPr>
        <w:t>67%</w:t>
      </w:r>
      <w:r w:rsidR="00E950A8" w:rsidRPr="004412A6">
        <w:rPr>
          <w:color w:val="auto"/>
        </w:rPr>
        <w:fldChar w:fldCharType="begin" w:fldLock="1"/>
      </w:r>
      <w:r w:rsidR="00AC0D9E" w:rsidRPr="004412A6">
        <w:rPr>
          <w:color w:val="auto"/>
        </w:rPr>
        <w:instrText>ADDIN CSL_CITATION {"citationItems":[{"id":"ITEM-1","itemData":{"DOI":"10.1016/j.chemosphere.2012.12.033","ISSN":"1879-1298 (Electronic)","PMID":"23357865","abstract":"Some metal oxide nanoparticles are photoreactive, thus raising concerns regarding  phototoxicity. This study evaluated ecotoxic effects of zinc oxide nanoparticles and titanium dioxide nanoparticles to the green algae Pseudokirchneriella subcapitata under visible, UVA, and UVB irradiation conditions. The nanoparticles were prepared in algal test medium, and the test units were pre-irradiated by UV light in a photoreactor. Algal assays were also conducted with visible, UVA or UVB lights only without nanoparticles. Algal growth was found to be inhibited as the nanoparticle concentration increased, and ZnO NPs caused destabilization of the cell membranes. We also noted that the inhibitory effects on the growth of algae were not enhanced under UV pre-irradiation conditions. This phenomenon was attributed to the photocatalytic activities of ZnO NPs and TiO2 NPs in both the visible and UV regions. The toxicity of ZnO NPs was almost entirely the consequence of the dissolved free zinc ions. This study provides us with an improved understanding of toxicity of photoreactive nanoparticles as related to the effects of visible and UV lights.","author":[{"dropping-particle":"","family":"Lee","given":"Woo-Mi","non-dropping-particle":"","parse-names":false,"suffix":""},{"dropping-particle":"","family":"An","given":"Youn-Joo","non-dropping-particle":"","parse-names":false,"suffix":""}],"container-title":"Chemosphere","id":"ITEM-1","issue":"4","issued":{"date-parts":[["2013","4"]]},"language":"eng","page":"536-544","publisher-place":"England","title":"Effects of zinc oxide and titanium dioxide nanoparticles on green algae under  visible, UVA, and UVB irradiations: no evidence of enhanced algal toxicity under UV pre-irradiation.","type":"article-journal","volume":"91"},"uris":["http://www.mendeley.com/documents/?uuid=1933fc88-886c-4769-aff1-437c73e8db6f"]}],"mendeley":{"formattedCitation":"&lt;sup&gt;18&lt;/sup&gt;","plainTextFormattedCitation":"18","previouslyFormattedCitation":"&lt;sup&gt;18&lt;/sup&gt;"},"properties":{"noteIndex":0},"schema":"https://github.com/citation-style-language/schema/raw/master/csl-citation.json"}</w:instrText>
      </w:r>
      <w:r w:rsidR="00E950A8" w:rsidRPr="004412A6">
        <w:rPr>
          <w:color w:val="auto"/>
        </w:rPr>
        <w:fldChar w:fldCharType="separate"/>
      </w:r>
      <w:r w:rsidR="00AC0D9E" w:rsidRPr="004412A6">
        <w:rPr>
          <w:noProof/>
          <w:color w:val="auto"/>
          <w:vertAlign w:val="superscript"/>
        </w:rPr>
        <w:t>18</w:t>
      </w:r>
      <w:r w:rsidR="00E950A8" w:rsidRPr="004412A6">
        <w:rPr>
          <w:color w:val="auto"/>
        </w:rPr>
        <w:fldChar w:fldCharType="end"/>
      </w:r>
      <w:r w:rsidR="00D8310C" w:rsidRPr="004412A6">
        <w:rPr>
          <w:color w:val="auto"/>
        </w:rPr>
        <w:t>)</w:t>
      </w:r>
      <w:r w:rsidR="00E950A8" w:rsidRPr="004412A6">
        <w:rPr>
          <w:color w:val="auto"/>
        </w:rPr>
        <w:t xml:space="preserve"> </w:t>
      </w:r>
      <w:r w:rsidR="00D8310C" w:rsidRPr="004412A6">
        <w:rPr>
          <w:color w:val="auto"/>
        </w:rPr>
        <w:t>or Erlenmeyer flasks</w:t>
      </w:r>
      <w:r w:rsidR="00E950A8" w:rsidRPr="004412A6">
        <w:rPr>
          <w:color w:val="auto"/>
        </w:rPr>
        <w:t xml:space="preserve"> </w:t>
      </w:r>
      <w:r w:rsidR="00D8310C" w:rsidRPr="004412A6">
        <w:rPr>
          <w:color w:val="auto"/>
        </w:rPr>
        <w:t>(13%</w:t>
      </w:r>
      <w:r w:rsidR="00D8310C" w:rsidRPr="004412A6">
        <w:rPr>
          <w:color w:val="auto"/>
        </w:rPr>
        <w:fldChar w:fldCharType="begin" w:fldLock="1"/>
      </w:r>
      <w:r w:rsidR="00AC0D9E" w:rsidRPr="004412A6">
        <w:rPr>
          <w:color w:val="auto"/>
        </w:rPr>
        <w:instrText>ADDIN CSL_CITATION {"citationItems":[{"id":"ITEM-1","itemData":{"DOI":"10.1007/s11356-018-3787-z","ISSN":"0944-1344","abstract":"Microalgae are key test organisms to assess the effects of chemicals on\naquatic ecosystems. Zinc oxide nanoparticles (ZnO NPs) as a widely used\nmetal oxide is considered a potential threat to these primary producers\nat the base of the food chain. This study investigates the toxicity of\nZnO NPs, bulk ZnO, and Zn2+ to the representative of freshwater\nmicroalgae, Raphidocelis subcapitata. To examine the effect of shape and\nsize of nanoparticles, two types of spherical ZnO NPs with different\nsizes (20 and 40nm) and two types of rod-shaped ZnO NPs with different\nlengths (100 and 500nm) were synthesized. Microalgal cells were exposed\nto eight concentrations of each ZnO NP type from 0.01 to 0.7mg/L for\n96h. The results showed that 0.7mg/L of ZnO NP could completely inhibit\nalgal growth. Size did not interfere with toxicity in spherical ZnO NPs,\nbut the toxicity decreased by increasing the size of rod-shaped ZnO NPs.\nSpherical ZnO NPs acted more destructive to microalgal cells than\nnanorod shape. The addition of 0.7mg/L of ZnO nanorods to samples caused\n30% cell death, while 50% cell death was observed by adding the same\nconcentration of nanospherical ZnO. Nano ZnO revealed to be more toxic\nthan bulk ZnO and Zn2+. The Zn2+ released from dissolution of ZnO NPs\nwas one of the sources of toxicity, but the ZnO nanostructures were also\nan important factor in the toxicity.","author":[{"dropping-particle":"","family":"Samei","given":"Mahya","non-dropping-particle":"","parse-names":false,"suffix":""},{"dropping-particle":"","family":"Sarrafzadeh","given":"Mohammad-Hossein","non-dropping-particle":"","parse-names":false,"suffix":""},{"dropping-particle":"","family":"Faramarzi","given":"Mohammad Ali","non-dropping-particle":"","parse-names":false,"suffix":""}],"container-title":"ENVIRONMENTAL SCIENCE AND POLLUTION RESEARCH","id":"ITEM-1","issue":"3","issued":{"date-parts":[["2019","1"]]},"page":"2409-2420","publisher":"SPRINGER HEIDELBERG","publisher-place":"TIERGARTENSTRASSE 17, D-69121 HEIDELBERG, GERMANY","title":"The impact of morphology and size of zinc oxide nanoparticles on its toxicity to the freshwater microalga, Raphidocelis subcapitata","type":"article-journal","volume":"26"},"uris":["http://www.mendeley.com/documents/?uuid=8178dce9-ba11-4f2a-8bfe-3ced780cc3ad"]}],"mendeley":{"formattedCitation":"&lt;sup&gt;19&lt;/sup&gt;","plainTextFormattedCitation":"19","previouslyFormattedCitation":"&lt;sup&gt;19&lt;/sup&gt;"},"properties":{"noteIndex":0},"schema":"https://github.com/citation-style-language/schema/raw/master/csl-citation.json"}</w:instrText>
      </w:r>
      <w:r w:rsidR="00D8310C" w:rsidRPr="004412A6">
        <w:rPr>
          <w:color w:val="auto"/>
        </w:rPr>
        <w:fldChar w:fldCharType="separate"/>
      </w:r>
      <w:r w:rsidR="00AC0D9E" w:rsidRPr="004412A6">
        <w:rPr>
          <w:noProof/>
          <w:color w:val="auto"/>
          <w:vertAlign w:val="superscript"/>
        </w:rPr>
        <w:t>19</w:t>
      </w:r>
      <w:r w:rsidR="00D8310C" w:rsidRPr="004412A6">
        <w:rPr>
          <w:color w:val="auto"/>
        </w:rPr>
        <w:fldChar w:fldCharType="end"/>
      </w:r>
      <w:r w:rsidR="00D8310C" w:rsidRPr="004412A6">
        <w:rPr>
          <w:color w:val="auto"/>
        </w:rPr>
        <w:t xml:space="preserve"> and </w:t>
      </w:r>
      <w:r w:rsidR="00E950A8" w:rsidRPr="004412A6">
        <w:rPr>
          <w:color w:val="auto"/>
        </w:rPr>
        <w:t>35%</w:t>
      </w:r>
      <w:r w:rsidR="00D8310C" w:rsidRPr="004412A6">
        <w:rPr>
          <w:color w:val="auto"/>
        </w:rPr>
        <w:fldChar w:fldCharType="begin" w:fldLock="1"/>
      </w:r>
      <w:r w:rsidR="00AC0D9E" w:rsidRPr="004412A6">
        <w:rPr>
          <w:color w:val="auto"/>
        </w:rPr>
        <w:instrText>ADDIN CSL_CITATION {"citationItems":[{"id":"ITEM-1","itemData":{"DOI":"10.1039/c4en00161c","ISSN":"2051-8153","abstract":"The properties of engineered nanomaterials (ENMs), such as their small\nsize and increased reactivity, enable their use in a wide range of\nproducts; however, these attributes may also pose an environmental\nhazard. Wastewater effluent is expected to be a significant source of\nENMs to the aquatic environment. Little is known about the behaviour and\neffect of ENMs in this complex matrix. The aim of this study was to\nassess the effect of titanium dioxide (TiO2) and zinc oxide (ZnO) ENMs\non microalgae Pseudokirchneriella subcapitata in wastewater effluent and\ncompare with more commonly tested matrices, specifically Talaquil growth\nmedia and Suwannee River humic acid. To better understand the toxicity\nresults, ENM concentration, size and streaming potential in the\ndifferent experimental matrices were assessed. The different media types\nhad a significant influence on TiO2 behaviour, with TiO2 settling out of\nsolution within the first 24 hours in wastewater. However, as TiO2 was\nnot toxic to algae at the studied concentration, no difference in effect\nwas observed between media, humic acid and wastewater. In contrast,\nmedia types had less of an influence on ZnO behaviour, with growth\ninhibition observed in all three media types at 72 hours, although the\npresence of organic matter delayed inhibition slightly. The results\ndemonstrate that organic matter properties can have a significant\ninfluence on ENM behaviour, and while this did not translate into an\neffect on algae in the current study, it is still important to consider\nENM behaviour and fate when working in different matrices.","author":[{"dropping-particle":"","family":"Neale","given":"Peta A","non-dropping-particle":"","parse-names":false,"suffix":""},{"dropping-particle":"","family":"Jaemting","given":"Asa K","non-dropping-particle":"","parse-names":false,"suffix":""},{"dropping-particle":"","family":"O'Malley","given":"Elissa","non-dropping-particle":"","parse-names":false,"suffix":""},{"dropping-particle":"","family":"Herrmann","given":"Jan","non-dropping-particle":"","parse-names":false,"suffix":""},{"dropping-particle":"","family":"Escher","given":"Beate I","non-dropping-particle":"","parse-names":false,"suffix":""}],"container-title":"ENVIRONMENTAL SCIENCE-NANO","id":"ITEM-1","issue":"1","issued":{"date-parts":[["2015","2"]]},"page":"86-93","publisher":"ROYAL SOC CHEMISTRY","publisher-place":"THOMAS GRAHAM HOUSE, SCIENCE PARK, MILTON RD, CAMBRIDGE CB4 0WF, CAMBS, ENGLAND","title":"Behaviour of titanium dioxide and zinc oxide nanoparticles in the presence of wastewater-derived organic matter and implications for algal toxicity","type":"article-journal","volume":"2"},"uris":["http://www.mendeley.com/documents/?uuid=4b82ab29-17b2-419e-851b-fef4d239f416"]}],"mendeley":{"formattedCitation":"&lt;sup&gt;20&lt;/sup&gt;","plainTextFormattedCitation":"20","previouslyFormattedCitation":"&lt;sup&gt;20&lt;/sup&gt;"},"properties":{"noteIndex":0},"schema":"https://github.com/citation-style-language/schema/raw/master/csl-citation.json"}</w:instrText>
      </w:r>
      <w:r w:rsidR="00D8310C" w:rsidRPr="004412A6">
        <w:rPr>
          <w:color w:val="auto"/>
        </w:rPr>
        <w:fldChar w:fldCharType="separate"/>
      </w:r>
      <w:r w:rsidR="00AC0D9E" w:rsidRPr="004412A6">
        <w:rPr>
          <w:noProof/>
          <w:color w:val="auto"/>
          <w:vertAlign w:val="superscript"/>
        </w:rPr>
        <w:t>20</w:t>
      </w:r>
      <w:r w:rsidR="00D8310C" w:rsidRPr="004412A6">
        <w:rPr>
          <w:color w:val="auto"/>
        </w:rPr>
        <w:fldChar w:fldCharType="end"/>
      </w:r>
      <w:r w:rsidR="00D8310C" w:rsidRPr="004412A6">
        <w:rPr>
          <w:color w:val="auto"/>
        </w:rPr>
        <w:t>)</w:t>
      </w:r>
      <w:r w:rsidR="00E950A8" w:rsidRPr="004412A6">
        <w:rPr>
          <w:color w:val="auto"/>
        </w:rPr>
        <w:t xml:space="preserve"> </w:t>
      </w:r>
      <w:r w:rsidR="00D8310C" w:rsidRPr="004412A6">
        <w:rPr>
          <w:color w:val="auto"/>
        </w:rPr>
        <w:t>it has less variation. To further test the robustness of the LEVITATT system</w:t>
      </w:r>
      <w:r w:rsidR="00A36F54">
        <w:rPr>
          <w:color w:val="auto"/>
        </w:rPr>
        <w:t>,</w:t>
      </w:r>
      <w:r w:rsidR="00D8310C" w:rsidRPr="004412A6">
        <w:rPr>
          <w:color w:val="auto"/>
        </w:rPr>
        <w:t xml:space="preserve"> a round</w:t>
      </w:r>
      <w:r w:rsidR="00CC59CA">
        <w:rPr>
          <w:color w:val="auto"/>
        </w:rPr>
        <w:t>-</w:t>
      </w:r>
      <w:r w:rsidR="00D8310C" w:rsidRPr="004412A6">
        <w:rPr>
          <w:color w:val="auto"/>
        </w:rPr>
        <w:t>robin study of two test materials (</w:t>
      </w:r>
      <w:r w:rsidR="00A36F54">
        <w:rPr>
          <w:color w:val="auto"/>
        </w:rPr>
        <w:t>one</w:t>
      </w:r>
      <w:r w:rsidR="00A36F54" w:rsidRPr="004412A6">
        <w:rPr>
          <w:color w:val="auto"/>
        </w:rPr>
        <w:t xml:space="preserve"> </w:t>
      </w:r>
      <w:r w:rsidR="00D8310C" w:rsidRPr="004412A6">
        <w:rPr>
          <w:color w:val="auto"/>
        </w:rPr>
        <w:t xml:space="preserve">reference substance and </w:t>
      </w:r>
      <w:r w:rsidR="00A36F54">
        <w:rPr>
          <w:color w:val="auto"/>
        </w:rPr>
        <w:t>one</w:t>
      </w:r>
      <w:r w:rsidR="00A36F54" w:rsidRPr="004412A6">
        <w:rPr>
          <w:color w:val="auto"/>
        </w:rPr>
        <w:t xml:space="preserve"> </w:t>
      </w:r>
      <w:r w:rsidR="00D8310C" w:rsidRPr="004412A6">
        <w:rPr>
          <w:color w:val="auto"/>
        </w:rPr>
        <w:t>difficult to test substance) have been initiated.</w:t>
      </w:r>
    </w:p>
    <w:p w14:paraId="42A887B5" w14:textId="77777777" w:rsidR="006B00FF" w:rsidRPr="004412A6" w:rsidRDefault="006B00FF" w:rsidP="006B70F9">
      <w:pPr>
        <w:contextualSpacing/>
        <w:rPr>
          <w:color w:val="auto"/>
        </w:rPr>
      </w:pPr>
    </w:p>
    <w:p w14:paraId="05315144" w14:textId="25FC3311" w:rsidR="0023500B" w:rsidRPr="004412A6" w:rsidRDefault="00450A50" w:rsidP="006B70F9">
      <w:pPr>
        <w:contextualSpacing/>
        <w:rPr>
          <w:color w:val="auto"/>
        </w:rPr>
      </w:pPr>
      <w:r w:rsidRPr="004412A6">
        <w:rPr>
          <w:color w:val="auto"/>
        </w:rPr>
        <w:t>Maintaining an uncontaminated</w:t>
      </w:r>
      <w:r w:rsidR="00545203" w:rsidRPr="004412A6">
        <w:rPr>
          <w:color w:val="auto"/>
        </w:rPr>
        <w:t xml:space="preserve"> </w:t>
      </w:r>
      <w:r w:rsidRPr="004412A6">
        <w:rPr>
          <w:color w:val="auto"/>
        </w:rPr>
        <w:t xml:space="preserve">algal culture can be difficult if not handled in sterile conditions. </w:t>
      </w:r>
      <w:r w:rsidR="00206DBD" w:rsidRPr="004412A6">
        <w:rPr>
          <w:color w:val="auto"/>
        </w:rPr>
        <w:t>Ex</w:t>
      </w:r>
      <w:r w:rsidR="00545203" w:rsidRPr="004412A6">
        <w:rPr>
          <w:color w:val="auto"/>
        </w:rPr>
        <w:t xml:space="preserve">ponential algal growth is </w:t>
      </w:r>
      <w:r w:rsidRPr="004412A6">
        <w:rPr>
          <w:color w:val="auto"/>
        </w:rPr>
        <w:t xml:space="preserve">a </w:t>
      </w:r>
      <w:r w:rsidR="00545203" w:rsidRPr="004412A6">
        <w:rPr>
          <w:color w:val="auto"/>
        </w:rPr>
        <w:t xml:space="preserve">key </w:t>
      </w:r>
      <w:r w:rsidRPr="004412A6">
        <w:rPr>
          <w:color w:val="auto"/>
        </w:rPr>
        <w:t xml:space="preserve">prerequisite </w:t>
      </w:r>
      <w:r w:rsidR="00545203" w:rsidRPr="004412A6">
        <w:rPr>
          <w:color w:val="auto"/>
        </w:rPr>
        <w:t xml:space="preserve">for </w:t>
      </w:r>
      <w:r w:rsidRPr="004412A6">
        <w:rPr>
          <w:color w:val="auto"/>
        </w:rPr>
        <w:t>performing guideline algal testing.</w:t>
      </w:r>
      <w:r w:rsidR="00D57392" w:rsidRPr="004412A6">
        <w:rPr>
          <w:color w:val="auto"/>
        </w:rPr>
        <w:t xml:space="preserve"> Measuring </w:t>
      </w:r>
      <w:r w:rsidR="00D57392" w:rsidRPr="004412A6">
        <w:rPr>
          <w:color w:val="auto"/>
        </w:rPr>
        <w:lastRenderedPageBreak/>
        <w:t xml:space="preserve">the growth at multiple time points </w:t>
      </w:r>
      <w:r w:rsidR="00731745">
        <w:rPr>
          <w:color w:val="auto"/>
        </w:rPr>
        <w:t>(</w:t>
      </w:r>
      <w:r w:rsidR="00C540DF" w:rsidRPr="004412A6">
        <w:rPr>
          <w:color w:val="auto"/>
        </w:rPr>
        <w:t xml:space="preserve">e.g., </w:t>
      </w:r>
      <w:r w:rsidR="00D57392" w:rsidRPr="004412A6">
        <w:rPr>
          <w:color w:val="auto"/>
        </w:rPr>
        <w:t>2</w:t>
      </w:r>
      <w:r w:rsidR="000769C5" w:rsidRPr="004412A6">
        <w:rPr>
          <w:color w:val="auto"/>
        </w:rPr>
        <w:t>4</w:t>
      </w:r>
      <w:r w:rsidR="0031327D">
        <w:rPr>
          <w:color w:val="auto"/>
        </w:rPr>
        <w:t xml:space="preserve"> h</w:t>
      </w:r>
      <w:r w:rsidR="000769C5" w:rsidRPr="004412A6">
        <w:rPr>
          <w:color w:val="auto"/>
        </w:rPr>
        <w:t>, 48</w:t>
      </w:r>
      <w:r w:rsidR="0031327D">
        <w:rPr>
          <w:color w:val="auto"/>
        </w:rPr>
        <w:t xml:space="preserve"> h</w:t>
      </w:r>
      <w:r w:rsidR="000769C5" w:rsidRPr="004412A6">
        <w:rPr>
          <w:color w:val="auto"/>
        </w:rPr>
        <w:t>, 72</w:t>
      </w:r>
      <w:r w:rsidR="00731745">
        <w:rPr>
          <w:color w:val="auto"/>
        </w:rPr>
        <w:t xml:space="preserve"> h)</w:t>
      </w:r>
      <w:r w:rsidR="000769C5" w:rsidRPr="004412A6">
        <w:rPr>
          <w:color w:val="auto"/>
        </w:rPr>
        <w:t xml:space="preserve"> can identify whether exponential growth is occurring throughout the test period.</w:t>
      </w:r>
      <w:r w:rsidRPr="004412A6">
        <w:rPr>
          <w:color w:val="auto"/>
        </w:rPr>
        <w:t xml:space="preserve"> </w:t>
      </w:r>
      <w:r w:rsidR="00545203" w:rsidRPr="004412A6">
        <w:rPr>
          <w:color w:val="auto"/>
        </w:rPr>
        <w:t xml:space="preserve">Fluctuations in temperature and pH can influence the </w:t>
      </w:r>
      <w:r w:rsidR="00854BC1" w:rsidRPr="004412A6">
        <w:rPr>
          <w:color w:val="auto"/>
        </w:rPr>
        <w:t xml:space="preserve">algal </w:t>
      </w:r>
      <w:r w:rsidR="00545203" w:rsidRPr="004412A6">
        <w:rPr>
          <w:color w:val="auto"/>
        </w:rPr>
        <w:t>growth</w:t>
      </w:r>
      <w:r w:rsidR="0031327D">
        <w:rPr>
          <w:color w:val="auto"/>
        </w:rPr>
        <w:t>;</w:t>
      </w:r>
      <w:r w:rsidR="00545203" w:rsidRPr="004412A6">
        <w:rPr>
          <w:color w:val="auto"/>
        </w:rPr>
        <w:t xml:space="preserve"> </w:t>
      </w:r>
      <w:r w:rsidR="00854BC1" w:rsidRPr="004412A6">
        <w:rPr>
          <w:color w:val="auto"/>
        </w:rPr>
        <w:t>thus</w:t>
      </w:r>
      <w:r w:rsidR="0031327D">
        <w:rPr>
          <w:color w:val="auto"/>
        </w:rPr>
        <w:t>,</w:t>
      </w:r>
      <w:r w:rsidR="00854BC1" w:rsidRPr="004412A6">
        <w:rPr>
          <w:color w:val="auto"/>
        </w:rPr>
        <w:t xml:space="preserve"> </w:t>
      </w:r>
      <w:r w:rsidR="00545203" w:rsidRPr="004412A6">
        <w:rPr>
          <w:color w:val="auto"/>
        </w:rPr>
        <w:t>th</w:t>
      </w:r>
      <w:r w:rsidR="00854BC1" w:rsidRPr="004412A6">
        <w:rPr>
          <w:color w:val="auto"/>
        </w:rPr>
        <w:t>ese parameters must</w:t>
      </w:r>
      <w:r w:rsidR="00545203" w:rsidRPr="004412A6">
        <w:rPr>
          <w:color w:val="auto"/>
        </w:rPr>
        <w:t xml:space="preserve"> be stable throughout the test period. In small </w:t>
      </w:r>
      <w:r w:rsidR="006B00FF" w:rsidRPr="004412A6">
        <w:rPr>
          <w:color w:val="auto"/>
        </w:rPr>
        <w:t>volumes</w:t>
      </w:r>
      <w:r w:rsidR="00D70703" w:rsidRPr="004412A6">
        <w:rPr>
          <w:color w:val="auto"/>
        </w:rPr>
        <w:t xml:space="preserve"> </w:t>
      </w:r>
      <w:r w:rsidR="00545203" w:rsidRPr="004412A6">
        <w:rPr>
          <w:color w:val="auto"/>
        </w:rPr>
        <w:t>of test sample</w:t>
      </w:r>
      <w:r w:rsidR="004F1CC8">
        <w:rPr>
          <w:color w:val="auto"/>
        </w:rPr>
        <w:t>,</w:t>
      </w:r>
      <w:r w:rsidR="00545203" w:rsidRPr="004412A6">
        <w:rPr>
          <w:color w:val="auto"/>
        </w:rPr>
        <w:t xml:space="preserve"> </w:t>
      </w:r>
      <w:r w:rsidR="006B00FF" w:rsidRPr="004412A6">
        <w:rPr>
          <w:color w:val="auto"/>
        </w:rPr>
        <w:t>fluctuations in</w:t>
      </w:r>
      <w:r w:rsidR="00D70703" w:rsidRPr="004412A6">
        <w:rPr>
          <w:color w:val="auto"/>
        </w:rPr>
        <w:t xml:space="preserve"> temperature and</w:t>
      </w:r>
      <w:r w:rsidR="006B00FF" w:rsidRPr="004412A6">
        <w:rPr>
          <w:color w:val="auto"/>
        </w:rPr>
        <w:t xml:space="preserve"> </w:t>
      </w:r>
      <w:r w:rsidR="00D70703" w:rsidRPr="004412A6">
        <w:rPr>
          <w:color w:val="auto"/>
        </w:rPr>
        <w:t xml:space="preserve">pH </w:t>
      </w:r>
      <w:r w:rsidR="006B00FF" w:rsidRPr="004412A6">
        <w:rPr>
          <w:color w:val="auto"/>
        </w:rPr>
        <w:t>occur more rapid</w:t>
      </w:r>
      <w:r w:rsidR="00854BC1" w:rsidRPr="004412A6">
        <w:rPr>
          <w:color w:val="auto"/>
        </w:rPr>
        <w:t>ly</w:t>
      </w:r>
      <w:r w:rsidR="006B00FF" w:rsidRPr="004412A6">
        <w:rPr>
          <w:color w:val="auto"/>
        </w:rPr>
        <w:t xml:space="preserve"> compared to larger volumes</w:t>
      </w:r>
      <w:r w:rsidR="00D15714" w:rsidRPr="004412A6">
        <w:rPr>
          <w:color w:val="auto"/>
        </w:rPr>
        <w:t xml:space="preserve"> and the practical issue</w:t>
      </w:r>
      <w:r w:rsidR="006E7726" w:rsidRPr="004412A6">
        <w:rPr>
          <w:color w:val="auto"/>
        </w:rPr>
        <w:t>s</w:t>
      </w:r>
      <w:r w:rsidR="00D15714" w:rsidRPr="004412A6">
        <w:rPr>
          <w:color w:val="auto"/>
        </w:rPr>
        <w:t xml:space="preserve"> of measuring</w:t>
      </w:r>
      <w:r w:rsidR="00BB2BFF" w:rsidRPr="004412A6">
        <w:rPr>
          <w:color w:val="auto"/>
        </w:rPr>
        <w:t xml:space="preserve"> </w:t>
      </w:r>
      <w:r w:rsidR="003D6E42" w:rsidRPr="004412A6">
        <w:rPr>
          <w:color w:val="auto"/>
        </w:rPr>
        <w:t>th</w:t>
      </w:r>
      <w:r w:rsidR="003D6E42">
        <w:rPr>
          <w:color w:val="auto"/>
        </w:rPr>
        <w:t>e</w:t>
      </w:r>
      <w:r w:rsidR="003D6E42" w:rsidRPr="004412A6">
        <w:rPr>
          <w:color w:val="auto"/>
        </w:rPr>
        <w:t xml:space="preserve">se </w:t>
      </w:r>
      <w:r w:rsidR="00BB2BFF" w:rsidRPr="004412A6">
        <w:rPr>
          <w:color w:val="auto"/>
        </w:rPr>
        <w:t>parameters are</w:t>
      </w:r>
      <w:r w:rsidR="00D15714" w:rsidRPr="004412A6">
        <w:rPr>
          <w:color w:val="auto"/>
        </w:rPr>
        <w:t xml:space="preserve"> increasingly difficult with decreasing test volume</w:t>
      </w:r>
      <w:r w:rsidR="006B00FF" w:rsidRPr="004412A6">
        <w:rPr>
          <w:color w:val="auto"/>
        </w:rPr>
        <w:t>.</w:t>
      </w:r>
      <w:r w:rsidR="00545203" w:rsidRPr="004412A6">
        <w:rPr>
          <w:color w:val="auto"/>
        </w:rPr>
        <w:t xml:space="preserve"> </w:t>
      </w:r>
      <w:r w:rsidR="00D70703" w:rsidRPr="004412A6">
        <w:rPr>
          <w:color w:val="auto"/>
        </w:rPr>
        <w:t xml:space="preserve">Parameters such as pH and temperature using 4 mL </w:t>
      </w:r>
      <w:r w:rsidR="00854BC1" w:rsidRPr="004412A6">
        <w:rPr>
          <w:color w:val="auto"/>
        </w:rPr>
        <w:t xml:space="preserve">test volume </w:t>
      </w:r>
      <w:r w:rsidR="006B00FF" w:rsidRPr="004412A6">
        <w:rPr>
          <w:color w:val="auto"/>
        </w:rPr>
        <w:t xml:space="preserve">was </w:t>
      </w:r>
      <w:r w:rsidR="00D70703" w:rsidRPr="004412A6">
        <w:rPr>
          <w:color w:val="auto"/>
        </w:rPr>
        <w:t>stable throughout a 72</w:t>
      </w:r>
      <w:r w:rsidR="00731745">
        <w:rPr>
          <w:color w:val="auto"/>
        </w:rPr>
        <w:t xml:space="preserve"> </w:t>
      </w:r>
      <w:r w:rsidR="00D70703" w:rsidRPr="004412A6">
        <w:rPr>
          <w:color w:val="auto"/>
        </w:rPr>
        <w:t>h testing period</w:t>
      </w:r>
      <w:r w:rsidR="006B00FF" w:rsidRPr="004412A6">
        <w:rPr>
          <w:color w:val="auto"/>
        </w:rPr>
        <w:t xml:space="preserve"> in the LEVITATT</w:t>
      </w:r>
      <w:r w:rsidR="00D15714" w:rsidRPr="004412A6">
        <w:rPr>
          <w:color w:val="auto"/>
        </w:rPr>
        <w:t xml:space="preserve"> both in a temperature</w:t>
      </w:r>
      <w:r w:rsidR="00CC59CA">
        <w:rPr>
          <w:color w:val="auto"/>
        </w:rPr>
        <w:t>-</w:t>
      </w:r>
      <w:r w:rsidR="00D15714" w:rsidRPr="004412A6">
        <w:rPr>
          <w:color w:val="auto"/>
        </w:rPr>
        <w:t>controlled room at 20</w:t>
      </w:r>
      <w:r w:rsidR="00715AEE">
        <w:rPr>
          <w:color w:val="auto"/>
        </w:rPr>
        <w:t xml:space="preserve"> </w:t>
      </w:r>
      <w:r w:rsidR="00715AEE" w:rsidRPr="004412A6">
        <w:rPr>
          <w:color w:val="auto"/>
        </w:rPr>
        <w:t>°C</w:t>
      </w:r>
      <w:r w:rsidR="00731745">
        <w:rPr>
          <w:color w:val="auto"/>
        </w:rPr>
        <w:t xml:space="preserve"> </w:t>
      </w:r>
      <w:r w:rsidR="00D15714" w:rsidRPr="004412A6">
        <w:rPr>
          <w:color w:val="auto"/>
        </w:rPr>
        <w:t>±</w:t>
      </w:r>
      <w:r w:rsidR="00731745">
        <w:rPr>
          <w:color w:val="auto"/>
        </w:rPr>
        <w:t xml:space="preserve"> </w:t>
      </w:r>
      <w:r w:rsidR="00D15714" w:rsidRPr="004412A6">
        <w:rPr>
          <w:color w:val="auto"/>
        </w:rPr>
        <w:t>2</w:t>
      </w:r>
      <w:r w:rsidR="00731745">
        <w:rPr>
          <w:color w:val="auto"/>
        </w:rPr>
        <w:t xml:space="preserve"> </w:t>
      </w:r>
      <w:r w:rsidR="00D15714" w:rsidRPr="004412A6">
        <w:rPr>
          <w:color w:val="auto"/>
        </w:rPr>
        <w:t>°C and in an incubator at similar conditions</w:t>
      </w:r>
      <w:r w:rsidR="00545203" w:rsidRPr="004412A6">
        <w:rPr>
          <w:color w:val="auto"/>
        </w:rPr>
        <w:t>.</w:t>
      </w:r>
    </w:p>
    <w:p w14:paraId="294BB290" w14:textId="40376A75" w:rsidR="00560C4E" w:rsidRPr="004412A6" w:rsidRDefault="00560C4E" w:rsidP="006B70F9">
      <w:pPr>
        <w:contextualSpacing/>
        <w:rPr>
          <w:color w:val="auto"/>
        </w:rPr>
      </w:pPr>
    </w:p>
    <w:p w14:paraId="651CCDC5" w14:textId="63B78A61" w:rsidR="00560C4E" w:rsidRPr="004412A6" w:rsidRDefault="00560C4E" w:rsidP="006B70F9">
      <w:pPr>
        <w:contextualSpacing/>
        <w:rPr>
          <w:iCs/>
          <w:color w:val="auto"/>
        </w:rPr>
      </w:pPr>
      <w:r w:rsidRPr="004412A6">
        <w:rPr>
          <w:iCs/>
          <w:color w:val="auto"/>
        </w:rPr>
        <w:t>Analytical methods for quantification of algal growth are many</w:t>
      </w:r>
      <w:r w:rsidR="00B42CDF">
        <w:rPr>
          <w:iCs/>
          <w:color w:val="auto"/>
        </w:rPr>
        <w:t xml:space="preserve">: </w:t>
      </w:r>
      <w:r w:rsidRPr="004412A6">
        <w:rPr>
          <w:iCs/>
          <w:color w:val="auto"/>
        </w:rPr>
        <w:t>cell counting in a haemocytometer, coulter counter</w:t>
      </w:r>
      <w:r w:rsidR="008814B1">
        <w:rPr>
          <w:iCs/>
          <w:color w:val="auto"/>
        </w:rPr>
        <w:t>,</w:t>
      </w:r>
      <w:r w:rsidRPr="004412A6">
        <w:rPr>
          <w:iCs/>
          <w:color w:val="auto"/>
        </w:rPr>
        <w:t xml:space="preserve"> or fluorescence of pigment extracts. For difficult substances</w:t>
      </w:r>
      <w:r w:rsidR="00C97DBD">
        <w:rPr>
          <w:iCs/>
          <w:color w:val="auto"/>
        </w:rPr>
        <w:t>,</w:t>
      </w:r>
      <w:r w:rsidRPr="004412A6">
        <w:rPr>
          <w:iCs/>
          <w:color w:val="auto"/>
        </w:rPr>
        <w:t xml:space="preserve"> considerations should be made with regard to the most suitable method for biomass quantification. For metal oxide nanoparticles, fluorescence of pigment extracts has been found to perform best due to interference of agglomerates when counting algae by haemocytometer</w:t>
      </w:r>
      <w:r w:rsidR="003F2A9F" w:rsidRPr="004412A6">
        <w:rPr>
          <w:iCs/>
          <w:color w:val="auto"/>
        </w:rPr>
        <w:t xml:space="preserve"> or</w:t>
      </w:r>
      <w:r w:rsidR="00C540DF" w:rsidRPr="004412A6">
        <w:rPr>
          <w:iCs/>
          <w:color w:val="auto"/>
        </w:rPr>
        <w:t xml:space="preserve"> </w:t>
      </w:r>
      <w:r w:rsidRPr="004412A6">
        <w:rPr>
          <w:iCs/>
          <w:color w:val="auto"/>
        </w:rPr>
        <w:t>coulter counter</w:t>
      </w:r>
      <w:r w:rsidR="008C3A35" w:rsidRPr="004412A6">
        <w:rPr>
          <w:iCs/>
          <w:color w:val="auto"/>
        </w:rPr>
        <w:fldChar w:fldCharType="begin" w:fldLock="1"/>
      </w:r>
      <w:r w:rsidR="00AC0D9E" w:rsidRPr="004412A6">
        <w:rPr>
          <w:iCs/>
          <w:color w:val="auto"/>
        </w:rPr>
        <w:instrText>ADDIN CSL_CITATION {"citationItems":[{"id":"ITEM-1","itemData":{"DOI":"10.3109/17435390.2012.710657","ISSN":"1743-5390","abstract":"Aquatic toxicology of engineered nanoparticles is challenged by\nmethodological difficulties stemming partly from highly dynamic and\npoorly understood behavior of nanoparticles in biological test systems.\nIn this paper scientific and technical challenges of testing not readily\nsoluble nanoparticles in standardised algal growth inhibition tests are\nhighlighted with specific focus on biomass quantification methods. This\nis illustrated through tests with TiO2 and Au nanoparticles, for which\ncell-nanoparticle interactions and behavior was studied during\nincubation. Au NP coating layers changed over time and TiO2 nanoparticle\naggregation/agglomeration increased as a function of concentration.\nThree biomass surrogate measuring techniques were evaluated (coulter\ncounting, cell counting in haemocytometer, and fluorescence of pigment\nextracts) and out of these the fluorometric methods was found to be most\nsuitable. Background correction was identified as a key issue for\nbiomass quantification, complicated by algae-particle interactions and\nnanoparticle transformation. Optimisation of the method is needed to\nreduce further particle interference on measurements.","author":[{"dropping-particle":"","family":"Hartmann","given":"Nanna B","non-dropping-particle":"","parse-names":false,"suffix":""},{"dropping-particle":"","family":"Engelbrekt","given":"Christian","non-dropping-particle":"","parse-names":false,"suffix":""},{"dropping-particle":"","family":"Zhang","given":"Jingdong","non-dropping-particle":"","parse-names":false,"suffix":""},{"dropping-particle":"","family":"Ulstrup","given":"Jens","non-dropping-particle":"","parse-names":false,"suffix":""},{"dropping-particle":"","family":"Kusk","given":"Kresten Ole","non-dropping-particle":"","parse-names":false,"suffix":""},{"dropping-particle":"","family":"Baun","given":"Anders","non-dropping-particle":"","parse-names":false,"suffix":""}],"container-title":"NANOTOXICOLOGY","id":"ITEM-1","issue":"6","issued":{"date-parts":[["2013","9"]]},"page":"1082-1094","publisher":"INFORMA HEALTHCARE","publisher-place":"52 VANDERBILT AVE, NEW YORK, NY 10017 USA","title":"The challenges of testing metal and metal oxide nanoparticles in algal bioassays: titanium dioxide and gold nanoparticles as case studies","type":"article-journal","volume":"7"},"uris":["http://www.mendeley.com/documents/?uuid=5518a519-6420-4f2f-a0fb-24e9efd89f8f"]}],"mendeley":{"formattedCitation":"&lt;sup&gt;21&lt;/sup&gt;","plainTextFormattedCitation":"21","previouslyFormattedCitation":"&lt;sup&gt;21&lt;/sup&gt;"},"properties":{"noteIndex":0},"schema":"https://github.com/citation-style-language/schema/raw/master/csl-citation.json"}</w:instrText>
      </w:r>
      <w:r w:rsidR="008C3A35" w:rsidRPr="004412A6">
        <w:rPr>
          <w:iCs/>
          <w:color w:val="auto"/>
        </w:rPr>
        <w:fldChar w:fldCharType="separate"/>
      </w:r>
      <w:r w:rsidR="00AC0D9E" w:rsidRPr="004412A6">
        <w:rPr>
          <w:iCs/>
          <w:noProof/>
          <w:color w:val="auto"/>
          <w:vertAlign w:val="superscript"/>
        </w:rPr>
        <w:t>21</w:t>
      </w:r>
      <w:r w:rsidR="008C3A35" w:rsidRPr="004412A6">
        <w:rPr>
          <w:iCs/>
          <w:color w:val="auto"/>
        </w:rPr>
        <w:fldChar w:fldCharType="end"/>
      </w:r>
      <w:r w:rsidRPr="004412A6">
        <w:rPr>
          <w:iCs/>
          <w:color w:val="auto"/>
        </w:rPr>
        <w:t xml:space="preserve">. In contrast, </w:t>
      </w:r>
      <w:r w:rsidR="00977D0E" w:rsidRPr="004412A6">
        <w:rPr>
          <w:iCs/>
          <w:color w:val="auto"/>
        </w:rPr>
        <w:t>Far</w:t>
      </w:r>
      <w:r w:rsidR="00977D0E">
        <w:rPr>
          <w:iCs/>
          <w:color w:val="auto"/>
        </w:rPr>
        <w:t>k</w:t>
      </w:r>
      <w:r w:rsidR="00977D0E" w:rsidRPr="004412A6">
        <w:rPr>
          <w:iCs/>
          <w:color w:val="auto"/>
        </w:rPr>
        <w:t xml:space="preserve">as </w:t>
      </w:r>
      <w:r w:rsidR="00CC59CA">
        <w:rPr>
          <w:iCs/>
          <w:color w:val="auto"/>
        </w:rPr>
        <w:t>and</w:t>
      </w:r>
      <w:r w:rsidR="00CC59CA" w:rsidRPr="004412A6">
        <w:rPr>
          <w:iCs/>
          <w:color w:val="auto"/>
        </w:rPr>
        <w:t xml:space="preserve"> </w:t>
      </w:r>
      <w:r w:rsidRPr="004412A6">
        <w:rPr>
          <w:iCs/>
          <w:color w:val="auto"/>
        </w:rPr>
        <w:t>Booth</w:t>
      </w:r>
      <w:r w:rsidR="008C3A35" w:rsidRPr="004412A6">
        <w:rPr>
          <w:iCs/>
          <w:color w:val="auto"/>
        </w:rPr>
        <w:fldChar w:fldCharType="begin" w:fldLock="1"/>
      </w:r>
      <w:r w:rsidR="00AC0D9E" w:rsidRPr="004412A6">
        <w:rPr>
          <w:iCs/>
          <w:color w:val="auto"/>
        </w:rPr>
        <w:instrText>ADDIN CSL_CITATION {"citationItems":[{"id":"ITEM-1","itemData":{"DOI":"10.1080/17435390.2017.1329953","ISSN":"1743-5404 (Electronic)","PMID":"28490213","abstract":"Using a multiwalled carbon nanotube (MWCNT) and graphene oxide (GO) as representative test materials, we evaluated the applicability of in vivo and in vitro chlorophyll-a (Chl-a) fluorescence quantification methods, which are used in standard algae ecotoxicity tests such as OECD 201 and ISO 8692. In vivo quantification of Chl-a from Raphidocelis subcapitata indicated a significant reduction in Chl-a fluorescence in the presence of MWCNTs due to shading, but a significant autofluorescence from GO caused an overestimation of Chl-a concentration. In vitro Chl-a quantification methods employing a modified acetone and an ethanol extraction protocol reduced the influence of shading and autofluorescence, but both resulted in a significant loss of fluorescence signal in the presence of 100 mgL(-1) MWCNTs (99-100%) and GO (21-52%). Chl-a reduction was dose dependent for both tested carbon-based MNMs (CNMs), but effects were more pronounced for MWCNT, which caused a significant fluorescence reduction (16 +/- 0.3%) already at 1 mgL(-1). Further study of the CNM-algae-Chl-a interaction processes revealed that CNM can not only interact with live algae, but also efficiently adsorb extracted Chl-a. Our results showed that within 10 min, 95-100% of Chl-a extracted from two algae concentrations were adsorbed to MWCNT, while 35-60% of Chl-a was adsorbed to the GO. This study shows that Chl-a quantification by fluorescence determination is not a suitable method for ecotoxicity testing of CNM. However, a quick screening test for individual MNMs is recommended to determine whether Chl-a adsorption is a significant process prior to selection of a quantification method.","author":[{"dropping-particle":"","family":"Farkas","given":"Julia","non-dropping-particle":"","parse-names":false,"suffix":""},{"dropping-particle":"","family":"Booth","given":"Andy M","non-dropping-particle":"","parse-names":false,"suffix":""}],"container-title":"Nanotoxicology","id":"ITEM-1","issue":"4","issued":{"date-parts":[["2017","5"]]},"language":"eng","page":"569-577","publisher-place":"England","title":"Are fluorescence-based chlorophyll quantification methods suitable for algae toxicity assessment of carbon nanomaterials?","type":"article-journal","volume":"11"},"uris":["http://www.mendeley.com/documents/?uuid=cbd4d92b-06f2-4da5-8a15-fa614c785d65"]}],"mendeley":{"formattedCitation":"&lt;sup&gt;22&lt;/sup&gt;","plainTextFormattedCitation":"22","previouslyFormattedCitation":"&lt;sup&gt;22&lt;/sup&gt;"},"properties":{"noteIndex":0},"schema":"https://github.com/citation-style-language/schema/raw/master/csl-citation.json"}</w:instrText>
      </w:r>
      <w:r w:rsidR="008C3A35" w:rsidRPr="004412A6">
        <w:rPr>
          <w:iCs/>
          <w:color w:val="auto"/>
        </w:rPr>
        <w:fldChar w:fldCharType="separate"/>
      </w:r>
      <w:r w:rsidR="00AC0D9E" w:rsidRPr="004412A6">
        <w:rPr>
          <w:iCs/>
          <w:noProof/>
          <w:color w:val="auto"/>
          <w:vertAlign w:val="superscript"/>
        </w:rPr>
        <w:t>22</w:t>
      </w:r>
      <w:r w:rsidR="008C3A35" w:rsidRPr="004412A6">
        <w:rPr>
          <w:iCs/>
          <w:color w:val="auto"/>
        </w:rPr>
        <w:fldChar w:fldCharType="end"/>
      </w:r>
      <w:r w:rsidRPr="004412A6">
        <w:rPr>
          <w:iCs/>
          <w:color w:val="auto"/>
        </w:rPr>
        <w:t xml:space="preserve"> found that quantification of biomass by fluorescence was not a suitable method for ecotoxicity testing of carbon-based nanomaterials due to autofluorescence and absorbance of pigments to the nanomaterials.</w:t>
      </w:r>
      <w:r w:rsidR="00B42CDF">
        <w:rPr>
          <w:iCs/>
          <w:color w:val="auto"/>
        </w:rPr>
        <w:t xml:space="preserve"> </w:t>
      </w:r>
      <w:r w:rsidRPr="004412A6">
        <w:rPr>
          <w:iCs/>
          <w:color w:val="auto"/>
        </w:rPr>
        <w:t>For colored substances</w:t>
      </w:r>
      <w:r w:rsidR="00C97DBD">
        <w:rPr>
          <w:iCs/>
          <w:color w:val="auto"/>
        </w:rPr>
        <w:t>,</w:t>
      </w:r>
      <w:r w:rsidRPr="004412A6">
        <w:rPr>
          <w:iCs/>
          <w:color w:val="auto"/>
        </w:rPr>
        <w:t xml:space="preserve"> there may also be interference of the color with the fluorescence emission signal, thus</w:t>
      </w:r>
      <w:r w:rsidR="00715AEE">
        <w:rPr>
          <w:iCs/>
          <w:color w:val="auto"/>
        </w:rPr>
        <w:t>,</w:t>
      </w:r>
      <w:r w:rsidRPr="004412A6">
        <w:rPr>
          <w:iCs/>
          <w:color w:val="auto"/>
        </w:rPr>
        <w:t xml:space="preserve"> requiring additional controls or dilution to a level where this interference is negligible.</w:t>
      </w:r>
    </w:p>
    <w:p w14:paraId="55EBF1BC" w14:textId="2CE1AB1C" w:rsidR="00660284" w:rsidRPr="004412A6" w:rsidRDefault="00660284" w:rsidP="006B70F9">
      <w:pPr>
        <w:contextualSpacing/>
        <w:rPr>
          <w:iCs/>
          <w:color w:val="auto"/>
        </w:rPr>
      </w:pPr>
    </w:p>
    <w:p w14:paraId="1C333B80" w14:textId="4C32A291" w:rsidR="000C2C22" w:rsidRPr="004412A6" w:rsidRDefault="00AA56A6" w:rsidP="006B70F9">
      <w:pPr>
        <w:contextualSpacing/>
        <w:rPr>
          <w:iCs/>
          <w:color w:val="auto"/>
        </w:rPr>
      </w:pPr>
      <w:r w:rsidRPr="004412A6">
        <w:rPr>
          <w:iCs/>
          <w:color w:val="auto"/>
        </w:rPr>
        <w:t xml:space="preserve">In the guidance document for </w:t>
      </w:r>
      <w:r w:rsidR="009711DA" w:rsidRPr="004412A6">
        <w:rPr>
          <w:iCs/>
          <w:color w:val="auto"/>
        </w:rPr>
        <w:t xml:space="preserve">aquatic toxicity testing of </w:t>
      </w:r>
      <w:r w:rsidRPr="004412A6">
        <w:rPr>
          <w:iCs/>
          <w:color w:val="auto"/>
        </w:rPr>
        <w:t>difficult substances</w:t>
      </w:r>
      <w:r w:rsidR="00E81E53" w:rsidRPr="004412A6">
        <w:rPr>
          <w:iCs/>
          <w:color w:val="auto"/>
        </w:rPr>
        <w:fldChar w:fldCharType="begin" w:fldLock="1"/>
      </w:r>
      <w:r w:rsidR="00AC0D9E" w:rsidRPr="004412A6">
        <w:rPr>
          <w:iCs/>
          <w:color w:val="auto"/>
        </w:rPr>
        <w:instrText>ADDIN CSL_CITATION {"citationItems":[{"id":"ITEM-1","itemData":{"DOI":"https://doi.org/https://doi.org/10.1787/0ed2f88e-en","author":[{"dropping-particle":"","family":"OECD","given":"","non-dropping-particle":"","parse-names":false,"suffix":""}],"id":"ITEM-1","issued":{"date-parts":[["2019"]]},"number-of-pages":"81","title":"Guidance Document on Aquatic Toxicity Testing of Difficult Substances and Mixtures","type":"book"},"uris":["http://www.mendeley.com/documents/?uuid=690ed2c7-0e3c-408b-bde9-3bbfd5a64fee"]}],"mendeley":{"formattedCitation":"&lt;sup&gt;2&lt;/sup&gt;","plainTextFormattedCitation":"2","previouslyFormattedCitation":"&lt;sup&gt;2&lt;/sup&gt;"},"properties":{"noteIndex":0},"schema":"https://github.com/citation-style-language/schema/raw/master/csl-citation.json"}</w:instrText>
      </w:r>
      <w:r w:rsidR="00E81E53" w:rsidRPr="004412A6">
        <w:rPr>
          <w:iCs/>
          <w:color w:val="auto"/>
        </w:rPr>
        <w:fldChar w:fldCharType="separate"/>
      </w:r>
      <w:r w:rsidR="00AC0D9E" w:rsidRPr="004412A6">
        <w:rPr>
          <w:iCs/>
          <w:noProof/>
          <w:color w:val="auto"/>
          <w:vertAlign w:val="superscript"/>
        </w:rPr>
        <w:t>2</w:t>
      </w:r>
      <w:r w:rsidR="00E81E53" w:rsidRPr="004412A6">
        <w:rPr>
          <w:iCs/>
          <w:color w:val="auto"/>
        </w:rPr>
        <w:fldChar w:fldCharType="end"/>
      </w:r>
      <w:r w:rsidR="00A36CCD" w:rsidRPr="004412A6">
        <w:rPr>
          <w:iCs/>
          <w:color w:val="auto"/>
        </w:rPr>
        <w:t>,</w:t>
      </w:r>
      <w:r w:rsidRPr="004412A6">
        <w:rPr>
          <w:iCs/>
          <w:color w:val="auto"/>
        </w:rPr>
        <w:t xml:space="preserve"> one of the recommendations for testing color</w:t>
      </w:r>
      <w:r w:rsidR="009711DA" w:rsidRPr="004412A6">
        <w:rPr>
          <w:iCs/>
          <w:color w:val="auto"/>
        </w:rPr>
        <w:t>ed</w:t>
      </w:r>
      <w:r w:rsidRPr="004412A6">
        <w:rPr>
          <w:iCs/>
          <w:color w:val="auto"/>
        </w:rPr>
        <w:t xml:space="preserve"> materials is to increase the light intensity. Similarly, increased light intensity </w:t>
      </w:r>
      <w:r w:rsidR="00934221" w:rsidRPr="004412A6">
        <w:rPr>
          <w:iCs/>
          <w:color w:val="auto"/>
        </w:rPr>
        <w:t>ha</w:t>
      </w:r>
      <w:r w:rsidR="00934221">
        <w:rPr>
          <w:iCs/>
          <w:color w:val="auto"/>
        </w:rPr>
        <w:t>s</w:t>
      </w:r>
      <w:r w:rsidR="00934221" w:rsidRPr="004412A6">
        <w:rPr>
          <w:iCs/>
          <w:color w:val="auto"/>
        </w:rPr>
        <w:t xml:space="preserve"> </w:t>
      </w:r>
      <w:r w:rsidRPr="004412A6">
        <w:rPr>
          <w:iCs/>
          <w:color w:val="auto"/>
        </w:rPr>
        <w:t>been mentioned to circumvent shading issues when testing nanomaterials</w:t>
      </w:r>
      <w:r w:rsidR="008C3A35" w:rsidRPr="004412A6">
        <w:rPr>
          <w:iCs/>
          <w:color w:val="auto"/>
        </w:rPr>
        <w:fldChar w:fldCharType="begin" w:fldLock="1"/>
      </w:r>
      <w:r w:rsidR="00AC0D9E" w:rsidRPr="004412A6">
        <w:rPr>
          <w:iCs/>
          <w:color w:val="auto"/>
        </w:rPr>
        <w:instrText>ADDIN CSL_CITATION {"citationItems":[{"id":"ITEM-1","itemData":{"DOI":"10.1007/s10646-012-0862-y","ISSN":"0963-9292","author":[{"dropping-particle":"","family":"Handy","given":"Richard D","non-dropping-particle":"","parse-names":false,"suffix":""},{"dropping-particle":"","family":"Brink","given":"Nico","non-dropping-particle":"van den","parse-names":false,"suffix":""},{"dropping-particle":"","family":"Chappell","given":"Mark","non-dropping-particle":"","parse-names":false,"suffix":""},{"dropping-particle":"","family":"Muehling","given":"Martin","non-dropping-particle":"","parse-names":false,"suffix":""},{"dropping-particle":"","family":"Behra","given":"Renata","non-dropping-particle":"","parse-names":false,"suffix":""},{"dropping-particle":"","family":"Dusinska","given":"Maria","non-dropping-particle":"","parse-names":false,"suffix":""},{"dropping-particle":"","family":"Simpson","given":"Peter","non-dropping-particle":"","parse-names":false,"suffix":""},{"dropping-particle":"","family":"Ahtiainen","given":"Jukka","non-dropping-particle":"","parse-names":false,"suffix":""},{"dropping-particle":"","family":"Jha","given":"Awadhesh N","non-dropping-particle":"","parse-names":false,"suffix":""},{"dropping-particle":"","family":"Seiter","given":"Jennifer","non-dropping-particle":"","parse-names":false,"suffix":""},{"dropping-particle":"","family":"Bednar","given":"Anthony","non-dropping-particle":"","parse-names":false,"suffix":""},{"dropping-particle":"","family":"Kennedy","given":"Alan","non-dropping-particle":"","parse-names":false,"suffix":""},{"dropping-particle":"","family":"Fernandes","given":"Teresa F","non-dropping-particle":"","parse-names":false,"suffix":""},{"dropping-particle":"","family":"Riediker","given":"Michael","non-dropping-particle":"","parse-names":false,"suffix":""}],"container-title":"Ecotoxicology","id":"ITEM-1","issue":"4","issued":{"date-parts":[["2012"]]},"note":"PT: J; TC: 0; UT: WOS:000302800900001","page":"933-972","title":"Practical considerations for conducting ecotoxicity test methods with manufactured nanomaterials: what have we learnt so far?","type":"article-journal","volume":"21"},"uris":["http://www.mendeley.com/documents/?uuid=2835fc5f-80ce-4b5d-b478-628442913c15"]},{"id":"ITEM-2","itemData":{"DOI":"10.1002/etc.706","ISSN":"0730-7268","author":[{"dropping-particle":"","family":"Handy","given":"Richard D","non-dropping-particle":"","parse-names":false,"suffix":""},{"dropping-particle":"","family":"Cornelis","given":"Geert","non-dropping-particle":"","parse-names":false,"suffix":""},{"dropping-particle":"","family":"Fernandes","given":"Teresa","non-dropping-particle":"","parse-names":false,"suffix":""},{"dropping-particle":"","family":"Tsyusko","given":"Olga","non-dropping-particle":"","parse-names":false,"suffix":""},{"dropping-particle":"","family":"Decho","given":"Alan","non-dropping-particle":"","parse-names":false,"suffix":""},{"dropping-particle":"","family":"Sabo-Attwood","given":"Tara","non-dropping-particle":"","parse-names":false,"suffix":""},{"dropping-particle":"","family":"Metcalfe","given":"Chris","non-dropping-particle":"","parse-names":false,"suffix":""},{"dropping-particle":"","family":"Steevens","given":"Jeffery A","non-dropping-particle":"","parse-names":false,"suffix":""},{"dropping-particle":"","family":"Klaine","given":"Stephen J","non-dropping-particle":"","parse-names":false,"suffix":""},{"dropping-particle":"","family":"Koelmans","given":"Albert A","non-dropping-particle":"","parse-names":false,"suffix":""},{"dropping-particle":"","family":"Horne","given":"Nina","non-dropping-particle":"","parse-names":false,"suffix":""}],"container-title":"Environmental Toxicology and Chemistry","id":"ITEM-2","issue":"1","issued":{"date-parts":[["2012"]]},"note":"PT: J; SI: SI; TC: 40; UT: WOS:000297930700003","page":"15-31","title":"Ecotoxicity test methods for engineered nanomaterials: Practical experiences and recommendations from the bench","type":"article-journal","volume":"31"},"uris":["http://www.mendeley.com/documents/?uuid=826b15a5-e29c-4f3d-aff9-803ca73cc235"]}],"mendeley":{"formattedCitation":"&lt;sup&gt;23, 24&lt;/sup&gt;","plainTextFormattedCitation":"23, 24","previouslyFormattedCitation":"&lt;sup&gt;23, 24&lt;/sup&gt;"},"properties":{"noteIndex":0},"schema":"https://github.com/citation-style-language/schema/raw/master/csl-citation.json"}</w:instrText>
      </w:r>
      <w:r w:rsidR="008C3A35" w:rsidRPr="004412A6">
        <w:rPr>
          <w:iCs/>
          <w:color w:val="auto"/>
        </w:rPr>
        <w:fldChar w:fldCharType="separate"/>
      </w:r>
      <w:r w:rsidR="00AC0D9E" w:rsidRPr="004412A6">
        <w:rPr>
          <w:iCs/>
          <w:noProof/>
          <w:color w:val="auto"/>
          <w:vertAlign w:val="superscript"/>
        </w:rPr>
        <w:t>23,24</w:t>
      </w:r>
      <w:r w:rsidR="008C3A35" w:rsidRPr="004412A6">
        <w:rPr>
          <w:iCs/>
          <w:color w:val="auto"/>
        </w:rPr>
        <w:fldChar w:fldCharType="end"/>
      </w:r>
      <w:r w:rsidRPr="004412A6">
        <w:rPr>
          <w:iCs/>
          <w:color w:val="auto"/>
        </w:rPr>
        <w:t xml:space="preserve">. However, such modifications are often associated with increased </w:t>
      </w:r>
      <w:r w:rsidR="009711DA" w:rsidRPr="004412A6">
        <w:rPr>
          <w:iCs/>
          <w:color w:val="auto"/>
        </w:rPr>
        <w:t>temperatures</w:t>
      </w:r>
      <w:r w:rsidR="00934221">
        <w:rPr>
          <w:iCs/>
          <w:color w:val="auto"/>
        </w:rPr>
        <w:t>,</w:t>
      </w:r>
      <w:r w:rsidR="009711DA" w:rsidRPr="004412A6">
        <w:rPr>
          <w:iCs/>
          <w:color w:val="auto"/>
        </w:rPr>
        <w:t xml:space="preserve"> </w:t>
      </w:r>
      <w:r w:rsidRPr="004412A6">
        <w:rPr>
          <w:iCs/>
          <w:color w:val="auto"/>
        </w:rPr>
        <w:t>thus</w:t>
      </w:r>
      <w:r w:rsidR="00934221">
        <w:rPr>
          <w:iCs/>
          <w:color w:val="auto"/>
        </w:rPr>
        <w:t>,</w:t>
      </w:r>
      <w:r w:rsidRPr="004412A6">
        <w:rPr>
          <w:iCs/>
          <w:color w:val="auto"/>
        </w:rPr>
        <w:t xml:space="preserve"> requiring additional cooling or ventilation of the samples. In the LEVITATT setup</w:t>
      </w:r>
      <w:r w:rsidR="00B42CDF">
        <w:rPr>
          <w:iCs/>
          <w:color w:val="auto"/>
        </w:rPr>
        <w:t>,</w:t>
      </w:r>
      <w:r w:rsidRPr="004412A6">
        <w:rPr>
          <w:iCs/>
          <w:color w:val="auto"/>
        </w:rPr>
        <w:t xml:space="preserve"> this is solved </w:t>
      </w:r>
      <w:r w:rsidR="00B42CDF">
        <w:rPr>
          <w:iCs/>
          <w:color w:val="auto"/>
        </w:rPr>
        <w:t>using</w:t>
      </w:r>
      <w:r w:rsidRPr="004412A6">
        <w:rPr>
          <w:iCs/>
          <w:color w:val="auto"/>
        </w:rPr>
        <w:t xml:space="preserve"> LED light that produce</w:t>
      </w:r>
      <w:r w:rsidR="00B42CDF">
        <w:rPr>
          <w:iCs/>
          <w:color w:val="auto"/>
        </w:rPr>
        <w:t>s</w:t>
      </w:r>
      <w:r w:rsidRPr="004412A6">
        <w:rPr>
          <w:iCs/>
          <w:color w:val="auto"/>
        </w:rPr>
        <w:t xml:space="preserve"> little heat compared to conventional light bulbs or fluorescent tubes. </w:t>
      </w:r>
      <w:r w:rsidR="00F360E4" w:rsidRPr="004412A6">
        <w:rPr>
          <w:iCs/>
          <w:color w:val="auto"/>
        </w:rPr>
        <w:t xml:space="preserve">Additionally, choosing an LED with a sufficiently high light intensity output </w:t>
      </w:r>
      <w:r w:rsidR="00B42CDF">
        <w:rPr>
          <w:iCs/>
          <w:color w:val="auto"/>
        </w:rPr>
        <w:t xml:space="preserve">and </w:t>
      </w:r>
      <w:r w:rsidR="00F360E4" w:rsidRPr="004412A6">
        <w:rPr>
          <w:iCs/>
          <w:color w:val="auto"/>
        </w:rPr>
        <w:t xml:space="preserve">the installation of a dimmer allow for increasing the light intensity to test colored substances or nanomaterials and regular chemicals without altering the </w:t>
      </w:r>
      <w:r w:rsidR="00BB2BFF" w:rsidRPr="004412A6">
        <w:rPr>
          <w:iCs/>
          <w:color w:val="auto"/>
        </w:rPr>
        <w:t xml:space="preserve">overall </w:t>
      </w:r>
      <w:r w:rsidR="00F360E4" w:rsidRPr="004412A6">
        <w:rPr>
          <w:iCs/>
          <w:color w:val="auto"/>
        </w:rPr>
        <w:t>setup between tests</w:t>
      </w:r>
      <w:r w:rsidR="00664F2C" w:rsidRPr="004412A6">
        <w:rPr>
          <w:iCs/>
          <w:color w:val="auto"/>
        </w:rPr>
        <w:t>.</w:t>
      </w:r>
      <w:r w:rsidR="00206DBD" w:rsidRPr="004412A6">
        <w:rPr>
          <w:iCs/>
          <w:color w:val="auto"/>
        </w:rPr>
        <w:t xml:space="preserve"> Furthermore, the placement of the light source below </w:t>
      </w:r>
      <w:r w:rsidR="00E24D32" w:rsidRPr="004412A6">
        <w:rPr>
          <w:iCs/>
          <w:color w:val="auto"/>
        </w:rPr>
        <w:t>the samples and in separate casings allows for a</w:t>
      </w:r>
      <w:r w:rsidR="00206DBD" w:rsidRPr="004412A6">
        <w:rPr>
          <w:iCs/>
          <w:color w:val="auto"/>
        </w:rPr>
        <w:t xml:space="preserve"> </w:t>
      </w:r>
      <w:r w:rsidR="00E24D32" w:rsidRPr="004412A6">
        <w:rPr>
          <w:iCs/>
          <w:color w:val="auto"/>
        </w:rPr>
        <w:t>consistent and homogenous light field.</w:t>
      </w:r>
    </w:p>
    <w:p w14:paraId="75C32D68" w14:textId="7785D4AC" w:rsidR="000C2C22" w:rsidRPr="004412A6" w:rsidRDefault="000C2C22" w:rsidP="006B70F9">
      <w:pPr>
        <w:contextualSpacing/>
        <w:rPr>
          <w:iCs/>
          <w:color w:val="auto"/>
        </w:rPr>
      </w:pPr>
    </w:p>
    <w:p w14:paraId="2BBC0C53" w14:textId="2E08F859" w:rsidR="00DB093D" w:rsidRPr="004412A6" w:rsidRDefault="00DA3138" w:rsidP="006B70F9">
      <w:pPr>
        <w:contextualSpacing/>
        <w:rPr>
          <w:iCs/>
          <w:color w:val="auto"/>
        </w:rPr>
      </w:pPr>
      <w:r w:rsidRPr="004412A6">
        <w:rPr>
          <w:iCs/>
          <w:color w:val="auto"/>
        </w:rPr>
        <w:t xml:space="preserve">In conclusion, </w:t>
      </w:r>
      <w:r w:rsidR="002B159E" w:rsidRPr="004412A6">
        <w:rPr>
          <w:iCs/>
          <w:color w:val="auto"/>
        </w:rPr>
        <w:t xml:space="preserve">the </w:t>
      </w:r>
      <w:r w:rsidRPr="004412A6">
        <w:rPr>
          <w:iCs/>
          <w:color w:val="auto"/>
        </w:rPr>
        <w:t xml:space="preserve">LEVITATT provides a compact platform for algal </w:t>
      </w:r>
      <w:r w:rsidR="0037232E" w:rsidRPr="004412A6">
        <w:rPr>
          <w:iCs/>
          <w:color w:val="auto"/>
        </w:rPr>
        <w:t xml:space="preserve">toxicity </w:t>
      </w:r>
      <w:r w:rsidRPr="004412A6">
        <w:rPr>
          <w:iCs/>
          <w:color w:val="auto"/>
        </w:rPr>
        <w:t>testing</w:t>
      </w:r>
      <w:r w:rsidR="0037232E" w:rsidRPr="004412A6">
        <w:rPr>
          <w:iCs/>
          <w:color w:val="auto"/>
        </w:rPr>
        <w:t xml:space="preserve"> of regular chemicals</w:t>
      </w:r>
      <w:r w:rsidRPr="004412A6">
        <w:rPr>
          <w:iCs/>
          <w:color w:val="auto"/>
        </w:rPr>
        <w:t xml:space="preserve"> </w:t>
      </w:r>
      <w:r w:rsidR="006947FC" w:rsidRPr="004412A6">
        <w:rPr>
          <w:iCs/>
          <w:color w:val="auto"/>
        </w:rPr>
        <w:t>compliant with international standardized guidelines. Furthermore, the setup provides a robust platform for testing of difficult substances</w:t>
      </w:r>
      <w:r w:rsidR="0037232E" w:rsidRPr="004412A6">
        <w:rPr>
          <w:iCs/>
          <w:color w:val="auto"/>
        </w:rPr>
        <w:t xml:space="preserve"> that interfere with the passage of light toward the alga</w:t>
      </w:r>
      <w:r w:rsidR="009C47E7" w:rsidRPr="004412A6">
        <w:rPr>
          <w:iCs/>
          <w:color w:val="auto"/>
        </w:rPr>
        <w:t>l</w:t>
      </w:r>
      <w:r w:rsidR="00934221">
        <w:rPr>
          <w:iCs/>
          <w:color w:val="auto"/>
        </w:rPr>
        <w:t>,</w:t>
      </w:r>
      <w:r w:rsidR="0037232E" w:rsidRPr="004412A6">
        <w:rPr>
          <w:iCs/>
          <w:color w:val="auto"/>
        </w:rPr>
        <w:t xml:space="preserve"> </w:t>
      </w:r>
      <w:r w:rsidR="00C540DF" w:rsidRPr="004412A6">
        <w:rPr>
          <w:color w:val="auto"/>
        </w:rPr>
        <w:t xml:space="preserve">e.g., </w:t>
      </w:r>
      <w:r w:rsidR="006947FC" w:rsidRPr="004412A6">
        <w:rPr>
          <w:iCs/>
          <w:color w:val="auto"/>
        </w:rPr>
        <w:t>nanomaterials.</w:t>
      </w:r>
    </w:p>
    <w:p w14:paraId="73EDF0F9" w14:textId="0BA069CF" w:rsidR="009953FD" w:rsidRPr="004412A6" w:rsidRDefault="009953FD" w:rsidP="006B70F9">
      <w:pPr>
        <w:pStyle w:val="NormalWeb"/>
        <w:spacing w:before="0" w:beforeAutospacing="0" w:after="0" w:afterAutospacing="0"/>
        <w:contextualSpacing/>
        <w:rPr>
          <w:rFonts w:asciiTheme="minorHAnsi" w:hAnsiTheme="minorHAnsi" w:cstheme="minorHAnsi"/>
          <w:b/>
          <w:bCs/>
          <w:color w:val="auto"/>
        </w:rPr>
      </w:pPr>
    </w:p>
    <w:p w14:paraId="51DCECDF" w14:textId="292C3AD6" w:rsidR="00437C2D" w:rsidRPr="004412A6" w:rsidRDefault="00AA03DF" w:rsidP="006B70F9">
      <w:pPr>
        <w:pStyle w:val="NormalWeb"/>
        <w:spacing w:before="0" w:beforeAutospacing="0" w:after="0" w:afterAutospacing="0"/>
        <w:contextualSpacing/>
        <w:rPr>
          <w:rFonts w:asciiTheme="minorHAnsi" w:hAnsiTheme="minorHAnsi" w:cstheme="minorHAnsi"/>
          <w:color w:val="auto"/>
        </w:rPr>
      </w:pPr>
      <w:r w:rsidRPr="004412A6">
        <w:rPr>
          <w:rFonts w:asciiTheme="minorHAnsi" w:hAnsiTheme="minorHAnsi" w:cstheme="minorHAnsi"/>
          <w:b/>
          <w:bCs/>
          <w:color w:val="auto"/>
        </w:rPr>
        <w:t>ACKNOWLEDGMENTS:</w:t>
      </w:r>
    </w:p>
    <w:p w14:paraId="79411882" w14:textId="2E2F2EF1" w:rsidR="00437C2D" w:rsidRPr="004412A6" w:rsidRDefault="00437C2D" w:rsidP="006B70F9">
      <w:pPr>
        <w:contextualSpacing/>
        <w:rPr>
          <w:rFonts w:asciiTheme="minorHAnsi" w:hAnsiTheme="minorHAnsi" w:cstheme="minorHAnsi"/>
          <w:color w:val="auto"/>
        </w:rPr>
      </w:pPr>
      <w:r w:rsidRPr="004412A6">
        <w:rPr>
          <w:rFonts w:asciiTheme="minorHAnsi" w:hAnsiTheme="minorHAnsi" w:cstheme="minorHAnsi"/>
          <w:color w:val="auto"/>
        </w:rPr>
        <w:t>This research was funded by PATROLS – Advanced Tools for NanoSafety Testing, Grant agreement 760813 under Horizon 2020 research and innovation program</w:t>
      </w:r>
      <w:r w:rsidR="006A55E9">
        <w:rPr>
          <w:rFonts w:asciiTheme="minorHAnsi" w:hAnsiTheme="minorHAnsi" w:cstheme="minorHAnsi"/>
          <w:color w:val="auto"/>
        </w:rPr>
        <w:t>.</w:t>
      </w:r>
    </w:p>
    <w:p w14:paraId="2D96E92E" w14:textId="72F287DC" w:rsidR="00AA03DF" w:rsidRPr="004412A6" w:rsidRDefault="00AA03DF" w:rsidP="006B70F9">
      <w:pPr>
        <w:contextualSpacing/>
        <w:rPr>
          <w:rFonts w:asciiTheme="minorHAnsi" w:hAnsiTheme="minorHAnsi" w:cstheme="minorHAnsi"/>
          <w:b/>
          <w:bCs/>
          <w:color w:val="auto"/>
        </w:rPr>
      </w:pPr>
    </w:p>
    <w:p w14:paraId="2BF79C10" w14:textId="63289077" w:rsidR="00437C2D" w:rsidRPr="00B42CDF" w:rsidRDefault="00AA03DF" w:rsidP="006B70F9">
      <w:pPr>
        <w:pStyle w:val="NormalWeb"/>
        <w:spacing w:before="0" w:beforeAutospacing="0" w:after="0" w:afterAutospacing="0"/>
        <w:contextualSpacing/>
        <w:rPr>
          <w:rFonts w:asciiTheme="minorHAnsi" w:hAnsiTheme="minorHAnsi" w:cstheme="minorHAnsi"/>
          <w:b/>
          <w:bCs/>
          <w:color w:val="auto"/>
        </w:rPr>
      </w:pPr>
      <w:r w:rsidRPr="004412A6">
        <w:rPr>
          <w:rFonts w:asciiTheme="minorHAnsi" w:hAnsiTheme="minorHAnsi" w:cstheme="minorHAnsi"/>
          <w:b/>
          <w:color w:val="auto"/>
        </w:rPr>
        <w:t>DISCLOSURES</w:t>
      </w:r>
      <w:r w:rsidRPr="004412A6">
        <w:rPr>
          <w:rFonts w:asciiTheme="minorHAnsi" w:hAnsiTheme="minorHAnsi" w:cstheme="minorHAnsi"/>
          <w:b/>
          <w:bCs/>
          <w:color w:val="auto"/>
        </w:rPr>
        <w:t>:</w:t>
      </w:r>
    </w:p>
    <w:p w14:paraId="66030076" w14:textId="3C08A89B" w:rsidR="00AA03DF" w:rsidRPr="004412A6" w:rsidRDefault="00B97F8E" w:rsidP="006B70F9">
      <w:pPr>
        <w:contextualSpacing/>
        <w:rPr>
          <w:rFonts w:asciiTheme="minorHAnsi" w:hAnsiTheme="minorHAnsi" w:cstheme="minorHAnsi"/>
          <w:color w:val="auto"/>
        </w:rPr>
      </w:pPr>
      <w:r w:rsidRPr="004412A6">
        <w:rPr>
          <w:rFonts w:asciiTheme="minorHAnsi" w:hAnsiTheme="minorHAnsi" w:cstheme="minorHAnsi"/>
          <w:color w:val="auto"/>
        </w:rPr>
        <w:t>The authors have nothing to disclose.</w:t>
      </w:r>
    </w:p>
    <w:p w14:paraId="33391614" w14:textId="77777777" w:rsidR="00B97F8E" w:rsidRPr="004412A6" w:rsidRDefault="00B97F8E" w:rsidP="006B70F9">
      <w:pPr>
        <w:contextualSpacing/>
        <w:rPr>
          <w:rFonts w:asciiTheme="minorHAnsi" w:hAnsiTheme="minorHAnsi" w:cstheme="minorHAnsi"/>
          <w:color w:val="auto"/>
        </w:rPr>
      </w:pPr>
    </w:p>
    <w:p w14:paraId="315B4FAD" w14:textId="263B18EC" w:rsidR="00B32616" w:rsidRPr="004412A6" w:rsidRDefault="009726EE" w:rsidP="006B70F9">
      <w:pPr>
        <w:contextualSpacing/>
        <w:rPr>
          <w:rFonts w:asciiTheme="minorHAnsi" w:hAnsiTheme="minorHAnsi" w:cstheme="minorHAnsi"/>
          <w:b/>
          <w:color w:val="auto"/>
        </w:rPr>
      </w:pPr>
      <w:r w:rsidRPr="004412A6">
        <w:rPr>
          <w:rFonts w:asciiTheme="minorHAnsi" w:hAnsiTheme="minorHAnsi" w:cstheme="minorHAnsi"/>
          <w:b/>
          <w:bCs/>
          <w:color w:val="auto"/>
        </w:rPr>
        <w:lastRenderedPageBreak/>
        <w:t>REFERENCES</w:t>
      </w:r>
      <w:r w:rsidR="00D04760" w:rsidRPr="004412A6">
        <w:rPr>
          <w:rFonts w:asciiTheme="minorHAnsi" w:hAnsiTheme="minorHAnsi" w:cstheme="minorHAnsi"/>
          <w:b/>
          <w:bCs/>
          <w:color w:val="auto"/>
        </w:rPr>
        <w:t>:</w:t>
      </w:r>
    </w:p>
    <w:p w14:paraId="01BE04F0" w14:textId="32485CE8" w:rsidR="00AC0D9E" w:rsidRPr="004412A6" w:rsidRDefault="003E42BF" w:rsidP="006B70F9">
      <w:pPr>
        <w:contextualSpacing/>
        <w:rPr>
          <w:noProof/>
          <w:color w:val="auto"/>
        </w:rPr>
      </w:pPr>
      <w:r w:rsidRPr="004412A6">
        <w:rPr>
          <w:rFonts w:asciiTheme="minorHAnsi" w:hAnsiTheme="minorHAnsi" w:cstheme="minorHAnsi"/>
          <w:color w:val="auto"/>
        </w:rPr>
        <w:fldChar w:fldCharType="begin" w:fldLock="1"/>
      </w:r>
      <w:r w:rsidRPr="004412A6">
        <w:rPr>
          <w:rFonts w:asciiTheme="minorHAnsi" w:hAnsiTheme="minorHAnsi" w:cstheme="minorHAnsi"/>
          <w:color w:val="auto"/>
        </w:rPr>
        <w:instrText xml:space="preserve">ADDIN Mendeley Bibliography CSL_BIBLIOGRAPHY </w:instrText>
      </w:r>
      <w:r w:rsidRPr="004412A6">
        <w:rPr>
          <w:rFonts w:asciiTheme="minorHAnsi" w:hAnsiTheme="minorHAnsi" w:cstheme="minorHAnsi"/>
          <w:color w:val="auto"/>
        </w:rPr>
        <w:fldChar w:fldCharType="separate"/>
      </w:r>
      <w:r w:rsidR="00AC0D9E" w:rsidRPr="004412A6">
        <w:rPr>
          <w:noProof/>
          <w:color w:val="auto"/>
        </w:rPr>
        <w:t>1.</w:t>
      </w:r>
      <w:r w:rsidR="00AC0D9E" w:rsidRPr="004412A6">
        <w:rPr>
          <w:noProof/>
          <w:color w:val="auto"/>
        </w:rPr>
        <w:tab/>
        <w:t>E</w:t>
      </w:r>
      <w:r w:rsidR="00556963">
        <w:rPr>
          <w:noProof/>
          <w:color w:val="auto"/>
        </w:rPr>
        <w:t xml:space="preserve">uropean </w:t>
      </w:r>
      <w:r w:rsidR="00AC0D9E" w:rsidRPr="004412A6">
        <w:rPr>
          <w:noProof/>
          <w:color w:val="auto"/>
        </w:rPr>
        <w:t>C</w:t>
      </w:r>
      <w:r w:rsidR="00556963">
        <w:rPr>
          <w:noProof/>
          <w:color w:val="auto"/>
        </w:rPr>
        <w:t xml:space="preserve">hemicals </w:t>
      </w:r>
      <w:r w:rsidR="00AC0D9E" w:rsidRPr="004412A6">
        <w:rPr>
          <w:noProof/>
          <w:color w:val="auto"/>
        </w:rPr>
        <w:t>A</w:t>
      </w:r>
      <w:r w:rsidR="00556963">
        <w:rPr>
          <w:noProof/>
          <w:color w:val="auto"/>
        </w:rPr>
        <w:t>gency,</w:t>
      </w:r>
      <w:r w:rsidR="00AC0D9E" w:rsidRPr="004412A6">
        <w:rPr>
          <w:noProof/>
          <w:color w:val="auto"/>
        </w:rPr>
        <w:t xml:space="preserve"> </w:t>
      </w:r>
      <w:r w:rsidR="00AC0D9E" w:rsidRPr="004412A6">
        <w:rPr>
          <w:i/>
          <w:iCs/>
          <w:noProof/>
          <w:color w:val="auto"/>
        </w:rPr>
        <w:t xml:space="preserve">Guidance on </w:t>
      </w:r>
      <w:r w:rsidR="00D05E3C">
        <w:rPr>
          <w:i/>
          <w:iCs/>
          <w:noProof/>
          <w:color w:val="auto"/>
        </w:rPr>
        <w:t>R</w:t>
      </w:r>
      <w:r w:rsidR="00AC0D9E" w:rsidRPr="004412A6">
        <w:rPr>
          <w:i/>
          <w:iCs/>
          <w:noProof/>
          <w:color w:val="auto"/>
        </w:rPr>
        <w:t>egistration</w:t>
      </w:r>
      <w:r w:rsidR="00AC0D9E" w:rsidRPr="004412A6">
        <w:rPr>
          <w:noProof/>
          <w:color w:val="auto"/>
        </w:rPr>
        <w:t>. Helsinki, Finland (2016).</w:t>
      </w:r>
    </w:p>
    <w:p w14:paraId="71D0160B" w14:textId="70D00EFE" w:rsidR="00AC0D9E" w:rsidRPr="004412A6" w:rsidRDefault="00AC0D9E" w:rsidP="006B70F9">
      <w:pPr>
        <w:contextualSpacing/>
        <w:rPr>
          <w:noProof/>
          <w:color w:val="auto"/>
        </w:rPr>
      </w:pPr>
      <w:r w:rsidRPr="004412A6">
        <w:rPr>
          <w:noProof/>
          <w:color w:val="auto"/>
        </w:rPr>
        <w:t>2.</w:t>
      </w:r>
      <w:r w:rsidRPr="004412A6">
        <w:rPr>
          <w:noProof/>
          <w:color w:val="auto"/>
        </w:rPr>
        <w:tab/>
      </w:r>
      <w:r w:rsidR="00A23084" w:rsidRPr="004412A6">
        <w:rPr>
          <w:noProof/>
          <w:color w:val="auto"/>
        </w:rPr>
        <w:t>O</w:t>
      </w:r>
      <w:r w:rsidR="00A23084">
        <w:rPr>
          <w:noProof/>
          <w:color w:val="auto"/>
        </w:rPr>
        <w:t xml:space="preserve">rganisation for </w:t>
      </w:r>
      <w:r w:rsidR="00A23084" w:rsidRPr="004412A6">
        <w:rPr>
          <w:noProof/>
          <w:color w:val="auto"/>
        </w:rPr>
        <w:t>E</w:t>
      </w:r>
      <w:r w:rsidR="00A23084">
        <w:rPr>
          <w:noProof/>
          <w:color w:val="auto"/>
        </w:rPr>
        <w:t xml:space="preserve">conomic </w:t>
      </w:r>
      <w:r w:rsidR="00A23084" w:rsidRPr="004412A6">
        <w:rPr>
          <w:noProof/>
          <w:color w:val="auto"/>
        </w:rPr>
        <w:t>C</w:t>
      </w:r>
      <w:r w:rsidR="00A23084">
        <w:rPr>
          <w:noProof/>
          <w:color w:val="auto"/>
        </w:rPr>
        <w:t xml:space="preserve">ooperation and </w:t>
      </w:r>
      <w:r w:rsidR="00A23084" w:rsidRPr="004412A6">
        <w:rPr>
          <w:noProof/>
          <w:color w:val="auto"/>
        </w:rPr>
        <w:t>D</w:t>
      </w:r>
      <w:r w:rsidR="00A23084">
        <w:rPr>
          <w:noProof/>
          <w:color w:val="auto"/>
        </w:rPr>
        <w:t>evelopment,</w:t>
      </w:r>
      <w:r w:rsidR="00A23084" w:rsidRPr="004412A6">
        <w:rPr>
          <w:noProof/>
          <w:color w:val="auto"/>
        </w:rPr>
        <w:t xml:space="preserve"> </w:t>
      </w:r>
      <w:r w:rsidRPr="004412A6">
        <w:rPr>
          <w:i/>
          <w:iCs/>
          <w:noProof/>
          <w:color w:val="auto"/>
        </w:rPr>
        <w:t>Guidance Document on Aquatic Toxicity Testing of Difficult Substances and Mixtures</w:t>
      </w:r>
      <w:r w:rsidRPr="004412A6">
        <w:rPr>
          <w:noProof/>
          <w:color w:val="auto"/>
        </w:rPr>
        <w:t xml:space="preserve"> (2019).</w:t>
      </w:r>
    </w:p>
    <w:p w14:paraId="56EAA04E" w14:textId="78DC207A" w:rsidR="00AC0D9E" w:rsidRPr="004412A6" w:rsidRDefault="00AC0D9E" w:rsidP="006B70F9">
      <w:pPr>
        <w:contextualSpacing/>
        <w:rPr>
          <w:noProof/>
          <w:color w:val="auto"/>
        </w:rPr>
      </w:pPr>
      <w:r w:rsidRPr="004412A6">
        <w:rPr>
          <w:noProof/>
          <w:color w:val="auto"/>
        </w:rPr>
        <w:t>3.</w:t>
      </w:r>
      <w:r w:rsidRPr="004412A6">
        <w:rPr>
          <w:noProof/>
          <w:color w:val="auto"/>
        </w:rPr>
        <w:tab/>
        <w:t xml:space="preserve">Blaise, C., Legault, R., Bermingham, N., Van Coillie, R., Vasseur, P. A simple microplate algal assay technique for aquatic toxicity assessment. </w:t>
      </w:r>
      <w:r w:rsidRPr="004412A6">
        <w:rPr>
          <w:i/>
          <w:iCs/>
          <w:noProof/>
          <w:color w:val="auto"/>
        </w:rPr>
        <w:t>Toxicity Assessment</w:t>
      </w:r>
      <w:r w:rsidRPr="004412A6">
        <w:rPr>
          <w:noProof/>
          <w:color w:val="auto"/>
        </w:rPr>
        <w:t xml:space="preserve">. </w:t>
      </w:r>
      <w:r w:rsidRPr="004412A6">
        <w:rPr>
          <w:b/>
          <w:bCs/>
          <w:noProof/>
          <w:color w:val="auto"/>
        </w:rPr>
        <w:t>1</w:t>
      </w:r>
      <w:r w:rsidRPr="004412A6">
        <w:rPr>
          <w:noProof/>
          <w:color w:val="auto"/>
        </w:rPr>
        <w:t xml:space="preserve"> (3), 261–281 (1986).</w:t>
      </w:r>
    </w:p>
    <w:p w14:paraId="0214A7EE" w14:textId="43E68C69" w:rsidR="00AC0D9E" w:rsidRPr="004412A6" w:rsidRDefault="00AC0D9E" w:rsidP="006B70F9">
      <w:pPr>
        <w:contextualSpacing/>
        <w:rPr>
          <w:noProof/>
          <w:color w:val="auto"/>
        </w:rPr>
      </w:pPr>
      <w:r w:rsidRPr="004412A6">
        <w:rPr>
          <w:noProof/>
          <w:color w:val="auto"/>
        </w:rPr>
        <w:t>4.</w:t>
      </w:r>
      <w:r w:rsidRPr="004412A6">
        <w:rPr>
          <w:noProof/>
          <w:color w:val="auto"/>
        </w:rPr>
        <w:tab/>
        <w:t>Hjorth, R., Sorensen, S.</w:t>
      </w:r>
      <w:r w:rsidR="00934221">
        <w:rPr>
          <w:noProof/>
          <w:color w:val="auto"/>
        </w:rPr>
        <w:t xml:space="preserve"> </w:t>
      </w:r>
      <w:r w:rsidRPr="004412A6">
        <w:rPr>
          <w:noProof/>
          <w:color w:val="auto"/>
        </w:rPr>
        <w:t>N., Olsson, M.</w:t>
      </w:r>
      <w:r w:rsidR="00934221">
        <w:rPr>
          <w:noProof/>
          <w:color w:val="auto"/>
        </w:rPr>
        <w:t xml:space="preserve"> </w:t>
      </w:r>
      <w:r w:rsidRPr="004412A6">
        <w:rPr>
          <w:noProof/>
          <w:color w:val="auto"/>
        </w:rPr>
        <w:t>E., Baun, A., Hartmann, N.</w:t>
      </w:r>
      <w:r w:rsidR="00934221">
        <w:rPr>
          <w:noProof/>
          <w:color w:val="auto"/>
        </w:rPr>
        <w:t xml:space="preserve"> </w:t>
      </w:r>
      <w:r w:rsidRPr="004412A6">
        <w:rPr>
          <w:noProof/>
          <w:color w:val="auto"/>
        </w:rPr>
        <w:t xml:space="preserve">B. A </w:t>
      </w:r>
      <w:r w:rsidR="00A66B52">
        <w:rPr>
          <w:noProof/>
          <w:color w:val="auto"/>
        </w:rPr>
        <w:t>certain</w:t>
      </w:r>
      <w:r w:rsidR="00A66B52" w:rsidRPr="004412A6">
        <w:rPr>
          <w:noProof/>
          <w:color w:val="auto"/>
        </w:rPr>
        <w:t xml:space="preserve"> </w:t>
      </w:r>
      <w:r w:rsidR="00A66B52">
        <w:rPr>
          <w:noProof/>
          <w:color w:val="auto"/>
        </w:rPr>
        <w:t>shade</w:t>
      </w:r>
      <w:r w:rsidR="00A66B52" w:rsidRPr="004412A6">
        <w:rPr>
          <w:noProof/>
          <w:color w:val="auto"/>
        </w:rPr>
        <w:t xml:space="preserve"> </w:t>
      </w:r>
      <w:r w:rsidR="00A66B52">
        <w:rPr>
          <w:noProof/>
          <w:color w:val="auto"/>
        </w:rPr>
        <w:t>of</w:t>
      </w:r>
      <w:r w:rsidR="00A66B52" w:rsidRPr="004412A6">
        <w:rPr>
          <w:noProof/>
          <w:color w:val="auto"/>
        </w:rPr>
        <w:t xml:space="preserve"> </w:t>
      </w:r>
      <w:r w:rsidR="00A66B52">
        <w:rPr>
          <w:noProof/>
          <w:color w:val="auto"/>
        </w:rPr>
        <w:t>green</w:t>
      </w:r>
      <w:r w:rsidRPr="004412A6">
        <w:rPr>
          <w:noProof/>
          <w:color w:val="auto"/>
        </w:rPr>
        <w:t xml:space="preserve">: </w:t>
      </w:r>
      <w:r w:rsidR="00A66B52">
        <w:rPr>
          <w:noProof/>
          <w:color w:val="auto"/>
        </w:rPr>
        <w:t>can</w:t>
      </w:r>
      <w:r w:rsidR="00A66B52" w:rsidRPr="004412A6">
        <w:rPr>
          <w:noProof/>
          <w:color w:val="auto"/>
        </w:rPr>
        <w:t xml:space="preserve"> </w:t>
      </w:r>
      <w:r w:rsidR="00A66B52">
        <w:rPr>
          <w:noProof/>
          <w:color w:val="auto"/>
        </w:rPr>
        <w:t>algal</w:t>
      </w:r>
      <w:r w:rsidR="00A66B52" w:rsidRPr="004412A6">
        <w:rPr>
          <w:noProof/>
          <w:color w:val="auto"/>
        </w:rPr>
        <w:t xml:space="preserve"> </w:t>
      </w:r>
      <w:r w:rsidR="00A66B52">
        <w:rPr>
          <w:noProof/>
          <w:color w:val="auto"/>
        </w:rPr>
        <w:t>pigments</w:t>
      </w:r>
      <w:r w:rsidR="00A66B52" w:rsidRPr="004412A6">
        <w:rPr>
          <w:noProof/>
          <w:color w:val="auto"/>
        </w:rPr>
        <w:t xml:space="preserve"> </w:t>
      </w:r>
      <w:r w:rsidR="00A66B52">
        <w:rPr>
          <w:noProof/>
          <w:color w:val="auto"/>
        </w:rPr>
        <w:t>reveal</w:t>
      </w:r>
      <w:r w:rsidR="00A66B52" w:rsidRPr="004412A6">
        <w:rPr>
          <w:noProof/>
          <w:color w:val="auto"/>
        </w:rPr>
        <w:t xml:space="preserve"> </w:t>
      </w:r>
      <w:r w:rsidR="00A66B52">
        <w:rPr>
          <w:noProof/>
          <w:color w:val="auto"/>
        </w:rPr>
        <w:t>shading</w:t>
      </w:r>
      <w:r w:rsidR="00A66B52" w:rsidRPr="004412A6">
        <w:rPr>
          <w:noProof/>
          <w:color w:val="auto"/>
        </w:rPr>
        <w:t xml:space="preserve"> </w:t>
      </w:r>
      <w:r w:rsidR="00A66B52">
        <w:rPr>
          <w:noProof/>
          <w:color w:val="auto"/>
        </w:rPr>
        <w:t>effects</w:t>
      </w:r>
      <w:r w:rsidR="00A66B52" w:rsidRPr="004412A6">
        <w:rPr>
          <w:noProof/>
          <w:color w:val="auto"/>
        </w:rPr>
        <w:t xml:space="preserve"> </w:t>
      </w:r>
      <w:r w:rsidR="00A66B52">
        <w:rPr>
          <w:noProof/>
          <w:color w:val="auto"/>
        </w:rPr>
        <w:t>of</w:t>
      </w:r>
      <w:r w:rsidR="00A66B52" w:rsidRPr="004412A6">
        <w:rPr>
          <w:noProof/>
          <w:color w:val="auto"/>
        </w:rPr>
        <w:t xml:space="preserve"> </w:t>
      </w:r>
      <w:r w:rsidR="00A66B52">
        <w:rPr>
          <w:noProof/>
          <w:color w:val="auto"/>
        </w:rPr>
        <w:t>nanoparticles</w:t>
      </w:r>
      <w:r w:rsidRPr="004412A6">
        <w:rPr>
          <w:noProof/>
          <w:color w:val="auto"/>
        </w:rPr>
        <w:t xml:space="preserve">? </w:t>
      </w:r>
      <w:r w:rsidR="0055204A" w:rsidRPr="004412A6">
        <w:rPr>
          <w:i/>
          <w:iCs/>
          <w:noProof/>
          <w:color w:val="auto"/>
        </w:rPr>
        <w:t>I</w:t>
      </w:r>
      <w:r w:rsidR="0055204A">
        <w:rPr>
          <w:i/>
          <w:iCs/>
          <w:noProof/>
          <w:color w:val="auto"/>
        </w:rPr>
        <w:t>ntegrated</w:t>
      </w:r>
      <w:r w:rsidR="0055204A" w:rsidRPr="004412A6">
        <w:rPr>
          <w:i/>
          <w:iCs/>
          <w:noProof/>
          <w:color w:val="auto"/>
        </w:rPr>
        <w:t xml:space="preserve"> E</w:t>
      </w:r>
      <w:r w:rsidR="0055204A">
        <w:rPr>
          <w:i/>
          <w:iCs/>
          <w:noProof/>
          <w:color w:val="auto"/>
        </w:rPr>
        <w:t>nvironmental</w:t>
      </w:r>
      <w:r w:rsidR="0055204A" w:rsidRPr="004412A6">
        <w:rPr>
          <w:i/>
          <w:iCs/>
          <w:noProof/>
          <w:color w:val="auto"/>
        </w:rPr>
        <w:t xml:space="preserve"> A</w:t>
      </w:r>
      <w:r w:rsidR="0055204A">
        <w:rPr>
          <w:i/>
          <w:iCs/>
          <w:noProof/>
          <w:color w:val="auto"/>
        </w:rPr>
        <w:t>ssessment</w:t>
      </w:r>
      <w:r w:rsidR="0055204A" w:rsidRPr="004412A6">
        <w:rPr>
          <w:i/>
          <w:iCs/>
          <w:noProof/>
          <w:color w:val="auto"/>
        </w:rPr>
        <w:t xml:space="preserve"> </w:t>
      </w:r>
      <w:r w:rsidR="0055204A">
        <w:rPr>
          <w:i/>
          <w:iCs/>
          <w:noProof/>
          <w:color w:val="auto"/>
        </w:rPr>
        <w:t>and</w:t>
      </w:r>
      <w:r w:rsidR="0055204A" w:rsidRPr="004412A6">
        <w:rPr>
          <w:i/>
          <w:iCs/>
          <w:noProof/>
          <w:color w:val="auto"/>
        </w:rPr>
        <w:t xml:space="preserve"> M</w:t>
      </w:r>
      <w:r w:rsidR="0055204A">
        <w:rPr>
          <w:i/>
          <w:iCs/>
          <w:noProof/>
          <w:color w:val="auto"/>
        </w:rPr>
        <w:t>anagement</w:t>
      </w:r>
      <w:r w:rsidRPr="004412A6">
        <w:rPr>
          <w:noProof/>
          <w:color w:val="auto"/>
        </w:rPr>
        <w:t xml:space="preserve">. </w:t>
      </w:r>
      <w:r w:rsidRPr="004412A6">
        <w:rPr>
          <w:b/>
          <w:bCs/>
          <w:noProof/>
          <w:color w:val="auto"/>
        </w:rPr>
        <w:t>12</w:t>
      </w:r>
      <w:r w:rsidRPr="004412A6">
        <w:rPr>
          <w:noProof/>
          <w:color w:val="auto"/>
        </w:rPr>
        <w:t xml:space="preserve"> (1), 200–202 (2016).</w:t>
      </w:r>
    </w:p>
    <w:p w14:paraId="6D7B15E6" w14:textId="4078ECC3" w:rsidR="00AC0D9E" w:rsidRPr="004412A6" w:rsidRDefault="00AC0D9E" w:rsidP="006B70F9">
      <w:pPr>
        <w:contextualSpacing/>
        <w:rPr>
          <w:noProof/>
          <w:color w:val="auto"/>
        </w:rPr>
      </w:pPr>
      <w:r w:rsidRPr="004412A6">
        <w:rPr>
          <w:noProof/>
          <w:color w:val="auto"/>
        </w:rPr>
        <w:t>5.</w:t>
      </w:r>
      <w:r w:rsidRPr="004412A6">
        <w:rPr>
          <w:noProof/>
          <w:color w:val="auto"/>
        </w:rPr>
        <w:tab/>
        <w:t xml:space="preserve">Chen, F. </w:t>
      </w:r>
      <w:r w:rsidRPr="00F72759">
        <w:rPr>
          <w:noProof/>
          <w:color w:val="auto"/>
        </w:rPr>
        <w:t>et al.</w:t>
      </w:r>
      <w:r w:rsidRPr="004412A6">
        <w:rPr>
          <w:noProof/>
          <w:color w:val="auto"/>
        </w:rPr>
        <w:t xml:space="preserve"> Algae response to engineered nanoparticles: current understanding{,} mechanisms and implications. </w:t>
      </w:r>
      <w:r w:rsidRPr="004412A6">
        <w:rPr>
          <w:i/>
          <w:iCs/>
          <w:noProof/>
          <w:color w:val="auto"/>
        </w:rPr>
        <w:t>Environ</w:t>
      </w:r>
      <w:r w:rsidR="0055204A">
        <w:rPr>
          <w:i/>
          <w:iCs/>
          <w:noProof/>
          <w:color w:val="auto"/>
        </w:rPr>
        <w:t>mental</w:t>
      </w:r>
      <w:r w:rsidR="0055204A" w:rsidRPr="004412A6">
        <w:rPr>
          <w:i/>
          <w:iCs/>
          <w:noProof/>
          <w:color w:val="auto"/>
        </w:rPr>
        <w:t xml:space="preserve"> </w:t>
      </w:r>
      <w:r w:rsidRPr="004412A6">
        <w:rPr>
          <w:i/>
          <w:iCs/>
          <w:noProof/>
          <w:color w:val="auto"/>
        </w:rPr>
        <w:t>Sci</w:t>
      </w:r>
      <w:r w:rsidR="0055204A">
        <w:rPr>
          <w:i/>
          <w:iCs/>
          <w:noProof/>
          <w:color w:val="auto"/>
        </w:rPr>
        <w:t>ence</w:t>
      </w:r>
      <w:r w:rsidR="0055204A" w:rsidRPr="004412A6">
        <w:rPr>
          <w:i/>
          <w:iCs/>
          <w:noProof/>
          <w:color w:val="auto"/>
        </w:rPr>
        <w:t xml:space="preserve">: </w:t>
      </w:r>
      <w:r w:rsidRPr="004412A6">
        <w:rPr>
          <w:i/>
          <w:iCs/>
          <w:noProof/>
          <w:color w:val="auto"/>
        </w:rPr>
        <w:t>Nano</w:t>
      </w:r>
      <w:r w:rsidRPr="004412A6">
        <w:rPr>
          <w:noProof/>
          <w:color w:val="auto"/>
        </w:rPr>
        <w:t xml:space="preserve">. </w:t>
      </w:r>
      <w:r w:rsidRPr="004412A6">
        <w:rPr>
          <w:b/>
          <w:bCs/>
          <w:noProof/>
          <w:color w:val="auto"/>
        </w:rPr>
        <w:t>6</w:t>
      </w:r>
      <w:r w:rsidRPr="004412A6">
        <w:rPr>
          <w:noProof/>
          <w:color w:val="auto"/>
        </w:rPr>
        <w:t xml:space="preserve"> (4), 1026–1042 (2019).</w:t>
      </w:r>
    </w:p>
    <w:p w14:paraId="2603FA7D" w14:textId="7A1FBFEA" w:rsidR="00AC0D9E" w:rsidRPr="004412A6" w:rsidRDefault="00AC0D9E" w:rsidP="006B70F9">
      <w:pPr>
        <w:contextualSpacing/>
        <w:rPr>
          <w:noProof/>
          <w:color w:val="auto"/>
        </w:rPr>
      </w:pPr>
      <w:r w:rsidRPr="004412A6">
        <w:rPr>
          <w:noProof/>
          <w:color w:val="auto"/>
        </w:rPr>
        <w:t>6.</w:t>
      </w:r>
      <w:r w:rsidRPr="004412A6">
        <w:rPr>
          <w:noProof/>
          <w:color w:val="auto"/>
        </w:rPr>
        <w:tab/>
        <w:t>Arensberg, P., Hemmingsen, V.</w:t>
      </w:r>
      <w:r w:rsidR="00934221">
        <w:rPr>
          <w:noProof/>
          <w:color w:val="auto"/>
        </w:rPr>
        <w:t xml:space="preserve"> </w:t>
      </w:r>
      <w:r w:rsidRPr="004412A6">
        <w:rPr>
          <w:noProof/>
          <w:color w:val="auto"/>
        </w:rPr>
        <w:t xml:space="preserve">H., Nyholm, N. A miniscale algal toxicity test. </w:t>
      </w:r>
      <w:r w:rsidRPr="004412A6">
        <w:rPr>
          <w:i/>
          <w:iCs/>
          <w:noProof/>
          <w:color w:val="auto"/>
        </w:rPr>
        <w:t>Chemosphere</w:t>
      </w:r>
      <w:r w:rsidRPr="004412A6">
        <w:rPr>
          <w:noProof/>
          <w:color w:val="auto"/>
        </w:rPr>
        <w:t xml:space="preserve">. </w:t>
      </w:r>
      <w:r w:rsidRPr="004412A6">
        <w:rPr>
          <w:b/>
          <w:bCs/>
          <w:noProof/>
          <w:color w:val="auto"/>
        </w:rPr>
        <w:t>30</w:t>
      </w:r>
      <w:r w:rsidRPr="004412A6">
        <w:rPr>
          <w:noProof/>
          <w:color w:val="auto"/>
        </w:rPr>
        <w:t xml:space="preserve"> (11), 2103–2115 (1995).</w:t>
      </w:r>
    </w:p>
    <w:p w14:paraId="01AD6767" w14:textId="2F12745D" w:rsidR="00AC0D9E" w:rsidRPr="004412A6" w:rsidRDefault="00AC0D9E" w:rsidP="006B70F9">
      <w:pPr>
        <w:contextualSpacing/>
        <w:rPr>
          <w:noProof/>
          <w:color w:val="auto"/>
        </w:rPr>
      </w:pPr>
      <w:r w:rsidRPr="004412A6">
        <w:rPr>
          <w:noProof/>
          <w:color w:val="auto"/>
        </w:rPr>
        <w:t>7.</w:t>
      </w:r>
      <w:r w:rsidRPr="004412A6">
        <w:rPr>
          <w:noProof/>
          <w:color w:val="auto"/>
        </w:rPr>
        <w:tab/>
        <w:t>O</w:t>
      </w:r>
      <w:r w:rsidR="00A23084">
        <w:rPr>
          <w:noProof/>
          <w:color w:val="auto"/>
        </w:rPr>
        <w:t xml:space="preserve">rganisation for </w:t>
      </w:r>
      <w:r w:rsidRPr="004412A6">
        <w:rPr>
          <w:noProof/>
          <w:color w:val="auto"/>
        </w:rPr>
        <w:t>E</w:t>
      </w:r>
      <w:r w:rsidR="00A23084">
        <w:rPr>
          <w:noProof/>
          <w:color w:val="auto"/>
        </w:rPr>
        <w:t xml:space="preserve">conomic </w:t>
      </w:r>
      <w:r w:rsidRPr="004412A6">
        <w:rPr>
          <w:noProof/>
          <w:color w:val="auto"/>
        </w:rPr>
        <w:t>C</w:t>
      </w:r>
      <w:r w:rsidR="00A23084">
        <w:rPr>
          <w:noProof/>
          <w:color w:val="auto"/>
        </w:rPr>
        <w:t xml:space="preserve">ooperation and </w:t>
      </w:r>
      <w:r w:rsidRPr="004412A6">
        <w:rPr>
          <w:noProof/>
          <w:color w:val="auto"/>
        </w:rPr>
        <w:t>D</w:t>
      </w:r>
      <w:r w:rsidR="00A23084">
        <w:rPr>
          <w:noProof/>
          <w:color w:val="auto"/>
        </w:rPr>
        <w:t>evelopment,</w:t>
      </w:r>
      <w:r w:rsidRPr="004412A6">
        <w:rPr>
          <w:noProof/>
          <w:color w:val="auto"/>
        </w:rPr>
        <w:t xml:space="preserve"> </w:t>
      </w:r>
      <w:r w:rsidRPr="004412A6">
        <w:rPr>
          <w:i/>
          <w:iCs/>
          <w:noProof/>
          <w:color w:val="auto"/>
        </w:rPr>
        <w:t>Test No. 201: Freshwater Alga and Cyanobacteria, Growth Inhibition Test</w:t>
      </w:r>
      <w:r w:rsidRPr="004412A6">
        <w:rPr>
          <w:noProof/>
          <w:color w:val="auto"/>
        </w:rPr>
        <w:t xml:space="preserve"> (2011).</w:t>
      </w:r>
    </w:p>
    <w:p w14:paraId="746493A9" w14:textId="39495088" w:rsidR="00AC0D9E" w:rsidRPr="004412A6" w:rsidRDefault="00AC0D9E" w:rsidP="006B70F9">
      <w:pPr>
        <w:contextualSpacing/>
        <w:rPr>
          <w:noProof/>
          <w:color w:val="auto"/>
        </w:rPr>
      </w:pPr>
      <w:r w:rsidRPr="004412A6">
        <w:rPr>
          <w:noProof/>
          <w:color w:val="auto"/>
        </w:rPr>
        <w:t>8.</w:t>
      </w:r>
      <w:r w:rsidRPr="004412A6">
        <w:rPr>
          <w:noProof/>
          <w:color w:val="auto"/>
        </w:rPr>
        <w:tab/>
        <w:t>International Organization for Standardization (ISO)</w:t>
      </w:r>
      <w:r w:rsidR="00CD7C03">
        <w:rPr>
          <w:noProof/>
          <w:color w:val="auto"/>
        </w:rPr>
        <w:t>,</w:t>
      </w:r>
      <w:r w:rsidRPr="004412A6">
        <w:rPr>
          <w:noProof/>
          <w:color w:val="auto"/>
        </w:rPr>
        <w:t xml:space="preserve"> </w:t>
      </w:r>
      <w:r w:rsidRPr="00F72759">
        <w:rPr>
          <w:i/>
          <w:iCs/>
          <w:noProof/>
          <w:color w:val="auto"/>
        </w:rPr>
        <w:t xml:space="preserve">Water </w:t>
      </w:r>
      <w:r w:rsidR="007005A8">
        <w:rPr>
          <w:i/>
          <w:iCs/>
          <w:noProof/>
          <w:color w:val="auto"/>
        </w:rPr>
        <w:t>Q</w:t>
      </w:r>
      <w:r w:rsidRPr="00F72759">
        <w:rPr>
          <w:i/>
          <w:iCs/>
          <w:noProof/>
          <w:color w:val="auto"/>
        </w:rPr>
        <w:t xml:space="preserve">uality - Fresh </w:t>
      </w:r>
      <w:r w:rsidR="007005A8">
        <w:rPr>
          <w:i/>
          <w:iCs/>
          <w:noProof/>
          <w:color w:val="auto"/>
        </w:rPr>
        <w:t>W</w:t>
      </w:r>
      <w:r w:rsidRPr="00F72759">
        <w:rPr>
          <w:i/>
          <w:iCs/>
          <w:noProof/>
          <w:color w:val="auto"/>
        </w:rPr>
        <w:t xml:space="preserve">ater </w:t>
      </w:r>
      <w:r w:rsidR="007005A8">
        <w:rPr>
          <w:i/>
          <w:iCs/>
          <w:noProof/>
          <w:color w:val="auto"/>
        </w:rPr>
        <w:t>A</w:t>
      </w:r>
      <w:r w:rsidRPr="00F72759">
        <w:rPr>
          <w:i/>
          <w:iCs/>
          <w:noProof/>
          <w:color w:val="auto"/>
        </w:rPr>
        <w:t xml:space="preserve">lgal </w:t>
      </w:r>
      <w:r w:rsidR="007005A8">
        <w:rPr>
          <w:i/>
          <w:iCs/>
          <w:noProof/>
          <w:color w:val="auto"/>
        </w:rPr>
        <w:t>G</w:t>
      </w:r>
      <w:r w:rsidRPr="00F72759">
        <w:rPr>
          <w:i/>
          <w:iCs/>
          <w:noProof/>
          <w:color w:val="auto"/>
        </w:rPr>
        <w:t xml:space="preserve">rowth </w:t>
      </w:r>
      <w:r w:rsidR="007005A8">
        <w:rPr>
          <w:i/>
          <w:iCs/>
          <w:noProof/>
          <w:color w:val="auto"/>
        </w:rPr>
        <w:t>I</w:t>
      </w:r>
      <w:r w:rsidRPr="00F72759">
        <w:rPr>
          <w:i/>
          <w:iCs/>
          <w:noProof/>
          <w:color w:val="auto"/>
        </w:rPr>
        <w:t xml:space="preserve">nhibition </w:t>
      </w:r>
      <w:r w:rsidR="007005A8">
        <w:rPr>
          <w:i/>
          <w:iCs/>
          <w:noProof/>
          <w:color w:val="auto"/>
        </w:rPr>
        <w:t>T</w:t>
      </w:r>
      <w:r w:rsidRPr="00F72759">
        <w:rPr>
          <w:i/>
          <w:iCs/>
          <w:noProof/>
          <w:color w:val="auto"/>
        </w:rPr>
        <w:t xml:space="preserve">est with </w:t>
      </w:r>
      <w:r w:rsidR="007005A8">
        <w:rPr>
          <w:i/>
          <w:iCs/>
          <w:noProof/>
          <w:color w:val="auto"/>
        </w:rPr>
        <w:t>U</w:t>
      </w:r>
      <w:r w:rsidRPr="00F72759">
        <w:rPr>
          <w:i/>
          <w:iCs/>
          <w:noProof/>
          <w:color w:val="auto"/>
        </w:rPr>
        <w:t xml:space="preserve">nicellular </w:t>
      </w:r>
      <w:r w:rsidR="007005A8">
        <w:rPr>
          <w:i/>
          <w:iCs/>
          <w:noProof/>
          <w:color w:val="auto"/>
        </w:rPr>
        <w:t>G</w:t>
      </w:r>
      <w:r w:rsidRPr="00F72759">
        <w:rPr>
          <w:i/>
          <w:iCs/>
          <w:noProof/>
          <w:color w:val="auto"/>
        </w:rPr>
        <w:t xml:space="preserve">reen </w:t>
      </w:r>
      <w:r w:rsidR="007005A8">
        <w:rPr>
          <w:i/>
          <w:iCs/>
          <w:noProof/>
          <w:color w:val="auto"/>
        </w:rPr>
        <w:t>A</w:t>
      </w:r>
      <w:r w:rsidRPr="00F72759">
        <w:rPr>
          <w:i/>
          <w:iCs/>
          <w:noProof/>
          <w:color w:val="auto"/>
        </w:rPr>
        <w:t>lgae</w:t>
      </w:r>
      <w:r w:rsidRPr="004412A6">
        <w:rPr>
          <w:noProof/>
          <w:color w:val="auto"/>
        </w:rPr>
        <w:t xml:space="preserve"> (2012).</w:t>
      </w:r>
    </w:p>
    <w:p w14:paraId="5181B1E8" w14:textId="2D263D1B" w:rsidR="00AC0D9E" w:rsidRPr="004412A6" w:rsidRDefault="00AC0D9E" w:rsidP="006B70F9">
      <w:pPr>
        <w:contextualSpacing/>
        <w:rPr>
          <w:noProof/>
          <w:color w:val="auto"/>
        </w:rPr>
      </w:pPr>
      <w:r w:rsidRPr="004412A6">
        <w:rPr>
          <w:noProof/>
          <w:color w:val="auto"/>
        </w:rPr>
        <w:t>9.</w:t>
      </w:r>
      <w:r w:rsidRPr="004412A6">
        <w:rPr>
          <w:noProof/>
          <w:color w:val="auto"/>
        </w:rPr>
        <w:tab/>
        <w:t xml:space="preserve">Halling-Sørensen, B., Nyhohn, N., Baun, A. Algal toxicity tests with volatile and hazardous compounds in air-tight test flasks with CO2 enriched headspace. </w:t>
      </w:r>
      <w:r w:rsidRPr="004412A6">
        <w:rPr>
          <w:i/>
          <w:iCs/>
          <w:noProof/>
          <w:color w:val="auto"/>
        </w:rPr>
        <w:t>Chemosphere</w:t>
      </w:r>
      <w:r w:rsidRPr="004412A6">
        <w:rPr>
          <w:noProof/>
          <w:color w:val="auto"/>
        </w:rPr>
        <w:t xml:space="preserve">. </w:t>
      </w:r>
      <w:r w:rsidRPr="004412A6">
        <w:rPr>
          <w:b/>
          <w:bCs/>
          <w:noProof/>
          <w:color w:val="auto"/>
        </w:rPr>
        <w:t>32</w:t>
      </w:r>
      <w:r w:rsidRPr="004412A6">
        <w:rPr>
          <w:noProof/>
          <w:color w:val="auto"/>
        </w:rPr>
        <w:t xml:space="preserve"> (8), 1513–1526 (1996).</w:t>
      </w:r>
    </w:p>
    <w:p w14:paraId="7792F741" w14:textId="2F0309A1" w:rsidR="00AC0D9E" w:rsidRPr="004412A6" w:rsidRDefault="00AC0D9E" w:rsidP="006B70F9">
      <w:pPr>
        <w:contextualSpacing/>
        <w:rPr>
          <w:noProof/>
          <w:color w:val="auto"/>
        </w:rPr>
      </w:pPr>
      <w:r w:rsidRPr="004412A6">
        <w:rPr>
          <w:noProof/>
          <w:color w:val="auto"/>
        </w:rPr>
        <w:t>10.</w:t>
      </w:r>
      <w:r w:rsidRPr="004412A6">
        <w:rPr>
          <w:noProof/>
          <w:color w:val="auto"/>
        </w:rPr>
        <w:tab/>
        <w:t>Mayer, P., Nyholm, N., Verbruggen, E.</w:t>
      </w:r>
      <w:r w:rsidR="00934221">
        <w:rPr>
          <w:noProof/>
          <w:color w:val="auto"/>
        </w:rPr>
        <w:t xml:space="preserve"> </w:t>
      </w:r>
      <w:r w:rsidRPr="004412A6">
        <w:rPr>
          <w:noProof/>
          <w:color w:val="auto"/>
        </w:rPr>
        <w:t>M.</w:t>
      </w:r>
      <w:r w:rsidR="00934221">
        <w:rPr>
          <w:noProof/>
          <w:color w:val="auto"/>
        </w:rPr>
        <w:t xml:space="preserve"> </w:t>
      </w:r>
      <w:r w:rsidRPr="004412A6">
        <w:rPr>
          <w:noProof/>
          <w:color w:val="auto"/>
        </w:rPr>
        <w:t>J., Hermens, J.</w:t>
      </w:r>
      <w:r w:rsidR="00934221">
        <w:rPr>
          <w:noProof/>
          <w:color w:val="auto"/>
        </w:rPr>
        <w:t xml:space="preserve"> </w:t>
      </w:r>
      <w:r w:rsidRPr="004412A6">
        <w:rPr>
          <w:noProof/>
          <w:color w:val="auto"/>
        </w:rPr>
        <w:t>L.</w:t>
      </w:r>
      <w:r w:rsidR="00934221">
        <w:rPr>
          <w:noProof/>
          <w:color w:val="auto"/>
        </w:rPr>
        <w:t xml:space="preserve"> </w:t>
      </w:r>
      <w:r w:rsidRPr="004412A6">
        <w:rPr>
          <w:noProof/>
          <w:color w:val="auto"/>
        </w:rPr>
        <w:t xml:space="preserve">M., Tolls, J. Algal growth inhibition test in filled, closed bottles for volatile and sorptive materials. </w:t>
      </w:r>
      <w:r w:rsidRPr="004412A6">
        <w:rPr>
          <w:i/>
          <w:iCs/>
          <w:noProof/>
          <w:color w:val="auto"/>
        </w:rPr>
        <w:t>Environmental Toxicology and Chemistry</w:t>
      </w:r>
      <w:r w:rsidRPr="004412A6">
        <w:rPr>
          <w:noProof/>
          <w:color w:val="auto"/>
        </w:rPr>
        <w:t xml:space="preserve">. </w:t>
      </w:r>
      <w:r w:rsidRPr="004412A6">
        <w:rPr>
          <w:b/>
          <w:bCs/>
          <w:noProof/>
          <w:color w:val="auto"/>
        </w:rPr>
        <w:t>19</w:t>
      </w:r>
      <w:r w:rsidRPr="004412A6">
        <w:rPr>
          <w:noProof/>
          <w:color w:val="auto"/>
        </w:rPr>
        <w:t xml:space="preserve"> (10), 2551–2556 (2000).</w:t>
      </w:r>
    </w:p>
    <w:p w14:paraId="5C2480FB" w14:textId="4A02E9F4" w:rsidR="00AC0D9E" w:rsidRPr="004412A6" w:rsidRDefault="00AC0D9E" w:rsidP="006B70F9">
      <w:pPr>
        <w:contextualSpacing/>
        <w:rPr>
          <w:noProof/>
          <w:color w:val="auto"/>
        </w:rPr>
      </w:pPr>
      <w:r w:rsidRPr="004412A6">
        <w:rPr>
          <w:noProof/>
          <w:color w:val="auto"/>
        </w:rPr>
        <w:t>11.</w:t>
      </w:r>
      <w:r w:rsidRPr="004412A6">
        <w:rPr>
          <w:noProof/>
          <w:color w:val="auto"/>
        </w:rPr>
        <w:tab/>
        <w:t>Ritz, C., Baty, F., Streibig, J.</w:t>
      </w:r>
      <w:r w:rsidR="00934221">
        <w:rPr>
          <w:noProof/>
          <w:color w:val="auto"/>
        </w:rPr>
        <w:t xml:space="preserve"> </w:t>
      </w:r>
      <w:r w:rsidRPr="004412A6">
        <w:rPr>
          <w:noProof/>
          <w:color w:val="auto"/>
        </w:rPr>
        <w:t>C., Gerhard, D. Dose-</w:t>
      </w:r>
      <w:r w:rsidR="009A5718">
        <w:rPr>
          <w:noProof/>
          <w:color w:val="auto"/>
        </w:rPr>
        <w:t>r</w:t>
      </w:r>
      <w:r w:rsidRPr="004412A6">
        <w:rPr>
          <w:noProof/>
          <w:color w:val="auto"/>
        </w:rPr>
        <w:t xml:space="preserve">esponse </w:t>
      </w:r>
      <w:r w:rsidR="009A5718">
        <w:rPr>
          <w:noProof/>
          <w:color w:val="auto"/>
        </w:rPr>
        <w:t>a</w:t>
      </w:r>
      <w:r w:rsidRPr="004412A6">
        <w:rPr>
          <w:noProof/>
          <w:color w:val="auto"/>
        </w:rPr>
        <w:t xml:space="preserve">nalysis </w:t>
      </w:r>
      <w:r w:rsidR="009A5718">
        <w:rPr>
          <w:noProof/>
          <w:color w:val="auto"/>
        </w:rPr>
        <w:t>u</w:t>
      </w:r>
      <w:r w:rsidRPr="004412A6">
        <w:rPr>
          <w:noProof/>
          <w:color w:val="auto"/>
        </w:rPr>
        <w:t xml:space="preserve">sing R. </w:t>
      </w:r>
      <w:r w:rsidRPr="004412A6">
        <w:rPr>
          <w:i/>
          <w:iCs/>
          <w:noProof/>
          <w:color w:val="auto"/>
        </w:rPr>
        <w:t xml:space="preserve">PloS </w:t>
      </w:r>
      <w:r w:rsidR="0055204A">
        <w:rPr>
          <w:i/>
          <w:iCs/>
          <w:noProof/>
          <w:color w:val="auto"/>
        </w:rPr>
        <w:t>O</w:t>
      </w:r>
      <w:r w:rsidR="0055204A" w:rsidRPr="004412A6">
        <w:rPr>
          <w:i/>
          <w:iCs/>
          <w:noProof/>
          <w:color w:val="auto"/>
        </w:rPr>
        <w:t>ne</w:t>
      </w:r>
      <w:r w:rsidRPr="004412A6">
        <w:rPr>
          <w:noProof/>
          <w:color w:val="auto"/>
        </w:rPr>
        <w:t xml:space="preserve">. </w:t>
      </w:r>
      <w:r w:rsidRPr="004412A6">
        <w:rPr>
          <w:b/>
          <w:bCs/>
          <w:noProof/>
          <w:color w:val="auto"/>
        </w:rPr>
        <w:t>10</w:t>
      </w:r>
      <w:r w:rsidRPr="004412A6">
        <w:rPr>
          <w:noProof/>
          <w:color w:val="auto"/>
        </w:rPr>
        <w:t xml:space="preserve"> (12), e0146021–e0146021 (2015).</w:t>
      </w:r>
    </w:p>
    <w:p w14:paraId="7F750D7F" w14:textId="037FFF12" w:rsidR="00AC0D9E" w:rsidRPr="004412A6" w:rsidRDefault="00AC0D9E" w:rsidP="006B70F9">
      <w:pPr>
        <w:contextualSpacing/>
        <w:rPr>
          <w:noProof/>
          <w:color w:val="auto"/>
        </w:rPr>
      </w:pPr>
      <w:r w:rsidRPr="004412A6">
        <w:rPr>
          <w:noProof/>
          <w:color w:val="auto"/>
        </w:rPr>
        <w:t>12.</w:t>
      </w:r>
      <w:r w:rsidRPr="004412A6">
        <w:rPr>
          <w:noProof/>
          <w:color w:val="auto"/>
        </w:rPr>
        <w:tab/>
        <w:t>Birch, H., Kramer, N.</w:t>
      </w:r>
      <w:r w:rsidR="00934221">
        <w:rPr>
          <w:noProof/>
          <w:color w:val="auto"/>
        </w:rPr>
        <w:t xml:space="preserve"> </w:t>
      </w:r>
      <w:r w:rsidRPr="004412A6">
        <w:rPr>
          <w:noProof/>
          <w:color w:val="auto"/>
        </w:rPr>
        <w:t>I., Mayer, P. Time-</w:t>
      </w:r>
      <w:r w:rsidR="009A215D">
        <w:rPr>
          <w:noProof/>
          <w:color w:val="auto"/>
        </w:rPr>
        <w:t>r</w:t>
      </w:r>
      <w:r w:rsidRPr="004412A6">
        <w:rPr>
          <w:noProof/>
          <w:color w:val="auto"/>
        </w:rPr>
        <w:t xml:space="preserve">esolved </w:t>
      </w:r>
      <w:r w:rsidR="009A215D">
        <w:rPr>
          <w:noProof/>
          <w:color w:val="auto"/>
        </w:rPr>
        <w:t>f</w:t>
      </w:r>
      <w:r w:rsidRPr="004412A6">
        <w:rPr>
          <w:noProof/>
          <w:color w:val="auto"/>
        </w:rPr>
        <w:t xml:space="preserve">reely </w:t>
      </w:r>
      <w:r w:rsidR="009A215D">
        <w:rPr>
          <w:noProof/>
          <w:color w:val="auto"/>
        </w:rPr>
        <w:t>d</w:t>
      </w:r>
      <w:r w:rsidRPr="004412A6">
        <w:rPr>
          <w:noProof/>
          <w:color w:val="auto"/>
        </w:rPr>
        <w:t xml:space="preserve">issolved </w:t>
      </w:r>
      <w:r w:rsidR="009A215D">
        <w:rPr>
          <w:noProof/>
          <w:color w:val="auto"/>
        </w:rPr>
        <w:t>c</w:t>
      </w:r>
      <w:r w:rsidRPr="004412A6">
        <w:rPr>
          <w:noProof/>
          <w:color w:val="auto"/>
        </w:rPr>
        <w:t xml:space="preserve">oncentrations of </w:t>
      </w:r>
      <w:r w:rsidR="009A215D">
        <w:rPr>
          <w:noProof/>
          <w:color w:val="auto"/>
        </w:rPr>
        <w:t>s</w:t>
      </w:r>
      <w:r w:rsidRPr="004412A6">
        <w:rPr>
          <w:noProof/>
          <w:color w:val="auto"/>
        </w:rPr>
        <w:t xml:space="preserve">emivolatile and </w:t>
      </w:r>
      <w:r w:rsidR="009A215D">
        <w:rPr>
          <w:noProof/>
          <w:color w:val="auto"/>
        </w:rPr>
        <w:t>h</w:t>
      </w:r>
      <w:r w:rsidRPr="004412A6">
        <w:rPr>
          <w:noProof/>
          <w:color w:val="auto"/>
        </w:rPr>
        <w:t xml:space="preserve">ydrophobic </w:t>
      </w:r>
      <w:r w:rsidR="009A215D">
        <w:rPr>
          <w:noProof/>
          <w:color w:val="auto"/>
        </w:rPr>
        <w:t>t</w:t>
      </w:r>
      <w:r w:rsidRPr="004412A6">
        <w:rPr>
          <w:noProof/>
          <w:color w:val="auto"/>
        </w:rPr>
        <w:t xml:space="preserve">est </w:t>
      </w:r>
      <w:r w:rsidR="009A215D">
        <w:rPr>
          <w:noProof/>
          <w:color w:val="auto"/>
        </w:rPr>
        <w:t>c</w:t>
      </w:r>
      <w:r w:rsidRPr="004412A6">
        <w:rPr>
          <w:noProof/>
          <w:color w:val="auto"/>
        </w:rPr>
        <w:t xml:space="preserve">hemicals in </w:t>
      </w:r>
      <w:r w:rsidR="009A215D">
        <w:rPr>
          <w:noProof/>
          <w:color w:val="auto"/>
        </w:rPr>
        <w:t>i</w:t>
      </w:r>
      <w:r w:rsidRPr="004412A6">
        <w:rPr>
          <w:noProof/>
          <w:color w:val="auto"/>
        </w:rPr>
        <w:t xml:space="preserve">n </w:t>
      </w:r>
      <w:r w:rsidR="009A215D">
        <w:rPr>
          <w:noProof/>
          <w:color w:val="auto"/>
        </w:rPr>
        <w:t>v</w:t>
      </w:r>
      <w:r w:rsidRPr="004412A6">
        <w:rPr>
          <w:noProof/>
          <w:color w:val="auto"/>
        </w:rPr>
        <w:t xml:space="preserve">itro </w:t>
      </w:r>
      <w:r w:rsidR="009A215D">
        <w:rPr>
          <w:noProof/>
          <w:color w:val="auto"/>
        </w:rPr>
        <w:t>a</w:t>
      </w:r>
      <w:r w:rsidRPr="004412A6">
        <w:rPr>
          <w:noProof/>
          <w:color w:val="auto"/>
        </w:rPr>
        <w:t>ssays—</w:t>
      </w:r>
      <w:r w:rsidR="009A215D">
        <w:rPr>
          <w:noProof/>
          <w:color w:val="auto"/>
        </w:rPr>
        <w:t>m</w:t>
      </w:r>
      <w:r w:rsidRPr="004412A6">
        <w:rPr>
          <w:noProof/>
          <w:color w:val="auto"/>
        </w:rPr>
        <w:t xml:space="preserve">easuring </w:t>
      </w:r>
      <w:r w:rsidR="009A215D">
        <w:rPr>
          <w:noProof/>
          <w:color w:val="auto"/>
        </w:rPr>
        <w:t>h</w:t>
      </w:r>
      <w:r w:rsidRPr="004412A6">
        <w:rPr>
          <w:noProof/>
          <w:color w:val="auto"/>
        </w:rPr>
        <w:t xml:space="preserve">igh </w:t>
      </w:r>
      <w:r w:rsidR="009A215D">
        <w:rPr>
          <w:noProof/>
          <w:color w:val="auto"/>
        </w:rPr>
        <w:t>l</w:t>
      </w:r>
      <w:r w:rsidRPr="004412A6">
        <w:rPr>
          <w:noProof/>
          <w:color w:val="auto"/>
        </w:rPr>
        <w:t xml:space="preserve">osses and </w:t>
      </w:r>
      <w:r w:rsidR="009A215D">
        <w:rPr>
          <w:noProof/>
          <w:color w:val="auto"/>
        </w:rPr>
        <w:t>c</w:t>
      </w:r>
      <w:r w:rsidRPr="004412A6">
        <w:rPr>
          <w:noProof/>
          <w:color w:val="auto"/>
        </w:rPr>
        <w:t xml:space="preserve">rossover by </w:t>
      </w:r>
      <w:r w:rsidR="009A215D">
        <w:rPr>
          <w:noProof/>
          <w:color w:val="auto"/>
        </w:rPr>
        <w:t>h</w:t>
      </w:r>
      <w:r w:rsidRPr="004412A6">
        <w:rPr>
          <w:noProof/>
          <w:color w:val="auto"/>
        </w:rPr>
        <w:t xml:space="preserve">eadspace </w:t>
      </w:r>
      <w:r w:rsidR="009A215D">
        <w:rPr>
          <w:noProof/>
          <w:color w:val="auto"/>
        </w:rPr>
        <w:t>s</w:t>
      </w:r>
      <w:r w:rsidRPr="004412A6">
        <w:rPr>
          <w:noProof/>
          <w:color w:val="auto"/>
        </w:rPr>
        <w:t>olid-</w:t>
      </w:r>
      <w:r w:rsidR="009A215D">
        <w:rPr>
          <w:noProof/>
          <w:color w:val="auto"/>
        </w:rPr>
        <w:t>p</w:t>
      </w:r>
      <w:r w:rsidRPr="004412A6">
        <w:rPr>
          <w:noProof/>
          <w:color w:val="auto"/>
        </w:rPr>
        <w:t xml:space="preserve">hase </w:t>
      </w:r>
      <w:r w:rsidR="009A215D">
        <w:rPr>
          <w:noProof/>
          <w:color w:val="auto"/>
        </w:rPr>
        <w:t>m</w:t>
      </w:r>
      <w:r w:rsidRPr="004412A6">
        <w:rPr>
          <w:noProof/>
          <w:color w:val="auto"/>
        </w:rPr>
        <w:t xml:space="preserve">icroextraction. </w:t>
      </w:r>
      <w:r w:rsidRPr="004412A6">
        <w:rPr>
          <w:i/>
          <w:iCs/>
          <w:noProof/>
          <w:color w:val="auto"/>
        </w:rPr>
        <w:t>Chemical Research in Toxicology</w:t>
      </w:r>
      <w:r w:rsidRPr="004412A6">
        <w:rPr>
          <w:noProof/>
          <w:color w:val="auto"/>
        </w:rPr>
        <w:t xml:space="preserve">. </w:t>
      </w:r>
      <w:r w:rsidRPr="004412A6">
        <w:rPr>
          <w:b/>
          <w:bCs/>
          <w:noProof/>
          <w:color w:val="auto"/>
        </w:rPr>
        <w:t>32</w:t>
      </w:r>
      <w:r w:rsidRPr="004412A6">
        <w:rPr>
          <w:noProof/>
          <w:color w:val="auto"/>
        </w:rPr>
        <w:t xml:space="preserve"> (9), 1780–1790 (2019).</w:t>
      </w:r>
    </w:p>
    <w:p w14:paraId="4893CC0E" w14:textId="60690F4F" w:rsidR="00AC0D9E" w:rsidRPr="004412A6" w:rsidRDefault="00AC0D9E" w:rsidP="006B70F9">
      <w:pPr>
        <w:contextualSpacing/>
        <w:rPr>
          <w:noProof/>
          <w:color w:val="auto"/>
        </w:rPr>
      </w:pPr>
      <w:r w:rsidRPr="004412A6">
        <w:rPr>
          <w:noProof/>
          <w:color w:val="auto"/>
        </w:rPr>
        <w:t>13.</w:t>
      </w:r>
      <w:r w:rsidRPr="004412A6">
        <w:rPr>
          <w:noProof/>
          <w:color w:val="auto"/>
        </w:rPr>
        <w:tab/>
        <w:t>Trac, L.</w:t>
      </w:r>
      <w:r w:rsidR="00934221">
        <w:rPr>
          <w:noProof/>
          <w:color w:val="auto"/>
        </w:rPr>
        <w:t xml:space="preserve"> </w:t>
      </w:r>
      <w:r w:rsidRPr="004412A6">
        <w:rPr>
          <w:noProof/>
          <w:color w:val="auto"/>
        </w:rPr>
        <w:t>N., Schmidt, S.</w:t>
      </w:r>
      <w:r w:rsidR="00934221">
        <w:rPr>
          <w:noProof/>
          <w:color w:val="auto"/>
        </w:rPr>
        <w:t xml:space="preserve"> </w:t>
      </w:r>
      <w:r w:rsidRPr="004412A6">
        <w:rPr>
          <w:noProof/>
          <w:color w:val="auto"/>
        </w:rPr>
        <w:t xml:space="preserve">N., Mayer, P. Headspace passive dosing of volatile hydrophobic chemicals – Aquatic toxicity testing exactly at the saturation level. </w:t>
      </w:r>
      <w:r w:rsidRPr="004412A6">
        <w:rPr>
          <w:i/>
          <w:iCs/>
          <w:noProof/>
          <w:color w:val="auto"/>
        </w:rPr>
        <w:t>Chemosphere</w:t>
      </w:r>
      <w:r w:rsidRPr="004412A6">
        <w:rPr>
          <w:noProof/>
          <w:color w:val="auto"/>
        </w:rPr>
        <w:t xml:space="preserve">. </w:t>
      </w:r>
      <w:r w:rsidRPr="004412A6">
        <w:rPr>
          <w:b/>
          <w:bCs/>
          <w:noProof/>
          <w:color w:val="auto"/>
        </w:rPr>
        <w:t>211</w:t>
      </w:r>
      <w:r w:rsidRPr="004412A6">
        <w:rPr>
          <w:noProof/>
          <w:color w:val="auto"/>
        </w:rPr>
        <w:t>, 694–700 (2018).</w:t>
      </w:r>
    </w:p>
    <w:p w14:paraId="690805EE" w14:textId="7A9BD9B5" w:rsidR="00AC0D9E" w:rsidRPr="004412A6" w:rsidRDefault="00AC0D9E" w:rsidP="006B70F9">
      <w:pPr>
        <w:contextualSpacing/>
        <w:rPr>
          <w:noProof/>
          <w:color w:val="auto"/>
        </w:rPr>
      </w:pPr>
      <w:r w:rsidRPr="004412A6">
        <w:rPr>
          <w:noProof/>
          <w:color w:val="auto"/>
        </w:rPr>
        <w:t>14.</w:t>
      </w:r>
      <w:r w:rsidRPr="004412A6">
        <w:rPr>
          <w:noProof/>
          <w:color w:val="auto"/>
        </w:rPr>
        <w:tab/>
        <w:t xml:space="preserve">Eisentraeger, A., Dott, W., Klein, J., Hahn, S. Comparative studies on algal toxicity testing using fluorometric microplate and Erlenmeyer flask growth-inhibition assays. </w:t>
      </w:r>
      <w:r w:rsidR="0055204A" w:rsidRPr="004412A6">
        <w:rPr>
          <w:i/>
          <w:iCs/>
          <w:noProof/>
          <w:color w:val="auto"/>
        </w:rPr>
        <w:t>E</w:t>
      </w:r>
      <w:r w:rsidR="0055204A">
        <w:rPr>
          <w:i/>
          <w:iCs/>
          <w:noProof/>
          <w:color w:val="auto"/>
        </w:rPr>
        <w:t>cotoxicology</w:t>
      </w:r>
      <w:r w:rsidR="0055204A" w:rsidRPr="004412A6">
        <w:rPr>
          <w:i/>
          <w:iCs/>
          <w:noProof/>
          <w:color w:val="auto"/>
        </w:rPr>
        <w:t xml:space="preserve"> </w:t>
      </w:r>
      <w:r w:rsidR="0055204A">
        <w:rPr>
          <w:i/>
          <w:iCs/>
          <w:noProof/>
          <w:color w:val="auto"/>
        </w:rPr>
        <w:t>and</w:t>
      </w:r>
      <w:r w:rsidR="0055204A" w:rsidRPr="004412A6">
        <w:rPr>
          <w:i/>
          <w:iCs/>
          <w:noProof/>
          <w:color w:val="auto"/>
        </w:rPr>
        <w:t xml:space="preserve"> E</w:t>
      </w:r>
      <w:r w:rsidR="0055204A">
        <w:rPr>
          <w:i/>
          <w:iCs/>
          <w:noProof/>
          <w:color w:val="auto"/>
        </w:rPr>
        <w:t>nvironmental</w:t>
      </w:r>
      <w:r w:rsidR="0055204A" w:rsidRPr="004412A6">
        <w:rPr>
          <w:i/>
          <w:iCs/>
          <w:noProof/>
          <w:color w:val="auto"/>
        </w:rPr>
        <w:t xml:space="preserve"> S</w:t>
      </w:r>
      <w:r w:rsidR="0055204A">
        <w:rPr>
          <w:i/>
          <w:iCs/>
          <w:noProof/>
          <w:color w:val="auto"/>
        </w:rPr>
        <w:t>afety</w:t>
      </w:r>
      <w:r w:rsidRPr="004412A6">
        <w:rPr>
          <w:noProof/>
          <w:color w:val="auto"/>
        </w:rPr>
        <w:t xml:space="preserve">. </w:t>
      </w:r>
      <w:r w:rsidRPr="004412A6">
        <w:rPr>
          <w:b/>
          <w:bCs/>
          <w:noProof/>
          <w:color w:val="auto"/>
        </w:rPr>
        <w:t>54</w:t>
      </w:r>
      <w:r w:rsidRPr="004412A6">
        <w:rPr>
          <w:noProof/>
          <w:color w:val="auto"/>
        </w:rPr>
        <w:t xml:space="preserve"> (3), 346–354 (2003).</w:t>
      </w:r>
    </w:p>
    <w:p w14:paraId="73D87B49" w14:textId="2F4E167C" w:rsidR="00AC0D9E" w:rsidRPr="004412A6" w:rsidRDefault="00AC0D9E" w:rsidP="006B70F9">
      <w:pPr>
        <w:contextualSpacing/>
        <w:rPr>
          <w:noProof/>
          <w:color w:val="auto"/>
        </w:rPr>
      </w:pPr>
      <w:r w:rsidRPr="004412A6">
        <w:rPr>
          <w:noProof/>
          <w:color w:val="auto"/>
        </w:rPr>
        <w:t>15.</w:t>
      </w:r>
      <w:r w:rsidRPr="004412A6">
        <w:rPr>
          <w:noProof/>
          <w:color w:val="auto"/>
        </w:rPr>
        <w:tab/>
        <w:t>Paixao, S.</w:t>
      </w:r>
      <w:r w:rsidR="00934221">
        <w:rPr>
          <w:noProof/>
          <w:color w:val="auto"/>
        </w:rPr>
        <w:t xml:space="preserve"> </w:t>
      </w:r>
      <w:r w:rsidRPr="004412A6">
        <w:rPr>
          <w:noProof/>
          <w:color w:val="auto"/>
        </w:rPr>
        <w:t xml:space="preserve">M., Silva, L., Fernandes, A., O’Rourke, K., Mendonca, E., Picado, A. Performance of a miniaturized algal bioassay in phytotoxicity screening. </w:t>
      </w:r>
      <w:r w:rsidR="0055204A" w:rsidRPr="004412A6">
        <w:rPr>
          <w:i/>
          <w:iCs/>
          <w:noProof/>
          <w:color w:val="auto"/>
        </w:rPr>
        <w:t>E</w:t>
      </w:r>
      <w:r w:rsidR="0055204A">
        <w:rPr>
          <w:i/>
          <w:iCs/>
          <w:noProof/>
          <w:color w:val="auto"/>
        </w:rPr>
        <w:t>cotoxicology</w:t>
      </w:r>
      <w:r w:rsidRPr="004412A6">
        <w:rPr>
          <w:noProof/>
          <w:color w:val="auto"/>
        </w:rPr>
        <w:t xml:space="preserve">. </w:t>
      </w:r>
      <w:r w:rsidRPr="004412A6">
        <w:rPr>
          <w:b/>
          <w:bCs/>
          <w:noProof/>
          <w:color w:val="auto"/>
        </w:rPr>
        <w:t>17</w:t>
      </w:r>
      <w:r w:rsidRPr="004412A6">
        <w:rPr>
          <w:noProof/>
          <w:color w:val="auto"/>
        </w:rPr>
        <w:t xml:space="preserve"> (3), 165–171 (2008).</w:t>
      </w:r>
    </w:p>
    <w:p w14:paraId="52FE9B13" w14:textId="1C754441" w:rsidR="00AC0D9E" w:rsidRPr="004412A6" w:rsidRDefault="00AC0D9E" w:rsidP="006B70F9">
      <w:pPr>
        <w:contextualSpacing/>
        <w:rPr>
          <w:noProof/>
          <w:color w:val="auto"/>
        </w:rPr>
      </w:pPr>
      <w:r w:rsidRPr="004412A6">
        <w:rPr>
          <w:noProof/>
          <w:color w:val="auto"/>
        </w:rPr>
        <w:t>16.</w:t>
      </w:r>
      <w:r w:rsidRPr="004412A6">
        <w:rPr>
          <w:noProof/>
          <w:color w:val="auto"/>
        </w:rPr>
        <w:tab/>
      </w:r>
      <w:r w:rsidR="00977D0E" w:rsidRPr="004412A6">
        <w:rPr>
          <w:noProof/>
          <w:color w:val="auto"/>
        </w:rPr>
        <w:t>T</w:t>
      </w:r>
      <w:r w:rsidR="00977D0E">
        <w:rPr>
          <w:noProof/>
          <w:color w:val="auto"/>
        </w:rPr>
        <w:t>hellen</w:t>
      </w:r>
      <w:r w:rsidRPr="004412A6">
        <w:rPr>
          <w:noProof/>
          <w:color w:val="auto"/>
        </w:rPr>
        <w:t xml:space="preserve">, C., </w:t>
      </w:r>
      <w:r w:rsidR="00977D0E" w:rsidRPr="004412A6">
        <w:rPr>
          <w:noProof/>
          <w:color w:val="auto"/>
        </w:rPr>
        <w:t>B</w:t>
      </w:r>
      <w:r w:rsidR="00977D0E">
        <w:rPr>
          <w:noProof/>
          <w:color w:val="auto"/>
        </w:rPr>
        <w:t>laise</w:t>
      </w:r>
      <w:r w:rsidRPr="004412A6">
        <w:rPr>
          <w:noProof/>
          <w:color w:val="auto"/>
        </w:rPr>
        <w:t xml:space="preserve">, C., </w:t>
      </w:r>
      <w:r w:rsidR="00977D0E" w:rsidRPr="004412A6">
        <w:rPr>
          <w:noProof/>
          <w:color w:val="auto"/>
        </w:rPr>
        <w:t>R</w:t>
      </w:r>
      <w:r w:rsidR="00977D0E">
        <w:rPr>
          <w:noProof/>
          <w:color w:val="auto"/>
        </w:rPr>
        <w:t>oy</w:t>
      </w:r>
      <w:r w:rsidRPr="004412A6">
        <w:rPr>
          <w:noProof/>
          <w:color w:val="auto"/>
        </w:rPr>
        <w:t xml:space="preserve">, Y., </w:t>
      </w:r>
      <w:r w:rsidR="00977D0E" w:rsidRPr="004412A6">
        <w:rPr>
          <w:noProof/>
          <w:color w:val="auto"/>
        </w:rPr>
        <w:t>H</w:t>
      </w:r>
      <w:r w:rsidR="00977D0E">
        <w:rPr>
          <w:noProof/>
          <w:color w:val="auto"/>
        </w:rPr>
        <w:t>ickey</w:t>
      </w:r>
      <w:r w:rsidRPr="004412A6">
        <w:rPr>
          <w:noProof/>
          <w:color w:val="auto"/>
        </w:rPr>
        <w:t xml:space="preserve">, C. </w:t>
      </w:r>
      <w:r w:rsidR="007005A8" w:rsidRPr="004412A6">
        <w:rPr>
          <w:noProof/>
          <w:color w:val="auto"/>
        </w:rPr>
        <w:t>R</w:t>
      </w:r>
      <w:r w:rsidR="007005A8">
        <w:rPr>
          <w:noProof/>
          <w:color w:val="auto"/>
        </w:rPr>
        <w:t>ound</w:t>
      </w:r>
      <w:r w:rsidRPr="004412A6">
        <w:rPr>
          <w:noProof/>
          <w:color w:val="auto"/>
        </w:rPr>
        <w:t>-</w:t>
      </w:r>
      <w:r w:rsidR="007005A8">
        <w:rPr>
          <w:noProof/>
          <w:color w:val="auto"/>
        </w:rPr>
        <w:t>robin</w:t>
      </w:r>
      <w:r w:rsidR="007005A8" w:rsidRPr="004412A6">
        <w:rPr>
          <w:noProof/>
          <w:color w:val="auto"/>
        </w:rPr>
        <w:t xml:space="preserve"> </w:t>
      </w:r>
      <w:r w:rsidR="007005A8">
        <w:rPr>
          <w:noProof/>
          <w:color w:val="auto"/>
        </w:rPr>
        <w:t>testing</w:t>
      </w:r>
      <w:r w:rsidR="007005A8" w:rsidRPr="004412A6">
        <w:rPr>
          <w:noProof/>
          <w:color w:val="auto"/>
        </w:rPr>
        <w:t xml:space="preserve"> </w:t>
      </w:r>
      <w:r w:rsidR="007005A8">
        <w:rPr>
          <w:noProof/>
          <w:color w:val="auto"/>
        </w:rPr>
        <w:t>with</w:t>
      </w:r>
      <w:r w:rsidR="007005A8" w:rsidRPr="004412A6">
        <w:rPr>
          <w:noProof/>
          <w:color w:val="auto"/>
        </w:rPr>
        <w:t xml:space="preserve"> </w:t>
      </w:r>
      <w:r w:rsidR="007005A8">
        <w:rPr>
          <w:noProof/>
          <w:color w:val="auto"/>
        </w:rPr>
        <w:t>the</w:t>
      </w:r>
      <w:r w:rsidR="007005A8" w:rsidRPr="004412A6">
        <w:rPr>
          <w:noProof/>
          <w:color w:val="auto"/>
        </w:rPr>
        <w:t xml:space="preserve"> </w:t>
      </w:r>
      <w:r w:rsidR="007005A8">
        <w:rPr>
          <w:noProof/>
          <w:color w:val="auto"/>
        </w:rPr>
        <w:t>selenastrum</w:t>
      </w:r>
      <w:r w:rsidRPr="004412A6">
        <w:rPr>
          <w:noProof/>
          <w:color w:val="auto"/>
        </w:rPr>
        <w:t>-</w:t>
      </w:r>
      <w:r w:rsidR="007005A8" w:rsidRPr="004412A6">
        <w:rPr>
          <w:noProof/>
          <w:color w:val="auto"/>
        </w:rPr>
        <w:t>-</w:t>
      </w:r>
      <w:r w:rsidR="007005A8">
        <w:rPr>
          <w:noProof/>
          <w:color w:val="auto"/>
        </w:rPr>
        <w:t>capricornutum</w:t>
      </w:r>
      <w:r w:rsidRPr="004412A6">
        <w:rPr>
          <w:noProof/>
          <w:color w:val="auto"/>
        </w:rPr>
        <w:t xml:space="preserve"> </w:t>
      </w:r>
      <w:r w:rsidR="007005A8">
        <w:rPr>
          <w:noProof/>
          <w:color w:val="auto"/>
        </w:rPr>
        <w:t>microplate</w:t>
      </w:r>
      <w:r w:rsidR="007005A8" w:rsidRPr="004412A6">
        <w:rPr>
          <w:noProof/>
          <w:color w:val="auto"/>
        </w:rPr>
        <w:t xml:space="preserve"> </w:t>
      </w:r>
      <w:r w:rsidR="007005A8">
        <w:rPr>
          <w:noProof/>
          <w:color w:val="auto"/>
        </w:rPr>
        <w:t>toxicity</w:t>
      </w:r>
      <w:r w:rsidR="007005A8" w:rsidRPr="004412A6">
        <w:rPr>
          <w:noProof/>
          <w:color w:val="auto"/>
        </w:rPr>
        <w:t xml:space="preserve"> </w:t>
      </w:r>
      <w:r w:rsidR="007005A8">
        <w:rPr>
          <w:noProof/>
          <w:color w:val="auto"/>
        </w:rPr>
        <w:t>assay</w:t>
      </w:r>
      <w:r w:rsidRPr="004412A6">
        <w:rPr>
          <w:noProof/>
          <w:color w:val="auto"/>
        </w:rPr>
        <w:t xml:space="preserve">. </w:t>
      </w:r>
      <w:r w:rsidR="0055204A" w:rsidRPr="004412A6">
        <w:rPr>
          <w:i/>
          <w:iCs/>
          <w:noProof/>
          <w:color w:val="auto"/>
        </w:rPr>
        <w:t>H</w:t>
      </w:r>
      <w:r w:rsidR="0055204A">
        <w:rPr>
          <w:i/>
          <w:iCs/>
          <w:noProof/>
          <w:color w:val="auto"/>
        </w:rPr>
        <w:t>ydrobiologia</w:t>
      </w:r>
      <w:r w:rsidRPr="004412A6">
        <w:rPr>
          <w:noProof/>
          <w:color w:val="auto"/>
        </w:rPr>
        <w:t xml:space="preserve">. </w:t>
      </w:r>
      <w:r w:rsidRPr="004412A6">
        <w:rPr>
          <w:b/>
          <w:bCs/>
          <w:noProof/>
          <w:color w:val="auto"/>
        </w:rPr>
        <w:t>188</w:t>
      </w:r>
      <w:r w:rsidRPr="004412A6">
        <w:rPr>
          <w:noProof/>
          <w:color w:val="auto"/>
        </w:rPr>
        <w:t>, 259–268 (1989).</w:t>
      </w:r>
    </w:p>
    <w:p w14:paraId="0C9015FA" w14:textId="4E620C83" w:rsidR="00AC0D9E" w:rsidRPr="004412A6" w:rsidRDefault="00AC0D9E" w:rsidP="006B70F9">
      <w:pPr>
        <w:contextualSpacing/>
        <w:rPr>
          <w:noProof/>
          <w:color w:val="auto"/>
        </w:rPr>
      </w:pPr>
      <w:r w:rsidRPr="004412A6">
        <w:rPr>
          <w:noProof/>
          <w:color w:val="auto"/>
        </w:rPr>
        <w:t>17.</w:t>
      </w:r>
      <w:r w:rsidRPr="004412A6">
        <w:rPr>
          <w:noProof/>
          <w:color w:val="auto"/>
        </w:rPr>
        <w:tab/>
        <w:t xml:space="preserve">Nagai, T., Taya, K., Annoh, H., Ishihara, S. Application of a fluorometric microplate algal toxicity assay for riverine periphytic algal species. </w:t>
      </w:r>
      <w:r w:rsidR="0055204A" w:rsidRPr="004412A6">
        <w:rPr>
          <w:i/>
          <w:iCs/>
          <w:noProof/>
          <w:color w:val="auto"/>
        </w:rPr>
        <w:t>E</w:t>
      </w:r>
      <w:r w:rsidR="0055204A">
        <w:rPr>
          <w:i/>
          <w:iCs/>
          <w:noProof/>
          <w:color w:val="auto"/>
        </w:rPr>
        <w:t>cotoxicology</w:t>
      </w:r>
      <w:r w:rsidR="0055204A" w:rsidRPr="004412A6">
        <w:rPr>
          <w:i/>
          <w:iCs/>
          <w:noProof/>
          <w:color w:val="auto"/>
        </w:rPr>
        <w:t xml:space="preserve"> </w:t>
      </w:r>
      <w:r w:rsidR="0055204A">
        <w:rPr>
          <w:i/>
          <w:iCs/>
          <w:noProof/>
          <w:color w:val="auto"/>
        </w:rPr>
        <w:t>and</w:t>
      </w:r>
      <w:r w:rsidR="0055204A" w:rsidRPr="004412A6">
        <w:rPr>
          <w:i/>
          <w:iCs/>
          <w:noProof/>
          <w:color w:val="auto"/>
        </w:rPr>
        <w:t xml:space="preserve"> E</w:t>
      </w:r>
      <w:r w:rsidR="0055204A">
        <w:rPr>
          <w:i/>
          <w:iCs/>
          <w:noProof/>
          <w:color w:val="auto"/>
        </w:rPr>
        <w:t>nvironmental</w:t>
      </w:r>
      <w:r w:rsidR="0055204A" w:rsidRPr="004412A6">
        <w:rPr>
          <w:i/>
          <w:iCs/>
          <w:noProof/>
          <w:color w:val="auto"/>
        </w:rPr>
        <w:t xml:space="preserve"> S</w:t>
      </w:r>
      <w:r w:rsidR="0055204A">
        <w:rPr>
          <w:i/>
          <w:iCs/>
          <w:noProof/>
          <w:color w:val="auto"/>
        </w:rPr>
        <w:t>afety</w:t>
      </w:r>
      <w:r w:rsidRPr="004412A6">
        <w:rPr>
          <w:noProof/>
          <w:color w:val="auto"/>
        </w:rPr>
        <w:t xml:space="preserve">. </w:t>
      </w:r>
      <w:r w:rsidRPr="004412A6">
        <w:rPr>
          <w:b/>
          <w:bCs/>
          <w:noProof/>
          <w:color w:val="auto"/>
        </w:rPr>
        <w:t>94</w:t>
      </w:r>
      <w:r w:rsidRPr="004412A6">
        <w:rPr>
          <w:noProof/>
          <w:color w:val="auto"/>
        </w:rPr>
        <w:t>, 37–44 (2013).</w:t>
      </w:r>
    </w:p>
    <w:p w14:paraId="0EA7C4C8" w14:textId="2286E452" w:rsidR="00AC0D9E" w:rsidRPr="004412A6" w:rsidRDefault="00AC0D9E" w:rsidP="006B70F9">
      <w:pPr>
        <w:contextualSpacing/>
        <w:rPr>
          <w:noProof/>
          <w:color w:val="auto"/>
        </w:rPr>
      </w:pPr>
      <w:r w:rsidRPr="004412A6">
        <w:rPr>
          <w:noProof/>
          <w:color w:val="auto"/>
        </w:rPr>
        <w:t>18.</w:t>
      </w:r>
      <w:r w:rsidRPr="004412A6">
        <w:rPr>
          <w:noProof/>
          <w:color w:val="auto"/>
        </w:rPr>
        <w:tab/>
        <w:t>Lee, W.-M., An, Y.-J. Effects of zinc oxide and titanium dioxide nanoparticles on green algae under</w:t>
      </w:r>
      <w:r w:rsidR="00C540DF" w:rsidRPr="004412A6">
        <w:rPr>
          <w:noProof/>
          <w:color w:val="auto"/>
        </w:rPr>
        <w:t xml:space="preserve"> </w:t>
      </w:r>
      <w:r w:rsidRPr="004412A6">
        <w:rPr>
          <w:noProof/>
          <w:color w:val="auto"/>
        </w:rPr>
        <w:t xml:space="preserve">visible, UVA, and UVB irradiations: no evidence of enhanced algal toxicity under UV </w:t>
      </w:r>
      <w:r w:rsidRPr="004412A6">
        <w:rPr>
          <w:noProof/>
          <w:color w:val="auto"/>
        </w:rPr>
        <w:lastRenderedPageBreak/>
        <w:t xml:space="preserve">pre-irradiation. </w:t>
      </w:r>
      <w:r w:rsidRPr="004412A6">
        <w:rPr>
          <w:i/>
          <w:iCs/>
          <w:noProof/>
          <w:color w:val="auto"/>
        </w:rPr>
        <w:t>Chemosphere</w:t>
      </w:r>
      <w:r w:rsidRPr="004412A6">
        <w:rPr>
          <w:noProof/>
          <w:color w:val="auto"/>
        </w:rPr>
        <w:t xml:space="preserve">. </w:t>
      </w:r>
      <w:r w:rsidRPr="004412A6">
        <w:rPr>
          <w:b/>
          <w:bCs/>
          <w:noProof/>
          <w:color w:val="auto"/>
        </w:rPr>
        <w:t>91</w:t>
      </w:r>
      <w:r w:rsidRPr="004412A6">
        <w:rPr>
          <w:noProof/>
          <w:color w:val="auto"/>
        </w:rPr>
        <w:t xml:space="preserve"> (4), 536–544 (2013).</w:t>
      </w:r>
    </w:p>
    <w:p w14:paraId="5534DF88" w14:textId="0F08B9F3" w:rsidR="00AC0D9E" w:rsidRPr="004412A6" w:rsidRDefault="00AC0D9E" w:rsidP="006B70F9">
      <w:pPr>
        <w:contextualSpacing/>
        <w:rPr>
          <w:noProof/>
          <w:color w:val="auto"/>
        </w:rPr>
      </w:pPr>
      <w:r w:rsidRPr="004412A6">
        <w:rPr>
          <w:noProof/>
          <w:color w:val="auto"/>
        </w:rPr>
        <w:t>19.</w:t>
      </w:r>
      <w:r w:rsidRPr="004412A6">
        <w:rPr>
          <w:noProof/>
          <w:color w:val="auto"/>
        </w:rPr>
        <w:tab/>
        <w:t>Samei, M., Sarrafzadeh, M.-H., Faramarzi, M.</w:t>
      </w:r>
      <w:r w:rsidR="00934221">
        <w:rPr>
          <w:noProof/>
          <w:color w:val="auto"/>
        </w:rPr>
        <w:t xml:space="preserve"> </w:t>
      </w:r>
      <w:r w:rsidRPr="004412A6">
        <w:rPr>
          <w:noProof/>
          <w:color w:val="auto"/>
        </w:rPr>
        <w:t xml:space="preserve">A. The impact of morphology and size of zinc oxide nanoparticles on its toxicity to the freshwater microalga, Raphidocelis subcapitata. </w:t>
      </w:r>
      <w:r w:rsidR="004A6497" w:rsidRPr="004412A6">
        <w:rPr>
          <w:i/>
          <w:iCs/>
          <w:noProof/>
          <w:color w:val="auto"/>
        </w:rPr>
        <w:t>E</w:t>
      </w:r>
      <w:r w:rsidR="004A6497">
        <w:rPr>
          <w:i/>
          <w:iCs/>
          <w:noProof/>
          <w:color w:val="auto"/>
        </w:rPr>
        <w:t>nvironmental</w:t>
      </w:r>
      <w:r w:rsidR="004A6497" w:rsidRPr="004412A6">
        <w:rPr>
          <w:i/>
          <w:iCs/>
          <w:noProof/>
          <w:color w:val="auto"/>
        </w:rPr>
        <w:t xml:space="preserve"> S</w:t>
      </w:r>
      <w:r w:rsidR="004A6497">
        <w:rPr>
          <w:i/>
          <w:iCs/>
          <w:noProof/>
          <w:color w:val="auto"/>
        </w:rPr>
        <w:t>cience</w:t>
      </w:r>
      <w:r w:rsidR="004A6497" w:rsidRPr="004412A6">
        <w:rPr>
          <w:i/>
          <w:iCs/>
          <w:noProof/>
          <w:color w:val="auto"/>
        </w:rPr>
        <w:t xml:space="preserve"> </w:t>
      </w:r>
      <w:r w:rsidR="0055204A">
        <w:rPr>
          <w:i/>
          <w:iCs/>
          <w:noProof/>
          <w:color w:val="auto"/>
        </w:rPr>
        <w:t>a</w:t>
      </w:r>
      <w:r w:rsidR="004A6497">
        <w:rPr>
          <w:i/>
          <w:iCs/>
          <w:noProof/>
          <w:color w:val="auto"/>
        </w:rPr>
        <w:t>nd</w:t>
      </w:r>
      <w:r w:rsidR="004A6497" w:rsidRPr="004412A6">
        <w:rPr>
          <w:i/>
          <w:iCs/>
          <w:noProof/>
          <w:color w:val="auto"/>
        </w:rPr>
        <w:t xml:space="preserve"> P</w:t>
      </w:r>
      <w:r w:rsidR="004A6497">
        <w:rPr>
          <w:i/>
          <w:iCs/>
          <w:noProof/>
          <w:color w:val="auto"/>
        </w:rPr>
        <w:t>ollution</w:t>
      </w:r>
      <w:r w:rsidR="004A6497" w:rsidRPr="004412A6">
        <w:rPr>
          <w:i/>
          <w:iCs/>
          <w:noProof/>
          <w:color w:val="auto"/>
        </w:rPr>
        <w:t xml:space="preserve"> R</w:t>
      </w:r>
      <w:r w:rsidR="004A6497">
        <w:rPr>
          <w:i/>
          <w:iCs/>
          <w:noProof/>
          <w:color w:val="auto"/>
        </w:rPr>
        <w:t>esearch</w:t>
      </w:r>
      <w:r w:rsidRPr="004412A6">
        <w:rPr>
          <w:noProof/>
          <w:color w:val="auto"/>
        </w:rPr>
        <w:t xml:space="preserve">. </w:t>
      </w:r>
      <w:r w:rsidRPr="004412A6">
        <w:rPr>
          <w:b/>
          <w:bCs/>
          <w:noProof/>
          <w:color w:val="auto"/>
        </w:rPr>
        <w:t>26</w:t>
      </w:r>
      <w:r w:rsidRPr="004412A6">
        <w:rPr>
          <w:noProof/>
          <w:color w:val="auto"/>
        </w:rPr>
        <w:t xml:space="preserve"> (3), 2409–2420 (2019).</w:t>
      </w:r>
    </w:p>
    <w:p w14:paraId="68704B0E" w14:textId="2F4EE266" w:rsidR="00AC0D9E" w:rsidRPr="004412A6" w:rsidRDefault="00AC0D9E" w:rsidP="006B70F9">
      <w:pPr>
        <w:contextualSpacing/>
        <w:rPr>
          <w:noProof/>
          <w:color w:val="auto"/>
        </w:rPr>
      </w:pPr>
      <w:r w:rsidRPr="004412A6">
        <w:rPr>
          <w:noProof/>
          <w:color w:val="auto"/>
        </w:rPr>
        <w:t>20.</w:t>
      </w:r>
      <w:r w:rsidRPr="004412A6">
        <w:rPr>
          <w:noProof/>
          <w:color w:val="auto"/>
        </w:rPr>
        <w:tab/>
        <w:t>Neale, P.</w:t>
      </w:r>
      <w:r w:rsidR="00934221">
        <w:rPr>
          <w:noProof/>
          <w:color w:val="auto"/>
        </w:rPr>
        <w:t xml:space="preserve"> </w:t>
      </w:r>
      <w:r w:rsidRPr="004412A6">
        <w:rPr>
          <w:noProof/>
          <w:color w:val="auto"/>
        </w:rPr>
        <w:t>A., Jaemting, A.</w:t>
      </w:r>
      <w:r w:rsidR="00934221">
        <w:rPr>
          <w:noProof/>
          <w:color w:val="auto"/>
        </w:rPr>
        <w:t xml:space="preserve"> </w:t>
      </w:r>
      <w:r w:rsidRPr="004412A6">
        <w:rPr>
          <w:noProof/>
          <w:color w:val="auto"/>
        </w:rPr>
        <w:t>K., O’Malley, E., Herrmann, J., Escher, B.</w:t>
      </w:r>
      <w:r w:rsidR="00934221">
        <w:rPr>
          <w:noProof/>
          <w:color w:val="auto"/>
        </w:rPr>
        <w:t xml:space="preserve"> </w:t>
      </w:r>
      <w:r w:rsidRPr="004412A6">
        <w:rPr>
          <w:noProof/>
          <w:color w:val="auto"/>
        </w:rPr>
        <w:t xml:space="preserve">I. Behaviour of titanium dioxide and zinc oxide nanoparticles in the presence of wastewater-derived organic matter and implications for algal toxicity. </w:t>
      </w:r>
      <w:r w:rsidR="009965AF" w:rsidRPr="004412A6">
        <w:rPr>
          <w:i/>
          <w:iCs/>
          <w:noProof/>
          <w:color w:val="auto"/>
        </w:rPr>
        <w:t>E</w:t>
      </w:r>
      <w:r w:rsidR="009965AF">
        <w:rPr>
          <w:i/>
          <w:iCs/>
          <w:noProof/>
          <w:color w:val="auto"/>
        </w:rPr>
        <w:t>nvironmental</w:t>
      </w:r>
      <w:r w:rsidR="009965AF" w:rsidRPr="004412A6">
        <w:rPr>
          <w:i/>
          <w:iCs/>
          <w:noProof/>
          <w:color w:val="auto"/>
        </w:rPr>
        <w:t xml:space="preserve"> S</w:t>
      </w:r>
      <w:r w:rsidR="009965AF">
        <w:rPr>
          <w:i/>
          <w:iCs/>
          <w:noProof/>
          <w:color w:val="auto"/>
        </w:rPr>
        <w:t xml:space="preserve">cience: </w:t>
      </w:r>
      <w:r w:rsidR="009965AF" w:rsidRPr="004412A6">
        <w:rPr>
          <w:i/>
          <w:iCs/>
          <w:noProof/>
          <w:color w:val="auto"/>
        </w:rPr>
        <w:t>N</w:t>
      </w:r>
      <w:r w:rsidR="009965AF">
        <w:rPr>
          <w:i/>
          <w:iCs/>
          <w:noProof/>
          <w:color w:val="auto"/>
        </w:rPr>
        <w:t>ano</w:t>
      </w:r>
      <w:r w:rsidRPr="004412A6">
        <w:rPr>
          <w:noProof/>
          <w:color w:val="auto"/>
        </w:rPr>
        <w:t xml:space="preserve">. </w:t>
      </w:r>
      <w:r w:rsidRPr="004412A6">
        <w:rPr>
          <w:b/>
          <w:bCs/>
          <w:noProof/>
          <w:color w:val="auto"/>
        </w:rPr>
        <w:t>2</w:t>
      </w:r>
      <w:r w:rsidRPr="004412A6">
        <w:rPr>
          <w:noProof/>
          <w:color w:val="auto"/>
        </w:rPr>
        <w:t xml:space="preserve"> (1), 86–93 (2015).</w:t>
      </w:r>
    </w:p>
    <w:p w14:paraId="36FC5272" w14:textId="76334FE5" w:rsidR="00AC0D9E" w:rsidRPr="004412A6" w:rsidRDefault="00AC0D9E" w:rsidP="006B70F9">
      <w:pPr>
        <w:contextualSpacing/>
        <w:rPr>
          <w:noProof/>
          <w:color w:val="auto"/>
        </w:rPr>
      </w:pPr>
      <w:r w:rsidRPr="004412A6">
        <w:rPr>
          <w:noProof/>
          <w:color w:val="auto"/>
        </w:rPr>
        <w:t>21.</w:t>
      </w:r>
      <w:r w:rsidRPr="004412A6">
        <w:rPr>
          <w:noProof/>
          <w:color w:val="auto"/>
        </w:rPr>
        <w:tab/>
        <w:t>Hartmann, N.</w:t>
      </w:r>
      <w:r w:rsidR="00934221">
        <w:rPr>
          <w:noProof/>
          <w:color w:val="auto"/>
        </w:rPr>
        <w:t xml:space="preserve"> </w:t>
      </w:r>
      <w:r w:rsidRPr="004412A6">
        <w:rPr>
          <w:noProof/>
          <w:color w:val="auto"/>
        </w:rPr>
        <w:t>B.</w:t>
      </w:r>
      <w:r w:rsidR="00977D0E">
        <w:rPr>
          <w:noProof/>
          <w:color w:val="auto"/>
        </w:rPr>
        <w:t xml:space="preserve"> et al</w:t>
      </w:r>
      <w:r w:rsidRPr="004412A6">
        <w:rPr>
          <w:noProof/>
          <w:color w:val="auto"/>
        </w:rPr>
        <w:t xml:space="preserve">. The challenges of testing metal and metal oxide nanoparticles in algal bioassays: titanium dioxide and gold nanoparticles as case studies. </w:t>
      </w:r>
      <w:r w:rsidR="004A6497" w:rsidRPr="004412A6">
        <w:rPr>
          <w:i/>
          <w:iCs/>
          <w:noProof/>
          <w:color w:val="auto"/>
        </w:rPr>
        <w:t>N</w:t>
      </w:r>
      <w:r w:rsidR="004A6497">
        <w:rPr>
          <w:i/>
          <w:iCs/>
          <w:noProof/>
          <w:color w:val="auto"/>
        </w:rPr>
        <w:t>anotoxicology</w:t>
      </w:r>
      <w:r w:rsidRPr="004412A6">
        <w:rPr>
          <w:noProof/>
          <w:color w:val="auto"/>
        </w:rPr>
        <w:t xml:space="preserve">. </w:t>
      </w:r>
      <w:r w:rsidRPr="004412A6">
        <w:rPr>
          <w:b/>
          <w:bCs/>
          <w:noProof/>
          <w:color w:val="auto"/>
        </w:rPr>
        <w:t>7</w:t>
      </w:r>
      <w:r w:rsidRPr="004412A6">
        <w:rPr>
          <w:noProof/>
          <w:color w:val="auto"/>
        </w:rPr>
        <w:t xml:space="preserve"> (6), 1082–1094 (2013).</w:t>
      </w:r>
    </w:p>
    <w:p w14:paraId="08F3AAA5" w14:textId="298CEF91" w:rsidR="00AC0D9E" w:rsidRPr="004412A6" w:rsidRDefault="00AC0D9E" w:rsidP="006B70F9">
      <w:pPr>
        <w:contextualSpacing/>
        <w:rPr>
          <w:noProof/>
          <w:color w:val="auto"/>
        </w:rPr>
      </w:pPr>
      <w:r w:rsidRPr="004412A6">
        <w:rPr>
          <w:noProof/>
          <w:color w:val="auto"/>
        </w:rPr>
        <w:t>22.</w:t>
      </w:r>
      <w:r w:rsidRPr="004412A6">
        <w:rPr>
          <w:noProof/>
          <w:color w:val="auto"/>
        </w:rPr>
        <w:tab/>
        <w:t>Farkas, J., Booth, A.</w:t>
      </w:r>
      <w:r w:rsidR="00934221">
        <w:rPr>
          <w:noProof/>
          <w:color w:val="auto"/>
        </w:rPr>
        <w:t xml:space="preserve"> </w:t>
      </w:r>
      <w:r w:rsidRPr="004412A6">
        <w:rPr>
          <w:noProof/>
          <w:color w:val="auto"/>
        </w:rPr>
        <w:t xml:space="preserve">M. Are fluorescence-based chlorophyll quantification methods suitable for algae toxicity assessment of carbon nanomaterials? </w:t>
      </w:r>
      <w:r w:rsidRPr="004412A6">
        <w:rPr>
          <w:i/>
          <w:iCs/>
          <w:noProof/>
          <w:color w:val="auto"/>
        </w:rPr>
        <w:t>Nanotoxicology</w:t>
      </w:r>
      <w:r w:rsidRPr="004412A6">
        <w:rPr>
          <w:noProof/>
          <w:color w:val="auto"/>
        </w:rPr>
        <w:t xml:space="preserve">. </w:t>
      </w:r>
      <w:r w:rsidRPr="004412A6">
        <w:rPr>
          <w:b/>
          <w:bCs/>
          <w:noProof/>
          <w:color w:val="auto"/>
        </w:rPr>
        <w:t>11</w:t>
      </w:r>
      <w:r w:rsidRPr="004412A6">
        <w:rPr>
          <w:noProof/>
          <w:color w:val="auto"/>
        </w:rPr>
        <w:t xml:space="preserve"> (4), 569–577 (2017).</w:t>
      </w:r>
    </w:p>
    <w:p w14:paraId="06E63D82" w14:textId="1ECF4C65" w:rsidR="00AC0D9E" w:rsidRPr="004412A6" w:rsidRDefault="00AC0D9E" w:rsidP="006B70F9">
      <w:pPr>
        <w:contextualSpacing/>
        <w:rPr>
          <w:noProof/>
          <w:color w:val="auto"/>
        </w:rPr>
      </w:pPr>
      <w:r w:rsidRPr="004412A6">
        <w:rPr>
          <w:noProof/>
          <w:color w:val="auto"/>
        </w:rPr>
        <w:t>23.</w:t>
      </w:r>
      <w:r w:rsidRPr="004412A6">
        <w:rPr>
          <w:noProof/>
          <w:color w:val="auto"/>
        </w:rPr>
        <w:tab/>
        <w:t>Handy, R.</w:t>
      </w:r>
      <w:r w:rsidR="00934221">
        <w:rPr>
          <w:noProof/>
          <w:color w:val="auto"/>
        </w:rPr>
        <w:t xml:space="preserve"> </w:t>
      </w:r>
      <w:r w:rsidRPr="004412A6">
        <w:rPr>
          <w:noProof/>
          <w:color w:val="auto"/>
        </w:rPr>
        <w:t xml:space="preserve">D. </w:t>
      </w:r>
      <w:r w:rsidRPr="00F72759">
        <w:rPr>
          <w:noProof/>
          <w:color w:val="auto"/>
        </w:rPr>
        <w:t>et al.</w:t>
      </w:r>
      <w:r w:rsidRPr="004412A6">
        <w:rPr>
          <w:noProof/>
          <w:color w:val="auto"/>
        </w:rPr>
        <w:t xml:space="preserve"> Practical considerations for conducting ecotoxicity test methods with manufactured nanomaterials: what have we learnt so far? </w:t>
      </w:r>
      <w:r w:rsidRPr="004412A6">
        <w:rPr>
          <w:i/>
          <w:iCs/>
          <w:noProof/>
          <w:color w:val="auto"/>
        </w:rPr>
        <w:t>Ecotoxicology</w:t>
      </w:r>
      <w:r w:rsidRPr="004412A6">
        <w:rPr>
          <w:noProof/>
          <w:color w:val="auto"/>
        </w:rPr>
        <w:t xml:space="preserve">. </w:t>
      </w:r>
      <w:r w:rsidRPr="004412A6">
        <w:rPr>
          <w:b/>
          <w:bCs/>
          <w:noProof/>
          <w:color w:val="auto"/>
        </w:rPr>
        <w:t>21</w:t>
      </w:r>
      <w:r w:rsidRPr="004412A6">
        <w:rPr>
          <w:noProof/>
          <w:color w:val="auto"/>
        </w:rPr>
        <w:t xml:space="preserve"> (4), 933–972 (2012).</w:t>
      </w:r>
    </w:p>
    <w:p w14:paraId="49D2553B" w14:textId="06038B19" w:rsidR="00AC0D9E" w:rsidRPr="004412A6" w:rsidRDefault="00AC0D9E" w:rsidP="006B70F9">
      <w:pPr>
        <w:contextualSpacing/>
        <w:rPr>
          <w:noProof/>
          <w:color w:val="auto"/>
        </w:rPr>
      </w:pPr>
      <w:r w:rsidRPr="004412A6">
        <w:rPr>
          <w:noProof/>
          <w:color w:val="auto"/>
        </w:rPr>
        <w:t>24.</w:t>
      </w:r>
      <w:r w:rsidRPr="004412A6">
        <w:rPr>
          <w:noProof/>
          <w:color w:val="auto"/>
        </w:rPr>
        <w:tab/>
        <w:t>Handy, R.</w:t>
      </w:r>
      <w:r w:rsidR="00934221">
        <w:rPr>
          <w:noProof/>
          <w:color w:val="auto"/>
        </w:rPr>
        <w:t xml:space="preserve"> </w:t>
      </w:r>
      <w:r w:rsidRPr="004412A6">
        <w:rPr>
          <w:noProof/>
          <w:color w:val="auto"/>
        </w:rPr>
        <w:t xml:space="preserve">D. </w:t>
      </w:r>
      <w:r w:rsidRPr="00F72759">
        <w:rPr>
          <w:noProof/>
          <w:color w:val="auto"/>
        </w:rPr>
        <w:t>et al.</w:t>
      </w:r>
      <w:r w:rsidRPr="004412A6">
        <w:rPr>
          <w:noProof/>
          <w:color w:val="auto"/>
        </w:rPr>
        <w:t xml:space="preserve"> Ecotoxicity test methods for engineered nanomaterials: </w:t>
      </w:r>
      <w:r w:rsidR="004A6497">
        <w:rPr>
          <w:noProof/>
          <w:color w:val="auto"/>
        </w:rPr>
        <w:t>p</w:t>
      </w:r>
      <w:r w:rsidRPr="004412A6">
        <w:rPr>
          <w:noProof/>
          <w:color w:val="auto"/>
        </w:rPr>
        <w:t xml:space="preserve">ractical experiences and recommendations from the bench. </w:t>
      </w:r>
      <w:r w:rsidRPr="004412A6">
        <w:rPr>
          <w:i/>
          <w:iCs/>
          <w:noProof/>
          <w:color w:val="auto"/>
        </w:rPr>
        <w:t>Environmental Toxicology and Chemistry</w:t>
      </w:r>
      <w:r w:rsidRPr="004412A6">
        <w:rPr>
          <w:noProof/>
          <w:color w:val="auto"/>
        </w:rPr>
        <w:t xml:space="preserve">. </w:t>
      </w:r>
      <w:r w:rsidRPr="004412A6">
        <w:rPr>
          <w:b/>
          <w:bCs/>
          <w:noProof/>
          <w:color w:val="auto"/>
        </w:rPr>
        <w:t>31</w:t>
      </w:r>
      <w:r w:rsidRPr="004412A6">
        <w:rPr>
          <w:noProof/>
          <w:color w:val="auto"/>
        </w:rPr>
        <w:t xml:space="preserve"> (1), 15–31 (2012).</w:t>
      </w:r>
    </w:p>
    <w:p w14:paraId="1749FF6D" w14:textId="5D8DE4D0" w:rsidR="00B97F8E" w:rsidRPr="004412A6" w:rsidRDefault="003E42BF" w:rsidP="006B70F9">
      <w:pPr>
        <w:contextualSpacing/>
        <w:rPr>
          <w:rFonts w:asciiTheme="minorHAnsi" w:hAnsiTheme="minorHAnsi" w:cstheme="minorHAnsi"/>
          <w:color w:val="auto"/>
        </w:rPr>
      </w:pPr>
      <w:r w:rsidRPr="004412A6">
        <w:rPr>
          <w:rFonts w:asciiTheme="minorHAnsi" w:hAnsiTheme="minorHAnsi" w:cstheme="minorHAnsi"/>
          <w:color w:val="auto"/>
        </w:rPr>
        <w:fldChar w:fldCharType="end"/>
      </w:r>
    </w:p>
    <w:p w14:paraId="03059FF3" w14:textId="626986B7" w:rsidR="009726EE" w:rsidRPr="004412A6" w:rsidRDefault="009726EE" w:rsidP="006B70F9">
      <w:pPr>
        <w:widowControl/>
        <w:autoSpaceDE/>
        <w:autoSpaceDN/>
        <w:adjustRightInd/>
        <w:contextualSpacing/>
        <w:jc w:val="left"/>
        <w:rPr>
          <w:rFonts w:asciiTheme="minorHAnsi" w:hAnsiTheme="minorHAnsi" w:cs="Times New Roman"/>
          <w:color w:val="auto"/>
          <w:lang w:eastAsia="da-DK"/>
        </w:rPr>
      </w:pPr>
    </w:p>
    <w:sectPr w:rsidR="009726EE" w:rsidRPr="004412A6" w:rsidSect="00A87BBD">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5FEBD" w14:textId="77777777" w:rsidR="002A7DFA" w:rsidRDefault="002A7DFA" w:rsidP="00621C4E">
      <w:r>
        <w:separator/>
      </w:r>
    </w:p>
  </w:endnote>
  <w:endnote w:type="continuationSeparator" w:id="0">
    <w:p w14:paraId="00EC6712" w14:textId="77777777" w:rsidR="002A7DFA" w:rsidRDefault="002A7D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6D5D61E2" w:rsidR="00977D0E" w:rsidRDefault="00977D0E"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DB68F" w14:textId="77777777" w:rsidR="002A7DFA" w:rsidRDefault="002A7DFA" w:rsidP="00621C4E">
      <w:r>
        <w:separator/>
      </w:r>
    </w:p>
  </w:footnote>
  <w:footnote w:type="continuationSeparator" w:id="0">
    <w:p w14:paraId="2E347721" w14:textId="77777777" w:rsidR="002A7DFA" w:rsidRDefault="002A7D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50FBF7C7" w:rsidR="00977D0E" w:rsidRPr="006F06E4" w:rsidRDefault="00977D0E" w:rsidP="00621C4E">
    <w:pPr>
      <w:pStyle w:val="Header"/>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F4096"/>
    <w:multiLevelType w:val="multilevel"/>
    <w:tmpl w:val="6694B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2"/>
  </w:num>
  <w:num w:numId="21">
    <w:abstractNumId w:val="20"/>
  </w:num>
  <w:num w:numId="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ADD"/>
    <w:rsid w:val="000044BB"/>
    <w:rsid w:val="00005815"/>
    <w:rsid w:val="00007DBC"/>
    <w:rsid w:val="00007EA1"/>
    <w:rsid w:val="000100F0"/>
    <w:rsid w:val="00012FF9"/>
    <w:rsid w:val="00014314"/>
    <w:rsid w:val="00021434"/>
    <w:rsid w:val="00021774"/>
    <w:rsid w:val="00021DF3"/>
    <w:rsid w:val="00023869"/>
    <w:rsid w:val="00024598"/>
    <w:rsid w:val="00030D23"/>
    <w:rsid w:val="00032769"/>
    <w:rsid w:val="00037B58"/>
    <w:rsid w:val="00046E04"/>
    <w:rsid w:val="000476E9"/>
    <w:rsid w:val="0005162D"/>
    <w:rsid w:val="00051B73"/>
    <w:rsid w:val="00053737"/>
    <w:rsid w:val="00060ABE"/>
    <w:rsid w:val="00061A50"/>
    <w:rsid w:val="00064104"/>
    <w:rsid w:val="000645B1"/>
    <w:rsid w:val="00066025"/>
    <w:rsid w:val="000701D1"/>
    <w:rsid w:val="000769C5"/>
    <w:rsid w:val="00080A20"/>
    <w:rsid w:val="00082796"/>
    <w:rsid w:val="00087C0A"/>
    <w:rsid w:val="000904D0"/>
    <w:rsid w:val="0009249B"/>
    <w:rsid w:val="00093BC4"/>
    <w:rsid w:val="00095F80"/>
    <w:rsid w:val="00097929"/>
    <w:rsid w:val="000A094F"/>
    <w:rsid w:val="000A1E80"/>
    <w:rsid w:val="000A3B70"/>
    <w:rsid w:val="000A5153"/>
    <w:rsid w:val="000B10AE"/>
    <w:rsid w:val="000B30BF"/>
    <w:rsid w:val="000B566B"/>
    <w:rsid w:val="000B662E"/>
    <w:rsid w:val="000B7294"/>
    <w:rsid w:val="000B75D0"/>
    <w:rsid w:val="000C1CF8"/>
    <w:rsid w:val="000C2C22"/>
    <w:rsid w:val="000C49CF"/>
    <w:rsid w:val="000C52E9"/>
    <w:rsid w:val="000C5CDC"/>
    <w:rsid w:val="000C65DC"/>
    <w:rsid w:val="000C66F3"/>
    <w:rsid w:val="000C6900"/>
    <w:rsid w:val="000D31E8"/>
    <w:rsid w:val="000D76E4"/>
    <w:rsid w:val="000E3042"/>
    <w:rsid w:val="000E3816"/>
    <w:rsid w:val="000E4F77"/>
    <w:rsid w:val="000F265C"/>
    <w:rsid w:val="000F3AFA"/>
    <w:rsid w:val="000F4A71"/>
    <w:rsid w:val="000F5712"/>
    <w:rsid w:val="000F6611"/>
    <w:rsid w:val="000F7E22"/>
    <w:rsid w:val="001104F3"/>
    <w:rsid w:val="00112EEB"/>
    <w:rsid w:val="00120E6E"/>
    <w:rsid w:val="0012563A"/>
    <w:rsid w:val="00131356"/>
    <w:rsid w:val="001313A7"/>
    <w:rsid w:val="0013276F"/>
    <w:rsid w:val="0013621E"/>
    <w:rsid w:val="0013642E"/>
    <w:rsid w:val="00152A23"/>
    <w:rsid w:val="00157F84"/>
    <w:rsid w:val="001600A3"/>
    <w:rsid w:val="00162CB7"/>
    <w:rsid w:val="00171E5B"/>
    <w:rsid w:val="00171F94"/>
    <w:rsid w:val="00175D4E"/>
    <w:rsid w:val="00175E26"/>
    <w:rsid w:val="0017668A"/>
    <w:rsid w:val="001766FE"/>
    <w:rsid w:val="001768FB"/>
    <w:rsid w:val="0017704D"/>
    <w:rsid w:val="001771E7"/>
    <w:rsid w:val="00183FF9"/>
    <w:rsid w:val="00190645"/>
    <w:rsid w:val="001911FF"/>
    <w:rsid w:val="00192006"/>
    <w:rsid w:val="00193180"/>
    <w:rsid w:val="001B1519"/>
    <w:rsid w:val="001B2E2D"/>
    <w:rsid w:val="001B5CD2"/>
    <w:rsid w:val="001C0BEE"/>
    <w:rsid w:val="001C1E49"/>
    <w:rsid w:val="001C2A98"/>
    <w:rsid w:val="001C53E3"/>
    <w:rsid w:val="001D3D7D"/>
    <w:rsid w:val="001D3FFF"/>
    <w:rsid w:val="001D5A4A"/>
    <w:rsid w:val="001D625F"/>
    <w:rsid w:val="001D7576"/>
    <w:rsid w:val="001E14A0"/>
    <w:rsid w:val="001E7376"/>
    <w:rsid w:val="001F225C"/>
    <w:rsid w:val="002011C3"/>
    <w:rsid w:val="00201CFA"/>
    <w:rsid w:val="0020220D"/>
    <w:rsid w:val="00202448"/>
    <w:rsid w:val="00202D15"/>
    <w:rsid w:val="00206DBD"/>
    <w:rsid w:val="002112AC"/>
    <w:rsid w:val="00212B95"/>
    <w:rsid w:val="00212EAE"/>
    <w:rsid w:val="00214BEE"/>
    <w:rsid w:val="002205B8"/>
    <w:rsid w:val="00225720"/>
    <w:rsid w:val="002259E5"/>
    <w:rsid w:val="00226140"/>
    <w:rsid w:val="002274F3"/>
    <w:rsid w:val="0023094C"/>
    <w:rsid w:val="00234BE3"/>
    <w:rsid w:val="0023500B"/>
    <w:rsid w:val="00235A90"/>
    <w:rsid w:val="002363BF"/>
    <w:rsid w:val="00241D2B"/>
    <w:rsid w:val="00241E48"/>
    <w:rsid w:val="0024214E"/>
    <w:rsid w:val="00242623"/>
    <w:rsid w:val="002431A0"/>
    <w:rsid w:val="00250558"/>
    <w:rsid w:val="00260652"/>
    <w:rsid w:val="00260C38"/>
    <w:rsid w:val="00261F25"/>
    <w:rsid w:val="002648A9"/>
    <w:rsid w:val="0026536F"/>
    <w:rsid w:val="0026553C"/>
    <w:rsid w:val="00267DD5"/>
    <w:rsid w:val="00274A0A"/>
    <w:rsid w:val="00277593"/>
    <w:rsid w:val="00280918"/>
    <w:rsid w:val="00282AF6"/>
    <w:rsid w:val="002834E2"/>
    <w:rsid w:val="002860F6"/>
    <w:rsid w:val="00287085"/>
    <w:rsid w:val="00290AF9"/>
    <w:rsid w:val="00293E4A"/>
    <w:rsid w:val="002967CF"/>
    <w:rsid w:val="00297788"/>
    <w:rsid w:val="002A484B"/>
    <w:rsid w:val="002A64A6"/>
    <w:rsid w:val="002A7DFA"/>
    <w:rsid w:val="002B159E"/>
    <w:rsid w:val="002B2841"/>
    <w:rsid w:val="002C47D4"/>
    <w:rsid w:val="002D0F38"/>
    <w:rsid w:val="002D2B06"/>
    <w:rsid w:val="002D51C5"/>
    <w:rsid w:val="002D77E3"/>
    <w:rsid w:val="002F1369"/>
    <w:rsid w:val="002F2859"/>
    <w:rsid w:val="002F40B5"/>
    <w:rsid w:val="002F6E3C"/>
    <w:rsid w:val="0030117D"/>
    <w:rsid w:val="00301F30"/>
    <w:rsid w:val="00303C87"/>
    <w:rsid w:val="003057AA"/>
    <w:rsid w:val="003108E5"/>
    <w:rsid w:val="003120CB"/>
    <w:rsid w:val="0031327D"/>
    <w:rsid w:val="00320153"/>
    <w:rsid w:val="00320367"/>
    <w:rsid w:val="00322871"/>
    <w:rsid w:val="00326FB3"/>
    <w:rsid w:val="003316D4"/>
    <w:rsid w:val="00331A9F"/>
    <w:rsid w:val="00333822"/>
    <w:rsid w:val="00336715"/>
    <w:rsid w:val="00340DFD"/>
    <w:rsid w:val="00343FDB"/>
    <w:rsid w:val="00344954"/>
    <w:rsid w:val="00350CD7"/>
    <w:rsid w:val="003512CE"/>
    <w:rsid w:val="00360C17"/>
    <w:rsid w:val="003621C6"/>
    <w:rsid w:val="003622B8"/>
    <w:rsid w:val="003645B0"/>
    <w:rsid w:val="00365868"/>
    <w:rsid w:val="00366B76"/>
    <w:rsid w:val="0037232E"/>
    <w:rsid w:val="00373051"/>
    <w:rsid w:val="00373B8F"/>
    <w:rsid w:val="00376D95"/>
    <w:rsid w:val="00377CC8"/>
    <w:rsid w:val="00377FBB"/>
    <w:rsid w:val="00385140"/>
    <w:rsid w:val="003A16FC"/>
    <w:rsid w:val="003A4FCD"/>
    <w:rsid w:val="003B0944"/>
    <w:rsid w:val="003B1593"/>
    <w:rsid w:val="003B4381"/>
    <w:rsid w:val="003B767B"/>
    <w:rsid w:val="003C1043"/>
    <w:rsid w:val="003C1A30"/>
    <w:rsid w:val="003C6779"/>
    <w:rsid w:val="003C68F8"/>
    <w:rsid w:val="003D2465"/>
    <w:rsid w:val="003D2998"/>
    <w:rsid w:val="003D2F0A"/>
    <w:rsid w:val="003D3891"/>
    <w:rsid w:val="003D470A"/>
    <w:rsid w:val="003D5D84"/>
    <w:rsid w:val="003D6E42"/>
    <w:rsid w:val="003E0F4F"/>
    <w:rsid w:val="003E18AC"/>
    <w:rsid w:val="003E210B"/>
    <w:rsid w:val="003E2A12"/>
    <w:rsid w:val="003E3384"/>
    <w:rsid w:val="003E42BF"/>
    <w:rsid w:val="003E548E"/>
    <w:rsid w:val="003F2A9F"/>
    <w:rsid w:val="004016DA"/>
    <w:rsid w:val="004148E1"/>
    <w:rsid w:val="00414CFA"/>
    <w:rsid w:val="00417FA3"/>
    <w:rsid w:val="00420BE9"/>
    <w:rsid w:val="00423AD8"/>
    <w:rsid w:val="00424C85"/>
    <w:rsid w:val="004260BD"/>
    <w:rsid w:val="0043012F"/>
    <w:rsid w:val="00430DCC"/>
    <w:rsid w:val="00430F1F"/>
    <w:rsid w:val="004326EA"/>
    <w:rsid w:val="00437C2D"/>
    <w:rsid w:val="004412A6"/>
    <w:rsid w:val="004440F1"/>
    <w:rsid w:val="0044434C"/>
    <w:rsid w:val="0044456B"/>
    <w:rsid w:val="00447BD1"/>
    <w:rsid w:val="004507F3"/>
    <w:rsid w:val="00450A50"/>
    <w:rsid w:val="00450AF4"/>
    <w:rsid w:val="004671C7"/>
    <w:rsid w:val="00472F4D"/>
    <w:rsid w:val="004730BF"/>
    <w:rsid w:val="00474682"/>
    <w:rsid w:val="00474DCB"/>
    <w:rsid w:val="0047535C"/>
    <w:rsid w:val="00480146"/>
    <w:rsid w:val="00485870"/>
    <w:rsid w:val="00485FE8"/>
    <w:rsid w:val="00492EB5"/>
    <w:rsid w:val="00494F77"/>
    <w:rsid w:val="0049504B"/>
    <w:rsid w:val="0049629C"/>
    <w:rsid w:val="00496E45"/>
    <w:rsid w:val="00497721"/>
    <w:rsid w:val="004A0229"/>
    <w:rsid w:val="004A0EC9"/>
    <w:rsid w:val="004A35D2"/>
    <w:rsid w:val="004A6497"/>
    <w:rsid w:val="004A71E4"/>
    <w:rsid w:val="004B19BF"/>
    <w:rsid w:val="004B2F00"/>
    <w:rsid w:val="004B3D98"/>
    <w:rsid w:val="004B6E31"/>
    <w:rsid w:val="004B74F8"/>
    <w:rsid w:val="004C1D66"/>
    <w:rsid w:val="004C31D7"/>
    <w:rsid w:val="004C4AD2"/>
    <w:rsid w:val="004D020B"/>
    <w:rsid w:val="004D1F21"/>
    <w:rsid w:val="004D52FC"/>
    <w:rsid w:val="004D59D8"/>
    <w:rsid w:val="004D5DA1"/>
    <w:rsid w:val="004E150F"/>
    <w:rsid w:val="004E1DCA"/>
    <w:rsid w:val="004E23A1"/>
    <w:rsid w:val="004E3489"/>
    <w:rsid w:val="004E358A"/>
    <w:rsid w:val="004E3AFA"/>
    <w:rsid w:val="004E6588"/>
    <w:rsid w:val="004F0E81"/>
    <w:rsid w:val="004F1CC8"/>
    <w:rsid w:val="00502A0A"/>
    <w:rsid w:val="00507C50"/>
    <w:rsid w:val="00517832"/>
    <w:rsid w:val="00517C3A"/>
    <w:rsid w:val="00527BF4"/>
    <w:rsid w:val="005324BE"/>
    <w:rsid w:val="00534F6C"/>
    <w:rsid w:val="00535318"/>
    <w:rsid w:val="00535994"/>
    <w:rsid w:val="0053646D"/>
    <w:rsid w:val="005367BE"/>
    <w:rsid w:val="00540AAD"/>
    <w:rsid w:val="00543EC1"/>
    <w:rsid w:val="00545203"/>
    <w:rsid w:val="0054639A"/>
    <w:rsid w:val="00546458"/>
    <w:rsid w:val="0055087C"/>
    <w:rsid w:val="0055204A"/>
    <w:rsid w:val="00553413"/>
    <w:rsid w:val="00556963"/>
    <w:rsid w:val="00560C4E"/>
    <w:rsid w:val="00560E31"/>
    <w:rsid w:val="00564D29"/>
    <w:rsid w:val="00581B23"/>
    <w:rsid w:val="00581DCA"/>
    <w:rsid w:val="0058219C"/>
    <w:rsid w:val="0058707F"/>
    <w:rsid w:val="005931FE"/>
    <w:rsid w:val="005A03DF"/>
    <w:rsid w:val="005B0072"/>
    <w:rsid w:val="005B0732"/>
    <w:rsid w:val="005B38A0"/>
    <w:rsid w:val="005B491C"/>
    <w:rsid w:val="005B4DBF"/>
    <w:rsid w:val="005B5DE2"/>
    <w:rsid w:val="005B674C"/>
    <w:rsid w:val="005C1F3B"/>
    <w:rsid w:val="005C4481"/>
    <w:rsid w:val="005C4B21"/>
    <w:rsid w:val="005C7561"/>
    <w:rsid w:val="005D1E57"/>
    <w:rsid w:val="005D2F57"/>
    <w:rsid w:val="005D34F6"/>
    <w:rsid w:val="005D3824"/>
    <w:rsid w:val="005D4F1A"/>
    <w:rsid w:val="005D7506"/>
    <w:rsid w:val="005E1884"/>
    <w:rsid w:val="005E1985"/>
    <w:rsid w:val="005E1B8D"/>
    <w:rsid w:val="005E2A73"/>
    <w:rsid w:val="005E3A35"/>
    <w:rsid w:val="005E6702"/>
    <w:rsid w:val="005E7D66"/>
    <w:rsid w:val="005F373A"/>
    <w:rsid w:val="005F4F87"/>
    <w:rsid w:val="005F6B0E"/>
    <w:rsid w:val="005F760E"/>
    <w:rsid w:val="005F7B1D"/>
    <w:rsid w:val="00601C12"/>
    <w:rsid w:val="0060222A"/>
    <w:rsid w:val="006073CB"/>
    <w:rsid w:val="00610C21"/>
    <w:rsid w:val="00611907"/>
    <w:rsid w:val="00611E1B"/>
    <w:rsid w:val="00613116"/>
    <w:rsid w:val="006202A6"/>
    <w:rsid w:val="0062054B"/>
    <w:rsid w:val="00621C4E"/>
    <w:rsid w:val="00624EAE"/>
    <w:rsid w:val="006305D7"/>
    <w:rsid w:val="0063200C"/>
    <w:rsid w:val="00633A01"/>
    <w:rsid w:val="00633B97"/>
    <w:rsid w:val="006341F7"/>
    <w:rsid w:val="00635014"/>
    <w:rsid w:val="006369CE"/>
    <w:rsid w:val="006411CA"/>
    <w:rsid w:val="00652E01"/>
    <w:rsid w:val="0065508A"/>
    <w:rsid w:val="00660284"/>
    <w:rsid w:val="006619C8"/>
    <w:rsid w:val="00664F2C"/>
    <w:rsid w:val="00666479"/>
    <w:rsid w:val="00671710"/>
    <w:rsid w:val="00671F69"/>
    <w:rsid w:val="00673414"/>
    <w:rsid w:val="00676079"/>
    <w:rsid w:val="00676ECD"/>
    <w:rsid w:val="00677D0A"/>
    <w:rsid w:val="00680C73"/>
    <w:rsid w:val="0068185F"/>
    <w:rsid w:val="00691483"/>
    <w:rsid w:val="006947FC"/>
    <w:rsid w:val="00695A25"/>
    <w:rsid w:val="006A01CF"/>
    <w:rsid w:val="006A55E9"/>
    <w:rsid w:val="006A60DD"/>
    <w:rsid w:val="006A6C4A"/>
    <w:rsid w:val="006B00FF"/>
    <w:rsid w:val="006B074C"/>
    <w:rsid w:val="006B3B84"/>
    <w:rsid w:val="006B3FB2"/>
    <w:rsid w:val="006B4E7C"/>
    <w:rsid w:val="006B5D8C"/>
    <w:rsid w:val="006B70F9"/>
    <w:rsid w:val="006B72D4"/>
    <w:rsid w:val="006C11CC"/>
    <w:rsid w:val="006C1AEB"/>
    <w:rsid w:val="006C57FE"/>
    <w:rsid w:val="006D2115"/>
    <w:rsid w:val="006D6381"/>
    <w:rsid w:val="006E4B63"/>
    <w:rsid w:val="006E7726"/>
    <w:rsid w:val="006F06E4"/>
    <w:rsid w:val="006F2996"/>
    <w:rsid w:val="006F5EAD"/>
    <w:rsid w:val="006F6D48"/>
    <w:rsid w:val="006F7B41"/>
    <w:rsid w:val="007005A8"/>
    <w:rsid w:val="00702B5D"/>
    <w:rsid w:val="00703ED2"/>
    <w:rsid w:val="00707B8D"/>
    <w:rsid w:val="00712E0E"/>
    <w:rsid w:val="00713636"/>
    <w:rsid w:val="00714B8C"/>
    <w:rsid w:val="00715AEE"/>
    <w:rsid w:val="0071675D"/>
    <w:rsid w:val="00717F21"/>
    <w:rsid w:val="00723DDE"/>
    <w:rsid w:val="00727AC6"/>
    <w:rsid w:val="00731745"/>
    <w:rsid w:val="007335C8"/>
    <w:rsid w:val="00735CF5"/>
    <w:rsid w:val="0074063A"/>
    <w:rsid w:val="00742AA4"/>
    <w:rsid w:val="00743AF8"/>
    <w:rsid w:val="00743BA1"/>
    <w:rsid w:val="00744B28"/>
    <w:rsid w:val="00745F1E"/>
    <w:rsid w:val="007515FE"/>
    <w:rsid w:val="007601D0"/>
    <w:rsid w:val="0076109D"/>
    <w:rsid w:val="00761C2E"/>
    <w:rsid w:val="0076689A"/>
    <w:rsid w:val="00767063"/>
    <w:rsid w:val="00767107"/>
    <w:rsid w:val="00773BFD"/>
    <w:rsid w:val="007743B3"/>
    <w:rsid w:val="00774490"/>
    <w:rsid w:val="007752B0"/>
    <w:rsid w:val="007819FF"/>
    <w:rsid w:val="00783CE0"/>
    <w:rsid w:val="00784A4C"/>
    <w:rsid w:val="00784BC6"/>
    <w:rsid w:val="0078523D"/>
    <w:rsid w:val="007931DF"/>
    <w:rsid w:val="007A0172"/>
    <w:rsid w:val="007A2511"/>
    <w:rsid w:val="007A260E"/>
    <w:rsid w:val="007A4D4C"/>
    <w:rsid w:val="007A4DD6"/>
    <w:rsid w:val="007A5BE7"/>
    <w:rsid w:val="007A5CB9"/>
    <w:rsid w:val="007B0BFC"/>
    <w:rsid w:val="007B6B07"/>
    <w:rsid w:val="007B6D43"/>
    <w:rsid w:val="007B749A"/>
    <w:rsid w:val="007B7BED"/>
    <w:rsid w:val="007B7C6E"/>
    <w:rsid w:val="007C17F0"/>
    <w:rsid w:val="007C31F8"/>
    <w:rsid w:val="007D44D7"/>
    <w:rsid w:val="007D621A"/>
    <w:rsid w:val="007E058A"/>
    <w:rsid w:val="007E1117"/>
    <w:rsid w:val="007E2887"/>
    <w:rsid w:val="007E5278"/>
    <w:rsid w:val="007E6A7D"/>
    <w:rsid w:val="007E749C"/>
    <w:rsid w:val="007F1B5C"/>
    <w:rsid w:val="00801257"/>
    <w:rsid w:val="00803B0A"/>
    <w:rsid w:val="00804DED"/>
    <w:rsid w:val="00805B96"/>
    <w:rsid w:val="00810442"/>
    <w:rsid w:val="008105BE"/>
    <w:rsid w:val="008115A5"/>
    <w:rsid w:val="00811D46"/>
    <w:rsid w:val="0081415D"/>
    <w:rsid w:val="00820229"/>
    <w:rsid w:val="00822448"/>
    <w:rsid w:val="00822ABE"/>
    <w:rsid w:val="008244D1"/>
    <w:rsid w:val="00827F51"/>
    <w:rsid w:val="0083104E"/>
    <w:rsid w:val="008343BE"/>
    <w:rsid w:val="008407DC"/>
    <w:rsid w:val="00840FB4"/>
    <w:rsid w:val="008410B2"/>
    <w:rsid w:val="008500A0"/>
    <w:rsid w:val="00851C7A"/>
    <w:rsid w:val="008524E5"/>
    <w:rsid w:val="0085351C"/>
    <w:rsid w:val="008549CA"/>
    <w:rsid w:val="00854BC1"/>
    <w:rsid w:val="008556C3"/>
    <w:rsid w:val="00855EE0"/>
    <w:rsid w:val="0085655B"/>
    <w:rsid w:val="0085687C"/>
    <w:rsid w:val="00857BF1"/>
    <w:rsid w:val="00861BA1"/>
    <w:rsid w:val="008706C5"/>
    <w:rsid w:val="00873707"/>
    <w:rsid w:val="00874B20"/>
    <w:rsid w:val="008763E1"/>
    <w:rsid w:val="0087775C"/>
    <w:rsid w:val="00877EC8"/>
    <w:rsid w:val="00880336"/>
    <w:rsid w:val="00880F36"/>
    <w:rsid w:val="008814B1"/>
    <w:rsid w:val="00881A5F"/>
    <w:rsid w:val="00881F1E"/>
    <w:rsid w:val="00885530"/>
    <w:rsid w:val="008865CA"/>
    <w:rsid w:val="008910D1"/>
    <w:rsid w:val="0089296C"/>
    <w:rsid w:val="00896ABD"/>
    <w:rsid w:val="008A0422"/>
    <w:rsid w:val="008A1E04"/>
    <w:rsid w:val="008A3380"/>
    <w:rsid w:val="008A36DF"/>
    <w:rsid w:val="008A46F6"/>
    <w:rsid w:val="008A6B35"/>
    <w:rsid w:val="008A7A9C"/>
    <w:rsid w:val="008B1F6F"/>
    <w:rsid w:val="008B5218"/>
    <w:rsid w:val="008B7102"/>
    <w:rsid w:val="008C3A35"/>
    <w:rsid w:val="008C3B7D"/>
    <w:rsid w:val="008C75E5"/>
    <w:rsid w:val="008D0F90"/>
    <w:rsid w:val="008D3715"/>
    <w:rsid w:val="008D5465"/>
    <w:rsid w:val="008D7EB7"/>
    <w:rsid w:val="008E3684"/>
    <w:rsid w:val="008E57F5"/>
    <w:rsid w:val="008E595E"/>
    <w:rsid w:val="008E7606"/>
    <w:rsid w:val="008F1DAA"/>
    <w:rsid w:val="008F3EBD"/>
    <w:rsid w:val="008F60B2"/>
    <w:rsid w:val="008F7C41"/>
    <w:rsid w:val="009031E2"/>
    <w:rsid w:val="00904277"/>
    <w:rsid w:val="009055D7"/>
    <w:rsid w:val="0091276C"/>
    <w:rsid w:val="0091497E"/>
    <w:rsid w:val="009165AC"/>
    <w:rsid w:val="0092053F"/>
    <w:rsid w:val="0092340A"/>
    <w:rsid w:val="009250B7"/>
    <w:rsid w:val="009269C3"/>
    <w:rsid w:val="009313D9"/>
    <w:rsid w:val="009336F5"/>
    <w:rsid w:val="00934221"/>
    <w:rsid w:val="00935B7F"/>
    <w:rsid w:val="00941293"/>
    <w:rsid w:val="00946372"/>
    <w:rsid w:val="00950C17"/>
    <w:rsid w:val="00951FAF"/>
    <w:rsid w:val="009522AE"/>
    <w:rsid w:val="00954740"/>
    <w:rsid w:val="0095650D"/>
    <w:rsid w:val="00963ABC"/>
    <w:rsid w:val="00965D21"/>
    <w:rsid w:val="00967764"/>
    <w:rsid w:val="00970B0E"/>
    <w:rsid w:val="00970BB9"/>
    <w:rsid w:val="009711DA"/>
    <w:rsid w:val="009726EE"/>
    <w:rsid w:val="00975573"/>
    <w:rsid w:val="00976D03"/>
    <w:rsid w:val="00977B30"/>
    <w:rsid w:val="00977D0E"/>
    <w:rsid w:val="00980174"/>
    <w:rsid w:val="00982687"/>
    <w:rsid w:val="00982F41"/>
    <w:rsid w:val="00985090"/>
    <w:rsid w:val="00987710"/>
    <w:rsid w:val="009904AB"/>
    <w:rsid w:val="00990623"/>
    <w:rsid w:val="009953FD"/>
    <w:rsid w:val="00995688"/>
    <w:rsid w:val="009958A6"/>
    <w:rsid w:val="00996456"/>
    <w:rsid w:val="009965AF"/>
    <w:rsid w:val="009A04F5"/>
    <w:rsid w:val="009A15EF"/>
    <w:rsid w:val="009A215D"/>
    <w:rsid w:val="009A38A5"/>
    <w:rsid w:val="009A54B7"/>
    <w:rsid w:val="009A5718"/>
    <w:rsid w:val="009B118B"/>
    <w:rsid w:val="009B1737"/>
    <w:rsid w:val="009B261B"/>
    <w:rsid w:val="009B3D4B"/>
    <w:rsid w:val="009B5B99"/>
    <w:rsid w:val="009B6EFC"/>
    <w:rsid w:val="009C2A06"/>
    <w:rsid w:val="009C2DF8"/>
    <w:rsid w:val="009C31BF"/>
    <w:rsid w:val="009C47E7"/>
    <w:rsid w:val="009C68B7"/>
    <w:rsid w:val="009D0834"/>
    <w:rsid w:val="009D0A1E"/>
    <w:rsid w:val="009D2AE3"/>
    <w:rsid w:val="009D52BC"/>
    <w:rsid w:val="009D5739"/>
    <w:rsid w:val="009D7AFD"/>
    <w:rsid w:val="009D7D0A"/>
    <w:rsid w:val="009E09D9"/>
    <w:rsid w:val="009E7AC7"/>
    <w:rsid w:val="009F01B1"/>
    <w:rsid w:val="009F0DBB"/>
    <w:rsid w:val="009F1BDA"/>
    <w:rsid w:val="009F3887"/>
    <w:rsid w:val="009F732B"/>
    <w:rsid w:val="00A01FE0"/>
    <w:rsid w:val="00A10656"/>
    <w:rsid w:val="00A113C0"/>
    <w:rsid w:val="00A12FA6"/>
    <w:rsid w:val="00A1339B"/>
    <w:rsid w:val="00A14ABA"/>
    <w:rsid w:val="00A23084"/>
    <w:rsid w:val="00A232CC"/>
    <w:rsid w:val="00A24CB6"/>
    <w:rsid w:val="00A26CD2"/>
    <w:rsid w:val="00A27667"/>
    <w:rsid w:val="00A32979"/>
    <w:rsid w:val="00A34A67"/>
    <w:rsid w:val="00A36CCD"/>
    <w:rsid w:val="00A36F54"/>
    <w:rsid w:val="00A37462"/>
    <w:rsid w:val="00A459E1"/>
    <w:rsid w:val="00A52296"/>
    <w:rsid w:val="00A52CA5"/>
    <w:rsid w:val="00A538EF"/>
    <w:rsid w:val="00A55661"/>
    <w:rsid w:val="00A61B70"/>
    <w:rsid w:val="00A61FA8"/>
    <w:rsid w:val="00A637F4"/>
    <w:rsid w:val="00A65485"/>
    <w:rsid w:val="00A66B52"/>
    <w:rsid w:val="00A66E05"/>
    <w:rsid w:val="00A70753"/>
    <w:rsid w:val="00A712D2"/>
    <w:rsid w:val="00A74017"/>
    <w:rsid w:val="00A82C8A"/>
    <w:rsid w:val="00A8346B"/>
    <w:rsid w:val="00A83E60"/>
    <w:rsid w:val="00A852FF"/>
    <w:rsid w:val="00A87337"/>
    <w:rsid w:val="00A87BBD"/>
    <w:rsid w:val="00A90C04"/>
    <w:rsid w:val="00A90C97"/>
    <w:rsid w:val="00A960C8"/>
    <w:rsid w:val="00A96604"/>
    <w:rsid w:val="00AA03DF"/>
    <w:rsid w:val="00AA1B4F"/>
    <w:rsid w:val="00AA21D8"/>
    <w:rsid w:val="00AA54F3"/>
    <w:rsid w:val="00AA56A6"/>
    <w:rsid w:val="00AA5953"/>
    <w:rsid w:val="00AA6B43"/>
    <w:rsid w:val="00AB367A"/>
    <w:rsid w:val="00AC01D1"/>
    <w:rsid w:val="00AC0D9E"/>
    <w:rsid w:val="00AC4637"/>
    <w:rsid w:val="00AC52A5"/>
    <w:rsid w:val="00AC6EFD"/>
    <w:rsid w:val="00AC7151"/>
    <w:rsid w:val="00AD3CCB"/>
    <w:rsid w:val="00AD460A"/>
    <w:rsid w:val="00AD6A05"/>
    <w:rsid w:val="00AE1791"/>
    <w:rsid w:val="00AE272B"/>
    <w:rsid w:val="00AE3E3A"/>
    <w:rsid w:val="00AE499D"/>
    <w:rsid w:val="00AE77B4"/>
    <w:rsid w:val="00AE7C1A"/>
    <w:rsid w:val="00AE7DF8"/>
    <w:rsid w:val="00AF0D9C"/>
    <w:rsid w:val="00AF13AB"/>
    <w:rsid w:val="00AF1D36"/>
    <w:rsid w:val="00AF280B"/>
    <w:rsid w:val="00AF5F75"/>
    <w:rsid w:val="00AF6001"/>
    <w:rsid w:val="00AF6E0B"/>
    <w:rsid w:val="00B01A16"/>
    <w:rsid w:val="00B07F45"/>
    <w:rsid w:val="00B1021A"/>
    <w:rsid w:val="00B12285"/>
    <w:rsid w:val="00B1481A"/>
    <w:rsid w:val="00B15A1F"/>
    <w:rsid w:val="00B15FE9"/>
    <w:rsid w:val="00B2148A"/>
    <w:rsid w:val="00B220C2"/>
    <w:rsid w:val="00B25B32"/>
    <w:rsid w:val="00B32616"/>
    <w:rsid w:val="00B33AC3"/>
    <w:rsid w:val="00B36C42"/>
    <w:rsid w:val="00B42CDF"/>
    <w:rsid w:val="00B42EA7"/>
    <w:rsid w:val="00B5337C"/>
    <w:rsid w:val="00B53FDE"/>
    <w:rsid w:val="00B54577"/>
    <w:rsid w:val="00B56397"/>
    <w:rsid w:val="00B576C3"/>
    <w:rsid w:val="00B6027B"/>
    <w:rsid w:val="00B64267"/>
    <w:rsid w:val="00B65EDB"/>
    <w:rsid w:val="00B67AFF"/>
    <w:rsid w:val="00B70B59"/>
    <w:rsid w:val="00B73657"/>
    <w:rsid w:val="00B7366D"/>
    <w:rsid w:val="00B7373C"/>
    <w:rsid w:val="00B73CCD"/>
    <w:rsid w:val="00B8116D"/>
    <w:rsid w:val="00B87754"/>
    <w:rsid w:val="00B92CDA"/>
    <w:rsid w:val="00B93420"/>
    <w:rsid w:val="00B97F8E"/>
    <w:rsid w:val="00BA1735"/>
    <w:rsid w:val="00BA19FA"/>
    <w:rsid w:val="00BA3DFE"/>
    <w:rsid w:val="00BA4288"/>
    <w:rsid w:val="00BB1D73"/>
    <w:rsid w:val="00BB2BFF"/>
    <w:rsid w:val="00BB48E5"/>
    <w:rsid w:val="00BB5607"/>
    <w:rsid w:val="00BB5ACA"/>
    <w:rsid w:val="00BB627F"/>
    <w:rsid w:val="00BB711A"/>
    <w:rsid w:val="00BC0178"/>
    <w:rsid w:val="00BC2987"/>
    <w:rsid w:val="00BC3823"/>
    <w:rsid w:val="00BC5841"/>
    <w:rsid w:val="00BD60B4"/>
    <w:rsid w:val="00BD796B"/>
    <w:rsid w:val="00BE40C0"/>
    <w:rsid w:val="00BE5F4A"/>
    <w:rsid w:val="00BE7AEF"/>
    <w:rsid w:val="00BF09B0"/>
    <w:rsid w:val="00BF1544"/>
    <w:rsid w:val="00BF1B53"/>
    <w:rsid w:val="00BF246D"/>
    <w:rsid w:val="00BF6165"/>
    <w:rsid w:val="00C019DE"/>
    <w:rsid w:val="00C06F06"/>
    <w:rsid w:val="00C0779A"/>
    <w:rsid w:val="00C20FAD"/>
    <w:rsid w:val="00C2375F"/>
    <w:rsid w:val="00C247CB"/>
    <w:rsid w:val="00C32E66"/>
    <w:rsid w:val="00C3355F"/>
    <w:rsid w:val="00C3569A"/>
    <w:rsid w:val="00C36CEA"/>
    <w:rsid w:val="00C43F48"/>
    <w:rsid w:val="00C448FF"/>
    <w:rsid w:val="00C45E57"/>
    <w:rsid w:val="00C478BC"/>
    <w:rsid w:val="00C52F29"/>
    <w:rsid w:val="00C540DF"/>
    <w:rsid w:val="00C56CE6"/>
    <w:rsid w:val="00C5745F"/>
    <w:rsid w:val="00C60005"/>
    <w:rsid w:val="00C61A98"/>
    <w:rsid w:val="00C63201"/>
    <w:rsid w:val="00C64E62"/>
    <w:rsid w:val="00C651CD"/>
    <w:rsid w:val="00C651D5"/>
    <w:rsid w:val="00C65CCC"/>
    <w:rsid w:val="00C734A6"/>
    <w:rsid w:val="00C7618F"/>
    <w:rsid w:val="00C765A9"/>
    <w:rsid w:val="00C765AB"/>
    <w:rsid w:val="00C8162D"/>
    <w:rsid w:val="00C83A0B"/>
    <w:rsid w:val="00C842D0"/>
    <w:rsid w:val="00C84ED1"/>
    <w:rsid w:val="00C9038F"/>
    <w:rsid w:val="00C92AAB"/>
    <w:rsid w:val="00C97DBD"/>
    <w:rsid w:val="00CA2435"/>
    <w:rsid w:val="00CA2A6F"/>
    <w:rsid w:val="00CA4068"/>
    <w:rsid w:val="00CA451A"/>
    <w:rsid w:val="00CB35A5"/>
    <w:rsid w:val="00CB37F8"/>
    <w:rsid w:val="00CB7DC3"/>
    <w:rsid w:val="00CC37B8"/>
    <w:rsid w:val="00CC59CA"/>
    <w:rsid w:val="00CC66CF"/>
    <w:rsid w:val="00CD0E2F"/>
    <w:rsid w:val="00CD1D49"/>
    <w:rsid w:val="00CD2F20"/>
    <w:rsid w:val="00CD3DA9"/>
    <w:rsid w:val="00CD5320"/>
    <w:rsid w:val="00CD6B20"/>
    <w:rsid w:val="00CD7C03"/>
    <w:rsid w:val="00CE11A2"/>
    <w:rsid w:val="00CE1339"/>
    <w:rsid w:val="00CE4014"/>
    <w:rsid w:val="00CE53E5"/>
    <w:rsid w:val="00CE5C5C"/>
    <w:rsid w:val="00CE61CC"/>
    <w:rsid w:val="00CE6E42"/>
    <w:rsid w:val="00CF20B7"/>
    <w:rsid w:val="00CF6692"/>
    <w:rsid w:val="00CF7441"/>
    <w:rsid w:val="00D00D16"/>
    <w:rsid w:val="00D03C6C"/>
    <w:rsid w:val="00D0455C"/>
    <w:rsid w:val="00D04760"/>
    <w:rsid w:val="00D04A95"/>
    <w:rsid w:val="00D05E3C"/>
    <w:rsid w:val="00D06288"/>
    <w:rsid w:val="00D068C7"/>
    <w:rsid w:val="00D128A4"/>
    <w:rsid w:val="00D15131"/>
    <w:rsid w:val="00D15714"/>
    <w:rsid w:val="00D16FA2"/>
    <w:rsid w:val="00D20954"/>
    <w:rsid w:val="00D21C39"/>
    <w:rsid w:val="00D21FAF"/>
    <w:rsid w:val="00D21FC6"/>
    <w:rsid w:val="00D2243A"/>
    <w:rsid w:val="00D33393"/>
    <w:rsid w:val="00D33D36"/>
    <w:rsid w:val="00D34D94"/>
    <w:rsid w:val="00D409E2"/>
    <w:rsid w:val="00D422B5"/>
    <w:rsid w:val="00D427D7"/>
    <w:rsid w:val="00D44E62"/>
    <w:rsid w:val="00D51570"/>
    <w:rsid w:val="00D520DA"/>
    <w:rsid w:val="00D556AD"/>
    <w:rsid w:val="00D57392"/>
    <w:rsid w:val="00D60381"/>
    <w:rsid w:val="00D616DE"/>
    <w:rsid w:val="00D62201"/>
    <w:rsid w:val="00D651D1"/>
    <w:rsid w:val="00D70703"/>
    <w:rsid w:val="00D717BB"/>
    <w:rsid w:val="00D7226B"/>
    <w:rsid w:val="00D72707"/>
    <w:rsid w:val="00D73593"/>
    <w:rsid w:val="00D75A9C"/>
    <w:rsid w:val="00D81311"/>
    <w:rsid w:val="00D8310C"/>
    <w:rsid w:val="00D84A0F"/>
    <w:rsid w:val="00D90871"/>
    <w:rsid w:val="00D9155F"/>
    <w:rsid w:val="00D9403F"/>
    <w:rsid w:val="00D959B4"/>
    <w:rsid w:val="00DA0081"/>
    <w:rsid w:val="00DA0568"/>
    <w:rsid w:val="00DA3138"/>
    <w:rsid w:val="00DA44DE"/>
    <w:rsid w:val="00DA5D67"/>
    <w:rsid w:val="00DB093D"/>
    <w:rsid w:val="00DB1ACB"/>
    <w:rsid w:val="00DB620A"/>
    <w:rsid w:val="00DC3832"/>
    <w:rsid w:val="00DC7A51"/>
    <w:rsid w:val="00DD3B1E"/>
    <w:rsid w:val="00DE47BE"/>
    <w:rsid w:val="00DE5B5F"/>
    <w:rsid w:val="00DF58CE"/>
    <w:rsid w:val="00DF6FAC"/>
    <w:rsid w:val="00E005DB"/>
    <w:rsid w:val="00E00696"/>
    <w:rsid w:val="00E01F1B"/>
    <w:rsid w:val="00E03651"/>
    <w:rsid w:val="00E03808"/>
    <w:rsid w:val="00E060C2"/>
    <w:rsid w:val="00E06324"/>
    <w:rsid w:val="00E12FB0"/>
    <w:rsid w:val="00E14792"/>
    <w:rsid w:val="00E14814"/>
    <w:rsid w:val="00E1591B"/>
    <w:rsid w:val="00E16A50"/>
    <w:rsid w:val="00E17DEF"/>
    <w:rsid w:val="00E21955"/>
    <w:rsid w:val="00E249D5"/>
    <w:rsid w:val="00E24D32"/>
    <w:rsid w:val="00E26F73"/>
    <w:rsid w:val="00E3123A"/>
    <w:rsid w:val="00E331FA"/>
    <w:rsid w:val="00E33C68"/>
    <w:rsid w:val="00E34EEB"/>
    <w:rsid w:val="00E35058"/>
    <w:rsid w:val="00E3687C"/>
    <w:rsid w:val="00E37B09"/>
    <w:rsid w:val="00E44EB9"/>
    <w:rsid w:val="00E46358"/>
    <w:rsid w:val="00E471DC"/>
    <w:rsid w:val="00E50EB4"/>
    <w:rsid w:val="00E51607"/>
    <w:rsid w:val="00E51BC4"/>
    <w:rsid w:val="00E532FC"/>
    <w:rsid w:val="00E559B4"/>
    <w:rsid w:val="00E55BB0"/>
    <w:rsid w:val="00E57DA5"/>
    <w:rsid w:val="00E609E5"/>
    <w:rsid w:val="00E60F27"/>
    <w:rsid w:val="00E64D93"/>
    <w:rsid w:val="00E651A5"/>
    <w:rsid w:val="00E65EDB"/>
    <w:rsid w:val="00E66927"/>
    <w:rsid w:val="00E677B8"/>
    <w:rsid w:val="00E67FA1"/>
    <w:rsid w:val="00E7387D"/>
    <w:rsid w:val="00E73D53"/>
    <w:rsid w:val="00E75111"/>
    <w:rsid w:val="00E77296"/>
    <w:rsid w:val="00E81E53"/>
    <w:rsid w:val="00E873C8"/>
    <w:rsid w:val="00E93763"/>
    <w:rsid w:val="00E950A8"/>
    <w:rsid w:val="00E96C4C"/>
    <w:rsid w:val="00EA2AAE"/>
    <w:rsid w:val="00EA2EC0"/>
    <w:rsid w:val="00EA427A"/>
    <w:rsid w:val="00EA723B"/>
    <w:rsid w:val="00EB6350"/>
    <w:rsid w:val="00EB687A"/>
    <w:rsid w:val="00EC2F62"/>
    <w:rsid w:val="00EC4F3F"/>
    <w:rsid w:val="00EC62EB"/>
    <w:rsid w:val="00EC6CC4"/>
    <w:rsid w:val="00EC6E9F"/>
    <w:rsid w:val="00EC75E2"/>
    <w:rsid w:val="00ED44F0"/>
    <w:rsid w:val="00ED4B33"/>
    <w:rsid w:val="00ED7DD6"/>
    <w:rsid w:val="00EE060B"/>
    <w:rsid w:val="00EE0D7C"/>
    <w:rsid w:val="00EE15A1"/>
    <w:rsid w:val="00EE2A7C"/>
    <w:rsid w:val="00EE2C42"/>
    <w:rsid w:val="00EE341B"/>
    <w:rsid w:val="00EE4453"/>
    <w:rsid w:val="00EE5FCE"/>
    <w:rsid w:val="00EE6BBD"/>
    <w:rsid w:val="00EE6E1E"/>
    <w:rsid w:val="00EE705F"/>
    <w:rsid w:val="00EF1462"/>
    <w:rsid w:val="00EF54FD"/>
    <w:rsid w:val="00F021B9"/>
    <w:rsid w:val="00F02727"/>
    <w:rsid w:val="00F13112"/>
    <w:rsid w:val="00F16FE6"/>
    <w:rsid w:val="00F2193E"/>
    <w:rsid w:val="00F238BD"/>
    <w:rsid w:val="00F24992"/>
    <w:rsid w:val="00F32F2F"/>
    <w:rsid w:val="00F33F3F"/>
    <w:rsid w:val="00F35BDD"/>
    <w:rsid w:val="00F360E4"/>
    <w:rsid w:val="00F403FD"/>
    <w:rsid w:val="00F41E72"/>
    <w:rsid w:val="00F45BDF"/>
    <w:rsid w:val="00F50300"/>
    <w:rsid w:val="00F56E39"/>
    <w:rsid w:val="00F57B38"/>
    <w:rsid w:val="00F623E9"/>
    <w:rsid w:val="00F63951"/>
    <w:rsid w:val="00F63C86"/>
    <w:rsid w:val="00F67138"/>
    <w:rsid w:val="00F70342"/>
    <w:rsid w:val="00F72759"/>
    <w:rsid w:val="00F766BE"/>
    <w:rsid w:val="00F7692C"/>
    <w:rsid w:val="00F77EB9"/>
    <w:rsid w:val="00F80635"/>
    <w:rsid w:val="00F815D1"/>
    <w:rsid w:val="00F81E7E"/>
    <w:rsid w:val="00F81F0F"/>
    <w:rsid w:val="00F825F4"/>
    <w:rsid w:val="00F84C32"/>
    <w:rsid w:val="00F856AF"/>
    <w:rsid w:val="00F90A7C"/>
    <w:rsid w:val="00F92AA1"/>
    <w:rsid w:val="00F932DE"/>
    <w:rsid w:val="00F963DD"/>
    <w:rsid w:val="00F9641A"/>
    <w:rsid w:val="00F97004"/>
    <w:rsid w:val="00FA2045"/>
    <w:rsid w:val="00FA7A66"/>
    <w:rsid w:val="00FB1AA9"/>
    <w:rsid w:val="00FB4B5A"/>
    <w:rsid w:val="00FB5963"/>
    <w:rsid w:val="00FB5DAA"/>
    <w:rsid w:val="00FC04B9"/>
    <w:rsid w:val="00FC04CD"/>
    <w:rsid w:val="00FC161A"/>
    <w:rsid w:val="00FC23D5"/>
    <w:rsid w:val="00FC4C1A"/>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39"/>
    <w:rsid w:val="00904277"/>
    <w:rPr>
      <w:rFonts w:asciiTheme="minorHAnsi" w:eastAsiaTheme="minorHAnsi" w:hAnsiTheme="minorHAnsi" w:cstheme="minorBid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3200C"/>
    <w:pPr>
      <w:spacing w:after="200"/>
    </w:pPr>
    <w:rPr>
      <w:i/>
      <w:iCs/>
      <w:color w:val="1F497D" w:themeColor="text2"/>
      <w:sz w:val="18"/>
      <w:szCs w:val="18"/>
    </w:rPr>
  </w:style>
  <w:style w:type="paragraph" w:customStyle="1" w:styleId="Default">
    <w:name w:val="Default"/>
    <w:rsid w:val="002B2841"/>
    <w:pPr>
      <w:autoSpaceDE w:val="0"/>
      <w:autoSpaceDN w:val="0"/>
      <w:adjustRightInd w:val="0"/>
    </w:pPr>
    <w:rPr>
      <w:color w:val="000000"/>
      <w:sz w:val="24"/>
      <w:szCs w:val="24"/>
      <w:lang w:val="da-DK"/>
    </w:rPr>
  </w:style>
  <w:style w:type="paragraph" w:customStyle="1" w:styleId="jovecontent">
    <w:name w:val="jove_content"/>
    <w:basedOn w:val="Normal"/>
    <w:rsid w:val="002112AC"/>
    <w:pPr>
      <w:widowControl/>
      <w:autoSpaceDE/>
      <w:autoSpaceDN/>
      <w:adjustRightInd/>
      <w:spacing w:before="100" w:beforeAutospacing="1" w:after="100" w:afterAutospacing="1"/>
      <w:jc w:val="left"/>
    </w:pPr>
    <w:rPr>
      <w:rFonts w:ascii="Times New Roman" w:hAnsi="Times New Roman" w:cs="Times New Roman"/>
      <w:color w:val="auto"/>
      <w:lang w:val="da-DK" w:eastAsia="da-DK"/>
    </w:rPr>
  </w:style>
  <w:style w:type="character" w:customStyle="1" w:styleId="st">
    <w:name w:val="st"/>
    <w:basedOn w:val="DefaultParagraphFont"/>
    <w:rsid w:val="00881A5F"/>
  </w:style>
  <w:style w:type="character" w:styleId="LineNumber">
    <w:name w:val="line number"/>
    <w:basedOn w:val="DefaultParagraphFont"/>
    <w:uiPriority w:val="99"/>
    <w:semiHidden/>
    <w:unhideWhenUsed/>
    <w:rsid w:val="00A87BBD"/>
  </w:style>
  <w:style w:type="character" w:styleId="UnresolvedMention">
    <w:name w:val="Unresolved Mention"/>
    <w:basedOn w:val="DefaultParagraphFont"/>
    <w:uiPriority w:val="99"/>
    <w:semiHidden/>
    <w:unhideWhenUsed/>
    <w:rsid w:val="0026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9837">
      <w:bodyDiv w:val="1"/>
      <w:marLeft w:val="0"/>
      <w:marRight w:val="0"/>
      <w:marTop w:val="0"/>
      <w:marBottom w:val="0"/>
      <w:divBdr>
        <w:top w:val="none" w:sz="0" w:space="0" w:color="auto"/>
        <w:left w:val="none" w:sz="0" w:space="0" w:color="auto"/>
        <w:bottom w:val="none" w:sz="0" w:space="0" w:color="auto"/>
        <w:right w:val="none" w:sz="0" w:space="0" w:color="auto"/>
      </w:divBdr>
    </w:div>
    <w:div w:id="248806039">
      <w:bodyDiv w:val="1"/>
      <w:marLeft w:val="0"/>
      <w:marRight w:val="0"/>
      <w:marTop w:val="0"/>
      <w:marBottom w:val="0"/>
      <w:divBdr>
        <w:top w:val="none" w:sz="0" w:space="0" w:color="auto"/>
        <w:left w:val="none" w:sz="0" w:space="0" w:color="auto"/>
        <w:bottom w:val="none" w:sz="0" w:space="0" w:color="auto"/>
        <w:right w:val="none" w:sz="0" w:space="0" w:color="auto"/>
      </w:divBdr>
    </w:div>
    <w:div w:id="640306340">
      <w:bodyDiv w:val="1"/>
      <w:marLeft w:val="0"/>
      <w:marRight w:val="0"/>
      <w:marTop w:val="0"/>
      <w:marBottom w:val="0"/>
      <w:divBdr>
        <w:top w:val="none" w:sz="0" w:space="0" w:color="auto"/>
        <w:left w:val="none" w:sz="0" w:space="0" w:color="auto"/>
        <w:bottom w:val="none" w:sz="0" w:space="0" w:color="auto"/>
        <w:right w:val="none" w:sz="0" w:space="0" w:color="auto"/>
      </w:divBdr>
    </w:div>
    <w:div w:id="672099988">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
    <w:div w:id="7523545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r@env.dtu.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ms@env.dtu.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bau@env.dtu.dk" TargetMode="External"/><Relationship Id="rId4" Type="http://schemas.openxmlformats.org/officeDocument/2006/relationships/settings" Target="settings.xml"/><Relationship Id="rId9" Type="http://schemas.openxmlformats.org/officeDocument/2006/relationships/hyperlink" Target="mailto:sans@env.dtu.d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9BE6D-FBB1-445E-B0DE-7A5C005A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14501</Words>
  <Characters>82661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96969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2019-11-21T11:34:00Z</cp:lastPrinted>
  <dcterms:created xsi:type="dcterms:W3CDTF">2020-09-04T10:03:00Z</dcterms:created>
  <dcterms:modified xsi:type="dcterms:W3CDTF">2020-09-14T17:08:00Z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http://www.zotero.org/styles/water-research</vt:lpwstr>
  </property>
  <property fmtid="{D5CDD505-2E9C-101B-9397-08002B2CF9AE}" pid="27" name="Mendeley Recent Style Name 9_1">
    <vt:lpwstr>Water Research</vt:lpwstr>
  </property>
  <property fmtid="{D5CDD505-2E9C-101B-9397-08002B2CF9AE}" pid="28" name="Mendeley Document_1">
    <vt:lpwstr>True</vt:lpwstr>
  </property>
  <property fmtid="{D5CDD505-2E9C-101B-9397-08002B2CF9AE}" pid="29" name="Mendeley Unique User Id_1">
    <vt:lpwstr>ec31d8cf-3596-3230-bb42-89ad5891bb26</vt:lpwstr>
  </property>
  <property fmtid="{D5CDD505-2E9C-101B-9397-08002B2CF9AE}" pid="30" name="Mendeley Citation Style_1">
    <vt:lpwstr>http://www.zotero.org/styles/journal-of-visualized-experiments</vt:lpwstr>
  </property>
</Properties>
</file>