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372AA" w14:textId="039A04D3" w:rsidR="00FC71AE" w:rsidRPr="004C00AF" w:rsidRDefault="00FC71AE" w:rsidP="00FC71AE">
      <w:pPr>
        <w:rPr>
          <w:rFonts w:ascii="Calibri" w:hAnsi="Calibri" w:cs="Calibri"/>
          <w:i/>
          <w:iCs/>
          <w:color w:val="000000" w:themeColor="text1"/>
          <w:sz w:val="24"/>
          <w:szCs w:val="28"/>
        </w:rPr>
      </w:pPr>
      <w:r w:rsidRPr="004C00AF">
        <w:rPr>
          <w:rFonts w:ascii="Calibri" w:hAnsi="Calibri" w:cs="Calibri"/>
          <w:color w:val="000000" w:themeColor="text1"/>
          <w:sz w:val="24"/>
          <w:szCs w:val="28"/>
        </w:rPr>
        <w:t>Manuscript Summary:</w:t>
      </w:r>
      <w:r w:rsidRPr="004C00AF">
        <w:rPr>
          <w:rFonts w:ascii="Calibri" w:hAnsi="Calibri" w:cs="Calibri"/>
          <w:color w:val="000000" w:themeColor="text1"/>
          <w:sz w:val="24"/>
          <w:szCs w:val="28"/>
        </w:rPr>
        <w:br/>
        <w:t xml:space="preserve">The present work aims to explain how we can obtain primary neurons and glia from </w:t>
      </w:r>
      <w:bookmarkStart w:id="0" w:name="_Hlk36247863"/>
      <w:r w:rsidRPr="004C00AF">
        <w:rPr>
          <w:rFonts w:ascii="Calibri" w:hAnsi="Calibri" w:cs="Calibri"/>
          <w:color w:val="000000" w:themeColor="text1"/>
          <w:sz w:val="24"/>
          <w:szCs w:val="28"/>
        </w:rPr>
        <w:t>the bladder of adult rats</w:t>
      </w:r>
      <w:bookmarkEnd w:id="0"/>
      <w:r w:rsidRPr="004C00AF">
        <w:rPr>
          <w:rFonts w:ascii="Calibri" w:hAnsi="Calibri" w:cs="Calibri"/>
          <w:color w:val="000000" w:themeColor="text1"/>
          <w:sz w:val="24"/>
          <w:szCs w:val="28"/>
        </w:rPr>
        <w:t>. Although every step is described in detail, there are some major and minor concerns about this work.</w:t>
      </w:r>
      <w:r w:rsidRPr="004C00AF">
        <w:rPr>
          <w:rFonts w:ascii="Calibri" w:hAnsi="Calibri" w:cs="Calibri"/>
          <w:i/>
          <w:iCs/>
          <w:color w:val="000000" w:themeColor="text1"/>
          <w:sz w:val="24"/>
          <w:szCs w:val="28"/>
        </w:rPr>
        <w:br/>
      </w:r>
      <w:r w:rsidRPr="004C00AF">
        <w:rPr>
          <w:rFonts w:ascii="Calibri" w:hAnsi="Calibri" w:cs="Calibri"/>
          <w:i/>
          <w:iCs/>
          <w:color w:val="000000" w:themeColor="text1"/>
          <w:sz w:val="24"/>
          <w:szCs w:val="28"/>
        </w:rPr>
        <w:br/>
      </w:r>
      <w:r w:rsidRPr="004C00AF">
        <w:rPr>
          <w:rFonts w:ascii="Calibri" w:hAnsi="Calibri" w:cs="Calibri"/>
          <w:color w:val="000000" w:themeColor="text1"/>
          <w:sz w:val="24"/>
          <w:szCs w:val="28"/>
        </w:rPr>
        <w:t>Major Concerns:</w:t>
      </w:r>
      <w:r w:rsidRPr="004C00AF">
        <w:rPr>
          <w:rFonts w:ascii="Calibri" w:hAnsi="Calibri" w:cs="Calibri"/>
          <w:i/>
          <w:iCs/>
          <w:color w:val="000000" w:themeColor="text1"/>
          <w:sz w:val="24"/>
          <w:szCs w:val="28"/>
        </w:rPr>
        <w:br/>
        <w:t xml:space="preserve">My major concern about this protocol is the fact that authors are culturing neurons from the bladder itself. Most of the primary afferents (if not all) are in the dorsal root ganglia. The autonomic nervous system has extramural ganglia. In fact, one of the reasons why </w:t>
      </w:r>
      <w:proofErr w:type="spellStart"/>
      <w:r w:rsidRPr="004C00AF">
        <w:rPr>
          <w:rFonts w:ascii="Calibri" w:hAnsi="Calibri" w:cs="Calibri"/>
          <w:i/>
          <w:iCs/>
          <w:color w:val="000000" w:themeColor="text1"/>
          <w:sz w:val="24"/>
          <w:szCs w:val="28"/>
        </w:rPr>
        <w:t>botox</w:t>
      </w:r>
      <w:proofErr w:type="spellEnd"/>
      <w:r w:rsidRPr="004C00AF">
        <w:rPr>
          <w:rFonts w:ascii="Calibri" w:hAnsi="Calibri" w:cs="Calibri"/>
          <w:i/>
          <w:iCs/>
          <w:color w:val="000000" w:themeColor="text1"/>
          <w:sz w:val="24"/>
          <w:szCs w:val="28"/>
        </w:rPr>
        <w:t xml:space="preserve"> doesn't work or has low efficacy when applied in bladder of rats is that the</w:t>
      </w:r>
      <w:bookmarkStart w:id="1" w:name="OLE_LINK42"/>
      <w:bookmarkStart w:id="2" w:name="OLE_LINK43"/>
      <w:r w:rsidRPr="004C00AF">
        <w:rPr>
          <w:rFonts w:ascii="Calibri" w:hAnsi="Calibri" w:cs="Calibri"/>
          <w:i/>
          <w:iCs/>
          <w:color w:val="000000" w:themeColor="text1"/>
          <w:sz w:val="24"/>
          <w:szCs w:val="28"/>
        </w:rPr>
        <w:t xml:space="preserve"> cell body</w:t>
      </w:r>
      <w:bookmarkEnd w:id="1"/>
      <w:bookmarkEnd w:id="2"/>
      <w:r w:rsidRPr="004C00AF">
        <w:rPr>
          <w:rFonts w:ascii="Calibri" w:hAnsi="Calibri" w:cs="Calibri"/>
          <w:i/>
          <w:iCs/>
          <w:color w:val="000000" w:themeColor="text1"/>
          <w:sz w:val="24"/>
          <w:szCs w:val="28"/>
        </w:rPr>
        <w:t xml:space="preserve"> of neurons (in general) are outside the bladder wall. This is supported by figure 2B, that only shows nerve </w:t>
      </w:r>
      <w:proofErr w:type="spellStart"/>
      <w:r w:rsidRPr="004C00AF">
        <w:rPr>
          <w:rFonts w:ascii="Calibri" w:hAnsi="Calibri" w:cs="Calibri"/>
          <w:i/>
          <w:iCs/>
          <w:color w:val="000000" w:themeColor="text1"/>
          <w:sz w:val="24"/>
          <w:szCs w:val="28"/>
        </w:rPr>
        <w:t>fibres</w:t>
      </w:r>
      <w:proofErr w:type="spellEnd"/>
      <w:r w:rsidRPr="004C00AF">
        <w:rPr>
          <w:rFonts w:ascii="Calibri" w:hAnsi="Calibri" w:cs="Calibri"/>
          <w:i/>
          <w:iCs/>
          <w:color w:val="000000" w:themeColor="text1"/>
          <w:sz w:val="24"/>
          <w:szCs w:val="28"/>
        </w:rPr>
        <w:t xml:space="preserve">. Furthermore, Beta-3-tubulin (here used as a neuronal markers) has been shown to be expressed by normal mesenchymal and epithelial cells (among others... see </w:t>
      </w:r>
      <w:proofErr w:type="spellStart"/>
      <w:r w:rsidRPr="004C00AF">
        <w:rPr>
          <w:rFonts w:ascii="Calibri" w:hAnsi="Calibri" w:cs="Calibri"/>
          <w:i/>
          <w:iCs/>
          <w:color w:val="000000" w:themeColor="text1"/>
          <w:sz w:val="24"/>
          <w:szCs w:val="28"/>
        </w:rPr>
        <w:t>Jouhilahti</w:t>
      </w:r>
      <w:proofErr w:type="spellEnd"/>
      <w:r w:rsidRPr="004C00AF">
        <w:rPr>
          <w:rFonts w:ascii="Calibri" w:hAnsi="Calibri" w:cs="Calibri"/>
          <w:i/>
          <w:iCs/>
          <w:color w:val="000000" w:themeColor="text1"/>
          <w:sz w:val="24"/>
          <w:szCs w:val="28"/>
        </w:rPr>
        <w:t xml:space="preserve"> et al, at </w:t>
      </w:r>
      <w:hyperlink r:id="rId7" w:tgtFrame="_blank" w:history="1">
        <w:r w:rsidRPr="004C00AF">
          <w:rPr>
            <w:rFonts w:ascii="Calibri" w:hAnsi="Calibri" w:cs="Calibri"/>
            <w:i/>
            <w:iCs/>
            <w:color w:val="000000" w:themeColor="text1"/>
            <w:sz w:val="24"/>
            <w:szCs w:val="28"/>
          </w:rPr>
          <w:t>https://www.ncbi.nlm.nih.gov/pmc/articles/PMC2583904</w:t>
        </w:r>
      </w:hyperlink>
      <w:r w:rsidRPr="004C00AF">
        <w:rPr>
          <w:rFonts w:ascii="Calibri" w:hAnsi="Calibri" w:cs="Calibri"/>
          <w:i/>
          <w:iCs/>
          <w:color w:val="000000" w:themeColor="text1"/>
          <w:sz w:val="24"/>
          <w:szCs w:val="28"/>
        </w:rPr>
        <w:t>). Hence, it is difficult to me to understand what neurons are being plated in this work. Can authors explain?</w:t>
      </w:r>
    </w:p>
    <w:p w14:paraId="4FE2AFCF" w14:textId="77777777" w:rsidR="00FC71AE" w:rsidRDefault="00FC71AE" w:rsidP="00FC71AE">
      <w:pPr>
        <w:rPr>
          <w:rFonts w:ascii="Verdana" w:hAnsi="Verdana"/>
          <w:color w:val="000000"/>
          <w:szCs w:val="21"/>
          <w:shd w:val="clear" w:color="auto" w:fill="FFFFFF"/>
        </w:rPr>
      </w:pPr>
    </w:p>
    <w:p w14:paraId="467F800D" w14:textId="77777777" w:rsidR="00FC71AE" w:rsidRPr="004C00AF" w:rsidRDefault="00FC71AE" w:rsidP="00FC71AE">
      <w:pPr>
        <w:rPr>
          <w:rFonts w:ascii="Calibri" w:hAnsi="Calibri" w:cs="Calibri"/>
          <w:color w:val="000000"/>
          <w:sz w:val="24"/>
          <w:szCs w:val="24"/>
          <w:shd w:val="clear" w:color="auto" w:fill="FFFFFF"/>
        </w:rPr>
      </w:pPr>
      <w:r w:rsidRPr="004C00AF">
        <w:rPr>
          <w:rFonts w:ascii="Calibri" w:hAnsi="Calibri" w:cs="Calibri"/>
          <w:b/>
          <w:bCs/>
          <w:color w:val="000000"/>
          <w:sz w:val="24"/>
          <w:szCs w:val="24"/>
          <w:shd w:val="clear" w:color="auto" w:fill="FFFFFF"/>
        </w:rPr>
        <w:t>Our response:</w:t>
      </w:r>
      <w:r w:rsidRPr="004C00AF">
        <w:rPr>
          <w:rFonts w:ascii="Calibri" w:hAnsi="Calibri" w:cs="Calibri"/>
          <w:color w:val="000000"/>
          <w:sz w:val="24"/>
          <w:szCs w:val="24"/>
          <w:shd w:val="clear" w:color="auto" w:fill="FFFFFF"/>
        </w:rPr>
        <w:t xml:space="preserve"> Thank you for your comments. Researchers declared that detrusor muscles in fetal rats and mice were densely innervated, possessing abundant intramural ganglia</w:t>
      </w:r>
      <w:r w:rsidRPr="004C00AF">
        <w:rPr>
          <w:rFonts w:ascii="Calibri" w:hAnsi="Calibri" w:cs="Calibri"/>
          <w:color w:val="000000"/>
          <w:sz w:val="24"/>
          <w:szCs w:val="24"/>
          <w:shd w:val="clear" w:color="auto" w:fill="FFFFFF"/>
          <w:vertAlign w:val="superscript"/>
        </w:rPr>
        <w:t>1,2</w:t>
      </w:r>
      <w:r w:rsidRPr="004C00AF">
        <w:rPr>
          <w:rFonts w:ascii="Calibri" w:hAnsi="Calibri" w:cs="Calibri"/>
          <w:color w:val="000000"/>
          <w:sz w:val="24"/>
          <w:szCs w:val="24"/>
          <w:shd w:val="clear" w:color="auto" w:fill="FFFFFF"/>
        </w:rPr>
        <w:t xml:space="preserve">. And with the development of urinary system, there are a small number of intramural ganglia preserving in the bladder of adult rats and mice, </w:t>
      </w:r>
      <w:bookmarkStart w:id="3" w:name="OLE_LINK78"/>
      <w:bookmarkStart w:id="4" w:name="OLE_LINK79"/>
      <w:r w:rsidRPr="004C00AF">
        <w:rPr>
          <w:rFonts w:ascii="Calibri" w:hAnsi="Calibri" w:cs="Calibri"/>
          <w:color w:val="000000"/>
          <w:sz w:val="24"/>
          <w:szCs w:val="24"/>
          <w:shd w:val="clear" w:color="auto" w:fill="FFFFFF"/>
        </w:rPr>
        <w:t xml:space="preserve">which leads to difficulty in increasing the </w:t>
      </w:r>
      <w:bookmarkStart w:id="5" w:name="_Hlk36288912"/>
      <w:r w:rsidRPr="004C00AF">
        <w:rPr>
          <w:rFonts w:ascii="Calibri" w:hAnsi="Calibri" w:cs="Calibri"/>
          <w:color w:val="000000"/>
          <w:sz w:val="24"/>
          <w:szCs w:val="24"/>
          <w:shd w:val="clear" w:color="auto" w:fill="FFFFFF"/>
        </w:rPr>
        <w:t>proportion of primary neurons</w:t>
      </w:r>
      <w:bookmarkEnd w:id="3"/>
      <w:bookmarkEnd w:id="4"/>
      <w:bookmarkEnd w:id="5"/>
      <w:r w:rsidRPr="004C00AF">
        <w:rPr>
          <w:rFonts w:ascii="Calibri" w:hAnsi="Calibri" w:cs="Calibri"/>
          <w:color w:val="000000"/>
          <w:sz w:val="24"/>
          <w:szCs w:val="24"/>
          <w:shd w:val="clear" w:color="auto" w:fill="FFFFFF"/>
          <w:vertAlign w:val="superscript"/>
        </w:rPr>
        <w:t>2,3</w:t>
      </w:r>
      <w:r w:rsidRPr="004C00AF">
        <w:rPr>
          <w:rFonts w:ascii="Calibri" w:hAnsi="Calibri" w:cs="Calibri"/>
          <w:color w:val="000000"/>
          <w:sz w:val="24"/>
          <w:szCs w:val="24"/>
          <w:shd w:val="clear" w:color="auto" w:fill="FFFFFF"/>
        </w:rPr>
        <w:t>. Furthermore, extirpation of the pelvic ganglion could induce intramural neurons</w:t>
      </w:r>
      <w:r w:rsidRPr="004C00AF">
        <w:rPr>
          <w:rFonts w:ascii="Calibri" w:hAnsi="Calibri" w:cs="Calibri" w:hint="eastAsia"/>
          <w:color w:val="000000"/>
          <w:sz w:val="24"/>
          <w:szCs w:val="24"/>
          <w:shd w:val="clear" w:color="auto" w:fill="FFFFFF"/>
        </w:rPr>
        <w:t xml:space="preserve"> </w:t>
      </w:r>
      <w:r w:rsidRPr="004C00AF">
        <w:rPr>
          <w:rFonts w:ascii="Calibri" w:hAnsi="Calibri" w:cs="Calibri"/>
          <w:color w:val="000000"/>
          <w:sz w:val="24"/>
          <w:szCs w:val="24"/>
          <w:shd w:val="clear" w:color="auto" w:fill="FFFFFF"/>
        </w:rPr>
        <w:t>appearing in the urinary</w:t>
      </w:r>
      <w:r w:rsidRPr="004C00AF">
        <w:rPr>
          <w:rFonts w:ascii="Calibri" w:hAnsi="Calibri" w:cs="Calibri" w:hint="eastAsia"/>
          <w:color w:val="000000"/>
          <w:sz w:val="24"/>
          <w:szCs w:val="24"/>
          <w:shd w:val="clear" w:color="auto" w:fill="FFFFFF"/>
        </w:rPr>
        <w:t xml:space="preserve"> </w:t>
      </w:r>
      <w:r w:rsidRPr="004C00AF">
        <w:rPr>
          <w:rFonts w:ascii="Calibri" w:hAnsi="Calibri" w:cs="Calibri"/>
          <w:color w:val="000000"/>
          <w:sz w:val="24"/>
          <w:szCs w:val="24"/>
          <w:shd w:val="clear" w:color="auto" w:fill="FFFFFF"/>
        </w:rPr>
        <w:t>bladder wall, suggesting plasticity of bladder innervation</w:t>
      </w:r>
      <w:r w:rsidRPr="004C00AF">
        <w:rPr>
          <w:rFonts w:ascii="Calibri" w:hAnsi="Calibri" w:cs="Calibri"/>
          <w:color w:val="000000"/>
          <w:sz w:val="24"/>
          <w:szCs w:val="24"/>
          <w:shd w:val="clear" w:color="auto" w:fill="FFFFFF"/>
          <w:vertAlign w:val="superscript"/>
        </w:rPr>
        <w:t>4,5</w:t>
      </w:r>
      <w:r w:rsidRPr="004C00AF">
        <w:rPr>
          <w:rFonts w:ascii="Calibri" w:hAnsi="Calibri" w:cs="Calibri"/>
          <w:color w:val="000000"/>
          <w:sz w:val="24"/>
          <w:szCs w:val="24"/>
          <w:shd w:val="clear" w:color="auto" w:fill="FFFFFF"/>
        </w:rPr>
        <w:t>. Therefore, plated neurons m</w:t>
      </w:r>
      <w:r>
        <w:rPr>
          <w:rFonts w:ascii="Calibri" w:hAnsi="Calibri" w:cs="Calibri" w:hint="eastAsia"/>
          <w:color w:val="000000"/>
          <w:sz w:val="24"/>
          <w:szCs w:val="24"/>
          <w:shd w:val="clear" w:color="auto" w:fill="FFFFFF"/>
        </w:rPr>
        <w:t>igh</w:t>
      </w:r>
      <w:r>
        <w:rPr>
          <w:rFonts w:ascii="Calibri" w:hAnsi="Calibri" w:cs="Calibri"/>
          <w:color w:val="000000"/>
          <w:sz w:val="24"/>
          <w:szCs w:val="24"/>
          <w:shd w:val="clear" w:color="auto" w:fill="FFFFFF"/>
        </w:rPr>
        <w:t>t</w:t>
      </w:r>
      <w:r w:rsidRPr="004C00AF">
        <w:rPr>
          <w:rFonts w:ascii="Calibri" w:hAnsi="Calibri" w:cs="Calibri"/>
          <w:color w:val="000000"/>
          <w:sz w:val="24"/>
          <w:szCs w:val="24"/>
          <w:shd w:val="clear" w:color="auto" w:fill="FFFFFF"/>
        </w:rPr>
        <w:t xml:space="preserve"> be from intramural ganglia and neuronal differentiation</w:t>
      </w:r>
      <w:r w:rsidRPr="004C00AF">
        <w:rPr>
          <w:rFonts w:ascii="Calibri" w:hAnsi="Calibri" w:cs="Calibri"/>
          <w:color w:val="000000"/>
          <w:sz w:val="24"/>
          <w:szCs w:val="24"/>
          <w:shd w:val="clear" w:color="auto" w:fill="FFFFFF"/>
          <w:vertAlign w:val="superscript"/>
        </w:rPr>
        <w:t>6</w:t>
      </w:r>
      <w:r w:rsidRPr="004C00AF">
        <w:rPr>
          <w:rFonts w:ascii="Calibri" w:hAnsi="Calibri" w:cs="Calibri"/>
          <w:color w:val="000000"/>
          <w:sz w:val="24"/>
          <w:szCs w:val="24"/>
          <w:shd w:val="clear" w:color="auto" w:fill="FFFFFF"/>
        </w:rPr>
        <w:t xml:space="preserve">. </w:t>
      </w:r>
      <w:r>
        <w:rPr>
          <w:rFonts w:ascii="Calibri" w:hAnsi="Calibri" w:cs="Calibri"/>
          <w:color w:val="000000"/>
          <w:sz w:val="24"/>
          <w:szCs w:val="24"/>
          <w:shd w:val="clear" w:color="auto" w:fill="FFFFFF"/>
        </w:rPr>
        <w:t>Moreover</w:t>
      </w:r>
      <w:r w:rsidRPr="004C00AF">
        <w:rPr>
          <w:rFonts w:ascii="Calibri" w:hAnsi="Calibri" w:cs="Calibri"/>
          <w:color w:val="000000"/>
          <w:sz w:val="24"/>
          <w:szCs w:val="24"/>
          <w:shd w:val="clear" w:color="auto" w:fill="FFFFFF"/>
        </w:rPr>
        <w:t xml:space="preserve">, </w:t>
      </w:r>
      <w:r w:rsidRPr="00FD3B96">
        <w:rPr>
          <w:rFonts w:ascii="Calibri" w:hAnsi="Calibri" w:cs="Calibri"/>
          <w:color w:val="000000"/>
          <w:sz w:val="24"/>
          <w:szCs w:val="24"/>
          <w:shd w:val="clear" w:color="auto" w:fill="FFFFFF"/>
        </w:rPr>
        <w:t>except for</w:t>
      </w:r>
      <w:r w:rsidRPr="00FD3B96">
        <w:t xml:space="preserve"> </w:t>
      </w:r>
      <w:r w:rsidRPr="00FD3B96">
        <w:rPr>
          <w:rFonts w:ascii="Calibri" w:hAnsi="Calibri" w:cs="Calibri"/>
          <w:color w:val="000000"/>
          <w:sz w:val="24"/>
          <w:szCs w:val="24"/>
          <w:shd w:val="clear" w:color="auto" w:fill="FFFFFF"/>
        </w:rPr>
        <w:t>Beta-3-tubulin</w:t>
      </w:r>
      <w:r>
        <w:rPr>
          <w:rFonts w:ascii="Calibri" w:hAnsi="Calibri" w:cs="Calibri"/>
          <w:color w:val="000000"/>
          <w:sz w:val="24"/>
          <w:szCs w:val="24"/>
          <w:shd w:val="clear" w:color="auto" w:fill="FFFFFF"/>
        </w:rPr>
        <w:t xml:space="preserve">, </w:t>
      </w:r>
      <w:r w:rsidRPr="004C00AF">
        <w:rPr>
          <w:rFonts w:ascii="Calibri" w:hAnsi="Calibri" w:cs="Calibri"/>
          <w:color w:val="000000"/>
          <w:sz w:val="24"/>
          <w:szCs w:val="24"/>
          <w:shd w:val="clear" w:color="auto" w:fill="FFFFFF"/>
        </w:rPr>
        <w:t>MAP 2 was also used to identify neurons in figure 2C, which is widely used as a neuronal marker</w:t>
      </w:r>
      <w:r w:rsidRPr="004C00AF">
        <w:rPr>
          <w:rFonts w:ascii="Calibri" w:hAnsi="Calibri" w:cs="Calibri"/>
          <w:color w:val="000000"/>
          <w:sz w:val="24"/>
          <w:szCs w:val="24"/>
          <w:shd w:val="clear" w:color="auto" w:fill="FFFFFF"/>
          <w:vertAlign w:val="superscript"/>
        </w:rPr>
        <w:t>7,8</w:t>
      </w:r>
      <w:r w:rsidRPr="004C00AF">
        <w:rPr>
          <w:rFonts w:ascii="Calibri" w:hAnsi="Calibri" w:cs="Calibri"/>
          <w:color w:val="000000"/>
          <w:sz w:val="24"/>
          <w:szCs w:val="24"/>
          <w:shd w:val="clear" w:color="auto" w:fill="FFFFFF"/>
        </w:rPr>
        <w:t>.</w:t>
      </w:r>
      <w:r w:rsidRPr="004C00AF">
        <w:rPr>
          <w:rFonts w:ascii="Calibri" w:hAnsi="Calibri" w:cs="Calibri"/>
          <w:color w:val="000000"/>
          <w:sz w:val="24"/>
          <w:szCs w:val="24"/>
          <w:shd w:val="clear" w:color="auto" w:fill="FFFFFF"/>
        </w:rPr>
        <w:br/>
      </w:r>
    </w:p>
    <w:p w14:paraId="2460431F" w14:textId="77777777" w:rsidR="00FC71AE" w:rsidRPr="00763806" w:rsidRDefault="00FC71AE" w:rsidP="00FC71AE">
      <w:pPr>
        <w:pStyle w:val="a7"/>
        <w:numPr>
          <w:ilvl w:val="0"/>
          <w:numId w:val="1"/>
        </w:numPr>
        <w:ind w:firstLineChars="0"/>
        <w:rPr>
          <w:rFonts w:ascii="Calibri" w:hAnsi="Calibri" w:cs="Calibri"/>
          <w:color w:val="000000" w:themeColor="text1"/>
          <w:sz w:val="20"/>
          <w:szCs w:val="20"/>
        </w:rPr>
      </w:pPr>
      <w:proofErr w:type="spellStart"/>
      <w:r w:rsidRPr="00763806">
        <w:rPr>
          <w:rFonts w:ascii="Calibri" w:hAnsi="Calibri" w:cs="Calibri"/>
          <w:color w:val="000000" w:themeColor="text1"/>
          <w:sz w:val="20"/>
          <w:szCs w:val="20"/>
        </w:rPr>
        <w:t>Danzer</w:t>
      </w:r>
      <w:proofErr w:type="spellEnd"/>
      <w:r w:rsidRPr="00763806">
        <w:rPr>
          <w:rFonts w:ascii="Calibri" w:hAnsi="Calibri" w:cs="Calibri"/>
          <w:color w:val="000000" w:themeColor="text1"/>
          <w:sz w:val="20"/>
          <w:szCs w:val="20"/>
        </w:rPr>
        <w:t xml:space="preserve">, Enrico et al. “Structural and functional characterization of bladder smooth muscle in fetal rats with retinoic acid-induced myelomeningocele.” American journal of physiology. Renal physiology vol. 292,1 (2007): F197-206. </w:t>
      </w:r>
    </w:p>
    <w:p w14:paraId="1BFBD248" w14:textId="77777777" w:rsidR="00FC71AE" w:rsidRPr="00763806" w:rsidRDefault="00FC71AE" w:rsidP="00FC71AE">
      <w:pPr>
        <w:pStyle w:val="a7"/>
        <w:numPr>
          <w:ilvl w:val="0"/>
          <w:numId w:val="1"/>
        </w:numPr>
        <w:ind w:firstLineChars="0"/>
        <w:rPr>
          <w:rFonts w:ascii="Calibri" w:hAnsi="Calibri" w:cs="Calibri"/>
          <w:color w:val="000000" w:themeColor="text1"/>
          <w:sz w:val="20"/>
          <w:szCs w:val="20"/>
        </w:rPr>
      </w:pPr>
      <w:r w:rsidRPr="00763806">
        <w:rPr>
          <w:rFonts w:ascii="Calibri" w:hAnsi="Calibri" w:cs="Calibri"/>
          <w:color w:val="000000" w:themeColor="text1"/>
          <w:sz w:val="20"/>
          <w:szCs w:val="20"/>
        </w:rPr>
        <w:t xml:space="preserve">Georgas, Kylie M et al. “An illustrated anatomical ontology of the developing mouse lower urogenital tract.” Development (Cambridge, England) vol. 142,10 (2015): 1893-908. </w:t>
      </w:r>
    </w:p>
    <w:p w14:paraId="26BEDBB7" w14:textId="77777777" w:rsidR="00FC71AE" w:rsidRPr="00763806" w:rsidRDefault="00FC71AE" w:rsidP="00FC71AE">
      <w:pPr>
        <w:pStyle w:val="a7"/>
        <w:numPr>
          <w:ilvl w:val="0"/>
          <w:numId w:val="1"/>
        </w:numPr>
        <w:ind w:firstLineChars="0"/>
        <w:rPr>
          <w:rFonts w:ascii="Calibri" w:hAnsi="Calibri" w:cs="Calibri"/>
          <w:color w:val="000000" w:themeColor="text1"/>
          <w:sz w:val="20"/>
          <w:szCs w:val="20"/>
        </w:rPr>
      </w:pPr>
      <w:r w:rsidRPr="00763806">
        <w:rPr>
          <w:rFonts w:ascii="Calibri" w:hAnsi="Calibri" w:cs="Calibri"/>
          <w:color w:val="000000" w:themeColor="text1"/>
          <w:sz w:val="20"/>
          <w:szCs w:val="20"/>
        </w:rPr>
        <w:t xml:space="preserve">McNeill, D L et al. “Origin and distribution of NADPH-diaphorase-positive neurons and fibers innervating the urinary bladder of the rat.” Neuroscience letters vol. 147,1 (1992): 33-6. </w:t>
      </w:r>
    </w:p>
    <w:p w14:paraId="02FFC0DE" w14:textId="77777777" w:rsidR="00FC71AE" w:rsidRPr="00763806" w:rsidRDefault="00FC71AE" w:rsidP="00FC71AE">
      <w:pPr>
        <w:pStyle w:val="a7"/>
        <w:numPr>
          <w:ilvl w:val="0"/>
          <w:numId w:val="1"/>
        </w:numPr>
        <w:ind w:firstLineChars="0"/>
        <w:rPr>
          <w:rFonts w:ascii="Calibri" w:hAnsi="Calibri" w:cs="Calibri"/>
          <w:color w:val="000000" w:themeColor="text1"/>
          <w:sz w:val="20"/>
          <w:szCs w:val="20"/>
        </w:rPr>
      </w:pPr>
      <w:proofErr w:type="spellStart"/>
      <w:r w:rsidRPr="00763806">
        <w:rPr>
          <w:rFonts w:ascii="Calibri" w:hAnsi="Calibri" w:cs="Calibri"/>
          <w:color w:val="000000" w:themeColor="text1"/>
          <w:sz w:val="20"/>
          <w:szCs w:val="20"/>
        </w:rPr>
        <w:t>Uvelius</w:t>
      </w:r>
      <w:proofErr w:type="spellEnd"/>
      <w:r w:rsidRPr="00763806">
        <w:rPr>
          <w:rFonts w:ascii="Calibri" w:hAnsi="Calibri" w:cs="Calibri"/>
          <w:color w:val="000000" w:themeColor="text1"/>
          <w:sz w:val="20"/>
          <w:szCs w:val="20"/>
        </w:rPr>
        <w:t xml:space="preserve">, B, and G </w:t>
      </w:r>
      <w:proofErr w:type="spellStart"/>
      <w:r w:rsidRPr="00763806">
        <w:rPr>
          <w:rFonts w:ascii="Calibri" w:hAnsi="Calibri" w:cs="Calibri"/>
          <w:color w:val="000000" w:themeColor="text1"/>
          <w:sz w:val="20"/>
          <w:szCs w:val="20"/>
        </w:rPr>
        <w:t>Gabella</w:t>
      </w:r>
      <w:proofErr w:type="spellEnd"/>
      <w:r w:rsidRPr="00763806">
        <w:rPr>
          <w:rFonts w:ascii="Calibri" w:hAnsi="Calibri" w:cs="Calibri"/>
          <w:color w:val="000000" w:themeColor="text1"/>
          <w:sz w:val="20"/>
          <w:szCs w:val="20"/>
        </w:rPr>
        <w:t xml:space="preserve">. “Intramural </w:t>
      </w:r>
      <w:proofErr w:type="spellStart"/>
      <w:r w:rsidRPr="00763806">
        <w:rPr>
          <w:rFonts w:ascii="Calibri" w:hAnsi="Calibri" w:cs="Calibri"/>
          <w:color w:val="000000" w:themeColor="text1"/>
          <w:sz w:val="20"/>
          <w:szCs w:val="20"/>
        </w:rPr>
        <w:t>neurones</w:t>
      </w:r>
      <w:proofErr w:type="spellEnd"/>
      <w:r w:rsidRPr="00763806">
        <w:rPr>
          <w:rFonts w:ascii="Calibri" w:hAnsi="Calibri" w:cs="Calibri"/>
          <w:color w:val="000000" w:themeColor="text1"/>
          <w:sz w:val="20"/>
          <w:szCs w:val="20"/>
        </w:rPr>
        <w:t xml:space="preserve"> appear in the urinary bladder wall following excision of the pelvic ganglion in the rat.” </w:t>
      </w:r>
      <w:proofErr w:type="spellStart"/>
      <w:r w:rsidRPr="00763806">
        <w:rPr>
          <w:rFonts w:ascii="Calibri" w:hAnsi="Calibri" w:cs="Calibri"/>
          <w:color w:val="000000" w:themeColor="text1"/>
          <w:sz w:val="20"/>
          <w:szCs w:val="20"/>
        </w:rPr>
        <w:t>Neuroreport</w:t>
      </w:r>
      <w:proofErr w:type="spellEnd"/>
      <w:r w:rsidRPr="00763806">
        <w:rPr>
          <w:rFonts w:ascii="Calibri" w:hAnsi="Calibri" w:cs="Calibri"/>
          <w:color w:val="000000" w:themeColor="text1"/>
          <w:sz w:val="20"/>
          <w:szCs w:val="20"/>
        </w:rPr>
        <w:t xml:space="preserve"> vol. 6,16 (1995): 2213-6. </w:t>
      </w:r>
    </w:p>
    <w:p w14:paraId="2896BFC5" w14:textId="77777777" w:rsidR="00FC71AE" w:rsidRPr="00763806" w:rsidRDefault="00FC71AE" w:rsidP="00FC71AE">
      <w:pPr>
        <w:pStyle w:val="a7"/>
        <w:numPr>
          <w:ilvl w:val="0"/>
          <w:numId w:val="1"/>
        </w:numPr>
        <w:ind w:firstLineChars="0"/>
        <w:rPr>
          <w:rFonts w:ascii="Calibri" w:hAnsi="Calibri" w:cs="Calibri"/>
          <w:color w:val="000000" w:themeColor="text1"/>
          <w:sz w:val="20"/>
          <w:szCs w:val="20"/>
        </w:rPr>
      </w:pPr>
      <w:proofErr w:type="spellStart"/>
      <w:r w:rsidRPr="00763806">
        <w:rPr>
          <w:rFonts w:ascii="Calibri" w:hAnsi="Calibri" w:cs="Calibri"/>
          <w:color w:val="000000" w:themeColor="text1"/>
          <w:sz w:val="20"/>
          <w:szCs w:val="20"/>
        </w:rPr>
        <w:t>Uvelius</w:t>
      </w:r>
      <w:proofErr w:type="spellEnd"/>
      <w:r w:rsidRPr="00763806">
        <w:rPr>
          <w:rFonts w:ascii="Calibri" w:hAnsi="Calibri" w:cs="Calibri"/>
          <w:color w:val="000000" w:themeColor="text1"/>
          <w:sz w:val="20"/>
          <w:szCs w:val="20"/>
        </w:rPr>
        <w:t xml:space="preserve">, B, and G </w:t>
      </w:r>
      <w:proofErr w:type="spellStart"/>
      <w:r w:rsidRPr="00763806">
        <w:rPr>
          <w:rFonts w:ascii="Calibri" w:hAnsi="Calibri" w:cs="Calibri"/>
          <w:color w:val="000000" w:themeColor="text1"/>
          <w:sz w:val="20"/>
          <w:szCs w:val="20"/>
        </w:rPr>
        <w:t>Gabella</w:t>
      </w:r>
      <w:proofErr w:type="spellEnd"/>
      <w:r w:rsidRPr="00763806">
        <w:rPr>
          <w:rFonts w:ascii="Calibri" w:hAnsi="Calibri" w:cs="Calibri"/>
          <w:color w:val="000000" w:themeColor="text1"/>
          <w:sz w:val="20"/>
          <w:szCs w:val="20"/>
        </w:rPr>
        <w:t xml:space="preserve">. “The distribution of intramural nerves in urinary bladder after partial denervation in the female rat.” Urological research vol. 26,5 (1998): 291-7. </w:t>
      </w:r>
    </w:p>
    <w:p w14:paraId="3A47A81C" w14:textId="77777777" w:rsidR="00FC71AE" w:rsidRDefault="00FC71AE" w:rsidP="00FC71AE">
      <w:pPr>
        <w:pStyle w:val="a7"/>
        <w:numPr>
          <w:ilvl w:val="0"/>
          <w:numId w:val="1"/>
        </w:numPr>
        <w:ind w:firstLineChars="0"/>
        <w:rPr>
          <w:rFonts w:ascii="Calibri" w:hAnsi="Calibri" w:cs="Calibri"/>
          <w:color w:val="000000" w:themeColor="text1"/>
          <w:sz w:val="20"/>
          <w:szCs w:val="20"/>
        </w:rPr>
      </w:pPr>
      <w:r w:rsidRPr="00763806">
        <w:rPr>
          <w:rFonts w:ascii="Calibri" w:hAnsi="Calibri" w:cs="Calibri"/>
          <w:color w:val="000000" w:themeColor="text1"/>
          <w:sz w:val="20"/>
          <w:szCs w:val="20"/>
        </w:rPr>
        <w:t xml:space="preserve">Wiese, Carrie B et al. “Migration pathways of sacral neural crest during development of lower urogenital tract innervation.” Developmental biology vol. 429,1 (2017): 356-369. </w:t>
      </w:r>
    </w:p>
    <w:p w14:paraId="6A0905D9" w14:textId="77777777" w:rsidR="00FC71AE" w:rsidRDefault="00FC71AE" w:rsidP="00FC71AE">
      <w:pPr>
        <w:pStyle w:val="a7"/>
        <w:numPr>
          <w:ilvl w:val="0"/>
          <w:numId w:val="1"/>
        </w:numPr>
        <w:ind w:firstLineChars="0"/>
        <w:rPr>
          <w:rFonts w:ascii="Calibri" w:hAnsi="Calibri" w:cs="Calibri"/>
          <w:color w:val="000000" w:themeColor="text1"/>
          <w:sz w:val="20"/>
          <w:szCs w:val="20"/>
        </w:rPr>
      </w:pPr>
      <w:r w:rsidRPr="00763806">
        <w:rPr>
          <w:rFonts w:ascii="Calibri" w:hAnsi="Calibri" w:cs="Calibri"/>
          <w:color w:val="000000" w:themeColor="text1"/>
          <w:sz w:val="20"/>
          <w:szCs w:val="20"/>
        </w:rPr>
        <w:t>Pino, Darya et al. “Wnt5a controls neurite development in olfactory bulb interneurons.” ASN neuro vol. 3,3 e00059. 2 Jun. 2011</w:t>
      </w:r>
      <w:r>
        <w:rPr>
          <w:rFonts w:ascii="Calibri" w:hAnsi="Calibri" w:cs="Calibri"/>
          <w:color w:val="000000" w:themeColor="text1"/>
          <w:sz w:val="20"/>
          <w:szCs w:val="20"/>
        </w:rPr>
        <w:t>.</w:t>
      </w:r>
    </w:p>
    <w:p w14:paraId="77324134" w14:textId="77777777" w:rsidR="00FC71AE" w:rsidRDefault="00FC71AE" w:rsidP="00FC71AE">
      <w:pPr>
        <w:pStyle w:val="a7"/>
        <w:numPr>
          <w:ilvl w:val="0"/>
          <w:numId w:val="1"/>
        </w:numPr>
        <w:ind w:firstLineChars="0"/>
        <w:rPr>
          <w:rFonts w:ascii="Calibri" w:hAnsi="Calibri" w:cs="Calibri"/>
          <w:color w:val="000000" w:themeColor="text1"/>
          <w:sz w:val="20"/>
          <w:szCs w:val="20"/>
        </w:rPr>
      </w:pPr>
      <w:r w:rsidRPr="002E7470">
        <w:rPr>
          <w:rFonts w:ascii="Calibri" w:hAnsi="Calibri" w:cs="Calibri"/>
          <w:color w:val="000000" w:themeColor="text1"/>
          <w:sz w:val="20"/>
          <w:szCs w:val="20"/>
        </w:rPr>
        <w:t xml:space="preserve">Roppongi, Reiko T et al. “Low-Density Primary Hippocampal Neuron Culture.” Journal of visualized </w:t>
      </w:r>
      <w:proofErr w:type="gramStart"/>
      <w:r w:rsidRPr="002E7470">
        <w:rPr>
          <w:rFonts w:ascii="Calibri" w:hAnsi="Calibri" w:cs="Calibri"/>
          <w:color w:val="000000" w:themeColor="text1"/>
          <w:sz w:val="20"/>
          <w:szCs w:val="20"/>
        </w:rPr>
        <w:lastRenderedPageBreak/>
        <w:t>experiments :</w:t>
      </w:r>
      <w:proofErr w:type="gramEnd"/>
      <w:r w:rsidRPr="002E7470">
        <w:rPr>
          <w:rFonts w:ascii="Calibri" w:hAnsi="Calibri" w:cs="Calibri"/>
          <w:color w:val="000000" w:themeColor="text1"/>
          <w:sz w:val="20"/>
          <w:szCs w:val="20"/>
        </w:rPr>
        <w:t xml:space="preserve"> </w:t>
      </w:r>
      <w:proofErr w:type="spellStart"/>
      <w:r w:rsidRPr="002E7470">
        <w:rPr>
          <w:rFonts w:ascii="Calibri" w:hAnsi="Calibri" w:cs="Calibri"/>
          <w:color w:val="000000" w:themeColor="text1"/>
          <w:sz w:val="20"/>
          <w:szCs w:val="20"/>
        </w:rPr>
        <w:t>JoVE</w:t>
      </w:r>
      <w:proofErr w:type="spellEnd"/>
      <w:r w:rsidRPr="002E7470">
        <w:rPr>
          <w:rFonts w:ascii="Calibri" w:hAnsi="Calibri" w:cs="Calibri"/>
          <w:color w:val="000000" w:themeColor="text1"/>
          <w:sz w:val="20"/>
          <w:szCs w:val="20"/>
        </w:rPr>
        <w:t xml:space="preserve"> ,122 55000. 18 Apr. 2017</w:t>
      </w:r>
      <w:r>
        <w:rPr>
          <w:rFonts w:ascii="Calibri" w:hAnsi="Calibri" w:cs="Calibri"/>
          <w:color w:val="000000" w:themeColor="text1"/>
          <w:sz w:val="20"/>
          <w:szCs w:val="20"/>
        </w:rPr>
        <w:t>.</w:t>
      </w:r>
    </w:p>
    <w:p w14:paraId="5DFC4CE4" w14:textId="77777777" w:rsidR="00FC71AE" w:rsidRPr="004C00AF" w:rsidRDefault="00FC71AE" w:rsidP="00FC71AE">
      <w:pPr>
        <w:rPr>
          <w:rFonts w:ascii="Calibri" w:hAnsi="Calibri" w:cs="Calibri"/>
          <w:i/>
          <w:iCs/>
          <w:color w:val="000000" w:themeColor="text1"/>
          <w:sz w:val="24"/>
          <w:szCs w:val="28"/>
        </w:rPr>
      </w:pPr>
      <w:r>
        <w:rPr>
          <w:rFonts w:ascii="Verdana" w:hAnsi="Verdana"/>
          <w:color w:val="000000"/>
          <w:szCs w:val="21"/>
        </w:rPr>
        <w:br/>
      </w:r>
      <w:r w:rsidRPr="004C00AF">
        <w:rPr>
          <w:rFonts w:ascii="Calibri" w:hAnsi="Calibri" w:cs="Calibri"/>
          <w:color w:val="000000"/>
          <w:sz w:val="24"/>
          <w:szCs w:val="24"/>
          <w:shd w:val="clear" w:color="auto" w:fill="FFFFFF"/>
        </w:rPr>
        <w:t>Minor Concerns:</w:t>
      </w:r>
      <w:r w:rsidRPr="004C00AF">
        <w:rPr>
          <w:rFonts w:ascii="Calibri" w:hAnsi="Calibri" w:cs="Calibri"/>
          <w:color w:val="000000"/>
          <w:sz w:val="24"/>
          <w:szCs w:val="24"/>
        </w:rPr>
        <w:br/>
      </w:r>
      <w:r w:rsidRPr="004C00AF">
        <w:rPr>
          <w:rFonts w:ascii="Calibri" w:hAnsi="Calibri" w:cs="Calibri"/>
          <w:i/>
          <w:iCs/>
          <w:color w:val="000000" w:themeColor="text1"/>
          <w:sz w:val="24"/>
          <w:szCs w:val="28"/>
        </w:rPr>
        <w:t xml:space="preserve">It is not clear how authors change media in step 3.15 without losing the cells that, at that moment, are not </w:t>
      </w:r>
      <w:bookmarkStart w:id="6" w:name="OLE_LINK82"/>
      <w:bookmarkStart w:id="7" w:name="OLE_LINK83"/>
      <w:r w:rsidRPr="004C00AF">
        <w:rPr>
          <w:rFonts w:ascii="Calibri" w:hAnsi="Calibri" w:cs="Calibri"/>
          <w:i/>
          <w:iCs/>
          <w:color w:val="000000" w:themeColor="text1"/>
          <w:sz w:val="24"/>
          <w:szCs w:val="28"/>
        </w:rPr>
        <w:t>attached</w:t>
      </w:r>
      <w:bookmarkEnd w:id="6"/>
      <w:bookmarkEnd w:id="7"/>
      <w:r w:rsidRPr="004C00AF">
        <w:rPr>
          <w:rFonts w:ascii="Calibri" w:hAnsi="Calibri" w:cs="Calibri"/>
          <w:i/>
          <w:iCs/>
          <w:color w:val="000000" w:themeColor="text1"/>
          <w:sz w:val="24"/>
          <w:szCs w:val="28"/>
        </w:rPr>
        <w:t xml:space="preserve"> yet.</w:t>
      </w:r>
    </w:p>
    <w:p w14:paraId="331EC156" w14:textId="77777777" w:rsidR="00FC71AE" w:rsidRDefault="00FC71AE" w:rsidP="00FC71AE">
      <w:pPr>
        <w:rPr>
          <w:rFonts w:ascii="Verdana" w:hAnsi="Verdana"/>
          <w:color w:val="000000"/>
          <w:szCs w:val="21"/>
          <w:shd w:val="clear" w:color="auto" w:fill="FFFFFF"/>
        </w:rPr>
      </w:pPr>
    </w:p>
    <w:p w14:paraId="3DEBD968" w14:textId="77777777" w:rsidR="00FC71AE" w:rsidRPr="004C00AF" w:rsidRDefault="00FC71AE" w:rsidP="00FC71AE">
      <w:pPr>
        <w:rPr>
          <w:rFonts w:ascii="Calibri" w:hAnsi="Calibri" w:cs="Calibri"/>
          <w:color w:val="000000"/>
          <w:szCs w:val="21"/>
          <w:shd w:val="clear" w:color="auto" w:fill="FFFFFF"/>
        </w:rPr>
      </w:pPr>
      <w:r w:rsidRPr="004C00AF">
        <w:rPr>
          <w:rFonts w:ascii="Calibri" w:hAnsi="Calibri" w:cs="Calibri"/>
          <w:b/>
          <w:bCs/>
          <w:color w:val="000000"/>
          <w:sz w:val="24"/>
          <w:szCs w:val="24"/>
          <w:shd w:val="clear" w:color="auto" w:fill="FFFFFF"/>
        </w:rPr>
        <w:t xml:space="preserve">Our response: </w:t>
      </w:r>
      <w:r w:rsidRPr="004C00AF">
        <w:rPr>
          <w:rFonts w:ascii="Calibri" w:hAnsi="Calibri" w:cs="Calibri"/>
          <w:color w:val="000000"/>
          <w:sz w:val="24"/>
          <w:szCs w:val="24"/>
          <w:shd w:val="clear" w:color="auto" w:fill="FFFFFF"/>
        </w:rPr>
        <w:t>Thank you for your comments. There exits slight cell loss. However, this step aims to increase the proportion of neurons, which have quick adherence to coated plates</w:t>
      </w:r>
      <w:r w:rsidRPr="004C00AF">
        <w:rPr>
          <w:rFonts w:ascii="Calibri" w:hAnsi="Calibri" w:cs="Calibri"/>
          <w:color w:val="000000"/>
          <w:sz w:val="24"/>
          <w:szCs w:val="24"/>
          <w:shd w:val="clear" w:color="auto" w:fill="FFFFFF"/>
          <w:vertAlign w:val="superscript"/>
        </w:rPr>
        <w:t>1</w:t>
      </w:r>
      <w:r w:rsidRPr="004C00AF">
        <w:rPr>
          <w:rFonts w:ascii="Calibri" w:hAnsi="Calibri" w:cs="Calibri"/>
          <w:color w:val="000000"/>
          <w:sz w:val="24"/>
          <w:szCs w:val="24"/>
          <w:shd w:val="clear" w:color="auto" w:fill="FFFFFF"/>
        </w:rPr>
        <w:t>. Meanwhile, laminin and poly-D-lysine play a role in promoting attachment of cells</w:t>
      </w:r>
      <w:r w:rsidRPr="004C00AF">
        <w:rPr>
          <w:rFonts w:ascii="Calibri" w:hAnsi="Calibri" w:cs="Calibri"/>
          <w:color w:val="000000"/>
          <w:sz w:val="24"/>
          <w:szCs w:val="24"/>
          <w:shd w:val="clear" w:color="auto" w:fill="FFFFFF"/>
          <w:vertAlign w:val="superscript"/>
        </w:rPr>
        <w:t>2,3</w:t>
      </w:r>
      <w:r w:rsidRPr="004C00AF">
        <w:rPr>
          <w:rFonts w:ascii="Calibri" w:hAnsi="Calibri" w:cs="Calibri"/>
          <w:color w:val="000000"/>
          <w:sz w:val="24"/>
          <w:szCs w:val="24"/>
          <w:shd w:val="clear" w:color="auto" w:fill="FFFFFF"/>
        </w:rPr>
        <w:t>. And after preliminary experiments, we chose to replace all the media in 1 h.</w:t>
      </w:r>
      <w:r w:rsidRPr="004C00AF">
        <w:rPr>
          <w:rFonts w:ascii="Calibri" w:hAnsi="Calibri" w:cs="Calibri"/>
          <w:color w:val="000000"/>
          <w:szCs w:val="21"/>
          <w:shd w:val="clear" w:color="auto" w:fill="FFFFFF"/>
        </w:rPr>
        <w:t xml:space="preserve"> </w:t>
      </w:r>
    </w:p>
    <w:p w14:paraId="1C004A78" w14:textId="77777777" w:rsidR="00FC71AE" w:rsidRDefault="00FC71AE" w:rsidP="00FC71AE">
      <w:pPr>
        <w:rPr>
          <w:rFonts w:ascii="Verdana" w:hAnsi="Verdana"/>
          <w:color w:val="000000"/>
          <w:szCs w:val="21"/>
          <w:shd w:val="clear" w:color="auto" w:fill="FFFFFF"/>
        </w:rPr>
      </w:pPr>
    </w:p>
    <w:p w14:paraId="52358F58" w14:textId="77777777" w:rsidR="00FC71AE" w:rsidRPr="009A4474" w:rsidRDefault="00FC71AE" w:rsidP="00FC71AE">
      <w:pPr>
        <w:pStyle w:val="a7"/>
        <w:numPr>
          <w:ilvl w:val="0"/>
          <w:numId w:val="2"/>
        </w:numPr>
        <w:ind w:firstLineChars="0"/>
        <w:rPr>
          <w:rFonts w:ascii="Calibri" w:hAnsi="Calibri" w:cs="Calibri"/>
          <w:color w:val="000000" w:themeColor="text1"/>
          <w:sz w:val="20"/>
          <w:szCs w:val="20"/>
        </w:rPr>
      </w:pPr>
      <w:proofErr w:type="spellStart"/>
      <w:r w:rsidRPr="009A4474">
        <w:rPr>
          <w:rFonts w:ascii="Calibri" w:hAnsi="Calibri" w:cs="Calibri"/>
          <w:color w:val="000000" w:themeColor="text1"/>
          <w:sz w:val="20"/>
          <w:szCs w:val="20"/>
        </w:rPr>
        <w:t>Kaech</w:t>
      </w:r>
      <w:proofErr w:type="spellEnd"/>
      <w:r w:rsidRPr="009A4474">
        <w:rPr>
          <w:rFonts w:ascii="Calibri" w:hAnsi="Calibri" w:cs="Calibri"/>
          <w:color w:val="000000" w:themeColor="text1"/>
          <w:sz w:val="20"/>
          <w:szCs w:val="20"/>
        </w:rPr>
        <w:t>, Stefanie, and Gary Banker. “Culturing hippocampal neurons.” Nature protocols vol. 1,5 (2006): 2406-15.</w:t>
      </w:r>
    </w:p>
    <w:p w14:paraId="6BC9142F" w14:textId="77777777" w:rsidR="00FC71AE" w:rsidRPr="009A4474" w:rsidRDefault="00FC71AE" w:rsidP="00FC71AE">
      <w:pPr>
        <w:pStyle w:val="a7"/>
        <w:numPr>
          <w:ilvl w:val="0"/>
          <w:numId w:val="2"/>
        </w:numPr>
        <w:ind w:firstLineChars="0"/>
        <w:rPr>
          <w:rFonts w:ascii="Calibri" w:hAnsi="Calibri" w:cs="Calibri"/>
          <w:color w:val="000000" w:themeColor="text1"/>
          <w:sz w:val="20"/>
          <w:szCs w:val="20"/>
        </w:rPr>
      </w:pPr>
      <w:r w:rsidRPr="009A4474">
        <w:rPr>
          <w:rFonts w:ascii="Calibri" w:hAnsi="Calibri" w:cs="Calibri"/>
          <w:color w:val="000000" w:themeColor="text1"/>
          <w:sz w:val="20"/>
          <w:szCs w:val="20"/>
        </w:rPr>
        <w:t xml:space="preserve">Hayashi, Hideki et al. “Biological activities of laminin-111-derived peptide-chitosan matrices in a primary culture of rat cortical neurons.” Archives of biochemistry and biophysics vol. 648 (2018): 53-59. </w:t>
      </w:r>
    </w:p>
    <w:p w14:paraId="1C183A86" w14:textId="77777777" w:rsidR="00FC71AE" w:rsidRPr="009A4474" w:rsidRDefault="00FC71AE" w:rsidP="00FC71AE">
      <w:pPr>
        <w:pStyle w:val="a7"/>
        <w:numPr>
          <w:ilvl w:val="0"/>
          <w:numId w:val="2"/>
        </w:numPr>
        <w:ind w:firstLineChars="0"/>
        <w:rPr>
          <w:rFonts w:ascii="Calibri" w:hAnsi="Calibri" w:cs="Calibri"/>
          <w:color w:val="000000" w:themeColor="text1"/>
          <w:sz w:val="20"/>
          <w:szCs w:val="20"/>
        </w:rPr>
      </w:pPr>
      <w:r w:rsidRPr="009A4474">
        <w:rPr>
          <w:rFonts w:ascii="Calibri" w:hAnsi="Calibri" w:cs="Calibri"/>
          <w:color w:val="000000" w:themeColor="text1"/>
          <w:sz w:val="20"/>
          <w:szCs w:val="20"/>
        </w:rPr>
        <w:t xml:space="preserve">Kim, Yong </w:t>
      </w:r>
      <w:proofErr w:type="spellStart"/>
      <w:r w:rsidRPr="009A4474">
        <w:rPr>
          <w:rFonts w:ascii="Calibri" w:hAnsi="Calibri" w:cs="Calibri"/>
          <w:color w:val="000000" w:themeColor="text1"/>
          <w:sz w:val="20"/>
          <w:szCs w:val="20"/>
        </w:rPr>
        <w:t>Hee</w:t>
      </w:r>
      <w:proofErr w:type="spellEnd"/>
      <w:r w:rsidRPr="009A4474">
        <w:rPr>
          <w:rFonts w:ascii="Calibri" w:hAnsi="Calibri" w:cs="Calibri"/>
          <w:color w:val="000000" w:themeColor="text1"/>
          <w:sz w:val="20"/>
          <w:szCs w:val="20"/>
        </w:rPr>
        <w:t xml:space="preserve"> et al. “Enhancement of neuronal cell adhesion by covalent binding of poly-D-lysine.” Journal of neuroscience methods vol. 202,1 (2011): 38-44. </w:t>
      </w:r>
    </w:p>
    <w:p w14:paraId="6889EC70" w14:textId="77777777" w:rsidR="00FC71AE" w:rsidRPr="004C00AF" w:rsidRDefault="00FC71AE" w:rsidP="00FC71AE">
      <w:pPr>
        <w:rPr>
          <w:rFonts w:ascii="Calibri" w:hAnsi="Calibri" w:cs="Calibri"/>
          <w:i/>
          <w:iCs/>
          <w:color w:val="000000" w:themeColor="text1"/>
          <w:sz w:val="24"/>
          <w:szCs w:val="28"/>
        </w:rPr>
      </w:pPr>
      <w:r w:rsidRPr="009A4474">
        <w:rPr>
          <w:rFonts w:ascii="Verdana" w:hAnsi="Verdana"/>
          <w:color w:val="000000"/>
          <w:szCs w:val="21"/>
        </w:rPr>
        <w:br/>
      </w:r>
      <w:r w:rsidRPr="004C00AF">
        <w:rPr>
          <w:rFonts w:ascii="Calibri" w:hAnsi="Calibri" w:cs="Calibri"/>
          <w:i/>
          <w:iCs/>
          <w:color w:val="000000" w:themeColor="text1"/>
          <w:sz w:val="24"/>
          <w:szCs w:val="28"/>
        </w:rPr>
        <w:t xml:space="preserve">Also, how did authors </w:t>
      </w:r>
      <w:bookmarkStart w:id="8" w:name="_Hlk36297247"/>
      <w:r w:rsidRPr="004C00AF">
        <w:rPr>
          <w:rFonts w:ascii="Calibri" w:hAnsi="Calibri" w:cs="Calibri"/>
          <w:i/>
          <w:iCs/>
          <w:color w:val="000000" w:themeColor="text1"/>
          <w:sz w:val="24"/>
          <w:szCs w:val="28"/>
        </w:rPr>
        <w:t>prevent non-neuronal cell growth</w:t>
      </w:r>
      <w:bookmarkEnd w:id="8"/>
      <w:r w:rsidRPr="004C00AF">
        <w:rPr>
          <w:rFonts w:ascii="Calibri" w:hAnsi="Calibri" w:cs="Calibri"/>
          <w:i/>
          <w:iCs/>
          <w:color w:val="000000" w:themeColor="text1"/>
          <w:sz w:val="24"/>
          <w:szCs w:val="28"/>
        </w:rPr>
        <w:t>? After 5-7 days of culture, if not "blocked", non-neuronal cell will cover all the slides/dishes. However, when observing the figures, the cells seem to be quite isolated.</w:t>
      </w:r>
    </w:p>
    <w:p w14:paraId="0E4062A7" w14:textId="77777777" w:rsidR="00FC71AE" w:rsidRDefault="00FC71AE" w:rsidP="00FC71AE">
      <w:pPr>
        <w:rPr>
          <w:rFonts w:ascii="Verdana" w:hAnsi="Verdana"/>
          <w:color w:val="000000"/>
          <w:szCs w:val="21"/>
          <w:shd w:val="clear" w:color="auto" w:fill="FFFFFF"/>
        </w:rPr>
      </w:pPr>
    </w:p>
    <w:p w14:paraId="57154B9A" w14:textId="77777777" w:rsidR="00FC71AE" w:rsidRPr="004C00AF" w:rsidRDefault="00FC71AE" w:rsidP="00FC71AE">
      <w:pPr>
        <w:rPr>
          <w:rFonts w:ascii="Calibri" w:hAnsi="Calibri" w:cs="Calibri"/>
          <w:color w:val="000000"/>
          <w:sz w:val="24"/>
          <w:szCs w:val="24"/>
          <w:shd w:val="clear" w:color="auto" w:fill="FFFFFF"/>
        </w:rPr>
      </w:pPr>
      <w:r w:rsidRPr="004C00AF">
        <w:rPr>
          <w:rFonts w:ascii="Calibri" w:hAnsi="Calibri" w:cs="Calibri"/>
          <w:b/>
          <w:bCs/>
          <w:color w:val="000000"/>
          <w:sz w:val="24"/>
          <w:szCs w:val="24"/>
          <w:shd w:val="clear" w:color="auto" w:fill="FFFFFF"/>
        </w:rPr>
        <w:t xml:space="preserve">Our response: </w:t>
      </w:r>
      <w:r w:rsidRPr="004C00AF">
        <w:rPr>
          <w:rFonts w:ascii="Calibri" w:hAnsi="Calibri" w:cs="Calibri"/>
          <w:color w:val="000000"/>
          <w:sz w:val="24"/>
          <w:szCs w:val="24"/>
          <w:shd w:val="clear" w:color="auto" w:fill="FFFFFF"/>
        </w:rPr>
        <w:t xml:space="preserve">Thank you for your comments. To prevent non-neuronal cell growth, we use neurobasal A media with serum-free culturing and </w:t>
      </w:r>
      <w:r>
        <w:rPr>
          <w:rFonts w:ascii="Calibri" w:hAnsi="Calibri" w:cs="Calibri"/>
          <w:color w:val="000000"/>
          <w:sz w:val="24"/>
          <w:szCs w:val="24"/>
          <w:shd w:val="clear" w:color="auto" w:fill="FFFFFF"/>
        </w:rPr>
        <w:t>G</w:t>
      </w:r>
      <w:r w:rsidRPr="004C00AF">
        <w:rPr>
          <w:rFonts w:ascii="Calibri" w:hAnsi="Calibri" w:cs="Calibri"/>
          <w:color w:val="000000"/>
          <w:sz w:val="24"/>
          <w:szCs w:val="24"/>
          <w:shd w:val="clear" w:color="auto" w:fill="FFFFFF"/>
        </w:rPr>
        <w:t>DNF, B27 as supplement in reference to former studies. Serum stimulates cell division and leads to limited neuron-growing space</w:t>
      </w:r>
      <w:r w:rsidRPr="004C00AF">
        <w:rPr>
          <w:rFonts w:ascii="Calibri" w:hAnsi="Calibri" w:cs="Calibri"/>
          <w:color w:val="000000"/>
          <w:sz w:val="24"/>
          <w:szCs w:val="24"/>
          <w:shd w:val="clear" w:color="auto" w:fill="FFFFFF"/>
          <w:vertAlign w:val="superscript"/>
        </w:rPr>
        <w:t>1</w:t>
      </w:r>
      <w:r w:rsidRPr="004C00AF">
        <w:rPr>
          <w:rFonts w:ascii="Calibri" w:hAnsi="Calibri" w:cs="Calibri"/>
          <w:color w:val="000000"/>
          <w:sz w:val="24"/>
          <w:szCs w:val="24"/>
          <w:shd w:val="clear" w:color="auto" w:fill="FFFFFF"/>
        </w:rPr>
        <w:t>. Therefore, we replace all the media with serum-free media in 1 h when most neurons have attached. Neurobasal A media are widely used in neuron culture and allows for long-term maintenance of the normal phenotype and growth of neuronal cells</w:t>
      </w:r>
      <w:r w:rsidRPr="004C00AF">
        <w:rPr>
          <w:rFonts w:ascii="Calibri" w:hAnsi="Calibri" w:cs="Calibri"/>
          <w:color w:val="000000"/>
          <w:sz w:val="24"/>
          <w:szCs w:val="24"/>
          <w:shd w:val="clear" w:color="auto" w:fill="FFFFFF"/>
          <w:vertAlign w:val="superscript"/>
        </w:rPr>
        <w:t>2</w:t>
      </w:r>
      <w:r w:rsidRPr="004C00AF">
        <w:rPr>
          <w:rFonts w:ascii="Calibri" w:hAnsi="Calibri" w:cs="Calibri"/>
          <w:color w:val="000000"/>
          <w:sz w:val="24"/>
          <w:szCs w:val="24"/>
          <w:shd w:val="clear" w:color="auto" w:fill="FFFFFF"/>
        </w:rPr>
        <w:t xml:space="preserve">. And </w:t>
      </w:r>
      <w:r>
        <w:rPr>
          <w:rFonts w:ascii="Calibri" w:hAnsi="Calibri" w:cs="Calibri"/>
          <w:color w:val="000000"/>
          <w:sz w:val="24"/>
          <w:szCs w:val="24"/>
          <w:shd w:val="clear" w:color="auto" w:fill="FFFFFF"/>
        </w:rPr>
        <w:t>G</w:t>
      </w:r>
      <w:r w:rsidRPr="004C00AF">
        <w:rPr>
          <w:rFonts w:ascii="Calibri" w:hAnsi="Calibri" w:cs="Calibri"/>
          <w:color w:val="000000"/>
          <w:sz w:val="24"/>
          <w:szCs w:val="24"/>
          <w:shd w:val="clear" w:color="auto" w:fill="FFFFFF"/>
        </w:rPr>
        <w:t>DNF could significantly enhance dendritic arborization</w:t>
      </w:r>
      <w:r w:rsidRPr="004C00AF">
        <w:rPr>
          <w:rFonts w:ascii="Calibri" w:hAnsi="Calibri" w:cs="Calibri"/>
          <w:color w:val="000000"/>
          <w:sz w:val="24"/>
          <w:szCs w:val="24"/>
          <w:shd w:val="clear" w:color="auto" w:fill="FFFFFF"/>
          <w:vertAlign w:val="superscript"/>
        </w:rPr>
        <w:t>3</w:t>
      </w:r>
      <w:r w:rsidRPr="004C00AF">
        <w:rPr>
          <w:rFonts w:ascii="Calibri" w:hAnsi="Calibri" w:cs="Calibri"/>
          <w:color w:val="000000"/>
          <w:sz w:val="24"/>
          <w:szCs w:val="24"/>
          <w:shd w:val="clear" w:color="auto" w:fill="FFFFFF"/>
        </w:rPr>
        <w:t>. Moreover, B27 is an optimized serum-free supplement used to support the low- or high-density growth and short- or long-term viability of neurons</w:t>
      </w:r>
      <w:r w:rsidRPr="004C00AF">
        <w:rPr>
          <w:rFonts w:ascii="Calibri" w:hAnsi="Calibri" w:cs="Calibri"/>
          <w:color w:val="000000"/>
          <w:sz w:val="24"/>
          <w:szCs w:val="24"/>
          <w:shd w:val="clear" w:color="auto" w:fill="FFFFFF"/>
          <w:vertAlign w:val="superscript"/>
        </w:rPr>
        <w:t>4</w:t>
      </w:r>
      <w:r w:rsidRPr="004C00AF">
        <w:rPr>
          <w:rFonts w:ascii="Calibri" w:hAnsi="Calibri" w:cs="Calibri"/>
          <w:color w:val="000000"/>
          <w:sz w:val="24"/>
          <w:szCs w:val="24"/>
          <w:shd w:val="clear" w:color="auto" w:fill="FFFFFF"/>
        </w:rPr>
        <w:t xml:space="preserve">. </w:t>
      </w:r>
    </w:p>
    <w:p w14:paraId="67022FDB" w14:textId="77777777" w:rsidR="00FC71AE" w:rsidRPr="004C00AF" w:rsidRDefault="00FC71AE" w:rsidP="00FC71AE">
      <w:pPr>
        <w:rPr>
          <w:rFonts w:ascii="Calibri" w:hAnsi="Calibri" w:cs="Calibri"/>
          <w:color w:val="000000"/>
          <w:sz w:val="24"/>
          <w:szCs w:val="24"/>
          <w:shd w:val="clear" w:color="auto" w:fill="FFFFFF"/>
        </w:rPr>
      </w:pPr>
    </w:p>
    <w:p w14:paraId="59F2C763" w14:textId="77777777" w:rsidR="00FC71AE" w:rsidRPr="00FE3732" w:rsidRDefault="00FC71AE" w:rsidP="00FC71AE">
      <w:pPr>
        <w:pStyle w:val="a7"/>
        <w:numPr>
          <w:ilvl w:val="0"/>
          <w:numId w:val="3"/>
        </w:numPr>
        <w:ind w:firstLineChars="0"/>
        <w:rPr>
          <w:rFonts w:ascii="Calibri" w:hAnsi="Calibri" w:cs="Calibri"/>
          <w:color w:val="000000" w:themeColor="text1"/>
          <w:sz w:val="20"/>
          <w:szCs w:val="20"/>
        </w:rPr>
      </w:pPr>
      <w:proofErr w:type="spellStart"/>
      <w:r w:rsidRPr="00FE3732">
        <w:rPr>
          <w:rFonts w:ascii="Calibri" w:hAnsi="Calibri" w:cs="Calibri"/>
          <w:color w:val="000000" w:themeColor="text1"/>
          <w:sz w:val="20"/>
          <w:szCs w:val="20"/>
        </w:rPr>
        <w:t>Kivell</w:t>
      </w:r>
      <w:proofErr w:type="spellEnd"/>
      <w:r w:rsidRPr="00FE3732">
        <w:rPr>
          <w:rFonts w:ascii="Calibri" w:hAnsi="Calibri" w:cs="Calibri"/>
          <w:color w:val="000000" w:themeColor="text1"/>
          <w:sz w:val="20"/>
          <w:szCs w:val="20"/>
        </w:rPr>
        <w:t>, B M et al. “Serum-free culture of rat post-natal and fetal brainstem neurons.” Brain research. Developmental brain research vol. 120,2 (2000): 199-210.</w:t>
      </w:r>
    </w:p>
    <w:p w14:paraId="51D81135" w14:textId="77777777" w:rsidR="00FC71AE" w:rsidRDefault="00FC71AE" w:rsidP="00FC71AE">
      <w:pPr>
        <w:pStyle w:val="a7"/>
        <w:numPr>
          <w:ilvl w:val="0"/>
          <w:numId w:val="3"/>
        </w:numPr>
        <w:ind w:firstLineChars="0"/>
        <w:rPr>
          <w:rFonts w:ascii="Calibri" w:hAnsi="Calibri" w:cs="Calibri"/>
          <w:color w:val="000000" w:themeColor="text1"/>
          <w:sz w:val="20"/>
          <w:szCs w:val="20"/>
        </w:rPr>
      </w:pPr>
      <w:r w:rsidRPr="00FE3732">
        <w:rPr>
          <w:rFonts w:ascii="Calibri" w:hAnsi="Calibri" w:cs="Calibri"/>
          <w:color w:val="000000" w:themeColor="text1"/>
          <w:sz w:val="20"/>
          <w:szCs w:val="20"/>
        </w:rPr>
        <w:t>Gustafsson, Julie Ry et al. “Neurobasal media facilitates increased specificity of siRNA-mediated knockdown in primary cerebellar cultures.” Journal of neuroscience methods vol. 274 (2016): 116-124.</w:t>
      </w:r>
    </w:p>
    <w:p w14:paraId="6918FBD6" w14:textId="77777777" w:rsidR="00FC71AE" w:rsidRPr="00FE3732" w:rsidRDefault="00FC71AE" w:rsidP="00FC71AE">
      <w:pPr>
        <w:pStyle w:val="a7"/>
        <w:numPr>
          <w:ilvl w:val="0"/>
          <w:numId w:val="3"/>
        </w:numPr>
        <w:ind w:firstLineChars="0"/>
        <w:rPr>
          <w:rFonts w:ascii="Calibri" w:hAnsi="Calibri" w:cs="Calibri"/>
          <w:color w:val="000000" w:themeColor="text1"/>
          <w:sz w:val="20"/>
          <w:szCs w:val="20"/>
        </w:rPr>
      </w:pPr>
      <w:proofErr w:type="spellStart"/>
      <w:r w:rsidRPr="009B50EF">
        <w:rPr>
          <w:rFonts w:ascii="Calibri" w:hAnsi="Calibri" w:cs="Calibri"/>
          <w:color w:val="000000" w:themeColor="text1"/>
          <w:sz w:val="20"/>
          <w:szCs w:val="20"/>
        </w:rPr>
        <w:t>Politi</w:t>
      </w:r>
      <w:proofErr w:type="spellEnd"/>
      <w:r w:rsidRPr="009B50EF">
        <w:rPr>
          <w:rFonts w:ascii="Calibri" w:hAnsi="Calibri" w:cs="Calibri"/>
          <w:color w:val="000000" w:themeColor="text1"/>
          <w:sz w:val="20"/>
          <w:szCs w:val="20"/>
        </w:rPr>
        <w:t>, L E et al. “Effect of GDNF on neuroblast proliferation and photoreceptor survival: additive protection with docosahexaenoic acid.” Investigative ophthalmology &amp; visual science vol. 42,12 (2001): 3008-15.</w:t>
      </w:r>
    </w:p>
    <w:p w14:paraId="21E4A8E6" w14:textId="2E845082" w:rsidR="000E3493" w:rsidRPr="00660FC0" w:rsidRDefault="00FC71AE" w:rsidP="00660FC0">
      <w:pPr>
        <w:pStyle w:val="a7"/>
        <w:numPr>
          <w:ilvl w:val="0"/>
          <w:numId w:val="3"/>
        </w:numPr>
        <w:ind w:firstLineChars="0"/>
        <w:rPr>
          <w:rFonts w:ascii="Calibri" w:hAnsi="Calibri" w:cs="Calibri" w:hint="eastAsia"/>
          <w:color w:val="000000" w:themeColor="text1"/>
          <w:sz w:val="20"/>
          <w:szCs w:val="20"/>
        </w:rPr>
      </w:pPr>
      <w:proofErr w:type="spellStart"/>
      <w:r w:rsidRPr="00FE3732">
        <w:rPr>
          <w:rFonts w:ascii="Calibri" w:hAnsi="Calibri" w:cs="Calibri"/>
          <w:color w:val="000000" w:themeColor="text1"/>
          <w:sz w:val="20"/>
          <w:szCs w:val="20"/>
        </w:rPr>
        <w:t>Majd</w:t>
      </w:r>
      <w:proofErr w:type="spellEnd"/>
      <w:r w:rsidRPr="00FE3732">
        <w:rPr>
          <w:rFonts w:ascii="Calibri" w:hAnsi="Calibri" w:cs="Calibri"/>
          <w:color w:val="000000" w:themeColor="text1"/>
          <w:sz w:val="20"/>
          <w:szCs w:val="20"/>
        </w:rPr>
        <w:t xml:space="preserve">, </w:t>
      </w:r>
      <w:proofErr w:type="spellStart"/>
      <w:r w:rsidRPr="00FE3732">
        <w:rPr>
          <w:rFonts w:ascii="Calibri" w:hAnsi="Calibri" w:cs="Calibri"/>
          <w:color w:val="000000" w:themeColor="text1"/>
          <w:sz w:val="20"/>
          <w:szCs w:val="20"/>
        </w:rPr>
        <w:t>Shohreh</w:t>
      </w:r>
      <w:proofErr w:type="spellEnd"/>
      <w:r w:rsidRPr="00FE3732">
        <w:rPr>
          <w:rFonts w:ascii="Calibri" w:hAnsi="Calibri" w:cs="Calibri"/>
          <w:color w:val="000000" w:themeColor="text1"/>
          <w:sz w:val="20"/>
          <w:szCs w:val="20"/>
        </w:rPr>
        <w:t xml:space="preserve"> et al. “Culturing adult rat hippocampal neurons with long-interval changing media.” Iranian biomedical journal vol. 12,2 (2008): 101-7.</w:t>
      </w:r>
      <w:bookmarkStart w:id="9" w:name="_GoBack"/>
      <w:bookmarkEnd w:id="9"/>
    </w:p>
    <w:sectPr w:rsidR="000E3493" w:rsidRPr="00660F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113C2" w14:textId="77777777" w:rsidR="00117F70" w:rsidRDefault="00117F70" w:rsidP="00FC71AE">
      <w:r>
        <w:separator/>
      </w:r>
    </w:p>
  </w:endnote>
  <w:endnote w:type="continuationSeparator" w:id="0">
    <w:p w14:paraId="7B160CEC" w14:textId="77777777" w:rsidR="00117F70" w:rsidRDefault="00117F70" w:rsidP="00FC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B7C36" w14:textId="77777777" w:rsidR="00117F70" w:rsidRDefault="00117F70" w:rsidP="00FC71AE">
      <w:r>
        <w:separator/>
      </w:r>
    </w:p>
  </w:footnote>
  <w:footnote w:type="continuationSeparator" w:id="0">
    <w:p w14:paraId="734870CF" w14:textId="77777777" w:rsidR="00117F70" w:rsidRDefault="00117F70" w:rsidP="00FC7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4539"/>
    <w:multiLevelType w:val="hybridMultilevel"/>
    <w:tmpl w:val="87EE53FE"/>
    <w:lvl w:ilvl="0" w:tplc="E222E12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50C4274"/>
    <w:multiLevelType w:val="hybridMultilevel"/>
    <w:tmpl w:val="87EE53FE"/>
    <w:lvl w:ilvl="0" w:tplc="E222E12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A8427C7"/>
    <w:multiLevelType w:val="hybridMultilevel"/>
    <w:tmpl w:val="87EE53FE"/>
    <w:lvl w:ilvl="0" w:tplc="E222E12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3E"/>
    <w:rsid w:val="000E3493"/>
    <w:rsid w:val="00117F70"/>
    <w:rsid w:val="002C69A4"/>
    <w:rsid w:val="002F443E"/>
    <w:rsid w:val="00660FC0"/>
    <w:rsid w:val="00A8413C"/>
    <w:rsid w:val="00FC7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66E87"/>
  <w15:chartTrackingRefBased/>
  <w15:docId w15:val="{9C007E6C-FC0B-4DD4-9C99-884F0EE7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1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1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71AE"/>
    <w:rPr>
      <w:sz w:val="18"/>
      <w:szCs w:val="18"/>
    </w:rPr>
  </w:style>
  <w:style w:type="paragraph" w:styleId="a5">
    <w:name w:val="footer"/>
    <w:basedOn w:val="a"/>
    <w:link w:val="a6"/>
    <w:uiPriority w:val="99"/>
    <w:unhideWhenUsed/>
    <w:rsid w:val="00FC71AE"/>
    <w:pPr>
      <w:tabs>
        <w:tab w:val="center" w:pos="4153"/>
        <w:tab w:val="right" w:pos="8306"/>
      </w:tabs>
      <w:snapToGrid w:val="0"/>
      <w:jc w:val="left"/>
    </w:pPr>
    <w:rPr>
      <w:sz w:val="18"/>
      <w:szCs w:val="18"/>
    </w:rPr>
  </w:style>
  <w:style w:type="character" w:customStyle="1" w:styleId="a6">
    <w:name w:val="页脚 字符"/>
    <w:basedOn w:val="a0"/>
    <w:link w:val="a5"/>
    <w:uiPriority w:val="99"/>
    <w:rsid w:val="00FC71AE"/>
    <w:rPr>
      <w:sz w:val="18"/>
      <w:szCs w:val="18"/>
    </w:rPr>
  </w:style>
  <w:style w:type="paragraph" w:styleId="a7">
    <w:name w:val="List Paragraph"/>
    <w:basedOn w:val="a"/>
    <w:link w:val="a8"/>
    <w:uiPriority w:val="34"/>
    <w:qFormat/>
    <w:rsid w:val="00FC71AE"/>
    <w:pPr>
      <w:ind w:firstLineChars="200" w:firstLine="420"/>
    </w:pPr>
  </w:style>
  <w:style w:type="character" w:customStyle="1" w:styleId="a8">
    <w:name w:val="列表段落 字符"/>
    <w:basedOn w:val="a0"/>
    <w:link w:val="a7"/>
    <w:uiPriority w:val="34"/>
    <w:rsid w:val="00FC7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25839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889</Words>
  <Characters>5072</Characters>
  <Application>Microsoft Office Word</Application>
  <DocSecurity>0</DocSecurity>
  <Lines>42</Lines>
  <Paragraphs>11</Paragraphs>
  <ScaleCrop>false</ScaleCrop>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2782852984@qq.com</dc:creator>
  <cp:keywords/>
  <dc:description/>
  <cp:lastModifiedBy>2782852984@qq.com</cp:lastModifiedBy>
  <cp:revision>4</cp:revision>
  <dcterms:created xsi:type="dcterms:W3CDTF">2020-04-07T14:36:00Z</dcterms:created>
  <dcterms:modified xsi:type="dcterms:W3CDTF">2020-04-07T14:37:00Z</dcterms:modified>
</cp:coreProperties>
</file>