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ABD77" w14:textId="6088EBFA" w:rsidR="00650E79" w:rsidRPr="00650E79" w:rsidRDefault="00650E79" w:rsidP="00650E79">
      <w:pPr>
        <w:pStyle w:val="NormalWeb"/>
      </w:pPr>
      <w:r>
        <w:t>February</w:t>
      </w:r>
      <w:r w:rsidRPr="00650E79">
        <w:t xml:space="preserve"> </w:t>
      </w:r>
      <w:r>
        <w:t>20</w:t>
      </w:r>
      <w:r w:rsidRPr="00650E79">
        <w:t>, 20</w:t>
      </w:r>
      <w:r>
        <w:t>20</w:t>
      </w:r>
    </w:p>
    <w:p w14:paraId="0DB96371" w14:textId="12D6EFA4" w:rsidR="00650E79" w:rsidRPr="00650E79" w:rsidRDefault="00650E79" w:rsidP="00650E79">
      <w:pPr>
        <w:pStyle w:val="NormalWeb"/>
      </w:pPr>
      <w:r w:rsidRPr="00650E79">
        <w:t xml:space="preserve">RE: </w:t>
      </w:r>
      <w:r w:rsidRPr="00650E79">
        <w:t>JoVE61162</w:t>
      </w:r>
    </w:p>
    <w:p w14:paraId="5EEF66AF" w14:textId="6C7BC16B" w:rsidR="00650E79" w:rsidRPr="00650E79" w:rsidRDefault="00650E79" w:rsidP="00650E79">
      <w:pPr>
        <w:pStyle w:val="NormalWeb"/>
      </w:pPr>
      <w:r>
        <w:t xml:space="preserve">Dear Dr. </w:t>
      </w:r>
      <w:r w:rsidRPr="00650E79">
        <w:t xml:space="preserve">Phillip </w:t>
      </w:r>
      <w:proofErr w:type="spellStart"/>
      <w:r w:rsidRPr="00650E79">
        <w:t>Steindel</w:t>
      </w:r>
      <w:proofErr w:type="spellEnd"/>
      <w:r w:rsidRPr="00650E79">
        <w:t>,</w:t>
      </w:r>
    </w:p>
    <w:p w14:paraId="6265167B" w14:textId="06EFD1D8" w:rsidR="00650E79" w:rsidRPr="00650E79" w:rsidRDefault="00650E79" w:rsidP="00D476BC">
      <w:pPr>
        <w:pStyle w:val="NormalWeb"/>
        <w:rPr>
          <w:rStyle w:val="Strong"/>
          <w:b w:val="0"/>
          <w:bCs w:val="0"/>
        </w:rPr>
      </w:pPr>
      <w:r w:rsidRPr="00650E79">
        <w:t xml:space="preserve">Thank you for the opportunity to respond to the remaining concerns of the reviewers. We have made substantial modifications to the manuscript, with addition of new data, and detail below (in blue) our response to the comments made by the </w:t>
      </w:r>
      <w:r>
        <w:t xml:space="preserve">editor and the </w:t>
      </w:r>
      <w:r w:rsidRPr="00650E79">
        <w:t>reviewers:</w:t>
      </w:r>
    </w:p>
    <w:p w14:paraId="4C2C6D27" w14:textId="1F74E43F" w:rsidR="00C67ED4" w:rsidRDefault="00232751" w:rsidP="00D476BC">
      <w:pPr>
        <w:pStyle w:val="NormalWeb"/>
      </w:pPr>
      <w:r>
        <w:rPr>
          <w:rStyle w:val="Strong"/>
        </w:rPr>
        <w:t>Editorial comments:</w:t>
      </w:r>
      <w:r>
        <w:br/>
        <w:t>General:</w:t>
      </w:r>
      <w:r>
        <w:br/>
        <w:t>1. Please take this opportunity to thoroughly proofread the manuscript to ensure that there are no spelling or grammar issues.</w:t>
      </w:r>
      <w:r>
        <w:br/>
        <w:t xml:space="preserve">2. Please ensure that the manuscript is formatted according to </w:t>
      </w:r>
      <w:proofErr w:type="spellStart"/>
      <w:r>
        <w:t>JoVE</w:t>
      </w:r>
      <w:proofErr w:type="spellEnd"/>
      <w:r>
        <w:t xml:space="preserve"> guidelines–letter (8.5” x 11”) page size, 1-inch margins, 12 </w:t>
      </w:r>
      <w:proofErr w:type="spellStart"/>
      <w:r>
        <w:t>pt</w:t>
      </w:r>
      <w:proofErr w:type="spellEnd"/>
      <w:r>
        <w:t xml:space="preserve"> Calibri font throughout, all text aligned to the left margin, single spacing within paragraphs, and spaces between all paragraphs and protocol steps/</w:t>
      </w:r>
      <w:proofErr w:type="spellStart"/>
      <w:r>
        <w:t>substeps</w:t>
      </w:r>
      <w:proofErr w:type="spellEnd"/>
      <w:r>
        <w:t>.</w:t>
      </w:r>
      <w:r>
        <w:br/>
        <w:t>3. Please provide at least 6 key words or phrases.</w:t>
      </w:r>
      <w:r>
        <w:br/>
        <w:t xml:space="preserve">4. </w:t>
      </w:r>
      <w:proofErr w:type="spellStart"/>
      <w:r>
        <w:t>JoVE</w:t>
      </w:r>
      <w:proofErr w:type="spellEnd"/>
      <w: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br/>
        <w:t>For example: Matrigel</w:t>
      </w:r>
      <w:r>
        <w:br/>
      </w:r>
      <w:r>
        <w:br/>
        <w:t>Protocol:</w:t>
      </w:r>
      <w:r>
        <w:br/>
        <w:t>1. Please split up longer Protocol steps into smaller steps/</w:t>
      </w:r>
      <w:proofErr w:type="spellStart"/>
      <w:r>
        <w:t>substeps</w:t>
      </w:r>
      <w:proofErr w:type="spellEnd"/>
      <w:r>
        <w:t>; individual steps should contain only 2–3 actions and a maximum of 4 sentences.</w:t>
      </w:r>
      <w:r>
        <w:br/>
        <w:t>2. For each protocol step/</w:t>
      </w:r>
      <w:proofErr w:type="spellStart"/>
      <w:r>
        <w:t>substep</w:t>
      </w:r>
      <w:proofErr w:type="spellEnd"/>
      <w: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t>substeps</w:t>
      </w:r>
      <w:proofErr w:type="spellEnd"/>
      <w:r>
        <w:t>.</w:t>
      </w:r>
      <w:r>
        <w:br/>
      </w:r>
      <w:r>
        <w:br/>
        <w:t>Specific Protocol steps:</w:t>
      </w:r>
      <w:r>
        <w:br/>
        <w:t>1. 1.a: How are mice irradiated?</w:t>
      </w:r>
      <w:r>
        <w:br/>
      </w:r>
      <w:r>
        <w:br/>
        <w:t>Figures:</w:t>
      </w:r>
      <w:r>
        <w:br/>
        <w:t>1. If necessary,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br/>
      </w:r>
      <w:r>
        <w:br/>
        <w:t>References:</w:t>
      </w:r>
      <w:r>
        <w:br/>
        <w:t>1. Please do not abbreviate journal titles.</w:t>
      </w:r>
      <w:r>
        <w:br/>
      </w:r>
      <w:r>
        <w:br/>
        <w:t>Table of Materials:</w:t>
      </w:r>
      <w:r>
        <w:br/>
        <w:t>1. Please ensure the Table of Materials has information on all materials and equipment used, especially those mentioned in the Protocol.</w:t>
      </w:r>
      <w:r>
        <w:br/>
      </w:r>
      <w:r>
        <w:lastRenderedPageBreak/>
        <w:br/>
      </w:r>
      <w:r>
        <w:br/>
      </w:r>
      <w:r>
        <w:rPr>
          <w:rStyle w:val="Strong"/>
        </w:rPr>
        <w:t>Reviewers' comments:</w:t>
      </w:r>
      <w:r>
        <w:br/>
      </w:r>
      <w:r>
        <w:rPr>
          <w:b/>
          <w:bCs/>
        </w:rPr>
        <w:t>Reviewer #1:</w:t>
      </w:r>
      <w:r>
        <w:br/>
        <w:t>Manuscript Summary:</w:t>
      </w:r>
      <w:r>
        <w:br/>
        <w:t>For in vivo tracking of individual skeletal stem/progenitor cells, this is a very well conducted, impressive technique. The manuscript contains lots of robust, clear and convincing protocols. Manuscript is well written and I only have a few comments to improve this submission.</w:t>
      </w:r>
      <w:r>
        <w:br/>
      </w:r>
      <w:r>
        <w:br/>
        <w:t>Minor Concerns:</w:t>
      </w:r>
      <w:r>
        <w:br/>
        <w:t>In my understanding, Fig. 2D showed images one hour before and after CCL5 administration at the injury site and the first and last photos in Fig. 2E showed matched photos for 0:00 and 1:00 dashed box of Fig. 2D. However, both images in Fig. 2D look quite similar. The authors need to make sure that these images pointed before and after CCL5 administration.</w:t>
      </w:r>
    </w:p>
    <w:p w14:paraId="65AE1128" w14:textId="61D50AEA" w:rsidR="00D476BC" w:rsidRDefault="00C67ED4" w:rsidP="00D476BC">
      <w:pPr>
        <w:pStyle w:val="NormalWeb"/>
        <w:rPr>
          <w:color w:val="4472C4" w:themeColor="accent1"/>
        </w:rPr>
      </w:pPr>
      <w:r w:rsidRPr="00C1116E">
        <w:rPr>
          <w:color w:val="0070C0"/>
        </w:rPr>
        <w:t>We appreciated the reviewers comment and have replace the 1:00 after CCL5 administration image in figure 2D with the appropriate corresponding image in 2E.</w:t>
      </w:r>
      <w:r w:rsidR="00232751">
        <w:br/>
      </w:r>
      <w:r w:rsidR="00232751">
        <w:br/>
      </w:r>
      <w:r w:rsidR="00232751">
        <w:rPr>
          <w:b/>
          <w:bCs/>
        </w:rPr>
        <w:t>Reviewer #2:</w:t>
      </w:r>
      <w:r w:rsidR="00232751">
        <w:br/>
        <w:t>Manuscript Summary:</w:t>
      </w:r>
      <w:r w:rsidR="00232751">
        <w:br/>
        <w:t>This is a nice piece of story to highlight a cutting edge technique for intravital bone imaging. Needless to say, live imaging is by far informative than snap shots, but doing so in bone is quite hustle by several reasons. The authors are pioneers of this imaging technique and they describe this technique step-by-step in this manuscript. They also show a new piece of information that skeletal stem cells migrate towards an injury site in vivo using this imaging technique.</w:t>
      </w:r>
      <w:r w:rsidR="00232751">
        <w:br/>
      </w:r>
      <w:r w:rsidR="00232751">
        <w:br/>
        <w:t>Major Concerns:</w:t>
      </w:r>
      <w:r w:rsidR="00232751">
        <w:br/>
        <w:t>None</w:t>
      </w:r>
      <w:r w:rsidR="00232751">
        <w:br/>
      </w:r>
      <w:r w:rsidR="00232751">
        <w:br/>
        <w:t>Minor Concerns:</w:t>
      </w:r>
      <w:r w:rsidR="00232751">
        <w:br/>
        <w:t>There are a couple of suggestions for clarification for readers who may not be familiar with specifics in apparatus and/or tissues used in this manuscript.</w:t>
      </w:r>
      <w:r w:rsidR="00232751">
        <w:br/>
      </w:r>
      <w:r w:rsidR="00232751">
        <w:br/>
        <w:t xml:space="preserve">Page 2, line 95, what is the reason of sublethal irradiation followed by bone marrow transfer? Since the host mice are already double labeled by Mx1/Tomato and </w:t>
      </w:r>
      <w:proofErr w:type="spellStart"/>
      <w:r w:rsidR="00232751">
        <w:t>aSMA</w:t>
      </w:r>
      <w:proofErr w:type="spellEnd"/>
      <w:r w:rsidR="00232751">
        <w:t>-GFP for imaging purpose, it is difficult to understand the necessity of this procedure without explanations.</w:t>
      </w:r>
    </w:p>
    <w:p w14:paraId="00E4BD77" w14:textId="58C9AAB1" w:rsidR="00D476BC" w:rsidRPr="00C1116E" w:rsidRDefault="005E39E7" w:rsidP="00D476BC">
      <w:pPr>
        <w:pStyle w:val="NormalWeb"/>
        <w:rPr>
          <w:color w:val="0070C0"/>
        </w:rPr>
      </w:pPr>
      <w:r>
        <w:rPr>
          <w:color w:val="0070C0"/>
        </w:rPr>
        <w:t xml:space="preserve">Although P-SSCs can be selectively labeled by Mx1/Tomato and </w:t>
      </w:r>
      <w:proofErr w:type="spellStart"/>
      <w:r>
        <w:rPr>
          <w:color w:val="0070C0"/>
        </w:rPr>
        <w:t>aSMA</w:t>
      </w:r>
      <w:proofErr w:type="spellEnd"/>
      <w:r>
        <w:rPr>
          <w:color w:val="0070C0"/>
        </w:rPr>
        <w:t xml:space="preserve">-GFP combination (yellow), Mx1 also labels most of hematopoietic immune cells (red). The Mx1-labeled immune cells may respond to bone injury and may limit clear imaging of P-SSC migration. Therefore, to eliminate </w:t>
      </w:r>
      <w:r>
        <w:rPr>
          <w:rFonts w:asciiTheme="minorHAnsi" w:hAnsiTheme="minorHAnsi" w:cstheme="minorHAnsi"/>
          <w:color w:val="000000" w:themeColor="text1"/>
        </w:rPr>
        <w:t xml:space="preserve">endogenously Mx1-labeled hematopoietic cells and to image real-time PSSC migration, irradiation and WT-BMT of </w:t>
      </w:r>
      <w:r w:rsidRPr="00C1116E">
        <w:rPr>
          <w:color w:val="0070C0"/>
        </w:rPr>
        <w:t>Mx1/tom/</w:t>
      </w:r>
      <w:proofErr w:type="spellStart"/>
      <w:r w:rsidRPr="00C1116E">
        <w:rPr>
          <w:color w:val="0070C0"/>
        </w:rPr>
        <w:t>aSMA</w:t>
      </w:r>
      <w:proofErr w:type="spellEnd"/>
      <w:r w:rsidRPr="00C1116E">
        <w:rPr>
          <w:color w:val="0070C0"/>
        </w:rPr>
        <w:t>-GFP mice</w:t>
      </w:r>
      <w:r>
        <w:rPr>
          <w:color w:val="0070C0"/>
        </w:rPr>
        <w:t xml:space="preserve"> prior to imaging</w:t>
      </w:r>
      <w:r>
        <w:rPr>
          <w:rFonts w:asciiTheme="minorHAnsi" w:hAnsiTheme="minorHAnsi" w:cstheme="minorHAnsi"/>
          <w:color w:val="000000" w:themeColor="text1"/>
        </w:rPr>
        <w:t xml:space="preserve"> is necessary. </w:t>
      </w:r>
      <w:r w:rsidR="00D476BC" w:rsidRPr="00C1116E">
        <w:rPr>
          <w:color w:val="0070C0"/>
        </w:rPr>
        <w:t xml:space="preserve">We </w:t>
      </w:r>
      <w:r>
        <w:rPr>
          <w:color w:val="0070C0"/>
        </w:rPr>
        <w:t>clarified this point by</w:t>
      </w:r>
      <w:r w:rsidR="00D476BC" w:rsidRPr="00C1116E">
        <w:rPr>
          <w:color w:val="0070C0"/>
        </w:rPr>
        <w:t xml:space="preserve"> add</w:t>
      </w:r>
      <w:r>
        <w:rPr>
          <w:color w:val="0070C0"/>
        </w:rPr>
        <w:t>ing</w:t>
      </w:r>
      <w:r w:rsidR="00D476BC" w:rsidRPr="00C1116E">
        <w:rPr>
          <w:color w:val="0070C0"/>
        </w:rPr>
        <w:t xml:space="preserve"> </w:t>
      </w:r>
      <w:r w:rsidR="007F205F" w:rsidRPr="00C1116E">
        <w:rPr>
          <w:color w:val="0070C0"/>
        </w:rPr>
        <w:t>a note and reference</w:t>
      </w:r>
      <w:r w:rsidR="00D476BC" w:rsidRPr="00C1116E">
        <w:rPr>
          <w:color w:val="0070C0"/>
        </w:rPr>
        <w:t xml:space="preserve"> </w:t>
      </w:r>
      <w:r>
        <w:rPr>
          <w:color w:val="0070C0"/>
        </w:rPr>
        <w:t>o</w:t>
      </w:r>
      <w:r w:rsidR="00D476BC" w:rsidRPr="00C1116E">
        <w:rPr>
          <w:color w:val="0070C0"/>
        </w:rPr>
        <w:t xml:space="preserve">n page </w:t>
      </w:r>
      <w:r w:rsidR="007F205F" w:rsidRPr="00C1116E">
        <w:rPr>
          <w:color w:val="0070C0"/>
        </w:rPr>
        <w:t>2</w:t>
      </w:r>
      <w:r w:rsidR="00D476BC" w:rsidRPr="00C1116E">
        <w:rPr>
          <w:color w:val="0070C0"/>
        </w:rPr>
        <w:t xml:space="preserve"> Line</w:t>
      </w:r>
      <w:r w:rsidR="007F205F" w:rsidRPr="00C1116E">
        <w:rPr>
          <w:color w:val="0070C0"/>
        </w:rPr>
        <w:t>s 99-102</w:t>
      </w:r>
      <w:r>
        <w:rPr>
          <w:color w:val="0070C0"/>
        </w:rPr>
        <w:t>.</w:t>
      </w:r>
    </w:p>
    <w:p w14:paraId="5A381B67" w14:textId="77777777" w:rsidR="00CA40C4" w:rsidRDefault="00232751" w:rsidP="00D476BC">
      <w:pPr>
        <w:pStyle w:val="NormalWeb"/>
      </w:pPr>
      <w:r>
        <w:t>Page 2, line 132, is shaving necessary/recommended to tape tubing to mouse abdomen?</w:t>
      </w:r>
    </w:p>
    <w:p w14:paraId="157C1DB7" w14:textId="4A4E69C3" w:rsidR="00D476BC" w:rsidRDefault="00CA40C4" w:rsidP="00D476BC">
      <w:pPr>
        <w:pStyle w:val="NormalWeb"/>
      </w:pPr>
      <w:r w:rsidRPr="00C1116E">
        <w:rPr>
          <w:color w:val="0070C0"/>
        </w:rPr>
        <w:t>We recommend shaving the mouse abdomen for two reasons: 1) This allows you to clean the sight were the needle will be placed</w:t>
      </w:r>
      <w:r w:rsidR="007F205F" w:rsidRPr="00C1116E">
        <w:rPr>
          <w:color w:val="0070C0"/>
        </w:rPr>
        <w:t xml:space="preserve"> for an extended period of time</w:t>
      </w:r>
      <w:r w:rsidRPr="00C1116E">
        <w:rPr>
          <w:color w:val="0070C0"/>
        </w:rPr>
        <w:t xml:space="preserve">, and 2) the needle is more secure and will not </w:t>
      </w:r>
      <w:r w:rsidRPr="00C1116E">
        <w:rPr>
          <w:color w:val="0070C0"/>
        </w:rPr>
        <w:lastRenderedPageBreak/>
        <w:t>move while placing the mouse in the restraint.</w:t>
      </w:r>
      <w:r w:rsidR="00232751" w:rsidRPr="00C1116E">
        <w:rPr>
          <w:color w:val="0070C0"/>
        </w:rPr>
        <w:br/>
      </w:r>
      <w:r w:rsidR="00232751">
        <w:br/>
        <w:t>Page 4, line 207, what is the reason/advantage to use second harmonic generation imaging here?</w:t>
      </w:r>
    </w:p>
    <w:p w14:paraId="7C43674E" w14:textId="61579B08" w:rsidR="00866641" w:rsidRDefault="00D476BC" w:rsidP="00D476BC">
      <w:pPr>
        <w:pStyle w:val="NormalWeb"/>
      </w:pPr>
      <w:r w:rsidRPr="00C1116E">
        <w:rPr>
          <w:color w:val="0070C0"/>
        </w:rPr>
        <w:t xml:space="preserve">The benefit of second harmonic generation imaging in this method is to </w:t>
      </w:r>
      <w:r w:rsidR="007F205F" w:rsidRPr="00C1116E">
        <w:rPr>
          <w:color w:val="0070C0"/>
        </w:rPr>
        <w:t xml:space="preserve">provided a structural reference of the calvaria </w:t>
      </w:r>
      <w:r w:rsidR="00D76971" w:rsidRPr="00C1116E">
        <w:rPr>
          <w:color w:val="0070C0"/>
        </w:rPr>
        <w:t xml:space="preserve">in combination with fluorescently labeled </w:t>
      </w:r>
      <w:r w:rsidR="00F8747B" w:rsidRPr="00C1116E">
        <w:rPr>
          <w:color w:val="0070C0"/>
        </w:rPr>
        <w:t xml:space="preserve">single </w:t>
      </w:r>
      <w:r w:rsidR="00D76971" w:rsidRPr="00C1116E">
        <w:rPr>
          <w:color w:val="0070C0"/>
        </w:rPr>
        <w:t xml:space="preserve">cell imaging  </w:t>
      </w:r>
      <w:r w:rsidR="007F205F" w:rsidRPr="00C1116E">
        <w:rPr>
          <w:color w:val="0070C0"/>
        </w:rPr>
        <w:t xml:space="preserve">that cannot be achieved </w:t>
      </w:r>
      <w:r w:rsidR="00D76971" w:rsidRPr="00C1116E">
        <w:rPr>
          <w:color w:val="0070C0"/>
        </w:rPr>
        <w:t xml:space="preserve">with other imaging methods (i.e. confocal microscopy or </w:t>
      </w:r>
      <w:proofErr w:type="spellStart"/>
      <w:r w:rsidR="00D76971" w:rsidRPr="00C1116E">
        <w:rPr>
          <w:color w:val="0070C0"/>
        </w:rPr>
        <w:t>uCT</w:t>
      </w:r>
      <w:proofErr w:type="spellEnd"/>
      <w:r w:rsidR="00D76971" w:rsidRPr="00C1116E">
        <w:rPr>
          <w:color w:val="0070C0"/>
        </w:rPr>
        <w:t>)</w:t>
      </w:r>
      <w:r w:rsidR="00F8747B" w:rsidRPr="00C1116E">
        <w:rPr>
          <w:color w:val="0070C0"/>
        </w:rPr>
        <w:t>.</w:t>
      </w:r>
      <w:r w:rsidR="00232751" w:rsidRPr="00C1116E">
        <w:rPr>
          <w:color w:val="0070C0"/>
        </w:rPr>
        <w:br/>
      </w:r>
      <w:r w:rsidR="00232751">
        <w:br/>
        <w:t>Page 4, line 218, in which solvent is methylcellulose prepared? PBS?</w:t>
      </w:r>
    </w:p>
    <w:p w14:paraId="74A2A5FD" w14:textId="41DCD534" w:rsidR="00866641" w:rsidRDefault="005E39E7" w:rsidP="00D476BC">
      <w:pPr>
        <w:pStyle w:val="NormalWeb"/>
      </w:pPr>
      <w:r>
        <w:rPr>
          <w:color w:val="0070C0"/>
        </w:rPr>
        <w:t xml:space="preserve">We use </w:t>
      </w:r>
      <w:r w:rsidRPr="005E39E7">
        <w:rPr>
          <w:color w:val="0070C0"/>
        </w:rPr>
        <w:t>sterile 2% methylcellulose in water (w/v) to cover the entire calvaria</w:t>
      </w:r>
      <w:r>
        <w:rPr>
          <w:color w:val="0070C0"/>
        </w:rPr>
        <w:t>.</w:t>
      </w:r>
      <w:r w:rsidRPr="005E39E7">
        <w:rPr>
          <w:color w:val="0070C0"/>
        </w:rPr>
        <w:t xml:space="preserve"> </w:t>
      </w:r>
      <w:r w:rsidR="00C1116E" w:rsidRPr="00C1116E">
        <w:rPr>
          <w:color w:val="0070C0"/>
        </w:rPr>
        <w:t>We have added this information to the protocol on page 4</w:t>
      </w:r>
      <w:r>
        <w:rPr>
          <w:color w:val="0070C0"/>
        </w:rPr>
        <w:t>, Step 5b-ii (</w:t>
      </w:r>
      <w:r w:rsidR="00C1116E" w:rsidRPr="00C1116E">
        <w:rPr>
          <w:color w:val="0070C0"/>
        </w:rPr>
        <w:t>line 2</w:t>
      </w:r>
      <w:r>
        <w:rPr>
          <w:color w:val="0070C0"/>
        </w:rPr>
        <w:t>32)</w:t>
      </w:r>
      <w:r w:rsidR="00C1116E" w:rsidRPr="00C1116E">
        <w:rPr>
          <w:color w:val="0070C0"/>
        </w:rPr>
        <w:t>.</w:t>
      </w:r>
      <w:r w:rsidR="00232751" w:rsidRPr="00C1116E">
        <w:rPr>
          <w:color w:val="0070C0"/>
        </w:rPr>
        <w:br/>
      </w:r>
      <w:r w:rsidR="00232751">
        <w:br/>
        <w:t>Page 5, line 258-263, please refer fig 2A and 2B.</w:t>
      </w:r>
    </w:p>
    <w:p w14:paraId="2D208AF6" w14:textId="4FEC09DA" w:rsidR="00D476BC" w:rsidRDefault="00866641" w:rsidP="00D476BC">
      <w:pPr>
        <w:pStyle w:val="NormalWeb"/>
      </w:pPr>
      <w:r w:rsidRPr="00C1116E">
        <w:rPr>
          <w:color w:val="0070C0"/>
        </w:rPr>
        <w:t>Reference to figures 2A &amp; B have been added to the text.</w:t>
      </w:r>
      <w:r w:rsidR="0013289C" w:rsidRPr="00C1116E">
        <w:rPr>
          <w:color w:val="0070C0"/>
        </w:rPr>
        <w:t xml:space="preserve"> Page 6 line 2</w:t>
      </w:r>
      <w:r w:rsidR="005E39E7">
        <w:rPr>
          <w:color w:val="0070C0"/>
        </w:rPr>
        <w:t>75</w:t>
      </w:r>
      <w:r w:rsidR="00C1116E" w:rsidRPr="00C1116E">
        <w:rPr>
          <w:color w:val="0070C0"/>
        </w:rPr>
        <w:t>.</w:t>
      </w:r>
      <w:r w:rsidR="00232751" w:rsidRPr="00C1116E">
        <w:rPr>
          <w:color w:val="0070C0"/>
        </w:rPr>
        <w:br/>
      </w:r>
      <w:r w:rsidR="00232751">
        <w:br/>
        <w:t>Page 5-6, between injury and imaging, how the mice have been kept for 24 hours? Was the skin incision closed by nylon sutures and then reopened for imaging?</w:t>
      </w:r>
    </w:p>
    <w:p w14:paraId="239B11D6" w14:textId="6065D02A" w:rsidR="00D476BC" w:rsidRDefault="00905CCE" w:rsidP="00D476BC">
      <w:pPr>
        <w:pStyle w:val="NormalWeb"/>
      </w:pPr>
      <w:r>
        <w:rPr>
          <w:color w:val="0070C0"/>
        </w:rPr>
        <w:t>To clarify this point, we have revised the note in step 4.b.v. on page 4 lines 193-198.</w:t>
      </w:r>
      <w:r w:rsidR="00232751" w:rsidRPr="00C1116E">
        <w:rPr>
          <w:color w:val="0070C0"/>
        </w:rPr>
        <w:br/>
      </w:r>
      <w:r w:rsidR="00232751">
        <w:br/>
        <w:t>Page 6, line 266, are the white dotted squares in Fig D the same as shown in 0:00 and 1:00 panels in Fig. 2E? If so, 0:00 time point in those two panels do not look the same.</w:t>
      </w:r>
    </w:p>
    <w:p w14:paraId="1FA2DE04" w14:textId="0F0807F3" w:rsidR="00232751" w:rsidRPr="00C1116E" w:rsidRDefault="00D476BC" w:rsidP="00D476BC">
      <w:pPr>
        <w:pStyle w:val="NormalWeb"/>
        <w:rPr>
          <w:rFonts w:asciiTheme="minorHAnsi" w:hAnsiTheme="minorHAnsi" w:cstheme="minorHAnsi"/>
          <w:color w:val="4472C4" w:themeColor="accent1"/>
        </w:rPr>
      </w:pPr>
      <w:r w:rsidRPr="00C1116E">
        <w:rPr>
          <w:color w:val="0070C0"/>
        </w:rPr>
        <w:t>We appreciated the reviewers comment and have replace the 1:00 after CCL5 administration image in figure 2D with the appropriate corresponding image in 2E.</w:t>
      </w:r>
      <w:r w:rsidR="00232751" w:rsidRPr="00C1116E">
        <w:rPr>
          <w:color w:val="0070C0"/>
        </w:rPr>
        <w:br/>
      </w:r>
      <w:r w:rsidR="00232751">
        <w:br/>
        <w:t xml:space="preserve">Page 6, Fig 2B/D, are the orientation of Fig 2B and D same? Based on the image shown in 2A and annotation of SS (sagittal suture), one would interpret that injury in Fig 2B was introduced in the right parietal bone, which is different from what shown in other cartoons. The legend for Fig 2C and 2E (but not 2D) says the injury site is located at the top right. It would be less confusing if an image with the </w:t>
      </w:r>
      <w:r w:rsidR="00232751" w:rsidRPr="00C1116E">
        <w:rPr>
          <w:rFonts w:asciiTheme="minorHAnsi" w:hAnsiTheme="minorHAnsi" w:cstheme="minorHAnsi"/>
        </w:rPr>
        <w:t>same orientation was shown in Fig. 2B.</w:t>
      </w:r>
    </w:p>
    <w:p w14:paraId="462C0E5A" w14:textId="67736C14" w:rsidR="00AA1BA0" w:rsidRDefault="000633CA" w:rsidP="00D476BC">
      <w:pPr>
        <w:spacing w:line="240" w:lineRule="auto"/>
        <w:rPr>
          <w:rFonts w:asciiTheme="minorHAnsi" w:hAnsiTheme="minorHAnsi" w:cstheme="minorHAnsi"/>
          <w:color w:val="0070C0"/>
        </w:rPr>
      </w:pPr>
      <w:r w:rsidRPr="00C1116E">
        <w:rPr>
          <w:rFonts w:asciiTheme="minorHAnsi" w:hAnsiTheme="minorHAnsi" w:cstheme="minorHAnsi"/>
          <w:color w:val="0070C0"/>
        </w:rPr>
        <w:t xml:space="preserve">We have rotated figures 2D and 2E so that the orientation is </w:t>
      </w:r>
      <w:r w:rsidR="00C1116E">
        <w:rPr>
          <w:rFonts w:asciiTheme="minorHAnsi" w:hAnsiTheme="minorHAnsi" w:cstheme="minorHAnsi"/>
          <w:color w:val="0070C0"/>
        </w:rPr>
        <w:t>the same as</w:t>
      </w:r>
      <w:r w:rsidRPr="00C1116E">
        <w:rPr>
          <w:rFonts w:asciiTheme="minorHAnsi" w:hAnsiTheme="minorHAnsi" w:cstheme="minorHAnsi"/>
          <w:color w:val="0070C0"/>
        </w:rPr>
        <w:t xml:space="preserve"> figure 2B</w:t>
      </w:r>
      <w:r w:rsidR="00905CCE">
        <w:rPr>
          <w:rFonts w:asciiTheme="minorHAnsi" w:hAnsiTheme="minorHAnsi" w:cstheme="minorHAnsi"/>
          <w:color w:val="0070C0"/>
        </w:rPr>
        <w:t xml:space="preserve"> and added additional annotations to clarify figure orientation.  The updated figure 2 legend is on page 7 lines 286-302.</w:t>
      </w:r>
    </w:p>
    <w:p w14:paraId="5206321A" w14:textId="52BCEC6E" w:rsidR="00650E79" w:rsidRDefault="00650E79" w:rsidP="00D476BC">
      <w:pPr>
        <w:spacing w:line="240" w:lineRule="auto"/>
        <w:rPr>
          <w:rFonts w:asciiTheme="minorHAnsi" w:hAnsiTheme="minorHAnsi" w:cstheme="minorHAnsi"/>
          <w:color w:val="0070C0"/>
        </w:rPr>
      </w:pPr>
    </w:p>
    <w:p w14:paraId="47CEFA8B" w14:textId="17C9E074" w:rsidR="00650E79" w:rsidRPr="001B3F66" w:rsidRDefault="00650E79" w:rsidP="00650E79">
      <w:pPr>
        <w:pStyle w:val="ListParagraph"/>
        <w:ind w:left="0"/>
        <w:jc w:val="both"/>
        <w:rPr>
          <w:rFonts w:ascii="Arial" w:hAnsi="Arial" w:cs="Arial"/>
          <w:color w:val="000000"/>
          <w:sz w:val="22"/>
          <w:szCs w:val="22"/>
        </w:rPr>
      </w:pPr>
      <w:r w:rsidRPr="00650E79">
        <w:rPr>
          <w:rFonts w:ascii="Arial" w:hAnsi="Arial" w:cs="Arial"/>
          <w:color w:val="000000"/>
          <w:sz w:val="22"/>
          <w:szCs w:val="22"/>
        </w:rPr>
        <w:t>We again thank the reviewers for their thoughtful and extremely helpful input and hope that our responses are satisfactory.</w:t>
      </w:r>
    </w:p>
    <w:p w14:paraId="450B14D2" w14:textId="77777777" w:rsidR="00650E79" w:rsidRDefault="00650E79" w:rsidP="00650E79">
      <w:pPr>
        <w:pStyle w:val="ListParagraph"/>
        <w:ind w:left="0"/>
        <w:jc w:val="both"/>
        <w:rPr>
          <w:rFonts w:ascii="Arial" w:hAnsi="Arial" w:cs="Arial"/>
          <w:color w:val="000000"/>
          <w:sz w:val="22"/>
          <w:szCs w:val="22"/>
        </w:rPr>
      </w:pPr>
    </w:p>
    <w:p w14:paraId="6A6E77CB" w14:textId="36B47C23" w:rsidR="00650E79" w:rsidRPr="001B3F66" w:rsidRDefault="00650E79" w:rsidP="00650E79">
      <w:pPr>
        <w:pStyle w:val="ListParagraph"/>
        <w:ind w:left="0"/>
        <w:jc w:val="both"/>
        <w:rPr>
          <w:rFonts w:ascii="Arial" w:hAnsi="Arial" w:cs="Arial"/>
          <w:color w:val="000000"/>
          <w:sz w:val="22"/>
          <w:szCs w:val="22"/>
        </w:rPr>
      </w:pPr>
      <w:r w:rsidRPr="001B3F66">
        <w:rPr>
          <w:rFonts w:ascii="Arial" w:hAnsi="Arial" w:cs="Arial"/>
          <w:color w:val="000000"/>
          <w:sz w:val="22"/>
          <w:szCs w:val="22"/>
        </w:rPr>
        <w:t>Your consideration is much appreciated.</w:t>
      </w:r>
    </w:p>
    <w:p w14:paraId="4E25A6DC" w14:textId="77777777" w:rsidR="00650E79" w:rsidRPr="00425886" w:rsidRDefault="00650E79" w:rsidP="00650E79">
      <w:pPr>
        <w:jc w:val="both"/>
      </w:pPr>
    </w:p>
    <w:p w14:paraId="4C4DC6D8" w14:textId="79E07B5D" w:rsidR="00650E79" w:rsidRPr="00425886" w:rsidRDefault="00650E79" w:rsidP="00650E79">
      <w:pPr>
        <w:jc w:val="both"/>
      </w:pPr>
      <w:r w:rsidRPr="00425886">
        <w:t>Sincerely,</w:t>
      </w:r>
    </w:p>
    <w:p w14:paraId="5BC03953" w14:textId="77777777" w:rsidR="00650E79" w:rsidRDefault="00650E79" w:rsidP="00650E79">
      <w:pPr>
        <w:jc w:val="both"/>
      </w:pPr>
    </w:p>
    <w:p w14:paraId="5ED22149" w14:textId="552A886A" w:rsidR="00650E79" w:rsidRPr="00425886" w:rsidRDefault="00650E79" w:rsidP="00650E79">
      <w:pPr>
        <w:jc w:val="both"/>
      </w:pPr>
      <w:bookmarkStart w:id="0" w:name="_GoBack"/>
      <w:bookmarkEnd w:id="0"/>
      <w:r>
        <w:t xml:space="preserve">Laura </w:t>
      </w:r>
      <w:proofErr w:type="spellStart"/>
      <w:r>
        <w:t>Ortinau</w:t>
      </w:r>
      <w:proofErr w:type="spellEnd"/>
      <w:r>
        <w:t xml:space="preserve"> and </w:t>
      </w:r>
      <w:r w:rsidRPr="00425886">
        <w:t>Dongsu Park</w:t>
      </w:r>
    </w:p>
    <w:p w14:paraId="34C721C3" w14:textId="77777777" w:rsidR="00650E79" w:rsidRPr="00C1116E" w:rsidRDefault="00650E79" w:rsidP="00D476BC">
      <w:pPr>
        <w:spacing w:line="240" w:lineRule="auto"/>
        <w:rPr>
          <w:rFonts w:asciiTheme="minorHAnsi" w:hAnsiTheme="minorHAnsi" w:cstheme="minorHAnsi"/>
          <w:color w:val="0070C0"/>
        </w:rPr>
      </w:pPr>
    </w:p>
    <w:sectPr w:rsidR="00650E79" w:rsidRPr="00C11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51"/>
    <w:rsid w:val="00027F83"/>
    <w:rsid w:val="000541C8"/>
    <w:rsid w:val="00054D9E"/>
    <w:rsid w:val="000633CA"/>
    <w:rsid w:val="000B43D4"/>
    <w:rsid w:val="0013289C"/>
    <w:rsid w:val="0017518E"/>
    <w:rsid w:val="00232751"/>
    <w:rsid w:val="00294801"/>
    <w:rsid w:val="00484E8D"/>
    <w:rsid w:val="005E39E7"/>
    <w:rsid w:val="00650E79"/>
    <w:rsid w:val="006975B3"/>
    <w:rsid w:val="006A3618"/>
    <w:rsid w:val="00793448"/>
    <w:rsid w:val="007F205F"/>
    <w:rsid w:val="007F583D"/>
    <w:rsid w:val="00866641"/>
    <w:rsid w:val="00905CCE"/>
    <w:rsid w:val="00B06B28"/>
    <w:rsid w:val="00C1116E"/>
    <w:rsid w:val="00C31B90"/>
    <w:rsid w:val="00C67ED4"/>
    <w:rsid w:val="00CA40C4"/>
    <w:rsid w:val="00D476BC"/>
    <w:rsid w:val="00D62777"/>
    <w:rsid w:val="00D76971"/>
    <w:rsid w:val="00E61241"/>
    <w:rsid w:val="00F0130D"/>
    <w:rsid w:val="00F7040E"/>
    <w:rsid w:val="00F8747B"/>
    <w:rsid w:val="00F966EB"/>
    <w:rsid w:val="00FA10C8"/>
    <w:rsid w:val="00FB48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4E35"/>
  <w15:chartTrackingRefBased/>
  <w15:docId w15:val="{674F8DE7-5C2D-45AF-9B93-A1606371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751"/>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232751"/>
    <w:rPr>
      <w:b/>
      <w:bCs/>
    </w:rPr>
  </w:style>
  <w:style w:type="paragraph" w:styleId="BalloonText">
    <w:name w:val="Balloon Text"/>
    <w:basedOn w:val="Normal"/>
    <w:link w:val="BalloonTextChar"/>
    <w:uiPriority w:val="99"/>
    <w:semiHidden/>
    <w:unhideWhenUsed/>
    <w:rsid w:val="008666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641"/>
    <w:rPr>
      <w:rFonts w:ascii="Segoe UI" w:hAnsi="Segoe UI" w:cs="Segoe UI"/>
      <w:sz w:val="18"/>
      <w:szCs w:val="18"/>
    </w:rPr>
  </w:style>
  <w:style w:type="paragraph" w:styleId="ListParagraph">
    <w:name w:val="List Paragraph"/>
    <w:basedOn w:val="Normal"/>
    <w:uiPriority w:val="99"/>
    <w:qFormat/>
    <w:rsid w:val="00650E79"/>
    <w:pPr>
      <w:spacing w:line="240" w:lineRule="auto"/>
      <w:ind w:left="720"/>
    </w:pPr>
    <w:rPr>
      <w:rFonts w:ascii="Cambria" w:eastAsia="MS ??"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36593">
      <w:bodyDiv w:val="1"/>
      <w:marLeft w:val="0"/>
      <w:marRight w:val="0"/>
      <w:marTop w:val="0"/>
      <w:marBottom w:val="0"/>
      <w:divBdr>
        <w:top w:val="none" w:sz="0" w:space="0" w:color="auto"/>
        <w:left w:val="none" w:sz="0" w:space="0" w:color="auto"/>
        <w:bottom w:val="none" w:sz="0" w:space="0" w:color="auto"/>
        <w:right w:val="none" w:sz="0" w:space="0" w:color="auto"/>
      </w:divBdr>
    </w:div>
    <w:div w:id="1131094284">
      <w:bodyDiv w:val="1"/>
      <w:marLeft w:val="0"/>
      <w:marRight w:val="0"/>
      <w:marTop w:val="0"/>
      <w:marBottom w:val="0"/>
      <w:divBdr>
        <w:top w:val="none" w:sz="0" w:space="0" w:color="auto"/>
        <w:left w:val="none" w:sz="0" w:space="0" w:color="auto"/>
        <w:bottom w:val="none" w:sz="0" w:space="0" w:color="auto"/>
        <w:right w:val="none" w:sz="0" w:space="0" w:color="auto"/>
      </w:divBdr>
    </w:div>
    <w:div w:id="1320571659">
      <w:bodyDiv w:val="1"/>
      <w:marLeft w:val="0"/>
      <w:marRight w:val="0"/>
      <w:marTop w:val="0"/>
      <w:marBottom w:val="0"/>
      <w:divBdr>
        <w:top w:val="none" w:sz="0" w:space="0" w:color="auto"/>
        <w:left w:val="none" w:sz="0" w:space="0" w:color="auto"/>
        <w:bottom w:val="none" w:sz="0" w:space="0" w:color="auto"/>
        <w:right w:val="none" w:sz="0" w:space="0" w:color="auto"/>
      </w:divBdr>
    </w:div>
    <w:div w:id="1642348521">
      <w:bodyDiv w:val="1"/>
      <w:marLeft w:val="0"/>
      <w:marRight w:val="0"/>
      <w:marTop w:val="0"/>
      <w:marBottom w:val="0"/>
      <w:divBdr>
        <w:top w:val="none" w:sz="0" w:space="0" w:color="auto"/>
        <w:left w:val="none" w:sz="0" w:space="0" w:color="auto"/>
        <w:bottom w:val="none" w:sz="0" w:space="0" w:color="auto"/>
        <w:right w:val="none" w:sz="0" w:space="0" w:color="auto"/>
      </w:divBdr>
    </w:div>
    <w:div w:id="167923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91E4A-8DAB-5E4B-8AF9-0AEAC70B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Ortinau</dc:creator>
  <cp:keywords/>
  <dc:description/>
  <cp:lastModifiedBy>Park, Dongsu</cp:lastModifiedBy>
  <cp:revision>3</cp:revision>
  <dcterms:created xsi:type="dcterms:W3CDTF">2020-02-14T17:18:00Z</dcterms:created>
  <dcterms:modified xsi:type="dcterms:W3CDTF">2020-02-21T20:26:00Z</dcterms:modified>
</cp:coreProperties>
</file>