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A95F6" w14:textId="77777777" w:rsidR="00DD7C6E" w:rsidRPr="00442F26" w:rsidRDefault="00B32616" w:rsidP="006F7144">
      <w:pPr>
        <w:contextualSpacing/>
        <w:rPr>
          <w:b/>
          <w:color w:val="auto"/>
        </w:rPr>
      </w:pPr>
      <w:bookmarkStart w:id="0" w:name="Title"/>
      <w:r w:rsidRPr="00442F26">
        <w:rPr>
          <w:b/>
          <w:color w:val="auto"/>
        </w:rPr>
        <w:t>TITLE</w:t>
      </w:r>
      <w:bookmarkEnd w:id="0"/>
      <w:r w:rsidRPr="00442F26">
        <w:rPr>
          <w:b/>
          <w:color w:val="auto"/>
        </w:rPr>
        <w:t>:</w:t>
      </w:r>
    </w:p>
    <w:p w14:paraId="33260620" w14:textId="2854FE57" w:rsidR="00B32616" w:rsidRPr="00442F26" w:rsidRDefault="00DD7C6E" w:rsidP="006F7144">
      <w:pPr>
        <w:contextualSpacing/>
        <w:rPr>
          <w:bCs/>
          <w:color w:val="auto"/>
        </w:rPr>
      </w:pPr>
      <w:bookmarkStart w:id="1" w:name="_Hlk26280324"/>
      <w:r w:rsidRPr="00442F26">
        <w:rPr>
          <w:bCs/>
          <w:color w:val="auto"/>
        </w:rPr>
        <w:t xml:space="preserve">Advanced 3D Liver Models for </w:t>
      </w:r>
      <w:r w:rsidR="00725AEE" w:rsidRPr="00442F26">
        <w:rPr>
          <w:bCs/>
          <w:color w:val="auto"/>
        </w:rPr>
        <w:t xml:space="preserve">In vitro </w:t>
      </w:r>
      <w:r w:rsidRPr="00442F26">
        <w:rPr>
          <w:bCs/>
          <w:color w:val="auto"/>
        </w:rPr>
        <w:t>Genotoxicity Testing Following Long</w:t>
      </w:r>
      <w:r w:rsidR="00725AEE" w:rsidRPr="00442F26">
        <w:rPr>
          <w:bCs/>
          <w:color w:val="auto"/>
        </w:rPr>
        <w:t xml:space="preserve"> </w:t>
      </w:r>
      <w:r w:rsidRPr="00442F26">
        <w:rPr>
          <w:bCs/>
          <w:color w:val="auto"/>
        </w:rPr>
        <w:t>Term Nanomaterial Exposure</w:t>
      </w:r>
    </w:p>
    <w:p w14:paraId="76A3EA48" w14:textId="77777777" w:rsidR="00DD7C6E" w:rsidRPr="00442F26" w:rsidRDefault="00DD7C6E" w:rsidP="006F7144">
      <w:pPr>
        <w:contextualSpacing/>
        <w:rPr>
          <w:b/>
          <w:bCs/>
          <w:color w:val="auto"/>
        </w:rPr>
      </w:pPr>
      <w:bookmarkStart w:id="2" w:name="Authors_and_Affiliations"/>
      <w:bookmarkEnd w:id="1"/>
    </w:p>
    <w:p w14:paraId="70265697" w14:textId="2516CC2F" w:rsidR="00B32616" w:rsidRPr="00442F26" w:rsidRDefault="00B32616" w:rsidP="006F7144">
      <w:pPr>
        <w:contextualSpacing/>
        <w:rPr>
          <w:bCs/>
          <w:color w:val="auto"/>
        </w:rPr>
      </w:pPr>
      <w:r w:rsidRPr="00442F26">
        <w:rPr>
          <w:b/>
          <w:bCs/>
          <w:color w:val="auto"/>
        </w:rPr>
        <w:t>AUTHORS &amp; AFFILIATIONS</w:t>
      </w:r>
      <w:bookmarkEnd w:id="2"/>
      <w:r w:rsidRPr="00442F26">
        <w:rPr>
          <w:b/>
          <w:bCs/>
          <w:color w:val="auto"/>
        </w:rPr>
        <w:t xml:space="preserve">: </w:t>
      </w:r>
    </w:p>
    <w:p w14:paraId="1DA6183F" w14:textId="0CB0935D" w:rsidR="00DD7C6E" w:rsidRPr="00442F26" w:rsidRDefault="00DD7C6E" w:rsidP="006F7144">
      <w:pPr>
        <w:contextualSpacing/>
        <w:rPr>
          <w:bCs/>
          <w:color w:val="auto"/>
          <w:vertAlign w:val="superscript"/>
        </w:rPr>
      </w:pPr>
      <w:r w:rsidRPr="00442F26">
        <w:rPr>
          <w:bCs/>
          <w:color w:val="auto"/>
        </w:rPr>
        <w:t xml:space="preserve">Samantha </w:t>
      </w:r>
      <w:r w:rsidR="00B96BAE" w:rsidRPr="00442F26">
        <w:rPr>
          <w:bCs/>
          <w:color w:val="auto"/>
        </w:rPr>
        <w:t xml:space="preserve">V. </w:t>
      </w:r>
      <w:r w:rsidRPr="00442F26">
        <w:rPr>
          <w:bCs/>
          <w:color w:val="auto"/>
        </w:rPr>
        <w:t xml:space="preserve">Llewellyn, </w:t>
      </w:r>
      <w:r w:rsidR="00E323FE" w:rsidRPr="00442F26">
        <w:rPr>
          <w:bCs/>
          <w:color w:val="auto"/>
        </w:rPr>
        <w:t>Gillian E. Conway,</w:t>
      </w:r>
      <w:r w:rsidR="00E323FE" w:rsidRPr="00442F26">
        <w:rPr>
          <w:bCs/>
          <w:color w:val="auto"/>
          <w:vertAlign w:val="superscript"/>
        </w:rPr>
        <w:t xml:space="preserve"> </w:t>
      </w:r>
      <w:r w:rsidR="00E323FE" w:rsidRPr="00442F26">
        <w:rPr>
          <w:bCs/>
          <w:color w:val="auto"/>
        </w:rPr>
        <w:t>U</w:t>
      </w:r>
      <w:r w:rsidRPr="00442F26">
        <w:rPr>
          <w:bCs/>
          <w:color w:val="auto"/>
        </w:rPr>
        <w:t>me-</w:t>
      </w:r>
      <w:proofErr w:type="spellStart"/>
      <w:r w:rsidRPr="00442F26">
        <w:rPr>
          <w:bCs/>
          <w:color w:val="auto"/>
        </w:rPr>
        <w:t>Kulsoom</w:t>
      </w:r>
      <w:proofErr w:type="spellEnd"/>
      <w:r w:rsidRPr="00442F26">
        <w:rPr>
          <w:bCs/>
          <w:color w:val="auto"/>
        </w:rPr>
        <w:t xml:space="preserve"> Shah, </w:t>
      </w:r>
      <w:r w:rsidR="00E323FE" w:rsidRPr="00442F26">
        <w:rPr>
          <w:bCs/>
          <w:color w:val="auto"/>
        </w:rPr>
        <w:t xml:space="preserve">Stephen J. Evans, </w:t>
      </w:r>
      <w:r w:rsidRPr="00442F26">
        <w:rPr>
          <w:bCs/>
          <w:color w:val="auto"/>
        </w:rPr>
        <w:t>Gareth J. S. Jenkins, Martin J.D</w:t>
      </w:r>
      <w:r w:rsidR="00B96BAE" w:rsidRPr="00442F26">
        <w:rPr>
          <w:bCs/>
          <w:color w:val="auto"/>
        </w:rPr>
        <w:t>.</w:t>
      </w:r>
      <w:r w:rsidRPr="00442F26">
        <w:rPr>
          <w:bCs/>
          <w:color w:val="auto"/>
        </w:rPr>
        <w:t xml:space="preserve"> Clift</w:t>
      </w:r>
      <w:r w:rsidR="00725AEE" w:rsidRPr="00442F26">
        <w:rPr>
          <w:bCs/>
          <w:color w:val="auto"/>
        </w:rPr>
        <w:t xml:space="preserve">, </w:t>
      </w:r>
      <w:proofErr w:type="spellStart"/>
      <w:r w:rsidRPr="00442F26">
        <w:rPr>
          <w:bCs/>
          <w:color w:val="auto"/>
        </w:rPr>
        <w:t>Shareen</w:t>
      </w:r>
      <w:proofErr w:type="spellEnd"/>
      <w:r w:rsidRPr="00442F26">
        <w:rPr>
          <w:bCs/>
          <w:color w:val="auto"/>
        </w:rPr>
        <w:t xml:space="preserve"> H. </w:t>
      </w:r>
      <w:proofErr w:type="spellStart"/>
      <w:r w:rsidRPr="00442F26">
        <w:rPr>
          <w:bCs/>
          <w:color w:val="auto"/>
        </w:rPr>
        <w:t>Doak</w:t>
      </w:r>
      <w:proofErr w:type="spellEnd"/>
    </w:p>
    <w:p w14:paraId="098BBF5C" w14:textId="77777777" w:rsidR="00725AEE" w:rsidRPr="00442F26" w:rsidRDefault="00725AEE" w:rsidP="006F7144">
      <w:pPr>
        <w:contextualSpacing/>
        <w:rPr>
          <w:bCs/>
          <w:color w:val="auto"/>
        </w:rPr>
      </w:pPr>
    </w:p>
    <w:p w14:paraId="7F18835E" w14:textId="37958ACB" w:rsidR="00B32616" w:rsidRPr="00442F26" w:rsidRDefault="00725AEE" w:rsidP="006F7144">
      <w:pPr>
        <w:contextualSpacing/>
        <w:rPr>
          <w:bCs/>
          <w:color w:val="auto"/>
        </w:rPr>
      </w:pPr>
      <w:r w:rsidRPr="00442F26">
        <w:rPr>
          <w:bCs/>
          <w:color w:val="auto"/>
        </w:rPr>
        <w:t>In vitro</w:t>
      </w:r>
      <w:r w:rsidR="00DD7C6E" w:rsidRPr="00442F26">
        <w:rPr>
          <w:bCs/>
          <w:color w:val="auto"/>
        </w:rPr>
        <w:t xml:space="preserve"> Toxicology Group, Swansea University Medical School, Swansea, UK</w:t>
      </w:r>
    </w:p>
    <w:p w14:paraId="34997443" w14:textId="77777777" w:rsidR="00725AEE" w:rsidRPr="00442F26" w:rsidRDefault="00725AEE" w:rsidP="006F7144">
      <w:pPr>
        <w:contextualSpacing/>
        <w:rPr>
          <w:bCs/>
          <w:color w:val="auto"/>
        </w:rPr>
      </w:pPr>
    </w:p>
    <w:p w14:paraId="2F76EBB2" w14:textId="77777777" w:rsidR="00725AEE" w:rsidRPr="00442F26" w:rsidRDefault="00725AEE" w:rsidP="006F7144">
      <w:pPr>
        <w:contextualSpacing/>
        <w:rPr>
          <w:bCs/>
          <w:color w:val="auto"/>
        </w:rPr>
      </w:pPr>
      <w:hyperlink r:id="rId8" w:history="1">
        <w:r w:rsidRPr="00442F26">
          <w:rPr>
            <w:rStyle w:val="Hyperlink"/>
            <w:bCs/>
            <w:color w:val="auto"/>
            <w:u w:val="none"/>
          </w:rPr>
          <w:t>S.V.Llewellyn@swansea.ac.uk</w:t>
        </w:r>
      </w:hyperlink>
    </w:p>
    <w:p w14:paraId="003CE535" w14:textId="77777777" w:rsidR="00725AEE" w:rsidRPr="00442F26" w:rsidRDefault="00725AEE" w:rsidP="006F7144">
      <w:pPr>
        <w:contextualSpacing/>
        <w:rPr>
          <w:bCs/>
          <w:color w:val="auto"/>
        </w:rPr>
      </w:pPr>
      <w:hyperlink r:id="rId9" w:history="1">
        <w:r w:rsidRPr="00442F26">
          <w:rPr>
            <w:rStyle w:val="Hyperlink"/>
            <w:bCs/>
            <w:color w:val="auto"/>
            <w:u w:val="none"/>
          </w:rPr>
          <w:t>gillian.conway@swansea.ac.uk</w:t>
        </w:r>
      </w:hyperlink>
    </w:p>
    <w:p w14:paraId="3B31D80E" w14:textId="77777777" w:rsidR="00725AEE" w:rsidRPr="00442F26" w:rsidRDefault="00725AEE" w:rsidP="006F7144">
      <w:pPr>
        <w:contextualSpacing/>
        <w:rPr>
          <w:bCs/>
          <w:color w:val="auto"/>
        </w:rPr>
      </w:pPr>
      <w:hyperlink r:id="rId10" w:history="1">
        <w:r w:rsidRPr="00442F26">
          <w:rPr>
            <w:rStyle w:val="Hyperlink"/>
            <w:bCs/>
            <w:color w:val="auto"/>
            <w:u w:val="none"/>
          </w:rPr>
          <w:t>U.shah@swansea.ac.uk</w:t>
        </w:r>
      </w:hyperlink>
    </w:p>
    <w:p w14:paraId="023A549A" w14:textId="77777777" w:rsidR="00725AEE" w:rsidRPr="00442F26" w:rsidRDefault="00725AEE" w:rsidP="006F7144">
      <w:pPr>
        <w:contextualSpacing/>
        <w:rPr>
          <w:bCs/>
          <w:color w:val="auto"/>
        </w:rPr>
      </w:pPr>
      <w:hyperlink r:id="rId11" w:history="1">
        <w:r w:rsidRPr="00442F26">
          <w:rPr>
            <w:rStyle w:val="Hyperlink"/>
            <w:bCs/>
            <w:color w:val="auto"/>
            <w:u w:val="none"/>
          </w:rPr>
          <w:t>S.J.Evans@swansea.ac.uk</w:t>
        </w:r>
      </w:hyperlink>
    </w:p>
    <w:p w14:paraId="12CC4CB3" w14:textId="77777777" w:rsidR="00725AEE" w:rsidRPr="00442F26" w:rsidRDefault="00725AEE" w:rsidP="006F7144">
      <w:pPr>
        <w:contextualSpacing/>
        <w:rPr>
          <w:bCs/>
          <w:color w:val="auto"/>
        </w:rPr>
      </w:pPr>
      <w:hyperlink r:id="rId12" w:history="1">
        <w:r w:rsidRPr="00442F26">
          <w:rPr>
            <w:rStyle w:val="Hyperlink"/>
            <w:bCs/>
            <w:color w:val="auto"/>
            <w:u w:val="none"/>
          </w:rPr>
          <w:t>G.J.S.Jenkins@swansea.ac.uk</w:t>
        </w:r>
      </w:hyperlink>
    </w:p>
    <w:p w14:paraId="42A71DB6" w14:textId="77777777" w:rsidR="00725AEE" w:rsidRPr="00442F26" w:rsidRDefault="00725AEE" w:rsidP="006F7144">
      <w:pPr>
        <w:contextualSpacing/>
        <w:rPr>
          <w:bCs/>
          <w:color w:val="auto"/>
        </w:rPr>
      </w:pPr>
      <w:hyperlink r:id="rId13" w:history="1">
        <w:r w:rsidRPr="00442F26">
          <w:rPr>
            <w:rStyle w:val="Hyperlink"/>
            <w:bCs/>
            <w:color w:val="auto"/>
            <w:u w:val="none"/>
          </w:rPr>
          <w:t>M.J.D.Clift@swansea.ac.uk</w:t>
        </w:r>
      </w:hyperlink>
    </w:p>
    <w:p w14:paraId="202B9FD1" w14:textId="77777777" w:rsidR="00725AEE" w:rsidRPr="00442F26" w:rsidRDefault="00725AEE" w:rsidP="006F7144">
      <w:pPr>
        <w:contextualSpacing/>
        <w:rPr>
          <w:rFonts w:eastAsia="Palatino Linotype"/>
          <w:color w:val="auto"/>
        </w:rPr>
      </w:pPr>
      <w:hyperlink r:id="rId14" w:history="1">
        <w:r w:rsidRPr="00442F26">
          <w:rPr>
            <w:rStyle w:val="Hyperlink"/>
            <w:rFonts w:eastAsia="Palatino Linotype"/>
            <w:color w:val="auto"/>
            <w:u w:val="none"/>
          </w:rPr>
          <w:t>S.H.Doak@swansea.ac.uk</w:t>
        </w:r>
      </w:hyperlink>
    </w:p>
    <w:p w14:paraId="14C3F909" w14:textId="77777777" w:rsidR="00725AEE" w:rsidRPr="00442F26" w:rsidRDefault="00725AEE" w:rsidP="006F7144">
      <w:pPr>
        <w:contextualSpacing/>
        <w:rPr>
          <w:bCs/>
          <w:color w:val="auto"/>
        </w:rPr>
      </w:pPr>
    </w:p>
    <w:p w14:paraId="7EB54D15" w14:textId="77777777" w:rsidR="00725AEE" w:rsidRPr="00442F26" w:rsidRDefault="00DD7C6E" w:rsidP="006F7144">
      <w:pPr>
        <w:contextualSpacing/>
        <w:rPr>
          <w:bCs/>
          <w:color w:val="auto"/>
        </w:rPr>
      </w:pPr>
      <w:r w:rsidRPr="00442F26">
        <w:rPr>
          <w:bCs/>
          <w:color w:val="auto"/>
        </w:rPr>
        <w:t xml:space="preserve">Corresponding Author: </w:t>
      </w:r>
    </w:p>
    <w:p w14:paraId="3EFF73DB" w14:textId="5751F874" w:rsidR="00DD7C6E" w:rsidRPr="00442F26" w:rsidRDefault="00DD7C6E" w:rsidP="006F7144">
      <w:pPr>
        <w:contextualSpacing/>
        <w:rPr>
          <w:bCs/>
          <w:color w:val="auto"/>
        </w:rPr>
      </w:pPr>
      <w:r w:rsidRPr="00442F26">
        <w:rPr>
          <w:bCs/>
          <w:color w:val="auto"/>
        </w:rPr>
        <w:t xml:space="preserve">Professor </w:t>
      </w:r>
      <w:proofErr w:type="spellStart"/>
      <w:r w:rsidRPr="00442F26">
        <w:rPr>
          <w:bCs/>
          <w:color w:val="auto"/>
        </w:rPr>
        <w:t>Shareen</w:t>
      </w:r>
      <w:proofErr w:type="spellEnd"/>
      <w:r w:rsidRPr="00442F26">
        <w:rPr>
          <w:bCs/>
          <w:color w:val="auto"/>
        </w:rPr>
        <w:t xml:space="preserve"> H </w:t>
      </w:r>
      <w:proofErr w:type="spellStart"/>
      <w:r w:rsidRPr="00442F26">
        <w:rPr>
          <w:bCs/>
          <w:color w:val="auto"/>
        </w:rPr>
        <w:t>Doak</w:t>
      </w:r>
      <w:proofErr w:type="spellEnd"/>
    </w:p>
    <w:p w14:paraId="2EDDF9CD" w14:textId="77777777" w:rsidR="00DD7C6E" w:rsidRPr="00442F26" w:rsidRDefault="00DD7C6E" w:rsidP="006F7144">
      <w:pPr>
        <w:contextualSpacing/>
        <w:rPr>
          <w:b/>
          <w:color w:val="auto"/>
        </w:rPr>
      </w:pPr>
    </w:p>
    <w:p w14:paraId="0DFB6197" w14:textId="7A6C7FC0" w:rsidR="00D04760" w:rsidRPr="00442F26" w:rsidRDefault="00D04760" w:rsidP="006F7144">
      <w:pPr>
        <w:pStyle w:val="NormalWeb"/>
        <w:spacing w:before="0" w:beforeAutospacing="0" w:after="0" w:afterAutospacing="0"/>
        <w:contextualSpacing/>
        <w:rPr>
          <w:color w:val="auto"/>
        </w:rPr>
      </w:pPr>
      <w:bookmarkStart w:id="3" w:name="Keywords"/>
      <w:r w:rsidRPr="00442F26">
        <w:rPr>
          <w:b/>
          <w:bCs/>
          <w:color w:val="auto"/>
        </w:rPr>
        <w:t>KEYWORDS</w:t>
      </w:r>
      <w:bookmarkEnd w:id="3"/>
      <w:r w:rsidRPr="00442F26">
        <w:rPr>
          <w:b/>
          <w:bCs/>
          <w:color w:val="auto"/>
        </w:rPr>
        <w:t>:</w:t>
      </w:r>
      <w:r w:rsidRPr="00442F26">
        <w:rPr>
          <w:color w:val="auto"/>
        </w:rPr>
        <w:t xml:space="preserve"> </w:t>
      </w:r>
    </w:p>
    <w:p w14:paraId="684699F1" w14:textId="488B5D21" w:rsidR="00D04760" w:rsidRPr="00442F26" w:rsidRDefault="00725AEE" w:rsidP="006F7144">
      <w:pPr>
        <w:contextualSpacing/>
        <w:rPr>
          <w:b/>
          <w:color w:val="auto"/>
        </w:rPr>
      </w:pPr>
      <w:r w:rsidRPr="00442F26">
        <w:rPr>
          <w:rFonts w:eastAsia="Palatino Linotype"/>
          <w:color w:val="auto"/>
        </w:rPr>
        <w:t>In vitro</w:t>
      </w:r>
      <w:r w:rsidR="00FC1047" w:rsidRPr="00442F26">
        <w:rPr>
          <w:rFonts w:eastAsia="Palatino Linotype"/>
          <w:color w:val="auto"/>
        </w:rPr>
        <w:t xml:space="preserve"> Liver Models; Nanomaterials; Hazard Assessment; Long-term Exposure; Nano(</w:t>
      </w:r>
      <w:proofErr w:type="spellStart"/>
      <w:r w:rsidR="00FC1047" w:rsidRPr="00442F26">
        <w:rPr>
          <w:rFonts w:eastAsia="Palatino Linotype"/>
          <w:color w:val="auto"/>
        </w:rPr>
        <w:t>geno</w:t>
      </w:r>
      <w:proofErr w:type="spellEnd"/>
      <w:r w:rsidR="00FC1047" w:rsidRPr="00442F26">
        <w:rPr>
          <w:rFonts w:eastAsia="Palatino Linotype"/>
          <w:color w:val="auto"/>
        </w:rPr>
        <w:t>)toxicology; DNA Damage</w:t>
      </w:r>
      <w:r w:rsidR="00CC542D" w:rsidRPr="00442F26">
        <w:rPr>
          <w:rFonts w:eastAsia="Palatino Linotype"/>
          <w:color w:val="auto"/>
        </w:rPr>
        <w:t xml:space="preserve"> </w:t>
      </w:r>
    </w:p>
    <w:p w14:paraId="4C5DA4AD" w14:textId="77777777" w:rsidR="00FC1047" w:rsidRPr="00442F26" w:rsidRDefault="00FC1047" w:rsidP="006F7144">
      <w:pPr>
        <w:contextualSpacing/>
        <w:rPr>
          <w:b/>
          <w:color w:val="auto"/>
        </w:rPr>
      </w:pPr>
    </w:p>
    <w:p w14:paraId="5DCE9257" w14:textId="0BE1A164" w:rsidR="00B32616" w:rsidRPr="00442F26" w:rsidRDefault="00725AEE" w:rsidP="006F7144">
      <w:pPr>
        <w:contextualSpacing/>
        <w:rPr>
          <w:color w:val="auto"/>
        </w:rPr>
      </w:pPr>
      <w:r w:rsidRPr="00442F26">
        <w:rPr>
          <w:b/>
          <w:bCs/>
          <w:color w:val="auto"/>
        </w:rPr>
        <w:t>SUMMARY</w:t>
      </w:r>
      <w:r w:rsidR="00B32616" w:rsidRPr="00442F26">
        <w:rPr>
          <w:b/>
          <w:bCs/>
          <w:color w:val="auto"/>
        </w:rPr>
        <w:t>:</w:t>
      </w:r>
    </w:p>
    <w:p w14:paraId="4209E53C" w14:textId="4C4D0431" w:rsidR="00B32616" w:rsidRPr="00442F26" w:rsidRDefault="00B40626" w:rsidP="006F7144">
      <w:pPr>
        <w:contextualSpacing/>
        <w:rPr>
          <w:bCs/>
          <w:color w:val="auto"/>
        </w:rPr>
      </w:pPr>
      <w:r w:rsidRPr="00442F26">
        <w:rPr>
          <w:bCs/>
          <w:color w:val="auto"/>
        </w:rPr>
        <w:t xml:space="preserve">This </w:t>
      </w:r>
      <w:r w:rsidR="00725AEE" w:rsidRPr="00442F26">
        <w:rPr>
          <w:bCs/>
          <w:color w:val="auto"/>
        </w:rPr>
        <w:t>procedure</w:t>
      </w:r>
      <w:r w:rsidRPr="00442F26">
        <w:rPr>
          <w:bCs/>
          <w:color w:val="auto"/>
        </w:rPr>
        <w:t xml:space="preserve"> was established to be used for developing advanced 3D hepatic cultures </w:t>
      </w:r>
      <w:r w:rsidR="00725AEE" w:rsidRPr="00442F26">
        <w:rPr>
          <w:bCs/>
          <w:color w:val="auto"/>
        </w:rPr>
        <w:t>in vitro,</w:t>
      </w:r>
      <w:r w:rsidRPr="00442F26">
        <w:rPr>
          <w:bCs/>
          <w:color w:val="auto"/>
        </w:rPr>
        <w:t xml:space="preserve"> which can provide a more physiologically relevant assessment of the</w:t>
      </w:r>
      <w:r w:rsidR="00EF0CFE" w:rsidRPr="00442F26">
        <w:rPr>
          <w:bCs/>
          <w:color w:val="auto"/>
        </w:rPr>
        <w:t xml:space="preserve"> genotoxic</w:t>
      </w:r>
      <w:r w:rsidRPr="00442F26">
        <w:rPr>
          <w:bCs/>
          <w:color w:val="auto"/>
        </w:rPr>
        <w:t xml:space="preserve"> hazards associated with </w:t>
      </w:r>
      <w:r w:rsidR="00EF0CFE" w:rsidRPr="00442F26">
        <w:rPr>
          <w:bCs/>
          <w:color w:val="auto"/>
        </w:rPr>
        <w:t>nanomaterial</w:t>
      </w:r>
      <w:r w:rsidRPr="00442F26">
        <w:rPr>
          <w:bCs/>
          <w:color w:val="auto"/>
        </w:rPr>
        <w:t xml:space="preserve"> exposures over both an acute </w:t>
      </w:r>
      <w:proofErr w:type="gramStart"/>
      <w:r w:rsidRPr="00442F26">
        <w:rPr>
          <w:bCs/>
          <w:color w:val="auto"/>
        </w:rPr>
        <w:t>or</w:t>
      </w:r>
      <w:proofErr w:type="gramEnd"/>
      <w:r w:rsidRPr="00442F26">
        <w:rPr>
          <w:bCs/>
          <w:color w:val="auto"/>
        </w:rPr>
        <w:t xml:space="preserve"> long-term, repeated dose regime</w:t>
      </w:r>
      <w:r w:rsidR="001C5780" w:rsidRPr="00442F26">
        <w:rPr>
          <w:bCs/>
          <w:color w:val="auto"/>
        </w:rPr>
        <w:t>s</w:t>
      </w:r>
      <w:r w:rsidRPr="00442F26">
        <w:rPr>
          <w:bCs/>
          <w:color w:val="auto"/>
        </w:rPr>
        <w:t xml:space="preserve">. </w:t>
      </w:r>
    </w:p>
    <w:p w14:paraId="28D2BD23" w14:textId="77777777" w:rsidR="00B40626" w:rsidRPr="00442F26" w:rsidRDefault="00B40626" w:rsidP="006F7144">
      <w:pPr>
        <w:contextualSpacing/>
        <w:rPr>
          <w:b/>
          <w:color w:val="auto"/>
        </w:rPr>
      </w:pPr>
    </w:p>
    <w:p w14:paraId="030AC430" w14:textId="631797D4" w:rsidR="00B32616" w:rsidRPr="00442F26" w:rsidRDefault="00B32616" w:rsidP="006F7144">
      <w:pPr>
        <w:contextualSpacing/>
        <w:rPr>
          <w:i/>
          <w:color w:val="auto"/>
        </w:rPr>
      </w:pPr>
      <w:bookmarkStart w:id="4" w:name="Long_Abstract"/>
      <w:r w:rsidRPr="00442F26">
        <w:rPr>
          <w:b/>
          <w:bCs/>
          <w:color w:val="auto"/>
        </w:rPr>
        <w:t>ABSTRACT</w:t>
      </w:r>
      <w:bookmarkEnd w:id="4"/>
      <w:r w:rsidRPr="00442F26">
        <w:rPr>
          <w:b/>
          <w:bCs/>
          <w:color w:val="auto"/>
        </w:rPr>
        <w:t>:</w:t>
      </w:r>
      <w:r w:rsidRPr="00442F26">
        <w:rPr>
          <w:color w:val="auto"/>
        </w:rPr>
        <w:t xml:space="preserve"> </w:t>
      </w:r>
    </w:p>
    <w:p w14:paraId="7A047CAD" w14:textId="7092B1CD" w:rsidR="00B32616" w:rsidRPr="00442F26" w:rsidRDefault="00EA7E51" w:rsidP="006F7144">
      <w:pPr>
        <w:contextualSpacing/>
        <w:rPr>
          <w:color w:val="auto"/>
        </w:rPr>
      </w:pPr>
      <w:r w:rsidRPr="00442F26">
        <w:rPr>
          <w:color w:val="auto"/>
        </w:rPr>
        <w:t xml:space="preserve">Due to the rapid development and implementation of a diverse array of engineered nanomaterials (ENM), exposure to ENM is inevitable and the development of robust, predictive </w:t>
      </w:r>
      <w:r w:rsidR="00725AEE" w:rsidRPr="00442F26">
        <w:rPr>
          <w:color w:val="auto"/>
        </w:rPr>
        <w:t>in vitro</w:t>
      </w:r>
      <w:r w:rsidRPr="00442F26">
        <w:rPr>
          <w:color w:val="auto"/>
        </w:rPr>
        <w:t xml:space="preserve"> test systems is essential. Hepatic toxicology is key when considering ENM exposure, as the liver serves a vital role in metabolic homeostasis and detoxification as well as being a major site of ENM accumulation post exposure. Based upon this and the accepted understanding that 2D hepatocyte models do not accurately mimic the complexities of intricate multi-cellular interactions and metabolic activity observed </w:t>
      </w:r>
      <w:r w:rsidR="00725AEE" w:rsidRPr="00442F26">
        <w:rPr>
          <w:color w:val="auto"/>
        </w:rPr>
        <w:t>in vivo</w:t>
      </w:r>
      <w:r w:rsidRPr="00442F26">
        <w:rPr>
          <w:color w:val="auto"/>
        </w:rPr>
        <w:t xml:space="preserve">, there is a greater focus on the development of physiologically relevant 3D liver models tailored for ENM hazard assessment purposes </w:t>
      </w:r>
      <w:r w:rsidR="00725AEE" w:rsidRPr="00442F26">
        <w:rPr>
          <w:color w:val="auto"/>
        </w:rPr>
        <w:t>in vitro</w:t>
      </w:r>
      <w:r w:rsidRPr="00442F26">
        <w:rPr>
          <w:color w:val="auto"/>
        </w:rPr>
        <w:t xml:space="preserve">. In line with the </w:t>
      </w:r>
      <w:r w:rsidR="00F94D35" w:rsidRPr="00442F26">
        <w:rPr>
          <w:color w:val="auto"/>
        </w:rPr>
        <w:t xml:space="preserve">principles of the </w:t>
      </w:r>
      <w:r w:rsidRPr="00442F26">
        <w:rPr>
          <w:color w:val="auto"/>
        </w:rPr>
        <w:t>3Rs to replace, reduce and refine animal experimentation, a 3D HepG2 cell-line based liver model has been developed, which is a user friendly, cost effective system that can support both extended and repeated ENM exposure regimes</w:t>
      </w:r>
      <w:r w:rsidR="001C5780" w:rsidRPr="00442F26">
        <w:rPr>
          <w:color w:val="auto"/>
        </w:rPr>
        <w:t xml:space="preserve"> (≤14 days)</w:t>
      </w:r>
      <w:r w:rsidRPr="00442F26">
        <w:rPr>
          <w:color w:val="auto"/>
        </w:rPr>
        <w:t>. These spheroid models (</w:t>
      </w:r>
      <w:r w:rsidR="00B74613" w:rsidRPr="00442F26">
        <w:rPr>
          <w:color w:val="auto"/>
        </w:rPr>
        <w:t>≥</w:t>
      </w:r>
      <w:r w:rsidRPr="00442F26">
        <w:rPr>
          <w:color w:val="auto"/>
        </w:rPr>
        <w:t>500</w:t>
      </w:r>
      <w:r w:rsidR="004628C0" w:rsidRPr="00442F26">
        <w:rPr>
          <w:color w:val="auto"/>
        </w:rPr>
        <w:t xml:space="preserve"> </w:t>
      </w:r>
      <w:r w:rsidRPr="00442F26">
        <w:rPr>
          <w:color w:val="auto"/>
        </w:rPr>
        <w:t>µm in diameter) retain their proliferative capacity (</w:t>
      </w:r>
      <w:r w:rsidR="00725AEE" w:rsidRPr="00442F26">
        <w:rPr>
          <w:color w:val="auto"/>
        </w:rPr>
        <w:t xml:space="preserve">i.e., </w:t>
      </w:r>
      <w:r w:rsidRPr="00442F26">
        <w:rPr>
          <w:color w:val="auto"/>
        </w:rPr>
        <w:t xml:space="preserve">dividing cell </w:t>
      </w:r>
      <w:r w:rsidRPr="00442F26">
        <w:rPr>
          <w:color w:val="auto"/>
        </w:rPr>
        <w:lastRenderedPageBreak/>
        <w:t xml:space="preserve">models) allowing them to be coupled with the ‘gold standard’ micronucleus assay to effectively assess genotoxicity </w:t>
      </w:r>
      <w:r w:rsidR="00725AEE" w:rsidRPr="00442F26">
        <w:rPr>
          <w:color w:val="auto"/>
        </w:rPr>
        <w:t>in vitro</w:t>
      </w:r>
      <w:r w:rsidRPr="00442F26">
        <w:rPr>
          <w:color w:val="auto"/>
        </w:rPr>
        <w:t xml:space="preserve">. Their ability to </w:t>
      </w:r>
      <w:r w:rsidR="001C5780" w:rsidRPr="00442F26">
        <w:rPr>
          <w:color w:val="auto"/>
        </w:rPr>
        <w:t xml:space="preserve">report on </w:t>
      </w:r>
      <w:r w:rsidRPr="00442F26">
        <w:rPr>
          <w:color w:val="auto"/>
        </w:rPr>
        <w:t>a range of toxicological endpoints (</w:t>
      </w:r>
      <w:r w:rsidR="00725AEE" w:rsidRPr="00442F26">
        <w:rPr>
          <w:color w:val="auto"/>
        </w:rPr>
        <w:t xml:space="preserve">e.g., </w:t>
      </w:r>
      <w:r w:rsidRPr="00442F26">
        <w:rPr>
          <w:color w:val="auto"/>
        </w:rPr>
        <w:t>liver function, (pro-)inflammatory response, cytotoxicity and genotoxicity) has been characteri</w:t>
      </w:r>
      <w:r w:rsidR="004628C0" w:rsidRPr="00442F26">
        <w:rPr>
          <w:color w:val="auto"/>
        </w:rPr>
        <w:t>z</w:t>
      </w:r>
      <w:r w:rsidRPr="00442F26">
        <w:rPr>
          <w:color w:val="auto"/>
        </w:rPr>
        <w:t>ed using several ENMs across both acute (24</w:t>
      </w:r>
      <w:r w:rsidR="004628C0" w:rsidRPr="00442F26">
        <w:rPr>
          <w:color w:val="auto"/>
        </w:rPr>
        <w:t xml:space="preserve"> h</w:t>
      </w:r>
      <w:r w:rsidRPr="00442F26">
        <w:rPr>
          <w:color w:val="auto"/>
        </w:rPr>
        <w:t>) and long-term (120</w:t>
      </w:r>
      <w:r w:rsidR="004628C0" w:rsidRPr="00442F26">
        <w:rPr>
          <w:color w:val="auto"/>
        </w:rPr>
        <w:t xml:space="preserve"> h</w:t>
      </w:r>
      <w:r w:rsidRPr="00442F26">
        <w:rPr>
          <w:color w:val="auto"/>
        </w:rPr>
        <w:t xml:space="preserve">) exposure regimes. This 3D </w:t>
      </w:r>
      <w:r w:rsidR="00725AEE" w:rsidRPr="00442F26">
        <w:rPr>
          <w:color w:val="auto"/>
        </w:rPr>
        <w:t>in vitro</w:t>
      </w:r>
      <w:r w:rsidRPr="00442F26">
        <w:rPr>
          <w:color w:val="auto"/>
        </w:rPr>
        <w:t xml:space="preserve"> hepatic model has the capacity to be utili</w:t>
      </w:r>
      <w:r w:rsidR="00E06DFD" w:rsidRPr="00442F26">
        <w:rPr>
          <w:color w:val="auto"/>
        </w:rPr>
        <w:t>z</w:t>
      </w:r>
      <w:r w:rsidRPr="00442F26">
        <w:rPr>
          <w:color w:val="auto"/>
        </w:rPr>
        <w:t xml:space="preserve">ed for evaluating more realistic ENM exposures, thereby providing a future </w:t>
      </w:r>
      <w:r w:rsidR="00725AEE" w:rsidRPr="00442F26">
        <w:rPr>
          <w:color w:val="auto"/>
        </w:rPr>
        <w:t>in vitro</w:t>
      </w:r>
      <w:r w:rsidRPr="00442F26">
        <w:rPr>
          <w:i/>
          <w:iCs/>
          <w:color w:val="auto"/>
        </w:rPr>
        <w:t xml:space="preserve"> </w:t>
      </w:r>
      <w:r w:rsidRPr="00442F26">
        <w:rPr>
          <w:color w:val="auto"/>
        </w:rPr>
        <w:t>approach to better support ENM hazard assessment in a routine and easily accessible manner.</w:t>
      </w:r>
    </w:p>
    <w:p w14:paraId="49F35C2D" w14:textId="77777777" w:rsidR="00EA7E51" w:rsidRPr="00442F26" w:rsidRDefault="00EA7E51" w:rsidP="006F7144">
      <w:pPr>
        <w:contextualSpacing/>
        <w:rPr>
          <w:color w:val="auto"/>
        </w:rPr>
      </w:pPr>
    </w:p>
    <w:p w14:paraId="192FEC3D" w14:textId="52F92CAB" w:rsidR="00B32616" w:rsidRPr="00442F26" w:rsidRDefault="00B32616" w:rsidP="006F7144">
      <w:pPr>
        <w:contextualSpacing/>
        <w:rPr>
          <w:i/>
          <w:color w:val="auto"/>
        </w:rPr>
      </w:pPr>
      <w:bookmarkStart w:id="5" w:name="Introduction"/>
      <w:r w:rsidRPr="00442F26">
        <w:rPr>
          <w:b/>
          <w:color w:val="auto"/>
        </w:rPr>
        <w:t>INTRODUCTION</w:t>
      </w:r>
      <w:bookmarkEnd w:id="5"/>
      <w:r w:rsidRPr="00442F26">
        <w:rPr>
          <w:b/>
          <w:bCs/>
          <w:color w:val="auto"/>
        </w:rPr>
        <w:t>:</w:t>
      </w:r>
      <w:r w:rsidRPr="00442F26">
        <w:rPr>
          <w:color w:val="auto"/>
        </w:rPr>
        <w:t xml:space="preserve"> </w:t>
      </w:r>
    </w:p>
    <w:p w14:paraId="3686421B" w14:textId="74AA2A16" w:rsidR="00CC0A26" w:rsidRPr="00442F26" w:rsidRDefault="00A01923" w:rsidP="006F7144">
      <w:pPr>
        <w:contextualSpacing/>
        <w:rPr>
          <w:color w:val="auto"/>
          <w:lang w:val="en-GB"/>
        </w:rPr>
      </w:pPr>
      <w:r w:rsidRPr="00442F26">
        <w:rPr>
          <w:color w:val="auto"/>
          <w:lang w:val="en-GB"/>
        </w:rPr>
        <w:t>Due to the rapid development and implementation of a diverse array of engineered nanomaterials (ENM)</w:t>
      </w:r>
      <w:r w:rsidR="002104EE" w:rsidRPr="00442F26">
        <w:rPr>
          <w:color w:val="auto"/>
          <w:lang w:val="en-GB"/>
        </w:rPr>
        <w:t xml:space="preserve"> across a plethora of human-based applications (</w:t>
      </w:r>
      <w:r w:rsidR="00725AEE" w:rsidRPr="00442F26">
        <w:rPr>
          <w:color w:val="auto"/>
          <w:lang w:val="en-GB"/>
        </w:rPr>
        <w:t xml:space="preserve">e.g., </w:t>
      </w:r>
      <w:r w:rsidR="00A839B3" w:rsidRPr="00442F26">
        <w:rPr>
          <w:color w:val="auto"/>
          <w:lang w:val="en-GB"/>
        </w:rPr>
        <w:t xml:space="preserve">food, </w:t>
      </w:r>
      <w:r w:rsidR="002104EE" w:rsidRPr="00442F26">
        <w:rPr>
          <w:color w:val="auto"/>
          <w:lang w:val="en-GB"/>
        </w:rPr>
        <w:t>cosmetics, clothing, sporting equipment, electronics, transport and medicine)</w:t>
      </w:r>
      <w:r w:rsidR="003C3173" w:rsidRPr="00442F26">
        <w:rPr>
          <w:color w:val="auto"/>
          <w:lang w:val="en-GB"/>
        </w:rPr>
        <w:t>,</w:t>
      </w:r>
      <w:r w:rsidRPr="00442F26">
        <w:rPr>
          <w:color w:val="auto"/>
          <w:lang w:val="en-GB"/>
        </w:rPr>
        <w:t xml:space="preserve"> it is inevitable that humans will be exposed to ENM on a regular basis. </w:t>
      </w:r>
      <w:r w:rsidR="00CB5CB1" w:rsidRPr="00442F26">
        <w:rPr>
          <w:color w:val="auto"/>
          <w:lang w:val="en-GB"/>
        </w:rPr>
        <w:t>With this</w:t>
      </w:r>
      <w:r w:rsidR="007B4D3A" w:rsidRPr="00442F26">
        <w:rPr>
          <w:color w:val="auto"/>
          <w:lang w:val="en-GB"/>
        </w:rPr>
        <w:t>,</w:t>
      </w:r>
      <w:r w:rsidR="00CB5CB1" w:rsidRPr="00442F26">
        <w:rPr>
          <w:color w:val="auto"/>
          <w:lang w:val="en-GB"/>
        </w:rPr>
        <w:t xml:space="preserve"> there are heightened concerns that the novel</w:t>
      </w:r>
      <w:r w:rsidR="00B96BAE" w:rsidRPr="00442F26">
        <w:rPr>
          <w:color w:val="auto"/>
          <w:lang w:val="en-GB"/>
        </w:rPr>
        <w:t>,</w:t>
      </w:r>
      <w:r w:rsidR="00CB5CB1" w:rsidRPr="00442F26">
        <w:rPr>
          <w:color w:val="auto"/>
          <w:lang w:val="en-GB"/>
        </w:rPr>
        <w:t xml:space="preserve"> size specific physio-chemical characteristics </w:t>
      </w:r>
      <w:r w:rsidR="003C3173" w:rsidRPr="00442F26">
        <w:rPr>
          <w:color w:val="auto"/>
          <w:lang w:val="en-GB"/>
        </w:rPr>
        <w:t>that</w:t>
      </w:r>
      <w:r w:rsidR="00CB5CB1" w:rsidRPr="00442F26">
        <w:rPr>
          <w:color w:val="auto"/>
          <w:lang w:val="en-GB"/>
        </w:rPr>
        <w:t xml:space="preserve"> deem these materials advantageous in numerous applications could </w:t>
      </w:r>
      <w:r w:rsidR="009F37F6" w:rsidRPr="00442F26">
        <w:rPr>
          <w:color w:val="auto"/>
          <w:lang w:val="en-GB"/>
        </w:rPr>
        <w:t>cause</w:t>
      </w:r>
      <w:r w:rsidR="00CB5CB1" w:rsidRPr="00442F26">
        <w:rPr>
          <w:color w:val="auto"/>
          <w:lang w:val="en-GB"/>
        </w:rPr>
        <w:t xml:space="preserve"> adverse effects upon human health and the environment</w:t>
      </w:r>
      <w:r w:rsidR="00CC0A26" w:rsidRPr="00442F26">
        <w:rPr>
          <w:color w:val="auto"/>
          <w:lang w:val="en-GB"/>
        </w:rPr>
        <w:t xml:space="preserve"> concomitantly</w:t>
      </w:r>
      <w:r w:rsidR="00CB5CB1" w:rsidRPr="00442F26">
        <w:rPr>
          <w:color w:val="auto"/>
          <w:lang w:val="en-GB"/>
        </w:rPr>
        <w:t>. C</w:t>
      </w:r>
      <w:r w:rsidRPr="00442F26">
        <w:rPr>
          <w:color w:val="auto"/>
          <w:lang w:val="en-GB"/>
        </w:rPr>
        <w:t xml:space="preserve">urrently many international activities </w:t>
      </w:r>
      <w:r w:rsidR="00CB5CB1" w:rsidRPr="00442F26">
        <w:rPr>
          <w:color w:val="auto"/>
          <w:lang w:val="en-GB"/>
        </w:rPr>
        <w:t xml:space="preserve">are </w:t>
      </w:r>
      <w:r w:rsidRPr="00442F26">
        <w:rPr>
          <w:color w:val="auto"/>
          <w:lang w:val="en-GB"/>
        </w:rPr>
        <w:t xml:space="preserve">in place to </w:t>
      </w:r>
      <w:r w:rsidR="00CB5CB1" w:rsidRPr="00442F26">
        <w:rPr>
          <w:color w:val="auto"/>
          <w:lang w:val="en-GB"/>
        </w:rPr>
        <w:t xml:space="preserve">actively </w:t>
      </w:r>
      <w:r w:rsidR="00680CAE" w:rsidRPr="00442F26">
        <w:rPr>
          <w:color w:val="auto"/>
          <w:lang w:val="en-GB"/>
        </w:rPr>
        <w:t>reflect more physiologically relevant</w:t>
      </w:r>
      <w:r w:rsidR="00CB5CB1" w:rsidRPr="00442F26">
        <w:rPr>
          <w:color w:val="auto"/>
          <w:lang w:val="en-GB"/>
        </w:rPr>
        <w:t xml:space="preserve"> exposure</w:t>
      </w:r>
      <w:r w:rsidR="00A839B3" w:rsidRPr="00442F26">
        <w:rPr>
          <w:color w:val="auto"/>
          <w:lang w:val="en-GB"/>
        </w:rPr>
        <w:t>s</w:t>
      </w:r>
      <w:r w:rsidR="00CB5CB1" w:rsidRPr="00442F26">
        <w:rPr>
          <w:color w:val="auto"/>
          <w:lang w:val="en-GB"/>
        </w:rPr>
        <w:t xml:space="preserve"> to these ENM and </w:t>
      </w:r>
      <w:r w:rsidRPr="00442F26">
        <w:rPr>
          <w:color w:val="auto"/>
          <w:lang w:val="en-GB"/>
        </w:rPr>
        <w:t>assess the potential toxicity of</w:t>
      </w:r>
      <w:r w:rsidR="00725AEE" w:rsidRPr="00442F26">
        <w:rPr>
          <w:color w:val="auto"/>
          <w:lang w:val="en-GB"/>
        </w:rPr>
        <w:t xml:space="preserve"> </w:t>
      </w:r>
      <w:r w:rsidRPr="00442F26">
        <w:rPr>
          <w:color w:val="auto"/>
          <w:lang w:val="en-GB"/>
        </w:rPr>
        <w:t>these</w:t>
      </w:r>
      <w:r w:rsidR="00725AEE" w:rsidRPr="00442F26">
        <w:rPr>
          <w:color w:val="auto"/>
          <w:lang w:val="en-GB"/>
        </w:rPr>
        <w:t xml:space="preserve"> </w:t>
      </w:r>
      <w:r w:rsidRPr="00442F26">
        <w:rPr>
          <w:color w:val="auto"/>
          <w:lang w:val="en-GB"/>
        </w:rPr>
        <w:t>materials over acute, long</w:t>
      </w:r>
      <w:r w:rsidR="00CB5CB1" w:rsidRPr="00442F26">
        <w:rPr>
          <w:color w:val="auto"/>
          <w:lang w:val="en-GB"/>
        </w:rPr>
        <w:t>-</w:t>
      </w:r>
      <w:r w:rsidRPr="00442F26">
        <w:rPr>
          <w:color w:val="auto"/>
          <w:lang w:val="en-GB"/>
        </w:rPr>
        <w:t>term, and repeated low-dose exposure scenarios.</w:t>
      </w:r>
      <w:r w:rsidR="00CB5CB1" w:rsidRPr="00442F26">
        <w:rPr>
          <w:color w:val="auto"/>
          <w:lang w:val="en-GB"/>
        </w:rPr>
        <w:t xml:space="preserve"> </w:t>
      </w:r>
    </w:p>
    <w:p w14:paraId="532B5E19" w14:textId="77777777" w:rsidR="00CD266B" w:rsidRPr="00442F26" w:rsidRDefault="00CD266B" w:rsidP="006F7144">
      <w:pPr>
        <w:contextualSpacing/>
        <w:rPr>
          <w:color w:val="auto"/>
          <w:lang w:val="en-GB"/>
        </w:rPr>
      </w:pPr>
    </w:p>
    <w:p w14:paraId="114D57A3" w14:textId="72806BBA" w:rsidR="00121BF0" w:rsidRPr="00442F26" w:rsidRDefault="00A01923" w:rsidP="006F7144">
      <w:pPr>
        <w:contextualSpacing/>
        <w:rPr>
          <w:color w:val="auto"/>
          <w:lang w:val="en-GB"/>
        </w:rPr>
      </w:pPr>
      <w:r w:rsidRPr="00442F26">
        <w:rPr>
          <w:color w:val="auto"/>
          <w:lang w:val="en-GB"/>
        </w:rPr>
        <w:t xml:space="preserve">Hepatic toxicology is key when considering </w:t>
      </w:r>
      <w:r w:rsidR="000E460B" w:rsidRPr="00442F26">
        <w:rPr>
          <w:color w:val="auto"/>
          <w:lang w:val="en-GB"/>
        </w:rPr>
        <w:t>ENM</w:t>
      </w:r>
      <w:r w:rsidRPr="00442F26">
        <w:rPr>
          <w:color w:val="auto"/>
          <w:lang w:val="en-GB"/>
        </w:rPr>
        <w:t xml:space="preserve"> exposure, as it </w:t>
      </w:r>
      <w:r w:rsidR="009F37F6" w:rsidRPr="00442F26">
        <w:rPr>
          <w:color w:val="auto"/>
          <w:lang w:val="en-GB"/>
        </w:rPr>
        <w:t xml:space="preserve">is </w:t>
      </w:r>
      <w:r w:rsidRPr="00442F26">
        <w:rPr>
          <w:color w:val="auto"/>
          <w:lang w:val="en-GB"/>
        </w:rPr>
        <w:t>widely known that the liver is a major site of ENM accumulation post exposure</w:t>
      </w:r>
      <w:r w:rsidR="00B24646" w:rsidRPr="00442F26">
        <w:rPr>
          <w:color w:val="auto"/>
          <w:vertAlign w:val="superscript"/>
          <w:lang w:val="en-GB"/>
        </w:rPr>
        <w:t>1,2</w:t>
      </w:r>
      <w:r w:rsidRPr="00442F26">
        <w:rPr>
          <w:color w:val="auto"/>
          <w:lang w:val="en-GB"/>
        </w:rPr>
        <w:t>.</w:t>
      </w:r>
      <w:r w:rsidR="002104EE" w:rsidRPr="00442F26">
        <w:rPr>
          <w:color w:val="auto"/>
          <w:lang w:val="en-GB"/>
        </w:rPr>
        <w:t xml:space="preserve"> </w:t>
      </w:r>
      <w:r w:rsidR="00CC0A26" w:rsidRPr="00442F26">
        <w:rPr>
          <w:color w:val="auto"/>
          <w:lang w:val="en-GB"/>
        </w:rPr>
        <w:t>Moreover,</w:t>
      </w:r>
      <w:r w:rsidR="009A0048" w:rsidRPr="00442F26">
        <w:rPr>
          <w:color w:val="auto"/>
          <w:lang w:val="en-GB"/>
        </w:rPr>
        <w:t xml:space="preserve"> the liver is the primary organ system for metabolism and detoxification of substances </w:t>
      </w:r>
      <w:r w:rsidR="007B4D3A" w:rsidRPr="00442F26">
        <w:rPr>
          <w:color w:val="auto"/>
          <w:lang w:val="en-GB"/>
        </w:rPr>
        <w:t xml:space="preserve">that </w:t>
      </w:r>
      <w:r w:rsidR="003C3173" w:rsidRPr="00442F26">
        <w:rPr>
          <w:color w:val="auto"/>
          <w:lang w:val="en-GB"/>
        </w:rPr>
        <w:t>enter</w:t>
      </w:r>
      <w:r w:rsidR="000E460B" w:rsidRPr="00442F26">
        <w:rPr>
          <w:color w:val="auto"/>
          <w:lang w:val="en-GB"/>
        </w:rPr>
        <w:t xml:space="preserve"> </w:t>
      </w:r>
      <w:r w:rsidR="009A0048" w:rsidRPr="00442F26">
        <w:rPr>
          <w:color w:val="auto"/>
          <w:lang w:val="en-GB"/>
        </w:rPr>
        <w:t>systemic circulation</w:t>
      </w:r>
      <w:r w:rsidR="00B24646" w:rsidRPr="00442F26">
        <w:rPr>
          <w:color w:val="auto"/>
          <w:vertAlign w:val="superscript"/>
          <w:lang w:val="en-GB"/>
        </w:rPr>
        <w:t>3</w:t>
      </w:r>
      <w:r w:rsidR="009A0048" w:rsidRPr="00442F26">
        <w:rPr>
          <w:color w:val="auto"/>
          <w:lang w:val="en-GB"/>
        </w:rPr>
        <w:t xml:space="preserve">. </w:t>
      </w:r>
      <w:r w:rsidRPr="00442F26">
        <w:rPr>
          <w:color w:val="auto"/>
          <w:lang w:val="en-GB"/>
        </w:rPr>
        <w:t xml:space="preserve">Based upon the accepted understanding that 2D hepatocyte models do not accurately mimic the complexities of intricate multicellular interactions </w:t>
      </w:r>
      <w:r w:rsidR="007B4D3A" w:rsidRPr="00442F26">
        <w:rPr>
          <w:color w:val="auto"/>
          <w:lang w:val="en-GB"/>
        </w:rPr>
        <w:t xml:space="preserve">or appropriately represent </w:t>
      </w:r>
      <w:r w:rsidRPr="00442F26">
        <w:rPr>
          <w:color w:val="auto"/>
          <w:lang w:val="en-GB"/>
        </w:rPr>
        <w:t xml:space="preserve">metabolic activity observed </w:t>
      </w:r>
      <w:r w:rsidR="00725AEE" w:rsidRPr="00442F26">
        <w:rPr>
          <w:color w:val="auto"/>
          <w:lang w:val="en-GB"/>
        </w:rPr>
        <w:t>in vivo</w:t>
      </w:r>
      <w:r w:rsidRPr="00442F26">
        <w:rPr>
          <w:color w:val="auto"/>
          <w:lang w:val="en-GB"/>
        </w:rPr>
        <w:t xml:space="preserve">, a greater focus into developing robust and physiologically relevant </w:t>
      </w:r>
      <w:r w:rsidR="00725AEE" w:rsidRPr="00442F26">
        <w:rPr>
          <w:color w:val="auto"/>
          <w:lang w:val="en-GB"/>
        </w:rPr>
        <w:t>in vitro</w:t>
      </w:r>
      <w:r w:rsidRPr="00442F26">
        <w:rPr>
          <w:color w:val="auto"/>
          <w:lang w:val="en-GB"/>
        </w:rPr>
        <w:t xml:space="preserve"> 3D liver models for </w:t>
      </w:r>
      <w:r w:rsidR="00725AEE" w:rsidRPr="00442F26">
        <w:rPr>
          <w:color w:val="auto"/>
          <w:lang w:val="en-GB"/>
        </w:rPr>
        <w:t>in vivo</w:t>
      </w:r>
      <w:r w:rsidRPr="00442F26">
        <w:rPr>
          <w:color w:val="auto"/>
          <w:lang w:val="en-GB"/>
        </w:rPr>
        <w:t xml:space="preserve"> substitute technologies has been established</w:t>
      </w:r>
      <w:r w:rsidR="00B24646" w:rsidRPr="00442F26">
        <w:rPr>
          <w:color w:val="auto"/>
          <w:vertAlign w:val="superscript"/>
          <w:lang w:val="en-GB"/>
        </w:rPr>
        <w:t>4,5</w:t>
      </w:r>
      <w:r w:rsidR="00B24646" w:rsidRPr="00442F26">
        <w:rPr>
          <w:color w:val="auto"/>
          <w:lang w:val="en-GB"/>
        </w:rPr>
        <w:t xml:space="preserve">. </w:t>
      </w:r>
      <w:r w:rsidR="00717D0F" w:rsidRPr="00442F26">
        <w:rPr>
          <w:color w:val="auto"/>
          <w:lang w:val="en-GB"/>
        </w:rPr>
        <w:t>Utili</w:t>
      </w:r>
      <w:r w:rsidR="003C3173" w:rsidRPr="00442F26">
        <w:rPr>
          <w:color w:val="auto"/>
          <w:lang w:val="en-GB"/>
        </w:rPr>
        <w:t>z</w:t>
      </w:r>
      <w:r w:rsidR="00717D0F" w:rsidRPr="00442F26">
        <w:rPr>
          <w:color w:val="auto"/>
          <w:lang w:val="en-GB"/>
        </w:rPr>
        <w:t xml:space="preserve">ing advanced 3D </w:t>
      </w:r>
      <w:r w:rsidR="007B4D3A" w:rsidRPr="00442F26">
        <w:rPr>
          <w:color w:val="auto"/>
          <w:lang w:val="en-GB"/>
        </w:rPr>
        <w:t>culture technologies</w:t>
      </w:r>
      <w:r w:rsidR="00717D0F" w:rsidRPr="00442F26">
        <w:rPr>
          <w:color w:val="auto"/>
          <w:lang w:val="en-GB"/>
        </w:rPr>
        <w:t xml:space="preserve"> improve</w:t>
      </w:r>
      <w:r w:rsidR="00D12592" w:rsidRPr="00442F26">
        <w:rPr>
          <w:color w:val="auto"/>
          <w:lang w:val="en-GB"/>
        </w:rPr>
        <w:t>s</w:t>
      </w:r>
      <w:r w:rsidR="00717D0F" w:rsidRPr="00442F26">
        <w:rPr>
          <w:color w:val="auto"/>
          <w:lang w:val="en-GB"/>
        </w:rPr>
        <w:t xml:space="preserve"> the longevity of </w:t>
      </w:r>
      <w:r w:rsidR="00725AEE" w:rsidRPr="00442F26">
        <w:rPr>
          <w:color w:val="auto"/>
          <w:lang w:val="en-GB"/>
        </w:rPr>
        <w:t>in vitro</w:t>
      </w:r>
      <w:r w:rsidR="00717D0F" w:rsidRPr="00442F26">
        <w:rPr>
          <w:color w:val="auto"/>
          <w:lang w:val="en-GB"/>
        </w:rPr>
        <w:t xml:space="preserve"> hepatic models allowing for long</w:t>
      </w:r>
      <w:r w:rsidR="003C3173" w:rsidRPr="00442F26">
        <w:rPr>
          <w:color w:val="auto"/>
          <w:lang w:val="en-GB"/>
        </w:rPr>
        <w:t xml:space="preserve"> </w:t>
      </w:r>
      <w:r w:rsidR="00717D0F" w:rsidRPr="00442F26">
        <w:rPr>
          <w:color w:val="auto"/>
          <w:lang w:val="en-GB"/>
        </w:rPr>
        <w:t>term, repeated exposure regimes to be investigated</w:t>
      </w:r>
      <w:r w:rsidR="007B4D3A" w:rsidRPr="00442F26">
        <w:rPr>
          <w:color w:val="auto"/>
          <w:lang w:val="en-GB"/>
        </w:rPr>
        <w:t>. Additionally</w:t>
      </w:r>
      <w:r w:rsidR="00717D0F" w:rsidRPr="00442F26">
        <w:rPr>
          <w:color w:val="auto"/>
          <w:lang w:val="en-GB"/>
        </w:rPr>
        <w:t>,</w:t>
      </w:r>
      <w:r w:rsidR="007B4D3A" w:rsidRPr="00442F26">
        <w:rPr>
          <w:color w:val="auto"/>
          <w:lang w:val="en-GB"/>
        </w:rPr>
        <w:t xml:space="preserve"> this advanced culture format promotes the formation of </w:t>
      </w:r>
      <w:r w:rsidR="00717D0F" w:rsidRPr="00442F26">
        <w:rPr>
          <w:color w:val="auto"/>
          <w:lang w:val="en-GB"/>
        </w:rPr>
        <w:t xml:space="preserve">enhanced physiological, organotypic features </w:t>
      </w:r>
      <w:r w:rsidR="007B4D3A" w:rsidRPr="00442F26">
        <w:rPr>
          <w:color w:val="auto"/>
          <w:lang w:val="en-GB"/>
        </w:rPr>
        <w:t xml:space="preserve">such as </w:t>
      </w:r>
      <w:r w:rsidR="00717D0F" w:rsidRPr="00442F26">
        <w:rPr>
          <w:color w:val="auto"/>
          <w:lang w:val="en-GB"/>
        </w:rPr>
        <w:t xml:space="preserve">bile canaliculi, active transporter processes and </w:t>
      </w:r>
      <w:r w:rsidR="007B4D3A" w:rsidRPr="00442F26">
        <w:rPr>
          <w:color w:val="auto"/>
          <w:lang w:val="en-GB"/>
        </w:rPr>
        <w:t xml:space="preserve">improved </w:t>
      </w:r>
      <w:r w:rsidR="00717D0F" w:rsidRPr="00442F26">
        <w:rPr>
          <w:color w:val="auto"/>
          <w:lang w:val="en-GB"/>
        </w:rPr>
        <w:t>CYP450 drug metabolizing capabilities</w:t>
      </w:r>
      <w:r w:rsidR="003C3173" w:rsidRPr="00442F26">
        <w:rPr>
          <w:color w:val="auto"/>
          <w:lang w:val="en-GB"/>
        </w:rPr>
        <w:t>,</w:t>
      </w:r>
      <w:r w:rsidR="007B4D3A" w:rsidRPr="00442F26">
        <w:rPr>
          <w:color w:val="auto"/>
          <w:lang w:val="en-GB"/>
        </w:rPr>
        <w:t xml:space="preserve"> </w:t>
      </w:r>
      <w:r w:rsidR="00717D0F" w:rsidRPr="00442F26">
        <w:rPr>
          <w:color w:val="auto"/>
          <w:lang w:val="en-GB"/>
        </w:rPr>
        <w:t>thus improving the predictivity of the models</w:t>
      </w:r>
      <w:r w:rsidR="00B24646" w:rsidRPr="00442F26">
        <w:rPr>
          <w:color w:val="auto"/>
          <w:vertAlign w:val="superscript"/>
          <w:lang w:val="en-GB"/>
        </w:rPr>
        <w:t>6</w:t>
      </w:r>
      <w:r w:rsidR="00717D0F" w:rsidRPr="00442F26">
        <w:rPr>
          <w:color w:val="auto"/>
          <w:lang w:val="en-GB"/>
        </w:rPr>
        <w:t>.</w:t>
      </w:r>
      <w:r w:rsidRPr="00442F26">
        <w:rPr>
          <w:color w:val="auto"/>
          <w:lang w:val="en-GB"/>
        </w:rPr>
        <w:t xml:space="preserve"> Current 3D </w:t>
      </w:r>
      <w:r w:rsidR="00725AEE" w:rsidRPr="00442F26">
        <w:rPr>
          <w:color w:val="auto"/>
          <w:lang w:val="en-GB"/>
        </w:rPr>
        <w:t>in vitro</w:t>
      </w:r>
      <w:r w:rsidRPr="00442F26">
        <w:rPr>
          <w:i/>
          <w:iCs/>
          <w:color w:val="auto"/>
          <w:lang w:val="en-GB"/>
        </w:rPr>
        <w:t xml:space="preserve"> </w:t>
      </w:r>
      <w:r w:rsidRPr="00442F26">
        <w:rPr>
          <w:color w:val="auto"/>
          <w:lang w:val="en-GB"/>
        </w:rPr>
        <w:t>hepatic models consisting of mono-cultures (hepatocytes only) or co-cultures (hepatocytes with non</w:t>
      </w:r>
      <w:r w:rsidR="00E03B1B" w:rsidRPr="00442F26">
        <w:rPr>
          <w:color w:val="auto"/>
          <w:lang w:val="en-GB"/>
        </w:rPr>
        <w:t>parenchymal</w:t>
      </w:r>
      <w:r w:rsidRPr="00442F26">
        <w:rPr>
          <w:color w:val="auto"/>
          <w:lang w:val="en-GB"/>
        </w:rPr>
        <w:t xml:space="preserve"> cells) </w:t>
      </w:r>
      <w:r w:rsidR="007B4D3A" w:rsidRPr="00442F26">
        <w:rPr>
          <w:color w:val="auto"/>
          <w:lang w:val="en-GB"/>
        </w:rPr>
        <w:t xml:space="preserve">exist in several formats, ranging </w:t>
      </w:r>
      <w:r w:rsidRPr="00442F26">
        <w:rPr>
          <w:color w:val="auto"/>
          <w:lang w:val="en-GB"/>
        </w:rPr>
        <w:t>from microtissues or spheroids in ultralow adhesion plates, hanging</w:t>
      </w:r>
      <w:r w:rsidR="003C3173" w:rsidRPr="00442F26">
        <w:rPr>
          <w:color w:val="auto"/>
          <w:lang w:val="en-GB"/>
        </w:rPr>
        <w:t xml:space="preserve"> </w:t>
      </w:r>
      <w:r w:rsidRPr="00442F26">
        <w:rPr>
          <w:color w:val="auto"/>
          <w:lang w:val="en-GB"/>
        </w:rPr>
        <w:t>drop</w:t>
      </w:r>
      <w:r w:rsidR="007B4D3A" w:rsidRPr="00442F26">
        <w:rPr>
          <w:color w:val="auto"/>
          <w:lang w:val="en-GB"/>
        </w:rPr>
        <w:t xml:space="preserve"> spheroids</w:t>
      </w:r>
      <w:r w:rsidRPr="00442F26">
        <w:rPr>
          <w:color w:val="auto"/>
          <w:lang w:val="en-GB"/>
        </w:rPr>
        <w:t xml:space="preserve">, </w:t>
      </w:r>
      <w:r w:rsidR="007B4D3A" w:rsidRPr="00442F26">
        <w:rPr>
          <w:color w:val="auto"/>
          <w:lang w:val="en-GB"/>
        </w:rPr>
        <w:t xml:space="preserve">cells embedded </w:t>
      </w:r>
      <w:r w:rsidRPr="00442F26">
        <w:rPr>
          <w:color w:val="auto"/>
          <w:lang w:val="en-GB"/>
        </w:rPr>
        <w:t>in matrices and/or scaffolds and microfluidic cell culture platforms</w:t>
      </w:r>
      <w:r w:rsidR="003C3173" w:rsidRPr="00442F26">
        <w:rPr>
          <w:color w:val="auto"/>
          <w:lang w:val="en-GB"/>
        </w:rPr>
        <w:t>,</w:t>
      </w:r>
      <w:r w:rsidRPr="00442F26">
        <w:rPr>
          <w:color w:val="auto"/>
          <w:lang w:val="en-GB"/>
        </w:rPr>
        <w:t xml:space="preserve"> all of which are deemed effective</w:t>
      </w:r>
      <w:r w:rsidR="007B4D3A" w:rsidRPr="00442F26">
        <w:rPr>
          <w:color w:val="auto"/>
          <w:lang w:val="en-GB"/>
        </w:rPr>
        <w:t xml:space="preserve"> advanced</w:t>
      </w:r>
      <w:r w:rsidRPr="00442F26">
        <w:rPr>
          <w:color w:val="auto"/>
          <w:lang w:val="en-GB"/>
        </w:rPr>
        <w:t xml:space="preserve"> </w:t>
      </w:r>
      <w:r w:rsidR="00725AEE" w:rsidRPr="00442F26">
        <w:rPr>
          <w:color w:val="auto"/>
          <w:lang w:val="en-GB"/>
        </w:rPr>
        <w:t>in vitro</w:t>
      </w:r>
      <w:r w:rsidRPr="00442F26">
        <w:rPr>
          <w:color w:val="auto"/>
          <w:lang w:val="en-GB"/>
        </w:rPr>
        <w:t xml:space="preserve"> models for hepatic toxicity assessment</w:t>
      </w:r>
      <w:r w:rsidR="007A6F60" w:rsidRPr="00442F26">
        <w:rPr>
          <w:color w:val="auto"/>
          <w:vertAlign w:val="superscript"/>
          <w:lang w:val="en-GB"/>
        </w:rPr>
        <w:t>6,7</w:t>
      </w:r>
      <w:r w:rsidRPr="00442F26">
        <w:rPr>
          <w:color w:val="auto"/>
          <w:lang w:val="en-GB"/>
        </w:rPr>
        <w:t>. However, the majority of these model systems are high maintenance, require specialized equipment and are expensive. Furthermore, these models are often static (</w:t>
      </w:r>
      <w:r w:rsidR="00725AEE" w:rsidRPr="00442F26">
        <w:rPr>
          <w:color w:val="auto"/>
          <w:lang w:val="en-GB"/>
        </w:rPr>
        <w:t xml:space="preserve">i.e., </w:t>
      </w:r>
      <w:r w:rsidRPr="00442F26">
        <w:rPr>
          <w:color w:val="auto"/>
          <w:lang w:val="en-GB"/>
        </w:rPr>
        <w:t xml:space="preserve">nondividing cell models) </w:t>
      </w:r>
      <w:r w:rsidR="003C3173" w:rsidRPr="00442F26">
        <w:rPr>
          <w:color w:val="auto"/>
          <w:lang w:val="en-GB"/>
        </w:rPr>
        <w:t>that</w:t>
      </w:r>
      <w:r w:rsidRPr="00442F26">
        <w:rPr>
          <w:color w:val="auto"/>
          <w:lang w:val="en-GB"/>
        </w:rPr>
        <w:t xml:space="preserve"> </w:t>
      </w:r>
      <w:r w:rsidR="0003102A" w:rsidRPr="00442F26">
        <w:rPr>
          <w:color w:val="auto"/>
          <w:lang w:val="en-GB"/>
        </w:rPr>
        <w:t xml:space="preserve">prevents their use </w:t>
      </w:r>
      <w:r w:rsidR="003E45A1" w:rsidRPr="00442F26">
        <w:rPr>
          <w:color w:val="auto"/>
          <w:lang w:val="en-GB"/>
        </w:rPr>
        <w:t xml:space="preserve">in the </w:t>
      </w:r>
      <w:r w:rsidR="0003102A" w:rsidRPr="00442F26">
        <w:rPr>
          <w:color w:val="auto"/>
          <w:lang w:val="en-GB"/>
        </w:rPr>
        <w:t>assessment of hazard endpoints</w:t>
      </w:r>
      <w:r w:rsidR="003E45A1" w:rsidRPr="00442F26">
        <w:rPr>
          <w:color w:val="auto"/>
          <w:lang w:val="en-GB"/>
        </w:rPr>
        <w:t>,</w:t>
      </w:r>
      <w:r w:rsidR="0003102A" w:rsidRPr="00442F26">
        <w:rPr>
          <w:color w:val="auto"/>
          <w:lang w:val="en-GB"/>
        </w:rPr>
        <w:t xml:space="preserve"> such as </w:t>
      </w:r>
      <w:r w:rsidRPr="00442F26">
        <w:rPr>
          <w:color w:val="auto"/>
          <w:lang w:val="en-GB"/>
        </w:rPr>
        <w:t>genotoxicity</w:t>
      </w:r>
      <w:r w:rsidR="0003102A" w:rsidRPr="00442F26">
        <w:rPr>
          <w:color w:val="auto"/>
          <w:lang w:val="en-GB"/>
        </w:rPr>
        <w:t xml:space="preserve"> testing</w:t>
      </w:r>
      <w:r w:rsidRPr="00442F26">
        <w:rPr>
          <w:color w:val="auto"/>
          <w:lang w:val="en-GB"/>
        </w:rPr>
        <w:t xml:space="preserve"> </w:t>
      </w:r>
      <w:r w:rsidR="0003102A" w:rsidRPr="00442F26">
        <w:rPr>
          <w:color w:val="auto"/>
          <w:lang w:val="en-GB"/>
        </w:rPr>
        <w:t>u</w:t>
      </w:r>
      <w:r w:rsidR="003E45A1" w:rsidRPr="00442F26">
        <w:rPr>
          <w:color w:val="auto"/>
          <w:lang w:val="en-GB"/>
        </w:rPr>
        <w:t>tili</w:t>
      </w:r>
      <w:r w:rsidR="003C3173" w:rsidRPr="00442F26">
        <w:rPr>
          <w:color w:val="auto"/>
          <w:lang w:val="en-GB"/>
        </w:rPr>
        <w:t>z</w:t>
      </w:r>
      <w:r w:rsidR="003E45A1" w:rsidRPr="00442F26">
        <w:rPr>
          <w:color w:val="auto"/>
          <w:lang w:val="en-GB"/>
        </w:rPr>
        <w:t>ing</w:t>
      </w:r>
      <w:r w:rsidRPr="00442F26">
        <w:rPr>
          <w:color w:val="auto"/>
          <w:lang w:val="en-GB"/>
        </w:rPr>
        <w:t xml:space="preserve"> </w:t>
      </w:r>
      <w:r w:rsidR="0003102A" w:rsidRPr="00442F26">
        <w:rPr>
          <w:color w:val="auto"/>
          <w:lang w:val="en-GB"/>
        </w:rPr>
        <w:t xml:space="preserve">methods </w:t>
      </w:r>
      <w:r w:rsidR="007B4D3A" w:rsidRPr="00442F26">
        <w:rPr>
          <w:color w:val="auto"/>
          <w:lang w:val="en-GB"/>
        </w:rPr>
        <w:t>that quantify fixed DNA damage</w:t>
      </w:r>
      <w:r w:rsidRPr="00442F26">
        <w:rPr>
          <w:color w:val="auto"/>
          <w:lang w:val="en-GB"/>
        </w:rPr>
        <w:t xml:space="preserve">. </w:t>
      </w:r>
      <w:r w:rsidR="00786B77" w:rsidRPr="00442F26">
        <w:rPr>
          <w:color w:val="auto"/>
          <w:lang w:val="en-GB"/>
        </w:rPr>
        <w:t xml:space="preserve">Genotoxicity is a core prerequisite in regulatory </w:t>
      </w:r>
      <w:r w:rsidR="003C3173" w:rsidRPr="00442F26">
        <w:rPr>
          <w:color w:val="auto"/>
          <w:lang w:val="en-GB"/>
        </w:rPr>
        <w:t>toxicology,</w:t>
      </w:r>
      <w:r w:rsidR="00786B77" w:rsidRPr="00442F26">
        <w:rPr>
          <w:color w:val="auto"/>
          <w:lang w:val="en-GB"/>
        </w:rPr>
        <w:t xml:space="preserve"> </w:t>
      </w:r>
      <w:r w:rsidR="0003102A" w:rsidRPr="00442F26">
        <w:rPr>
          <w:color w:val="auto"/>
          <w:lang w:val="en-GB"/>
        </w:rPr>
        <w:t>and</w:t>
      </w:r>
      <w:r w:rsidR="00786B77" w:rsidRPr="00442F26">
        <w:rPr>
          <w:color w:val="auto"/>
          <w:lang w:val="en-GB"/>
        </w:rPr>
        <w:t xml:space="preserve"> it is a vital </w:t>
      </w:r>
      <w:r w:rsidR="0003102A" w:rsidRPr="00442F26">
        <w:rPr>
          <w:color w:val="auto"/>
          <w:lang w:val="en-GB"/>
        </w:rPr>
        <w:t>component</w:t>
      </w:r>
      <w:r w:rsidR="00786B77" w:rsidRPr="00442F26">
        <w:rPr>
          <w:color w:val="auto"/>
          <w:lang w:val="en-GB"/>
        </w:rPr>
        <w:t xml:space="preserve"> of </w:t>
      </w:r>
      <w:r w:rsidR="0003102A" w:rsidRPr="00442F26">
        <w:rPr>
          <w:color w:val="auto"/>
          <w:lang w:val="en-GB"/>
        </w:rPr>
        <w:t>the</w:t>
      </w:r>
      <w:r w:rsidR="00786B77" w:rsidRPr="00442F26">
        <w:rPr>
          <w:color w:val="auto"/>
          <w:lang w:val="en-GB"/>
        </w:rPr>
        <w:t xml:space="preserve"> risk assessment of any toxicant</w:t>
      </w:r>
      <w:r w:rsidR="006E3BDB" w:rsidRPr="00442F26">
        <w:rPr>
          <w:color w:val="auto"/>
          <w:vertAlign w:val="superscript"/>
          <w:lang w:val="en-GB"/>
        </w:rPr>
        <w:t>8</w:t>
      </w:r>
      <w:r w:rsidR="00786B77" w:rsidRPr="00442F26">
        <w:rPr>
          <w:color w:val="auto"/>
          <w:lang w:val="en-GB"/>
        </w:rPr>
        <w:t xml:space="preserve">. </w:t>
      </w:r>
      <w:r w:rsidR="0003102A" w:rsidRPr="00442F26">
        <w:rPr>
          <w:color w:val="auto"/>
          <w:lang w:val="en-GB"/>
        </w:rPr>
        <w:t xml:space="preserve">There is no single assay that can be applied to quantify all forms of DNA damage that may arise following exposure to an exogenous agent. However, a core component of the </w:t>
      </w:r>
      <w:r w:rsidR="00725AEE" w:rsidRPr="00442F26">
        <w:rPr>
          <w:color w:val="auto"/>
          <w:lang w:val="en-GB"/>
        </w:rPr>
        <w:t>in vitro</w:t>
      </w:r>
      <w:r w:rsidR="0003102A" w:rsidRPr="00442F26">
        <w:rPr>
          <w:color w:val="auto"/>
          <w:lang w:val="en-GB"/>
        </w:rPr>
        <w:t xml:space="preserve"> genotoxicity testing battery is the </w:t>
      </w:r>
      <w:r w:rsidR="00121BF0" w:rsidRPr="00442F26">
        <w:rPr>
          <w:color w:val="auto"/>
          <w:lang w:val="en-GB"/>
        </w:rPr>
        <w:t>micronucleus assay</w:t>
      </w:r>
      <w:r w:rsidR="0003102A" w:rsidRPr="00442F26">
        <w:rPr>
          <w:color w:val="auto"/>
          <w:lang w:val="en-GB"/>
        </w:rPr>
        <w:t>, which</w:t>
      </w:r>
      <w:r w:rsidR="00121BF0" w:rsidRPr="00442F26">
        <w:rPr>
          <w:color w:val="auto"/>
          <w:lang w:val="en-GB"/>
        </w:rPr>
        <w:t xml:space="preserve"> is a reliable and </w:t>
      </w:r>
      <w:proofErr w:type="spellStart"/>
      <w:r w:rsidR="00121BF0" w:rsidRPr="00442F26">
        <w:rPr>
          <w:color w:val="auto"/>
          <w:lang w:val="en-GB"/>
        </w:rPr>
        <w:t>multifacetted</w:t>
      </w:r>
      <w:proofErr w:type="spellEnd"/>
      <w:r w:rsidR="00121BF0" w:rsidRPr="00442F26">
        <w:rPr>
          <w:color w:val="auto"/>
          <w:lang w:val="en-GB"/>
        </w:rPr>
        <w:t xml:space="preserve"> technique that measures gross chromosomal damage</w:t>
      </w:r>
      <w:r w:rsidR="006E3BDB" w:rsidRPr="00442F26">
        <w:rPr>
          <w:color w:val="auto"/>
          <w:vertAlign w:val="superscript"/>
          <w:lang w:val="en-GB"/>
        </w:rPr>
        <w:t>9</w:t>
      </w:r>
      <w:r w:rsidR="00121BF0" w:rsidRPr="00442F26">
        <w:rPr>
          <w:color w:val="auto"/>
          <w:lang w:val="en-GB"/>
        </w:rPr>
        <w:t xml:space="preserve">. It is a gold standard technique </w:t>
      </w:r>
      <w:r w:rsidR="007B4D3A" w:rsidRPr="00442F26">
        <w:rPr>
          <w:color w:val="auto"/>
          <w:lang w:val="en-GB"/>
        </w:rPr>
        <w:t xml:space="preserve">described </w:t>
      </w:r>
      <w:r w:rsidR="007B4D3A" w:rsidRPr="00442F26">
        <w:rPr>
          <w:color w:val="auto"/>
          <w:lang w:val="en-GB"/>
        </w:rPr>
        <w:lastRenderedPageBreak/>
        <w:t xml:space="preserve">by the OECD </w:t>
      </w:r>
      <w:r w:rsidR="004359C5" w:rsidRPr="00442F26">
        <w:rPr>
          <w:color w:val="auto"/>
          <w:lang w:val="en-GB"/>
        </w:rPr>
        <w:t xml:space="preserve">Test </w:t>
      </w:r>
      <w:r w:rsidR="007B4D3A" w:rsidRPr="00442F26">
        <w:rPr>
          <w:color w:val="auto"/>
          <w:lang w:val="en-GB"/>
        </w:rPr>
        <w:t xml:space="preserve">Guideline 487, </w:t>
      </w:r>
      <w:r w:rsidR="00121BF0" w:rsidRPr="00442F26">
        <w:rPr>
          <w:color w:val="auto"/>
          <w:lang w:val="en-GB"/>
        </w:rPr>
        <w:t xml:space="preserve">for assessing </w:t>
      </w:r>
      <w:r w:rsidR="00725AEE" w:rsidRPr="00442F26">
        <w:rPr>
          <w:color w:val="auto"/>
          <w:lang w:val="en-GB"/>
        </w:rPr>
        <w:t>in vitro</w:t>
      </w:r>
      <w:r w:rsidR="00121BF0" w:rsidRPr="00442F26">
        <w:rPr>
          <w:color w:val="auto"/>
          <w:lang w:val="en-GB"/>
        </w:rPr>
        <w:t xml:space="preserve"> DNA damage and genotoxicity and is </w:t>
      </w:r>
      <w:r w:rsidR="007B4D3A" w:rsidRPr="00442F26">
        <w:rPr>
          <w:color w:val="auto"/>
          <w:lang w:val="en-GB"/>
        </w:rPr>
        <w:t>part of the test battery requirement for regulatory hazard assessment</w:t>
      </w:r>
      <w:r w:rsidR="006E3BDB" w:rsidRPr="00442F26">
        <w:rPr>
          <w:color w:val="auto"/>
          <w:vertAlign w:val="superscript"/>
          <w:lang w:val="en-GB"/>
        </w:rPr>
        <w:t>10</w:t>
      </w:r>
      <w:r w:rsidR="007A6F60" w:rsidRPr="00442F26">
        <w:rPr>
          <w:color w:val="auto"/>
          <w:vertAlign w:val="superscript"/>
          <w:lang w:val="en-GB"/>
        </w:rPr>
        <w:t>,1</w:t>
      </w:r>
      <w:r w:rsidR="006E3BDB" w:rsidRPr="00442F26">
        <w:rPr>
          <w:color w:val="auto"/>
          <w:vertAlign w:val="superscript"/>
          <w:lang w:val="en-GB"/>
        </w:rPr>
        <w:t>1</w:t>
      </w:r>
      <w:r w:rsidR="00121BF0" w:rsidRPr="00442F26">
        <w:rPr>
          <w:color w:val="auto"/>
          <w:lang w:val="en-GB"/>
        </w:rPr>
        <w:t>.</w:t>
      </w:r>
      <w:r w:rsidR="00E03B1B" w:rsidRPr="00442F26">
        <w:rPr>
          <w:color w:val="auto"/>
          <w:lang w:val="en-GB"/>
        </w:rPr>
        <w:t xml:space="preserve"> </w:t>
      </w:r>
    </w:p>
    <w:p w14:paraId="7C4BE403" w14:textId="13874EF9" w:rsidR="00E03B1B" w:rsidRPr="00442F26" w:rsidRDefault="00E03B1B" w:rsidP="006F7144">
      <w:pPr>
        <w:contextualSpacing/>
        <w:rPr>
          <w:color w:val="auto"/>
          <w:lang w:val="en-GB"/>
        </w:rPr>
      </w:pPr>
    </w:p>
    <w:p w14:paraId="772B7A80" w14:textId="7E071FDF" w:rsidR="00F072F9" w:rsidRPr="00442F26" w:rsidRDefault="00B825D9" w:rsidP="006F7144">
      <w:pPr>
        <w:contextualSpacing/>
        <w:rPr>
          <w:color w:val="auto"/>
          <w:lang w:val="en-GB"/>
        </w:rPr>
      </w:pPr>
      <w:r w:rsidRPr="00442F26">
        <w:rPr>
          <w:color w:val="auto"/>
          <w:lang w:val="en-GB"/>
        </w:rPr>
        <w:t xml:space="preserve">The human </w:t>
      </w:r>
      <w:r w:rsidR="00717D0F" w:rsidRPr="00442F26">
        <w:rPr>
          <w:color w:val="auto"/>
          <w:lang w:val="en-GB"/>
        </w:rPr>
        <w:t>hepatocellular carcinoma cell line</w:t>
      </w:r>
      <w:r w:rsidRPr="00442F26">
        <w:rPr>
          <w:color w:val="auto"/>
          <w:lang w:val="en-GB"/>
        </w:rPr>
        <w:t>,</w:t>
      </w:r>
      <w:r w:rsidR="00717D0F" w:rsidRPr="00442F26">
        <w:rPr>
          <w:color w:val="auto"/>
          <w:lang w:val="en-GB"/>
        </w:rPr>
        <w:t xml:space="preserve"> HepG2</w:t>
      </w:r>
      <w:r w:rsidRPr="00442F26">
        <w:rPr>
          <w:color w:val="auto"/>
          <w:lang w:val="en-GB"/>
        </w:rPr>
        <w:t>,</w:t>
      </w:r>
      <w:r w:rsidR="00717D0F" w:rsidRPr="00442F26">
        <w:rPr>
          <w:color w:val="auto"/>
          <w:lang w:val="en-GB"/>
        </w:rPr>
        <w:t xml:space="preserve"> </w:t>
      </w:r>
      <w:r w:rsidRPr="00442F26">
        <w:rPr>
          <w:color w:val="auto"/>
          <w:lang w:val="en-GB"/>
        </w:rPr>
        <w:t xml:space="preserve">is </w:t>
      </w:r>
      <w:r w:rsidR="00717D0F" w:rsidRPr="00442F26">
        <w:rPr>
          <w:color w:val="auto"/>
          <w:lang w:val="en-GB"/>
        </w:rPr>
        <w:t>used widely for initial hazard assessment screening as the</w:t>
      </w:r>
      <w:r w:rsidRPr="00442F26">
        <w:rPr>
          <w:color w:val="auto"/>
          <w:lang w:val="en-GB"/>
        </w:rPr>
        <w:t xml:space="preserve"> cells</w:t>
      </w:r>
      <w:r w:rsidR="00717D0F" w:rsidRPr="00442F26">
        <w:rPr>
          <w:color w:val="auto"/>
          <w:lang w:val="en-GB"/>
        </w:rPr>
        <w:t xml:space="preserve"> are readily available, relatively inexpensive to source, simple to culture and amenable to high through</w:t>
      </w:r>
      <w:r w:rsidR="003C3173" w:rsidRPr="00442F26">
        <w:rPr>
          <w:color w:val="auto"/>
          <w:lang w:val="en-GB"/>
        </w:rPr>
        <w:t xml:space="preserve">put </w:t>
      </w:r>
      <w:r w:rsidR="00717D0F" w:rsidRPr="00442F26">
        <w:rPr>
          <w:color w:val="auto"/>
          <w:lang w:val="en-GB"/>
        </w:rPr>
        <w:t>screening</w:t>
      </w:r>
      <w:r w:rsidR="007A6F60" w:rsidRPr="00442F26">
        <w:rPr>
          <w:color w:val="auto"/>
          <w:vertAlign w:val="superscript"/>
          <w:lang w:val="en-GB"/>
        </w:rPr>
        <w:t>1</w:t>
      </w:r>
      <w:r w:rsidR="006E3BDB" w:rsidRPr="00442F26">
        <w:rPr>
          <w:color w:val="auto"/>
          <w:vertAlign w:val="superscript"/>
          <w:lang w:val="en-GB"/>
        </w:rPr>
        <w:t>2</w:t>
      </w:r>
      <w:r w:rsidR="007A6F60" w:rsidRPr="00442F26">
        <w:rPr>
          <w:color w:val="auto"/>
          <w:vertAlign w:val="superscript"/>
          <w:lang w:val="en-GB"/>
        </w:rPr>
        <w:t>,1</w:t>
      </w:r>
      <w:r w:rsidR="006E3BDB" w:rsidRPr="00442F26">
        <w:rPr>
          <w:color w:val="auto"/>
          <w:vertAlign w:val="superscript"/>
          <w:lang w:val="en-GB"/>
        </w:rPr>
        <w:t>3</w:t>
      </w:r>
      <w:r w:rsidR="00717D0F" w:rsidRPr="00442F26">
        <w:rPr>
          <w:color w:val="auto"/>
          <w:lang w:val="en-GB"/>
        </w:rPr>
        <w:t xml:space="preserve">. When cultured into 3D spherical structures, they have been shown to recapitulate the liver microenvironment well and </w:t>
      </w:r>
      <w:r w:rsidR="009E7BE4" w:rsidRPr="00442F26">
        <w:rPr>
          <w:color w:val="auto"/>
          <w:lang w:val="en-GB"/>
        </w:rPr>
        <w:t>offer a hepatic model with sufficient proliferative capabilities to support the micronucleus assay</w:t>
      </w:r>
      <w:r w:rsidR="00B24646" w:rsidRPr="00442F26">
        <w:rPr>
          <w:color w:val="auto"/>
          <w:vertAlign w:val="superscript"/>
          <w:lang w:val="en-GB"/>
        </w:rPr>
        <w:t>3</w:t>
      </w:r>
      <w:r w:rsidR="00B24646" w:rsidRPr="00442F26">
        <w:rPr>
          <w:color w:val="auto"/>
          <w:lang w:val="en-GB"/>
        </w:rPr>
        <w:t xml:space="preserve">. </w:t>
      </w:r>
      <w:r w:rsidR="002F59FA" w:rsidRPr="00442F26">
        <w:rPr>
          <w:color w:val="auto"/>
          <w:lang w:val="en-GB"/>
        </w:rPr>
        <w:t xml:space="preserve">Further </w:t>
      </w:r>
      <w:r w:rsidR="008B05F8" w:rsidRPr="00442F26">
        <w:rPr>
          <w:color w:val="auto"/>
          <w:lang w:val="en-GB"/>
        </w:rPr>
        <w:t xml:space="preserve">development </w:t>
      </w:r>
      <w:r w:rsidR="002F59FA" w:rsidRPr="00442F26">
        <w:rPr>
          <w:color w:val="auto"/>
          <w:lang w:val="en-GB"/>
        </w:rPr>
        <w:t>of the</w:t>
      </w:r>
      <w:r w:rsidR="008B05F8" w:rsidRPr="00442F26">
        <w:rPr>
          <w:color w:val="auto"/>
          <w:lang w:val="en-GB"/>
        </w:rPr>
        <w:t xml:space="preserve"> HepG2 spheroid models was established to </w:t>
      </w:r>
      <w:r w:rsidR="002F59FA" w:rsidRPr="00442F26">
        <w:rPr>
          <w:color w:val="auto"/>
          <w:lang w:val="en-GB"/>
        </w:rPr>
        <w:t>improve</w:t>
      </w:r>
      <w:r w:rsidR="008B05F8" w:rsidRPr="00442F26">
        <w:rPr>
          <w:color w:val="auto"/>
          <w:lang w:val="en-GB"/>
        </w:rPr>
        <w:t xml:space="preserve"> the longevity </w:t>
      </w:r>
      <w:r w:rsidR="002F59FA" w:rsidRPr="00442F26">
        <w:rPr>
          <w:color w:val="auto"/>
          <w:lang w:val="en-GB"/>
        </w:rPr>
        <w:t xml:space="preserve">and liver-like functionality </w:t>
      </w:r>
      <w:r w:rsidR="008B05F8" w:rsidRPr="00442F26">
        <w:rPr>
          <w:color w:val="auto"/>
          <w:lang w:val="en-GB"/>
        </w:rPr>
        <w:t xml:space="preserve">of the model </w:t>
      </w:r>
      <w:r w:rsidR="002F59FA" w:rsidRPr="00442F26">
        <w:rPr>
          <w:color w:val="auto"/>
          <w:lang w:val="en-GB"/>
        </w:rPr>
        <w:t>in order to support</w:t>
      </w:r>
      <w:r w:rsidR="008B05F8" w:rsidRPr="00442F26">
        <w:rPr>
          <w:color w:val="auto"/>
          <w:lang w:val="en-GB"/>
        </w:rPr>
        <w:t xml:space="preserve"> </w:t>
      </w:r>
      <w:r w:rsidR="002F59FA" w:rsidRPr="00442F26">
        <w:rPr>
          <w:color w:val="auto"/>
          <w:lang w:val="en-GB"/>
        </w:rPr>
        <w:t xml:space="preserve">genotoxicity hazard assessment over </w:t>
      </w:r>
      <w:r w:rsidR="008B05F8" w:rsidRPr="00442F26">
        <w:rPr>
          <w:color w:val="auto"/>
          <w:lang w:val="en-GB"/>
        </w:rPr>
        <w:t xml:space="preserve">long-term, </w:t>
      </w:r>
      <w:r w:rsidR="002F59FA" w:rsidRPr="00442F26">
        <w:rPr>
          <w:color w:val="auto"/>
          <w:lang w:val="en-GB"/>
        </w:rPr>
        <w:t>repeated exposure regimes</w:t>
      </w:r>
      <w:r w:rsidRPr="00442F26">
        <w:rPr>
          <w:color w:val="auto"/>
          <w:lang w:val="en-GB"/>
        </w:rPr>
        <w:t xml:space="preserve"> </w:t>
      </w:r>
      <w:r w:rsidRPr="00442F26">
        <w:rPr>
          <w:color w:val="auto"/>
        </w:rPr>
        <w:t>(≤14 days)</w:t>
      </w:r>
      <w:r w:rsidR="002F59FA" w:rsidRPr="00442F26">
        <w:rPr>
          <w:color w:val="auto"/>
          <w:lang w:val="en-GB"/>
        </w:rPr>
        <w:t>. Thus, i</w:t>
      </w:r>
      <w:r w:rsidR="00A01923" w:rsidRPr="00442F26">
        <w:rPr>
          <w:color w:val="auto"/>
          <w:lang w:val="en-GB"/>
        </w:rPr>
        <w:t xml:space="preserve">n line with the </w:t>
      </w:r>
      <w:r w:rsidR="00F94D35" w:rsidRPr="00442F26">
        <w:rPr>
          <w:color w:val="auto"/>
          <w:lang w:val="en-GB"/>
        </w:rPr>
        <w:t xml:space="preserve">principles of the </w:t>
      </w:r>
      <w:r w:rsidR="00A01923" w:rsidRPr="00442F26">
        <w:rPr>
          <w:color w:val="auto"/>
          <w:lang w:val="en-GB"/>
        </w:rPr>
        <w:t xml:space="preserve">3Rs to replace, reduce and refine animal experimentation, </w:t>
      </w:r>
      <w:r w:rsidRPr="00442F26">
        <w:rPr>
          <w:color w:val="auto"/>
          <w:lang w:val="en-GB"/>
        </w:rPr>
        <w:t xml:space="preserve">the present </w:t>
      </w:r>
      <w:r w:rsidR="00F94D35" w:rsidRPr="00442F26">
        <w:rPr>
          <w:color w:val="auto"/>
          <w:lang w:val="en-GB"/>
        </w:rPr>
        <w:t>protocol</w:t>
      </w:r>
      <w:r w:rsidR="00A01923" w:rsidRPr="00442F26">
        <w:rPr>
          <w:color w:val="auto"/>
          <w:lang w:val="en-GB"/>
        </w:rPr>
        <w:t xml:space="preserve"> has been established to </w:t>
      </w:r>
      <w:r w:rsidRPr="00442F26">
        <w:rPr>
          <w:color w:val="auto"/>
          <w:lang w:val="en-GB"/>
        </w:rPr>
        <w:t xml:space="preserve">provide </w:t>
      </w:r>
      <w:r w:rsidR="00A01923" w:rsidRPr="00442F26">
        <w:rPr>
          <w:color w:val="auto"/>
          <w:lang w:val="en-GB"/>
        </w:rPr>
        <w:t xml:space="preserve">an advanced 3D </w:t>
      </w:r>
      <w:r w:rsidR="00725AEE" w:rsidRPr="00442F26">
        <w:rPr>
          <w:color w:val="auto"/>
          <w:lang w:val="en-GB"/>
        </w:rPr>
        <w:t>in vitro</w:t>
      </w:r>
      <w:r w:rsidR="00A01923" w:rsidRPr="00442F26">
        <w:rPr>
          <w:color w:val="auto"/>
          <w:lang w:val="en-GB"/>
        </w:rPr>
        <w:t xml:space="preserve"> hepatic model capable of reliably evaluating </w:t>
      </w:r>
      <w:r w:rsidR="00E03B1B" w:rsidRPr="00442F26">
        <w:rPr>
          <w:color w:val="auto"/>
          <w:lang w:val="en-GB"/>
        </w:rPr>
        <w:t>multiple toxicological endpoints (</w:t>
      </w:r>
      <w:r w:rsidR="00725AEE" w:rsidRPr="00442F26">
        <w:rPr>
          <w:color w:val="auto"/>
          <w:lang w:val="en-GB"/>
        </w:rPr>
        <w:t xml:space="preserve">e.g., </w:t>
      </w:r>
      <w:r w:rsidR="00E03B1B" w:rsidRPr="00442F26">
        <w:rPr>
          <w:color w:val="auto"/>
          <w:lang w:val="en-GB"/>
        </w:rPr>
        <w:t xml:space="preserve">liver functionality, </w:t>
      </w:r>
      <w:r w:rsidR="00BD5519" w:rsidRPr="00442F26">
        <w:rPr>
          <w:color w:val="auto"/>
          <w:lang w:val="en-GB"/>
        </w:rPr>
        <w:t>(</w:t>
      </w:r>
      <w:r w:rsidR="00E03B1B" w:rsidRPr="00442F26">
        <w:rPr>
          <w:color w:val="auto"/>
          <w:lang w:val="en-GB"/>
        </w:rPr>
        <w:t>pro-</w:t>
      </w:r>
      <w:r w:rsidR="00BD5519" w:rsidRPr="00442F26">
        <w:rPr>
          <w:color w:val="auto"/>
          <w:lang w:val="en-GB"/>
        </w:rPr>
        <w:t>)</w:t>
      </w:r>
      <w:r w:rsidR="00E03B1B" w:rsidRPr="00442F26">
        <w:rPr>
          <w:color w:val="auto"/>
          <w:lang w:val="en-GB"/>
        </w:rPr>
        <w:t xml:space="preserve">inflammatory markers, cytotoxicity and genotoxicity) </w:t>
      </w:r>
      <w:r w:rsidR="00A01923" w:rsidRPr="00442F26">
        <w:rPr>
          <w:color w:val="auto"/>
          <w:lang w:val="en-GB"/>
        </w:rPr>
        <w:t xml:space="preserve">following acute, long-term and repeated </w:t>
      </w:r>
      <w:r w:rsidR="00D2176F" w:rsidRPr="00442F26">
        <w:rPr>
          <w:color w:val="auto"/>
          <w:lang w:val="en-GB"/>
        </w:rPr>
        <w:t xml:space="preserve">chemical </w:t>
      </w:r>
      <w:r w:rsidR="00121BF0" w:rsidRPr="00442F26">
        <w:rPr>
          <w:color w:val="auto"/>
          <w:lang w:val="en-GB"/>
        </w:rPr>
        <w:t>and</w:t>
      </w:r>
      <w:r w:rsidR="00D2176F" w:rsidRPr="00442F26">
        <w:rPr>
          <w:color w:val="auto"/>
          <w:lang w:val="en-GB"/>
        </w:rPr>
        <w:t xml:space="preserve"> </w:t>
      </w:r>
      <w:r w:rsidR="00E03B1B" w:rsidRPr="00442F26">
        <w:rPr>
          <w:color w:val="auto"/>
          <w:lang w:val="en-GB"/>
        </w:rPr>
        <w:t xml:space="preserve">ENM </w:t>
      </w:r>
      <w:r w:rsidR="00A01923" w:rsidRPr="00442F26">
        <w:rPr>
          <w:color w:val="auto"/>
          <w:lang w:val="en-GB"/>
        </w:rPr>
        <w:t>exposures in a routine and easily accessible manner.</w:t>
      </w:r>
    </w:p>
    <w:p w14:paraId="1F1E1D36" w14:textId="77777777" w:rsidR="00F072F9" w:rsidRPr="00442F26" w:rsidRDefault="00F072F9" w:rsidP="006F7144">
      <w:pPr>
        <w:contextualSpacing/>
        <w:rPr>
          <w:color w:val="auto"/>
        </w:rPr>
      </w:pPr>
    </w:p>
    <w:p w14:paraId="1C877DA6" w14:textId="3483B022" w:rsidR="0025315F" w:rsidRPr="00442F26" w:rsidRDefault="00F94D35" w:rsidP="006F7144">
      <w:pPr>
        <w:contextualSpacing/>
        <w:rPr>
          <w:color w:val="auto"/>
        </w:rPr>
      </w:pPr>
      <w:r w:rsidRPr="00442F26">
        <w:rPr>
          <w:color w:val="auto"/>
        </w:rPr>
        <w:t>Here, we present a method t</w:t>
      </w:r>
      <w:r w:rsidR="00F072F9" w:rsidRPr="00442F26">
        <w:rPr>
          <w:color w:val="auto"/>
        </w:rPr>
        <w:t xml:space="preserve">o establish a physiologically relevant 3D hepatocyte cell line based </w:t>
      </w:r>
      <w:r w:rsidR="00725AEE" w:rsidRPr="00442F26">
        <w:rPr>
          <w:color w:val="auto"/>
        </w:rPr>
        <w:t>in vitro</w:t>
      </w:r>
      <w:r w:rsidR="00F072F9" w:rsidRPr="00442F26">
        <w:rPr>
          <w:i/>
          <w:iCs/>
          <w:color w:val="auto"/>
        </w:rPr>
        <w:t xml:space="preserve"> </w:t>
      </w:r>
      <w:r w:rsidR="00F072F9" w:rsidRPr="00442F26">
        <w:rPr>
          <w:color w:val="auto"/>
        </w:rPr>
        <w:t xml:space="preserve">model system for genotoxicity hazard assessment following acute or long-term, repeated ENM exposures. The protocol can be broken down into 6 key stages: </w:t>
      </w:r>
      <w:r w:rsidRPr="00442F26">
        <w:rPr>
          <w:color w:val="auto"/>
        </w:rPr>
        <w:t xml:space="preserve">culturing cryopreserved </w:t>
      </w:r>
      <w:r w:rsidR="00F072F9" w:rsidRPr="00442F26">
        <w:rPr>
          <w:color w:val="auto"/>
        </w:rPr>
        <w:t xml:space="preserve">HepG2 </w:t>
      </w:r>
      <w:r w:rsidRPr="00442F26">
        <w:rPr>
          <w:color w:val="auto"/>
        </w:rPr>
        <w:t>cells; HepG2 spheroid preparation; HepG2 spheroid transfer from hanging drop to agarose suspension; HepG2 spheroid harvest; micronucleus assay and scoring; and data analysis.</w:t>
      </w:r>
      <w:bookmarkStart w:id="6" w:name="Protocol"/>
    </w:p>
    <w:p w14:paraId="36C9EB67" w14:textId="77777777" w:rsidR="00F94D35" w:rsidRPr="00442F26" w:rsidRDefault="00F94D35" w:rsidP="006F7144">
      <w:pPr>
        <w:contextualSpacing/>
        <w:rPr>
          <w:b/>
          <w:color w:val="auto"/>
        </w:rPr>
      </w:pPr>
    </w:p>
    <w:p w14:paraId="1070FE86" w14:textId="69B96692" w:rsidR="00B32616" w:rsidRPr="00442F26" w:rsidRDefault="00B32616" w:rsidP="006F7144">
      <w:pPr>
        <w:contextualSpacing/>
        <w:rPr>
          <w:i/>
          <w:color w:val="auto"/>
        </w:rPr>
      </w:pPr>
      <w:r w:rsidRPr="00442F26">
        <w:rPr>
          <w:b/>
          <w:color w:val="auto"/>
        </w:rPr>
        <w:t>PROTOCOL</w:t>
      </w:r>
      <w:bookmarkEnd w:id="6"/>
      <w:r w:rsidRPr="00442F26">
        <w:rPr>
          <w:b/>
          <w:bCs/>
          <w:color w:val="auto"/>
        </w:rPr>
        <w:t>:</w:t>
      </w:r>
      <w:r w:rsidRPr="00442F26">
        <w:rPr>
          <w:color w:val="auto"/>
        </w:rPr>
        <w:t xml:space="preserve"> </w:t>
      </w:r>
    </w:p>
    <w:p w14:paraId="002FFF47" w14:textId="77777777" w:rsidR="00BF4B14" w:rsidRPr="00442F26" w:rsidRDefault="00BF4B14" w:rsidP="006F7144">
      <w:pPr>
        <w:contextualSpacing/>
        <w:rPr>
          <w:color w:val="auto"/>
        </w:rPr>
      </w:pPr>
    </w:p>
    <w:p w14:paraId="4EAE3DD6" w14:textId="0DAFC068" w:rsidR="00176F0C" w:rsidRPr="00442F26" w:rsidRDefault="00176F0C" w:rsidP="006F7144">
      <w:pPr>
        <w:pStyle w:val="Heading3"/>
        <w:keepLines w:val="0"/>
        <w:widowControl/>
        <w:numPr>
          <w:ilvl w:val="0"/>
          <w:numId w:val="23"/>
        </w:numPr>
        <w:autoSpaceDE/>
        <w:autoSpaceDN/>
        <w:adjustRightInd/>
        <w:spacing w:before="0"/>
        <w:ind w:left="0" w:firstLine="0"/>
        <w:contextualSpacing/>
        <w:rPr>
          <w:rFonts w:ascii="Calibri" w:hAnsi="Calibri" w:cs="Calibri"/>
          <w:color w:val="auto"/>
        </w:rPr>
      </w:pPr>
      <w:bookmarkStart w:id="7" w:name="_Toc6039669"/>
      <w:r w:rsidRPr="00442F26">
        <w:rPr>
          <w:rFonts w:ascii="Calibri" w:hAnsi="Calibri" w:cs="Calibri"/>
          <w:color w:val="auto"/>
        </w:rPr>
        <w:t xml:space="preserve">Culturing </w:t>
      </w:r>
      <w:r w:rsidR="00F94D35" w:rsidRPr="00442F26">
        <w:rPr>
          <w:rFonts w:ascii="Calibri" w:hAnsi="Calibri" w:cs="Calibri"/>
          <w:color w:val="auto"/>
        </w:rPr>
        <w:t>c</w:t>
      </w:r>
      <w:r w:rsidRPr="00442F26">
        <w:rPr>
          <w:rFonts w:ascii="Calibri" w:hAnsi="Calibri" w:cs="Calibri"/>
          <w:color w:val="auto"/>
        </w:rPr>
        <w:t xml:space="preserve">ryopreserved HepG2 </w:t>
      </w:r>
      <w:r w:rsidR="00F94D35" w:rsidRPr="00442F26">
        <w:rPr>
          <w:rFonts w:ascii="Calibri" w:hAnsi="Calibri" w:cs="Calibri"/>
          <w:color w:val="auto"/>
        </w:rPr>
        <w:t>c</w:t>
      </w:r>
      <w:r w:rsidRPr="00442F26">
        <w:rPr>
          <w:rFonts w:ascii="Calibri" w:hAnsi="Calibri" w:cs="Calibri"/>
          <w:color w:val="auto"/>
        </w:rPr>
        <w:t>ells</w:t>
      </w:r>
      <w:bookmarkEnd w:id="7"/>
    </w:p>
    <w:p w14:paraId="0D871256" w14:textId="77777777" w:rsidR="00176F0C" w:rsidRPr="00442F26" w:rsidRDefault="00176F0C" w:rsidP="006F7144">
      <w:pPr>
        <w:contextualSpacing/>
        <w:rPr>
          <w:color w:val="auto"/>
        </w:rPr>
      </w:pPr>
    </w:p>
    <w:p w14:paraId="11D72DAF" w14:textId="03E3F872" w:rsidR="00176F0C" w:rsidRPr="00442F26" w:rsidRDefault="002C1FD8" w:rsidP="006F7144">
      <w:pPr>
        <w:contextualSpacing/>
        <w:rPr>
          <w:color w:val="auto"/>
          <w:lang w:val="en-GB"/>
        </w:rPr>
      </w:pPr>
      <w:r w:rsidRPr="00442F26">
        <w:rPr>
          <w:color w:val="auto"/>
          <w:lang w:val="en-GB"/>
        </w:rPr>
        <w:t>NOTE:</w:t>
      </w:r>
      <w:r w:rsidR="00F94D35" w:rsidRPr="00442F26">
        <w:rPr>
          <w:color w:val="auto"/>
          <w:lang w:val="en-GB"/>
        </w:rPr>
        <w:t xml:space="preserve"> </w:t>
      </w:r>
      <w:r w:rsidR="00176F0C" w:rsidRPr="00442F26">
        <w:rPr>
          <w:color w:val="auto"/>
          <w:lang w:val="en-GB"/>
        </w:rPr>
        <w:t>HepG2</w:t>
      </w:r>
      <w:r w:rsidR="002879FF" w:rsidRPr="00442F26">
        <w:rPr>
          <w:color w:val="auto"/>
          <w:lang w:val="en-GB"/>
        </w:rPr>
        <w:t xml:space="preserve"> cells</w:t>
      </w:r>
      <w:r w:rsidR="00176F0C" w:rsidRPr="00442F26">
        <w:rPr>
          <w:color w:val="auto"/>
          <w:lang w:val="en-GB"/>
        </w:rPr>
        <w:t>, obtained from</w:t>
      </w:r>
      <w:r w:rsidR="00EF74E1" w:rsidRPr="00442F26">
        <w:rPr>
          <w:color w:val="auto"/>
          <w:lang w:val="en-GB"/>
        </w:rPr>
        <w:t xml:space="preserve"> American Type Culture Collection (ATCC)</w:t>
      </w:r>
      <w:r w:rsidR="00176F0C" w:rsidRPr="00442F26">
        <w:rPr>
          <w:color w:val="auto"/>
          <w:lang w:val="en-GB"/>
        </w:rPr>
        <w:t xml:space="preserve"> w</w:t>
      </w:r>
      <w:r w:rsidR="005A7919" w:rsidRPr="00442F26">
        <w:rPr>
          <w:color w:val="auto"/>
          <w:lang w:val="en-GB"/>
        </w:rPr>
        <w:t>ere</w:t>
      </w:r>
      <w:r w:rsidR="00176F0C" w:rsidRPr="00442F26">
        <w:rPr>
          <w:color w:val="auto"/>
          <w:lang w:val="en-GB"/>
        </w:rPr>
        <w:t xml:space="preserve"> cultured in 1</w:t>
      </w:r>
      <w:r w:rsidR="00F94D35" w:rsidRPr="00442F26">
        <w:rPr>
          <w:color w:val="auto"/>
          <w:lang w:val="en-GB"/>
        </w:rPr>
        <w:t>x</w:t>
      </w:r>
      <w:r w:rsidR="00176F0C" w:rsidRPr="00442F26">
        <w:rPr>
          <w:color w:val="auto"/>
          <w:lang w:val="en-GB"/>
        </w:rPr>
        <w:t xml:space="preserve"> </w:t>
      </w:r>
      <w:r w:rsidR="002879FF" w:rsidRPr="00442F26">
        <w:rPr>
          <w:color w:val="auto"/>
          <w:shd w:val="clear" w:color="auto" w:fill="FFFFFF"/>
        </w:rPr>
        <w:t>Dulbecco's Modified Eagle Medium (DMEM)</w:t>
      </w:r>
      <w:r w:rsidR="00176F0C" w:rsidRPr="00442F26">
        <w:rPr>
          <w:color w:val="auto"/>
          <w:lang w:val="en-GB"/>
        </w:rPr>
        <w:t xml:space="preserve"> with 4.5g/L D-</w:t>
      </w:r>
      <w:r w:rsidR="00F94D35" w:rsidRPr="00442F26">
        <w:rPr>
          <w:color w:val="auto"/>
          <w:lang w:val="en-GB"/>
        </w:rPr>
        <w:t>g</w:t>
      </w:r>
      <w:r w:rsidR="00176F0C" w:rsidRPr="00442F26">
        <w:rPr>
          <w:color w:val="auto"/>
          <w:lang w:val="en-GB"/>
        </w:rPr>
        <w:t>lucose and L-</w:t>
      </w:r>
      <w:r w:rsidR="00F94D35" w:rsidRPr="00442F26">
        <w:rPr>
          <w:color w:val="auto"/>
          <w:lang w:val="en-GB"/>
        </w:rPr>
        <w:t>g</w:t>
      </w:r>
      <w:r w:rsidR="00176F0C" w:rsidRPr="00442F26">
        <w:rPr>
          <w:color w:val="auto"/>
          <w:lang w:val="en-GB"/>
        </w:rPr>
        <w:t>lutamine</w:t>
      </w:r>
      <w:r w:rsidR="005E35D5" w:rsidRPr="00442F26">
        <w:rPr>
          <w:color w:val="auto"/>
          <w:lang w:val="en-GB"/>
        </w:rPr>
        <w:t xml:space="preserve"> </w:t>
      </w:r>
      <w:r w:rsidR="00176F0C" w:rsidRPr="00442F26">
        <w:rPr>
          <w:color w:val="auto"/>
          <w:lang w:val="en-GB"/>
        </w:rPr>
        <w:t xml:space="preserve">supplemented with 10% </w:t>
      </w:r>
      <w:r w:rsidR="00F94D35" w:rsidRPr="00442F26">
        <w:rPr>
          <w:color w:val="auto"/>
          <w:lang w:val="en-GB"/>
        </w:rPr>
        <w:t xml:space="preserve">foetal bovine serum </w:t>
      </w:r>
      <w:r w:rsidR="002879FF" w:rsidRPr="00442F26">
        <w:rPr>
          <w:color w:val="auto"/>
          <w:lang w:val="en-GB"/>
        </w:rPr>
        <w:t>(</w:t>
      </w:r>
      <w:r w:rsidR="00176F0C" w:rsidRPr="00442F26">
        <w:rPr>
          <w:color w:val="auto"/>
          <w:lang w:val="en-GB"/>
        </w:rPr>
        <w:t>FBS</w:t>
      </w:r>
      <w:r w:rsidR="002879FF" w:rsidRPr="00442F26">
        <w:rPr>
          <w:color w:val="auto"/>
          <w:lang w:val="en-GB"/>
        </w:rPr>
        <w:t>)</w:t>
      </w:r>
      <w:r w:rsidR="00176F0C" w:rsidRPr="00442F26">
        <w:rPr>
          <w:color w:val="auto"/>
          <w:lang w:val="en-GB"/>
        </w:rPr>
        <w:t xml:space="preserve"> and 1% </w:t>
      </w:r>
      <w:r w:rsidR="00F94D35" w:rsidRPr="00442F26">
        <w:rPr>
          <w:color w:val="auto"/>
          <w:lang w:val="en-GB"/>
        </w:rPr>
        <w:t xml:space="preserve">penicillin/streptomycin </w:t>
      </w:r>
      <w:r w:rsidR="00176F0C" w:rsidRPr="00442F26">
        <w:rPr>
          <w:color w:val="auto"/>
          <w:lang w:val="en-GB"/>
        </w:rPr>
        <w:t>antibiotic.</w:t>
      </w:r>
    </w:p>
    <w:p w14:paraId="5D9E9B0E" w14:textId="77777777" w:rsidR="00E75805" w:rsidRPr="00442F26" w:rsidRDefault="00E75805" w:rsidP="006F7144">
      <w:pPr>
        <w:contextualSpacing/>
        <w:rPr>
          <w:color w:val="auto"/>
          <w:lang w:val="en-GB"/>
        </w:rPr>
      </w:pPr>
    </w:p>
    <w:p w14:paraId="07004E25" w14:textId="3F60229E"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 xml:space="preserve">Pre-warm DMEM cell culture medium (including the supplements) in a </w:t>
      </w:r>
      <w:r w:rsidR="0098244F" w:rsidRPr="00442F26">
        <w:rPr>
          <w:color w:val="auto"/>
        </w:rPr>
        <w:t>37</w:t>
      </w:r>
      <w:r w:rsidR="00F94D35" w:rsidRPr="00442F26">
        <w:rPr>
          <w:color w:val="auto"/>
        </w:rPr>
        <w:t xml:space="preserve"> </w:t>
      </w:r>
      <w:r w:rsidR="0098244F" w:rsidRPr="00442F26">
        <w:rPr>
          <w:color w:val="auto"/>
        </w:rPr>
        <w:t>°C</w:t>
      </w:r>
      <w:r w:rsidRPr="00442F26">
        <w:rPr>
          <w:color w:val="auto"/>
        </w:rPr>
        <w:t xml:space="preserve"> water bath for 30 </w:t>
      </w:r>
      <w:r w:rsidR="00F94D35" w:rsidRPr="00442F26">
        <w:rPr>
          <w:color w:val="auto"/>
        </w:rPr>
        <w:t>min</w:t>
      </w:r>
      <w:r w:rsidRPr="00442F26">
        <w:rPr>
          <w:color w:val="auto"/>
        </w:rPr>
        <w:t xml:space="preserve">. </w:t>
      </w:r>
    </w:p>
    <w:p w14:paraId="7BEDC4E2" w14:textId="77777777" w:rsidR="00F94D35" w:rsidRPr="00442F26" w:rsidRDefault="00F94D35" w:rsidP="006F7144">
      <w:pPr>
        <w:pStyle w:val="ListParagraph"/>
        <w:widowControl/>
        <w:autoSpaceDE/>
        <w:autoSpaceDN/>
        <w:adjustRightInd/>
        <w:ind w:left="0"/>
        <w:rPr>
          <w:color w:val="auto"/>
        </w:rPr>
      </w:pPr>
    </w:p>
    <w:p w14:paraId="184C99CD" w14:textId="076D13E4" w:rsidR="00E75805"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 xml:space="preserve">Remove one vial of HepG2 cells from liquid nitrogen and thaw in a </w:t>
      </w:r>
      <w:r w:rsidR="0098244F" w:rsidRPr="00442F26">
        <w:rPr>
          <w:color w:val="auto"/>
        </w:rPr>
        <w:t>37</w:t>
      </w:r>
      <w:r w:rsidR="00F94D35" w:rsidRPr="00442F26">
        <w:rPr>
          <w:color w:val="auto"/>
        </w:rPr>
        <w:t xml:space="preserve"> </w:t>
      </w:r>
      <w:r w:rsidR="0098244F" w:rsidRPr="00442F26">
        <w:rPr>
          <w:color w:val="auto"/>
        </w:rPr>
        <w:t>°C</w:t>
      </w:r>
      <w:r w:rsidRPr="00442F26">
        <w:rPr>
          <w:color w:val="auto"/>
        </w:rPr>
        <w:t xml:space="preserve"> water bath for 2-3 </w:t>
      </w:r>
      <w:r w:rsidR="00F94D35" w:rsidRPr="00442F26">
        <w:rPr>
          <w:color w:val="auto"/>
        </w:rPr>
        <w:t>min</w:t>
      </w:r>
      <w:r w:rsidRPr="00442F26">
        <w:rPr>
          <w:color w:val="auto"/>
        </w:rPr>
        <w:t>, whilst gently swirling the vial to allow for uniform thawing of the cell suspension. Take care not to submerge the vial above the O-ring in order to reduce the potential for contamination.</w:t>
      </w:r>
    </w:p>
    <w:p w14:paraId="7EA0D7F5" w14:textId="77777777" w:rsidR="00F94D35" w:rsidRPr="00442F26" w:rsidRDefault="00F94D35" w:rsidP="006F7144">
      <w:pPr>
        <w:pStyle w:val="ListParagraph"/>
        <w:widowControl/>
        <w:autoSpaceDE/>
        <w:autoSpaceDN/>
        <w:adjustRightInd/>
        <w:ind w:left="0"/>
        <w:rPr>
          <w:color w:val="auto"/>
        </w:rPr>
      </w:pPr>
    </w:p>
    <w:p w14:paraId="132AD247" w14:textId="3000E886"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 xml:space="preserve">Once thawed, remove the vial from the water bath and spray generously with 70% </w:t>
      </w:r>
      <w:r w:rsidR="00F94D35" w:rsidRPr="00442F26">
        <w:rPr>
          <w:color w:val="auto"/>
        </w:rPr>
        <w:t>e</w:t>
      </w:r>
      <w:r w:rsidRPr="00442F26">
        <w:rPr>
          <w:color w:val="auto"/>
        </w:rPr>
        <w:t xml:space="preserve">thanol to decontaminate the outer surface of the vial before placing under a sterile, Class II </w:t>
      </w:r>
      <w:r w:rsidR="00F94D35" w:rsidRPr="00442F26">
        <w:rPr>
          <w:color w:val="auto"/>
        </w:rPr>
        <w:t xml:space="preserve">laminar tissue culture </w:t>
      </w:r>
      <w:r w:rsidRPr="00442F26">
        <w:rPr>
          <w:color w:val="auto"/>
        </w:rPr>
        <w:t xml:space="preserve">hood. </w:t>
      </w:r>
    </w:p>
    <w:p w14:paraId="5BF7F761" w14:textId="77777777" w:rsidR="00F94D35" w:rsidRPr="00442F26" w:rsidRDefault="00F94D35" w:rsidP="006F7144">
      <w:pPr>
        <w:pStyle w:val="ListParagraph"/>
        <w:widowControl/>
        <w:autoSpaceDE/>
        <w:autoSpaceDN/>
        <w:adjustRightInd/>
        <w:ind w:left="0"/>
        <w:rPr>
          <w:color w:val="auto"/>
        </w:rPr>
      </w:pPr>
    </w:p>
    <w:p w14:paraId="6CD197C0" w14:textId="1AD088E5"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 xml:space="preserve">Carefully pipette the contents of the cryovial of HepG2 cells into a </w:t>
      </w:r>
      <w:r w:rsidR="008D34EC" w:rsidRPr="00442F26">
        <w:rPr>
          <w:color w:val="auto"/>
        </w:rPr>
        <w:t>centrifuge</w:t>
      </w:r>
      <w:r w:rsidRPr="00442F26">
        <w:rPr>
          <w:color w:val="auto"/>
        </w:rPr>
        <w:t xml:space="preserve"> tube containing 9</w:t>
      </w:r>
      <w:r w:rsidR="00F94D35" w:rsidRPr="00442F26">
        <w:rPr>
          <w:color w:val="auto"/>
        </w:rPr>
        <w:t xml:space="preserve"> </w:t>
      </w:r>
      <w:r w:rsidR="00DA2F20" w:rsidRPr="00442F26">
        <w:rPr>
          <w:color w:val="auto"/>
        </w:rPr>
        <w:t>mL</w:t>
      </w:r>
      <w:r w:rsidRPr="00442F26">
        <w:rPr>
          <w:color w:val="auto"/>
        </w:rPr>
        <w:t xml:space="preserve"> of pre-warmed DMEM cell culture medium (with supplements). </w:t>
      </w:r>
    </w:p>
    <w:p w14:paraId="4D207A61" w14:textId="77777777" w:rsidR="00F94D35" w:rsidRPr="00442F26" w:rsidRDefault="00F94D35" w:rsidP="006F7144">
      <w:pPr>
        <w:pStyle w:val="ListParagraph"/>
        <w:widowControl/>
        <w:autoSpaceDE/>
        <w:autoSpaceDN/>
        <w:adjustRightInd/>
        <w:ind w:left="0"/>
        <w:rPr>
          <w:color w:val="auto"/>
        </w:rPr>
      </w:pPr>
    </w:p>
    <w:p w14:paraId="3FB7962A" w14:textId="579CAE0B"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Using a 10</w:t>
      </w:r>
      <w:r w:rsidR="00F94D35" w:rsidRPr="00442F26">
        <w:rPr>
          <w:color w:val="auto"/>
        </w:rPr>
        <w:t xml:space="preserve"> </w:t>
      </w:r>
      <w:r w:rsidR="00DA2F20" w:rsidRPr="00442F26">
        <w:rPr>
          <w:color w:val="auto"/>
        </w:rPr>
        <w:t>mL</w:t>
      </w:r>
      <w:r w:rsidRPr="00442F26">
        <w:rPr>
          <w:color w:val="auto"/>
        </w:rPr>
        <w:t xml:space="preserve"> </w:t>
      </w:r>
      <w:proofErr w:type="spellStart"/>
      <w:r w:rsidRPr="00442F26">
        <w:rPr>
          <w:color w:val="auto"/>
        </w:rPr>
        <w:t>strippette</w:t>
      </w:r>
      <w:proofErr w:type="spellEnd"/>
      <w:r w:rsidRPr="00442F26">
        <w:rPr>
          <w:color w:val="auto"/>
        </w:rPr>
        <w:t>, transfer 10</w:t>
      </w:r>
      <w:r w:rsidR="00F94D35" w:rsidRPr="00442F26">
        <w:rPr>
          <w:color w:val="auto"/>
        </w:rPr>
        <w:t xml:space="preserve"> </w:t>
      </w:r>
      <w:r w:rsidR="00DA2F20" w:rsidRPr="00442F26">
        <w:rPr>
          <w:color w:val="auto"/>
        </w:rPr>
        <w:t>mL</w:t>
      </w:r>
      <w:r w:rsidRPr="00442F26">
        <w:rPr>
          <w:color w:val="auto"/>
        </w:rPr>
        <w:t xml:space="preserve"> of the cell suspension into a 25</w:t>
      </w:r>
      <w:r w:rsidR="00F94D35" w:rsidRPr="00442F26">
        <w:rPr>
          <w:color w:val="auto"/>
        </w:rPr>
        <w:t xml:space="preserve"> </w:t>
      </w:r>
      <w:r w:rsidR="00ED6860" w:rsidRPr="00442F26">
        <w:rPr>
          <w:color w:val="auto"/>
        </w:rPr>
        <w:t>cm</w:t>
      </w:r>
      <w:r w:rsidR="00ED6860" w:rsidRPr="00442F26">
        <w:rPr>
          <w:color w:val="auto"/>
          <w:vertAlign w:val="superscript"/>
        </w:rPr>
        <w:t>2</w:t>
      </w:r>
      <w:r w:rsidR="00ED6860" w:rsidRPr="00442F26">
        <w:rPr>
          <w:color w:val="auto"/>
        </w:rPr>
        <w:t xml:space="preserve"> disposable cell culture</w:t>
      </w:r>
      <w:r w:rsidRPr="00442F26">
        <w:rPr>
          <w:color w:val="auto"/>
        </w:rPr>
        <w:t xml:space="preserve"> flask and incubate the culture for 3 days (from seeding) at 5% CO</w:t>
      </w:r>
      <w:r w:rsidRPr="00442F26">
        <w:rPr>
          <w:color w:val="auto"/>
          <w:vertAlign w:val="subscript"/>
        </w:rPr>
        <w:t xml:space="preserve">2 </w:t>
      </w:r>
      <w:r w:rsidRPr="00442F26">
        <w:rPr>
          <w:color w:val="auto"/>
        </w:rPr>
        <w:t xml:space="preserve">and </w:t>
      </w:r>
      <w:r w:rsidR="0098244F" w:rsidRPr="00442F26">
        <w:rPr>
          <w:color w:val="auto"/>
        </w:rPr>
        <w:t>37</w:t>
      </w:r>
      <w:r w:rsidR="00F94D35" w:rsidRPr="00442F26">
        <w:rPr>
          <w:color w:val="auto"/>
        </w:rPr>
        <w:t xml:space="preserve"> </w:t>
      </w:r>
      <w:r w:rsidR="0098244F" w:rsidRPr="00442F26">
        <w:rPr>
          <w:color w:val="auto"/>
        </w:rPr>
        <w:t>°C</w:t>
      </w:r>
      <w:r w:rsidRPr="00442F26">
        <w:rPr>
          <w:color w:val="auto"/>
        </w:rPr>
        <w:t xml:space="preserve"> until ~80% confluency is reached before undergoing sub-culture into a larger 75</w:t>
      </w:r>
      <w:r w:rsidR="00F94D35" w:rsidRPr="00442F26">
        <w:rPr>
          <w:color w:val="auto"/>
        </w:rPr>
        <w:t xml:space="preserve"> </w:t>
      </w:r>
      <w:r w:rsidR="00ED6860" w:rsidRPr="00442F26">
        <w:rPr>
          <w:color w:val="auto"/>
        </w:rPr>
        <w:t>cm</w:t>
      </w:r>
      <w:r w:rsidR="00ED6860" w:rsidRPr="00442F26">
        <w:rPr>
          <w:color w:val="auto"/>
          <w:vertAlign w:val="superscript"/>
        </w:rPr>
        <w:t>2</w:t>
      </w:r>
      <w:r w:rsidR="00ED6860" w:rsidRPr="00442F26">
        <w:rPr>
          <w:color w:val="auto"/>
        </w:rPr>
        <w:t xml:space="preserve"> disposable cell culture flask</w:t>
      </w:r>
      <w:r w:rsidRPr="00442F26">
        <w:rPr>
          <w:color w:val="auto"/>
        </w:rPr>
        <w:t>.</w:t>
      </w:r>
    </w:p>
    <w:p w14:paraId="30CDBA8F" w14:textId="77777777" w:rsidR="00F94D35" w:rsidRPr="00442F26" w:rsidRDefault="00F94D35" w:rsidP="006F7144">
      <w:pPr>
        <w:pStyle w:val="ListParagraph"/>
        <w:widowControl/>
        <w:autoSpaceDE/>
        <w:autoSpaceDN/>
        <w:adjustRightInd/>
        <w:ind w:left="0"/>
        <w:rPr>
          <w:color w:val="auto"/>
        </w:rPr>
      </w:pPr>
    </w:p>
    <w:p w14:paraId="36F74D0F" w14:textId="3CD098F6" w:rsidR="00176F0C" w:rsidRPr="00442F26" w:rsidRDefault="001A7D79" w:rsidP="006F7144">
      <w:pPr>
        <w:pStyle w:val="ListParagraph"/>
        <w:widowControl/>
        <w:numPr>
          <w:ilvl w:val="1"/>
          <w:numId w:val="49"/>
        </w:numPr>
        <w:autoSpaceDE/>
        <w:autoSpaceDN/>
        <w:adjustRightInd/>
        <w:ind w:left="0" w:firstLine="0"/>
        <w:rPr>
          <w:color w:val="auto"/>
        </w:rPr>
      </w:pPr>
      <w:r w:rsidRPr="00442F26">
        <w:rPr>
          <w:color w:val="auto"/>
        </w:rPr>
        <w:t xml:space="preserve">Once 80% confluency is reached, sub-culture cells </w:t>
      </w:r>
      <w:r w:rsidR="00176F0C" w:rsidRPr="00442F26">
        <w:rPr>
          <w:color w:val="auto"/>
        </w:rPr>
        <w:t xml:space="preserve">under sterile conditions by </w:t>
      </w:r>
      <w:r w:rsidR="00F94D35" w:rsidRPr="00442F26">
        <w:rPr>
          <w:color w:val="auto"/>
        </w:rPr>
        <w:t>trypsinization</w:t>
      </w:r>
      <w:r w:rsidR="00176F0C" w:rsidRPr="00442F26">
        <w:rPr>
          <w:color w:val="auto"/>
        </w:rPr>
        <w:t xml:space="preserve"> with 0.05% trypsin/EDTA solution pre-warmed in a </w:t>
      </w:r>
      <w:r w:rsidR="0098244F" w:rsidRPr="00442F26">
        <w:rPr>
          <w:color w:val="auto"/>
        </w:rPr>
        <w:t>37°C</w:t>
      </w:r>
      <w:r w:rsidR="00176F0C" w:rsidRPr="00442F26">
        <w:rPr>
          <w:color w:val="auto"/>
        </w:rPr>
        <w:t xml:space="preserve"> water bath for 30 </w:t>
      </w:r>
      <w:r w:rsidR="00F94D35" w:rsidRPr="00442F26">
        <w:rPr>
          <w:color w:val="auto"/>
        </w:rPr>
        <w:t>min</w:t>
      </w:r>
      <w:r w:rsidR="00176F0C" w:rsidRPr="00442F26">
        <w:rPr>
          <w:color w:val="auto"/>
        </w:rPr>
        <w:t>.</w:t>
      </w:r>
      <w:r w:rsidR="00725AEE" w:rsidRPr="00442F26">
        <w:rPr>
          <w:color w:val="auto"/>
        </w:rPr>
        <w:t xml:space="preserve"> </w:t>
      </w:r>
      <w:r w:rsidR="00176F0C" w:rsidRPr="00442F26">
        <w:rPr>
          <w:color w:val="auto"/>
        </w:rPr>
        <w:t>At no point should the cells be allowed to dry out</w:t>
      </w:r>
      <w:r w:rsidR="00CA65F3" w:rsidRPr="00442F26">
        <w:rPr>
          <w:color w:val="auto"/>
        </w:rPr>
        <w:t>.</w:t>
      </w:r>
    </w:p>
    <w:p w14:paraId="74A3FBDA" w14:textId="77777777" w:rsidR="00F94D35" w:rsidRPr="00442F26" w:rsidRDefault="00F94D35" w:rsidP="006F7144">
      <w:pPr>
        <w:widowControl/>
        <w:autoSpaceDE/>
        <w:autoSpaceDN/>
        <w:adjustRightInd/>
        <w:contextualSpacing/>
        <w:rPr>
          <w:color w:val="auto"/>
        </w:rPr>
      </w:pPr>
    </w:p>
    <w:p w14:paraId="1E7777AC" w14:textId="2382017B" w:rsidR="00E75805" w:rsidRPr="00442F26" w:rsidRDefault="00407A80" w:rsidP="006F7144">
      <w:pPr>
        <w:pStyle w:val="ListParagraph"/>
        <w:widowControl/>
        <w:numPr>
          <w:ilvl w:val="1"/>
          <w:numId w:val="49"/>
        </w:numPr>
        <w:autoSpaceDE/>
        <w:autoSpaceDN/>
        <w:adjustRightInd/>
        <w:ind w:left="0" w:firstLine="0"/>
        <w:rPr>
          <w:color w:val="auto"/>
        </w:rPr>
      </w:pPr>
      <w:r w:rsidRPr="00442F26">
        <w:rPr>
          <w:color w:val="auto"/>
        </w:rPr>
        <w:t>As c</w:t>
      </w:r>
      <w:r w:rsidR="00176F0C" w:rsidRPr="00442F26">
        <w:rPr>
          <w:color w:val="auto"/>
        </w:rPr>
        <w:t xml:space="preserve">ells form an adherent monolayer, </w:t>
      </w:r>
      <w:r w:rsidRPr="00442F26">
        <w:rPr>
          <w:color w:val="auto"/>
        </w:rPr>
        <w:t>remove the</w:t>
      </w:r>
      <w:r w:rsidR="00176F0C" w:rsidRPr="00442F26">
        <w:rPr>
          <w:color w:val="auto"/>
        </w:rPr>
        <w:t xml:space="preserve"> media by tipping into </w:t>
      </w:r>
      <w:r w:rsidR="008D34EC" w:rsidRPr="00442F26">
        <w:rPr>
          <w:color w:val="auto"/>
        </w:rPr>
        <w:t xml:space="preserve">a </w:t>
      </w:r>
      <w:r w:rsidR="00176F0C" w:rsidRPr="00442F26">
        <w:rPr>
          <w:color w:val="auto"/>
        </w:rPr>
        <w:t>disinfectant</w:t>
      </w:r>
      <w:r w:rsidR="008D34EC" w:rsidRPr="00442F26">
        <w:rPr>
          <w:color w:val="auto"/>
        </w:rPr>
        <w:t xml:space="preserve"> waste pot</w:t>
      </w:r>
      <w:r w:rsidR="00176F0C" w:rsidRPr="00442F26">
        <w:rPr>
          <w:color w:val="auto"/>
        </w:rPr>
        <w:t>.</w:t>
      </w:r>
      <w:r w:rsidRPr="00442F26">
        <w:rPr>
          <w:color w:val="auto"/>
        </w:rPr>
        <w:t xml:space="preserve"> Then immediately wash t</w:t>
      </w:r>
      <w:r w:rsidR="00176F0C" w:rsidRPr="00442F26">
        <w:rPr>
          <w:color w:val="auto"/>
        </w:rPr>
        <w:t>he monolayer to remove all traces of existing media by rinsing the flask twice with 3</w:t>
      </w:r>
      <w:r w:rsidRPr="00442F26">
        <w:rPr>
          <w:color w:val="auto"/>
        </w:rPr>
        <w:t xml:space="preserve"> </w:t>
      </w:r>
      <w:r w:rsidR="00DA2F20" w:rsidRPr="00442F26">
        <w:rPr>
          <w:color w:val="auto"/>
        </w:rPr>
        <w:t>mL</w:t>
      </w:r>
      <w:r w:rsidR="00176F0C" w:rsidRPr="00442F26">
        <w:rPr>
          <w:color w:val="auto"/>
        </w:rPr>
        <w:t xml:space="preserve"> of sterile 1</w:t>
      </w:r>
      <w:r w:rsidRPr="00442F26">
        <w:rPr>
          <w:color w:val="auto"/>
        </w:rPr>
        <w:t>x</w:t>
      </w:r>
      <w:r w:rsidR="00176F0C" w:rsidRPr="00442F26">
        <w:rPr>
          <w:color w:val="auto"/>
        </w:rPr>
        <w:t xml:space="preserve"> PBS solution</w:t>
      </w:r>
      <w:r w:rsidR="009F37F6" w:rsidRPr="00442F26">
        <w:rPr>
          <w:color w:val="auto"/>
        </w:rPr>
        <w:t xml:space="preserve"> kept at room temperature</w:t>
      </w:r>
      <w:r w:rsidR="00176F0C" w:rsidRPr="00442F26">
        <w:rPr>
          <w:color w:val="auto"/>
        </w:rPr>
        <w:t xml:space="preserve">. </w:t>
      </w:r>
      <w:r w:rsidRPr="00442F26">
        <w:rPr>
          <w:color w:val="auto"/>
        </w:rPr>
        <w:t xml:space="preserve">Also, discard </w:t>
      </w:r>
      <w:r w:rsidR="00176F0C" w:rsidRPr="00442F26">
        <w:rPr>
          <w:color w:val="auto"/>
        </w:rPr>
        <w:t xml:space="preserve">PBS into </w:t>
      </w:r>
      <w:r w:rsidR="008D34EC" w:rsidRPr="00442F26">
        <w:rPr>
          <w:color w:val="auto"/>
        </w:rPr>
        <w:t>disinfectant</w:t>
      </w:r>
      <w:r w:rsidRPr="00442F26">
        <w:rPr>
          <w:color w:val="auto"/>
        </w:rPr>
        <w:t xml:space="preserve"> waste pot</w:t>
      </w:r>
      <w:r w:rsidR="00176F0C" w:rsidRPr="00442F26">
        <w:rPr>
          <w:color w:val="auto"/>
        </w:rPr>
        <w:t>.</w:t>
      </w:r>
    </w:p>
    <w:p w14:paraId="46ABD9D7" w14:textId="77777777" w:rsidR="00407A80" w:rsidRPr="00442F26" w:rsidRDefault="00407A80" w:rsidP="006F7144">
      <w:pPr>
        <w:widowControl/>
        <w:autoSpaceDE/>
        <w:autoSpaceDN/>
        <w:adjustRightInd/>
        <w:contextualSpacing/>
        <w:rPr>
          <w:color w:val="auto"/>
        </w:rPr>
      </w:pPr>
    </w:p>
    <w:p w14:paraId="1B1B7603" w14:textId="1F0658C3"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Once PBS wash is removed, add 5</w:t>
      </w:r>
      <w:r w:rsidR="00407A80" w:rsidRPr="00442F26">
        <w:rPr>
          <w:color w:val="auto"/>
        </w:rPr>
        <w:t xml:space="preserve"> </w:t>
      </w:r>
      <w:r w:rsidR="00DA2F20" w:rsidRPr="00442F26">
        <w:rPr>
          <w:color w:val="auto"/>
        </w:rPr>
        <w:t>mL</w:t>
      </w:r>
      <w:r w:rsidRPr="00442F26">
        <w:rPr>
          <w:color w:val="auto"/>
        </w:rPr>
        <w:t xml:space="preserve"> of pre-warmed 0.05% trypsin-EDTA solution, ensuring to cover the entire surface of the cells and incubate cells for 6-8 </w:t>
      </w:r>
      <w:r w:rsidR="00F94D35" w:rsidRPr="00442F26">
        <w:rPr>
          <w:color w:val="auto"/>
        </w:rPr>
        <w:t>min</w:t>
      </w:r>
      <w:r w:rsidRPr="00442F26">
        <w:rPr>
          <w:color w:val="auto"/>
        </w:rPr>
        <w:t xml:space="preserve"> at </w:t>
      </w:r>
      <w:r w:rsidR="0098244F" w:rsidRPr="00442F26">
        <w:rPr>
          <w:color w:val="auto"/>
        </w:rPr>
        <w:t>37</w:t>
      </w:r>
      <w:r w:rsidR="00407A80" w:rsidRPr="00442F26">
        <w:rPr>
          <w:color w:val="auto"/>
        </w:rPr>
        <w:t xml:space="preserve"> </w:t>
      </w:r>
      <w:r w:rsidR="0098244F" w:rsidRPr="00442F26">
        <w:rPr>
          <w:color w:val="auto"/>
        </w:rPr>
        <w:t>°C</w:t>
      </w:r>
      <w:r w:rsidRPr="00442F26">
        <w:rPr>
          <w:color w:val="auto"/>
        </w:rPr>
        <w:t xml:space="preserve"> and 5% CO</w:t>
      </w:r>
      <w:r w:rsidRPr="00442F26">
        <w:rPr>
          <w:color w:val="auto"/>
          <w:vertAlign w:val="subscript"/>
        </w:rPr>
        <w:t>2</w:t>
      </w:r>
      <w:r w:rsidRPr="00442F26">
        <w:rPr>
          <w:color w:val="auto"/>
        </w:rPr>
        <w:t xml:space="preserve">. </w:t>
      </w:r>
    </w:p>
    <w:p w14:paraId="5187F71F" w14:textId="77777777" w:rsidR="00407A80" w:rsidRPr="00442F26" w:rsidRDefault="00407A80" w:rsidP="006F7144">
      <w:pPr>
        <w:widowControl/>
        <w:autoSpaceDE/>
        <w:autoSpaceDN/>
        <w:adjustRightInd/>
        <w:contextualSpacing/>
        <w:rPr>
          <w:color w:val="auto"/>
        </w:rPr>
      </w:pPr>
    </w:p>
    <w:p w14:paraId="078B17AD" w14:textId="0BE8CF57" w:rsidR="00176F0C" w:rsidRPr="00442F26" w:rsidRDefault="00407A80" w:rsidP="006F7144">
      <w:pPr>
        <w:pStyle w:val="ListParagraph"/>
        <w:widowControl/>
        <w:numPr>
          <w:ilvl w:val="1"/>
          <w:numId w:val="49"/>
        </w:numPr>
        <w:autoSpaceDE/>
        <w:autoSpaceDN/>
        <w:adjustRightInd/>
        <w:ind w:left="0" w:firstLine="0"/>
        <w:rPr>
          <w:color w:val="auto"/>
        </w:rPr>
      </w:pPr>
      <w:r w:rsidRPr="00442F26">
        <w:rPr>
          <w:color w:val="auto"/>
        </w:rPr>
        <w:t>G</w:t>
      </w:r>
      <w:r w:rsidR="00176F0C" w:rsidRPr="00442F26">
        <w:rPr>
          <w:color w:val="auto"/>
        </w:rPr>
        <w:t>ently tap the flask to dislodge the cells from the bottom of the flask and t</w:t>
      </w:r>
      <w:r w:rsidR="00E75805" w:rsidRPr="00442F26">
        <w:rPr>
          <w:color w:val="auto"/>
        </w:rPr>
        <w:t>h</w:t>
      </w:r>
      <w:r w:rsidR="00176F0C" w:rsidRPr="00442F26">
        <w:rPr>
          <w:color w:val="auto"/>
        </w:rPr>
        <w:t>en add 5</w:t>
      </w:r>
      <w:r w:rsidRPr="00442F26">
        <w:rPr>
          <w:color w:val="auto"/>
        </w:rPr>
        <w:t xml:space="preserve"> </w:t>
      </w:r>
      <w:r w:rsidR="00DA2F20" w:rsidRPr="00442F26">
        <w:rPr>
          <w:color w:val="auto"/>
        </w:rPr>
        <w:t>mL</w:t>
      </w:r>
      <w:r w:rsidR="00176F0C" w:rsidRPr="00442F26">
        <w:rPr>
          <w:color w:val="auto"/>
        </w:rPr>
        <w:t xml:space="preserve"> of DMEM cell culture medium (with supplements) to </w:t>
      </w:r>
      <w:r w:rsidR="00B60135" w:rsidRPr="00442F26">
        <w:rPr>
          <w:color w:val="auto"/>
        </w:rPr>
        <w:t>neutral</w:t>
      </w:r>
      <w:r w:rsidR="00E06DFD" w:rsidRPr="00442F26">
        <w:rPr>
          <w:color w:val="auto"/>
        </w:rPr>
        <w:t>ize</w:t>
      </w:r>
      <w:r w:rsidR="00176F0C" w:rsidRPr="00442F26">
        <w:rPr>
          <w:color w:val="auto"/>
        </w:rPr>
        <w:t xml:space="preserve"> the trypsin enzyme.</w:t>
      </w:r>
      <w:r w:rsidR="00E75805" w:rsidRPr="00442F26">
        <w:rPr>
          <w:color w:val="auto"/>
        </w:rPr>
        <w:t xml:space="preserve"> </w:t>
      </w:r>
    </w:p>
    <w:p w14:paraId="7D66F639" w14:textId="77777777" w:rsidR="00407A80" w:rsidRPr="00442F26" w:rsidRDefault="00407A80" w:rsidP="006F7144">
      <w:pPr>
        <w:widowControl/>
        <w:autoSpaceDE/>
        <w:autoSpaceDN/>
        <w:adjustRightInd/>
        <w:contextualSpacing/>
        <w:rPr>
          <w:color w:val="auto"/>
        </w:rPr>
      </w:pPr>
    </w:p>
    <w:p w14:paraId="7E17FF5E" w14:textId="36DA18B3"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Transfer the cell suspension into a 50</w:t>
      </w:r>
      <w:r w:rsidR="00407A80" w:rsidRPr="00442F26">
        <w:rPr>
          <w:color w:val="auto"/>
        </w:rPr>
        <w:t xml:space="preserve"> </w:t>
      </w:r>
      <w:r w:rsidR="00DA2F20" w:rsidRPr="00442F26">
        <w:rPr>
          <w:color w:val="auto"/>
        </w:rPr>
        <w:t>mL</w:t>
      </w:r>
      <w:r w:rsidRPr="00442F26">
        <w:rPr>
          <w:color w:val="auto"/>
        </w:rPr>
        <w:t xml:space="preserve"> centrifuge tube and pipette the cell suspension </w:t>
      </w:r>
      <w:r w:rsidR="00E75805" w:rsidRPr="00442F26">
        <w:rPr>
          <w:color w:val="auto"/>
        </w:rPr>
        <w:t>u</w:t>
      </w:r>
      <w:r w:rsidRPr="00442F26">
        <w:rPr>
          <w:color w:val="auto"/>
        </w:rPr>
        <w:t xml:space="preserve">p and down thoroughly to ensure that cells are completely disassociated. </w:t>
      </w:r>
    </w:p>
    <w:p w14:paraId="67F26371" w14:textId="77777777" w:rsidR="00407A80" w:rsidRPr="00442F26" w:rsidRDefault="00407A80" w:rsidP="006F7144">
      <w:pPr>
        <w:widowControl/>
        <w:autoSpaceDE/>
        <w:autoSpaceDN/>
        <w:adjustRightInd/>
        <w:contextualSpacing/>
        <w:rPr>
          <w:color w:val="auto"/>
        </w:rPr>
      </w:pPr>
    </w:p>
    <w:p w14:paraId="6FFC7E23" w14:textId="1927A2FA" w:rsidR="00176F0C" w:rsidRPr="00442F26" w:rsidRDefault="00176F0C" w:rsidP="00F7511A">
      <w:pPr>
        <w:pStyle w:val="ListParagraph"/>
        <w:widowControl/>
        <w:numPr>
          <w:ilvl w:val="1"/>
          <w:numId w:val="49"/>
        </w:numPr>
        <w:autoSpaceDE/>
        <w:autoSpaceDN/>
        <w:adjustRightInd/>
        <w:ind w:left="0" w:firstLine="0"/>
        <w:rPr>
          <w:color w:val="auto"/>
        </w:rPr>
      </w:pPr>
      <w:r w:rsidRPr="00442F26">
        <w:rPr>
          <w:color w:val="auto"/>
        </w:rPr>
        <w:t>Centrifuge the diluted cell suspension at 230</w:t>
      </w:r>
      <w:r w:rsidR="00407A80" w:rsidRPr="00442F26">
        <w:rPr>
          <w:color w:val="auto"/>
        </w:rPr>
        <w:t xml:space="preserve"> x </w:t>
      </w:r>
      <w:r w:rsidRPr="00442F26">
        <w:rPr>
          <w:i/>
          <w:iCs/>
          <w:color w:val="auto"/>
        </w:rPr>
        <w:t xml:space="preserve">g </w:t>
      </w:r>
      <w:r w:rsidRPr="00442F26">
        <w:rPr>
          <w:color w:val="auto"/>
        </w:rPr>
        <w:t xml:space="preserve">for 5 </w:t>
      </w:r>
      <w:r w:rsidR="00F94D35" w:rsidRPr="00442F26">
        <w:rPr>
          <w:color w:val="auto"/>
        </w:rPr>
        <w:t>min</w:t>
      </w:r>
      <w:r w:rsidRPr="00442F26">
        <w:rPr>
          <w:color w:val="auto"/>
        </w:rPr>
        <w:t xml:space="preserve">. Discard the supernatant into </w:t>
      </w:r>
      <w:r w:rsidR="008D34EC" w:rsidRPr="00442F26">
        <w:rPr>
          <w:color w:val="auto"/>
        </w:rPr>
        <w:t>disinfectant</w:t>
      </w:r>
      <w:r w:rsidRPr="00442F26">
        <w:rPr>
          <w:color w:val="auto"/>
        </w:rPr>
        <w:t xml:space="preserve"> and re-suspend cell pellet in 25</w:t>
      </w:r>
      <w:r w:rsidR="00DA2F20" w:rsidRPr="00442F26">
        <w:rPr>
          <w:color w:val="auto"/>
        </w:rPr>
        <w:t>mL</w:t>
      </w:r>
      <w:r w:rsidRPr="00442F26">
        <w:rPr>
          <w:color w:val="auto"/>
        </w:rPr>
        <w:t xml:space="preserve"> of DMEM cell culture medium (with supplements). </w:t>
      </w:r>
    </w:p>
    <w:p w14:paraId="26955FC5" w14:textId="77777777" w:rsidR="00407A80" w:rsidRPr="00442F26" w:rsidRDefault="00407A80" w:rsidP="006F7144">
      <w:pPr>
        <w:widowControl/>
        <w:autoSpaceDE/>
        <w:autoSpaceDN/>
        <w:adjustRightInd/>
        <w:contextualSpacing/>
        <w:rPr>
          <w:color w:val="auto"/>
        </w:rPr>
      </w:pPr>
    </w:p>
    <w:p w14:paraId="447FE73F" w14:textId="1B6FE462"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 xml:space="preserve">Transfer cell suspension into a </w:t>
      </w:r>
      <w:r w:rsidR="00ED6860" w:rsidRPr="00442F26">
        <w:rPr>
          <w:color w:val="auto"/>
        </w:rPr>
        <w:t>75</w:t>
      </w:r>
      <w:r w:rsidR="00407A80" w:rsidRPr="00442F26">
        <w:rPr>
          <w:color w:val="auto"/>
        </w:rPr>
        <w:t xml:space="preserve"> </w:t>
      </w:r>
      <w:r w:rsidR="00ED6860" w:rsidRPr="00442F26">
        <w:rPr>
          <w:color w:val="auto"/>
        </w:rPr>
        <w:t>cm</w:t>
      </w:r>
      <w:r w:rsidR="00ED6860" w:rsidRPr="00442F26">
        <w:rPr>
          <w:color w:val="auto"/>
          <w:vertAlign w:val="superscript"/>
        </w:rPr>
        <w:t>2</w:t>
      </w:r>
      <w:r w:rsidR="00ED6860" w:rsidRPr="00442F26">
        <w:rPr>
          <w:color w:val="auto"/>
        </w:rPr>
        <w:t xml:space="preserve"> disposable cell culture flask </w:t>
      </w:r>
      <w:r w:rsidRPr="00442F26">
        <w:rPr>
          <w:color w:val="auto"/>
        </w:rPr>
        <w:t xml:space="preserve">and incubate at </w:t>
      </w:r>
      <w:r w:rsidR="0098244F" w:rsidRPr="00442F26">
        <w:rPr>
          <w:color w:val="auto"/>
        </w:rPr>
        <w:t>37</w:t>
      </w:r>
      <w:r w:rsidR="00407A80" w:rsidRPr="00442F26">
        <w:rPr>
          <w:color w:val="auto"/>
        </w:rPr>
        <w:t xml:space="preserve"> </w:t>
      </w:r>
      <w:r w:rsidR="0098244F" w:rsidRPr="00442F26">
        <w:rPr>
          <w:color w:val="auto"/>
        </w:rPr>
        <w:t>°C</w:t>
      </w:r>
      <w:r w:rsidRPr="00442F26">
        <w:rPr>
          <w:color w:val="auto"/>
        </w:rPr>
        <w:t xml:space="preserve"> and 5% CO</w:t>
      </w:r>
      <w:r w:rsidRPr="00442F26">
        <w:rPr>
          <w:color w:val="auto"/>
          <w:vertAlign w:val="subscript"/>
        </w:rPr>
        <w:t xml:space="preserve">2 </w:t>
      </w:r>
      <w:r w:rsidRPr="00442F26">
        <w:rPr>
          <w:color w:val="auto"/>
        </w:rPr>
        <w:t>for a further 3 days before undergoing spheroid preparation. Once the HepG2s have had time to acclimat</w:t>
      </w:r>
      <w:r w:rsidR="00E06DFD" w:rsidRPr="00442F26">
        <w:rPr>
          <w:color w:val="auto"/>
        </w:rPr>
        <w:t>ize</w:t>
      </w:r>
      <w:r w:rsidRPr="00442F26">
        <w:rPr>
          <w:color w:val="auto"/>
        </w:rPr>
        <w:t xml:space="preserve"> and </w:t>
      </w:r>
      <w:r w:rsidR="00CA65F3" w:rsidRPr="00442F26">
        <w:rPr>
          <w:color w:val="auto"/>
        </w:rPr>
        <w:t xml:space="preserve">once again </w:t>
      </w:r>
      <w:r w:rsidRPr="00442F26">
        <w:rPr>
          <w:color w:val="auto"/>
        </w:rPr>
        <w:t xml:space="preserve">reach ~80% confluency, </w:t>
      </w:r>
      <w:r w:rsidR="00407A80" w:rsidRPr="00442F26">
        <w:rPr>
          <w:color w:val="auto"/>
        </w:rPr>
        <w:t>determine the</w:t>
      </w:r>
      <w:r w:rsidRPr="00442F26">
        <w:rPr>
          <w:color w:val="auto"/>
        </w:rPr>
        <w:t xml:space="preserve"> cell </w:t>
      </w:r>
      <w:r w:rsidR="00626AFB" w:rsidRPr="00442F26">
        <w:rPr>
          <w:color w:val="auto"/>
        </w:rPr>
        <w:t xml:space="preserve">concentration in preparation for spheroid </w:t>
      </w:r>
      <w:r w:rsidRPr="00442F26">
        <w:rPr>
          <w:color w:val="auto"/>
        </w:rPr>
        <w:t>seed</w:t>
      </w:r>
      <w:r w:rsidR="00626AFB" w:rsidRPr="00442F26">
        <w:rPr>
          <w:color w:val="auto"/>
        </w:rPr>
        <w:t>ing</w:t>
      </w:r>
      <w:r w:rsidRPr="00442F26">
        <w:rPr>
          <w:color w:val="auto"/>
        </w:rPr>
        <w:t xml:space="preserve">. </w:t>
      </w:r>
    </w:p>
    <w:p w14:paraId="0F709A5B" w14:textId="77777777" w:rsidR="00407A80" w:rsidRPr="00442F26" w:rsidRDefault="00407A80" w:rsidP="006F7144">
      <w:pPr>
        <w:widowControl/>
        <w:autoSpaceDE/>
        <w:autoSpaceDN/>
        <w:adjustRightInd/>
        <w:contextualSpacing/>
        <w:rPr>
          <w:color w:val="auto"/>
        </w:rPr>
      </w:pPr>
    </w:p>
    <w:p w14:paraId="79D73054" w14:textId="5D9D8719" w:rsidR="00176F0C" w:rsidRPr="00442F26" w:rsidRDefault="00176F0C" w:rsidP="006F7144">
      <w:pPr>
        <w:pStyle w:val="Heading3"/>
        <w:keepLines w:val="0"/>
        <w:widowControl/>
        <w:numPr>
          <w:ilvl w:val="0"/>
          <w:numId w:val="49"/>
        </w:numPr>
        <w:autoSpaceDE/>
        <w:autoSpaceDN/>
        <w:adjustRightInd/>
        <w:spacing w:before="0"/>
        <w:ind w:left="0" w:firstLine="0"/>
        <w:contextualSpacing/>
        <w:rPr>
          <w:rFonts w:ascii="Calibri" w:hAnsi="Calibri" w:cs="Calibri"/>
          <w:color w:val="auto"/>
        </w:rPr>
      </w:pPr>
      <w:bookmarkStart w:id="8" w:name="_Toc6039671"/>
      <w:r w:rsidRPr="00442F26">
        <w:rPr>
          <w:rFonts w:ascii="Calibri" w:hAnsi="Calibri" w:cs="Calibri"/>
          <w:color w:val="auto"/>
        </w:rPr>
        <w:t xml:space="preserve">HepG2 </w:t>
      </w:r>
      <w:r w:rsidR="00407A80" w:rsidRPr="00442F26">
        <w:rPr>
          <w:rFonts w:ascii="Calibri" w:hAnsi="Calibri" w:cs="Calibri"/>
          <w:color w:val="auto"/>
        </w:rPr>
        <w:t>spheroid preparation</w:t>
      </w:r>
      <w:bookmarkEnd w:id="8"/>
    </w:p>
    <w:p w14:paraId="4F65FB8E" w14:textId="77777777" w:rsidR="00176F0C" w:rsidRPr="00442F26" w:rsidRDefault="00176F0C" w:rsidP="006F7144">
      <w:pPr>
        <w:contextualSpacing/>
        <w:rPr>
          <w:color w:val="auto"/>
        </w:rPr>
      </w:pPr>
    </w:p>
    <w:p w14:paraId="167045F0" w14:textId="737D633D"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 xml:space="preserve">Repeat sub-culture steps stated above, except </w:t>
      </w:r>
      <w:r w:rsidR="00407A80" w:rsidRPr="00442F26">
        <w:rPr>
          <w:color w:val="auto"/>
        </w:rPr>
        <w:t>after</w:t>
      </w:r>
      <w:r w:rsidRPr="00442F26">
        <w:rPr>
          <w:color w:val="auto"/>
        </w:rPr>
        <w:t xml:space="preserve"> centrifugation, re-suspend the cell-pellet in 1</w:t>
      </w:r>
      <w:r w:rsidR="00407A80" w:rsidRPr="00442F26">
        <w:rPr>
          <w:color w:val="auto"/>
        </w:rPr>
        <w:t xml:space="preserve"> </w:t>
      </w:r>
      <w:r w:rsidR="00DA2F20" w:rsidRPr="00442F26">
        <w:rPr>
          <w:color w:val="auto"/>
        </w:rPr>
        <w:t>mL</w:t>
      </w:r>
      <w:r w:rsidRPr="00442F26">
        <w:rPr>
          <w:color w:val="auto"/>
        </w:rPr>
        <w:t xml:space="preserve"> of DMEM culture medium pre-warmed in a 37</w:t>
      </w:r>
      <w:r w:rsidR="00407A80" w:rsidRPr="00442F26">
        <w:rPr>
          <w:color w:val="auto"/>
        </w:rPr>
        <w:t xml:space="preserve"> °</w:t>
      </w:r>
      <w:r w:rsidRPr="00442F26">
        <w:rPr>
          <w:color w:val="auto"/>
        </w:rPr>
        <w:t>C water bath. Pipette cell suspension up and down thoroughly.</w:t>
      </w:r>
    </w:p>
    <w:p w14:paraId="7FB289E5" w14:textId="77777777" w:rsidR="00407A80" w:rsidRPr="00442F26" w:rsidRDefault="00407A80" w:rsidP="006F7144">
      <w:pPr>
        <w:pStyle w:val="ListParagraph"/>
        <w:widowControl/>
        <w:autoSpaceDE/>
        <w:autoSpaceDN/>
        <w:adjustRightInd/>
        <w:ind w:left="0"/>
        <w:rPr>
          <w:color w:val="auto"/>
        </w:rPr>
      </w:pPr>
    </w:p>
    <w:p w14:paraId="2AB6E3A3" w14:textId="19B4DD6C" w:rsidR="00407A80" w:rsidRPr="00442F26" w:rsidRDefault="00626AFB" w:rsidP="006F7144">
      <w:pPr>
        <w:pStyle w:val="ListParagraph"/>
        <w:widowControl/>
        <w:numPr>
          <w:ilvl w:val="1"/>
          <w:numId w:val="49"/>
        </w:numPr>
        <w:autoSpaceDE/>
        <w:autoSpaceDN/>
        <w:adjustRightInd/>
        <w:ind w:left="0" w:firstLine="0"/>
        <w:rPr>
          <w:color w:val="auto"/>
        </w:rPr>
      </w:pPr>
      <w:r w:rsidRPr="00442F26">
        <w:rPr>
          <w:color w:val="auto"/>
        </w:rPr>
        <w:t>Score</w:t>
      </w:r>
      <w:r w:rsidR="00176F0C" w:rsidRPr="00442F26">
        <w:rPr>
          <w:color w:val="auto"/>
        </w:rPr>
        <w:t xml:space="preserve"> cell viability using the </w:t>
      </w:r>
      <w:r w:rsidR="002E7A73" w:rsidRPr="00442F26">
        <w:rPr>
          <w:color w:val="auto"/>
        </w:rPr>
        <w:t>Trypan</w:t>
      </w:r>
      <w:r w:rsidR="00176F0C" w:rsidRPr="00442F26">
        <w:rPr>
          <w:color w:val="auto"/>
        </w:rPr>
        <w:t xml:space="preserve"> Blue Exclusion Assay </w:t>
      </w:r>
      <w:r w:rsidR="00F070D9" w:rsidRPr="00442F26">
        <w:rPr>
          <w:color w:val="auto"/>
        </w:rPr>
        <w:t xml:space="preserve">(see OSHA </w:t>
      </w:r>
      <w:r w:rsidR="00F070D9" w:rsidRPr="00442F26">
        <w:rPr>
          <w:color w:val="auto"/>
          <w:lang w:val="en-GB"/>
        </w:rPr>
        <w:t xml:space="preserve">SOP 3.21 Reproductive Toxins, Mutagens, Teratogens and </w:t>
      </w:r>
      <w:proofErr w:type="spellStart"/>
      <w:r w:rsidR="00F070D9" w:rsidRPr="00442F26">
        <w:rPr>
          <w:color w:val="auto"/>
          <w:lang w:val="en-GB"/>
        </w:rPr>
        <w:t>Embryotoxins</w:t>
      </w:r>
      <w:proofErr w:type="spellEnd"/>
      <w:r w:rsidR="00F070D9" w:rsidRPr="00442F26">
        <w:rPr>
          <w:color w:val="auto"/>
          <w:lang w:val="en-GB"/>
        </w:rPr>
        <w:t xml:space="preserve"> – Procedures for Safe Handling and Storage (2019)</w:t>
      </w:r>
      <w:r w:rsidR="00F070D9" w:rsidRPr="00442F26">
        <w:rPr>
          <w:color w:val="auto"/>
        </w:rPr>
        <w:t xml:space="preserve"> </w:t>
      </w:r>
      <w:r w:rsidR="00176F0C" w:rsidRPr="00442F26">
        <w:rPr>
          <w:color w:val="auto"/>
        </w:rPr>
        <w:t xml:space="preserve">for health and safety </w:t>
      </w:r>
      <w:r w:rsidR="00F070D9" w:rsidRPr="00442F26">
        <w:rPr>
          <w:color w:val="auto"/>
        </w:rPr>
        <w:t>guidance</w:t>
      </w:r>
      <w:r w:rsidR="00176F0C" w:rsidRPr="00442F26">
        <w:rPr>
          <w:color w:val="auto"/>
        </w:rPr>
        <w:t>)</w:t>
      </w:r>
      <w:r w:rsidR="0055746F" w:rsidRPr="00442F26">
        <w:rPr>
          <w:color w:val="auto"/>
          <w:vertAlign w:val="superscript"/>
        </w:rPr>
        <w:t>1</w:t>
      </w:r>
      <w:r w:rsidR="006E3BDB" w:rsidRPr="00442F26">
        <w:rPr>
          <w:color w:val="auto"/>
          <w:vertAlign w:val="superscript"/>
        </w:rPr>
        <w:t>4</w:t>
      </w:r>
      <w:r w:rsidR="003F0396" w:rsidRPr="00442F26">
        <w:rPr>
          <w:color w:val="auto"/>
        </w:rPr>
        <w:t xml:space="preserve"> with a </w:t>
      </w:r>
      <w:r w:rsidR="00176F0C" w:rsidRPr="00442F26">
        <w:rPr>
          <w:bCs/>
          <w:iCs/>
          <w:color w:val="auto"/>
        </w:rPr>
        <w:t xml:space="preserve">1:1 ratio of cell suspension to pre-filtered 0.4% </w:t>
      </w:r>
      <w:r w:rsidR="002E7A73" w:rsidRPr="00442F26">
        <w:rPr>
          <w:bCs/>
          <w:iCs/>
          <w:color w:val="auto"/>
        </w:rPr>
        <w:t>Trypan</w:t>
      </w:r>
      <w:r w:rsidR="00176F0C" w:rsidRPr="00442F26">
        <w:rPr>
          <w:bCs/>
          <w:iCs/>
          <w:color w:val="auto"/>
        </w:rPr>
        <w:t xml:space="preserve"> blue solution. </w:t>
      </w:r>
    </w:p>
    <w:p w14:paraId="5FB1F0AF" w14:textId="77777777" w:rsidR="00407A80" w:rsidRPr="00442F26" w:rsidRDefault="00407A80" w:rsidP="006F7144">
      <w:pPr>
        <w:pStyle w:val="ListParagraph"/>
        <w:ind w:left="0"/>
        <w:rPr>
          <w:color w:val="auto"/>
        </w:rPr>
      </w:pPr>
    </w:p>
    <w:p w14:paraId="6C37C95F" w14:textId="5B8A06AE"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lastRenderedPageBreak/>
        <w:t>Prior to cell counting, take 1</w:t>
      </w:r>
      <w:r w:rsidR="003F0396" w:rsidRPr="00442F26">
        <w:rPr>
          <w:color w:val="auto"/>
        </w:rPr>
        <w:t xml:space="preserve"> </w:t>
      </w:r>
      <w:r w:rsidR="00DA2F20" w:rsidRPr="00442F26">
        <w:rPr>
          <w:color w:val="auto"/>
        </w:rPr>
        <w:t>mL</w:t>
      </w:r>
      <w:r w:rsidRPr="00442F26">
        <w:rPr>
          <w:color w:val="auto"/>
        </w:rPr>
        <w:t xml:space="preserve"> of </w:t>
      </w:r>
      <w:r w:rsidR="002E7A73" w:rsidRPr="00442F26">
        <w:rPr>
          <w:color w:val="auto"/>
        </w:rPr>
        <w:t>Trypan</w:t>
      </w:r>
      <w:r w:rsidRPr="00442F26">
        <w:rPr>
          <w:color w:val="auto"/>
        </w:rPr>
        <w:t xml:space="preserve"> blue solution </w:t>
      </w:r>
      <w:r w:rsidR="006F2F9C" w:rsidRPr="00442F26">
        <w:rPr>
          <w:color w:val="auto"/>
        </w:rPr>
        <w:t xml:space="preserve">using a 1 mL syringe </w:t>
      </w:r>
      <w:r w:rsidRPr="00442F26">
        <w:rPr>
          <w:color w:val="auto"/>
        </w:rPr>
        <w:t>and filter with a 0.45</w:t>
      </w:r>
      <w:r w:rsidR="003F0396" w:rsidRPr="00442F26">
        <w:rPr>
          <w:color w:val="auto"/>
        </w:rPr>
        <w:t xml:space="preserve"> </w:t>
      </w:r>
      <w:r w:rsidRPr="00442F26">
        <w:rPr>
          <w:color w:val="auto"/>
        </w:rPr>
        <w:t>µm filter unit into a sterile, 1</w:t>
      </w:r>
      <w:r w:rsidR="003F0396" w:rsidRPr="00442F26">
        <w:rPr>
          <w:color w:val="auto"/>
        </w:rPr>
        <w:t xml:space="preserve"> </w:t>
      </w:r>
      <w:r w:rsidR="00DA2F20" w:rsidRPr="00442F26">
        <w:rPr>
          <w:color w:val="auto"/>
        </w:rPr>
        <w:t>mL</w:t>
      </w:r>
      <w:r w:rsidRPr="00442F26">
        <w:rPr>
          <w:color w:val="auto"/>
        </w:rPr>
        <w:t xml:space="preserve"> tube.</w:t>
      </w:r>
      <w:r w:rsidR="00725AEE" w:rsidRPr="00442F26">
        <w:rPr>
          <w:color w:val="auto"/>
        </w:rPr>
        <w:t xml:space="preserve"> </w:t>
      </w:r>
    </w:p>
    <w:p w14:paraId="0473B958" w14:textId="77777777" w:rsidR="003F0396" w:rsidRPr="00442F26" w:rsidRDefault="003F0396" w:rsidP="006F7144">
      <w:pPr>
        <w:pStyle w:val="ListParagraph"/>
        <w:widowControl/>
        <w:autoSpaceDE/>
        <w:autoSpaceDN/>
        <w:adjustRightInd/>
        <w:ind w:left="0"/>
        <w:rPr>
          <w:color w:val="auto"/>
        </w:rPr>
      </w:pPr>
    </w:p>
    <w:p w14:paraId="45417E15" w14:textId="771E4DC4" w:rsidR="00B60135" w:rsidRPr="00442F26" w:rsidRDefault="00176F0C" w:rsidP="006F7144">
      <w:pPr>
        <w:pStyle w:val="ListParagraph"/>
        <w:widowControl/>
        <w:numPr>
          <w:ilvl w:val="1"/>
          <w:numId w:val="49"/>
        </w:numPr>
        <w:autoSpaceDE/>
        <w:autoSpaceDN/>
        <w:adjustRightInd/>
        <w:ind w:left="0" w:firstLine="0"/>
        <w:rPr>
          <w:rFonts w:eastAsia="Calibri"/>
          <w:bCs/>
          <w:iCs/>
          <w:color w:val="auto"/>
          <w:lang w:val="en-GB"/>
        </w:rPr>
      </w:pPr>
      <w:r w:rsidRPr="00442F26">
        <w:rPr>
          <w:bCs/>
          <w:iCs/>
          <w:color w:val="auto"/>
        </w:rPr>
        <w:t>Transfer 10</w:t>
      </w:r>
      <w:r w:rsidR="003F0396" w:rsidRPr="00442F26">
        <w:rPr>
          <w:bCs/>
          <w:iCs/>
          <w:color w:val="auto"/>
        </w:rPr>
        <w:t xml:space="preserve"> </w:t>
      </w:r>
      <w:r w:rsidRPr="00442F26">
        <w:rPr>
          <w:bCs/>
          <w:iCs/>
          <w:color w:val="auto"/>
        </w:rPr>
        <w:t>µ</w:t>
      </w:r>
      <w:r w:rsidR="003F0396" w:rsidRPr="00442F26">
        <w:rPr>
          <w:bCs/>
          <w:iCs/>
          <w:color w:val="auto"/>
        </w:rPr>
        <w:t>L</w:t>
      </w:r>
      <w:r w:rsidRPr="00442F26">
        <w:rPr>
          <w:bCs/>
          <w:iCs/>
          <w:color w:val="auto"/>
        </w:rPr>
        <w:t xml:space="preserve"> of filtered, </w:t>
      </w:r>
      <w:r w:rsidR="002E7A73" w:rsidRPr="00442F26">
        <w:rPr>
          <w:bCs/>
          <w:iCs/>
          <w:color w:val="auto"/>
        </w:rPr>
        <w:t>Trypan</w:t>
      </w:r>
      <w:r w:rsidRPr="00442F26">
        <w:rPr>
          <w:bCs/>
          <w:iCs/>
          <w:color w:val="auto"/>
        </w:rPr>
        <w:t xml:space="preserve"> blue solution into a 0.2</w:t>
      </w:r>
      <w:r w:rsidR="003F0396" w:rsidRPr="00442F26">
        <w:rPr>
          <w:bCs/>
          <w:iCs/>
          <w:color w:val="auto"/>
        </w:rPr>
        <w:t xml:space="preserve"> </w:t>
      </w:r>
      <w:r w:rsidR="00DA2F20" w:rsidRPr="00442F26">
        <w:rPr>
          <w:bCs/>
          <w:iCs/>
          <w:color w:val="auto"/>
        </w:rPr>
        <w:t>mL</w:t>
      </w:r>
      <w:r w:rsidRPr="00442F26">
        <w:rPr>
          <w:bCs/>
          <w:iCs/>
          <w:color w:val="auto"/>
        </w:rPr>
        <w:t xml:space="preserve"> tube and add 10</w:t>
      </w:r>
      <w:r w:rsidR="003F0396" w:rsidRPr="00442F26">
        <w:rPr>
          <w:bCs/>
          <w:iCs/>
          <w:color w:val="auto"/>
        </w:rPr>
        <w:t xml:space="preserve"> </w:t>
      </w:r>
      <w:r w:rsidRPr="00442F26">
        <w:rPr>
          <w:bCs/>
          <w:iCs/>
          <w:color w:val="auto"/>
        </w:rPr>
        <w:t>µ</w:t>
      </w:r>
      <w:r w:rsidR="003F0396" w:rsidRPr="00442F26">
        <w:rPr>
          <w:bCs/>
          <w:iCs/>
          <w:color w:val="auto"/>
        </w:rPr>
        <w:t>L</w:t>
      </w:r>
      <w:r w:rsidRPr="00442F26">
        <w:rPr>
          <w:bCs/>
          <w:iCs/>
          <w:color w:val="auto"/>
        </w:rPr>
        <w:t xml:space="preserve"> </w:t>
      </w:r>
      <w:r w:rsidR="00082FBE" w:rsidRPr="00442F26">
        <w:rPr>
          <w:bCs/>
          <w:iCs/>
          <w:color w:val="auto"/>
        </w:rPr>
        <w:t xml:space="preserve">of </w:t>
      </w:r>
      <w:r w:rsidRPr="00442F26">
        <w:rPr>
          <w:bCs/>
          <w:iCs/>
          <w:color w:val="auto"/>
        </w:rPr>
        <w:t xml:space="preserve">cell </w:t>
      </w:r>
      <w:r w:rsidRPr="00442F26">
        <w:rPr>
          <w:color w:val="auto"/>
        </w:rPr>
        <w:t>suspension</w:t>
      </w:r>
      <w:r w:rsidRPr="00442F26">
        <w:rPr>
          <w:bCs/>
          <w:iCs/>
          <w:color w:val="auto"/>
        </w:rPr>
        <w:t xml:space="preserve">. Remaining filtered </w:t>
      </w:r>
      <w:r w:rsidR="002E7A73" w:rsidRPr="00442F26">
        <w:rPr>
          <w:bCs/>
          <w:iCs/>
          <w:color w:val="auto"/>
        </w:rPr>
        <w:t>Trypan</w:t>
      </w:r>
      <w:r w:rsidRPr="00442F26">
        <w:rPr>
          <w:bCs/>
          <w:iCs/>
          <w:color w:val="auto"/>
        </w:rPr>
        <w:t xml:space="preserve"> blue solution can be stored </w:t>
      </w:r>
      <w:r w:rsidR="00CA65F3" w:rsidRPr="00442F26">
        <w:rPr>
          <w:bCs/>
          <w:iCs/>
          <w:color w:val="auto"/>
        </w:rPr>
        <w:t xml:space="preserve">up to 3 months </w:t>
      </w:r>
      <w:r w:rsidRPr="00442F26">
        <w:rPr>
          <w:bCs/>
          <w:iCs/>
          <w:color w:val="auto"/>
        </w:rPr>
        <w:t xml:space="preserve">at room temperature for future use. </w:t>
      </w:r>
    </w:p>
    <w:p w14:paraId="463C248D" w14:textId="77777777" w:rsidR="003F0396" w:rsidRPr="00442F26" w:rsidRDefault="003F0396" w:rsidP="006F7144">
      <w:pPr>
        <w:pStyle w:val="ListParagraph"/>
        <w:widowControl/>
        <w:autoSpaceDE/>
        <w:autoSpaceDN/>
        <w:adjustRightInd/>
        <w:ind w:left="0"/>
        <w:rPr>
          <w:rFonts w:eastAsia="Calibri"/>
          <w:bCs/>
          <w:iCs/>
          <w:color w:val="auto"/>
          <w:lang w:val="en-GB"/>
        </w:rPr>
      </w:pPr>
    </w:p>
    <w:p w14:paraId="4E324216" w14:textId="61BA866D" w:rsidR="00B60135" w:rsidRPr="00442F26" w:rsidRDefault="00176F0C" w:rsidP="006F7144">
      <w:pPr>
        <w:pStyle w:val="ListParagraph"/>
        <w:widowControl/>
        <w:numPr>
          <w:ilvl w:val="1"/>
          <w:numId w:val="49"/>
        </w:numPr>
        <w:autoSpaceDE/>
        <w:autoSpaceDN/>
        <w:adjustRightInd/>
        <w:ind w:left="0" w:firstLine="0"/>
        <w:rPr>
          <w:rFonts w:eastAsia="Calibri"/>
          <w:bCs/>
          <w:iCs/>
          <w:color w:val="auto"/>
          <w:lang w:val="en-GB"/>
        </w:rPr>
      </w:pPr>
      <w:r w:rsidRPr="00442F26">
        <w:rPr>
          <w:rFonts w:eastAsia="Calibri"/>
          <w:bCs/>
          <w:iCs/>
          <w:color w:val="auto"/>
          <w:lang w:val="en-GB"/>
        </w:rPr>
        <w:t xml:space="preserve">Spray the </w:t>
      </w:r>
      <w:r w:rsidR="00082FBE" w:rsidRPr="00442F26">
        <w:rPr>
          <w:rFonts w:eastAsia="Calibri"/>
          <w:bCs/>
          <w:iCs/>
          <w:color w:val="auto"/>
          <w:lang w:val="en-GB"/>
        </w:rPr>
        <w:t>h</w:t>
      </w:r>
      <w:r w:rsidRPr="00442F26">
        <w:rPr>
          <w:rFonts w:eastAsia="Calibri"/>
          <w:bCs/>
          <w:iCs/>
          <w:color w:val="auto"/>
          <w:lang w:val="en-GB"/>
        </w:rPr>
        <w:t xml:space="preserve">aemocytometer thoroughly with 70% ethanol and wipe dry with a sterile paper towel before securing the coverslip on top using breath vapor. Sliding the coverslip across the breath moistened surface induces cohesive forces by generating </w:t>
      </w:r>
      <w:r w:rsidR="00082FBE" w:rsidRPr="00442F26">
        <w:rPr>
          <w:rFonts w:eastAsia="Calibri"/>
          <w:bCs/>
          <w:iCs/>
          <w:color w:val="auto"/>
          <w:lang w:val="en-GB"/>
        </w:rPr>
        <w:t>N</w:t>
      </w:r>
      <w:r w:rsidRPr="00442F26">
        <w:rPr>
          <w:rFonts w:eastAsia="Calibri"/>
          <w:bCs/>
          <w:iCs/>
          <w:color w:val="auto"/>
          <w:lang w:val="en-GB"/>
        </w:rPr>
        <w:t>ewton rings.</w:t>
      </w:r>
    </w:p>
    <w:p w14:paraId="2F416CD8" w14:textId="77777777" w:rsidR="00082FBE" w:rsidRPr="00442F26" w:rsidRDefault="00082FBE" w:rsidP="006F7144">
      <w:pPr>
        <w:pStyle w:val="ListParagraph"/>
        <w:widowControl/>
        <w:autoSpaceDE/>
        <w:autoSpaceDN/>
        <w:adjustRightInd/>
        <w:ind w:left="0"/>
        <w:rPr>
          <w:rFonts w:eastAsia="Calibri"/>
          <w:bCs/>
          <w:iCs/>
          <w:color w:val="auto"/>
          <w:lang w:val="en-GB"/>
        </w:rPr>
      </w:pPr>
    </w:p>
    <w:p w14:paraId="18FD6773" w14:textId="19899EC6" w:rsidR="00BE340D" w:rsidRPr="00442F26" w:rsidRDefault="00176F0C" w:rsidP="006F7144">
      <w:pPr>
        <w:pStyle w:val="ListParagraph"/>
        <w:widowControl/>
        <w:numPr>
          <w:ilvl w:val="1"/>
          <w:numId w:val="49"/>
        </w:numPr>
        <w:autoSpaceDE/>
        <w:autoSpaceDN/>
        <w:adjustRightInd/>
        <w:ind w:left="0" w:firstLine="0"/>
        <w:rPr>
          <w:rFonts w:eastAsia="Calibri"/>
          <w:bCs/>
          <w:iCs/>
          <w:color w:val="auto"/>
          <w:lang w:val="en-GB"/>
        </w:rPr>
      </w:pPr>
      <w:r w:rsidRPr="00442F26">
        <w:rPr>
          <w:bCs/>
          <w:iCs/>
          <w:color w:val="auto"/>
          <w:lang w:val="en-GB"/>
        </w:rPr>
        <w:t>Gent</w:t>
      </w:r>
      <w:r w:rsidR="00836E69" w:rsidRPr="00442F26">
        <w:rPr>
          <w:bCs/>
          <w:iCs/>
          <w:color w:val="auto"/>
          <w:lang w:val="en-GB"/>
        </w:rPr>
        <w:t>l</w:t>
      </w:r>
      <w:r w:rsidRPr="00442F26">
        <w:rPr>
          <w:bCs/>
          <w:iCs/>
          <w:color w:val="auto"/>
          <w:lang w:val="en-GB"/>
        </w:rPr>
        <w:t xml:space="preserve">y pipette the </w:t>
      </w:r>
      <w:r w:rsidR="002E7A73" w:rsidRPr="00442F26">
        <w:rPr>
          <w:bCs/>
          <w:iCs/>
          <w:color w:val="auto"/>
          <w:lang w:val="en-GB"/>
        </w:rPr>
        <w:t>Trypan</w:t>
      </w:r>
      <w:r w:rsidRPr="00442F26">
        <w:rPr>
          <w:bCs/>
          <w:iCs/>
          <w:color w:val="auto"/>
          <w:lang w:val="en-GB"/>
        </w:rPr>
        <w:t xml:space="preserve"> blue cell suspension up and down using a 1000</w:t>
      </w:r>
      <w:r w:rsidR="00082FBE" w:rsidRPr="00442F26">
        <w:rPr>
          <w:bCs/>
          <w:iCs/>
          <w:color w:val="auto"/>
          <w:lang w:val="en-GB"/>
        </w:rPr>
        <w:t xml:space="preserve"> µL</w:t>
      </w:r>
      <w:r w:rsidRPr="00442F26">
        <w:rPr>
          <w:bCs/>
          <w:iCs/>
          <w:color w:val="auto"/>
          <w:lang w:val="en-GB"/>
        </w:rPr>
        <w:t xml:space="preserve"> pipette (to reduce sheer stress) before adding 10</w:t>
      </w:r>
      <w:r w:rsidR="00082FBE" w:rsidRPr="00442F26">
        <w:rPr>
          <w:bCs/>
          <w:iCs/>
          <w:color w:val="auto"/>
          <w:lang w:val="en-GB"/>
        </w:rPr>
        <w:t xml:space="preserve"> µL </w:t>
      </w:r>
      <w:r w:rsidRPr="00442F26">
        <w:rPr>
          <w:bCs/>
          <w:iCs/>
          <w:color w:val="auto"/>
          <w:lang w:val="en-GB"/>
        </w:rPr>
        <w:t>to the haemocytom</w:t>
      </w:r>
      <w:r w:rsidR="00836E69" w:rsidRPr="00442F26">
        <w:rPr>
          <w:bCs/>
          <w:iCs/>
          <w:color w:val="auto"/>
          <w:lang w:val="en-GB"/>
        </w:rPr>
        <w:t>et</w:t>
      </w:r>
      <w:r w:rsidRPr="00442F26">
        <w:rPr>
          <w:bCs/>
          <w:iCs/>
          <w:color w:val="auto"/>
          <w:lang w:val="en-GB"/>
        </w:rPr>
        <w:t>er. Ensure t</w:t>
      </w:r>
      <w:r w:rsidR="00082FBE" w:rsidRPr="00442F26">
        <w:rPr>
          <w:bCs/>
          <w:iCs/>
          <w:color w:val="auto"/>
          <w:lang w:val="en-GB"/>
        </w:rPr>
        <w:t>hat t</w:t>
      </w:r>
      <w:r w:rsidRPr="00442F26">
        <w:rPr>
          <w:bCs/>
          <w:iCs/>
          <w:color w:val="auto"/>
          <w:lang w:val="en-GB"/>
        </w:rPr>
        <w:t>he solution is dispersed underneath the cover slip and covers the entire grid without a</w:t>
      </w:r>
      <w:r w:rsidR="0048239F" w:rsidRPr="00442F26">
        <w:rPr>
          <w:bCs/>
          <w:iCs/>
          <w:color w:val="auto"/>
          <w:lang w:val="en-GB"/>
        </w:rPr>
        <w:t>ir</w:t>
      </w:r>
      <w:r w:rsidRPr="00442F26">
        <w:rPr>
          <w:bCs/>
          <w:iCs/>
          <w:color w:val="auto"/>
          <w:lang w:val="en-GB"/>
        </w:rPr>
        <w:t xml:space="preserve"> bubbles.</w:t>
      </w:r>
    </w:p>
    <w:p w14:paraId="0C5865C3" w14:textId="77777777" w:rsidR="00883059" w:rsidRPr="00442F26" w:rsidRDefault="00883059" w:rsidP="006F7144">
      <w:pPr>
        <w:pStyle w:val="ListParagraph"/>
        <w:widowControl/>
        <w:autoSpaceDE/>
        <w:autoSpaceDN/>
        <w:adjustRightInd/>
        <w:ind w:left="0"/>
        <w:rPr>
          <w:rFonts w:eastAsia="Calibri"/>
          <w:bCs/>
          <w:iCs/>
          <w:color w:val="auto"/>
          <w:lang w:val="en-GB"/>
        </w:rPr>
      </w:pPr>
    </w:p>
    <w:p w14:paraId="4C765814" w14:textId="6BF2313E" w:rsidR="00BE340D" w:rsidRPr="00442F26" w:rsidRDefault="00BE340D" w:rsidP="006F7144">
      <w:pPr>
        <w:pStyle w:val="ListParagraph"/>
        <w:widowControl/>
        <w:autoSpaceDE/>
        <w:autoSpaceDN/>
        <w:adjustRightInd/>
        <w:ind w:left="0"/>
        <w:rPr>
          <w:b/>
          <w:bCs/>
          <w:color w:val="auto"/>
        </w:rPr>
      </w:pPr>
      <w:r w:rsidRPr="00442F26">
        <w:rPr>
          <w:b/>
          <w:bCs/>
          <w:color w:val="auto"/>
        </w:rPr>
        <w:t>[Insert Figure 1 here]</w:t>
      </w:r>
    </w:p>
    <w:p w14:paraId="23EAC25F" w14:textId="56C4853B" w:rsidR="00B60135" w:rsidRPr="00442F26" w:rsidRDefault="00176F0C" w:rsidP="006F7144">
      <w:pPr>
        <w:pStyle w:val="ListParagraph"/>
        <w:widowControl/>
        <w:autoSpaceDE/>
        <w:autoSpaceDN/>
        <w:adjustRightInd/>
        <w:ind w:left="0"/>
        <w:rPr>
          <w:rFonts w:eastAsia="Calibri"/>
          <w:bCs/>
          <w:iCs/>
          <w:color w:val="auto"/>
          <w:lang w:val="en-GB"/>
        </w:rPr>
      </w:pPr>
      <w:r w:rsidRPr="00442F26">
        <w:rPr>
          <w:bCs/>
          <w:iCs/>
          <w:color w:val="auto"/>
          <w:lang w:val="en-GB"/>
        </w:rPr>
        <w:t xml:space="preserve"> </w:t>
      </w:r>
    </w:p>
    <w:p w14:paraId="3986267E" w14:textId="31EED2D0" w:rsidR="00836E69" w:rsidRPr="00442F26" w:rsidRDefault="00176F0C" w:rsidP="006F7144">
      <w:pPr>
        <w:pStyle w:val="ListParagraph"/>
        <w:widowControl/>
        <w:numPr>
          <w:ilvl w:val="1"/>
          <w:numId w:val="49"/>
        </w:numPr>
        <w:autoSpaceDE/>
        <w:autoSpaceDN/>
        <w:adjustRightInd/>
        <w:ind w:left="0" w:firstLine="0"/>
        <w:rPr>
          <w:rFonts w:eastAsia="Calibri"/>
          <w:bCs/>
          <w:iCs/>
          <w:color w:val="auto"/>
          <w:lang w:val="en-GB"/>
        </w:rPr>
      </w:pPr>
      <w:r w:rsidRPr="00442F26">
        <w:rPr>
          <w:bCs/>
          <w:iCs/>
          <w:color w:val="auto"/>
          <w:lang w:val="en-GB"/>
        </w:rPr>
        <w:t>Under the microscope, count the live (unstained) and dead (stained blue) cells found in the four large corner squares (</w:t>
      </w:r>
      <w:r w:rsidRPr="00442F26">
        <w:rPr>
          <w:b/>
          <w:iCs/>
          <w:color w:val="auto"/>
          <w:lang w:val="en-GB"/>
        </w:rPr>
        <w:t>Figure 1</w:t>
      </w:r>
      <w:r w:rsidRPr="00442F26">
        <w:rPr>
          <w:bCs/>
          <w:iCs/>
          <w:color w:val="auto"/>
          <w:lang w:val="en-GB"/>
        </w:rPr>
        <w:t xml:space="preserve">). </w:t>
      </w:r>
      <w:r w:rsidR="002E7A73" w:rsidRPr="00442F26">
        <w:rPr>
          <w:bCs/>
          <w:iCs/>
          <w:color w:val="auto"/>
          <w:lang w:val="en-GB"/>
        </w:rPr>
        <w:t>Exclude a</w:t>
      </w:r>
      <w:r w:rsidR="008F28DF" w:rsidRPr="00442F26">
        <w:rPr>
          <w:bCs/>
          <w:iCs/>
          <w:color w:val="auto"/>
          <w:lang w:val="en-GB"/>
        </w:rPr>
        <w:t>ny cells foun</w:t>
      </w:r>
      <w:r w:rsidR="00634692" w:rsidRPr="00442F26">
        <w:rPr>
          <w:bCs/>
          <w:iCs/>
          <w:color w:val="auto"/>
          <w:lang w:val="en-GB"/>
        </w:rPr>
        <w:t>d</w:t>
      </w:r>
      <w:r w:rsidR="008F28DF" w:rsidRPr="00442F26">
        <w:rPr>
          <w:bCs/>
          <w:iCs/>
          <w:color w:val="auto"/>
          <w:lang w:val="en-GB"/>
        </w:rPr>
        <w:t xml:space="preserve"> </w:t>
      </w:r>
      <w:r w:rsidR="00634692" w:rsidRPr="00442F26">
        <w:rPr>
          <w:bCs/>
          <w:iCs/>
          <w:color w:val="auto"/>
          <w:lang w:val="en-GB"/>
        </w:rPr>
        <w:t xml:space="preserve">to overlap or sit </w:t>
      </w:r>
      <w:r w:rsidR="008F28DF" w:rsidRPr="00442F26">
        <w:rPr>
          <w:bCs/>
          <w:iCs/>
          <w:color w:val="auto"/>
          <w:lang w:val="en-GB"/>
        </w:rPr>
        <w:t xml:space="preserve">on the </w:t>
      </w:r>
      <w:r w:rsidR="00634692" w:rsidRPr="00442F26">
        <w:rPr>
          <w:bCs/>
          <w:iCs/>
          <w:color w:val="auto"/>
          <w:lang w:val="en-GB"/>
        </w:rPr>
        <w:t>interior two</w:t>
      </w:r>
      <w:r w:rsidR="008F28DF" w:rsidRPr="00442F26">
        <w:rPr>
          <w:bCs/>
          <w:iCs/>
          <w:color w:val="auto"/>
          <w:lang w:val="en-GB"/>
        </w:rPr>
        <w:t xml:space="preserve"> edges of the </w:t>
      </w:r>
      <w:r w:rsidR="00634692" w:rsidRPr="00442F26">
        <w:rPr>
          <w:bCs/>
          <w:iCs/>
          <w:color w:val="auto"/>
          <w:lang w:val="en-GB"/>
        </w:rPr>
        <w:t>large corner squares (</w:t>
      </w:r>
      <w:r w:rsidR="00725AEE" w:rsidRPr="00442F26">
        <w:rPr>
          <w:bCs/>
          <w:color w:val="auto"/>
          <w:lang w:val="en-GB"/>
        </w:rPr>
        <w:t xml:space="preserve">i.e., </w:t>
      </w:r>
      <w:r w:rsidR="00634692" w:rsidRPr="00442F26">
        <w:rPr>
          <w:bCs/>
          <w:iCs/>
          <w:color w:val="auto"/>
          <w:lang w:val="en-GB"/>
        </w:rPr>
        <w:t>on the lines) in the count.</w:t>
      </w:r>
      <w:r w:rsidR="00725AEE" w:rsidRPr="00442F26">
        <w:rPr>
          <w:bCs/>
          <w:iCs/>
          <w:color w:val="auto"/>
          <w:lang w:val="en-GB"/>
        </w:rPr>
        <w:t xml:space="preserve"> </w:t>
      </w:r>
    </w:p>
    <w:p w14:paraId="33121C3E" w14:textId="77777777" w:rsidR="002E7A73" w:rsidRPr="00442F26" w:rsidRDefault="002E7A73" w:rsidP="006F7144">
      <w:pPr>
        <w:pStyle w:val="ListParagraph"/>
        <w:widowControl/>
        <w:autoSpaceDE/>
        <w:autoSpaceDN/>
        <w:adjustRightInd/>
        <w:ind w:left="0"/>
        <w:rPr>
          <w:rFonts w:eastAsia="Calibri"/>
          <w:bCs/>
          <w:iCs/>
          <w:color w:val="auto"/>
          <w:lang w:val="en-GB"/>
        </w:rPr>
      </w:pPr>
    </w:p>
    <w:p w14:paraId="76B7AD8A" w14:textId="45A57A72" w:rsidR="00176F0C" w:rsidRPr="00442F26" w:rsidRDefault="00176F0C" w:rsidP="006F7144">
      <w:pPr>
        <w:pStyle w:val="ListParagraph"/>
        <w:widowControl/>
        <w:numPr>
          <w:ilvl w:val="1"/>
          <w:numId w:val="49"/>
        </w:numPr>
        <w:autoSpaceDE/>
        <w:autoSpaceDN/>
        <w:adjustRightInd/>
        <w:ind w:left="0" w:firstLine="0"/>
        <w:rPr>
          <w:rFonts w:eastAsia="Calibri"/>
          <w:bCs/>
          <w:iCs/>
          <w:color w:val="auto"/>
          <w:lang w:val="en-GB"/>
        </w:rPr>
      </w:pPr>
      <w:r w:rsidRPr="00442F26">
        <w:rPr>
          <w:bCs/>
          <w:iCs/>
          <w:color w:val="auto"/>
          <w:lang w:val="en-GB"/>
        </w:rPr>
        <w:t>Using the following calculation, calculate the average number of live, viable cells (unstained) present in the sample:</w:t>
      </w:r>
    </w:p>
    <w:p w14:paraId="7F898F59" w14:textId="7E717595" w:rsidR="00176F0C" w:rsidRPr="00442F26" w:rsidRDefault="00176F0C" w:rsidP="006F7144">
      <w:pPr>
        <w:contextualSpacing/>
        <w:rPr>
          <w:rFonts w:eastAsia="Calibri"/>
          <w:iCs/>
          <w:color w:val="auto"/>
          <w:lang w:val="en-GB"/>
        </w:rPr>
      </w:pPr>
      <w:r w:rsidRPr="00442F26">
        <w:rPr>
          <w:rFonts w:eastAsia="Calibri"/>
          <w:iCs/>
          <w:color w:val="auto"/>
          <w:lang w:val="en-GB"/>
        </w:rPr>
        <w:t>Total Number of Cells/</w:t>
      </w:r>
      <w:r w:rsidR="00DA2F20" w:rsidRPr="00442F26">
        <w:rPr>
          <w:rFonts w:eastAsia="Calibri"/>
          <w:iCs/>
          <w:color w:val="auto"/>
          <w:lang w:val="en-GB"/>
        </w:rPr>
        <w:t>mL</w:t>
      </w:r>
      <w:r w:rsidRPr="00442F26">
        <w:rPr>
          <w:rFonts w:eastAsia="Calibri"/>
          <w:iCs/>
          <w:color w:val="auto"/>
          <w:lang w:val="en-GB"/>
        </w:rPr>
        <w:t xml:space="preserve"> = Live Cell Count x </w:t>
      </w:r>
      <m:oMath>
        <m:f>
          <m:fPr>
            <m:ctrlPr>
              <w:rPr>
                <w:rFonts w:ascii="Cambria Math" w:hAnsi="Cambria Math"/>
                <w:color w:val="auto"/>
              </w:rPr>
            </m:ctrlPr>
          </m:fPr>
          <m:num>
            <m:r>
              <w:rPr>
                <w:rFonts w:ascii="Cambria Math" w:hAnsi="Cambria Math"/>
                <w:color w:val="auto"/>
              </w:rPr>
              <m:t>dilution</m:t>
            </m:r>
          </m:num>
          <m:den>
            <m:r>
              <m:rPr>
                <m:sty m:val="p"/>
              </m:rPr>
              <w:rPr>
                <w:rFonts w:ascii="Cambria Math" w:hAnsi="Cambria Math"/>
                <w:color w:val="auto"/>
              </w:rPr>
              <m:t>#</m:t>
            </m:r>
            <m:r>
              <w:rPr>
                <w:rFonts w:ascii="Cambria Math" w:hAnsi="Cambria Math"/>
                <w:color w:val="auto"/>
              </w:rPr>
              <m:t>of</m:t>
            </m:r>
            <m:r>
              <m:rPr>
                <m:sty m:val="p"/>
              </m:rPr>
              <w:rPr>
                <w:rFonts w:ascii="Cambria Math" w:hAnsi="Cambria Math"/>
                <w:color w:val="auto"/>
              </w:rPr>
              <m:t xml:space="preserve"> </m:t>
            </m:r>
            <m:r>
              <w:rPr>
                <w:rFonts w:ascii="Cambria Math" w:hAnsi="Cambria Math"/>
                <w:color w:val="auto"/>
              </w:rPr>
              <m:t>squares</m:t>
            </m:r>
            <m:r>
              <m:rPr>
                <m:sty m:val="p"/>
              </m:rPr>
              <w:rPr>
                <w:rFonts w:ascii="Cambria Math" w:hAnsi="Cambria Math"/>
                <w:color w:val="auto"/>
              </w:rPr>
              <m:t xml:space="preserve"> </m:t>
            </m:r>
            <m:r>
              <w:rPr>
                <w:rFonts w:ascii="Cambria Math" w:hAnsi="Cambria Math"/>
                <w:color w:val="auto"/>
              </w:rPr>
              <m:t>counted</m:t>
            </m:r>
          </m:den>
        </m:f>
      </m:oMath>
      <w:r w:rsidRPr="00442F26">
        <w:rPr>
          <w:color w:val="auto"/>
          <w:position w:val="-15"/>
          <w:lang w:val="en-GB"/>
        </w:rPr>
        <w:t xml:space="preserve"> </w:t>
      </w:r>
      <w:r w:rsidRPr="00442F26">
        <w:rPr>
          <w:rFonts w:eastAsia="Calibri"/>
          <w:iCs/>
          <w:color w:val="auto"/>
          <w:lang w:val="en-GB"/>
        </w:rPr>
        <w:t>x 10,000</w:t>
      </w:r>
    </w:p>
    <w:p w14:paraId="16EF49A1" w14:textId="1E151216" w:rsidR="00176F0C" w:rsidRPr="00442F26" w:rsidRDefault="002E7A73" w:rsidP="006F7144">
      <w:pPr>
        <w:pStyle w:val="NoSpacing"/>
        <w:contextualSpacing/>
        <w:jc w:val="both"/>
        <w:rPr>
          <w:rFonts w:cs="Calibri"/>
          <w:iCs/>
          <w:sz w:val="24"/>
          <w:szCs w:val="24"/>
        </w:rPr>
      </w:pPr>
      <w:r w:rsidRPr="00442F26">
        <w:rPr>
          <w:rFonts w:cs="Calibri"/>
          <w:iCs/>
          <w:sz w:val="24"/>
          <w:szCs w:val="24"/>
        </w:rPr>
        <w:t>w</w:t>
      </w:r>
      <w:r w:rsidR="00176F0C" w:rsidRPr="00442F26">
        <w:rPr>
          <w:rFonts w:cs="Calibri"/>
          <w:iCs/>
          <w:sz w:val="24"/>
          <w:szCs w:val="24"/>
        </w:rPr>
        <w:t>here</w:t>
      </w:r>
      <w:r w:rsidRPr="00442F26">
        <w:rPr>
          <w:rFonts w:cs="Calibri"/>
          <w:iCs/>
          <w:sz w:val="24"/>
          <w:szCs w:val="24"/>
        </w:rPr>
        <w:t xml:space="preserve"> d</w:t>
      </w:r>
      <w:r w:rsidR="00176F0C" w:rsidRPr="00442F26">
        <w:rPr>
          <w:rFonts w:cs="Calibri"/>
          <w:iCs/>
          <w:sz w:val="24"/>
          <w:szCs w:val="24"/>
        </w:rPr>
        <w:t xml:space="preserve">ilution refers to how many times the stock solution was diluted in </w:t>
      </w:r>
      <w:r w:rsidRPr="00442F26">
        <w:rPr>
          <w:rFonts w:cs="Calibri"/>
          <w:iCs/>
          <w:sz w:val="24"/>
          <w:szCs w:val="24"/>
        </w:rPr>
        <w:t>Trypan</w:t>
      </w:r>
      <w:r w:rsidR="00176F0C" w:rsidRPr="00442F26">
        <w:rPr>
          <w:rFonts w:cs="Calibri"/>
          <w:iCs/>
          <w:sz w:val="24"/>
          <w:szCs w:val="24"/>
        </w:rPr>
        <w:t xml:space="preserve"> blue (2</w:t>
      </w:r>
      <w:r w:rsidRPr="00442F26">
        <w:rPr>
          <w:rFonts w:cs="Calibri"/>
          <w:iCs/>
          <w:sz w:val="24"/>
          <w:szCs w:val="24"/>
        </w:rPr>
        <w:t>x</w:t>
      </w:r>
      <w:r w:rsidR="00176F0C" w:rsidRPr="00442F26">
        <w:rPr>
          <w:rFonts w:cs="Calibri"/>
          <w:iCs/>
          <w:sz w:val="24"/>
          <w:szCs w:val="24"/>
        </w:rPr>
        <w:t xml:space="preserve"> in this case)</w:t>
      </w:r>
      <w:r w:rsidRPr="00442F26">
        <w:rPr>
          <w:rFonts w:cs="Calibri"/>
          <w:iCs/>
          <w:sz w:val="24"/>
          <w:szCs w:val="24"/>
        </w:rPr>
        <w:t xml:space="preserve"> and </w:t>
      </w:r>
      <w:r w:rsidR="00176F0C" w:rsidRPr="00442F26">
        <w:rPr>
          <w:rFonts w:cs="Calibri"/>
          <w:iCs/>
          <w:sz w:val="24"/>
          <w:szCs w:val="24"/>
        </w:rPr>
        <w:t># of squares counted refers to the four large corner squares of the haemocytometer counted</w:t>
      </w:r>
    </w:p>
    <w:p w14:paraId="33586DA7" w14:textId="77777777" w:rsidR="008A3A46" w:rsidRPr="00442F26" w:rsidRDefault="008A3A46" w:rsidP="006F7144">
      <w:pPr>
        <w:pStyle w:val="NoSpacing"/>
        <w:contextualSpacing/>
        <w:jc w:val="both"/>
        <w:rPr>
          <w:rFonts w:cs="Calibri"/>
          <w:i/>
          <w:sz w:val="24"/>
          <w:szCs w:val="24"/>
        </w:rPr>
      </w:pPr>
    </w:p>
    <w:p w14:paraId="14D15D8E" w14:textId="77DAEC55"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Based on the viable HepG2 cell count and using the following formula:</w:t>
      </w:r>
    </w:p>
    <w:p w14:paraId="33A58378" w14:textId="77777777" w:rsidR="002E7A73" w:rsidRPr="00442F26" w:rsidRDefault="00176F0C" w:rsidP="006F7144">
      <w:pPr>
        <w:pStyle w:val="NoSpacing"/>
        <w:contextualSpacing/>
        <w:jc w:val="both"/>
        <w:rPr>
          <w:rFonts w:cs="Calibri"/>
          <w:bCs/>
          <w:sz w:val="24"/>
          <w:szCs w:val="24"/>
        </w:rPr>
      </w:pPr>
      <w:r w:rsidRPr="00442F26">
        <w:rPr>
          <w:rFonts w:cs="Calibri"/>
          <w:bCs/>
          <w:sz w:val="24"/>
          <w:szCs w:val="24"/>
        </w:rPr>
        <w:t>C</w:t>
      </w:r>
      <w:r w:rsidRPr="00442F26">
        <w:rPr>
          <w:rFonts w:cs="Calibri"/>
          <w:bCs/>
          <w:sz w:val="24"/>
          <w:szCs w:val="24"/>
          <w:vertAlign w:val="subscript"/>
        </w:rPr>
        <w:t>1</w:t>
      </w:r>
      <w:r w:rsidRPr="00442F26">
        <w:rPr>
          <w:rFonts w:cs="Calibri"/>
          <w:bCs/>
          <w:sz w:val="24"/>
          <w:szCs w:val="24"/>
        </w:rPr>
        <w:t>V</w:t>
      </w:r>
      <w:r w:rsidRPr="00442F26">
        <w:rPr>
          <w:rFonts w:cs="Calibri"/>
          <w:bCs/>
          <w:sz w:val="24"/>
          <w:szCs w:val="24"/>
          <w:vertAlign w:val="subscript"/>
        </w:rPr>
        <w:t>1</w:t>
      </w:r>
      <w:r w:rsidRPr="00442F26">
        <w:rPr>
          <w:rFonts w:cs="Calibri"/>
          <w:bCs/>
          <w:sz w:val="24"/>
          <w:szCs w:val="24"/>
        </w:rPr>
        <w:t>=C</w:t>
      </w:r>
      <w:r w:rsidRPr="00442F26">
        <w:rPr>
          <w:rFonts w:cs="Calibri"/>
          <w:bCs/>
          <w:sz w:val="24"/>
          <w:szCs w:val="24"/>
          <w:vertAlign w:val="subscript"/>
        </w:rPr>
        <w:t>2</w:t>
      </w:r>
      <w:r w:rsidRPr="00442F26">
        <w:rPr>
          <w:rFonts w:cs="Calibri"/>
          <w:bCs/>
          <w:sz w:val="24"/>
          <w:szCs w:val="24"/>
        </w:rPr>
        <w:t>V</w:t>
      </w:r>
      <w:r w:rsidRPr="00442F26">
        <w:rPr>
          <w:rFonts w:cs="Calibri"/>
          <w:bCs/>
          <w:sz w:val="24"/>
          <w:szCs w:val="24"/>
          <w:vertAlign w:val="subscript"/>
        </w:rPr>
        <w:t>2</w:t>
      </w:r>
      <w:r w:rsidR="002E7A73" w:rsidRPr="00442F26">
        <w:rPr>
          <w:rFonts w:cs="Calibri"/>
          <w:bCs/>
          <w:sz w:val="24"/>
          <w:szCs w:val="24"/>
        </w:rPr>
        <w:t xml:space="preserve"> </w:t>
      </w:r>
    </w:p>
    <w:p w14:paraId="64A797E0" w14:textId="6765765F" w:rsidR="00176F0C" w:rsidRPr="00442F26" w:rsidRDefault="002E7A73" w:rsidP="006F7144">
      <w:pPr>
        <w:pStyle w:val="NoSpacing"/>
        <w:contextualSpacing/>
        <w:jc w:val="both"/>
        <w:rPr>
          <w:rFonts w:cs="Calibri"/>
          <w:bCs/>
          <w:sz w:val="24"/>
          <w:szCs w:val="24"/>
        </w:rPr>
      </w:pPr>
      <w:r w:rsidRPr="00442F26">
        <w:rPr>
          <w:rFonts w:cs="Calibri"/>
          <w:bCs/>
          <w:sz w:val="24"/>
          <w:szCs w:val="24"/>
        </w:rPr>
        <w:t>w</w:t>
      </w:r>
      <w:r w:rsidR="00176F0C" w:rsidRPr="00442F26">
        <w:rPr>
          <w:rFonts w:cs="Calibri"/>
          <w:bCs/>
          <w:iCs/>
          <w:sz w:val="24"/>
          <w:szCs w:val="24"/>
        </w:rPr>
        <w:t>here</w:t>
      </w:r>
      <w:r w:rsidRPr="00442F26">
        <w:rPr>
          <w:rFonts w:cs="Calibri"/>
          <w:bCs/>
          <w:iCs/>
          <w:sz w:val="24"/>
          <w:szCs w:val="24"/>
        </w:rPr>
        <w:t xml:space="preserve"> </w:t>
      </w:r>
      <w:r w:rsidR="00176F0C" w:rsidRPr="00442F26">
        <w:rPr>
          <w:rFonts w:cs="Calibri"/>
          <w:bCs/>
          <w:iCs/>
          <w:sz w:val="24"/>
          <w:szCs w:val="24"/>
        </w:rPr>
        <w:t>C</w:t>
      </w:r>
      <w:r w:rsidR="00176F0C" w:rsidRPr="00442F26">
        <w:rPr>
          <w:rFonts w:cs="Calibri"/>
          <w:bCs/>
          <w:iCs/>
          <w:sz w:val="24"/>
          <w:szCs w:val="24"/>
          <w:vertAlign w:val="subscript"/>
        </w:rPr>
        <w:t>1</w:t>
      </w:r>
      <w:r w:rsidRPr="00442F26">
        <w:rPr>
          <w:rFonts w:cs="Calibri"/>
          <w:bCs/>
          <w:iCs/>
          <w:sz w:val="24"/>
          <w:szCs w:val="24"/>
        </w:rPr>
        <w:t xml:space="preserve"> </w:t>
      </w:r>
      <w:r w:rsidR="00176F0C" w:rsidRPr="00442F26">
        <w:rPr>
          <w:rFonts w:cs="Calibri"/>
          <w:bCs/>
          <w:iCs/>
          <w:sz w:val="24"/>
          <w:szCs w:val="24"/>
        </w:rPr>
        <w:t xml:space="preserve">= the concentration of viable cells </w:t>
      </w:r>
      <w:r w:rsidRPr="00442F26">
        <w:rPr>
          <w:rFonts w:cs="Calibri"/>
          <w:bCs/>
          <w:iCs/>
          <w:sz w:val="24"/>
          <w:szCs w:val="24"/>
        </w:rPr>
        <w:t>currently,</w:t>
      </w:r>
    </w:p>
    <w:p w14:paraId="6E95FF0F" w14:textId="6A367DFF" w:rsidR="002E7A73" w:rsidRPr="00442F26" w:rsidRDefault="00176F0C" w:rsidP="006F7144">
      <w:pPr>
        <w:pStyle w:val="NoSpacing"/>
        <w:contextualSpacing/>
        <w:jc w:val="both"/>
        <w:rPr>
          <w:rFonts w:cs="Calibri"/>
          <w:bCs/>
          <w:iCs/>
          <w:sz w:val="24"/>
          <w:szCs w:val="24"/>
        </w:rPr>
      </w:pPr>
      <w:r w:rsidRPr="00442F26">
        <w:rPr>
          <w:rFonts w:cs="Calibri"/>
          <w:bCs/>
          <w:iCs/>
          <w:sz w:val="24"/>
          <w:szCs w:val="24"/>
        </w:rPr>
        <w:t>V</w:t>
      </w:r>
      <w:r w:rsidRPr="00442F26">
        <w:rPr>
          <w:rFonts w:cs="Calibri"/>
          <w:bCs/>
          <w:iCs/>
          <w:sz w:val="24"/>
          <w:szCs w:val="24"/>
          <w:vertAlign w:val="subscript"/>
        </w:rPr>
        <w:t>1</w:t>
      </w:r>
      <w:r w:rsidR="002E7A73" w:rsidRPr="00442F26">
        <w:rPr>
          <w:rFonts w:cs="Calibri"/>
          <w:bCs/>
          <w:iCs/>
          <w:sz w:val="24"/>
          <w:szCs w:val="24"/>
        </w:rPr>
        <w:t xml:space="preserve"> </w:t>
      </w:r>
      <w:r w:rsidRPr="00442F26">
        <w:rPr>
          <w:rFonts w:cs="Calibri"/>
          <w:bCs/>
          <w:iCs/>
          <w:sz w:val="24"/>
          <w:szCs w:val="24"/>
        </w:rPr>
        <w:t xml:space="preserve">= the volume of cell suspension </w:t>
      </w:r>
      <w:r w:rsidR="002E7A73" w:rsidRPr="00442F26">
        <w:rPr>
          <w:rFonts w:cs="Calibri"/>
          <w:bCs/>
          <w:iCs/>
          <w:sz w:val="24"/>
          <w:szCs w:val="24"/>
        </w:rPr>
        <w:t>currently,</w:t>
      </w:r>
    </w:p>
    <w:p w14:paraId="4F1D2184" w14:textId="7BD55549" w:rsidR="00176F0C" w:rsidRPr="00442F26" w:rsidRDefault="00176F0C" w:rsidP="006F7144">
      <w:pPr>
        <w:pStyle w:val="NoSpacing"/>
        <w:contextualSpacing/>
        <w:jc w:val="both"/>
        <w:rPr>
          <w:rFonts w:cs="Calibri"/>
          <w:bCs/>
          <w:iCs/>
          <w:sz w:val="24"/>
          <w:szCs w:val="24"/>
        </w:rPr>
      </w:pPr>
      <w:r w:rsidRPr="00442F26">
        <w:rPr>
          <w:rFonts w:cs="Calibri"/>
          <w:bCs/>
          <w:iCs/>
          <w:sz w:val="24"/>
          <w:szCs w:val="24"/>
        </w:rPr>
        <w:t>C</w:t>
      </w:r>
      <w:r w:rsidRPr="00442F26">
        <w:rPr>
          <w:rFonts w:cs="Calibri"/>
          <w:bCs/>
          <w:iCs/>
          <w:sz w:val="24"/>
          <w:szCs w:val="24"/>
          <w:vertAlign w:val="subscript"/>
        </w:rPr>
        <w:t>2</w:t>
      </w:r>
      <w:r w:rsidR="002E7A73" w:rsidRPr="00442F26">
        <w:rPr>
          <w:rFonts w:cs="Calibri"/>
          <w:bCs/>
          <w:iCs/>
          <w:sz w:val="24"/>
          <w:szCs w:val="24"/>
        </w:rPr>
        <w:t xml:space="preserve"> </w:t>
      </w:r>
      <w:r w:rsidRPr="00442F26">
        <w:rPr>
          <w:rFonts w:cs="Calibri"/>
          <w:bCs/>
          <w:iCs/>
          <w:sz w:val="24"/>
          <w:szCs w:val="24"/>
        </w:rPr>
        <w:t xml:space="preserve">= the concentration of cell suspension </w:t>
      </w:r>
      <w:r w:rsidR="002E7A73" w:rsidRPr="00442F26">
        <w:rPr>
          <w:rFonts w:cs="Calibri"/>
          <w:bCs/>
          <w:iCs/>
          <w:sz w:val="24"/>
          <w:szCs w:val="24"/>
        </w:rPr>
        <w:t>wanted,</w:t>
      </w:r>
    </w:p>
    <w:p w14:paraId="2B9BA038" w14:textId="6123B5FB" w:rsidR="00176F0C" w:rsidRPr="00442F26" w:rsidRDefault="00176F0C" w:rsidP="006F7144">
      <w:pPr>
        <w:pStyle w:val="NoSpacing"/>
        <w:contextualSpacing/>
        <w:jc w:val="both"/>
        <w:rPr>
          <w:rFonts w:cs="Calibri"/>
          <w:bCs/>
          <w:iCs/>
          <w:sz w:val="24"/>
          <w:szCs w:val="24"/>
        </w:rPr>
      </w:pPr>
      <w:r w:rsidRPr="00442F26">
        <w:rPr>
          <w:rFonts w:cs="Calibri"/>
          <w:bCs/>
          <w:iCs/>
          <w:sz w:val="24"/>
          <w:szCs w:val="24"/>
        </w:rPr>
        <w:t>V</w:t>
      </w:r>
      <w:r w:rsidRPr="00442F26">
        <w:rPr>
          <w:rFonts w:cs="Calibri"/>
          <w:bCs/>
          <w:iCs/>
          <w:sz w:val="24"/>
          <w:szCs w:val="24"/>
          <w:vertAlign w:val="subscript"/>
        </w:rPr>
        <w:t>2</w:t>
      </w:r>
      <w:r w:rsidR="002E7A73" w:rsidRPr="00442F26">
        <w:rPr>
          <w:rFonts w:cs="Calibri"/>
          <w:bCs/>
          <w:iCs/>
          <w:sz w:val="24"/>
          <w:szCs w:val="24"/>
        </w:rPr>
        <w:t xml:space="preserve"> </w:t>
      </w:r>
      <w:r w:rsidRPr="00442F26">
        <w:rPr>
          <w:rFonts w:cs="Calibri"/>
          <w:bCs/>
          <w:iCs/>
          <w:sz w:val="24"/>
          <w:szCs w:val="24"/>
        </w:rPr>
        <w:t xml:space="preserve">= the volume of cell suspension </w:t>
      </w:r>
      <w:r w:rsidR="002E7A73" w:rsidRPr="00442F26">
        <w:rPr>
          <w:rFonts w:cs="Calibri"/>
          <w:bCs/>
          <w:iCs/>
          <w:sz w:val="24"/>
          <w:szCs w:val="24"/>
        </w:rPr>
        <w:t>wanted</w:t>
      </w:r>
    </w:p>
    <w:p w14:paraId="0C5E40F7" w14:textId="77777777" w:rsidR="00176F0C" w:rsidRPr="00442F26" w:rsidRDefault="00176F0C" w:rsidP="006F7144">
      <w:pPr>
        <w:pStyle w:val="NoSpacing"/>
        <w:contextualSpacing/>
        <w:jc w:val="both"/>
        <w:rPr>
          <w:rFonts w:cs="Calibri"/>
          <w:sz w:val="24"/>
          <w:szCs w:val="24"/>
        </w:rPr>
      </w:pPr>
    </w:p>
    <w:p w14:paraId="6A35FF7F" w14:textId="6F6D9F8C" w:rsidR="008A3A46" w:rsidRPr="00442F26" w:rsidRDefault="00176F0C" w:rsidP="006F7144">
      <w:pPr>
        <w:pStyle w:val="ListParagraph"/>
        <w:widowControl/>
        <w:numPr>
          <w:ilvl w:val="1"/>
          <w:numId w:val="49"/>
        </w:numPr>
        <w:autoSpaceDE/>
        <w:autoSpaceDN/>
        <w:adjustRightInd/>
        <w:ind w:left="0" w:firstLine="0"/>
        <w:rPr>
          <w:bCs/>
          <w:iCs/>
          <w:color w:val="auto"/>
          <w:lang w:val="en-GB"/>
        </w:rPr>
      </w:pPr>
      <w:r w:rsidRPr="00442F26">
        <w:rPr>
          <w:rFonts w:eastAsia="Calibri"/>
          <w:bCs/>
          <w:iCs/>
          <w:color w:val="auto"/>
          <w:lang w:val="en-GB"/>
        </w:rPr>
        <w:t>Prepare a 10</w:t>
      </w:r>
      <w:r w:rsidR="002E7A73" w:rsidRPr="00442F26">
        <w:rPr>
          <w:rFonts w:eastAsia="Calibri"/>
          <w:bCs/>
          <w:iCs/>
          <w:color w:val="auto"/>
          <w:lang w:val="en-GB"/>
        </w:rPr>
        <w:t xml:space="preserve"> </w:t>
      </w:r>
      <w:r w:rsidR="00DA2F20" w:rsidRPr="00442F26">
        <w:rPr>
          <w:rFonts w:eastAsia="Calibri"/>
          <w:bCs/>
          <w:iCs/>
          <w:color w:val="auto"/>
          <w:lang w:val="en-GB"/>
        </w:rPr>
        <w:t>mL</w:t>
      </w:r>
      <w:r w:rsidRPr="00442F26">
        <w:rPr>
          <w:rFonts w:eastAsia="Calibri"/>
          <w:bCs/>
          <w:iCs/>
          <w:color w:val="auto"/>
          <w:lang w:val="en-GB"/>
        </w:rPr>
        <w:t xml:space="preserve"> stock solution of HepG2 cell suspension with DMEM cell culture medium at a concentration of 2.0</w:t>
      </w:r>
      <w:r w:rsidR="002E7A73" w:rsidRPr="00442F26">
        <w:rPr>
          <w:rFonts w:eastAsia="Calibri"/>
          <w:bCs/>
          <w:iCs/>
          <w:color w:val="auto"/>
          <w:lang w:val="en-GB"/>
        </w:rPr>
        <w:t xml:space="preserve"> </w:t>
      </w:r>
      <w:r w:rsidRPr="00442F26">
        <w:rPr>
          <w:rFonts w:eastAsia="Calibri"/>
          <w:bCs/>
          <w:iCs/>
          <w:color w:val="auto"/>
          <w:lang w:val="en-GB"/>
        </w:rPr>
        <w:t>x</w:t>
      </w:r>
      <w:r w:rsidR="002E7A73" w:rsidRPr="00442F26">
        <w:rPr>
          <w:rFonts w:eastAsia="Calibri"/>
          <w:bCs/>
          <w:iCs/>
          <w:color w:val="auto"/>
          <w:lang w:val="en-GB"/>
        </w:rPr>
        <w:t xml:space="preserve"> </w:t>
      </w:r>
      <w:r w:rsidRPr="00442F26">
        <w:rPr>
          <w:rFonts w:eastAsia="Calibri"/>
          <w:bCs/>
          <w:iCs/>
          <w:color w:val="auto"/>
          <w:lang w:val="en-GB"/>
        </w:rPr>
        <w:t>10</w:t>
      </w:r>
      <w:r w:rsidRPr="00442F26">
        <w:rPr>
          <w:rFonts w:eastAsia="Calibri"/>
          <w:bCs/>
          <w:iCs/>
          <w:color w:val="auto"/>
          <w:vertAlign w:val="superscript"/>
          <w:lang w:val="en-GB"/>
        </w:rPr>
        <w:t>5</w:t>
      </w:r>
      <w:r w:rsidRPr="00442F26">
        <w:rPr>
          <w:rFonts w:eastAsia="Calibri"/>
          <w:bCs/>
          <w:iCs/>
          <w:color w:val="auto"/>
          <w:lang w:val="en-GB"/>
        </w:rPr>
        <w:t xml:space="preserve"> cells/</w:t>
      </w:r>
      <w:r w:rsidR="00DA2F20" w:rsidRPr="00442F26">
        <w:rPr>
          <w:rFonts w:eastAsia="Calibri"/>
          <w:bCs/>
          <w:iCs/>
          <w:color w:val="auto"/>
          <w:lang w:val="en-GB"/>
        </w:rPr>
        <w:t>mL</w:t>
      </w:r>
      <w:r w:rsidRPr="00442F26">
        <w:rPr>
          <w:rFonts w:eastAsia="Calibri"/>
          <w:bCs/>
          <w:iCs/>
          <w:color w:val="auto"/>
          <w:lang w:val="en-GB"/>
        </w:rPr>
        <w:t xml:space="preserve"> in order to </w:t>
      </w:r>
      <w:r w:rsidR="00626AFB" w:rsidRPr="00442F26">
        <w:rPr>
          <w:rFonts w:eastAsia="Calibri"/>
          <w:bCs/>
          <w:iCs/>
          <w:color w:val="auto"/>
          <w:lang w:val="en-GB"/>
        </w:rPr>
        <w:t xml:space="preserve">achieve </w:t>
      </w:r>
      <w:r w:rsidRPr="00442F26">
        <w:rPr>
          <w:rFonts w:eastAsia="Calibri"/>
          <w:bCs/>
          <w:iCs/>
          <w:color w:val="auto"/>
          <w:lang w:val="en-GB"/>
        </w:rPr>
        <w:t>4000 HepG2 cells per 20</w:t>
      </w:r>
      <w:r w:rsidR="002E7A73" w:rsidRPr="00442F26">
        <w:rPr>
          <w:rFonts w:eastAsia="Calibri"/>
          <w:bCs/>
          <w:iCs/>
          <w:color w:val="auto"/>
          <w:lang w:val="en-GB"/>
        </w:rPr>
        <w:t xml:space="preserve"> </w:t>
      </w:r>
      <w:r w:rsidRPr="00442F26">
        <w:rPr>
          <w:rFonts w:eastAsia="Calibri"/>
          <w:bCs/>
          <w:iCs/>
          <w:color w:val="auto"/>
          <w:lang w:val="en-GB"/>
        </w:rPr>
        <w:t>µ</w:t>
      </w:r>
      <w:r w:rsidR="002E7A73" w:rsidRPr="00442F26">
        <w:rPr>
          <w:rFonts w:eastAsia="Calibri"/>
          <w:bCs/>
          <w:iCs/>
          <w:color w:val="auto"/>
          <w:lang w:val="en-GB"/>
        </w:rPr>
        <w:t xml:space="preserve">L </w:t>
      </w:r>
      <w:r w:rsidRPr="00442F26">
        <w:rPr>
          <w:rFonts w:eastAsia="Calibri"/>
          <w:bCs/>
          <w:iCs/>
          <w:color w:val="auto"/>
          <w:lang w:val="en-GB"/>
        </w:rPr>
        <w:t>hanging drop.</w:t>
      </w:r>
      <w:r w:rsidR="00D92B63" w:rsidRPr="00442F26">
        <w:rPr>
          <w:rFonts w:eastAsia="Calibri"/>
          <w:bCs/>
          <w:iCs/>
          <w:color w:val="auto"/>
          <w:lang w:val="en-GB"/>
        </w:rPr>
        <w:t xml:space="preserve"> </w:t>
      </w:r>
      <w:r w:rsidRPr="00442F26">
        <w:rPr>
          <w:color w:val="auto"/>
          <w:lang w:val="en-GB"/>
        </w:rPr>
        <w:t>Mix the cell suspension thoroughly</w:t>
      </w:r>
      <w:r w:rsidR="00725AEE" w:rsidRPr="00442F26">
        <w:rPr>
          <w:color w:val="auto"/>
          <w:lang w:val="en-GB"/>
        </w:rPr>
        <w:t xml:space="preserve"> </w:t>
      </w:r>
      <w:r w:rsidRPr="00442F26">
        <w:rPr>
          <w:color w:val="auto"/>
          <w:lang w:val="en-GB"/>
        </w:rPr>
        <w:t xml:space="preserve">by gently pipetting up and down using a </w:t>
      </w:r>
      <w:r w:rsidR="00A7731F" w:rsidRPr="00442F26">
        <w:rPr>
          <w:bCs/>
          <w:iCs/>
          <w:color w:val="auto"/>
          <w:lang w:val="en-GB"/>
        </w:rPr>
        <w:t>1000</w:t>
      </w:r>
      <w:r w:rsidR="002E7A73" w:rsidRPr="00442F26">
        <w:rPr>
          <w:bCs/>
          <w:iCs/>
          <w:color w:val="auto"/>
          <w:lang w:val="en-GB"/>
        </w:rPr>
        <w:t xml:space="preserve"> </w:t>
      </w:r>
      <w:r w:rsidR="002E7A73" w:rsidRPr="00442F26">
        <w:rPr>
          <w:rFonts w:eastAsia="Calibri"/>
          <w:bCs/>
          <w:iCs/>
          <w:color w:val="auto"/>
          <w:lang w:val="en-GB"/>
        </w:rPr>
        <w:t xml:space="preserve">µL </w:t>
      </w:r>
      <w:r w:rsidR="00A7731F" w:rsidRPr="00442F26">
        <w:rPr>
          <w:color w:val="auto"/>
          <w:lang w:val="en-GB"/>
        </w:rPr>
        <w:t xml:space="preserve">pipette </w:t>
      </w:r>
      <w:r w:rsidRPr="00442F26">
        <w:rPr>
          <w:color w:val="auto"/>
          <w:lang w:val="en-GB"/>
        </w:rPr>
        <w:t>to ensure all cells are fully suspended within the media.</w:t>
      </w:r>
    </w:p>
    <w:p w14:paraId="3CC66984" w14:textId="77777777" w:rsidR="002E7A73" w:rsidRPr="00442F26" w:rsidRDefault="002E7A73" w:rsidP="006F7144">
      <w:pPr>
        <w:pStyle w:val="ListParagraph"/>
        <w:widowControl/>
        <w:autoSpaceDE/>
        <w:autoSpaceDN/>
        <w:adjustRightInd/>
        <w:ind w:left="0"/>
        <w:rPr>
          <w:bCs/>
          <w:iCs/>
          <w:color w:val="auto"/>
          <w:lang w:val="en-GB"/>
        </w:rPr>
      </w:pPr>
    </w:p>
    <w:p w14:paraId="6840E16A" w14:textId="488C59CD" w:rsidR="00176F0C" w:rsidRPr="00442F26" w:rsidRDefault="00176F0C" w:rsidP="006F7144">
      <w:pPr>
        <w:pStyle w:val="ListParagraph"/>
        <w:widowControl/>
        <w:numPr>
          <w:ilvl w:val="1"/>
          <w:numId w:val="49"/>
        </w:numPr>
        <w:autoSpaceDE/>
        <w:autoSpaceDN/>
        <w:adjustRightInd/>
        <w:ind w:left="0" w:firstLine="0"/>
        <w:rPr>
          <w:bCs/>
          <w:iCs/>
          <w:color w:val="auto"/>
          <w:highlight w:val="yellow"/>
          <w:lang w:val="en-GB"/>
        </w:rPr>
      </w:pPr>
      <w:r w:rsidRPr="00442F26">
        <w:rPr>
          <w:color w:val="auto"/>
          <w:highlight w:val="yellow"/>
          <w:lang w:val="en-GB"/>
        </w:rPr>
        <w:t>To the wells of a 96-well cell culture plate</w:t>
      </w:r>
      <w:r w:rsidR="002C1FD8" w:rsidRPr="00442F26">
        <w:rPr>
          <w:color w:val="auto"/>
          <w:highlight w:val="yellow"/>
          <w:lang w:val="en-GB"/>
        </w:rPr>
        <w:t>,</w:t>
      </w:r>
      <w:r w:rsidRPr="00442F26">
        <w:rPr>
          <w:color w:val="auto"/>
          <w:highlight w:val="yellow"/>
          <w:lang w:val="en-GB"/>
        </w:rPr>
        <w:t xml:space="preserve"> add 100</w:t>
      </w:r>
      <w:r w:rsidR="002E7A73" w:rsidRPr="00442F26">
        <w:rPr>
          <w:color w:val="auto"/>
          <w:highlight w:val="yellow"/>
          <w:lang w:val="en-GB"/>
        </w:rPr>
        <w:t xml:space="preserve"> </w:t>
      </w:r>
      <w:r w:rsidR="002E7A73" w:rsidRPr="00442F26">
        <w:rPr>
          <w:rFonts w:eastAsia="Calibri"/>
          <w:bCs/>
          <w:iCs/>
          <w:color w:val="auto"/>
          <w:highlight w:val="yellow"/>
          <w:lang w:val="en-GB"/>
        </w:rPr>
        <w:t xml:space="preserve">µL </w:t>
      </w:r>
      <w:r w:rsidRPr="00442F26">
        <w:rPr>
          <w:color w:val="auto"/>
          <w:highlight w:val="yellow"/>
          <w:lang w:val="en-GB"/>
        </w:rPr>
        <w:t>of sterile, room temperature PBS to prevent the hanging drops from drying out during incubation.</w:t>
      </w:r>
    </w:p>
    <w:p w14:paraId="03F2923E" w14:textId="77777777" w:rsidR="002E7A73" w:rsidRPr="00442F26" w:rsidRDefault="002E7A73" w:rsidP="006F7144">
      <w:pPr>
        <w:pStyle w:val="ListParagraph"/>
        <w:widowControl/>
        <w:autoSpaceDE/>
        <w:autoSpaceDN/>
        <w:adjustRightInd/>
        <w:ind w:left="0"/>
        <w:rPr>
          <w:bCs/>
          <w:iCs/>
          <w:color w:val="auto"/>
          <w:highlight w:val="yellow"/>
          <w:lang w:val="en-GB"/>
        </w:rPr>
      </w:pPr>
    </w:p>
    <w:p w14:paraId="1E6BAE45" w14:textId="77777777" w:rsidR="002C1FD8" w:rsidRPr="00442F26" w:rsidRDefault="00176F0C" w:rsidP="006F7144">
      <w:pPr>
        <w:pStyle w:val="ListParagraph"/>
        <w:widowControl/>
        <w:numPr>
          <w:ilvl w:val="1"/>
          <w:numId w:val="49"/>
        </w:numPr>
        <w:autoSpaceDE/>
        <w:autoSpaceDN/>
        <w:adjustRightInd/>
        <w:ind w:left="0" w:firstLine="0"/>
        <w:rPr>
          <w:bCs/>
          <w:iCs/>
          <w:color w:val="auto"/>
          <w:highlight w:val="yellow"/>
        </w:rPr>
      </w:pPr>
      <w:r w:rsidRPr="00442F26">
        <w:rPr>
          <w:bCs/>
          <w:iCs/>
          <w:color w:val="auto"/>
          <w:highlight w:val="yellow"/>
        </w:rPr>
        <w:lastRenderedPageBreak/>
        <w:t xml:space="preserve">Take the lid of </w:t>
      </w:r>
      <w:r w:rsidR="002047C7" w:rsidRPr="00442F26">
        <w:rPr>
          <w:bCs/>
          <w:iCs/>
          <w:color w:val="auto"/>
          <w:highlight w:val="yellow"/>
        </w:rPr>
        <w:t xml:space="preserve">a </w:t>
      </w:r>
      <w:r w:rsidR="00B03A63" w:rsidRPr="00442F26">
        <w:rPr>
          <w:bCs/>
          <w:iCs/>
          <w:color w:val="auto"/>
          <w:highlight w:val="yellow"/>
        </w:rPr>
        <w:t xml:space="preserve">standard </w:t>
      </w:r>
      <w:r w:rsidR="002047C7" w:rsidRPr="00442F26">
        <w:rPr>
          <w:bCs/>
          <w:iCs/>
          <w:color w:val="auto"/>
          <w:highlight w:val="yellow"/>
        </w:rPr>
        <w:t>flat bottom</w:t>
      </w:r>
      <w:r w:rsidR="00B03A63" w:rsidRPr="00442F26">
        <w:rPr>
          <w:bCs/>
          <w:iCs/>
          <w:color w:val="auto"/>
          <w:highlight w:val="yellow"/>
        </w:rPr>
        <w:t xml:space="preserve"> </w:t>
      </w:r>
      <w:r w:rsidRPr="00442F26">
        <w:rPr>
          <w:bCs/>
          <w:iCs/>
          <w:color w:val="auto"/>
          <w:highlight w:val="yellow"/>
        </w:rPr>
        <w:t xml:space="preserve">96-well cell culture plate, </w:t>
      </w:r>
      <w:r w:rsidRPr="00442F26">
        <w:rPr>
          <w:color w:val="auto"/>
          <w:highlight w:val="yellow"/>
        </w:rPr>
        <w:t>invert</w:t>
      </w:r>
      <w:r w:rsidRPr="00442F26">
        <w:rPr>
          <w:bCs/>
          <w:iCs/>
          <w:color w:val="auto"/>
          <w:highlight w:val="yellow"/>
        </w:rPr>
        <w:t xml:space="preserve"> it and carefully pipette 20</w:t>
      </w:r>
      <w:r w:rsidR="002C1FD8" w:rsidRPr="00442F26">
        <w:rPr>
          <w:bCs/>
          <w:iCs/>
          <w:color w:val="auto"/>
          <w:highlight w:val="yellow"/>
        </w:rPr>
        <w:t xml:space="preserve"> </w:t>
      </w:r>
      <w:r w:rsidR="002C1FD8" w:rsidRPr="00442F26">
        <w:rPr>
          <w:rFonts w:eastAsia="Calibri"/>
          <w:bCs/>
          <w:iCs/>
          <w:color w:val="auto"/>
          <w:highlight w:val="yellow"/>
          <w:lang w:val="en-GB"/>
        </w:rPr>
        <w:t xml:space="preserve">µL </w:t>
      </w:r>
      <w:r w:rsidRPr="00442F26">
        <w:rPr>
          <w:bCs/>
          <w:iCs/>
          <w:color w:val="auto"/>
          <w:highlight w:val="yellow"/>
        </w:rPr>
        <w:t xml:space="preserve">drops of the cell suspension into the </w:t>
      </w:r>
      <w:r w:rsidR="002C1FD8" w:rsidRPr="00442F26">
        <w:rPr>
          <w:bCs/>
          <w:iCs/>
          <w:color w:val="auto"/>
          <w:highlight w:val="yellow"/>
        </w:rPr>
        <w:t>center</w:t>
      </w:r>
      <w:r w:rsidRPr="00442F26">
        <w:rPr>
          <w:bCs/>
          <w:iCs/>
          <w:color w:val="auto"/>
          <w:highlight w:val="yellow"/>
        </w:rPr>
        <w:t xml:space="preserve"> of each well groove of the lid, as shown in </w:t>
      </w:r>
      <w:r w:rsidRPr="00442F26">
        <w:rPr>
          <w:b/>
          <w:iCs/>
          <w:color w:val="auto"/>
          <w:highlight w:val="yellow"/>
        </w:rPr>
        <w:t>Figure 2</w:t>
      </w:r>
      <w:r w:rsidRPr="00442F26">
        <w:rPr>
          <w:bCs/>
          <w:iCs/>
          <w:color w:val="auto"/>
          <w:highlight w:val="yellow"/>
        </w:rPr>
        <w:t xml:space="preserve">. </w:t>
      </w:r>
      <w:r w:rsidR="002C1FD8" w:rsidRPr="00442F26">
        <w:rPr>
          <w:bCs/>
          <w:iCs/>
          <w:color w:val="auto"/>
          <w:highlight w:val="yellow"/>
        </w:rPr>
        <w:t>Use</w:t>
      </w:r>
      <w:r w:rsidRPr="00442F26">
        <w:rPr>
          <w:bCs/>
          <w:iCs/>
          <w:color w:val="auto"/>
          <w:highlight w:val="yellow"/>
        </w:rPr>
        <w:t xml:space="preserve"> a multi-channel pipette but </w:t>
      </w:r>
      <w:r w:rsidR="002C1FD8" w:rsidRPr="00442F26">
        <w:rPr>
          <w:bCs/>
          <w:iCs/>
          <w:color w:val="auto"/>
          <w:highlight w:val="yellow"/>
        </w:rPr>
        <w:t>add</w:t>
      </w:r>
      <w:r w:rsidRPr="00442F26">
        <w:rPr>
          <w:bCs/>
          <w:iCs/>
          <w:color w:val="auto"/>
          <w:highlight w:val="yellow"/>
        </w:rPr>
        <w:t xml:space="preserve"> only 2 - 4 drops at once as multiple seeding can affect the accuracy and placement of the drops. </w:t>
      </w:r>
    </w:p>
    <w:p w14:paraId="7403263B" w14:textId="77777777" w:rsidR="002C1FD8" w:rsidRPr="00442F26" w:rsidRDefault="002C1FD8" w:rsidP="006F7144">
      <w:pPr>
        <w:pStyle w:val="ListParagraph"/>
        <w:ind w:left="0"/>
        <w:rPr>
          <w:bCs/>
          <w:iCs/>
          <w:color w:val="auto"/>
          <w:highlight w:val="yellow"/>
        </w:rPr>
      </w:pPr>
    </w:p>
    <w:p w14:paraId="1C149B71" w14:textId="3CD1F59F" w:rsidR="00176F0C" w:rsidRPr="00442F26" w:rsidRDefault="002C1FD8" w:rsidP="006F7144">
      <w:pPr>
        <w:pStyle w:val="ListParagraph"/>
        <w:widowControl/>
        <w:numPr>
          <w:ilvl w:val="2"/>
          <w:numId w:val="49"/>
        </w:numPr>
        <w:autoSpaceDE/>
        <w:autoSpaceDN/>
        <w:adjustRightInd/>
        <w:ind w:left="0" w:firstLine="0"/>
        <w:rPr>
          <w:bCs/>
          <w:iCs/>
          <w:color w:val="auto"/>
          <w:highlight w:val="yellow"/>
        </w:rPr>
      </w:pPr>
      <w:r w:rsidRPr="00442F26">
        <w:rPr>
          <w:bCs/>
          <w:iCs/>
          <w:color w:val="auto"/>
          <w:highlight w:val="yellow"/>
        </w:rPr>
        <w:t>Center the drops</w:t>
      </w:r>
      <w:r w:rsidR="00176F0C" w:rsidRPr="00442F26">
        <w:rPr>
          <w:bCs/>
          <w:iCs/>
          <w:color w:val="auto"/>
          <w:highlight w:val="yellow"/>
        </w:rPr>
        <w:t xml:space="preserve"> within the grooves of the wells laid out on the lid</w:t>
      </w:r>
      <w:r w:rsidRPr="00442F26">
        <w:rPr>
          <w:bCs/>
          <w:iCs/>
          <w:color w:val="auto"/>
          <w:highlight w:val="yellow"/>
        </w:rPr>
        <w:t>;</w:t>
      </w:r>
      <w:r w:rsidR="00176F0C" w:rsidRPr="00442F26">
        <w:rPr>
          <w:bCs/>
          <w:iCs/>
          <w:color w:val="auto"/>
          <w:highlight w:val="yellow"/>
        </w:rPr>
        <w:t xml:space="preserve"> otherwise they will not hang in the cen</w:t>
      </w:r>
      <w:r w:rsidRPr="00442F26">
        <w:rPr>
          <w:bCs/>
          <w:iCs/>
          <w:color w:val="auto"/>
          <w:highlight w:val="yellow"/>
        </w:rPr>
        <w:t>ter</w:t>
      </w:r>
      <w:r w:rsidR="00176F0C" w:rsidRPr="00442F26">
        <w:rPr>
          <w:bCs/>
          <w:iCs/>
          <w:color w:val="auto"/>
          <w:highlight w:val="yellow"/>
        </w:rPr>
        <w:t xml:space="preserve"> of the wells when the lid of the plate is turned </w:t>
      </w:r>
      <w:r w:rsidRPr="00442F26">
        <w:rPr>
          <w:bCs/>
          <w:iCs/>
          <w:color w:val="auto"/>
          <w:highlight w:val="yellow"/>
        </w:rPr>
        <w:t>over and</w:t>
      </w:r>
      <w:r w:rsidR="00176F0C" w:rsidRPr="00442F26">
        <w:rPr>
          <w:bCs/>
          <w:iCs/>
          <w:color w:val="auto"/>
          <w:highlight w:val="yellow"/>
        </w:rPr>
        <w:t xml:space="preserve"> are at risk of falling off into the plate. </w:t>
      </w:r>
      <w:r w:rsidR="00176F0C" w:rsidRPr="00442F26">
        <w:rPr>
          <w:color w:val="auto"/>
          <w:highlight w:val="yellow"/>
        </w:rPr>
        <w:t>Gently flip the lid of the 96-well plate, so the drops are now hanging and carefully place on top of the 96-well plate.</w:t>
      </w:r>
    </w:p>
    <w:p w14:paraId="43FE4732" w14:textId="77777777" w:rsidR="002C1FD8" w:rsidRPr="00442F26" w:rsidRDefault="002C1FD8" w:rsidP="006F7144">
      <w:pPr>
        <w:pStyle w:val="ListParagraph"/>
        <w:widowControl/>
        <w:autoSpaceDE/>
        <w:autoSpaceDN/>
        <w:adjustRightInd/>
        <w:ind w:left="0"/>
        <w:rPr>
          <w:bCs/>
          <w:iCs/>
          <w:color w:val="auto"/>
          <w:highlight w:val="yellow"/>
        </w:rPr>
      </w:pPr>
    </w:p>
    <w:p w14:paraId="4CBF9287" w14:textId="16469E87" w:rsidR="002C1FD8" w:rsidRPr="00442F26" w:rsidRDefault="00176F0C" w:rsidP="006F7144">
      <w:pPr>
        <w:pStyle w:val="ListParagraph"/>
        <w:widowControl/>
        <w:numPr>
          <w:ilvl w:val="1"/>
          <w:numId w:val="49"/>
        </w:numPr>
        <w:autoSpaceDE/>
        <w:autoSpaceDN/>
        <w:adjustRightInd/>
        <w:ind w:left="0" w:firstLine="0"/>
        <w:rPr>
          <w:bCs/>
          <w:iCs/>
          <w:color w:val="auto"/>
        </w:rPr>
      </w:pPr>
      <w:r w:rsidRPr="00442F26">
        <w:rPr>
          <w:color w:val="auto"/>
          <w:highlight w:val="yellow"/>
        </w:rPr>
        <w:t xml:space="preserve">Place the whole 96 well plate with lid gently into an incubator at </w:t>
      </w:r>
      <w:r w:rsidR="0098244F" w:rsidRPr="00442F26">
        <w:rPr>
          <w:color w:val="auto"/>
          <w:highlight w:val="yellow"/>
        </w:rPr>
        <w:t>37</w:t>
      </w:r>
      <w:r w:rsidR="002C1FD8" w:rsidRPr="00442F26">
        <w:rPr>
          <w:color w:val="auto"/>
          <w:highlight w:val="yellow"/>
        </w:rPr>
        <w:t xml:space="preserve"> </w:t>
      </w:r>
      <w:r w:rsidR="0098244F" w:rsidRPr="00442F26">
        <w:rPr>
          <w:color w:val="auto"/>
          <w:highlight w:val="yellow"/>
        </w:rPr>
        <w:t>°C</w:t>
      </w:r>
      <w:r w:rsidRPr="00442F26">
        <w:rPr>
          <w:color w:val="auto"/>
          <w:highlight w:val="yellow"/>
        </w:rPr>
        <w:t xml:space="preserve"> and 5% CO</w:t>
      </w:r>
      <w:r w:rsidRPr="00442F26">
        <w:rPr>
          <w:color w:val="auto"/>
          <w:highlight w:val="yellow"/>
          <w:vertAlign w:val="subscript"/>
        </w:rPr>
        <w:t xml:space="preserve">2 </w:t>
      </w:r>
      <w:r w:rsidRPr="00442F26">
        <w:rPr>
          <w:color w:val="auto"/>
          <w:highlight w:val="yellow"/>
        </w:rPr>
        <w:t>for 3 days prior to spheroid transfer onto agarose.</w:t>
      </w:r>
      <w:r w:rsidR="008A3A46" w:rsidRPr="00442F26">
        <w:rPr>
          <w:color w:val="auto"/>
        </w:rPr>
        <w:t xml:space="preserve"> </w:t>
      </w:r>
      <w:r w:rsidR="008A3A46" w:rsidRPr="00442F26">
        <w:rPr>
          <w:color w:val="auto"/>
        </w:rPr>
        <w:tab/>
      </w:r>
    </w:p>
    <w:p w14:paraId="39A1B4C2" w14:textId="77777777" w:rsidR="002C1FD8" w:rsidRPr="00442F26" w:rsidRDefault="002C1FD8" w:rsidP="006F7144">
      <w:pPr>
        <w:pStyle w:val="ListParagraph"/>
        <w:widowControl/>
        <w:autoSpaceDE/>
        <w:autoSpaceDN/>
        <w:adjustRightInd/>
        <w:ind w:left="0"/>
        <w:rPr>
          <w:color w:val="auto"/>
        </w:rPr>
      </w:pPr>
    </w:p>
    <w:p w14:paraId="6E5EAE98" w14:textId="1DBD8FCB" w:rsidR="00176F0C" w:rsidRPr="00442F26" w:rsidRDefault="002C1FD8" w:rsidP="006F7144">
      <w:pPr>
        <w:pStyle w:val="ListParagraph"/>
        <w:widowControl/>
        <w:autoSpaceDE/>
        <w:autoSpaceDN/>
        <w:adjustRightInd/>
        <w:ind w:left="0"/>
        <w:rPr>
          <w:iCs/>
          <w:color w:val="auto"/>
        </w:rPr>
      </w:pPr>
      <w:r w:rsidRPr="00442F26">
        <w:rPr>
          <w:iCs/>
          <w:color w:val="auto"/>
        </w:rPr>
        <w:t>NOTE:</w:t>
      </w:r>
      <w:r w:rsidR="00176F0C" w:rsidRPr="00442F26">
        <w:rPr>
          <w:iCs/>
          <w:color w:val="auto"/>
        </w:rPr>
        <w:t xml:space="preserve"> Extra care must be taken not only when transporting the plates to/from</w:t>
      </w:r>
      <w:r w:rsidR="008A3A46" w:rsidRPr="00442F26">
        <w:rPr>
          <w:iCs/>
          <w:color w:val="auto"/>
        </w:rPr>
        <w:t xml:space="preserve"> the incubators, but when opening and closing the incubator in general as excessive movement can cause the plates to shift and the spheroids to either fall or form incorrectly.</w:t>
      </w:r>
      <w:r w:rsidR="00725AEE" w:rsidRPr="00442F26">
        <w:rPr>
          <w:iCs/>
          <w:color w:val="auto"/>
        </w:rPr>
        <w:t xml:space="preserve"> </w:t>
      </w:r>
    </w:p>
    <w:p w14:paraId="0C422170" w14:textId="77777777" w:rsidR="002C1FD8" w:rsidRPr="00442F26" w:rsidRDefault="002C1FD8" w:rsidP="006F7144">
      <w:pPr>
        <w:pStyle w:val="ListParagraph"/>
        <w:widowControl/>
        <w:autoSpaceDE/>
        <w:autoSpaceDN/>
        <w:adjustRightInd/>
        <w:ind w:left="0"/>
        <w:rPr>
          <w:bCs/>
          <w:iCs/>
          <w:color w:val="auto"/>
        </w:rPr>
      </w:pPr>
    </w:p>
    <w:p w14:paraId="77552B71" w14:textId="5F2BC41A" w:rsidR="00407A80" w:rsidRPr="00442F26" w:rsidRDefault="00BE340D" w:rsidP="006F7144">
      <w:pPr>
        <w:widowControl/>
        <w:autoSpaceDE/>
        <w:autoSpaceDN/>
        <w:adjustRightInd/>
        <w:contextualSpacing/>
        <w:rPr>
          <w:b/>
          <w:bCs/>
          <w:color w:val="auto"/>
        </w:rPr>
      </w:pPr>
      <w:r w:rsidRPr="00442F26">
        <w:rPr>
          <w:b/>
          <w:bCs/>
          <w:color w:val="auto"/>
        </w:rPr>
        <w:t>[Insert Figure 2 here]</w:t>
      </w:r>
      <w:bookmarkStart w:id="9" w:name="_Toc6039672"/>
    </w:p>
    <w:p w14:paraId="01E8C979" w14:textId="77777777" w:rsidR="00407A80" w:rsidRPr="00442F26" w:rsidRDefault="00407A80" w:rsidP="006F7144">
      <w:pPr>
        <w:contextualSpacing/>
        <w:rPr>
          <w:color w:val="auto"/>
        </w:rPr>
      </w:pPr>
    </w:p>
    <w:p w14:paraId="415CF840" w14:textId="7F1CB4A2" w:rsidR="00176F0C" w:rsidRPr="00442F26" w:rsidRDefault="00176F0C" w:rsidP="006F7144">
      <w:pPr>
        <w:pStyle w:val="Heading3"/>
        <w:keepLines w:val="0"/>
        <w:widowControl/>
        <w:numPr>
          <w:ilvl w:val="0"/>
          <w:numId w:val="49"/>
        </w:numPr>
        <w:autoSpaceDE/>
        <w:autoSpaceDN/>
        <w:adjustRightInd/>
        <w:spacing w:before="0"/>
        <w:ind w:left="0" w:firstLine="0"/>
        <w:contextualSpacing/>
        <w:rPr>
          <w:rFonts w:ascii="Calibri" w:hAnsi="Calibri" w:cs="Calibri"/>
          <w:color w:val="auto"/>
        </w:rPr>
      </w:pPr>
      <w:r w:rsidRPr="00442F26">
        <w:rPr>
          <w:rFonts w:ascii="Calibri" w:hAnsi="Calibri" w:cs="Calibri"/>
          <w:color w:val="auto"/>
        </w:rPr>
        <w:t xml:space="preserve">HepG2 </w:t>
      </w:r>
      <w:r w:rsidR="002C1FD8" w:rsidRPr="00442F26">
        <w:rPr>
          <w:rFonts w:ascii="Calibri" w:hAnsi="Calibri" w:cs="Calibri"/>
          <w:color w:val="auto"/>
        </w:rPr>
        <w:t>spheroid transfer from hanging drop to agarose suspension</w:t>
      </w:r>
      <w:bookmarkEnd w:id="9"/>
    </w:p>
    <w:p w14:paraId="04F6D47C" w14:textId="77777777" w:rsidR="00BC1194" w:rsidRPr="00442F26" w:rsidRDefault="00BC1194" w:rsidP="006F7144">
      <w:pPr>
        <w:pStyle w:val="ListParagraph"/>
        <w:ind w:left="0"/>
        <w:rPr>
          <w:color w:val="auto"/>
        </w:rPr>
      </w:pPr>
    </w:p>
    <w:p w14:paraId="1A05E83B" w14:textId="77777777" w:rsidR="002C1FD8" w:rsidRPr="00442F26" w:rsidRDefault="002C1FD8" w:rsidP="006F7144">
      <w:pPr>
        <w:pStyle w:val="ListParagraph"/>
        <w:ind w:left="0"/>
        <w:rPr>
          <w:color w:val="auto"/>
        </w:rPr>
      </w:pPr>
      <w:r w:rsidRPr="00442F26">
        <w:rPr>
          <w:color w:val="auto"/>
        </w:rPr>
        <w:t xml:space="preserve">NOTE: </w:t>
      </w:r>
      <w:r w:rsidR="0099557B" w:rsidRPr="00442F26">
        <w:rPr>
          <w:color w:val="auto"/>
        </w:rPr>
        <w:t xml:space="preserve">On </w:t>
      </w:r>
      <w:r w:rsidR="00176F0C" w:rsidRPr="00442F26">
        <w:rPr>
          <w:color w:val="auto"/>
        </w:rPr>
        <w:t>Day 3 post seeding into hanging drops, the spheroids are transferred into the wells of the same 96-well plate all of which have been previously coated with a fine layer of 1.5% agarose gel</w:t>
      </w:r>
      <w:r w:rsidR="00A01923" w:rsidRPr="00442F26">
        <w:rPr>
          <w:color w:val="auto"/>
        </w:rPr>
        <w:t xml:space="preserve">. </w:t>
      </w:r>
    </w:p>
    <w:p w14:paraId="3E651265" w14:textId="77777777" w:rsidR="002C1FD8" w:rsidRPr="00442F26" w:rsidRDefault="002C1FD8" w:rsidP="006F7144">
      <w:pPr>
        <w:pStyle w:val="ListParagraph"/>
        <w:ind w:left="0"/>
        <w:rPr>
          <w:color w:val="auto"/>
        </w:rPr>
      </w:pPr>
    </w:p>
    <w:p w14:paraId="2B7B5A6F" w14:textId="77777777" w:rsidR="002C1FD8" w:rsidRPr="00442F26" w:rsidRDefault="002C1FD8" w:rsidP="006F7144">
      <w:pPr>
        <w:pStyle w:val="ListParagraph"/>
        <w:numPr>
          <w:ilvl w:val="1"/>
          <w:numId w:val="49"/>
        </w:numPr>
        <w:ind w:left="0" w:firstLine="0"/>
        <w:rPr>
          <w:color w:val="auto"/>
        </w:rPr>
      </w:pPr>
      <w:r w:rsidRPr="00442F26">
        <w:rPr>
          <w:color w:val="auto"/>
        </w:rPr>
        <w:t>Prepare a</w:t>
      </w:r>
      <w:r w:rsidR="00A01923" w:rsidRPr="00442F26">
        <w:rPr>
          <w:color w:val="auto"/>
        </w:rPr>
        <w:t xml:space="preserve">garose gels and autoclave </w:t>
      </w:r>
      <w:r w:rsidR="009E41C9" w:rsidRPr="00442F26">
        <w:rPr>
          <w:color w:val="auto"/>
        </w:rPr>
        <w:t>(</w:t>
      </w:r>
      <w:r w:rsidR="00725AEE" w:rsidRPr="00442F26">
        <w:rPr>
          <w:color w:val="auto"/>
        </w:rPr>
        <w:t xml:space="preserve">i.e., </w:t>
      </w:r>
      <w:r w:rsidR="009E41C9" w:rsidRPr="00442F26">
        <w:rPr>
          <w:color w:val="auto"/>
        </w:rPr>
        <w:t xml:space="preserve">day 2 post seeding) </w:t>
      </w:r>
      <w:r w:rsidR="00A01923" w:rsidRPr="00442F26">
        <w:rPr>
          <w:color w:val="auto"/>
        </w:rPr>
        <w:t>prior to the day of plate coating (</w:t>
      </w:r>
      <w:r w:rsidR="00725AEE" w:rsidRPr="00442F26">
        <w:rPr>
          <w:color w:val="auto"/>
        </w:rPr>
        <w:t xml:space="preserve">i.e., </w:t>
      </w:r>
      <w:r w:rsidR="00A01923" w:rsidRPr="00442F26">
        <w:rPr>
          <w:color w:val="auto"/>
        </w:rPr>
        <w:t xml:space="preserve">day 3 post seeding). </w:t>
      </w:r>
    </w:p>
    <w:p w14:paraId="7A1C77A3" w14:textId="77777777" w:rsidR="002C1FD8" w:rsidRPr="00442F26" w:rsidRDefault="002C1FD8" w:rsidP="006F7144">
      <w:pPr>
        <w:pStyle w:val="ListParagraph"/>
        <w:ind w:left="0"/>
        <w:rPr>
          <w:color w:val="auto"/>
        </w:rPr>
      </w:pPr>
    </w:p>
    <w:p w14:paraId="26AC92FB" w14:textId="23E94671" w:rsidR="00176F0C" w:rsidRPr="00442F26" w:rsidRDefault="00A01923" w:rsidP="006F7144">
      <w:pPr>
        <w:pStyle w:val="ListParagraph"/>
        <w:numPr>
          <w:ilvl w:val="2"/>
          <w:numId w:val="49"/>
        </w:numPr>
        <w:ind w:left="0" w:firstLine="0"/>
        <w:rPr>
          <w:color w:val="auto"/>
        </w:rPr>
      </w:pPr>
      <w:r w:rsidRPr="00442F26">
        <w:rPr>
          <w:color w:val="auto"/>
        </w:rPr>
        <w:t>To prepare a 1.5% agarose gel, weigh 0.30</w:t>
      </w:r>
      <w:r w:rsidR="002C1FD8" w:rsidRPr="00442F26">
        <w:rPr>
          <w:color w:val="auto"/>
        </w:rPr>
        <w:t xml:space="preserve"> </w:t>
      </w:r>
      <w:r w:rsidRPr="00442F26">
        <w:rPr>
          <w:color w:val="auto"/>
        </w:rPr>
        <w:t xml:space="preserve">g of agarose into a clean, glass bottle </w:t>
      </w:r>
      <w:r w:rsidR="002C1FD8" w:rsidRPr="00442F26">
        <w:rPr>
          <w:color w:val="auto"/>
        </w:rPr>
        <w:t xml:space="preserve">and </w:t>
      </w:r>
      <w:r w:rsidRPr="00442F26">
        <w:rPr>
          <w:color w:val="auto"/>
        </w:rPr>
        <w:t>then add 20</w:t>
      </w:r>
      <w:r w:rsidR="002C1FD8" w:rsidRPr="00442F26">
        <w:rPr>
          <w:color w:val="auto"/>
        </w:rPr>
        <w:t xml:space="preserve"> </w:t>
      </w:r>
      <w:r w:rsidR="00DA2F20" w:rsidRPr="00442F26">
        <w:rPr>
          <w:color w:val="auto"/>
        </w:rPr>
        <w:t>mL</w:t>
      </w:r>
      <w:r w:rsidRPr="00442F26">
        <w:rPr>
          <w:color w:val="auto"/>
        </w:rPr>
        <w:t xml:space="preserve"> of </w:t>
      </w:r>
      <w:proofErr w:type="gramStart"/>
      <w:r w:rsidRPr="00442F26">
        <w:rPr>
          <w:color w:val="auto"/>
        </w:rPr>
        <w:t>phenol-red</w:t>
      </w:r>
      <w:proofErr w:type="gramEnd"/>
      <w:r w:rsidRPr="00442F26">
        <w:rPr>
          <w:color w:val="auto"/>
        </w:rPr>
        <w:t xml:space="preserve"> free DMEM medium</w:t>
      </w:r>
      <w:r w:rsidR="00D150FA" w:rsidRPr="00442F26">
        <w:rPr>
          <w:color w:val="auto"/>
        </w:rPr>
        <w:t>. Autoclave the agarose for</w:t>
      </w:r>
      <w:r w:rsidRPr="00442F26">
        <w:rPr>
          <w:color w:val="auto"/>
        </w:rPr>
        <w:t xml:space="preserve"> 1 </w:t>
      </w:r>
      <w:r w:rsidR="002C1FD8" w:rsidRPr="00442F26">
        <w:rPr>
          <w:color w:val="auto"/>
        </w:rPr>
        <w:t>h</w:t>
      </w:r>
      <w:r w:rsidRPr="00442F26">
        <w:rPr>
          <w:color w:val="auto"/>
        </w:rPr>
        <w:t xml:space="preserve"> at 230</w:t>
      </w:r>
      <w:r w:rsidR="002C1FD8" w:rsidRPr="00442F26">
        <w:rPr>
          <w:color w:val="auto"/>
        </w:rPr>
        <w:t xml:space="preserve"> °</w:t>
      </w:r>
      <w:r w:rsidRPr="00442F26">
        <w:rPr>
          <w:color w:val="auto"/>
        </w:rPr>
        <w:t>C</w:t>
      </w:r>
      <w:r w:rsidR="00D150FA" w:rsidRPr="00442F26">
        <w:rPr>
          <w:color w:val="auto"/>
        </w:rPr>
        <w:t xml:space="preserve"> for sterilization. </w:t>
      </w:r>
      <w:r w:rsidR="00176F0C" w:rsidRPr="00442F26">
        <w:rPr>
          <w:color w:val="auto"/>
        </w:rPr>
        <w:t xml:space="preserve">The agarose coating prevents the HepG2 spheroids from adhering to the base of wells and forming a cellular monolayer instead of retaining their 3D spheroid structure. </w:t>
      </w:r>
    </w:p>
    <w:p w14:paraId="437D3779" w14:textId="77777777" w:rsidR="002C1FD8" w:rsidRPr="00442F26" w:rsidRDefault="002C1FD8" w:rsidP="006F7144">
      <w:pPr>
        <w:pStyle w:val="ListParagraph"/>
        <w:ind w:left="0"/>
        <w:rPr>
          <w:color w:val="auto"/>
        </w:rPr>
      </w:pPr>
    </w:p>
    <w:p w14:paraId="458F77F5" w14:textId="3C4B27CC" w:rsidR="00176F0C" w:rsidRPr="00442F26" w:rsidRDefault="00176F0C" w:rsidP="006F7144">
      <w:pPr>
        <w:pStyle w:val="ListParagraph"/>
        <w:widowControl/>
        <w:numPr>
          <w:ilvl w:val="1"/>
          <w:numId w:val="49"/>
        </w:numPr>
        <w:autoSpaceDE/>
        <w:autoSpaceDN/>
        <w:adjustRightInd/>
        <w:ind w:left="0" w:firstLine="0"/>
        <w:rPr>
          <w:color w:val="auto"/>
          <w:highlight w:val="yellow"/>
          <w:lang w:val="en-GB"/>
        </w:rPr>
      </w:pPr>
      <w:r w:rsidRPr="00442F26">
        <w:rPr>
          <w:color w:val="auto"/>
          <w:highlight w:val="yellow"/>
          <w:lang w:val="en-GB"/>
        </w:rPr>
        <w:t xml:space="preserve">On Day 3 post seeding, remove the 96-well plate containing the HepG2 hanging drop spheroids out of the incubator and carefully flip the lid so the spheroids are no longer hanging. </w:t>
      </w:r>
    </w:p>
    <w:p w14:paraId="6D0F0BED" w14:textId="77777777" w:rsidR="002C1FD8" w:rsidRPr="00442F26" w:rsidRDefault="002C1FD8" w:rsidP="006F7144">
      <w:pPr>
        <w:widowControl/>
        <w:autoSpaceDE/>
        <w:autoSpaceDN/>
        <w:adjustRightInd/>
        <w:contextualSpacing/>
        <w:rPr>
          <w:color w:val="auto"/>
          <w:highlight w:val="yellow"/>
          <w:lang w:val="en-GB"/>
        </w:rPr>
      </w:pPr>
    </w:p>
    <w:p w14:paraId="2BF9C480" w14:textId="4E5C1FC7" w:rsidR="00176F0C" w:rsidRPr="00442F26" w:rsidRDefault="00176F0C" w:rsidP="006F7144">
      <w:pPr>
        <w:widowControl/>
        <w:numPr>
          <w:ilvl w:val="1"/>
          <w:numId w:val="49"/>
        </w:numPr>
        <w:autoSpaceDE/>
        <w:autoSpaceDN/>
        <w:adjustRightInd/>
        <w:ind w:left="0" w:firstLine="0"/>
        <w:contextualSpacing/>
        <w:rPr>
          <w:color w:val="auto"/>
          <w:highlight w:val="yellow"/>
          <w:lang w:val="en-GB"/>
        </w:rPr>
      </w:pPr>
      <w:r w:rsidRPr="00442F26">
        <w:rPr>
          <w:color w:val="auto"/>
          <w:highlight w:val="yellow"/>
          <w:lang w:val="en-GB"/>
        </w:rPr>
        <w:t>Using a multichannel pipette, remove and discard the 100</w:t>
      </w:r>
      <w:r w:rsidR="002C1FD8" w:rsidRPr="00442F26">
        <w:rPr>
          <w:color w:val="auto"/>
          <w:highlight w:val="yellow"/>
          <w:lang w:val="en-GB"/>
        </w:rPr>
        <w:t xml:space="preserve"> </w:t>
      </w:r>
      <w:r w:rsidRPr="00442F26">
        <w:rPr>
          <w:color w:val="auto"/>
          <w:highlight w:val="yellow"/>
          <w:lang w:val="en-GB"/>
        </w:rPr>
        <w:t xml:space="preserve">µL of PBS previously added to the base of the 96-well plate. Allow the plates to airdry for 2-3 </w:t>
      </w:r>
      <w:r w:rsidR="00F94D35" w:rsidRPr="00442F26">
        <w:rPr>
          <w:color w:val="auto"/>
          <w:highlight w:val="yellow"/>
          <w:lang w:val="en-GB"/>
        </w:rPr>
        <w:t>min</w:t>
      </w:r>
      <w:r w:rsidRPr="00442F26">
        <w:rPr>
          <w:color w:val="auto"/>
          <w:highlight w:val="yellow"/>
          <w:lang w:val="en-GB"/>
        </w:rPr>
        <w:t xml:space="preserve"> whilst heating the agarose in preparation for coating. </w:t>
      </w:r>
    </w:p>
    <w:p w14:paraId="3A87D425" w14:textId="77777777" w:rsidR="002C1FD8" w:rsidRPr="00442F26" w:rsidRDefault="002C1FD8" w:rsidP="006F7144">
      <w:pPr>
        <w:widowControl/>
        <w:autoSpaceDE/>
        <w:autoSpaceDN/>
        <w:adjustRightInd/>
        <w:contextualSpacing/>
        <w:rPr>
          <w:color w:val="auto"/>
          <w:highlight w:val="yellow"/>
          <w:lang w:val="en-GB"/>
        </w:rPr>
      </w:pPr>
    </w:p>
    <w:p w14:paraId="3835D4EA" w14:textId="71E1CB31" w:rsidR="00A01923" w:rsidRPr="00442F26" w:rsidRDefault="00A01923" w:rsidP="006F7144">
      <w:pPr>
        <w:widowControl/>
        <w:autoSpaceDE/>
        <w:autoSpaceDN/>
        <w:adjustRightInd/>
        <w:contextualSpacing/>
        <w:rPr>
          <w:color w:val="auto"/>
          <w:lang w:val="en-GB"/>
        </w:rPr>
      </w:pPr>
      <w:r w:rsidRPr="00442F26">
        <w:rPr>
          <w:color w:val="auto"/>
          <w:lang w:val="en-GB"/>
        </w:rPr>
        <w:t xml:space="preserve">CAUTION: This procedure results in </w:t>
      </w:r>
      <w:r w:rsidR="0099557B" w:rsidRPr="00442F26">
        <w:rPr>
          <w:color w:val="auto"/>
          <w:lang w:val="en-GB"/>
        </w:rPr>
        <w:t xml:space="preserve">very </w:t>
      </w:r>
      <w:r w:rsidRPr="00442F26">
        <w:rPr>
          <w:color w:val="auto"/>
          <w:lang w:val="en-GB"/>
        </w:rPr>
        <w:t>hot, liquid agarose which if spilt onto the skin may burn and cause injury. Furthermore, care must be taken when handling the glass bottle containing the liquid agarose as this too can be very hot.</w:t>
      </w:r>
    </w:p>
    <w:p w14:paraId="7E3D16ED" w14:textId="77777777" w:rsidR="002C1FD8" w:rsidRPr="00442F26" w:rsidRDefault="002C1FD8" w:rsidP="006F7144">
      <w:pPr>
        <w:widowControl/>
        <w:autoSpaceDE/>
        <w:autoSpaceDN/>
        <w:adjustRightInd/>
        <w:contextualSpacing/>
        <w:rPr>
          <w:color w:val="auto"/>
          <w:lang w:val="en-GB"/>
        </w:rPr>
      </w:pPr>
    </w:p>
    <w:p w14:paraId="27F43BD1" w14:textId="74A25EC2" w:rsidR="00176F0C" w:rsidRPr="00442F26" w:rsidRDefault="00176F0C" w:rsidP="006F7144">
      <w:pPr>
        <w:widowControl/>
        <w:numPr>
          <w:ilvl w:val="1"/>
          <w:numId w:val="49"/>
        </w:numPr>
        <w:autoSpaceDE/>
        <w:autoSpaceDN/>
        <w:adjustRightInd/>
        <w:ind w:left="0" w:firstLine="0"/>
        <w:contextualSpacing/>
        <w:rPr>
          <w:color w:val="auto"/>
          <w:lang w:val="en-GB"/>
        </w:rPr>
      </w:pPr>
      <w:r w:rsidRPr="00442F26">
        <w:rPr>
          <w:color w:val="auto"/>
          <w:lang w:val="en-GB"/>
        </w:rPr>
        <w:lastRenderedPageBreak/>
        <w:t xml:space="preserve">Using the 1.5% agarose gels previously prepared, heat the glass bottle containing the </w:t>
      </w:r>
      <w:r w:rsidR="0099557B" w:rsidRPr="00442F26">
        <w:rPr>
          <w:color w:val="auto"/>
          <w:lang w:val="en-GB"/>
        </w:rPr>
        <w:t>20</w:t>
      </w:r>
      <w:r w:rsidR="002C1FD8" w:rsidRPr="00442F26">
        <w:rPr>
          <w:color w:val="auto"/>
          <w:lang w:val="en-GB"/>
        </w:rPr>
        <w:t xml:space="preserve"> </w:t>
      </w:r>
      <w:r w:rsidR="00DA2F20" w:rsidRPr="00442F26">
        <w:rPr>
          <w:color w:val="auto"/>
          <w:lang w:val="en-GB"/>
        </w:rPr>
        <w:t>mL</w:t>
      </w:r>
      <w:r w:rsidR="0099557B" w:rsidRPr="00442F26">
        <w:rPr>
          <w:color w:val="auto"/>
          <w:lang w:val="en-GB"/>
        </w:rPr>
        <w:t xml:space="preserve"> </w:t>
      </w:r>
      <w:r w:rsidRPr="00442F26">
        <w:rPr>
          <w:color w:val="auto"/>
          <w:lang w:val="en-GB"/>
        </w:rPr>
        <w:t xml:space="preserve">agarose gel for 30 </w:t>
      </w:r>
      <w:r w:rsidR="002C1FD8" w:rsidRPr="00442F26">
        <w:rPr>
          <w:color w:val="auto"/>
          <w:lang w:val="en-GB"/>
        </w:rPr>
        <w:t>s</w:t>
      </w:r>
      <w:r w:rsidRPr="00442F26">
        <w:rPr>
          <w:color w:val="auto"/>
          <w:lang w:val="en-GB"/>
        </w:rPr>
        <w:t xml:space="preserve"> in a microwave at the maximum watt (</w:t>
      </w:r>
      <w:r w:rsidR="00725AEE" w:rsidRPr="00442F26">
        <w:rPr>
          <w:color w:val="auto"/>
          <w:lang w:val="en-GB"/>
        </w:rPr>
        <w:t xml:space="preserve">i.e., </w:t>
      </w:r>
      <w:r w:rsidRPr="00442F26">
        <w:rPr>
          <w:color w:val="auto"/>
          <w:lang w:val="en-GB"/>
        </w:rPr>
        <w:t>900</w:t>
      </w:r>
      <w:r w:rsidR="002C1FD8" w:rsidRPr="00442F26">
        <w:rPr>
          <w:color w:val="auto"/>
          <w:lang w:val="en-GB"/>
        </w:rPr>
        <w:t xml:space="preserve"> </w:t>
      </w:r>
      <w:r w:rsidRPr="00442F26">
        <w:rPr>
          <w:color w:val="auto"/>
          <w:lang w:val="en-GB"/>
        </w:rPr>
        <w:t>W). To coat two 96-well plates, one</w:t>
      </w:r>
      <w:r w:rsidR="0099557B" w:rsidRPr="00442F26">
        <w:rPr>
          <w:color w:val="auto"/>
          <w:lang w:val="en-GB"/>
        </w:rPr>
        <w:t xml:space="preserve"> 20</w:t>
      </w:r>
      <w:r w:rsidR="002C1FD8" w:rsidRPr="00442F26">
        <w:rPr>
          <w:color w:val="auto"/>
          <w:lang w:val="en-GB"/>
        </w:rPr>
        <w:t xml:space="preserve"> </w:t>
      </w:r>
      <w:r w:rsidR="00DA2F20" w:rsidRPr="00442F26">
        <w:rPr>
          <w:color w:val="auto"/>
          <w:lang w:val="en-GB"/>
        </w:rPr>
        <w:t>mL</w:t>
      </w:r>
      <w:r w:rsidRPr="00442F26">
        <w:rPr>
          <w:color w:val="auto"/>
          <w:lang w:val="en-GB"/>
        </w:rPr>
        <w:t xml:space="preserve"> bottle of pre-pre</w:t>
      </w:r>
      <w:r w:rsidR="000154E4" w:rsidRPr="00442F26">
        <w:rPr>
          <w:color w:val="auto"/>
          <w:lang w:val="en-GB"/>
        </w:rPr>
        <w:t>p</w:t>
      </w:r>
      <w:r w:rsidRPr="00442F26">
        <w:rPr>
          <w:color w:val="auto"/>
          <w:lang w:val="en-GB"/>
        </w:rPr>
        <w:t xml:space="preserve">ared 1.5% agarose gel should be </w:t>
      </w:r>
      <w:proofErr w:type="gramStart"/>
      <w:r w:rsidRPr="00442F26">
        <w:rPr>
          <w:color w:val="auto"/>
          <w:lang w:val="en-GB"/>
        </w:rPr>
        <w:t>sufficient</w:t>
      </w:r>
      <w:proofErr w:type="gramEnd"/>
      <w:r w:rsidRPr="00442F26">
        <w:rPr>
          <w:color w:val="auto"/>
          <w:lang w:val="en-GB"/>
        </w:rPr>
        <w:t xml:space="preserve">. </w:t>
      </w:r>
    </w:p>
    <w:p w14:paraId="141A37DC" w14:textId="77777777" w:rsidR="002C1FD8" w:rsidRPr="00442F26" w:rsidRDefault="002C1FD8" w:rsidP="006F7144">
      <w:pPr>
        <w:widowControl/>
        <w:autoSpaceDE/>
        <w:autoSpaceDN/>
        <w:adjustRightInd/>
        <w:contextualSpacing/>
        <w:rPr>
          <w:color w:val="auto"/>
          <w:lang w:val="en-GB"/>
        </w:rPr>
      </w:pPr>
    </w:p>
    <w:p w14:paraId="6C04ABE9" w14:textId="3401F0F2" w:rsidR="00BC1194" w:rsidRPr="00442F26" w:rsidRDefault="00176F0C" w:rsidP="006F7144">
      <w:pPr>
        <w:widowControl/>
        <w:numPr>
          <w:ilvl w:val="1"/>
          <w:numId w:val="49"/>
        </w:numPr>
        <w:autoSpaceDE/>
        <w:autoSpaceDN/>
        <w:adjustRightInd/>
        <w:ind w:left="0" w:firstLine="0"/>
        <w:contextualSpacing/>
        <w:rPr>
          <w:color w:val="auto"/>
          <w:highlight w:val="yellow"/>
          <w:lang w:val="en-GB"/>
        </w:rPr>
      </w:pPr>
      <w:r w:rsidRPr="00442F26">
        <w:rPr>
          <w:color w:val="auto"/>
          <w:highlight w:val="yellow"/>
          <w:lang w:val="en-GB"/>
        </w:rPr>
        <w:t xml:space="preserve">Once melted, gently swirl the agarose by rotating the glass bottle to remove any bubbles </w:t>
      </w:r>
      <w:r w:rsidR="0099557B" w:rsidRPr="00442F26">
        <w:rPr>
          <w:color w:val="auto"/>
          <w:highlight w:val="yellow"/>
          <w:lang w:val="en-GB"/>
        </w:rPr>
        <w:t xml:space="preserve">and then </w:t>
      </w:r>
      <w:r w:rsidRPr="00442F26">
        <w:rPr>
          <w:color w:val="auto"/>
          <w:highlight w:val="yellow"/>
          <w:lang w:val="en-GB"/>
        </w:rPr>
        <w:t>add 50</w:t>
      </w:r>
      <w:r w:rsidR="002C1FD8" w:rsidRPr="00442F26">
        <w:rPr>
          <w:color w:val="auto"/>
          <w:highlight w:val="yellow"/>
          <w:lang w:val="en-GB"/>
        </w:rPr>
        <w:t xml:space="preserve"> </w:t>
      </w:r>
      <w:r w:rsidR="002C1FD8" w:rsidRPr="00442F26">
        <w:rPr>
          <w:rFonts w:eastAsia="Calibri"/>
          <w:bCs/>
          <w:iCs/>
          <w:color w:val="auto"/>
          <w:highlight w:val="yellow"/>
          <w:lang w:val="en-GB"/>
        </w:rPr>
        <w:t xml:space="preserve">µL </w:t>
      </w:r>
      <w:r w:rsidRPr="00442F26">
        <w:rPr>
          <w:color w:val="auto"/>
          <w:highlight w:val="yellow"/>
          <w:lang w:val="en-GB"/>
        </w:rPr>
        <w:t>of agarose into the base of each well.</w:t>
      </w:r>
      <w:r w:rsidR="00725AEE" w:rsidRPr="00442F26">
        <w:rPr>
          <w:color w:val="auto"/>
          <w:highlight w:val="yellow"/>
          <w:lang w:val="en-GB"/>
        </w:rPr>
        <w:t xml:space="preserve"> </w:t>
      </w:r>
    </w:p>
    <w:p w14:paraId="422185A1" w14:textId="77777777" w:rsidR="002C1FD8" w:rsidRPr="00442F26" w:rsidRDefault="002C1FD8" w:rsidP="006F7144">
      <w:pPr>
        <w:widowControl/>
        <w:autoSpaceDE/>
        <w:autoSpaceDN/>
        <w:adjustRightInd/>
        <w:contextualSpacing/>
        <w:rPr>
          <w:iCs/>
          <w:color w:val="auto"/>
          <w:highlight w:val="yellow"/>
          <w:lang w:val="en-GB"/>
        </w:rPr>
      </w:pPr>
    </w:p>
    <w:p w14:paraId="6150B1B3" w14:textId="286163BB" w:rsidR="008F3C07" w:rsidRPr="00442F26" w:rsidRDefault="002C1FD8" w:rsidP="006F7144">
      <w:pPr>
        <w:widowControl/>
        <w:autoSpaceDE/>
        <w:autoSpaceDN/>
        <w:adjustRightInd/>
        <w:contextualSpacing/>
        <w:rPr>
          <w:iCs/>
          <w:color w:val="auto"/>
          <w:lang w:val="en-GB"/>
        </w:rPr>
      </w:pPr>
      <w:r w:rsidRPr="00442F26">
        <w:rPr>
          <w:iCs/>
          <w:color w:val="auto"/>
          <w:lang w:val="en-GB"/>
        </w:rPr>
        <w:t>NOTE:</w:t>
      </w:r>
      <w:r w:rsidR="00176F0C" w:rsidRPr="00442F26">
        <w:rPr>
          <w:iCs/>
          <w:color w:val="auto"/>
          <w:lang w:val="en-GB"/>
        </w:rPr>
        <w:t xml:space="preserve"> When adding the agarose, ensure not to angle the plate &gt;45° as the agarose sets quickly and will not form a flat, level layer </w:t>
      </w:r>
      <w:r w:rsidR="006F7144" w:rsidRPr="00442F26">
        <w:rPr>
          <w:iCs/>
          <w:color w:val="auto"/>
          <w:lang w:val="en-GB"/>
        </w:rPr>
        <w:t>that</w:t>
      </w:r>
      <w:r w:rsidR="00176F0C" w:rsidRPr="00442F26">
        <w:rPr>
          <w:iCs/>
          <w:color w:val="auto"/>
          <w:lang w:val="en-GB"/>
        </w:rPr>
        <w:t xml:space="preserve"> can disrupt spheroid growth. It is important to work efficiently at this stage to prevent the agarose from solidifying before the plate is completely coated.</w:t>
      </w:r>
    </w:p>
    <w:p w14:paraId="6E529B51" w14:textId="77777777" w:rsidR="002C1FD8" w:rsidRPr="00442F26" w:rsidRDefault="002C1FD8" w:rsidP="006F7144">
      <w:pPr>
        <w:widowControl/>
        <w:autoSpaceDE/>
        <w:autoSpaceDN/>
        <w:adjustRightInd/>
        <w:contextualSpacing/>
        <w:rPr>
          <w:color w:val="auto"/>
          <w:highlight w:val="yellow"/>
          <w:lang w:val="en-GB"/>
        </w:rPr>
      </w:pPr>
    </w:p>
    <w:p w14:paraId="4F87A992" w14:textId="4DCE4AFC" w:rsidR="008F3C07" w:rsidRPr="00442F26" w:rsidRDefault="00176F0C" w:rsidP="006F7144">
      <w:pPr>
        <w:widowControl/>
        <w:numPr>
          <w:ilvl w:val="1"/>
          <w:numId w:val="49"/>
        </w:numPr>
        <w:autoSpaceDE/>
        <w:autoSpaceDN/>
        <w:adjustRightInd/>
        <w:ind w:left="0" w:firstLine="0"/>
        <w:contextualSpacing/>
        <w:rPr>
          <w:color w:val="auto"/>
          <w:highlight w:val="yellow"/>
          <w:lang w:val="en-GB"/>
        </w:rPr>
      </w:pPr>
      <w:r w:rsidRPr="00442F26">
        <w:rPr>
          <w:color w:val="auto"/>
          <w:highlight w:val="yellow"/>
          <w:lang w:val="en-GB"/>
        </w:rPr>
        <w:t xml:space="preserve">Allow the plate to stand for 2 </w:t>
      </w:r>
      <w:r w:rsidR="00F94D35" w:rsidRPr="00442F26">
        <w:rPr>
          <w:color w:val="auto"/>
          <w:highlight w:val="yellow"/>
          <w:lang w:val="en-GB"/>
        </w:rPr>
        <w:t>min</w:t>
      </w:r>
      <w:r w:rsidRPr="00442F26">
        <w:rPr>
          <w:color w:val="auto"/>
          <w:highlight w:val="yellow"/>
          <w:lang w:val="en-GB"/>
        </w:rPr>
        <w:t xml:space="preserve"> at room temperature before adding 100</w:t>
      </w:r>
      <w:r w:rsidR="006F7144" w:rsidRPr="00442F26">
        <w:rPr>
          <w:color w:val="auto"/>
          <w:highlight w:val="yellow"/>
          <w:lang w:val="en-GB"/>
        </w:rPr>
        <w:t xml:space="preserve"> </w:t>
      </w:r>
      <w:r w:rsidR="006F7144" w:rsidRPr="00442F26">
        <w:rPr>
          <w:rFonts w:eastAsia="Calibri"/>
          <w:bCs/>
          <w:iCs/>
          <w:color w:val="auto"/>
          <w:highlight w:val="yellow"/>
          <w:lang w:val="en-GB"/>
        </w:rPr>
        <w:t xml:space="preserve">µL </w:t>
      </w:r>
      <w:r w:rsidRPr="00442F26">
        <w:rPr>
          <w:color w:val="auto"/>
          <w:highlight w:val="yellow"/>
          <w:lang w:val="en-GB"/>
        </w:rPr>
        <w:t>of pre-warmed DMEM cell culture medium (with supplements) on top of the solid agarose layer in each well.</w:t>
      </w:r>
    </w:p>
    <w:p w14:paraId="7E1F8CCB" w14:textId="77777777" w:rsidR="006F7144" w:rsidRPr="00442F26" w:rsidRDefault="006F7144" w:rsidP="006F7144">
      <w:pPr>
        <w:widowControl/>
        <w:autoSpaceDE/>
        <w:autoSpaceDN/>
        <w:adjustRightInd/>
        <w:contextualSpacing/>
        <w:rPr>
          <w:color w:val="auto"/>
          <w:highlight w:val="yellow"/>
          <w:lang w:val="en-GB"/>
        </w:rPr>
      </w:pPr>
    </w:p>
    <w:p w14:paraId="500F5DB5" w14:textId="693AC04E" w:rsidR="008F3C07" w:rsidRPr="00442F26" w:rsidRDefault="00176F0C" w:rsidP="006F7144">
      <w:pPr>
        <w:widowControl/>
        <w:numPr>
          <w:ilvl w:val="1"/>
          <w:numId w:val="49"/>
        </w:numPr>
        <w:autoSpaceDE/>
        <w:autoSpaceDN/>
        <w:adjustRightInd/>
        <w:ind w:left="0" w:firstLine="0"/>
        <w:contextualSpacing/>
        <w:rPr>
          <w:color w:val="auto"/>
          <w:highlight w:val="yellow"/>
          <w:lang w:val="en-GB"/>
        </w:rPr>
      </w:pPr>
      <w:r w:rsidRPr="00442F26">
        <w:rPr>
          <w:color w:val="auto"/>
          <w:highlight w:val="yellow"/>
          <w:lang w:val="en-GB"/>
        </w:rPr>
        <w:t>Flip the lid of the 96-well plate and place back on top of the 96-well plate so the spheroids are now hanging once again.</w:t>
      </w:r>
    </w:p>
    <w:p w14:paraId="0DF05D8C" w14:textId="77777777" w:rsidR="006F7144" w:rsidRPr="00442F26" w:rsidRDefault="006F7144" w:rsidP="006F7144">
      <w:pPr>
        <w:widowControl/>
        <w:autoSpaceDE/>
        <w:autoSpaceDN/>
        <w:adjustRightInd/>
        <w:contextualSpacing/>
        <w:rPr>
          <w:color w:val="auto"/>
          <w:highlight w:val="yellow"/>
          <w:lang w:val="en-GB"/>
        </w:rPr>
      </w:pPr>
    </w:p>
    <w:p w14:paraId="4370F745" w14:textId="7AC4B35D" w:rsidR="008F3C07" w:rsidRPr="00442F26" w:rsidRDefault="00176F0C" w:rsidP="006F7144">
      <w:pPr>
        <w:widowControl/>
        <w:numPr>
          <w:ilvl w:val="1"/>
          <w:numId w:val="49"/>
        </w:numPr>
        <w:autoSpaceDE/>
        <w:autoSpaceDN/>
        <w:adjustRightInd/>
        <w:ind w:left="0" w:firstLine="0"/>
        <w:contextualSpacing/>
        <w:rPr>
          <w:color w:val="auto"/>
          <w:highlight w:val="yellow"/>
          <w:lang w:val="en-GB"/>
        </w:rPr>
      </w:pPr>
      <w:r w:rsidRPr="00442F26">
        <w:rPr>
          <w:color w:val="auto"/>
          <w:highlight w:val="yellow"/>
          <w:lang w:val="en-GB"/>
        </w:rPr>
        <w:t xml:space="preserve">Centrifuge the plate for 3 </w:t>
      </w:r>
      <w:r w:rsidR="00F94D35" w:rsidRPr="00442F26">
        <w:rPr>
          <w:color w:val="auto"/>
          <w:highlight w:val="yellow"/>
          <w:lang w:val="en-GB"/>
        </w:rPr>
        <w:t>min</w:t>
      </w:r>
      <w:r w:rsidRPr="00442F26">
        <w:rPr>
          <w:color w:val="auto"/>
          <w:highlight w:val="yellow"/>
          <w:lang w:val="en-GB"/>
        </w:rPr>
        <w:t xml:space="preserve"> at 200</w:t>
      </w:r>
      <w:r w:rsidR="006F7144" w:rsidRPr="00442F26">
        <w:rPr>
          <w:rFonts w:asciiTheme="minorHAnsi" w:hAnsiTheme="minorHAnsi" w:cstheme="minorHAnsi"/>
          <w:color w:val="auto"/>
          <w:highlight w:val="yellow"/>
        </w:rPr>
        <w:t xml:space="preserve"> x </w:t>
      </w:r>
      <w:r w:rsidR="006F7144" w:rsidRPr="00442F26">
        <w:rPr>
          <w:rFonts w:asciiTheme="minorHAnsi" w:hAnsiTheme="minorHAnsi" w:cstheme="minorHAnsi"/>
          <w:i/>
          <w:iCs/>
          <w:color w:val="auto"/>
          <w:highlight w:val="yellow"/>
        </w:rPr>
        <w:t>g</w:t>
      </w:r>
      <w:r w:rsidRPr="00442F26">
        <w:rPr>
          <w:color w:val="auto"/>
          <w:highlight w:val="yellow"/>
          <w:lang w:val="en-GB"/>
        </w:rPr>
        <w:t xml:space="preserve"> in order to transfer the spheroids from the hanging drop</w:t>
      </w:r>
      <w:r w:rsidR="0099557B" w:rsidRPr="00442F26">
        <w:rPr>
          <w:color w:val="auto"/>
          <w:highlight w:val="yellow"/>
          <w:lang w:val="en-GB"/>
        </w:rPr>
        <w:t>let</w:t>
      </w:r>
      <w:r w:rsidRPr="00442F26">
        <w:rPr>
          <w:color w:val="auto"/>
          <w:highlight w:val="yellow"/>
          <w:lang w:val="en-GB"/>
        </w:rPr>
        <w:t xml:space="preserve"> into the individual wells of the 96-well plate. Following the transfer, the HepG2 spheroids should now be suspended in the cell culture medium</w:t>
      </w:r>
      <w:r w:rsidR="006F7144" w:rsidRPr="00442F26">
        <w:rPr>
          <w:color w:val="auto"/>
          <w:highlight w:val="yellow"/>
          <w:lang w:val="en-GB"/>
        </w:rPr>
        <w:t xml:space="preserve">. Allow them </w:t>
      </w:r>
      <w:r w:rsidRPr="00442F26">
        <w:rPr>
          <w:color w:val="auto"/>
          <w:highlight w:val="yellow"/>
          <w:lang w:val="en-GB"/>
        </w:rPr>
        <w:t xml:space="preserve">to settle for 24 </w:t>
      </w:r>
      <w:r w:rsidR="006F7144" w:rsidRPr="00442F26">
        <w:rPr>
          <w:color w:val="auto"/>
          <w:highlight w:val="yellow"/>
          <w:lang w:val="en-GB"/>
        </w:rPr>
        <w:t>h</w:t>
      </w:r>
      <w:r w:rsidRPr="00442F26">
        <w:rPr>
          <w:color w:val="auto"/>
          <w:highlight w:val="yellow"/>
          <w:lang w:val="en-GB"/>
        </w:rPr>
        <w:t xml:space="preserve"> in the incubator at </w:t>
      </w:r>
      <w:r w:rsidR="0098244F" w:rsidRPr="00442F26">
        <w:rPr>
          <w:color w:val="auto"/>
          <w:highlight w:val="yellow"/>
          <w:lang w:val="en-GB"/>
        </w:rPr>
        <w:t>37</w:t>
      </w:r>
      <w:r w:rsidR="006F7144" w:rsidRPr="00442F26">
        <w:rPr>
          <w:color w:val="auto"/>
          <w:highlight w:val="yellow"/>
          <w:lang w:val="en-GB"/>
        </w:rPr>
        <w:t xml:space="preserve"> </w:t>
      </w:r>
      <w:r w:rsidR="0098244F" w:rsidRPr="00442F26">
        <w:rPr>
          <w:color w:val="auto"/>
          <w:highlight w:val="yellow"/>
          <w:lang w:val="en-GB"/>
        </w:rPr>
        <w:t>°C</w:t>
      </w:r>
      <w:r w:rsidRPr="00442F26">
        <w:rPr>
          <w:color w:val="auto"/>
          <w:highlight w:val="yellow"/>
          <w:lang w:val="en-GB"/>
        </w:rPr>
        <w:t xml:space="preserve"> and 5% CO</w:t>
      </w:r>
      <w:r w:rsidRPr="00442F26">
        <w:rPr>
          <w:color w:val="auto"/>
          <w:highlight w:val="yellow"/>
          <w:vertAlign w:val="subscript"/>
          <w:lang w:val="en-GB"/>
        </w:rPr>
        <w:t>2</w:t>
      </w:r>
      <w:r w:rsidRPr="00442F26">
        <w:rPr>
          <w:color w:val="auto"/>
          <w:highlight w:val="yellow"/>
          <w:lang w:val="en-GB"/>
        </w:rPr>
        <w:t>.</w:t>
      </w:r>
    </w:p>
    <w:p w14:paraId="016AE1D8" w14:textId="77777777" w:rsidR="006F7144" w:rsidRPr="00442F26" w:rsidRDefault="006F7144" w:rsidP="006F7144">
      <w:pPr>
        <w:widowControl/>
        <w:autoSpaceDE/>
        <w:autoSpaceDN/>
        <w:adjustRightInd/>
        <w:contextualSpacing/>
        <w:rPr>
          <w:color w:val="auto"/>
          <w:highlight w:val="yellow"/>
          <w:lang w:val="en-GB"/>
        </w:rPr>
      </w:pPr>
    </w:p>
    <w:p w14:paraId="712DDBD3" w14:textId="3ACD513C" w:rsidR="00176F0C" w:rsidRPr="00442F26" w:rsidRDefault="006F7144" w:rsidP="006F7144">
      <w:pPr>
        <w:widowControl/>
        <w:numPr>
          <w:ilvl w:val="1"/>
          <w:numId w:val="49"/>
        </w:numPr>
        <w:autoSpaceDE/>
        <w:autoSpaceDN/>
        <w:adjustRightInd/>
        <w:ind w:left="0" w:firstLine="0"/>
        <w:contextualSpacing/>
        <w:rPr>
          <w:color w:val="auto"/>
          <w:lang w:val="en-GB"/>
        </w:rPr>
      </w:pPr>
      <w:r w:rsidRPr="00442F26">
        <w:rPr>
          <w:color w:val="auto"/>
          <w:lang w:val="en-GB"/>
        </w:rPr>
        <w:t xml:space="preserve">Expose </w:t>
      </w:r>
      <w:r w:rsidR="00176F0C" w:rsidRPr="00442F26">
        <w:rPr>
          <w:color w:val="auto"/>
          <w:lang w:val="en-GB"/>
        </w:rPr>
        <w:t>HepG2 spheroids of this size to either chemical or ENM treatments on Day 4 post seeding (</w:t>
      </w:r>
      <w:r w:rsidR="00725AEE" w:rsidRPr="00442F26">
        <w:rPr>
          <w:color w:val="auto"/>
          <w:lang w:val="en-GB"/>
        </w:rPr>
        <w:t xml:space="preserve">i.e., </w:t>
      </w:r>
      <w:r w:rsidR="00176F0C" w:rsidRPr="00442F26">
        <w:rPr>
          <w:color w:val="auto"/>
          <w:lang w:val="en-GB"/>
        </w:rPr>
        <w:t xml:space="preserve">24 </w:t>
      </w:r>
      <w:r w:rsidRPr="00442F26">
        <w:rPr>
          <w:color w:val="auto"/>
          <w:lang w:val="en-GB"/>
        </w:rPr>
        <w:t>h</w:t>
      </w:r>
      <w:r w:rsidR="00176F0C" w:rsidRPr="00442F26">
        <w:rPr>
          <w:color w:val="auto"/>
          <w:lang w:val="en-GB"/>
        </w:rPr>
        <w:t xml:space="preserve"> after transfer to agarose coated plates). </w:t>
      </w:r>
    </w:p>
    <w:p w14:paraId="1C503149" w14:textId="77777777" w:rsidR="006F7144" w:rsidRPr="00442F26" w:rsidRDefault="006F7144" w:rsidP="006F7144">
      <w:pPr>
        <w:widowControl/>
        <w:autoSpaceDE/>
        <w:autoSpaceDN/>
        <w:adjustRightInd/>
        <w:contextualSpacing/>
        <w:rPr>
          <w:color w:val="auto"/>
          <w:lang w:val="en-GB"/>
        </w:rPr>
      </w:pPr>
    </w:p>
    <w:p w14:paraId="0757308E" w14:textId="2CD162B7" w:rsidR="00176F0C" w:rsidRPr="00442F26" w:rsidRDefault="00176F0C" w:rsidP="006F7144">
      <w:pPr>
        <w:widowControl/>
        <w:numPr>
          <w:ilvl w:val="1"/>
          <w:numId w:val="49"/>
        </w:numPr>
        <w:autoSpaceDE/>
        <w:autoSpaceDN/>
        <w:adjustRightInd/>
        <w:ind w:left="0" w:firstLine="0"/>
        <w:contextualSpacing/>
        <w:rPr>
          <w:color w:val="auto"/>
          <w:lang w:val="en-GB"/>
        </w:rPr>
      </w:pPr>
      <w:r w:rsidRPr="00442F26">
        <w:rPr>
          <w:color w:val="auto"/>
          <w:lang w:val="en-GB"/>
        </w:rPr>
        <w:t xml:space="preserve">In order to maintain cell viability over extended culture periods, </w:t>
      </w:r>
      <w:r w:rsidR="006F7144" w:rsidRPr="00442F26">
        <w:rPr>
          <w:color w:val="auto"/>
          <w:lang w:val="en-GB"/>
        </w:rPr>
        <w:t xml:space="preserve">refresh </w:t>
      </w:r>
      <w:r w:rsidRPr="00442F26">
        <w:rPr>
          <w:color w:val="auto"/>
          <w:lang w:val="en-GB"/>
        </w:rPr>
        <w:t>the cell culture medium every 3 days. To do this, gently aspirate 50</w:t>
      </w:r>
      <w:r w:rsidR="006F7144" w:rsidRPr="00442F26">
        <w:rPr>
          <w:color w:val="auto"/>
          <w:lang w:val="en-GB"/>
        </w:rPr>
        <w:t xml:space="preserve"> </w:t>
      </w:r>
      <w:r w:rsidR="006F7144" w:rsidRPr="00442F26">
        <w:rPr>
          <w:rFonts w:eastAsia="Calibri"/>
          <w:bCs/>
          <w:iCs/>
          <w:color w:val="auto"/>
          <w:lang w:val="en-GB"/>
        </w:rPr>
        <w:t xml:space="preserve">µL </w:t>
      </w:r>
      <w:r w:rsidRPr="00442F26">
        <w:rPr>
          <w:color w:val="auto"/>
          <w:lang w:val="en-GB"/>
        </w:rPr>
        <w:t>of the cell culture medium from the surface of the well and replace with a fresh 50</w:t>
      </w:r>
      <w:r w:rsidR="006F7144" w:rsidRPr="00442F26">
        <w:rPr>
          <w:color w:val="auto"/>
          <w:lang w:val="en-GB"/>
        </w:rPr>
        <w:t xml:space="preserve"> </w:t>
      </w:r>
      <w:r w:rsidR="006F7144" w:rsidRPr="00442F26">
        <w:rPr>
          <w:rFonts w:eastAsia="Calibri"/>
          <w:bCs/>
          <w:iCs/>
          <w:color w:val="auto"/>
          <w:lang w:val="en-GB"/>
        </w:rPr>
        <w:t xml:space="preserve">µL </w:t>
      </w:r>
      <w:r w:rsidRPr="00442F26">
        <w:rPr>
          <w:color w:val="auto"/>
          <w:lang w:val="en-GB"/>
        </w:rPr>
        <w:t>of DMEM cell culture medium. Take care not to remove or disturb the spheroid when perfo</w:t>
      </w:r>
      <w:r w:rsidR="009F1F52" w:rsidRPr="00442F26">
        <w:rPr>
          <w:color w:val="auto"/>
          <w:lang w:val="en-GB"/>
        </w:rPr>
        <w:t>r</w:t>
      </w:r>
      <w:r w:rsidRPr="00442F26">
        <w:rPr>
          <w:color w:val="auto"/>
          <w:lang w:val="en-GB"/>
        </w:rPr>
        <w:t xml:space="preserve">ming a medium change. </w:t>
      </w:r>
    </w:p>
    <w:p w14:paraId="48008064" w14:textId="564A6959" w:rsidR="00BC1194" w:rsidRPr="00442F26" w:rsidRDefault="00BC1194" w:rsidP="006F7144">
      <w:pPr>
        <w:contextualSpacing/>
        <w:rPr>
          <w:color w:val="auto"/>
          <w:lang w:val="en-GB"/>
        </w:rPr>
      </w:pPr>
    </w:p>
    <w:p w14:paraId="7FB8602F" w14:textId="2A17A2CB" w:rsidR="00BC1194" w:rsidRPr="00442F26" w:rsidRDefault="00BC1194" w:rsidP="006F7144">
      <w:pPr>
        <w:pStyle w:val="ListParagraph"/>
        <w:numPr>
          <w:ilvl w:val="0"/>
          <w:numId w:val="49"/>
        </w:numPr>
        <w:ind w:left="0" w:firstLine="0"/>
        <w:rPr>
          <w:b/>
          <w:bCs/>
          <w:color w:val="auto"/>
          <w:lang w:val="en-GB"/>
        </w:rPr>
      </w:pPr>
      <w:r w:rsidRPr="00442F26">
        <w:rPr>
          <w:b/>
          <w:bCs/>
          <w:color w:val="auto"/>
          <w:lang w:val="en-GB"/>
        </w:rPr>
        <w:t xml:space="preserve">Nanomaterial/Chemical </w:t>
      </w:r>
      <w:r w:rsidR="006F7144" w:rsidRPr="00442F26">
        <w:rPr>
          <w:b/>
          <w:bCs/>
          <w:color w:val="auto"/>
          <w:lang w:val="en-GB"/>
        </w:rPr>
        <w:t>e</w:t>
      </w:r>
      <w:r w:rsidRPr="00442F26">
        <w:rPr>
          <w:b/>
          <w:bCs/>
          <w:color w:val="auto"/>
          <w:lang w:val="en-GB"/>
        </w:rPr>
        <w:t>xposure</w:t>
      </w:r>
    </w:p>
    <w:p w14:paraId="500598DC" w14:textId="0C72EC10" w:rsidR="00BC1194" w:rsidRPr="00442F26" w:rsidRDefault="00BC1194" w:rsidP="006F7144">
      <w:pPr>
        <w:contextualSpacing/>
        <w:rPr>
          <w:b/>
          <w:bCs/>
          <w:color w:val="auto"/>
          <w:lang w:val="en-GB"/>
        </w:rPr>
      </w:pPr>
    </w:p>
    <w:p w14:paraId="1ECE6C57" w14:textId="1C9A1358" w:rsidR="00BC1194" w:rsidRPr="00442F26" w:rsidRDefault="006F7144" w:rsidP="006F7144">
      <w:pPr>
        <w:contextualSpacing/>
        <w:rPr>
          <w:color w:val="auto"/>
          <w:lang w:val="en-GB"/>
        </w:rPr>
      </w:pPr>
      <w:r w:rsidRPr="00442F26">
        <w:rPr>
          <w:color w:val="auto"/>
          <w:lang w:val="en-GB"/>
        </w:rPr>
        <w:t xml:space="preserve">NOTE: </w:t>
      </w:r>
      <w:r w:rsidR="0099557B" w:rsidRPr="00442F26">
        <w:rPr>
          <w:color w:val="auto"/>
          <w:lang w:val="en-GB"/>
        </w:rPr>
        <w:t xml:space="preserve">The </w:t>
      </w:r>
      <w:r w:rsidR="00BC1194" w:rsidRPr="00442F26">
        <w:rPr>
          <w:color w:val="auto"/>
          <w:lang w:val="en-GB"/>
        </w:rPr>
        <w:t xml:space="preserve">HepG2 </w:t>
      </w:r>
      <w:r w:rsidRPr="00442F26">
        <w:rPr>
          <w:color w:val="auto"/>
          <w:lang w:val="en-GB"/>
        </w:rPr>
        <w:t>liver spheroid model can</w:t>
      </w:r>
      <w:r w:rsidR="00BC1194" w:rsidRPr="00442F26">
        <w:rPr>
          <w:color w:val="auto"/>
          <w:lang w:val="en-GB"/>
        </w:rPr>
        <w:t xml:space="preserve"> support both ENM and chemical based exposure regimes</w:t>
      </w:r>
      <w:r w:rsidR="00A02DD7" w:rsidRPr="00442F26">
        <w:rPr>
          <w:color w:val="auto"/>
          <w:lang w:val="en-GB"/>
        </w:rPr>
        <w:t>, but the primary focus of this protocol is ENM exposures</w:t>
      </w:r>
      <w:r w:rsidR="0099557B" w:rsidRPr="00442F26">
        <w:rPr>
          <w:color w:val="auto"/>
          <w:lang w:val="en-GB"/>
        </w:rPr>
        <w:t>. Prior to exposure, the test ENM must be suitably dispersed; this</w:t>
      </w:r>
      <w:r w:rsidR="00BC1194" w:rsidRPr="00442F26">
        <w:rPr>
          <w:color w:val="auto"/>
          <w:lang w:val="en-GB"/>
        </w:rPr>
        <w:t xml:space="preserve"> can be performed </w:t>
      </w:r>
      <w:r w:rsidR="00280B90" w:rsidRPr="00442F26">
        <w:rPr>
          <w:color w:val="auto"/>
          <w:lang w:val="en-GB"/>
        </w:rPr>
        <w:t xml:space="preserve">as directed </w:t>
      </w:r>
      <w:r w:rsidR="0099557B" w:rsidRPr="00442F26">
        <w:rPr>
          <w:color w:val="auto"/>
          <w:lang w:val="en-GB"/>
        </w:rPr>
        <w:t xml:space="preserve">by </w:t>
      </w:r>
      <w:r w:rsidR="008C51E8" w:rsidRPr="00442F26">
        <w:rPr>
          <w:color w:val="auto"/>
          <w:lang w:val="en-GB"/>
        </w:rPr>
        <w:t xml:space="preserve">the </w:t>
      </w:r>
      <w:proofErr w:type="spellStart"/>
      <w:r w:rsidR="008C51E8" w:rsidRPr="00442F26">
        <w:rPr>
          <w:color w:val="auto"/>
          <w:lang w:val="en-GB"/>
        </w:rPr>
        <w:t>NanoGenoTox</w:t>
      </w:r>
      <w:proofErr w:type="spellEnd"/>
      <w:r w:rsidR="008C51E8" w:rsidRPr="00442F26">
        <w:rPr>
          <w:color w:val="auto"/>
          <w:lang w:val="en-GB"/>
        </w:rPr>
        <w:t xml:space="preserve"> Dispersion Protocol (Grant Agreement</w:t>
      </w:r>
      <w:r w:rsidR="00280B90" w:rsidRPr="00442F26">
        <w:rPr>
          <w:color w:val="auto"/>
          <w:lang w:val="en-GB"/>
        </w:rPr>
        <w:t xml:space="preserve"> No. 20092101</w:t>
      </w:r>
      <w:r w:rsidR="008C51E8" w:rsidRPr="00442F26">
        <w:rPr>
          <w:color w:val="auto"/>
          <w:lang w:val="en-GB"/>
        </w:rPr>
        <w:t>, 2018)</w:t>
      </w:r>
      <w:r w:rsidR="0055746F" w:rsidRPr="00442F26">
        <w:rPr>
          <w:color w:val="auto"/>
          <w:vertAlign w:val="superscript"/>
          <w:lang w:val="en-GB"/>
        </w:rPr>
        <w:t>1</w:t>
      </w:r>
      <w:r w:rsidR="006E3BDB" w:rsidRPr="00442F26">
        <w:rPr>
          <w:color w:val="auto"/>
          <w:vertAlign w:val="superscript"/>
          <w:lang w:val="en-GB"/>
        </w:rPr>
        <w:t>5</w:t>
      </w:r>
      <w:r w:rsidR="00BC1194" w:rsidRPr="00442F26">
        <w:rPr>
          <w:color w:val="auto"/>
          <w:lang w:val="en-GB"/>
        </w:rPr>
        <w:t xml:space="preserve">. </w:t>
      </w:r>
    </w:p>
    <w:p w14:paraId="3FD300C6" w14:textId="77777777" w:rsidR="00FD28AA" w:rsidRPr="00442F26" w:rsidRDefault="00FD28AA" w:rsidP="006F7144">
      <w:pPr>
        <w:contextualSpacing/>
        <w:rPr>
          <w:color w:val="auto"/>
          <w:lang w:val="en-GB"/>
        </w:rPr>
      </w:pPr>
    </w:p>
    <w:p w14:paraId="70709A9A" w14:textId="10746E79" w:rsidR="00AC402E" w:rsidRPr="00442F26" w:rsidRDefault="00220616" w:rsidP="006F7144">
      <w:pPr>
        <w:pStyle w:val="ListParagraph"/>
        <w:numPr>
          <w:ilvl w:val="1"/>
          <w:numId w:val="49"/>
        </w:numPr>
        <w:ind w:left="0" w:firstLine="0"/>
        <w:rPr>
          <w:color w:val="auto"/>
          <w:highlight w:val="yellow"/>
          <w:lang w:val="en-GB"/>
        </w:rPr>
      </w:pPr>
      <w:r w:rsidRPr="00442F26">
        <w:rPr>
          <w:color w:val="auto"/>
          <w:highlight w:val="yellow"/>
          <w:lang w:val="en-GB"/>
        </w:rPr>
        <w:t xml:space="preserve">Following </w:t>
      </w:r>
      <w:r w:rsidR="0099557B" w:rsidRPr="00442F26">
        <w:rPr>
          <w:color w:val="auto"/>
          <w:highlight w:val="yellow"/>
          <w:lang w:val="en-GB"/>
        </w:rPr>
        <w:t xml:space="preserve">dispersion according to the </w:t>
      </w:r>
      <w:proofErr w:type="spellStart"/>
      <w:r w:rsidR="0099557B" w:rsidRPr="00442F26">
        <w:rPr>
          <w:color w:val="auto"/>
          <w:highlight w:val="yellow"/>
          <w:lang w:val="en-GB"/>
        </w:rPr>
        <w:t>NanoGenoTox</w:t>
      </w:r>
      <w:proofErr w:type="spellEnd"/>
      <w:r w:rsidR="0099557B" w:rsidRPr="00442F26">
        <w:rPr>
          <w:color w:val="auto"/>
          <w:highlight w:val="yellow"/>
          <w:lang w:val="en-GB"/>
        </w:rPr>
        <w:t xml:space="preserve"> Dispersion Protocol</w:t>
      </w:r>
      <w:r w:rsidRPr="00442F26">
        <w:rPr>
          <w:color w:val="auto"/>
          <w:highlight w:val="yellow"/>
          <w:lang w:val="en-GB"/>
        </w:rPr>
        <w:t xml:space="preserve">, dilute the ENM </w:t>
      </w:r>
      <w:r w:rsidR="00FD28AA" w:rsidRPr="00442F26">
        <w:rPr>
          <w:color w:val="auto"/>
          <w:highlight w:val="yellow"/>
          <w:lang w:val="en-GB"/>
        </w:rPr>
        <w:t>s</w:t>
      </w:r>
      <w:r w:rsidR="00634692" w:rsidRPr="00442F26">
        <w:rPr>
          <w:color w:val="auto"/>
          <w:highlight w:val="yellow"/>
          <w:lang w:val="en-GB"/>
        </w:rPr>
        <w:t>uspension</w:t>
      </w:r>
      <w:r w:rsidR="00FD28AA" w:rsidRPr="00442F26">
        <w:rPr>
          <w:color w:val="auto"/>
          <w:highlight w:val="yellow"/>
          <w:lang w:val="en-GB"/>
        </w:rPr>
        <w:t xml:space="preserve"> from the starting </w:t>
      </w:r>
      <w:r w:rsidRPr="00442F26">
        <w:rPr>
          <w:color w:val="auto"/>
          <w:highlight w:val="yellow"/>
          <w:lang w:val="en-GB"/>
        </w:rPr>
        <w:t xml:space="preserve">concentration </w:t>
      </w:r>
      <w:r w:rsidR="00FD28AA" w:rsidRPr="00442F26">
        <w:rPr>
          <w:color w:val="auto"/>
          <w:highlight w:val="yellow"/>
          <w:lang w:val="en-GB"/>
        </w:rPr>
        <w:t>of</w:t>
      </w:r>
      <w:r w:rsidRPr="00442F26">
        <w:rPr>
          <w:color w:val="auto"/>
          <w:highlight w:val="yellow"/>
          <w:lang w:val="en-GB"/>
        </w:rPr>
        <w:t xml:space="preserve"> 2.56</w:t>
      </w:r>
      <w:r w:rsidR="006F7144" w:rsidRPr="00442F26">
        <w:rPr>
          <w:color w:val="auto"/>
          <w:highlight w:val="yellow"/>
          <w:lang w:val="en-GB"/>
        </w:rPr>
        <w:t xml:space="preserve"> </w:t>
      </w:r>
      <w:r w:rsidRPr="00442F26">
        <w:rPr>
          <w:color w:val="auto"/>
          <w:highlight w:val="yellow"/>
          <w:lang w:val="en-GB"/>
        </w:rPr>
        <w:t>mg/</w:t>
      </w:r>
      <w:r w:rsidR="00DA2F20" w:rsidRPr="00442F26">
        <w:rPr>
          <w:color w:val="auto"/>
          <w:highlight w:val="yellow"/>
          <w:lang w:val="en-GB"/>
        </w:rPr>
        <w:t>mL</w:t>
      </w:r>
      <w:r w:rsidRPr="00442F26">
        <w:rPr>
          <w:color w:val="auto"/>
          <w:highlight w:val="yellow"/>
          <w:lang w:val="en-GB"/>
        </w:rPr>
        <w:t xml:space="preserve"> to</w:t>
      </w:r>
      <w:r w:rsidR="00FD28AA" w:rsidRPr="00442F26">
        <w:rPr>
          <w:color w:val="auto"/>
          <w:highlight w:val="yellow"/>
          <w:lang w:val="en-GB"/>
        </w:rPr>
        <w:t xml:space="preserve"> the final desired concentration in pre-warmed </w:t>
      </w:r>
      <w:r w:rsidR="00FD28AA" w:rsidRPr="00442F26">
        <w:rPr>
          <w:color w:val="auto"/>
          <w:highlight w:val="yellow"/>
        </w:rPr>
        <w:t>DMEM cell culture medium (including the supplements). A total volume of 5</w:t>
      </w:r>
      <w:r w:rsidR="006F7144" w:rsidRPr="00442F26">
        <w:rPr>
          <w:color w:val="auto"/>
          <w:highlight w:val="yellow"/>
        </w:rPr>
        <w:t xml:space="preserve"> </w:t>
      </w:r>
      <w:r w:rsidR="00DA2F20" w:rsidRPr="00442F26">
        <w:rPr>
          <w:color w:val="auto"/>
          <w:highlight w:val="yellow"/>
        </w:rPr>
        <w:t>mL</w:t>
      </w:r>
      <w:r w:rsidR="00FD28AA" w:rsidRPr="00442F26">
        <w:rPr>
          <w:color w:val="auto"/>
          <w:highlight w:val="yellow"/>
        </w:rPr>
        <w:t xml:space="preserve"> is required to dose one 96 well plate.</w:t>
      </w:r>
    </w:p>
    <w:p w14:paraId="27DB749E" w14:textId="77777777" w:rsidR="006F7144" w:rsidRPr="00442F26" w:rsidRDefault="006F7144" w:rsidP="006F7144">
      <w:pPr>
        <w:pStyle w:val="ListParagraph"/>
        <w:ind w:left="0"/>
        <w:rPr>
          <w:color w:val="auto"/>
          <w:highlight w:val="yellow"/>
          <w:lang w:val="en-GB"/>
        </w:rPr>
      </w:pPr>
    </w:p>
    <w:p w14:paraId="5A842B70" w14:textId="691F75E5" w:rsidR="008C51E8" w:rsidRPr="00442F26" w:rsidRDefault="008C51E8" w:rsidP="006F7144">
      <w:pPr>
        <w:pStyle w:val="ListParagraph"/>
        <w:numPr>
          <w:ilvl w:val="1"/>
          <w:numId w:val="49"/>
        </w:numPr>
        <w:ind w:left="0" w:firstLine="0"/>
        <w:rPr>
          <w:color w:val="auto"/>
          <w:highlight w:val="yellow"/>
          <w:lang w:val="en-GB"/>
        </w:rPr>
      </w:pPr>
      <w:r w:rsidRPr="00442F26">
        <w:rPr>
          <w:color w:val="auto"/>
          <w:highlight w:val="yellow"/>
          <w:lang w:val="en-GB"/>
        </w:rPr>
        <w:lastRenderedPageBreak/>
        <w:t>To expos</w:t>
      </w:r>
      <w:r w:rsidR="00FD28AA" w:rsidRPr="00442F26">
        <w:rPr>
          <w:color w:val="auto"/>
          <w:highlight w:val="yellow"/>
          <w:lang w:val="en-GB"/>
        </w:rPr>
        <w:t>e</w:t>
      </w:r>
      <w:r w:rsidRPr="00442F26">
        <w:rPr>
          <w:color w:val="auto"/>
          <w:highlight w:val="yellow"/>
          <w:lang w:val="en-GB"/>
        </w:rPr>
        <w:t xml:space="preserve"> the HepG2 spheroid to either a chemical or ENM, </w:t>
      </w:r>
      <w:r w:rsidR="00B73D8A" w:rsidRPr="00442F26">
        <w:rPr>
          <w:color w:val="auto"/>
          <w:highlight w:val="yellow"/>
          <w:lang w:val="en-GB"/>
        </w:rPr>
        <w:t xml:space="preserve">using a </w:t>
      </w:r>
      <w:r w:rsidR="00A7731F" w:rsidRPr="00442F26">
        <w:rPr>
          <w:color w:val="auto"/>
          <w:highlight w:val="yellow"/>
          <w:lang w:val="en-GB"/>
        </w:rPr>
        <w:t>200</w:t>
      </w:r>
      <w:r w:rsidR="006F7144" w:rsidRPr="00442F26">
        <w:rPr>
          <w:color w:val="auto"/>
          <w:highlight w:val="yellow"/>
          <w:lang w:val="en-GB"/>
        </w:rPr>
        <w:t xml:space="preserve"> </w:t>
      </w:r>
      <w:r w:rsidR="006F7144" w:rsidRPr="00442F26">
        <w:rPr>
          <w:rFonts w:eastAsia="Calibri"/>
          <w:bCs/>
          <w:iCs/>
          <w:color w:val="auto"/>
          <w:highlight w:val="yellow"/>
          <w:lang w:val="en-GB"/>
        </w:rPr>
        <w:t xml:space="preserve">µL </w:t>
      </w:r>
      <w:r w:rsidR="00B73D8A" w:rsidRPr="00442F26">
        <w:rPr>
          <w:color w:val="auto"/>
          <w:highlight w:val="yellow"/>
          <w:lang w:val="en-GB"/>
        </w:rPr>
        <w:t xml:space="preserve">pipette, aspirate </w:t>
      </w:r>
      <w:r w:rsidRPr="00442F26">
        <w:rPr>
          <w:color w:val="auto"/>
          <w:highlight w:val="yellow"/>
          <w:lang w:val="en-GB"/>
        </w:rPr>
        <w:t>50</w:t>
      </w:r>
      <w:r w:rsidR="006F7144" w:rsidRPr="00442F26">
        <w:rPr>
          <w:color w:val="auto"/>
          <w:highlight w:val="yellow"/>
          <w:lang w:val="en-GB"/>
        </w:rPr>
        <w:t xml:space="preserve"> </w:t>
      </w:r>
      <w:r w:rsidR="006F7144" w:rsidRPr="00442F26">
        <w:rPr>
          <w:rFonts w:eastAsia="Calibri"/>
          <w:bCs/>
          <w:iCs/>
          <w:color w:val="auto"/>
          <w:highlight w:val="yellow"/>
          <w:lang w:val="en-GB"/>
        </w:rPr>
        <w:t xml:space="preserve">µL </w:t>
      </w:r>
      <w:r w:rsidRPr="00442F26">
        <w:rPr>
          <w:color w:val="auto"/>
          <w:highlight w:val="yellow"/>
          <w:lang w:val="en-GB"/>
        </w:rPr>
        <w:t>of cell culture medium from</w:t>
      </w:r>
      <w:r w:rsidR="00982217" w:rsidRPr="00442F26">
        <w:rPr>
          <w:color w:val="auto"/>
          <w:highlight w:val="yellow"/>
          <w:lang w:val="en-GB"/>
        </w:rPr>
        <w:t xml:space="preserve"> the surface of</w:t>
      </w:r>
      <w:r w:rsidRPr="00442F26">
        <w:rPr>
          <w:color w:val="auto"/>
          <w:highlight w:val="yellow"/>
          <w:lang w:val="en-GB"/>
        </w:rPr>
        <w:t xml:space="preserve"> each well</w:t>
      </w:r>
      <w:r w:rsidR="00835432" w:rsidRPr="00442F26">
        <w:rPr>
          <w:color w:val="auto"/>
          <w:highlight w:val="yellow"/>
          <w:lang w:val="en-GB"/>
        </w:rPr>
        <w:t xml:space="preserve"> (leaving 50</w:t>
      </w:r>
      <w:r w:rsidR="006F7144" w:rsidRPr="00442F26">
        <w:rPr>
          <w:color w:val="auto"/>
          <w:highlight w:val="yellow"/>
          <w:lang w:val="en-GB"/>
        </w:rPr>
        <w:t xml:space="preserve"> </w:t>
      </w:r>
      <w:r w:rsidR="006F7144" w:rsidRPr="00442F26">
        <w:rPr>
          <w:rFonts w:eastAsia="Calibri"/>
          <w:bCs/>
          <w:iCs/>
          <w:color w:val="auto"/>
          <w:highlight w:val="yellow"/>
          <w:lang w:val="en-GB"/>
        </w:rPr>
        <w:t xml:space="preserve">µL </w:t>
      </w:r>
      <w:r w:rsidR="00835432" w:rsidRPr="00442F26">
        <w:rPr>
          <w:color w:val="auto"/>
          <w:highlight w:val="yellow"/>
          <w:lang w:val="en-GB"/>
        </w:rPr>
        <w:t>in the well so as not to disturbed the spheroids)</w:t>
      </w:r>
      <w:r w:rsidRPr="00442F26">
        <w:rPr>
          <w:color w:val="auto"/>
          <w:highlight w:val="yellow"/>
          <w:lang w:val="en-GB"/>
        </w:rPr>
        <w:t xml:space="preserve"> and replace with 50</w:t>
      </w:r>
      <w:r w:rsidR="006F7144" w:rsidRPr="00442F26">
        <w:rPr>
          <w:color w:val="auto"/>
          <w:highlight w:val="yellow"/>
          <w:lang w:val="en-GB"/>
        </w:rPr>
        <w:t xml:space="preserve"> </w:t>
      </w:r>
      <w:r w:rsidR="006F7144" w:rsidRPr="00442F26">
        <w:rPr>
          <w:rFonts w:eastAsia="Calibri"/>
          <w:bCs/>
          <w:iCs/>
          <w:color w:val="auto"/>
          <w:highlight w:val="yellow"/>
          <w:lang w:val="en-GB"/>
        </w:rPr>
        <w:t xml:space="preserve">µL </w:t>
      </w:r>
      <w:r w:rsidRPr="00442F26">
        <w:rPr>
          <w:color w:val="auto"/>
          <w:highlight w:val="yellow"/>
          <w:lang w:val="en-GB"/>
        </w:rPr>
        <w:t>medium</w:t>
      </w:r>
      <w:r w:rsidR="00835432" w:rsidRPr="00442F26">
        <w:rPr>
          <w:color w:val="auto"/>
          <w:highlight w:val="yellow"/>
          <w:lang w:val="en-GB"/>
        </w:rPr>
        <w:t xml:space="preserve"> containing the test toxicant at the required dose</w:t>
      </w:r>
      <w:r w:rsidR="00B73D8A" w:rsidRPr="00442F26">
        <w:rPr>
          <w:color w:val="auto"/>
          <w:highlight w:val="yellow"/>
          <w:lang w:val="en-GB"/>
        </w:rPr>
        <w:t>.</w:t>
      </w:r>
    </w:p>
    <w:p w14:paraId="0C7D8C49" w14:textId="77777777" w:rsidR="006F7144" w:rsidRPr="00442F26" w:rsidRDefault="006F7144" w:rsidP="006F7144">
      <w:pPr>
        <w:pStyle w:val="ListParagraph"/>
        <w:ind w:left="0"/>
        <w:rPr>
          <w:color w:val="auto"/>
          <w:highlight w:val="yellow"/>
          <w:lang w:val="en-GB"/>
        </w:rPr>
      </w:pPr>
    </w:p>
    <w:p w14:paraId="24C6B0EA" w14:textId="20C2C674" w:rsidR="00982217" w:rsidRPr="00442F26" w:rsidRDefault="00982217" w:rsidP="006F7144">
      <w:pPr>
        <w:pStyle w:val="ListParagraph"/>
        <w:numPr>
          <w:ilvl w:val="1"/>
          <w:numId w:val="49"/>
        </w:numPr>
        <w:ind w:left="0" w:firstLine="0"/>
        <w:rPr>
          <w:color w:val="auto"/>
          <w:lang w:val="en-GB"/>
        </w:rPr>
      </w:pPr>
      <w:r w:rsidRPr="00442F26">
        <w:rPr>
          <w:color w:val="auto"/>
          <w:lang w:val="en-GB"/>
        </w:rPr>
        <w:t xml:space="preserve">Once the </w:t>
      </w:r>
      <w:r w:rsidR="00835432" w:rsidRPr="00442F26">
        <w:rPr>
          <w:color w:val="auto"/>
          <w:lang w:val="en-GB"/>
        </w:rPr>
        <w:t xml:space="preserve">test material </w:t>
      </w:r>
      <w:r w:rsidRPr="00442F26">
        <w:rPr>
          <w:color w:val="auto"/>
          <w:lang w:val="en-GB"/>
        </w:rPr>
        <w:t xml:space="preserve">has been applied, incubate the plates for the desired exposure time at </w:t>
      </w:r>
      <w:r w:rsidR="0098244F" w:rsidRPr="00442F26">
        <w:rPr>
          <w:color w:val="auto"/>
          <w:lang w:val="en-GB"/>
        </w:rPr>
        <w:t>37</w:t>
      </w:r>
      <w:r w:rsidR="006F7144" w:rsidRPr="00442F26">
        <w:rPr>
          <w:color w:val="auto"/>
          <w:lang w:val="en-GB"/>
        </w:rPr>
        <w:t xml:space="preserve"> </w:t>
      </w:r>
      <w:r w:rsidR="0098244F" w:rsidRPr="00442F26">
        <w:rPr>
          <w:color w:val="auto"/>
          <w:lang w:val="en-GB"/>
        </w:rPr>
        <w:t>°C</w:t>
      </w:r>
      <w:r w:rsidRPr="00442F26">
        <w:rPr>
          <w:color w:val="auto"/>
          <w:lang w:val="en-GB"/>
        </w:rPr>
        <w:t xml:space="preserve"> and 5% CO</w:t>
      </w:r>
      <w:r w:rsidRPr="00442F26">
        <w:rPr>
          <w:color w:val="auto"/>
          <w:vertAlign w:val="subscript"/>
          <w:lang w:val="en-GB"/>
        </w:rPr>
        <w:t>2</w:t>
      </w:r>
      <w:r w:rsidRPr="00442F26">
        <w:rPr>
          <w:color w:val="auto"/>
          <w:lang w:val="en-GB"/>
        </w:rPr>
        <w:t xml:space="preserve">. </w:t>
      </w:r>
    </w:p>
    <w:p w14:paraId="1DF60C41" w14:textId="77777777" w:rsidR="006F7144" w:rsidRPr="00442F26" w:rsidRDefault="006F7144" w:rsidP="006F7144">
      <w:pPr>
        <w:pStyle w:val="ListParagraph"/>
        <w:ind w:left="0"/>
        <w:rPr>
          <w:color w:val="auto"/>
          <w:lang w:val="en-GB"/>
        </w:rPr>
      </w:pPr>
    </w:p>
    <w:p w14:paraId="01FF7578" w14:textId="59D20C76" w:rsidR="00BC1194" w:rsidRPr="00442F26" w:rsidRDefault="007621BA" w:rsidP="006F7144">
      <w:pPr>
        <w:pStyle w:val="ListParagraph"/>
        <w:numPr>
          <w:ilvl w:val="1"/>
          <w:numId w:val="49"/>
        </w:numPr>
        <w:ind w:left="0" w:firstLine="0"/>
        <w:rPr>
          <w:color w:val="auto"/>
          <w:lang w:val="en-GB"/>
        </w:rPr>
      </w:pPr>
      <w:r w:rsidRPr="00442F26">
        <w:rPr>
          <w:color w:val="auto"/>
          <w:lang w:val="en-GB"/>
        </w:rPr>
        <w:t>If a long-term (≥2</w:t>
      </w:r>
      <w:r w:rsidR="00EE0F56" w:rsidRPr="00442F26">
        <w:rPr>
          <w:color w:val="auto"/>
          <w:lang w:val="en-GB"/>
        </w:rPr>
        <w:t>4</w:t>
      </w:r>
      <w:r w:rsidRPr="00442F26">
        <w:rPr>
          <w:color w:val="auto"/>
          <w:lang w:val="en-GB"/>
        </w:rPr>
        <w:t xml:space="preserve"> </w:t>
      </w:r>
      <w:r w:rsidR="006F7144" w:rsidRPr="00442F26">
        <w:rPr>
          <w:color w:val="auto"/>
          <w:lang w:val="en-GB"/>
        </w:rPr>
        <w:t>h</w:t>
      </w:r>
      <w:r w:rsidRPr="00442F26">
        <w:rPr>
          <w:color w:val="auto"/>
          <w:lang w:val="en-GB"/>
        </w:rPr>
        <w:t xml:space="preserve">) exposure regime is conducted, then immediately after the desired exposure </w:t>
      </w:r>
      <w:r w:rsidR="00835432" w:rsidRPr="00442F26">
        <w:rPr>
          <w:color w:val="auto"/>
          <w:lang w:val="en-GB"/>
        </w:rPr>
        <w:t>time</w:t>
      </w:r>
      <w:r w:rsidRPr="00442F26">
        <w:rPr>
          <w:color w:val="auto"/>
          <w:lang w:val="en-GB"/>
        </w:rPr>
        <w:t xml:space="preserve">frame has elapsed, </w:t>
      </w:r>
      <w:r w:rsidR="006F7144" w:rsidRPr="00442F26">
        <w:rPr>
          <w:color w:val="auto"/>
          <w:lang w:val="en-GB"/>
        </w:rPr>
        <w:t xml:space="preserve">harvest </w:t>
      </w:r>
      <w:r w:rsidRPr="00442F26">
        <w:rPr>
          <w:color w:val="auto"/>
          <w:lang w:val="en-GB"/>
        </w:rPr>
        <w:t xml:space="preserve">the spheroids for </w:t>
      </w:r>
      <w:r w:rsidR="00835432" w:rsidRPr="00442F26">
        <w:rPr>
          <w:color w:val="auto"/>
          <w:lang w:val="en-GB"/>
        </w:rPr>
        <w:t xml:space="preserve">micronucleus </w:t>
      </w:r>
      <w:r w:rsidRPr="00442F26">
        <w:rPr>
          <w:color w:val="auto"/>
          <w:lang w:val="en-GB"/>
        </w:rPr>
        <w:t>endpoint analysis</w:t>
      </w:r>
      <w:r w:rsidR="00F34702" w:rsidRPr="00442F26">
        <w:rPr>
          <w:color w:val="auto"/>
          <w:lang w:val="en-GB"/>
        </w:rPr>
        <w:t xml:space="preserve"> as described below in </w:t>
      </w:r>
      <w:r w:rsidR="006F7144" w:rsidRPr="00442F26">
        <w:rPr>
          <w:color w:val="auto"/>
          <w:lang w:val="en-GB"/>
        </w:rPr>
        <w:t>steps</w:t>
      </w:r>
      <w:r w:rsidR="00F34702" w:rsidRPr="00442F26">
        <w:rPr>
          <w:color w:val="auto"/>
          <w:lang w:val="en-GB"/>
        </w:rPr>
        <w:t xml:space="preserve"> 6.1 – 6.4.</w:t>
      </w:r>
      <w:r w:rsidR="009E41C9" w:rsidRPr="00442F26">
        <w:rPr>
          <w:color w:val="auto"/>
          <w:lang w:val="en-GB"/>
        </w:rPr>
        <w:t xml:space="preserve"> </w:t>
      </w:r>
    </w:p>
    <w:p w14:paraId="546DE8A0" w14:textId="77777777" w:rsidR="006F7144" w:rsidRPr="00442F26" w:rsidRDefault="006F7144" w:rsidP="006F7144">
      <w:pPr>
        <w:pStyle w:val="ListParagraph"/>
        <w:ind w:left="0"/>
        <w:rPr>
          <w:color w:val="auto"/>
          <w:lang w:val="en-GB"/>
        </w:rPr>
      </w:pPr>
    </w:p>
    <w:p w14:paraId="11D79483" w14:textId="34409E65" w:rsidR="00621D78" w:rsidRPr="00442F26" w:rsidRDefault="00835432" w:rsidP="006F7144">
      <w:pPr>
        <w:pStyle w:val="ListParagraph"/>
        <w:numPr>
          <w:ilvl w:val="1"/>
          <w:numId w:val="49"/>
        </w:numPr>
        <w:ind w:left="0" w:firstLine="0"/>
        <w:rPr>
          <w:color w:val="auto"/>
          <w:lang w:val="en-GB"/>
        </w:rPr>
      </w:pPr>
      <w:r w:rsidRPr="00442F26">
        <w:rPr>
          <w:color w:val="auto"/>
          <w:lang w:val="en-GB"/>
        </w:rPr>
        <w:t>However</w:t>
      </w:r>
      <w:r w:rsidR="007621BA" w:rsidRPr="00442F26">
        <w:rPr>
          <w:color w:val="auto"/>
          <w:lang w:val="en-GB"/>
        </w:rPr>
        <w:t>, with acute exposure regimes (</w:t>
      </w:r>
      <w:r w:rsidR="00725AEE" w:rsidRPr="00442F26">
        <w:rPr>
          <w:color w:val="auto"/>
          <w:lang w:val="en-GB"/>
        </w:rPr>
        <w:t xml:space="preserve">e.g., </w:t>
      </w:r>
      <w:r w:rsidR="007621BA" w:rsidRPr="00442F26">
        <w:rPr>
          <w:color w:val="auto"/>
          <w:lang w:val="en-GB"/>
        </w:rPr>
        <w:t xml:space="preserve">≤24 </w:t>
      </w:r>
      <w:r w:rsidR="006F7144" w:rsidRPr="00442F26">
        <w:rPr>
          <w:color w:val="auto"/>
          <w:lang w:val="en-GB"/>
        </w:rPr>
        <w:t>h</w:t>
      </w:r>
      <w:r w:rsidR="007621BA" w:rsidRPr="00442F26">
        <w:rPr>
          <w:color w:val="auto"/>
          <w:lang w:val="en-GB"/>
        </w:rPr>
        <w:t xml:space="preserve">), once the exposure period has ended, </w:t>
      </w:r>
      <w:r w:rsidR="006F7144" w:rsidRPr="00442F26">
        <w:rPr>
          <w:color w:val="auto"/>
          <w:lang w:val="en-GB"/>
        </w:rPr>
        <w:t xml:space="preserve">harvest, pool, and store </w:t>
      </w:r>
      <w:r w:rsidR="007621BA" w:rsidRPr="00442F26">
        <w:rPr>
          <w:color w:val="auto"/>
          <w:lang w:val="en-GB"/>
        </w:rPr>
        <w:t>50</w:t>
      </w:r>
      <w:r w:rsidR="006F7144" w:rsidRPr="00442F26">
        <w:rPr>
          <w:color w:val="auto"/>
          <w:lang w:val="en-GB"/>
        </w:rPr>
        <w:t xml:space="preserve"> </w:t>
      </w:r>
      <w:r w:rsidR="006F7144" w:rsidRPr="00442F26">
        <w:rPr>
          <w:rFonts w:eastAsia="Calibri"/>
          <w:bCs/>
          <w:iCs/>
          <w:color w:val="auto"/>
          <w:lang w:val="en-GB"/>
        </w:rPr>
        <w:t xml:space="preserve">µL </w:t>
      </w:r>
      <w:r w:rsidR="007621BA" w:rsidRPr="00442F26">
        <w:rPr>
          <w:color w:val="auto"/>
          <w:lang w:val="en-GB"/>
        </w:rPr>
        <w:t>of supernatant from each well in the 96 well plate at -80</w:t>
      </w:r>
      <w:r w:rsidR="006F7144" w:rsidRPr="00442F26">
        <w:rPr>
          <w:color w:val="auto"/>
          <w:lang w:val="en-GB"/>
        </w:rPr>
        <w:t xml:space="preserve"> </w:t>
      </w:r>
      <w:r w:rsidR="007621BA" w:rsidRPr="00442F26">
        <w:rPr>
          <w:color w:val="auto"/>
        </w:rPr>
        <w:t>°C</w:t>
      </w:r>
      <w:r w:rsidR="007621BA" w:rsidRPr="00442F26">
        <w:rPr>
          <w:color w:val="auto"/>
          <w:lang w:val="en-GB"/>
        </w:rPr>
        <w:t xml:space="preserve"> for further biochemical analysis </w:t>
      </w:r>
      <w:r w:rsidR="006F7144" w:rsidRPr="00442F26">
        <w:rPr>
          <w:color w:val="auto"/>
          <w:lang w:val="en-GB"/>
        </w:rPr>
        <w:t>later</w:t>
      </w:r>
      <w:r w:rsidR="007621BA" w:rsidRPr="00442F26">
        <w:rPr>
          <w:color w:val="auto"/>
          <w:lang w:val="en-GB"/>
        </w:rPr>
        <w:t xml:space="preserve">. </w:t>
      </w:r>
      <w:r w:rsidR="006F7144" w:rsidRPr="00442F26">
        <w:rPr>
          <w:color w:val="auto"/>
          <w:lang w:val="en-GB"/>
        </w:rPr>
        <w:t>Replace the</w:t>
      </w:r>
      <w:r w:rsidRPr="00442F26">
        <w:rPr>
          <w:color w:val="auto"/>
          <w:lang w:val="en-GB"/>
        </w:rPr>
        <w:t xml:space="preserve"> </w:t>
      </w:r>
      <w:r w:rsidR="000B0007" w:rsidRPr="00442F26">
        <w:rPr>
          <w:color w:val="auto"/>
          <w:lang w:val="en-GB"/>
        </w:rPr>
        <w:t xml:space="preserve">cell culture medium </w:t>
      </w:r>
      <w:r w:rsidRPr="00442F26">
        <w:rPr>
          <w:color w:val="auto"/>
          <w:lang w:val="en-GB"/>
        </w:rPr>
        <w:t xml:space="preserve">with </w:t>
      </w:r>
      <w:r w:rsidR="000B0007" w:rsidRPr="00442F26">
        <w:rPr>
          <w:color w:val="auto"/>
          <w:lang w:val="en-GB"/>
        </w:rPr>
        <w:t>50</w:t>
      </w:r>
      <w:r w:rsidR="006F7144" w:rsidRPr="00442F26">
        <w:rPr>
          <w:color w:val="auto"/>
          <w:lang w:val="en-GB"/>
        </w:rPr>
        <w:t xml:space="preserve"> </w:t>
      </w:r>
      <w:r w:rsidR="006F7144" w:rsidRPr="00442F26">
        <w:rPr>
          <w:rFonts w:eastAsia="Calibri"/>
          <w:bCs/>
          <w:iCs/>
          <w:color w:val="auto"/>
          <w:lang w:val="en-GB"/>
        </w:rPr>
        <w:t xml:space="preserve">µL </w:t>
      </w:r>
      <w:r w:rsidR="000B0007" w:rsidRPr="00442F26">
        <w:rPr>
          <w:color w:val="auto"/>
          <w:lang w:val="en-GB"/>
        </w:rPr>
        <w:t>of fresh medium containing 6</w:t>
      </w:r>
      <w:r w:rsidR="006F7144" w:rsidRPr="00442F26">
        <w:rPr>
          <w:color w:val="auto"/>
          <w:lang w:val="en-GB"/>
        </w:rPr>
        <w:t xml:space="preserve"> µ</w:t>
      </w:r>
      <w:r w:rsidR="000B0007" w:rsidRPr="00442F26">
        <w:rPr>
          <w:color w:val="auto"/>
          <w:lang w:val="en-GB"/>
        </w:rPr>
        <w:t>g/</w:t>
      </w:r>
      <w:r w:rsidR="00DA2F20" w:rsidRPr="00442F26">
        <w:rPr>
          <w:color w:val="auto"/>
          <w:lang w:val="en-GB"/>
        </w:rPr>
        <w:t>mL</w:t>
      </w:r>
      <w:r w:rsidR="000B0007" w:rsidRPr="00442F26">
        <w:rPr>
          <w:color w:val="auto"/>
          <w:lang w:val="en-GB"/>
        </w:rPr>
        <w:t xml:space="preserve"> of Cytochalasin B</w:t>
      </w:r>
      <w:r w:rsidR="00EE0F56" w:rsidRPr="00442F26">
        <w:rPr>
          <w:color w:val="auto"/>
          <w:lang w:val="en-GB"/>
        </w:rPr>
        <w:t xml:space="preserve"> and </w:t>
      </w:r>
      <w:r w:rsidR="006F7144" w:rsidRPr="00442F26">
        <w:rPr>
          <w:color w:val="auto"/>
          <w:lang w:val="en-GB"/>
        </w:rPr>
        <w:t>leave</w:t>
      </w:r>
      <w:r w:rsidR="00EE0F56" w:rsidRPr="00442F26">
        <w:rPr>
          <w:color w:val="auto"/>
          <w:lang w:val="en-GB"/>
        </w:rPr>
        <w:t xml:space="preserve"> to incubate for 1 – 1.5 cell cycles (</w:t>
      </w:r>
      <w:r w:rsidR="00725AEE" w:rsidRPr="00442F26">
        <w:rPr>
          <w:color w:val="auto"/>
          <w:lang w:val="en-GB"/>
        </w:rPr>
        <w:t xml:space="preserve">i.e., </w:t>
      </w:r>
      <w:r w:rsidR="00EE0F56" w:rsidRPr="00442F26">
        <w:rPr>
          <w:color w:val="auto"/>
          <w:lang w:val="en-GB"/>
        </w:rPr>
        <w:t xml:space="preserve">24 – 26 </w:t>
      </w:r>
      <w:r w:rsidR="006F7144" w:rsidRPr="00442F26">
        <w:rPr>
          <w:color w:val="auto"/>
          <w:lang w:val="en-GB"/>
        </w:rPr>
        <w:t>h</w:t>
      </w:r>
      <w:r w:rsidR="00EE0F56" w:rsidRPr="00442F26">
        <w:rPr>
          <w:color w:val="auto"/>
          <w:lang w:val="en-GB"/>
        </w:rPr>
        <w:t xml:space="preserve"> for HepG2) in preparation for the cytokinesis block micronucleus assay harvest. </w:t>
      </w:r>
    </w:p>
    <w:p w14:paraId="7FA23C02" w14:textId="77777777" w:rsidR="003F3300" w:rsidRPr="00442F26" w:rsidRDefault="003F3300" w:rsidP="006F7144">
      <w:pPr>
        <w:pStyle w:val="ListParagraph"/>
        <w:ind w:left="0"/>
        <w:rPr>
          <w:color w:val="auto"/>
          <w:lang w:val="en-GB"/>
        </w:rPr>
      </w:pPr>
    </w:p>
    <w:p w14:paraId="649566E4" w14:textId="14BEAB77" w:rsidR="006F7144" w:rsidRPr="00442F26" w:rsidRDefault="002C1FD8" w:rsidP="006F7144">
      <w:pPr>
        <w:pStyle w:val="ListParagraph"/>
        <w:ind w:left="0"/>
        <w:rPr>
          <w:color w:val="auto"/>
          <w:lang w:val="en-GB"/>
        </w:rPr>
      </w:pPr>
      <w:r w:rsidRPr="00442F26">
        <w:rPr>
          <w:color w:val="auto"/>
          <w:lang w:val="en-GB"/>
        </w:rPr>
        <w:t>NOTE:</w:t>
      </w:r>
      <w:r w:rsidR="00C76A18" w:rsidRPr="00442F26">
        <w:rPr>
          <w:color w:val="auto"/>
          <w:lang w:val="en-GB"/>
        </w:rPr>
        <w:t xml:space="preserve"> For Acute (≤24 </w:t>
      </w:r>
      <w:r w:rsidR="006F7144" w:rsidRPr="00442F26">
        <w:rPr>
          <w:color w:val="auto"/>
          <w:lang w:val="en-GB"/>
        </w:rPr>
        <w:t>h</w:t>
      </w:r>
      <w:r w:rsidR="00C76A18" w:rsidRPr="00442F26">
        <w:rPr>
          <w:color w:val="auto"/>
          <w:lang w:val="en-GB"/>
        </w:rPr>
        <w:t xml:space="preserve">) exposure regimes, the cytokinesis block micronucleus assay with Cytochalasin B can be applied but for long-term (≥24 </w:t>
      </w:r>
      <w:r w:rsidR="006F7144" w:rsidRPr="00442F26">
        <w:rPr>
          <w:color w:val="auto"/>
          <w:lang w:val="en-GB"/>
        </w:rPr>
        <w:t>h</w:t>
      </w:r>
      <w:r w:rsidR="00C76A18" w:rsidRPr="00442F26">
        <w:rPr>
          <w:color w:val="auto"/>
          <w:lang w:val="en-GB"/>
        </w:rPr>
        <w:t>) exposure regimes, the mononuclear version (without Cytochalasin B) of the assay must be util</w:t>
      </w:r>
      <w:r w:rsidR="00E06DFD" w:rsidRPr="00442F26">
        <w:rPr>
          <w:color w:val="auto"/>
          <w:lang w:val="en-GB"/>
        </w:rPr>
        <w:t>ize</w:t>
      </w:r>
      <w:r w:rsidR="00C76A18" w:rsidRPr="00442F26">
        <w:rPr>
          <w:color w:val="auto"/>
          <w:lang w:val="en-GB"/>
        </w:rPr>
        <w:t xml:space="preserve">d as described below in </w:t>
      </w:r>
      <w:r w:rsidR="00C76A18" w:rsidRPr="00442F26">
        <w:rPr>
          <w:b/>
          <w:bCs/>
          <w:color w:val="auto"/>
          <w:lang w:val="en-GB"/>
        </w:rPr>
        <w:t>Figure 4</w:t>
      </w:r>
      <w:r w:rsidR="00C76A18" w:rsidRPr="00442F26">
        <w:rPr>
          <w:color w:val="auto"/>
          <w:lang w:val="en-GB"/>
        </w:rPr>
        <w:t>.</w:t>
      </w:r>
    </w:p>
    <w:p w14:paraId="2B7C1FDB" w14:textId="77777777" w:rsidR="006F7144" w:rsidRPr="00442F26" w:rsidRDefault="006F7144" w:rsidP="006F7144">
      <w:pPr>
        <w:pStyle w:val="ListParagraph"/>
        <w:ind w:left="0"/>
        <w:rPr>
          <w:color w:val="auto"/>
          <w:lang w:val="en-GB"/>
        </w:rPr>
      </w:pPr>
    </w:p>
    <w:p w14:paraId="36EE77A7" w14:textId="65D0555B" w:rsidR="00176F0C" w:rsidRPr="00442F26" w:rsidRDefault="00176F0C" w:rsidP="006F7144">
      <w:pPr>
        <w:pStyle w:val="Heading3"/>
        <w:keepLines w:val="0"/>
        <w:widowControl/>
        <w:numPr>
          <w:ilvl w:val="0"/>
          <w:numId w:val="49"/>
        </w:numPr>
        <w:autoSpaceDE/>
        <w:autoSpaceDN/>
        <w:adjustRightInd/>
        <w:spacing w:before="0"/>
        <w:ind w:left="0" w:firstLine="0"/>
        <w:contextualSpacing/>
        <w:rPr>
          <w:rFonts w:ascii="Calibri" w:hAnsi="Calibri" w:cs="Calibri"/>
          <w:color w:val="auto"/>
        </w:rPr>
      </w:pPr>
      <w:bookmarkStart w:id="10" w:name="_Toc6039673"/>
      <w:r w:rsidRPr="00442F26">
        <w:rPr>
          <w:rFonts w:ascii="Calibri" w:hAnsi="Calibri" w:cs="Calibri"/>
          <w:color w:val="auto"/>
        </w:rPr>
        <w:t xml:space="preserve">HepG2 </w:t>
      </w:r>
      <w:r w:rsidR="006F7144" w:rsidRPr="00442F26">
        <w:rPr>
          <w:rFonts w:ascii="Calibri" w:hAnsi="Calibri" w:cs="Calibri"/>
          <w:color w:val="auto"/>
        </w:rPr>
        <w:t>spheroid harvesting</w:t>
      </w:r>
      <w:bookmarkEnd w:id="10"/>
    </w:p>
    <w:p w14:paraId="6622867D" w14:textId="77777777" w:rsidR="00BC1194" w:rsidRPr="00442F26" w:rsidRDefault="00BC1194" w:rsidP="006F7144">
      <w:pPr>
        <w:contextualSpacing/>
        <w:rPr>
          <w:color w:val="auto"/>
        </w:rPr>
      </w:pPr>
    </w:p>
    <w:p w14:paraId="09200767" w14:textId="1C9D060C" w:rsidR="006F7144" w:rsidRPr="00442F26" w:rsidRDefault="006F7144" w:rsidP="006F7144">
      <w:pPr>
        <w:contextualSpacing/>
        <w:rPr>
          <w:color w:val="auto"/>
        </w:rPr>
      </w:pPr>
      <w:r w:rsidRPr="00442F26">
        <w:rPr>
          <w:color w:val="auto"/>
        </w:rPr>
        <w:t xml:space="preserve">NOTE: </w:t>
      </w:r>
      <w:r w:rsidR="00176F0C" w:rsidRPr="00442F26">
        <w:rPr>
          <w:color w:val="auto"/>
        </w:rPr>
        <w:t xml:space="preserve">Following either chemical or ENM exposure treatments, both cell culture medium </w:t>
      </w:r>
      <w:proofErr w:type="gramStart"/>
      <w:r w:rsidR="00176F0C" w:rsidRPr="00442F26">
        <w:rPr>
          <w:color w:val="auto"/>
        </w:rPr>
        <w:t>or</w:t>
      </w:r>
      <w:proofErr w:type="gramEnd"/>
      <w:r w:rsidR="00176F0C" w:rsidRPr="00442F26">
        <w:rPr>
          <w:color w:val="auto"/>
        </w:rPr>
        <w:t xml:space="preserve"> spheroid tissue can be harvested for multiple endpoint analysis. Depending on the endpoint analysis, spheroids can either be harvested individually (</w:t>
      </w:r>
      <w:r w:rsidR="00725AEE" w:rsidRPr="00442F26">
        <w:rPr>
          <w:color w:val="auto"/>
        </w:rPr>
        <w:t xml:space="preserve">e.g., </w:t>
      </w:r>
      <w:r w:rsidR="00176F0C" w:rsidRPr="00442F26">
        <w:rPr>
          <w:color w:val="auto"/>
        </w:rPr>
        <w:t xml:space="preserve">for image analysis) or pooled </w:t>
      </w:r>
      <w:r w:rsidR="00D2176F" w:rsidRPr="00442F26">
        <w:rPr>
          <w:color w:val="auto"/>
        </w:rPr>
        <w:t>together (</w:t>
      </w:r>
      <w:r w:rsidR="00725AEE" w:rsidRPr="00442F26">
        <w:rPr>
          <w:color w:val="auto"/>
        </w:rPr>
        <w:t xml:space="preserve">e.g., </w:t>
      </w:r>
      <w:r w:rsidR="00176F0C" w:rsidRPr="00442F26">
        <w:rPr>
          <w:color w:val="auto"/>
        </w:rPr>
        <w:t xml:space="preserve">for cytokinesis block micronucleus assay). </w:t>
      </w:r>
    </w:p>
    <w:p w14:paraId="4EFDBEB2" w14:textId="77777777" w:rsidR="006F7144" w:rsidRPr="00442F26" w:rsidRDefault="006F7144" w:rsidP="006F7144">
      <w:pPr>
        <w:contextualSpacing/>
        <w:rPr>
          <w:color w:val="auto"/>
        </w:rPr>
      </w:pPr>
    </w:p>
    <w:p w14:paraId="54BE750D" w14:textId="5223E928" w:rsidR="00176F0C" w:rsidRPr="00442F26" w:rsidRDefault="00176F0C" w:rsidP="006F7144">
      <w:pPr>
        <w:pStyle w:val="ListParagraph"/>
        <w:widowControl/>
        <w:numPr>
          <w:ilvl w:val="1"/>
          <w:numId w:val="49"/>
        </w:numPr>
        <w:autoSpaceDE/>
        <w:autoSpaceDN/>
        <w:adjustRightInd/>
        <w:ind w:left="0" w:firstLine="0"/>
        <w:rPr>
          <w:color w:val="auto"/>
        </w:rPr>
      </w:pPr>
      <w:r w:rsidRPr="00442F26">
        <w:rPr>
          <w:color w:val="auto"/>
        </w:rPr>
        <w:t>Remove the 96-well plate from the incubator</w:t>
      </w:r>
      <w:r w:rsidR="00B73D8A" w:rsidRPr="00442F26">
        <w:rPr>
          <w:color w:val="auto"/>
        </w:rPr>
        <w:t>.</w:t>
      </w:r>
    </w:p>
    <w:p w14:paraId="46B48756" w14:textId="77777777" w:rsidR="006F7144" w:rsidRPr="00442F26" w:rsidRDefault="006F7144" w:rsidP="006F7144">
      <w:pPr>
        <w:pStyle w:val="ListParagraph"/>
        <w:widowControl/>
        <w:autoSpaceDE/>
        <w:autoSpaceDN/>
        <w:adjustRightInd/>
        <w:ind w:left="0"/>
        <w:rPr>
          <w:color w:val="auto"/>
        </w:rPr>
      </w:pPr>
    </w:p>
    <w:p w14:paraId="299D5CA0" w14:textId="65885B1B" w:rsidR="00176F0C" w:rsidRPr="00442F26" w:rsidRDefault="00176F0C" w:rsidP="006F7144">
      <w:pPr>
        <w:pStyle w:val="ListParagraph"/>
        <w:widowControl/>
        <w:numPr>
          <w:ilvl w:val="1"/>
          <w:numId w:val="49"/>
        </w:numPr>
        <w:autoSpaceDE/>
        <w:autoSpaceDN/>
        <w:adjustRightInd/>
        <w:ind w:left="0" w:firstLine="0"/>
        <w:rPr>
          <w:color w:val="auto"/>
          <w:highlight w:val="yellow"/>
        </w:rPr>
      </w:pPr>
      <w:r w:rsidRPr="00442F26">
        <w:rPr>
          <w:color w:val="auto"/>
          <w:highlight w:val="yellow"/>
        </w:rPr>
        <w:t>Using a 200</w:t>
      </w:r>
      <w:r w:rsidR="006F7144" w:rsidRPr="00442F26">
        <w:rPr>
          <w:rFonts w:eastAsia="Calibri"/>
          <w:bCs/>
          <w:iCs/>
          <w:color w:val="auto"/>
          <w:highlight w:val="yellow"/>
          <w:lang w:val="en-GB"/>
        </w:rPr>
        <w:t xml:space="preserve"> µL</w:t>
      </w:r>
      <w:r w:rsidR="006F7144" w:rsidRPr="00442F26">
        <w:rPr>
          <w:color w:val="auto"/>
          <w:highlight w:val="yellow"/>
        </w:rPr>
        <w:t xml:space="preserve"> </w:t>
      </w:r>
      <w:r w:rsidRPr="00442F26">
        <w:rPr>
          <w:color w:val="auto"/>
          <w:highlight w:val="yellow"/>
        </w:rPr>
        <w:t>pipette, aspirate the 100</w:t>
      </w:r>
      <w:r w:rsidR="006F7144" w:rsidRPr="00442F26">
        <w:rPr>
          <w:color w:val="auto"/>
          <w:highlight w:val="yellow"/>
        </w:rPr>
        <w:t xml:space="preserve"> </w:t>
      </w:r>
      <w:r w:rsidR="006F7144" w:rsidRPr="00442F26">
        <w:rPr>
          <w:rFonts w:eastAsia="Calibri"/>
          <w:bCs/>
          <w:iCs/>
          <w:color w:val="auto"/>
          <w:highlight w:val="yellow"/>
          <w:lang w:val="en-GB"/>
        </w:rPr>
        <w:t>µL</w:t>
      </w:r>
      <w:r w:rsidR="006F7144" w:rsidRPr="00442F26">
        <w:rPr>
          <w:color w:val="auto"/>
          <w:highlight w:val="yellow"/>
        </w:rPr>
        <w:t xml:space="preserve"> </w:t>
      </w:r>
      <w:r w:rsidRPr="00442F26">
        <w:rPr>
          <w:color w:val="auto"/>
          <w:highlight w:val="yellow"/>
        </w:rPr>
        <w:t>of cell culture medium including the spheroid tissue from each well and collect in a sterile, 15</w:t>
      </w:r>
      <w:r w:rsidR="006F7144" w:rsidRPr="00442F26">
        <w:rPr>
          <w:color w:val="auto"/>
          <w:highlight w:val="yellow"/>
        </w:rPr>
        <w:t xml:space="preserve"> </w:t>
      </w:r>
      <w:r w:rsidR="00DA2F20" w:rsidRPr="00442F26">
        <w:rPr>
          <w:color w:val="auto"/>
          <w:highlight w:val="yellow"/>
        </w:rPr>
        <w:t>mL</w:t>
      </w:r>
      <w:r w:rsidRPr="00442F26">
        <w:rPr>
          <w:color w:val="auto"/>
          <w:highlight w:val="yellow"/>
        </w:rPr>
        <w:t xml:space="preserve"> </w:t>
      </w:r>
      <w:r w:rsidR="008D34EC" w:rsidRPr="00442F26">
        <w:rPr>
          <w:color w:val="auto"/>
          <w:highlight w:val="yellow"/>
        </w:rPr>
        <w:t>centrifuge</w:t>
      </w:r>
      <w:r w:rsidRPr="00442F26">
        <w:rPr>
          <w:color w:val="auto"/>
          <w:highlight w:val="yellow"/>
        </w:rPr>
        <w:t xml:space="preserve"> tube. Take care to avoid contact with the agarose. </w:t>
      </w:r>
    </w:p>
    <w:p w14:paraId="3B1C1265" w14:textId="77777777" w:rsidR="006F7144" w:rsidRPr="00442F26" w:rsidRDefault="006F7144" w:rsidP="006F7144">
      <w:pPr>
        <w:pStyle w:val="ListParagraph"/>
        <w:widowControl/>
        <w:autoSpaceDE/>
        <w:autoSpaceDN/>
        <w:adjustRightInd/>
        <w:ind w:left="0"/>
        <w:rPr>
          <w:color w:val="auto"/>
          <w:highlight w:val="yellow"/>
        </w:rPr>
      </w:pPr>
    </w:p>
    <w:p w14:paraId="6852E6F5" w14:textId="5C41797C" w:rsidR="00176F0C" w:rsidRPr="00442F26" w:rsidRDefault="00176F0C" w:rsidP="006F7144">
      <w:pPr>
        <w:pStyle w:val="ListParagraph"/>
        <w:widowControl/>
        <w:numPr>
          <w:ilvl w:val="1"/>
          <w:numId w:val="49"/>
        </w:numPr>
        <w:autoSpaceDE/>
        <w:autoSpaceDN/>
        <w:adjustRightInd/>
        <w:ind w:left="0" w:firstLine="0"/>
        <w:rPr>
          <w:color w:val="auto"/>
          <w:highlight w:val="yellow"/>
        </w:rPr>
      </w:pPr>
      <w:r w:rsidRPr="00442F26">
        <w:rPr>
          <w:color w:val="auto"/>
          <w:highlight w:val="yellow"/>
        </w:rPr>
        <w:t>Once collected, centrifuge the spheroid suspension at 230</w:t>
      </w:r>
      <w:r w:rsidR="006F7144" w:rsidRPr="00442F26">
        <w:rPr>
          <w:color w:val="auto"/>
          <w:highlight w:val="yellow"/>
        </w:rPr>
        <w:t xml:space="preserve"> x </w:t>
      </w:r>
      <w:r w:rsidRPr="00442F26">
        <w:rPr>
          <w:i/>
          <w:iCs/>
          <w:color w:val="auto"/>
          <w:highlight w:val="yellow"/>
        </w:rPr>
        <w:t>g</w:t>
      </w:r>
      <w:r w:rsidRPr="00442F26">
        <w:rPr>
          <w:color w:val="auto"/>
          <w:highlight w:val="yellow"/>
        </w:rPr>
        <w:t xml:space="preserve"> for 5 </w:t>
      </w:r>
      <w:r w:rsidR="00F94D35" w:rsidRPr="00442F26">
        <w:rPr>
          <w:color w:val="auto"/>
          <w:highlight w:val="yellow"/>
        </w:rPr>
        <w:t>min</w:t>
      </w:r>
      <w:r w:rsidRPr="00442F26">
        <w:rPr>
          <w:color w:val="auto"/>
          <w:highlight w:val="yellow"/>
        </w:rPr>
        <w:t>.</w:t>
      </w:r>
      <w:r w:rsidR="006F7144" w:rsidRPr="00442F26">
        <w:rPr>
          <w:color w:val="auto"/>
          <w:highlight w:val="yellow"/>
        </w:rPr>
        <w:t xml:space="preserve"> </w:t>
      </w:r>
      <w:r w:rsidRPr="00442F26">
        <w:rPr>
          <w:color w:val="auto"/>
          <w:highlight w:val="yellow"/>
        </w:rPr>
        <w:t xml:space="preserve">Remove the </w:t>
      </w:r>
      <w:r w:rsidR="00982217" w:rsidRPr="00442F26">
        <w:rPr>
          <w:color w:val="auto"/>
          <w:highlight w:val="yellow"/>
        </w:rPr>
        <w:t>supernatant</w:t>
      </w:r>
      <w:r w:rsidRPr="00442F26">
        <w:rPr>
          <w:color w:val="auto"/>
          <w:highlight w:val="yellow"/>
        </w:rPr>
        <w:t xml:space="preserve"> and store at -80</w:t>
      </w:r>
      <w:r w:rsidR="006F7144" w:rsidRPr="00442F26">
        <w:rPr>
          <w:color w:val="auto"/>
          <w:highlight w:val="yellow"/>
        </w:rPr>
        <w:t xml:space="preserve"> °</w:t>
      </w:r>
      <w:r w:rsidRPr="00442F26">
        <w:rPr>
          <w:color w:val="auto"/>
          <w:highlight w:val="yellow"/>
        </w:rPr>
        <w:t>C for further endpoint analysis (</w:t>
      </w:r>
      <w:r w:rsidR="00725AEE" w:rsidRPr="00442F26">
        <w:rPr>
          <w:color w:val="auto"/>
          <w:highlight w:val="yellow"/>
        </w:rPr>
        <w:t xml:space="preserve">e.g., </w:t>
      </w:r>
      <w:r w:rsidRPr="00442F26">
        <w:rPr>
          <w:color w:val="auto"/>
          <w:highlight w:val="yellow"/>
        </w:rPr>
        <w:t xml:space="preserve">liver function tests) </w:t>
      </w:r>
      <w:r w:rsidR="006F7144" w:rsidRPr="00442F26">
        <w:rPr>
          <w:color w:val="auto"/>
          <w:highlight w:val="yellow"/>
        </w:rPr>
        <w:t>later</w:t>
      </w:r>
      <w:r w:rsidRPr="00442F26">
        <w:rPr>
          <w:color w:val="auto"/>
          <w:highlight w:val="yellow"/>
        </w:rPr>
        <w:t>.</w:t>
      </w:r>
    </w:p>
    <w:p w14:paraId="34E7E5FA" w14:textId="77777777" w:rsidR="006F7144" w:rsidRPr="00442F26" w:rsidRDefault="006F7144" w:rsidP="006F7144">
      <w:pPr>
        <w:pStyle w:val="ListParagraph"/>
        <w:widowControl/>
        <w:autoSpaceDE/>
        <w:autoSpaceDN/>
        <w:adjustRightInd/>
        <w:ind w:left="0"/>
        <w:rPr>
          <w:color w:val="auto"/>
          <w:highlight w:val="yellow"/>
        </w:rPr>
      </w:pPr>
    </w:p>
    <w:p w14:paraId="4F73382B" w14:textId="3441D515" w:rsidR="00176F0C" w:rsidRPr="00442F26" w:rsidRDefault="00176F0C" w:rsidP="006F7144">
      <w:pPr>
        <w:pStyle w:val="ListParagraph"/>
        <w:widowControl/>
        <w:numPr>
          <w:ilvl w:val="1"/>
          <w:numId w:val="49"/>
        </w:numPr>
        <w:autoSpaceDE/>
        <w:autoSpaceDN/>
        <w:adjustRightInd/>
        <w:ind w:left="0" w:firstLine="0"/>
        <w:rPr>
          <w:color w:val="auto"/>
          <w:highlight w:val="yellow"/>
        </w:rPr>
      </w:pPr>
      <w:r w:rsidRPr="00442F26">
        <w:rPr>
          <w:color w:val="auto"/>
          <w:highlight w:val="yellow"/>
        </w:rPr>
        <w:t>Re-suspend the pellet of spheroids in 1</w:t>
      </w:r>
      <w:r w:rsidR="006F7144" w:rsidRPr="00442F26">
        <w:rPr>
          <w:color w:val="auto"/>
          <w:highlight w:val="yellow"/>
        </w:rPr>
        <w:t xml:space="preserve"> </w:t>
      </w:r>
      <w:r w:rsidR="00DA2F20" w:rsidRPr="00442F26">
        <w:rPr>
          <w:color w:val="auto"/>
          <w:highlight w:val="yellow"/>
        </w:rPr>
        <w:t>mL</w:t>
      </w:r>
      <w:r w:rsidRPr="00442F26">
        <w:rPr>
          <w:color w:val="auto"/>
          <w:highlight w:val="yellow"/>
        </w:rPr>
        <w:t xml:space="preserve"> of sterile, room temperature PBS (1</w:t>
      </w:r>
      <w:r w:rsidR="006F7144" w:rsidRPr="00442F26">
        <w:rPr>
          <w:color w:val="auto"/>
          <w:highlight w:val="yellow"/>
        </w:rPr>
        <w:t>x</w:t>
      </w:r>
      <w:r w:rsidRPr="00442F26">
        <w:rPr>
          <w:color w:val="auto"/>
          <w:highlight w:val="yellow"/>
        </w:rPr>
        <w:t xml:space="preserve">). </w:t>
      </w:r>
    </w:p>
    <w:p w14:paraId="5C986018" w14:textId="77777777" w:rsidR="006F7144" w:rsidRPr="00442F26" w:rsidRDefault="006F7144" w:rsidP="006F7144">
      <w:pPr>
        <w:pStyle w:val="ListParagraph"/>
        <w:widowControl/>
        <w:autoSpaceDE/>
        <w:autoSpaceDN/>
        <w:adjustRightInd/>
        <w:ind w:left="0"/>
        <w:rPr>
          <w:color w:val="auto"/>
          <w:highlight w:val="yellow"/>
        </w:rPr>
      </w:pPr>
    </w:p>
    <w:p w14:paraId="091D0B84" w14:textId="284657EA" w:rsidR="00176F0C" w:rsidRPr="00442F26" w:rsidRDefault="00176F0C" w:rsidP="00F7511A">
      <w:pPr>
        <w:pStyle w:val="ListParagraph"/>
        <w:widowControl/>
        <w:numPr>
          <w:ilvl w:val="1"/>
          <w:numId w:val="49"/>
        </w:numPr>
        <w:autoSpaceDE/>
        <w:autoSpaceDN/>
        <w:adjustRightInd/>
        <w:ind w:left="0" w:firstLine="0"/>
        <w:rPr>
          <w:color w:val="auto"/>
          <w:highlight w:val="yellow"/>
        </w:rPr>
      </w:pPr>
      <w:r w:rsidRPr="00442F26">
        <w:rPr>
          <w:color w:val="auto"/>
          <w:highlight w:val="yellow"/>
        </w:rPr>
        <w:t xml:space="preserve">Once washed, centrifuge the spheroid </w:t>
      </w:r>
      <w:r w:rsidR="00D2176F" w:rsidRPr="00442F26">
        <w:rPr>
          <w:color w:val="auto"/>
          <w:highlight w:val="yellow"/>
        </w:rPr>
        <w:t>suspension again</w:t>
      </w:r>
      <w:r w:rsidRPr="00442F26">
        <w:rPr>
          <w:color w:val="auto"/>
          <w:highlight w:val="yellow"/>
        </w:rPr>
        <w:t xml:space="preserve"> at 230</w:t>
      </w:r>
      <w:r w:rsidR="006F7144" w:rsidRPr="00442F26">
        <w:rPr>
          <w:color w:val="auto"/>
          <w:highlight w:val="yellow"/>
        </w:rPr>
        <w:t xml:space="preserve"> x </w:t>
      </w:r>
      <w:r w:rsidR="006F7144" w:rsidRPr="00442F26">
        <w:rPr>
          <w:i/>
          <w:iCs/>
          <w:color w:val="auto"/>
          <w:highlight w:val="yellow"/>
        </w:rPr>
        <w:t>g</w:t>
      </w:r>
      <w:r w:rsidRPr="00442F26">
        <w:rPr>
          <w:color w:val="auto"/>
          <w:highlight w:val="yellow"/>
        </w:rPr>
        <w:t xml:space="preserve"> for 3 </w:t>
      </w:r>
      <w:r w:rsidR="00F94D35" w:rsidRPr="00442F26">
        <w:rPr>
          <w:color w:val="auto"/>
          <w:highlight w:val="yellow"/>
        </w:rPr>
        <w:t>min</w:t>
      </w:r>
      <w:r w:rsidRPr="00442F26">
        <w:rPr>
          <w:color w:val="auto"/>
          <w:highlight w:val="yellow"/>
        </w:rPr>
        <w:t>.</w:t>
      </w:r>
      <w:r w:rsidR="00F7511A" w:rsidRPr="00442F26">
        <w:rPr>
          <w:color w:val="auto"/>
          <w:highlight w:val="yellow"/>
        </w:rPr>
        <w:t xml:space="preserve"> </w:t>
      </w:r>
      <w:r w:rsidRPr="00442F26">
        <w:rPr>
          <w:color w:val="auto"/>
          <w:highlight w:val="yellow"/>
        </w:rPr>
        <w:t>Discard the supernatant, re-suspend in 500</w:t>
      </w:r>
      <w:r w:rsidR="006F7144" w:rsidRPr="00442F26">
        <w:rPr>
          <w:color w:val="auto"/>
          <w:highlight w:val="yellow"/>
        </w:rPr>
        <w:t xml:space="preserve"> </w:t>
      </w:r>
      <w:r w:rsidR="006F7144" w:rsidRPr="00442F26">
        <w:rPr>
          <w:rFonts w:eastAsia="Calibri"/>
          <w:bCs/>
          <w:iCs/>
          <w:color w:val="auto"/>
          <w:highlight w:val="yellow"/>
          <w:lang w:val="en-GB"/>
        </w:rPr>
        <w:t>µL</w:t>
      </w:r>
      <w:r w:rsidR="006F7144" w:rsidRPr="00442F26">
        <w:rPr>
          <w:color w:val="auto"/>
          <w:highlight w:val="yellow"/>
        </w:rPr>
        <w:t xml:space="preserve"> </w:t>
      </w:r>
      <w:r w:rsidRPr="00442F26">
        <w:rPr>
          <w:color w:val="auto"/>
          <w:highlight w:val="yellow"/>
        </w:rPr>
        <w:t xml:space="preserve">of 0.05% trypsin-EDTA solution and incubate for 6-8 </w:t>
      </w:r>
      <w:r w:rsidR="00F94D35" w:rsidRPr="00442F26">
        <w:rPr>
          <w:color w:val="auto"/>
          <w:highlight w:val="yellow"/>
        </w:rPr>
        <w:t>min</w:t>
      </w:r>
      <w:r w:rsidRPr="00442F26">
        <w:rPr>
          <w:color w:val="auto"/>
          <w:highlight w:val="yellow"/>
        </w:rPr>
        <w:t xml:space="preserve"> at </w:t>
      </w:r>
      <w:r w:rsidR="0098244F" w:rsidRPr="00442F26">
        <w:rPr>
          <w:color w:val="auto"/>
          <w:highlight w:val="yellow"/>
        </w:rPr>
        <w:t>37</w:t>
      </w:r>
      <w:r w:rsidR="006F7144" w:rsidRPr="00442F26">
        <w:rPr>
          <w:color w:val="auto"/>
          <w:highlight w:val="yellow"/>
        </w:rPr>
        <w:t xml:space="preserve"> </w:t>
      </w:r>
      <w:r w:rsidR="0098244F" w:rsidRPr="00442F26">
        <w:rPr>
          <w:color w:val="auto"/>
          <w:highlight w:val="yellow"/>
        </w:rPr>
        <w:t>°C</w:t>
      </w:r>
      <w:r w:rsidRPr="00442F26">
        <w:rPr>
          <w:color w:val="auto"/>
          <w:highlight w:val="yellow"/>
        </w:rPr>
        <w:t xml:space="preserve"> and 5% CO</w:t>
      </w:r>
      <w:r w:rsidRPr="00442F26">
        <w:rPr>
          <w:color w:val="auto"/>
          <w:highlight w:val="yellow"/>
          <w:vertAlign w:val="subscript"/>
        </w:rPr>
        <w:t>2</w:t>
      </w:r>
      <w:r w:rsidRPr="00442F26">
        <w:rPr>
          <w:color w:val="auto"/>
          <w:highlight w:val="yellow"/>
        </w:rPr>
        <w:t>.</w:t>
      </w:r>
    </w:p>
    <w:p w14:paraId="622EAB7B" w14:textId="77777777" w:rsidR="006F7144" w:rsidRPr="00442F26" w:rsidRDefault="006F7144" w:rsidP="006F7144">
      <w:pPr>
        <w:pStyle w:val="ListParagraph"/>
        <w:widowControl/>
        <w:autoSpaceDE/>
        <w:autoSpaceDN/>
        <w:adjustRightInd/>
        <w:ind w:left="0"/>
        <w:rPr>
          <w:color w:val="auto"/>
          <w:highlight w:val="yellow"/>
        </w:rPr>
      </w:pPr>
    </w:p>
    <w:p w14:paraId="4451DA3B" w14:textId="69058E16" w:rsidR="00442A0B" w:rsidRPr="00442F26" w:rsidRDefault="00176F0C" w:rsidP="006F7144">
      <w:pPr>
        <w:pStyle w:val="ListParagraph"/>
        <w:widowControl/>
        <w:numPr>
          <w:ilvl w:val="1"/>
          <w:numId w:val="49"/>
        </w:numPr>
        <w:autoSpaceDE/>
        <w:autoSpaceDN/>
        <w:adjustRightInd/>
        <w:ind w:left="0" w:firstLine="0"/>
        <w:rPr>
          <w:color w:val="auto"/>
          <w:highlight w:val="yellow"/>
        </w:rPr>
      </w:pPr>
      <w:r w:rsidRPr="00442F26">
        <w:rPr>
          <w:color w:val="auto"/>
          <w:highlight w:val="yellow"/>
        </w:rPr>
        <w:lastRenderedPageBreak/>
        <w:t>Following incubation, gently pipette the trypsinized cells up and down to fully disassociate and re-suspend the HepG2 cells prior to neutrali</w:t>
      </w:r>
      <w:r w:rsidR="00F7511A" w:rsidRPr="00442F26">
        <w:rPr>
          <w:color w:val="auto"/>
          <w:highlight w:val="yellow"/>
        </w:rPr>
        <w:t>z</w:t>
      </w:r>
      <w:r w:rsidRPr="00442F26">
        <w:rPr>
          <w:color w:val="auto"/>
          <w:highlight w:val="yellow"/>
        </w:rPr>
        <w:t>ing with 1</w:t>
      </w:r>
      <w:r w:rsidR="00F7511A" w:rsidRPr="00442F26">
        <w:rPr>
          <w:color w:val="auto"/>
          <w:highlight w:val="yellow"/>
        </w:rPr>
        <w:t xml:space="preserve"> </w:t>
      </w:r>
      <w:r w:rsidR="00DA2F20" w:rsidRPr="00442F26">
        <w:rPr>
          <w:color w:val="auto"/>
          <w:highlight w:val="yellow"/>
        </w:rPr>
        <w:t>mL</w:t>
      </w:r>
      <w:r w:rsidRPr="00442F26">
        <w:rPr>
          <w:color w:val="auto"/>
          <w:highlight w:val="yellow"/>
        </w:rPr>
        <w:t xml:space="preserve"> of DMEM cell culture medium. </w:t>
      </w:r>
    </w:p>
    <w:p w14:paraId="0E51573C" w14:textId="77777777" w:rsidR="00F7511A" w:rsidRPr="00442F26" w:rsidRDefault="00F7511A" w:rsidP="00F7511A">
      <w:pPr>
        <w:pStyle w:val="ListParagraph"/>
        <w:widowControl/>
        <w:autoSpaceDE/>
        <w:autoSpaceDN/>
        <w:adjustRightInd/>
        <w:ind w:left="0"/>
        <w:rPr>
          <w:color w:val="auto"/>
          <w:highlight w:val="yellow"/>
        </w:rPr>
      </w:pPr>
    </w:p>
    <w:p w14:paraId="6B7709FE" w14:textId="08FBD3AC" w:rsidR="00B32616" w:rsidRPr="00442F26" w:rsidRDefault="00176F0C" w:rsidP="00F7511A">
      <w:pPr>
        <w:pStyle w:val="ListParagraph"/>
        <w:widowControl/>
        <w:numPr>
          <w:ilvl w:val="1"/>
          <w:numId w:val="49"/>
        </w:numPr>
        <w:autoSpaceDE/>
        <w:autoSpaceDN/>
        <w:adjustRightInd/>
        <w:ind w:left="0" w:firstLine="0"/>
        <w:rPr>
          <w:color w:val="auto"/>
          <w:highlight w:val="yellow"/>
        </w:rPr>
      </w:pPr>
      <w:r w:rsidRPr="00442F26">
        <w:rPr>
          <w:color w:val="auto"/>
          <w:highlight w:val="yellow"/>
        </w:rPr>
        <w:t>Centrifuge the diluted cell suspension at 230</w:t>
      </w:r>
      <w:r w:rsidR="00F7511A" w:rsidRPr="00442F26">
        <w:rPr>
          <w:color w:val="auto"/>
          <w:highlight w:val="yellow"/>
        </w:rPr>
        <w:t xml:space="preserve"> x </w:t>
      </w:r>
      <w:r w:rsidR="00F7511A" w:rsidRPr="00442F26">
        <w:rPr>
          <w:i/>
          <w:iCs/>
          <w:color w:val="auto"/>
          <w:highlight w:val="yellow"/>
        </w:rPr>
        <w:t>g</w:t>
      </w:r>
      <w:r w:rsidRPr="00442F26">
        <w:rPr>
          <w:i/>
          <w:iCs/>
          <w:color w:val="auto"/>
          <w:highlight w:val="yellow"/>
        </w:rPr>
        <w:t xml:space="preserve"> </w:t>
      </w:r>
      <w:r w:rsidRPr="00442F26">
        <w:rPr>
          <w:color w:val="auto"/>
          <w:highlight w:val="yellow"/>
        </w:rPr>
        <w:t xml:space="preserve">for 5 </w:t>
      </w:r>
      <w:r w:rsidR="00F94D35" w:rsidRPr="00442F26">
        <w:rPr>
          <w:color w:val="auto"/>
          <w:highlight w:val="yellow"/>
        </w:rPr>
        <w:t>min</w:t>
      </w:r>
      <w:r w:rsidRPr="00442F26">
        <w:rPr>
          <w:color w:val="auto"/>
          <w:highlight w:val="yellow"/>
        </w:rPr>
        <w:t xml:space="preserve">. Discard the supernatant into </w:t>
      </w:r>
      <w:r w:rsidR="008D34EC" w:rsidRPr="00442F26">
        <w:rPr>
          <w:color w:val="auto"/>
          <w:highlight w:val="yellow"/>
        </w:rPr>
        <w:t>disinfectant</w:t>
      </w:r>
      <w:r w:rsidRPr="00442F26">
        <w:rPr>
          <w:color w:val="auto"/>
          <w:highlight w:val="yellow"/>
        </w:rPr>
        <w:t xml:space="preserve"> and re-suspend cell pellet in </w:t>
      </w:r>
      <w:r w:rsidR="00120C8E" w:rsidRPr="00442F26">
        <w:rPr>
          <w:color w:val="auto"/>
          <w:highlight w:val="yellow"/>
        </w:rPr>
        <w:t>2</w:t>
      </w:r>
      <w:r w:rsidR="00DA2F20" w:rsidRPr="00442F26">
        <w:rPr>
          <w:color w:val="auto"/>
          <w:highlight w:val="yellow"/>
        </w:rPr>
        <w:t>mL</w:t>
      </w:r>
      <w:r w:rsidRPr="00442F26">
        <w:rPr>
          <w:color w:val="auto"/>
          <w:highlight w:val="yellow"/>
        </w:rPr>
        <w:t xml:space="preserve"> of </w:t>
      </w:r>
      <w:r w:rsidR="00595415" w:rsidRPr="00442F26">
        <w:rPr>
          <w:color w:val="auto"/>
          <w:highlight w:val="yellow"/>
        </w:rPr>
        <w:t xml:space="preserve">room temperature </w:t>
      </w:r>
      <w:r w:rsidRPr="00442F26">
        <w:rPr>
          <w:color w:val="auto"/>
          <w:highlight w:val="yellow"/>
        </w:rPr>
        <w:t>PBS (1</w:t>
      </w:r>
      <w:r w:rsidR="00F7511A" w:rsidRPr="00442F26">
        <w:rPr>
          <w:color w:val="auto"/>
          <w:highlight w:val="yellow"/>
        </w:rPr>
        <w:t>x</w:t>
      </w:r>
      <w:r w:rsidRPr="00442F26">
        <w:rPr>
          <w:color w:val="auto"/>
          <w:highlight w:val="yellow"/>
        </w:rPr>
        <w:t>)</w:t>
      </w:r>
      <w:r w:rsidR="00120C8E" w:rsidRPr="00442F26">
        <w:rPr>
          <w:color w:val="auto"/>
          <w:highlight w:val="yellow"/>
        </w:rPr>
        <w:t>.</w:t>
      </w:r>
    </w:p>
    <w:p w14:paraId="06BAB0C5" w14:textId="77777777" w:rsidR="00F7511A" w:rsidRPr="00442F26" w:rsidRDefault="00F7511A" w:rsidP="00F7511A">
      <w:pPr>
        <w:pStyle w:val="ListParagraph"/>
        <w:widowControl/>
        <w:autoSpaceDE/>
        <w:autoSpaceDN/>
        <w:adjustRightInd/>
        <w:ind w:left="0"/>
        <w:rPr>
          <w:color w:val="auto"/>
          <w:highlight w:val="yellow"/>
        </w:rPr>
      </w:pPr>
    </w:p>
    <w:p w14:paraId="376BEE05" w14:textId="6BF9706A" w:rsidR="00595415" w:rsidRPr="00442F26" w:rsidRDefault="00595415" w:rsidP="00F7511A">
      <w:pPr>
        <w:pStyle w:val="ListParagraph"/>
        <w:widowControl/>
        <w:numPr>
          <w:ilvl w:val="1"/>
          <w:numId w:val="49"/>
        </w:numPr>
        <w:autoSpaceDE/>
        <w:autoSpaceDN/>
        <w:adjustRightInd/>
        <w:ind w:left="0" w:firstLine="0"/>
        <w:rPr>
          <w:color w:val="auto"/>
        </w:rPr>
      </w:pPr>
      <w:r w:rsidRPr="00442F26">
        <w:rPr>
          <w:color w:val="auto"/>
        </w:rPr>
        <w:t>Centrifuge the cell suspension at 23</w:t>
      </w:r>
      <w:r w:rsidR="00F7511A" w:rsidRPr="00442F26">
        <w:rPr>
          <w:color w:val="auto"/>
        </w:rPr>
        <w:t xml:space="preserve">0 x </w:t>
      </w:r>
      <w:r w:rsidR="00F7511A" w:rsidRPr="00442F26">
        <w:rPr>
          <w:i/>
          <w:iCs/>
          <w:color w:val="auto"/>
        </w:rPr>
        <w:t>g</w:t>
      </w:r>
      <w:r w:rsidRPr="00442F26">
        <w:rPr>
          <w:i/>
          <w:iCs/>
          <w:color w:val="auto"/>
        </w:rPr>
        <w:t xml:space="preserve"> </w:t>
      </w:r>
      <w:r w:rsidRPr="00442F26">
        <w:rPr>
          <w:color w:val="auto"/>
        </w:rPr>
        <w:t xml:space="preserve">for 5 </w:t>
      </w:r>
      <w:r w:rsidR="00F94D35" w:rsidRPr="00442F26">
        <w:rPr>
          <w:color w:val="auto"/>
        </w:rPr>
        <w:t>min</w:t>
      </w:r>
      <w:r w:rsidRPr="00442F26">
        <w:rPr>
          <w:color w:val="auto"/>
        </w:rPr>
        <w:t xml:space="preserve">. Discard the supernatant into </w:t>
      </w:r>
      <w:r w:rsidR="008D34EC" w:rsidRPr="00442F26">
        <w:rPr>
          <w:color w:val="auto"/>
        </w:rPr>
        <w:t>disinfectant</w:t>
      </w:r>
      <w:r w:rsidRPr="00442F26">
        <w:rPr>
          <w:color w:val="auto"/>
        </w:rPr>
        <w:t xml:space="preserve"> and then re-suspend the cell pellet once more in 2</w:t>
      </w:r>
      <w:r w:rsidR="00F7511A" w:rsidRPr="00442F26">
        <w:rPr>
          <w:color w:val="auto"/>
        </w:rPr>
        <w:t xml:space="preserve"> </w:t>
      </w:r>
      <w:r w:rsidR="00DA2F20" w:rsidRPr="00442F26">
        <w:rPr>
          <w:color w:val="auto"/>
        </w:rPr>
        <w:t>mL</w:t>
      </w:r>
      <w:r w:rsidRPr="00442F26">
        <w:rPr>
          <w:color w:val="auto"/>
        </w:rPr>
        <w:t xml:space="preserve"> of cold PBS (1</w:t>
      </w:r>
      <w:r w:rsidR="00F7511A" w:rsidRPr="00442F26">
        <w:rPr>
          <w:color w:val="auto"/>
        </w:rPr>
        <w:t>x</w:t>
      </w:r>
      <w:r w:rsidRPr="00442F26">
        <w:rPr>
          <w:color w:val="auto"/>
        </w:rPr>
        <w:t xml:space="preserve">). Ensure the cells are well dispersed to prevent clumps of cells obscuring the field of view when mounted onto microscope slides. </w:t>
      </w:r>
    </w:p>
    <w:p w14:paraId="32B59B1A" w14:textId="77777777" w:rsidR="00595415" w:rsidRPr="00442F26" w:rsidRDefault="00595415" w:rsidP="006F7144">
      <w:pPr>
        <w:pStyle w:val="ListParagraph"/>
        <w:widowControl/>
        <w:autoSpaceDE/>
        <w:autoSpaceDN/>
        <w:adjustRightInd/>
        <w:ind w:left="0"/>
        <w:rPr>
          <w:color w:val="auto"/>
        </w:rPr>
      </w:pPr>
    </w:p>
    <w:p w14:paraId="227D06AD" w14:textId="78B546DE" w:rsidR="00595415" w:rsidRPr="00442F26" w:rsidRDefault="00595415" w:rsidP="00F7511A">
      <w:pPr>
        <w:pStyle w:val="ListParagraph"/>
        <w:widowControl/>
        <w:numPr>
          <w:ilvl w:val="0"/>
          <w:numId w:val="49"/>
        </w:numPr>
        <w:autoSpaceDE/>
        <w:autoSpaceDN/>
        <w:adjustRightInd/>
        <w:rPr>
          <w:b/>
          <w:bCs/>
          <w:color w:val="auto"/>
        </w:rPr>
      </w:pPr>
      <w:r w:rsidRPr="00442F26">
        <w:rPr>
          <w:b/>
          <w:bCs/>
          <w:color w:val="auto"/>
        </w:rPr>
        <w:t xml:space="preserve">Micronucleus </w:t>
      </w:r>
      <w:r w:rsidR="00F7511A" w:rsidRPr="00442F26">
        <w:rPr>
          <w:b/>
          <w:bCs/>
          <w:color w:val="auto"/>
        </w:rPr>
        <w:t>assay and scoring</w:t>
      </w:r>
    </w:p>
    <w:p w14:paraId="7341E755" w14:textId="20A49B94" w:rsidR="00982217" w:rsidRPr="00442F26" w:rsidRDefault="00982217" w:rsidP="006F7144">
      <w:pPr>
        <w:pStyle w:val="ListParagraph"/>
        <w:widowControl/>
        <w:autoSpaceDE/>
        <w:autoSpaceDN/>
        <w:adjustRightInd/>
        <w:ind w:left="0"/>
        <w:rPr>
          <w:b/>
          <w:bCs/>
          <w:color w:val="auto"/>
        </w:rPr>
      </w:pPr>
    </w:p>
    <w:p w14:paraId="65F14140" w14:textId="5E0F3CE0" w:rsidR="009E3DC3" w:rsidRPr="00442F26" w:rsidRDefault="009E3DC3" w:rsidP="006F7144">
      <w:pPr>
        <w:pStyle w:val="ListParagraph"/>
        <w:widowControl/>
        <w:autoSpaceDE/>
        <w:autoSpaceDN/>
        <w:adjustRightInd/>
        <w:ind w:left="0"/>
        <w:rPr>
          <w:color w:val="auto"/>
        </w:rPr>
      </w:pPr>
      <w:r w:rsidRPr="00442F26">
        <w:rPr>
          <w:color w:val="auto"/>
        </w:rPr>
        <w:t xml:space="preserve">For the manual method of the micronucleus assay, a cytocentrifuge is required to produce a </w:t>
      </w:r>
      <w:proofErr w:type="spellStart"/>
      <w:r w:rsidRPr="00442F26">
        <w:rPr>
          <w:color w:val="auto"/>
        </w:rPr>
        <w:t>cytodot</w:t>
      </w:r>
      <w:proofErr w:type="spellEnd"/>
      <w:r w:rsidRPr="00442F26">
        <w:rPr>
          <w:color w:val="auto"/>
        </w:rPr>
        <w:t xml:space="preserve"> (a defined, concentrated region of cells) in the centre of the microscope slide. This process supports more efficient scoring of the slide as it allows the scorer to easily locate the cells of interest, as opposed to evaluating a whole slide where the cells can be widely spread.</w:t>
      </w:r>
      <w:r w:rsidR="00725AEE" w:rsidRPr="00442F26">
        <w:rPr>
          <w:color w:val="auto"/>
        </w:rPr>
        <w:t xml:space="preserve"> </w:t>
      </w:r>
    </w:p>
    <w:p w14:paraId="6D8318BB" w14:textId="77777777" w:rsidR="009E3DC3" w:rsidRPr="00442F26" w:rsidRDefault="009E3DC3" w:rsidP="006F7144">
      <w:pPr>
        <w:pStyle w:val="ListParagraph"/>
        <w:widowControl/>
        <w:autoSpaceDE/>
        <w:autoSpaceDN/>
        <w:adjustRightInd/>
        <w:ind w:left="0"/>
        <w:rPr>
          <w:b/>
          <w:bCs/>
          <w:color w:val="auto"/>
        </w:rPr>
      </w:pPr>
    </w:p>
    <w:p w14:paraId="03141D44" w14:textId="72D6F012" w:rsidR="00FE79D3" w:rsidRPr="00442F26" w:rsidRDefault="00FE79D3" w:rsidP="00F7511A">
      <w:pPr>
        <w:pStyle w:val="ListParagraph"/>
        <w:widowControl/>
        <w:numPr>
          <w:ilvl w:val="1"/>
          <w:numId w:val="49"/>
        </w:numPr>
        <w:autoSpaceDE/>
        <w:autoSpaceDN/>
        <w:adjustRightInd/>
        <w:ind w:left="0" w:firstLine="0"/>
        <w:rPr>
          <w:color w:val="auto"/>
        </w:rPr>
      </w:pPr>
      <w:r w:rsidRPr="00442F26">
        <w:rPr>
          <w:color w:val="auto"/>
        </w:rPr>
        <w:t>Dip frosted microscope slides (three per dose) in 70% ethanol followed by ddH</w:t>
      </w:r>
      <w:r w:rsidRPr="00442F26">
        <w:rPr>
          <w:color w:val="auto"/>
          <w:vertAlign w:val="subscript"/>
        </w:rPr>
        <w:t>2</w:t>
      </w:r>
      <w:r w:rsidRPr="00442F26">
        <w:rPr>
          <w:color w:val="auto"/>
        </w:rPr>
        <w:t xml:space="preserve">O and leave to air dry for 5 </w:t>
      </w:r>
      <w:r w:rsidR="00F94D35" w:rsidRPr="00442F26">
        <w:rPr>
          <w:color w:val="auto"/>
        </w:rPr>
        <w:t>min</w:t>
      </w:r>
      <w:r w:rsidRPr="00442F26">
        <w:rPr>
          <w:color w:val="auto"/>
        </w:rPr>
        <w:t>.</w:t>
      </w:r>
    </w:p>
    <w:p w14:paraId="3AC4DDA6" w14:textId="77777777" w:rsidR="00F7511A" w:rsidRPr="00442F26" w:rsidRDefault="00F7511A" w:rsidP="00F7511A">
      <w:pPr>
        <w:pStyle w:val="ListParagraph"/>
        <w:widowControl/>
        <w:autoSpaceDE/>
        <w:autoSpaceDN/>
        <w:adjustRightInd/>
        <w:ind w:left="0"/>
        <w:rPr>
          <w:color w:val="auto"/>
        </w:rPr>
      </w:pPr>
    </w:p>
    <w:p w14:paraId="305C72E0" w14:textId="76242565" w:rsidR="00FE79D3" w:rsidRPr="00442F26" w:rsidRDefault="00FE79D3" w:rsidP="00F7511A">
      <w:pPr>
        <w:pStyle w:val="ListParagraph"/>
        <w:widowControl/>
        <w:numPr>
          <w:ilvl w:val="1"/>
          <w:numId w:val="49"/>
        </w:numPr>
        <w:autoSpaceDE/>
        <w:autoSpaceDN/>
        <w:adjustRightInd/>
        <w:ind w:left="0" w:firstLine="0"/>
        <w:rPr>
          <w:color w:val="auto"/>
          <w:highlight w:val="yellow"/>
        </w:rPr>
      </w:pPr>
      <w:r w:rsidRPr="00442F26">
        <w:rPr>
          <w:color w:val="auto"/>
          <w:highlight w:val="yellow"/>
        </w:rPr>
        <w:t xml:space="preserve">Place prepared microscope slides into </w:t>
      </w:r>
      <w:r w:rsidR="00CB2052" w:rsidRPr="00442F26">
        <w:rPr>
          <w:color w:val="auto"/>
          <w:highlight w:val="yellow"/>
        </w:rPr>
        <w:t xml:space="preserve">cuvette funnel as shown in </w:t>
      </w:r>
      <w:r w:rsidR="00CB2052" w:rsidRPr="00442F26">
        <w:rPr>
          <w:b/>
          <w:bCs/>
          <w:color w:val="auto"/>
          <w:highlight w:val="yellow"/>
        </w:rPr>
        <w:t xml:space="preserve">Figure </w:t>
      </w:r>
      <w:r w:rsidR="00C65D5B" w:rsidRPr="00442F26">
        <w:rPr>
          <w:b/>
          <w:bCs/>
          <w:color w:val="auto"/>
          <w:highlight w:val="yellow"/>
        </w:rPr>
        <w:t>3</w:t>
      </w:r>
      <w:r w:rsidR="008F5004" w:rsidRPr="00442F26">
        <w:rPr>
          <w:b/>
          <w:bCs/>
          <w:color w:val="auto"/>
          <w:highlight w:val="yellow"/>
        </w:rPr>
        <w:t>A</w:t>
      </w:r>
      <w:r w:rsidR="00CB2052" w:rsidRPr="00442F26">
        <w:rPr>
          <w:color w:val="auto"/>
          <w:highlight w:val="yellow"/>
        </w:rPr>
        <w:t>, where the glass slide</w:t>
      </w:r>
      <w:r w:rsidR="00C65D5B" w:rsidRPr="00442F26">
        <w:rPr>
          <w:color w:val="auto"/>
          <w:highlight w:val="yellow"/>
        </w:rPr>
        <w:t xml:space="preserve"> (</w:t>
      </w:r>
      <w:r w:rsidR="00561587" w:rsidRPr="00442F26">
        <w:rPr>
          <w:color w:val="auto"/>
          <w:highlight w:val="yellow"/>
        </w:rPr>
        <w:t>iii</w:t>
      </w:r>
      <w:r w:rsidR="00C65D5B" w:rsidRPr="00442F26">
        <w:rPr>
          <w:color w:val="auto"/>
          <w:highlight w:val="yellow"/>
        </w:rPr>
        <w:t>)</w:t>
      </w:r>
      <w:r w:rsidR="00CB2052" w:rsidRPr="00442F26">
        <w:rPr>
          <w:color w:val="auto"/>
          <w:highlight w:val="yellow"/>
        </w:rPr>
        <w:t xml:space="preserve"> is placed in the metal support</w:t>
      </w:r>
      <w:r w:rsidR="00C65D5B" w:rsidRPr="00442F26">
        <w:rPr>
          <w:color w:val="auto"/>
          <w:highlight w:val="yellow"/>
        </w:rPr>
        <w:t xml:space="preserve"> (</w:t>
      </w:r>
      <w:r w:rsidR="00561587" w:rsidRPr="00442F26">
        <w:rPr>
          <w:color w:val="auto"/>
          <w:highlight w:val="yellow"/>
        </w:rPr>
        <w:t>iv</w:t>
      </w:r>
      <w:r w:rsidR="00C65D5B" w:rsidRPr="00442F26">
        <w:rPr>
          <w:color w:val="auto"/>
          <w:highlight w:val="yellow"/>
        </w:rPr>
        <w:t>)</w:t>
      </w:r>
      <w:r w:rsidR="00CB2052" w:rsidRPr="00442F26">
        <w:rPr>
          <w:color w:val="auto"/>
          <w:highlight w:val="yellow"/>
        </w:rPr>
        <w:t xml:space="preserve"> with a filter card</w:t>
      </w:r>
      <w:r w:rsidR="00C65D5B" w:rsidRPr="00442F26">
        <w:rPr>
          <w:color w:val="auto"/>
          <w:highlight w:val="yellow"/>
        </w:rPr>
        <w:t xml:space="preserve"> (</w:t>
      </w:r>
      <w:r w:rsidR="00561587" w:rsidRPr="00442F26">
        <w:rPr>
          <w:color w:val="auto"/>
          <w:highlight w:val="yellow"/>
        </w:rPr>
        <w:t>ii</w:t>
      </w:r>
      <w:r w:rsidR="00C65D5B" w:rsidRPr="00442F26">
        <w:rPr>
          <w:color w:val="auto"/>
          <w:highlight w:val="yellow"/>
        </w:rPr>
        <w:t>)</w:t>
      </w:r>
      <w:r w:rsidR="00CB2052" w:rsidRPr="00442F26">
        <w:rPr>
          <w:color w:val="auto"/>
          <w:highlight w:val="yellow"/>
        </w:rPr>
        <w:t xml:space="preserve"> and cuvette funnel </w:t>
      </w:r>
      <w:r w:rsidR="00C65D5B" w:rsidRPr="00442F26">
        <w:rPr>
          <w:color w:val="auto"/>
          <w:highlight w:val="yellow"/>
        </w:rPr>
        <w:t>(</w:t>
      </w:r>
      <w:proofErr w:type="spellStart"/>
      <w:r w:rsidR="00561587" w:rsidRPr="00442F26">
        <w:rPr>
          <w:color w:val="auto"/>
          <w:highlight w:val="yellow"/>
        </w:rPr>
        <w:t>i</w:t>
      </w:r>
      <w:proofErr w:type="spellEnd"/>
      <w:r w:rsidR="00C65D5B" w:rsidRPr="00442F26">
        <w:rPr>
          <w:color w:val="auto"/>
          <w:highlight w:val="yellow"/>
        </w:rPr>
        <w:t xml:space="preserve">) </w:t>
      </w:r>
      <w:r w:rsidR="00CB2052" w:rsidRPr="00442F26">
        <w:rPr>
          <w:color w:val="auto"/>
          <w:highlight w:val="yellow"/>
        </w:rPr>
        <w:t>secured on top.</w:t>
      </w:r>
    </w:p>
    <w:p w14:paraId="2C53CA15" w14:textId="77777777" w:rsidR="00F7511A" w:rsidRPr="00442F26" w:rsidRDefault="00F7511A" w:rsidP="00F7511A">
      <w:pPr>
        <w:pStyle w:val="ListParagraph"/>
        <w:widowControl/>
        <w:autoSpaceDE/>
        <w:autoSpaceDN/>
        <w:adjustRightInd/>
        <w:ind w:left="0"/>
        <w:rPr>
          <w:color w:val="auto"/>
          <w:highlight w:val="yellow"/>
        </w:rPr>
      </w:pPr>
    </w:p>
    <w:p w14:paraId="64C76013" w14:textId="4FF2D472" w:rsidR="00C65D5B" w:rsidRPr="00442F26" w:rsidRDefault="00CB2052" w:rsidP="00F7511A">
      <w:pPr>
        <w:pStyle w:val="ListParagraph"/>
        <w:widowControl/>
        <w:numPr>
          <w:ilvl w:val="1"/>
          <w:numId w:val="49"/>
        </w:numPr>
        <w:autoSpaceDE/>
        <w:autoSpaceDN/>
        <w:adjustRightInd/>
        <w:ind w:left="0" w:firstLine="0"/>
        <w:rPr>
          <w:color w:val="auto"/>
          <w:highlight w:val="yellow"/>
        </w:rPr>
      </w:pPr>
      <w:r w:rsidRPr="00442F26">
        <w:rPr>
          <w:color w:val="auto"/>
          <w:highlight w:val="yellow"/>
        </w:rPr>
        <w:t>Arrange cuvette funnels in the cytocentrifuge with the funnel facing up, so 100</w:t>
      </w:r>
      <w:r w:rsidR="00F7511A" w:rsidRPr="00442F26">
        <w:rPr>
          <w:color w:val="auto"/>
          <w:highlight w:val="yellow"/>
        </w:rPr>
        <w:t xml:space="preserve"> </w:t>
      </w:r>
      <w:r w:rsidR="00F7511A" w:rsidRPr="00442F26">
        <w:rPr>
          <w:rFonts w:eastAsia="Calibri"/>
          <w:bCs/>
          <w:iCs/>
          <w:color w:val="auto"/>
          <w:highlight w:val="yellow"/>
          <w:lang w:val="en-GB"/>
        </w:rPr>
        <w:t>µL</w:t>
      </w:r>
      <w:r w:rsidR="00F7511A" w:rsidRPr="00442F26">
        <w:rPr>
          <w:color w:val="auto"/>
          <w:highlight w:val="yellow"/>
        </w:rPr>
        <w:t xml:space="preserve"> </w:t>
      </w:r>
      <w:r w:rsidRPr="00442F26">
        <w:rPr>
          <w:color w:val="auto"/>
          <w:highlight w:val="yellow"/>
        </w:rPr>
        <w:t>of cell suspension can be directl</w:t>
      </w:r>
      <w:r w:rsidR="00A2029E" w:rsidRPr="00442F26">
        <w:rPr>
          <w:color w:val="auto"/>
          <w:highlight w:val="yellow"/>
        </w:rPr>
        <w:t xml:space="preserve">y added into each one. </w:t>
      </w:r>
    </w:p>
    <w:p w14:paraId="31CCFAD2" w14:textId="77777777" w:rsidR="00F7511A" w:rsidRPr="00442F26" w:rsidRDefault="00F7511A" w:rsidP="00F7511A">
      <w:pPr>
        <w:pStyle w:val="ListParagraph"/>
        <w:widowControl/>
        <w:autoSpaceDE/>
        <w:autoSpaceDN/>
        <w:adjustRightInd/>
        <w:ind w:left="0"/>
        <w:rPr>
          <w:color w:val="auto"/>
          <w:highlight w:val="yellow"/>
        </w:rPr>
      </w:pPr>
    </w:p>
    <w:p w14:paraId="11953214" w14:textId="464FE3C9" w:rsidR="00436378" w:rsidRPr="00442F26" w:rsidRDefault="00FE79D3" w:rsidP="00F7511A">
      <w:pPr>
        <w:pStyle w:val="ListParagraph"/>
        <w:widowControl/>
        <w:numPr>
          <w:ilvl w:val="1"/>
          <w:numId w:val="49"/>
        </w:numPr>
        <w:autoSpaceDE/>
        <w:autoSpaceDN/>
        <w:adjustRightInd/>
        <w:ind w:left="0" w:firstLine="0"/>
        <w:rPr>
          <w:color w:val="auto"/>
        </w:rPr>
      </w:pPr>
      <w:proofErr w:type="spellStart"/>
      <w:r w:rsidRPr="00442F26">
        <w:rPr>
          <w:color w:val="auto"/>
        </w:rPr>
        <w:t>Cytospin</w:t>
      </w:r>
      <w:proofErr w:type="spellEnd"/>
      <w:r w:rsidRPr="00442F26">
        <w:rPr>
          <w:color w:val="auto"/>
        </w:rPr>
        <w:t xml:space="preserve"> for 5 </w:t>
      </w:r>
      <w:r w:rsidR="00F94D35" w:rsidRPr="00442F26">
        <w:rPr>
          <w:color w:val="auto"/>
        </w:rPr>
        <w:t>min</w:t>
      </w:r>
      <w:r w:rsidR="00436378" w:rsidRPr="00442F26">
        <w:rPr>
          <w:color w:val="auto"/>
        </w:rPr>
        <w:t xml:space="preserve"> at 500</w:t>
      </w:r>
      <w:r w:rsidR="00F7511A" w:rsidRPr="00442F26">
        <w:rPr>
          <w:color w:val="auto"/>
        </w:rPr>
        <w:t xml:space="preserve"> x </w:t>
      </w:r>
      <w:r w:rsidR="00436378" w:rsidRPr="00442F26">
        <w:rPr>
          <w:i/>
          <w:iCs/>
          <w:color w:val="auto"/>
        </w:rPr>
        <w:t>g</w:t>
      </w:r>
      <w:r w:rsidR="00436378" w:rsidRPr="00442F26">
        <w:rPr>
          <w:color w:val="auto"/>
        </w:rPr>
        <w:t xml:space="preserve"> to ensure cells are evenly distributed</w:t>
      </w:r>
      <w:r w:rsidRPr="00442F26">
        <w:rPr>
          <w:color w:val="auto"/>
        </w:rPr>
        <w:t xml:space="preserve"> onto the surface of the slide. </w:t>
      </w:r>
    </w:p>
    <w:p w14:paraId="01E27AF4" w14:textId="77777777" w:rsidR="00F7511A" w:rsidRPr="00442F26" w:rsidRDefault="00F7511A" w:rsidP="00F7511A">
      <w:pPr>
        <w:pStyle w:val="ListParagraph"/>
        <w:widowControl/>
        <w:autoSpaceDE/>
        <w:autoSpaceDN/>
        <w:adjustRightInd/>
        <w:ind w:left="0"/>
        <w:rPr>
          <w:color w:val="auto"/>
        </w:rPr>
      </w:pPr>
    </w:p>
    <w:p w14:paraId="7D62188E" w14:textId="6BA6D13A" w:rsidR="00561587" w:rsidRPr="00442F26" w:rsidRDefault="00561587" w:rsidP="006F7144">
      <w:pPr>
        <w:pStyle w:val="ListParagraph"/>
        <w:widowControl/>
        <w:autoSpaceDE/>
        <w:autoSpaceDN/>
        <w:adjustRightInd/>
        <w:ind w:left="0"/>
        <w:rPr>
          <w:b/>
          <w:bCs/>
          <w:color w:val="auto"/>
        </w:rPr>
      </w:pPr>
      <w:r w:rsidRPr="00442F26">
        <w:rPr>
          <w:b/>
          <w:bCs/>
          <w:color w:val="auto"/>
        </w:rPr>
        <w:t>[Insert Figure 3 here]</w:t>
      </w:r>
    </w:p>
    <w:p w14:paraId="7BB20B6E" w14:textId="6A108C1F" w:rsidR="002700B1" w:rsidRPr="00442F26" w:rsidRDefault="002700B1" w:rsidP="006F7144">
      <w:pPr>
        <w:pStyle w:val="ListParagraph"/>
        <w:widowControl/>
        <w:autoSpaceDE/>
        <w:autoSpaceDN/>
        <w:adjustRightInd/>
        <w:ind w:left="0"/>
        <w:rPr>
          <w:color w:val="auto"/>
        </w:rPr>
      </w:pPr>
    </w:p>
    <w:p w14:paraId="07264464" w14:textId="57872163" w:rsidR="00436378" w:rsidRPr="00442F26" w:rsidRDefault="008E6A05" w:rsidP="00F7511A">
      <w:pPr>
        <w:pStyle w:val="ListParagraph"/>
        <w:widowControl/>
        <w:numPr>
          <w:ilvl w:val="1"/>
          <w:numId w:val="49"/>
        </w:numPr>
        <w:autoSpaceDE/>
        <w:autoSpaceDN/>
        <w:adjustRightInd/>
        <w:ind w:left="0" w:firstLine="0"/>
        <w:rPr>
          <w:color w:val="auto"/>
        </w:rPr>
      </w:pPr>
      <w:r w:rsidRPr="00442F26">
        <w:rPr>
          <w:color w:val="auto"/>
        </w:rPr>
        <w:t>Leave slides to</w:t>
      </w:r>
      <w:r w:rsidR="00FE79D3" w:rsidRPr="00442F26">
        <w:rPr>
          <w:color w:val="auto"/>
        </w:rPr>
        <w:t xml:space="preserve"> air dry before fix</w:t>
      </w:r>
      <w:r w:rsidRPr="00442F26">
        <w:rPr>
          <w:color w:val="auto"/>
        </w:rPr>
        <w:t xml:space="preserve">ation </w:t>
      </w:r>
      <w:r w:rsidR="00FE79D3" w:rsidRPr="00442F26">
        <w:rPr>
          <w:color w:val="auto"/>
        </w:rPr>
        <w:t>in ice-cold, 90% methanol</w:t>
      </w:r>
      <w:r w:rsidRPr="00442F26">
        <w:rPr>
          <w:color w:val="auto"/>
        </w:rPr>
        <w:t xml:space="preserve"> for 10 </w:t>
      </w:r>
      <w:r w:rsidR="00F7511A" w:rsidRPr="00442F26">
        <w:rPr>
          <w:color w:val="auto"/>
        </w:rPr>
        <w:t>min</w:t>
      </w:r>
      <w:r w:rsidR="00FE79D3" w:rsidRPr="00442F26">
        <w:rPr>
          <w:color w:val="auto"/>
        </w:rPr>
        <w:t>.</w:t>
      </w:r>
    </w:p>
    <w:p w14:paraId="5618A230" w14:textId="77777777" w:rsidR="00F7511A" w:rsidRPr="00442F26" w:rsidRDefault="00F7511A" w:rsidP="00F7511A">
      <w:pPr>
        <w:pStyle w:val="ListParagraph"/>
        <w:widowControl/>
        <w:autoSpaceDE/>
        <w:autoSpaceDN/>
        <w:adjustRightInd/>
        <w:ind w:left="0"/>
        <w:rPr>
          <w:color w:val="auto"/>
        </w:rPr>
      </w:pPr>
    </w:p>
    <w:p w14:paraId="3207B4F1" w14:textId="3F21AE15" w:rsidR="00366256" w:rsidRPr="00442F26" w:rsidRDefault="00FE79D3" w:rsidP="00F7511A">
      <w:pPr>
        <w:pStyle w:val="ListParagraph"/>
        <w:widowControl/>
        <w:numPr>
          <w:ilvl w:val="1"/>
          <w:numId w:val="49"/>
        </w:numPr>
        <w:autoSpaceDE/>
        <w:autoSpaceDN/>
        <w:adjustRightInd/>
        <w:ind w:left="0" w:firstLine="0"/>
        <w:rPr>
          <w:color w:val="auto"/>
        </w:rPr>
      </w:pPr>
      <w:r w:rsidRPr="00442F26">
        <w:rPr>
          <w:color w:val="auto"/>
        </w:rPr>
        <w:t>Once fixed,</w:t>
      </w:r>
      <w:r w:rsidR="00725288" w:rsidRPr="00442F26">
        <w:rPr>
          <w:color w:val="auto"/>
        </w:rPr>
        <w:t xml:space="preserve"> leave </w:t>
      </w:r>
      <w:r w:rsidRPr="00442F26">
        <w:rPr>
          <w:color w:val="auto"/>
        </w:rPr>
        <w:t xml:space="preserve">the slides to air dry </w:t>
      </w:r>
      <w:r w:rsidR="00725288" w:rsidRPr="00442F26">
        <w:rPr>
          <w:color w:val="auto"/>
        </w:rPr>
        <w:t xml:space="preserve">overnight </w:t>
      </w:r>
      <w:r w:rsidRPr="00442F26">
        <w:rPr>
          <w:color w:val="auto"/>
        </w:rPr>
        <w:t>at room temperature before stor</w:t>
      </w:r>
      <w:r w:rsidR="00725288" w:rsidRPr="00442F26">
        <w:rPr>
          <w:color w:val="auto"/>
        </w:rPr>
        <w:t>ing</w:t>
      </w:r>
      <w:r w:rsidRPr="00442F26">
        <w:rPr>
          <w:color w:val="auto"/>
        </w:rPr>
        <w:t xml:space="preserve"> at</w:t>
      </w:r>
      <w:r w:rsidR="000A6E4C" w:rsidRPr="00442F26">
        <w:rPr>
          <w:color w:val="auto"/>
        </w:rPr>
        <w:t xml:space="preserve"> -</w:t>
      </w:r>
      <w:r w:rsidRPr="00442F26">
        <w:rPr>
          <w:color w:val="auto"/>
        </w:rPr>
        <w:t>20</w:t>
      </w:r>
      <w:r w:rsidR="008F5004" w:rsidRPr="00442F26">
        <w:rPr>
          <w:color w:val="auto"/>
        </w:rPr>
        <w:t xml:space="preserve"> </w:t>
      </w:r>
      <w:r w:rsidRPr="00442F26">
        <w:rPr>
          <w:color w:val="auto"/>
        </w:rPr>
        <w:t>°C</w:t>
      </w:r>
      <w:r w:rsidR="00436378" w:rsidRPr="00442F26">
        <w:rPr>
          <w:color w:val="auto"/>
        </w:rPr>
        <w:t xml:space="preserve"> for up to 6 months. </w:t>
      </w:r>
    </w:p>
    <w:p w14:paraId="4E847B36" w14:textId="77777777" w:rsidR="008F5004" w:rsidRPr="00442F26" w:rsidRDefault="008F5004" w:rsidP="008F5004">
      <w:pPr>
        <w:pStyle w:val="ListParagraph"/>
        <w:widowControl/>
        <w:autoSpaceDE/>
        <w:autoSpaceDN/>
        <w:adjustRightInd/>
        <w:ind w:left="0"/>
        <w:rPr>
          <w:color w:val="auto"/>
        </w:rPr>
      </w:pPr>
    </w:p>
    <w:p w14:paraId="67B5E628" w14:textId="7E124805" w:rsidR="004C31A0" w:rsidRPr="00442F26" w:rsidRDefault="00D44A98" w:rsidP="00F7511A">
      <w:pPr>
        <w:pStyle w:val="ListParagraph"/>
        <w:widowControl/>
        <w:numPr>
          <w:ilvl w:val="1"/>
          <w:numId w:val="49"/>
        </w:numPr>
        <w:autoSpaceDE/>
        <w:autoSpaceDN/>
        <w:adjustRightInd/>
        <w:ind w:left="0" w:firstLine="0"/>
        <w:rPr>
          <w:color w:val="auto"/>
        </w:rPr>
      </w:pPr>
      <w:r w:rsidRPr="00442F26">
        <w:rPr>
          <w:color w:val="auto"/>
        </w:rPr>
        <w:t>When required, r</w:t>
      </w:r>
      <w:r w:rsidR="00436378" w:rsidRPr="00442F26">
        <w:rPr>
          <w:color w:val="auto"/>
        </w:rPr>
        <w:t xml:space="preserve">emove </w:t>
      </w:r>
      <w:r w:rsidR="000A6E4C" w:rsidRPr="00442F26">
        <w:rPr>
          <w:color w:val="auto"/>
        </w:rPr>
        <w:t xml:space="preserve">the </w:t>
      </w:r>
      <w:r w:rsidR="00405D2F" w:rsidRPr="00442F26">
        <w:rPr>
          <w:color w:val="auto"/>
        </w:rPr>
        <w:t xml:space="preserve">pre-prepared microscope </w:t>
      </w:r>
      <w:r w:rsidR="00436378" w:rsidRPr="00442F26">
        <w:rPr>
          <w:color w:val="auto"/>
        </w:rPr>
        <w:t>slides from -20</w:t>
      </w:r>
      <w:r w:rsidR="008F5004" w:rsidRPr="00442F26">
        <w:rPr>
          <w:color w:val="auto"/>
        </w:rPr>
        <w:t xml:space="preserve"> </w:t>
      </w:r>
      <w:r w:rsidR="00436378" w:rsidRPr="00442F26">
        <w:rPr>
          <w:color w:val="auto"/>
        </w:rPr>
        <w:t xml:space="preserve">°C freezer and allow to </w:t>
      </w:r>
      <w:r w:rsidRPr="00442F26">
        <w:rPr>
          <w:color w:val="auto"/>
        </w:rPr>
        <w:t>warm</w:t>
      </w:r>
      <w:r w:rsidR="00436378" w:rsidRPr="00442F26">
        <w:rPr>
          <w:color w:val="auto"/>
        </w:rPr>
        <w:t xml:space="preserve"> to room temperature</w:t>
      </w:r>
      <w:r w:rsidRPr="00442F26">
        <w:rPr>
          <w:color w:val="auto"/>
        </w:rPr>
        <w:t xml:space="preserve"> before under</w:t>
      </w:r>
      <w:r w:rsidR="00725288" w:rsidRPr="00442F26">
        <w:rPr>
          <w:color w:val="auto"/>
        </w:rPr>
        <w:t>taking</w:t>
      </w:r>
      <w:r w:rsidRPr="00442F26">
        <w:rPr>
          <w:color w:val="auto"/>
        </w:rPr>
        <w:t xml:space="preserve"> Giemsa staining</w:t>
      </w:r>
      <w:r w:rsidR="00436378" w:rsidRPr="00442F26">
        <w:rPr>
          <w:color w:val="auto"/>
        </w:rPr>
        <w:t xml:space="preserve">. </w:t>
      </w:r>
    </w:p>
    <w:p w14:paraId="1E61D8D0" w14:textId="77777777" w:rsidR="008F5004" w:rsidRPr="00442F26" w:rsidRDefault="008F5004" w:rsidP="008F5004">
      <w:pPr>
        <w:pStyle w:val="ListParagraph"/>
        <w:widowControl/>
        <w:autoSpaceDE/>
        <w:autoSpaceDN/>
        <w:adjustRightInd/>
        <w:ind w:left="0"/>
        <w:rPr>
          <w:color w:val="auto"/>
        </w:rPr>
      </w:pPr>
    </w:p>
    <w:p w14:paraId="2486C7D4" w14:textId="172BB09B" w:rsidR="008F5004" w:rsidRPr="00442F26" w:rsidRDefault="00E76315" w:rsidP="006F7144">
      <w:pPr>
        <w:pStyle w:val="ListParagraph"/>
        <w:widowControl/>
        <w:autoSpaceDE/>
        <w:autoSpaceDN/>
        <w:adjustRightInd/>
        <w:ind w:left="0"/>
        <w:rPr>
          <w:color w:val="auto"/>
        </w:rPr>
      </w:pPr>
      <w:r w:rsidRPr="00442F26">
        <w:rPr>
          <w:color w:val="auto"/>
        </w:rPr>
        <w:t xml:space="preserve">CAUTION: </w:t>
      </w:r>
      <w:r w:rsidR="00954FA8" w:rsidRPr="00442F26">
        <w:rPr>
          <w:color w:val="auto"/>
        </w:rPr>
        <w:t xml:space="preserve">According to Regulation (EC) No. 1272/2008 [CLP], </w:t>
      </w:r>
      <w:r w:rsidR="003077A8" w:rsidRPr="00442F26">
        <w:rPr>
          <w:color w:val="auto"/>
        </w:rPr>
        <w:t>Giemsa staining solution is a highly flammable liquid which can be toxic if swallowed</w:t>
      </w:r>
      <w:r w:rsidR="00954FA8" w:rsidRPr="00442F26">
        <w:rPr>
          <w:color w:val="auto"/>
        </w:rPr>
        <w:t xml:space="preserve"> and</w:t>
      </w:r>
      <w:r w:rsidR="003077A8" w:rsidRPr="00442F26">
        <w:rPr>
          <w:color w:val="auto"/>
        </w:rPr>
        <w:t xml:space="preserve"> cause damage </w:t>
      </w:r>
      <w:r w:rsidR="008E0900" w:rsidRPr="00442F26">
        <w:rPr>
          <w:color w:val="auto"/>
        </w:rPr>
        <w:t>on</w:t>
      </w:r>
      <w:r w:rsidR="003077A8" w:rsidRPr="00442F26">
        <w:rPr>
          <w:color w:val="auto"/>
        </w:rPr>
        <w:t xml:space="preserve"> contact with the eyes, </w:t>
      </w:r>
      <w:r w:rsidR="003077A8" w:rsidRPr="00442F26">
        <w:rPr>
          <w:color w:val="auto"/>
        </w:rPr>
        <w:lastRenderedPageBreak/>
        <w:t xml:space="preserve">skin or </w:t>
      </w:r>
      <w:r w:rsidR="00954FA8" w:rsidRPr="00442F26">
        <w:rPr>
          <w:color w:val="auto"/>
        </w:rPr>
        <w:t xml:space="preserve">if </w:t>
      </w:r>
      <w:r w:rsidR="003077A8" w:rsidRPr="00442F26">
        <w:rPr>
          <w:color w:val="auto"/>
        </w:rPr>
        <w:t xml:space="preserve">inhaled. </w:t>
      </w:r>
      <w:r w:rsidR="008E0900" w:rsidRPr="00442F26">
        <w:rPr>
          <w:color w:val="auto"/>
        </w:rPr>
        <w:t>Refer to the associated SDS sheet for detailed storage, handling and health and s</w:t>
      </w:r>
      <w:r w:rsidR="00954FA8" w:rsidRPr="00442F26">
        <w:rPr>
          <w:color w:val="auto"/>
        </w:rPr>
        <w:t xml:space="preserve">afety </w:t>
      </w:r>
      <w:r w:rsidR="008E0900" w:rsidRPr="00442F26">
        <w:rPr>
          <w:color w:val="auto"/>
        </w:rPr>
        <w:t xml:space="preserve">advice on this chemical prior to use. </w:t>
      </w:r>
    </w:p>
    <w:p w14:paraId="0222F2EB" w14:textId="77777777" w:rsidR="008F5004" w:rsidRPr="00442F26" w:rsidRDefault="008F5004" w:rsidP="006F7144">
      <w:pPr>
        <w:pStyle w:val="ListParagraph"/>
        <w:widowControl/>
        <w:autoSpaceDE/>
        <w:autoSpaceDN/>
        <w:adjustRightInd/>
        <w:ind w:left="0"/>
        <w:rPr>
          <w:color w:val="auto"/>
        </w:rPr>
      </w:pPr>
    </w:p>
    <w:p w14:paraId="1CA0853A" w14:textId="158D510E" w:rsidR="00436378" w:rsidRPr="00442F26" w:rsidRDefault="00405D2F" w:rsidP="00F7511A">
      <w:pPr>
        <w:pStyle w:val="ListParagraph"/>
        <w:widowControl/>
        <w:numPr>
          <w:ilvl w:val="1"/>
          <w:numId w:val="49"/>
        </w:numPr>
        <w:autoSpaceDE/>
        <w:autoSpaceDN/>
        <w:adjustRightInd/>
        <w:ind w:left="0" w:firstLine="0"/>
        <w:rPr>
          <w:color w:val="auto"/>
          <w:highlight w:val="yellow"/>
        </w:rPr>
      </w:pPr>
      <w:r w:rsidRPr="00442F26">
        <w:rPr>
          <w:color w:val="auto"/>
          <w:highlight w:val="yellow"/>
        </w:rPr>
        <w:t>Whilst the slides are defrosting, prepare a 20% Giemsa staining solution</w:t>
      </w:r>
      <w:r w:rsidR="00D44A98" w:rsidRPr="00442F26">
        <w:rPr>
          <w:color w:val="auto"/>
          <w:highlight w:val="yellow"/>
        </w:rPr>
        <w:t xml:space="preserve"> (25</w:t>
      </w:r>
      <w:r w:rsidR="008F5004" w:rsidRPr="00442F26">
        <w:rPr>
          <w:color w:val="auto"/>
          <w:highlight w:val="yellow"/>
        </w:rPr>
        <w:t xml:space="preserve"> </w:t>
      </w:r>
      <w:r w:rsidR="00DA2F20" w:rsidRPr="00442F26">
        <w:rPr>
          <w:color w:val="auto"/>
          <w:highlight w:val="yellow"/>
        </w:rPr>
        <w:t>mL</w:t>
      </w:r>
      <w:r w:rsidR="00D44A98" w:rsidRPr="00442F26">
        <w:rPr>
          <w:color w:val="auto"/>
          <w:highlight w:val="yellow"/>
        </w:rPr>
        <w:t xml:space="preserve"> </w:t>
      </w:r>
      <w:r w:rsidR="003A06D9" w:rsidRPr="00442F26">
        <w:rPr>
          <w:color w:val="auto"/>
          <w:highlight w:val="yellow"/>
        </w:rPr>
        <w:t xml:space="preserve">required </w:t>
      </w:r>
      <w:r w:rsidR="00D44A98" w:rsidRPr="00442F26">
        <w:rPr>
          <w:color w:val="auto"/>
          <w:highlight w:val="yellow"/>
        </w:rPr>
        <w:t xml:space="preserve">to stain ~30 slides) </w:t>
      </w:r>
      <w:r w:rsidR="003A06D9" w:rsidRPr="00442F26">
        <w:rPr>
          <w:color w:val="auto"/>
          <w:highlight w:val="yellow"/>
        </w:rPr>
        <w:t>diluted in phosphatase buffer (pH 6.8). Mix thoroughly by gently swirling the solution before filtering using folded filter paper placed in a funnel.</w:t>
      </w:r>
      <w:r w:rsidR="00725AEE" w:rsidRPr="00442F26">
        <w:rPr>
          <w:color w:val="auto"/>
          <w:highlight w:val="yellow"/>
        </w:rPr>
        <w:t xml:space="preserve"> </w:t>
      </w:r>
    </w:p>
    <w:p w14:paraId="1CE1CCF3" w14:textId="77777777" w:rsidR="008F5004" w:rsidRPr="00442F26" w:rsidRDefault="008F5004" w:rsidP="008F5004">
      <w:pPr>
        <w:pStyle w:val="ListParagraph"/>
        <w:widowControl/>
        <w:autoSpaceDE/>
        <w:autoSpaceDN/>
        <w:adjustRightInd/>
        <w:ind w:left="0"/>
        <w:rPr>
          <w:color w:val="auto"/>
          <w:highlight w:val="yellow"/>
        </w:rPr>
      </w:pPr>
    </w:p>
    <w:p w14:paraId="63061A3D" w14:textId="422B91B3" w:rsidR="003A06D9" w:rsidRPr="00442F26" w:rsidRDefault="003A06D9" w:rsidP="00F7511A">
      <w:pPr>
        <w:pStyle w:val="ListParagraph"/>
        <w:widowControl/>
        <w:numPr>
          <w:ilvl w:val="1"/>
          <w:numId w:val="49"/>
        </w:numPr>
        <w:autoSpaceDE/>
        <w:autoSpaceDN/>
        <w:adjustRightInd/>
        <w:ind w:left="0" w:firstLine="0"/>
        <w:rPr>
          <w:color w:val="auto"/>
          <w:highlight w:val="yellow"/>
        </w:rPr>
      </w:pPr>
      <w:r w:rsidRPr="00442F26">
        <w:rPr>
          <w:color w:val="auto"/>
          <w:highlight w:val="yellow"/>
        </w:rPr>
        <w:t xml:space="preserve">Using a Pasteur pipette, add 3 – 5 drops of filtered Giemsa solution to the </w:t>
      </w:r>
      <w:proofErr w:type="spellStart"/>
      <w:r w:rsidRPr="00442F26">
        <w:rPr>
          <w:color w:val="auto"/>
          <w:highlight w:val="yellow"/>
        </w:rPr>
        <w:t>cytodot</w:t>
      </w:r>
      <w:proofErr w:type="spellEnd"/>
      <w:r w:rsidRPr="00442F26">
        <w:rPr>
          <w:color w:val="auto"/>
          <w:highlight w:val="yellow"/>
        </w:rPr>
        <w:t xml:space="preserve"> on each slide and leave for 8 – 10 </w:t>
      </w:r>
      <w:r w:rsidR="00F94D35" w:rsidRPr="00442F26">
        <w:rPr>
          <w:color w:val="auto"/>
          <w:highlight w:val="yellow"/>
        </w:rPr>
        <w:t>min</w:t>
      </w:r>
      <w:r w:rsidRPr="00442F26">
        <w:rPr>
          <w:color w:val="auto"/>
          <w:highlight w:val="yellow"/>
        </w:rPr>
        <w:t>.</w:t>
      </w:r>
    </w:p>
    <w:p w14:paraId="1C8151B4" w14:textId="77777777" w:rsidR="008F5004" w:rsidRPr="00442F26" w:rsidRDefault="008F5004" w:rsidP="008F5004">
      <w:pPr>
        <w:pStyle w:val="ListParagraph"/>
        <w:widowControl/>
        <w:autoSpaceDE/>
        <w:autoSpaceDN/>
        <w:adjustRightInd/>
        <w:ind w:left="0"/>
        <w:rPr>
          <w:color w:val="auto"/>
          <w:highlight w:val="yellow"/>
        </w:rPr>
      </w:pPr>
    </w:p>
    <w:p w14:paraId="0B3FE42C" w14:textId="182EC325" w:rsidR="008E6A05" w:rsidRPr="00442F26" w:rsidRDefault="00725288" w:rsidP="008F5004">
      <w:pPr>
        <w:pStyle w:val="ListParagraph"/>
        <w:widowControl/>
        <w:numPr>
          <w:ilvl w:val="1"/>
          <w:numId w:val="49"/>
        </w:numPr>
        <w:autoSpaceDE/>
        <w:autoSpaceDN/>
        <w:adjustRightInd/>
        <w:ind w:left="0" w:firstLine="0"/>
        <w:rPr>
          <w:color w:val="auto"/>
          <w:highlight w:val="yellow"/>
        </w:rPr>
      </w:pPr>
      <w:r w:rsidRPr="00442F26">
        <w:rPr>
          <w:color w:val="auto"/>
          <w:highlight w:val="yellow"/>
        </w:rPr>
        <w:t>Wash slides</w:t>
      </w:r>
      <w:r w:rsidR="003A06D9" w:rsidRPr="00442F26">
        <w:rPr>
          <w:color w:val="auto"/>
          <w:highlight w:val="yellow"/>
        </w:rPr>
        <w:t xml:space="preserve"> in two successive phosphatase buffer washes</w:t>
      </w:r>
      <w:r w:rsidR="008E6A05" w:rsidRPr="00442F26">
        <w:rPr>
          <w:color w:val="auto"/>
          <w:highlight w:val="yellow"/>
        </w:rPr>
        <w:t xml:space="preserve"> bef</w:t>
      </w:r>
      <w:r w:rsidR="003A06D9" w:rsidRPr="00442F26">
        <w:rPr>
          <w:color w:val="auto"/>
          <w:highlight w:val="yellow"/>
        </w:rPr>
        <w:t xml:space="preserve">ore briefly </w:t>
      </w:r>
      <w:r w:rsidRPr="00442F26">
        <w:rPr>
          <w:color w:val="auto"/>
          <w:highlight w:val="yellow"/>
        </w:rPr>
        <w:t xml:space="preserve">rinsing </w:t>
      </w:r>
      <w:r w:rsidR="003A06D9" w:rsidRPr="00442F26">
        <w:rPr>
          <w:color w:val="auto"/>
          <w:highlight w:val="yellow"/>
        </w:rPr>
        <w:t xml:space="preserve">under cold water to remove </w:t>
      </w:r>
      <w:r w:rsidR="008E6A05" w:rsidRPr="00442F26">
        <w:rPr>
          <w:color w:val="auto"/>
          <w:highlight w:val="yellow"/>
        </w:rPr>
        <w:t>any</w:t>
      </w:r>
      <w:r w:rsidR="003A06D9" w:rsidRPr="00442F26">
        <w:rPr>
          <w:color w:val="auto"/>
          <w:highlight w:val="yellow"/>
        </w:rPr>
        <w:t xml:space="preserve"> excess stain left</w:t>
      </w:r>
      <w:r w:rsidR="008E6A05" w:rsidRPr="00442F26">
        <w:rPr>
          <w:color w:val="auto"/>
          <w:highlight w:val="yellow"/>
        </w:rPr>
        <w:t>over</w:t>
      </w:r>
      <w:r w:rsidR="003A06D9" w:rsidRPr="00442F26">
        <w:rPr>
          <w:color w:val="auto"/>
          <w:highlight w:val="yellow"/>
        </w:rPr>
        <w:t xml:space="preserve">. </w:t>
      </w:r>
      <w:r w:rsidR="008E6A05" w:rsidRPr="00442F26">
        <w:rPr>
          <w:color w:val="auto"/>
          <w:highlight w:val="yellow"/>
        </w:rPr>
        <w:t xml:space="preserve">Leave slides </w:t>
      </w:r>
      <w:r w:rsidR="003A06D9" w:rsidRPr="00442F26">
        <w:rPr>
          <w:color w:val="auto"/>
          <w:highlight w:val="yellow"/>
        </w:rPr>
        <w:t>to air dry</w:t>
      </w:r>
      <w:r w:rsidR="008E6A05" w:rsidRPr="00442F26">
        <w:rPr>
          <w:color w:val="auto"/>
          <w:highlight w:val="yellow"/>
        </w:rPr>
        <w:t>.</w:t>
      </w:r>
    </w:p>
    <w:p w14:paraId="5088701F" w14:textId="77777777" w:rsidR="008F5004" w:rsidRPr="00442F26" w:rsidRDefault="008F5004" w:rsidP="008F5004">
      <w:pPr>
        <w:pStyle w:val="ListParagraph"/>
        <w:widowControl/>
        <w:autoSpaceDE/>
        <w:autoSpaceDN/>
        <w:adjustRightInd/>
        <w:ind w:left="0"/>
        <w:rPr>
          <w:color w:val="auto"/>
          <w:highlight w:val="yellow"/>
        </w:rPr>
      </w:pPr>
    </w:p>
    <w:p w14:paraId="326557E3" w14:textId="19D47DEF" w:rsidR="00725288" w:rsidRPr="00442F26" w:rsidRDefault="008E6A05" w:rsidP="00F7511A">
      <w:pPr>
        <w:pStyle w:val="ListParagraph"/>
        <w:widowControl/>
        <w:numPr>
          <w:ilvl w:val="1"/>
          <w:numId w:val="49"/>
        </w:numPr>
        <w:autoSpaceDE/>
        <w:autoSpaceDN/>
        <w:adjustRightInd/>
        <w:ind w:left="0" w:firstLine="0"/>
        <w:rPr>
          <w:color w:val="auto"/>
        </w:rPr>
      </w:pPr>
      <w:r w:rsidRPr="00442F26">
        <w:rPr>
          <w:color w:val="auto"/>
        </w:rPr>
        <w:t xml:space="preserve">Once dry, </w:t>
      </w:r>
      <w:r w:rsidR="00725288" w:rsidRPr="00442F26">
        <w:rPr>
          <w:color w:val="auto"/>
        </w:rPr>
        <w:t>in a fume hood</w:t>
      </w:r>
      <w:r w:rsidR="003F5386" w:rsidRPr="00442F26">
        <w:rPr>
          <w:color w:val="auto"/>
        </w:rPr>
        <w:t>,</w:t>
      </w:r>
      <w:r w:rsidRPr="00442F26">
        <w:rPr>
          <w:color w:val="auto"/>
        </w:rPr>
        <w:t xml:space="preserve"> dip </w:t>
      </w:r>
      <w:r w:rsidR="00725288" w:rsidRPr="00442F26">
        <w:rPr>
          <w:color w:val="auto"/>
        </w:rPr>
        <w:t xml:space="preserve">stained slides </w:t>
      </w:r>
      <w:r w:rsidRPr="00442F26">
        <w:rPr>
          <w:color w:val="auto"/>
        </w:rPr>
        <w:t>in</w:t>
      </w:r>
      <w:r w:rsidR="00725288" w:rsidRPr="00442F26">
        <w:rPr>
          <w:color w:val="auto"/>
        </w:rPr>
        <w:t xml:space="preserve"> </w:t>
      </w:r>
      <w:r w:rsidR="008F5004" w:rsidRPr="00442F26">
        <w:rPr>
          <w:color w:val="auto"/>
        </w:rPr>
        <w:t>x</w:t>
      </w:r>
      <w:r w:rsidR="00725288" w:rsidRPr="00442F26">
        <w:rPr>
          <w:color w:val="auto"/>
        </w:rPr>
        <w:t xml:space="preserve">ylene for 10 </w:t>
      </w:r>
      <w:r w:rsidR="008F5004" w:rsidRPr="00442F26">
        <w:rPr>
          <w:color w:val="auto"/>
        </w:rPr>
        <w:t>s</w:t>
      </w:r>
      <w:r w:rsidR="00725288" w:rsidRPr="00442F26">
        <w:rPr>
          <w:color w:val="auto"/>
        </w:rPr>
        <w:t xml:space="preserve"> before adding a drop of mounting medium to the cent</w:t>
      </w:r>
      <w:r w:rsidR="008F5004" w:rsidRPr="00442F26">
        <w:rPr>
          <w:color w:val="auto"/>
        </w:rPr>
        <w:t>er</w:t>
      </w:r>
      <w:r w:rsidR="00725288" w:rsidRPr="00442F26">
        <w:rPr>
          <w:color w:val="auto"/>
        </w:rPr>
        <w:t xml:space="preserve"> of the </w:t>
      </w:r>
      <w:proofErr w:type="spellStart"/>
      <w:r w:rsidR="00725288" w:rsidRPr="00442F26">
        <w:rPr>
          <w:color w:val="auto"/>
        </w:rPr>
        <w:t>cytodot</w:t>
      </w:r>
      <w:proofErr w:type="spellEnd"/>
      <w:r w:rsidR="00725288" w:rsidRPr="00442F26">
        <w:rPr>
          <w:color w:val="auto"/>
        </w:rPr>
        <w:t xml:space="preserve"> and a </w:t>
      </w:r>
      <w:r w:rsidR="003F5386" w:rsidRPr="00442F26">
        <w:rPr>
          <w:color w:val="auto"/>
        </w:rPr>
        <w:t xml:space="preserve">place a </w:t>
      </w:r>
      <w:r w:rsidR="00725288" w:rsidRPr="00442F26">
        <w:rPr>
          <w:color w:val="auto"/>
        </w:rPr>
        <w:t xml:space="preserve">glass coverslip on top. </w:t>
      </w:r>
    </w:p>
    <w:p w14:paraId="57B3EDD9" w14:textId="77777777" w:rsidR="008F5004" w:rsidRPr="00442F26" w:rsidRDefault="008F5004" w:rsidP="008F5004">
      <w:pPr>
        <w:pStyle w:val="ListParagraph"/>
        <w:widowControl/>
        <w:autoSpaceDE/>
        <w:autoSpaceDN/>
        <w:adjustRightInd/>
        <w:ind w:left="0"/>
        <w:rPr>
          <w:color w:val="auto"/>
        </w:rPr>
      </w:pPr>
    </w:p>
    <w:p w14:paraId="486C7D16" w14:textId="1DA0A9AD" w:rsidR="00725288" w:rsidRPr="00442F26" w:rsidRDefault="00725288" w:rsidP="00F7511A">
      <w:pPr>
        <w:pStyle w:val="ListParagraph"/>
        <w:widowControl/>
        <w:numPr>
          <w:ilvl w:val="1"/>
          <w:numId w:val="49"/>
        </w:numPr>
        <w:autoSpaceDE/>
        <w:autoSpaceDN/>
        <w:adjustRightInd/>
        <w:ind w:left="0" w:firstLine="0"/>
        <w:rPr>
          <w:color w:val="auto"/>
        </w:rPr>
      </w:pPr>
      <w:r w:rsidRPr="00442F26">
        <w:rPr>
          <w:color w:val="auto"/>
        </w:rPr>
        <w:t>Leave microscope slides in the fume hood overnight to dry before</w:t>
      </w:r>
      <w:r w:rsidR="003F5386" w:rsidRPr="00442F26">
        <w:rPr>
          <w:color w:val="auto"/>
        </w:rPr>
        <w:t xml:space="preserve"> </w:t>
      </w:r>
      <w:r w:rsidR="00ED3EC6" w:rsidRPr="00442F26">
        <w:rPr>
          <w:color w:val="auto"/>
        </w:rPr>
        <w:t xml:space="preserve">manual </w:t>
      </w:r>
      <w:r w:rsidR="003F5386" w:rsidRPr="00442F26">
        <w:rPr>
          <w:color w:val="auto"/>
        </w:rPr>
        <w:t>scoring</w:t>
      </w:r>
      <w:r w:rsidR="00ED3EC6" w:rsidRPr="00442F26">
        <w:rPr>
          <w:color w:val="auto"/>
        </w:rPr>
        <w:t xml:space="preserve">; </w:t>
      </w:r>
      <w:r w:rsidRPr="00442F26">
        <w:rPr>
          <w:color w:val="auto"/>
        </w:rPr>
        <w:t xml:space="preserve">they can be stored indefinitely at room temperature. </w:t>
      </w:r>
    </w:p>
    <w:p w14:paraId="35277BD0" w14:textId="46CFAB95" w:rsidR="0052120F" w:rsidRPr="00442F26" w:rsidRDefault="0052120F" w:rsidP="006F7144">
      <w:pPr>
        <w:pStyle w:val="ListParagraph"/>
        <w:widowControl/>
        <w:autoSpaceDE/>
        <w:autoSpaceDN/>
        <w:adjustRightInd/>
        <w:ind w:left="0"/>
        <w:rPr>
          <w:color w:val="auto"/>
        </w:rPr>
      </w:pPr>
    </w:p>
    <w:p w14:paraId="497CC9DB" w14:textId="4766FEBB" w:rsidR="0052120F" w:rsidRPr="00442F26" w:rsidRDefault="0052120F" w:rsidP="00F7511A">
      <w:pPr>
        <w:pStyle w:val="ListParagraph"/>
        <w:widowControl/>
        <w:numPr>
          <w:ilvl w:val="0"/>
          <w:numId w:val="49"/>
        </w:numPr>
        <w:autoSpaceDE/>
        <w:autoSpaceDN/>
        <w:adjustRightInd/>
        <w:ind w:left="0" w:firstLine="0"/>
        <w:rPr>
          <w:b/>
          <w:bCs/>
          <w:color w:val="auto"/>
        </w:rPr>
      </w:pPr>
      <w:r w:rsidRPr="00442F26">
        <w:rPr>
          <w:b/>
          <w:bCs/>
          <w:color w:val="auto"/>
        </w:rPr>
        <w:t xml:space="preserve">Data </w:t>
      </w:r>
      <w:r w:rsidR="008F5004" w:rsidRPr="00442F26">
        <w:rPr>
          <w:b/>
          <w:bCs/>
          <w:color w:val="auto"/>
        </w:rPr>
        <w:t>a</w:t>
      </w:r>
      <w:r w:rsidRPr="00442F26">
        <w:rPr>
          <w:b/>
          <w:bCs/>
          <w:color w:val="auto"/>
        </w:rPr>
        <w:t>nalysis</w:t>
      </w:r>
    </w:p>
    <w:p w14:paraId="7C600B45" w14:textId="3BC7EE73" w:rsidR="000D351A" w:rsidRPr="00442F26" w:rsidRDefault="000D351A" w:rsidP="006F7144">
      <w:pPr>
        <w:pStyle w:val="ListParagraph"/>
        <w:widowControl/>
        <w:autoSpaceDE/>
        <w:autoSpaceDN/>
        <w:adjustRightInd/>
        <w:ind w:left="0"/>
        <w:rPr>
          <w:b/>
          <w:bCs/>
          <w:color w:val="auto"/>
        </w:rPr>
      </w:pPr>
    </w:p>
    <w:p w14:paraId="637A6981" w14:textId="131272E7" w:rsidR="006E44DA" w:rsidRPr="00442F26" w:rsidRDefault="00AE5DBB" w:rsidP="00F7511A">
      <w:pPr>
        <w:pStyle w:val="ListParagraph"/>
        <w:widowControl/>
        <w:numPr>
          <w:ilvl w:val="1"/>
          <w:numId w:val="49"/>
        </w:numPr>
        <w:autoSpaceDE/>
        <w:autoSpaceDN/>
        <w:adjustRightInd/>
        <w:ind w:left="0" w:firstLine="0"/>
        <w:rPr>
          <w:color w:val="auto"/>
        </w:rPr>
      </w:pPr>
      <w:r w:rsidRPr="00442F26">
        <w:rPr>
          <w:color w:val="auto"/>
        </w:rPr>
        <w:t>As described in the OECD Test Guidelines 487 (2014)</w:t>
      </w:r>
      <w:r w:rsidR="0055746F" w:rsidRPr="00442F26">
        <w:rPr>
          <w:color w:val="auto"/>
          <w:vertAlign w:val="superscript"/>
        </w:rPr>
        <w:t>1</w:t>
      </w:r>
      <w:r w:rsidR="006E3BDB" w:rsidRPr="00442F26">
        <w:rPr>
          <w:color w:val="auto"/>
          <w:vertAlign w:val="superscript"/>
        </w:rPr>
        <w:t>1</w:t>
      </w:r>
      <w:r w:rsidRPr="00442F26">
        <w:rPr>
          <w:color w:val="auto"/>
        </w:rPr>
        <w:t>, t</w:t>
      </w:r>
      <w:r w:rsidR="00725288" w:rsidRPr="00442F26">
        <w:rPr>
          <w:color w:val="auto"/>
        </w:rPr>
        <w:t xml:space="preserve">o assess and quantify DNA damage induced as a result </w:t>
      </w:r>
      <w:r w:rsidR="009F4CA9" w:rsidRPr="00442F26">
        <w:rPr>
          <w:color w:val="auto"/>
        </w:rPr>
        <w:t>of</w:t>
      </w:r>
      <w:r w:rsidR="00725288" w:rsidRPr="00442F26">
        <w:rPr>
          <w:color w:val="auto"/>
        </w:rPr>
        <w:t xml:space="preserve"> exposure </w:t>
      </w:r>
      <w:r w:rsidR="009F4CA9" w:rsidRPr="00442F26">
        <w:rPr>
          <w:color w:val="auto"/>
        </w:rPr>
        <w:t>to</w:t>
      </w:r>
      <w:r w:rsidR="00725288" w:rsidRPr="00442F26">
        <w:rPr>
          <w:color w:val="auto"/>
        </w:rPr>
        <w:t xml:space="preserve"> </w:t>
      </w:r>
      <w:r w:rsidR="00DC047B" w:rsidRPr="00442F26">
        <w:rPr>
          <w:color w:val="auto"/>
        </w:rPr>
        <w:t>an</w:t>
      </w:r>
      <w:r w:rsidR="00725288" w:rsidRPr="00442F26">
        <w:rPr>
          <w:color w:val="auto"/>
        </w:rPr>
        <w:t xml:space="preserve"> ENM or chemical agent</w:t>
      </w:r>
      <w:r w:rsidR="00DC047B" w:rsidRPr="00442F26">
        <w:rPr>
          <w:color w:val="auto"/>
        </w:rPr>
        <w:t xml:space="preserve">, </w:t>
      </w:r>
      <w:r w:rsidR="008F5004" w:rsidRPr="00442F26">
        <w:rPr>
          <w:color w:val="auto"/>
        </w:rPr>
        <w:t>use</w:t>
      </w:r>
      <w:r w:rsidR="006E44DA" w:rsidRPr="00442F26">
        <w:rPr>
          <w:color w:val="auto"/>
        </w:rPr>
        <w:t xml:space="preserve"> a light microscope</w:t>
      </w:r>
      <w:r w:rsidR="00ED3EC6" w:rsidRPr="00442F26">
        <w:rPr>
          <w:color w:val="auto"/>
        </w:rPr>
        <w:t xml:space="preserve"> (100</w:t>
      </w:r>
      <w:r w:rsidR="008F5004" w:rsidRPr="00442F26">
        <w:rPr>
          <w:color w:val="auto"/>
        </w:rPr>
        <w:t>x</w:t>
      </w:r>
      <w:r w:rsidR="00ED3EC6" w:rsidRPr="00442F26">
        <w:rPr>
          <w:color w:val="auto"/>
        </w:rPr>
        <w:t xml:space="preserve"> objective with immersion oil) </w:t>
      </w:r>
      <w:r w:rsidR="000E12C4" w:rsidRPr="00442F26">
        <w:rPr>
          <w:color w:val="auto"/>
        </w:rPr>
        <w:t xml:space="preserve">2000 mononucleated or </w:t>
      </w:r>
      <w:r w:rsidR="00DC047B" w:rsidRPr="00442F26">
        <w:rPr>
          <w:color w:val="auto"/>
        </w:rPr>
        <w:t>1000 binucleated cells</w:t>
      </w:r>
      <w:r w:rsidR="006E44DA" w:rsidRPr="00442F26">
        <w:rPr>
          <w:color w:val="auto"/>
        </w:rPr>
        <w:t xml:space="preserve"> per biological replicate </w:t>
      </w:r>
      <w:r w:rsidR="008F5004" w:rsidRPr="00442F26">
        <w:rPr>
          <w:color w:val="auto"/>
        </w:rPr>
        <w:t>to score</w:t>
      </w:r>
      <w:r w:rsidR="006E44DA" w:rsidRPr="00442F26">
        <w:rPr>
          <w:color w:val="auto"/>
        </w:rPr>
        <w:t xml:space="preserve"> for </w:t>
      </w:r>
      <w:r w:rsidR="004D68CC" w:rsidRPr="00442F26">
        <w:rPr>
          <w:color w:val="auto"/>
        </w:rPr>
        <w:t xml:space="preserve">the </w:t>
      </w:r>
      <w:r w:rsidR="006E44DA" w:rsidRPr="00442F26">
        <w:rPr>
          <w:color w:val="auto"/>
        </w:rPr>
        <w:t xml:space="preserve">presence of micronuclei, as shown in </w:t>
      </w:r>
      <w:r w:rsidR="006E44DA" w:rsidRPr="00442F26">
        <w:rPr>
          <w:b/>
          <w:bCs/>
          <w:color w:val="auto"/>
        </w:rPr>
        <w:t xml:space="preserve">Figure </w:t>
      </w:r>
      <w:r w:rsidRPr="00442F26">
        <w:rPr>
          <w:b/>
          <w:bCs/>
          <w:color w:val="auto"/>
        </w:rPr>
        <w:t>4</w:t>
      </w:r>
      <w:r w:rsidR="006E44DA" w:rsidRPr="00442F26">
        <w:rPr>
          <w:color w:val="auto"/>
        </w:rPr>
        <w:t xml:space="preserve">. </w:t>
      </w:r>
    </w:p>
    <w:p w14:paraId="5E2F2CCB" w14:textId="51F4AC9E" w:rsidR="000D351A" w:rsidRPr="00442F26" w:rsidRDefault="000D351A" w:rsidP="006F7144">
      <w:pPr>
        <w:pStyle w:val="ListParagraph"/>
        <w:widowControl/>
        <w:autoSpaceDE/>
        <w:autoSpaceDN/>
        <w:adjustRightInd/>
        <w:ind w:left="0"/>
        <w:rPr>
          <w:color w:val="auto"/>
        </w:rPr>
      </w:pPr>
    </w:p>
    <w:p w14:paraId="2B284BE0" w14:textId="3EC3A759" w:rsidR="000D351A" w:rsidRPr="00442F26" w:rsidRDefault="000D351A" w:rsidP="006F7144">
      <w:pPr>
        <w:pStyle w:val="ListParagraph"/>
        <w:widowControl/>
        <w:autoSpaceDE/>
        <w:autoSpaceDN/>
        <w:adjustRightInd/>
        <w:ind w:left="0"/>
        <w:rPr>
          <w:b/>
          <w:bCs/>
          <w:color w:val="auto"/>
        </w:rPr>
      </w:pPr>
      <w:r w:rsidRPr="00442F26">
        <w:rPr>
          <w:b/>
          <w:bCs/>
          <w:color w:val="auto"/>
        </w:rPr>
        <w:t>[Insert Figure 4 here]</w:t>
      </w:r>
    </w:p>
    <w:p w14:paraId="020594C0" w14:textId="04C06E25" w:rsidR="000D351A" w:rsidRPr="00442F26" w:rsidRDefault="000D351A" w:rsidP="006F7144">
      <w:pPr>
        <w:pStyle w:val="ListParagraph"/>
        <w:widowControl/>
        <w:autoSpaceDE/>
        <w:autoSpaceDN/>
        <w:adjustRightInd/>
        <w:ind w:left="0"/>
        <w:rPr>
          <w:b/>
          <w:bCs/>
          <w:color w:val="auto"/>
        </w:rPr>
      </w:pPr>
    </w:p>
    <w:p w14:paraId="7D5DB430" w14:textId="7A461607" w:rsidR="006E44DA" w:rsidRPr="00442F26" w:rsidRDefault="006E44DA" w:rsidP="00F7511A">
      <w:pPr>
        <w:pStyle w:val="ListParagraph"/>
        <w:widowControl/>
        <w:numPr>
          <w:ilvl w:val="1"/>
          <w:numId w:val="49"/>
        </w:numPr>
        <w:autoSpaceDE/>
        <w:autoSpaceDN/>
        <w:adjustRightInd/>
        <w:ind w:left="0" w:firstLine="0"/>
        <w:rPr>
          <w:color w:val="auto"/>
        </w:rPr>
      </w:pPr>
      <w:r w:rsidRPr="00442F26">
        <w:rPr>
          <w:color w:val="auto"/>
        </w:rPr>
        <w:t xml:space="preserve">Based on the proportion of micronuclei present per number of </w:t>
      </w:r>
      <w:r w:rsidR="000E12C4" w:rsidRPr="00442F26">
        <w:rPr>
          <w:color w:val="auto"/>
        </w:rPr>
        <w:t xml:space="preserve">mononucleated or </w:t>
      </w:r>
      <w:r w:rsidRPr="00442F26">
        <w:rPr>
          <w:color w:val="auto"/>
        </w:rPr>
        <w:t xml:space="preserve">binucleated cells scored, </w:t>
      </w:r>
      <w:r w:rsidR="008F5004" w:rsidRPr="00442F26">
        <w:rPr>
          <w:color w:val="auto"/>
        </w:rPr>
        <w:t xml:space="preserve">calculate </w:t>
      </w:r>
      <w:r w:rsidR="000E12C4" w:rsidRPr="00442F26">
        <w:rPr>
          <w:color w:val="auto"/>
        </w:rPr>
        <w:t xml:space="preserve">a percentage </w:t>
      </w:r>
      <w:r w:rsidR="008F5004" w:rsidRPr="00442F26">
        <w:rPr>
          <w:color w:val="auto"/>
        </w:rPr>
        <w:t xml:space="preserve">of </w:t>
      </w:r>
      <w:r w:rsidR="000E12C4" w:rsidRPr="00442F26">
        <w:rPr>
          <w:color w:val="auto"/>
        </w:rPr>
        <w:t>genotoxicity value.</w:t>
      </w:r>
    </w:p>
    <w:p w14:paraId="11F92744" w14:textId="77777777" w:rsidR="008F5004" w:rsidRPr="00442F26" w:rsidRDefault="008F5004" w:rsidP="008F5004">
      <w:pPr>
        <w:pStyle w:val="ListParagraph"/>
        <w:widowControl/>
        <w:autoSpaceDE/>
        <w:autoSpaceDN/>
        <w:adjustRightInd/>
        <w:ind w:left="0"/>
        <w:rPr>
          <w:color w:val="auto"/>
        </w:rPr>
      </w:pPr>
    </w:p>
    <w:p w14:paraId="72C7CE41" w14:textId="1DC6EE9C" w:rsidR="00AC6BD5" w:rsidRPr="00442F26" w:rsidRDefault="000E12C4" w:rsidP="00F7511A">
      <w:pPr>
        <w:pStyle w:val="ListParagraph"/>
        <w:widowControl/>
        <w:numPr>
          <w:ilvl w:val="1"/>
          <w:numId w:val="49"/>
        </w:numPr>
        <w:autoSpaceDE/>
        <w:autoSpaceDN/>
        <w:adjustRightInd/>
        <w:ind w:left="0" w:firstLine="0"/>
        <w:rPr>
          <w:color w:val="auto"/>
        </w:rPr>
      </w:pPr>
      <w:r w:rsidRPr="00442F26">
        <w:rPr>
          <w:color w:val="auto"/>
        </w:rPr>
        <w:t>In order to assess the DNA damage observed is not as a result of cell debris cause</w:t>
      </w:r>
      <w:r w:rsidR="009B498C" w:rsidRPr="00442F26">
        <w:rPr>
          <w:color w:val="auto"/>
        </w:rPr>
        <w:t>d</w:t>
      </w:r>
      <w:r w:rsidRPr="00442F26">
        <w:rPr>
          <w:color w:val="auto"/>
        </w:rPr>
        <w:t xml:space="preserve"> by a high proportion of apoptotic cells, </w:t>
      </w:r>
      <w:r w:rsidR="008F5004" w:rsidRPr="00442F26">
        <w:rPr>
          <w:color w:val="auto"/>
        </w:rPr>
        <w:t xml:space="preserve">take </w:t>
      </w:r>
      <w:r w:rsidR="009B498C" w:rsidRPr="00442F26">
        <w:rPr>
          <w:color w:val="auto"/>
        </w:rPr>
        <w:t xml:space="preserve">a measure of cytotoxicity alongside. In this case, depending on the presence of Cytochalasin B, </w:t>
      </w:r>
      <w:r w:rsidR="008F5004" w:rsidRPr="00442F26">
        <w:rPr>
          <w:color w:val="auto"/>
        </w:rPr>
        <w:t xml:space="preserve">use </w:t>
      </w:r>
      <w:r w:rsidR="009B498C" w:rsidRPr="00442F26">
        <w:rPr>
          <w:color w:val="auto"/>
        </w:rPr>
        <w:t xml:space="preserve">either CPBI or RVCC calculation (as described in </w:t>
      </w:r>
      <w:r w:rsidR="009B498C" w:rsidRPr="00442F26">
        <w:rPr>
          <w:b/>
          <w:bCs/>
          <w:color w:val="auto"/>
        </w:rPr>
        <w:t xml:space="preserve">Figure </w:t>
      </w:r>
      <w:r w:rsidR="00AE5DBB" w:rsidRPr="00442F26">
        <w:rPr>
          <w:b/>
          <w:bCs/>
          <w:color w:val="auto"/>
        </w:rPr>
        <w:t>4</w:t>
      </w:r>
      <w:r w:rsidR="009B498C" w:rsidRPr="00442F26">
        <w:rPr>
          <w:color w:val="auto"/>
        </w:rPr>
        <w:t>).</w:t>
      </w:r>
      <w:r w:rsidR="003F5386" w:rsidRPr="00442F26">
        <w:rPr>
          <w:color w:val="auto"/>
        </w:rPr>
        <w:t xml:space="preserve"> Genotoxicity must only be evaluated in samples where cytotoxicity is </w:t>
      </w:r>
      <w:r w:rsidR="00AF7731" w:rsidRPr="00442F26">
        <w:rPr>
          <w:color w:val="auto"/>
        </w:rPr>
        <w:t xml:space="preserve">less than </w:t>
      </w:r>
      <w:r w:rsidR="002F28FE" w:rsidRPr="00442F26">
        <w:rPr>
          <w:color w:val="auto"/>
        </w:rPr>
        <w:t xml:space="preserve">55% ± 5% </w:t>
      </w:r>
      <w:r w:rsidR="003F5386" w:rsidRPr="00442F26">
        <w:rPr>
          <w:color w:val="auto"/>
        </w:rPr>
        <w:t>as defined in OECD Test Guideline 487</w:t>
      </w:r>
      <w:r w:rsidR="00423076" w:rsidRPr="00442F26">
        <w:rPr>
          <w:color w:val="auto"/>
          <w:vertAlign w:val="superscript"/>
        </w:rPr>
        <w:t>1</w:t>
      </w:r>
      <w:r w:rsidR="006E3BDB" w:rsidRPr="00442F26">
        <w:rPr>
          <w:color w:val="auto"/>
          <w:vertAlign w:val="superscript"/>
        </w:rPr>
        <w:t>1</w:t>
      </w:r>
      <w:r w:rsidR="003F5386" w:rsidRPr="00442F26">
        <w:rPr>
          <w:color w:val="auto"/>
        </w:rPr>
        <w:t>.</w:t>
      </w:r>
    </w:p>
    <w:p w14:paraId="78731630" w14:textId="27062A22" w:rsidR="00AC6BD5" w:rsidRPr="00442F26" w:rsidRDefault="00AC6BD5" w:rsidP="006F7144">
      <w:pPr>
        <w:pStyle w:val="ListParagraph"/>
        <w:ind w:left="0"/>
        <w:rPr>
          <w:b/>
          <w:color w:val="auto"/>
        </w:rPr>
      </w:pPr>
    </w:p>
    <w:p w14:paraId="674F26B6" w14:textId="4C7A2514" w:rsidR="005C4C3C" w:rsidRPr="00442F26" w:rsidRDefault="00A11E05" w:rsidP="006F7144">
      <w:pPr>
        <w:widowControl/>
        <w:autoSpaceDE/>
        <w:autoSpaceDN/>
        <w:adjustRightInd/>
        <w:contextualSpacing/>
        <w:rPr>
          <w:b/>
          <w:color w:val="auto"/>
        </w:rPr>
      </w:pPr>
      <w:bookmarkStart w:id="11" w:name="Discussion"/>
      <w:r w:rsidRPr="00442F26">
        <w:rPr>
          <w:b/>
          <w:color w:val="auto"/>
        </w:rPr>
        <w:t>REPRESENTATIVE RESULTS:</w:t>
      </w:r>
      <w:r w:rsidRPr="00442F26">
        <w:rPr>
          <w:color w:val="auto"/>
        </w:rPr>
        <w:t xml:space="preserve"> </w:t>
      </w:r>
    </w:p>
    <w:p w14:paraId="4FA0867C" w14:textId="0A13717B" w:rsidR="00C733EA" w:rsidRPr="00442F26" w:rsidRDefault="00C733EA" w:rsidP="006F7144">
      <w:pPr>
        <w:widowControl/>
        <w:autoSpaceDE/>
        <w:autoSpaceDN/>
        <w:adjustRightInd/>
        <w:contextualSpacing/>
        <w:rPr>
          <w:bCs/>
          <w:color w:val="auto"/>
        </w:rPr>
      </w:pPr>
      <w:r w:rsidRPr="00442F26">
        <w:rPr>
          <w:bCs/>
          <w:color w:val="auto"/>
        </w:rPr>
        <w:t>Suitability of this cell</w:t>
      </w:r>
      <w:r w:rsidR="00006B99" w:rsidRPr="00442F26">
        <w:rPr>
          <w:bCs/>
          <w:color w:val="auto"/>
        </w:rPr>
        <w:t>-</w:t>
      </w:r>
      <w:r w:rsidRPr="00442F26">
        <w:rPr>
          <w:bCs/>
          <w:color w:val="auto"/>
        </w:rPr>
        <w:t>line</w:t>
      </w:r>
      <w:r w:rsidR="00006B99" w:rsidRPr="00442F26">
        <w:rPr>
          <w:bCs/>
          <w:color w:val="auto"/>
        </w:rPr>
        <w:t xml:space="preserve"> </w:t>
      </w:r>
      <w:r w:rsidRPr="00442F26">
        <w:rPr>
          <w:bCs/>
          <w:color w:val="auto"/>
        </w:rPr>
        <w:t>based 3D liver spheroid model for long-term culture and genotoxic hazard assessment was evaluated by conducting baseline characteri</w:t>
      </w:r>
      <w:r w:rsidR="006D4DC5" w:rsidRPr="00442F26">
        <w:rPr>
          <w:bCs/>
          <w:color w:val="auto"/>
        </w:rPr>
        <w:t>z</w:t>
      </w:r>
      <w:r w:rsidRPr="00442F26">
        <w:rPr>
          <w:bCs/>
          <w:color w:val="auto"/>
        </w:rPr>
        <w:t xml:space="preserve">ation to determine the viability and liver-like functionality of the model </w:t>
      </w:r>
      <w:r w:rsidR="000516A4" w:rsidRPr="00442F26">
        <w:rPr>
          <w:bCs/>
          <w:color w:val="auto"/>
        </w:rPr>
        <w:t xml:space="preserve">over the duration of 14 days in culture </w:t>
      </w:r>
      <w:r w:rsidRPr="00442F26">
        <w:rPr>
          <w:bCs/>
          <w:color w:val="auto"/>
        </w:rPr>
        <w:t xml:space="preserve">as well as </w:t>
      </w:r>
      <w:r w:rsidR="00E900D8" w:rsidRPr="00442F26">
        <w:rPr>
          <w:bCs/>
          <w:color w:val="auto"/>
        </w:rPr>
        <w:t xml:space="preserve">its </w:t>
      </w:r>
      <w:r w:rsidRPr="00442F26">
        <w:rPr>
          <w:bCs/>
          <w:color w:val="auto"/>
        </w:rPr>
        <w:t xml:space="preserve">applicability </w:t>
      </w:r>
      <w:r w:rsidR="00E900D8" w:rsidRPr="00442F26">
        <w:rPr>
          <w:bCs/>
          <w:color w:val="auto"/>
        </w:rPr>
        <w:t xml:space="preserve">for </w:t>
      </w:r>
      <w:r w:rsidRPr="00442F26">
        <w:rPr>
          <w:bCs/>
          <w:color w:val="auto"/>
        </w:rPr>
        <w:t xml:space="preserve">the micronucleus assay. </w:t>
      </w:r>
    </w:p>
    <w:p w14:paraId="794FE393" w14:textId="77777777" w:rsidR="009C0F76" w:rsidRPr="00442F26" w:rsidRDefault="009C0F76" w:rsidP="006F7144">
      <w:pPr>
        <w:widowControl/>
        <w:autoSpaceDE/>
        <w:autoSpaceDN/>
        <w:adjustRightInd/>
        <w:contextualSpacing/>
        <w:rPr>
          <w:bCs/>
          <w:color w:val="auto"/>
        </w:rPr>
      </w:pPr>
    </w:p>
    <w:p w14:paraId="3C50F824" w14:textId="133E2802" w:rsidR="00BA5764" w:rsidRPr="00442F26" w:rsidRDefault="009C0F76" w:rsidP="006F7144">
      <w:pPr>
        <w:widowControl/>
        <w:autoSpaceDE/>
        <w:autoSpaceDN/>
        <w:adjustRightInd/>
        <w:contextualSpacing/>
        <w:rPr>
          <w:b/>
          <w:color w:val="auto"/>
        </w:rPr>
      </w:pPr>
      <w:r w:rsidRPr="00442F26">
        <w:rPr>
          <w:b/>
          <w:color w:val="auto"/>
        </w:rPr>
        <w:t>Baseline Characteri</w:t>
      </w:r>
      <w:r w:rsidR="00443478" w:rsidRPr="00442F26">
        <w:rPr>
          <w:b/>
          <w:color w:val="auto"/>
        </w:rPr>
        <w:t>z</w:t>
      </w:r>
      <w:r w:rsidRPr="00442F26">
        <w:rPr>
          <w:b/>
          <w:color w:val="auto"/>
        </w:rPr>
        <w:t>ation of the 3D HepG2 Liver Spheroid Model</w:t>
      </w:r>
    </w:p>
    <w:p w14:paraId="08E7A53C" w14:textId="7668438E" w:rsidR="005C4C3C" w:rsidRPr="00442F26" w:rsidRDefault="000516A4" w:rsidP="006F7144">
      <w:pPr>
        <w:widowControl/>
        <w:autoSpaceDE/>
        <w:autoSpaceDN/>
        <w:adjustRightInd/>
        <w:contextualSpacing/>
        <w:rPr>
          <w:bCs/>
          <w:color w:val="auto"/>
        </w:rPr>
      </w:pPr>
      <w:r w:rsidRPr="00442F26">
        <w:rPr>
          <w:bCs/>
          <w:color w:val="auto"/>
        </w:rPr>
        <w:lastRenderedPageBreak/>
        <w:t xml:space="preserve">Prior to any </w:t>
      </w:r>
      <w:r w:rsidR="00725AEE" w:rsidRPr="00442F26">
        <w:rPr>
          <w:bCs/>
          <w:color w:val="auto"/>
        </w:rPr>
        <w:t>in vitro</w:t>
      </w:r>
      <w:r w:rsidRPr="00442F26">
        <w:rPr>
          <w:bCs/>
          <w:color w:val="auto"/>
        </w:rPr>
        <w:t xml:space="preserve"> toxicological assessment, it is important t</w:t>
      </w:r>
      <w:r w:rsidR="005C4C3C" w:rsidRPr="00442F26">
        <w:rPr>
          <w:bCs/>
          <w:color w:val="auto"/>
        </w:rPr>
        <w:t xml:space="preserve">o </w:t>
      </w:r>
      <w:r w:rsidRPr="00442F26">
        <w:rPr>
          <w:bCs/>
          <w:color w:val="auto"/>
        </w:rPr>
        <w:t xml:space="preserve">check </w:t>
      </w:r>
      <w:r w:rsidR="005C4C3C" w:rsidRPr="00442F26">
        <w:rPr>
          <w:bCs/>
          <w:color w:val="auto"/>
        </w:rPr>
        <w:t>th</w:t>
      </w:r>
      <w:r w:rsidR="006D4DC5" w:rsidRPr="00442F26">
        <w:rPr>
          <w:bCs/>
          <w:color w:val="auto"/>
        </w:rPr>
        <w:t>at the</w:t>
      </w:r>
      <w:r w:rsidR="005C4C3C" w:rsidRPr="00442F26">
        <w:rPr>
          <w:bCs/>
          <w:color w:val="auto"/>
        </w:rPr>
        <w:t xml:space="preserve"> </w:t>
      </w:r>
      <w:r w:rsidRPr="00442F26">
        <w:rPr>
          <w:bCs/>
          <w:color w:val="auto"/>
        </w:rPr>
        <w:t xml:space="preserve">3D HepG2 </w:t>
      </w:r>
      <w:r w:rsidR="005C4C3C" w:rsidRPr="00442F26">
        <w:rPr>
          <w:bCs/>
          <w:color w:val="auto"/>
        </w:rPr>
        <w:t xml:space="preserve">spheroids have formed properly </w:t>
      </w:r>
      <w:r w:rsidRPr="00442F26">
        <w:rPr>
          <w:bCs/>
          <w:color w:val="auto"/>
        </w:rPr>
        <w:t>before performing the</w:t>
      </w:r>
      <w:r w:rsidR="005C4C3C" w:rsidRPr="00442F26">
        <w:rPr>
          <w:bCs/>
          <w:color w:val="auto"/>
        </w:rPr>
        <w:t xml:space="preserve"> agarose transfer or chemical/ENM treatment</w:t>
      </w:r>
      <w:r w:rsidRPr="00442F26">
        <w:rPr>
          <w:bCs/>
          <w:color w:val="auto"/>
        </w:rPr>
        <w:t xml:space="preserve">. </w:t>
      </w:r>
      <w:r w:rsidR="005C4C3C" w:rsidRPr="00442F26">
        <w:rPr>
          <w:bCs/>
          <w:color w:val="auto"/>
        </w:rPr>
        <w:t xml:space="preserve">HepG2 spheroids produced using the hanging drop method usually take 3 days post seeding </w:t>
      </w:r>
      <w:r w:rsidRPr="00442F26">
        <w:rPr>
          <w:bCs/>
          <w:color w:val="auto"/>
        </w:rPr>
        <w:t xml:space="preserve">(4000 cells/spheroid) </w:t>
      </w:r>
      <w:r w:rsidR="005C4C3C" w:rsidRPr="00442F26">
        <w:rPr>
          <w:bCs/>
          <w:color w:val="auto"/>
        </w:rPr>
        <w:t xml:space="preserve">to form compact, spherical shaped spheroids </w:t>
      </w:r>
      <w:r w:rsidRPr="00442F26">
        <w:rPr>
          <w:bCs/>
          <w:color w:val="auto"/>
        </w:rPr>
        <w:t>with an average</w:t>
      </w:r>
      <w:r w:rsidRPr="00442F26">
        <w:rPr>
          <w:bCs/>
          <w:color w:val="auto"/>
          <w:lang w:val="en-GB"/>
        </w:rPr>
        <w:t xml:space="preserve"> diameter of 495.52</w:t>
      </w:r>
      <w:r w:rsidR="006D4DC5" w:rsidRPr="00442F26">
        <w:rPr>
          <w:bCs/>
          <w:color w:val="auto"/>
          <w:lang w:val="en-GB"/>
        </w:rPr>
        <w:t xml:space="preserve"> µ</w:t>
      </w:r>
      <w:r w:rsidRPr="00442F26">
        <w:rPr>
          <w:bCs/>
          <w:color w:val="auto"/>
          <w:lang w:val="en-GB"/>
        </w:rPr>
        <w:t>m W x 482.69</w:t>
      </w:r>
      <w:r w:rsidR="006D4DC5" w:rsidRPr="00442F26">
        <w:rPr>
          <w:bCs/>
          <w:color w:val="auto"/>
          <w:lang w:val="en-GB"/>
        </w:rPr>
        <w:t xml:space="preserve"> µ</w:t>
      </w:r>
      <w:r w:rsidRPr="00442F26">
        <w:rPr>
          <w:bCs/>
          <w:color w:val="auto"/>
          <w:lang w:val="en-GB"/>
        </w:rPr>
        <w:t>m H</w:t>
      </w:r>
      <w:r w:rsidRPr="00442F26">
        <w:rPr>
          <w:bCs/>
          <w:color w:val="auto"/>
        </w:rPr>
        <w:t xml:space="preserve"> </w:t>
      </w:r>
      <w:r w:rsidR="005C4C3C" w:rsidRPr="00442F26">
        <w:rPr>
          <w:bCs/>
          <w:color w:val="auto"/>
        </w:rPr>
        <w:t xml:space="preserve">as shown in </w:t>
      </w:r>
      <w:r w:rsidR="005C4C3C" w:rsidRPr="00442F26">
        <w:rPr>
          <w:b/>
          <w:color w:val="auto"/>
        </w:rPr>
        <w:t>Figure 5A</w:t>
      </w:r>
      <w:r w:rsidR="00352CBB" w:rsidRPr="00442F26">
        <w:rPr>
          <w:b/>
          <w:color w:val="auto"/>
        </w:rPr>
        <w:t>-</w:t>
      </w:r>
      <w:r w:rsidR="006D4DC5" w:rsidRPr="00442F26">
        <w:rPr>
          <w:b/>
          <w:color w:val="auto"/>
        </w:rPr>
        <w:t>5</w:t>
      </w:r>
      <w:r w:rsidR="00352CBB" w:rsidRPr="00442F26">
        <w:rPr>
          <w:b/>
          <w:color w:val="auto"/>
        </w:rPr>
        <w:t>C</w:t>
      </w:r>
      <w:r w:rsidR="005C4C3C" w:rsidRPr="00442F26">
        <w:rPr>
          <w:bCs/>
          <w:color w:val="auto"/>
        </w:rPr>
        <w:t xml:space="preserve">. HepG2 spheroids </w:t>
      </w:r>
      <w:r w:rsidR="00442F26" w:rsidRPr="00442F26">
        <w:rPr>
          <w:bCs/>
          <w:color w:val="auto"/>
        </w:rPr>
        <w:t>that</w:t>
      </w:r>
      <w:r w:rsidR="005C4C3C" w:rsidRPr="00442F26">
        <w:rPr>
          <w:bCs/>
          <w:color w:val="auto"/>
        </w:rPr>
        <w:t xml:space="preserve"> have formed correctly and are acceptable to be used for </w:t>
      </w:r>
      <w:r w:rsidR="00725AEE" w:rsidRPr="00442F26">
        <w:rPr>
          <w:bCs/>
          <w:color w:val="auto"/>
        </w:rPr>
        <w:t>in vitro</w:t>
      </w:r>
      <w:r w:rsidR="005C4C3C" w:rsidRPr="00442F26">
        <w:rPr>
          <w:bCs/>
          <w:color w:val="auto"/>
        </w:rPr>
        <w:t xml:space="preserve"> toxicological assessment must have a compact, spherical shaped structure with a smooth surface and no visual projections. </w:t>
      </w:r>
      <w:r w:rsidR="005C4C3C" w:rsidRPr="00442F26">
        <w:rPr>
          <w:b/>
          <w:color w:val="auto"/>
        </w:rPr>
        <w:t>Figure 5</w:t>
      </w:r>
      <w:r w:rsidR="005C4C3C" w:rsidRPr="00442F26">
        <w:rPr>
          <w:bCs/>
          <w:color w:val="auto"/>
        </w:rPr>
        <w:t xml:space="preserve"> provides examples of good quality (</w:t>
      </w:r>
      <w:r w:rsidR="00442F26" w:rsidRPr="00442F26">
        <w:rPr>
          <w:b/>
          <w:color w:val="auto"/>
        </w:rPr>
        <w:t>Figure 5</w:t>
      </w:r>
      <w:r w:rsidR="005C4C3C" w:rsidRPr="00442F26">
        <w:rPr>
          <w:b/>
          <w:color w:val="auto"/>
        </w:rPr>
        <w:t>D-F</w:t>
      </w:r>
      <w:r w:rsidR="005C4C3C" w:rsidRPr="00442F26">
        <w:rPr>
          <w:bCs/>
          <w:color w:val="auto"/>
        </w:rPr>
        <w:t>) and a poor quality (</w:t>
      </w:r>
      <w:r w:rsidR="00442F26" w:rsidRPr="00442F26">
        <w:rPr>
          <w:b/>
          <w:color w:val="auto"/>
        </w:rPr>
        <w:t>Figure 5</w:t>
      </w:r>
      <w:r w:rsidR="005C4C3C" w:rsidRPr="00442F26">
        <w:rPr>
          <w:b/>
          <w:color w:val="auto"/>
        </w:rPr>
        <w:t>G-I</w:t>
      </w:r>
      <w:r w:rsidR="005C4C3C" w:rsidRPr="00442F26">
        <w:rPr>
          <w:bCs/>
          <w:color w:val="auto"/>
        </w:rPr>
        <w:t>) spheroids. The latter of which should be discarded.</w:t>
      </w:r>
      <w:r w:rsidR="00EB4170" w:rsidRPr="00442F26">
        <w:rPr>
          <w:bCs/>
          <w:color w:val="auto"/>
        </w:rPr>
        <w:t xml:space="preserve"> </w:t>
      </w:r>
      <w:r w:rsidR="0019378E" w:rsidRPr="00442F26">
        <w:rPr>
          <w:bCs/>
          <w:color w:val="auto"/>
        </w:rPr>
        <w:t>Typically</w:t>
      </w:r>
      <w:r w:rsidR="008343D0" w:rsidRPr="00442F26">
        <w:rPr>
          <w:bCs/>
          <w:color w:val="auto"/>
        </w:rPr>
        <w:t>,</w:t>
      </w:r>
      <w:r w:rsidR="0019378E" w:rsidRPr="00442F26">
        <w:rPr>
          <w:bCs/>
          <w:color w:val="auto"/>
        </w:rPr>
        <w:t xml:space="preserve"> 90-95% of spheroids </w:t>
      </w:r>
      <w:r w:rsidR="008343D0" w:rsidRPr="00442F26">
        <w:rPr>
          <w:bCs/>
          <w:color w:val="auto"/>
        </w:rPr>
        <w:t xml:space="preserve">formed </w:t>
      </w:r>
      <w:r w:rsidR="0019378E" w:rsidRPr="00442F26">
        <w:rPr>
          <w:bCs/>
          <w:color w:val="auto"/>
        </w:rPr>
        <w:t xml:space="preserve">per plate </w:t>
      </w:r>
      <w:r w:rsidR="008343D0" w:rsidRPr="00442F26">
        <w:rPr>
          <w:bCs/>
          <w:color w:val="auto"/>
        </w:rPr>
        <w:t xml:space="preserve">will </w:t>
      </w:r>
      <w:r w:rsidR="0019378E" w:rsidRPr="00442F26">
        <w:rPr>
          <w:bCs/>
          <w:color w:val="auto"/>
        </w:rPr>
        <w:t xml:space="preserve">form correctly and </w:t>
      </w:r>
      <w:r w:rsidR="00EB4170" w:rsidRPr="00442F26">
        <w:rPr>
          <w:bCs/>
          <w:color w:val="auto"/>
        </w:rPr>
        <w:t xml:space="preserve">be </w:t>
      </w:r>
      <w:r w:rsidR="00E37D03" w:rsidRPr="00442F26">
        <w:rPr>
          <w:bCs/>
          <w:color w:val="auto"/>
        </w:rPr>
        <w:t>viable</w:t>
      </w:r>
      <w:r w:rsidR="00EB4170" w:rsidRPr="00442F26">
        <w:rPr>
          <w:bCs/>
          <w:color w:val="auto"/>
        </w:rPr>
        <w:t xml:space="preserve"> for further experimentation</w:t>
      </w:r>
      <w:r w:rsidR="008343D0" w:rsidRPr="00442F26">
        <w:rPr>
          <w:bCs/>
          <w:color w:val="auto"/>
        </w:rPr>
        <w:t>.</w:t>
      </w:r>
      <w:r w:rsidR="00725AEE" w:rsidRPr="00442F26">
        <w:rPr>
          <w:bCs/>
          <w:color w:val="auto"/>
        </w:rPr>
        <w:t xml:space="preserve"> </w:t>
      </w:r>
    </w:p>
    <w:p w14:paraId="7612D677" w14:textId="77777777" w:rsidR="00B611F2" w:rsidRPr="00442F26" w:rsidRDefault="00B611F2" w:rsidP="006F7144">
      <w:pPr>
        <w:widowControl/>
        <w:autoSpaceDE/>
        <w:autoSpaceDN/>
        <w:adjustRightInd/>
        <w:contextualSpacing/>
        <w:rPr>
          <w:b/>
          <w:bCs/>
          <w:color w:val="auto"/>
        </w:rPr>
      </w:pPr>
    </w:p>
    <w:p w14:paraId="3FE9770B" w14:textId="76E21EF2" w:rsidR="008C7A62" w:rsidRPr="00442F26" w:rsidRDefault="000D351A" w:rsidP="006F7144">
      <w:pPr>
        <w:widowControl/>
        <w:autoSpaceDE/>
        <w:autoSpaceDN/>
        <w:adjustRightInd/>
        <w:contextualSpacing/>
        <w:rPr>
          <w:bCs/>
          <w:color w:val="auto"/>
          <w:highlight w:val="yellow"/>
        </w:rPr>
      </w:pPr>
      <w:r w:rsidRPr="00442F26">
        <w:rPr>
          <w:b/>
          <w:bCs/>
          <w:color w:val="auto"/>
        </w:rPr>
        <w:t>[Insert Figure 5 here]</w:t>
      </w:r>
      <w:r w:rsidRPr="00442F26">
        <w:rPr>
          <w:bCs/>
          <w:noProof/>
          <w:color w:val="auto"/>
          <w:lang w:val="en-GB" w:eastAsia="en-GB"/>
        </w:rPr>
        <w:t xml:space="preserve"> </w:t>
      </w:r>
    </w:p>
    <w:p w14:paraId="2A60695B" w14:textId="58197E88" w:rsidR="005C4C3C" w:rsidRPr="00442F26" w:rsidRDefault="005C4C3C" w:rsidP="006F7144">
      <w:pPr>
        <w:contextualSpacing/>
        <w:rPr>
          <w:bCs/>
          <w:color w:val="auto"/>
        </w:rPr>
      </w:pPr>
    </w:p>
    <w:p w14:paraId="5EABF7D1" w14:textId="0D53D813" w:rsidR="005C4C3C" w:rsidRPr="00442F26" w:rsidRDefault="00841FE7" w:rsidP="006F7144">
      <w:pPr>
        <w:contextualSpacing/>
        <w:rPr>
          <w:bCs/>
          <w:color w:val="auto"/>
        </w:rPr>
      </w:pPr>
      <w:r w:rsidRPr="00442F26">
        <w:rPr>
          <w:bCs/>
          <w:color w:val="auto"/>
        </w:rPr>
        <w:t xml:space="preserve">To further confirm HepG2 spheroid viability, a basic colorimetric </w:t>
      </w:r>
      <w:r w:rsidR="004D6945" w:rsidRPr="00442F26">
        <w:rPr>
          <w:bCs/>
          <w:color w:val="auto"/>
        </w:rPr>
        <w:t>Bromocresol Green Albumin</w:t>
      </w:r>
      <w:r w:rsidRPr="00442F26">
        <w:rPr>
          <w:bCs/>
          <w:color w:val="auto"/>
        </w:rPr>
        <w:t xml:space="preserve"> </w:t>
      </w:r>
      <w:r w:rsidR="004D6945" w:rsidRPr="00442F26">
        <w:rPr>
          <w:bCs/>
          <w:color w:val="auto"/>
        </w:rPr>
        <w:t xml:space="preserve">(BCG) </w:t>
      </w:r>
      <w:r w:rsidRPr="00442F26">
        <w:rPr>
          <w:bCs/>
          <w:color w:val="auto"/>
        </w:rPr>
        <w:t xml:space="preserve">Assay or Urea Assay can be performed to assess their liver-like functionality. </w:t>
      </w:r>
      <w:r w:rsidR="00187C3B" w:rsidRPr="00442F26">
        <w:rPr>
          <w:bCs/>
          <w:color w:val="auto"/>
        </w:rPr>
        <w:t xml:space="preserve">Liver-like functionality was assessed in line with viability using the </w:t>
      </w:r>
      <w:r w:rsidR="002E7A73" w:rsidRPr="00442F26">
        <w:rPr>
          <w:bCs/>
          <w:color w:val="auto"/>
        </w:rPr>
        <w:t>Trypan</w:t>
      </w:r>
      <w:r w:rsidR="00187C3B" w:rsidRPr="00442F26">
        <w:rPr>
          <w:bCs/>
          <w:color w:val="auto"/>
        </w:rPr>
        <w:t xml:space="preserve"> Blue Exclusion Assay over a 14 day culture period to determine the longevity of the liver spheroid model and establish if it could support long-term or repeated ENM/chemical based hazard assessment</w:t>
      </w:r>
      <w:r w:rsidR="00E900D8" w:rsidRPr="00442F26">
        <w:rPr>
          <w:bCs/>
          <w:color w:val="auto"/>
        </w:rPr>
        <w:t xml:space="preserve"> (</w:t>
      </w:r>
      <w:r w:rsidR="00E900D8" w:rsidRPr="00442F26">
        <w:rPr>
          <w:b/>
          <w:color w:val="auto"/>
        </w:rPr>
        <w:t>Fig</w:t>
      </w:r>
      <w:r w:rsidR="00E63EC4" w:rsidRPr="00442F26">
        <w:rPr>
          <w:b/>
          <w:color w:val="auto"/>
        </w:rPr>
        <w:t>ure</w:t>
      </w:r>
      <w:r w:rsidR="00E900D8" w:rsidRPr="00442F26">
        <w:rPr>
          <w:b/>
          <w:color w:val="auto"/>
        </w:rPr>
        <w:t xml:space="preserve"> 6</w:t>
      </w:r>
      <w:r w:rsidR="00E900D8" w:rsidRPr="00442F26">
        <w:rPr>
          <w:bCs/>
          <w:color w:val="auto"/>
        </w:rPr>
        <w:t>)</w:t>
      </w:r>
      <w:r w:rsidR="00187C3B" w:rsidRPr="00442F26">
        <w:rPr>
          <w:bCs/>
          <w:color w:val="auto"/>
        </w:rPr>
        <w:t>.</w:t>
      </w:r>
      <w:r w:rsidR="000A04C5" w:rsidRPr="00442F26">
        <w:rPr>
          <w:bCs/>
          <w:color w:val="auto"/>
        </w:rPr>
        <w:t xml:space="preserve"> Albumin concentration remained consistent over the duration of the culture</w:t>
      </w:r>
      <w:r w:rsidR="00E900D8" w:rsidRPr="00442F26">
        <w:rPr>
          <w:bCs/>
          <w:color w:val="auto"/>
        </w:rPr>
        <w:t xml:space="preserve"> period</w:t>
      </w:r>
      <w:r w:rsidR="006D02F2" w:rsidRPr="00442F26">
        <w:rPr>
          <w:bCs/>
          <w:color w:val="auto"/>
        </w:rPr>
        <w:t xml:space="preserve">. </w:t>
      </w:r>
      <w:r w:rsidR="000A04C5" w:rsidRPr="00442F26">
        <w:rPr>
          <w:bCs/>
          <w:color w:val="auto"/>
        </w:rPr>
        <w:t xml:space="preserve">Urea production </w:t>
      </w:r>
      <w:r w:rsidR="00E900D8" w:rsidRPr="00442F26">
        <w:rPr>
          <w:bCs/>
          <w:color w:val="auto"/>
        </w:rPr>
        <w:t>displays</w:t>
      </w:r>
      <w:r w:rsidR="000A04C5" w:rsidRPr="00442F26">
        <w:rPr>
          <w:bCs/>
          <w:color w:val="auto"/>
        </w:rPr>
        <w:t xml:space="preserve"> a</w:t>
      </w:r>
      <w:r w:rsidR="003C70BB" w:rsidRPr="00442F26">
        <w:rPr>
          <w:bCs/>
          <w:color w:val="auto"/>
        </w:rPr>
        <w:t xml:space="preserve">n </w:t>
      </w:r>
      <w:r w:rsidR="000A04C5" w:rsidRPr="00442F26">
        <w:rPr>
          <w:bCs/>
          <w:color w:val="auto"/>
        </w:rPr>
        <w:t xml:space="preserve">increase in the concentration of urea produced per spheroid over a week </w:t>
      </w:r>
      <w:r w:rsidR="00006B99" w:rsidRPr="00442F26">
        <w:rPr>
          <w:bCs/>
          <w:color w:val="auto"/>
        </w:rPr>
        <w:t>i</w:t>
      </w:r>
      <w:r w:rsidR="000A04C5" w:rsidRPr="00442F26">
        <w:rPr>
          <w:bCs/>
          <w:color w:val="auto"/>
        </w:rPr>
        <w:t>n culture</w:t>
      </w:r>
      <w:r w:rsidR="00006B99" w:rsidRPr="00442F26">
        <w:rPr>
          <w:bCs/>
          <w:color w:val="auto"/>
        </w:rPr>
        <w:t xml:space="preserve"> before</w:t>
      </w:r>
      <w:r w:rsidR="000A04C5" w:rsidRPr="00442F26">
        <w:rPr>
          <w:bCs/>
          <w:color w:val="auto"/>
        </w:rPr>
        <w:t xml:space="preserve"> </w:t>
      </w:r>
      <w:r w:rsidR="00E900D8" w:rsidRPr="00442F26">
        <w:rPr>
          <w:bCs/>
          <w:color w:val="auto"/>
        </w:rPr>
        <w:t>reaching a plateau by</w:t>
      </w:r>
      <w:r w:rsidR="000A04C5" w:rsidRPr="00442F26">
        <w:rPr>
          <w:bCs/>
          <w:color w:val="auto"/>
        </w:rPr>
        <w:t xml:space="preserve"> day 7</w:t>
      </w:r>
      <w:r w:rsidR="00006B99" w:rsidRPr="00442F26">
        <w:rPr>
          <w:bCs/>
          <w:color w:val="auto"/>
        </w:rPr>
        <w:t>.</w:t>
      </w:r>
      <w:r w:rsidR="00893DF6" w:rsidRPr="00442F26">
        <w:rPr>
          <w:bCs/>
          <w:color w:val="auto"/>
        </w:rPr>
        <w:t xml:space="preserve"> It is important to note that the levels of albumin and urea</w:t>
      </w:r>
      <w:r w:rsidR="00AA6259" w:rsidRPr="00442F26">
        <w:rPr>
          <w:bCs/>
          <w:color w:val="auto"/>
        </w:rPr>
        <w:t xml:space="preserve"> produced</w:t>
      </w:r>
      <w:r w:rsidR="00893DF6" w:rsidRPr="00442F26">
        <w:rPr>
          <w:bCs/>
          <w:color w:val="auto"/>
        </w:rPr>
        <w:t xml:space="preserve"> in the 3D HepG2 spheroids are substantially higher than </w:t>
      </w:r>
      <w:r w:rsidR="00AA6259" w:rsidRPr="00442F26">
        <w:rPr>
          <w:bCs/>
          <w:color w:val="auto"/>
        </w:rPr>
        <w:t xml:space="preserve">that </w:t>
      </w:r>
      <w:r w:rsidR="00893DF6" w:rsidRPr="00442F26">
        <w:rPr>
          <w:bCs/>
          <w:color w:val="auto"/>
        </w:rPr>
        <w:t xml:space="preserve">observed in the same cell line cultured in a 2D format. </w:t>
      </w:r>
      <w:r w:rsidR="00AA6259" w:rsidRPr="00442F26">
        <w:rPr>
          <w:bCs/>
          <w:color w:val="auto"/>
        </w:rPr>
        <w:t>I</w:t>
      </w:r>
      <w:r w:rsidR="00893DF6" w:rsidRPr="00442F26">
        <w:rPr>
          <w:bCs/>
          <w:color w:val="auto"/>
        </w:rPr>
        <w:t>n</w:t>
      </w:r>
      <w:r w:rsidR="00AA6259" w:rsidRPr="00442F26">
        <w:rPr>
          <w:bCs/>
          <w:color w:val="auto"/>
        </w:rPr>
        <w:t>deed,</w:t>
      </w:r>
      <w:r w:rsidR="00893DF6" w:rsidRPr="00442F26">
        <w:rPr>
          <w:bCs/>
          <w:color w:val="auto"/>
        </w:rPr>
        <w:t xml:space="preserve"> 2D </w:t>
      </w:r>
      <w:r w:rsidR="00281752" w:rsidRPr="00442F26">
        <w:rPr>
          <w:bCs/>
          <w:color w:val="auto"/>
        </w:rPr>
        <w:t>cultures of</w:t>
      </w:r>
      <w:r w:rsidR="00893DF6" w:rsidRPr="00442F26">
        <w:rPr>
          <w:bCs/>
          <w:color w:val="auto"/>
        </w:rPr>
        <w:t xml:space="preserve"> HepG2 </w:t>
      </w:r>
      <w:r w:rsidR="00281752" w:rsidRPr="00442F26">
        <w:rPr>
          <w:bCs/>
          <w:color w:val="auto"/>
        </w:rPr>
        <w:t>cells</w:t>
      </w:r>
      <w:r w:rsidR="00893DF6" w:rsidRPr="00442F26">
        <w:rPr>
          <w:bCs/>
          <w:color w:val="auto"/>
        </w:rPr>
        <w:t>, peak albumin and urea levels were 0.001</w:t>
      </w:r>
      <w:r w:rsidR="00442F26" w:rsidRPr="00442F26">
        <w:rPr>
          <w:bCs/>
          <w:color w:val="auto"/>
        </w:rPr>
        <w:t xml:space="preserve"> </w:t>
      </w:r>
      <w:r w:rsidR="00893DF6" w:rsidRPr="00442F26">
        <w:rPr>
          <w:bCs/>
          <w:color w:val="auto"/>
        </w:rPr>
        <w:t>mg/mL and 0.010</w:t>
      </w:r>
      <w:r w:rsidR="00442F26" w:rsidRPr="00442F26">
        <w:rPr>
          <w:bCs/>
          <w:color w:val="auto"/>
        </w:rPr>
        <w:t xml:space="preserve"> </w:t>
      </w:r>
      <w:r w:rsidR="00893DF6" w:rsidRPr="00442F26">
        <w:rPr>
          <w:bCs/>
          <w:color w:val="auto"/>
        </w:rPr>
        <w:t xml:space="preserve">ng/µL respectively. Furthermore, in previous work published by Shah </w:t>
      </w:r>
      <w:r w:rsidR="00E06DFD" w:rsidRPr="00442F26">
        <w:rPr>
          <w:bCs/>
          <w:color w:val="auto"/>
        </w:rPr>
        <w:t>et al.</w:t>
      </w:r>
      <w:r w:rsidR="00893DF6" w:rsidRPr="00442F26">
        <w:rPr>
          <w:bCs/>
          <w:color w:val="auto"/>
        </w:rPr>
        <w:t xml:space="preserve"> using an almost identical HepG2 spheroid system, the authors highlight a notable improvement in </w:t>
      </w:r>
      <w:r w:rsidR="00893DF6" w:rsidRPr="00442F26">
        <w:rPr>
          <w:color w:val="auto"/>
          <w:bdr w:val="none" w:sz="0" w:space="0" w:color="auto" w:frame="1"/>
        </w:rPr>
        <w:t xml:space="preserve">metabolic activity (CYP1A1 and CYP1A2) in the 3D HepG2 </w:t>
      </w:r>
      <w:r w:rsidR="00725AEE" w:rsidRPr="00442F26">
        <w:rPr>
          <w:color w:val="auto"/>
          <w:bdr w:val="none" w:sz="0" w:space="0" w:color="auto" w:frame="1"/>
        </w:rPr>
        <w:t>in vitro</w:t>
      </w:r>
      <w:r w:rsidR="00893DF6" w:rsidRPr="00442F26">
        <w:rPr>
          <w:color w:val="auto"/>
          <w:bdr w:val="none" w:sz="0" w:space="0" w:color="auto" w:frame="1"/>
        </w:rPr>
        <w:t xml:space="preserve"> model systems when compared to the 2D </w:t>
      </w:r>
      <w:r w:rsidR="00281752" w:rsidRPr="00442F26">
        <w:rPr>
          <w:color w:val="auto"/>
          <w:bdr w:val="none" w:sz="0" w:space="0" w:color="auto" w:frame="1"/>
        </w:rPr>
        <w:t xml:space="preserve">cultured </w:t>
      </w:r>
      <w:r w:rsidR="00893DF6" w:rsidRPr="00442F26">
        <w:rPr>
          <w:color w:val="auto"/>
          <w:bdr w:val="none" w:sz="0" w:space="0" w:color="auto" w:frame="1"/>
        </w:rPr>
        <w:t>HepG2 cells</w:t>
      </w:r>
      <w:r w:rsidR="00893DF6" w:rsidRPr="00442F26">
        <w:rPr>
          <w:bCs/>
          <w:color w:val="auto"/>
          <w:vertAlign w:val="superscript"/>
        </w:rPr>
        <w:t>5</w:t>
      </w:r>
      <w:r w:rsidR="00893DF6" w:rsidRPr="00442F26">
        <w:rPr>
          <w:color w:val="auto"/>
          <w:bdr w:val="none" w:sz="0" w:space="0" w:color="auto" w:frame="1"/>
        </w:rPr>
        <w:t>.</w:t>
      </w:r>
    </w:p>
    <w:p w14:paraId="20E885F9" w14:textId="60253247" w:rsidR="005C4C3C" w:rsidRPr="00442F26" w:rsidRDefault="005C4C3C" w:rsidP="006F7144">
      <w:pPr>
        <w:contextualSpacing/>
        <w:rPr>
          <w:bCs/>
          <w:color w:val="auto"/>
        </w:rPr>
      </w:pPr>
    </w:p>
    <w:p w14:paraId="28B6B6A6" w14:textId="2E60E000" w:rsidR="005C4C3C" w:rsidRPr="00442F26" w:rsidRDefault="00B611F2" w:rsidP="006F7144">
      <w:pPr>
        <w:contextualSpacing/>
        <w:rPr>
          <w:bCs/>
          <w:color w:val="auto"/>
        </w:rPr>
      </w:pPr>
      <w:r w:rsidRPr="00442F26">
        <w:rPr>
          <w:b/>
          <w:bCs/>
          <w:color w:val="auto"/>
        </w:rPr>
        <w:t>[Insert Figure 6 here]</w:t>
      </w:r>
    </w:p>
    <w:p w14:paraId="5B9560D2" w14:textId="77777777" w:rsidR="005C4C3C" w:rsidRPr="00442F26" w:rsidRDefault="005C4C3C" w:rsidP="006F7144">
      <w:pPr>
        <w:contextualSpacing/>
        <w:rPr>
          <w:bCs/>
          <w:color w:val="auto"/>
        </w:rPr>
      </w:pPr>
    </w:p>
    <w:p w14:paraId="3D96351A" w14:textId="1C8CE0CE" w:rsidR="00FD197E" w:rsidRPr="00442F26" w:rsidRDefault="00E54C52" w:rsidP="006F7144">
      <w:pPr>
        <w:contextualSpacing/>
        <w:rPr>
          <w:bCs/>
          <w:color w:val="auto"/>
        </w:rPr>
      </w:pPr>
      <w:r w:rsidRPr="00442F26">
        <w:rPr>
          <w:bCs/>
          <w:color w:val="auto"/>
        </w:rPr>
        <w:t xml:space="preserve">With the inevitable development of a necrotic core, a known limitation of 3D liver spheroid cultures, </w:t>
      </w:r>
      <w:r w:rsidR="00E900D8" w:rsidRPr="00442F26">
        <w:rPr>
          <w:bCs/>
          <w:color w:val="auto"/>
        </w:rPr>
        <w:t>the viability of this</w:t>
      </w:r>
      <w:r w:rsidRPr="00442F26">
        <w:rPr>
          <w:bCs/>
          <w:color w:val="auto"/>
        </w:rPr>
        <w:t xml:space="preserve"> HepG2 based model </w:t>
      </w:r>
      <w:r w:rsidR="00E900D8" w:rsidRPr="00442F26">
        <w:rPr>
          <w:bCs/>
          <w:color w:val="auto"/>
        </w:rPr>
        <w:t xml:space="preserve">had to be established to demonstrate it was able </w:t>
      </w:r>
      <w:r w:rsidRPr="00442F26">
        <w:rPr>
          <w:bCs/>
          <w:color w:val="auto"/>
        </w:rPr>
        <w:t>to sustain</w:t>
      </w:r>
      <w:r w:rsidR="00770E59" w:rsidRPr="00442F26">
        <w:rPr>
          <w:bCs/>
          <w:color w:val="auto"/>
        </w:rPr>
        <w:t xml:space="preserve"> </w:t>
      </w:r>
      <w:r w:rsidRPr="00442F26">
        <w:rPr>
          <w:bCs/>
          <w:color w:val="auto"/>
        </w:rPr>
        <w:t>long-term (5</w:t>
      </w:r>
      <w:r w:rsidR="00F770C0" w:rsidRPr="00442F26">
        <w:rPr>
          <w:bCs/>
          <w:color w:val="auto"/>
        </w:rPr>
        <w:t>-10</w:t>
      </w:r>
      <w:r w:rsidRPr="00442F26">
        <w:rPr>
          <w:bCs/>
          <w:color w:val="auto"/>
        </w:rPr>
        <w:t xml:space="preserve"> day) exposure regimes whilst maintaining </w:t>
      </w:r>
      <w:r w:rsidR="00770E59" w:rsidRPr="00442F26">
        <w:rPr>
          <w:bCs/>
          <w:color w:val="auto"/>
        </w:rPr>
        <w:t>the</w:t>
      </w:r>
      <w:r w:rsidRPr="00442F26">
        <w:rPr>
          <w:bCs/>
          <w:color w:val="auto"/>
        </w:rPr>
        <w:t xml:space="preserve"> proliferative capability required to support the micronucleus assay</w:t>
      </w:r>
      <w:r w:rsidR="001815DD" w:rsidRPr="00442F26">
        <w:rPr>
          <w:bCs/>
          <w:color w:val="auto"/>
          <w:vertAlign w:val="superscript"/>
        </w:rPr>
        <w:t>5</w:t>
      </w:r>
      <w:r w:rsidR="001815DD" w:rsidRPr="00442F26">
        <w:rPr>
          <w:bCs/>
          <w:color w:val="auto"/>
        </w:rPr>
        <w:t xml:space="preserve">. </w:t>
      </w:r>
      <w:r w:rsidR="00E900D8" w:rsidRPr="00442F26">
        <w:rPr>
          <w:bCs/>
          <w:color w:val="auto"/>
        </w:rPr>
        <w:t>Indeed</w:t>
      </w:r>
      <w:r w:rsidRPr="00442F26">
        <w:rPr>
          <w:bCs/>
          <w:color w:val="auto"/>
        </w:rPr>
        <w:t>, this 3D liver spheroid model has been shown to retain &gt;70% viability over 1</w:t>
      </w:r>
      <w:r w:rsidR="00770E59" w:rsidRPr="00442F26">
        <w:rPr>
          <w:bCs/>
          <w:color w:val="auto"/>
        </w:rPr>
        <w:t>0</w:t>
      </w:r>
      <w:r w:rsidRPr="00442F26">
        <w:rPr>
          <w:bCs/>
          <w:color w:val="auto"/>
        </w:rPr>
        <w:t xml:space="preserve"> days in culture. Based on this and </w:t>
      </w:r>
      <w:r w:rsidR="00981355" w:rsidRPr="00442F26">
        <w:rPr>
          <w:bCs/>
          <w:color w:val="auto"/>
        </w:rPr>
        <w:t xml:space="preserve">in conjunction with </w:t>
      </w:r>
      <w:r w:rsidR="00E900D8" w:rsidRPr="00442F26">
        <w:rPr>
          <w:bCs/>
          <w:color w:val="auto"/>
        </w:rPr>
        <w:t xml:space="preserve">the sustained </w:t>
      </w:r>
      <w:r w:rsidR="000A04C5" w:rsidRPr="00442F26">
        <w:rPr>
          <w:bCs/>
          <w:color w:val="auto"/>
        </w:rPr>
        <w:t xml:space="preserve">liver-like functionality </w:t>
      </w:r>
      <w:r w:rsidR="00E900D8" w:rsidRPr="00442F26">
        <w:rPr>
          <w:bCs/>
          <w:color w:val="auto"/>
        </w:rPr>
        <w:t>observed over the</w:t>
      </w:r>
      <w:r w:rsidR="00981355" w:rsidRPr="00442F26">
        <w:rPr>
          <w:bCs/>
          <w:color w:val="auto"/>
        </w:rPr>
        <w:t xml:space="preserve"> ≥</w:t>
      </w:r>
      <w:r w:rsidRPr="00442F26">
        <w:rPr>
          <w:bCs/>
          <w:color w:val="auto"/>
        </w:rPr>
        <w:t>14 day culture</w:t>
      </w:r>
      <w:r w:rsidR="00E900D8" w:rsidRPr="00442F26">
        <w:rPr>
          <w:bCs/>
          <w:color w:val="auto"/>
        </w:rPr>
        <w:t xml:space="preserve"> period</w:t>
      </w:r>
      <w:r w:rsidRPr="00442F26">
        <w:rPr>
          <w:bCs/>
          <w:color w:val="auto"/>
        </w:rPr>
        <w:t xml:space="preserve">, </w:t>
      </w:r>
      <w:r w:rsidR="00981355" w:rsidRPr="00442F26">
        <w:rPr>
          <w:bCs/>
          <w:color w:val="auto"/>
        </w:rPr>
        <w:t>this 3D liver spheroid model</w:t>
      </w:r>
      <w:r w:rsidRPr="00442F26">
        <w:rPr>
          <w:bCs/>
          <w:color w:val="auto"/>
        </w:rPr>
        <w:t xml:space="preserve"> can</w:t>
      </w:r>
      <w:r w:rsidR="00981355" w:rsidRPr="00442F26">
        <w:rPr>
          <w:bCs/>
          <w:color w:val="auto"/>
        </w:rPr>
        <w:t xml:space="preserve"> thus</w:t>
      </w:r>
      <w:r w:rsidRPr="00442F26">
        <w:rPr>
          <w:bCs/>
          <w:color w:val="auto"/>
        </w:rPr>
        <w:t xml:space="preserve"> support long-term, repeated ENM exposure regimes</w:t>
      </w:r>
      <w:r w:rsidR="00F770C0" w:rsidRPr="00442F26">
        <w:rPr>
          <w:bCs/>
          <w:color w:val="auto"/>
        </w:rPr>
        <w:t xml:space="preserve"> up to 10 days long (</w:t>
      </w:r>
      <w:r w:rsidR="00725AEE" w:rsidRPr="00442F26">
        <w:rPr>
          <w:bCs/>
          <w:color w:val="auto"/>
        </w:rPr>
        <w:t xml:space="preserve">i.e., </w:t>
      </w:r>
      <w:r w:rsidR="00F770C0" w:rsidRPr="00442F26">
        <w:rPr>
          <w:bCs/>
          <w:color w:val="auto"/>
        </w:rPr>
        <w:t>before viability of the spheroids drop below 70%)</w:t>
      </w:r>
      <w:r w:rsidRPr="00442F26">
        <w:rPr>
          <w:bCs/>
          <w:color w:val="auto"/>
        </w:rPr>
        <w:t>.</w:t>
      </w:r>
      <w:r w:rsidR="00981355" w:rsidRPr="00442F26">
        <w:rPr>
          <w:bCs/>
          <w:color w:val="auto"/>
        </w:rPr>
        <w:t xml:space="preserve"> For reference, it is advised that </w:t>
      </w:r>
      <w:r w:rsidR="00187C3B" w:rsidRPr="00442F26">
        <w:rPr>
          <w:bCs/>
          <w:color w:val="auto"/>
        </w:rPr>
        <w:t>albumin levels for HepG2 spheroids seeded at 4000 cells/spheroid should be ≥0.06</w:t>
      </w:r>
      <w:r w:rsidR="00442F26" w:rsidRPr="00442F26">
        <w:rPr>
          <w:bCs/>
          <w:color w:val="auto"/>
        </w:rPr>
        <w:t xml:space="preserve"> </w:t>
      </w:r>
      <w:r w:rsidR="00187C3B" w:rsidRPr="00442F26">
        <w:rPr>
          <w:bCs/>
          <w:color w:val="auto"/>
        </w:rPr>
        <w:t>mg/</w:t>
      </w:r>
      <w:r w:rsidR="00DA2F20" w:rsidRPr="00442F26">
        <w:rPr>
          <w:bCs/>
          <w:color w:val="auto"/>
        </w:rPr>
        <w:t>mL</w:t>
      </w:r>
      <w:r w:rsidR="00187C3B" w:rsidRPr="00442F26">
        <w:rPr>
          <w:bCs/>
          <w:color w:val="auto"/>
        </w:rPr>
        <w:t xml:space="preserve"> </w:t>
      </w:r>
      <w:r w:rsidR="00981355" w:rsidRPr="00442F26">
        <w:rPr>
          <w:bCs/>
          <w:color w:val="auto"/>
        </w:rPr>
        <w:t>whilst</w:t>
      </w:r>
      <w:r w:rsidR="00187C3B" w:rsidRPr="00442F26">
        <w:rPr>
          <w:bCs/>
          <w:color w:val="auto"/>
        </w:rPr>
        <w:t xml:space="preserve"> urea production should be ≥0.</w:t>
      </w:r>
      <w:r w:rsidR="000A04C5" w:rsidRPr="00442F26">
        <w:rPr>
          <w:bCs/>
          <w:color w:val="auto"/>
        </w:rPr>
        <w:t>4</w:t>
      </w:r>
      <w:r w:rsidR="00442F26" w:rsidRPr="00442F26">
        <w:rPr>
          <w:bCs/>
          <w:color w:val="auto"/>
        </w:rPr>
        <w:t xml:space="preserve"> </w:t>
      </w:r>
      <w:r w:rsidR="00187C3B" w:rsidRPr="00442F26">
        <w:rPr>
          <w:bCs/>
          <w:color w:val="auto"/>
        </w:rPr>
        <w:t>ng/µ</w:t>
      </w:r>
      <w:r w:rsidR="00442F26" w:rsidRPr="00442F26">
        <w:rPr>
          <w:bCs/>
          <w:color w:val="auto"/>
        </w:rPr>
        <w:t>L</w:t>
      </w:r>
      <w:r w:rsidR="00981355" w:rsidRPr="00442F26">
        <w:rPr>
          <w:bCs/>
          <w:color w:val="auto"/>
        </w:rPr>
        <w:t xml:space="preserve"> before conducting an </w:t>
      </w:r>
      <w:r w:rsidR="00725AEE" w:rsidRPr="00442F26">
        <w:rPr>
          <w:bCs/>
          <w:color w:val="auto"/>
        </w:rPr>
        <w:t>in vitro</w:t>
      </w:r>
      <w:r w:rsidR="00981355" w:rsidRPr="00442F26">
        <w:rPr>
          <w:bCs/>
          <w:color w:val="auto"/>
        </w:rPr>
        <w:t xml:space="preserve"> toxicological assessment with this model</w:t>
      </w:r>
      <w:r w:rsidR="00187C3B" w:rsidRPr="00442F26">
        <w:rPr>
          <w:bCs/>
          <w:color w:val="auto"/>
        </w:rPr>
        <w:t>.</w:t>
      </w:r>
      <w:r w:rsidR="008A5DA3" w:rsidRPr="00442F26">
        <w:rPr>
          <w:bCs/>
          <w:color w:val="auto"/>
        </w:rPr>
        <w:t xml:space="preserve"> </w:t>
      </w:r>
    </w:p>
    <w:p w14:paraId="5476DFE3" w14:textId="77777777" w:rsidR="00B328FE" w:rsidRPr="00442F26" w:rsidRDefault="00B328FE" w:rsidP="006F7144">
      <w:pPr>
        <w:contextualSpacing/>
        <w:rPr>
          <w:b/>
          <w:color w:val="auto"/>
          <w:highlight w:val="yellow"/>
        </w:rPr>
      </w:pPr>
    </w:p>
    <w:p w14:paraId="47BEBABD" w14:textId="6E5FEBB9" w:rsidR="00371098" w:rsidRPr="00442F26" w:rsidRDefault="00371098" w:rsidP="006F7144">
      <w:pPr>
        <w:contextualSpacing/>
        <w:rPr>
          <w:b/>
          <w:color w:val="auto"/>
        </w:rPr>
      </w:pPr>
      <w:r w:rsidRPr="00442F26">
        <w:rPr>
          <w:b/>
          <w:color w:val="auto"/>
        </w:rPr>
        <w:t xml:space="preserve">Genotoxicity Assessment of Engineered Nanomaterials </w:t>
      </w:r>
    </w:p>
    <w:p w14:paraId="7C46436B" w14:textId="3FD5159C" w:rsidR="00D7599C" w:rsidRPr="00442F26" w:rsidRDefault="00D7599C" w:rsidP="006F7144">
      <w:pPr>
        <w:contextualSpacing/>
        <w:rPr>
          <w:bCs/>
          <w:color w:val="auto"/>
        </w:rPr>
      </w:pPr>
      <w:r w:rsidRPr="00442F26">
        <w:rPr>
          <w:bCs/>
          <w:color w:val="auto"/>
        </w:rPr>
        <w:t xml:space="preserve">For genotoxicity assessment, the micronucleus assay was used to determine the presence of </w:t>
      </w:r>
      <w:r w:rsidRPr="00442F26">
        <w:rPr>
          <w:bCs/>
          <w:color w:val="auto"/>
        </w:rPr>
        <w:lastRenderedPageBreak/>
        <w:t xml:space="preserve">micronuclei following both acute (24 </w:t>
      </w:r>
      <w:r w:rsidR="00442F26" w:rsidRPr="00442F26">
        <w:rPr>
          <w:bCs/>
          <w:color w:val="auto"/>
        </w:rPr>
        <w:t>h</w:t>
      </w:r>
      <w:r w:rsidRPr="00442F26">
        <w:rPr>
          <w:bCs/>
          <w:color w:val="auto"/>
        </w:rPr>
        <w:t xml:space="preserve">) and long-term (120 </w:t>
      </w:r>
      <w:r w:rsidR="00442F26" w:rsidRPr="00442F26">
        <w:rPr>
          <w:bCs/>
          <w:color w:val="auto"/>
        </w:rPr>
        <w:t>h</w:t>
      </w:r>
      <w:r w:rsidRPr="00442F26">
        <w:rPr>
          <w:bCs/>
          <w:color w:val="auto"/>
        </w:rPr>
        <w:t>) ENM exposures.</w:t>
      </w:r>
      <w:r w:rsidR="00037574" w:rsidRPr="00442F26">
        <w:rPr>
          <w:bCs/>
          <w:color w:val="auto"/>
        </w:rPr>
        <w:t xml:space="preserve"> Afl</w:t>
      </w:r>
      <w:r w:rsidR="00281752" w:rsidRPr="00442F26">
        <w:rPr>
          <w:bCs/>
          <w:color w:val="auto"/>
        </w:rPr>
        <w:t>a</w:t>
      </w:r>
      <w:r w:rsidR="00037574" w:rsidRPr="00442F26">
        <w:rPr>
          <w:bCs/>
          <w:color w:val="auto"/>
        </w:rPr>
        <w:t>toxin B1 is a known liver carcinogen</w:t>
      </w:r>
      <w:r w:rsidR="00037574" w:rsidRPr="00442F26">
        <w:rPr>
          <w:bCs/>
          <w:color w:val="auto"/>
          <w:vertAlign w:val="superscript"/>
        </w:rPr>
        <w:t>1</w:t>
      </w:r>
      <w:r w:rsidR="006E3BDB" w:rsidRPr="00442F26">
        <w:rPr>
          <w:bCs/>
          <w:color w:val="auto"/>
          <w:vertAlign w:val="superscript"/>
        </w:rPr>
        <w:t>6</w:t>
      </w:r>
      <w:r w:rsidR="00037574" w:rsidRPr="00442F26">
        <w:rPr>
          <w:bCs/>
          <w:color w:val="auto"/>
          <w:vertAlign w:val="superscript"/>
        </w:rPr>
        <w:t>,1</w:t>
      </w:r>
      <w:r w:rsidR="006E3BDB" w:rsidRPr="00442F26">
        <w:rPr>
          <w:bCs/>
          <w:color w:val="auto"/>
          <w:vertAlign w:val="superscript"/>
        </w:rPr>
        <w:t>7</w:t>
      </w:r>
      <w:r w:rsidR="00442F26" w:rsidRPr="00442F26">
        <w:rPr>
          <w:bCs/>
          <w:color w:val="auto"/>
        </w:rPr>
        <w:t xml:space="preserve"> </w:t>
      </w:r>
      <w:r w:rsidR="00037574" w:rsidRPr="00442F26">
        <w:rPr>
          <w:bCs/>
          <w:color w:val="auto"/>
        </w:rPr>
        <w:t xml:space="preserve">and is a recommended positive control for the micronucleus assay. </w:t>
      </w:r>
      <w:r w:rsidR="00057FB8" w:rsidRPr="00442F26">
        <w:rPr>
          <w:bCs/>
          <w:color w:val="auto"/>
        </w:rPr>
        <w:t>Optimi</w:t>
      </w:r>
      <w:r w:rsidR="00442F26" w:rsidRPr="00442F26">
        <w:rPr>
          <w:bCs/>
          <w:color w:val="auto"/>
        </w:rPr>
        <w:t>z</w:t>
      </w:r>
      <w:r w:rsidR="00057FB8" w:rsidRPr="00442F26">
        <w:rPr>
          <w:bCs/>
          <w:color w:val="auto"/>
        </w:rPr>
        <w:t>ation experiments have shown that 0.1</w:t>
      </w:r>
      <w:r w:rsidR="00442F26" w:rsidRPr="00442F26">
        <w:rPr>
          <w:bCs/>
          <w:color w:val="auto"/>
        </w:rPr>
        <w:t xml:space="preserve"> µ</w:t>
      </w:r>
      <w:r w:rsidR="00057FB8" w:rsidRPr="00442F26">
        <w:rPr>
          <w:bCs/>
          <w:color w:val="auto"/>
        </w:rPr>
        <w:t xml:space="preserve">M of </w:t>
      </w:r>
      <w:proofErr w:type="spellStart"/>
      <w:r w:rsidR="00281752" w:rsidRPr="00442F26">
        <w:rPr>
          <w:bCs/>
          <w:color w:val="auto"/>
        </w:rPr>
        <w:t>Alfatoxin</w:t>
      </w:r>
      <w:proofErr w:type="spellEnd"/>
      <w:r w:rsidR="00281752" w:rsidRPr="00442F26">
        <w:rPr>
          <w:bCs/>
          <w:color w:val="auto"/>
        </w:rPr>
        <w:t xml:space="preserve"> </w:t>
      </w:r>
      <w:r w:rsidR="00057FB8" w:rsidRPr="00442F26">
        <w:rPr>
          <w:bCs/>
          <w:color w:val="auto"/>
        </w:rPr>
        <w:t>B1 induces a significant positive (≥</w:t>
      </w:r>
      <w:proofErr w:type="gramStart"/>
      <w:r w:rsidR="00057FB8" w:rsidRPr="00442F26">
        <w:rPr>
          <w:bCs/>
          <w:color w:val="auto"/>
        </w:rPr>
        <w:t>2.0 fold</w:t>
      </w:r>
      <w:proofErr w:type="gramEnd"/>
      <w:r w:rsidR="00057FB8" w:rsidRPr="00442F26">
        <w:rPr>
          <w:bCs/>
          <w:color w:val="auto"/>
        </w:rPr>
        <w:t xml:space="preserve"> increase) genotoxic response in 3D HepG2 liver spheroids and thus is used in every micronucleus assay conducted with this model. To ensure the </w:t>
      </w:r>
      <w:r w:rsidR="002A390C" w:rsidRPr="00442F26">
        <w:rPr>
          <w:bCs/>
          <w:color w:val="auto"/>
        </w:rPr>
        <w:t xml:space="preserve">validity of the </w:t>
      </w:r>
      <w:r w:rsidR="00057FB8" w:rsidRPr="00442F26">
        <w:rPr>
          <w:bCs/>
          <w:color w:val="auto"/>
        </w:rPr>
        <w:t xml:space="preserve">micronucleus assay </w:t>
      </w:r>
      <w:r w:rsidR="002A390C" w:rsidRPr="00442F26">
        <w:rPr>
          <w:bCs/>
          <w:color w:val="auto"/>
        </w:rPr>
        <w:t xml:space="preserve">results </w:t>
      </w:r>
      <w:r w:rsidR="002F2AB7" w:rsidRPr="00442F26">
        <w:rPr>
          <w:bCs/>
          <w:color w:val="auto"/>
        </w:rPr>
        <w:t>using the</w:t>
      </w:r>
      <w:r w:rsidR="00057FB8" w:rsidRPr="00442F26">
        <w:rPr>
          <w:bCs/>
          <w:color w:val="auto"/>
        </w:rPr>
        <w:t xml:space="preserve"> HepG2 </w:t>
      </w:r>
      <w:r w:rsidR="002A390C" w:rsidRPr="00442F26">
        <w:rPr>
          <w:bCs/>
          <w:color w:val="auto"/>
        </w:rPr>
        <w:t xml:space="preserve">spheroid </w:t>
      </w:r>
      <w:r w:rsidR="00057FB8" w:rsidRPr="00442F26">
        <w:rPr>
          <w:bCs/>
          <w:color w:val="auto"/>
        </w:rPr>
        <w:t xml:space="preserve">model, </w:t>
      </w:r>
      <w:r w:rsidR="002A390C" w:rsidRPr="00442F26">
        <w:rPr>
          <w:bCs/>
          <w:color w:val="auto"/>
        </w:rPr>
        <w:t xml:space="preserve">the background micronucleus frequency for HepG2 cells used in this 3D </w:t>
      </w:r>
      <w:r w:rsidR="00725AEE" w:rsidRPr="00442F26">
        <w:rPr>
          <w:bCs/>
          <w:color w:val="auto"/>
        </w:rPr>
        <w:t>in vitro</w:t>
      </w:r>
      <w:r w:rsidR="002A390C" w:rsidRPr="00442F26">
        <w:rPr>
          <w:bCs/>
          <w:color w:val="auto"/>
        </w:rPr>
        <w:t xml:space="preserve"> model should lie within a range of 0.6% – 1.2%. </w:t>
      </w:r>
      <w:r w:rsidR="00094A0E" w:rsidRPr="00442F26">
        <w:rPr>
          <w:bCs/>
          <w:color w:val="auto"/>
        </w:rPr>
        <w:t xml:space="preserve">As a result, </w:t>
      </w:r>
      <w:r w:rsidR="00281752" w:rsidRPr="00442F26">
        <w:rPr>
          <w:bCs/>
          <w:color w:val="auto"/>
        </w:rPr>
        <w:t xml:space="preserve">Alfatoxin </w:t>
      </w:r>
      <w:r w:rsidR="002A390C" w:rsidRPr="00442F26">
        <w:rPr>
          <w:bCs/>
          <w:color w:val="auto"/>
        </w:rPr>
        <w:t xml:space="preserve">B1 should induce a genotoxic response </w:t>
      </w:r>
      <w:r w:rsidR="00CD4697" w:rsidRPr="00442F26">
        <w:rPr>
          <w:bCs/>
          <w:color w:val="auto"/>
        </w:rPr>
        <w:t xml:space="preserve">of at least </w:t>
      </w:r>
      <w:r w:rsidR="002A390C" w:rsidRPr="00442F26">
        <w:rPr>
          <w:bCs/>
          <w:color w:val="auto"/>
        </w:rPr>
        <w:t>two-fold higher than that seen with the negative control</w:t>
      </w:r>
      <w:r w:rsidR="00CD4697" w:rsidRPr="00442F26">
        <w:rPr>
          <w:bCs/>
          <w:color w:val="auto"/>
        </w:rPr>
        <w:t>; thus</w:t>
      </w:r>
      <w:r w:rsidR="00094A0E" w:rsidRPr="00442F26">
        <w:rPr>
          <w:bCs/>
          <w:color w:val="auto"/>
        </w:rPr>
        <w:t>,</w:t>
      </w:r>
      <w:r w:rsidR="002A390C" w:rsidRPr="00442F26">
        <w:rPr>
          <w:bCs/>
          <w:color w:val="auto"/>
        </w:rPr>
        <w:t xml:space="preserve"> </w:t>
      </w:r>
      <w:r w:rsidR="00094A0E" w:rsidRPr="00442F26">
        <w:rPr>
          <w:bCs/>
          <w:color w:val="auto"/>
        </w:rPr>
        <w:t>0.1</w:t>
      </w:r>
      <w:r w:rsidR="00442F26" w:rsidRPr="00442F26">
        <w:rPr>
          <w:bCs/>
          <w:color w:val="auto"/>
        </w:rPr>
        <w:t xml:space="preserve"> µ</w:t>
      </w:r>
      <w:r w:rsidR="00094A0E" w:rsidRPr="00442F26">
        <w:rPr>
          <w:bCs/>
          <w:color w:val="auto"/>
        </w:rPr>
        <w:t xml:space="preserve">M of </w:t>
      </w:r>
      <w:proofErr w:type="spellStart"/>
      <w:r w:rsidR="00281752" w:rsidRPr="00442F26">
        <w:rPr>
          <w:bCs/>
          <w:color w:val="auto"/>
        </w:rPr>
        <w:t>Alfatoxin</w:t>
      </w:r>
      <w:proofErr w:type="spellEnd"/>
      <w:r w:rsidR="00281752" w:rsidRPr="00442F26">
        <w:rPr>
          <w:bCs/>
          <w:color w:val="auto"/>
        </w:rPr>
        <w:t xml:space="preserve"> </w:t>
      </w:r>
      <w:r w:rsidR="00094A0E" w:rsidRPr="00442F26">
        <w:rPr>
          <w:bCs/>
          <w:color w:val="auto"/>
        </w:rPr>
        <w:t xml:space="preserve">B1 </w:t>
      </w:r>
      <w:r w:rsidR="002A390C" w:rsidRPr="00442F26">
        <w:rPr>
          <w:bCs/>
          <w:color w:val="auto"/>
        </w:rPr>
        <w:t>should induce a micronuclei frequency between 1.5% – 3.0%.</w:t>
      </w:r>
      <w:r w:rsidR="00C94535" w:rsidRPr="00442F26">
        <w:rPr>
          <w:bCs/>
          <w:color w:val="auto"/>
        </w:rPr>
        <w:t xml:space="preserve"> Using these control parameters, ENM associated genotoxicity </w:t>
      </w:r>
      <w:r w:rsidR="00725AEE" w:rsidRPr="00442F26">
        <w:rPr>
          <w:bCs/>
          <w:color w:val="auto"/>
        </w:rPr>
        <w:t>in vitro</w:t>
      </w:r>
      <w:r w:rsidR="00C94535" w:rsidRPr="00442F26">
        <w:rPr>
          <w:bCs/>
          <w:color w:val="auto"/>
        </w:rPr>
        <w:t xml:space="preserve"> can then be reliably assessed. Based on OECD Test Guideline 487, it is important to note that when testing an ENM or chemical, the concentrations selected should not induce more than 55% ± 5% cytotoxicity (indicated by a reduction in CPBI or RVCC values in relation to the negative control)</w:t>
      </w:r>
      <w:r w:rsidR="001815DD" w:rsidRPr="00442F26">
        <w:rPr>
          <w:bCs/>
          <w:color w:val="auto"/>
          <w:vertAlign w:val="superscript"/>
        </w:rPr>
        <w:t>1</w:t>
      </w:r>
      <w:r w:rsidR="006E3BDB" w:rsidRPr="00442F26">
        <w:rPr>
          <w:bCs/>
          <w:color w:val="auto"/>
          <w:vertAlign w:val="superscript"/>
        </w:rPr>
        <w:t>1</w:t>
      </w:r>
      <w:r w:rsidR="00C94535" w:rsidRPr="00442F26">
        <w:rPr>
          <w:bCs/>
          <w:color w:val="auto"/>
        </w:rPr>
        <w:t xml:space="preserve">. </w:t>
      </w:r>
      <w:r w:rsidR="00281752" w:rsidRPr="00442F26">
        <w:rPr>
          <w:b/>
          <w:color w:val="auto"/>
        </w:rPr>
        <w:t>Figure 7</w:t>
      </w:r>
      <w:r w:rsidR="00281752" w:rsidRPr="00442F26">
        <w:rPr>
          <w:bCs/>
          <w:color w:val="auto"/>
        </w:rPr>
        <w:t xml:space="preserve"> illustrates the data generated when Aflatoxin B1 and two ENMs (titanium dioxide (TiO</w:t>
      </w:r>
      <w:r w:rsidR="00281752" w:rsidRPr="00442F26">
        <w:rPr>
          <w:bCs/>
          <w:color w:val="auto"/>
          <w:vertAlign w:val="subscript"/>
        </w:rPr>
        <w:t>2</w:t>
      </w:r>
      <w:r w:rsidR="00281752" w:rsidRPr="00442F26">
        <w:rPr>
          <w:bCs/>
          <w:color w:val="auto"/>
        </w:rPr>
        <w:t xml:space="preserve">) and sliver (Ag)) were evaluated following both acute and long-term exposures in the HepG2 spheroids, and subsequent genotoxic potential was analyzed using the micronucleus assay. </w:t>
      </w:r>
      <w:r w:rsidR="00057B52" w:rsidRPr="00442F26">
        <w:rPr>
          <w:bCs/>
          <w:color w:val="auto"/>
        </w:rPr>
        <w:t>Both</w:t>
      </w:r>
      <w:r w:rsidR="00FC6AF8" w:rsidRPr="00442F26">
        <w:rPr>
          <w:bCs/>
          <w:color w:val="auto"/>
        </w:rPr>
        <w:t xml:space="preserve"> ENMs assessed were tested at a noncytotoxic, low</w:t>
      </w:r>
      <w:r w:rsidR="00442F26" w:rsidRPr="00442F26">
        <w:rPr>
          <w:bCs/>
          <w:color w:val="auto"/>
        </w:rPr>
        <w:t xml:space="preserve"> </w:t>
      </w:r>
      <w:r w:rsidR="00FC6AF8" w:rsidRPr="00442F26">
        <w:rPr>
          <w:bCs/>
          <w:color w:val="auto"/>
        </w:rPr>
        <w:t>dose of 5</w:t>
      </w:r>
      <w:r w:rsidR="00C945C0" w:rsidRPr="00442F26">
        <w:rPr>
          <w:bCs/>
          <w:color w:val="auto"/>
        </w:rPr>
        <w:t>.00</w:t>
      </w:r>
      <w:r w:rsidR="00442F26" w:rsidRPr="00442F26">
        <w:rPr>
          <w:bCs/>
          <w:color w:val="auto"/>
        </w:rPr>
        <w:t xml:space="preserve"> µ</w:t>
      </w:r>
      <w:r w:rsidR="00FC6AF8" w:rsidRPr="00442F26">
        <w:rPr>
          <w:bCs/>
          <w:color w:val="auto"/>
        </w:rPr>
        <w:t xml:space="preserve">g/mL </w:t>
      </w:r>
      <w:r w:rsidR="00F7270C" w:rsidRPr="00442F26">
        <w:rPr>
          <w:bCs/>
          <w:color w:val="auto"/>
        </w:rPr>
        <w:t>over</w:t>
      </w:r>
      <w:r w:rsidR="00FC6AF8" w:rsidRPr="00442F26">
        <w:rPr>
          <w:bCs/>
          <w:color w:val="auto"/>
        </w:rPr>
        <w:t xml:space="preserve"> a</w:t>
      </w:r>
      <w:r w:rsidR="00057B52" w:rsidRPr="00442F26">
        <w:rPr>
          <w:bCs/>
          <w:color w:val="auto"/>
        </w:rPr>
        <w:t xml:space="preserve">n </w:t>
      </w:r>
      <w:r w:rsidR="00FC6AF8" w:rsidRPr="00442F26">
        <w:rPr>
          <w:bCs/>
          <w:color w:val="auto"/>
        </w:rPr>
        <w:t xml:space="preserve">acute </w:t>
      </w:r>
      <w:r w:rsidR="00057B52" w:rsidRPr="00442F26">
        <w:rPr>
          <w:bCs/>
          <w:color w:val="auto"/>
        </w:rPr>
        <w:t xml:space="preserve">(24 </w:t>
      </w:r>
      <w:r w:rsidR="00442F26" w:rsidRPr="00442F26">
        <w:rPr>
          <w:bCs/>
          <w:color w:val="auto"/>
        </w:rPr>
        <w:t>h</w:t>
      </w:r>
      <w:r w:rsidR="00057B52" w:rsidRPr="00442F26">
        <w:rPr>
          <w:bCs/>
          <w:color w:val="auto"/>
        </w:rPr>
        <w:t xml:space="preserve">) </w:t>
      </w:r>
      <w:r w:rsidR="00FC6AF8" w:rsidRPr="00442F26">
        <w:rPr>
          <w:bCs/>
          <w:color w:val="auto"/>
        </w:rPr>
        <w:t xml:space="preserve">exposure and long-term </w:t>
      </w:r>
      <w:r w:rsidR="00057B52" w:rsidRPr="00442F26">
        <w:rPr>
          <w:bCs/>
          <w:color w:val="auto"/>
        </w:rPr>
        <w:t xml:space="preserve">(120 </w:t>
      </w:r>
      <w:r w:rsidR="00442F26" w:rsidRPr="00442F26">
        <w:rPr>
          <w:bCs/>
          <w:color w:val="auto"/>
        </w:rPr>
        <w:t>h</w:t>
      </w:r>
      <w:r w:rsidR="00057B52" w:rsidRPr="00442F26">
        <w:rPr>
          <w:bCs/>
          <w:color w:val="auto"/>
        </w:rPr>
        <w:t>)</w:t>
      </w:r>
      <w:r w:rsidR="00C945C0" w:rsidRPr="00442F26">
        <w:rPr>
          <w:bCs/>
          <w:color w:val="auto"/>
        </w:rPr>
        <w:t xml:space="preserve"> </w:t>
      </w:r>
      <w:r w:rsidR="00FC6AF8" w:rsidRPr="00442F26">
        <w:rPr>
          <w:bCs/>
          <w:color w:val="auto"/>
        </w:rPr>
        <w:t>exposure</w:t>
      </w:r>
      <w:r w:rsidR="00C945C0" w:rsidRPr="00442F26">
        <w:rPr>
          <w:bCs/>
          <w:color w:val="auto"/>
        </w:rPr>
        <w:t xml:space="preserve"> regime</w:t>
      </w:r>
      <w:r w:rsidR="00FC6AF8" w:rsidRPr="00442F26">
        <w:rPr>
          <w:bCs/>
          <w:color w:val="auto"/>
        </w:rPr>
        <w:t xml:space="preserve">. A similar trend </w:t>
      </w:r>
      <w:r w:rsidR="00F7270C" w:rsidRPr="00442F26">
        <w:rPr>
          <w:bCs/>
          <w:color w:val="auto"/>
        </w:rPr>
        <w:t xml:space="preserve">for genotoxicity </w:t>
      </w:r>
      <w:r w:rsidR="00FC6AF8" w:rsidRPr="00442F26">
        <w:rPr>
          <w:bCs/>
          <w:color w:val="auto"/>
        </w:rPr>
        <w:t>across both</w:t>
      </w:r>
      <w:r w:rsidR="00C945C0" w:rsidRPr="00442F26">
        <w:rPr>
          <w:bCs/>
          <w:color w:val="auto"/>
        </w:rPr>
        <w:t xml:space="preserve"> TiO</w:t>
      </w:r>
      <w:r w:rsidR="00C945C0" w:rsidRPr="00442F26">
        <w:rPr>
          <w:bCs/>
          <w:color w:val="auto"/>
          <w:vertAlign w:val="subscript"/>
        </w:rPr>
        <w:t>2</w:t>
      </w:r>
      <w:r w:rsidR="00C945C0" w:rsidRPr="00442F26">
        <w:rPr>
          <w:bCs/>
          <w:color w:val="auto"/>
        </w:rPr>
        <w:t xml:space="preserve"> and Ag</w:t>
      </w:r>
      <w:r w:rsidR="00FC6AF8" w:rsidRPr="00442F26">
        <w:rPr>
          <w:bCs/>
          <w:color w:val="auto"/>
        </w:rPr>
        <w:t xml:space="preserve"> ENMs can be observed, whereby </w:t>
      </w:r>
      <w:r w:rsidR="00C945C0" w:rsidRPr="00442F26">
        <w:rPr>
          <w:bCs/>
          <w:color w:val="auto"/>
        </w:rPr>
        <w:t xml:space="preserve">the </w:t>
      </w:r>
      <w:r w:rsidR="002B6FE1" w:rsidRPr="00442F26">
        <w:rPr>
          <w:bCs/>
          <w:color w:val="auto"/>
        </w:rPr>
        <w:t>elevated</w:t>
      </w:r>
      <w:r w:rsidR="00FC6AF8" w:rsidRPr="00442F26">
        <w:rPr>
          <w:bCs/>
          <w:color w:val="auto"/>
        </w:rPr>
        <w:t xml:space="preserve"> genotoxic</w:t>
      </w:r>
      <w:r w:rsidR="002B6FE1" w:rsidRPr="00442F26">
        <w:rPr>
          <w:bCs/>
          <w:color w:val="auto"/>
        </w:rPr>
        <w:t>ity</w:t>
      </w:r>
      <w:r w:rsidR="00FC6AF8" w:rsidRPr="00442F26">
        <w:rPr>
          <w:bCs/>
          <w:color w:val="auto"/>
        </w:rPr>
        <w:t xml:space="preserve"> response </w:t>
      </w:r>
      <w:r w:rsidR="00F7270C" w:rsidRPr="00442F26">
        <w:rPr>
          <w:bCs/>
          <w:color w:val="auto"/>
        </w:rPr>
        <w:t>that resulted</w:t>
      </w:r>
      <w:r w:rsidR="00FC6AF8" w:rsidRPr="00442F26">
        <w:rPr>
          <w:bCs/>
          <w:color w:val="auto"/>
        </w:rPr>
        <w:t xml:space="preserve"> </w:t>
      </w:r>
      <w:r w:rsidR="00260662" w:rsidRPr="00442F26">
        <w:rPr>
          <w:bCs/>
          <w:color w:val="auto"/>
        </w:rPr>
        <w:t xml:space="preserve">following 24 </w:t>
      </w:r>
      <w:r w:rsidR="00442F26" w:rsidRPr="00442F26">
        <w:rPr>
          <w:bCs/>
          <w:color w:val="auto"/>
        </w:rPr>
        <w:t>h</w:t>
      </w:r>
      <w:r w:rsidR="00FF50C1" w:rsidRPr="00442F26">
        <w:rPr>
          <w:bCs/>
          <w:color w:val="auto"/>
        </w:rPr>
        <w:t xml:space="preserve"> exposure</w:t>
      </w:r>
      <w:r w:rsidR="00FC6AF8" w:rsidRPr="00442F26">
        <w:rPr>
          <w:bCs/>
          <w:color w:val="auto"/>
        </w:rPr>
        <w:t xml:space="preserve"> </w:t>
      </w:r>
      <w:r w:rsidR="00F7270C" w:rsidRPr="00442F26">
        <w:rPr>
          <w:bCs/>
          <w:color w:val="auto"/>
        </w:rPr>
        <w:t>was not evident</w:t>
      </w:r>
      <w:r w:rsidR="00FF50C1" w:rsidRPr="00442F26">
        <w:rPr>
          <w:bCs/>
          <w:color w:val="auto"/>
        </w:rPr>
        <w:t xml:space="preserve"> </w:t>
      </w:r>
      <w:r w:rsidR="00260662" w:rsidRPr="00442F26">
        <w:rPr>
          <w:bCs/>
          <w:color w:val="auto"/>
        </w:rPr>
        <w:t>after a long-term</w:t>
      </w:r>
      <w:r w:rsidR="00FC6AF8" w:rsidRPr="00442F26">
        <w:rPr>
          <w:bCs/>
          <w:color w:val="auto"/>
        </w:rPr>
        <w:t xml:space="preserve"> </w:t>
      </w:r>
      <w:proofErr w:type="gramStart"/>
      <w:r w:rsidR="00260662" w:rsidRPr="00442F26">
        <w:rPr>
          <w:bCs/>
          <w:color w:val="auto"/>
        </w:rPr>
        <w:t>5 day</w:t>
      </w:r>
      <w:proofErr w:type="gramEnd"/>
      <w:r w:rsidR="00260662" w:rsidRPr="00442F26">
        <w:rPr>
          <w:bCs/>
          <w:color w:val="auto"/>
        </w:rPr>
        <w:t xml:space="preserve"> </w:t>
      </w:r>
      <w:r w:rsidR="00FC6AF8" w:rsidRPr="00442F26">
        <w:rPr>
          <w:bCs/>
          <w:color w:val="auto"/>
        </w:rPr>
        <w:t>exposure</w:t>
      </w:r>
      <w:r w:rsidR="00F7270C" w:rsidRPr="00442F26">
        <w:rPr>
          <w:bCs/>
          <w:color w:val="auto"/>
        </w:rPr>
        <w:t>. This was despite sustained genotoxicity induced by the Aflatoxin B1 positive control at both time-points</w:t>
      </w:r>
      <w:r w:rsidR="00FC6AF8" w:rsidRPr="00442F26">
        <w:rPr>
          <w:bCs/>
          <w:color w:val="auto"/>
        </w:rPr>
        <w:t xml:space="preserve">. </w:t>
      </w:r>
    </w:p>
    <w:p w14:paraId="64737A37" w14:textId="77777777" w:rsidR="00442F26" w:rsidRPr="00442F26" w:rsidRDefault="00442F26" w:rsidP="006F7144">
      <w:pPr>
        <w:contextualSpacing/>
        <w:rPr>
          <w:bCs/>
          <w:color w:val="auto"/>
        </w:rPr>
      </w:pPr>
    </w:p>
    <w:p w14:paraId="18F2A802" w14:textId="3FEB9978" w:rsidR="00082FBE" w:rsidRPr="00442F26" w:rsidRDefault="00082FBE" w:rsidP="006F7144">
      <w:pPr>
        <w:pStyle w:val="Caption"/>
        <w:spacing w:before="0" w:after="0"/>
        <w:contextualSpacing/>
        <w:rPr>
          <w:rFonts w:ascii="Calibri" w:hAnsi="Calibri" w:cs="Calibri"/>
          <w:i w:val="0"/>
          <w:noProof/>
          <w:sz w:val="24"/>
          <w:szCs w:val="24"/>
          <w:lang w:val="en-GB"/>
        </w:rPr>
      </w:pPr>
      <w:r w:rsidRPr="00442F26">
        <w:rPr>
          <w:rFonts w:ascii="Calibri" w:hAnsi="Calibri" w:cs="Calibri"/>
          <w:b/>
          <w:bCs w:val="0"/>
          <w:i w:val="0"/>
          <w:sz w:val="24"/>
          <w:szCs w:val="24"/>
          <w:lang w:val="en-GB"/>
        </w:rPr>
        <w:t>Figure 1</w:t>
      </w:r>
      <w:r w:rsidRPr="00442F26">
        <w:rPr>
          <w:rFonts w:ascii="Calibri" w:hAnsi="Calibri" w:cs="Calibri"/>
          <w:i w:val="0"/>
          <w:sz w:val="24"/>
          <w:szCs w:val="24"/>
          <w:lang w:val="en-GB"/>
        </w:rPr>
        <w:t xml:space="preserve">: </w:t>
      </w:r>
      <w:r w:rsidRPr="00442F26">
        <w:rPr>
          <w:rFonts w:ascii="Calibri" w:hAnsi="Calibri" w:cs="Calibri"/>
          <w:b/>
          <w:bCs w:val="0"/>
          <w:i w:val="0"/>
          <w:sz w:val="24"/>
          <w:szCs w:val="24"/>
          <w:lang w:val="en-GB"/>
        </w:rPr>
        <w:t xml:space="preserve">Counting cells using a </w:t>
      </w:r>
      <w:r w:rsidR="00442F26">
        <w:rPr>
          <w:rFonts w:ascii="Calibri" w:hAnsi="Calibri" w:cs="Calibri"/>
          <w:b/>
          <w:bCs w:val="0"/>
          <w:i w:val="0"/>
          <w:sz w:val="24"/>
          <w:szCs w:val="24"/>
          <w:lang w:val="en-GB"/>
        </w:rPr>
        <w:t>h</w:t>
      </w:r>
      <w:r w:rsidRPr="00442F26">
        <w:rPr>
          <w:rFonts w:ascii="Calibri" w:hAnsi="Calibri" w:cs="Calibri"/>
          <w:b/>
          <w:bCs w:val="0"/>
          <w:i w:val="0"/>
          <w:sz w:val="24"/>
          <w:szCs w:val="24"/>
          <w:lang w:val="en-GB"/>
        </w:rPr>
        <w:t>aemocytometer.</w:t>
      </w:r>
      <w:r w:rsidRPr="00442F26">
        <w:rPr>
          <w:rFonts w:ascii="Calibri" w:hAnsi="Calibri" w:cs="Calibri"/>
          <w:i w:val="0"/>
          <w:sz w:val="24"/>
          <w:szCs w:val="24"/>
          <w:lang w:val="en-GB"/>
        </w:rPr>
        <w:t xml:space="preserve"> Diagrammatic representation of a haemocytometer highlighting which quadrant to count cells from.</w:t>
      </w:r>
      <w:r w:rsidRPr="00442F26">
        <w:rPr>
          <w:rFonts w:ascii="Calibri" w:hAnsi="Calibri" w:cs="Calibri"/>
          <w:i w:val="0"/>
          <w:noProof/>
          <w:sz w:val="24"/>
          <w:szCs w:val="24"/>
          <w:lang w:val="en-GB"/>
        </w:rPr>
        <w:t xml:space="preserve"> </w:t>
      </w:r>
    </w:p>
    <w:p w14:paraId="10F23524" w14:textId="77777777" w:rsidR="00442F26" w:rsidRPr="00442F26" w:rsidRDefault="00442F26" w:rsidP="00442F26">
      <w:pPr>
        <w:rPr>
          <w:color w:val="auto"/>
          <w:lang w:val="en-GB" w:eastAsia="fr-FR"/>
        </w:rPr>
      </w:pPr>
    </w:p>
    <w:p w14:paraId="42067BF2" w14:textId="09A04C03" w:rsidR="00082FBE" w:rsidRPr="00442F26" w:rsidRDefault="00082FBE" w:rsidP="006F7144">
      <w:pPr>
        <w:contextualSpacing/>
        <w:rPr>
          <w:iCs/>
          <w:color w:val="auto"/>
          <w:lang w:val="en-GB"/>
        </w:rPr>
      </w:pPr>
      <w:r w:rsidRPr="00442F26">
        <w:rPr>
          <w:b/>
          <w:iCs/>
          <w:color w:val="auto"/>
          <w:lang w:val="en-GB"/>
        </w:rPr>
        <w:t>Figure 2</w:t>
      </w:r>
      <w:r w:rsidRPr="00442F26">
        <w:rPr>
          <w:iCs/>
          <w:color w:val="auto"/>
          <w:lang w:val="en-GB"/>
        </w:rPr>
        <w:t xml:space="preserve">: </w:t>
      </w:r>
      <w:r w:rsidRPr="00442F26">
        <w:rPr>
          <w:b/>
          <w:bCs/>
          <w:iCs/>
          <w:color w:val="auto"/>
          <w:lang w:val="en-GB"/>
        </w:rPr>
        <w:t xml:space="preserve">3D HepG2 </w:t>
      </w:r>
      <w:r w:rsidR="00442F26" w:rsidRPr="00442F26">
        <w:rPr>
          <w:b/>
          <w:bCs/>
          <w:iCs/>
          <w:color w:val="auto"/>
          <w:lang w:val="en-GB"/>
        </w:rPr>
        <w:t>in vitro spheroid model preparation</w:t>
      </w:r>
      <w:r w:rsidRPr="00442F26">
        <w:rPr>
          <w:b/>
          <w:bCs/>
          <w:iCs/>
          <w:color w:val="auto"/>
          <w:lang w:val="en-GB"/>
        </w:rPr>
        <w:t>.</w:t>
      </w:r>
      <w:r w:rsidRPr="00442F26">
        <w:rPr>
          <w:iCs/>
          <w:color w:val="auto"/>
          <w:lang w:val="en-GB"/>
        </w:rPr>
        <w:t xml:space="preserve"> (</w:t>
      </w:r>
      <w:r w:rsidRPr="00442F26">
        <w:rPr>
          <w:b/>
          <w:bCs/>
          <w:iCs/>
          <w:color w:val="auto"/>
          <w:lang w:val="en-GB"/>
        </w:rPr>
        <w:t>A</w:t>
      </w:r>
      <w:r w:rsidRPr="00442F26">
        <w:rPr>
          <w:iCs/>
          <w:color w:val="auto"/>
          <w:lang w:val="en-GB"/>
        </w:rPr>
        <w:t xml:space="preserve">) </w:t>
      </w:r>
      <w:r w:rsidR="00442F26" w:rsidRPr="00442F26">
        <w:rPr>
          <w:iCs/>
          <w:color w:val="auto"/>
          <w:lang w:val="en-GB"/>
        </w:rPr>
        <w:t>T</w:t>
      </w:r>
      <w:r w:rsidRPr="00442F26">
        <w:rPr>
          <w:iCs/>
          <w:color w:val="auto"/>
          <w:lang w:val="en-GB"/>
        </w:rPr>
        <w:t>he HepG2 cells seeded in 20</w:t>
      </w:r>
      <w:r w:rsidR="00442F26" w:rsidRPr="00442F26">
        <w:rPr>
          <w:iCs/>
          <w:color w:val="auto"/>
          <w:lang w:val="en-GB"/>
        </w:rPr>
        <w:t xml:space="preserve"> </w:t>
      </w:r>
      <w:r w:rsidR="00442F26" w:rsidRPr="00442F26">
        <w:rPr>
          <w:rFonts w:eastAsia="Calibri"/>
          <w:bCs/>
          <w:iCs/>
          <w:color w:val="auto"/>
          <w:lang w:val="en-GB"/>
        </w:rPr>
        <w:t>µL</w:t>
      </w:r>
      <w:r w:rsidR="00442F26" w:rsidRPr="00442F26">
        <w:rPr>
          <w:color w:val="auto"/>
        </w:rPr>
        <w:t xml:space="preserve"> </w:t>
      </w:r>
      <w:r w:rsidRPr="00442F26">
        <w:rPr>
          <w:iCs/>
          <w:color w:val="auto"/>
          <w:lang w:val="en-GB"/>
        </w:rPr>
        <w:t>drops onto the lid of a 96-well plate</w:t>
      </w:r>
      <w:r w:rsidR="00442F26" w:rsidRPr="00442F26">
        <w:rPr>
          <w:iCs/>
          <w:color w:val="auto"/>
          <w:lang w:val="en-GB"/>
        </w:rPr>
        <w:t xml:space="preserve">. </w:t>
      </w:r>
      <w:r w:rsidRPr="00442F26">
        <w:rPr>
          <w:iCs/>
          <w:color w:val="auto"/>
          <w:lang w:val="en-GB"/>
        </w:rPr>
        <w:t>(</w:t>
      </w:r>
      <w:r w:rsidRPr="00442F26">
        <w:rPr>
          <w:b/>
          <w:bCs/>
          <w:iCs/>
          <w:color w:val="auto"/>
          <w:lang w:val="en-GB"/>
        </w:rPr>
        <w:t>B</w:t>
      </w:r>
      <w:r w:rsidRPr="00442F26">
        <w:rPr>
          <w:iCs/>
          <w:color w:val="auto"/>
          <w:lang w:val="en-GB"/>
        </w:rPr>
        <w:t xml:space="preserve">) </w:t>
      </w:r>
      <w:r w:rsidR="00442F26" w:rsidRPr="00442F26">
        <w:rPr>
          <w:iCs/>
          <w:color w:val="auto"/>
          <w:lang w:val="en-GB"/>
        </w:rPr>
        <w:t>T</w:t>
      </w:r>
      <w:r w:rsidRPr="00442F26">
        <w:rPr>
          <w:iCs/>
          <w:color w:val="auto"/>
          <w:lang w:val="en-GB"/>
        </w:rPr>
        <w:t>he HepG2 cells post-seeding in the hanging drop model to allow for spheroid formation.</w:t>
      </w:r>
    </w:p>
    <w:p w14:paraId="00D3CAAF" w14:textId="77777777" w:rsidR="00082FBE" w:rsidRPr="00442F26" w:rsidRDefault="00082FBE" w:rsidP="006F7144">
      <w:pPr>
        <w:contextualSpacing/>
        <w:rPr>
          <w:color w:val="auto"/>
          <w:lang w:val="en-GB" w:eastAsia="fr-FR"/>
        </w:rPr>
      </w:pPr>
    </w:p>
    <w:p w14:paraId="3BB55955" w14:textId="7C220AB0" w:rsidR="00082FBE" w:rsidRPr="00442F26" w:rsidRDefault="00082FBE" w:rsidP="006F7144">
      <w:pPr>
        <w:contextualSpacing/>
        <w:rPr>
          <w:iCs/>
          <w:color w:val="auto"/>
          <w:lang w:val="en-GB"/>
        </w:rPr>
      </w:pPr>
      <w:r w:rsidRPr="00442F26">
        <w:rPr>
          <w:b/>
          <w:iCs/>
          <w:color w:val="auto"/>
          <w:lang w:val="en-GB"/>
        </w:rPr>
        <w:t>Figure 3</w:t>
      </w:r>
      <w:r w:rsidRPr="00442F26">
        <w:rPr>
          <w:iCs/>
          <w:color w:val="auto"/>
          <w:lang w:val="en-GB"/>
        </w:rPr>
        <w:t xml:space="preserve">: </w:t>
      </w:r>
      <w:proofErr w:type="spellStart"/>
      <w:r w:rsidRPr="00442F26">
        <w:rPr>
          <w:b/>
          <w:bCs/>
          <w:iCs/>
          <w:color w:val="auto"/>
          <w:lang w:val="en-GB"/>
        </w:rPr>
        <w:t>Cytospin</w:t>
      </w:r>
      <w:proofErr w:type="spellEnd"/>
      <w:r w:rsidRPr="00442F26">
        <w:rPr>
          <w:b/>
          <w:bCs/>
          <w:iCs/>
          <w:color w:val="auto"/>
          <w:lang w:val="en-GB"/>
        </w:rPr>
        <w:t xml:space="preserve"> </w:t>
      </w:r>
      <w:r w:rsidR="00442F26" w:rsidRPr="00442F26">
        <w:rPr>
          <w:b/>
          <w:bCs/>
          <w:iCs/>
          <w:color w:val="auto"/>
          <w:lang w:val="en-GB"/>
        </w:rPr>
        <w:t>setup to prepare treated cells on microscope slid</w:t>
      </w:r>
      <w:r w:rsidRPr="00442F26">
        <w:rPr>
          <w:b/>
          <w:bCs/>
          <w:iCs/>
          <w:color w:val="auto"/>
          <w:lang w:val="en-GB"/>
        </w:rPr>
        <w:t>es.</w:t>
      </w:r>
      <w:r w:rsidRPr="00442F26">
        <w:rPr>
          <w:iCs/>
          <w:color w:val="auto"/>
          <w:lang w:val="en-GB"/>
        </w:rPr>
        <w:t xml:space="preserve"> (</w:t>
      </w:r>
      <w:r w:rsidRPr="00442F26">
        <w:rPr>
          <w:b/>
          <w:bCs/>
          <w:iCs/>
          <w:color w:val="auto"/>
          <w:lang w:val="en-GB"/>
        </w:rPr>
        <w:t>A</w:t>
      </w:r>
      <w:r w:rsidRPr="00442F26">
        <w:rPr>
          <w:iCs/>
          <w:color w:val="auto"/>
          <w:lang w:val="en-GB"/>
        </w:rPr>
        <w:t>) Displays the individual components, (</w:t>
      </w:r>
      <w:proofErr w:type="spellStart"/>
      <w:r w:rsidRPr="00442F26">
        <w:rPr>
          <w:iCs/>
          <w:color w:val="auto"/>
          <w:lang w:val="en-GB"/>
        </w:rPr>
        <w:t>i</w:t>
      </w:r>
      <w:proofErr w:type="spellEnd"/>
      <w:r w:rsidRPr="00442F26">
        <w:rPr>
          <w:iCs/>
          <w:color w:val="auto"/>
          <w:lang w:val="en-GB"/>
        </w:rPr>
        <w:t xml:space="preserve">) cuvette funnel, (ii) filter card, (iii) glass microscope slide and (iv) metal support required to </w:t>
      </w:r>
      <w:proofErr w:type="spellStart"/>
      <w:r w:rsidRPr="00442F26">
        <w:rPr>
          <w:iCs/>
          <w:color w:val="auto"/>
          <w:lang w:val="en-GB"/>
        </w:rPr>
        <w:t>cytospin</w:t>
      </w:r>
      <w:proofErr w:type="spellEnd"/>
      <w:r w:rsidRPr="00442F26">
        <w:rPr>
          <w:iCs/>
          <w:color w:val="auto"/>
          <w:lang w:val="en-GB"/>
        </w:rPr>
        <w:t xml:space="preserve"> HepG2 cells onto microscope slides</w:t>
      </w:r>
      <w:r w:rsidR="00442F26" w:rsidRPr="00442F26">
        <w:rPr>
          <w:iCs/>
          <w:color w:val="auto"/>
          <w:lang w:val="en-GB"/>
        </w:rPr>
        <w:t>.</w:t>
      </w:r>
      <w:r w:rsidRPr="00442F26">
        <w:rPr>
          <w:iCs/>
          <w:color w:val="auto"/>
          <w:lang w:val="en-GB"/>
        </w:rPr>
        <w:t xml:space="preserve"> (</w:t>
      </w:r>
      <w:r w:rsidRPr="00442F26">
        <w:rPr>
          <w:b/>
          <w:bCs/>
          <w:iCs/>
          <w:color w:val="auto"/>
          <w:lang w:val="en-GB"/>
        </w:rPr>
        <w:t>B</w:t>
      </w:r>
      <w:r w:rsidRPr="00442F26">
        <w:rPr>
          <w:iCs/>
          <w:color w:val="auto"/>
          <w:lang w:val="en-GB"/>
        </w:rPr>
        <w:t xml:space="preserve">) </w:t>
      </w:r>
      <w:r w:rsidR="00442F26" w:rsidRPr="00442F26">
        <w:rPr>
          <w:iCs/>
          <w:color w:val="auto"/>
          <w:lang w:val="en-GB"/>
        </w:rPr>
        <w:t>T</w:t>
      </w:r>
      <w:r w:rsidRPr="00442F26">
        <w:rPr>
          <w:iCs/>
          <w:color w:val="auto"/>
          <w:lang w:val="en-GB"/>
        </w:rPr>
        <w:t>he final cuvette funnel set up</w:t>
      </w:r>
      <w:r w:rsidR="00442F26" w:rsidRPr="00442F26">
        <w:rPr>
          <w:iCs/>
          <w:color w:val="auto"/>
          <w:lang w:val="en-GB"/>
        </w:rPr>
        <w:t>.</w:t>
      </w:r>
      <w:r w:rsidRPr="00442F26">
        <w:rPr>
          <w:iCs/>
          <w:color w:val="auto"/>
          <w:lang w:val="en-GB"/>
        </w:rPr>
        <w:t xml:space="preserve"> (</w:t>
      </w:r>
      <w:r w:rsidRPr="00442F26">
        <w:rPr>
          <w:b/>
          <w:bCs/>
          <w:iCs/>
          <w:color w:val="auto"/>
          <w:lang w:val="en-GB"/>
        </w:rPr>
        <w:t>C</w:t>
      </w:r>
      <w:r w:rsidRPr="00442F26">
        <w:rPr>
          <w:iCs/>
          <w:color w:val="auto"/>
          <w:lang w:val="en-GB"/>
        </w:rPr>
        <w:t xml:space="preserve">) </w:t>
      </w:r>
      <w:r w:rsidR="00442F26" w:rsidRPr="00442F26">
        <w:rPr>
          <w:iCs/>
          <w:color w:val="auto"/>
          <w:lang w:val="en-GB"/>
        </w:rPr>
        <w:t>T</w:t>
      </w:r>
      <w:r w:rsidRPr="00442F26">
        <w:rPr>
          <w:iCs/>
          <w:color w:val="auto"/>
          <w:lang w:val="en-GB"/>
        </w:rPr>
        <w:t>he correct placement of the cuvette funnel within the cytocentrifuge.</w:t>
      </w:r>
    </w:p>
    <w:p w14:paraId="7103B897" w14:textId="77777777" w:rsidR="00082FBE" w:rsidRPr="00442F26" w:rsidRDefault="00082FBE" w:rsidP="006F7144">
      <w:pPr>
        <w:contextualSpacing/>
        <w:rPr>
          <w:color w:val="auto"/>
          <w:lang w:val="en-GB" w:eastAsia="fr-FR"/>
        </w:rPr>
      </w:pPr>
    </w:p>
    <w:p w14:paraId="48737F52" w14:textId="3CC7A369" w:rsidR="00082FBE" w:rsidRPr="00442F26" w:rsidRDefault="00082FBE" w:rsidP="006F7144">
      <w:pPr>
        <w:contextualSpacing/>
        <w:rPr>
          <w:iCs/>
          <w:color w:val="auto"/>
          <w:lang w:val="en-GB"/>
        </w:rPr>
      </w:pPr>
      <w:r w:rsidRPr="00442F26">
        <w:rPr>
          <w:b/>
          <w:iCs/>
          <w:color w:val="auto"/>
          <w:lang w:val="en-GB"/>
        </w:rPr>
        <w:t>Figure 4</w:t>
      </w:r>
      <w:r w:rsidRPr="00442F26">
        <w:rPr>
          <w:iCs/>
          <w:color w:val="auto"/>
          <w:lang w:val="en-GB"/>
        </w:rPr>
        <w:t xml:space="preserve">: </w:t>
      </w:r>
      <w:r w:rsidRPr="00442F26">
        <w:rPr>
          <w:b/>
          <w:bCs/>
          <w:iCs/>
          <w:color w:val="auto"/>
          <w:lang w:val="en-GB"/>
        </w:rPr>
        <w:t xml:space="preserve">Micronucleus </w:t>
      </w:r>
      <w:r w:rsidR="00442F26" w:rsidRPr="00442F26">
        <w:rPr>
          <w:b/>
          <w:bCs/>
          <w:iCs/>
          <w:color w:val="auto"/>
          <w:lang w:val="en-GB"/>
        </w:rPr>
        <w:t>assay scoring decision tree</w:t>
      </w:r>
      <w:r w:rsidRPr="00442F26">
        <w:rPr>
          <w:b/>
          <w:bCs/>
          <w:iCs/>
          <w:color w:val="auto"/>
          <w:lang w:val="en-GB"/>
        </w:rPr>
        <w:t xml:space="preserve">. </w:t>
      </w:r>
      <w:r w:rsidRPr="00442F26">
        <w:rPr>
          <w:iCs/>
          <w:color w:val="auto"/>
          <w:lang w:val="en-GB"/>
        </w:rPr>
        <w:t xml:space="preserve">Schematic decision tree to highlight the necessity for different scoring and cytotoxicity assessment procedures when using the micronucleus assay with 3D models following acute or long-term exposure regimes. Acute (≤24 </w:t>
      </w:r>
      <w:r w:rsidR="00442F26" w:rsidRPr="00442F26">
        <w:rPr>
          <w:iCs/>
          <w:color w:val="auto"/>
          <w:lang w:val="en-GB"/>
        </w:rPr>
        <w:t>h</w:t>
      </w:r>
      <w:r w:rsidRPr="00442F26">
        <w:rPr>
          <w:iCs/>
          <w:color w:val="auto"/>
          <w:lang w:val="en-GB"/>
        </w:rPr>
        <w:t xml:space="preserve">) exposures allow use of the cytokinesis blocked micronucleus assay, while long-term (≥24 </w:t>
      </w:r>
      <w:r w:rsidR="00442F26" w:rsidRPr="00442F26">
        <w:rPr>
          <w:iCs/>
          <w:color w:val="auto"/>
          <w:lang w:val="en-GB"/>
        </w:rPr>
        <w:t>h</w:t>
      </w:r>
      <w:r w:rsidRPr="00442F26">
        <w:rPr>
          <w:iCs/>
          <w:color w:val="auto"/>
          <w:lang w:val="en-GB"/>
        </w:rPr>
        <w:t xml:space="preserve">) exposures require the mononuclear version of the assay; both of which are described in OECD Test Guideline 487. </w:t>
      </w:r>
    </w:p>
    <w:p w14:paraId="57B0218C" w14:textId="77777777" w:rsidR="00082FBE" w:rsidRPr="00442F26" w:rsidRDefault="00082FBE" w:rsidP="006F7144">
      <w:pPr>
        <w:contextualSpacing/>
        <w:rPr>
          <w:color w:val="auto"/>
          <w:lang w:val="en-GB" w:eastAsia="fr-FR"/>
        </w:rPr>
      </w:pPr>
    </w:p>
    <w:p w14:paraId="441B2343" w14:textId="3DEACD05" w:rsidR="00082FBE" w:rsidRPr="00442F26" w:rsidRDefault="00082FBE" w:rsidP="006F7144">
      <w:pPr>
        <w:pStyle w:val="Caption"/>
        <w:spacing w:before="0" w:after="0"/>
        <w:contextualSpacing/>
        <w:rPr>
          <w:rFonts w:ascii="Calibri" w:hAnsi="Calibri" w:cs="Calibri"/>
          <w:i w:val="0"/>
          <w:iCs/>
          <w:sz w:val="24"/>
          <w:szCs w:val="24"/>
        </w:rPr>
      </w:pPr>
      <w:r w:rsidRPr="00442F26">
        <w:rPr>
          <w:rFonts w:ascii="Calibri" w:hAnsi="Calibri" w:cs="Calibri"/>
          <w:b/>
          <w:bCs w:val="0"/>
          <w:i w:val="0"/>
          <w:iCs/>
          <w:sz w:val="24"/>
          <w:szCs w:val="24"/>
          <w:lang w:val="en-GB"/>
        </w:rPr>
        <w:t>Figure 5</w:t>
      </w:r>
      <w:r w:rsidRPr="00442F26">
        <w:rPr>
          <w:rFonts w:ascii="Calibri" w:hAnsi="Calibri" w:cs="Calibri"/>
          <w:i w:val="0"/>
          <w:iCs/>
          <w:sz w:val="24"/>
          <w:szCs w:val="24"/>
          <w:lang w:val="en-GB"/>
        </w:rPr>
        <w:t xml:space="preserve">: </w:t>
      </w:r>
      <w:r w:rsidRPr="00442F26">
        <w:rPr>
          <w:rFonts w:ascii="Calibri" w:hAnsi="Calibri" w:cs="Calibri"/>
          <w:b/>
          <w:bCs w:val="0"/>
          <w:i w:val="0"/>
          <w:iCs/>
          <w:sz w:val="24"/>
          <w:szCs w:val="24"/>
          <w:lang w:val="en-GB"/>
        </w:rPr>
        <w:t xml:space="preserve">Light </w:t>
      </w:r>
      <w:r w:rsidR="00442F26" w:rsidRPr="00442F26">
        <w:rPr>
          <w:rFonts w:ascii="Calibri" w:hAnsi="Calibri" w:cs="Calibri"/>
          <w:b/>
          <w:bCs w:val="0"/>
          <w:i w:val="0"/>
          <w:iCs/>
          <w:sz w:val="24"/>
          <w:szCs w:val="24"/>
          <w:lang w:val="en-GB"/>
        </w:rPr>
        <w:t xml:space="preserve">microscopy images displaying the natural morphology </w:t>
      </w:r>
      <w:r w:rsidRPr="00442F26">
        <w:rPr>
          <w:rFonts w:ascii="Calibri" w:hAnsi="Calibri" w:cs="Calibri"/>
          <w:b/>
          <w:bCs w:val="0"/>
          <w:i w:val="0"/>
          <w:iCs/>
          <w:sz w:val="24"/>
          <w:szCs w:val="24"/>
          <w:lang w:val="en-GB"/>
        </w:rPr>
        <w:t>of the HepG2</w:t>
      </w:r>
      <w:r w:rsidRPr="00442F26">
        <w:rPr>
          <w:rFonts w:ascii="Calibri" w:hAnsi="Calibri" w:cs="Calibri"/>
          <w:b/>
          <w:bCs w:val="0"/>
          <w:i w:val="0"/>
          <w:iCs/>
          <w:sz w:val="24"/>
          <w:szCs w:val="24"/>
        </w:rPr>
        <w:t xml:space="preserve"> </w:t>
      </w:r>
      <w:proofErr w:type="spellStart"/>
      <w:r w:rsidR="00442F26" w:rsidRPr="00442F26">
        <w:rPr>
          <w:rFonts w:ascii="Calibri" w:hAnsi="Calibri" w:cs="Calibri"/>
          <w:b/>
          <w:bCs w:val="0"/>
          <w:i w:val="0"/>
          <w:iCs/>
          <w:sz w:val="24"/>
          <w:szCs w:val="24"/>
        </w:rPr>
        <w:t>spheroids</w:t>
      </w:r>
      <w:proofErr w:type="spellEnd"/>
      <w:r w:rsidR="00442F26" w:rsidRPr="00442F26">
        <w:rPr>
          <w:rFonts w:ascii="Calibri" w:hAnsi="Calibri" w:cs="Calibri"/>
          <w:b/>
          <w:bCs w:val="0"/>
          <w:i w:val="0"/>
          <w:iCs/>
          <w:sz w:val="24"/>
          <w:szCs w:val="24"/>
        </w:rPr>
        <w:t xml:space="preserve"> </w:t>
      </w:r>
      <w:proofErr w:type="spellStart"/>
      <w:r w:rsidR="00442F26" w:rsidRPr="00442F26">
        <w:rPr>
          <w:rFonts w:ascii="Calibri" w:hAnsi="Calibri" w:cs="Calibri"/>
          <w:b/>
          <w:bCs w:val="0"/>
          <w:i w:val="0"/>
          <w:iCs/>
          <w:sz w:val="24"/>
          <w:szCs w:val="24"/>
        </w:rPr>
        <w:t>formed</w:t>
      </w:r>
      <w:proofErr w:type="spellEnd"/>
      <w:r w:rsidR="00442F26" w:rsidRPr="00442F26">
        <w:rPr>
          <w:rFonts w:ascii="Calibri" w:hAnsi="Calibri" w:cs="Calibri"/>
          <w:b/>
          <w:bCs w:val="0"/>
          <w:i w:val="0"/>
          <w:iCs/>
          <w:sz w:val="24"/>
          <w:szCs w:val="24"/>
        </w:rPr>
        <w:t xml:space="preserve"> via the </w:t>
      </w:r>
      <w:proofErr w:type="spellStart"/>
      <w:r w:rsidR="00442F26" w:rsidRPr="00442F26">
        <w:rPr>
          <w:rFonts w:ascii="Calibri" w:hAnsi="Calibri" w:cs="Calibri"/>
          <w:b/>
          <w:bCs w:val="0"/>
          <w:i w:val="0"/>
          <w:iCs/>
          <w:sz w:val="24"/>
          <w:szCs w:val="24"/>
        </w:rPr>
        <w:t>hanging</w:t>
      </w:r>
      <w:proofErr w:type="spellEnd"/>
      <w:r w:rsidR="00442F26" w:rsidRPr="00442F26">
        <w:rPr>
          <w:rFonts w:ascii="Calibri" w:hAnsi="Calibri" w:cs="Calibri"/>
          <w:b/>
          <w:bCs w:val="0"/>
          <w:i w:val="0"/>
          <w:iCs/>
          <w:sz w:val="24"/>
          <w:szCs w:val="24"/>
        </w:rPr>
        <w:t xml:space="preserve"> drop </w:t>
      </w:r>
      <w:proofErr w:type="spellStart"/>
      <w:r w:rsidR="00442F26" w:rsidRPr="00442F26">
        <w:rPr>
          <w:rFonts w:ascii="Calibri" w:hAnsi="Calibri" w:cs="Calibri"/>
          <w:b/>
          <w:bCs w:val="0"/>
          <w:i w:val="0"/>
          <w:iCs/>
          <w:sz w:val="24"/>
          <w:szCs w:val="24"/>
        </w:rPr>
        <w:t>method</w:t>
      </w:r>
      <w:proofErr w:type="spellEnd"/>
      <w:r w:rsidRPr="00442F26">
        <w:rPr>
          <w:rFonts w:ascii="Calibri" w:hAnsi="Calibri" w:cs="Calibri"/>
          <w:i w:val="0"/>
          <w:iCs/>
          <w:sz w:val="24"/>
          <w:szCs w:val="24"/>
        </w:rPr>
        <w:t>. (</w:t>
      </w:r>
      <w:r w:rsidRPr="00442F26">
        <w:rPr>
          <w:rFonts w:ascii="Calibri" w:hAnsi="Calibri" w:cs="Calibri"/>
          <w:b/>
          <w:bCs w:val="0"/>
          <w:i w:val="0"/>
          <w:iCs/>
          <w:sz w:val="24"/>
          <w:szCs w:val="24"/>
        </w:rPr>
        <w:t>A-C</w:t>
      </w:r>
      <w:r w:rsidRPr="00442F26">
        <w:rPr>
          <w:rFonts w:ascii="Calibri" w:hAnsi="Calibri" w:cs="Calibri"/>
          <w:i w:val="0"/>
          <w:iCs/>
          <w:sz w:val="24"/>
          <w:szCs w:val="24"/>
        </w:rPr>
        <w:t>) show Day 2 and (</w:t>
      </w:r>
      <w:r w:rsidRPr="00442F26">
        <w:rPr>
          <w:rFonts w:ascii="Calibri" w:hAnsi="Calibri" w:cs="Calibri"/>
          <w:b/>
          <w:bCs w:val="0"/>
          <w:i w:val="0"/>
          <w:iCs/>
          <w:sz w:val="24"/>
          <w:szCs w:val="24"/>
        </w:rPr>
        <w:t>D-I</w:t>
      </w:r>
      <w:r w:rsidRPr="00442F26">
        <w:rPr>
          <w:rFonts w:ascii="Calibri" w:hAnsi="Calibri" w:cs="Calibri"/>
          <w:i w:val="0"/>
          <w:iCs/>
          <w:sz w:val="24"/>
          <w:szCs w:val="24"/>
        </w:rPr>
        <w:t>) Day 4 HepG2 liver spheroids post seeding. (</w:t>
      </w:r>
      <w:r w:rsidRPr="00442F26">
        <w:rPr>
          <w:rFonts w:ascii="Calibri" w:hAnsi="Calibri" w:cs="Calibri"/>
          <w:b/>
          <w:bCs w:val="0"/>
          <w:i w:val="0"/>
          <w:iCs/>
          <w:sz w:val="24"/>
          <w:szCs w:val="24"/>
        </w:rPr>
        <w:t>D-F</w:t>
      </w:r>
      <w:r w:rsidRPr="00442F26">
        <w:rPr>
          <w:rFonts w:ascii="Calibri" w:hAnsi="Calibri" w:cs="Calibri"/>
          <w:i w:val="0"/>
          <w:iCs/>
          <w:sz w:val="24"/>
          <w:szCs w:val="24"/>
        </w:rPr>
        <w:t>) are examples of good quality HepG2 spheroids whilst (</w:t>
      </w:r>
      <w:r w:rsidRPr="00442F26">
        <w:rPr>
          <w:rFonts w:ascii="Calibri" w:hAnsi="Calibri" w:cs="Calibri"/>
          <w:b/>
          <w:bCs w:val="0"/>
          <w:i w:val="0"/>
          <w:iCs/>
          <w:sz w:val="24"/>
          <w:szCs w:val="24"/>
        </w:rPr>
        <w:t>G-I</w:t>
      </w:r>
      <w:r w:rsidRPr="00442F26">
        <w:rPr>
          <w:rFonts w:ascii="Calibri" w:hAnsi="Calibri" w:cs="Calibri"/>
          <w:i w:val="0"/>
          <w:iCs/>
          <w:sz w:val="24"/>
          <w:szCs w:val="24"/>
        </w:rPr>
        <w:t xml:space="preserve">) shows poorly </w:t>
      </w:r>
      <w:r w:rsidRPr="00442F26">
        <w:rPr>
          <w:rFonts w:ascii="Calibri" w:hAnsi="Calibri" w:cs="Calibri"/>
          <w:i w:val="0"/>
          <w:iCs/>
          <w:sz w:val="24"/>
          <w:szCs w:val="24"/>
        </w:rPr>
        <w:lastRenderedPageBreak/>
        <w:t xml:space="preserve">formed spheroids. All images were taken on a X20 objective </w:t>
      </w:r>
      <w:proofErr w:type="spellStart"/>
      <w:r w:rsidRPr="00442F26">
        <w:rPr>
          <w:rFonts w:ascii="Calibri" w:hAnsi="Calibri" w:cs="Calibri"/>
          <w:i w:val="0"/>
          <w:iCs/>
          <w:sz w:val="24"/>
          <w:szCs w:val="24"/>
        </w:rPr>
        <w:t>using</w:t>
      </w:r>
      <w:proofErr w:type="spellEnd"/>
      <w:r w:rsidRPr="00442F26">
        <w:rPr>
          <w:rFonts w:ascii="Calibri" w:hAnsi="Calibri" w:cs="Calibri"/>
          <w:i w:val="0"/>
          <w:iCs/>
          <w:sz w:val="24"/>
          <w:szCs w:val="24"/>
        </w:rPr>
        <w:t xml:space="preserve"> a </w:t>
      </w:r>
      <w:r w:rsidR="00442F26">
        <w:rPr>
          <w:rFonts w:ascii="Calibri" w:hAnsi="Calibri" w:cs="Calibri"/>
          <w:i w:val="0"/>
          <w:iCs/>
          <w:sz w:val="24"/>
          <w:szCs w:val="24"/>
        </w:rPr>
        <w:t>m</w:t>
      </w:r>
      <w:r w:rsidRPr="00442F26">
        <w:rPr>
          <w:rFonts w:ascii="Calibri" w:hAnsi="Calibri" w:cs="Calibri"/>
          <w:i w:val="0"/>
          <w:iCs/>
          <w:sz w:val="24"/>
          <w:szCs w:val="24"/>
        </w:rPr>
        <w:t xml:space="preserve">icroscope. </w:t>
      </w:r>
      <w:r w:rsidR="00442F26">
        <w:rPr>
          <w:rFonts w:ascii="Calibri" w:hAnsi="Calibri" w:cs="Calibri"/>
          <w:i w:val="0"/>
          <w:iCs/>
          <w:sz w:val="24"/>
          <w:szCs w:val="24"/>
        </w:rPr>
        <w:t xml:space="preserve">The </w:t>
      </w:r>
      <w:proofErr w:type="spellStart"/>
      <w:r w:rsidR="00442F26">
        <w:rPr>
          <w:rFonts w:ascii="Calibri" w:hAnsi="Calibri" w:cs="Calibri"/>
          <w:i w:val="0"/>
          <w:iCs/>
          <w:sz w:val="24"/>
          <w:szCs w:val="24"/>
        </w:rPr>
        <w:t>s</w:t>
      </w:r>
      <w:r w:rsidRPr="00442F26">
        <w:rPr>
          <w:rFonts w:ascii="Calibri" w:hAnsi="Calibri" w:cs="Calibri"/>
          <w:i w:val="0"/>
          <w:iCs/>
          <w:sz w:val="24"/>
          <w:szCs w:val="24"/>
        </w:rPr>
        <w:t>cale</w:t>
      </w:r>
      <w:proofErr w:type="spellEnd"/>
      <w:r w:rsidRPr="00442F26">
        <w:rPr>
          <w:rFonts w:ascii="Calibri" w:hAnsi="Calibri" w:cs="Calibri"/>
          <w:i w:val="0"/>
          <w:iCs/>
          <w:sz w:val="24"/>
          <w:szCs w:val="24"/>
        </w:rPr>
        <w:t xml:space="preserve"> bar </w:t>
      </w:r>
      <w:proofErr w:type="spellStart"/>
      <w:r w:rsidRPr="00442F26">
        <w:rPr>
          <w:rFonts w:ascii="Calibri" w:hAnsi="Calibri" w:cs="Calibri"/>
          <w:i w:val="0"/>
          <w:iCs/>
          <w:sz w:val="24"/>
          <w:szCs w:val="24"/>
        </w:rPr>
        <w:t>represents</w:t>
      </w:r>
      <w:proofErr w:type="spellEnd"/>
      <w:r w:rsidRPr="00442F26">
        <w:rPr>
          <w:rFonts w:ascii="Calibri" w:hAnsi="Calibri" w:cs="Calibri"/>
          <w:i w:val="0"/>
          <w:iCs/>
          <w:sz w:val="24"/>
          <w:szCs w:val="24"/>
        </w:rPr>
        <w:t xml:space="preserve"> 20</w:t>
      </w:r>
      <w:r w:rsidR="00442F26">
        <w:rPr>
          <w:rFonts w:ascii="Calibri" w:hAnsi="Calibri" w:cs="Calibri"/>
          <w:i w:val="0"/>
          <w:iCs/>
          <w:sz w:val="24"/>
          <w:szCs w:val="24"/>
        </w:rPr>
        <w:t xml:space="preserve"> </w:t>
      </w:r>
      <w:r w:rsidRPr="00442F26">
        <w:rPr>
          <w:rFonts w:ascii="Calibri" w:hAnsi="Calibri" w:cs="Calibri"/>
          <w:i w:val="0"/>
          <w:iCs/>
          <w:sz w:val="24"/>
          <w:szCs w:val="24"/>
        </w:rPr>
        <w:t>µm.</w:t>
      </w:r>
    </w:p>
    <w:p w14:paraId="76B2FDDC" w14:textId="77777777" w:rsidR="00082FBE" w:rsidRPr="00442F26" w:rsidRDefault="00082FBE" w:rsidP="006F7144">
      <w:pPr>
        <w:contextualSpacing/>
        <w:rPr>
          <w:iCs/>
          <w:color w:val="auto"/>
          <w:lang w:val="en-GB" w:eastAsia="fr-FR"/>
        </w:rPr>
      </w:pPr>
    </w:p>
    <w:p w14:paraId="6D4E57F6" w14:textId="0B4981B5" w:rsidR="00082FBE" w:rsidRPr="00442F26" w:rsidRDefault="00082FBE" w:rsidP="006F7144">
      <w:pPr>
        <w:contextualSpacing/>
        <w:rPr>
          <w:iCs/>
          <w:color w:val="auto"/>
        </w:rPr>
      </w:pPr>
      <w:r w:rsidRPr="00442F26">
        <w:rPr>
          <w:b/>
          <w:bCs/>
          <w:iCs/>
          <w:color w:val="auto"/>
          <w:lang w:val="en-GB"/>
        </w:rPr>
        <w:t>Figure 6</w:t>
      </w:r>
      <w:r w:rsidRPr="00442F26">
        <w:rPr>
          <w:iCs/>
          <w:color w:val="auto"/>
          <w:lang w:val="en-GB"/>
        </w:rPr>
        <w:t xml:space="preserve">: </w:t>
      </w:r>
      <w:r w:rsidRPr="00442F26">
        <w:rPr>
          <w:b/>
          <w:bCs/>
          <w:iCs/>
          <w:color w:val="auto"/>
          <w:lang w:val="en-GB"/>
        </w:rPr>
        <w:t xml:space="preserve">14-Day </w:t>
      </w:r>
      <w:r w:rsidR="00442F26" w:rsidRPr="00442F26">
        <w:rPr>
          <w:b/>
          <w:bCs/>
          <w:iCs/>
          <w:color w:val="auto"/>
          <w:lang w:val="en-GB"/>
        </w:rPr>
        <w:t>baseline characterisation data f</w:t>
      </w:r>
      <w:r w:rsidRPr="00442F26">
        <w:rPr>
          <w:b/>
          <w:bCs/>
          <w:iCs/>
          <w:color w:val="auto"/>
          <w:lang w:val="en-GB"/>
        </w:rPr>
        <w:t xml:space="preserve">or HepG2 </w:t>
      </w:r>
      <w:r w:rsidR="00442F26" w:rsidRPr="00442F26">
        <w:rPr>
          <w:b/>
          <w:bCs/>
          <w:iCs/>
          <w:color w:val="auto"/>
          <w:lang w:val="en-GB"/>
        </w:rPr>
        <w:t>liver spheroids</w:t>
      </w:r>
      <w:r w:rsidRPr="00442F26">
        <w:rPr>
          <w:iCs/>
          <w:color w:val="auto"/>
        </w:rPr>
        <w:t>. Following transfer from hanging drop, (</w:t>
      </w:r>
      <w:r w:rsidRPr="00442F26">
        <w:rPr>
          <w:b/>
          <w:bCs/>
          <w:iCs/>
          <w:color w:val="auto"/>
        </w:rPr>
        <w:t>A</w:t>
      </w:r>
      <w:r w:rsidRPr="00442F26">
        <w:rPr>
          <w:iCs/>
          <w:color w:val="auto"/>
        </w:rPr>
        <w:t xml:space="preserve">) highlights the viability of the HepG2 spheroid model over a </w:t>
      </w:r>
      <w:proofErr w:type="gramStart"/>
      <w:r w:rsidRPr="00442F26">
        <w:rPr>
          <w:iCs/>
          <w:color w:val="auto"/>
        </w:rPr>
        <w:t>14 day</w:t>
      </w:r>
      <w:proofErr w:type="gramEnd"/>
      <w:r w:rsidRPr="00442F26">
        <w:rPr>
          <w:iCs/>
          <w:color w:val="auto"/>
        </w:rPr>
        <w:t xml:space="preserve"> period whilst (</w:t>
      </w:r>
      <w:r w:rsidRPr="00442F26">
        <w:rPr>
          <w:b/>
          <w:bCs/>
          <w:iCs/>
          <w:color w:val="auto"/>
        </w:rPr>
        <w:t>B</w:t>
      </w:r>
      <w:r w:rsidRPr="00442F26">
        <w:rPr>
          <w:iCs/>
          <w:color w:val="auto"/>
        </w:rPr>
        <w:t>) and (</w:t>
      </w:r>
      <w:r w:rsidRPr="00442F26">
        <w:rPr>
          <w:b/>
          <w:bCs/>
          <w:iCs/>
          <w:color w:val="auto"/>
        </w:rPr>
        <w:t>C</w:t>
      </w:r>
      <w:r w:rsidRPr="00442F26">
        <w:rPr>
          <w:iCs/>
          <w:color w:val="auto"/>
        </w:rPr>
        <w:t xml:space="preserve">) highlight the liver-like albumin and urea functionality respectively. Mean data </w:t>
      </w:r>
      <w:r w:rsidRPr="00442F26">
        <w:rPr>
          <w:rFonts w:eastAsia="Cambria Math"/>
          <w:iCs/>
          <w:color w:val="auto"/>
          <w:kern w:val="24"/>
        </w:rPr>
        <w:t>± SEM presented, n = 4.</w:t>
      </w:r>
    </w:p>
    <w:p w14:paraId="3120E6D8" w14:textId="77777777" w:rsidR="00D7599C" w:rsidRPr="00442F26" w:rsidRDefault="00D7599C" w:rsidP="006F7144">
      <w:pPr>
        <w:contextualSpacing/>
        <w:rPr>
          <w:bCs/>
          <w:color w:val="auto"/>
        </w:rPr>
      </w:pPr>
    </w:p>
    <w:p w14:paraId="573A40FB" w14:textId="28F6243F" w:rsidR="00082FBE" w:rsidRPr="00442F26" w:rsidRDefault="00082FBE" w:rsidP="006F7144">
      <w:pPr>
        <w:contextualSpacing/>
        <w:rPr>
          <w:color w:val="auto"/>
        </w:rPr>
      </w:pPr>
      <w:r w:rsidRPr="00442F26">
        <w:rPr>
          <w:b/>
          <w:bCs/>
          <w:color w:val="auto"/>
          <w:lang w:val="en-GB"/>
        </w:rPr>
        <w:t>Figure 7</w:t>
      </w:r>
      <w:r w:rsidRPr="00442F26">
        <w:rPr>
          <w:color w:val="auto"/>
          <w:lang w:val="en-GB"/>
        </w:rPr>
        <w:t xml:space="preserve">: </w:t>
      </w:r>
      <w:r w:rsidRPr="00442F26">
        <w:rPr>
          <w:b/>
          <w:bCs/>
          <w:color w:val="auto"/>
          <w:lang w:val="en-GB"/>
        </w:rPr>
        <w:t xml:space="preserve">Genotoxicity </w:t>
      </w:r>
      <w:r w:rsidR="00442F26">
        <w:rPr>
          <w:b/>
          <w:bCs/>
          <w:color w:val="auto"/>
          <w:lang w:val="en-GB"/>
        </w:rPr>
        <w:t>a</w:t>
      </w:r>
      <w:r w:rsidRPr="00442F26">
        <w:rPr>
          <w:b/>
          <w:bCs/>
          <w:color w:val="auto"/>
          <w:lang w:val="en-GB"/>
        </w:rPr>
        <w:t>ssessment following TiO</w:t>
      </w:r>
      <w:r w:rsidRPr="00442F26">
        <w:rPr>
          <w:b/>
          <w:bCs/>
          <w:color w:val="auto"/>
          <w:vertAlign w:val="subscript"/>
          <w:lang w:val="en-GB"/>
        </w:rPr>
        <w:t>2</w:t>
      </w:r>
      <w:r w:rsidRPr="00442F26">
        <w:rPr>
          <w:b/>
          <w:bCs/>
          <w:color w:val="auto"/>
          <w:lang w:val="en-GB"/>
        </w:rPr>
        <w:t xml:space="preserve"> and Ag ENM </w:t>
      </w:r>
      <w:r w:rsidR="00442F26">
        <w:rPr>
          <w:b/>
          <w:bCs/>
          <w:color w:val="auto"/>
          <w:lang w:val="en-GB"/>
        </w:rPr>
        <w:t>e</w:t>
      </w:r>
      <w:r w:rsidRPr="00442F26">
        <w:rPr>
          <w:b/>
          <w:bCs/>
          <w:color w:val="auto"/>
          <w:lang w:val="en-GB"/>
        </w:rPr>
        <w:t xml:space="preserve">xposure on HepG2 </w:t>
      </w:r>
      <w:r w:rsidR="00442F26" w:rsidRPr="00442F26">
        <w:rPr>
          <w:b/>
          <w:bCs/>
          <w:color w:val="auto"/>
          <w:lang w:val="en-GB"/>
        </w:rPr>
        <w:t>liver sp</w:t>
      </w:r>
      <w:r w:rsidRPr="00442F26">
        <w:rPr>
          <w:b/>
          <w:bCs/>
          <w:color w:val="auto"/>
          <w:lang w:val="en-GB"/>
        </w:rPr>
        <w:t>heroids</w:t>
      </w:r>
      <w:r w:rsidRPr="00442F26">
        <w:rPr>
          <w:color w:val="auto"/>
        </w:rPr>
        <w:t>. Genotoxicity (micronucleus frequency) assessment using the micronucleus assay post (</w:t>
      </w:r>
      <w:r w:rsidRPr="00442F26">
        <w:rPr>
          <w:b/>
          <w:bCs/>
          <w:color w:val="auto"/>
        </w:rPr>
        <w:t>A</w:t>
      </w:r>
      <w:r w:rsidRPr="00442F26">
        <w:rPr>
          <w:color w:val="auto"/>
        </w:rPr>
        <w:t>) acute (24 hour) and (</w:t>
      </w:r>
      <w:r w:rsidRPr="00442F26">
        <w:rPr>
          <w:b/>
          <w:bCs/>
          <w:color w:val="auto"/>
        </w:rPr>
        <w:t>B</w:t>
      </w:r>
      <w:r w:rsidRPr="00442F26">
        <w:rPr>
          <w:color w:val="auto"/>
        </w:rPr>
        <w:t>) long-term (120 hour) exposure to 5.00</w:t>
      </w:r>
      <w:r w:rsidR="00442F26">
        <w:rPr>
          <w:color w:val="auto"/>
        </w:rPr>
        <w:t xml:space="preserve"> µ</w:t>
      </w:r>
      <w:r w:rsidRPr="00442F26">
        <w:rPr>
          <w:color w:val="auto"/>
        </w:rPr>
        <w:t>g/mL of TiO</w:t>
      </w:r>
      <w:r w:rsidRPr="00442F26">
        <w:rPr>
          <w:color w:val="auto"/>
          <w:vertAlign w:val="subscript"/>
        </w:rPr>
        <w:t>2</w:t>
      </w:r>
      <w:r w:rsidRPr="00442F26">
        <w:rPr>
          <w:color w:val="auto"/>
        </w:rPr>
        <w:t xml:space="preserve"> and Ag ENM. Negative control is a media only, whilst the positive control is 0.1</w:t>
      </w:r>
      <w:r w:rsidR="00442F26">
        <w:rPr>
          <w:color w:val="auto"/>
        </w:rPr>
        <w:t xml:space="preserve"> µ</w:t>
      </w:r>
      <w:r w:rsidRPr="00442F26">
        <w:rPr>
          <w:color w:val="auto"/>
        </w:rPr>
        <w:t xml:space="preserve">M of Aflatoxin B1. Mean data (n=2) presented ± SD. Significance indicated in relation to the negative control: * = </w:t>
      </w:r>
      <w:r w:rsidRPr="00442F26">
        <w:rPr>
          <w:i/>
          <w:iCs/>
          <w:color w:val="auto"/>
        </w:rPr>
        <w:t>p≤ 0.05</w:t>
      </w:r>
      <w:r w:rsidRPr="00442F26">
        <w:rPr>
          <w:color w:val="auto"/>
        </w:rPr>
        <w:t>.</w:t>
      </w:r>
    </w:p>
    <w:p w14:paraId="28867E69" w14:textId="77777777" w:rsidR="00D3307D" w:rsidRPr="00442F26" w:rsidRDefault="00D3307D" w:rsidP="006F7144">
      <w:pPr>
        <w:contextualSpacing/>
        <w:rPr>
          <w:b/>
          <w:bCs/>
          <w:color w:val="auto"/>
        </w:rPr>
      </w:pPr>
    </w:p>
    <w:p w14:paraId="5EC34CA6" w14:textId="48233C7C" w:rsidR="009726EE" w:rsidRPr="00442F26" w:rsidRDefault="009726EE" w:rsidP="006F7144">
      <w:pPr>
        <w:contextualSpacing/>
        <w:rPr>
          <w:b/>
          <w:color w:val="auto"/>
        </w:rPr>
      </w:pPr>
      <w:r w:rsidRPr="00442F26">
        <w:rPr>
          <w:b/>
          <w:color w:val="auto"/>
        </w:rPr>
        <w:t>DISCUSSION</w:t>
      </w:r>
      <w:bookmarkEnd w:id="11"/>
      <w:r w:rsidRPr="00442F26">
        <w:rPr>
          <w:b/>
          <w:bCs/>
          <w:color w:val="auto"/>
        </w:rPr>
        <w:t xml:space="preserve">: </w:t>
      </w:r>
    </w:p>
    <w:p w14:paraId="44F74E7C" w14:textId="135855B7" w:rsidR="00055F29" w:rsidRPr="00442F26" w:rsidRDefault="003865E1" w:rsidP="006F7144">
      <w:pPr>
        <w:contextualSpacing/>
        <w:rPr>
          <w:bCs/>
          <w:color w:val="auto"/>
        </w:rPr>
      </w:pPr>
      <w:r w:rsidRPr="00442F26">
        <w:rPr>
          <w:color w:val="auto"/>
        </w:rPr>
        <w:t xml:space="preserve">Applications for 3D hepatic models vary considerably depending on the </w:t>
      </w:r>
      <w:proofErr w:type="gramStart"/>
      <w:r w:rsidRPr="00442F26">
        <w:rPr>
          <w:color w:val="auto"/>
        </w:rPr>
        <w:t>particular biochemical</w:t>
      </w:r>
      <w:proofErr w:type="gramEnd"/>
      <w:r w:rsidRPr="00442F26">
        <w:rPr>
          <w:color w:val="auto"/>
        </w:rPr>
        <w:t xml:space="preserve"> endpoint or adverse outcome pathway being targeted. Each model has its benefits and limitations, from </w:t>
      </w:r>
      <w:proofErr w:type="spellStart"/>
      <w:r w:rsidRPr="00442F26">
        <w:rPr>
          <w:color w:val="auto"/>
        </w:rPr>
        <w:t>interdonor</w:t>
      </w:r>
      <w:proofErr w:type="spellEnd"/>
      <w:r w:rsidRPr="00442F26">
        <w:rPr>
          <w:color w:val="auto"/>
        </w:rPr>
        <w:t xml:space="preserve"> variation in primary </w:t>
      </w:r>
      <w:r w:rsidR="000266AD" w:rsidRPr="00442F26">
        <w:rPr>
          <w:color w:val="auto"/>
        </w:rPr>
        <w:t xml:space="preserve">human </w:t>
      </w:r>
      <w:r w:rsidRPr="00442F26">
        <w:rPr>
          <w:color w:val="auto"/>
        </w:rPr>
        <w:t>hepatocyte</w:t>
      </w:r>
      <w:r w:rsidR="000266AD" w:rsidRPr="00442F26">
        <w:rPr>
          <w:color w:val="auto"/>
        </w:rPr>
        <w:t xml:space="preserve"> (PHH)</w:t>
      </w:r>
      <w:r w:rsidRPr="00442F26">
        <w:rPr>
          <w:color w:val="auto"/>
        </w:rPr>
        <w:t xml:space="preserve"> models to reduced cytochrome p450 activity in cell</w:t>
      </w:r>
      <w:r w:rsidR="004D6945" w:rsidRPr="00442F26">
        <w:rPr>
          <w:color w:val="auto"/>
        </w:rPr>
        <w:t>-</w:t>
      </w:r>
      <w:r w:rsidRPr="00442F26">
        <w:rPr>
          <w:color w:val="auto"/>
        </w:rPr>
        <w:t>line based models, but all are valuable in their own right</w:t>
      </w:r>
      <w:r w:rsidR="004838B3" w:rsidRPr="00442F26">
        <w:rPr>
          <w:color w:val="auto"/>
          <w:vertAlign w:val="superscript"/>
        </w:rPr>
        <w:t>6,1</w:t>
      </w:r>
      <w:r w:rsidR="006E3BDB" w:rsidRPr="00442F26">
        <w:rPr>
          <w:color w:val="auto"/>
          <w:vertAlign w:val="superscript"/>
        </w:rPr>
        <w:t>2</w:t>
      </w:r>
      <w:r w:rsidR="004838B3" w:rsidRPr="00442F26">
        <w:rPr>
          <w:color w:val="auto"/>
          <w:vertAlign w:val="superscript"/>
        </w:rPr>
        <w:t>,1</w:t>
      </w:r>
      <w:r w:rsidR="006E3BDB" w:rsidRPr="00442F26">
        <w:rPr>
          <w:color w:val="auto"/>
          <w:vertAlign w:val="superscript"/>
        </w:rPr>
        <w:t>8</w:t>
      </w:r>
      <w:r w:rsidR="004838B3" w:rsidRPr="00442F26">
        <w:rPr>
          <w:color w:val="auto"/>
          <w:vertAlign w:val="superscript"/>
        </w:rPr>
        <w:t>,1</w:t>
      </w:r>
      <w:r w:rsidR="006E3BDB" w:rsidRPr="00442F26">
        <w:rPr>
          <w:color w:val="auto"/>
          <w:vertAlign w:val="superscript"/>
        </w:rPr>
        <w:t>9</w:t>
      </w:r>
      <w:r w:rsidRPr="00442F26">
        <w:rPr>
          <w:color w:val="auto"/>
        </w:rPr>
        <w:t xml:space="preserve">. When assessing genotoxicity there </w:t>
      </w:r>
      <w:r w:rsidR="003D0DEC" w:rsidRPr="00442F26">
        <w:rPr>
          <w:color w:val="auto"/>
        </w:rPr>
        <w:t>are limitations in the</w:t>
      </w:r>
      <w:r w:rsidR="001B3C13" w:rsidRPr="00442F26">
        <w:rPr>
          <w:color w:val="auto"/>
        </w:rPr>
        <w:t xml:space="preserve"> m</w:t>
      </w:r>
      <w:r w:rsidRPr="00442F26">
        <w:rPr>
          <w:color w:val="auto"/>
        </w:rPr>
        <w:t xml:space="preserve">odels </w:t>
      </w:r>
      <w:r w:rsidR="003D0DEC" w:rsidRPr="00442F26">
        <w:rPr>
          <w:color w:val="auto"/>
        </w:rPr>
        <w:t xml:space="preserve">compatibility </w:t>
      </w:r>
      <w:r w:rsidRPr="00442F26">
        <w:rPr>
          <w:color w:val="auto"/>
        </w:rPr>
        <w:t xml:space="preserve">with </w:t>
      </w:r>
      <w:r w:rsidR="003D0DEC" w:rsidRPr="00442F26">
        <w:rPr>
          <w:color w:val="auto"/>
        </w:rPr>
        <w:t xml:space="preserve">regulatory approved endpoints such as </w:t>
      </w:r>
      <w:r w:rsidRPr="00442F26">
        <w:rPr>
          <w:color w:val="auto"/>
        </w:rPr>
        <w:t xml:space="preserve">the </w:t>
      </w:r>
      <w:r w:rsidR="00725AEE" w:rsidRPr="00442F26">
        <w:rPr>
          <w:color w:val="auto"/>
        </w:rPr>
        <w:t>in vitro</w:t>
      </w:r>
      <w:r w:rsidR="001B3C13" w:rsidRPr="00442F26">
        <w:rPr>
          <w:color w:val="auto"/>
        </w:rPr>
        <w:t xml:space="preserve"> </w:t>
      </w:r>
      <w:r w:rsidRPr="00442F26">
        <w:rPr>
          <w:color w:val="auto"/>
        </w:rPr>
        <w:t>micronucleus assay</w:t>
      </w:r>
      <w:r w:rsidR="003D0DEC" w:rsidRPr="00442F26">
        <w:rPr>
          <w:color w:val="auto"/>
        </w:rPr>
        <w:t>,</w:t>
      </w:r>
      <w:r w:rsidR="001B3C13" w:rsidRPr="00442F26">
        <w:rPr>
          <w:color w:val="auto"/>
        </w:rPr>
        <w:t xml:space="preserve"> as </w:t>
      </w:r>
      <w:r w:rsidR="006F4311" w:rsidRPr="00442F26">
        <w:rPr>
          <w:color w:val="auto"/>
        </w:rPr>
        <w:t>active proliferation is</w:t>
      </w:r>
      <w:r w:rsidR="001B3C13" w:rsidRPr="00442F26">
        <w:rPr>
          <w:color w:val="auto"/>
        </w:rPr>
        <w:t xml:space="preserve"> required</w:t>
      </w:r>
      <w:r w:rsidR="003D0DEC" w:rsidRPr="00442F26">
        <w:rPr>
          <w:color w:val="auto"/>
        </w:rPr>
        <w:t>. This is necessary, as genotoxicity assessment requires the quantification of</w:t>
      </w:r>
      <w:r w:rsidR="001B3C13" w:rsidRPr="00442F26">
        <w:rPr>
          <w:color w:val="auto"/>
        </w:rPr>
        <w:t xml:space="preserve"> </w:t>
      </w:r>
      <w:r w:rsidR="006F4311" w:rsidRPr="00442F26">
        <w:rPr>
          <w:color w:val="auto"/>
        </w:rPr>
        <w:t xml:space="preserve">fixed </w:t>
      </w:r>
      <w:r w:rsidR="003D0DEC" w:rsidRPr="00442F26">
        <w:rPr>
          <w:color w:val="auto"/>
        </w:rPr>
        <w:t xml:space="preserve">DNA </w:t>
      </w:r>
      <w:r w:rsidR="006F4311" w:rsidRPr="00442F26">
        <w:rPr>
          <w:color w:val="auto"/>
        </w:rPr>
        <w:t xml:space="preserve">damage to be assessed post cell division </w:t>
      </w:r>
      <w:r w:rsidR="003D0DEC" w:rsidRPr="00442F26">
        <w:rPr>
          <w:color w:val="auto"/>
        </w:rPr>
        <w:t>when there is opportunity for</w:t>
      </w:r>
      <w:r w:rsidR="006F4311" w:rsidRPr="00442F26">
        <w:rPr>
          <w:color w:val="auto"/>
        </w:rPr>
        <w:t xml:space="preserve"> DNA repair</w:t>
      </w:r>
      <w:r w:rsidR="003D0DEC" w:rsidRPr="00442F26">
        <w:rPr>
          <w:color w:val="auto"/>
        </w:rPr>
        <w:t xml:space="preserve"> to correct transient lesions. Unfortunately</w:t>
      </w:r>
      <w:r w:rsidR="001B3C13" w:rsidRPr="00442F26">
        <w:rPr>
          <w:color w:val="auto"/>
        </w:rPr>
        <w:t>, highly differentiated hepatocyte (</w:t>
      </w:r>
      <w:r w:rsidR="00725AEE" w:rsidRPr="00442F26">
        <w:rPr>
          <w:color w:val="auto"/>
        </w:rPr>
        <w:t xml:space="preserve">i.e., </w:t>
      </w:r>
      <w:proofErr w:type="spellStart"/>
      <w:r w:rsidR="001B3C13" w:rsidRPr="00442F26">
        <w:rPr>
          <w:color w:val="auto"/>
        </w:rPr>
        <w:t>HepaRG</w:t>
      </w:r>
      <w:proofErr w:type="spellEnd"/>
      <w:r w:rsidR="001B3C13" w:rsidRPr="00442F26">
        <w:rPr>
          <w:color w:val="auto"/>
        </w:rPr>
        <w:t xml:space="preserve">) based spheroids or </w:t>
      </w:r>
      <w:r w:rsidR="000266AD" w:rsidRPr="00442F26">
        <w:rPr>
          <w:color w:val="auto"/>
        </w:rPr>
        <w:t>PHH</w:t>
      </w:r>
      <w:r w:rsidR="001B3C13" w:rsidRPr="00442F26">
        <w:rPr>
          <w:color w:val="auto"/>
        </w:rPr>
        <w:t xml:space="preserve"> microtissues, which are deemed to exhibit the most physiologically relevant liver-like characteristics form static </w:t>
      </w:r>
      <w:r w:rsidR="003D0DEC" w:rsidRPr="00442F26">
        <w:rPr>
          <w:color w:val="auto"/>
        </w:rPr>
        <w:t xml:space="preserve">(non-proliferative) </w:t>
      </w:r>
      <w:r w:rsidR="001B3C13" w:rsidRPr="00442F26">
        <w:rPr>
          <w:color w:val="auto"/>
        </w:rPr>
        <w:t>models</w:t>
      </w:r>
      <w:r w:rsidR="0055746F" w:rsidRPr="00442F26">
        <w:rPr>
          <w:color w:val="auto"/>
          <w:vertAlign w:val="superscript"/>
        </w:rPr>
        <w:t>1</w:t>
      </w:r>
      <w:r w:rsidR="006E3BDB" w:rsidRPr="00442F26">
        <w:rPr>
          <w:color w:val="auto"/>
          <w:vertAlign w:val="superscript"/>
        </w:rPr>
        <w:t>2</w:t>
      </w:r>
      <w:r w:rsidR="0055746F" w:rsidRPr="00442F26">
        <w:rPr>
          <w:color w:val="auto"/>
          <w:vertAlign w:val="superscript"/>
        </w:rPr>
        <w:t>,1</w:t>
      </w:r>
      <w:r w:rsidR="006E3BDB" w:rsidRPr="00442F26">
        <w:rPr>
          <w:color w:val="auto"/>
          <w:vertAlign w:val="superscript"/>
        </w:rPr>
        <w:t>9</w:t>
      </w:r>
      <w:r w:rsidR="00423076" w:rsidRPr="00442F26">
        <w:rPr>
          <w:color w:val="auto"/>
          <w:vertAlign w:val="superscript"/>
        </w:rPr>
        <w:t>,</w:t>
      </w:r>
      <w:r w:rsidR="006E3BDB" w:rsidRPr="00442F26">
        <w:rPr>
          <w:color w:val="auto"/>
          <w:vertAlign w:val="superscript"/>
        </w:rPr>
        <w:t>20</w:t>
      </w:r>
      <w:r w:rsidR="0055746F" w:rsidRPr="00442F26">
        <w:rPr>
          <w:color w:val="auto"/>
        </w:rPr>
        <w:t xml:space="preserve">. </w:t>
      </w:r>
      <w:r w:rsidR="006F4311" w:rsidRPr="00442F26">
        <w:rPr>
          <w:color w:val="auto"/>
        </w:rPr>
        <w:t xml:space="preserve">As a result, the 3D HepG2 spheroid model </w:t>
      </w:r>
      <w:r w:rsidR="003D0DEC" w:rsidRPr="00442F26">
        <w:rPr>
          <w:color w:val="auto"/>
        </w:rPr>
        <w:t xml:space="preserve">presented here </w:t>
      </w:r>
      <w:r w:rsidR="006F4311" w:rsidRPr="00442F26">
        <w:rPr>
          <w:color w:val="auto"/>
        </w:rPr>
        <w:t xml:space="preserve">provides a suitable, alternative model able to support </w:t>
      </w:r>
      <w:r w:rsidR="003D0DEC" w:rsidRPr="00442F26">
        <w:rPr>
          <w:color w:val="auto"/>
        </w:rPr>
        <w:t>genotoxicity testing</w:t>
      </w:r>
      <w:r w:rsidR="006F4311" w:rsidRPr="00442F26">
        <w:rPr>
          <w:color w:val="auto"/>
        </w:rPr>
        <w:t xml:space="preserve">. </w:t>
      </w:r>
      <w:r w:rsidR="006F4311" w:rsidRPr="00442F26">
        <w:rPr>
          <w:bCs/>
          <w:color w:val="auto"/>
        </w:rPr>
        <w:t>HepG2 cell</w:t>
      </w:r>
      <w:r w:rsidR="004D6945" w:rsidRPr="00442F26">
        <w:rPr>
          <w:bCs/>
          <w:color w:val="auto"/>
        </w:rPr>
        <w:t>-</w:t>
      </w:r>
      <w:r w:rsidR="006F4311" w:rsidRPr="00442F26">
        <w:rPr>
          <w:bCs/>
          <w:color w:val="auto"/>
        </w:rPr>
        <w:t xml:space="preserve">line based spheroids have </w:t>
      </w:r>
      <w:r w:rsidR="003D0DEC" w:rsidRPr="00442F26">
        <w:rPr>
          <w:bCs/>
          <w:color w:val="auto"/>
        </w:rPr>
        <w:t xml:space="preserve">sufficient </w:t>
      </w:r>
      <w:r w:rsidR="006F4311" w:rsidRPr="00442F26">
        <w:rPr>
          <w:bCs/>
          <w:color w:val="auto"/>
        </w:rPr>
        <w:t>actively dividing cells on the outer surface of the spheroids</w:t>
      </w:r>
      <w:r w:rsidR="003D71BA" w:rsidRPr="00442F26">
        <w:rPr>
          <w:bCs/>
          <w:color w:val="auto"/>
        </w:rPr>
        <w:t xml:space="preserve"> </w:t>
      </w:r>
      <w:r w:rsidR="006F4311" w:rsidRPr="00442F26">
        <w:rPr>
          <w:bCs/>
          <w:color w:val="auto"/>
        </w:rPr>
        <w:t>whilst maintaining basic liver-like characteristics, such as albumin and urea production and some</w:t>
      </w:r>
      <w:r w:rsidR="00055F29" w:rsidRPr="00442F26">
        <w:rPr>
          <w:bCs/>
          <w:color w:val="auto"/>
        </w:rPr>
        <w:t xml:space="preserve"> </w:t>
      </w:r>
      <w:r w:rsidR="006F4311" w:rsidRPr="00442F26">
        <w:rPr>
          <w:bCs/>
          <w:color w:val="auto"/>
        </w:rPr>
        <w:t xml:space="preserve">CYP450 </w:t>
      </w:r>
      <w:r w:rsidR="00055F29" w:rsidRPr="00442F26">
        <w:rPr>
          <w:bCs/>
          <w:color w:val="auto"/>
        </w:rPr>
        <w:t>activity</w:t>
      </w:r>
      <w:r w:rsidR="00A15B49" w:rsidRPr="00442F26">
        <w:rPr>
          <w:bCs/>
          <w:color w:val="auto"/>
          <w:vertAlign w:val="superscript"/>
        </w:rPr>
        <w:t>5,1</w:t>
      </w:r>
      <w:r w:rsidR="006E3BDB" w:rsidRPr="00442F26">
        <w:rPr>
          <w:bCs/>
          <w:color w:val="auto"/>
          <w:vertAlign w:val="superscript"/>
        </w:rPr>
        <w:t>2</w:t>
      </w:r>
      <w:r w:rsidR="00A15B49" w:rsidRPr="00442F26">
        <w:rPr>
          <w:bCs/>
          <w:color w:val="auto"/>
          <w:vertAlign w:val="superscript"/>
        </w:rPr>
        <w:t>,1</w:t>
      </w:r>
      <w:r w:rsidR="006E3BDB" w:rsidRPr="00442F26">
        <w:rPr>
          <w:bCs/>
          <w:color w:val="auto"/>
          <w:vertAlign w:val="superscript"/>
        </w:rPr>
        <w:t>9</w:t>
      </w:r>
      <w:r w:rsidR="00A15B49" w:rsidRPr="00442F26">
        <w:rPr>
          <w:bCs/>
          <w:color w:val="auto"/>
        </w:rPr>
        <w:t>.</w:t>
      </w:r>
      <w:r w:rsidR="002A231D" w:rsidRPr="00442F26">
        <w:rPr>
          <w:bCs/>
          <w:color w:val="auto"/>
        </w:rPr>
        <w:t xml:space="preserve"> </w:t>
      </w:r>
      <w:r w:rsidR="0048399F" w:rsidRPr="00442F26">
        <w:rPr>
          <w:bCs/>
          <w:color w:val="auto"/>
        </w:rPr>
        <w:t xml:space="preserve">Principally this </w:t>
      </w:r>
      <w:r w:rsidR="00725AEE" w:rsidRPr="00442F26">
        <w:rPr>
          <w:bCs/>
          <w:color w:val="auto"/>
        </w:rPr>
        <w:t>in vitro</w:t>
      </w:r>
      <w:r w:rsidR="00F511F1" w:rsidRPr="00442F26">
        <w:rPr>
          <w:bCs/>
          <w:color w:val="auto"/>
        </w:rPr>
        <w:t xml:space="preserve"> </w:t>
      </w:r>
      <w:r w:rsidR="00CE2AD3" w:rsidRPr="00442F26">
        <w:rPr>
          <w:bCs/>
          <w:color w:val="auto"/>
        </w:rPr>
        <w:t xml:space="preserve">liver model has been </w:t>
      </w:r>
      <w:r w:rsidR="00F511F1" w:rsidRPr="00442F26">
        <w:rPr>
          <w:bCs/>
          <w:color w:val="auto"/>
        </w:rPr>
        <w:t xml:space="preserve">developed to </w:t>
      </w:r>
      <w:r w:rsidR="0048399F" w:rsidRPr="00442F26">
        <w:rPr>
          <w:bCs/>
          <w:color w:val="auto"/>
        </w:rPr>
        <w:t xml:space="preserve">complement </w:t>
      </w:r>
      <w:r w:rsidR="00CE2AD3" w:rsidRPr="00442F26">
        <w:rPr>
          <w:bCs/>
          <w:color w:val="auto"/>
        </w:rPr>
        <w:t>the micronucleus assay</w:t>
      </w:r>
      <w:r w:rsidR="0048399F" w:rsidRPr="00442F26">
        <w:rPr>
          <w:bCs/>
          <w:color w:val="auto"/>
        </w:rPr>
        <w:t>,</w:t>
      </w:r>
      <w:r w:rsidR="004E07C5" w:rsidRPr="00442F26">
        <w:rPr>
          <w:bCs/>
          <w:color w:val="auto"/>
        </w:rPr>
        <w:t xml:space="preserve"> as this is one of the two </w:t>
      </w:r>
      <w:r w:rsidR="00725AEE" w:rsidRPr="00442F26">
        <w:rPr>
          <w:bCs/>
          <w:color w:val="auto"/>
        </w:rPr>
        <w:t>in vitro</w:t>
      </w:r>
      <w:r w:rsidR="004E07C5" w:rsidRPr="00442F26">
        <w:rPr>
          <w:bCs/>
          <w:color w:val="auto"/>
        </w:rPr>
        <w:t xml:space="preserve"> </w:t>
      </w:r>
      <w:r w:rsidR="00F7270C" w:rsidRPr="00442F26">
        <w:rPr>
          <w:bCs/>
          <w:color w:val="auto"/>
        </w:rPr>
        <w:t>assays</w:t>
      </w:r>
      <w:r w:rsidR="004E07C5" w:rsidRPr="00442F26">
        <w:rPr>
          <w:bCs/>
          <w:color w:val="auto"/>
        </w:rPr>
        <w:t xml:space="preserve"> recommended </w:t>
      </w:r>
      <w:r w:rsidR="00F7270C" w:rsidRPr="00442F26">
        <w:rPr>
          <w:bCs/>
          <w:color w:val="auto"/>
        </w:rPr>
        <w:t xml:space="preserve">in the battery </w:t>
      </w:r>
      <w:r w:rsidR="004E07C5" w:rsidRPr="00442F26">
        <w:rPr>
          <w:bCs/>
          <w:color w:val="auto"/>
        </w:rPr>
        <w:t>for genotoxicity testing</w:t>
      </w:r>
      <w:r w:rsidR="00960B64" w:rsidRPr="00442F26">
        <w:rPr>
          <w:bCs/>
          <w:color w:val="auto"/>
          <w:vertAlign w:val="superscript"/>
        </w:rPr>
        <w:t>8,10,11,21</w:t>
      </w:r>
      <w:r w:rsidR="004E07C5" w:rsidRPr="00442F26">
        <w:rPr>
          <w:bCs/>
          <w:color w:val="auto"/>
        </w:rPr>
        <w:t xml:space="preserve">. However, the model </w:t>
      </w:r>
      <w:r w:rsidR="00F7270C" w:rsidRPr="00442F26">
        <w:rPr>
          <w:bCs/>
          <w:color w:val="auto"/>
        </w:rPr>
        <w:t xml:space="preserve">can be readily applied to DNA sequencing analysis and gene expression (RNA) technologies, while it </w:t>
      </w:r>
      <w:r w:rsidR="004E07C5" w:rsidRPr="00442F26">
        <w:rPr>
          <w:bCs/>
          <w:color w:val="auto"/>
        </w:rPr>
        <w:t>has the potential to</w:t>
      </w:r>
      <w:r w:rsidR="0048399F" w:rsidRPr="00442F26">
        <w:rPr>
          <w:bCs/>
          <w:color w:val="auto"/>
        </w:rPr>
        <w:t xml:space="preserve"> </w:t>
      </w:r>
      <w:r w:rsidR="00A839B3" w:rsidRPr="00442F26">
        <w:rPr>
          <w:bCs/>
          <w:color w:val="auto"/>
        </w:rPr>
        <w:t xml:space="preserve">be </w:t>
      </w:r>
      <w:r w:rsidR="004E07C5" w:rsidRPr="00442F26">
        <w:rPr>
          <w:bCs/>
          <w:color w:val="auto"/>
        </w:rPr>
        <w:t xml:space="preserve">further </w:t>
      </w:r>
      <w:r w:rsidR="00A839B3" w:rsidRPr="00442F26">
        <w:rPr>
          <w:bCs/>
          <w:color w:val="auto"/>
        </w:rPr>
        <w:t xml:space="preserve">adapted </w:t>
      </w:r>
      <w:r w:rsidR="00F511F1" w:rsidRPr="00442F26">
        <w:rPr>
          <w:bCs/>
          <w:color w:val="auto"/>
        </w:rPr>
        <w:t>and util</w:t>
      </w:r>
      <w:r w:rsidR="00E06DFD" w:rsidRPr="00442F26">
        <w:rPr>
          <w:bCs/>
          <w:color w:val="auto"/>
        </w:rPr>
        <w:t>ize</w:t>
      </w:r>
      <w:r w:rsidR="00F511F1" w:rsidRPr="00442F26">
        <w:rPr>
          <w:bCs/>
          <w:color w:val="auto"/>
        </w:rPr>
        <w:t xml:space="preserve">d </w:t>
      </w:r>
      <w:r w:rsidR="00F7270C" w:rsidRPr="00442F26">
        <w:rPr>
          <w:bCs/>
          <w:color w:val="auto"/>
        </w:rPr>
        <w:t xml:space="preserve">for </w:t>
      </w:r>
      <w:r w:rsidR="00A839B3" w:rsidRPr="00442F26">
        <w:rPr>
          <w:bCs/>
          <w:color w:val="auto"/>
        </w:rPr>
        <w:t>other</w:t>
      </w:r>
      <w:r w:rsidR="0048399F" w:rsidRPr="00442F26">
        <w:rPr>
          <w:bCs/>
          <w:color w:val="auto"/>
        </w:rPr>
        <w:t xml:space="preserve"> DNA damage endpoints</w:t>
      </w:r>
      <w:r w:rsidR="00294834" w:rsidRPr="00442F26">
        <w:rPr>
          <w:bCs/>
          <w:color w:val="auto"/>
        </w:rPr>
        <w:t>,</w:t>
      </w:r>
      <w:r w:rsidR="00CE2AD3" w:rsidRPr="00442F26">
        <w:rPr>
          <w:bCs/>
          <w:color w:val="auto"/>
        </w:rPr>
        <w:t xml:space="preserve"> </w:t>
      </w:r>
      <w:r w:rsidR="00F7270C" w:rsidRPr="00442F26">
        <w:rPr>
          <w:bCs/>
          <w:color w:val="auto"/>
        </w:rPr>
        <w:t>such as the comet assay</w:t>
      </w:r>
      <w:r w:rsidR="00CE2AD3" w:rsidRPr="00442F26">
        <w:rPr>
          <w:bCs/>
          <w:color w:val="auto"/>
        </w:rPr>
        <w:t>.</w:t>
      </w:r>
      <w:r w:rsidR="00F511F1" w:rsidRPr="00442F26">
        <w:rPr>
          <w:bCs/>
          <w:color w:val="auto"/>
        </w:rPr>
        <w:t xml:space="preserve"> </w:t>
      </w:r>
      <w:r w:rsidR="00F7270C" w:rsidRPr="00442F26">
        <w:rPr>
          <w:bCs/>
          <w:color w:val="auto"/>
        </w:rPr>
        <w:t>Nonetheless</w:t>
      </w:r>
      <w:r w:rsidR="004E07C5" w:rsidRPr="00442F26">
        <w:rPr>
          <w:bCs/>
          <w:color w:val="auto"/>
        </w:rPr>
        <w:t xml:space="preserve">, it is important to consider </w:t>
      </w:r>
      <w:r w:rsidR="00877D44" w:rsidRPr="00442F26">
        <w:rPr>
          <w:bCs/>
          <w:color w:val="auto"/>
        </w:rPr>
        <w:t xml:space="preserve">the role that ENM interference plays in some endpoint analyses. For example, </w:t>
      </w:r>
      <w:r w:rsidR="004E07C5" w:rsidRPr="00442F26">
        <w:rPr>
          <w:bCs/>
          <w:color w:val="auto"/>
        </w:rPr>
        <w:t xml:space="preserve">flow </w:t>
      </w:r>
      <w:r w:rsidR="00D6403F" w:rsidRPr="00442F26">
        <w:rPr>
          <w:bCs/>
          <w:color w:val="auto"/>
        </w:rPr>
        <w:t>cytometry-based</w:t>
      </w:r>
      <w:r w:rsidR="004E07C5" w:rsidRPr="00442F26">
        <w:rPr>
          <w:bCs/>
          <w:color w:val="auto"/>
        </w:rPr>
        <w:t xml:space="preserve"> analyses may not be suitable for ENM genotoxicity assessment specifically due to particle interference</w:t>
      </w:r>
      <w:r w:rsidR="00960B64" w:rsidRPr="00442F26">
        <w:rPr>
          <w:bCs/>
          <w:color w:val="auto"/>
          <w:vertAlign w:val="superscript"/>
        </w:rPr>
        <w:t>22</w:t>
      </w:r>
      <w:r w:rsidR="004E07C5" w:rsidRPr="00442F26">
        <w:rPr>
          <w:bCs/>
          <w:color w:val="auto"/>
        </w:rPr>
        <w:t>.</w:t>
      </w:r>
      <w:r w:rsidR="00725AEE" w:rsidRPr="00442F26">
        <w:rPr>
          <w:bCs/>
          <w:color w:val="auto"/>
        </w:rPr>
        <w:t xml:space="preserve"> </w:t>
      </w:r>
    </w:p>
    <w:p w14:paraId="0EF1D025" w14:textId="77777777" w:rsidR="00055F29" w:rsidRPr="00442F26" w:rsidRDefault="00055F29" w:rsidP="006F7144">
      <w:pPr>
        <w:contextualSpacing/>
        <w:rPr>
          <w:bCs/>
          <w:color w:val="auto"/>
        </w:rPr>
      </w:pPr>
    </w:p>
    <w:p w14:paraId="278E55C9" w14:textId="69C61252" w:rsidR="001B3C13" w:rsidRPr="00442F26" w:rsidRDefault="00055F29" w:rsidP="006F7144">
      <w:pPr>
        <w:contextualSpacing/>
        <w:rPr>
          <w:color w:val="auto"/>
        </w:rPr>
      </w:pPr>
      <w:r w:rsidRPr="00442F26">
        <w:rPr>
          <w:color w:val="auto"/>
        </w:rPr>
        <w:t xml:space="preserve">One limiting factor of spheroid models </w:t>
      </w:r>
      <w:r w:rsidR="00D6403F">
        <w:rPr>
          <w:color w:val="auto"/>
        </w:rPr>
        <w:t>that</w:t>
      </w:r>
      <w:r w:rsidRPr="00442F26">
        <w:rPr>
          <w:color w:val="auto"/>
        </w:rPr>
        <w:t xml:space="preserve"> actively undergo cell division is their size. Optimi</w:t>
      </w:r>
      <w:r w:rsidR="00D6403F">
        <w:rPr>
          <w:color w:val="auto"/>
        </w:rPr>
        <w:t>z</w:t>
      </w:r>
      <w:r w:rsidRPr="00442F26">
        <w:rPr>
          <w:color w:val="auto"/>
        </w:rPr>
        <w:t xml:space="preserve">ation of seeding density is critical as there needs to be enough cells that </w:t>
      </w:r>
      <w:r w:rsidR="0075762D" w:rsidRPr="00442F26">
        <w:rPr>
          <w:color w:val="auto"/>
        </w:rPr>
        <w:t xml:space="preserve">allow the </w:t>
      </w:r>
      <w:r w:rsidRPr="00442F26">
        <w:rPr>
          <w:color w:val="auto"/>
        </w:rPr>
        <w:t xml:space="preserve">model </w:t>
      </w:r>
      <w:r w:rsidR="0075762D" w:rsidRPr="00442F26">
        <w:rPr>
          <w:color w:val="auto"/>
        </w:rPr>
        <w:t xml:space="preserve">to </w:t>
      </w:r>
      <w:r w:rsidRPr="00442F26">
        <w:rPr>
          <w:color w:val="auto"/>
        </w:rPr>
        <w:t>continue to proliferate</w:t>
      </w:r>
      <w:r w:rsidR="00432927" w:rsidRPr="00442F26">
        <w:rPr>
          <w:color w:val="auto"/>
        </w:rPr>
        <w:t>;</w:t>
      </w:r>
      <w:r w:rsidRPr="00442F26">
        <w:rPr>
          <w:color w:val="auto"/>
        </w:rPr>
        <w:t xml:space="preserve"> but not too </w:t>
      </w:r>
      <w:r w:rsidR="0075762D" w:rsidRPr="00442F26">
        <w:rPr>
          <w:color w:val="auto"/>
        </w:rPr>
        <w:t>high a cell number</w:t>
      </w:r>
      <w:r w:rsidR="00432927" w:rsidRPr="00442F26">
        <w:rPr>
          <w:color w:val="auto"/>
        </w:rPr>
        <w:t>, which</w:t>
      </w:r>
      <w:r w:rsidRPr="00442F26">
        <w:rPr>
          <w:color w:val="auto"/>
        </w:rPr>
        <w:t xml:space="preserve"> </w:t>
      </w:r>
      <w:r w:rsidR="0075762D" w:rsidRPr="00442F26">
        <w:rPr>
          <w:color w:val="auto"/>
        </w:rPr>
        <w:t xml:space="preserve">results in </w:t>
      </w:r>
      <w:r w:rsidRPr="00442F26">
        <w:rPr>
          <w:color w:val="auto"/>
        </w:rPr>
        <w:t xml:space="preserve">the spheroid </w:t>
      </w:r>
      <w:r w:rsidR="0075762D" w:rsidRPr="00442F26">
        <w:rPr>
          <w:color w:val="auto"/>
        </w:rPr>
        <w:t xml:space="preserve">becoming </w:t>
      </w:r>
      <w:r w:rsidRPr="00442F26">
        <w:rPr>
          <w:color w:val="auto"/>
        </w:rPr>
        <w:t>overly compact</w:t>
      </w:r>
      <w:r w:rsidR="006A7204" w:rsidRPr="00442F26">
        <w:rPr>
          <w:color w:val="auto"/>
        </w:rPr>
        <w:t>,</w:t>
      </w:r>
      <w:r w:rsidRPr="00442F26">
        <w:rPr>
          <w:color w:val="auto"/>
        </w:rPr>
        <w:t xml:space="preserve"> </w:t>
      </w:r>
      <w:r w:rsidR="00432927" w:rsidRPr="00442F26">
        <w:rPr>
          <w:color w:val="auto"/>
        </w:rPr>
        <w:t xml:space="preserve">leading to an increased necrotic </w:t>
      </w:r>
      <w:r w:rsidRPr="00442F26">
        <w:rPr>
          <w:color w:val="auto"/>
        </w:rPr>
        <w:t>core</w:t>
      </w:r>
      <w:r w:rsidR="00432927" w:rsidRPr="00442F26">
        <w:rPr>
          <w:color w:val="auto"/>
        </w:rPr>
        <w:t>. The cause of this necrosis is believed to be</w:t>
      </w:r>
      <w:r w:rsidRPr="00442F26">
        <w:rPr>
          <w:color w:val="auto"/>
        </w:rPr>
        <w:t xml:space="preserve"> restricted oxygen and nutrient diffusion</w:t>
      </w:r>
      <w:r w:rsidR="00432927" w:rsidRPr="00442F26">
        <w:rPr>
          <w:color w:val="auto"/>
        </w:rPr>
        <w:t>, as the limit of this diffusion is thought to be approximately</w:t>
      </w:r>
      <w:r w:rsidR="00803D15" w:rsidRPr="00442F26">
        <w:rPr>
          <w:color w:val="auto"/>
        </w:rPr>
        <w:t xml:space="preserve"> 100</w:t>
      </w:r>
      <w:r w:rsidR="003E0D6E" w:rsidRPr="00442F26">
        <w:rPr>
          <w:color w:val="auto"/>
        </w:rPr>
        <w:t xml:space="preserve"> – 150</w:t>
      </w:r>
      <w:r w:rsidR="00D6403F">
        <w:rPr>
          <w:color w:val="auto"/>
        </w:rPr>
        <w:t xml:space="preserve"> µ</w:t>
      </w:r>
      <w:r w:rsidR="00803D15" w:rsidRPr="00442F26">
        <w:rPr>
          <w:color w:val="auto"/>
        </w:rPr>
        <w:t>m of tissue</w:t>
      </w:r>
      <w:r w:rsidR="00423076" w:rsidRPr="00442F26">
        <w:rPr>
          <w:color w:val="auto"/>
          <w:vertAlign w:val="superscript"/>
        </w:rPr>
        <w:t>2</w:t>
      </w:r>
      <w:r w:rsidR="00960B64" w:rsidRPr="00442F26">
        <w:rPr>
          <w:color w:val="auto"/>
          <w:vertAlign w:val="superscript"/>
        </w:rPr>
        <w:t>3</w:t>
      </w:r>
      <w:r w:rsidR="002C634B" w:rsidRPr="00442F26">
        <w:rPr>
          <w:color w:val="auto"/>
          <w:vertAlign w:val="superscript"/>
        </w:rPr>
        <w:t>,2</w:t>
      </w:r>
      <w:r w:rsidR="00960B64" w:rsidRPr="00442F26">
        <w:rPr>
          <w:color w:val="auto"/>
          <w:vertAlign w:val="superscript"/>
        </w:rPr>
        <w:t>4</w:t>
      </w:r>
      <w:r w:rsidR="00803D15" w:rsidRPr="00442F26">
        <w:rPr>
          <w:color w:val="auto"/>
        </w:rPr>
        <w:t xml:space="preserve">. However, this </w:t>
      </w:r>
      <w:r w:rsidR="00432927" w:rsidRPr="00442F26">
        <w:rPr>
          <w:color w:val="auto"/>
        </w:rPr>
        <w:t>does</w:t>
      </w:r>
      <w:r w:rsidR="00803D15" w:rsidRPr="00442F26">
        <w:rPr>
          <w:color w:val="auto"/>
        </w:rPr>
        <w:t xml:space="preserve"> depend of the cell type, cell </w:t>
      </w:r>
      <w:r w:rsidR="00803D15" w:rsidRPr="00442F26">
        <w:rPr>
          <w:color w:val="auto"/>
        </w:rPr>
        <w:lastRenderedPageBreak/>
        <w:t>number, scaffold interactions and culture conditions</w:t>
      </w:r>
      <w:r w:rsidR="00423076" w:rsidRPr="00442F26">
        <w:rPr>
          <w:color w:val="auto"/>
          <w:vertAlign w:val="superscript"/>
        </w:rPr>
        <w:t>2</w:t>
      </w:r>
      <w:r w:rsidR="00960B64" w:rsidRPr="00442F26">
        <w:rPr>
          <w:color w:val="auto"/>
          <w:vertAlign w:val="superscript"/>
        </w:rPr>
        <w:t>5</w:t>
      </w:r>
      <w:r w:rsidR="00A15B49" w:rsidRPr="00442F26">
        <w:rPr>
          <w:color w:val="auto"/>
        </w:rPr>
        <w:t xml:space="preserve">. </w:t>
      </w:r>
      <w:r w:rsidR="008231D4" w:rsidRPr="00442F26">
        <w:rPr>
          <w:color w:val="auto"/>
        </w:rPr>
        <w:t>Since</w:t>
      </w:r>
      <w:r w:rsidR="003D71BA" w:rsidRPr="00442F26">
        <w:rPr>
          <w:color w:val="auto"/>
        </w:rPr>
        <w:t>,</w:t>
      </w:r>
      <w:r w:rsidR="008231D4" w:rsidRPr="00442F26">
        <w:rPr>
          <w:color w:val="auto"/>
        </w:rPr>
        <w:t xml:space="preserve"> i</w:t>
      </w:r>
      <w:r w:rsidRPr="00442F26">
        <w:rPr>
          <w:color w:val="auto"/>
        </w:rPr>
        <w:t>t has been shown that approximately 700</w:t>
      </w:r>
      <w:r w:rsidR="00D6403F">
        <w:rPr>
          <w:color w:val="auto"/>
        </w:rPr>
        <w:t xml:space="preserve"> µ</w:t>
      </w:r>
      <w:r w:rsidRPr="00442F26">
        <w:rPr>
          <w:color w:val="auto"/>
        </w:rPr>
        <w:t>m diameter is the limit for avoiding premature onset of necrosis in the cent</w:t>
      </w:r>
      <w:r w:rsidR="00D6403F">
        <w:rPr>
          <w:color w:val="auto"/>
        </w:rPr>
        <w:t>er</w:t>
      </w:r>
      <w:r w:rsidRPr="00442F26">
        <w:rPr>
          <w:color w:val="auto"/>
        </w:rPr>
        <w:t xml:space="preserve"> of </w:t>
      </w:r>
      <w:r w:rsidR="00803D15" w:rsidRPr="00442F26">
        <w:rPr>
          <w:color w:val="auto"/>
        </w:rPr>
        <w:t>C3A</w:t>
      </w:r>
      <w:r w:rsidRPr="00442F26">
        <w:rPr>
          <w:color w:val="auto"/>
        </w:rPr>
        <w:t xml:space="preserve"> spheroid</w:t>
      </w:r>
      <w:r w:rsidR="003D71BA" w:rsidRPr="00442F26">
        <w:rPr>
          <w:color w:val="auto"/>
        </w:rPr>
        <w:t>s</w:t>
      </w:r>
      <w:r w:rsidRPr="00442F26">
        <w:rPr>
          <w:color w:val="auto"/>
        </w:rPr>
        <w:t>, seeding 4000 HepG2 cells per spheroid ensures the diameter of the model at the time of exposure is ≤500</w:t>
      </w:r>
      <w:r w:rsidR="00D6403F">
        <w:rPr>
          <w:color w:val="auto"/>
        </w:rPr>
        <w:t xml:space="preserve"> µ</w:t>
      </w:r>
      <w:r w:rsidRPr="00442F26">
        <w:rPr>
          <w:color w:val="auto"/>
        </w:rPr>
        <w:t>m</w:t>
      </w:r>
      <w:r w:rsidR="00A15B49" w:rsidRPr="00442F26">
        <w:rPr>
          <w:color w:val="auto"/>
          <w:vertAlign w:val="superscript"/>
        </w:rPr>
        <w:t>2</w:t>
      </w:r>
      <w:r w:rsidR="00960B64" w:rsidRPr="00442F26">
        <w:rPr>
          <w:color w:val="auto"/>
          <w:vertAlign w:val="superscript"/>
        </w:rPr>
        <w:t>6</w:t>
      </w:r>
      <w:r w:rsidRPr="00442F26">
        <w:rPr>
          <w:color w:val="auto"/>
        </w:rPr>
        <w:t>.</w:t>
      </w:r>
      <w:r w:rsidR="008231D4" w:rsidRPr="00442F26">
        <w:rPr>
          <w:color w:val="auto"/>
        </w:rPr>
        <w:t xml:space="preserve"> Furthermore, Shah </w:t>
      </w:r>
      <w:r w:rsidR="00E06DFD" w:rsidRPr="00442F26">
        <w:rPr>
          <w:color w:val="auto"/>
        </w:rPr>
        <w:t>et al.</w:t>
      </w:r>
      <w:r w:rsidR="008231D4" w:rsidRPr="00442F26">
        <w:rPr>
          <w:color w:val="auto"/>
        </w:rPr>
        <w:t xml:space="preserve"> established that HepG2 cells seeded above 5000 cells per spheroid exhibited </w:t>
      </w:r>
      <w:r w:rsidR="00CC039C" w:rsidRPr="00442F26">
        <w:rPr>
          <w:color w:val="auto"/>
        </w:rPr>
        <w:t>a 25</w:t>
      </w:r>
      <w:r w:rsidR="008231D4" w:rsidRPr="00442F26">
        <w:rPr>
          <w:color w:val="auto"/>
        </w:rPr>
        <w:t>%</w:t>
      </w:r>
      <w:r w:rsidR="00CC039C" w:rsidRPr="00442F26">
        <w:rPr>
          <w:color w:val="auto"/>
        </w:rPr>
        <w:t xml:space="preserve"> reduction in</w:t>
      </w:r>
      <w:r w:rsidR="008231D4" w:rsidRPr="00442F26">
        <w:rPr>
          <w:color w:val="auto"/>
        </w:rPr>
        <w:t xml:space="preserve"> viability following </w:t>
      </w:r>
      <w:r w:rsidR="00CC039C" w:rsidRPr="00442F26">
        <w:rPr>
          <w:color w:val="auto"/>
        </w:rPr>
        <w:t>7</w:t>
      </w:r>
      <w:r w:rsidR="008231D4" w:rsidRPr="00442F26">
        <w:rPr>
          <w:color w:val="auto"/>
        </w:rPr>
        <w:t xml:space="preserve"> days in culture</w:t>
      </w:r>
      <w:r w:rsidR="00432927" w:rsidRPr="00442F26">
        <w:rPr>
          <w:color w:val="auto"/>
        </w:rPr>
        <w:t>,</w:t>
      </w:r>
      <w:r w:rsidR="00CC039C" w:rsidRPr="00442F26">
        <w:rPr>
          <w:color w:val="auto"/>
        </w:rPr>
        <w:t xml:space="preserve"> which could pertain to the average diameter of 680</w:t>
      </w:r>
      <w:r w:rsidR="00D6403F">
        <w:rPr>
          <w:color w:val="auto"/>
        </w:rPr>
        <w:t xml:space="preserve"> µ</w:t>
      </w:r>
      <w:r w:rsidR="00CC039C" w:rsidRPr="00442F26">
        <w:rPr>
          <w:color w:val="auto"/>
        </w:rPr>
        <w:t>m and limited availability of nutrients in a 2</w:t>
      </w:r>
      <w:r w:rsidR="009F37F6" w:rsidRPr="00442F26">
        <w:rPr>
          <w:color w:val="auto"/>
        </w:rPr>
        <w:t>0</w:t>
      </w:r>
      <w:r w:rsidR="00D6403F">
        <w:rPr>
          <w:color w:val="auto"/>
        </w:rPr>
        <w:t xml:space="preserve"> </w:t>
      </w:r>
      <w:r w:rsidR="006F7144" w:rsidRPr="00442F26">
        <w:rPr>
          <w:color w:val="auto"/>
        </w:rPr>
        <w:t xml:space="preserve">µL </w:t>
      </w:r>
      <w:r w:rsidR="00CC039C" w:rsidRPr="00442F26">
        <w:rPr>
          <w:color w:val="auto"/>
        </w:rPr>
        <w:t>hanging drop</w:t>
      </w:r>
      <w:r w:rsidR="00A15B49" w:rsidRPr="00442F26">
        <w:rPr>
          <w:color w:val="auto"/>
          <w:vertAlign w:val="superscript"/>
        </w:rPr>
        <w:t>5</w:t>
      </w:r>
      <w:r w:rsidR="008231D4" w:rsidRPr="00442F26">
        <w:rPr>
          <w:color w:val="auto"/>
        </w:rPr>
        <w:t>.</w:t>
      </w:r>
      <w:r w:rsidR="00CC039C" w:rsidRPr="00442F26">
        <w:rPr>
          <w:color w:val="auto"/>
        </w:rPr>
        <w:t xml:space="preserve"> </w:t>
      </w:r>
      <w:r w:rsidR="008231D4" w:rsidRPr="00442F26">
        <w:rPr>
          <w:color w:val="auto"/>
        </w:rPr>
        <w:t xml:space="preserve">To overcome this, the model devised in </w:t>
      </w:r>
      <w:r w:rsidR="00432927" w:rsidRPr="00442F26">
        <w:rPr>
          <w:color w:val="auto"/>
        </w:rPr>
        <w:t xml:space="preserve">the present </w:t>
      </w:r>
      <w:r w:rsidR="008231D4" w:rsidRPr="00442F26">
        <w:rPr>
          <w:color w:val="auto"/>
        </w:rPr>
        <w:t xml:space="preserve">protocol undergoes a critical step </w:t>
      </w:r>
      <w:r w:rsidR="00432927" w:rsidRPr="00442F26">
        <w:rPr>
          <w:color w:val="auto"/>
        </w:rPr>
        <w:t>where the</w:t>
      </w:r>
      <w:r w:rsidR="008231D4" w:rsidRPr="00442F26">
        <w:rPr>
          <w:color w:val="auto"/>
        </w:rPr>
        <w:t xml:space="preserve"> hanging drop </w:t>
      </w:r>
      <w:r w:rsidR="00432927" w:rsidRPr="00442F26">
        <w:rPr>
          <w:color w:val="auto"/>
        </w:rPr>
        <w:t>is transferred to</w:t>
      </w:r>
      <w:r w:rsidR="008231D4" w:rsidRPr="00442F26">
        <w:rPr>
          <w:color w:val="auto"/>
        </w:rPr>
        <w:t xml:space="preserve"> agarose coated wells</w:t>
      </w:r>
      <w:r w:rsidR="00CC039C" w:rsidRPr="00442F26">
        <w:rPr>
          <w:color w:val="auto"/>
        </w:rPr>
        <w:t xml:space="preserve"> following initial formation of the spheroid</w:t>
      </w:r>
      <w:r w:rsidR="008231D4" w:rsidRPr="00442F26">
        <w:rPr>
          <w:color w:val="auto"/>
        </w:rPr>
        <w:t xml:space="preserve">. This ensures </w:t>
      </w:r>
      <w:r w:rsidR="00432927" w:rsidRPr="00442F26">
        <w:rPr>
          <w:color w:val="auto"/>
        </w:rPr>
        <w:t xml:space="preserve">a greater volume of </w:t>
      </w:r>
      <w:r w:rsidR="008231D4" w:rsidRPr="00442F26">
        <w:rPr>
          <w:color w:val="auto"/>
        </w:rPr>
        <w:t>culture medium is present to sustain the ever-growing number of cells within the spheroids</w:t>
      </w:r>
      <w:r w:rsidR="00CC039C" w:rsidRPr="00442F26">
        <w:rPr>
          <w:color w:val="auto"/>
        </w:rPr>
        <w:t>. As a result, the HepG2 spheroid model remains over 7</w:t>
      </w:r>
      <w:r w:rsidR="000B2F04" w:rsidRPr="00442F26">
        <w:rPr>
          <w:color w:val="auto"/>
        </w:rPr>
        <w:t>0</w:t>
      </w:r>
      <w:r w:rsidR="00CC039C" w:rsidRPr="00442F26">
        <w:rPr>
          <w:color w:val="auto"/>
        </w:rPr>
        <w:t>%</w:t>
      </w:r>
      <w:r w:rsidR="008231D4" w:rsidRPr="00442F26">
        <w:rPr>
          <w:color w:val="auto"/>
        </w:rPr>
        <w:t xml:space="preserve"> </w:t>
      </w:r>
      <w:r w:rsidR="000B2F04" w:rsidRPr="00442F26">
        <w:rPr>
          <w:color w:val="auto"/>
        </w:rPr>
        <w:t>viable following 1</w:t>
      </w:r>
      <w:r w:rsidR="00534913" w:rsidRPr="00442F26">
        <w:rPr>
          <w:color w:val="auto"/>
        </w:rPr>
        <w:t>0</w:t>
      </w:r>
      <w:r w:rsidR="000B2F04" w:rsidRPr="00442F26">
        <w:rPr>
          <w:color w:val="auto"/>
        </w:rPr>
        <w:t xml:space="preserve"> days in culture and can be utilized for long-term hazard assessment </w:t>
      </w:r>
      <w:r w:rsidR="00725AEE" w:rsidRPr="00442F26">
        <w:rPr>
          <w:color w:val="auto"/>
        </w:rPr>
        <w:t>in vitro</w:t>
      </w:r>
      <w:r w:rsidR="0009615A" w:rsidRPr="00442F26">
        <w:rPr>
          <w:i/>
          <w:iCs/>
          <w:color w:val="auto"/>
        </w:rPr>
        <w:t>.</w:t>
      </w:r>
      <w:r w:rsidR="00680CAE" w:rsidRPr="00442F26">
        <w:rPr>
          <w:i/>
          <w:iCs/>
          <w:color w:val="auto"/>
        </w:rPr>
        <w:t xml:space="preserve"> </w:t>
      </w:r>
    </w:p>
    <w:p w14:paraId="6794B02E" w14:textId="77777777" w:rsidR="001B3C13" w:rsidRPr="00442F26" w:rsidRDefault="001B3C13" w:rsidP="006F7144">
      <w:pPr>
        <w:contextualSpacing/>
        <w:rPr>
          <w:color w:val="auto"/>
        </w:rPr>
      </w:pPr>
    </w:p>
    <w:p w14:paraId="0C9D61A7" w14:textId="351641B5" w:rsidR="00912385" w:rsidRPr="00442F26" w:rsidRDefault="003D71BA" w:rsidP="006F7144">
      <w:pPr>
        <w:contextualSpacing/>
        <w:rPr>
          <w:color w:val="auto"/>
        </w:rPr>
      </w:pPr>
      <w:r w:rsidRPr="00442F26">
        <w:rPr>
          <w:color w:val="auto"/>
        </w:rPr>
        <w:t xml:space="preserve">Whilst the HepG2 spheroid model can support both acute and </w:t>
      </w:r>
      <w:r w:rsidR="00E25E61" w:rsidRPr="00442F26">
        <w:rPr>
          <w:color w:val="auto"/>
        </w:rPr>
        <w:t>long</w:t>
      </w:r>
      <w:r w:rsidR="00E25E61">
        <w:rPr>
          <w:color w:val="auto"/>
        </w:rPr>
        <w:t>-term</w:t>
      </w:r>
      <w:r w:rsidRPr="00442F26">
        <w:rPr>
          <w:color w:val="auto"/>
        </w:rPr>
        <w:t xml:space="preserve"> exposure regimes, r</w:t>
      </w:r>
      <w:r w:rsidR="00912385" w:rsidRPr="00442F26">
        <w:rPr>
          <w:color w:val="auto"/>
        </w:rPr>
        <w:t xml:space="preserve">efreshing cell culture medium </w:t>
      </w:r>
      <w:r w:rsidRPr="00442F26">
        <w:rPr>
          <w:color w:val="auto"/>
        </w:rPr>
        <w:t>during</w:t>
      </w:r>
      <w:r w:rsidR="00912385" w:rsidRPr="00442F26">
        <w:rPr>
          <w:color w:val="auto"/>
        </w:rPr>
        <w:t xml:space="preserve"> </w:t>
      </w:r>
      <w:r w:rsidRPr="00442F26">
        <w:rPr>
          <w:color w:val="auto"/>
        </w:rPr>
        <w:t>extended</w:t>
      </w:r>
      <w:r w:rsidR="00912385" w:rsidRPr="00442F26">
        <w:rPr>
          <w:color w:val="auto"/>
        </w:rPr>
        <w:t xml:space="preserve"> culture</w:t>
      </w:r>
      <w:r w:rsidRPr="00442F26">
        <w:rPr>
          <w:color w:val="auto"/>
        </w:rPr>
        <w:t xml:space="preserve"> periods is </w:t>
      </w:r>
      <w:r w:rsidR="007E2C9A" w:rsidRPr="00442F26">
        <w:rPr>
          <w:color w:val="auto"/>
        </w:rPr>
        <w:t>restricted</w:t>
      </w:r>
      <w:r w:rsidRPr="00442F26">
        <w:rPr>
          <w:color w:val="auto"/>
        </w:rPr>
        <w:t xml:space="preserve"> for</w:t>
      </w:r>
      <w:r w:rsidR="00912385" w:rsidRPr="00442F26">
        <w:rPr>
          <w:color w:val="auto"/>
        </w:rPr>
        <w:t xml:space="preserve"> this model as </w:t>
      </w:r>
      <w:r w:rsidRPr="00442F26">
        <w:rPr>
          <w:color w:val="auto"/>
        </w:rPr>
        <w:t>complete replacement of the medium is</w:t>
      </w:r>
      <w:r w:rsidR="00432927" w:rsidRPr="00442F26">
        <w:rPr>
          <w:color w:val="auto"/>
        </w:rPr>
        <w:t xml:space="preserve"> not </w:t>
      </w:r>
      <w:r w:rsidRPr="00442F26">
        <w:rPr>
          <w:color w:val="auto"/>
        </w:rPr>
        <w:t xml:space="preserve">advised due to the potential </w:t>
      </w:r>
      <w:r w:rsidR="007E2C9A" w:rsidRPr="00442F26">
        <w:rPr>
          <w:color w:val="auto"/>
        </w:rPr>
        <w:t xml:space="preserve">loss </w:t>
      </w:r>
      <w:r w:rsidRPr="00442F26">
        <w:rPr>
          <w:color w:val="auto"/>
        </w:rPr>
        <w:t>of the spheroids.</w:t>
      </w:r>
      <w:r w:rsidR="00BC7AC2" w:rsidRPr="00442F26">
        <w:rPr>
          <w:color w:val="auto"/>
        </w:rPr>
        <w:t xml:space="preserve"> I</w:t>
      </w:r>
      <w:r w:rsidR="00912385" w:rsidRPr="00442F26">
        <w:rPr>
          <w:color w:val="auto"/>
        </w:rPr>
        <w:t>t is presumed that with ENM exposures, the tendency for</w:t>
      </w:r>
      <w:r w:rsidR="007E2C9A" w:rsidRPr="00442F26">
        <w:rPr>
          <w:color w:val="auto"/>
        </w:rPr>
        <w:t xml:space="preserve"> homogenous ENM dispersions </w:t>
      </w:r>
      <w:r w:rsidR="00912385" w:rsidRPr="00442F26">
        <w:rPr>
          <w:color w:val="auto"/>
        </w:rPr>
        <w:t xml:space="preserve">to </w:t>
      </w:r>
      <w:r w:rsidR="0036797F" w:rsidRPr="00442F26">
        <w:rPr>
          <w:color w:val="auto"/>
        </w:rPr>
        <w:t xml:space="preserve">agglomerate and </w:t>
      </w:r>
      <w:r w:rsidR="00912385" w:rsidRPr="00442F26">
        <w:rPr>
          <w:color w:val="auto"/>
        </w:rPr>
        <w:t>se</w:t>
      </w:r>
      <w:r w:rsidR="00BC7AC2" w:rsidRPr="00442F26">
        <w:rPr>
          <w:color w:val="auto"/>
        </w:rPr>
        <w:t>diment</w:t>
      </w:r>
      <w:r w:rsidR="00912385" w:rsidRPr="00442F26">
        <w:rPr>
          <w:color w:val="auto"/>
        </w:rPr>
        <w:t xml:space="preserve"> is high</w:t>
      </w:r>
      <w:r w:rsidR="00432927" w:rsidRPr="00442F26">
        <w:rPr>
          <w:color w:val="auto"/>
        </w:rPr>
        <w:t>. However</w:t>
      </w:r>
      <w:r w:rsidR="00BE050A" w:rsidRPr="00442F26">
        <w:rPr>
          <w:color w:val="auto"/>
        </w:rPr>
        <w:t xml:space="preserve">, </w:t>
      </w:r>
      <w:r w:rsidR="00432927" w:rsidRPr="00442F26">
        <w:rPr>
          <w:color w:val="auto"/>
        </w:rPr>
        <w:t xml:space="preserve">it is notable that </w:t>
      </w:r>
      <w:r w:rsidR="00BE050A" w:rsidRPr="00442F26">
        <w:rPr>
          <w:color w:val="auto"/>
        </w:rPr>
        <w:t>the rate at which an ENM sediments can vary depending on the particle parameters (</w:t>
      </w:r>
      <w:r w:rsidR="00725AEE" w:rsidRPr="00442F26">
        <w:rPr>
          <w:color w:val="auto"/>
        </w:rPr>
        <w:t xml:space="preserve">e.g., </w:t>
      </w:r>
      <w:r w:rsidR="00BE050A" w:rsidRPr="00442F26">
        <w:rPr>
          <w:color w:val="auto"/>
        </w:rPr>
        <w:t xml:space="preserve">size, shape and density) and can be determined theoretically using the </w:t>
      </w:r>
      <w:r w:rsidR="00725AEE" w:rsidRPr="00442F26">
        <w:rPr>
          <w:color w:val="auto"/>
        </w:rPr>
        <w:t>in vitro</w:t>
      </w:r>
      <w:r w:rsidR="00BE050A" w:rsidRPr="00442F26">
        <w:rPr>
          <w:color w:val="auto"/>
        </w:rPr>
        <w:t xml:space="preserve"> sedimentation, diffusion and dosimetry (</w:t>
      </w:r>
      <w:r w:rsidR="007E2C9A" w:rsidRPr="00442F26">
        <w:rPr>
          <w:color w:val="auto"/>
        </w:rPr>
        <w:t>I</w:t>
      </w:r>
      <w:r w:rsidR="00912385" w:rsidRPr="00442F26">
        <w:rPr>
          <w:color w:val="auto"/>
        </w:rPr>
        <w:t>S</w:t>
      </w:r>
      <w:r w:rsidR="007E2C9A" w:rsidRPr="00442F26">
        <w:rPr>
          <w:color w:val="auto"/>
        </w:rPr>
        <w:t>D</w:t>
      </w:r>
      <w:r w:rsidR="00912385" w:rsidRPr="00442F26">
        <w:rPr>
          <w:color w:val="auto"/>
        </w:rPr>
        <w:t>D</w:t>
      </w:r>
      <w:r w:rsidR="00BE050A" w:rsidRPr="00442F26">
        <w:rPr>
          <w:color w:val="auto"/>
        </w:rPr>
        <w:t>)</w:t>
      </w:r>
      <w:r w:rsidR="00912385" w:rsidRPr="00442F26">
        <w:rPr>
          <w:color w:val="auto"/>
        </w:rPr>
        <w:t xml:space="preserve"> model</w:t>
      </w:r>
      <w:r w:rsidR="004D6945" w:rsidRPr="00442F26">
        <w:rPr>
          <w:color w:val="auto"/>
        </w:rPr>
        <w:t>, or its recent derivatives,</w:t>
      </w:r>
      <w:r w:rsidR="00912385" w:rsidRPr="00442F26">
        <w:rPr>
          <w:color w:val="auto"/>
        </w:rPr>
        <w:t xml:space="preserve"> often referred </w:t>
      </w:r>
      <w:r w:rsidR="00AC06A1" w:rsidRPr="00442F26">
        <w:rPr>
          <w:color w:val="auto"/>
        </w:rPr>
        <w:t xml:space="preserve">to </w:t>
      </w:r>
      <w:r w:rsidR="004D6945" w:rsidRPr="00442F26">
        <w:rPr>
          <w:color w:val="auto"/>
        </w:rPr>
        <w:t xml:space="preserve">when </w:t>
      </w:r>
      <w:r w:rsidR="00AC06A1" w:rsidRPr="00442F26">
        <w:rPr>
          <w:color w:val="auto"/>
        </w:rPr>
        <w:t>regarding</w:t>
      </w:r>
      <w:r w:rsidR="00912385" w:rsidRPr="00442F26">
        <w:rPr>
          <w:color w:val="auto"/>
        </w:rPr>
        <w:t xml:space="preserve"> ENM </w:t>
      </w:r>
      <w:r w:rsidR="004D6945" w:rsidRPr="00442F26">
        <w:rPr>
          <w:color w:val="auto"/>
        </w:rPr>
        <w:t xml:space="preserve">(suspension) </w:t>
      </w:r>
      <w:r w:rsidR="00912385" w:rsidRPr="00442F26">
        <w:rPr>
          <w:color w:val="auto"/>
        </w:rPr>
        <w:t xml:space="preserve">exposure </w:t>
      </w:r>
      <w:r w:rsidR="004D6945" w:rsidRPr="00442F26">
        <w:rPr>
          <w:color w:val="auto"/>
        </w:rPr>
        <w:t>approaches</w:t>
      </w:r>
      <w:r w:rsidR="00A15B49" w:rsidRPr="00442F26">
        <w:rPr>
          <w:color w:val="auto"/>
          <w:vertAlign w:val="superscript"/>
        </w:rPr>
        <w:t>2</w:t>
      </w:r>
      <w:r w:rsidR="00960B64" w:rsidRPr="00442F26">
        <w:rPr>
          <w:color w:val="auto"/>
          <w:vertAlign w:val="superscript"/>
        </w:rPr>
        <w:t>7</w:t>
      </w:r>
      <w:r w:rsidR="00A15B49" w:rsidRPr="00442F26">
        <w:rPr>
          <w:color w:val="auto"/>
          <w:vertAlign w:val="superscript"/>
        </w:rPr>
        <w:t>,2</w:t>
      </w:r>
      <w:r w:rsidR="00960B64" w:rsidRPr="00442F26">
        <w:rPr>
          <w:color w:val="auto"/>
          <w:vertAlign w:val="superscript"/>
        </w:rPr>
        <w:t>8</w:t>
      </w:r>
      <w:r w:rsidR="00A15B49" w:rsidRPr="00442F26">
        <w:rPr>
          <w:color w:val="auto"/>
        </w:rPr>
        <w:t>.</w:t>
      </w:r>
      <w:r w:rsidR="00912385" w:rsidRPr="00442F26">
        <w:rPr>
          <w:color w:val="auto"/>
        </w:rPr>
        <w:t xml:space="preserve"> With this is mind, it </w:t>
      </w:r>
      <w:r w:rsidR="00A65657" w:rsidRPr="00442F26">
        <w:rPr>
          <w:color w:val="auto"/>
        </w:rPr>
        <w:t>is</w:t>
      </w:r>
      <w:r w:rsidR="00912385" w:rsidRPr="00442F26">
        <w:rPr>
          <w:color w:val="auto"/>
        </w:rPr>
        <w:t xml:space="preserve"> assumed that if only 50% of the cell culture medium </w:t>
      </w:r>
      <w:r w:rsidR="00A65657" w:rsidRPr="00442F26">
        <w:rPr>
          <w:color w:val="auto"/>
        </w:rPr>
        <w:t>i</w:t>
      </w:r>
      <w:r w:rsidR="00912385" w:rsidRPr="00442F26">
        <w:rPr>
          <w:color w:val="auto"/>
        </w:rPr>
        <w:t>s carefully removed from the surface of the cell</w:t>
      </w:r>
      <w:r w:rsidR="00A65657" w:rsidRPr="00442F26">
        <w:rPr>
          <w:color w:val="auto"/>
        </w:rPr>
        <w:t xml:space="preserve"> culture</w:t>
      </w:r>
      <w:r w:rsidR="00912385" w:rsidRPr="00442F26">
        <w:rPr>
          <w:color w:val="auto"/>
        </w:rPr>
        <w:t xml:space="preserve">, the disruption and subsequent removal of the ENM dose should in theory be </w:t>
      </w:r>
      <w:r w:rsidR="00A65657" w:rsidRPr="00442F26">
        <w:rPr>
          <w:color w:val="auto"/>
        </w:rPr>
        <w:t>minimal</w:t>
      </w:r>
      <w:r w:rsidR="00912385" w:rsidRPr="00442F26">
        <w:rPr>
          <w:color w:val="auto"/>
        </w:rPr>
        <w:t xml:space="preserve">. However, with Brownian motion at play, this may not strictly be the case and further work into the deposition and sedimentation of </w:t>
      </w:r>
      <w:r w:rsidR="007E2C9A" w:rsidRPr="00442F26">
        <w:rPr>
          <w:color w:val="auto"/>
        </w:rPr>
        <w:t>each</w:t>
      </w:r>
      <w:r w:rsidR="00912385" w:rsidRPr="00442F26">
        <w:rPr>
          <w:color w:val="auto"/>
        </w:rPr>
        <w:t xml:space="preserve"> </w:t>
      </w:r>
      <w:proofErr w:type="gramStart"/>
      <w:r w:rsidR="00912385" w:rsidRPr="00442F26">
        <w:rPr>
          <w:color w:val="auto"/>
        </w:rPr>
        <w:t>particular ENM</w:t>
      </w:r>
      <w:proofErr w:type="gramEnd"/>
      <w:r w:rsidR="00912385" w:rsidRPr="00442F26">
        <w:rPr>
          <w:color w:val="auto"/>
        </w:rPr>
        <w:t xml:space="preserve"> to be tested should be undertaken to ensure the correct dosimetry is retained throughout the long-term exposure regimes</w:t>
      </w:r>
      <w:r w:rsidR="00A15B49" w:rsidRPr="00442F26">
        <w:rPr>
          <w:color w:val="auto"/>
          <w:vertAlign w:val="superscript"/>
        </w:rPr>
        <w:t>2</w:t>
      </w:r>
      <w:r w:rsidR="00960B64" w:rsidRPr="00442F26">
        <w:rPr>
          <w:color w:val="auto"/>
          <w:vertAlign w:val="superscript"/>
        </w:rPr>
        <w:t>7</w:t>
      </w:r>
      <w:r w:rsidR="00912385" w:rsidRPr="00442F26">
        <w:rPr>
          <w:color w:val="auto"/>
        </w:rPr>
        <w:t>. Principally this is a</w:t>
      </w:r>
      <w:r w:rsidR="00E771A4" w:rsidRPr="00442F26">
        <w:rPr>
          <w:color w:val="auto"/>
        </w:rPr>
        <w:t xml:space="preserve"> potential</w:t>
      </w:r>
      <w:r w:rsidR="00912385" w:rsidRPr="00442F26">
        <w:rPr>
          <w:color w:val="auto"/>
        </w:rPr>
        <w:t xml:space="preserve"> limitation to consider when performing repeated dosing </w:t>
      </w:r>
      <w:proofErr w:type="spellStart"/>
      <w:r w:rsidR="00912385" w:rsidRPr="00442F26">
        <w:rPr>
          <w:color w:val="auto"/>
        </w:rPr>
        <w:t>regimes</w:t>
      </w:r>
      <w:proofErr w:type="spellEnd"/>
      <w:r w:rsidR="00912385" w:rsidRPr="00442F26">
        <w:rPr>
          <w:color w:val="auto"/>
        </w:rPr>
        <w:t xml:space="preserve"> as this could be critical to the final, accumulated </w:t>
      </w:r>
      <w:bookmarkStart w:id="12" w:name="_GoBack"/>
      <w:bookmarkEnd w:id="12"/>
      <w:r w:rsidR="00912385" w:rsidRPr="00442F26">
        <w:rPr>
          <w:color w:val="auto"/>
        </w:rPr>
        <w:t xml:space="preserve">concentration. </w:t>
      </w:r>
      <w:r w:rsidR="007E2C9A" w:rsidRPr="00442F26">
        <w:rPr>
          <w:color w:val="auto"/>
        </w:rPr>
        <w:t>C</w:t>
      </w:r>
      <w:r w:rsidR="00912385" w:rsidRPr="00442F26">
        <w:rPr>
          <w:color w:val="auto"/>
        </w:rPr>
        <w:t xml:space="preserve">hemical </w:t>
      </w:r>
      <w:r w:rsidR="007E2C9A" w:rsidRPr="00442F26">
        <w:rPr>
          <w:color w:val="auto"/>
        </w:rPr>
        <w:t xml:space="preserve">based </w:t>
      </w:r>
      <w:r w:rsidR="00912385" w:rsidRPr="00442F26">
        <w:rPr>
          <w:color w:val="auto"/>
        </w:rPr>
        <w:t xml:space="preserve">exposures </w:t>
      </w:r>
      <w:r w:rsidR="007E2C9A" w:rsidRPr="00442F26">
        <w:rPr>
          <w:color w:val="auto"/>
        </w:rPr>
        <w:t>on the other</w:t>
      </w:r>
      <w:r w:rsidR="00442722" w:rsidRPr="00442F26">
        <w:rPr>
          <w:color w:val="auto"/>
        </w:rPr>
        <w:t xml:space="preserve"> hand, whilst not without their own limitations to consider,</w:t>
      </w:r>
      <w:r w:rsidR="007E2C9A" w:rsidRPr="00442F26">
        <w:rPr>
          <w:color w:val="auto"/>
        </w:rPr>
        <w:t xml:space="preserve"> </w:t>
      </w:r>
      <w:r w:rsidR="00442722" w:rsidRPr="00442F26">
        <w:rPr>
          <w:color w:val="auto"/>
        </w:rPr>
        <w:t xml:space="preserve">offer a </w:t>
      </w:r>
      <w:r w:rsidR="00912385" w:rsidRPr="00442F26">
        <w:rPr>
          <w:color w:val="auto"/>
        </w:rPr>
        <w:t>more simplistic</w:t>
      </w:r>
      <w:r w:rsidR="00442722" w:rsidRPr="00442F26">
        <w:rPr>
          <w:color w:val="auto"/>
        </w:rPr>
        <w:t xml:space="preserve"> approach</w:t>
      </w:r>
      <w:r w:rsidR="006E3982" w:rsidRPr="00442F26">
        <w:rPr>
          <w:color w:val="auto"/>
        </w:rPr>
        <w:t xml:space="preserve"> </w:t>
      </w:r>
      <w:r w:rsidR="00442722" w:rsidRPr="00442F26">
        <w:rPr>
          <w:color w:val="auto"/>
        </w:rPr>
        <w:t>in</w:t>
      </w:r>
      <w:r w:rsidR="007E2C9A" w:rsidRPr="00442F26">
        <w:rPr>
          <w:color w:val="auto"/>
        </w:rPr>
        <w:t xml:space="preserve"> that </w:t>
      </w:r>
      <w:r w:rsidR="006E3982" w:rsidRPr="00442F26">
        <w:rPr>
          <w:color w:val="auto"/>
        </w:rPr>
        <w:t>chemical substances tend to remain in solution</w:t>
      </w:r>
      <w:r w:rsidR="009674E9" w:rsidRPr="00442F26">
        <w:rPr>
          <w:color w:val="auto"/>
        </w:rPr>
        <w:t xml:space="preserve"> and</w:t>
      </w:r>
      <w:r w:rsidR="006E3982" w:rsidRPr="00442F26">
        <w:rPr>
          <w:color w:val="auto"/>
        </w:rPr>
        <w:t xml:space="preserve"> thus </w:t>
      </w:r>
      <w:r w:rsidR="00912385" w:rsidRPr="00442F26">
        <w:rPr>
          <w:color w:val="auto"/>
        </w:rPr>
        <w:t xml:space="preserve">a </w:t>
      </w:r>
      <w:r w:rsidR="006E3982" w:rsidRPr="00442F26">
        <w:rPr>
          <w:color w:val="auto"/>
        </w:rPr>
        <w:t xml:space="preserve">direct </w:t>
      </w:r>
      <w:r w:rsidR="00912385" w:rsidRPr="00442F26">
        <w:rPr>
          <w:color w:val="auto"/>
        </w:rPr>
        <w:t xml:space="preserve">replacement of the original </w:t>
      </w:r>
      <w:r w:rsidR="007E2C9A" w:rsidRPr="00442F26">
        <w:rPr>
          <w:color w:val="auto"/>
        </w:rPr>
        <w:t>chemical concentration</w:t>
      </w:r>
      <w:r w:rsidR="009674E9" w:rsidRPr="00442F26">
        <w:rPr>
          <w:color w:val="auto"/>
        </w:rPr>
        <w:t xml:space="preserve"> </w:t>
      </w:r>
      <w:r w:rsidR="006E3982" w:rsidRPr="00442F26">
        <w:rPr>
          <w:color w:val="auto"/>
        </w:rPr>
        <w:t>in addition to</w:t>
      </w:r>
      <w:r w:rsidR="00912385" w:rsidRPr="00442F26">
        <w:rPr>
          <w:color w:val="auto"/>
        </w:rPr>
        <w:t xml:space="preserve"> the newly added </w:t>
      </w:r>
      <w:r w:rsidR="007E2C9A" w:rsidRPr="00442F26">
        <w:rPr>
          <w:color w:val="auto"/>
        </w:rPr>
        <w:t>concentration</w:t>
      </w:r>
      <w:r w:rsidR="00912385" w:rsidRPr="00442F26">
        <w:rPr>
          <w:color w:val="auto"/>
        </w:rPr>
        <w:t xml:space="preserve"> ensures that any chemical lost during media refreshment is replaced accordingly</w:t>
      </w:r>
      <w:r w:rsidR="00A15B49" w:rsidRPr="00442F26">
        <w:rPr>
          <w:color w:val="auto"/>
          <w:vertAlign w:val="superscript"/>
        </w:rPr>
        <w:t>2</w:t>
      </w:r>
      <w:r w:rsidR="00960B64" w:rsidRPr="00442F26">
        <w:rPr>
          <w:color w:val="auto"/>
          <w:vertAlign w:val="superscript"/>
        </w:rPr>
        <w:t>9</w:t>
      </w:r>
      <w:r w:rsidR="00A15B49" w:rsidRPr="00442F26">
        <w:rPr>
          <w:color w:val="auto"/>
        </w:rPr>
        <w:t xml:space="preserve">. </w:t>
      </w:r>
      <w:r w:rsidR="009674E9" w:rsidRPr="00442F26">
        <w:rPr>
          <w:color w:val="auto"/>
        </w:rPr>
        <w:t>Future applications would include evaluating the suitability of the model for repeated exposure regimes over long-term culture periods as repeated dosing strategies are crucially important for assessing the ability of a particular organ system to ameliorate or overcome the adverse effects, if any, induced by bioaccumulation of a xenobiotic substance.</w:t>
      </w:r>
    </w:p>
    <w:p w14:paraId="1D884B11" w14:textId="10B4991B" w:rsidR="006A7204" w:rsidRPr="00442F26" w:rsidRDefault="006A7204" w:rsidP="006F7144">
      <w:pPr>
        <w:contextualSpacing/>
        <w:rPr>
          <w:color w:val="auto"/>
        </w:rPr>
      </w:pPr>
    </w:p>
    <w:p w14:paraId="594C6975" w14:textId="6B6CE397" w:rsidR="001F292B" w:rsidRPr="00442F26" w:rsidRDefault="009674E9" w:rsidP="006F7144">
      <w:pPr>
        <w:contextualSpacing/>
        <w:rPr>
          <w:color w:val="auto"/>
        </w:rPr>
      </w:pPr>
      <w:r w:rsidRPr="00442F26">
        <w:rPr>
          <w:color w:val="auto"/>
        </w:rPr>
        <w:t xml:space="preserve">In conclusion, </w:t>
      </w:r>
      <w:r w:rsidR="00407674" w:rsidRPr="00442F26">
        <w:rPr>
          <w:color w:val="auto"/>
        </w:rPr>
        <w:t xml:space="preserve">this 3D </w:t>
      </w:r>
      <w:r w:rsidR="00725AEE" w:rsidRPr="00442F26">
        <w:rPr>
          <w:color w:val="auto"/>
        </w:rPr>
        <w:t>in vitro</w:t>
      </w:r>
      <w:r w:rsidR="00407674" w:rsidRPr="00442F26">
        <w:rPr>
          <w:color w:val="auto"/>
        </w:rPr>
        <w:t xml:space="preserve"> hepatic model has the capacity to be util</w:t>
      </w:r>
      <w:r w:rsidR="00E06DFD" w:rsidRPr="00442F26">
        <w:rPr>
          <w:color w:val="auto"/>
        </w:rPr>
        <w:t>ize</w:t>
      </w:r>
      <w:r w:rsidR="00407674" w:rsidRPr="00442F26">
        <w:rPr>
          <w:color w:val="auto"/>
        </w:rPr>
        <w:t xml:space="preserve">d for evaluating a range of realistic exposure scenarios, thereby providing a future </w:t>
      </w:r>
      <w:r w:rsidR="00725AEE" w:rsidRPr="00442F26">
        <w:rPr>
          <w:color w:val="auto"/>
        </w:rPr>
        <w:t>in vitro</w:t>
      </w:r>
      <w:r w:rsidR="00407674" w:rsidRPr="00442F26">
        <w:rPr>
          <w:i/>
          <w:iCs/>
          <w:color w:val="auto"/>
        </w:rPr>
        <w:t xml:space="preserve"> </w:t>
      </w:r>
      <w:r w:rsidR="00407674" w:rsidRPr="00442F26">
        <w:rPr>
          <w:color w:val="auto"/>
        </w:rPr>
        <w:t>approach to better support both ENM and chemical hazard assessment in a routine and easily accessible manner.</w:t>
      </w:r>
      <w:r w:rsidR="00725AEE" w:rsidRPr="00442F26">
        <w:rPr>
          <w:color w:val="auto"/>
        </w:rPr>
        <w:t xml:space="preserve"> </w:t>
      </w:r>
    </w:p>
    <w:p w14:paraId="6E8C44A2" w14:textId="78E177A0" w:rsidR="00B32616" w:rsidRPr="00442F26" w:rsidRDefault="00B32616" w:rsidP="006F7144">
      <w:pPr>
        <w:contextualSpacing/>
        <w:rPr>
          <w:b/>
          <w:color w:val="auto"/>
        </w:rPr>
      </w:pPr>
    </w:p>
    <w:p w14:paraId="511C8F47" w14:textId="11C0D973" w:rsidR="009726EE" w:rsidRPr="00442F26" w:rsidRDefault="009726EE" w:rsidP="006F7144">
      <w:pPr>
        <w:contextualSpacing/>
        <w:rPr>
          <w:color w:val="auto"/>
        </w:rPr>
      </w:pPr>
      <w:bookmarkStart w:id="13" w:name="Acknowledgments"/>
      <w:r w:rsidRPr="00442F26">
        <w:rPr>
          <w:b/>
          <w:bCs/>
          <w:color w:val="auto"/>
        </w:rPr>
        <w:t>ACKNOWLEDGMENTS</w:t>
      </w:r>
      <w:bookmarkEnd w:id="13"/>
      <w:r w:rsidRPr="00442F26">
        <w:rPr>
          <w:b/>
          <w:bCs/>
          <w:color w:val="auto"/>
        </w:rPr>
        <w:t>:</w:t>
      </w:r>
      <w:r w:rsidRPr="00442F26">
        <w:rPr>
          <w:color w:val="auto"/>
        </w:rPr>
        <w:t xml:space="preserve"> </w:t>
      </w:r>
    </w:p>
    <w:p w14:paraId="1A13D4F0" w14:textId="5EC2386A" w:rsidR="0045714D" w:rsidRPr="00442F26" w:rsidRDefault="00E25E61" w:rsidP="006F7144">
      <w:pPr>
        <w:contextualSpacing/>
        <w:rPr>
          <w:color w:val="auto"/>
        </w:rPr>
      </w:pPr>
      <w:r>
        <w:rPr>
          <w:color w:val="auto"/>
        </w:rPr>
        <w:t>T</w:t>
      </w:r>
      <w:r w:rsidR="005770B6" w:rsidRPr="00442F26">
        <w:rPr>
          <w:color w:val="auto"/>
        </w:rPr>
        <w:t>his research</w:t>
      </w:r>
      <w:r w:rsidR="0045714D" w:rsidRPr="00442F26">
        <w:rPr>
          <w:color w:val="auto"/>
        </w:rPr>
        <w:t xml:space="preserve"> has received funding from the European Union’s Horizon 2020 research and </w:t>
      </w:r>
      <w:r w:rsidR="0045714D" w:rsidRPr="00442F26">
        <w:rPr>
          <w:color w:val="auto"/>
        </w:rPr>
        <w:lastRenderedPageBreak/>
        <w:t xml:space="preserve">innovation </w:t>
      </w:r>
      <w:proofErr w:type="spellStart"/>
      <w:r w:rsidR="0045714D" w:rsidRPr="00442F26">
        <w:rPr>
          <w:color w:val="auto"/>
        </w:rPr>
        <w:t>programme</w:t>
      </w:r>
      <w:proofErr w:type="spellEnd"/>
      <w:r w:rsidR="0045714D" w:rsidRPr="00442F26">
        <w:rPr>
          <w:color w:val="auto"/>
        </w:rPr>
        <w:t xml:space="preserve"> under grant agreement No</w:t>
      </w:r>
      <w:r w:rsidR="005770B6" w:rsidRPr="00442F26">
        <w:rPr>
          <w:color w:val="auto"/>
        </w:rPr>
        <w:t>.</w:t>
      </w:r>
      <w:r w:rsidR="0045714D" w:rsidRPr="00442F26">
        <w:rPr>
          <w:color w:val="auto"/>
        </w:rPr>
        <w:t>760813.</w:t>
      </w:r>
    </w:p>
    <w:p w14:paraId="675A2715" w14:textId="622D1171" w:rsidR="009726EE" w:rsidRPr="00442F26" w:rsidRDefault="009726EE" w:rsidP="006F7144">
      <w:pPr>
        <w:contextualSpacing/>
        <w:rPr>
          <w:color w:val="auto"/>
        </w:rPr>
      </w:pPr>
    </w:p>
    <w:p w14:paraId="089A3BB5" w14:textId="2472A920" w:rsidR="009726EE" w:rsidRPr="00442F26" w:rsidRDefault="009726EE" w:rsidP="006F7144">
      <w:pPr>
        <w:contextualSpacing/>
        <w:rPr>
          <w:b/>
          <w:color w:val="auto"/>
        </w:rPr>
      </w:pPr>
      <w:bookmarkStart w:id="14" w:name="Disclosures"/>
      <w:r w:rsidRPr="00442F26">
        <w:rPr>
          <w:b/>
          <w:color w:val="auto"/>
        </w:rPr>
        <w:t>DISCLOSURES</w:t>
      </w:r>
      <w:bookmarkEnd w:id="14"/>
      <w:r w:rsidRPr="00442F26">
        <w:rPr>
          <w:b/>
          <w:color w:val="auto"/>
        </w:rPr>
        <w:t xml:space="preserve">: </w:t>
      </w:r>
    </w:p>
    <w:p w14:paraId="1FF13186" w14:textId="260823C1" w:rsidR="009726EE" w:rsidRPr="00442F26" w:rsidRDefault="005000DD" w:rsidP="006F7144">
      <w:pPr>
        <w:pStyle w:val="NormalWeb"/>
        <w:spacing w:before="0" w:beforeAutospacing="0" w:after="0" w:afterAutospacing="0"/>
        <w:contextualSpacing/>
        <w:rPr>
          <w:color w:val="auto"/>
        </w:rPr>
      </w:pPr>
      <w:r w:rsidRPr="00442F26">
        <w:rPr>
          <w:color w:val="auto"/>
        </w:rPr>
        <w:t>The authors have nothing to disclose.</w:t>
      </w:r>
    </w:p>
    <w:p w14:paraId="03059FF3" w14:textId="77777777" w:rsidR="009726EE" w:rsidRPr="00442F26" w:rsidRDefault="009726EE" w:rsidP="006F7144">
      <w:pPr>
        <w:contextualSpacing/>
        <w:rPr>
          <w:color w:val="auto"/>
        </w:rPr>
      </w:pPr>
    </w:p>
    <w:p w14:paraId="19E98718" w14:textId="3EDB3F8A" w:rsidR="00E06DFD" w:rsidRPr="00442F26" w:rsidRDefault="009726EE" w:rsidP="006F7144">
      <w:pPr>
        <w:contextualSpacing/>
        <w:rPr>
          <w:color w:val="auto"/>
        </w:rPr>
      </w:pPr>
      <w:bookmarkStart w:id="15" w:name="References"/>
      <w:r w:rsidRPr="00442F26">
        <w:rPr>
          <w:b/>
          <w:bCs/>
          <w:color w:val="auto"/>
        </w:rPr>
        <w:t>REFERENCES</w:t>
      </w:r>
      <w:r w:rsidR="00F070D9" w:rsidRPr="00442F26">
        <w:rPr>
          <w:b/>
          <w:bCs/>
          <w:color w:val="auto"/>
        </w:rPr>
        <w:t>:</w:t>
      </w:r>
      <w:r w:rsidRPr="00442F26">
        <w:rPr>
          <w:color w:val="auto"/>
        </w:rPr>
        <w:t xml:space="preserve"> </w:t>
      </w:r>
      <w:bookmarkEnd w:id="15"/>
    </w:p>
    <w:p w14:paraId="582C75A2" w14:textId="32609D8D" w:rsidR="00E06DFD" w:rsidRPr="00442F26" w:rsidRDefault="00E06DFD" w:rsidP="006F7144">
      <w:pPr>
        <w:contextualSpacing/>
        <w:rPr>
          <w:color w:val="auto"/>
        </w:rPr>
      </w:pPr>
      <w:r w:rsidRPr="00442F26">
        <w:rPr>
          <w:color w:val="auto"/>
        </w:rPr>
        <w:t>1. Geiser, M.</w:t>
      </w:r>
      <w:r w:rsidR="00E25E61">
        <w:rPr>
          <w:color w:val="auto"/>
        </w:rPr>
        <w:t>,</w:t>
      </w:r>
      <w:r w:rsidRPr="00442F26">
        <w:rPr>
          <w:color w:val="auto"/>
        </w:rPr>
        <w:t xml:space="preserve"> </w:t>
      </w:r>
      <w:proofErr w:type="spellStart"/>
      <w:r w:rsidRPr="00442F26">
        <w:rPr>
          <w:color w:val="auto"/>
        </w:rPr>
        <w:t>Kreyling</w:t>
      </w:r>
      <w:proofErr w:type="spellEnd"/>
      <w:r w:rsidRPr="00442F26">
        <w:rPr>
          <w:color w:val="auto"/>
        </w:rPr>
        <w:t xml:space="preserve">, W. G. Deposition and biokinetics of inhaled nanoparticles. </w:t>
      </w:r>
      <w:r w:rsidRPr="00442F26">
        <w:rPr>
          <w:i/>
          <w:iCs/>
          <w:color w:val="auto"/>
        </w:rPr>
        <w:t xml:space="preserve">Particle and </w:t>
      </w:r>
      <w:proofErr w:type="spellStart"/>
      <w:r w:rsidRPr="00442F26">
        <w:rPr>
          <w:i/>
          <w:iCs/>
          <w:color w:val="auto"/>
        </w:rPr>
        <w:t>Fibre</w:t>
      </w:r>
      <w:proofErr w:type="spellEnd"/>
      <w:r w:rsidRPr="00442F26">
        <w:rPr>
          <w:i/>
          <w:iCs/>
          <w:color w:val="auto"/>
        </w:rPr>
        <w:t xml:space="preserve"> Toxicology</w:t>
      </w:r>
      <w:r w:rsidR="00E25E61">
        <w:rPr>
          <w:i/>
          <w:iCs/>
          <w:color w:val="auto"/>
        </w:rPr>
        <w:t>.</w:t>
      </w:r>
      <w:r w:rsidRPr="00E25E61">
        <w:rPr>
          <w:color w:val="auto"/>
        </w:rPr>
        <w:t xml:space="preserve"> </w:t>
      </w:r>
      <w:r w:rsidRPr="00442F26">
        <w:rPr>
          <w:b/>
          <w:bCs/>
          <w:color w:val="auto"/>
        </w:rPr>
        <w:t>7</w:t>
      </w:r>
      <w:r w:rsidRPr="00442F26">
        <w:rPr>
          <w:color w:val="auto"/>
        </w:rPr>
        <w:t>, 2 (2010).</w:t>
      </w:r>
    </w:p>
    <w:p w14:paraId="3CA9B40C" w14:textId="77777777" w:rsidR="00E06DFD" w:rsidRPr="00442F26" w:rsidRDefault="00E06DFD" w:rsidP="006F7144">
      <w:pPr>
        <w:contextualSpacing/>
        <w:rPr>
          <w:color w:val="auto"/>
        </w:rPr>
      </w:pPr>
      <w:r w:rsidRPr="00442F26">
        <w:rPr>
          <w:color w:val="auto"/>
        </w:rPr>
        <w:t xml:space="preserve">2. </w:t>
      </w:r>
      <w:proofErr w:type="spellStart"/>
      <w:r w:rsidRPr="00442F26">
        <w:rPr>
          <w:color w:val="auto"/>
        </w:rPr>
        <w:t>Modrzynska</w:t>
      </w:r>
      <w:proofErr w:type="spellEnd"/>
      <w:r w:rsidRPr="00442F26">
        <w:rPr>
          <w:color w:val="auto"/>
        </w:rPr>
        <w:t xml:space="preserve">, J. Toxicological effects of nanoparticle deposition in the liver. </w:t>
      </w:r>
      <w:r w:rsidRPr="00442F26">
        <w:rPr>
          <w:i/>
          <w:iCs/>
          <w:color w:val="auto"/>
        </w:rPr>
        <w:t>Kgs. Lyngby, Denmark: Technical University of Denmark</w:t>
      </w:r>
      <w:r w:rsidRPr="00442F26">
        <w:rPr>
          <w:color w:val="auto"/>
        </w:rPr>
        <w:t xml:space="preserve"> (2018).</w:t>
      </w:r>
    </w:p>
    <w:p w14:paraId="556D1549" w14:textId="7BE84719" w:rsidR="00E06DFD" w:rsidRPr="00442F26" w:rsidRDefault="00E06DFD" w:rsidP="006F7144">
      <w:pPr>
        <w:contextualSpacing/>
        <w:rPr>
          <w:color w:val="auto"/>
        </w:rPr>
      </w:pPr>
      <w:r w:rsidRPr="00442F26">
        <w:rPr>
          <w:color w:val="auto"/>
        </w:rPr>
        <w:t xml:space="preserve">3. </w:t>
      </w:r>
      <w:proofErr w:type="spellStart"/>
      <w:r w:rsidRPr="00442F26">
        <w:rPr>
          <w:color w:val="auto"/>
        </w:rPr>
        <w:t>Elje</w:t>
      </w:r>
      <w:proofErr w:type="spellEnd"/>
      <w:r w:rsidRPr="00442F26">
        <w:rPr>
          <w:color w:val="auto"/>
        </w:rPr>
        <w:t xml:space="preserve">, E. et al. The comet assay applied to HepG2 liver spheroids. </w:t>
      </w:r>
      <w:r w:rsidRPr="00442F26">
        <w:rPr>
          <w:i/>
          <w:iCs/>
          <w:color w:val="auto"/>
        </w:rPr>
        <w:t>Mutation Research/Genetic Toxicology and Environmental Mutagenesis</w:t>
      </w:r>
      <w:r w:rsidR="00E25E61">
        <w:rPr>
          <w:i/>
          <w:iCs/>
          <w:color w:val="auto"/>
        </w:rPr>
        <w:t>.</w:t>
      </w:r>
      <w:r w:rsidR="00E25E61" w:rsidRPr="00E25E61">
        <w:rPr>
          <w:color w:val="auto"/>
        </w:rPr>
        <w:t xml:space="preserve"> </w:t>
      </w:r>
      <w:r w:rsidRPr="00442F26">
        <w:rPr>
          <w:b/>
          <w:bCs/>
          <w:color w:val="auto"/>
        </w:rPr>
        <w:t>845</w:t>
      </w:r>
      <w:r w:rsidRPr="00442F26">
        <w:rPr>
          <w:color w:val="auto"/>
        </w:rPr>
        <w:t>, p403033 (2019).</w:t>
      </w:r>
    </w:p>
    <w:p w14:paraId="54D6850F" w14:textId="1BE5FBE8" w:rsidR="00E06DFD" w:rsidRPr="00442F26" w:rsidRDefault="00E06DFD" w:rsidP="006F7144">
      <w:pPr>
        <w:contextualSpacing/>
        <w:rPr>
          <w:color w:val="auto"/>
        </w:rPr>
      </w:pPr>
      <w:r w:rsidRPr="00442F26">
        <w:rPr>
          <w:color w:val="auto"/>
        </w:rPr>
        <w:t>4. Breslin, S.</w:t>
      </w:r>
      <w:r w:rsidR="00E25E61">
        <w:rPr>
          <w:color w:val="auto"/>
        </w:rPr>
        <w:t xml:space="preserve">, </w:t>
      </w:r>
      <w:r w:rsidRPr="00442F26">
        <w:rPr>
          <w:color w:val="auto"/>
        </w:rPr>
        <w:t xml:space="preserve">O’Driscoll, L. Three-dimensional cell culture: the missing link in drug discovery. </w:t>
      </w:r>
      <w:r w:rsidRPr="00442F26">
        <w:rPr>
          <w:i/>
          <w:iCs/>
          <w:color w:val="auto"/>
        </w:rPr>
        <w:t>Drug Discovery Today</w:t>
      </w:r>
      <w:r w:rsidR="00E25E61">
        <w:rPr>
          <w:i/>
          <w:iCs/>
          <w:color w:val="auto"/>
        </w:rPr>
        <w:t>.</w:t>
      </w:r>
      <w:r w:rsidR="00E25E61" w:rsidRPr="00E25E61">
        <w:rPr>
          <w:color w:val="auto"/>
        </w:rPr>
        <w:t xml:space="preserve"> </w:t>
      </w:r>
      <w:r w:rsidRPr="00442F26">
        <w:rPr>
          <w:b/>
          <w:bCs/>
          <w:color w:val="auto"/>
        </w:rPr>
        <w:t>18</w:t>
      </w:r>
      <w:r w:rsidRPr="00442F26">
        <w:rPr>
          <w:color w:val="auto"/>
        </w:rPr>
        <w:t>, p240–249 (2013).</w:t>
      </w:r>
    </w:p>
    <w:p w14:paraId="44BB6DBC" w14:textId="6112D34C" w:rsidR="00E06DFD" w:rsidRPr="00442F26" w:rsidRDefault="00E06DFD" w:rsidP="006F7144">
      <w:pPr>
        <w:contextualSpacing/>
        <w:rPr>
          <w:color w:val="auto"/>
        </w:rPr>
      </w:pPr>
      <w:r w:rsidRPr="00442F26">
        <w:rPr>
          <w:color w:val="auto"/>
        </w:rPr>
        <w:t>5. Shah, U.-K. et al. A three-dimensional in vitro HepG2 cells liver spheroid model for genotoxicity studies</w:t>
      </w:r>
      <w:r w:rsidRPr="00442F26">
        <w:rPr>
          <w:i/>
          <w:iCs/>
          <w:color w:val="auto"/>
        </w:rPr>
        <w:t>.</w:t>
      </w:r>
      <w:r w:rsidRPr="00442F26">
        <w:rPr>
          <w:color w:val="auto"/>
        </w:rPr>
        <w:t xml:space="preserve"> </w:t>
      </w:r>
      <w:r w:rsidRPr="00442F26">
        <w:rPr>
          <w:i/>
          <w:iCs/>
          <w:color w:val="auto"/>
        </w:rPr>
        <w:t>Mutation Research/Genetic Toxicology and Environmental Mutagenesis</w:t>
      </w:r>
      <w:r w:rsidR="00E25E61">
        <w:rPr>
          <w:i/>
          <w:iCs/>
          <w:color w:val="auto"/>
        </w:rPr>
        <w:t>.</w:t>
      </w:r>
      <w:r w:rsidR="00E25E61" w:rsidRPr="00E25E61">
        <w:rPr>
          <w:color w:val="auto"/>
        </w:rPr>
        <w:t xml:space="preserve"> </w:t>
      </w:r>
      <w:r w:rsidRPr="00442F26">
        <w:rPr>
          <w:b/>
          <w:bCs/>
          <w:color w:val="auto"/>
        </w:rPr>
        <w:t>825</w:t>
      </w:r>
      <w:r w:rsidRPr="00442F26">
        <w:rPr>
          <w:color w:val="auto"/>
        </w:rPr>
        <w:t>, p51–58 (2018).</w:t>
      </w:r>
    </w:p>
    <w:p w14:paraId="656DA49B" w14:textId="01AD25AA" w:rsidR="00E06DFD" w:rsidRPr="00442F26" w:rsidRDefault="00E06DFD" w:rsidP="006F7144">
      <w:pPr>
        <w:contextualSpacing/>
        <w:rPr>
          <w:color w:val="auto"/>
        </w:rPr>
      </w:pPr>
      <w:r w:rsidRPr="00442F26">
        <w:rPr>
          <w:color w:val="auto"/>
        </w:rPr>
        <w:t xml:space="preserve">6. </w:t>
      </w:r>
      <w:proofErr w:type="spellStart"/>
      <w:r w:rsidRPr="00442F26">
        <w:rPr>
          <w:color w:val="auto"/>
        </w:rPr>
        <w:t>Lauschke</w:t>
      </w:r>
      <w:proofErr w:type="spellEnd"/>
      <w:r w:rsidRPr="00442F26">
        <w:rPr>
          <w:color w:val="auto"/>
        </w:rPr>
        <w:t>, V. M., Hendriks, D. F. G., Bell, C. C., Andersson, T. B.</w:t>
      </w:r>
      <w:r w:rsidR="00E25E61">
        <w:rPr>
          <w:color w:val="auto"/>
        </w:rPr>
        <w:t xml:space="preserve">, </w:t>
      </w:r>
      <w:proofErr w:type="spellStart"/>
      <w:r w:rsidRPr="00442F26">
        <w:rPr>
          <w:color w:val="auto"/>
        </w:rPr>
        <w:t>Ingelman</w:t>
      </w:r>
      <w:proofErr w:type="spellEnd"/>
      <w:r w:rsidRPr="00442F26">
        <w:rPr>
          <w:color w:val="auto"/>
        </w:rPr>
        <w:t xml:space="preserve">-Sundberg, M. Novel 3D Culture Systems for Studies of Human Liver Function and Assessments of the Hepatotoxicity of Drugs and Drug Candidates. </w:t>
      </w:r>
      <w:r w:rsidRPr="00442F26">
        <w:rPr>
          <w:i/>
          <w:iCs/>
          <w:color w:val="auto"/>
        </w:rPr>
        <w:t>Chemical Research in Toxicology</w:t>
      </w:r>
      <w:r w:rsidR="00E25E61">
        <w:rPr>
          <w:i/>
          <w:iCs/>
          <w:color w:val="auto"/>
        </w:rPr>
        <w:t>.</w:t>
      </w:r>
      <w:r w:rsidR="00E25E61" w:rsidRPr="00E25E61">
        <w:rPr>
          <w:color w:val="auto"/>
        </w:rPr>
        <w:t xml:space="preserve"> </w:t>
      </w:r>
      <w:r w:rsidRPr="00442F26">
        <w:rPr>
          <w:b/>
          <w:bCs/>
          <w:color w:val="auto"/>
        </w:rPr>
        <w:t>29</w:t>
      </w:r>
      <w:r w:rsidRPr="00442F26">
        <w:rPr>
          <w:color w:val="auto"/>
        </w:rPr>
        <w:t>, 1936–1955 (2016).</w:t>
      </w:r>
    </w:p>
    <w:p w14:paraId="3A50A9F2" w14:textId="57A6BA5D" w:rsidR="00E06DFD" w:rsidRPr="00442F26" w:rsidRDefault="00E06DFD" w:rsidP="006F7144">
      <w:pPr>
        <w:contextualSpacing/>
        <w:rPr>
          <w:color w:val="auto"/>
        </w:rPr>
      </w:pPr>
      <w:r w:rsidRPr="00442F26">
        <w:rPr>
          <w:color w:val="auto"/>
        </w:rPr>
        <w:t xml:space="preserve">7. van </w:t>
      </w:r>
      <w:proofErr w:type="spellStart"/>
      <w:r w:rsidRPr="00442F26">
        <w:rPr>
          <w:color w:val="auto"/>
        </w:rPr>
        <w:t>Grunsven</w:t>
      </w:r>
      <w:proofErr w:type="spellEnd"/>
      <w:r w:rsidRPr="00442F26">
        <w:rPr>
          <w:color w:val="auto"/>
        </w:rPr>
        <w:t xml:space="preserve">, L. A. 3D in vitro models of liver fibrosis. </w:t>
      </w:r>
      <w:r w:rsidRPr="00442F26">
        <w:rPr>
          <w:i/>
          <w:iCs/>
          <w:color w:val="auto"/>
        </w:rPr>
        <w:t>Advanced Drug Delivery Reviews</w:t>
      </w:r>
      <w:r w:rsidR="00E25E61">
        <w:rPr>
          <w:i/>
          <w:iCs/>
          <w:color w:val="auto"/>
        </w:rPr>
        <w:t>.</w:t>
      </w:r>
      <w:r w:rsidR="00E25E61" w:rsidRPr="00E25E61">
        <w:rPr>
          <w:color w:val="auto"/>
        </w:rPr>
        <w:t xml:space="preserve"> </w:t>
      </w:r>
      <w:r w:rsidRPr="00442F26">
        <w:rPr>
          <w:b/>
          <w:bCs/>
          <w:color w:val="auto"/>
        </w:rPr>
        <w:t>121</w:t>
      </w:r>
      <w:r w:rsidRPr="00442F26">
        <w:rPr>
          <w:color w:val="auto"/>
        </w:rPr>
        <w:t>, 133–146 (2017).</w:t>
      </w:r>
    </w:p>
    <w:p w14:paraId="4394885F" w14:textId="4026D482" w:rsidR="00E06DFD" w:rsidRPr="00442F26" w:rsidRDefault="00E06DFD" w:rsidP="006F7144">
      <w:pPr>
        <w:contextualSpacing/>
        <w:rPr>
          <w:color w:val="auto"/>
        </w:rPr>
      </w:pPr>
      <w:r w:rsidRPr="00442F26">
        <w:rPr>
          <w:color w:val="auto"/>
        </w:rPr>
        <w:t>8.</w:t>
      </w:r>
      <w:r w:rsidRPr="00442F26">
        <w:rPr>
          <w:color w:val="auto"/>
        </w:rPr>
        <w:tab/>
      </w:r>
      <w:proofErr w:type="spellStart"/>
      <w:r w:rsidRPr="00442F26">
        <w:rPr>
          <w:color w:val="auto"/>
        </w:rPr>
        <w:t>Corvi</w:t>
      </w:r>
      <w:proofErr w:type="spellEnd"/>
      <w:r w:rsidRPr="00442F26">
        <w:rPr>
          <w:color w:val="auto"/>
        </w:rPr>
        <w:t>, R.</w:t>
      </w:r>
      <w:r w:rsidR="00E25E61">
        <w:rPr>
          <w:color w:val="auto"/>
        </w:rPr>
        <w:t xml:space="preserve">, </w:t>
      </w:r>
      <w:proofErr w:type="spellStart"/>
      <w:r w:rsidRPr="00442F26">
        <w:rPr>
          <w:color w:val="auto"/>
        </w:rPr>
        <w:t>Madia</w:t>
      </w:r>
      <w:proofErr w:type="spellEnd"/>
      <w:r w:rsidRPr="00442F26">
        <w:rPr>
          <w:color w:val="auto"/>
        </w:rPr>
        <w:t xml:space="preserve">, F. In vitro genotoxicity testing – can the performance be enhanced? </w:t>
      </w:r>
      <w:r w:rsidRPr="00442F26">
        <w:rPr>
          <w:i/>
          <w:iCs/>
          <w:color w:val="auto"/>
        </w:rPr>
        <w:t>Food and Chemical Toxicology</w:t>
      </w:r>
      <w:r w:rsidR="00E25E61">
        <w:rPr>
          <w:i/>
          <w:iCs/>
          <w:color w:val="auto"/>
        </w:rPr>
        <w:t>.</w:t>
      </w:r>
      <w:r w:rsidR="00E25E61" w:rsidRPr="00E25E61">
        <w:rPr>
          <w:color w:val="auto"/>
        </w:rPr>
        <w:t xml:space="preserve"> </w:t>
      </w:r>
      <w:r w:rsidRPr="00442F26">
        <w:rPr>
          <w:b/>
          <w:bCs/>
          <w:color w:val="auto"/>
        </w:rPr>
        <w:t>106</w:t>
      </w:r>
      <w:r w:rsidRPr="00442F26">
        <w:rPr>
          <w:color w:val="auto"/>
        </w:rPr>
        <w:t>, p600-608 (2017).</w:t>
      </w:r>
    </w:p>
    <w:p w14:paraId="34408E16" w14:textId="778B0818" w:rsidR="00E06DFD" w:rsidRPr="00442F26" w:rsidRDefault="00E06DFD" w:rsidP="006F7144">
      <w:pPr>
        <w:contextualSpacing/>
        <w:rPr>
          <w:color w:val="auto"/>
        </w:rPr>
      </w:pPr>
      <w:r w:rsidRPr="00442F26">
        <w:rPr>
          <w:color w:val="auto"/>
        </w:rPr>
        <w:t xml:space="preserve">9. </w:t>
      </w:r>
      <w:proofErr w:type="spellStart"/>
      <w:r w:rsidRPr="00442F26">
        <w:rPr>
          <w:color w:val="auto"/>
        </w:rPr>
        <w:t>Doak</w:t>
      </w:r>
      <w:proofErr w:type="spellEnd"/>
      <w:r w:rsidRPr="00442F26">
        <w:rPr>
          <w:color w:val="auto"/>
        </w:rPr>
        <w:t xml:space="preserve">, S. H., </w:t>
      </w:r>
      <w:proofErr w:type="spellStart"/>
      <w:r w:rsidRPr="00442F26">
        <w:rPr>
          <w:color w:val="auto"/>
        </w:rPr>
        <w:t>Manshian</w:t>
      </w:r>
      <w:proofErr w:type="spellEnd"/>
      <w:r w:rsidRPr="00442F26">
        <w:rPr>
          <w:color w:val="auto"/>
        </w:rPr>
        <w:t>, B., Jenkins, G. J. S.</w:t>
      </w:r>
      <w:r w:rsidR="00E25E61">
        <w:rPr>
          <w:color w:val="auto"/>
        </w:rPr>
        <w:t xml:space="preserve">, </w:t>
      </w:r>
      <w:r w:rsidRPr="00442F26">
        <w:rPr>
          <w:color w:val="auto"/>
        </w:rPr>
        <w:t xml:space="preserve">Singh, N. In vitro genotoxicity testing strategy for nanomaterials and the adaptation of current OECD guidelines. </w:t>
      </w:r>
      <w:r w:rsidRPr="00442F26">
        <w:rPr>
          <w:i/>
          <w:iCs/>
          <w:color w:val="auto"/>
        </w:rPr>
        <w:t>Mutation Research/Genetic Toxicology and Environmental Mutagenesis</w:t>
      </w:r>
      <w:r w:rsidR="00E25E61">
        <w:rPr>
          <w:i/>
          <w:iCs/>
          <w:color w:val="auto"/>
        </w:rPr>
        <w:t>.</w:t>
      </w:r>
      <w:r w:rsidR="00E25E61" w:rsidRPr="00E25E61">
        <w:rPr>
          <w:color w:val="auto"/>
        </w:rPr>
        <w:t xml:space="preserve"> </w:t>
      </w:r>
      <w:r w:rsidRPr="00442F26">
        <w:rPr>
          <w:b/>
          <w:bCs/>
          <w:color w:val="auto"/>
        </w:rPr>
        <w:t>745</w:t>
      </w:r>
      <w:r w:rsidRPr="00442F26">
        <w:rPr>
          <w:color w:val="auto"/>
        </w:rPr>
        <w:t>, 104–111 (2012).</w:t>
      </w:r>
    </w:p>
    <w:p w14:paraId="2B97B936" w14:textId="5F390EB5" w:rsidR="00E06DFD" w:rsidRPr="00442F26" w:rsidRDefault="00E06DFD" w:rsidP="006F7144">
      <w:pPr>
        <w:contextualSpacing/>
        <w:rPr>
          <w:color w:val="auto"/>
        </w:rPr>
      </w:pPr>
      <w:r w:rsidRPr="00442F26">
        <w:rPr>
          <w:color w:val="auto"/>
        </w:rPr>
        <w:t xml:space="preserve">10. Fenech, M. Cytokinesis-block micronucleus </w:t>
      </w:r>
      <w:proofErr w:type="spellStart"/>
      <w:r w:rsidRPr="00442F26">
        <w:rPr>
          <w:color w:val="auto"/>
        </w:rPr>
        <w:t>cytome</w:t>
      </w:r>
      <w:proofErr w:type="spellEnd"/>
      <w:r w:rsidRPr="00442F26">
        <w:rPr>
          <w:color w:val="auto"/>
        </w:rPr>
        <w:t xml:space="preserve"> assay. </w:t>
      </w:r>
      <w:r w:rsidRPr="00442F26">
        <w:rPr>
          <w:i/>
          <w:iCs/>
          <w:color w:val="auto"/>
        </w:rPr>
        <w:t>Nature Protocols</w:t>
      </w:r>
      <w:r w:rsidR="00E25E61">
        <w:rPr>
          <w:i/>
          <w:iCs/>
          <w:color w:val="auto"/>
        </w:rPr>
        <w:t>.</w:t>
      </w:r>
      <w:r w:rsidR="00E25E61" w:rsidRPr="00E25E61">
        <w:rPr>
          <w:color w:val="auto"/>
        </w:rPr>
        <w:t xml:space="preserve"> </w:t>
      </w:r>
      <w:r w:rsidRPr="00442F26">
        <w:rPr>
          <w:b/>
          <w:bCs/>
          <w:color w:val="auto"/>
        </w:rPr>
        <w:t>2</w:t>
      </w:r>
      <w:r w:rsidRPr="00442F26">
        <w:rPr>
          <w:color w:val="auto"/>
        </w:rPr>
        <w:t xml:space="preserve">, 1084–1104 </w:t>
      </w:r>
    </w:p>
    <w:p w14:paraId="76A91093" w14:textId="77777777" w:rsidR="00E06DFD" w:rsidRPr="00442F26" w:rsidRDefault="00E06DFD" w:rsidP="006F7144">
      <w:pPr>
        <w:contextualSpacing/>
        <w:rPr>
          <w:color w:val="auto"/>
        </w:rPr>
      </w:pPr>
      <w:r w:rsidRPr="00442F26">
        <w:rPr>
          <w:color w:val="auto"/>
        </w:rPr>
        <w:t>(2007).</w:t>
      </w:r>
    </w:p>
    <w:p w14:paraId="0B2741DE" w14:textId="104535DA" w:rsidR="00E06DFD" w:rsidRPr="00442F26" w:rsidRDefault="00E06DFD" w:rsidP="006F7144">
      <w:pPr>
        <w:contextualSpacing/>
        <w:rPr>
          <w:color w:val="auto"/>
        </w:rPr>
      </w:pPr>
      <w:r w:rsidRPr="00442F26">
        <w:rPr>
          <w:color w:val="auto"/>
        </w:rPr>
        <w:t>11. OECD Guidelines. </w:t>
      </w:r>
      <w:r w:rsidRPr="00442F26">
        <w:rPr>
          <w:i/>
          <w:iCs/>
          <w:color w:val="auto"/>
        </w:rPr>
        <w:t xml:space="preserve">Test No. 489: </w:t>
      </w:r>
      <w:r w:rsidRPr="00442F26">
        <w:rPr>
          <w:color w:val="auto"/>
        </w:rPr>
        <w:t>In vivo</w:t>
      </w:r>
      <w:r w:rsidRPr="00442F26">
        <w:rPr>
          <w:i/>
          <w:iCs/>
          <w:color w:val="auto"/>
        </w:rPr>
        <w:t xml:space="preserve"> Mammalian Alkaline Comet Assay</w:t>
      </w:r>
      <w:r w:rsidRPr="00442F26">
        <w:rPr>
          <w:color w:val="auto"/>
        </w:rPr>
        <w:t xml:space="preserve"> (2016). </w:t>
      </w:r>
    </w:p>
    <w:p w14:paraId="7C169891" w14:textId="3D25F976" w:rsidR="00E06DFD" w:rsidRPr="00442F26" w:rsidRDefault="00E06DFD" w:rsidP="006F7144">
      <w:pPr>
        <w:contextualSpacing/>
        <w:rPr>
          <w:color w:val="auto"/>
        </w:rPr>
      </w:pPr>
      <w:r w:rsidRPr="00442F26">
        <w:rPr>
          <w:color w:val="auto"/>
          <w:lang w:val="fr-FR"/>
        </w:rPr>
        <w:t xml:space="preserve">12. </w:t>
      </w:r>
      <w:proofErr w:type="spellStart"/>
      <w:r w:rsidRPr="00442F26">
        <w:rPr>
          <w:color w:val="auto"/>
          <w:lang w:val="fr-FR"/>
        </w:rPr>
        <w:t>Gerets</w:t>
      </w:r>
      <w:proofErr w:type="spellEnd"/>
      <w:r w:rsidRPr="00442F26">
        <w:rPr>
          <w:color w:val="auto"/>
          <w:lang w:val="fr-FR"/>
        </w:rPr>
        <w:t xml:space="preserve">, H. H. J. et al. </w:t>
      </w:r>
      <w:r w:rsidRPr="00442F26">
        <w:rPr>
          <w:color w:val="auto"/>
        </w:rPr>
        <w:t xml:space="preserve">Characterization of primary human hepatocytes, HepG2 cells, and </w:t>
      </w:r>
      <w:proofErr w:type="spellStart"/>
      <w:r w:rsidRPr="00442F26">
        <w:rPr>
          <w:color w:val="auto"/>
        </w:rPr>
        <w:t>HepaRG</w:t>
      </w:r>
      <w:proofErr w:type="spellEnd"/>
      <w:r w:rsidRPr="00442F26">
        <w:rPr>
          <w:color w:val="auto"/>
        </w:rPr>
        <w:t xml:space="preserve"> cells at the mRNA level and CYP activity in response to inducers and their predictivity for the detection of human hepatotoxins. </w:t>
      </w:r>
      <w:r w:rsidRPr="00442F26">
        <w:rPr>
          <w:i/>
          <w:iCs/>
          <w:color w:val="auto"/>
        </w:rPr>
        <w:t>Cell Biology and Toxicology</w:t>
      </w:r>
      <w:r w:rsidR="00E25E61">
        <w:rPr>
          <w:i/>
          <w:iCs/>
          <w:color w:val="auto"/>
        </w:rPr>
        <w:t>.</w:t>
      </w:r>
      <w:r w:rsidR="00E25E61" w:rsidRPr="00E25E61">
        <w:rPr>
          <w:color w:val="auto"/>
        </w:rPr>
        <w:t xml:space="preserve"> </w:t>
      </w:r>
      <w:r w:rsidRPr="00442F26">
        <w:rPr>
          <w:b/>
          <w:bCs/>
          <w:color w:val="auto"/>
        </w:rPr>
        <w:t>28</w:t>
      </w:r>
      <w:r w:rsidRPr="00442F26">
        <w:rPr>
          <w:color w:val="auto"/>
        </w:rPr>
        <w:t>, 69–87 (2012).</w:t>
      </w:r>
    </w:p>
    <w:p w14:paraId="09E7F85A" w14:textId="7DA4419B" w:rsidR="00E06DFD" w:rsidRPr="00442F26" w:rsidRDefault="00E06DFD" w:rsidP="006F7144">
      <w:pPr>
        <w:contextualSpacing/>
        <w:rPr>
          <w:color w:val="auto"/>
        </w:rPr>
      </w:pPr>
      <w:r w:rsidRPr="00442F26">
        <w:rPr>
          <w:color w:val="auto"/>
        </w:rPr>
        <w:t xml:space="preserve">13. </w:t>
      </w:r>
      <w:proofErr w:type="spellStart"/>
      <w:r w:rsidRPr="00442F26">
        <w:rPr>
          <w:color w:val="auto"/>
        </w:rPr>
        <w:t>Sison</w:t>
      </w:r>
      <w:proofErr w:type="spellEnd"/>
      <w:r w:rsidRPr="00442F26">
        <w:rPr>
          <w:color w:val="auto"/>
        </w:rPr>
        <w:t xml:space="preserve">-Young, R. L. et al. A multicenter assessment of single-cell models aligned to standard measures of cell health for prediction of acute hepatotoxicity. </w:t>
      </w:r>
      <w:r w:rsidRPr="00442F26">
        <w:rPr>
          <w:i/>
          <w:iCs/>
          <w:color w:val="auto"/>
        </w:rPr>
        <w:t>Archives of Toxicology</w:t>
      </w:r>
      <w:r w:rsidR="00E25E61">
        <w:rPr>
          <w:i/>
          <w:iCs/>
          <w:color w:val="auto"/>
        </w:rPr>
        <w:t>.</w:t>
      </w:r>
      <w:r w:rsidR="00E25E61" w:rsidRPr="00E25E61">
        <w:rPr>
          <w:color w:val="auto"/>
        </w:rPr>
        <w:t xml:space="preserve"> </w:t>
      </w:r>
      <w:r w:rsidRPr="00442F26">
        <w:rPr>
          <w:b/>
          <w:bCs/>
          <w:color w:val="auto"/>
        </w:rPr>
        <w:t>91</w:t>
      </w:r>
      <w:r w:rsidRPr="00442F26">
        <w:rPr>
          <w:color w:val="auto"/>
        </w:rPr>
        <w:t>, 1385–1400 (2017).</w:t>
      </w:r>
    </w:p>
    <w:p w14:paraId="232F49F9" w14:textId="3B2E3289" w:rsidR="00E06DFD" w:rsidRPr="00442F26" w:rsidRDefault="00E06DFD" w:rsidP="006F7144">
      <w:pPr>
        <w:contextualSpacing/>
        <w:rPr>
          <w:color w:val="auto"/>
        </w:rPr>
      </w:pPr>
      <w:r w:rsidRPr="00442F26">
        <w:rPr>
          <w:color w:val="auto"/>
        </w:rPr>
        <w:t xml:space="preserve">14. European Agency for Safety and Health at Work. </w:t>
      </w:r>
      <w:r w:rsidRPr="00442F26">
        <w:rPr>
          <w:i/>
          <w:iCs/>
          <w:color w:val="auto"/>
        </w:rPr>
        <w:t xml:space="preserve">European Guidelines </w:t>
      </w:r>
      <w:r w:rsidRPr="00442F26">
        <w:rPr>
          <w:color w:val="auto"/>
        </w:rPr>
        <w:t xml:space="preserve">2019. </w:t>
      </w:r>
      <w:hyperlink r:id="rId15" w:history="1">
        <w:r w:rsidRPr="00442F26">
          <w:rPr>
            <w:rStyle w:val="Hyperlink"/>
            <w:color w:val="auto"/>
            <w:u w:val="none"/>
          </w:rPr>
          <w:t>https://osha.europa.eu/en/safety-and-health-legislation/european-guidelines</w:t>
        </w:r>
      </w:hyperlink>
      <w:r w:rsidRPr="00442F26">
        <w:rPr>
          <w:color w:val="auto"/>
        </w:rPr>
        <w:t xml:space="preserve"> </w:t>
      </w:r>
      <w:r w:rsidR="00E25E61">
        <w:rPr>
          <w:color w:val="auto"/>
        </w:rPr>
        <w:t>(2019).</w:t>
      </w:r>
    </w:p>
    <w:p w14:paraId="68358E8D" w14:textId="77777777" w:rsidR="00E06DFD" w:rsidRPr="00442F26" w:rsidRDefault="00E06DFD" w:rsidP="006F7144">
      <w:pPr>
        <w:contextualSpacing/>
        <w:rPr>
          <w:color w:val="auto"/>
        </w:rPr>
      </w:pPr>
      <w:r w:rsidRPr="00442F26">
        <w:rPr>
          <w:color w:val="auto"/>
        </w:rPr>
        <w:t xml:space="preserve">15. Jensen, KA. The NANOGENOTOX Dispersion Protocol for </w:t>
      </w:r>
      <w:proofErr w:type="spellStart"/>
      <w:r w:rsidRPr="00442F26">
        <w:rPr>
          <w:color w:val="auto"/>
        </w:rPr>
        <w:t>NANoREG</w:t>
      </w:r>
      <w:proofErr w:type="spellEnd"/>
      <w:r w:rsidRPr="00442F26">
        <w:rPr>
          <w:color w:val="auto"/>
        </w:rPr>
        <w:t xml:space="preserve">. </w:t>
      </w:r>
      <w:r w:rsidRPr="00442F26">
        <w:rPr>
          <w:i/>
          <w:iCs/>
          <w:color w:val="auto"/>
        </w:rPr>
        <w:t>European</w:t>
      </w:r>
      <w:r w:rsidRPr="00442F26">
        <w:rPr>
          <w:color w:val="auto"/>
        </w:rPr>
        <w:t xml:space="preserve"> </w:t>
      </w:r>
      <w:r w:rsidRPr="00442F26">
        <w:rPr>
          <w:i/>
          <w:iCs/>
          <w:color w:val="auto"/>
        </w:rPr>
        <w:t>Union</w:t>
      </w:r>
      <w:r w:rsidRPr="00442F26">
        <w:rPr>
          <w:color w:val="auto"/>
        </w:rPr>
        <w:t xml:space="preserve"> </w:t>
      </w:r>
      <w:r w:rsidRPr="00442F26">
        <w:rPr>
          <w:i/>
          <w:iCs/>
          <w:color w:val="auto"/>
        </w:rPr>
        <w:t>Grant Agreement n° 2009 21 01</w:t>
      </w:r>
      <w:r w:rsidRPr="00442F26">
        <w:rPr>
          <w:color w:val="auto"/>
        </w:rPr>
        <w:t xml:space="preserve"> (2014).</w:t>
      </w:r>
    </w:p>
    <w:p w14:paraId="69AAA0CB" w14:textId="55583ADA" w:rsidR="00E06DFD" w:rsidRPr="00442F26" w:rsidRDefault="00E06DFD" w:rsidP="006F7144">
      <w:pPr>
        <w:contextualSpacing/>
        <w:rPr>
          <w:color w:val="auto"/>
        </w:rPr>
      </w:pPr>
      <w:r w:rsidRPr="00442F26">
        <w:rPr>
          <w:color w:val="auto"/>
        </w:rPr>
        <w:t xml:space="preserve">16. </w:t>
      </w:r>
      <w:r w:rsidRPr="00442F26">
        <w:rPr>
          <w:color w:val="auto"/>
        </w:rPr>
        <w:tab/>
        <w:t xml:space="preserve">Marchese, S. et al. Aflatoxin B1 and M1: Biological Properties and Their Involvement in Cancer Development. </w:t>
      </w:r>
      <w:r w:rsidRPr="00442F26">
        <w:rPr>
          <w:i/>
          <w:iCs/>
          <w:color w:val="auto"/>
        </w:rPr>
        <w:t>Toxins</w:t>
      </w:r>
      <w:r w:rsidR="00E25E61">
        <w:rPr>
          <w:i/>
          <w:iCs/>
          <w:color w:val="auto"/>
        </w:rPr>
        <w:t>.</w:t>
      </w:r>
      <w:r w:rsidR="00E25E61" w:rsidRPr="00E25E61">
        <w:rPr>
          <w:color w:val="auto"/>
        </w:rPr>
        <w:t xml:space="preserve"> </w:t>
      </w:r>
      <w:r w:rsidRPr="00442F26">
        <w:rPr>
          <w:b/>
          <w:bCs/>
          <w:color w:val="auto"/>
        </w:rPr>
        <w:t>10</w:t>
      </w:r>
      <w:r w:rsidRPr="00442F26">
        <w:rPr>
          <w:color w:val="auto"/>
        </w:rPr>
        <w:t>, 214 (2018).</w:t>
      </w:r>
    </w:p>
    <w:p w14:paraId="51E78953" w14:textId="1D2EBC34" w:rsidR="00E06DFD" w:rsidRPr="00442F26" w:rsidRDefault="00E06DFD" w:rsidP="006F7144">
      <w:pPr>
        <w:contextualSpacing/>
        <w:rPr>
          <w:color w:val="auto"/>
        </w:rPr>
      </w:pPr>
      <w:r w:rsidRPr="00442F26">
        <w:rPr>
          <w:color w:val="auto"/>
        </w:rPr>
        <w:t>17. Rushing, B. R.</w:t>
      </w:r>
      <w:r w:rsidR="00E25E61">
        <w:rPr>
          <w:color w:val="auto"/>
        </w:rPr>
        <w:t xml:space="preserve">, </w:t>
      </w:r>
      <w:r w:rsidRPr="00442F26">
        <w:rPr>
          <w:color w:val="auto"/>
        </w:rPr>
        <w:t xml:space="preserve">Selim, M. I. Aflatoxin B1: A review on metabolism, toxicity, occurrence in </w:t>
      </w:r>
    </w:p>
    <w:p w14:paraId="3A8C1F7A" w14:textId="19060AB2" w:rsidR="00E06DFD" w:rsidRPr="00442F26" w:rsidRDefault="00E06DFD" w:rsidP="006F7144">
      <w:pPr>
        <w:contextualSpacing/>
        <w:rPr>
          <w:color w:val="auto"/>
        </w:rPr>
      </w:pPr>
      <w:r w:rsidRPr="00442F26">
        <w:rPr>
          <w:color w:val="auto"/>
        </w:rPr>
        <w:t xml:space="preserve">food, occupational exposure, and detoxification methods. </w:t>
      </w:r>
      <w:r w:rsidRPr="00442F26">
        <w:rPr>
          <w:i/>
          <w:iCs/>
          <w:color w:val="auto"/>
        </w:rPr>
        <w:t>Food and Chemical Toxicology</w:t>
      </w:r>
      <w:r w:rsidR="00E25E61">
        <w:rPr>
          <w:i/>
          <w:iCs/>
          <w:color w:val="auto"/>
        </w:rPr>
        <w:t>.</w:t>
      </w:r>
      <w:r w:rsidR="00E25E61">
        <w:rPr>
          <w:i/>
          <w:iCs/>
          <w:color w:val="auto"/>
        </w:rPr>
        <w:t xml:space="preserve"> </w:t>
      </w:r>
      <w:r w:rsidRPr="00442F26">
        <w:rPr>
          <w:b/>
          <w:bCs/>
          <w:color w:val="auto"/>
        </w:rPr>
        <w:t>124</w:t>
      </w:r>
      <w:r w:rsidRPr="00442F26">
        <w:rPr>
          <w:color w:val="auto"/>
        </w:rPr>
        <w:t xml:space="preserve">, </w:t>
      </w:r>
      <w:r w:rsidRPr="00442F26">
        <w:rPr>
          <w:color w:val="auto"/>
        </w:rPr>
        <w:lastRenderedPageBreak/>
        <w:t>81–100 (2019).</w:t>
      </w:r>
    </w:p>
    <w:p w14:paraId="2CA05B7F" w14:textId="062E189B" w:rsidR="00E06DFD" w:rsidRPr="00442F26" w:rsidRDefault="00E06DFD" w:rsidP="006F7144">
      <w:pPr>
        <w:contextualSpacing/>
        <w:rPr>
          <w:color w:val="auto"/>
        </w:rPr>
      </w:pPr>
      <w:r w:rsidRPr="00442F26">
        <w:rPr>
          <w:color w:val="auto"/>
        </w:rPr>
        <w:t xml:space="preserve"> 18. </w:t>
      </w:r>
      <w:proofErr w:type="spellStart"/>
      <w:r w:rsidRPr="00442F26">
        <w:rPr>
          <w:color w:val="auto"/>
        </w:rPr>
        <w:t>Kermanizadeh</w:t>
      </w:r>
      <w:proofErr w:type="spellEnd"/>
      <w:r w:rsidRPr="00442F26">
        <w:rPr>
          <w:color w:val="auto"/>
        </w:rPr>
        <w:t>, A., Brown, D. M., Moritz, W.</w:t>
      </w:r>
      <w:proofErr w:type="gramStart"/>
      <w:r w:rsidR="00E25E61">
        <w:rPr>
          <w:color w:val="auto"/>
        </w:rPr>
        <w:t xml:space="preserve">, </w:t>
      </w:r>
      <w:r w:rsidRPr="00442F26">
        <w:rPr>
          <w:color w:val="auto"/>
        </w:rPr>
        <w:t xml:space="preserve"> Stone</w:t>
      </w:r>
      <w:proofErr w:type="gramEnd"/>
      <w:r w:rsidRPr="00442F26">
        <w:rPr>
          <w:color w:val="auto"/>
        </w:rPr>
        <w:t>, V. The importance of inter-</w:t>
      </w:r>
    </w:p>
    <w:p w14:paraId="1EE2D840" w14:textId="5B275E7F" w:rsidR="00E06DFD" w:rsidRPr="00442F26" w:rsidRDefault="00E06DFD" w:rsidP="006F7144">
      <w:pPr>
        <w:contextualSpacing/>
        <w:rPr>
          <w:color w:val="auto"/>
        </w:rPr>
      </w:pPr>
      <w:r w:rsidRPr="00442F26">
        <w:rPr>
          <w:color w:val="auto"/>
        </w:rPr>
        <w:t xml:space="preserve">individual Kupffer cell variability in the governance of hepatic toxicity in a 3D primary human liver microtissue model. </w:t>
      </w:r>
      <w:r w:rsidRPr="00442F26">
        <w:rPr>
          <w:i/>
          <w:iCs/>
          <w:color w:val="auto"/>
        </w:rPr>
        <w:t xml:space="preserve">Scientific </w:t>
      </w:r>
      <w:r w:rsidR="00E25E61">
        <w:rPr>
          <w:i/>
          <w:iCs/>
          <w:color w:val="auto"/>
        </w:rPr>
        <w:t>R</w:t>
      </w:r>
      <w:r w:rsidRPr="00442F26">
        <w:rPr>
          <w:i/>
          <w:iCs/>
          <w:color w:val="auto"/>
        </w:rPr>
        <w:t>eports</w:t>
      </w:r>
      <w:r w:rsidR="00E25E61">
        <w:rPr>
          <w:i/>
          <w:iCs/>
          <w:color w:val="auto"/>
        </w:rPr>
        <w:t>.</w:t>
      </w:r>
      <w:r w:rsidR="00E25E61" w:rsidRPr="00E25E61">
        <w:rPr>
          <w:color w:val="auto"/>
        </w:rPr>
        <w:t xml:space="preserve"> </w:t>
      </w:r>
      <w:r w:rsidRPr="00442F26">
        <w:rPr>
          <w:b/>
          <w:bCs/>
          <w:color w:val="auto"/>
        </w:rPr>
        <w:t>9</w:t>
      </w:r>
      <w:r w:rsidRPr="00442F26">
        <w:rPr>
          <w:color w:val="auto"/>
        </w:rPr>
        <w:t>, 7295 (2019).</w:t>
      </w:r>
    </w:p>
    <w:p w14:paraId="7F8EE32B" w14:textId="231F8AF0" w:rsidR="00E06DFD" w:rsidRPr="00442F26" w:rsidRDefault="00E06DFD" w:rsidP="006F7144">
      <w:pPr>
        <w:contextualSpacing/>
        <w:rPr>
          <w:color w:val="auto"/>
        </w:rPr>
      </w:pPr>
      <w:r w:rsidRPr="00442F26">
        <w:rPr>
          <w:color w:val="auto"/>
        </w:rPr>
        <w:t xml:space="preserve">19. Berger, B. et al. Comparison of Liver Cell Models Using the Basel Phenotyping Cocktail. </w:t>
      </w:r>
      <w:r w:rsidRPr="00442F26">
        <w:rPr>
          <w:i/>
          <w:iCs/>
          <w:color w:val="auto"/>
        </w:rPr>
        <w:t>Frontiers in Pharmacology</w:t>
      </w:r>
      <w:r w:rsidR="00E25E61">
        <w:rPr>
          <w:i/>
          <w:iCs/>
          <w:color w:val="auto"/>
        </w:rPr>
        <w:t>.</w:t>
      </w:r>
      <w:r w:rsidR="00E25E61" w:rsidRPr="00E25E61">
        <w:rPr>
          <w:color w:val="auto"/>
        </w:rPr>
        <w:t xml:space="preserve"> </w:t>
      </w:r>
      <w:r w:rsidRPr="00442F26">
        <w:rPr>
          <w:b/>
          <w:bCs/>
          <w:color w:val="auto"/>
        </w:rPr>
        <w:t>7</w:t>
      </w:r>
      <w:r w:rsidRPr="00442F26">
        <w:rPr>
          <w:color w:val="auto"/>
        </w:rPr>
        <w:t>, 443 (2016).</w:t>
      </w:r>
    </w:p>
    <w:p w14:paraId="27ADD33F" w14:textId="5858DF5F" w:rsidR="00E06DFD" w:rsidRPr="00442F26" w:rsidRDefault="00E06DFD" w:rsidP="006F7144">
      <w:pPr>
        <w:contextualSpacing/>
        <w:rPr>
          <w:color w:val="auto"/>
        </w:rPr>
      </w:pPr>
      <w:r w:rsidRPr="00442F26">
        <w:rPr>
          <w:color w:val="auto"/>
        </w:rPr>
        <w:t xml:space="preserve">20. </w:t>
      </w:r>
      <w:proofErr w:type="spellStart"/>
      <w:r w:rsidRPr="00442F26">
        <w:rPr>
          <w:color w:val="auto"/>
          <w:lang w:val="fr-FR"/>
        </w:rPr>
        <w:t>Ramaiahgari</w:t>
      </w:r>
      <w:proofErr w:type="spellEnd"/>
      <w:r w:rsidRPr="00442F26">
        <w:rPr>
          <w:color w:val="auto"/>
          <w:lang w:val="fr-FR"/>
        </w:rPr>
        <w:t xml:space="preserve">, S. C. et al. </w:t>
      </w:r>
      <w:r w:rsidRPr="00442F26">
        <w:rPr>
          <w:color w:val="auto"/>
        </w:rPr>
        <w:t xml:space="preserve">A 3D in vitro model of differentiated HepG2 cell spheroids with improved liver-like properties for repeated dose high-throughput toxicity studies. </w:t>
      </w:r>
      <w:r w:rsidRPr="00442F26">
        <w:rPr>
          <w:i/>
          <w:iCs/>
          <w:color w:val="auto"/>
        </w:rPr>
        <w:t>Archives of Toxicology</w:t>
      </w:r>
      <w:r w:rsidRPr="00442F26">
        <w:rPr>
          <w:color w:val="auto"/>
        </w:rPr>
        <w:t xml:space="preserve"> (2014)</w:t>
      </w:r>
      <w:r w:rsidR="00E25E61">
        <w:rPr>
          <w:color w:val="auto"/>
        </w:rPr>
        <w:t>.</w:t>
      </w:r>
    </w:p>
    <w:p w14:paraId="0D34F11D" w14:textId="01A228E9" w:rsidR="00E06DFD" w:rsidRPr="00442F26" w:rsidRDefault="00E06DFD" w:rsidP="006F7144">
      <w:pPr>
        <w:contextualSpacing/>
        <w:rPr>
          <w:color w:val="auto"/>
        </w:rPr>
      </w:pPr>
      <w:r w:rsidRPr="00442F26">
        <w:rPr>
          <w:color w:val="auto"/>
        </w:rPr>
        <w:t>21.</w:t>
      </w:r>
      <w:r w:rsidRPr="00442F26">
        <w:rPr>
          <w:color w:val="auto"/>
        </w:rPr>
        <w:tab/>
        <w:t>Li, Y.</w:t>
      </w:r>
      <w:r w:rsidR="00E25E61">
        <w:rPr>
          <w:color w:val="auto"/>
        </w:rPr>
        <w:t xml:space="preserve"> et al. </w:t>
      </w:r>
      <w:r w:rsidRPr="00442F26">
        <w:rPr>
          <w:color w:val="auto"/>
        </w:rPr>
        <w:t>Factors affecting the in vitro</w:t>
      </w:r>
      <w:r w:rsidRPr="00442F26">
        <w:rPr>
          <w:i/>
          <w:iCs/>
          <w:color w:val="auto"/>
        </w:rPr>
        <w:t xml:space="preserve"> </w:t>
      </w:r>
      <w:r w:rsidRPr="00442F26">
        <w:rPr>
          <w:color w:val="auto"/>
        </w:rPr>
        <w:t xml:space="preserve">micronucleus assay for evaluation of nanomaterials. </w:t>
      </w:r>
      <w:r w:rsidRPr="00442F26">
        <w:rPr>
          <w:i/>
          <w:iCs/>
          <w:color w:val="auto"/>
        </w:rPr>
        <w:t>Mutagenesis</w:t>
      </w:r>
      <w:r w:rsidR="00E25E61">
        <w:rPr>
          <w:i/>
          <w:iCs/>
          <w:color w:val="auto"/>
        </w:rPr>
        <w:t>.</w:t>
      </w:r>
      <w:r w:rsidR="00E25E61" w:rsidRPr="00E25E61">
        <w:rPr>
          <w:color w:val="auto"/>
        </w:rPr>
        <w:t xml:space="preserve"> </w:t>
      </w:r>
      <w:r w:rsidRPr="00442F26">
        <w:rPr>
          <w:b/>
          <w:bCs/>
          <w:color w:val="auto"/>
        </w:rPr>
        <w:t>32</w:t>
      </w:r>
      <w:r w:rsidR="00E25E61">
        <w:rPr>
          <w:b/>
          <w:bCs/>
          <w:color w:val="auto"/>
        </w:rPr>
        <w:t xml:space="preserve"> </w:t>
      </w:r>
      <w:r w:rsidRPr="00E25E61">
        <w:rPr>
          <w:color w:val="auto"/>
        </w:rPr>
        <w:t>(1),</w:t>
      </w:r>
      <w:r w:rsidRPr="00442F26">
        <w:rPr>
          <w:color w:val="auto"/>
        </w:rPr>
        <w:t xml:space="preserve"> 151-159 (2016).</w:t>
      </w:r>
    </w:p>
    <w:p w14:paraId="43128B39" w14:textId="17BCBBE2" w:rsidR="00E06DFD" w:rsidRPr="00442F26" w:rsidRDefault="00E06DFD" w:rsidP="006F7144">
      <w:pPr>
        <w:contextualSpacing/>
        <w:rPr>
          <w:color w:val="auto"/>
        </w:rPr>
      </w:pPr>
      <w:r w:rsidRPr="00442F26">
        <w:rPr>
          <w:color w:val="auto"/>
        </w:rPr>
        <w:t>22.</w:t>
      </w:r>
      <w:r w:rsidRPr="00442F26">
        <w:rPr>
          <w:color w:val="auto"/>
        </w:rPr>
        <w:tab/>
        <w:t xml:space="preserve">Kirkland, D., Reeve, L., Gatehouse, D. and </w:t>
      </w:r>
      <w:proofErr w:type="spellStart"/>
      <w:r w:rsidRPr="00442F26">
        <w:rPr>
          <w:color w:val="auto"/>
        </w:rPr>
        <w:t>Vanparys</w:t>
      </w:r>
      <w:proofErr w:type="spellEnd"/>
      <w:r w:rsidRPr="00442F26">
        <w:rPr>
          <w:color w:val="auto"/>
        </w:rPr>
        <w:t xml:space="preserve">, P. A core in vitro genotoxicity battery comprising the Ames test plus the in vitro micronucleus test is </w:t>
      </w:r>
      <w:proofErr w:type="gramStart"/>
      <w:r w:rsidRPr="00442F26">
        <w:rPr>
          <w:color w:val="auto"/>
        </w:rPr>
        <w:t>sufficient</w:t>
      </w:r>
      <w:proofErr w:type="gramEnd"/>
      <w:r w:rsidRPr="00442F26">
        <w:rPr>
          <w:color w:val="auto"/>
        </w:rPr>
        <w:t xml:space="preserve"> to detect rodent carcinogens and in vivo genotoxins. </w:t>
      </w:r>
      <w:r w:rsidRPr="00442F26">
        <w:rPr>
          <w:i/>
          <w:iCs/>
          <w:color w:val="auto"/>
        </w:rPr>
        <w:t>Mutation Research/Genetic Toxicology and Environmental Mutagenesis</w:t>
      </w:r>
      <w:r w:rsidR="00E25E61">
        <w:rPr>
          <w:i/>
          <w:iCs/>
          <w:color w:val="auto"/>
        </w:rPr>
        <w:t>.</w:t>
      </w:r>
      <w:r w:rsidR="00E25E61" w:rsidRPr="00E25E61">
        <w:rPr>
          <w:color w:val="auto"/>
        </w:rPr>
        <w:t xml:space="preserve"> </w:t>
      </w:r>
      <w:r w:rsidRPr="00442F26">
        <w:rPr>
          <w:b/>
          <w:bCs/>
          <w:color w:val="auto"/>
        </w:rPr>
        <w:t>721</w:t>
      </w:r>
      <w:r w:rsidR="00E25E61">
        <w:rPr>
          <w:b/>
          <w:bCs/>
          <w:color w:val="auto"/>
        </w:rPr>
        <w:t xml:space="preserve"> </w:t>
      </w:r>
      <w:r w:rsidRPr="00E25E61">
        <w:rPr>
          <w:color w:val="auto"/>
        </w:rPr>
        <w:t>(1)</w:t>
      </w:r>
      <w:r w:rsidRPr="00442F26">
        <w:rPr>
          <w:color w:val="auto"/>
        </w:rPr>
        <w:t>, 27-73 (2011)</w:t>
      </w:r>
      <w:r w:rsidR="00E25E61">
        <w:rPr>
          <w:color w:val="auto"/>
        </w:rPr>
        <w:t>.</w:t>
      </w:r>
    </w:p>
    <w:p w14:paraId="3973F18F" w14:textId="07779006" w:rsidR="00E06DFD" w:rsidRPr="00442F26" w:rsidRDefault="00E06DFD" w:rsidP="006F7144">
      <w:pPr>
        <w:contextualSpacing/>
        <w:rPr>
          <w:color w:val="auto"/>
        </w:rPr>
      </w:pPr>
      <w:r w:rsidRPr="00442F26">
        <w:rPr>
          <w:color w:val="auto"/>
        </w:rPr>
        <w:t xml:space="preserve">23. Curcio, E. et al. Mass transfer and metabolic reactions in hepatocyte spheroids cultured in rotating wall gas-permeable membrane system. </w:t>
      </w:r>
      <w:r w:rsidRPr="00442F26">
        <w:rPr>
          <w:i/>
          <w:iCs/>
          <w:color w:val="auto"/>
        </w:rPr>
        <w:t>Biomaterials</w:t>
      </w:r>
      <w:r w:rsidR="00E25E61">
        <w:rPr>
          <w:i/>
          <w:iCs/>
          <w:color w:val="auto"/>
        </w:rPr>
        <w:t>.</w:t>
      </w:r>
      <w:r w:rsidR="00E25E61" w:rsidRPr="00E25E61">
        <w:rPr>
          <w:color w:val="auto"/>
        </w:rPr>
        <w:t xml:space="preserve"> </w:t>
      </w:r>
      <w:r w:rsidRPr="00442F26">
        <w:rPr>
          <w:b/>
          <w:bCs/>
          <w:color w:val="auto"/>
        </w:rPr>
        <w:t>28</w:t>
      </w:r>
      <w:r w:rsidRPr="00442F26">
        <w:rPr>
          <w:color w:val="auto"/>
        </w:rPr>
        <w:t>, 5487–5497 (2007).</w:t>
      </w:r>
    </w:p>
    <w:p w14:paraId="3006CB59" w14:textId="2C862031" w:rsidR="00E06DFD" w:rsidRPr="00442F26" w:rsidRDefault="00E06DFD" w:rsidP="006F7144">
      <w:pPr>
        <w:contextualSpacing/>
        <w:rPr>
          <w:color w:val="auto"/>
        </w:rPr>
      </w:pPr>
      <w:r w:rsidRPr="00442F26">
        <w:rPr>
          <w:color w:val="auto"/>
        </w:rPr>
        <w:t xml:space="preserve">24. </w:t>
      </w:r>
      <w:proofErr w:type="spellStart"/>
      <w:r w:rsidRPr="00442F26">
        <w:rPr>
          <w:color w:val="auto"/>
        </w:rPr>
        <w:t>Glicklis</w:t>
      </w:r>
      <w:proofErr w:type="spellEnd"/>
      <w:r w:rsidRPr="00442F26">
        <w:rPr>
          <w:color w:val="auto"/>
        </w:rPr>
        <w:t xml:space="preserve">, R., </w:t>
      </w:r>
      <w:proofErr w:type="spellStart"/>
      <w:r w:rsidRPr="00442F26">
        <w:rPr>
          <w:color w:val="auto"/>
        </w:rPr>
        <w:t>Merchuk</w:t>
      </w:r>
      <w:proofErr w:type="spellEnd"/>
      <w:r w:rsidRPr="00442F26">
        <w:rPr>
          <w:color w:val="auto"/>
        </w:rPr>
        <w:t>, J. C.</w:t>
      </w:r>
      <w:r w:rsidR="00E25E61">
        <w:rPr>
          <w:color w:val="auto"/>
        </w:rPr>
        <w:t xml:space="preserve">, </w:t>
      </w:r>
      <w:r w:rsidRPr="00442F26">
        <w:rPr>
          <w:color w:val="auto"/>
        </w:rPr>
        <w:t xml:space="preserve">Cohen, S. Modeling mass transfer in hepatocyte spheroids via cell viability, spheroid size, and hepatocellular functions. </w:t>
      </w:r>
      <w:r w:rsidRPr="00442F26">
        <w:rPr>
          <w:i/>
          <w:iCs/>
          <w:color w:val="auto"/>
        </w:rPr>
        <w:t>Biotechnology and Bioengineering</w:t>
      </w:r>
      <w:r w:rsidR="00E25E61">
        <w:rPr>
          <w:i/>
          <w:iCs/>
          <w:color w:val="auto"/>
        </w:rPr>
        <w:t>.</w:t>
      </w:r>
      <w:r w:rsidR="00E25E61" w:rsidRPr="00E25E61">
        <w:rPr>
          <w:color w:val="auto"/>
        </w:rPr>
        <w:t xml:space="preserve"> </w:t>
      </w:r>
      <w:r w:rsidRPr="00442F26">
        <w:rPr>
          <w:b/>
          <w:bCs/>
          <w:color w:val="auto"/>
        </w:rPr>
        <w:t>86</w:t>
      </w:r>
      <w:r w:rsidRPr="00442F26">
        <w:rPr>
          <w:color w:val="auto"/>
        </w:rPr>
        <w:t>, 672–680 (2004).</w:t>
      </w:r>
    </w:p>
    <w:p w14:paraId="0FB3EB5A" w14:textId="07AC2A5F" w:rsidR="00E06DFD" w:rsidRPr="00442F26" w:rsidRDefault="00E06DFD" w:rsidP="006F7144">
      <w:pPr>
        <w:contextualSpacing/>
        <w:rPr>
          <w:color w:val="auto"/>
        </w:rPr>
      </w:pPr>
      <w:r w:rsidRPr="00442F26">
        <w:rPr>
          <w:color w:val="auto"/>
        </w:rPr>
        <w:t>25. Asthana, A</w:t>
      </w:r>
      <w:r w:rsidR="00E25E61">
        <w:rPr>
          <w:color w:val="auto"/>
        </w:rPr>
        <w:t xml:space="preserve">., </w:t>
      </w:r>
      <w:proofErr w:type="spellStart"/>
      <w:r w:rsidRPr="00442F26">
        <w:rPr>
          <w:color w:val="auto"/>
        </w:rPr>
        <w:t>Kisaalita</w:t>
      </w:r>
      <w:proofErr w:type="spellEnd"/>
      <w:r w:rsidRPr="00442F26">
        <w:rPr>
          <w:color w:val="auto"/>
        </w:rPr>
        <w:t xml:space="preserve">, W. S. Microtissue size and hypoxia in HTS with 3D cultures. </w:t>
      </w:r>
      <w:r w:rsidRPr="00442F26">
        <w:rPr>
          <w:i/>
          <w:iCs/>
          <w:color w:val="auto"/>
        </w:rPr>
        <w:t>Drug Discovery Today</w:t>
      </w:r>
      <w:r w:rsidR="00E25E61">
        <w:rPr>
          <w:i/>
          <w:iCs/>
          <w:color w:val="auto"/>
        </w:rPr>
        <w:t>.</w:t>
      </w:r>
      <w:r w:rsidR="00E25E61" w:rsidRPr="00E25E61">
        <w:rPr>
          <w:color w:val="auto"/>
        </w:rPr>
        <w:t xml:space="preserve"> </w:t>
      </w:r>
      <w:r w:rsidRPr="00442F26">
        <w:rPr>
          <w:b/>
          <w:bCs/>
          <w:color w:val="auto"/>
        </w:rPr>
        <w:t>17</w:t>
      </w:r>
      <w:r w:rsidRPr="00442F26">
        <w:rPr>
          <w:color w:val="auto"/>
        </w:rPr>
        <w:t>, 810–817 (2012).</w:t>
      </w:r>
    </w:p>
    <w:p w14:paraId="0458A341" w14:textId="7A41CC24" w:rsidR="00E06DFD" w:rsidRPr="00442F26" w:rsidRDefault="00E06DFD" w:rsidP="006F7144">
      <w:pPr>
        <w:contextualSpacing/>
        <w:rPr>
          <w:color w:val="auto"/>
        </w:rPr>
      </w:pPr>
      <w:r w:rsidRPr="00442F26">
        <w:rPr>
          <w:color w:val="auto"/>
        </w:rPr>
        <w:t xml:space="preserve">26. Gaskell, H. et al. Characterization of a functional C3A liver spheroid model. </w:t>
      </w:r>
      <w:r w:rsidRPr="00442F26">
        <w:rPr>
          <w:i/>
          <w:iCs/>
          <w:color w:val="auto"/>
        </w:rPr>
        <w:t xml:space="preserve">Toxicology </w:t>
      </w:r>
      <w:r w:rsidR="00E25E61">
        <w:rPr>
          <w:i/>
          <w:iCs/>
          <w:color w:val="auto"/>
        </w:rPr>
        <w:t>R</w:t>
      </w:r>
      <w:r w:rsidRPr="00442F26">
        <w:rPr>
          <w:i/>
          <w:iCs/>
          <w:color w:val="auto"/>
        </w:rPr>
        <w:t>esearch</w:t>
      </w:r>
      <w:r w:rsidR="00E25E61">
        <w:rPr>
          <w:i/>
          <w:iCs/>
          <w:color w:val="auto"/>
        </w:rPr>
        <w:t>.</w:t>
      </w:r>
      <w:r w:rsidR="00E25E61" w:rsidRPr="00E25E61">
        <w:rPr>
          <w:color w:val="auto"/>
        </w:rPr>
        <w:t xml:space="preserve"> </w:t>
      </w:r>
      <w:r w:rsidRPr="00442F26">
        <w:rPr>
          <w:b/>
          <w:bCs/>
          <w:color w:val="auto"/>
        </w:rPr>
        <w:t>5</w:t>
      </w:r>
      <w:r w:rsidRPr="00442F26">
        <w:rPr>
          <w:color w:val="auto"/>
        </w:rPr>
        <w:t>, 1053–1065 (2016).</w:t>
      </w:r>
    </w:p>
    <w:p w14:paraId="577BB9FF" w14:textId="2CCCDE9D" w:rsidR="00E06DFD" w:rsidRPr="00442F26" w:rsidRDefault="00E06DFD" w:rsidP="006F7144">
      <w:pPr>
        <w:contextualSpacing/>
        <w:rPr>
          <w:color w:val="auto"/>
        </w:rPr>
      </w:pPr>
      <w:r w:rsidRPr="00442F26">
        <w:rPr>
          <w:color w:val="auto"/>
        </w:rPr>
        <w:t>27. Cho, E. C., Zhang, Q.</w:t>
      </w:r>
      <w:r w:rsidR="00E25E61">
        <w:rPr>
          <w:color w:val="auto"/>
        </w:rPr>
        <w:t xml:space="preserve">, </w:t>
      </w:r>
      <w:r w:rsidRPr="00442F26">
        <w:rPr>
          <w:color w:val="auto"/>
        </w:rPr>
        <w:t xml:space="preserve">Xia, Y. The effect of sedimentation and diffusion on cellular uptake of gold nanoparticles. </w:t>
      </w:r>
      <w:r w:rsidRPr="00442F26">
        <w:rPr>
          <w:i/>
          <w:iCs/>
          <w:color w:val="auto"/>
        </w:rPr>
        <w:t xml:space="preserve">Nature </w:t>
      </w:r>
      <w:r w:rsidR="00E25E61">
        <w:rPr>
          <w:i/>
          <w:iCs/>
          <w:color w:val="auto"/>
        </w:rPr>
        <w:t>N</w:t>
      </w:r>
      <w:r w:rsidRPr="00442F26">
        <w:rPr>
          <w:i/>
          <w:iCs/>
          <w:color w:val="auto"/>
        </w:rPr>
        <w:t>anotechnology</w:t>
      </w:r>
      <w:r w:rsidR="00E25E61">
        <w:rPr>
          <w:i/>
          <w:iCs/>
          <w:color w:val="auto"/>
        </w:rPr>
        <w:t>.</w:t>
      </w:r>
      <w:r w:rsidR="00E25E61" w:rsidRPr="00E25E61">
        <w:rPr>
          <w:color w:val="auto"/>
        </w:rPr>
        <w:t xml:space="preserve"> </w:t>
      </w:r>
      <w:r w:rsidRPr="00442F26">
        <w:rPr>
          <w:b/>
          <w:bCs/>
          <w:color w:val="auto"/>
        </w:rPr>
        <w:t>6</w:t>
      </w:r>
      <w:r w:rsidRPr="00442F26">
        <w:rPr>
          <w:color w:val="auto"/>
        </w:rPr>
        <w:t>, 385–91 (2011).</w:t>
      </w:r>
    </w:p>
    <w:p w14:paraId="409B4D1E" w14:textId="5AC0DAAF" w:rsidR="00E06DFD" w:rsidRPr="00442F26" w:rsidRDefault="00E06DFD" w:rsidP="006F7144">
      <w:pPr>
        <w:contextualSpacing/>
        <w:rPr>
          <w:color w:val="auto"/>
        </w:rPr>
      </w:pPr>
      <w:r w:rsidRPr="00442F26">
        <w:rPr>
          <w:color w:val="auto"/>
        </w:rPr>
        <w:t xml:space="preserve">28. </w:t>
      </w:r>
      <w:proofErr w:type="spellStart"/>
      <w:r w:rsidRPr="00442F26">
        <w:rPr>
          <w:color w:val="auto"/>
        </w:rPr>
        <w:t>Hinderliter</w:t>
      </w:r>
      <w:proofErr w:type="spellEnd"/>
      <w:r w:rsidRPr="00442F26">
        <w:rPr>
          <w:color w:val="auto"/>
        </w:rPr>
        <w:t xml:space="preserve">, P. M. et al. ISDD: A computational model of particle sedimentation, diffusion and target cell dosimetry for in vitro toxicity studies. </w:t>
      </w:r>
      <w:r w:rsidRPr="00442F26">
        <w:rPr>
          <w:i/>
          <w:iCs/>
          <w:color w:val="auto"/>
        </w:rPr>
        <w:t>Particle and Fib</w:t>
      </w:r>
      <w:r w:rsidR="00E25E61">
        <w:rPr>
          <w:i/>
          <w:iCs/>
          <w:color w:val="auto"/>
        </w:rPr>
        <w:t>er</w:t>
      </w:r>
      <w:r w:rsidRPr="00442F26">
        <w:rPr>
          <w:i/>
          <w:iCs/>
          <w:color w:val="auto"/>
        </w:rPr>
        <w:t xml:space="preserve"> Toxicology</w:t>
      </w:r>
      <w:r w:rsidR="00E25E61">
        <w:rPr>
          <w:i/>
          <w:iCs/>
          <w:color w:val="auto"/>
        </w:rPr>
        <w:t>.</w:t>
      </w:r>
      <w:r w:rsidR="00E25E61" w:rsidRPr="00E25E61">
        <w:rPr>
          <w:color w:val="auto"/>
        </w:rPr>
        <w:t xml:space="preserve"> </w:t>
      </w:r>
      <w:r w:rsidRPr="00442F26">
        <w:rPr>
          <w:b/>
          <w:bCs/>
          <w:color w:val="auto"/>
        </w:rPr>
        <w:t>7</w:t>
      </w:r>
      <w:r w:rsidRPr="00442F26">
        <w:rPr>
          <w:color w:val="auto"/>
        </w:rPr>
        <w:t>, 36 (2010).</w:t>
      </w:r>
    </w:p>
    <w:p w14:paraId="2BB6F48E" w14:textId="6E6F5847" w:rsidR="008D0EFF" w:rsidRPr="00442F26" w:rsidRDefault="00E06DFD" w:rsidP="006F7144">
      <w:pPr>
        <w:contextualSpacing/>
        <w:rPr>
          <w:color w:val="auto"/>
        </w:rPr>
      </w:pPr>
      <w:r w:rsidRPr="00442F26">
        <w:rPr>
          <w:color w:val="auto"/>
        </w:rPr>
        <w:t xml:space="preserve">29. Kramer, N. I., di </w:t>
      </w:r>
      <w:proofErr w:type="spellStart"/>
      <w:r w:rsidRPr="00442F26">
        <w:rPr>
          <w:color w:val="auto"/>
        </w:rPr>
        <w:t>Consiglio</w:t>
      </w:r>
      <w:proofErr w:type="spellEnd"/>
      <w:r w:rsidRPr="00442F26">
        <w:rPr>
          <w:color w:val="auto"/>
        </w:rPr>
        <w:t xml:space="preserve">, E., </w:t>
      </w:r>
      <w:proofErr w:type="spellStart"/>
      <w:r w:rsidRPr="00442F26">
        <w:rPr>
          <w:color w:val="auto"/>
        </w:rPr>
        <w:t>Blaauboer</w:t>
      </w:r>
      <w:proofErr w:type="spellEnd"/>
      <w:r w:rsidRPr="00442F26">
        <w:rPr>
          <w:color w:val="auto"/>
        </w:rPr>
        <w:t>, B. J</w:t>
      </w:r>
      <w:r w:rsidR="00E25E61">
        <w:rPr>
          <w:color w:val="auto"/>
        </w:rPr>
        <w:t>.,</w:t>
      </w:r>
      <w:r w:rsidRPr="00442F26">
        <w:rPr>
          <w:color w:val="auto"/>
        </w:rPr>
        <w:t xml:space="preserve"> </w:t>
      </w:r>
      <w:proofErr w:type="spellStart"/>
      <w:r w:rsidRPr="00442F26">
        <w:rPr>
          <w:color w:val="auto"/>
        </w:rPr>
        <w:t>Testai</w:t>
      </w:r>
      <w:proofErr w:type="spellEnd"/>
      <w:r w:rsidRPr="00442F26">
        <w:rPr>
          <w:color w:val="auto"/>
        </w:rPr>
        <w:t xml:space="preserve">, E. Biokinetics in repeated-dosing in vitro drug toxicity studies. </w:t>
      </w:r>
      <w:r w:rsidRPr="00442F26">
        <w:rPr>
          <w:i/>
          <w:iCs/>
          <w:color w:val="auto"/>
        </w:rPr>
        <w:t>Toxicolog</w:t>
      </w:r>
      <w:r w:rsidRPr="00E25E61">
        <w:rPr>
          <w:i/>
          <w:iCs/>
          <w:color w:val="auto"/>
        </w:rPr>
        <w:t>y in vitro</w:t>
      </w:r>
      <w:r w:rsidR="00E25E61">
        <w:rPr>
          <w:i/>
          <w:iCs/>
          <w:color w:val="auto"/>
        </w:rPr>
        <w:t>.</w:t>
      </w:r>
      <w:r w:rsidR="00E25E61" w:rsidRPr="00E25E61">
        <w:rPr>
          <w:color w:val="auto"/>
        </w:rPr>
        <w:t xml:space="preserve"> </w:t>
      </w:r>
      <w:r w:rsidRPr="00442F26">
        <w:rPr>
          <w:b/>
          <w:bCs/>
          <w:color w:val="auto"/>
        </w:rPr>
        <w:t>30</w:t>
      </w:r>
      <w:r w:rsidRPr="00442F26">
        <w:rPr>
          <w:color w:val="auto"/>
        </w:rPr>
        <w:t>, 217–224 (2015).</w:t>
      </w:r>
    </w:p>
    <w:sectPr w:rsidR="008D0EFF" w:rsidRPr="00442F26" w:rsidSect="00725AEE">
      <w:headerReference w:type="default" r:id="rId16"/>
      <w:footerReference w:type="first" r:id="rId17"/>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03769" w14:textId="77777777" w:rsidR="00F42851" w:rsidRDefault="00F42851" w:rsidP="00621C4E">
      <w:r>
        <w:separator/>
      </w:r>
    </w:p>
  </w:endnote>
  <w:endnote w:type="continuationSeparator" w:id="0">
    <w:p w14:paraId="4710FE0D" w14:textId="77777777" w:rsidR="00F42851" w:rsidRDefault="00F4285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434945"/>
      <w:docPartObj>
        <w:docPartGallery w:val="Page Numbers (Bottom of Page)"/>
        <w:docPartUnique/>
      </w:docPartObj>
    </w:sdtPr>
    <w:sdtEndPr>
      <w:rPr>
        <w:noProof/>
      </w:rPr>
    </w:sdtEndPr>
    <w:sdtContent>
      <w:p w14:paraId="5B237B98" w14:textId="184485F2" w:rsidR="00D6403F" w:rsidRDefault="00D640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ABCDF" w14:textId="7AEFC347" w:rsidR="00D6403F" w:rsidRDefault="00D6403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1391" w14:textId="77777777" w:rsidR="00F42851" w:rsidRDefault="00F42851" w:rsidP="00621C4E">
      <w:r>
        <w:separator/>
      </w:r>
    </w:p>
  </w:footnote>
  <w:footnote w:type="continuationSeparator" w:id="0">
    <w:p w14:paraId="6ABCE733" w14:textId="77777777" w:rsidR="00F42851" w:rsidRDefault="00F4285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3B9BF02E" w:rsidR="00D6403F" w:rsidRPr="00874B20" w:rsidRDefault="00D6403F" w:rsidP="00874B20">
    <w:pPr>
      <w:ind w:left="2160" w:firstLine="720"/>
      <w:jc w:val="center"/>
      <w:rPr>
        <w:rFonts w:asciiTheme="minorHAnsi" w:hAnsiTheme="minorHAnsi" w:cstheme="minorHAnsi"/>
        <w:b/>
        <w:color w:val="002060"/>
        <w:sz w:val="32"/>
      </w:rPr>
    </w:pPr>
  </w:p>
  <w:p w14:paraId="2249A9C9" w14:textId="12DB9159" w:rsidR="00D6403F" w:rsidRPr="006F06E4" w:rsidRDefault="00D6403F"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7F34"/>
    <w:multiLevelType w:val="hybridMultilevel"/>
    <w:tmpl w:val="7AC4105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927"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D61B6"/>
    <w:multiLevelType w:val="hybridMultilevel"/>
    <w:tmpl w:val="87624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02ABF"/>
    <w:multiLevelType w:val="multilevel"/>
    <w:tmpl w:val="4A68D5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459A4"/>
    <w:multiLevelType w:val="hybridMultilevel"/>
    <w:tmpl w:val="CEAE5F64"/>
    <w:lvl w:ilvl="0" w:tplc="08090001">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7113B"/>
    <w:multiLevelType w:val="hybridMultilevel"/>
    <w:tmpl w:val="9F842538"/>
    <w:lvl w:ilvl="0" w:tplc="B55E8C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F43F8"/>
    <w:multiLevelType w:val="multilevel"/>
    <w:tmpl w:val="0E10D3D6"/>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32910"/>
    <w:multiLevelType w:val="multilevel"/>
    <w:tmpl w:val="F4A86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F7981"/>
    <w:multiLevelType w:val="hybridMultilevel"/>
    <w:tmpl w:val="5F6069E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731FF"/>
    <w:multiLevelType w:val="multilevel"/>
    <w:tmpl w:val="4A68D5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2021D"/>
    <w:multiLevelType w:val="multilevel"/>
    <w:tmpl w:val="F4A86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1C7F31"/>
    <w:multiLevelType w:val="multilevel"/>
    <w:tmpl w:val="B986E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206E0"/>
    <w:multiLevelType w:val="hybridMultilevel"/>
    <w:tmpl w:val="C8A88E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625F63"/>
    <w:multiLevelType w:val="hybridMultilevel"/>
    <w:tmpl w:val="3B20936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0C3536"/>
    <w:multiLevelType w:val="hybridMultilevel"/>
    <w:tmpl w:val="235E4E26"/>
    <w:lvl w:ilvl="0" w:tplc="0809000F">
      <w:start w:val="1"/>
      <w:numFmt w:val="decimal"/>
      <w:lvlText w:val="%1."/>
      <w:lvlJc w:val="left"/>
      <w:pPr>
        <w:ind w:left="720" w:hanging="360"/>
      </w:pPr>
      <w:rPr>
        <w:rFont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F22FB"/>
    <w:multiLevelType w:val="multilevel"/>
    <w:tmpl w:val="0E10D3D6"/>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C744D"/>
    <w:multiLevelType w:val="multilevel"/>
    <w:tmpl w:val="F4A86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22"/>
  </w:num>
  <w:num w:numId="3">
    <w:abstractNumId w:val="7"/>
  </w:num>
  <w:num w:numId="4">
    <w:abstractNumId w:val="19"/>
  </w:num>
  <w:num w:numId="5">
    <w:abstractNumId w:val="12"/>
  </w:num>
  <w:num w:numId="6">
    <w:abstractNumId w:val="18"/>
  </w:num>
  <w:num w:numId="7">
    <w:abstractNumId w:val="0"/>
  </w:num>
  <w:num w:numId="8">
    <w:abstractNumId w:val="13"/>
  </w:num>
  <w:num w:numId="9">
    <w:abstractNumId w:val="15"/>
  </w:num>
  <w:num w:numId="10">
    <w:abstractNumId w:val="20"/>
  </w:num>
  <w:num w:numId="11">
    <w:abstractNumId w:val="28"/>
  </w:num>
  <w:num w:numId="12">
    <w:abstractNumId w:val="1"/>
  </w:num>
  <w:num w:numId="13">
    <w:abstractNumId w:val="23"/>
  </w:num>
  <w:num w:numId="14">
    <w:abstractNumId w:val="35"/>
  </w:num>
  <w:num w:numId="15">
    <w:abstractNumId w:val="16"/>
  </w:num>
  <w:num w:numId="16">
    <w:abstractNumId w:val="10"/>
  </w:num>
  <w:num w:numId="17">
    <w:abstractNumId w:val="25"/>
  </w:num>
  <w:num w:numId="18">
    <w:abstractNumId w:val="17"/>
  </w:num>
  <w:num w:numId="19">
    <w:abstractNumId w:val="29"/>
  </w:num>
  <w:num w:numId="20">
    <w:abstractNumId w:val="3"/>
  </w:num>
  <w:num w:numId="21">
    <w:abstractNumId w:val="32"/>
  </w:num>
  <w:num w:numId="22">
    <w:abstractNumId w:val="4"/>
  </w:num>
  <w:num w:numId="23">
    <w:abstractNumId w:val="11"/>
  </w:num>
  <w:num w:numId="24">
    <w:abstractNumId w:val="30"/>
  </w:num>
  <w:num w:numId="25">
    <w:abstractNumId w:val="6"/>
  </w:num>
  <w:num w:numId="26">
    <w:abstractNumId w:val="31"/>
  </w:num>
  <w:num w:numId="27">
    <w:abstractNumId w:val="33"/>
  </w:num>
  <w:num w:numId="28">
    <w:abstractNumId w:val="21"/>
  </w:num>
  <w:num w:numId="29">
    <w:abstractNumId w:val="9"/>
  </w:num>
  <w:num w:numId="30">
    <w:abstractNumId w:val="2"/>
  </w:num>
  <w:num w:numId="31">
    <w:abstractNumId w:val="36"/>
  </w:num>
  <w:num w:numId="32">
    <w:abstractNumId w:val="26"/>
  </w:num>
  <w:num w:numId="33">
    <w:abstractNumId w:val="14"/>
  </w:num>
  <w:num w:numId="34">
    <w:abstractNumId w:val="5"/>
  </w:num>
  <w:num w:numId="35">
    <w:abstractNumId w:val="24"/>
  </w:num>
  <w:num w:numId="36">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94" w:hanging="434"/>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7">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8">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9">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0">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1">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2">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3">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4">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6">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7">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1" w:hanging="491"/>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8">
    <w:abstractNumId w:val="34"/>
  </w:num>
  <w:num w:numId="4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B99"/>
    <w:rsid w:val="00007DBC"/>
    <w:rsid w:val="00007EA1"/>
    <w:rsid w:val="000100F0"/>
    <w:rsid w:val="00011D09"/>
    <w:rsid w:val="00012FF9"/>
    <w:rsid w:val="00014314"/>
    <w:rsid w:val="000154E4"/>
    <w:rsid w:val="00021434"/>
    <w:rsid w:val="00021774"/>
    <w:rsid w:val="00021DF3"/>
    <w:rsid w:val="00023869"/>
    <w:rsid w:val="00024598"/>
    <w:rsid w:val="000266AD"/>
    <w:rsid w:val="0003102A"/>
    <w:rsid w:val="00032769"/>
    <w:rsid w:val="00037574"/>
    <w:rsid w:val="00037B58"/>
    <w:rsid w:val="000516A4"/>
    <w:rsid w:val="00051B73"/>
    <w:rsid w:val="00055F29"/>
    <w:rsid w:val="00057B52"/>
    <w:rsid w:val="00057FB8"/>
    <w:rsid w:val="00060ABE"/>
    <w:rsid w:val="00061A50"/>
    <w:rsid w:val="00064104"/>
    <w:rsid w:val="00066025"/>
    <w:rsid w:val="000701D1"/>
    <w:rsid w:val="000747C0"/>
    <w:rsid w:val="00080A20"/>
    <w:rsid w:val="00082796"/>
    <w:rsid w:val="00082FBE"/>
    <w:rsid w:val="00087C0A"/>
    <w:rsid w:val="00093BC4"/>
    <w:rsid w:val="00094A0E"/>
    <w:rsid w:val="0009615A"/>
    <w:rsid w:val="00097603"/>
    <w:rsid w:val="00097929"/>
    <w:rsid w:val="000A04C5"/>
    <w:rsid w:val="000A1E80"/>
    <w:rsid w:val="000A38B7"/>
    <w:rsid w:val="000A3B70"/>
    <w:rsid w:val="000A5153"/>
    <w:rsid w:val="000A6E4C"/>
    <w:rsid w:val="000B0007"/>
    <w:rsid w:val="000B10AE"/>
    <w:rsid w:val="000B2F04"/>
    <w:rsid w:val="000B30BF"/>
    <w:rsid w:val="000B4A78"/>
    <w:rsid w:val="000B566B"/>
    <w:rsid w:val="000B662E"/>
    <w:rsid w:val="000B6695"/>
    <w:rsid w:val="000B7294"/>
    <w:rsid w:val="000B75D0"/>
    <w:rsid w:val="000C1CF8"/>
    <w:rsid w:val="000C49CF"/>
    <w:rsid w:val="000C52E9"/>
    <w:rsid w:val="000C5CDC"/>
    <w:rsid w:val="000C65DC"/>
    <w:rsid w:val="000C66F3"/>
    <w:rsid w:val="000C6900"/>
    <w:rsid w:val="000D31E8"/>
    <w:rsid w:val="000D351A"/>
    <w:rsid w:val="000D76E4"/>
    <w:rsid w:val="000E12C4"/>
    <w:rsid w:val="000E3816"/>
    <w:rsid w:val="000E460B"/>
    <w:rsid w:val="000E4F77"/>
    <w:rsid w:val="000F265C"/>
    <w:rsid w:val="000F293F"/>
    <w:rsid w:val="000F3AFA"/>
    <w:rsid w:val="000F5712"/>
    <w:rsid w:val="000F6611"/>
    <w:rsid w:val="000F7E22"/>
    <w:rsid w:val="00101529"/>
    <w:rsid w:val="0010355A"/>
    <w:rsid w:val="001104F3"/>
    <w:rsid w:val="00112EEB"/>
    <w:rsid w:val="00120C8E"/>
    <w:rsid w:val="00121BF0"/>
    <w:rsid w:val="0012563A"/>
    <w:rsid w:val="001313A7"/>
    <w:rsid w:val="0013276F"/>
    <w:rsid w:val="0013621E"/>
    <w:rsid w:val="0013642E"/>
    <w:rsid w:val="001418EE"/>
    <w:rsid w:val="001427B4"/>
    <w:rsid w:val="00152A23"/>
    <w:rsid w:val="00162CB7"/>
    <w:rsid w:val="00171E5B"/>
    <w:rsid w:val="00171F94"/>
    <w:rsid w:val="00175D4E"/>
    <w:rsid w:val="0017668A"/>
    <w:rsid w:val="001766FE"/>
    <w:rsid w:val="00176F0C"/>
    <w:rsid w:val="001771E7"/>
    <w:rsid w:val="001815DD"/>
    <w:rsid w:val="00187C3B"/>
    <w:rsid w:val="001911FF"/>
    <w:rsid w:val="00192006"/>
    <w:rsid w:val="00193180"/>
    <w:rsid w:val="0019378E"/>
    <w:rsid w:val="001A7D79"/>
    <w:rsid w:val="001B1519"/>
    <w:rsid w:val="001B2E2D"/>
    <w:rsid w:val="001B3C13"/>
    <w:rsid w:val="001B5CD2"/>
    <w:rsid w:val="001C0BEE"/>
    <w:rsid w:val="001C1E49"/>
    <w:rsid w:val="001C2A98"/>
    <w:rsid w:val="001C5780"/>
    <w:rsid w:val="001D1945"/>
    <w:rsid w:val="001D3055"/>
    <w:rsid w:val="001D3D7D"/>
    <w:rsid w:val="001D3FFF"/>
    <w:rsid w:val="001D625F"/>
    <w:rsid w:val="001D7576"/>
    <w:rsid w:val="001E0915"/>
    <w:rsid w:val="001E1344"/>
    <w:rsid w:val="001E14A0"/>
    <w:rsid w:val="001E56FE"/>
    <w:rsid w:val="001E7376"/>
    <w:rsid w:val="001F0D8B"/>
    <w:rsid w:val="001F225C"/>
    <w:rsid w:val="001F292B"/>
    <w:rsid w:val="00201BD7"/>
    <w:rsid w:val="00201CFA"/>
    <w:rsid w:val="0020220D"/>
    <w:rsid w:val="00202448"/>
    <w:rsid w:val="00202D15"/>
    <w:rsid w:val="002047C7"/>
    <w:rsid w:val="002104EE"/>
    <w:rsid w:val="00210630"/>
    <w:rsid w:val="00210F3B"/>
    <w:rsid w:val="00212EAE"/>
    <w:rsid w:val="00214BEE"/>
    <w:rsid w:val="002205B8"/>
    <w:rsid w:val="00220616"/>
    <w:rsid w:val="00222C91"/>
    <w:rsid w:val="00225720"/>
    <w:rsid w:val="002259E5"/>
    <w:rsid w:val="00226140"/>
    <w:rsid w:val="002274F3"/>
    <w:rsid w:val="0023094C"/>
    <w:rsid w:val="002335D2"/>
    <w:rsid w:val="00234BE3"/>
    <w:rsid w:val="00235A90"/>
    <w:rsid w:val="00241E48"/>
    <w:rsid w:val="0024214E"/>
    <w:rsid w:val="00242623"/>
    <w:rsid w:val="00242EBA"/>
    <w:rsid w:val="002445C3"/>
    <w:rsid w:val="00250558"/>
    <w:rsid w:val="002511D4"/>
    <w:rsid w:val="0025315F"/>
    <w:rsid w:val="00257137"/>
    <w:rsid w:val="00257CCC"/>
    <w:rsid w:val="00260652"/>
    <w:rsid w:val="00260662"/>
    <w:rsid w:val="00261F25"/>
    <w:rsid w:val="002648A9"/>
    <w:rsid w:val="0026536F"/>
    <w:rsid w:val="0026553C"/>
    <w:rsid w:val="00267DD5"/>
    <w:rsid w:val="002700B1"/>
    <w:rsid w:val="00274A0A"/>
    <w:rsid w:val="00277593"/>
    <w:rsid w:val="00280918"/>
    <w:rsid w:val="00280B90"/>
    <w:rsid w:val="00281752"/>
    <w:rsid w:val="00282AF6"/>
    <w:rsid w:val="00287085"/>
    <w:rsid w:val="002879FF"/>
    <w:rsid w:val="00290AF9"/>
    <w:rsid w:val="00294834"/>
    <w:rsid w:val="002967CF"/>
    <w:rsid w:val="00297788"/>
    <w:rsid w:val="002A231D"/>
    <w:rsid w:val="002A390C"/>
    <w:rsid w:val="002A484B"/>
    <w:rsid w:val="002A5FF7"/>
    <w:rsid w:val="002A64A6"/>
    <w:rsid w:val="002B3EEB"/>
    <w:rsid w:val="002B6FE1"/>
    <w:rsid w:val="002C1FD8"/>
    <w:rsid w:val="002C311A"/>
    <w:rsid w:val="002C47D4"/>
    <w:rsid w:val="002C634B"/>
    <w:rsid w:val="002D0F38"/>
    <w:rsid w:val="002D77E3"/>
    <w:rsid w:val="002E7A73"/>
    <w:rsid w:val="002F2859"/>
    <w:rsid w:val="002F28FE"/>
    <w:rsid w:val="002F2AB7"/>
    <w:rsid w:val="002F59FA"/>
    <w:rsid w:val="002F6E3C"/>
    <w:rsid w:val="003010A1"/>
    <w:rsid w:val="0030117D"/>
    <w:rsid w:val="00301F30"/>
    <w:rsid w:val="00303C87"/>
    <w:rsid w:val="003077A8"/>
    <w:rsid w:val="003108E5"/>
    <w:rsid w:val="003120CB"/>
    <w:rsid w:val="00320153"/>
    <w:rsid w:val="00320367"/>
    <w:rsid w:val="00322871"/>
    <w:rsid w:val="00326FB3"/>
    <w:rsid w:val="00330F5F"/>
    <w:rsid w:val="003316D4"/>
    <w:rsid w:val="00333822"/>
    <w:rsid w:val="00333AAD"/>
    <w:rsid w:val="00334E8F"/>
    <w:rsid w:val="00336715"/>
    <w:rsid w:val="00340DFD"/>
    <w:rsid w:val="003414BA"/>
    <w:rsid w:val="00344954"/>
    <w:rsid w:val="003458A4"/>
    <w:rsid w:val="00350CD7"/>
    <w:rsid w:val="00352CBB"/>
    <w:rsid w:val="00360C17"/>
    <w:rsid w:val="003621C6"/>
    <w:rsid w:val="003622B8"/>
    <w:rsid w:val="00362B16"/>
    <w:rsid w:val="00365F2B"/>
    <w:rsid w:val="00366256"/>
    <w:rsid w:val="00366B76"/>
    <w:rsid w:val="0036797F"/>
    <w:rsid w:val="00371098"/>
    <w:rsid w:val="0037163E"/>
    <w:rsid w:val="00373051"/>
    <w:rsid w:val="00373B8F"/>
    <w:rsid w:val="00376D95"/>
    <w:rsid w:val="00377FBB"/>
    <w:rsid w:val="00385140"/>
    <w:rsid w:val="003865E1"/>
    <w:rsid w:val="003905F4"/>
    <w:rsid w:val="003957B4"/>
    <w:rsid w:val="003A06D9"/>
    <w:rsid w:val="003A0B59"/>
    <w:rsid w:val="003A16FC"/>
    <w:rsid w:val="003A4FCD"/>
    <w:rsid w:val="003B0944"/>
    <w:rsid w:val="003B1593"/>
    <w:rsid w:val="003B21B0"/>
    <w:rsid w:val="003B4381"/>
    <w:rsid w:val="003C1043"/>
    <w:rsid w:val="003C1A30"/>
    <w:rsid w:val="003C3173"/>
    <w:rsid w:val="003C3D37"/>
    <w:rsid w:val="003C6779"/>
    <w:rsid w:val="003C70BB"/>
    <w:rsid w:val="003D0DEC"/>
    <w:rsid w:val="003D2998"/>
    <w:rsid w:val="003D2F0A"/>
    <w:rsid w:val="003D3891"/>
    <w:rsid w:val="003D5D84"/>
    <w:rsid w:val="003D71BA"/>
    <w:rsid w:val="003E0D6E"/>
    <w:rsid w:val="003E0F4F"/>
    <w:rsid w:val="003E18AC"/>
    <w:rsid w:val="003E210B"/>
    <w:rsid w:val="003E2A12"/>
    <w:rsid w:val="003E3384"/>
    <w:rsid w:val="003E45A1"/>
    <w:rsid w:val="003E548E"/>
    <w:rsid w:val="003E561E"/>
    <w:rsid w:val="003F0396"/>
    <w:rsid w:val="003F3300"/>
    <w:rsid w:val="003F5386"/>
    <w:rsid w:val="00405D2F"/>
    <w:rsid w:val="00407674"/>
    <w:rsid w:val="00407A80"/>
    <w:rsid w:val="00413104"/>
    <w:rsid w:val="00413E5D"/>
    <w:rsid w:val="004148E1"/>
    <w:rsid w:val="00414CFA"/>
    <w:rsid w:val="00420BE9"/>
    <w:rsid w:val="00423076"/>
    <w:rsid w:val="00423AD8"/>
    <w:rsid w:val="00424C85"/>
    <w:rsid w:val="004260BD"/>
    <w:rsid w:val="0043012F"/>
    <w:rsid w:val="00430F1F"/>
    <w:rsid w:val="004326EA"/>
    <w:rsid w:val="00432927"/>
    <w:rsid w:val="004359C5"/>
    <w:rsid w:val="00436378"/>
    <w:rsid w:val="00442722"/>
    <w:rsid w:val="00442A0B"/>
    <w:rsid w:val="00442F26"/>
    <w:rsid w:val="00443478"/>
    <w:rsid w:val="0044434C"/>
    <w:rsid w:val="0044456B"/>
    <w:rsid w:val="00447BD1"/>
    <w:rsid w:val="004507F3"/>
    <w:rsid w:val="00450AF4"/>
    <w:rsid w:val="0045714D"/>
    <w:rsid w:val="004628C0"/>
    <w:rsid w:val="004671C7"/>
    <w:rsid w:val="00472F4D"/>
    <w:rsid w:val="004730BF"/>
    <w:rsid w:val="004743A6"/>
    <w:rsid w:val="00474DCB"/>
    <w:rsid w:val="0047535C"/>
    <w:rsid w:val="00475C06"/>
    <w:rsid w:val="0048239F"/>
    <w:rsid w:val="004838B3"/>
    <w:rsid w:val="0048399F"/>
    <w:rsid w:val="00485870"/>
    <w:rsid w:val="00485FE8"/>
    <w:rsid w:val="00492EB5"/>
    <w:rsid w:val="00494F77"/>
    <w:rsid w:val="00497721"/>
    <w:rsid w:val="004A0229"/>
    <w:rsid w:val="004A35D2"/>
    <w:rsid w:val="004A48AB"/>
    <w:rsid w:val="004A71E4"/>
    <w:rsid w:val="004B2F00"/>
    <w:rsid w:val="004B6E31"/>
    <w:rsid w:val="004C1D66"/>
    <w:rsid w:val="004C31A0"/>
    <w:rsid w:val="004C31D7"/>
    <w:rsid w:val="004C4AD2"/>
    <w:rsid w:val="004C4CC8"/>
    <w:rsid w:val="004D1F21"/>
    <w:rsid w:val="004D59D8"/>
    <w:rsid w:val="004D5DA1"/>
    <w:rsid w:val="004D68CC"/>
    <w:rsid w:val="004D6945"/>
    <w:rsid w:val="004E07C5"/>
    <w:rsid w:val="004E150F"/>
    <w:rsid w:val="004E1DCA"/>
    <w:rsid w:val="004E23A1"/>
    <w:rsid w:val="004E3489"/>
    <w:rsid w:val="004E358A"/>
    <w:rsid w:val="004E3AFA"/>
    <w:rsid w:val="004E6588"/>
    <w:rsid w:val="004F0D93"/>
    <w:rsid w:val="004F2592"/>
    <w:rsid w:val="005000DD"/>
    <w:rsid w:val="00502A0A"/>
    <w:rsid w:val="00507C50"/>
    <w:rsid w:val="00517C3A"/>
    <w:rsid w:val="0052120F"/>
    <w:rsid w:val="00527BF4"/>
    <w:rsid w:val="005324BE"/>
    <w:rsid w:val="00534913"/>
    <w:rsid w:val="00534F6C"/>
    <w:rsid w:val="00535994"/>
    <w:rsid w:val="0053646D"/>
    <w:rsid w:val="00540AAD"/>
    <w:rsid w:val="00543EC1"/>
    <w:rsid w:val="00546458"/>
    <w:rsid w:val="0055087C"/>
    <w:rsid w:val="00553413"/>
    <w:rsid w:val="00557086"/>
    <w:rsid w:val="0055746F"/>
    <w:rsid w:val="00560E31"/>
    <w:rsid w:val="00561587"/>
    <w:rsid w:val="00565836"/>
    <w:rsid w:val="00575768"/>
    <w:rsid w:val="005770B6"/>
    <w:rsid w:val="00581B23"/>
    <w:rsid w:val="0058219C"/>
    <w:rsid w:val="0058707F"/>
    <w:rsid w:val="00587FB7"/>
    <w:rsid w:val="005931FE"/>
    <w:rsid w:val="00595415"/>
    <w:rsid w:val="005A7919"/>
    <w:rsid w:val="005B0072"/>
    <w:rsid w:val="005B0732"/>
    <w:rsid w:val="005B38A0"/>
    <w:rsid w:val="005B491C"/>
    <w:rsid w:val="005B4DBF"/>
    <w:rsid w:val="005B5DE2"/>
    <w:rsid w:val="005B674C"/>
    <w:rsid w:val="005C4C3C"/>
    <w:rsid w:val="005C7561"/>
    <w:rsid w:val="005D1E57"/>
    <w:rsid w:val="005D2F57"/>
    <w:rsid w:val="005D34F6"/>
    <w:rsid w:val="005D4F1A"/>
    <w:rsid w:val="005E1884"/>
    <w:rsid w:val="005E35D5"/>
    <w:rsid w:val="005F373A"/>
    <w:rsid w:val="005F4F87"/>
    <w:rsid w:val="005F6B0E"/>
    <w:rsid w:val="005F760E"/>
    <w:rsid w:val="005F7B1D"/>
    <w:rsid w:val="0060222A"/>
    <w:rsid w:val="00610C21"/>
    <w:rsid w:val="00611907"/>
    <w:rsid w:val="00613116"/>
    <w:rsid w:val="006177E8"/>
    <w:rsid w:val="006202A6"/>
    <w:rsid w:val="0062054B"/>
    <w:rsid w:val="00621C4E"/>
    <w:rsid w:val="00621D78"/>
    <w:rsid w:val="00624EAE"/>
    <w:rsid w:val="00626AFB"/>
    <w:rsid w:val="006305D7"/>
    <w:rsid w:val="00631AD5"/>
    <w:rsid w:val="00633A01"/>
    <w:rsid w:val="00633B97"/>
    <w:rsid w:val="006341F7"/>
    <w:rsid w:val="00634203"/>
    <w:rsid w:val="00634692"/>
    <w:rsid w:val="00635014"/>
    <w:rsid w:val="006369CE"/>
    <w:rsid w:val="006411CA"/>
    <w:rsid w:val="006619C8"/>
    <w:rsid w:val="006620D2"/>
    <w:rsid w:val="0067075E"/>
    <w:rsid w:val="006707A9"/>
    <w:rsid w:val="00671710"/>
    <w:rsid w:val="00673414"/>
    <w:rsid w:val="0067533C"/>
    <w:rsid w:val="00676079"/>
    <w:rsid w:val="00676ECD"/>
    <w:rsid w:val="00677D0A"/>
    <w:rsid w:val="00680CAE"/>
    <w:rsid w:val="0068185F"/>
    <w:rsid w:val="0068485E"/>
    <w:rsid w:val="00685E91"/>
    <w:rsid w:val="006A01CF"/>
    <w:rsid w:val="006A60DD"/>
    <w:rsid w:val="006A7204"/>
    <w:rsid w:val="006B074C"/>
    <w:rsid w:val="006B3B84"/>
    <w:rsid w:val="006B46DF"/>
    <w:rsid w:val="006B4E7C"/>
    <w:rsid w:val="006B5D8C"/>
    <w:rsid w:val="006B72D4"/>
    <w:rsid w:val="006C11CC"/>
    <w:rsid w:val="006C1AEB"/>
    <w:rsid w:val="006C57FE"/>
    <w:rsid w:val="006D02F2"/>
    <w:rsid w:val="006D4DC5"/>
    <w:rsid w:val="006E3982"/>
    <w:rsid w:val="006E3BDB"/>
    <w:rsid w:val="006E44DA"/>
    <w:rsid w:val="006E4B63"/>
    <w:rsid w:val="006E7F11"/>
    <w:rsid w:val="006F06E4"/>
    <w:rsid w:val="006F2F9C"/>
    <w:rsid w:val="006F4311"/>
    <w:rsid w:val="006F7144"/>
    <w:rsid w:val="006F7B41"/>
    <w:rsid w:val="00702B5D"/>
    <w:rsid w:val="00703ED2"/>
    <w:rsid w:val="00707B8D"/>
    <w:rsid w:val="00713636"/>
    <w:rsid w:val="00714B8C"/>
    <w:rsid w:val="0071675D"/>
    <w:rsid w:val="00717D0F"/>
    <w:rsid w:val="00721B5C"/>
    <w:rsid w:val="00725288"/>
    <w:rsid w:val="00725AEE"/>
    <w:rsid w:val="00735CF5"/>
    <w:rsid w:val="0074063A"/>
    <w:rsid w:val="007429EF"/>
    <w:rsid w:val="00742AA4"/>
    <w:rsid w:val="00743BA1"/>
    <w:rsid w:val="00745F1E"/>
    <w:rsid w:val="007515FE"/>
    <w:rsid w:val="0075762D"/>
    <w:rsid w:val="007601D0"/>
    <w:rsid w:val="0076109D"/>
    <w:rsid w:val="007621BA"/>
    <w:rsid w:val="00766DAD"/>
    <w:rsid w:val="00767107"/>
    <w:rsid w:val="00770E59"/>
    <w:rsid w:val="00773BFD"/>
    <w:rsid w:val="007743B3"/>
    <w:rsid w:val="00774490"/>
    <w:rsid w:val="007819FF"/>
    <w:rsid w:val="00784A4C"/>
    <w:rsid w:val="00784BC6"/>
    <w:rsid w:val="0078523D"/>
    <w:rsid w:val="00786B77"/>
    <w:rsid w:val="007931DF"/>
    <w:rsid w:val="007A0172"/>
    <w:rsid w:val="007A2511"/>
    <w:rsid w:val="007A260E"/>
    <w:rsid w:val="007A4D4C"/>
    <w:rsid w:val="007A4DD6"/>
    <w:rsid w:val="007A5CB9"/>
    <w:rsid w:val="007A6F60"/>
    <w:rsid w:val="007B09B0"/>
    <w:rsid w:val="007B4D3A"/>
    <w:rsid w:val="007B6B07"/>
    <w:rsid w:val="007B6D43"/>
    <w:rsid w:val="007B749A"/>
    <w:rsid w:val="007B7C6E"/>
    <w:rsid w:val="007D44D7"/>
    <w:rsid w:val="007D621A"/>
    <w:rsid w:val="007E058A"/>
    <w:rsid w:val="007E2887"/>
    <w:rsid w:val="007E2C9A"/>
    <w:rsid w:val="007E5278"/>
    <w:rsid w:val="007E749C"/>
    <w:rsid w:val="007F1B5C"/>
    <w:rsid w:val="00800445"/>
    <w:rsid w:val="008011DE"/>
    <w:rsid w:val="00801257"/>
    <w:rsid w:val="00803B0A"/>
    <w:rsid w:val="00803D15"/>
    <w:rsid w:val="00804DED"/>
    <w:rsid w:val="00805B96"/>
    <w:rsid w:val="008105BE"/>
    <w:rsid w:val="00810955"/>
    <w:rsid w:val="008115A5"/>
    <w:rsid w:val="00811D46"/>
    <w:rsid w:val="0081415D"/>
    <w:rsid w:val="00820229"/>
    <w:rsid w:val="00822448"/>
    <w:rsid w:val="00822ABE"/>
    <w:rsid w:val="008231D4"/>
    <w:rsid w:val="008244D1"/>
    <w:rsid w:val="008252E0"/>
    <w:rsid w:val="00827F51"/>
    <w:rsid w:val="00830154"/>
    <w:rsid w:val="0083104E"/>
    <w:rsid w:val="008343BE"/>
    <w:rsid w:val="008343D0"/>
    <w:rsid w:val="00835432"/>
    <w:rsid w:val="00836E69"/>
    <w:rsid w:val="00840FB4"/>
    <w:rsid w:val="008410B2"/>
    <w:rsid w:val="00841FE7"/>
    <w:rsid w:val="008500A0"/>
    <w:rsid w:val="00850DF1"/>
    <w:rsid w:val="008524E5"/>
    <w:rsid w:val="0085351C"/>
    <w:rsid w:val="008549CA"/>
    <w:rsid w:val="008556C3"/>
    <w:rsid w:val="0085687C"/>
    <w:rsid w:val="008576AF"/>
    <w:rsid w:val="00870518"/>
    <w:rsid w:val="008706C5"/>
    <w:rsid w:val="00872E53"/>
    <w:rsid w:val="00873707"/>
    <w:rsid w:val="00874B20"/>
    <w:rsid w:val="008763E1"/>
    <w:rsid w:val="0087775C"/>
    <w:rsid w:val="00877D44"/>
    <w:rsid w:val="00877EC8"/>
    <w:rsid w:val="00880F36"/>
    <w:rsid w:val="00883059"/>
    <w:rsid w:val="00885530"/>
    <w:rsid w:val="008910D1"/>
    <w:rsid w:val="0089296C"/>
    <w:rsid w:val="00893DF6"/>
    <w:rsid w:val="00896ABD"/>
    <w:rsid w:val="008A3380"/>
    <w:rsid w:val="008A3A46"/>
    <w:rsid w:val="008A5DA3"/>
    <w:rsid w:val="008A7A9C"/>
    <w:rsid w:val="008B05F8"/>
    <w:rsid w:val="008B5218"/>
    <w:rsid w:val="008B7102"/>
    <w:rsid w:val="008C3B7D"/>
    <w:rsid w:val="008C51E8"/>
    <w:rsid w:val="008C7A62"/>
    <w:rsid w:val="008D08B9"/>
    <w:rsid w:val="008D0EFF"/>
    <w:rsid w:val="008D0F90"/>
    <w:rsid w:val="008D34EC"/>
    <w:rsid w:val="008D3715"/>
    <w:rsid w:val="008D433D"/>
    <w:rsid w:val="008D5465"/>
    <w:rsid w:val="008D7EB7"/>
    <w:rsid w:val="008E0900"/>
    <w:rsid w:val="008E1E48"/>
    <w:rsid w:val="008E3684"/>
    <w:rsid w:val="008E57F5"/>
    <w:rsid w:val="008E6A05"/>
    <w:rsid w:val="008E7606"/>
    <w:rsid w:val="008F1DAA"/>
    <w:rsid w:val="008F28DF"/>
    <w:rsid w:val="008F3C07"/>
    <w:rsid w:val="008F3EBD"/>
    <w:rsid w:val="008F5004"/>
    <w:rsid w:val="008F60B2"/>
    <w:rsid w:val="008F7C41"/>
    <w:rsid w:val="009031E2"/>
    <w:rsid w:val="00912385"/>
    <w:rsid w:val="0091276C"/>
    <w:rsid w:val="00915FBE"/>
    <w:rsid w:val="009165AC"/>
    <w:rsid w:val="0092053F"/>
    <w:rsid w:val="0092340A"/>
    <w:rsid w:val="00927FB7"/>
    <w:rsid w:val="009313D9"/>
    <w:rsid w:val="00935B7F"/>
    <w:rsid w:val="00941293"/>
    <w:rsid w:val="00946372"/>
    <w:rsid w:val="00950C17"/>
    <w:rsid w:val="00951FAF"/>
    <w:rsid w:val="00954740"/>
    <w:rsid w:val="00954FA8"/>
    <w:rsid w:val="00960B64"/>
    <w:rsid w:val="00963ABC"/>
    <w:rsid w:val="00965D21"/>
    <w:rsid w:val="00965D8F"/>
    <w:rsid w:val="00965DC6"/>
    <w:rsid w:val="009674E9"/>
    <w:rsid w:val="00967764"/>
    <w:rsid w:val="00970B0E"/>
    <w:rsid w:val="00970BB9"/>
    <w:rsid w:val="009726EE"/>
    <w:rsid w:val="00975573"/>
    <w:rsid w:val="00976D03"/>
    <w:rsid w:val="00977B30"/>
    <w:rsid w:val="00981355"/>
    <w:rsid w:val="00982217"/>
    <w:rsid w:val="0098244F"/>
    <w:rsid w:val="00982F41"/>
    <w:rsid w:val="00985090"/>
    <w:rsid w:val="00987710"/>
    <w:rsid w:val="009904AB"/>
    <w:rsid w:val="0099557B"/>
    <w:rsid w:val="00995688"/>
    <w:rsid w:val="009958A6"/>
    <w:rsid w:val="00996456"/>
    <w:rsid w:val="009A0048"/>
    <w:rsid w:val="009A04F5"/>
    <w:rsid w:val="009A078E"/>
    <w:rsid w:val="009A15EF"/>
    <w:rsid w:val="009A2890"/>
    <w:rsid w:val="009A38A5"/>
    <w:rsid w:val="009B118B"/>
    <w:rsid w:val="009B1737"/>
    <w:rsid w:val="009B1E5B"/>
    <w:rsid w:val="009B2360"/>
    <w:rsid w:val="009B3D4B"/>
    <w:rsid w:val="009B498C"/>
    <w:rsid w:val="009B5B99"/>
    <w:rsid w:val="009B6EFC"/>
    <w:rsid w:val="009B76FA"/>
    <w:rsid w:val="009C0F76"/>
    <w:rsid w:val="009C2DF8"/>
    <w:rsid w:val="009C31BF"/>
    <w:rsid w:val="009C68B7"/>
    <w:rsid w:val="009D0834"/>
    <w:rsid w:val="009D0A1E"/>
    <w:rsid w:val="009D2AE3"/>
    <w:rsid w:val="009D52BC"/>
    <w:rsid w:val="009D7D0A"/>
    <w:rsid w:val="009E09D9"/>
    <w:rsid w:val="009E3DC3"/>
    <w:rsid w:val="009E41C9"/>
    <w:rsid w:val="009E7BE4"/>
    <w:rsid w:val="009F01B1"/>
    <w:rsid w:val="009F0DBB"/>
    <w:rsid w:val="009F1F52"/>
    <w:rsid w:val="009F37F6"/>
    <w:rsid w:val="009F3887"/>
    <w:rsid w:val="009F4CA9"/>
    <w:rsid w:val="009F63EA"/>
    <w:rsid w:val="009F732B"/>
    <w:rsid w:val="00A001A1"/>
    <w:rsid w:val="00A01923"/>
    <w:rsid w:val="00A01FE0"/>
    <w:rsid w:val="00A02401"/>
    <w:rsid w:val="00A02DD7"/>
    <w:rsid w:val="00A043CE"/>
    <w:rsid w:val="00A10656"/>
    <w:rsid w:val="00A113C0"/>
    <w:rsid w:val="00A11E05"/>
    <w:rsid w:val="00A12FA6"/>
    <w:rsid w:val="00A1339B"/>
    <w:rsid w:val="00A14ABA"/>
    <w:rsid w:val="00A15B49"/>
    <w:rsid w:val="00A15F41"/>
    <w:rsid w:val="00A2029E"/>
    <w:rsid w:val="00A24CB6"/>
    <w:rsid w:val="00A26CD2"/>
    <w:rsid w:val="00A27667"/>
    <w:rsid w:val="00A32979"/>
    <w:rsid w:val="00A34A67"/>
    <w:rsid w:val="00A3701D"/>
    <w:rsid w:val="00A37462"/>
    <w:rsid w:val="00A43878"/>
    <w:rsid w:val="00A459E1"/>
    <w:rsid w:val="00A51259"/>
    <w:rsid w:val="00A52296"/>
    <w:rsid w:val="00A55661"/>
    <w:rsid w:val="00A61B70"/>
    <w:rsid w:val="00A61FA8"/>
    <w:rsid w:val="00A637F4"/>
    <w:rsid w:val="00A65485"/>
    <w:rsid w:val="00A65657"/>
    <w:rsid w:val="00A66E05"/>
    <w:rsid w:val="00A70753"/>
    <w:rsid w:val="00A712D2"/>
    <w:rsid w:val="00A72EC2"/>
    <w:rsid w:val="00A73E62"/>
    <w:rsid w:val="00A74665"/>
    <w:rsid w:val="00A7731F"/>
    <w:rsid w:val="00A82C8A"/>
    <w:rsid w:val="00A8346B"/>
    <w:rsid w:val="00A839B3"/>
    <w:rsid w:val="00A852FF"/>
    <w:rsid w:val="00A85B3A"/>
    <w:rsid w:val="00A862E4"/>
    <w:rsid w:val="00A87337"/>
    <w:rsid w:val="00A90C97"/>
    <w:rsid w:val="00A960C8"/>
    <w:rsid w:val="00A96604"/>
    <w:rsid w:val="00AA03DF"/>
    <w:rsid w:val="00AA1B4F"/>
    <w:rsid w:val="00AA21D8"/>
    <w:rsid w:val="00AA2CAE"/>
    <w:rsid w:val="00AA54F3"/>
    <w:rsid w:val="00AA6259"/>
    <w:rsid w:val="00AA6B43"/>
    <w:rsid w:val="00AB0028"/>
    <w:rsid w:val="00AB367A"/>
    <w:rsid w:val="00AC01D1"/>
    <w:rsid w:val="00AC06A1"/>
    <w:rsid w:val="00AC402E"/>
    <w:rsid w:val="00AC52A5"/>
    <w:rsid w:val="00AC6BD5"/>
    <w:rsid w:val="00AC6EFD"/>
    <w:rsid w:val="00AC7151"/>
    <w:rsid w:val="00AD460A"/>
    <w:rsid w:val="00AD6A05"/>
    <w:rsid w:val="00AE272B"/>
    <w:rsid w:val="00AE2995"/>
    <w:rsid w:val="00AE3E3A"/>
    <w:rsid w:val="00AE5DBB"/>
    <w:rsid w:val="00AE77B4"/>
    <w:rsid w:val="00AE7C1A"/>
    <w:rsid w:val="00AE7DF8"/>
    <w:rsid w:val="00AF0D9C"/>
    <w:rsid w:val="00AF13AB"/>
    <w:rsid w:val="00AF1D36"/>
    <w:rsid w:val="00AF280B"/>
    <w:rsid w:val="00AF5F75"/>
    <w:rsid w:val="00AF6001"/>
    <w:rsid w:val="00AF7731"/>
    <w:rsid w:val="00B01A16"/>
    <w:rsid w:val="00B03A63"/>
    <w:rsid w:val="00B07F45"/>
    <w:rsid w:val="00B1021A"/>
    <w:rsid w:val="00B1481A"/>
    <w:rsid w:val="00B15A1F"/>
    <w:rsid w:val="00B15FE9"/>
    <w:rsid w:val="00B2148A"/>
    <w:rsid w:val="00B220C2"/>
    <w:rsid w:val="00B24646"/>
    <w:rsid w:val="00B25B32"/>
    <w:rsid w:val="00B32616"/>
    <w:rsid w:val="00B328FE"/>
    <w:rsid w:val="00B336EC"/>
    <w:rsid w:val="00B36C42"/>
    <w:rsid w:val="00B40626"/>
    <w:rsid w:val="00B42356"/>
    <w:rsid w:val="00B42EA7"/>
    <w:rsid w:val="00B5337C"/>
    <w:rsid w:val="00B53FDE"/>
    <w:rsid w:val="00B56397"/>
    <w:rsid w:val="00B60135"/>
    <w:rsid w:val="00B6027B"/>
    <w:rsid w:val="00B611F2"/>
    <w:rsid w:val="00B65EDB"/>
    <w:rsid w:val="00B6763E"/>
    <w:rsid w:val="00B67A64"/>
    <w:rsid w:val="00B67AFF"/>
    <w:rsid w:val="00B70B59"/>
    <w:rsid w:val="00B73657"/>
    <w:rsid w:val="00B73D8A"/>
    <w:rsid w:val="00B7437F"/>
    <w:rsid w:val="00B74613"/>
    <w:rsid w:val="00B825D9"/>
    <w:rsid w:val="00B83F7B"/>
    <w:rsid w:val="00B86D23"/>
    <w:rsid w:val="00B96BAE"/>
    <w:rsid w:val="00BA0A29"/>
    <w:rsid w:val="00BA1735"/>
    <w:rsid w:val="00BA19FA"/>
    <w:rsid w:val="00BA319E"/>
    <w:rsid w:val="00BA4288"/>
    <w:rsid w:val="00BA5764"/>
    <w:rsid w:val="00BB48E5"/>
    <w:rsid w:val="00BB5607"/>
    <w:rsid w:val="00BB5ACA"/>
    <w:rsid w:val="00BB627F"/>
    <w:rsid w:val="00BB695D"/>
    <w:rsid w:val="00BC1194"/>
    <w:rsid w:val="00BC363B"/>
    <w:rsid w:val="00BC3823"/>
    <w:rsid w:val="00BC5841"/>
    <w:rsid w:val="00BC7AC2"/>
    <w:rsid w:val="00BD12C5"/>
    <w:rsid w:val="00BD5519"/>
    <w:rsid w:val="00BD5BEC"/>
    <w:rsid w:val="00BD60B4"/>
    <w:rsid w:val="00BD796B"/>
    <w:rsid w:val="00BE050A"/>
    <w:rsid w:val="00BE1EBC"/>
    <w:rsid w:val="00BE340D"/>
    <w:rsid w:val="00BE40C0"/>
    <w:rsid w:val="00BE5F4A"/>
    <w:rsid w:val="00BE7AEF"/>
    <w:rsid w:val="00BF09B0"/>
    <w:rsid w:val="00BF1544"/>
    <w:rsid w:val="00BF1B53"/>
    <w:rsid w:val="00BF246D"/>
    <w:rsid w:val="00BF4B14"/>
    <w:rsid w:val="00C031E1"/>
    <w:rsid w:val="00C06F06"/>
    <w:rsid w:val="00C17A67"/>
    <w:rsid w:val="00C20FAD"/>
    <w:rsid w:val="00C2375F"/>
    <w:rsid w:val="00C247CB"/>
    <w:rsid w:val="00C31F52"/>
    <w:rsid w:val="00C32E66"/>
    <w:rsid w:val="00C3355F"/>
    <w:rsid w:val="00C3569A"/>
    <w:rsid w:val="00C35B35"/>
    <w:rsid w:val="00C40CFE"/>
    <w:rsid w:val="00C43F48"/>
    <w:rsid w:val="00C448FF"/>
    <w:rsid w:val="00C45E57"/>
    <w:rsid w:val="00C52F29"/>
    <w:rsid w:val="00C56CE6"/>
    <w:rsid w:val="00C5745F"/>
    <w:rsid w:val="00C60005"/>
    <w:rsid w:val="00C61A98"/>
    <w:rsid w:val="00C63201"/>
    <w:rsid w:val="00C64A9E"/>
    <w:rsid w:val="00C64E62"/>
    <w:rsid w:val="00C651D5"/>
    <w:rsid w:val="00C65CCC"/>
    <w:rsid w:val="00C65D5B"/>
    <w:rsid w:val="00C733EA"/>
    <w:rsid w:val="00C7618F"/>
    <w:rsid w:val="00C765A9"/>
    <w:rsid w:val="00C76A18"/>
    <w:rsid w:val="00C8162D"/>
    <w:rsid w:val="00C83A0B"/>
    <w:rsid w:val="00C842D0"/>
    <w:rsid w:val="00C84ED1"/>
    <w:rsid w:val="00C9038F"/>
    <w:rsid w:val="00C92AAB"/>
    <w:rsid w:val="00C94535"/>
    <w:rsid w:val="00C945C0"/>
    <w:rsid w:val="00CA2435"/>
    <w:rsid w:val="00CA4068"/>
    <w:rsid w:val="00CA65F3"/>
    <w:rsid w:val="00CB1DA7"/>
    <w:rsid w:val="00CB2052"/>
    <w:rsid w:val="00CB37F8"/>
    <w:rsid w:val="00CB5CB1"/>
    <w:rsid w:val="00CB7DC3"/>
    <w:rsid w:val="00CC039C"/>
    <w:rsid w:val="00CC0A26"/>
    <w:rsid w:val="00CC542D"/>
    <w:rsid w:val="00CD0E2F"/>
    <w:rsid w:val="00CD1D49"/>
    <w:rsid w:val="00CD266B"/>
    <w:rsid w:val="00CD2F20"/>
    <w:rsid w:val="00CD4697"/>
    <w:rsid w:val="00CD6B20"/>
    <w:rsid w:val="00CE1339"/>
    <w:rsid w:val="00CE2AD3"/>
    <w:rsid w:val="00CE61CC"/>
    <w:rsid w:val="00CE6E42"/>
    <w:rsid w:val="00CF15CC"/>
    <w:rsid w:val="00CF20B7"/>
    <w:rsid w:val="00CF6692"/>
    <w:rsid w:val="00CF7441"/>
    <w:rsid w:val="00D00D16"/>
    <w:rsid w:val="00D03C6C"/>
    <w:rsid w:val="00D04760"/>
    <w:rsid w:val="00D04A95"/>
    <w:rsid w:val="00D06288"/>
    <w:rsid w:val="00D068C7"/>
    <w:rsid w:val="00D12592"/>
    <w:rsid w:val="00D128A4"/>
    <w:rsid w:val="00D134A3"/>
    <w:rsid w:val="00D150FA"/>
    <w:rsid w:val="00D15131"/>
    <w:rsid w:val="00D16FA2"/>
    <w:rsid w:val="00D20954"/>
    <w:rsid w:val="00D20C8C"/>
    <w:rsid w:val="00D2176F"/>
    <w:rsid w:val="00D21C39"/>
    <w:rsid w:val="00D21FC6"/>
    <w:rsid w:val="00D2243A"/>
    <w:rsid w:val="00D3307D"/>
    <w:rsid w:val="00D33393"/>
    <w:rsid w:val="00D33D36"/>
    <w:rsid w:val="00D34D94"/>
    <w:rsid w:val="00D409E2"/>
    <w:rsid w:val="00D40BB4"/>
    <w:rsid w:val="00D427D7"/>
    <w:rsid w:val="00D4424C"/>
    <w:rsid w:val="00D44A98"/>
    <w:rsid w:val="00D44E62"/>
    <w:rsid w:val="00D51570"/>
    <w:rsid w:val="00D53797"/>
    <w:rsid w:val="00D556AD"/>
    <w:rsid w:val="00D60381"/>
    <w:rsid w:val="00D616DE"/>
    <w:rsid w:val="00D62201"/>
    <w:rsid w:val="00D6403F"/>
    <w:rsid w:val="00D651D1"/>
    <w:rsid w:val="00D717BB"/>
    <w:rsid w:val="00D7226B"/>
    <w:rsid w:val="00D72707"/>
    <w:rsid w:val="00D7599C"/>
    <w:rsid w:val="00D75A9C"/>
    <w:rsid w:val="00D86C30"/>
    <w:rsid w:val="00D90871"/>
    <w:rsid w:val="00D9155F"/>
    <w:rsid w:val="00D91ED0"/>
    <w:rsid w:val="00D92B63"/>
    <w:rsid w:val="00D9403F"/>
    <w:rsid w:val="00D959B4"/>
    <w:rsid w:val="00DA2F20"/>
    <w:rsid w:val="00DA44DE"/>
    <w:rsid w:val="00DA7966"/>
    <w:rsid w:val="00DB50EE"/>
    <w:rsid w:val="00DB620A"/>
    <w:rsid w:val="00DC047B"/>
    <w:rsid w:val="00DC3832"/>
    <w:rsid w:val="00DC7A51"/>
    <w:rsid w:val="00DD3B1E"/>
    <w:rsid w:val="00DD7C6E"/>
    <w:rsid w:val="00DE5B5F"/>
    <w:rsid w:val="00E00696"/>
    <w:rsid w:val="00E03651"/>
    <w:rsid w:val="00E03808"/>
    <w:rsid w:val="00E03B1B"/>
    <w:rsid w:val="00E053CE"/>
    <w:rsid w:val="00E060C2"/>
    <w:rsid w:val="00E06324"/>
    <w:rsid w:val="00E06DFD"/>
    <w:rsid w:val="00E113DF"/>
    <w:rsid w:val="00E12FB0"/>
    <w:rsid w:val="00E14814"/>
    <w:rsid w:val="00E1591B"/>
    <w:rsid w:val="00E16A50"/>
    <w:rsid w:val="00E21431"/>
    <w:rsid w:val="00E249D5"/>
    <w:rsid w:val="00E25E61"/>
    <w:rsid w:val="00E26B85"/>
    <w:rsid w:val="00E26F73"/>
    <w:rsid w:val="00E323FE"/>
    <w:rsid w:val="00E33C68"/>
    <w:rsid w:val="00E34EEB"/>
    <w:rsid w:val="00E3687C"/>
    <w:rsid w:val="00E37D03"/>
    <w:rsid w:val="00E44EB9"/>
    <w:rsid w:val="00E46358"/>
    <w:rsid w:val="00E471DC"/>
    <w:rsid w:val="00E50EB4"/>
    <w:rsid w:val="00E532FC"/>
    <w:rsid w:val="00E54C52"/>
    <w:rsid w:val="00E559B4"/>
    <w:rsid w:val="00E55BB0"/>
    <w:rsid w:val="00E609E5"/>
    <w:rsid w:val="00E60F27"/>
    <w:rsid w:val="00E63EC4"/>
    <w:rsid w:val="00E6475A"/>
    <w:rsid w:val="00E64D93"/>
    <w:rsid w:val="00E65EDB"/>
    <w:rsid w:val="00E66927"/>
    <w:rsid w:val="00E677B8"/>
    <w:rsid w:val="00E67FA1"/>
    <w:rsid w:val="00E70F82"/>
    <w:rsid w:val="00E7387D"/>
    <w:rsid w:val="00E73D53"/>
    <w:rsid w:val="00E75111"/>
    <w:rsid w:val="00E75805"/>
    <w:rsid w:val="00E76315"/>
    <w:rsid w:val="00E771A4"/>
    <w:rsid w:val="00E77296"/>
    <w:rsid w:val="00E821CB"/>
    <w:rsid w:val="00E900D8"/>
    <w:rsid w:val="00E93763"/>
    <w:rsid w:val="00E96C4C"/>
    <w:rsid w:val="00EA2AAE"/>
    <w:rsid w:val="00EA2EC0"/>
    <w:rsid w:val="00EA427A"/>
    <w:rsid w:val="00EA723B"/>
    <w:rsid w:val="00EA7E51"/>
    <w:rsid w:val="00EB4170"/>
    <w:rsid w:val="00EB6350"/>
    <w:rsid w:val="00EB687A"/>
    <w:rsid w:val="00EB790A"/>
    <w:rsid w:val="00EC2F62"/>
    <w:rsid w:val="00EC4B53"/>
    <w:rsid w:val="00EC62EB"/>
    <w:rsid w:val="00EC6E9F"/>
    <w:rsid w:val="00ED3EC6"/>
    <w:rsid w:val="00ED44F0"/>
    <w:rsid w:val="00ED4B33"/>
    <w:rsid w:val="00ED5F45"/>
    <w:rsid w:val="00ED6860"/>
    <w:rsid w:val="00ED7DD6"/>
    <w:rsid w:val="00EE060B"/>
    <w:rsid w:val="00EE0F56"/>
    <w:rsid w:val="00EE15A1"/>
    <w:rsid w:val="00EE2A7C"/>
    <w:rsid w:val="00EE2C42"/>
    <w:rsid w:val="00EE341B"/>
    <w:rsid w:val="00EE4453"/>
    <w:rsid w:val="00EE5FCE"/>
    <w:rsid w:val="00EE6BBD"/>
    <w:rsid w:val="00EE6E1E"/>
    <w:rsid w:val="00EE705F"/>
    <w:rsid w:val="00EF0CFE"/>
    <w:rsid w:val="00EF1462"/>
    <w:rsid w:val="00EF54FD"/>
    <w:rsid w:val="00EF74E1"/>
    <w:rsid w:val="00F070D9"/>
    <w:rsid w:val="00F072F9"/>
    <w:rsid w:val="00F11A07"/>
    <w:rsid w:val="00F13112"/>
    <w:rsid w:val="00F16FE6"/>
    <w:rsid w:val="00F238BD"/>
    <w:rsid w:val="00F24992"/>
    <w:rsid w:val="00F25E96"/>
    <w:rsid w:val="00F32F2F"/>
    <w:rsid w:val="00F33F3F"/>
    <w:rsid w:val="00F34702"/>
    <w:rsid w:val="00F35BDD"/>
    <w:rsid w:val="00F403FD"/>
    <w:rsid w:val="00F41E72"/>
    <w:rsid w:val="00F42851"/>
    <w:rsid w:val="00F45BDF"/>
    <w:rsid w:val="00F50300"/>
    <w:rsid w:val="00F511F1"/>
    <w:rsid w:val="00F56E39"/>
    <w:rsid w:val="00F623E9"/>
    <w:rsid w:val="00F63951"/>
    <w:rsid w:val="00F63C86"/>
    <w:rsid w:val="00F66F99"/>
    <w:rsid w:val="00F7113E"/>
    <w:rsid w:val="00F7270C"/>
    <w:rsid w:val="00F7511A"/>
    <w:rsid w:val="00F766BE"/>
    <w:rsid w:val="00F770C0"/>
    <w:rsid w:val="00F77205"/>
    <w:rsid w:val="00F77EB9"/>
    <w:rsid w:val="00F80635"/>
    <w:rsid w:val="00F815D1"/>
    <w:rsid w:val="00F81E7E"/>
    <w:rsid w:val="00F81F0F"/>
    <w:rsid w:val="00F825F4"/>
    <w:rsid w:val="00F92AA1"/>
    <w:rsid w:val="00F932DE"/>
    <w:rsid w:val="00F94D35"/>
    <w:rsid w:val="00F963DD"/>
    <w:rsid w:val="00F9641A"/>
    <w:rsid w:val="00F96CC7"/>
    <w:rsid w:val="00F97004"/>
    <w:rsid w:val="00F978C3"/>
    <w:rsid w:val="00FA2045"/>
    <w:rsid w:val="00FA549A"/>
    <w:rsid w:val="00FA7A66"/>
    <w:rsid w:val="00FA7DD4"/>
    <w:rsid w:val="00FB1AA9"/>
    <w:rsid w:val="00FB1F61"/>
    <w:rsid w:val="00FB3F08"/>
    <w:rsid w:val="00FB4B5A"/>
    <w:rsid w:val="00FB5963"/>
    <w:rsid w:val="00FB5DAA"/>
    <w:rsid w:val="00FC04B9"/>
    <w:rsid w:val="00FC1047"/>
    <w:rsid w:val="00FC161A"/>
    <w:rsid w:val="00FC23D5"/>
    <w:rsid w:val="00FC4C1A"/>
    <w:rsid w:val="00FC505D"/>
    <w:rsid w:val="00FC6468"/>
    <w:rsid w:val="00FC6AF8"/>
    <w:rsid w:val="00FC6D49"/>
    <w:rsid w:val="00FD07D0"/>
    <w:rsid w:val="00FD197E"/>
    <w:rsid w:val="00FD28AA"/>
    <w:rsid w:val="00FD4922"/>
    <w:rsid w:val="00FD6461"/>
    <w:rsid w:val="00FE0281"/>
    <w:rsid w:val="00FE7083"/>
    <w:rsid w:val="00FE79D3"/>
    <w:rsid w:val="00FF019F"/>
    <w:rsid w:val="00FF0902"/>
    <w:rsid w:val="00FF1B2A"/>
    <w:rsid w:val="00FF272F"/>
    <w:rsid w:val="00FF30DE"/>
    <w:rsid w:val="00FF50C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57BD8EA-EE07-44E8-8039-57C0BDC3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DD7C6E"/>
    <w:rPr>
      <w:color w:val="605E5C"/>
      <w:shd w:val="clear" w:color="auto" w:fill="E1DFDD"/>
    </w:rPr>
  </w:style>
  <w:style w:type="paragraph" w:styleId="Caption">
    <w:name w:val="caption"/>
    <w:basedOn w:val="Normal"/>
    <w:next w:val="Normal"/>
    <w:uiPriority w:val="35"/>
    <w:qFormat/>
    <w:rsid w:val="00176F0C"/>
    <w:pPr>
      <w:widowControl/>
      <w:autoSpaceDE/>
      <w:autoSpaceDN/>
      <w:adjustRightInd/>
      <w:spacing w:before="120" w:after="120"/>
    </w:pPr>
    <w:rPr>
      <w:rFonts w:ascii="Arial" w:hAnsi="Arial" w:cs="Times New Roman"/>
      <w:bCs/>
      <w:i/>
      <w:color w:val="auto"/>
      <w:sz w:val="18"/>
      <w:szCs w:val="20"/>
      <w:lang w:val="fr-FR" w:eastAsia="fr-FR"/>
    </w:rPr>
  </w:style>
  <w:style w:type="paragraph" w:styleId="NoSpacing">
    <w:name w:val="No Spacing"/>
    <w:uiPriority w:val="1"/>
    <w:qFormat/>
    <w:rsid w:val="00176F0C"/>
    <w:rPr>
      <w:rFonts w:ascii="Calibri" w:eastAsia="Calibri" w:hAnsi="Calibri" w:cs="Arial"/>
      <w:sz w:val="22"/>
      <w:szCs w:val="22"/>
      <w:lang w:val="en-GB"/>
    </w:rPr>
  </w:style>
  <w:style w:type="character" w:customStyle="1" w:styleId="UnresolvedMention2">
    <w:name w:val="Unresolved Mention2"/>
    <w:basedOn w:val="DefaultParagraphFont"/>
    <w:uiPriority w:val="99"/>
    <w:semiHidden/>
    <w:unhideWhenUsed/>
    <w:rsid w:val="00DB50EE"/>
    <w:rPr>
      <w:color w:val="605E5C"/>
      <w:shd w:val="clear" w:color="auto" w:fill="E1DFDD"/>
    </w:rPr>
  </w:style>
  <w:style w:type="character" w:styleId="LineNumber">
    <w:name w:val="line number"/>
    <w:basedOn w:val="DefaultParagraphFont"/>
    <w:uiPriority w:val="99"/>
    <w:semiHidden/>
    <w:unhideWhenUsed/>
    <w:rsid w:val="00725AEE"/>
  </w:style>
  <w:style w:type="character" w:styleId="UnresolvedMention">
    <w:name w:val="Unresolved Mention"/>
    <w:basedOn w:val="DefaultParagraphFont"/>
    <w:uiPriority w:val="99"/>
    <w:semiHidden/>
    <w:unhideWhenUsed/>
    <w:rsid w:val="0072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54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Llewellyn@swansea.ac.uk" TargetMode="External"/><Relationship Id="rId13" Type="http://schemas.openxmlformats.org/officeDocument/2006/relationships/hyperlink" Target="mailto:M.J.D.Clift@swansea.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J.S.Jenkins@swansea.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Evans@swansea.ac.uk" TargetMode="External"/><Relationship Id="rId5" Type="http://schemas.openxmlformats.org/officeDocument/2006/relationships/webSettings" Target="webSettings.xml"/><Relationship Id="rId15" Type="http://schemas.openxmlformats.org/officeDocument/2006/relationships/hyperlink" Target="https://osha.europa.eu/en/safety-and-health-legislation/european-guidelines" TargetMode="External"/><Relationship Id="rId10" Type="http://schemas.openxmlformats.org/officeDocument/2006/relationships/hyperlink" Target="mailto:U.shah@swansea.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llian.conway@swansea.ac.uk" TargetMode="External"/><Relationship Id="rId14" Type="http://schemas.openxmlformats.org/officeDocument/2006/relationships/hyperlink" Target="mailto:S.H.Doak@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6333C0-263D-427A-89B4-63693D4CA66D}">
  <we:reference id="wa104382081" version="1.7.0.0" store="en-001" storeType="OMEX"/>
  <we:alternateReferences>
    <we:reference id="wa104382081" version="1.7.0.0" store="en-00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5197-F3DC-4957-A952-0582C84D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6707</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44854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cp:lastModifiedBy>
  <cp:revision>18</cp:revision>
  <cp:lastPrinted>2019-12-18T16:19:00Z</cp:lastPrinted>
  <dcterms:created xsi:type="dcterms:W3CDTF">2020-02-28T19:13:00Z</dcterms:created>
  <dcterms:modified xsi:type="dcterms:W3CDTF">2020-03-04T16:35:00Z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