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25D" w:rsidRDefault="0081525D">
      <w:pPr>
        <w:spacing w:after="200"/>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 xml:space="preserve">1. Please take this opportunity to thoroughly proofread the manuscript to ensure that there are no spelling or grammar issues. The </w:t>
            </w:r>
            <w:proofErr w:type="spellStart"/>
            <w:r>
              <w:rPr>
                <w:sz w:val="18"/>
                <w:szCs w:val="18"/>
              </w:rPr>
              <w:t>JoVE</w:t>
            </w:r>
            <w:proofErr w:type="spellEnd"/>
            <w:r>
              <w:rPr>
                <w:sz w:val="18"/>
                <w:szCs w:val="18"/>
              </w:rPr>
              <w:t xml:space="preserve"> editor will not copy-edit your manuscript and any errors in the submitted revision may be present in the published version.</w:t>
            </w:r>
          </w:p>
          <w:p w:rsidR="0081525D" w:rsidRDefault="00117A95">
            <w:pPr>
              <w:spacing w:after="200"/>
              <w:rPr>
                <w:color w:val="0000FF"/>
                <w:sz w:val="18"/>
                <w:szCs w:val="18"/>
              </w:rPr>
            </w:pPr>
            <w:r>
              <w:rPr>
                <w:color w:val="0000FF"/>
                <w:sz w:val="18"/>
                <w:szCs w:val="18"/>
              </w:rPr>
              <w:t>The manuscript has been thoroughly proofread and any spelling or grammar issues have been corrected.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2. Please provide affiliations for each author in the manuscript doc.</w:t>
            </w:r>
          </w:p>
          <w:p w:rsidR="0081525D" w:rsidRDefault="00117A95">
            <w:pPr>
              <w:spacing w:after="200"/>
              <w:rPr>
                <w:color w:val="0000FF"/>
                <w:sz w:val="18"/>
                <w:szCs w:val="18"/>
              </w:rPr>
            </w:pPr>
            <w:r>
              <w:rPr>
                <w:color w:val="0000FF"/>
                <w:sz w:val="18"/>
                <w:szCs w:val="18"/>
              </w:rPr>
              <w:t>Author affiliations have been added.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3. Please provide an email address for each author.</w:t>
            </w:r>
          </w:p>
          <w:p w:rsidR="0081525D" w:rsidRDefault="00117A95">
            <w:pPr>
              <w:spacing w:after="200"/>
              <w:rPr>
                <w:color w:val="0000FF"/>
                <w:sz w:val="18"/>
                <w:szCs w:val="18"/>
              </w:rPr>
            </w:pPr>
            <w:r>
              <w:rPr>
                <w:color w:val="0000FF"/>
                <w:sz w:val="18"/>
                <w:szCs w:val="18"/>
              </w:rPr>
              <w:t>Email addresses for each author have been added.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4. Please ensure that the Summary clearly describes the protocol and its applications in complete sentences between 10-50 words. Presently it is more than 50-word limit.</w:t>
            </w:r>
          </w:p>
          <w:p w:rsidR="0081525D" w:rsidRDefault="00117A95">
            <w:pPr>
              <w:spacing w:after="200"/>
              <w:rPr>
                <w:color w:val="0000FF"/>
                <w:sz w:val="18"/>
                <w:szCs w:val="18"/>
              </w:rPr>
            </w:pPr>
            <w:r>
              <w:rPr>
                <w:color w:val="0000FF"/>
                <w:sz w:val="18"/>
                <w:szCs w:val="18"/>
              </w:rPr>
              <w:t>The summary has been edited and reduced to 49 words.</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5. Please ensure that the long Abstract is within 150-300-word limit and clearly states the goal of the protocol.</w:t>
            </w:r>
          </w:p>
          <w:p w:rsidR="0081525D" w:rsidRDefault="00117A95">
            <w:pPr>
              <w:spacing w:after="200"/>
              <w:rPr>
                <w:color w:val="0000FF"/>
                <w:sz w:val="18"/>
                <w:szCs w:val="18"/>
              </w:rPr>
            </w:pPr>
            <w:r>
              <w:rPr>
                <w:color w:val="0000FF"/>
                <w:sz w:val="18"/>
                <w:szCs w:val="18"/>
              </w:rPr>
              <w:t>The abstract is within the word limit and has been edited to clearly state the goal of the protocol.</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 xml:space="preserve">6. </w:t>
            </w:r>
            <w:proofErr w:type="spellStart"/>
            <w:r>
              <w:rPr>
                <w:sz w:val="18"/>
                <w:szCs w:val="18"/>
              </w:rPr>
              <w:t>JoVE</w:t>
            </w:r>
            <w:proofErr w:type="spellEnd"/>
            <w:r>
              <w:rPr>
                <w:sz w:val="18"/>
                <w:szCs w:val="18"/>
              </w:rPr>
              <w:t xml:space="preserve"> cannot publish manuscripts containing commercial language. Please remove all commercial language from your manuscript and use generic terms instead. All commercial products should be sufficiently referenced in the Table of Materials and Reagents.</w:t>
            </w:r>
          </w:p>
        </w:tc>
      </w:tr>
      <w:tr w:rsidR="0081525D">
        <w:trPr>
          <w:trHeight w:val="63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For example: FUS Instruments (Toronto, ON), Olympus (NDT Instruments, Immersion transducer), power amplifier (Electronics and Innovation, LTD, Rochester, NY), function generator (Tektronix, Beaverton, OR), BNC cables, Olympus Immersion transducer, XYZ positioner (</w:t>
            </w:r>
            <w:proofErr w:type="spellStart"/>
            <w:r>
              <w:rPr>
                <w:sz w:val="18"/>
                <w:szCs w:val="18"/>
              </w:rPr>
              <w:t>Velmex</w:t>
            </w:r>
            <w:proofErr w:type="spellEnd"/>
            <w:r>
              <w:rPr>
                <w:sz w:val="18"/>
                <w:szCs w:val="18"/>
              </w:rPr>
              <w:t xml:space="preserve">, Bloomfield, NY), X </w:t>
            </w:r>
            <w:proofErr w:type="spellStart"/>
            <w:r>
              <w:rPr>
                <w:sz w:val="18"/>
                <w:szCs w:val="18"/>
              </w:rPr>
              <w:t>Bislide</w:t>
            </w:r>
            <w:proofErr w:type="spellEnd"/>
            <w:r>
              <w:rPr>
                <w:sz w:val="18"/>
                <w:szCs w:val="18"/>
              </w:rPr>
              <w:t xml:space="preserve">, LabVIEW, </w:t>
            </w:r>
            <w:proofErr w:type="spellStart"/>
            <w:r>
              <w:rPr>
                <w:sz w:val="18"/>
                <w:szCs w:val="18"/>
              </w:rPr>
              <w:t>kapton</w:t>
            </w:r>
            <w:proofErr w:type="spellEnd"/>
            <w:r>
              <w:rPr>
                <w:sz w:val="18"/>
                <w:szCs w:val="18"/>
              </w:rPr>
              <w:t xml:space="preserve"> tape, etc.</w:t>
            </w:r>
          </w:p>
          <w:p w:rsidR="0081525D" w:rsidRDefault="00117A95">
            <w:pPr>
              <w:spacing w:after="200"/>
              <w:rPr>
                <w:color w:val="0000FF"/>
                <w:sz w:val="18"/>
                <w:szCs w:val="18"/>
              </w:rPr>
            </w:pPr>
            <w:r>
              <w:rPr>
                <w:color w:val="0000FF"/>
                <w:sz w:val="18"/>
                <w:szCs w:val="18"/>
              </w:rPr>
              <w:t>All commercial language has been removed and all commercial products have been added to the materials table.</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 xml:space="preserve">7. Please adjust the numbering of the Protocol to follow the </w:t>
            </w:r>
            <w:proofErr w:type="spellStart"/>
            <w:r>
              <w:rPr>
                <w:sz w:val="18"/>
                <w:szCs w:val="18"/>
              </w:rPr>
              <w:t>JoVE</w:t>
            </w:r>
            <w:proofErr w:type="spellEnd"/>
            <w:r>
              <w:rPr>
                <w:sz w:val="18"/>
                <w:szCs w:val="18"/>
              </w:rPr>
              <w:t xml:space="preserve"> Instructions for Authors. For example, 1 should be followed by 1.1 and then 1.1.1 and 1.1.2 if necessary. Please refrain from using bullets, alphabets, or dashes.</w:t>
            </w:r>
          </w:p>
          <w:p w:rsidR="0081525D" w:rsidRDefault="00117A95">
            <w:pPr>
              <w:spacing w:after="200"/>
              <w:rPr>
                <w:color w:val="0000FF"/>
                <w:sz w:val="18"/>
                <w:szCs w:val="18"/>
              </w:rPr>
            </w:pPr>
            <w:r>
              <w:rPr>
                <w:color w:val="0000FF"/>
                <w:sz w:val="18"/>
                <w:szCs w:val="18"/>
              </w:rPr>
              <w:t xml:space="preserve">The numbering of the protocol has been edited to follow </w:t>
            </w:r>
            <w:proofErr w:type="spellStart"/>
            <w:r>
              <w:rPr>
                <w:color w:val="0000FF"/>
                <w:sz w:val="18"/>
                <w:szCs w:val="18"/>
              </w:rPr>
              <w:t>JoVE</w:t>
            </w:r>
            <w:proofErr w:type="spellEnd"/>
            <w:r>
              <w:rPr>
                <w:color w:val="0000FF"/>
                <w:sz w:val="18"/>
                <w:szCs w:val="18"/>
              </w:rPr>
              <w:t xml:space="preserve"> Instructions for Authors.</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8. Please move the ethics statement before your numbered protocol steps, indicating that the protocol follows the animal care guidelines of your institution.</w:t>
            </w:r>
          </w:p>
          <w:p w:rsidR="0081525D" w:rsidRDefault="00117A95">
            <w:pPr>
              <w:spacing w:after="200"/>
              <w:rPr>
                <w:color w:val="0000FF"/>
                <w:sz w:val="18"/>
                <w:szCs w:val="18"/>
              </w:rPr>
            </w:pPr>
            <w:r>
              <w:rPr>
                <w:color w:val="0000FF"/>
                <w:sz w:val="18"/>
                <w:szCs w:val="18"/>
              </w:rPr>
              <w:t xml:space="preserve">The ethics statement has been moved, it is now just before the first protocol step. </w:t>
            </w:r>
          </w:p>
        </w:tc>
      </w:tr>
      <w:tr w:rsidR="0081525D">
        <w:trPr>
          <w:trHeight w:val="63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81525D" w:rsidRDefault="00117A95">
            <w:pPr>
              <w:spacing w:after="200"/>
              <w:rPr>
                <w:color w:val="0000FF"/>
                <w:sz w:val="18"/>
                <w:szCs w:val="18"/>
              </w:rPr>
            </w:pPr>
            <w:r>
              <w:rPr>
                <w:color w:val="0000FF"/>
                <w:sz w:val="18"/>
                <w:szCs w:val="18"/>
              </w:rPr>
              <w:t xml:space="preserve">All the text in the protocol has been edited and is now in the imperative tense. Any text that could not be written in the imperative has been added as a “note”. </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lastRenderedPageBreak/>
              <w:t>10. Please revise the protocol text to avoid the use of any personal pronouns in the protocol (e.g., "we", "you", "our" etc.).</w:t>
            </w:r>
          </w:p>
          <w:p w:rsidR="0081525D" w:rsidRDefault="00117A95">
            <w:pPr>
              <w:spacing w:after="200"/>
              <w:rPr>
                <w:color w:val="0000FF"/>
                <w:sz w:val="18"/>
                <w:szCs w:val="18"/>
              </w:rPr>
            </w:pPr>
            <w:r>
              <w:rPr>
                <w:color w:val="0000FF"/>
                <w:sz w:val="18"/>
                <w:szCs w:val="18"/>
              </w:rPr>
              <w:t>The text has been revised to no longer include any personal pronouns.</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11. The Protocol should contain only action items that direct the reader to do something. Please move the discussion about the protocol to the Intro/Discussion.</w:t>
            </w:r>
          </w:p>
          <w:p w:rsidR="0081525D" w:rsidRDefault="00117A95">
            <w:pPr>
              <w:spacing w:after="200"/>
              <w:rPr>
                <w:color w:val="0000FF"/>
                <w:sz w:val="18"/>
                <w:szCs w:val="18"/>
              </w:rPr>
            </w:pPr>
            <w:r>
              <w:rPr>
                <w:color w:val="0000FF"/>
                <w:sz w:val="18"/>
                <w:szCs w:val="18"/>
              </w:rPr>
              <w:t>Any discussion items in the protocol section have been moved to either the Introduction section or the Discussion section.</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12. Please ensure that individual steps of the protocol should only contain 2-3 actions per step.</w:t>
            </w:r>
          </w:p>
          <w:p w:rsidR="0081525D" w:rsidRDefault="00117A95">
            <w:pPr>
              <w:spacing w:after="200"/>
              <w:rPr>
                <w:color w:val="0000FF"/>
                <w:sz w:val="18"/>
                <w:szCs w:val="18"/>
              </w:rPr>
            </w:pPr>
            <w:r>
              <w:rPr>
                <w:color w:val="0000FF"/>
                <w:sz w:val="18"/>
                <w:szCs w:val="18"/>
              </w:rPr>
              <w:t>The protocol steps have been edited to include only 2-3 actions per step.</w:t>
            </w:r>
          </w:p>
        </w:tc>
      </w:tr>
      <w:tr w:rsidR="0081525D">
        <w:trPr>
          <w:trHeight w:val="63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 xml:space="preserve">13. In the </w:t>
            </w:r>
            <w:proofErr w:type="spellStart"/>
            <w:r>
              <w:rPr>
                <w:sz w:val="18"/>
                <w:szCs w:val="18"/>
              </w:rPr>
              <w:t>JoVE</w:t>
            </w:r>
            <w:proofErr w:type="spellEnd"/>
            <w:r>
              <w:rPr>
                <w:sz w:val="18"/>
                <w:szCs w:val="18"/>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w:t>
            </w:r>
          </w:p>
          <w:p w:rsidR="0081525D" w:rsidRDefault="00117A95">
            <w:pPr>
              <w:spacing w:after="200"/>
              <w:rPr>
                <w:color w:val="0000FF"/>
                <w:sz w:val="18"/>
                <w:szCs w:val="18"/>
              </w:rPr>
            </w:pPr>
            <w:r>
              <w:rPr>
                <w:color w:val="0000FF"/>
                <w:sz w:val="18"/>
                <w:szCs w:val="18"/>
              </w:rPr>
              <w:t xml:space="preserve">The protocol has been edited to include notes only when absolutely necessary. The remaining notes have been edited to be brief and concise. Details about how to perform a step were either made very concise and added to the step itself or were added as a </w:t>
            </w:r>
            <w:proofErr w:type="spellStart"/>
            <w:r>
              <w:rPr>
                <w:color w:val="0000FF"/>
                <w:sz w:val="18"/>
                <w:szCs w:val="18"/>
              </w:rPr>
              <w:t>substep</w:t>
            </w:r>
            <w:proofErr w:type="spellEnd"/>
            <w:r>
              <w:rPr>
                <w:color w:val="0000FF"/>
                <w:sz w:val="18"/>
                <w:szCs w:val="18"/>
              </w:rPr>
              <w:t xml:space="preserve">. </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14. Please ensure you answer the “how” question, i.e., how is the step performed? Please include all the button clicks in the software, knob turns, hard experimental steps etc.</w:t>
            </w:r>
          </w:p>
          <w:p w:rsidR="0081525D" w:rsidRDefault="00117A95">
            <w:pPr>
              <w:spacing w:after="200"/>
              <w:rPr>
                <w:color w:val="0000FF"/>
                <w:sz w:val="18"/>
                <w:szCs w:val="18"/>
              </w:rPr>
            </w:pPr>
            <w:r>
              <w:rPr>
                <w:color w:val="0000FF"/>
                <w:sz w:val="18"/>
                <w:szCs w:val="18"/>
              </w:rPr>
              <w:t xml:space="preserve">Each protocol step has been edited to answer the question; “how was this done”. </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15. 1: How is this done?</w:t>
            </w:r>
          </w:p>
          <w:p w:rsidR="0081525D" w:rsidRDefault="00117A95">
            <w:pPr>
              <w:spacing w:after="200"/>
              <w:rPr>
                <w:color w:val="0000FF"/>
                <w:sz w:val="18"/>
                <w:szCs w:val="18"/>
              </w:rPr>
            </w:pPr>
            <w:r>
              <w:rPr>
                <w:color w:val="0000FF"/>
                <w:sz w:val="18"/>
                <w:szCs w:val="18"/>
              </w:rPr>
              <w:t>A more detailed explanation of step 1 has been added.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16. 2.1: Please include the CAD Files for 3D printing.</w:t>
            </w:r>
          </w:p>
          <w:p w:rsidR="0081525D" w:rsidRDefault="00B17320">
            <w:pPr>
              <w:spacing w:after="200"/>
              <w:rPr>
                <w:color w:val="0000FF"/>
                <w:sz w:val="18"/>
                <w:szCs w:val="18"/>
              </w:rPr>
            </w:pPr>
            <w:r>
              <w:rPr>
                <w:color w:val="0000FF"/>
                <w:sz w:val="18"/>
                <w:szCs w:val="18"/>
              </w:rPr>
              <w:t xml:space="preserve">The links were made public so they will not expire and have been added to the materials table. In addition, we have included the </w:t>
            </w:r>
            <w:proofErr w:type="spellStart"/>
            <w:r>
              <w:rPr>
                <w:color w:val="0000FF"/>
                <w:sz w:val="18"/>
                <w:szCs w:val="18"/>
              </w:rPr>
              <w:t>stl</w:t>
            </w:r>
            <w:proofErr w:type="spellEnd"/>
            <w:r>
              <w:rPr>
                <w:color w:val="0000FF"/>
                <w:sz w:val="18"/>
                <w:szCs w:val="18"/>
              </w:rPr>
              <w:t xml:space="preserve"> files.</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17. 2.4: How is this done?</w:t>
            </w:r>
          </w:p>
          <w:p w:rsidR="0081525D" w:rsidRDefault="00117A95">
            <w:pPr>
              <w:spacing w:after="200"/>
              <w:rPr>
                <w:color w:val="0000FF"/>
                <w:sz w:val="18"/>
                <w:szCs w:val="18"/>
              </w:rPr>
            </w:pPr>
            <w:r>
              <w:rPr>
                <w:color w:val="0000FF"/>
                <w:sz w:val="18"/>
                <w:szCs w:val="18"/>
              </w:rPr>
              <w:t xml:space="preserve">A more detailed explanation of step 2.4 has been added. </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18. Please use micro symbol from the insert symbol function. Please do not use u.</w:t>
            </w:r>
          </w:p>
          <w:p w:rsidR="0081525D" w:rsidRDefault="00117A95">
            <w:pPr>
              <w:spacing w:after="200"/>
              <w:rPr>
                <w:color w:val="0000FF"/>
                <w:sz w:val="18"/>
                <w:szCs w:val="18"/>
              </w:rPr>
            </w:pPr>
            <w:r>
              <w:rPr>
                <w:color w:val="0000FF"/>
                <w:sz w:val="18"/>
                <w:szCs w:val="18"/>
              </w:rPr>
              <w:t>Any “u” has been replaced with a micro symbol.</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19.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81525D" w:rsidRDefault="00117A95">
            <w:pPr>
              <w:spacing w:after="200"/>
              <w:rPr>
                <w:color w:val="0000FF"/>
                <w:sz w:val="18"/>
                <w:szCs w:val="18"/>
              </w:rPr>
            </w:pPr>
            <w:r>
              <w:rPr>
                <w:color w:val="0000FF"/>
                <w:sz w:val="18"/>
                <w:szCs w:val="18"/>
              </w:rPr>
              <w:t>The highlighted text amounts to 2 pages including headings and spacing.</w:t>
            </w:r>
          </w:p>
        </w:tc>
      </w:tr>
      <w:tr w:rsidR="0081525D">
        <w:trPr>
          <w:trHeight w:val="63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 xml:space="preserve">20. Please obtain explicit copyright permission to reuse any figures from a previous publication. Explicit permission can be expressed in the form of a letter from the editor or a link to the editorial policy that allows re-prints. Please </w:t>
            </w:r>
            <w:r>
              <w:rPr>
                <w:sz w:val="18"/>
                <w:szCs w:val="18"/>
              </w:rPr>
              <w:lastRenderedPageBreak/>
              <w:t>upload this information as a .doc or .</w:t>
            </w:r>
            <w:proofErr w:type="spellStart"/>
            <w:r>
              <w:rPr>
                <w:sz w:val="18"/>
                <w:szCs w:val="18"/>
              </w:rPr>
              <w:t>docx</w:t>
            </w:r>
            <w:proofErr w:type="spellEnd"/>
            <w:r>
              <w:rPr>
                <w:sz w:val="18"/>
                <w:szCs w:val="18"/>
              </w:rPr>
              <w:t xml:space="preserve"> file to your Editorial Manager account. The Figure must be cited appropriately in the Figure Legend, i.e. “This figure has been modified from [citation].”</w:t>
            </w:r>
          </w:p>
          <w:p w:rsidR="0081525D" w:rsidRDefault="00117A95">
            <w:pPr>
              <w:spacing w:after="200"/>
              <w:rPr>
                <w:color w:val="0000FF"/>
                <w:sz w:val="18"/>
                <w:szCs w:val="18"/>
              </w:rPr>
            </w:pPr>
            <w:r>
              <w:rPr>
                <w:color w:val="0000FF"/>
                <w:sz w:val="18"/>
                <w:szCs w:val="18"/>
              </w:rPr>
              <w:t xml:space="preserve">All figures in the manuscript are original. </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20"/>
                <w:szCs w:val="20"/>
              </w:rPr>
            </w:pPr>
            <w:r>
              <w:rPr>
                <w:sz w:val="18"/>
                <w:szCs w:val="18"/>
              </w:rPr>
              <w:lastRenderedPageBreak/>
              <w:t>21. As we are a methods journal, please revise the Discussion to explicitly cover the following in detail in 3-6 paragraphs with citations:</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20"/>
                <w:szCs w:val="20"/>
              </w:rPr>
            </w:pPr>
            <w:r>
              <w:rPr>
                <w:sz w:val="18"/>
                <w:szCs w:val="18"/>
              </w:rPr>
              <w:t>a) Critical steps within the protocol</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20"/>
                <w:szCs w:val="20"/>
              </w:rPr>
            </w:pPr>
            <w:r>
              <w:rPr>
                <w:sz w:val="18"/>
                <w:szCs w:val="18"/>
              </w:rPr>
              <w:t>b) Any modifications and troubleshooting of the technique</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20"/>
                <w:szCs w:val="20"/>
              </w:rPr>
            </w:pPr>
            <w:r>
              <w:rPr>
                <w:sz w:val="18"/>
                <w:szCs w:val="18"/>
              </w:rPr>
              <w:t>c) Any limitations of the technique</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20"/>
                <w:szCs w:val="20"/>
              </w:rPr>
            </w:pPr>
            <w:r>
              <w:rPr>
                <w:sz w:val="18"/>
                <w:szCs w:val="18"/>
              </w:rPr>
              <w:t>d) The significance with respect to existing methods</w:t>
            </w:r>
          </w:p>
        </w:tc>
      </w:tr>
      <w:tr w:rsidR="0081525D">
        <w:trPr>
          <w:trHeight w:val="540"/>
        </w:trPr>
        <w:tc>
          <w:tcPr>
            <w:tcW w:w="9360" w:type="dxa"/>
            <w:tcBorders>
              <w:top w:val="nil"/>
              <w:left w:val="nil"/>
              <w:bottom w:val="dotted" w:sz="6" w:space="0" w:color="D9D9D9"/>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e) Any future applications of the technique</w:t>
            </w:r>
          </w:p>
          <w:p w:rsidR="0081525D" w:rsidRDefault="00117A95">
            <w:pPr>
              <w:spacing w:after="200"/>
              <w:rPr>
                <w:color w:val="0000FF"/>
                <w:sz w:val="18"/>
                <w:szCs w:val="18"/>
              </w:rPr>
            </w:pPr>
            <w:r>
              <w:rPr>
                <w:color w:val="0000FF"/>
                <w:sz w:val="18"/>
                <w:szCs w:val="18"/>
              </w:rPr>
              <w:t>The Discussion section had been edited to include only the above listed items. Any extensive notes that had previously been in the protocol section have been moved to the Discussion section.</w:t>
            </w:r>
          </w:p>
        </w:tc>
      </w:tr>
      <w:tr w:rsidR="0081525D">
        <w:trPr>
          <w:trHeight w:val="540"/>
        </w:trPr>
        <w:tc>
          <w:tcPr>
            <w:tcW w:w="9360" w:type="dxa"/>
            <w:tcBorders>
              <w:top w:val="nil"/>
              <w:left w:val="nil"/>
              <w:bottom w:val="dotted" w:sz="6" w:space="0" w:color="D9D9D9"/>
              <w:right w:val="nil"/>
            </w:tcBorders>
            <w:tcMar>
              <w:top w:w="40" w:type="dxa"/>
              <w:left w:w="40" w:type="dxa"/>
              <w:bottom w:w="40" w:type="dxa"/>
              <w:right w:w="40" w:type="dxa"/>
            </w:tcMar>
            <w:vAlign w:val="center"/>
          </w:tcPr>
          <w:p w:rsidR="0081525D" w:rsidRDefault="00117A95">
            <w:pPr>
              <w:spacing w:after="200"/>
              <w:rPr>
                <w:sz w:val="20"/>
                <w:szCs w:val="20"/>
              </w:rPr>
            </w:pPr>
            <w:r>
              <w:rPr>
                <w:rFonts w:ascii="Roboto" w:eastAsia="Roboto" w:hAnsi="Roboto" w:cs="Roboto"/>
                <w:b/>
                <w:color w:val="434343"/>
                <w:sz w:val="20"/>
                <w:szCs w:val="20"/>
              </w:rPr>
              <w:t>Reviewer 1</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Pg. 4, Sec 2.2: Discuss the accuracy of using magnet. Particularly, any means to prevent from focal beam tilting problem? I suggest to more some description.</w:t>
            </w:r>
          </w:p>
          <w:p w:rsidR="0081525D" w:rsidRDefault="00117A95">
            <w:pPr>
              <w:spacing w:after="200"/>
              <w:rPr>
                <w:color w:val="0000FF"/>
                <w:sz w:val="18"/>
                <w:szCs w:val="18"/>
              </w:rPr>
            </w:pPr>
            <w:r>
              <w:rPr>
                <w:color w:val="0000FF"/>
                <w:sz w:val="18"/>
                <w:szCs w:val="18"/>
              </w:rPr>
              <w:t>Discussion of the importance of magnet placement for accuracy has been discussed. Furthermore, the accuracy of using the MRI and single-fiducial system for the FUS focus targeting and the inherent limitations of this system has been added to the Discussion section.</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Pg. 4, Sec. 2.3: How to confirm the pointer indicates the true energy focus of the focused ultrasound transducer? Geometrically measurement may not be sufficient. I suggest to give more detailed description.</w:t>
            </w:r>
          </w:p>
          <w:p w:rsidR="0081525D" w:rsidRDefault="00117A95">
            <w:pPr>
              <w:spacing w:after="200"/>
              <w:rPr>
                <w:color w:val="0000FF"/>
                <w:sz w:val="18"/>
                <w:szCs w:val="18"/>
              </w:rPr>
            </w:pPr>
            <w:r>
              <w:rPr>
                <w:color w:val="0000FF"/>
                <w:sz w:val="18"/>
                <w:szCs w:val="18"/>
              </w:rPr>
              <w:t>A more detailed description of how to calibrate the pointer to match the FUS focus has been provided.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Pg. 4. Sec. 2.4: State how to make a MR fiducial.</w:t>
            </w:r>
          </w:p>
          <w:p w:rsidR="0081525D" w:rsidRDefault="00117A95">
            <w:pPr>
              <w:spacing w:after="200"/>
              <w:rPr>
                <w:color w:val="0000FF"/>
                <w:sz w:val="18"/>
                <w:szCs w:val="18"/>
              </w:rPr>
            </w:pPr>
            <w:r>
              <w:rPr>
                <w:color w:val="0000FF"/>
                <w:sz w:val="18"/>
                <w:szCs w:val="18"/>
              </w:rPr>
              <w:t>A description of how to make an MR fiducial has been added in sec. 2.3.</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Pg. 6, Sec. 3.6: List MRI T1 and T2 parameters</w:t>
            </w:r>
          </w:p>
          <w:p w:rsidR="0081525D" w:rsidRDefault="00117A95">
            <w:pPr>
              <w:spacing w:after="200"/>
              <w:rPr>
                <w:color w:val="0000FF"/>
                <w:sz w:val="18"/>
                <w:szCs w:val="18"/>
              </w:rPr>
            </w:pPr>
            <w:r>
              <w:rPr>
                <w:color w:val="0000FF"/>
                <w:sz w:val="18"/>
                <w:szCs w:val="18"/>
              </w:rPr>
              <w:t>Both T1 and T2 MRI parameters have been included.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Pg. 6, Sec. 3.7: Describe clearer how to correlate MR T2 anatomical imaging and utilize it to perform precision guidance of the FUS beam to specific brain region.</w:t>
            </w:r>
          </w:p>
          <w:p w:rsidR="0081525D" w:rsidRDefault="00117A95">
            <w:pPr>
              <w:spacing w:after="200"/>
              <w:rPr>
                <w:color w:val="0000FF"/>
                <w:sz w:val="18"/>
                <w:szCs w:val="18"/>
              </w:rPr>
            </w:pPr>
            <w:r>
              <w:rPr>
                <w:color w:val="0000FF"/>
                <w:sz w:val="18"/>
                <w:szCs w:val="18"/>
              </w:rPr>
              <w:t>A clearer description of how to use the MR anatomical images to guide the FUS focus to specific brain regions has been added.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lastRenderedPageBreak/>
              <w:t>P. 6, Sec. 3.7: How to adjust the focal depth of the FUS energy in the animal brain?</w:t>
            </w:r>
          </w:p>
          <w:p w:rsidR="0081525D" w:rsidRDefault="00117A95">
            <w:pPr>
              <w:spacing w:after="200"/>
              <w:rPr>
                <w:color w:val="0000FF"/>
                <w:sz w:val="18"/>
                <w:szCs w:val="18"/>
              </w:rPr>
            </w:pPr>
            <w:r>
              <w:rPr>
                <w:color w:val="0000FF"/>
                <w:sz w:val="18"/>
                <w:szCs w:val="18"/>
              </w:rPr>
              <w:t>A description of how to adjust the FUS focus has been added.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20"/>
                <w:szCs w:val="20"/>
              </w:rPr>
            </w:pPr>
            <w:r>
              <w:rPr>
                <w:b/>
                <w:sz w:val="18"/>
                <w:szCs w:val="18"/>
              </w:rPr>
              <w:t>Reviewer 2</w:t>
            </w:r>
          </w:p>
        </w:tc>
      </w:tr>
      <w:tr w:rsidR="0081525D">
        <w:trPr>
          <w:trHeight w:val="63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 xml:space="preserve">1. It would be helpful to discuss the choice of anesthetic, whether ketamine/xylazine, isoflurane as that choice affects the BBBO magnitude as noted by </w:t>
            </w:r>
            <w:proofErr w:type="spellStart"/>
            <w:r>
              <w:rPr>
                <w:sz w:val="18"/>
                <w:szCs w:val="18"/>
              </w:rPr>
              <w:t>McDannold</w:t>
            </w:r>
            <w:proofErr w:type="spellEnd"/>
            <w:r>
              <w:rPr>
                <w:sz w:val="18"/>
                <w:szCs w:val="18"/>
              </w:rPr>
              <w:t xml:space="preserve"> et al., (PMC3129385). When we choose isoflurane, it is essential to give details about the carrier gas, oxygen versus medical air as that has a significant effect on the BBBO threshold and the BBBO reproducibility, as in </w:t>
            </w:r>
            <w:proofErr w:type="spellStart"/>
            <w:r>
              <w:rPr>
                <w:sz w:val="18"/>
                <w:szCs w:val="18"/>
              </w:rPr>
              <w:t>McDannold</w:t>
            </w:r>
            <w:proofErr w:type="spellEnd"/>
            <w:r>
              <w:rPr>
                <w:sz w:val="18"/>
                <w:szCs w:val="18"/>
              </w:rPr>
              <w:t xml:space="preserve"> et al., (PMC5191922).</w:t>
            </w:r>
          </w:p>
          <w:p w:rsidR="0081525D" w:rsidRDefault="00117A95">
            <w:pPr>
              <w:spacing w:after="200"/>
              <w:rPr>
                <w:color w:val="0000FF"/>
                <w:sz w:val="18"/>
                <w:szCs w:val="18"/>
              </w:rPr>
            </w:pPr>
            <w:r>
              <w:rPr>
                <w:color w:val="0000FF"/>
                <w:sz w:val="18"/>
                <w:szCs w:val="18"/>
              </w:rPr>
              <w:t>The choice of isoflurane with oxygen and how this can affect BBBO was discussed with the references mentioned.</w:t>
            </w:r>
          </w:p>
        </w:tc>
      </w:tr>
      <w:tr w:rsidR="0081525D">
        <w:trPr>
          <w:trHeight w:val="8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 xml:space="preserve">2. Given that the magnitude of BBBO decays exponentially with time, there should be no or minimal delay in the timing between MR-contrast injection and T1-weighted MRI (e.g. see Marty et al., Journal of Cerebral Blood Flow &amp; Metabolism. 2012). At the least, the need to be consistent regarding this timing should be emphasized. An ideal time to inject the MR-contrast agent is right before the T1-weighted MRI starts and to take at least 3-T1 sequences to see the Gadolinium kinetics during peak plasma concentration of </w:t>
            </w:r>
            <w:proofErr w:type="spellStart"/>
            <w:r>
              <w:rPr>
                <w:sz w:val="18"/>
                <w:szCs w:val="18"/>
              </w:rPr>
              <w:t>Gd</w:t>
            </w:r>
            <w:proofErr w:type="spellEnd"/>
            <w:r>
              <w:rPr>
                <w:sz w:val="18"/>
                <w:szCs w:val="18"/>
              </w:rPr>
              <w:t xml:space="preserve"> (Fig. 1C in </w:t>
            </w:r>
            <w:proofErr w:type="spellStart"/>
            <w:r>
              <w:rPr>
                <w:sz w:val="18"/>
                <w:szCs w:val="18"/>
              </w:rPr>
              <w:t>Aryal</w:t>
            </w:r>
            <w:proofErr w:type="spellEnd"/>
            <w:r>
              <w:rPr>
                <w:sz w:val="18"/>
                <w:szCs w:val="18"/>
              </w:rPr>
              <w:t xml:space="preserve"> et al., 2013).</w:t>
            </w:r>
          </w:p>
          <w:p w:rsidR="0081525D" w:rsidRDefault="00117A95">
            <w:pPr>
              <w:spacing w:after="200"/>
              <w:rPr>
                <w:color w:val="0000FF"/>
                <w:sz w:val="18"/>
                <w:szCs w:val="18"/>
              </w:rPr>
            </w:pPr>
            <w:r>
              <w:rPr>
                <w:color w:val="0000FF"/>
                <w:sz w:val="18"/>
                <w:szCs w:val="18"/>
              </w:rPr>
              <w:t>The timing between FUS BBB opening and MR imaging has been included.</w:t>
            </w:r>
          </w:p>
        </w:tc>
      </w:tr>
      <w:tr w:rsidR="0081525D">
        <w:trPr>
          <w:trHeight w:val="63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3. The ultrasound attenuation by the rat brain and rat skull at different frequencies should be discussed, as should the uncertainty from standing waves within the skull given the spatial-pulse length of the ultrasound pulses used in these procedures. The relationship between ultrasound attenuation and skull thickness with different ages should be specifically noted (O'Reilly et al., PMC3228246).</w:t>
            </w:r>
          </w:p>
          <w:p w:rsidR="0081525D" w:rsidRDefault="00117A95">
            <w:pPr>
              <w:spacing w:after="200"/>
              <w:rPr>
                <w:color w:val="0000FF"/>
                <w:sz w:val="18"/>
                <w:szCs w:val="18"/>
              </w:rPr>
            </w:pPr>
            <w:r>
              <w:rPr>
                <w:color w:val="0000FF"/>
                <w:sz w:val="18"/>
                <w:szCs w:val="18"/>
              </w:rPr>
              <w:t>Ultrasound attenuation by the skull and the differing skull thickness with age has been added to the Discussion section with the reference mentioned.</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4. In this review, the paper that demonstrated FUS-mediated BBBO for the first time should be included (</w:t>
            </w:r>
            <w:proofErr w:type="spellStart"/>
            <w:r>
              <w:rPr>
                <w:sz w:val="18"/>
                <w:szCs w:val="18"/>
              </w:rPr>
              <w:t>Hynynen</w:t>
            </w:r>
            <w:proofErr w:type="spellEnd"/>
            <w:r>
              <w:rPr>
                <w:sz w:val="18"/>
                <w:szCs w:val="18"/>
              </w:rPr>
              <w:t xml:space="preserve"> et al., PMID: 11526261).</w:t>
            </w:r>
          </w:p>
          <w:p w:rsidR="0081525D" w:rsidRDefault="00117A95">
            <w:pPr>
              <w:spacing w:after="200"/>
              <w:rPr>
                <w:color w:val="0000FF"/>
                <w:sz w:val="18"/>
                <w:szCs w:val="18"/>
              </w:rPr>
            </w:pPr>
            <w:proofErr w:type="spellStart"/>
            <w:r>
              <w:rPr>
                <w:color w:val="0000FF"/>
                <w:sz w:val="18"/>
                <w:szCs w:val="18"/>
              </w:rPr>
              <w:t>Hynynen</w:t>
            </w:r>
            <w:proofErr w:type="spellEnd"/>
            <w:r>
              <w:rPr>
                <w:color w:val="0000FF"/>
                <w:sz w:val="18"/>
                <w:szCs w:val="18"/>
              </w:rPr>
              <w:t xml:space="preserve"> et al., PMID: 11526261 has been referenced in the introduction.</w:t>
            </w:r>
          </w:p>
        </w:tc>
      </w:tr>
      <w:tr w:rsidR="0081525D">
        <w:trPr>
          <w:trHeight w:val="54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*What gauge of catheter is used for tail vein injection? This should be indicated in the part number and description.</w:t>
            </w:r>
          </w:p>
          <w:p w:rsidR="0081525D" w:rsidRDefault="00117A95">
            <w:pPr>
              <w:spacing w:after="200"/>
              <w:rPr>
                <w:color w:val="0000FF"/>
                <w:sz w:val="18"/>
                <w:szCs w:val="18"/>
              </w:rPr>
            </w:pPr>
            <w:r>
              <w:rPr>
                <w:color w:val="0000FF"/>
                <w:sz w:val="18"/>
                <w:szCs w:val="18"/>
              </w:rPr>
              <w:t>The 24g catheter has been added to the protocol text and to the materials table.</w:t>
            </w:r>
          </w:p>
        </w:tc>
      </w:tr>
      <w:tr w:rsidR="0081525D">
        <w:trPr>
          <w:trHeight w:val="45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*Suggest providing the dose of microbubbles/kg in addition to the volume used here, as different microbubble vendors used different concentrations of bubbles in their formulations.</w:t>
            </w:r>
          </w:p>
          <w:p w:rsidR="0081525D" w:rsidRDefault="00117A95">
            <w:pPr>
              <w:spacing w:after="200"/>
              <w:rPr>
                <w:color w:val="0000FF"/>
                <w:sz w:val="18"/>
                <w:szCs w:val="18"/>
              </w:rPr>
            </w:pPr>
            <w:r>
              <w:rPr>
                <w:color w:val="0000FF"/>
                <w:sz w:val="18"/>
                <w:szCs w:val="18"/>
              </w:rPr>
              <w:t xml:space="preserve">The dose of the microbubbles was made more specific. </w:t>
            </w:r>
          </w:p>
        </w:tc>
      </w:tr>
      <w:tr w:rsidR="0081525D">
        <w:trPr>
          <w:trHeight w:val="450"/>
        </w:trPr>
        <w:tc>
          <w:tcPr>
            <w:tcW w:w="9360" w:type="dxa"/>
            <w:tcBorders>
              <w:top w:val="nil"/>
              <w:left w:val="nil"/>
              <w:bottom w:val="nil"/>
              <w:right w:val="nil"/>
            </w:tcBorders>
            <w:tcMar>
              <w:top w:w="40" w:type="dxa"/>
              <w:left w:w="40" w:type="dxa"/>
              <w:bottom w:w="40" w:type="dxa"/>
              <w:right w:w="40" w:type="dxa"/>
            </w:tcMar>
            <w:vAlign w:val="bottom"/>
          </w:tcPr>
          <w:p w:rsidR="0081525D" w:rsidRDefault="00117A95">
            <w:pPr>
              <w:spacing w:after="200"/>
              <w:rPr>
                <w:sz w:val="18"/>
                <w:szCs w:val="18"/>
              </w:rPr>
            </w:pPr>
            <w:r>
              <w:rPr>
                <w:sz w:val="18"/>
                <w:szCs w:val="18"/>
              </w:rPr>
              <w:t>*The inclusion of links for the 3D printed files is and will be greatly appreciated.</w:t>
            </w:r>
          </w:p>
          <w:p w:rsidR="0081525D" w:rsidRDefault="00B17320">
            <w:pPr>
              <w:spacing w:after="200"/>
              <w:rPr>
                <w:color w:val="0000FF"/>
                <w:sz w:val="18"/>
                <w:szCs w:val="18"/>
              </w:rPr>
            </w:pPr>
            <w:r>
              <w:rPr>
                <w:color w:val="0000FF"/>
                <w:sz w:val="18"/>
                <w:szCs w:val="18"/>
              </w:rPr>
              <w:t xml:space="preserve">The links were made public so they will not expire and have been added to the materials table. In addition, we have included the </w:t>
            </w:r>
            <w:proofErr w:type="spellStart"/>
            <w:r>
              <w:rPr>
                <w:color w:val="0000FF"/>
                <w:sz w:val="18"/>
                <w:szCs w:val="18"/>
              </w:rPr>
              <w:t>stl</w:t>
            </w:r>
            <w:proofErr w:type="spellEnd"/>
            <w:r>
              <w:rPr>
                <w:color w:val="0000FF"/>
                <w:sz w:val="18"/>
                <w:szCs w:val="18"/>
              </w:rPr>
              <w:t xml:space="preserve"> files.</w:t>
            </w:r>
            <w:bookmarkStart w:id="0" w:name="_GoBack"/>
            <w:bookmarkEnd w:id="0"/>
          </w:p>
        </w:tc>
      </w:tr>
      <w:tr w:rsidR="0081525D">
        <w:trPr>
          <w:trHeight w:val="450"/>
        </w:trPr>
        <w:tc>
          <w:tcPr>
            <w:tcW w:w="9360" w:type="dxa"/>
            <w:tcBorders>
              <w:top w:val="nil"/>
              <w:left w:val="nil"/>
              <w:bottom w:val="nil"/>
              <w:right w:val="nil"/>
            </w:tcBorders>
            <w:tcMar>
              <w:top w:w="40" w:type="dxa"/>
              <w:left w:w="40" w:type="dxa"/>
              <w:bottom w:w="40" w:type="dxa"/>
              <w:right w:w="40" w:type="dxa"/>
            </w:tcMar>
            <w:vAlign w:val="bottom"/>
          </w:tcPr>
          <w:p w:rsidR="0081525D" w:rsidRDefault="0081525D">
            <w:pPr>
              <w:spacing w:after="200"/>
              <w:rPr>
                <w:sz w:val="20"/>
                <w:szCs w:val="20"/>
              </w:rPr>
            </w:pPr>
          </w:p>
        </w:tc>
      </w:tr>
      <w:tr w:rsidR="0081525D">
        <w:trPr>
          <w:trHeight w:val="450"/>
        </w:trPr>
        <w:tc>
          <w:tcPr>
            <w:tcW w:w="9360" w:type="dxa"/>
            <w:tcBorders>
              <w:top w:val="nil"/>
              <w:left w:val="nil"/>
              <w:bottom w:val="nil"/>
              <w:right w:val="nil"/>
            </w:tcBorders>
            <w:tcMar>
              <w:top w:w="40" w:type="dxa"/>
              <w:left w:w="40" w:type="dxa"/>
              <w:bottom w:w="40" w:type="dxa"/>
              <w:right w:w="40" w:type="dxa"/>
            </w:tcMar>
            <w:vAlign w:val="bottom"/>
          </w:tcPr>
          <w:p w:rsidR="0081525D" w:rsidRDefault="0081525D">
            <w:pPr>
              <w:spacing w:after="200"/>
              <w:rPr>
                <w:sz w:val="20"/>
                <w:szCs w:val="20"/>
              </w:rPr>
            </w:pPr>
          </w:p>
        </w:tc>
      </w:tr>
    </w:tbl>
    <w:p w:rsidR="0081525D" w:rsidRDefault="0081525D"/>
    <w:sectPr w:rsidR="008152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Roboto">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5D"/>
    <w:rsid w:val="00117A95"/>
    <w:rsid w:val="0081525D"/>
    <w:rsid w:val="00B1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6AF574"/>
  <w15:docId w15:val="{9F1B4B2E-B053-F145-8BE8-A0E92499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 Megan C</cp:lastModifiedBy>
  <cp:revision>3</cp:revision>
  <dcterms:created xsi:type="dcterms:W3CDTF">2020-02-12T00:39:00Z</dcterms:created>
  <dcterms:modified xsi:type="dcterms:W3CDTF">2020-02-12T18:36:00Z</dcterms:modified>
</cp:coreProperties>
</file>