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 Lab-On-A-Chip Platform for Stimulating Osteocyte Mechanotransduction and Analyzing Functional Outcomes of Bone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Sharon L. Truesdell, Estee L. George, Christopher C. Van Vranken, Marnie M. Saunders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The University of Akron, OH,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Estee L. George</w:t>
        <w:tab/>
        <w:tab/>
        <w:t xml:space="preserve">(eg55@zips.uakron.edu)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C. Van Vranken</w:t>
        <w:tab/>
        <w:t xml:space="preserve">(ccv14@zips.uakron.edu)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Marnie M. Saunders</w:t>
        <w:tab/>
        <w:tab/>
        <w:t xml:space="preserve">(mms129@uakron.edu)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Sharon L. Truesdell</w:t>
        <w:tab/>
        <w:tab/>
        <w:t xml:space="preserve">(slt79@zips.uakron.edu)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Lab-on-a-chip, Bone remodeling, Mechanotransduction, Bone formation, Bone resorption, Osteocytes, Osteoblasts, Osteoclasts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protocols for analyzing bone remodeling within a lab-on-a-chip platform. A 3D printed mechanical loading device can be paired with the platform to induce osteocyte mechanostransduction by deforming the cellular matrix. The platform can also be used to quantify bone remodeling functional outcomes from osteoclasts and osteoblasts (resorption/formation).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remodeling is a tightly regulated process that is required for skeletal growth and repair as well as adapting to changes in the mechanical environment. During this process, mechanosensitive osteocytes regulate the opposing responses between the catabolic osteoclasts and anabolic osteoblasts. To better understand the highly intricate signaling pathways that regulate this process, our lab has developed a foundationary lab-on-a-chip (LOC) platform for analyzing functional outcomes (formation and resorption) of bone remodeling within a small scale system. As bone remodeling is a lengthy process that occurs on the order of weeks to months, we developed long-term cell culturing protocols within the system. Osteoblasts and osteoclasts were grown on functional activity substrates within the LOC and maintained for up to seven weeks. Afterward, chips were disassembled to allow for the quantification of bone formation and resorption. Additionally, we have designed a 3D printed mechanical loading device that pairs with the LOC platform and can be used to induce osteocyte mechanotransduction by deforming the cellular matrix. We have optimized cell culturing protocols for osteocytes, osteoblasts, and osteoclasts within the LOC platform and have addressed concerns of sterility and cytotoxicity. Here, we present the protocols for fabricating and sterilizing the LOC, seeding cells on functional substrates, inducing mechanical load, and disassembling the LOC to quantify endpoint results. We believe that these techniques lay the groundwork for developing a true organ-on-a-chip for bone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Bone is a highly dynamic tissue that requires intricate coordination among the three major cell types: osteocytes, osteoblasts, and osteoclasts. Multicellular interactions among these cells are responsible for the bone loss that occurs during paralysis and long-term immobility and for the bone formation that occurs in response to growth and exercise. Osteocytes, the most abundant bone cell type, are highly sensitive to mechanical stimuli applied to the bone. Mechanical stimulation alters osteocyte metabolic activity and leads to an increase in key signaling molecules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Through this process, known as mechanotransduction, osteocytes can directly coordinate the activities of osteoblasts (bone forming cells) and osteoclasts (bone resorbing cells). Maintaining bone homeostasis requires a tight regulation between bone formation and bone resorption rates; however, disruptions in this process can result in disease states such as osteoporosis or osteopetrosis.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complexity of interactions between these three cell types lends itself well to investigation utilizing microfluidic and lab-on-a-chip (LOC) technologies. To that end, our lab has recently established proof of concept of a LOC platform for analyzing bone resorption and formation (functional outcomes) in the bone remodeling process. The platform can be used for the study of cellular interactions, altered loading environments, and investigational drug screening. In recent years, various microfluidic devices have been developed for investigating the molecular signaling pathways that regulate bone remodeling; however, many of these systems quantify remodeling through indirect markers that are indicative of functional activity</w:t>
      </w:r>
      <w:r>
        <w:rPr>
          <w:rFonts w:ascii="Calibri" w:hAnsi="Calibri" w:cs="Calibri" w:eastAsia="Calibri"/>
          <w:color w:val="auto"/>
          <w:spacing w:val="0"/>
          <w:position w:val="0"/>
          <w:sz w:val="24"/>
          <w:shd w:fill="FFFFFF" w:val="clear"/>
          <w:vertAlign w:val="superscript"/>
        </w:rPr>
        <w:t xml:space="preserve">3,4,5,6,7</w:t>
      </w:r>
      <w:r>
        <w:rPr>
          <w:rFonts w:ascii="Calibri" w:hAnsi="Calibri" w:cs="Calibri" w:eastAsia="Calibri"/>
          <w:color w:val="auto"/>
          <w:spacing w:val="0"/>
          <w:position w:val="0"/>
          <w:sz w:val="24"/>
          <w:shd w:fill="FFFFFF" w:val="clear"/>
        </w:rPr>
        <w:t xml:space="preserve">. An advantage of our system is that it can be used for direct quantification of functional outcomes. Bone remodeling is a long-term process. As such, direct quantification of bone resorption and formation requires a culturing system that can be maintained for a minimum of several weeks to months</w:t>
      </w:r>
      <w:r>
        <w:rPr>
          <w:rFonts w:ascii="Calibri" w:hAnsi="Calibri" w:cs="Calibri" w:eastAsia="Calibri"/>
          <w:color w:val="auto"/>
          <w:spacing w:val="0"/>
          <w:position w:val="0"/>
          <w:sz w:val="24"/>
          <w:shd w:fill="FFFFFF" w:val="clear"/>
          <w:vertAlign w:val="superscript"/>
        </w:rPr>
        <w:t xml:space="preserve">8,9,10,11</w:t>
      </w:r>
      <w:r>
        <w:rPr>
          <w:rFonts w:ascii="Calibri" w:hAnsi="Calibri" w:cs="Calibri" w:eastAsia="Calibri"/>
          <w:color w:val="auto"/>
          <w:spacing w:val="0"/>
          <w:position w:val="0"/>
          <w:sz w:val="24"/>
          <w:shd w:fill="FFFFFF" w:val="clear"/>
        </w:rPr>
        <w:t xml:space="preserve">. Thus, when developing the LOC platform, we established long-term culturing protocols necessary for formation and resorption and have maintained cells within the system for up to seven weeks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Additionally, we incorporated appropriate culturing substrates for both cell types into the platform; osteoclasts were cultured directly on bone, and osteoblasts, which are known to be plastic adherent, were cultured on polystyrene discs.  Further, we addressed issues concerning sterility, long-term cytotoxicity and chip disassembly for remodeling analysis</w:t>
      </w:r>
      <w:r>
        <w:rPr>
          <w:rFonts w:ascii="Calibri" w:hAnsi="Calibri" w:cs="Calibri" w:eastAsia="Calibri"/>
          <w:color w:val="auto"/>
          <w:spacing w:val="0"/>
          <w:position w:val="0"/>
          <w:sz w:val="24"/>
          <w:shd w:fill="FFFFFF" w:val="clear"/>
          <w:vertAlign w:val="superscript"/>
        </w:rPr>
        <w:t xml:space="preserve">11,12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LOC platform can also be used to induce osteocyte mechanotransduction through matrix deformation. A 3D printed mechanical loading device was developed to pair with the LOC and apply a static out of plane distention to stretch the cells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To accommodate this mechanical load, the depth of the well within the LOC was increased. This small scale, simple mechanical loading device can be easily produced by labs with limited engineering experience, and we have previously shared drawings of the 3D printed components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In the current work, we demonstrate some of the novel techniques necessary for the successful use of the LOC. Specifically, we demonstrate chip fabrication, cell seeding on functional substrates, mechanical loading and chip disassembly for remodeling quantification. We believe that the explanation of these techniques benefit from a visual format.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Chip mask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 only need to be performed once upon initial receipt of the chip mask. They ensure the mask does not bow during use. The design of the microfluidic masks was previously described</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Masks were designed in-house and commercially fabricated using high resolution stereolithography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Cover the top surface of the mask with plastic sheeting to protect this surface from adhesive. Secure the chip mask to an equally sized acrylic sheet using spray adhesive. Clamp the pieces together overnight to allow the adhesive to fully cure. After the adhesive is dry, remove the plastic sheeting from the top of the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Attach the bottom of the acrylic sheet to a 3D printed leveling box (</w:t>
      </w:r>
      <w:r>
        <w:rPr>
          <w:rFonts w:ascii="Calibri" w:hAnsi="Calibri" w:cs="Calibri" w:eastAsia="Calibri"/>
          <w:b/>
          <w:color w:val="auto"/>
          <w:spacing w:val="0"/>
          <w:position w:val="0"/>
          <w:sz w:val="24"/>
          <w:shd w:fill="auto" w:val="clear"/>
        </w:rPr>
        <w:t xml:space="preserve">Supplementary Figure 1, Supplementary Files 1-4</w:t>
      </w:r>
      <w:r>
        <w:rPr>
          <w:rFonts w:ascii="Calibri" w:hAnsi="Calibri" w:cs="Calibri" w:eastAsia="Calibri"/>
          <w:color w:val="auto"/>
          <w:spacing w:val="0"/>
          <w:position w:val="0"/>
          <w:sz w:val="24"/>
          <w:shd w:fill="auto" w:val="clear"/>
        </w:rPr>
        <w:t xml:space="preserve">) using double-sided tape. Press firmly to ensure a tight bond.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Seal any small openings near the detachable wall of the leveling box with a waterproof sealant. Allow the sealant to cure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Clean the surface of the mask with 70% ethanol (EtOH). Place the leveling box with the desired chip mask in the oven. Use a digital protractor to ensure the top of the mask is level. Adjust the leveling screws if necessary.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PDMS fabrication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shallow-well (1 mm) chip design is used for functional activity (formation and resorption) assays, and a deep-well (10 mm) chip design is used for mechanical loading studies. The bottom of the deep-well is formed by attaching a separate thin PDMS membrane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Lid layer (Layer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Combine 63 g of PDMS prepolymer and 6.3 g of curing agent (10:1 ratio) in a plastic cup. Mix thoroughly with a disposable cell spatula and degas in a vacuum desiccator for 30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Slowly pour mixture into the prepared leveling box. Let the PDMS sit for 30 min and then bake at 45 &amp;#176;C for 18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Loosen the edges of the PDMS with a tapered laboratory spatula and remove the polymer sheet from leveling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Cut individual lids to size (70 mm x 34 mm) using a scalpel and a 3D printed template.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Punch access holes through each lid with a biopsy punch (1 mm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Surface clean the lids with packaging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lids are not being used immediately, wrap each in packaging tape and store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Well and microchannel layer (Layer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Combine the PDMS prepolymer and curing agent (10:1 ratio) in a plastic cup.</w:t>
      </w:r>
      <w:r>
        <w:rPr>
          <w:rFonts w:ascii="Calibri" w:hAnsi="Calibri" w:cs="Calibri" w:eastAsia="Calibri"/>
          <w:color w:val="auto"/>
          <w:spacing w:val="0"/>
          <w:position w:val="0"/>
          <w:sz w:val="24"/>
          <w:shd w:fill="auto" w:val="clear"/>
        </w:rPr>
        <w:t xml:space="preserve"> The shallow-well design requires 43 g of prepolymer and 4.3 g of curing agent, and </w:t>
      </w:r>
      <w:r>
        <w:rPr>
          <w:rFonts w:ascii="Calibri" w:hAnsi="Calibri" w:cs="Calibri" w:eastAsia="Calibri"/>
          <w:color w:val="auto"/>
          <w:spacing w:val="0"/>
          <w:position w:val="0"/>
          <w:sz w:val="24"/>
          <w:shd w:fill="FFFF00" w:val="clear"/>
        </w:rPr>
        <w:t xml:space="preserve">the deep-well design requires 227 g of prepolymer and 22.7 g of curing agent. Mix the polymer vigorously and degas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assumes a mask dimension of 152.4 mm x 152.4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Slowly pour mixture over appropriate pre-leveled mask. Let the PDMS sit for 30 min and then bake at 45 &amp;#176;C for 18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Loosen the edges of the PDMS with a tapered laboratory spatula and carefully peel the polymer away from the mask. Use a scalpel and 3D printed template to cut out individual 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loading studies it is important that the chip dimensions (70 x 34 mm) are precise and that the well is located in the center of the chip.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Surface clean the PDMS with packaging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chips are not being used immediately, wrap each chip in packaging tape and store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Thin PDMS membrane (Layer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layer is only used for the deep-well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Add 12.7 g of PDMS prepolymer and 1.3 g of curing agent (10:1 ratio) to a plastic cup. Mix vigorously and degas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Slowly pour polymer into prepared leveling box and thoroughly scrape plastic cup to remove as much PDMS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Use cell spatula to spread PDMS over entire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polymer is not manually spread out, surface tension will be sufficient to prevent the polymer from forming a uniform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Let the PDMS sit for 30 min and then bake at 45 &amp;#176;C for 18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Loosen the edges of the PDMS with a tapered spatula and carefully remove the PDMS sheet from the leveling box. Cut individual membranes that match the dimensions of layer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Measure the membrane thickness at the center of the membrane using calipers. Discard any membranes that are outside of the desired thickness (0.5 mm &amp;plusmn; 0.1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2.3.7. Carefully clean membranes with packaging tape and place on a piece of paraffin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membranes are not being used immediately, cover the top of the membrane with packaging tape and store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Functional activity substrates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Polystyrene discs and bone wafers must be attached to the bottom of wells that will be used for osteoblast and osteoclast cultures,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Polystyrene discs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masking tape on the back side of a tissue culture treated polystyrene coverslip. Cut circular discs from the coverslip using a sharpened cork-borer (5.4 mm diameter). Submerge the discs in 70% EtOH and leave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Gently scrub the top surface of the disc with a cotton tipped applicator soaked in 70% EtOH. Ensure that the outer edge of the disc is thoroughly cleaned.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Using two pairs of forceps, hold the disc and remove the masking tape backing. Place the disc treated side down and clean the back side with a cotton tipped applicator.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Dip the wooden end of a cotton tipped applicator into a degassed mixture of uncured PDMS and place a small amount of the polymer on the bottom of the desired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Remaining uncured PDMS can be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Place the polystyrene disc, treated side up, into the well and gently press down on the disc with a cotton swab. Ensure that no uncured PDMS comes in contact with the treated side of the disc.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PDMS does come in contact with the treated surface of the disc, remove the disc from the well and repeat steps 3.1.4 and 3.1.5 with a new disc.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Let the chip sit on a level surface for 30 min and then bake at 65 &amp;#176;C for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Bone wafers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Use forceps to place a bone wafer (6 mm diameter, 0.4 mm thick) on the bottom of a 100 mm dish. Hold the wafer steady with the forceps and gently etch an ‘X’ on the back of the wafer with a scalpel.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imaging process, the ‘X’ is used to distinguish between the back of the wafer and the surface on which cells were seeded.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Use the wooden end of a cotton tipped applicator to add a small amount of uncured PDMS to the bottom of the desired well. Place the bone wafer, marked side down, into the well and use a cotton tipped applicator to press the wafer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Let the chip sit on a level surface for 30 min and then bake at 65 &amp;#176;C for 4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Chip assembly and sterilization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Activate the surfaces of layer 1 and layer 2 with a plasma cleaner for 30 s using a medium radio frequency (RF) power setting (equivalent to approximately 10.2 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Align the access holes in layer 1 with the microchannels in layer 2 and firmly press the two layers together.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For the deep-well design, repeat step 4.1 with layer 2 and layer 3. During the plasma treatment, use double-sided tape to attach the paraffin film of layer 3 to a flat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Use a scalpel to trim off excess material from the PDMS membrane. Carefully peel away the sheet of paraffin film from the bottom of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Bake the chip at 65 &amp;#176;C for 10 min to increase bond strength between the PDMS layers.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Insert angled dispensing tips (18 Gauge, 0.5 in, 90&amp;#176;) into the access holes in the lid. Secure the dispensing tips to the lid with a two part epoxy. Use a micropipette tip to apply the epoxy around each dispensing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After the epoxy has fully cured, surface clean the chip with 70% EtOH and place in a biosafety cabinet. Perform all subsequent steps within the biosafety cabinet.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Connect a 5 mL syringe to the dispensing tips with sterile silicone tubing (1/32’’ ID, ~10 cm in length) and fill the entire chip with 70% EtOH for at least 30 s. For the shallow-well design, administer all liquids with a syringe pump set to a flow rate of 4 mL/h. For the deep-well design, administer all liquids by slowly dispensing the syringe by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Remove the EtOH from the chip and sterilize the chip with UV light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Wash the chip 3 times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Fill the chip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remove tubing from the dispensing tips and incubate for at least 48 h at 37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Mechanical loading device assembly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and fabrication processes for the 3D printed mechanical loading device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were previously described and all design files for printed components have been previously provided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Autoclave all components of the loading device for 30 min at 121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warping of printed components, wrap each piece individually in foil and place on a hard flat surface during the autoclaving process. Metal hardware can be wrapped together.  Complete all subsequent steps within a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Place a compression spring around the shaft of the platen and insert the platen into the central hole on the bottom of the base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Attach the dial block to the bottom of the base using four self-tapping screws.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Place a second compression spring around the central screw. Insert the screw into the hexagonal-shaped hole in the bottom of the dial and screw the assembly into the threaded hole in the center of the dial 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Screw four male-female standoffs into the bottom of the base.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 Remove slack from the device by turning the dial counterclockwise until the top of the platen is below the top of the base. Then slowly turn the dial clockwise until the top of the platen is level with the top of the base.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Experimentation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Protocols for functional activity experiments were previously provided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Loading studies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Following step 4.9, use a 5 mL syringe to remove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from the deep-well chip. Coat the bottom of the well with 200 &amp;#181;L of 0.15 mg/mL type I collagen (CTI) in 0.02 M acetic acid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Rinse the chip three times with Dulbecco’s phosphate-buffered saline with calcium and magnesium (DPBS++).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 Place chip into the chip holder and seed with MLO-Y4 osteocytes at a density of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in minimum essential alpha medium (MEM&amp;#945;) supplemented with 5% calf serum, 5% fetal bovine serum, and 1% penicillin/streptomycin.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Remove the tubing from the dispensing tips and place the chip into a deep-well culture dish (150 mm x 25 mm). Incubate cells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72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Attach sterile tubing to dispensing tips and use a 5 mL syringe to remove spent culture medium from the chip. Slowly dispense in fresh culture medium to refill the chip.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 Place the chip holder into the rectangular inset on the top of the loading device base. Feed the tubing through the slots located on the loading device lid and secure the lid to the base with four pan head screws and hex nuts.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ensure that the lid remains level, first secure two screws that are located diagonally from one another before securing the remaining two screws.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6.1.7. Apply load to the cells by turning the dial clockwise until the desired platen displacement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is designed so that one rotation of the dial equates to a platen displacement of 1 mm. The strain field generated on the top of the PDMS membrane was previously modeled as a function of platen displacement using finite element analysis (FEA)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6.1.8. Place the loading device into an empty P1000 micropipette tip box. Incubate the cells with the applied load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loading time period used here serves as an example. Alternative loading times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6.1.9. Following incubation, remove the load from the cells by turning the dial counterclockwise until the platen returns to the original starting position. Remove the lid from the device and place the chip holder into the deep-well culture plate. Incubate the cells for a 90-min post load recovery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Again, the recovery time period used here serves as an example. Alternative recovery times can be used. For long term studies, feed cells every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6.1.10. Use a 5 mL syringe to remove the conditioned medium from the chip.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medium can be saved and stored at -80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6.1.11. Remove the chip from the chip holder and use a tapered spatula to break the bond between the PDMS lid and well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Cellular assays can now be performed following any protocol established for a cell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shallow-well configuration can be used for analyzing functional activity of osteoblasts and osteoclasts. Bone formation via osteoblasts and resorption via osteoclasts requires culturing times on the order of several weeks to months. Bone formation from MC3T3-E1 pre-osteoblasts was quantified using alizarin red and von Kossa stains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At day 49, the average surface area stained with alizarin red was 10.7% &amp;plusmn; 2.2% (mean &amp;plusmn; standard errors of the mean)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average surface area stained with von Kossa was 6.4% &amp;plusmn; 1.6%</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typical formation results from osteoblast cultures at day 49 stained with alizarin red and von Kossa. Bone resorption from RAW264.7 pre-osteoclasts was quantified using toluidine blue staining </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At day 30 the average surface area stained with toluidine blue was 30.4% &amp;plusmn; 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typical bone resorption results from osteoclast cultures stained with toluidine blue at day 30. Scanning electron microscopy was performed to verify the presence of resorption pits. Typical results are shown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These results demonstrate that cells within the device remain viable and functionally active for at least seven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3D printed loading device was designed and fabricated to accommodate the deep-well chip configuration. Together, this system can induce osteocyte mechanotransduction by stretching the cells via a static out-of-plane distention. The 48 h incubation of the chip described in step 4.9 has proven to be a critical process for maintaining cell viability and typical morphology.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representative images of MLO-Y4 osteocytes at 72 h seeded in chips with and without this incubation period. During bouts of loading, osteocytes were exposed to a strain gradient induced on the PDMS membrane on which the cells were seeded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The equivalent strains generated during this process were modeled with FEA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the average equivalent strain produced on the top of the PDMS membrane was determined.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relationship between average equivalent strain and platen displacement for values between 1 and 2 mm. A representative heat map of the induced strain gradient is shown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In this example, a platen displacement of 1.5 mm generated an average equivalent strain of 12.29% on the top of the membrane. This model also demonstrates that the strains induced near the center of the well are relatively low and gradually increase radially outward, with maximum strains generated directly above the outer edge of the platen. Following loading, cell viability was analyzed with lactate dehydrogenase staining and the annexin V and dead cell assay</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Typical results are shown in </w:t>
      </w:r>
      <w:r>
        <w:rPr>
          <w:rFonts w:ascii="Calibri" w:hAnsi="Calibri" w:cs="Calibri" w:eastAsia="Calibri"/>
          <w:b/>
          <w:color w:val="auto"/>
          <w:spacing w:val="0"/>
          <w:position w:val="0"/>
          <w:sz w:val="24"/>
          <w:shd w:fill="auto" w:val="clear"/>
        </w:rPr>
        <w:t xml:space="preserve">Figure 5D,E, </w:t>
      </w:r>
      <w:r>
        <w:rPr>
          <w:rFonts w:ascii="Calibri" w:hAnsi="Calibri" w:cs="Calibri" w:eastAsia="Calibri"/>
          <w:color w:val="auto"/>
          <w:spacing w:val="0"/>
          <w:position w:val="0"/>
          <w:sz w:val="24"/>
          <w:shd w:fill="auto" w:val="clear"/>
        </w:rPr>
        <w:t xml:space="preserve">respectively.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Microfluidic device.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Fabricating and leveling the chip mask. (Left) Schematic of the deep-well chip mask that was designed in-house using CAD software. (Middle) Image of the deep-well chip mask that was commercially printed using high-resolution stereolithography. (Right) The mask is placed within a 3D printed leveling box to ensure the mask remains level during the casting of layer 2 of the chips.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sketches of the shallow-well and deep-well designs of the device. (Top) The shallow-well design was used for analyzing functional activity (formation and resorption) of osteoblasts and osteoclasts. This configuration is formed from two PDMS layers. A functional activity substrate was secured to the bottom of the culture well prior to sealing the layers together. Polystyrene discs and bone wafers were used for osteoblast and osteoclast cultures, respectively. (Bottom) The deep-well design was used for applying mechanical load to osteocytes. This configuration consists of three PDMS layers. The bottom of the culture well is formed by the deformable PDMS membrane (layer 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Fabrication steps for the polystyrene disc used for osteoblast cultures. The back of a tissue culture treated coverslip was marked with masking tape. Individual discs were cut out with a cork-borer. The disc was cleaned with ethanol and a cotton swab. The tape backing was removed and disc was attached to the bottom of the PDMS culture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Design and assembly of the mechanical loading device.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of the assembled mechanical loading device. When coupled with the deep-well design of the PDMS chip, the loading device stretches cells by applying an out of plane distention to a deformable membrane.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Exploded-view of the device. All parts shown in blue were 3D printed with a heat resistant polylactic acid filament. All hardware is stainless steel.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Screw jack mechanism of the loading device. Rotation of the central screw (orange) pushes the platen (green) upward through the base. The upward movement of the platen deforms the PDMS membrane of the deep-well chip on which the cells have been seeded.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Assembly process of the loading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Mechanical loading experiment. </w:t>
      </w:r>
      <w:r>
        <w:rPr>
          <w:rFonts w:ascii="Calibri" w:hAnsi="Calibri" w:cs="Calibri" w:eastAsia="Calibri"/>
          <w:color w:val="auto"/>
          <w:spacing w:val="0"/>
          <w:position w:val="0"/>
          <w:sz w:val="24"/>
          <w:shd w:fill="auto" w:val="clear"/>
        </w:rPr>
        <w:t xml:space="preserve">All liquids were administered and removed from the chip using a 5 mL syringe connected to the access tubing. A critical step in this process is the 48 h incubation with sterile distilled water prior to cell seeding. Without this incubation cells showed low viability and atypical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functional activity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 formation results stained with alizarin red (left) and von Kossa (right) from induced MC3T3-E1 osteoblast cultures at day 49. Whole disc images measure 5.4 mm in diameter.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osteoclast resorption results from RAW264.7 preosteoclasts induced with receptor activator of nuclear factor kappa-B ligand (RANKL). Cells were cultured on bone wafers and stained with toluidine blue at day 30.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Typical scanning electron microscopy  images verifying the presence of resorption pits on bone wafers. The scale bar in the top image represents 200 &amp;#181;m and scale bar in the bottom image represents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Effects of mechanically induced strain on osteocytes.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of MLO-Y4 osteocytes at 72 h in the deep-well chip fabricated with (left) and without (right) a 48 h incubation with distilled water prior to cell seeding.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Finite element analysis was used to model the average equivalent strain generated on the top of the deformable PDMS membrane based on the displacement of the loading device platen. Results from displacements between 1.0 mm and 2.0 mm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Heat map of the modeled strain gradient induced on the PDMS membrane for a platen displacement of 1.5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Typical results of a lactate dehydrogenase stain of drug induced osteocytes that were stretched using a 1.5 mm platen displacement. A lighter cell staining is observed near the outer edge of the well, which corresponds to the location of higher strain values indicative of cell damage and/or death.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flow cytometry results of load-induced apoptosis indicated by an annexin V and dead cell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3D printed leveling box with detachable wall.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Leveling box CAD file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Leveling box CAD file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3: Leveling box CAD file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4: Leveling box hardware list.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Mechanical loading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foundations for fabricating a bone remodeling LOC platform for culturing osteocytes, osteoclasts, and osteoblasts. By altering the depth and size of the well within the chip, multiple configurations were developed for stimulating osteocytes with mechanical load and quantifying functional outcomes of bone remodeling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chip assembly, optimizing the plasma oxidation protocol was critical for eliminating leakage concerns. We found that exposing PDMS surfaces to 30 s of oxygen plasma generated using a medium RF power setting (step 4.1), equal to approximately 10.2 W, was sufficient for creating a strong bond between the layers. The integrity of the bond decreased when longer exposure times or a higher RF power setting were used. This is consistent with previous reports that noted an overexposure of PDMS to oxygen plasma increased surface roughness and reduced adhesiveness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maintaining high cell viability and typical cell morphology was critically dependent on the PDMS curing process. The PDMS polymer consists of crosslinked dimethylsiloxane oligomers. This crosslinking process is both time and temperature dependent; however, even with extensive curing the polymer fails to fully polymerize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remaining oligomers have been shown to leach out of the bulk polymer into surrounding cell culture medium and have even been found in the membranes of cells grown on the polymer surface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Several groups have reported cytotoxic effects from non-crosslinked PDMS oligomers</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To address this concern in our system, we optimized the PDMS curing process. Although the curing rate for PDMS is temperature dependent, the material properties of our chip masks restricted our curing temperature to 45 &amp;#176;C. As such, we determined that the chips should be baked for a minimum of 18 h. Further, we have found that incubating chips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at least 48 h prior to cell seeding (step 4.9) was necessary to reduce cytotoxic effects.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MLO-Y4 osteocytes cultured in chips with and without this incubation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deep-well configuration, which was designed to accommodate mechanical load application, requires that the chip be fabricated from three separate layers. Unlike the shallow-well configuration, fabricating the well and membrane portions as a single piece for the deep-well configuration caused the membrane to warp. This may be due to a difference in curing rates between the thick and thin portions of the chip. To overcome this issue, the membrane layer was constructed separately and bonded to the bottom of the chip following the curing process. To generate a separate membrane layer with uniform thickness, it is critical that the leveling box be completely level prior to adding the PDMS (step 1.4). As such, the use of a digital protractor is recommended to ensure a high degree of accuracy. Additionally, during step 2.3.2, it is critical to remove as much PDMS from the plastic cup as possible. Inconsistencies at this step will lead to high deviations in membrane thicknesses, and ultimately high deviations in the average substrate strain used to induce osteocyte mechanotransduction.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bone remodeling platform provides a high degree of versatility. This system can be used to investigate a variety of factors that regulate bone remodeling, such as load-induced mechanotransduction, multicellular signaling, inflammation, or drug effects. For example, the system was used to analyze the combined effects of mechanical load and inflammation on bone remodeling in a drug induced environment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Mechanical load was applied to bisphosphonate-treated osteocytes. Protein analysis of the conditioned medium revealed a significant increase in the levels of leptin and osteonectin and a significant decrease in the levels of CCL21 and CD36 when compared to osteocytes that were not mechanically loaded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presented here provide a foundation for culturing each cell type within the LOC as well as methods for inducing mechanical load and quantifying functional activity. Moving forward, we are working towards a true bone organ-on-a-chip. Additionally, we believe that using our system to develop mathematical modeling systems could greatly enhance our understanding of the complex multicellular signaling processes that regulate bone remodeling</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Science Foundation under Grant Nos. (CBET 1060990 and EBMS 1700299). Also, this material is based upon work supported by the National Science Foundation Graduate Research Fellowship Program under Grant No. (2018250692). Any opinions, findings, conclusions, or recommendations expressed in this material are those of the authors and do not necessarily reflect the views of the National Science Foundation.&lt;/p&gt;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Hemmatian, H., Bakker, A. D., Klein-Nulend, J., van Lenthe, G. H. Aging, Osteocytes, and Mechanotransduction. </w:t>
      </w:r>
      <w:r>
        <w:rPr>
          <w:rFonts w:ascii="Calibri" w:hAnsi="Calibri" w:cs="Calibri" w:eastAsia="Calibri"/>
          <w:i/>
          <w:color w:val="auto"/>
          <w:spacing w:val="0"/>
          <w:position w:val="0"/>
          <w:sz w:val="24"/>
          <w:shd w:fill="auto" w:val="clear"/>
        </w:rPr>
        <w:t xml:space="preserve">Current Osteoporosis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401-411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Bonewald, L. F. The amazing osteocyte.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229-238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Middleton, K., Al-Dujaili, S., Mei, X., Gunther, A., You, L. Microfluidic co-culture platform for investigating osteocyte-osteoclast signalling during fluid shear stress mechanostimulation.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35-42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multishear microfluidic device for quantitative analysis of calcium dynamics in osteoblasts.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408</w:t>
      </w:r>
      <w:r>
        <w:rPr>
          <w:rFonts w:ascii="Calibri" w:hAnsi="Calibri" w:cs="Calibri" w:eastAsia="Calibri"/>
          <w:color w:val="auto"/>
          <w:spacing w:val="0"/>
          <w:position w:val="0"/>
          <w:sz w:val="24"/>
          <w:shd w:fill="auto" w:val="clear"/>
        </w:rPr>
        <w:t xml:space="preserve"> (2), 350-355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 H.-P.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microfluidic chip-based co-culture of fibroblast-like synoviocytes with osteoblasts and osteoclasts to test bone erosion and drug evaluation. </w:t>
      </w:r>
      <w:r>
        <w:rPr>
          <w:rFonts w:ascii="Calibri" w:hAnsi="Calibri" w:cs="Calibri" w:eastAsia="Calibri"/>
          <w:i/>
          <w:color w:val="auto"/>
          <w:spacing w:val="0"/>
          <w:position w:val="0"/>
          <w:sz w:val="24"/>
          <w:shd w:fill="auto" w:val="clear"/>
        </w:rPr>
        <w:t xml:space="preserve">Royal Society Open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180528-180528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an osteoblast-based 3D continuous-perfusion microfluidic system for drug screening. </w:t>
      </w:r>
      <w:r>
        <w:rPr>
          <w:rFonts w:ascii="Calibri" w:hAnsi="Calibri" w:cs="Calibri" w:eastAsia="Calibri"/>
          <w:i/>
          <w:color w:val="auto"/>
          <w:spacing w:val="0"/>
          <w:position w:val="0"/>
          <w:sz w:val="24"/>
          <w:shd w:fill="auto" w:val="clear"/>
        </w:rPr>
        <w:t xml:space="preserve">Analytical and Bioanalytical </w:t>
      </w:r>
      <w:r>
        <w:rPr>
          <w:rFonts w:ascii="Calibri" w:hAnsi="Calibri" w:cs="Calibri" w:eastAsia="Calibri"/>
          <w:color w:val="auto"/>
          <w:spacing w:val="0"/>
          <w:position w:val="0"/>
          <w:sz w:val="24"/>
          <w:shd w:fill="auto" w:val="clear"/>
        </w:rPr>
        <w:t xml:space="preserve">Chemistry.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(3), 825-832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Yu,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microfluidic-based multi-shear device for investigating the effects of low fluid-induced stresses on osteoblasts.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e89966-e89966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Hwang, P. W., Horton, J. A. Variable osteogenic performance of MC3T3-E1 subclones impacts their utility as models of osteoblast biology.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8299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Beier, E. E., Holz, J. D., Sheu, T. J., Puzas, J. E. Elevated lifetime lead Exposure impedes osteoclast activity and produces an increase in bone mass in adolescent mice.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 277-288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Chaudhary, L. R., Hofmeister, A. M., Hruska, K. A. Differential growth factor control of bone formation through osteoprogenitor differentiation.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402-411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George, E. L., Truesdell, S. L., York, S. L., Saunders, M. M. Lab-on-a-chip platforms for quantification of multicellular interactions in bone remodeling.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(1), 106-118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Truesdell, S. L., George, E. L., Saunders, M. M. Cellular considerations for optimizing bone cell culture and remodeling in a lab-on-a-chip platform.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(In review).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Truesdell, S. L., George, E. L., Seno, C. E., Saunders, M. M. 3D printed loading device for inducing cellular mechanotransduction via matrix deformation. </w:t>
      </w:r>
      <w:r>
        <w:rPr>
          <w:rFonts w:ascii="Calibri" w:hAnsi="Calibri" w:cs="Calibri" w:eastAsia="Calibri"/>
          <w:i/>
          <w:color w:val="auto"/>
          <w:spacing w:val="0"/>
          <w:position w:val="0"/>
          <w:sz w:val="24"/>
          <w:shd w:fill="auto" w:val="clear"/>
        </w:rPr>
        <w:t xml:space="preserve">Experimental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(8), 1223-1232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George, E. L., Truesdell, S. L., Magyar, A. L., Saunders, M. M. The effects of mechanically loaded osteocytes and inflammation on bone remodeling in a bisphosphonate-induced environment.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460-473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George, E. L. Quantifying the roles of stimulated osteocytes and inflammation in bone remodeling Doctor of Philosophy thesis, University of Akron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York, S. L., Sethu, P., Saunders, M. M. In vitro osteocytic microdamage and viability quantification using a microloading platform. </w:t>
      </w:r>
      <w:r>
        <w:rPr>
          <w:rFonts w:ascii="Calibri" w:hAnsi="Calibri" w:cs="Calibri" w:eastAsia="Calibri"/>
          <w:i/>
          <w:color w:val="auto"/>
          <w:spacing w:val="0"/>
          <w:position w:val="0"/>
          <w:sz w:val="24"/>
          <w:shd w:fill="auto" w:val="clear"/>
        </w:rPr>
        <w:t xml:space="preserve">Medical Engineering &amp;amp;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1115-1122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Hui, A. Y., Wang, G., Lin, B., Chan, W. T. Microwave plasma treatment of polymer surface for irreversible sealing of microfluidic devices.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1173-1177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Millare,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Dependence of the quality of adhesion between poly(dimethylsiloxane) and glass surfaces on the conditions of treatment with oxygen plasma.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(22), 13218-13224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Lee, J. N., Park, C., Whitesides, G. M. Solvent compatibility of poly(dimethylsiloxane)-based microfluidic devices.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(23), 6544-6554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Regehr, K.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Biological implications of polydimethylsiloxane-based microfluidic cell culture.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(15), 2132-2139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Y., Burghardt, T. P. Uncured PDMS inhibits myosin in vitro motility in a microfluidic flow cell.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563</w:t>
      </w:r>
      <w:r>
        <w:rPr>
          <w:rFonts w:ascii="Calibri" w:hAnsi="Calibri" w:cs="Calibri" w:eastAsia="Calibri"/>
          <w:color w:val="auto"/>
          <w:spacing w:val="0"/>
          <w:position w:val="0"/>
          <w:sz w:val="24"/>
          <w:shd w:fill="auto" w:val="clear"/>
        </w:rPr>
        <w:t xml:space="preserve"> 56-60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Millet, L. J., Stewart, M. E., Sweedler, J. V., Nuzzo, R. G., Gillette, M. U. Microfluidic devices for culturing primary mammalian neurons at low densities.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987-994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Kilic,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Brain-on-a-chip model enables analysis of human neuronal differentiation and chemotaxis.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 4152-4162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 Scoy, 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cellular automata model of bone formation. </w:t>
      </w:r>
      <w:r>
        <w:rPr>
          <w:rFonts w:ascii="Calibri" w:hAnsi="Calibri" w:cs="Calibri" w:eastAsia="Calibri"/>
          <w:i/>
          <w:color w:val="auto"/>
          <w:spacing w:val="0"/>
          <w:position w:val="0"/>
          <w:sz w:val="24"/>
          <w:shd w:fill="auto" w:val="clear"/>
        </w:rPr>
        <w:t xml:space="preserve">Mathematical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58-64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Truesdell, S. L., Saunders, M. M. Bone remodeling platforms: Understanding the need for multicellular lab-on-a-chip systems and predictive agent-based models. </w:t>
      </w:r>
      <w:r>
        <w:rPr>
          <w:rFonts w:ascii="Calibri" w:hAnsi="Calibri" w:cs="Calibri" w:eastAsia="Calibri"/>
          <w:i/>
          <w:color w:val="auto"/>
          <w:spacing w:val="0"/>
          <w:position w:val="0"/>
          <w:sz w:val="24"/>
          <w:shd w:fill="auto" w:val="clear"/>
        </w:rPr>
        <w:t xml:space="preserve">Mathematical Biosciences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1233-1252 (2020).&lt;/li&gt;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