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52F22" w14:textId="77777777"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b/>
          <w:bCs/>
          <w:color w:val="auto"/>
        </w:rPr>
        <w:t>TITLE:</w:t>
      </w:r>
      <w:r w:rsidRPr="00F852C4">
        <w:rPr>
          <w:rFonts w:asciiTheme="minorHAnsi" w:hAnsiTheme="minorHAnsi" w:cstheme="minorHAnsi"/>
          <w:color w:val="auto"/>
        </w:rPr>
        <w:t xml:space="preserve"> </w:t>
      </w:r>
    </w:p>
    <w:p w14:paraId="6EDDE771" w14:textId="2652B175" w:rsidR="00EA4820" w:rsidRPr="00F852C4" w:rsidRDefault="00EA4820" w:rsidP="00344E04">
      <w:pPr>
        <w:widowControl/>
        <w:rPr>
          <w:rFonts w:asciiTheme="minorHAnsi" w:hAnsiTheme="minorHAnsi" w:cstheme="minorHAnsi"/>
          <w:b/>
          <w:color w:val="auto"/>
        </w:rPr>
      </w:pPr>
      <w:r w:rsidRPr="00344E04">
        <w:rPr>
          <w:rFonts w:asciiTheme="minorHAnsi" w:hAnsiTheme="minorHAnsi" w:cstheme="minorHAnsi"/>
          <w:color w:val="auto"/>
        </w:rPr>
        <w:t>In Situ</w:t>
      </w:r>
      <w:r w:rsidRPr="00F852C4">
        <w:rPr>
          <w:rFonts w:asciiTheme="minorHAnsi" w:hAnsiTheme="minorHAnsi" w:cstheme="minorHAnsi"/>
          <w:color w:val="auto"/>
        </w:rPr>
        <w:t xml:space="preserve"> Chemotaxis Assay to </w:t>
      </w:r>
      <w:r w:rsidR="002B73E4">
        <w:rPr>
          <w:rFonts w:asciiTheme="minorHAnsi" w:hAnsiTheme="minorHAnsi" w:cstheme="minorHAnsi"/>
          <w:color w:val="auto"/>
        </w:rPr>
        <w:t>E</w:t>
      </w:r>
      <w:r w:rsidRPr="00F852C4">
        <w:rPr>
          <w:rFonts w:asciiTheme="minorHAnsi" w:hAnsiTheme="minorHAnsi" w:cstheme="minorHAnsi"/>
          <w:color w:val="auto"/>
        </w:rPr>
        <w:t xml:space="preserve">xamine </w:t>
      </w:r>
      <w:r w:rsidR="002B73E4">
        <w:rPr>
          <w:rFonts w:asciiTheme="minorHAnsi" w:hAnsiTheme="minorHAnsi" w:cstheme="minorHAnsi"/>
          <w:color w:val="auto"/>
        </w:rPr>
        <w:t>M</w:t>
      </w:r>
      <w:r w:rsidRPr="00F852C4">
        <w:rPr>
          <w:rFonts w:asciiTheme="minorHAnsi" w:hAnsiTheme="minorHAnsi" w:cstheme="minorHAnsi"/>
          <w:color w:val="auto"/>
        </w:rPr>
        <w:t xml:space="preserve">icrobial </w:t>
      </w:r>
      <w:r w:rsidR="002B73E4">
        <w:rPr>
          <w:rFonts w:asciiTheme="minorHAnsi" w:hAnsiTheme="minorHAnsi" w:cstheme="minorHAnsi"/>
          <w:color w:val="auto"/>
        </w:rPr>
        <w:t>B</w:t>
      </w:r>
      <w:r w:rsidRPr="00F852C4">
        <w:rPr>
          <w:rFonts w:asciiTheme="minorHAnsi" w:hAnsiTheme="minorHAnsi" w:cstheme="minorHAnsi"/>
          <w:color w:val="auto"/>
        </w:rPr>
        <w:t xml:space="preserve">ehavior in </w:t>
      </w:r>
      <w:r w:rsidR="002B73E4">
        <w:rPr>
          <w:rFonts w:asciiTheme="minorHAnsi" w:hAnsiTheme="minorHAnsi" w:cstheme="minorHAnsi"/>
          <w:color w:val="auto"/>
        </w:rPr>
        <w:t>A</w:t>
      </w:r>
      <w:r w:rsidRPr="00F852C4">
        <w:rPr>
          <w:rFonts w:asciiTheme="minorHAnsi" w:hAnsiTheme="minorHAnsi" w:cstheme="minorHAnsi"/>
          <w:color w:val="auto"/>
        </w:rPr>
        <w:t xml:space="preserve">quatic </w:t>
      </w:r>
      <w:r w:rsidR="002B73E4">
        <w:rPr>
          <w:rFonts w:asciiTheme="minorHAnsi" w:hAnsiTheme="minorHAnsi" w:cstheme="minorHAnsi"/>
          <w:color w:val="auto"/>
        </w:rPr>
        <w:t>E</w:t>
      </w:r>
      <w:r w:rsidRPr="00F852C4">
        <w:rPr>
          <w:rFonts w:asciiTheme="minorHAnsi" w:hAnsiTheme="minorHAnsi" w:cstheme="minorHAnsi"/>
          <w:color w:val="auto"/>
        </w:rPr>
        <w:t>cosystems</w:t>
      </w:r>
    </w:p>
    <w:p w14:paraId="5204CDD0" w14:textId="77777777" w:rsidR="00EA4820" w:rsidRPr="00F852C4" w:rsidRDefault="00EA4820" w:rsidP="00344E04">
      <w:pPr>
        <w:rPr>
          <w:rFonts w:asciiTheme="minorHAnsi" w:hAnsiTheme="minorHAnsi" w:cstheme="minorHAnsi"/>
          <w:b/>
          <w:bCs/>
          <w:color w:val="auto"/>
        </w:rPr>
      </w:pPr>
    </w:p>
    <w:p w14:paraId="1D5896D5" w14:textId="77777777" w:rsidR="00EA4820" w:rsidRPr="00F852C4" w:rsidRDefault="00EA4820" w:rsidP="00344E04">
      <w:pPr>
        <w:rPr>
          <w:rFonts w:asciiTheme="minorHAnsi" w:hAnsiTheme="minorHAnsi" w:cstheme="minorHAnsi"/>
          <w:bCs/>
          <w:color w:val="auto"/>
        </w:rPr>
      </w:pPr>
      <w:r w:rsidRPr="00F852C4">
        <w:rPr>
          <w:rFonts w:asciiTheme="minorHAnsi" w:hAnsiTheme="minorHAnsi" w:cstheme="minorHAnsi"/>
          <w:b/>
          <w:bCs/>
          <w:color w:val="auto"/>
        </w:rPr>
        <w:t>AUTHORS AND AFFILIATIONS:</w:t>
      </w:r>
    </w:p>
    <w:p w14:paraId="7525AF19" w14:textId="5BFE667F" w:rsidR="00EA4820" w:rsidRPr="00F852C4" w:rsidRDefault="00EA4820" w:rsidP="00344E04">
      <w:pPr>
        <w:pStyle w:val="NormalWeb"/>
        <w:spacing w:before="0" w:beforeAutospacing="0" w:after="0" w:afterAutospacing="0"/>
        <w:rPr>
          <w:rFonts w:asciiTheme="minorHAnsi" w:hAnsiTheme="minorHAnsi" w:cstheme="minorHAnsi"/>
          <w:bCs/>
          <w:color w:val="auto"/>
          <w:vertAlign w:val="superscript"/>
        </w:rPr>
      </w:pPr>
      <w:r w:rsidRPr="00F852C4">
        <w:rPr>
          <w:rFonts w:asciiTheme="minorHAnsi" w:hAnsiTheme="minorHAnsi" w:cstheme="minorHAnsi"/>
          <w:bCs/>
          <w:color w:val="auto"/>
        </w:rPr>
        <w:t>Estelle E. Clerc</w:t>
      </w:r>
      <w:r w:rsidRPr="00F852C4">
        <w:rPr>
          <w:rFonts w:asciiTheme="minorHAnsi" w:hAnsiTheme="minorHAnsi" w:cstheme="minorHAnsi"/>
          <w:bCs/>
          <w:color w:val="auto"/>
          <w:vertAlign w:val="superscript"/>
        </w:rPr>
        <w:t>1</w:t>
      </w:r>
      <w:r w:rsidRPr="00F852C4">
        <w:rPr>
          <w:rFonts w:asciiTheme="minorHAnsi" w:hAnsiTheme="minorHAnsi" w:cstheme="minorHAnsi"/>
          <w:bCs/>
          <w:color w:val="auto"/>
        </w:rPr>
        <w:t>, Jean-Baptiste Raina</w:t>
      </w:r>
      <w:r w:rsidRPr="00F852C4">
        <w:rPr>
          <w:rFonts w:asciiTheme="minorHAnsi" w:hAnsiTheme="minorHAnsi" w:cstheme="minorHAnsi"/>
          <w:bCs/>
          <w:color w:val="auto"/>
          <w:vertAlign w:val="superscript"/>
        </w:rPr>
        <w:t>2</w:t>
      </w:r>
      <w:r w:rsidRPr="00F852C4">
        <w:rPr>
          <w:rFonts w:asciiTheme="minorHAnsi" w:hAnsiTheme="minorHAnsi" w:cstheme="minorHAnsi"/>
          <w:bCs/>
          <w:color w:val="auto"/>
        </w:rPr>
        <w:t>, Bennett S. Lambert</w:t>
      </w:r>
      <w:r w:rsidRPr="00F852C4">
        <w:rPr>
          <w:rFonts w:asciiTheme="minorHAnsi" w:hAnsiTheme="minorHAnsi" w:cstheme="minorHAnsi"/>
          <w:bCs/>
          <w:color w:val="auto"/>
          <w:vertAlign w:val="superscript"/>
        </w:rPr>
        <w:t>3</w:t>
      </w:r>
      <w:r w:rsidRPr="00F852C4">
        <w:rPr>
          <w:rFonts w:asciiTheme="minorHAnsi" w:hAnsiTheme="minorHAnsi" w:cstheme="minorHAnsi"/>
          <w:bCs/>
          <w:color w:val="auto"/>
        </w:rPr>
        <w:t>, Justin Seymour</w:t>
      </w:r>
      <w:r w:rsidRPr="00F852C4">
        <w:rPr>
          <w:rFonts w:asciiTheme="minorHAnsi" w:hAnsiTheme="minorHAnsi" w:cstheme="minorHAnsi"/>
          <w:bCs/>
          <w:color w:val="auto"/>
          <w:vertAlign w:val="superscript"/>
        </w:rPr>
        <w:t>2</w:t>
      </w:r>
      <w:r w:rsidR="002B73E4">
        <w:rPr>
          <w:rFonts w:asciiTheme="minorHAnsi" w:hAnsiTheme="minorHAnsi" w:cstheme="minorHAnsi"/>
          <w:bCs/>
          <w:color w:val="auto"/>
        </w:rPr>
        <w:t>,</w:t>
      </w:r>
      <w:r w:rsidRPr="00F852C4">
        <w:rPr>
          <w:rFonts w:asciiTheme="minorHAnsi" w:hAnsiTheme="minorHAnsi" w:cstheme="minorHAnsi"/>
          <w:bCs/>
          <w:color w:val="auto"/>
        </w:rPr>
        <w:t xml:space="preserve"> Roman Stocker</w:t>
      </w:r>
      <w:r w:rsidRPr="00F852C4">
        <w:rPr>
          <w:rFonts w:asciiTheme="minorHAnsi" w:hAnsiTheme="minorHAnsi" w:cstheme="minorHAnsi"/>
          <w:bCs/>
          <w:color w:val="auto"/>
          <w:vertAlign w:val="superscript"/>
        </w:rPr>
        <w:t>1</w:t>
      </w:r>
    </w:p>
    <w:p w14:paraId="41BB4DB7" w14:textId="77777777" w:rsidR="00EA4820" w:rsidRPr="00F852C4" w:rsidRDefault="00EA4820" w:rsidP="00344E04">
      <w:pPr>
        <w:pStyle w:val="NormalWeb"/>
        <w:spacing w:before="0" w:beforeAutospacing="0" w:after="0" w:afterAutospacing="0"/>
        <w:ind w:left="720"/>
        <w:rPr>
          <w:rFonts w:asciiTheme="minorHAnsi" w:hAnsiTheme="minorHAnsi" w:cstheme="minorHAnsi"/>
          <w:bCs/>
          <w:color w:val="auto"/>
          <w:vertAlign w:val="superscript"/>
        </w:rPr>
      </w:pPr>
    </w:p>
    <w:p w14:paraId="49A1343B" w14:textId="5A721660" w:rsidR="00EA4820" w:rsidRPr="00F852C4" w:rsidRDefault="00EA4820" w:rsidP="00344E04">
      <w:pPr>
        <w:pStyle w:val="NormalWeb"/>
        <w:spacing w:before="0" w:beforeAutospacing="0" w:after="0" w:afterAutospacing="0"/>
        <w:rPr>
          <w:rFonts w:asciiTheme="minorHAnsi" w:hAnsiTheme="minorHAnsi" w:cstheme="minorHAnsi"/>
          <w:bCs/>
          <w:color w:val="auto"/>
        </w:rPr>
      </w:pPr>
      <w:r w:rsidRPr="00F852C4">
        <w:rPr>
          <w:rFonts w:asciiTheme="minorHAnsi" w:hAnsiTheme="minorHAnsi" w:cstheme="minorHAnsi"/>
          <w:bCs/>
          <w:color w:val="auto"/>
          <w:vertAlign w:val="superscript"/>
        </w:rPr>
        <w:t>1</w:t>
      </w:r>
      <w:r w:rsidR="00582DF1" w:rsidRPr="00F852C4">
        <w:rPr>
          <w:rFonts w:asciiTheme="minorHAnsi" w:hAnsiTheme="minorHAnsi" w:cstheme="minorHAnsi"/>
          <w:bCs/>
          <w:color w:val="auto"/>
        </w:rPr>
        <w:t xml:space="preserve">Institute of Environmental Engineering, </w:t>
      </w:r>
      <w:r w:rsidRPr="00F852C4">
        <w:rPr>
          <w:rFonts w:asciiTheme="minorHAnsi" w:hAnsiTheme="minorHAnsi" w:cstheme="minorHAnsi"/>
          <w:bCs/>
          <w:color w:val="auto"/>
        </w:rPr>
        <w:t>Department of Civil, Environmental and Geomatic Engineering, ETH Zürich, Zürich, Switzerland</w:t>
      </w:r>
    </w:p>
    <w:p w14:paraId="485D919A" w14:textId="27AF25AE" w:rsidR="00EA4820" w:rsidRPr="00F852C4" w:rsidRDefault="00EA4820" w:rsidP="00344E04">
      <w:pPr>
        <w:pStyle w:val="NormalWeb"/>
        <w:spacing w:before="0" w:beforeAutospacing="0" w:after="0" w:afterAutospacing="0"/>
        <w:rPr>
          <w:rFonts w:asciiTheme="minorHAnsi" w:hAnsiTheme="minorHAnsi" w:cstheme="minorHAnsi"/>
          <w:bCs/>
          <w:color w:val="auto"/>
        </w:rPr>
      </w:pPr>
      <w:r w:rsidRPr="00F852C4">
        <w:rPr>
          <w:rFonts w:asciiTheme="minorHAnsi" w:hAnsiTheme="minorHAnsi" w:cstheme="minorHAnsi"/>
          <w:bCs/>
          <w:color w:val="auto"/>
          <w:vertAlign w:val="superscript"/>
        </w:rPr>
        <w:t>2</w:t>
      </w:r>
      <w:r w:rsidRPr="00F852C4">
        <w:rPr>
          <w:rFonts w:asciiTheme="minorHAnsi" w:hAnsiTheme="minorHAnsi" w:cstheme="minorHAnsi"/>
          <w:bCs/>
          <w:color w:val="auto"/>
        </w:rPr>
        <w:t>Climate Change Cluster, University of Technology Sydney, NSW, Australia</w:t>
      </w:r>
    </w:p>
    <w:p w14:paraId="48A79670" w14:textId="054542B4" w:rsidR="00EA4820" w:rsidRPr="00F852C4" w:rsidRDefault="00EA4820" w:rsidP="00344E04">
      <w:pPr>
        <w:widowControl/>
        <w:autoSpaceDE/>
        <w:autoSpaceDN/>
        <w:adjustRightInd/>
        <w:rPr>
          <w:rFonts w:asciiTheme="minorHAnsi" w:hAnsiTheme="minorHAnsi" w:cstheme="minorHAnsi"/>
          <w:color w:val="auto"/>
        </w:rPr>
      </w:pPr>
      <w:r w:rsidRPr="00F852C4">
        <w:rPr>
          <w:rFonts w:asciiTheme="minorHAnsi" w:hAnsiTheme="minorHAnsi" w:cstheme="minorHAnsi"/>
          <w:bCs/>
          <w:color w:val="auto"/>
          <w:vertAlign w:val="superscript"/>
        </w:rPr>
        <w:t>3</w:t>
      </w:r>
      <w:r w:rsidRPr="00F852C4">
        <w:rPr>
          <w:rFonts w:asciiTheme="minorHAnsi" w:hAnsiTheme="minorHAnsi" w:cstheme="minorHAnsi"/>
          <w:color w:val="auto"/>
        </w:rPr>
        <w:t>School of Oceanography, University of Washington, Seattle, WA, USA</w:t>
      </w:r>
    </w:p>
    <w:p w14:paraId="0EDEC766" w14:textId="77777777" w:rsidR="002B73E4" w:rsidRDefault="002B73E4" w:rsidP="00344E04">
      <w:pPr>
        <w:rPr>
          <w:rFonts w:asciiTheme="minorHAnsi" w:hAnsiTheme="minorHAnsi" w:cstheme="minorHAnsi"/>
          <w:bCs/>
          <w:color w:val="auto"/>
        </w:rPr>
      </w:pPr>
    </w:p>
    <w:p w14:paraId="27C6317E" w14:textId="779F2E52" w:rsidR="002B73E4" w:rsidRPr="00344E04" w:rsidRDefault="002B73E4" w:rsidP="00344E04">
      <w:pPr>
        <w:rPr>
          <w:rFonts w:asciiTheme="minorHAnsi" w:hAnsiTheme="minorHAnsi" w:cstheme="minorHAnsi"/>
          <w:b/>
          <w:color w:val="auto"/>
        </w:rPr>
      </w:pPr>
      <w:r w:rsidRPr="00344E04">
        <w:rPr>
          <w:rFonts w:asciiTheme="minorHAnsi" w:hAnsiTheme="minorHAnsi" w:cstheme="minorHAnsi"/>
          <w:b/>
          <w:color w:val="auto"/>
        </w:rPr>
        <w:t xml:space="preserve">Corresponding Authors: </w:t>
      </w:r>
    </w:p>
    <w:p w14:paraId="7965853D" w14:textId="77777777" w:rsidR="002B73E4" w:rsidRPr="00F852C4" w:rsidRDefault="002B73E4" w:rsidP="00344E04">
      <w:pPr>
        <w:pStyle w:val="NormalWeb"/>
        <w:spacing w:before="0" w:beforeAutospacing="0" w:after="0" w:afterAutospacing="0"/>
        <w:rPr>
          <w:rFonts w:asciiTheme="minorHAnsi" w:hAnsiTheme="minorHAnsi" w:cstheme="minorHAnsi"/>
          <w:bCs/>
          <w:color w:val="auto"/>
          <w:lang w:val="fr-CH"/>
        </w:rPr>
      </w:pPr>
      <w:r w:rsidRPr="00F852C4">
        <w:rPr>
          <w:rFonts w:asciiTheme="minorHAnsi" w:hAnsiTheme="minorHAnsi" w:cstheme="minorHAnsi"/>
          <w:bCs/>
          <w:color w:val="auto"/>
          <w:lang w:val="fr-CH"/>
        </w:rPr>
        <w:t>Roman Stocker</w:t>
      </w:r>
      <w:r w:rsidRPr="00F852C4">
        <w:rPr>
          <w:rFonts w:asciiTheme="minorHAnsi" w:hAnsiTheme="minorHAnsi" w:cstheme="minorHAnsi"/>
          <w:bCs/>
          <w:color w:val="auto"/>
          <w:lang w:val="fr-CH"/>
        </w:rPr>
        <w:tab/>
        <w:t>(romanstocker@ethz.ch)</w:t>
      </w:r>
    </w:p>
    <w:p w14:paraId="46B56687" w14:textId="77777777" w:rsidR="002B73E4" w:rsidRPr="002B5F7F" w:rsidRDefault="002B73E4" w:rsidP="00344E04">
      <w:pPr>
        <w:pStyle w:val="NormalWeb"/>
        <w:spacing w:before="0" w:beforeAutospacing="0" w:after="0" w:afterAutospacing="0"/>
        <w:rPr>
          <w:rFonts w:asciiTheme="minorHAnsi" w:hAnsiTheme="minorHAnsi" w:cstheme="minorHAnsi"/>
          <w:bCs/>
          <w:color w:val="auto"/>
          <w:lang w:val="fr-CH"/>
        </w:rPr>
      </w:pPr>
      <w:r w:rsidRPr="002B5F7F">
        <w:rPr>
          <w:rFonts w:asciiTheme="minorHAnsi" w:hAnsiTheme="minorHAnsi" w:cstheme="minorHAnsi"/>
          <w:bCs/>
          <w:color w:val="auto"/>
          <w:lang w:val="fr-CH"/>
        </w:rPr>
        <w:t>Jean-Baptiste Raina</w:t>
      </w:r>
      <w:r w:rsidRPr="002B5F7F">
        <w:rPr>
          <w:rFonts w:asciiTheme="minorHAnsi" w:hAnsiTheme="minorHAnsi" w:cstheme="minorHAnsi"/>
          <w:bCs/>
          <w:color w:val="auto"/>
          <w:lang w:val="fr-CH"/>
        </w:rPr>
        <w:tab/>
        <w:t>(</w:t>
      </w:r>
      <w:r w:rsidRPr="00221278">
        <w:rPr>
          <w:rFonts w:asciiTheme="minorHAnsi" w:hAnsiTheme="minorHAnsi" w:cstheme="minorHAnsi"/>
          <w:bCs/>
          <w:color w:val="auto"/>
          <w:lang w:val="fr-FR"/>
        </w:rPr>
        <w:t>Jean-Baptiste.Raina@uts.edu.au</w:t>
      </w:r>
      <w:r w:rsidRPr="00226A3D">
        <w:fldChar w:fldCharType="begin"/>
      </w:r>
      <w:r w:rsidRPr="00221278">
        <w:rPr>
          <w:lang w:val="fr-FR"/>
        </w:rPr>
        <w:instrText xml:space="preserve">Jean-Baptiste.Raina@uts.edu.au </w:instrText>
      </w:r>
      <w:r w:rsidRPr="00226A3D">
        <w:fldChar w:fldCharType="separate"/>
      </w:r>
      <w:r w:rsidRPr="00221278">
        <w:rPr>
          <w:rStyle w:val="Hyperlink"/>
          <w:rFonts w:asciiTheme="minorHAnsi" w:hAnsiTheme="minorHAnsi" w:cstheme="minorHAnsi"/>
          <w:bCs/>
          <w:color w:val="auto"/>
          <w:u w:val="none"/>
          <w:lang w:val="fr-CH"/>
        </w:rPr>
        <w:t>Jean-Baptiste.Raina@uts.edu.au</w:t>
      </w:r>
      <w:r w:rsidRPr="00226A3D">
        <w:rPr>
          <w:rStyle w:val="Hyperlink"/>
          <w:rFonts w:asciiTheme="minorHAnsi" w:hAnsiTheme="minorHAnsi" w:cstheme="minorHAnsi"/>
          <w:bCs/>
          <w:color w:val="auto"/>
          <w:u w:val="none"/>
          <w:lang w:val="fr-CH"/>
        </w:rPr>
        <w:fldChar w:fldCharType="end"/>
      </w:r>
      <w:r w:rsidRPr="002B5F7F">
        <w:rPr>
          <w:rFonts w:asciiTheme="minorHAnsi" w:hAnsiTheme="minorHAnsi" w:cstheme="minorHAnsi"/>
          <w:bCs/>
          <w:color w:val="auto"/>
          <w:lang w:val="fr-CH"/>
        </w:rPr>
        <w:t>)</w:t>
      </w:r>
    </w:p>
    <w:p w14:paraId="60432A31" w14:textId="77777777" w:rsidR="00EA4820" w:rsidRPr="00F852C4" w:rsidRDefault="00EA4820" w:rsidP="00344E04">
      <w:pPr>
        <w:rPr>
          <w:rFonts w:asciiTheme="minorHAnsi" w:hAnsiTheme="minorHAnsi" w:cstheme="minorHAnsi"/>
          <w:bCs/>
          <w:color w:val="auto"/>
        </w:rPr>
      </w:pPr>
    </w:p>
    <w:p w14:paraId="0BB67C09" w14:textId="620903FD" w:rsidR="00EA4820" w:rsidRPr="00344E04" w:rsidRDefault="00EA4820" w:rsidP="00344E04">
      <w:pPr>
        <w:rPr>
          <w:rFonts w:asciiTheme="minorHAnsi" w:hAnsiTheme="minorHAnsi" w:cstheme="minorHAnsi"/>
          <w:b/>
          <w:color w:val="auto"/>
        </w:rPr>
      </w:pPr>
      <w:r w:rsidRPr="00344E04">
        <w:rPr>
          <w:rFonts w:asciiTheme="minorHAnsi" w:hAnsiTheme="minorHAnsi" w:cstheme="minorHAnsi"/>
          <w:b/>
          <w:color w:val="auto"/>
        </w:rPr>
        <w:t xml:space="preserve">Email </w:t>
      </w:r>
      <w:r w:rsidR="002B73E4" w:rsidRPr="00344E04">
        <w:rPr>
          <w:rFonts w:asciiTheme="minorHAnsi" w:hAnsiTheme="minorHAnsi" w:cstheme="minorHAnsi"/>
          <w:b/>
          <w:color w:val="auto"/>
        </w:rPr>
        <w:t>A</w:t>
      </w:r>
      <w:r w:rsidRPr="00344E04">
        <w:rPr>
          <w:rFonts w:asciiTheme="minorHAnsi" w:hAnsiTheme="minorHAnsi" w:cstheme="minorHAnsi"/>
          <w:b/>
          <w:color w:val="auto"/>
        </w:rPr>
        <w:t xml:space="preserve">ddresses of </w:t>
      </w:r>
      <w:r w:rsidR="002B73E4" w:rsidRPr="00344E04">
        <w:rPr>
          <w:rFonts w:asciiTheme="minorHAnsi" w:hAnsiTheme="minorHAnsi" w:cstheme="minorHAnsi"/>
          <w:b/>
          <w:color w:val="auto"/>
        </w:rPr>
        <w:t>C</w:t>
      </w:r>
      <w:r w:rsidRPr="00344E04">
        <w:rPr>
          <w:rFonts w:asciiTheme="minorHAnsi" w:hAnsiTheme="minorHAnsi" w:cstheme="minorHAnsi"/>
          <w:b/>
          <w:color w:val="auto"/>
        </w:rPr>
        <w:t>o-authors:</w:t>
      </w:r>
    </w:p>
    <w:p w14:paraId="72C11DC3" w14:textId="2ABC662B" w:rsidR="00EA4820" w:rsidRPr="00221278" w:rsidRDefault="00EA4820" w:rsidP="00344E04">
      <w:pPr>
        <w:pStyle w:val="NormalWeb"/>
        <w:spacing w:before="0" w:beforeAutospacing="0" w:after="0" w:afterAutospacing="0"/>
        <w:rPr>
          <w:rFonts w:asciiTheme="minorHAnsi" w:hAnsiTheme="minorHAnsi" w:cstheme="minorHAnsi"/>
          <w:bCs/>
          <w:color w:val="auto"/>
        </w:rPr>
      </w:pPr>
      <w:r w:rsidRPr="00221278">
        <w:rPr>
          <w:rFonts w:asciiTheme="minorHAnsi" w:hAnsiTheme="minorHAnsi" w:cstheme="minorHAnsi"/>
          <w:bCs/>
          <w:color w:val="auto"/>
        </w:rPr>
        <w:t>Estelle E. Clerc</w:t>
      </w:r>
      <w:r w:rsidRPr="00221278">
        <w:rPr>
          <w:rFonts w:asciiTheme="minorHAnsi" w:hAnsiTheme="minorHAnsi" w:cstheme="minorHAnsi"/>
          <w:bCs/>
          <w:color w:val="auto"/>
        </w:rPr>
        <w:tab/>
      </w:r>
      <w:r w:rsidRPr="00221278">
        <w:rPr>
          <w:rFonts w:asciiTheme="minorHAnsi" w:hAnsiTheme="minorHAnsi" w:cstheme="minorHAnsi"/>
          <w:bCs/>
          <w:color w:val="auto"/>
        </w:rPr>
        <w:tab/>
        <w:t>(</w:t>
      </w:r>
      <w:hyperlink r:id="rId11" w:history="1">
        <w:r w:rsidR="00D942D0" w:rsidRPr="00221278">
          <w:rPr>
            <w:rStyle w:val="Hyperlink"/>
            <w:rFonts w:asciiTheme="minorHAnsi" w:hAnsiTheme="minorHAnsi" w:cstheme="minorHAnsi"/>
            <w:bCs/>
            <w:color w:val="000000" w:themeColor="text1"/>
            <w:u w:val="none"/>
          </w:rPr>
          <w:t>eclerc@ethz.ch</w:t>
        </w:r>
      </w:hyperlink>
      <w:r w:rsidRPr="00221278">
        <w:rPr>
          <w:rFonts w:asciiTheme="minorHAnsi" w:hAnsiTheme="minorHAnsi" w:cstheme="minorHAnsi"/>
          <w:bCs/>
          <w:color w:val="000000" w:themeColor="text1"/>
        </w:rPr>
        <w:t>)</w:t>
      </w:r>
    </w:p>
    <w:p w14:paraId="759FC064" w14:textId="77777777" w:rsidR="00EA4820" w:rsidRPr="00221278" w:rsidRDefault="00EA4820" w:rsidP="00344E04">
      <w:pPr>
        <w:pStyle w:val="NormalWeb"/>
        <w:spacing w:before="0" w:beforeAutospacing="0" w:after="0" w:afterAutospacing="0"/>
        <w:rPr>
          <w:rFonts w:asciiTheme="minorHAnsi" w:hAnsiTheme="minorHAnsi" w:cstheme="minorHAnsi"/>
          <w:bCs/>
          <w:color w:val="auto"/>
        </w:rPr>
      </w:pPr>
      <w:r w:rsidRPr="00221278">
        <w:rPr>
          <w:rFonts w:asciiTheme="minorHAnsi" w:hAnsiTheme="minorHAnsi" w:cstheme="minorHAnsi"/>
          <w:bCs/>
          <w:color w:val="auto"/>
        </w:rPr>
        <w:t>Jean-Baptiste Raina</w:t>
      </w:r>
      <w:r w:rsidRPr="00221278">
        <w:rPr>
          <w:rFonts w:asciiTheme="minorHAnsi" w:hAnsiTheme="minorHAnsi" w:cstheme="minorHAnsi"/>
          <w:bCs/>
          <w:color w:val="auto"/>
        </w:rPr>
        <w:tab/>
        <w:t>(</w:t>
      </w:r>
      <w:hyperlink r:id="rId12" w:history="1">
        <w:r w:rsidRPr="00221278">
          <w:rPr>
            <w:rStyle w:val="Hyperlink"/>
            <w:rFonts w:asciiTheme="minorHAnsi" w:hAnsiTheme="minorHAnsi" w:cstheme="minorHAnsi"/>
            <w:bCs/>
            <w:color w:val="auto"/>
            <w:u w:val="none"/>
          </w:rPr>
          <w:t>Jean-Baptiste.Raina@uts.edu.au</w:t>
        </w:r>
      </w:hyperlink>
      <w:r w:rsidRPr="00221278">
        <w:rPr>
          <w:rFonts w:asciiTheme="minorHAnsi" w:hAnsiTheme="minorHAnsi" w:cstheme="minorHAnsi"/>
          <w:bCs/>
          <w:color w:val="auto"/>
        </w:rPr>
        <w:t>)</w:t>
      </w:r>
    </w:p>
    <w:p w14:paraId="0CA4B497" w14:textId="77777777" w:rsidR="00EA4820" w:rsidRPr="00221278" w:rsidRDefault="00EA4820" w:rsidP="00344E04">
      <w:pPr>
        <w:pStyle w:val="NormalWeb"/>
        <w:spacing w:before="0" w:beforeAutospacing="0" w:after="0" w:afterAutospacing="0"/>
        <w:rPr>
          <w:rFonts w:asciiTheme="minorHAnsi" w:hAnsiTheme="minorHAnsi" w:cstheme="minorHAnsi"/>
          <w:bCs/>
          <w:color w:val="auto"/>
        </w:rPr>
      </w:pPr>
      <w:r w:rsidRPr="00221278">
        <w:rPr>
          <w:rFonts w:asciiTheme="minorHAnsi" w:hAnsiTheme="minorHAnsi" w:cstheme="minorHAnsi"/>
          <w:bCs/>
          <w:color w:val="auto"/>
        </w:rPr>
        <w:t>Bennett Lambert</w:t>
      </w:r>
      <w:r w:rsidRPr="00221278">
        <w:rPr>
          <w:rFonts w:asciiTheme="minorHAnsi" w:hAnsiTheme="minorHAnsi" w:cstheme="minorHAnsi"/>
          <w:bCs/>
          <w:color w:val="auto"/>
        </w:rPr>
        <w:tab/>
        <w:t>(</w:t>
      </w:r>
      <w:hyperlink r:id="rId13" w:history="1">
        <w:r w:rsidRPr="00221278">
          <w:rPr>
            <w:rStyle w:val="Hyperlink"/>
            <w:rFonts w:asciiTheme="minorHAnsi" w:hAnsiTheme="minorHAnsi" w:cstheme="minorHAnsi"/>
            <w:bCs/>
            <w:color w:val="auto"/>
            <w:u w:val="none"/>
          </w:rPr>
          <w:t>Lambertb@uw.edu</w:t>
        </w:r>
      </w:hyperlink>
      <w:r w:rsidRPr="00221278">
        <w:rPr>
          <w:rFonts w:asciiTheme="minorHAnsi" w:hAnsiTheme="minorHAnsi" w:cstheme="minorHAnsi"/>
          <w:bCs/>
          <w:color w:val="auto"/>
        </w:rPr>
        <w:t>)</w:t>
      </w:r>
    </w:p>
    <w:p w14:paraId="25B0CCDD" w14:textId="77777777" w:rsidR="00EA4820" w:rsidRPr="00221278" w:rsidRDefault="00EA4820" w:rsidP="00344E04">
      <w:pPr>
        <w:pStyle w:val="NormalWeb"/>
        <w:tabs>
          <w:tab w:val="left" w:pos="1418"/>
        </w:tabs>
        <w:spacing w:before="0" w:beforeAutospacing="0" w:after="0" w:afterAutospacing="0"/>
        <w:rPr>
          <w:rFonts w:asciiTheme="minorHAnsi" w:hAnsiTheme="minorHAnsi" w:cstheme="minorHAnsi"/>
          <w:bCs/>
          <w:color w:val="auto"/>
        </w:rPr>
      </w:pPr>
      <w:r w:rsidRPr="00221278">
        <w:rPr>
          <w:rFonts w:asciiTheme="minorHAnsi" w:hAnsiTheme="minorHAnsi" w:cstheme="minorHAnsi"/>
          <w:bCs/>
          <w:color w:val="auto"/>
        </w:rPr>
        <w:t>Justin Seymour</w:t>
      </w:r>
      <w:r w:rsidRPr="00221278">
        <w:rPr>
          <w:rFonts w:asciiTheme="minorHAnsi" w:hAnsiTheme="minorHAnsi" w:cstheme="minorHAnsi"/>
          <w:bCs/>
          <w:color w:val="auto"/>
        </w:rPr>
        <w:tab/>
        <w:t>(</w:t>
      </w:r>
      <w:hyperlink r:id="rId14" w:history="1">
        <w:r w:rsidRPr="00221278">
          <w:rPr>
            <w:rStyle w:val="Hyperlink"/>
            <w:rFonts w:asciiTheme="minorHAnsi" w:hAnsiTheme="minorHAnsi" w:cstheme="minorHAnsi"/>
            <w:bCs/>
            <w:color w:val="auto"/>
            <w:u w:val="none"/>
          </w:rPr>
          <w:t>Justin.Seymour@uts.edu.au</w:t>
        </w:r>
      </w:hyperlink>
      <w:r w:rsidRPr="00221278">
        <w:rPr>
          <w:rFonts w:asciiTheme="minorHAnsi" w:hAnsiTheme="minorHAnsi" w:cstheme="minorHAnsi"/>
          <w:bCs/>
          <w:color w:val="auto"/>
        </w:rPr>
        <w:t>)</w:t>
      </w:r>
    </w:p>
    <w:p w14:paraId="0AB0031E" w14:textId="1A96A3B9" w:rsidR="00EA4820" w:rsidRPr="00F852C4" w:rsidRDefault="00EA4820" w:rsidP="00344E04">
      <w:pPr>
        <w:pStyle w:val="NormalWeb"/>
        <w:spacing w:before="0" w:beforeAutospacing="0" w:after="0" w:afterAutospacing="0"/>
        <w:rPr>
          <w:rFonts w:asciiTheme="minorHAnsi" w:hAnsiTheme="minorHAnsi" w:cstheme="minorHAnsi"/>
          <w:bCs/>
          <w:color w:val="auto"/>
        </w:rPr>
      </w:pPr>
      <w:r w:rsidRPr="00F852C4">
        <w:rPr>
          <w:rFonts w:asciiTheme="minorHAnsi" w:hAnsiTheme="minorHAnsi" w:cstheme="minorHAnsi"/>
          <w:bCs/>
          <w:color w:val="auto"/>
        </w:rPr>
        <w:t>Roman Stocker</w:t>
      </w:r>
      <w:r w:rsidRPr="00F852C4">
        <w:rPr>
          <w:rFonts w:asciiTheme="minorHAnsi" w:hAnsiTheme="minorHAnsi" w:cstheme="minorHAnsi"/>
          <w:bCs/>
          <w:color w:val="auto"/>
        </w:rPr>
        <w:tab/>
        <w:t>(</w:t>
      </w:r>
      <w:r w:rsidR="00E85FC1" w:rsidRPr="00F852C4">
        <w:rPr>
          <w:rFonts w:asciiTheme="minorHAnsi" w:hAnsiTheme="minorHAnsi" w:cstheme="minorHAnsi"/>
          <w:bCs/>
          <w:color w:val="auto"/>
        </w:rPr>
        <w:t>r</w:t>
      </w:r>
      <w:r w:rsidRPr="00F852C4">
        <w:rPr>
          <w:rFonts w:asciiTheme="minorHAnsi" w:hAnsiTheme="minorHAnsi" w:cstheme="minorHAnsi"/>
          <w:bCs/>
          <w:color w:val="auto"/>
        </w:rPr>
        <w:t>omanstocker@ethz.ch)</w:t>
      </w:r>
    </w:p>
    <w:p w14:paraId="658EA40F" w14:textId="77777777" w:rsidR="00EA4820" w:rsidRPr="002B5F7F" w:rsidRDefault="00EA4820" w:rsidP="00344E04">
      <w:pPr>
        <w:rPr>
          <w:rFonts w:asciiTheme="minorHAnsi" w:hAnsiTheme="minorHAnsi" w:cstheme="minorHAnsi"/>
          <w:bCs/>
          <w:color w:val="auto"/>
          <w:lang w:val="fr-CH"/>
        </w:rPr>
      </w:pPr>
    </w:p>
    <w:p w14:paraId="2C38C2DE" w14:textId="77777777"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b/>
          <w:bCs/>
          <w:color w:val="auto"/>
        </w:rPr>
        <w:t>KEYWORDS:</w:t>
      </w:r>
      <w:r w:rsidRPr="00F852C4">
        <w:rPr>
          <w:rFonts w:asciiTheme="minorHAnsi" w:hAnsiTheme="minorHAnsi" w:cstheme="minorHAnsi"/>
          <w:color w:val="auto"/>
        </w:rPr>
        <w:t xml:space="preserve"> </w:t>
      </w:r>
    </w:p>
    <w:p w14:paraId="18989C50" w14:textId="1C2CD1C2" w:rsidR="00EA4820" w:rsidRPr="00F852C4" w:rsidRDefault="002B73E4" w:rsidP="00344E04">
      <w:pPr>
        <w:rPr>
          <w:rFonts w:asciiTheme="minorHAnsi" w:hAnsiTheme="minorHAnsi" w:cstheme="minorHAnsi"/>
          <w:color w:val="auto"/>
        </w:rPr>
      </w:pPr>
      <w:r>
        <w:rPr>
          <w:rFonts w:asciiTheme="minorHAnsi" w:hAnsiTheme="minorHAnsi" w:cstheme="minorHAnsi"/>
          <w:color w:val="auto"/>
        </w:rPr>
        <w:t>m</w:t>
      </w:r>
      <w:r w:rsidR="00EA4820" w:rsidRPr="00F852C4">
        <w:rPr>
          <w:rFonts w:asciiTheme="minorHAnsi" w:hAnsiTheme="minorHAnsi" w:cstheme="minorHAnsi"/>
          <w:color w:val="auto"/>
        </w:rPr>
        <w:t xml:space="preserve">icrofluidics, </w:t>
      </w:r>
      <w:r>
        <w:rPr>
          <w:rFonts w:asciiTheme="minorHAnsi" w:hAnsiTheme="minorHAnsi" w:cstheme="minorHAnsi"/>
          <w:color w:val="auto"/>
        </w:rPr>
        <w:t>c</w:t>
      </w:r>
      <w:r w:rsidR="00EA4820" w:rsidRPr="00F852C4">
        <w:rPr>
          <w:rFonts w:asciiTheme="minorHAnsi" w:hAnsiTheme="minorHAnsi" w:cstheme="minorHAnsi"/>
          <w:color w:val="auto"/>
        </w:rPr>
        <w:t xml:space="preserve">hemotaxis, </w:t>
      </w:r>
      <w:r>
        <w:rPr>
          <w:rFonts w:asciiTheme="minorHAnsi" w:hAnsiTheme="minorHAnsi" w:cstheme="minorHAnsi"/>
          <w:color w:val="auto"/>
        </w:rPr>
        <w:t>i</w:t>
      </w:r>
      <w:r w:rsidR="00EA4820" w:rsidRPr="00F852C4">
        <w:rPr>
          <w:rFonts w:asciiTheme="minorHAnsi" w:hAnsiTheme="minorHAnsi" w:cstheme="minorHAnsi"/>
          <w:color w:val="auto"/>
        </w:rPr>
        <w:t xml:space="preserve">n </w:t>
      </w:r>
      <w:r>
        <w:rPr>
          <w:rFonts w:asciiTheme="minorHAnsi" w:hAnsiTheme="minorHAnsi" w:cstheme="minorHAnsi"/>
          <w:color w:val="auto"/>
        </w:rPr>
        <w:t>s</w:t>
      </w:r>
      <w:r w:rsidR="00EA4820" w:rsidRPr="00F852C4">
        <w:rPr>
          <w:rFonts w:asciiTheme="minorHAnsi" w:hAnsiTheme="minorHAnsi" w:cstheme="minorHAnsi"/>
          <w:color w:val="auto"/>
        </w:rPr>
        <w:t xml:space="preserve">itu, </w:t>
      </w:r>
      <w:r>
        <w:rPr>
          <w:rFonts w:asciiTheme="minorHAnsi" w:hAnsiTheme="minorHAnsi" w:cstheme="minorHAnsi"/>
          <w:color w:val="auto"/>
        </w:rPr>
        <w:t>m</w:t>
      </w:r>
      <w:r w:rsidR="00EA4820" w:rsidRPr="00F852C4">
        <w:rPr>
          <w:rFonts w:asciiTheme="minorHAnsi" w:hAnsiTheme="minorHAnsi" w:cstheme="minorHAnsi"/>
          <w:color w:val="auto"/>
        </w:rPr>
        <w:t xml:space="preserve">arine </w:t>
      </w:r>
      <w:r>
        <w:rPr>
          <w:rFonts w:asciiTheme="minorHAnsi" w:hAnsiTheme="minorHAnsi" w:cstheme="minorHAnsi"/>
          <w:color w:val="auto"/>
        </w:rPr>
        <w:t>m</w:t>
      </w:r>
      <w:r w:rsidR="00EA4820" w:rsidRPr="00F852C4">
        <w:rPr>
          <w:rFonts w:asciiTheme="minorHAnsi" w:hAnsiTheme="minorHAnsi" w:cstheme="minorHAnsi"/>
          <w:color w:val="auto"/>
        </w:rPr>
        <w:t xml:space="preserve">icrobiology, </w:t>
      </w:r>
      <w:r>
        <w:rPr>
          <w:rFonts w:asciiTheme="minorHAnsi" w:hAnsiTheme="minorHAnsi" w:cstheme="minorHAnsi"/>
          <w:color w:val="auto"/>
        </w:rPr>
        <w:t>m</w:t>
      </w:r>
      <w:r w:rsidR="00EA4820" w:rsidRPr="00F852C4">
        <w:rPr>
          <w:rFonts w:asciiTheme="minorHAnsi" w:hAnsiTheme="minorHAnsi" w:cstheme="minorHAnsi"/>
          <w:color w:val="auto"/>
        </w:rPr>
        <w:t xml:space="preserve">icrobial </w:t>
      </w:r>
      <w:r>
        <w:rPr>
          <w:rFonts w:asciiTheme="minorHAnsi" w:hAnsiTheme="minorHAnsi" w:cstheme="minorHAnsi"/>
          <w:color w:val="auto"/>
        </w:rPr>
        <w:t>e</w:t>
      </w:r>
      <w:r w:rsidR="00EA4820" w:rsidRPr="00F852C4">
        <w:rPr>
          <w:rFonts w:asciiTheme="minorHAnsi" w:hAnsiTheme="minorHAnsi" w:cstheme="minorHAnsi"/>
          <w:color w:val="auto"/>
        </w:rPr>
        <w:t>cology</w:t>
      </w:r>
      <w:r w:rsidR="00B01250" w:rsidRPr="00A02AE5">
        <w:rPr>
          <w:rFonts w:asciiTheme="minorHAnsi" w:hAnsiTheme="minorHAnsi" w:cstheme="minorHAnsi"/>
          <w:color w:val="auto"/>
        </w:rPr>
        <w:t xml:space="preserve">, </w:t>
      </w:r>
      <w:r>
        <w:rPr>
          <w:rFonts w:asciiTheme="minorHAnsi" w:hAnsiTheme="minorHAnsi" w:cstheme="minorHAnsi"/>
          <w:color w:val="auto"/>
        </w:rPr>
        <w:t>b</w:t>
      </w:r>
      <w:r w:rsidR="00E22C02" w:rsidRPr="00F852C4">
        <w:rPr>
          <w:rFonts w:asciiTheme="minorHAnsi" w:hAnsiTheme="minorHAnsi" w:cstheme="minorHAnsi"/>
          <w:color w:val="auto"/>
        </w:rPr>
        <w:t xml:space="preserve">ehavioral </w:t>
      </w:r>
      <w:r>
        <w:rPr>
          <w:rFonts w:asciiTheme="minorHAnsi" w:hAnsiTheme="minorHAnsi" w:cstheme="minorHAnsi"/>
          <w:color w:val="auto"/>
        </w:rPr>
        <w:t>a</w:t>
      </w:r>
      <w:r w:rsidR="00E22C02" w:rsidRPr="00F852C4">
        <w:rPr>
          <w:rFonts w:asciiTheme="minorHAnsi" w:hAnsiTheme="minorHAnsi" w:cstheme="minorHAnsi"/>
          <w:color w:val="auto"/>
        </w:rPr>
        <w:t>ssay</w:t>
      </w:r>
    </w:p>
    <w:p w14:paraId="31B15E7D" w14:textId="77777777" w:rsidR="00EA4820" w:rsidRPr="00F852C4" w:rsidRDefault="00EA4820" w:rsidP="00344E04">
      <w:pPr>
        <w:pStyle w:val="NormalWeb"/>
        <w:spacing w:before="0" w:beforeAutospacing="0" w:after="0" w:afterAutospacing="0"/>
        <w:rPr>
          <w:rFonts w:asciiTheme="minorHAnsi" w:hAnsiTheme="minorHAnsi" w:cstheme="minorHAnsi"/>
          <w:color w:val="auto"/>
        </w:rPr>
      </w:pPr>
    </w:p>
    <w:p w14:paraId="7C82A870" w14:textId="77777777" w:rsidR="00EA4820" w:rsidRPr="00F852C4" w:rsidRDefault="00EA4820" w:rsidP="00344E04">
      <w:pPr>
        <w:rPr>
          <w:rFonts w:asciiTheme="minorHAnsi" w:hAnsiTheme="minorHAnsi" w:cstheme="minorHAnsi"/>
          <w:color w:val="auto"/>
        </w:rPr>
      </w:pPr>
      <w:r w:rsidRPr="00F852C4">
        <w:rPr>
          <w:rFonts w:asciiTheme="minorHAnsi" w:hAnsiTheme="minorHAnsi" w:cstheme="minorHAnsi"/>
          <w:b/>
          <w:bCs/>
          <w:color w:val="auto"/>
        </w:rPr>
        <w:t>SUMMARY:</w:t>
      </w:r>
      <w:r w:rsidRPr="00F852C4">
        <w:rPr>
          <w:rFonts w:asciiTheme="minorHAnsi" w:hAnsiTheme="minorHAnsi" w:cstheme="minorHAnsi"/>
          <w:color w:val="auto"/>
        </w:rPr>
        <w:t xml:space="preserve"> </w:t>
      </w:r>
    </w:p>
    <w:p w14:paraId="3B84D862" w14:textId="646BB4FC" w:rsidR="00EA4820" w:rsidRPr="00F852C4" w:rsidRDefault="002B73E4" w:rsidP="00344E04">
      <w:pPr>
        <w:rPr>
          <w:rFonts w:asciiTheme="minorHAnsi" w:hAnsiTheme="minorHAnsi" w:cstheme="minorHAnsi"/>
          <w:color w:val="auto"/>
        </w:rPr>
      </w:pPr>
      <w:r>
        <w:rPr>
          <w:rFonts w:asciiTheme="minorHAnsi" w:hAnsiTheme="minorHAnsi" w:cstheme="minorHAnsi"/>
          <w:color w:val="auto"/>
        </w:rPr>
        <w:t>P</w:t>
      </w:r>
      <w:r w:rsidR="00EA4820" w:rsidRPr="00F852C4">
        <w:rPr>
          <w:rFonts w:asciiTheme="minorHAnsi" w:hAnsiTheme="minorHAnsi" w:cstheme="minorHAnsi"/>
          <w:color w:val="auto"/>
        </w:rPr>
        <w:t>resent</w:t>
      </w:r>
      <w:r>
        <w:rPr>
          <w:rFonts w:asciiTheme="minorHAnsi" w:hAnsiTheme="minorHAnsi" w:cstheme="minorHAnsi"/>
          <w:color w:val="auto"/>
        </w:rPr>
        <w:t>ed here is</w:t>
      </w:r>
      <w:r w:rsidR="00EA4820" w:rsidRPr="00F852C4">
        <w:rPr>
          <w:rFonts w:asciiTheme="minorHAnsi" w:hAnsiTheme="minorHAnsi" w:cstheme="minorHAnsi"/>
          <w:color w:val="auto"/>
        </w:rPr>
        <w:t xml:space="preserve"> the protocol for </w:t>
      </w:r>
      <w:r>
        <w:rPr>
          <w:rFonts w:asciiTheme="minorHAnsi" w:hAnsiTheme="minorHAnsi" w:cstheme="minorHAnsi"/>
          <w:color w:val="auto"/>
        </w:rPr>
        <w:t>an</w:t>
      </w:r>
      <w:r w:rsidR="00EA4820" w:rsidRPr="00F852C4">
        <w:rPr>
          <w:rFonts w:asciiTheme="minorHAnsi" w:hAnsiTheme="minorHAnsi" w:cstheme="minorHAnsi"/>
          <w:color w:val="auto"/>
        </w:rPr>
        <w:t xml:space="preserve"> </w:t>
      </w:r>
      <w:proofErr w:type="gramStart"/>
      <w:r w:rsidRPr="00344E04">
        <w:rPr>
          <w:rFonts w:asciiTheme="minorHAnsi" w:hAnsiTheme="minorHAnsi" w:cstheme="minorHAnsi"/>
          <w:color w:val="auto"/>
        </w:rPr>
        <w:t>i</w:t>
      </w:r>
      <w:r w:rsidR="00EA4820" w:rsidRPr="00344E04">
        <w:rPr>
          <w:rFonts w:asciiTheme="minorHAnsi" w:hAnsiTheme="minorHAnsi" w:cstheme="minorHAnsi"/>
          <w:color w:val="auto"/>
        </w:rPr>
        <w:t xml:space="preserve">n </w:t>
      </w:r>
      <w:r w:rsidRPr="00344E04">
        <w:rPr>
          <w:rFonts w:asciiTheme="minorHAnsi" w:hAnsiTheme="minorHAnsi" w:cstheme="minorHAnsi"/>
          <w:color w:val="auto"/>
        </w:rPr>
        <w:t>s</w:t>
      </w:r>
      <w:r w:rsidR="00EA4820" w:rsidRPr="00344E04">
        <w:rPr>
          <w:rFonts w:asciiTheme="minorHAnsi" w:hAnsiTheme="minorHAnsi" w:cstheme="minorHAnsi"/>
          <w:color w:val="auto"/>
        </w:rPr>
        <w:t>itu</w:t>
      </w:r>
      <w:proofErr w:type="gramEnd"/>
      <w:r w:rsidR="00EA4820" w:rsidRPr="00F852C4">
        <w:rPr>
          <w:rFonts w:asciiTheme="minorHAnsi" w:hAnsiTheme="minorHAnsi" w:cstheme="minorHAnsi"/>
          <w:color w:val="auto"/>
        </w:rPr>
        <w:t xml:space="preserve"> </w:t>
      </w:r>
      <w:r>
        <w:rPr>
          <w:rFonts w:asciiTheme="minorHAnsi" w:hAnsiTheme="minorHAnsi" w:cstheme="minorHAnsi"/>
          <w:color w:val="auto"/>
        </w:rPr>
        <w:t>c</w:t>
      </w:r>
      <w:r w:rsidR="00EA4820" w:rsidRPr="00F852C4">
        <w:rPr>
          <w:rFonts w:asciiTheme="minorHAnsi" w:hAnsiTheme="minorHAnsi" w:cstheme="minorHAnsi"/>
          <w:color w:val="auto"/>
        </w:rPr>
        <w:t xml:space="preserve">hemotaxis </w:t>
      </w:r>
      <w:r>
        <w:rPr>
          <w:rFonts w:asciiTheme="minorHAnsi" w:hAnsiTheme="minorHAnsi" w:cstheme="minorHAnsi"/>
          <w:color w:val="auto"/>
        </w:rPr>
        <w:t>a</w:t>
      </w:r>
      <w:r w:rsidR="00EA4820" w:rsidRPr="00F852C4">
        <w:rPr>
          <w:rFonts w:asciiTheme="minorHAnsi" w:hAnsiTheme="minorHAnsi" w:cstheme="minorHAnsi"/>
          <w:color w:val="auto"/>
        </w:rPr>
        <w:t xml:space="preserve">ssay, a recently developed microfluidic device </w:t>
      </w:r>
      <w:r>
        <w:rPr>
          <w:rFonts w:asciiTheme="minorHAnsi" w:hAnsiTheme="minorHAnsi" w:cstheme="minorHAnsi"/>
          <w:color w:val="auto"/>
        </w:rPr>
        <w:t xml:space="preserve">that </w:t>
      </w:r>
      <w:r w:rsidR="00EA4820" w:rsidRPr="00F852C4">
        <w:rPr>
          <w:rFonts w:asciiTheme="minorHAnsi" w:hAnsiTheme="minorHAnsi" w:cstheme="minorHAnsi"/>
          <w:color w:val="auto"/>
        </w:rPr>
        <w:t>enabl</w:t>
      </w:r>
      <w:r>
        <w:rPr>
          <w:rFonts w:asciiTheme="minorHAnsi" w:hAnsiTheme="minorHAnsi" w:cstheme="minorHAnsi"/>
          <w:color w:val="auto"/>
        </w:rPr>
        <w:t>es</w:t>
      </w:r>
      <w:r w:rsidR="00EA4820" w:rsidRPr="00F852C4">
        <w:rPr>
          <w:rFonts w:asciiTheme="minorHAnsi" w:hAnsiTheme="minorHAnsi" w:cstheme="minorHAnsi"/>
          <w:color w:val="auto"/>
        </w:rPr>
        <w:t xml:space="preserve"> stud</w:t>
      </w:r>
      <w:r>
        <w:rPr>
          <w:rFonts w:asciiTheme="minorHAnsi" w:hAnsiTheme="minorHAnsi" w:cstheme="minorHAnsi"/>
          <w:color w:val="auto"/>
        </w:rPr>
        <w:t>ies</w:t>
      </w:r>
      <w:r w:rsidR="00EA4820" w:rsidRPr="00F852C4">
        <w:rPr>
          <w:rFonts w:asciiTheme="minorHAnsi" w:hAnsiTheme="minorHAnsi" w:cstheme="minorHAnsi"/>
          <w:color w:val="auto"/>
        </w:rPr>
        <w:t xml:space="preserve"> of microbial behavior directly in the environment.</w:t>
      </w:r>
    </w:p>
    <w:p w14:paraId="726DFFA4" w14:textId="77777777" w:rsidR="00EA4820" w:rsidRPr="00F852C4" w:rsidRDefault="00EA4820" w:rsidP="00344E04">
      <w:pPr>
        <w:rPr>
          <w:rFonts w:asciiTheme="minorHAnsi" w:hAnsiTheme="minorHAnsi" w:cstheme="minorHAnsi"/>
          <w:color w:val="auto"/>
        </w:rPr>
      </w:pPr>
    </w:p>
    <w:p w14:paraId="00F520D5" w14:textId="77777777" w:rsidR="00EA4820" w:rsidRPr="00F852C4" w:rsidRDefault="00EA4820" w:rsidP="00344E04">
      <w:pPr>
        <w:rPr>
          <w:rFonts w:asciiTheme="minorHAnsi" w:hAnsiTheme="minorHAnsi" w:cstheme="minorHAnsi"/>
          <w:color w:val="auto"/>
        </w:rPr>
      </w:pPr>
      <w:r w:rsidRPr="00F852C4">
        <w:rPr>
          <w:rFonts w:asciiTheme="minorHAnsi" w:hAnsiTheme="minorHAnsi" w:cstheme="minorHAnsi"/>
          <w:b/>
          <w:bCs/>
          <w:color w:val="auto"/>
        </w:rPr>
        <w:t>ABSTRACT:</w:t>
      </w:r>
      <w:r w:rsidRPr="00F852C4">
        <w:rPr>
          <w:rFonts w:asciiTheme="minorHAnsi" w:hAnsiTheme="minorHAnsi" w:cstheme="minorHAnsi"/>
          <w:color w:val="auto"/>
        </w:rPr>
        <w:t xml:space="preserve"> </w:t>
      </w:r>
    </w:p>
    <w:p w14:paraId="56F92E5F" w14:textId="26707106"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Microbial behaviors</w:t>
      </w:r>
      <w:r w:rsidR="0061483D">
        <w:rPr>
          <w:rFonts w:asciiTheme="minorHAnsi" w:hAnsiTheme="minorHAnsi" w:cstheme="minorHAnsi"/>
          <w:color w:val="auto"/>
        </w:rPr>
        <w:t>,</w:t>
      </w:r>
      <w:r w:rsidRPr="00F852C4">
        <w:rPr>
          <w:rFonts w:asciiTheme="minorHAnsi" w:hAnsiTheme="minorHAnsi" w:cstheme="minorHAnsi"/>
          <w:color w:val="auto"/>
        </w:rPr>
        <w:t xml:space="preserve"> such as motility and chemotaxis</w:t>
      </w:r>
      <w:r w:rsidR="0061483D">
        <w:rPr>
          <w:rFonts w:asciiTheme="minorHAnsi" w:hAnsiTheme="minorHAnsi" w:cstheme="minorHAnsi"/>
          <w:color w:val="auto"/>
        </w:rPr>
        <w:t xml:space="preserve"> (</w:t>
      </w:r>
      <w:r w:rsidRPr="00F852C4">
        <w:rPr>
          <w:rFonts w:asciiTheme="minorHAnsi" w:hAnsiTheme="minorHAnsi" w:cstheme="minorHAnsi"/>
          <w:color w:val="auto"/>
        </w:rPr>
        <w:t>the ability of a cell to alter its movement in response to a chemical gradient</w:t>
      </w:r>
      <w:r w:rsidR="0061483D">
        <w:rPr>
          <w:rFonts w:asciiTheme="minorHAnsi" w:hAnsiTheme="minorHAnsi" w:cstheme="minorHAnsi"/>
          <w:color w:val="auto"/>
        </w:rPr>
        <w:t>),</w:t>
      </w:r>
      <w:r w:rsidRPr="00F852C4">
        <w:rPr>
          <w:rFonts w:asciiTheme="minorHAnsi" w:hAnsiTheme="minorHAnsi" w:cstheme="minorHAnsi"/>
          <w:color w:val="auto"/>
        </w:rPr>
        <w:t xml:space="preserve"> are widespread across the bacterial and archaeal domains. Chemotaxis can result in substantial resource acquisition advantages in heterogeneous environments</w:t>
      </w:r>
      <w:r w:rsidR="0061483D">
        <w:rPr>
          <w:rFonts w:asciiTheme="minorHAnsi" w:hAnsiTheme="minorHAnsi" w:cstheme="minorHAnsi"/>
          <w:color w:val="auto"/>
        </w:rPr>
        <w:t xml:space="preserve">. It also </w:t>
      </w:r>
      <w:r w:rsidRPr="00F852C4">
        <w:rPr>
          <w:rFonts w:asciiTheme="minorHAnsi" w:hAnsiTheme="minorHAnsi" w:cstheme="minorHAnsi"/>
          <w:color w:val="auto"/>
        </w:rPr>
        <w:t>plays a crucial role in symbiotic interactions, disease, and global processes</w:t>
      </w:r>
      <w:r w:rsidR="0086105D">
        <w:rPr>
          <w:rFonts w:asciiTheme="minorHAnsi" w:hAnsiTheme="minorHAnsi" w:cstheme="minorHAnsi"/>
          <w:color w:val="auto"/>
        </w:rPr>
        <w:t>,</w:t>
      </w:r>
      <w:r w:rsidRPr="00F852C4">
        <w:rPr>
          <w:rFonts w:asciiTheme="minorHAnsi" w:hAnsiTheme="minorHAnsi" w:cstheme="minorHAnsi"/>
          <w:color w:val="auto"/>
        </w:rPr>
        <w:t xml:space="preserve"> such as biogeochemical cycling. </w:t>
      </w:r>
      <w:r w:rsidR="007A1C28" w:rsidRPr="0084101D">
        <w:rPr>
          <w:rFonts w:asciiTheme="minorHAnsi" w:hAnsiTheme="minorHAnsi" w:cstheme="minorHAnsi"/>
        </w:rPr>
        <w:t xml:space="preserve">However, current </w:t>
      </w:r>
      <w:r w:rsidR="0086105D">
        <w:rPr>
          <w:rFonts w:asciiTheme="minorHAnsi" w:hAnsiTheme="minorHAnsi" w:cstheme="minorHAnsi"/>
        </w:rPr>
        <w:t>techniques</w:t>
      </w:r>
      <w:r w:rsidR="0086105D" w:rsidRPr="0084101D">
        <w:rPr>
          <w:rFonts w:asciiTheme="minorHAnsi" w:hAnsiTheme="minorHAnsi" w:cstheme="minorHAnsi"/>
        </w:rPr>
        <w:t xml:space="preserve"> </w:t>
      </w:r>
      <w:r w:rsidR="007A1C28" w:rsidRPr="0084101D">
        <w:rPr>
          <w:rFonts w:asciiTheme="minorHAnsi" w:hAnsiTheme="minorHAnsi" w:cstheme="minorHAnsi"/>
        </w:rPr>
        <w:t>restrict chemotaxis research to the laboratory and are not easily applicable in the field.</w:t>
      </w:r>
      <w:r w:rsidR="00D942D0" w:rsidRPr="00F852C4">
        <w:rPr>
          <w:rFonts w:asciiTheme="minorHAnsi" w:hAnsiTheme="minorHAnsi" w:cstheme="minorHAnsi"/>
          <w:color w:val="auto"/>
        </w:rPr>
        <w:t xml:space="preserve"> </w:t>
      </w:r>
      <w:r w:rsidR="0061483D">
        <w:rPr>
          <w:rFonts w:asciiTheme="minorHAnsi" w:hAnsiTheme="minorHAnsi" w:cstheme="minorHAnsi"/>
          <w:color w:val="auto"/>
        </w:rPr>
        <w:t>P</w:t>
      </w:r>
      <w:r w:rsidRPr="00F852C4">
        <w:rPr>
          <w:rFonts w:asciiTheme="minorHAnsi" w:hAnsiTheme="minorHAnsi" w:cstheme="minorHAnsi"/>
          <w:color w:val="auto"/>
        </w:rPr>
        <w:t>resent</w:t>
      </w:r>
      <w:r w:rsidR="0061483D">
        <w:rPr>
          <w:rFonts w:asciiTheme="minorHAnsi" w:hAnsiTheme="minorHAnsi" w:cstheme="minorHAnsi"/>
          <w:color w:val="auto"/>
        </w:rPr>
        <w:t>ed here is</w:t>
      </w:r>
      <w:r w:rsidRPr="00F852C4">
        <w:rPr>
          <w:rFonts w:asciiTheme="minorHAnsi" w:hAnsiTheme="minorHAnsi" w:cstheme="minorHAnsi"/>
          <w:color w:val="auto"/>
        </w:rPr>
        <w:t xml:space="preserve"> a step-by-step protocol for </w:t>
      </w:r>
      <w:r w:rsidR="0061483D">
        <w:rPr>
          <w:rFonts w:asciiTheme="minorHAnsi" w:hAnsiTheme="minorHAnsi" w:cstheme="minorHAnsi"/>
          <w:color w:val="auto"/>
        </w:rPr>
        <w:t xml:space="preserve">the </w:t>
      </w:r>
      <w:r w:rsidRPr="00F852C4">
        <w:rPr>
          <w:rFonts w:asciiTheme="minorHAnsi" w:hAnsiTheme="minorHAnsi" w:cstheme="minorHAnsi"/>
          <w:color w:val="auto"/>
        </w:rPr>
        <w:t xml:space="preserve">assembly and deployment of </w:t>
      </w:r>
      <w:r w:rsidR="002B73E4">
        <w:rPr>
          <w:rFonts w:asciiTheme="minorHAnsi" w:hAnsiTheme="minorHAnsi" w:cstheme="minorHAnsi"/>
          <w:color w:val="auto"/>
        </w:rPr>
        <w:t xml:space="preserve">an </w:t>
      </w:r>
      <w:proofErr w:type="gramStart"/>
      <w:r w:rsidR="002B73E4" w:rsidRPr="002E7EA6">
        <w:rPr>
          <w:rFonts w:asciiTheme="minorHAnsi" w:hAnsiTheme="minorHAnsi" w:cstheme="minorHAnsi"/>
          <w:color w:val="auto"/>
        </w:rPr>
        <w:t>in situ</w:t>
      </w:r>
      <w:proofErr w:type="gramEnd"/>
      <w:r w:rsidR="002B73E4" w:rsidRPr="00F852C4">
        <w:rPr>
          <w:rFonts w:asciiTheme="minorHAnsi" w:hAnsiTheme="minorHAnsi" w:cstheme="minorHAnsi"/>
          <w:color w:val="auto"/>
        </w:rPr>
        <w:t xml:space="preserve"> </w:t>
      </w:r>
      <w:r w:rsidR="002B73E4">
        <w:rPr>
          <w:rFonts w:asciiTheme="minorHAnsi" w:hAnsiTheme="minorHAnsi" w:cstheme="minorHAnsi"/>
          <w:color w:val="auto"/>
        </w:rPr>
        <w:t>c</w:t>
      </w:r>
      <w:r w:rsidR="002B73E4" w:rsidRPr="00F852C4">
        <w:rPr>
          <w:rFonts w:asciiTheme="minorHAnsi" w:hAnsiTheme="minorHAnsi" w:cstheme="minorHAnsi"/>
          <w:color w:val="auto"/>
        </w:rPr>
        <w:t xml:space="preserve">hemotaxis </w:t>
      </w:r>
      <w:r w:rsidR="002B73E4">
        <w:rPr>
          <w:rFonts w:asciiTheme="minorHAnsi" w:hAnsiTheme="minorHAnsi" w:cstheme="minorHAnsi"/>
          <w:color w:val="auto"/>
        </w:rPr>
        <w:t>a</w:t>
      </w:r>
      <w:r w:rsidR="002B73E4" w:rsidRPr="00F852C4">
        <w:rPr>
          <w:rFonts w:asciiTheme="minorHAnsi" w:hAnsiTheme="minorHAnsi" w:cstheme="minorHAnsi"/>
          <w:color w:val="auto"/>
        </w:rPr>
        <w:t>ssay</w:t>
      </w:r>
      <w:r w:rsidRPr="00F852C4">
        <w:rPr>
          <w:rFonts w:asciiTheme="minorHAnsi" w:hAnsiTheme="minorHAnsi" w:cstheme="minorHAnsi"/>
          <w:color w:val="auto"/>
        </w:rPr>
        <w:t xml:space="preserve"> (ISCA), </w:t>
      </w:r>
      <w:r w:rsidR="0061483D">
        <w:rPr>
          <w:rFonts w:asciiTheme="minorHAnsi" w:hAnsiTheme="minorHAnsi" w:cstheme="minorHAnsi"/>
          <w:color w:val="auto"/>
        </w:rPr>
        <w:t>a</w:t>
      </w:r>
      <w:r w:rsidRPr="00F852C4">
        <w:rPr>
          <w:rFonts w:asciiTheme="minorHAnsi" w:hAnsiTheme="minorHAnsi" w:cstheme="minorHAnsi"/>
          <w:color w:val="auto"/>
        </w:rPr>
        <w:t xml:space="preserve"> device that enables robust interrogation of microbial chemotaxis directly in the natural environment. The ISCA is a microfluidic device consisting of a</w:t>
      </w:r>
      <w:r w:rsidR="0061483D">
        <w:rPr>
          <w:rFonts w:asciiTheme="minorHAnsi" w:hAnsiTheme="minorHAnsi" w:cstheme="minorHAnsi"/>
          <w:color w:val="auto"/>
        </w:rPr>
        <w:t xml:space="preserve"> </w:t>
      </w:r>
      <w:r w:rsidRPr="00F852C4">
        <w:rPr>
          <w:rFonts w:asciiTheme="minorHAnsi" w:hAnsiTheme="minorHAnsi" w:cstheme="minorHAnsi"/>
          <w:color w:val="auto"/>
        </w:rPr>
        <w:t>20 well</w:t>
      </w:r>
      <w:r w:rsidR="0061483D">
        <w:rPr>
          <w:rFonts w:asciiTheme="minorHAnsi" w:hAnsiTheme="minorHAnsi" w:cstheme="minorHAnsi"/>
          <w:color w:val="auto"/>
        </w:rPr>
        <w:t xml:space="preserve"> array,</w:t>
      </w:r>
      <w:r w:rsidRPr="00F852C4">
        <w:rPr>
          <w:rFonts w:asciiTheme="minorHAnsi" w:hAnsiTheme="minorHAnsi" w:cstheme="minorHAnsi"/>
          <w:color w:val="auto"/>
        </w:rPr>
        <w:t xml:space="preserve"> in which chemicals of interest can be loaded. Once deployed in aqueous environments, chemicals diffuse out of the wells, creating concentration gradients that </w:t>
      </w:r>
      <w:proofErr w:type="gramStart"/>
      <w:r w:rsidRPr="00F852C4">
        <w:rPr>
          <w:rFonts w:asciiTheme="minorHAnsi" w:hAnsiTheme="minorHAnsi" w:cstheme="minorHAnsi"/>
          <w:color w:val="auto"/>
        </w:rPr>
        <w:t>microbes</w:t>
      </w:r>
      <w:proofErr w:type="gramEnd"/>
      <w:r w:rsidRPr="00F852C4">
        <w:rPr>
          <w:rFonts w:asciiTheme="minorHAnsi" w:hAnsiTheme="minorHAnsi" w:cstheme="minorHAnsi"/>
          <w:color w:val="auto"/>
        </w:rPr>
        <w:t xml:space="preserve"> sense and respond to by swimming into the wells via chemotaxis. The well contents can then be </w:t>
      </w:r>
      <w:r w:rsidR="00E85FC1" w:rsidRPr="00F852C4">
        <w:rPr>
          <w:rFonts w:asciiTheme="minorHAnsi" w:hAnsiTheme="minorHAnsi" w:cstheme="minorHAnsi"/>
          <w:color w:val="auto"/>
        </w:rPr>
        <w:t xml:space="preserve">sampled and </w:t>
      </w:r>
      <w:r w:rsidRPr="00F852C4">
        <w:rPr>
          <w:rFonts w:asciiTheme="minorHAnsi" w:hAnsiTheme="minorHAnsi" w:cstheme="minorHAnsi"/>
          <w:color w:val="auto"/>
        </w:rPr>
        <w:t>used to (</w:t>
      </w:r>
      <w:r w:rsidR="0061483D">
        <w:rPr>
          <w:rFonts w:asciiTheme="minorHAnsi" w:hAnsiTheme="minorHAnsi" w:cstheme="minorHAnsi"/>
          <w:color w:val="auto"/>
        </w:rPr>
        <w:t>1</w:t>
      </w:r>
      <w:r w:rsidRPr="00F852C4">
        <w:rPr>
          <w:rFonts w:asciiTheme="minorHAnsi" w:hAnsiTheme="minorHAnsi" w:cstheme="minorHAnsi"/>
          <w:color w:val="auto"/>
        </w:rPr>
        <w:t>) quantify strength of the chemotactic responses to specific compounds</w:t>
      </w:r>
      <w:r w:rsidR="00E85FC1" w:rsidRPr="00F852C4">
        <w:rPr>
          <w:rFonts w:asciiTheme="minorHAnsi" w:hAnsiTheme="minorHAnsi" w:cstheme="minorHAnsi"/>
          <w:color w:val="auto"/>
        </w:rPr>
        <w:t xml:space="preserve"> </w:t>
      </w:r>
      <w:r w:rsidRPr="00F852C4">
        <w:rPr>
          <w:rFonts w:asciiTheme="minorHAnsi" w:hAnsiTheme="minorHAnsi" w:cstheme="minorHAnsi"/>
          <w:color w:val="auto"/>
        </w:rPr>
        <w:t>through flow cytometry, (</w:t>
      </w:r>
      <w:r w:rsidR="0061483D">
        <w:rPr>
          <w:rFonts w:asciiTheme="minorHAnsi" w:hAnsiTheme="minorHAnsi" w:cstheme="minorHAnsi"/>
          <w:color w:val="auto"/>
        </w:rPr>
        <w:t>2</w:t>
      </w:r>
      <w:r w:rsidRPr="00F852C4">
        <w:rPr>
          <w:rFonts w:asciiTheme="minorHAnsi" w:hAnsiTheme="minorHAnsi" w:cstheme="minorHAnsi"/>
          <w:color w:val="auto"/>
        </w:rPr>
        <w:t xml:space="preserve">) isolate </w:t>
      </w:r>
      <w:r w:rsidR="00E85FC1" w:rsidRPr="00F852C4">
        <w:rPr>
          <w:rFonts w:asciiTheme="minorHAnsi" w:hAnsiTheme="minorHAnsi" w:cstheme="minorHAnsi"/>
          <w:color w:val="auto"/>
        </w:rPr>
        <w:t xml:space="preserve">and culture </w:t>
      </w:r>
      <w:r w:rsidRPr="00F852C4">
        <w:rPr>
          <w:rFonts w:asciiTheme="minorHAnsi" w:hAnsiTheme="minorHAnsi" w:cstheme="minorHAnsi"/>
          <w:color w:val="auto"/>
        </w:rPr>
        <w:t>responsive microorganisms, and (</w:t>
      </w:r>
      <w:r w:rsidR="0061483D">
        <w:rPr>
          <w:rFonts w:asciiTheme="minorHAnsi" w:hAnsiTheme="minorHAnsi" w:cstheme="minorHAnsi"/>
          <w:color w:val="auto"/>
        </w:rPr>
        <w:t>3</w:t>
      </w:r>
      <w:r w:rsidRPr="00F852C4">
        <w:rPr>
          <w:rFonts w:asciiTheme="minorHAnsi" w:hAnsiTheme="minorHAnsi" w:cstheme="minorHAnsi"/>
          <w:color w:val="auto"/>
        </w:rPr>
        <w:t xml:space="preserve">) characterize the identity and genomic potential of the </w:t>
      </w:r>
      <w:r w:rsidRPr="00F852C4">
        <w:rPr>
          <w:rFonts w:asciiTheme="minorHAnsi" w:hAnsiTheme="minorHAnsi" w:cstheme="minorHAnsi"/>
          <w:color w:val="auto"/>
        </w:rPr>
        <w:lastRenderedPageBreak/>
        <w:t>responding populations through molecular techniques. The ISCA is a flexible platform that can be deployed in any system with an aqueous phase, including marine, freshwater</w:t>
      </w:r>
      <w:r w:rsidR="0061483D">
        <w:rPr>
          <w:rFonts w:asciiTheme="minorHAnsi" w:hAnsiTheme="minorHAnsi" w:cstheme="minorHAnsi"/>
          <w:color w:val="auto"/>
        </w:rPr>
        <w:t>,</w:t>
      </w:r>
      <w:r w:rsidRPr="00F852C4">
        <w:rPr>
          <w:rFonts w:asciiTheme="minorHAnsi" w:hAnsiTheme="minorHAnsi" w:cstheme="minorHAnsi"/>
          <w:color w:val="auto"/>
        </w:rPr>
        <w:t xml:space="preserve"> </w:t>
      </w:r>
      <w:r w:rsidR="0061483D">
        <w:rPr>
          <w:rFonts w:asciiTheme="minorHAnsi" w:hAnsiTheme="minorHAnsi" w:cstheme="minorHAnsi"/>
          <w:color w:val="auto"/>
        </w:rPr>
        <w:t>and</w:t>
      </w:r>
      <w:r w:rsidRPr="00F852C4">
        <w:rPr>
          <w:rFonts w:asciiTheme="minorHAnsi" w:hAnsiTheme="minorHAnsi" w:cstheme="minorHAnsi"/>
          <w:color w:val="auto"/>
        </w:rPr>
        <w:t xml:space="preserve"> soil environments.</w:t>
      </w:r>
    </w:p>
    <w:p w14:paraId="3074C5AF" w14:textId="77777777" w:rsidR="00EA4820" w:rsidRPr="00F852C4" w:rsidRDefault="00EA4820" w:rsidP="00344E04">
      <w:pPr>
        <w:rPr>
          <w:rFonts w:asciiTheme="minorHAnsi" w:hAnsiTheme="minorHAnsi" w:cstheme="minorHAnsi"/>
          <w:color w:val="auto"/>
        </w:rPr>
      </w:pPr>
    </w:p>
    <w:p w14:paraId="0AD0A158" w14:textId="51B450EF" w:rsidR="00EA4820" w:rsidRDefault="00EA4820" w:rsidP="00344E04">
      <w:pPr>
        <w:rPr>
          <w:rFonts w:asciiTheme="minorHAnsi" w:hAnsiTheme="minorHAnsi" w:cstheme="minorHAnsi"/>
          <w:color w:val="auto"/>
        </w:rPr>
      </w:pPr>
      <w:r w:rsidRPr="00F852C4">
        <w:rPr>
          <w:rFonts w:asciiTheme="minorHAnsi" w:hAnsiTheme="minorHAnsi" w:cstheme="minorHAnsi"/>
          <w:b/>
          <w:color w:val="auto"/>
        </w:rPr>
        <w:t>INTRODUCTION</w:t>
      </w:r>
      <w:r w:rsidRPr="00F852C4">
        <w:rPr>
          <w:rFonts w:asciiTheme="minorHAnsi" w:hAnsiTheme="minorHAnsi" w:cstheme="minorHAnsi"/>
          <w:b/>
          <w:bCs/>
          <w:color w:val="auto"/>
        </w:rPr>
        <w:t>:</w:t>
      </w:r>
      <w:r w:rsidRPr="00F852C4">
        <w:rPr>
          <w:rFonts w:asciiTheme="minorHAnsi" w:hAnsiTheme="minorHAnsi" w:cstheme="minorHAnsi"/>
          <w:color w:val="auto"/>
        </w:rPr>
        <w:t xml:space="preserve"> </w:t>
      </w:r>
    </w:p>
    <w:p w14:paraId="0D91C47B" w14:textId="77777777" w:rsidR="002B0374" w:rsidRPr="00F852C4" w:rsidRDefault="002B0374" w:rsidP="00344E04">
      <w:pPr>
        <w:rPr>
          <w:rFonts w:asciiTheme="minorHAnsi" w:hAnsiTheme="minorHAnsi" w:cstheme="minorHAnsi"/>
          <w:color w:val="auto"/>
        </w:rPr>
      </w:pPr>
    </w:p>
    <w:p w14:paraId="00CA6D7C" w14:textId="7992B260" w:rsidR="00B510B1" w:rsidRPr="00F852C4" w:rsidRDefault="00B510B1" w:rsidP="00344E04">
      <w:pPr>
        <w:rPr>
          <w:rFonts w:asciiTheme="minorHAnsi" w:hAnsiTheme="minorHAnsi" w:cstheme="minorHAnsi"/>
          <w:color w:val="auto"/>
          <w:lang w:val="en-GB"/>
        </w:rPr>
      </w:pPr>
      <w:r w:rsidRPr="00F852C4">
        <w:rPr>
          <w:rFonts w:asciiTheme="minorHAnsi" w:hAnsiTheme="minorHAnsi" w:cstheme="minorHAnsi"/>
          <w:color w:val="auto"/>
          <w:lang w:val="en-GB"/>
        </w:rPr>
        <w:t>Diverse</w:t>
      </w:r>
      <w:r w:rsidR="00572CE2" w:rsidRPr="00F852C4">
        <w:rPr>
          <w:rFonts w:asciiTheme="minorHAnsi" w:hAnsiTheme="minorHAnsi" w:cstheme="minorHAnsi"/>
          <w:color w:val="auto"/>
          <w:lang w:val="en-GB"/>
        </w:rPr>
        <w:t xml:space="preserve"> </w:t>
      </w:r>
      <w:r w:rsidR="00EA4820" w:rsidRPr="00F852C4">
        <w:rPr>
          <w:rFonts w:asciiTheme="minorHAnsi" w:hAnsiTheme="minorHAnsi" w:cstheme="minorHAnsi"/>
          <w:color w:val="auto"/>
          <w:lang w:val="en-GB"/>
        </w:rPr>
        <w:t>microorganisms</w:t>
      </w:r>
      <w:r w:rsidR="00E85FC1" w:rsidRPr="00F852C4">
        <w:rPr>
          <w:rFonts w:asciiTheme="minorHAnsi" w:hAnsiTheme="minorHAnsi" w:cstheme="minorHAnsi"/>
          <w:color w:val="auto"/>
          <w:lang w:val="en-GB"/>
        </w:rPr>
        <w:t xml:space="preserve"> use </w:t>
      </w:r>
      <w:r w:rsidR="00572CE2" w:rsidRPr="00F852C4">
        <w:rPr>
          <w:rFonts w:asciiTheme="minorHAnsi" w:hAnsiTheme="minorHAnsi" w:cstheme="minorHAnsi"/>
          <w:color w:val="auto"/>
          <w:lang w:val="en-GB"/>
        </w:rPr>
        <w:t xml:space="preserve">motility and chemotaxis </w:t>
      </w:r>
      <w:r w:rsidR="00EA4820" w:rsidRPr="00F852C4">
        <w:rPr>
          <w:rFonts w:asciiTheme="minorHAnsi" w:hAnsiTheme="minorHAnsi" w:cstheme="minorHAnsi"/>
          <w:color w:val="auto"/>
          <w:lang w:val="en-GB"/>
        </w:rPr>
        <w:t>to exploit patchy nutrient environments, find hosts, or avoid deleterious conditions</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{"citationID":"0pR2Jqkk","properties":{"formattedCitation":"\\super 1\\uc0\\u8211{}3\\nosupersub{}","plainCitation":"1–3","noteIndex":0},"citationItems":[{"id":93,"uris":["http://zotero.org/users/local/eoOr01tb/items/4LD9ZR7U"],"uri":["http://zotero.org/users/local/eoOr01tb/items/4LD9ZR7U"],"itemData":{"id":93,"type":"article-journal","abstract":"Marine bacteria influence Earth’s environmental dynamics in fundamental ways by controlling the biogeochemistry and productivity of the oceans. These large-scale consequences result from the combined effect of countless interactions occurring at the level of the individual cells. At these small scales, the ocean is surprisingly heterogeneous, and microbes experience an environment of pervasive and dynamic chemical and physical gradients. Many species actively exploit this heterogeneity, while others rely on gradient-independent adaptations. This is an exciting time to explore this frontier of oceanography, but understanding microbial behavior and competition in the context of the water column’s microarchitecture calls for new ecological frameworks, such as a microbial optimal foraging theory, to determine the relevant trade-offs and global consequences of microbial life in a sea of gradients.","container-title":"Science","DOI":"10.1126/science.1208929","ISSN":"0036-8075, 1095-9203","issue":"6107","language":"en","note":"PMID: 23118182","page":"628-633","source":"science.sciencemag.org","title":"Marine Microbes See a Sea of Gradients","volume":"338","author":[{"family":"Stocker","given":"Roman"}],"issued":{"date-parts":[["2012",11,2]]}}},{"id":182,"uris":["http://zotero.org/users/local/eoOr01tb/items/GXZGR5JX"],"uri":["http://zotero.org/users/local/eoOr01tb/items/GXZGR5JX"],"itemData":{"id":182,"type":"article-journal","abstract":"Many symbiotic relationships rely on the acquisition of microbial partners from the environment. However, the mechanisms by which microbial symbionts find and colonize their hosts are often unknown. We propose that the acquisition of environmental symbionts often necessitates active migration and colonization by the symbionts through motility and chemotaxis. The pivotal role of these behaviours in the onset and maintenance of symbiotic interactions is well established in a small number of model systems but remains largely overlooked for the many symbioses that involve the recruitment of microbial partners from the environment. In this Review, we highlight when, where and how chemotaxis and motility can enable symbiont recruitment and propose that these symbiont behaviours are important across a wide range of hosts and environments.","container-title":"Nature Reviews. Microbiology","DOI":"10.1038/s41579-019-0182-9","ISSN":"1740-1534","issue":"5","journalAbbreviation":"Nat. Rev. Microbiol.","language":"eng","note":"PMID: 30923350","page":"284-294","source":"PubMed","title":"The role of microbial motility and chemotaxis in symbiosis","volume":"17","author":[{"family":"Raina","given":"Jean-Baptiste"},{"family":"Fernandez","given":"Vicente"},{"family":"Lambert","given":"Bennett"},{"family":"Stocker","given":"Roman"},{"family":"Seymour","given":"Justin R."}],"issued":{"date-parts":[["2019",5]]}}},{"id":170,"uris":["http://zotero.org/users/local/eoOr01tb/items/XAGA2CP5"],"uri":["http://zotero.org/users/local/eoOr01tb/items/XAGA2CP5"],"itemData":{"id":170,"type":"article-journal","abstract":"Organic compounds are capable of repelling motile bacteria from marine surfaces. The most effective compounds were acrylamide and benzoic and tannic acids. These were active at concentrations that were not toxic to the bacteria. Repellents were incorporated in nontoxic paints and applied to metal panels. Treated panels immersed in seawater developed a bacterial film of only 10(6) bacteria per cm6 after 12 days compared with untreated panels, which had 5 times 10(12) bacteria per cm2 after the same period. Field studies confirmed the effectiveness of these repellents. The use of biological repellents provides a new approach to the control of marine fouling.","container-title":"Applied microbiology","issue":"6","page":"1043-1045","source":"Semantic Scholar","title":"Repulsion of bacteria from marine surfaces.","volume":"30","author":[{"family":"Chet","given":"Ilan"},{"family":"Asketh","given":"Phoebe"},{"family":"Mitchell","given":"Ralph"}],"issued":{"date-parts":[["1975"]]}}}],"schema":"https://github.com/citation-style-language/schema/raw/master/csl-citation.json"}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1–3</w:t>
      </w:r>
      <w:r w:rsidR="002F28C7" w:rsidRPr="00F852C4">
        <w:rPr>
          <w:rFonts w:asciiTheme="minorHAnsi" w:hAnsiTheme="minorHAnsi" w:cstheme="minorHAnsi"/>
          <w:color w:val="auto"/>
          <w:lang w:val="en-GB"/>
        </w:rPr>
        <w:fldChar w:fldCharType="end"/>
      </w:r>
      <w:r w:rsidR="002F28C7" w:rsidRPr="00F852C4">
        <w:rPr>
          <w:rFonts w:asciiTheme="minorHAnsi" w:hAnsiTheme="minorHAnsi" w:cstheme="minorHAnsi"/>
          <w:color w:val="auto"/>
          <w:lang w:val="en-GB"/>
        </w:rPr>
        <w:t xml:space="preserve">. </w:t>
      </w:r>
      <w:r w:rsidRPr="00F852C4">
        <w:rPr>
          <w:rFonts w:asciiTheme="minorHAnsi" w:hAnsiTheme="minorHAnsi" w:cstheme="minorHAnsi"/>
          <w:color w:val="auto"/>
          <w:lang w:val="en-GB"/>
        </w:rPr>
        <w:t>These microbial behaviours can in turn</w:t>
      </w:r>
      <w:r w:rsidR="0061483D">
        <w:rPr>
          <w:rFonts w:asciiTheme="minorHAnsi" w:hAnsiTheme="minorHAnsi" w:cstheme="minorHAnsi"/>
          <w:color w:val="auto"/>
          <w:lang w:val="en-GB"/>
        </w:rPr>
        <w:t xml:space="preserve"> </w:t>
      </w:r>
      <w:r w:rsidR="00EA4820" w:rsidRPr="00F852C4">
        <w:rPr>
          <w:rFonts w:asciiTheme="minorHAnsi" w:hAnsiTheme="minorHAnsi" w:cstheme="minorHAnsi"/>
          <w:color w:val="auto"/>
          <w:lang w:val="en-GB"/>
        </w:rPr>
        <w:t>influence rates of chemical transformation</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{"citationID":"mj0HafJh","properties":{"formattedCitation":"\\super 4\\nosupersub{}","plainCitation":"4","noteIndex":0},"citationItems":[{"id":184,"uris":["http://zotero.org/users/local/eoOr01tb/items/LW2TRWDX"],"uri":["http://zotero.org/users/local/eoOr01tb/items/LW2TRWDX"],"itemData":{"id":184,"type":"article-journal","abstract":"The microenvironment surrounding individual phytoplankton cells is often rich in dissolved organic matter (DOM), which can attract bacteria by chemotaxis. These “phycospheres” may be prominent sources of resource heterogeneity in the ocean, affecting the growth of bacterial populations and the fate of DOM. However, these effects remain poorly quantified due to a lack of quantitative ecological frameworks. Here, we used video microscopy to dissect with unprecedented resolution the chemotactic accumulation of marine bacteria around individual Chaetoceros affinis diatoms undergoing lysis. The observed spatiotemporal distribution of bacteria was used in a resource utilization model to map the conditions under which competition between different bacterial groups favors chemotaxis. The model predicts that chemotactic, copiotrophic populations outcompete nonmotile, oligotrophic populations during diatom blooms and bloom collapse conditions, resulting in an increase in the ratio of motile to nonmotile cells and in the succession of populations. Partitioning of DOM between the two populations is strongly dependent on the overall concentration of bacteria and the diffusivity of different DOM substances, and within each population, the growth benefit from phycospheres is experienced by only a small fraction of cells. By informing a DOM utilization model with highly resolved behavioral data, the hybrid approach used here represents a new path toward the elusive goal of predicting the consequences of microscale interactions in the ocean.","container-title":"Proceedings of the National Academy of Sciences","DOI":"10.1073/pnas.1512307113","ISSN":"0027-8424, 1091-6490","issue":"6","journalAbbreviation":"PNAS","language":"en","note":"PMID: 26802122","page":"1576-1581","source":"www.pnas.org","title":"Chemotaxis toward phytoplankton drives organic matter partitioning among marine bacteria","volume":"113","author":[{"family":"Smriga","given":"Steven"},{"family":"Fernandez","given":"Vicente I."},{"family":"Mitchell","given":"James G."},{"family":"Stocker","given":"Roman"}],"issued":{"date-parts":[["2016",2,9]]}}}],"schema":"https://github.com/citation-style-language/schema/raw/master/csl-citation.json"}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4</w:t>
      </w:r>
      <w:r w:rsidR="002F28C7" w:rsidRPr="00F852C4">
        <w:rPr>
          <w:rFonts w:asciiTheme="minorHAnsi" w:hAnsiTheme="minorHAnsi" w:cstheme="minorHAnsi"/>
          <w:color w:val="auto"/>
          <w:lang w:val="en-GB"/>
        </w:rPr>
        <w:fldChar w:fldCharType="end"/>
      </w:r>
      <w:r w:rsidR="002F28C7" w:rsidRPr="00F852C4">
        <w:rPr>
          <w:rFonts w:asciiTheme="minorHAnsi" w:hAnsiTheme="minorHAnsi" w:cstheme="minorHAnsi"/>
          <w:color w:val="auto"/>
          <w:lang w:val="en-GB"/>
        </w:rPr>
        <w:t xml:space="preserve"> </w:t>
      </w:r>
      <w:r w:rsidR="00EA4820" w:rsidRPr="00F852C4">
        <w:rPr>
          <w:rFonts w:asciiTheme="minorHAnsi" w:hAnsiTheme="minorHAnsi" w:cstheme="minorHAnsi"/>
          <w:color w:val="auto"/>
          <w:lang w:val="en-GB"/>
        </w:rPr>
        <w:t>and promote symbiotic partnerships across terrestrial, freshwater</w:t>
      </w:r>
      <w:r w:rsidR="009A393B" w:rsidRPr="00F852C4">
        <w:rPr>
          <w:rFonts w:asciiTheme="minorHAnsi" w:hAnsiTheme="minorHAnsi" w:cstheme="minorHAnsi"/>
          <w:color w:val="auto"/>
          <w:lang w:val="en-GB"/>
        </w:rPr>
        <w:t>,</w:t>
      </w:r>
      <w:r w:rsidR="00EA4820" w:rsidRPr="00F852C4">
        <w:rPr>
          <w:rFonts w:asciiTheme="minorHAnsi" w:hAnsiTheme="minorHAnsi" w:cstheme="minorHAnsi"/>
          <w:color w:val="auto"/>
          <w:lang w:val="en-GB"/>
        </w:rPr>
        <w:t xml:space="preserve"> and marine ecosystems</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{"citationID":"3K10az4D","properties":{"formattedCitation":"\\super 2,5\\nosupersub{}","plainCitation":"2,5","noteIndex":0},"citationItems":[{"id":182,"uris":["http://zotero.org/users/local/eoOr01tb/items/GXZGR5JX"],"uri":["http://zotero.org/users/local/eoOr01tb/items/GXZGR5JX"],"itemData":{"id":182,"type":"article-journal","abstract":"Many symbiotic relationships rely on the acquisition of microbial partners from the environment. However, the mechanisms by which microbial symbionts find and colonize their hosts are often unknown. We propose that the acquisition of environmental symbionts often necessitates active migration and colonization by the symbionts through motility and chemotaxis. The pivotal role of these behaviours in the onset and maintenance of symbiotic interactions is well established in a small number of model systems but remains largely overlooked for the many symbioses that involve the recruitment of microbial partners from the environment. In this Review, we highlight when, where and how chemotaxis and motility can enable symbiont recruitment and propose that these symbiont behaviours are important across a wide range of hosts and environments.","container-title":"Nature Reviews. Microbiology","DOI":"10.1038/s41579-019-0182-9","ISSN":"1740-1534","issue":"5","journalAbbreviation":"Nat. Rev. Microbiol.","language":"eng","note":"PMID: 30923350","page":"284-294","source":"PubMed","title":"The role of microbial motility and chemotaxis in symbiosis","volume":"17","author":[{"family":"Raina","given":"Jean-Baptiste"},{"family":"Fernandez","given":"Vicente"},{"family":"Lambert","given":"Bennett"},{"family":"Stocker","given":"Roman"},{"family":"Seymour","given":"Justin R."}],"issued":{"date-parts":[["2019",5]]}}},{"id":179,"uris":["http://zotero.org/users/local/eoOr01tb/items/NEFMRXDK"],"uri":["http://zotero.org/users/local/eoOr01tb/items/NEFMRXDK"],"itemData":{"id":179,"type":"article-journal","abstract":"Chemotaxis enables microorganisms to move according to chemical gradients. Although this process requires substantial cellular energy, it also affords key physiological benefits, including enhanced access to growth substrates. Another important implication of chemotaxis is that it also plays an important role in infection and disease, as chemotaxis signalling pathways are broadly distributed across a variety of pathogenic bacteria. Furthermore, current research indicates that chemotaxis is essential for the initial stages of infection in different human, animal and plant pathogens. This review focuses on recent findings that have identified specific bacterial chemoreceptors and corresponding chemoeffectors associated with pathogenicity. Pathogenicity-related chemoeffectors are either host and niche-specific signals or intermediates of the host general metabolism. Plant pathogens were found to contain an elevated number of chemotaxis signalling genes and functional studies demonstrate that these genes are critical for their ability to enter the host. The expanding body of knowledge of the mechanisms underlying chemotaxis in pathogens provides a foundation for the development of new therapeutic strategies capable of blocking infection and preventing disease by interfering with chemotactic signalling pathways.","container-title":"FEMS microbiology reviews","DOI":"10.1093/femsre/fux052","ISSN":"1574-6976","issue":"1","journalAbbreviation":"FEMS Microbiol. Rev.","language":"eng","note":"PMID: 29069367","source":"PubMed","title":"The effect of bacterial chemotaxis on host infection and pathogenicity","volume":"42","author":[{"family":"Matilla","given":"Miguel A."},{"family":"Krell","given":"Tino"}],"issued":{"date-parts":[["2018"]],"season":"01"}}}],"schema":"https://github.com/citation-style-language/schema/raw/master/csl-citation.json"}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2,5</w:t>
      </w:r>
      <w:r w:rsidR="002F28C7" w:rsidRPr="00F852C4">
        <w:rPr>
          <w:rFonts w:asciiTheme="minorHAnsi" w:hAnsiTheme="minorHAnsi" w:cstheme="minorHAnsi"/>
          <w:color w:val="auto"/>
          <w:lang w:val="en-GB"/>
        </w:rPr>
        <w:fldChar w:fldCharType="end"/>
      </w:r>
      <w:r w:rsidR="00E85FC1" w:rsidRPr="00F852C4">
        <w:rPr>
          <w:rFonts w:asciiTheme="minorHAnsi" w:hAnsiTheme="minorHAnsi" w:cstheme="minorHAnsi"/>
          <w:color w:val="auto"/>
          <w:lang w:val="en-GB"/>
        </w:rPr>
        <w:t>.</w:t>
      </w:r>
    </w:p>
    <w:p w14:paraId="70D6F095" w14:textId="77777777" w:rsidR="00B510B1" w:rsidRPr="00F852C4" w:rsidRDefault="00B510B1" w:rsidP="00344E04">
      <w:pPr>
        <w:rPr>
          <w:rFonts w:asciiTheme="minorHAnsi" w:hAnsiTheme="minorHAnsi" w:cstheme="minorHAnsi"/>
          <w:color w:val="auto"/>
          <w:lang w:val="en-GB"/>
        </w:rPr>
      </w:pPr>
    </w:p>
    <w:p w14:paraId="66630630" w14:textId="26B05D3E" w:rsidR="0061483D" w:rsidRDefault="00E85FC1" w:rsidP="00344E04">
      <w:pPr>
        <w:rPr>
          <w:rFonts w:asciiTheme="minorHAnsi" w:hAnsiTheme="minorHAnsi" w:cstheme="minorHAnsi"/>
          <w:color w:val="auto"/>
        </w:rPr>
      </w:pPr>
      <w:r w:rsidRPr="00F852C4">
        <w:rPr>
          <w:rFonts w:asciiTheme="minorHAnsi" w:hAnsiTheme="minorHAnsi" w:cstheme="minorHAnsi"/>
          <w:color w:val="auto"/>
          <w:lang w:val="en-GB"/>
        </w:rPr>
        <w:t xml:space="preserve">Chemotaxis </w:t>
      </w:r>
      <w:r w:rsidR="00EA4820" w:rsidRPr="00F852C4">
        <w:rPr>
          <w:rFonts w:asciiTheme="minorHAnsi" w:hAnsiTheme="minorHAnsi" w:cstheme="minorHAnsi"/>
          <w:color w:val="auto"/>
          <w:lang w:val="en-GB"/>
        </w:rPr>
        <w:t>has been extensively studied in laboratory conditions for the past 60 years</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{"citationID":"h9BKDDIv","properties":{"formattedCitation":"\\super 6\\nosupersub{}","plainCitation":"6","noteIndex":0},"citationItems":[{"id":194,"uris":["http://zotero.org/users/local/eoOr01tb/items/TTMQZUEZ"],"uri":["http://zotero.org/users/local/eoOr01tb/items/TTMQZUEZ"],"itemData":{"id":194,"type":"article-journal","abstract":"Motile Escherichia coli placed at one end of a capillary tube containing an energy source and oxygen migrate out into the tube in one or two bands, which are clearly visible to the naked eye and can also be demonstrated by photography, microscopy, and densitometry and by assaying for bacteria throughout the tube. The formation of two bands is not due to heterogeneity among the bacteria, since the bacteria in each band, when reused, will form two more bands. If an anaerobically utilizable energy source such as galactose is present in excess over the oxygen, the first band consumes all the oxygen and a part of the sugar and the second band uses the residual sugar anaerobically. On the other hand, if oxygen is present in excess over the sugar, the first band oxidizes all the sugar and leaves behind unused oxygen, and the second band uses up the residual oxygen to oxidize an endogenous energy source. The essence of the matter is that the bacteria create a gradient of oxygen or of an energy source, and then they move preferentially in the direction of the higher concentration of the chemical. As a consequence, bands of bacteria (or rings of bacteria in the case of agar plates) form and move out. These results show that E. coli is chemotactic toward oxygen and energy sources such as galactose, glucose, aspartic acid, threonine, or serine. The full repertoire of chemotactic responses by E. coli is no doubt greater than this, and a more complete list remains to be compiled. The studies reported here demonstrate that chemotaxis allows bacteria to find that environment which provides them with the greatest supply of energy. It is clearly an advantage for bacteria to be able to carry out chemotaxis, since by this means they can avoid unfavorable conditions and seek optimum surroundings. Finally, it is necessary to acknowledge the pioneering work of Englemann, Pfeffer, and the other late-19thcentury biologists who discovered chemotaxis in bacteria, and to point out that the studies reported here fully confirm the earlier reports of Beijerinck (4) and Sherris and his collaborators (5,6) on a band of bacteria chemotactic toward oxygen. By using a chemically defined medium instead of a complex broth, it has been possible to study this band more closely and to demonstrate in addition the occurrence of a second band of bacteria chemotactic toward an energy source. Beijerinck (4) did, in fact, sometimes observe a second band, but he did not offer an explanation for it.","container-title":"Science (New York, N.Y.)","DOI":"10.1126/science.153.3737.708","ISSN":"0036-8075","issue":"3737","journalAbbreviation":"Science","language":"eng","note":"PMID: 4957395","page":"708-716","source":"PubMed","title":"Chemotaxis in bacteria","volume":"153","author":[{"family":"Adler","given":"J."}],"issued":{"date-parts":[["1966",8,12]]}}}],"schema":"https://github.com/citation-style-language/schema/raw/master/csl-citation.json"}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6</w:t>
      </w:r>
      <w:r w:rsidR="002F28C7" w:rsidRPr="00F852C4">
        <w:rPr>
          <w:rFonts w:asciiTheme="minorHAnsi" w:hAnsiTheme="minorHAnsi" w:cstheme="minorHAnsi"/>
          <w:color w:val="auto"/>
          <w:lang w:val="en-GB"/>
        </w:rPr>
        <w:fldChar w:fldCharType="end"/>
      </w:r>
      <w:r w:rsidR="00EA4820" w:rsidRPr="00F852C4">
        <w:rPr>
          <w:rFonts w:asciiTheme="minorHAnsi" w:hAnsiTheme="minorHAnsi" w:cstheme="minorHAnsi"/>
          <w:color w:val="auto"/>
          <w:lang w:val="en-GB"/>
        </w:rPr>
        <w:t>. The first quantitative method to study chemotaxis</w:t>
      </w:r>
      <w:r w:rsidR="0061483D">
        <w:rPr>
          <w:rFonts w:asciiTheme="minorHAnsi" w:hAnsiTheme="minorHAnsi" w:cstheme="minorHAnsi"/>
          <w:color w:val="auto"/>
          <w:lang w:val="en-GB"/>
        </w:rPr>
        <w:t>,</w:t>
      </w:r>
      <w:r w:rsidR="00B510B1" w:rsidRPr="00F852C4">
        <w:rPr>
          <w:rFonts w:asciiTheme="minorHAnsi" w:hAnsiTheme="minorHAnsi" w:cstheme="minorHAnsi"/>
          <w:color w:val="auto"/>
          <w:lang w:val="en-GB"/>
        </w:rPr>
        <w:t xml:space="preserve"> the capillary assay</w:t>
      </w:r>
      <w:r w:rsidR="0061483D">
        <w:rPr>
          <w:rFonts w:asciiTheme="minorHAnsi" w:hAnsiTheme="minorHAnsi" w:cstheme="minorHAnsi"/>
          <w:color w:val="auto"/>
          <w:lang w:val="en-GB"/>
        </w:rPr>
        <w:t>,</w:t>
      </w:r>
      <w:r w:rsidR="00EA4820" w:rsidRPr="00F852C4">
        <w:rPr>
          <w:rFonts w:asciiTheme="minorHAnsi" w:hAnsiTheme="minorHAnsi" w:cstheme="minorHAnsi"/>
          <w:color w:val="auto"/>
          <w:lang w:val="en-GB"/>
        </w:rPr>
        <w:t xml:space="preserve"> involve</w:t>
      </w:r>
      <w:r w:rsidR="0061483D">
        <w:rPr>
          <w:rFonts w:asciiTheme="minorHAnsi" w:hAnsiTheme="minorHAnsi" w:cstheme="minorHAnsi"/>
          <w:color w:val="auto"/>
          <w:lang w:val="en-GB"/>
        </w:rPr>
        <w:t>s</w:t>
      </w:r>
      <w:r w:rsidR="00EA4820" w:rsidRPr="00F852C4">
        <w:rPr>
          <w:rFonts w:asciiTheme="minorHAnsi" w:hAnsiTheme="minorHAnsi" w:cstheme="minorHAnsi"/>
          <w:color w:val="auto"/>
          <w:lang w:val="en-GB"/>
        </w:rPr>
        <w:t xml:space="preserve"> </w:t>
      </w:r>
      <w:r w:rsidRPr="00F852C4">
        <w:rPr>
          <w:rFonts w:asciiTheme="minorHAnsi" w:hAnsiTheme="minorHAnsi" w:cstheme="minorHAnsi"/>
          <w:color w:val="auto"/>
          <w:lang w:val="en-GB"/>
        </w:rPr>
        <w:t xml:space="preserve">a </w:t>
      </w:r>
      <w:r w:rsidR="00EA4820" w:rsidRPr="00F852C4">
        <w:rPr>
          <w:rFonts w:asciiTheme="minorHAnsi" w:hAnsiTheme="minorHAnsi" w:cstheme="minorHAnsi"/>
          <w:color w:val="auto"/>
          <w:lang w:val="en-GB"/>
        </w:rPr>
        <w:t xml:space="preserve">capillary tube filled with </w:t>
      </w:r>
      <w:r w:rsidRPr="00F852C4">
        <w:rPr>
          <w:rFonts w:asciiTheme="minorHAnsi" w:hAnsiTheme="minorHAnsi" w:cstheme="minorHAnsi"/>
          <w:color w:val="auto"/>
          <w:lang w:val="en-GB"/>
        </w:rPr>
        <w:t xml:space="preserve">a </w:t>
      </w:r>
      <w:r w:rsidR="00EA4820" w:rsidRPr="00F852C4">
        <w:rPr>
          <w:rFonts w:asciiTheme="minorHAnsi" w:hAnsiTheme="minorHAnsi" w:cstheme="minorHAnsi"/>
          <w:color w:val="auto"/>
          <w:lang w:val="en-GB"/>
        </w:rPr>
        <w:t>putati</w:t>
      </w:r>
      <w:r w:rsidR="002F28C7" w:rsidRPr="00F852C4">
        <w:rPr>
          <w:rFonts w:asciiTheme="minorHAnsi" w:hAnsiTheme="minorHAnsi" w:cstheme="minorHAnsi"/>
          <w:color w:val="auto"/>
          <w:lang w:val="en-GB"/>
        </w:rPr>
        <w:t>ve chemoattractant</w:t>
      </w:r>
      <w:r w:rsidR="00B510B1" w:rsidRPr="00F852C4">
        <w:rPr>
          <w:rFonts w:asciiTheme="minorHAnsi" w:hAnsiTheme="minorHAnsi" w:cstheme="minorHAnsi"/>
          <w:color w:val="auto"/>
          <w:lang w:val="en-GB"/>
        </w:rPr>
        <w:t xml:space="preserve"> immersed in a suspension of bacteria</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{"citationID":"vaujHV42","properties":{"formattedCitation":"\\super 6\\nosupersub{}","plainCitation":"6","noteIndex":0},"citationItems":[{"id":194,"uris":["http://zotero.org/users/local/eoOr01tb/items/TTMQZUEZ"],"uri":["http://zotero.org/users/local/eoOr01tb/items/TTMQZUEZ"],"itemData":{"id":194,"type":"article-journal","abstract":"Motile Escherichia coli placed at one end of a capillary tube containing an energy source and oxygen migrate out into the tube in one or two bands, which are clearly visible to the naked eye and can also be demonstrated by photography, microscopy, and densitometry and by assaying for bacteria throughout the tube. The formation of two bands is not due to heterogeneity among the bacteria, since the bacteria in each band, when reused, will form two more bands. If an anaerobically utilizable energy source such as galactose is present in excess over the oxygen, the first band consumes all the oxygen and a part of the sugar and the second band uses the residual sugar anaerobically. On the other hand, if oxygen is present in excess over the sugar, the first band oxidizes all the sugar and leaves behind unused oxygen, and the second band uses up the residual oxygen to oxidize an endogenous energy source. The essence of the matter is that the bacteria create a gradient of oxygen or of an energy source, and then they move preferentially in the direction of the higher concentration of the chemical. As a consequence, bands of bacteria (or rings of bacteria in the case of agar plates) form and move out. These results show that E. coli is chemotactic toward oxygen and energy sources such as galactose, glucose, aspartic acid, threonine, or serine. The full repertoire of chemotactic responses by E. coli is no doubt greater than this, and a more complete list remains to be compiled. The studies reported here demonstrate that chemotaxis allows bacteria to find that environment which provides them with the greatest supply of energy. It is clearly an advantage for bacteria to be able to carry out chemotaxis, since by this means they can avoid unfavorable conditions and seek optimum surroundings. Finally, it is necessary to acknowledge the pioneering work of Englemann, Pfeffer, and the other late-19thcentury biologists who discovered chemotaxis in bacteria, and to point out that the studies reported here fully confirm the earlier reports of Beijerinck (4) and Sherris and his collaborators (5,6) on a band of bacteria chemotactic toward oxygen. By using a chemically defined medium instead of a complex broth, it has been possible to study this band more closely and to demonstrate in addition the occurrence of a second band of bacteria chemotactic toward an energy source. Beijerinck (4) did, in fact, sometimes observe a second band, but he did not offer an explanation for it.","container-title":"Science (New York, N.Y.)","DOI":"10.1126/science.153.3737.708","ISSN":"0036-8075","issue":"3737","journalAbbreviation":"Science","language":"eng","note":"PMID: 4957395","page":"708-716","source":"PubMed","title":"Chemotaxis in bacteria","volume":"153","author":[{"family":"Adler","given":"J."}],"issued":{"date-parts":[["1966",8,12]]}}}],"schema":"https://github.com/citation-style-language/schema/raw/master/csl-citation.json"}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6</w:t>
      </w:r>
      <w:r w:rsidR="002F28C7" w:rsidRPr="00F852C4">
        <w:rPr>
          <w:rFonts w:asciiTheme="minorHAnsi" w:hAnsiTheme="minorHAnsi" w:cstheme="minorHAnsi"/>
          <w:color w:val="auto"/>
          <w:lang w:val="en-GB"/>
        </w:rPr>
        <w:fldChar w:fldCharType="end"/>
      </w:r>
      <w:r w:rsidR="00EA4820" w:rsidRPr="00F852C4">
        <w:rPr>
          <w:rFonts w:asciiTheme="minorHAnsi" w:hAnsiTheme="minorHAnsi" w:cstheme="minorHAnsi"/>
          <w:color w:val="auto"/>
          <w:lang w:val="en-GB"/>
        </w:rPr>
        <w:t xml:space="preserve">. </w:t>
      </w:r>
      <w:r w:rsidR="0061483D">
        <w:rPr>
          <w:rFonts w:asciiTheme="minorHAnsi" w:hAnsiTheme="minorHAnsi" w:cstheme="minorHAnsi"/>
          <w:color w:val="auto"/>
          <w:lang w:val="en-GB"/>
        </w:rPr>
        <w:t>D</w:t>
      </w:r>
      <w:r w:rsidR="00EA4820" w:rsidRPr="00F852C4">
        <w:rPr>
          <w:rFonts w:asciiTheme="minorHAnsi" w:hAnsiTheme="minorHAnsi" w:cstheme="minorHAnsi"/>
          <w:color w:val="auto"/>
          <w:lang w:val="en-GB"/>
        </w:rPr>
        <w:t xml:space="preserve">iffusion of </w:t>
      </w:r>
      <w:r w:rsidR="00B510B1" w:rsidRPr="00F852C4">
        <w:rPr>
          <w:rFonts w:asciiTheme="minorHAnsi" w:hAnsiTheme="minorHAnsi" w:cstheme="minorHAnsi"/>
          <w:color w:val="auto"/>
          <w:lang w:val="en-GB"/>
        </w:rPr>
        <w:t>the</w:t>
      </w:r>
      <w:r w:rsidRPr="00F852C4">
        <w:rPr>
          <w:rFonts w:asciiTheme="minorHAnsi" w:hAnsiTheme="minorHAnsi" w:cstheme="minorHAnsi"/>
          <w:color w:val="auto"/>
          <w:lang w:val="en-GB"/>
        </w:rPr>
        <w:t xml:space="preserve"> </w:t>
      </w:r>
      <w:r w:rsidR="00EA4820" w:rsidRPr="00F852C4">
        <w:rPr>
          <w:rFonts w:asciiTheme="minorHAnsi" w:hAnsiTheme="minorHAnsi" w:cstheme="minorHAnsi"/>
          <w:color w:val="auto"/>
          <w:lang w:val="en-GB"/>
        </w:rPr>
        <w:t>chemical out of the tube</w:t>
      </w:r>
      <w:r w:rsidR="00B510B1" w:rsidRPr="00F852C4">
        <w:rPr>
          <w:rFonts w:asciiTheme="minorHAnsi" w:hAnsiTheme="minorHAnsi" w:cstheme="minorHAnsi"/>
          <w:color w:val="auto"/>
          <w:lang w:val="en-GB"/>
        </w:rPr>
        <w:t xml:space="preserve"> creates a chemical gradient, </w:t>
      </w:r>
      <w:r w:rsidR="002B5F7F">
        <w:rPr>
          <w:rFonts w:asciiTheme="minorHAnsi" w:hAnsiTheme="minorHAnsi" w:cstheme="minorHAnsi"/>
          <w:color w:val="auto"/>
          <w:lang w:val="en-GB"/>
        </w:rPr>
        <w:t>and</w:t>
      </w:r>
      <w:r w:rsidR="00B510B1" w:rsidRPr="00F852C4">
        <w:rPr>
          <w:rFonts w:asciiTheme="minorHAnsi" w:hAnsiTheme="minorHAnsi" w:cstheme="minorHAnsi"/>
          <w:color w:val="auto"/>
          <w:lang w:val="en-GB"/>
        </w:rPr>
        <w:t xml:space="preserve"> chemotactic bacteria </w:t>
      </w:r>
      <w:r w:rsidR="002B5F7F" w:rsidRPr="002B5F7F">
        <w:rPr>
          <w:rFonts w:asciiTheme="minorHAnsi" w:hAnsiTheme="minorHAnsi" w:cstheme="minorHAnsi"/>
          <w:color w:val="auto"/>
          <w:lang w:val="en-GB"/>
        </w:rPr>
        <w:t xml:space="preserve">respond to this gradient by </w:t>
      </w:r>
      <w:r w:rsidR="00B510B1" w:rsidRPr="00F852C4">
        <w:rPr>
          <w:rFonts w:asciiTheme="minorHAnsi" w:hAnsiTheme="minorHAnsi" w:cstheme="minorHAnsi"/>
          <w:color w:val="auto"/>
          <w:lang w:val="en-GB"/>
        </w:rPr>
        <w:t>migrat</w:t>
      </w:r>
      <w:r w:rsidR="002B5F7F">
        <w:rPr>
          <w:rFonts w:asciiTheme="minorHAnsi" w:hAnsiTheme="minorHAnsi" w:cstheme="minorHAnsi"/>
          <w:color w:val="auto"/>
          <w:lang w:val="en-GB"/>
        </w:rPr>
        <w:t>ing</w:t>
      </w:r>
      <w:r w:rsidR="00B510B1" w:rsidRPr="00F852C4">
        <w:rPr>
          <w:rFonts w:asciiTheme="minorHAnsi" w:hAnsiTheme="minorHAnsi" w:cstheme="minorHAnsi"/>
          <w:color w:val="auto"/>
          <w:lang w:val="en-GB"/>
        </w:rPr>
        <w:t xml:space="preserve"> </w:t>
      </w:r>
      <w:r w:rsidR="00EA4820" w:rsidRPr="00F852C4">
        <w:rPr>
          <w:rFonts w:asciiTheme="minorHAnsi" w:hAnsiTheme="minorHAnsi" w:cstheme="minorHAnsi"/>
          <w:color w:val="auto"/>
          <w:lang w:val="en-GB"/>
        </w:rPr>
        <w:t>into the tube</w:t>
      </w:r>
      <w:r w:rsidR="002F28C7" w:rsidRPr="00F852C4">
        <w:rPr>
          <w:rFonts w:asciiTheme="minorHAnsi" w:hAnsiTheme="minorHAnsi" w:cstheme="minorHAnsi"/>
          <w:color w:val="auto"/>
          <w:lang w:val="en-GB"/>
        </w:rPr>
        <w:fldChar w:fldCharType="begin"/>
      </w:r>
      <w:r w:rsidR="00BB094B">
        <w:rPr>
          <w:rFonts w:asciiTheme="minorHAnsi" w:hAnsiTheme="minorHAnsi" w:cstheme="minorHAnsi"/>
          <w:color w:val="auto"/>
          <w:lang w:val="en-GB"/>
        </w:rPr>
        <w:instrText xml:space="preserve"> ADDIN ZOTERO_ITEM CSL_CITATION {"citationID":"hlJH3x7I","properties":{"formattedCitation":"\\super 7\\nosupersub{}","plainCitation":"7","noteIndex":0},"citationItems":[{"id":65,"uris":["http://zotero.org/users/local/eoOr01tb/items/PULWSCTI"],"uri":["http://zotero.org/users/local/eoOr01tb/items/PULWSCTI"],"itemData":{"id":65,"type":"article-journal","container-title":"Journal of General Microbiology","DOI":"10.1099/00221287-46-2-161","ISSN":"0022-1287","issue":"2","journalAbbreviation":"J. Gen. Microbiol.","language":"eng","note":"PMID: 5339791","page":"161-173","source":"PubMed","title":"A method for measuring the motility of bacteria and for comparing random and non-random motility","volume":"46","author":[{"family":"Adler","given":"J."},{"family":"Dahl","given":"M. M."}],"issued":{"date-parts":[["1967",2]]}}}],"schema":"https://github.com/citation-style-language/schema/raw/master/csl-citation.json"} </w:instrText>
      </w:r>
      <w:r w:rsidR="002F28C7" w:rsidRPr="00F852C4">
        <w:rPr>
          <w:rFonts w:asciiTheme="minorHAnsi" w:hAnsiTheme="minorHAnsi" w:cstheme="minorHAnsi"/>
          <w:color w:val="auto"/>
          <w:lang w:val="en-GB"/>
        </w:rPr>
        <w:fldChar w:fldCharType="separate"/>
      </w:r>
      <w:r w:rsidR="002F28C7" w:rsidRPr="0084101D">
        <w:rPr>
          <w:rFonts w:asciiTheme="minorHAnsi" w:hAnsiTheme="minorHAnsi" w:cstheme="minorHAnsi"/>
          <w:vertAlign w:val="superscript"/>
        </w:rPr>
        <w:t>7</w:t>
      </w:r>
      <w:r w:rsidR="002F28C7" w:rsidRPr="00F852C4">
        <w:rPr>
          <w:rFonts w:asciiTheme="minorHAnsi" w:hAnsiTheme="minorHAnsi" w:cstheme="minorHAnsi"/>
          <w:color w:val="auto"/>
          <w:lang w:val="en-GB"/>
        </w:rPr>
        <w:fldChar w:fldCharType="end"/>
      </w:r>
      <w:r w:rsidR="00EA4820" w:rsidRPr="00F852C4">
        <w:rPr>
          <w:rFonts w:asciiTheme="minorHAnsi" w:hAnsiTheme="minorHAnsi" w:cstheme="minorHAnsi"/>
          <w:color w:val="auto"/>
          <w:lang w:val="en-GB"/>
        </w:rPr>
        <w:t xml:space="preserve">. Since </w:t>
      </w:r>
      <w:r w:rsidR="00B510B1" w:rsidRPr="00F852C4">
        <w:rPr>
          <w:rFonts w:asciiTheme="minorHAnsi" w:hAnsiTheme="minorHAnsi" w:cstheme="minorHAnsi"/>
          <w:color w:val="auto"/>
          <w:lang w:val="en-GB"/>
        </w:rPr>
        <w:t>the development of the capillary assay</w:t>
      </w:r>
      <w:r w:rsidR="00EA4820" w:rsidRPr="00F852C4">
        <w:rPr>
          <w:rFonts w:asciiTheme="minorHAnsi" w:hAnsiTheme="minorHAnsi" w:cstheme="minorHAnsi"/>
          <w:color w:val="auto"/>
          <w:lang w:val="en-GB"/>
        </w:rPr>
        <w:t>,</w:t>
      </w:r>
      <w:r w:rsidR="00B510B1" w:rsidRPr="00F852C4">
        <w:rPr>
          <w:rFonts w:asciiTheme="minorHAnsi" w:hAnsiTheme="minorHAnsi" w:cstheme="minorHAnsi"/>
          <w:color w:val="auto"/>
          <w:lang w:val="en-GB"/>
        </w:rPr>
        <w:t xml:space="preserve"> still widely used today, </w:t>
      </w:r>
      <w:r w:rsidR="00EA4820" w:rsidRPr="00F852C4">
        <w:rPr>
          <w:rFonts w:asciiTheme="minorHAnsi" w:hAnsiTheme="minorHAnsi" w:cstheme="minorHAnsi"/>
          <w:color w:val="auto"/>
          <w:lang w:val="en-GB"/>
        </w:rPr>
        <w:t xml:space="preserve">many </w:t>
      </w:r>
      <w:r w:rsidR="00B510B1" w:rsidRPr="00F852C4">
        <w:rPr>
          <w:rFonts w:asciiTheme="minorHAnsi" w:hAnsiTheme="minorHAnsi" w:cstheme="minorHAnsi"/>
          <w:color w:val="auto"/>
          <w:lang w:val="en-GB"/>
        </w:rPr>
        <w:t xml:space="preserve">other </w:t>
      </w:r>
      <w:r w:rsidR="00EA4820" w:rsidRPr="00F852C4">
        <w:rPr>
          <w:rFonts w:asciiTheme="minorHAnsi" w:hAnsiTheme="minorHAnsi" w:cstheme="minorHAnsi"/>
          <w:color w:val="auto"/>
          <w:lang w:val="en-GB"/>
        </w:rPr>
        <w:t>techniques have been developed to study chemotaxis under increasingly controlled physic</w:t>
      </w:r>
      <w:r w:rsidR="0061483D">
        <w:rPr>
          <w:rFonts w:asciiTheme="minorHAnsi" w:hAnsiTheme="minorHAnsi" w:cstheme="minorHAnsi"/>
          <w:color w:val="auto"/>
          <w:lang w:val="en-GB"/>
        </w:rPr>
        <w:t>al/</w:t>
      </w:r>
      <w:r w:rsidR="00EA4820" w:rsidRPr="00F852C4">
        <w:rPr>
          <w:rFonts w:asciiTheme="minorHAnsi" w:hAnsiTheme="minorHAnsi" w:cstheme="minorHAnsi"/>
          <w:color w:val="auto"/>
          <w:lang w:val="en-GB"/>
        </w:rPr>
        <w:t>chemical conditions, with the most recent involving the use of microfluidics</w:t>
      </w:r>
      <w:r w:rsidR="00EA4820"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{"citationID":"5oog1sXq","properties":{"formattedCitation":"\\super 8\\uc0\\u8211{}10\\nosupersub{}","plainCitation":"8–10","noteIndex":0},"citationItems":[{"id":144,"uris":["http://zotero.org/users/local/eoOr01tb/items/GVS6I5QD"],"uri":["http://zotero.org/users/local/eoOr01tb/items/GVS6I5QD"],"itemData":{"id":144,"type":"article-journal","container-title":"Integrative Biology","DOI":"10.1039/C0IB00049C","issue":"11-12","language":"en","page":"604-629","source":"pubs.rsc.org","title":"Microfluidics for bacterial chemotaxis","volume":"2","author":[{"family":"Ahmed","given":"Tanvir"},{"family":"S. Shimizu","given":"Thomas"},{"family":"Stocker","given":"Roman"}],"issued":{"date-parts":[["2010"]]}}},{"id":70,"uris":["http://zotero.org/users/local/eoOr01tb/items/BFE69UTG"],"uri":["http://zotero.org/users/local/eoOr01tb/items/BFE69UTG"],"itemData":{"id":70,"type":"article-journal","abstract":"The spatial structure of natural habitats strongly affects bacterial life, ranging from nanoscale structural features that individual cells exploit for surface attachment, to micro- and millimeter-scale chemical gradients that drive population-level processes. Nanofabrication and microfluidics are ideally suited to manipulate the environment at those scales and have emerged as powerful tools with which to study bacteria. Here, we review the new scientific insights gained by using a diverse set of nanofabrication and microfluidic techniques to study individual bacteria and multispecies communities. This toolbox is beginning to elucidate disparate bacterial phenomena-including aging, electron transport, and quorum sensing-and enables the dissection of environmental communities through single-cell genomics. A more intimate integration of microfluidics, nanofabrication, and microbiology will enable further exploration of bacterial life at the smallest scales.","container-title":"Science (New York, N.Y.)","DOI":"10.1126/science.1251821","ISSN":"1095-9203","issue":"6208","journalAbbreviation":"Science","language":"eng","note":"PMID: 25342809","page":"1251821","source":"PubMed","title":"Zooming in to see the bigger picture: microfluidic and nanofabrication tools to study bacteria","title-short":"Zooming in to see the bigger picture","volume":"346","author":[{"family":"Hol","given":"Felix J. H."},{"family":"Dekker","given":"Cees"}],"issued":{"date-parts":[["2014",10,24]]}}},{"id":147,"uris":["http://zotero.org/users/local/eoOr01tb/items/BCES3DMX"],"uri":["http://zotero.org/users/local/eoOr01tb/items/BCES3DMX"],"itemData":{"id":147,"type":"article-journal","abstract":"Microfluidics has significantly contributed to the expansion of the frontiers of microbial ecology over the past decade by allowing researchers to observe the behaviors of microbes in highly controlled microenvironments, across scales from a single cell to mixed communities. Spatially and temporally varying distributions of organisms and chemical cues that mimic natural microbial habitats can now be established by exploiting physics at the micrometer scale and by incorporating structures with specific geometries and materials. In this article, we review applications of microfluidics that have resulted in insightful discoveries on fundamental aspects of microbial life, ranging from growth and sensing to cell-cell interactions and population dynamics. We anticipate that this flexible multidisciplinary technology will continue to facilitate discoveries regarding the ecology of microorganisms and help uncover strategies to control microbial processes such as biofilm formation and antibiotic resistance.","container-title":"Annual Review of Biophysics","DOI":"10.1146/annurev-biophys-051013-022916","issue":"1","note":"PMID: 24773019","page":"65-91","source":"Annual Reviews","title":"Microfluidics Expanding the Frontiers of Microbial Ecology","volume":"43","author":[{"family":"Rusconi","given":"Roberto"},{"family":"Garren","given":"Melissa"},{"family":"Stocker","given":"Roman"}],"issued":{"date-parts":[["2014"]]}}}],"schema":"https://github.com/citation-style-language/schema/raw/master/csl-citation.json"} </w:instrText>
      </w:r>
      <w:r w:rsidR="00EA4820" w:rsidRPr="00F852C4">
        <w:rPr>
          <w:rFonts w:asciiTheme="minorHAnsi" w:hAnsiTheme="minorHAnsi" w:cstheme="minorHAnsi"/>
          <w:color w:val="auto"/>
        </w:rPr>
        <w:fldChar w:fldCharType="separate"/>
      </w:r>
      <w:r w:rsidR="002F28C7" w:rsidRPr="0084101D">
        <w:rPr>
          <w:rFonts w:asciiTheme="minorHAnsi" w:hAnsiTheme="minorHAnsi" w:cstheme="minorHAnsi"/>
          <w:vertAlign w:val="superscript"/>
        </w:rPr>
        <w:t>8–10</w:t>
      </w:r>
      <w:r w:rsidR="00EA4820" w:rsidRPr="00F852C4">
        <w:rPr>
          <w:rFonts w:asciiTheme="minorHAnsi" w:hAnsiTheme="minorHAnsi" w:cstheme="minorHAnsi"/>
          <w:color w:val="auto"/>
        </w:rPr>
        <w:fldChar w:fldCharType="end"/>
      </w:r>
      <w:r w:rsidRPr="00F852C4">
        <w:rPr>
          <w:rFonts w:asciiTheme="minorHAnsi" w:hAnsiTheme="minorHAnsi" w:cstheme="minorHAnsi"/>
          <w:color w:val="auto"/>
        </w:rPr>
        <w:t xml:space="preserve">. </w:t>
      </w:r>
    </w:p>
    <w:p w14:paraId="31165ACF" w14:textId="77777777" w:rsidR="0061483D" w:rsidRDefault="0061483D" w:rsidP="00344E04">
      <w:pPr>
        <w:rPr>
          <w:rFonts w:asciiTheme="minorHAnsi" w:hAnsiTheme="minorHAnsi" w:cstheme="minorHAnsi"/>
          <w:color w:val="auto"/>
        </w:rPr>
      </w:pPr>
    </w:p>
    <w:p w14:paraId="00D8695D" w14:textId="7607F1AC" w:rsidR="00EA4820" w:rsidRPr="00F852C4" w:rsidRDefault="00E85FC1" w:rsidP="00344E04">
      <w:pPr>
        <w:rPr>
          <w:rFonts w:asciiTheme="minorHAnsi" w:hAnsiTheme="minorHAnsi" w:cstheme="minorHAnsi"/>
          <w:color w:val="auto"/>
          <w:lang w:val="en-GB"/>
        </w:rPr>
      </w:pPr>
      <w:r w:rsidRPr="00F852C4">
        <w:rPr>
          <w:rFonts w:asciiTheme="minorHAnsi" w:hAnsiTheme="minorHAnsi" w:cstheme="minorHAnsi"/>
          <w:color w:val="auto"/>
        </w:rPr>
        <w:t>Microfluidics,</w:t>
      </w:r>
      <w:r w:rsidR="00EA4820" w:rsidRPr="00F852C4">
        <w:rPr>
          <w:rFonts w:asciiTheme="minorHAnsi" w:hAnsiTheme="minorHAnsi" w:cstheme="minorHAnsi"/>
          <w:color w:val="auto"/>
        </w:rPr>
        <w:t xml:space="preserve"> together with high-speed video microscopy</w:t>
      </w:r>
      <w:r w:rsidRPr="00F852C4">
        <w:rPr>
          <w:rFonts w:asciiTheme="minorHAnsi" w:hAnsiTheme="minorHAnsi" w:cstheme="minorHAnsi"/>
          <w:color w:val="auto"/>
        </w:rPr>
        <w:t>,</w:t>
      </w:r>
      <w:r w:rsidR="00EA4820" w:rsidRPr="00F852C4">
        <w:rPr>
          <w:rFonts w:asciiTheme="minorHAnsi" w:hAnsiTheme="minorHAnsi" w:cstheme="minorHAnsi"/>
          <w:color w:val="auto"/>
        </w:rPr>
        <w:t xml:space="preserve"> enable</w:t>
      </w:r>
      <w:r w:rsidRPr="00F852C4">
        <w:rPr>
          <w:rFonts w:asciiTheme="minorHAnsi" w:hAnsiTheme="minorHAnsi" w:cstheme="minorHAnsi"/>
          <w:color w:val="auto"/>
        </w:rPr>
        <w:t>s</w:t>
      </w:r>
      <w:r w:rsidR="00EA4820" w:rsidRPr="00F852C4">
        <w:rPr>
          <w:rFonts w:asciiTheme="minorHAnsi" w:hAnsiTheme="minorHAnsi" w:cstheme="minorHAnsi"/>
          <w:color w:val="auto"/>
        </w:rPr>
        <w:t xml:space="preserve"> track</w:t>
      </w:r>
      <w:r w:rsidR="0061483D">
        <w:rPr>
          <w:rFonts w:asciiTheme="minorHAnsi" w:hAnsiTheme="minorHAnsi" w:cstheme="minorHAnsi"/>
          <w:color w:val="auto"/>
        </w:rPr>
        <w:t>ing of</w:t>
      </w:r>
      <w:r w:rsidR="00EA4820" w:rsidRPr="00F852C4">
        <w:rPr>
          <w:rFonts w:asciiTheme="minorHAnsi" w:hAnsiTheme="minorHAnsi" w:cstheme="minorHAnsi"/>
          <w:color w:val="auto"/>
        </w:rPr>
        <w:t xml:space="preserve"> the behavior of single cells in response to carefully controlled gradients. Although these techniques have vastly improved </w:t>
      </w:r>
      <w:r w:rsidR="0061483D">
        <w:rPr>
          <w:rFonts w:asciiTheme="minorHAnsi" w:hAnsiTheme="minorHAnsi" w:cstheme="minorHAnsi"/>
          <w:color w:val="auto"/>
        </w:rPr>
        <w:t>the</w:t>
      </w:r>
      <w:r w:rsidR="00EA4820" w:rsidRPr="00F852C4">
        <w:rPr>
          <w:rFonts w:asciiTheme="minorHAnsi" w:hAnsiTheme="minorHAnsi" w:cstheme="minorHAnsi"/>
          <w:color w:val="auto"/>
        </w:rPr>
        <w:t xml:space="preserve"> understanding of chemotaxis, they </w:t>
      </w:r>
      <w:r w:rsidRPr="00F852C4">
        <w:rPr>
          <w:rFonts w:asciiTheme="minorHAnsi" w:hAnsiTheme="minorHAnsi" w:cstheme="minorHAnsi"/>
          <w:color w:val="auto"/>
        </w:rPr>
        <w:t xml:space="preserve">have been </w:t>
      </w:r>
      <w:r w:rsidR="00EA4820" w:rsidRPr="00F852C4">
        <w:rPr>
          <w:rFonts w:asciiTheme="minorHAnsi" w:hAnsiTheme="minorHAnsi" w:cstheme="minorHAnsi"/>
          <w:color w:val="auto"/>
        </w:rPr>
        <w:t>restricted to laboratory use a</w:t>
      </w:r>
      <w:proofErr w:type="spellStart"/>
      <w:r w:rsidR="00EA4820" w:rsidRPr="00F852C4">
        <w:rPr>
          <w:rFonts w:asciiTheme="minorHAnsi" w:hAnsiTheme="minorHAnsi" w:cstheme="minorHAnsi"/>
          <w:color w:val="auto"/>
          <w:lang w:val="en-GB"/>
        </w:rPr>
        <w:t>nd</w:t>
      </w:r>
      <w:proofErr w:type="spellEnd"/>
      <w:r w:rsidR="00EA4820" w:rsidRPr="00F852C4">
        <w:rPr>
          <w:rFonts w:asciiTheme="minorHAnsi" w:hAnsiTheme="minorHAnsi" w:cstheme="minorHAnsi"/>
          <w:color w:val="auto"/>
          <w:lang w:val="en-GB"/>
        </w:rPr>
        <w:t xml:space="preserve"> do not translate easily to</w:t>
      </w:r>
      <w:r w:rsidR="00A56B7F" w:rsidRPr="00F852C4">
        <w:rPr>
          <w:rFonts w:asciiTheme="minorHAnsi" w:hAnsiTheme="minorHAnsi" w:cstheme="minorHAnsi"/>
          <w:color w:val="auto"/>
          <w:lang w:val="en-GB"/>
        </w:rPr>
        <w:t xml:space="preserve"> field</w:t>
      </w:r>
      <w:r w:rsidR="00EA4820" w:rsidRPr="00F852C4">
        <w:rPr>
          <w:rFonts w:asciiTheme="minorHAnsi" w:hAnsiTheme="minorHAnsi" w:cstheme="minorHAnsi"/>
          <w:color w:val="auto"/>
          <w:lang w:val="en-GB"/>
        </w:rPr>
        <w:t xml:space="preserve"> </w:t>
      </w:r>
      <w:r w:rsidRPr="00F852C4">
        <w:rPr>
          <w:rFonts w:asciiTheme="minorHAnsi" w:hAnsiTheme="minorHAnsi" w:cstheme="minorHAnsi"/>
          <w:color w:val="auto"/>
          <w:lang w:val="en-GB"/>
        </w:rPr>
        <w:t xml:space="preserve">deployment in </w:t>
      </w:r>
      <w:r w:rsidR="00EA4820" w:rsidRPr="00F852C4">
        <w:rPr>
          <w:rFonts w:asciiTheme="minorHAnsi" w:hAnsiTheme="minorHAnsi" w:cstheme="minorHAnsi"/>
          <w:color w:val="auto"/>
          <w:lang w:val="en-GB"/>
        </w:rPr>
        <w:t xml:space="preserve">environmental systems. </w:t>
      </w:r>
      <w:proofErr w:type="gramStart"/>
      <w:r w:rsidR="00B510B1" w:rsidRPr="00F852C4">
        <w:rPr>
          <w:rFonts w:asciiTheme="minorHAnsi" w:hAnsiTheme="minorHAnsi" w:cstheme="minorHAnsi"/>
          <w:color w:val="auto"/>
          <w:lang w:val="en-GB"/>
        </w:rPr>
        <w:t>As a consequence</w:t>
      </w:r>
      <w:proofErr w:type="gramEnd"/>
      <w:r w:rsidR="00B510B1" w:rsidRPr="00F852C4">
        <w:rPr>
          <w:rFonts w:asciiTheme="minorHAnsi" w:hAnsiTheme="minorHAnsi" w:cstheme="minorHAnsi"/>
          <w:color w:val="auto"/>
          <w:lang w:val="en-GB"/>
        </w:rPr>
        <w:t>, the capacity of natural communities of bacteria to use chemotaxis within natural ecosystems has not been examined</w:t>
      </w:r>
      <w:r w:rsidR="0061483D">
        <w:rPr>
          <w:rFonts w:asciiTheme="minorHAnsi" w:hAnsiTheme="minorHAnsi" w:cstheme="minorHAnsi"/>
          <w:color w:val="auto"/>
          <w:lang w:val="en-GB"/>
        </w:rPr>
        <w:t>; thus, current</w:t>
      </w:r>
      <w:r w:rsidR="00B510B1" w:rsidRPr="00F852C4">
        <w:rPr>
          <w:rFonts w:asciiTheme="minorHAnsi" w:hAnsiTheme="minorHAnsi" w:cstheme="minorHAnsi"/>
          <w:color w:val="auto"/>
          <w:lang w:val="en-GB"/>
        </w:rPr>
        <w:t xml:space="preserve"> understanding of the potential ecological importance of chemotaxis is biased </w:t>
      </w:r>
      <w:r w:rsidR="00561B7A" w:rsidRPr="00F852C4">
        <w:rPr>
          <w:rFonts w:asciiTheme="minorHAnsi" w:hAnsiTheme="minorHAnsi" w:cstheme="minorHAnsi"/>
          <w:color w:val="auto"/>
          <w:lang w:val="en-GB"/>
        </w:rPr>
        <w:t>tow</w:t>
      </w:r>
      <w:r w:rsidR="00B510B1" w:rsidRPr="00F852C4">
        <w:rPr>
          <w:rFonts w:asciiTheme="minorHAnsi" w:hAnsiTheme="minorHAnsi" w:cstheme="minorHAnsi"/>
          <w:color w:val="auto"/>
          <w:lang w:val="en-GB"/>
        </w:rPr>
        <w:t>ard artificial laboratory conditions an</w:t>
      </w:r>
      <w:r w:rsidR="007A1C28" w:rsidRPr="00F852C4">
        <w:rPr>
          <w:rFonts w:asciiTheme="minorHAnsi" w:hAnsiTheme="minorHAnsi" w:cstheme="minorHAnsi"/>
          <w:color w:val="auto"/>
          <w:lang w:val="en-GB"/>
        </w:rPr>
        <w:t>d a limited number of laboratory-cultured</w:t>
      </w:r>
      <w:r w:rsidR="00B510B1" w:rsidRPr="00F852C4">
        <w:rPr>
          <w:rFonts w:asciiTheme="minorHAnsi" w:hAnsiTheme="minorHAnsi" w:cstheme="minorHAnsi"/>
          <w:color w:val="auto"/>
          <w:lang w:val="en-GB"/>
        </w:rPr>
        <w:t xml:space="preserve"> bacterial isolates. </w:t>
      </w:r>
      <w:r w:rsidR="0061483D">
        <w:rPr>
          <w:rFonts w:asciiTheme="minorHAnsi" w:hAnsiTheme="minorHAnsi" w:cstheme="minorHAnsi"/>
          <w:color w:val="auto"/>
          <w:lang w:val="en-GB"/>
        </w:rPr>
        <w:t xml:space="preserve">The recently developed ISCA </w:t>
      </w:r>
      <w:r w:rsidR="00B510B1" w:rsidRPr="00F852C4">
        <w:rPr>
          <w:rFonts w:asciiTheme="minorHAnsi" w:hAnsiTheme="minorHAnsi" w:cstheme="minorHAnsi"/>
          <w:color w:val="auto"/>
          <w:lang w:val="en-GB"/>
        </w:rPr>
        <w:t>overcome</w:t>
      </w:r>
      <w:r w:rsidR="0061483D">
        <w:rPr>
          <w:rFonts w:asciiTheme="minorHAnsi" w:hAnsiTheme="minorHAnsi" w:cstheme="minorHAnsi"/>
          <w:color w:val="auto"/>
          <w:lang w:val="en-GB"/>
        </w:rPr>
        <w:t>s</w:t>
      </w:r>
      <w:r w:rsidR="00B510B1" w:rsidRPr="00F852C4">
        <w:rPr>
          <w:rFonts w:asciiTheme="minorHAnsi" w:hAnsiTheme="minorHAnsi" w:cstheme="minorHAnsi"/>
          <w:color w:val="auto"/>
          <w:lang w:val="en-GB"/>
        </w:rPr>
        <w:t xml:space="preserve"> these limitations</w:t>
      </w:r>
      <w:r w:rsidR="00B510B1"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{"citationID":"0gcbpwHM","properties":{"formattedCitation":"\\super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B510B1" w:rsidRPr="00F852C4">
        <w:rPr>
          <w:rFonts w:asciiTheme="minorHAnsi" w:hAnsiTheme="minorHAnsi" w:cstheme="minorHAnsi"/>
          <w:color w:val="auto"/>
        </w:rPr>
        <w:fldChar w:fldCharType="separate"/>
      </w:r>
      <w:r w:rsidR="00B510B1" w:rsidRPr="004626AE">
        <w:rPr>
          <w:rFonts w:asciiTheme="minorHAnsi" w:hAnsiTheme="minorHAnsi" w:cstheme="minorHAnsi"/>
          <w:vertAlign w:val="superscript"/>
        </w:rPr>
        <w:t>11</w:t>
      </w:r>
      <w:r w:rsidR="00B510B1" w:rsidRPr="00F852C4">
        <w:rPr>
          <w:rFonts w:asciiTheme="minorHAnsi" w:hAnsiTheme="minorHAnsi" w:cstheme="minorHAnsi"/>
          <w:color w:val="auto"/>
        </w:rPr>
        <w:fldChar w:fldCharType="end"/>
      </w:r>
      <w:r w:rsidR="00B510B1" w:rsidRPr="00F852C4">
        <w:rPr>
          <w:rFonts w:asciiTheme="minorHAnsi" w:hAnsiTheme="minorHAnsi" w:cstheme="minorHAnsi"/>
          <w:color w:val="auto"/>
        </w:rPr>
        <w:t>.</w:t>
      </w:r>
    </w:p>
    <w:p w14:paraId="094EBCBA" w14:textId="77777777" w:rsidR="00EA4820" w:rsidRPr="00F852C4" w:rsidRDefault="00EA4820" w:rsidP="00344E04">
      <w:pPr>
        <w:rPr>
          <w:rFonts w:asciiTheme="minorHAnsi" w:hAnsiTheme="minorHAnsi" w:cstheme="minorHAnsi"/>
          <w:color w:val="auto"/>
        </w:rPr>
      </w:pPr>
    </w:p>
    <w:p w14:paraId="7FABBC07" w14:textId="4A963613" w:rsidR="0061483D"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The </w:t>
      </w:r>
      <w:r w:rsidR="00B510B1" w:rsidRPr="00F852C4">
        <w:rPr>
          <w:rFonts w:asciiTheme="minorHAnsi" w:hAnsiTheme="minorHAnsi" w:cstheme="minorHAnsi"/>
          <w:iCs/>
          <w:color w:val="auto"/>
        </w:rPr>
        <w:t>ISCA</w:t>
      </w:r>
      <w:r w:rsidR="002F28C7" w:rsidRPr="00F852C4">
        <w:rPr>
          <w:rFonts w:asciiTheme="minorHAnsi" w:hAnsiTheme="minorHAnsi" w:cstheme="minorHAnsi"/>
          <w:color w:val="auto"/>
        </w:rPr>
        <w:t xml:space="preserve"> </w:t>
      </w:r>
      <w:r w:rsidRPr="00F852C4">
        <w:rPr>
          <w:rFonts w:asciiTheme="minorHAnsi" w:hAnsiTheme="minorHAnsi" w:cstheme="minorHAnsi"/>
          <w:color w:val="auto"/>
        </w:rPr>
        <w:t>builds on the general principle of the capillary assay</w:t>
      </w:r>
      <w:r w:rsidR="0061483D">
        <w:rPr>
          <w:rFonts w:asciiTheme="minorHAnsi" w:hAnsiTheme="minorHAnsi" w:cstheme="minorHAnsi"/>
          <w:color w:val="auto"/>
        </w:rPr>
        <w:t>; however,</w:t>
      </w:r>
      <w:r w:rsidRPr="00F852C4">
        <w:rPr>
          <w:rFonts w:asciiTheme="minorHAnsi" w:hAnsiTheme="minorHAnsi" w:cstheme="minorHAnsi"/>
          <w:color w:val="auto"/>
        </w:rPr>
        <w:t xml:space="preserve"> </w:t>
      </w:r>
      <w:r w:rsidR="0061483D">
        <w:rPr>
          <w:rFonts w:asciiTheme="minorHAnsi" w:hAnsiTheme="minorHAnsi" w:cstheme="minorHAnsi"/>
          <w:color w:val="auto"/>
        </w:rPr>
        <w:t xml:space="preserve">it </w:t>
      </w:r>
      <w:r w:rsidRPr="00F852C4">
        <w:rPr>
          <w:rFonts w:asciiTheme="minorHAnsi" w:hAnsiTheme="minorHAnsi" w:cstheme="minorHAnsi"/>
          <w:color w:val="auto"/>
        </w:rPr>
        <w:t>makes use of modern microfabrication techniques</w:t>
      </w:r>
      <w:r w:rsidR="001B00BB" w:rsidRPr="00F852C4">
        <w:rPr>
          <w:rFonts w:asciiTheme="minorHAnsi" w:hAnsiTheme="minorHAnsi" w:cstheme="minorHAnsi"/>
          <w:color w:val="auto"/>
        </w:rPr>
        <w:t xml:space="preserve"> to deliver a highly replicated, easily deployable experimental platform for</w:t>
      </w:r>
      <w:r w:rsidR="00A56B7F" w:rsidRPr="00F852C4">
        <w:rPr>
          <w:rFonts w:asciiTheme="minorHAnsi" w:hAnsiTheme="minorHAnsi" w:cstheme="minorHAnsi"/>
          <w:color w:val="auto"/>
        </w:rPr>
        <w:t xml:space="preserve"> the </w:t>
      </w:r>
      <w:r w:rsidRPr="00F852C4">
        <w:rPr>
          <w:rFonts w:asciiTheme="minorHAnsi" w:hAnsiTheme="minorHAnsi" w:cstheme="minorHAnsi"/>
          <w:color w:val="auto"/>
        </w:rPr>
        <w:t xml:space="preserve">quantification of chemotaxis toward compounds </w:t>
      </w:r>
      <w:r w:rsidR="00E85FC1" w:rsidRPr="00F852C4">
        <w:rPr>
          <w:rFonts w:asciiTheme="minorHAnsi" w:hAnsiTheme="minorHAnsi" w:cstheme="minorHAnsi"/>
          <w:color w:val="auto"/>
        </w:rPr>
        <w:t xml:space="preserve">of interest </w:t>
      </w:r>
      <w:r w:rsidRPr="00F852C4">
        <w:rPr>
          <w:rFonts w:asciiTheme="minorHAnsi" w:hAnsiTheme="minorHAnsi" w:cstheme="minorHAnsi"/>
          <w:color w:val="auto"/>
        </w:rPr>
        <w:t>in the natural environment</w:t>
      </w:r>
      <w:r w:rsidR="0061483D">
        <w:rPr>
          <w:rFonts w:asciiTheme="minorHAnsi" w:hAnsiTheme="minorHAnsi" w:cstheme="minorHAnsi"/>
          <w:color w:val="auto"/>
        </w:rPr>
        <w:t>. It also allows</w:t>
      </w:r>
      <w:r w:rsidRPr="00F852C4">
        <w:rPr>
          <w:rFonts w:asciiTheme="minorHAnsi" w:hAnsiTheme="minorHAnsi" w:cstheme="minorHAnsi"/>
          <w:color w:val="auto"/>
        </w:rPr>
        <w:t xml:space="preserve"> identification and characterization of chemotactic micro</w:t>
      </w:r>
      <w:r w:rsidR="00E85FC1" w:rsidRPr="00F852C4">
        <w:rPr>
          <w:rFonts w:asciiTheme="minorHAnsi" w:hAnsiTheme="minorHAnsi" w:cstheme="minorHAnsi"/>
          <w:color w:val="auto"/>
        </w:rPr>
        <w:t>organisms</w:t>
      </w:r>
      <w:r w:rsidRPr="00F852C4">
        <w:rPr>
          <w:rFonts w:asciiTheme="minorHAnsi" w:hAnsiTheme="minorHAnsi" w:cstheme="minorHAnsi"/>
          <w:color w:val="auto"/>
        </w:rPr>
        <w:t xml:space="preserve"> by direct isolation or molecular techniques. </w:t>
      </w:r>
      <w:r w:rsidR="00E85FC1" w:rsidRPr="00F852C4">
        <w:rPr>
          <w:rFonts w:asciiTheme="minorHAnsi" w:hAnsiTheme="minorHAnsi" w:cstheme="minorHAnsi"/>
          <w:color w:val="auto"/>
        </w:rPr>
        <w:t xml:space="preserve">While </w:t>
      </w:r>
      <w:r w:rsidRPr="00F852C4">
        <w:rPr>
          <w:rFonts w:asciiTheme="minorHAnsi" w:hAnsiTheme="minorHAnsi" w:cstheme="minorHAnsi"/>
          <w:color w:val="auto"/>
        </w:rPr>
        <w:t xml:space="preserve">the first working device </w:t>
      </w:r>
      <w:r w:rsidR="0061483D">
        <w:rPr>
          <w:rFonts w:asciiTheme="minorHAnsi" w:hAnsiTheme="minorHAnsi" w:cstheme="minorHAnsi"/>
          <w:color w:val="auto"/>
        </w:rPr>
        <w:t xml:space="preserve">was </w:t>
      </w:r>
      <w:r w:rsidRPr="00F852C4">
        <w:rPr>
          <w:rFonts w:asciiTheme="minorHAnsi" w:hAnsiTheme="minorHAnsi" w:cstheme="minorHAnsi"/>
          <w:color w:val="auto"/>
        </w:rPr>
        <w:t xml:space="preserve">self-fabricated </w:t>
      </w:r>
      <w:r w:rsidR="0061483D">
        <w:rPr>
          <w:rFonts w:asciiTheme="minorHAnsi" w:hAnsiTheme="minorHAnsi" w:cstheme="minorHAnsi"/>
          <w:color w:val="auto"/>
        </w:rPr>
        <w:t>and constructed of</w:t>
      </w:r>
      <w:r w:rsidRPr="00F852C4">
        <w:rPr>
          <w:rFonts w:asciiTheme="minorHAnsi" w:hAnsiTheme="minorHAnsi" w:cstheme="minorHAnsi"/>
          <w:color w:val="auto"/>
        </w:rPr>
        <w:t xml:space="preserve"> glass </w:t>
      </w:r>
      <w:r w:rsidR="002F28C7" w:rsidRPr="00F852C4">
        <w:rPr>
          <w:rFonts w:asciiTheme="minorHAnsi" w:hAnsiTheme="minorHAnsi" w:cstheme="minorHAnsi"/>
          <w:color w:val="auto"/>
        </w:rPr>
        <w:t>and PDMS</w:t>
      </w:r>
      <w:r w:rsidR="002F28C7"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{"citationID":"Kknf5Yex","properties":{"formattedCitation":"\\super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2F28C7" w:rsidRPr="00F852C4">
        <w:rPr>
          <w:rFonts w:asciiTheme="minorHAnsi" w:hAnsiTheme="minorHAnsi" w:cstheme="minorHAnsi"/>
          <w:color w:val="auto"/>
        </w:rPr>
        <w:fldChar w:fldCharType="separate"/>
      </w:r>
      <w:r w:rsidR="002F28C7" w:rsidRPr="00F852C4">
        <w:rPr>
          <w:rFonts w:asciiTheme="minorHAnsi" w:hAnsiTheme="minorHAnsi" w:cstheme="minorHAnsi"/>
          <w:vertAlign w:val="superscript"/>
        </w:rPr>
        <w:t>11</w:t>
      </w:r>
      <w:r w:rsidR="002F28C7" w:rsidRPr="00F852C4">
        <w:rPr>
          <w:rFonts w:asciiTheme="minorHAnsi" w:hAnsiTheme="minorHAnsi" w:cstheme="minorHAnsi"/>
          <w:color w:val="auto"/>
        </w:rPr>
        <w:fldChar w:fldCharType="end"/>
      </w:r>
      <w:r w:rsidRPr="00F852C4">
        <w:rPr>
          <w:rFonts w:asciiTheme="minorHAnsi" w:hAnsiTheme="minorHAnsi" w:cstheme="minorHAnsi"/>
          <w:color w:val="auto"/>
        </w:rPr>
        <w:t xml:space="preserve">, the latest injection-molded version is </w:t>
      </w:r>
      <w:r w:rsidR="0061483D">
        <w:rPr>
          <w:rFonts w:asciiTheme="minorHAnsi" w:hAnsiTheme="minorHAnsi" w:cstheme="minorHAnsi"/>
          <w:color w:val="auto"/>
        </w:rPr>
        <w:t xml:space="preserve">composed </w:t>
      </w:r>
      <w:r w:rsidRPr="00F852C4">
        <w:rPr>
          <w:rFonts w:asciiTheme="minorHAnsi" w:hAnsiTheme="minorHAnsi" w:cstheme="minorHAnsi"/>
          <w:color w:val="auto"/>
        </w:rPr>
        <w:t>of polycarbonate</w:t>
      </w:r>
      <w:r w:rsidR="00E85FC1" w:rsidRPr="00F852C4">
        <w:rPr>
          <w:rFonts w:asciiTheme="minorHAnsi" w:hAnsiTheme="minorHAnsi" w:cstheme="minorHAnsi"/>
          <w:color w:val="auto"/>
        </w:rPr>
        <w:t>, using a highly standardized fabrication procedure</w:t>
      </w:r>
      <w:r w:rsidRPr="00F852C4">
        <w:rPr>
          <w:rFonts w:asciiTheme="minorHAnsi" w:hAnsiTheme="minorHAnsi" w:cstheme="minorHAnsi"/>
          <w:color w:val="auto"/>
        </w:rPr>
        <w:t xml:space="preserve"> </w:t>
      </w:r>
      <w:r w:rsidR="002B5F7F">
        <w:rPr>
          <w:rFonts w:asciiTheme="minorHAnsi" w:hAnsiTheme="minorHAnsi" w:cstheme="minorHAnsi"/>
          <w:color w:val="212121"/>
          <w:shd w:val="clear" w:color="auto" w:fill="FFFFFF"/>
        </w:rPr>
        <w:t>(f</w:t>
      </w:r>
      <w:r w:rsidR="009A13AC" w:rsidRPr="00F852C4">
        <w:rPr>
          <w:rFonts w:asciiTheme="minorHAnsi" w:hAnsiTheme="minorHAnsi" w:cstheme="minorHAnsi"/>
          <w:color w:val="212121"/>
          <w:shd w:val="clear" w:color="auto" w:fill="FFFFFF"/>
        </w:rPr>
        <w:t>or interest in the</w:t>
      </w:r>
      <w:r w:rsidR="002B5F7F">
        <w:rPr>
          <w:rFonts w:asciiTheme="minorHAnsi" w:hAnsiTheme="minorHAnsi" w:cstheme="minorHAnsi"/>
          <w:color w:val="212121"/>
          <w:shd w:val="clear" w:color="auto" w:fill="FFFFFF"/>
        </w:rPr>
        <w:t xml:space="preserve"> latest version of the</w:t>
      </w:r>
      <w:r w:rsidR="009A13AC" w:rsidRPr="00F852C4">
        <w:rPr>
          <w:rFonts w:asciiTheme="minorHAnsi" w:hAnsiTheme="minorHAnsi" w:cstheme="minorHAnsi"/>
          <w:color w:val="212121"/>
          <w:shd w:val="clear" w:color="auto" w:fill="FFFFFF"/>
        </w:rPr>
        <w:t xml:space="preserve"> device, the corresponding authors can be contacted</w:t>
      </w:r>
      <w:r w:rsidR="002B5F7F">
        <w:rPr>
          <w:rFonts w:asciiTheme="minorHAnsi" w:hAnsiTheme="minorHAnsi" w:cstheme="minorHAnsi"/>
          <w:color w:val="212121"/>
          <w:shd w:val="clear" w:color="auto" w:fill="FFFFFF"/>
        </w:rPr>
        <w:t>)</w:t>
      </w:r>
      <w:r w:rsidR="0061483D">
        <w:rPr>
          <w:rFonts w:asciiTheme="minorHAnsi" w:hAnsiTheme="minorHAnsi" w:cstheme="minorHAnsi"/>
          <w:color w:val="212121"/>
          <w:shd w:val="clear" w:color="auto" w:fill="FFFFFF"/>
        </w:rPr>
        <w:t>.</w:t>
      </w:r>
      <w:r w:rsidR="00F73531" w:rsidRPr="00F852C4">
        <w:rPr>
          <w:rFonts w:asciiTheme="minorHAnsi" w:hAnsiTheme="minorHAnsi" w:cstheme="minorHAnsi"/>
          <w:color w:val="auto"/>
        </w:rPr>
        <w:t xml:space="preserve"> </w:t>
      </w:r>
    </w:p>
    <w:p w14:paraId="5FED26A1" w14:textId="77777777" w:rsidR="0061483D" w:rsidRDefault="0061483D" w:rsidP="00344E04">
      <w:pPr>
        <w:rPr>
          <w:rFonts w:asciiTheme="minorHAnsi" w:hAnsiTheme="minorHAnsi" w:cstheme="minorHAnsi"/>
          <w:color w:val="auto"/>
        </w:rPr>
      </w:pPr>
    </w:p>
    <w:p w14:paraId="2CAAD7EE" w14:textId="1C46A27D" w:rsidR="00EA4820" w:rsidRPr="00F852C4" w:rsidRDefault="00735E9F" w:rsidP="00344E04">
      <w:pPr>
        <w:rPr>
          <w:rFonts w:asciiTheme="minorHAnsi" w:hAnsiTheme="minorHAnsi" w:cstheme="minorHAnsi"/>
          <w:color w:val="auto"/>
        </w:rPr>
      </w:pPr>
      <w:r w:rsidRPr="00F852C4">
        <w:rPr>
          <w:rFonts w:asciiTheme="minorHAnsi" w:hAnsiTheme="minorHAnsi" w:cstheme="minorHAnsi"/>
          <w:color w:val="auto"/>
        </w:rPr>
        <w:t xml:space="preserve">The </w:t>
      </w:r>
      <w:r w:rsidR="006B32F6" w:rsidRPr="00F852C4">
        <w:rPr>
          <w:rFonts w:asciiTheme="minorHAnsi" w:hAnsiTheme="minorHAnsi" w:cstheme="minorHAnsi"/>
          <w:color w:val="auto"/>
        </w:rPr>
        <w:t xml:space="preserve">ISCA is </w:t>
      </w:r>
      <w:r w:rsidRPr="00F852C4">
        <w:rPr>
          <w:rFonts w:asciiTheme="minorHAnsi" w:hAnsiTheme="minorHAnsi" w:cstheme="minorHAnsi"/>
          <w:color w:val="auto"/>
        </w:rPr>
        <w:t>credit card-sized and</w:t>
      </w:r>
      <w:r w:rsidR="00DB4C76" w:rsidRPr="00F852C4">
        <w:rPr>
          <w:rFonts w:asciiTheme="minorHAnsi" w:hAnsiTheme="minorHAnsi" w:cstheme="minorHAnsi"/>
          <w:color w:val="auto"/>
        </w:rPr>
        <w:t xml:space="preserve"> </w:t>
      </w:r>
      <w:r w:rsidR="00EA4820" w:rsidRPr="00F852C4">
        <w:rPr>
          <w:rFonts w:asciiTheme="minorHAnsi" w:hAnsiTheme="minorHAnsi" w:cstheme="minorHAnsi"/>
          <w:color w:val="auto"/>
        </w:rPr>
        <w:t>consists of 20 wells</w:t>
      </w:r>
      <w:r w:rsidRPr="00F852C4">
        <w:rPr>
          <w:rFonts w:asciiTheme="minorHAnsi" w:hAnsiTheme="minorHAnsi" w:cstheme="minorHAnsi"/>
          <w:color w:val="auto"/>
        </w:rPr>
        <w:t xml:space="preserve"> distributed in a 5 </w:t>
      </w:r>
      <w:r w:rsidR="0061483D">
        <w:rPr>
          <w:rFonts w:asciiTheme="minorHAnsi" w:hAnsiTheme="minorHAnsi" w:cstheme="minorHAnsi"/>
          <w:color w:val="auto"/>
        </w:rPr>
        <w:t>well x</w:t>
      </w:r>
      <w:r w:rsidRPr="00F852C4">
        <w:rPr>
          <w:rFonts w:asciiTheme="minorHAnsi" w:hAnsiTheme="minorHAnsi" w:cstheme="minorHAnsi"/>
          <w:color w:val="auto"/>
        </w:rPr>
        <w:t xml:space="preserve"> 4</w:t>
      </w:r>
      <w:r w:rsidR="0061483D">
        <w:rPr>
          <w:rFonts w:asciiTheme="minorHAnsi" w:hAnsiTheme="minorHAnsi" w:cstheme="minorHAnsi"/>
          <w:color w:val="auto"/>
        </w:rPr>
        <w:t xml:space="preserve"> well</w:t>
      </w:r>
      <w:r w:rsidRPr="00F852C4">
        <w:rPr>
          <w:rFonts w:asciiTheme="minorHAnsi" w:hAnsiTheme="minorHAnsi" w:cstheme="minorHAnsi"/>
          <w:color w:val="auto"/>
        </w:rPr>
        <w:t xml:space="preserve"> array</w:t>
      </w:r>
      <w:r w:rsidR="00E85FC1" w:rsidRPr="00F852C4">
        <w:rPr>
          <w:rFonts w:asciiTheme="minorHAnsi" w:hAnsiTheme="minorHAnsi" w:cstheme="minorHAnsi"/>
          <w:color w:val="auto"/>
        </w:rPr>
        <w:t>, each</w:t>
      </w:r>
      <w:r w:rsidR="00EA4820" w:rsidRPr="00F852C4">
        <w:rPr>
          <w:rFonts w:asciiTheme="minorHAnsi" w:hAnsiTheme="minorHAnsi" w:cstheme="minorHAnsi"/>
          <w:color w:val="auto"/>
        </w:rPr>
        <w:t xml:space="preserve"> linked to the </w:t>
      </w:r>
      <w:r w:rsidR="00E5233F" w:rsidRPr="00F852C4">
        <w:rPr>
          <w:rFonts w:asciiTheme="minorHAnsi" w:hAnsiTheme="minorHAnsi" w:cstheme="minorHAnsi"/>
          <w:color w:val="auto"/>
        </w:rPr>
        <w:t>external aquatic environment</w:t>
      </w:r>
      <w:r w:rsidR="00EA4820" w:rsidRPr="00F852C4">
        <w:rPr>
          <w:rFonts w:asciiTheme="minorHAnsi" w:hAnsiTheme="minorHAnsi" w:cstheme="minorHAnsi"/>
          <w:color w:val="auto"/>
        </w:rPr>
        <w:t xml:space="preserve"> by a small port (800 µm </w:t>
      </w:r>
      <w:r w:rsidR="0061483D">
        <w:rPr>
          <w:rFonts w:asciiTheme="minorHAnsi" w:hAnsiTheme="minorHAnsi" w:cstheme="minorHAnsi"/>
          <w:color w:val="auto"/>
        </w:rPr>
        <w:t xml:space="preserve">in </w:t>
      </w:r>
      <w:r w:rsidR="00EA4820" w:rsidRPr="00F852C4">
        <w:rPr>
          <w:rFonts w:asciiTheme="minorHAnsi" w:hAnsiTheme="minorHAnsi" w:cstheme="minorHAnsi"/>
          <w:color w:val="auto"/>
        </w:rPr>
        <w:t>diameter</w:t>
      </w:r>
      <w:r w:rsidR="0061483D">
        <w:rPr>
          <w:rFonts w:asciiTheme="minorHAnsi" w:hAnsiTheme="minorHAnsi" w:cstheme="minorHAnsi"/>
          <w:color w:val="auto"/>
        </w:rPr>
        <w:t xml:space="preserve">; </w:t>
      </w:r>
      <w:r w:rsidR="00D37E38" w:rsidRPr="00D37E38">
        <w:rPr>
          <w:rFonts w:asciiTheme="minorHAnsi" w:hAnsiTheme="minorHAnsi" w:cstheme="minorHAnsi"/>
          <w:b/>
          <w:color w:val="auto"/>
        </w:rPr>
        <w:t>Figure 1</w:t>
      </w:r>
      <w:r w:rsidR="00D84023">
        <w:rPr>
          <w:rFonts w:asciiTheme="minorHAnsi" w:hAnsiTheme="minorHAnsi" w:cstheme="minorHAnsi"/>
          <w:color w:val="auto"/>
        </w:rPr>
        <w:t>)</w:t>
      </w:r>
      <w:r w:rsidR="00EA4820" w:rsidRPr="00F852C4">
        <w:rPr>
          <w:rFonts w:asciiTheme="minorHAnsi" w:hAnsiTheme="minorHAnsi" w:cstheme="minorHAnsi"/>
          <w:color w:val="auto"/>
        </w:rPr>
        <w:t xml:space="preserve">. Putative </w:t>
      </w:r>
      <w:proofErr w:type="spellStart"/>
      <w:r w:rsidR="00EA4820" w:rsidRPr="00F852C4">
        <w:rPr>
          <w:rFonts w:asciiTheme="minorHAnsi" w:hAnsiTheme="minorHAnsi" w:cstheme="minorHAnsi"/>
          <w:color w:val="auto"/>
        </w:rPr>
        <w:t>chemoattractants</w:t>
      </w:r>
      <w:proofErr w:type="spellEnd"/>
      <w:r w:rsidR="00EA4820" w:rsidRPr="00F852C4">
        <w:rPr>
          <w:rFonts w:asciiTheme="minorHAnsi" w:hAnsiTheme="minorHAnsi" w:cstheme="minorHAnsi"/>
          <w:color w:val="auto"/>
        </w:rPr>
        <w:t xml:space="preserve"> loaded into the wells diffuse into the environment via the port</w:t>
      </w:r>
      <w:r w:rsidR="00DB4C76" w:rsidRPr="00F852C4">
        <w:rPr>
          <w:rFonts w:asciiTheme="minorHAnsi" w:hAnsiTheme="minorHAnsi" w:cstheme="minorHAnsi"/>
          <w:color w:val="auto"/>
        </w:rPr>
        <w:t>,</w:t>
      </w:r>
      <w:r w:rsidR="00EA4820" w:rsidRPr="00F852C4">
        <w:rPr>
          <w:rFonts w:asciiTheme="minorHAnsi" w:hAnsiTheme="minorHAnsi" w:cstheme="minorHAnsi"/>
          <w:color w:val="auto"/>
        </w:rPr>
        <w:t xml:space="preserve"> and chemotactic microbes respond by swimming through the port into the well. </w:t>
      </w:r>
      <w:r w:rsidR="00E85FC1" w:rsidRPr="00F852C4">
        <w:rPr>
          <w:rFonts w:asciiTheme="minorHAnsi" w:hAnsiTheme="minorHAnsi" w:cstheme="minorHAnsi"/>
          <w:color w:val="auto"/>
        </w:rPr>
        <w:t>As m</w:t>
      </w:r>
      <w:r w:rsidR="00EA4820" w:rsidRPr="00F852C4">
        <w:rPr>
          <w:rFonts w:asciiTheme="minorHAnsi" w:hAnsiTheme="minorHAnsi" w:cstheme="minorHAnsi"/>
          <w:color w:val="auto"/>
        </w:rPr>
        <w:t>any factors can influence the outcome of an ISCA experiment in the natural environment</w:t>
      </w:r>
      <w:r w:rsidR="00901C1A" w:rsidRPr="00F852C4">
        <w:rPr>
          <w:rFonts w:asciiTheme="minorHAnsi" w:hAnsiTheme="minorHAnsi" w:cstheme="minorHAnsi"/>
          <w:color w:val="auto"/>
        </w:rPr>
        <w:t>,</w:t>
      </w:r>
      <w:r w:rsidR="00E5233F" w:rsidRPr="00F852C4">
        <w:rPr>
          <w:rFonts w:asciiTheme="minorHAnsi" w:hAnsiTheme="minorHAnsi" w:cstheme="minorHAnsi"/>
          <w:color w:val="auto"/>
        </w:rPr>
        <w:t xml:space="preserve"> </w:t>
      </w:r>
      <w:r w:rsidR="00EA4820" w:rsidRPr="00F852C4">
        <w:rPr>
          <w:rFonts w:asciiTheme="minorHAnsi" w:hAnsiTheme="minorHAnsi" w:cstheme="minorHAnsi"/>
          <w:color w:val="auto"/>
        </w:rPr>
        <w:t>this step-by-step protocol</w:t>
      </w:r>
      <w:r w:rsidR="0061483D">
        <w:rPr>
          <w:rFonts w:asciiTheme="minorHAnsi" w:hAnsiTheme="minorHAnsi" w:cstheme="minorHAnsi"/>
          <w:color w:val="auto"/>
        </w:rPr>
        <w:t xml:space="preserve"> </w:t>
      </w:r>
      <w:r w:rsidR="00EA4820" w:rsidRPr="00F852C4">
        <w:rPr>
          <w:rFonts w:asciiTheme="minorHAnsi" w:hAnsiTheme="minorHAnsi" w:cstheme="minorHAnsi"/>
          <w:color w:val="auto"/>
        </w:rPr>
        <w:t xml:space="preserve">will help new users overcome potential hurdles and </w:t>
      </w:r>
      <w:r w:rsidR="00E85FC1" w:rsidRPr="00F852C4">
        <w:rPr>
          <w:rFonts w:asciiTheme="minorHAnsi" w:hAnsiTheme="minorHAnsi" w:cstheme="minorHAnsi"/>
          <w:color w:val="auto"/>
        </w:rPr>
        <w:t xml:space="preserve">facilitate </w:t>
      </w:r>
      <w:r w:rsidR="000B492A" w:rsidRPr="00F852C4">
        <w:rPr>
          <w:rFonts w:asciiTheme="minorHAnsi" w:hAnsiTheme="minorHAnsi" w:cstheme="minorHAnsi"/>
          <w:color w:val="auto"/>
        </w:rPr>
        <w:t>effective</w:t>
      </w:r>
      <w:r w:rsidR="00E85FC1" w:rsidRPr="00F852C4">
        <w:rPr>
          <w:rFonts w:asciiTheme="minorHAnsi" w:hAnsiTheme="minorHAnsi" w:cstheme="minorHAnsi"/>
          <w:color w:val="auto"/>
        </w:rPr>
        <w:t xml:space="preserve"> deployment.</w:t>
      </w:r>
    </w:p>
    <w:p w14:paraId="312A98D2" w14:textId="77777777" w:rsidR="00EA4820" w:rsidRPr="00F852C4" w:rsidRDefault="00EA4820" w:rsidP="00344E04">
      <w:pPr>
        <w:rPr>
          <w:rFonts w:asciiTheme="minorHAnsi" w:hAnsiTheme="minorHAnsi" w:cstheme="minorHAnsi"/>
          <w:b/>
          <w:color w:val="auto"/>
        </w:rPr>
      </w:pPr>
    </w:p>
    <w:p w14:paraId="4A3579D5" w14:textId="77777777" w:rsidR="00EA4820" w:rsidRPr="00F852C4" w:rsidRDefault="00EA4820" w:rsidP="00344E04">
      <w:pPr>
        <w:rPr>
          <w:rFonts w:asciiTheme="minorHAnsi" w:hAnsiTheme="minorHAnsi" w:cstheme="minorHAnsi"/>
          <w:color w:val="auto"/>
        </w:rPr>
      </w:pPr>
      <w:r w:rsidRPr="00F852C4">
        <w:rPr>
          <w:rFonts w:asciiTheme="minorHAnsi" w:hAnsiTheme="minorHAnsi" w:cstheme="minorHAnsi"/>
          <w:b/>
          <w:color w:val="auto"/>
        </w:rPr>
        <w:lastRenderedPageBreak/>
        <w:t>PROTOCOL:</w:t>
      </w:r>
      <w:r w:rsidRPr="00F852C4">
        <w:rPr>
          <w:rFonts w:asciiTheme="minorHAnsi" w:hAnsiTheme="minorHAnsi" w:cstheme="minorHAnsi"/>
          <w:color w:val="auto"/>
        </w:rPr>
        <w:t xml:space="preserve"> </w:t>
      </w:r>
    </w:p>
    <w:p w14:paraId="008FB1CB" w14:textId="77777777" w:rsidR="00EA4820" w:rsidRPr="00F852C4" w:rsidRDefault="00EA4820" w:rsidP="00344E04">
      <w:pPr>
        <w:rPr>
          <w:rFonts w:asciiTheme="minorHAnsi" w:hAnsiTheme="minorHAnsi" w:cstheme="minorHAnsi"/>
          <w:color w:val="auto"/>
        </w:rPr>
      </w:pPr>
    </w:p>
    <w:p w14:paraId="3D0A3186" w14:textId="268E026E" w:rsidR="00226A3D" w:rsidRDefault="0061483D" w:rsidP="00344E04">
      <w:pPr>
        <w:rPr>
          <w:rFonts w:asciiTheme="minorHAnsi" w:hAnsiTheme="minorHAnsi" w:cstheme="minorHAnsi"/>
          <w:color w:val="auto"/>
        </w:rPr>
      </w:pPr>
      <w:r>
        <w:rPr>
          <w:rFonts w:asciiTheme="minorHAnsi" w:hAnsiTheme="minorHAnsi" w:cstheme="minorHAnsi"/>
          <w:color w:val="auto"/>
        </w:rPr>
        <w:t>It is</w:t>
      </w:r>
      <w:r w:rsidR="00D942D0" w:rsidRPr="00F852C4">
        <w:rPr>
          <w:rFonts w:asciiTheme="minorHAnsi" w:hAnsiTheme="minorHAnsi" w:cstheme="minorHAnsi"/>
          <w:color w:val="auto"/>
        </w:rPr>
        <w:t xml:space="preserve"> recommend</w:t>
      </w:r>
      <w:r>
        <w:rPr>
          <w:rFonts w:asciiTheme="minorHAnsi" w:hAnsiTheme="minorHAnsi" w:cstheme="minorHAnsi"/>
          <w:color w:val="auto"/>
        </w:rPr>
        <w:t>ed to</w:t>
      </w:r>
      <w:r w:rsidR="00D942D0" w:rsidRPr="00F852C4">
        <w:rPr>
          <w:rFonts w:asciiTheme="minorHAnsi" w:hAnsiTheme="minorHAnsi" w:cstheme="minorHAnsi"/>
          <w:color w:val="auto"/>
        </w:rPr>
        <w:t xml:space="preserve"> </w:t>
      </w:r>
      <w:r w:rsidR="00C36A3B">
        <w:rPr>
          <w:rFonts w:asciiTheme="minorHAnsi" w:hAnsiTheme="minorHAnsi" w:cstheme="minorHAnsi"/>
          <w:color w:val="auto"/>
        </w:rPr>
        <w:t>execut</w:t>
      </w:r>
      <w:r>
        <w:rPr>
          <w:rFonts w:asciiTheme="minorHAnsi" w:hAnsiTheme="minorHAnsi" w:cstheme="minorHAnsi"/>
          <w:color w:val="auto"/>
        </w:rPr>
        <w:t>e</w:t>
      </w:r>
      <w:r w:rsidR="00D942D0" w:rsidRPr="00F852C4">
        <w:rPr>
          <w:rFonts w:asciiTheme="minorHAnsi" w:hAnsiTheme="minorHAnsi" w:cstheme="minorHAnsi"/>
          <w:color w:val="auto"/>
        </w:rPr>
        <w:t xml:space="preserve"> </w:t>
      </w:r>
      <w:r>
        <w:rPr>
          <w:rFonts w:asciiTheme="minorHAnsi" w:hAnsiTheme="minorHAnsi" w:cstheme="minorHAnsi"/>
          <w:color w:val="auto"/>
        </w:rPr>
        <w:t>section</w:t>
      </w:r>
      <w:r w:rsidR="00EA4820" w:rsidRPr="00F852C4">
        <w:rPr>
          <w:rFonts w:asciiTheme="minorHAnsi" w:hAnsiTheme="minorHAnsi" w:cstheme="minorHAnsi"/>
          <w:color w:val="auto"/>
        </w:rPr>
        <w:t xml:space="preserve"> 1 prior </w:t>
      </w:r>
      <w:r w:rsidR="00E85FC1" w:rsidRPr="00F852C4">
        <w:rPr>
          <w:rFonts w:asciiTheme="minorHAnsi" w:hAnsiTheme="minorHAnsi" w:cstheme="minorHAnsi"/>
          <w:color w:val="auto"/>
        </w:rPr>
        <w:t xml:space="preserve">to </w:t>
      </w:r>
      <w:r w:rsidR="00EA4820" w:rsidRPr="00F852C4">
        <w:rPr>
          <w:rFonts w:asciiTheme="minorHAnsi" w:hAnsiTheme="minorHAnsi" w:cstheme="minorHAnsi"/>
          <w:color w:val="auto"/>
        </w:rPr>
        <w:t>field experiments</w:t>
      </w:r>
      <w:r w:rsidR="00526403" w:rsidRPr="00F852C4">
        <w:rPr>
          <w:rFonts w:asciiTheme="minorHAnsi" w:hAnsiTheme="minorHAnsi" w:cstheme="minorHAnsi"/>
          <w:color w:val="auto"/>
        </w:rPr>
        <w:t xml:space="preserve"> t</w:t>
      </w:r>
      <w:r w:rsidR="00AF59F5" w:rsidRPr="00F852C4">
        <w:rPr>
          <w:rFonts w:asciiTheme="minorHAnsi" w:hAnsiTheme="minorHAnsi" w:cstheme="minorHAnsi"/>
          <w:color w:val="auto"/>
        </w:rPr>
        <w:t xml:space="preserve">o optimize results. </w:t>
      </w:r>
    </w:p>
    <w:p w14:paraId="75010214" w14:textId="77777777" w:rsidR="00EA4820" w:rsidRPr="00F852C4" w:rsidRDefault="00EA4820" w:rsidP="00344E04">
      <w:pPr>
        <w:rPr>
          <w:rFonts w:asciiTheme="minorHAnsi" w:hAnsiTheme="minorHAnsi" w:cstheme="minorHAnsi"/>
          <w:b/>
          <w:bCs/>
          <w:color w:val="auto"/>
        </w:rPr>
      </w:pPr>
    </w:p>
    <w:p w14:paraId="42B9A054" w14:textId="49612189" w:rsidR="00EA4820" w:rsidRPr="00F852C4" w:rsidRDefault="00EA4820" w:rsidP="00344E04">
      <w:pPr>
        <w:numPr>
          <w:ilvl w:val="0"/>
          <w:numId w:val="36"/>
        </w:numPr>
        <w:rPr>
          <w:rFonts w:asciiTheme="minorHAnsi" w:hAnsiTheme="minorHAnsi" w:cstheme="minorHAnsi"/>
          <w:b/>
          <w:bCs/>
          <w:color w:val="auto"/>
        </w:rPr>
      </w:pPr>
      <w:bookmarkStart w:id="0" w:name="_Hlk31638591"/>
      <w:r w:rsidRPr="00F852C4">
        <w:rPr>
          <w:rFonts w:asciiTheme="minorHAnsi" w:hAnsiTheme="minorHAnsi" w:cstheme="minorHAnsi"/>
          <w:b/>
          <w:bCs/>
          <w:color w:val="auto"/>
          <w:highlight w:val="yellow"/>
        </w:rPr>
        <w:t>Laboratory optimization</w:t>
      </w:r>
    </w:p>
    <w:p w14:paraId="66489DB1" w14:textId="77777777" w:rsidR="00EA4820" w:rsidRPr="00F852C4" w:rsidRDefault="00EA4820" w:rsidP="00344E04">
      <w:pPr>
        <w:rPr>
          <w:rFonts w:asciiTheme="minorHAnsi" w:hAnsiTheme="minorHAnsi" w:cstheme="minorHAnsi"/>
          <w:b/>
          <w:bCs/>
          <w:color w:val="auto"/>
        </w:rPr>
      </w:pPr>
    </w:p>
    <w:p w14:paraId="0AD66DB7" w14:textId="39D86C00" w:rsidR="00EA4820" w:rsidRPr="00F852C4" w:rsidRDefault="00EA4820" w:rsidP="00344E04">
      <w:pPr>
        <w:rPr>
          <w:rFonts w:asciiTheme="minorHAnsi" w:hAnsiTheme="minorHAnsi" w:cstheme="minorHAnsi"/>
          <w:b/>
          <w:color w:val="auto"/>
        </w:rPr>
      </w:pPr>
      <w:r w:rsidRPr="00F852C4">
        <w:rPr>
          <w:rFonts w:asciiTheme="minorHAnsi" w:hAnsiTheme="minorHAnsi" w:cstheme="minorHAnsi"/>
          <w:color w:val="auto"/>
        </w:rPr>
        <w:t>NOTE: The volumes described in the optimization procedure are</w:t>
      </w:r>
      <w:r w:rsidR="0061483D">
        <w:rPr>
          <w:rFonts w:asciiTheme="minorHAnsi" w:hAnsiTheme="minorHAnsi" w:cstheme="minorHAnsi"/>
          <w:color w:val="auto"/>
        </w:rPr>
        <w:t xml:space="preserve"> </w:t>
      </w:r>
      <w:proofErr w:type="gramStart"/>
      <w:r w:rsidR="0061483D">
        <w:rPr>
          <w:rFonts w:asciiTheme="minorHAnsi" w:hAnsiTheme="minorHAnsi" w:cstheme="minorHAnsi"/>
          <w:color w:val="auto"/>
        </w:rPr>
        <w:t>sufficient</w:t>
      </w:r>
      <w:proofErr w:type="gramEnd"/>
      <w:r w:rsidRPr="00F852C4">
        <w:rPr>
          <w:rFonts w:asciiTheme="minorHAnsi" w:hAnsiTheme="minorHAnsi" w:cstheme="minorHAnsi"/>
          <w:color w:val="auto"/>
        </w:rPr>
        <w:t xml:space="preserve"> for a single ISCA</w:t>
      </w:r>
      <w:r w:rsidR="00E85FC1" w:rsidRPr="00F852C4">
        <w:rPr>
          <w:rFonts w:asciiTheme="minorHAnsi" w:hAnsiTheme="minorHAnsi" w:cstheme="minorHAnsi"/>
          <w:color w:val="auto"/>
        </w:rPr>
        <w:t xml:space="preserve"> (composed of 20 wells)</w:t>
      </w:r>
      <w:r w:rsidRPr="00F852C4">
        <w:rPr>
          <w:rFonts w:asciiTheme="minorHAnsi" w:hAnsiTheme="minorHAnsi" w:cstheme="minorHAnsi"/>
          <w:color w:val="auto"/>
        </w:rPr>
        <w:t>.</w:t>
      </w:r>
    </w:p>
    <w:p w14:paraId="5F3BB3DC" w14:textId="77777777" w:rsidR="00EA4820" w:rsidRPr="00F852C4" w:rsidRDefault="00EA4820" w:rsidP="00344E04">
      <w:pPr>
        <w:rPr>
          <w:rFonts w:asciiTheme="minorHAnsi" w:hAnsiTheme="minorHAnsi" w:cstheme="minorHAnsi"/>
          <w:color w:val="auto"/>
        </w:rPr>
      </w:pPr>
    </w:p>
    <w:p w14:paraId="106FE979" w14:textId="7FC0115D"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Preparation of the chemical of interest</w:t>
      </w:r>
    </w:p>
    <w:p w14:paraId="305C85AC" w14:textId="77777777" w:rsidR="00EA4820" w:rsidRPr="00F852C4" w:rsidRDefault="00EA4820" w:rsidP="00344E04">
      <w:pPr>
        <w:rPr>
          <w:rFonts w:asciiTheme="minorHAnsi" w:hAnsiTheme="minorHAnsi" w:cstheme="minorHAnsi"/>
          <w:b/>
          <w:color w:val="auto"/>
        </w:rPr>
      </w:pPr>
    </w:p>
    <w:p w14:paraId="6880F298" w14:textId="310000E4"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NOTE: The optimal concentration for each chemoattractant </w:t>
      </w:r>
      <w:r w:rsidR="0036540D" w:rsidRPr="00F852C4">
        <w:rPr>
          <w:rFonts w:asciiTheme="minorHAnsi" w:hAnsiTheme="minorHAnsi" w:cstheme="minorHAnsi"/>
          <w:color w:val="auto"/>
        </w:rPr>
        <w:t xml:space="preserve">often </w:t>
      </w:r>
      <w:r w:rsidRPr="00F852C4">
        <w:rPr>
          <w:rFonts w:asciiTheme="minorHAnsi" w:hAnsiTheme="minorHAnsi" w:cstheme="minorHAnsi"/>
          <w:color w:val="auto"/>
        </w:rPr>
        <w:t>needs to be determined under laboratory conditions prior to field deployments. The chemical concentration field will decrease in magnitude with distance from the source (ISCA well), which means that the concentration</w:t>
      </w:r>
      <w:r w:rsidR="0036540D" w:rsidRPr="00F852C4">
        <w:rPr>
          <w:rFonts w:asciiTheme="minorHAnsi" w:hAnsiTheme="minorHAnsi" w:cstheme="minorHAnsi"/>
          <w:color w:val="auto"/>
        </w:rPr>
        <w:t xml:space="preserve"> experienced by</w:t>
      </w:r>
      <w:r w:rsidRPr="00F852C4">
        <w:rPr>
          <w:rFonts w:asciiTheme="minorHAnsi" w:hAnsiTheme="minorHAnsi" w:cstheme="minorHAnsi"/>
          <w:color w:val="auto"/>
        </w:rPr>
        <w:t xml:space="preserve"> microorganisms </w:t>
      </w:r>
      <w:r w:rsidR="0036540D" w:rsidRPr="00F852C4">
        <w:rPr>
          <w:rFonts w:asciiTheme="minorHAnsi" w:hAnsiTheme="minorHAnsi" w:cstheme="minorHAnsi"/>
          <w:color w:val="auto"/>
        </w:rPr>
        <w:t xml:space="preserve">in the environment </w:t>
      </w:r>
      <w:r w:rsidRPr="00F852C4">
        <w:rPr>
          <w:rFonts w:asciiTheme="minorHAnsi" w:hAnsiTheme="minorHAnsi" w:cstheme="minorHAnsi"/>
          <w:color w:val="auto"/>
        </w:rPr>
        <w:t xml:space="preserve">will be lower than </w:t>
      </w:r>
      <w:r w:rsidR="0036540D" w:rsidRPr="00F852C4">
        <w:rPr>
          <w:rFonts w:asciiTheme="minorHAnsi" w:hAnsiTheme="minorHAnsi" w:cstheme="minorHAnsi"/>
          <w:color w:val="auto"/>
        </w:rPr>
        <w:t>that</w:t>
      </w:r>
      <w:r w:rsidRPr="00F852C4">
        <w:rPr>
          <w:rFonts w:asciiTheme="minorHAnsi" w:hAnsiTheme="minorHAnsi" w:cstheme="minorHAnsi"/>
          <w:color w:val="auto"/>
        </w:rPr>
        <w:t xml:space="preserve"> present inside the device. The optimal concentration to use in the ISCA well depend</w:t>
      </w:r>
      <w:r w:rsidR="0051535E" w:rsidRPr="00F852C4">
        <w:rPr>
          <w:rFonts w:asciiTheme="minorHAnsi" w:hAnsiTheme="minorHAnsi" w:cstheme="minorHAnsi"/>
          <w:color w:val="auto"/>
        </w:rPr>
        <w:t>s</w:t>
      </w:r>
      <w:r w:rsidRPr="00F852C4">
        <w:rPr>
          <w:rFonts w:asciiTheme="minorHAnsi" w:hAnsiTheme="minorHAnsi" w:cstheme="minorHAnsi"/>
          <w:color w:val="auto"/>
        </w:rPr>
        <w:t xml:space="preserve"> on the diffusion rate of the chemoattractant. If the concentration in the well is too low (close to the detection limit of the microbes), no positive chemotaxis will be observed. Conversely, if the concentration in the well is too high, </w:t>
      </w:r>
      <w:r w:rsidR="0051535E" w:rsidRPr="00F852C4">
        <w:rPr>
          <w:rFonts w:asciiTheme="minorHAnsi" w:hAnsiTheme="minorHAnsi" w:cstheme="minorHAnsi"/>
          <w:color w:val="auto"/>
        </w:rPr>
        <w:t xml:space="preserve">the concentration will also be high in the immediate environment and </w:t>
      </w:r>
      <w:r w:rsidRPr="00F852C4">
        <w:rPr>
          <w:rFonts w:asciiTheme="minorHAnsi" w:hAnsiTheme="minorHAnsi" w:cstheme="minorHAnsi"/>
          <w:color w:val="auto"/>
        </w:rPr>
        <w:t xml:space="preserve">microbial accumulation will occur above the ISCA wells </w:t>
      </w:r>
      <w:r w:rsidR="0051535E" w:rsidRPr="00F852C4">
        <w:rPr>
          <w:rFonts w:asciiTheme="minorHAnsi" w:hAnsiTheme="minorHAnsi" w:cstheme="minorHAnsi"/>
          <w:color w:val="auto"/>
        </w:rPr>
        <w:t xml:space="preserve">rather than </w:t>
      </w:r>
      <w:r w:rsidRPr="00F852C4">
        <w:rPr>
          <w:rFonts w:asciiTheme="minorHAnsi" w:hAnsiTheme="minorHAnsi" w:cstheme="minorHAnsi"/>
          <w:color w:val="auto"/>
        </w:rPr>
        <w:t>inside. Therefore, dilution series should be carried out in laboratory conditions for each compound in order to determine the optimal concentration for field deployments.</w:t>
      </w:r>
      <w:r w:rsidR="00CA2916" w:rsidRPr="00F852C4">
        <w:rPr>
          <w:rFonts w:asciiTheme="minorHAnsi" w:hAnsiTheme="minorHAnsi" w:cstheme="minorHAnsi"/>
          <w:color w:val="auto"/>
        </w:rPr>
        <w:t xml:space="preserve"> </w:t>
      </w:r>
      <w:r w:rsidR="00EA23D4" w:rsidRPr="00F852C4">
        <w:rPr>
          <w:rFonts w:asciiTheme="minorHAnsi" w:hAnsiTheme="minorHAnsi" w:cstheme="minorHAnsi"/>
          <w:color w:val="212121"/>
          <w:shd w:val="clear" w:color="auto" w:fill="FFFFFF"/>
        </w:rPr>
        <w:t xml:space="preserve">Ideally, a </w:t>
      </w:r>
      <w:r w:rsidR="00EA23D4" w:rsidRPr="00F852C4">
        <w:rPr>
          <w:rFonts w:asciiTheme="minorHAnsi" w:hAnsiTheme="minorHAnsi" w:cstheme="minorHAnsi"/>
        </w:rPr>
        <w:t>concentration range should also be tested in the field to confirm laboratory results.</w:t>
      </w:r>
    </w:p>
    <w:p w14:paraId="35E7ACA0" w14:textId="77777777" w:rsidR="00EA4820" w:rsidRPr="00F852C4" w:rsidRDefault="00EA4820" w:rsidP="00344E04">
      <w:pPr>
        <w:rPr>
          <w:rFonts w:asciiTheme="minorHAnsi" w:hAnsiTheme="minorHAnsi" w:cstheme="minorHAnsi"/>
          <w:color w:val="auto"/>
        </w:rPr>
      </w:pPr>
    </w:p>
    <w:p w14:paraId="13D65630" w14:textId="692A5A40" w:rsidR="00EA4820" w:rsidRPr="001E2097" w:rsidRDefault="00EA4820" w:rsidP="00344E04">
      <w:pPr>
        <w:numPr>
          <w:ilvl w:val="2"/>
          <w:numId w:val="36"/>
        </w:numPr>
        <w:rPr>
          <w:rFonts w:asciiTheme="minorHAnsi" w:hAnsiTheme="minorHAnsi" w:cstheme="minorHAnsi"/>
          <w:color w:val="auto"/>
          <w:highlight w:val="yellow"/>
        </w:rPr>
      </w:pPr>
      <w:r w:rsidRPr="00B24153">
        <w:rPr>
          <w:rFonts w:asciiTheme="minorHAnsi" w:hAnsiTheme="minorHAnsi" w:cstheme="minorHAnsi"/>
          <w:color w:val="auto"/>
        </w:rPr>
        <w:t xml:space="preserve">Prepare 2.5 L of </w:t>
      </w:r>
      <w:r w:rsidR="0051535E" w:rsidRPr="00B24153">
        <w:rPr>
          <w:rFonts w:asciiTheme="minorHAnsi" w:hAnsiTheme="minorHAnsi" w:cstheme="minorHAnsi"/>
          <w:color w:val="auto"/>
        </w:rPr>
        <w:t xml:space="preserve">a </w:t>
      </w:r>
      <w:r w:rsidRPr="00B24153">
        <w:rPr>
          <w:rFonts w:asciiTheme="minorHAnsi" w:hAnsiTheme="minorHAnsi" w:cstheme="minorHAnsi"/>
          <w:color w:val="auto"/>
        </w:rPr>
        <w:t>suitable medium</w:t>
      </w:r>
      <w:r w:rsidR="001E2097" w:rsidRPr="00B24153">
        <w:rPr>
          <w:rFonts w:asciiTheme="minorHAnsi" w:hAnsiTheme="minorHAnsi" w:cstheme="minorHAnsi"/>
          <w:color w:val="auto"/>
        </w:rPr>
        <w:t xml:space="preserve"> </w:t>
      </w:r>
      <w:r w:rsidRPr="00B24153">
        <w:rPr>
          <w:rFonts w:asciiTheme="minorHAnsi" w:hAnsiTheme="minorHAnsi" w:cstheme="minorHAnsi"/>
          <w:color w:val="auto"/>
        </w:rPr>
        <w:t>containing the appropriate salt concentration</w:t>
      </w:r>
      <w:r w:rsidR="0061483D">
        <w:rPr>
          <w:rFonts w:asciiTheme="minorHAnsi" w:hAnsiTheme="minorHAnsi" w:cstheme="minorHAnsi"/>
          <w:color w:val="auto"/>
        </w:rPr>
        <w:t xml:space="preserve"> (</w:t>
      </w:r>
      <w:r w:rsidRPr="00B24153">
        <w:rPr>
          <w:rFonts w:asciiTheme="minorHAnsi" w:hAnsiTheme="minorHAnsi" w:cstheme="minorHAnsi"/>
          <w:color w:val="auto"/>
        </w:rPr>
        <w:t>e.g.</w:t>
      </w:r>
      <w:r w:rsidR="0051535E" w:rsidRPr="00B24153">
        <w:rPr>
          <w:rFonts w:asciiTheme="minorHAnsi" w:hAnsiTheme="minorHAnsi" w:cstheme="minorHAnsi"/>
          <w:color w:val="auto"/>
        </w:rPr>
        <w:t>,</w:t>
      </w:r>
      <w:r w:rsidRPr="00B24153">
        <w:rPr>
          <w:rFonts w:asciiTheme="minorHAnsi" w:hAnsiTheme="minorHAnsi" w:cstheme="minorHAnsi"/>
          <w:color w:val="auto"/>
        </w:rPr>
        <w:t xml:space="preserve"> phosphate</w:t>
      </w:r>
      <w:r w:rsidR="0061483D">
        <w:rPr>
          <w:rFonts w:asciiTheme="minorHAnsi" w:hAnsiTheme="minorHAnsi" w:cstheme="minorHAnsi"/>
          <w:color w:val="auto"/>
        </w:rPr>
        <w:t>-</w:t>
      </w:r>
      <w:r w:rsidRPr="00B24153">
        <w:rPr>
          <w:rFonts w:asciiTheme="minorHAnsi" w:hAnsiTheme="minorHAnsi" w:cstheme="minorHAnsi"/>
          <w:color w:val="auto"/>
        </w:rPr>
        <w:t>buffer</w:t>
      </w:r>
      <w:r w:rsidR="0061483D">
        <w:rPr>
          <w:rFonts w:asciiTheme="minorHAnsi" w:hAnsiTheme="minorHAnsi" w:cstheme="minorHAnsi"/>
          <w:color w:val="auto"/>
        </w:rPr>
        <w:t>ed</w:t>
      </w:r>
      <w:r w:rsidRPr="00B24153">
        <w:rPr>
          <w:rFonts w:asciiTheme="minorHAnsi" w:hAnsiTheme="minorHAnsi" w:cstheme="minorHAnsi"/>
          <w:color w:val="auto"/>
        </w:rPr>
        <w:t xml:space="preserve"> saline </w:t>
      </w:r>
      <w:r w:rsidR="0061483D">
        <w:rPr>
          <w:rFonts w:asciiTheme="minorHAnsi" w:hAnsiTheme="minorHAnsi" w:cstheme="minorHAnsi"/>
          <w:color w:val="auto"/>
        </w:rPr>
        <w:t xml:space="preserve">[PBS] </w:t>
      </w:r>
      <w:r w:rsidRPr="00B24153">
        <w:rPr>
          <w:rFonts w:asciiTheme="minorHAnsi" w:hAnsiTheme="minorHAnsi" w:cstheme="minorHAnsi"/>
          <w:color w:val="auto"/>
        </w:rPr>
        <w:t>or artificial seawater</w:t>
      </w:r>
      <w:r w:rsidR="0061483D">
        <w:rPr>
          <w:rFonts w:asciiTheme="minorHAnsi" w:hAnsiTheme="minorHAnsi" w:cstheme="minorHAnsi"/>
          <w:color w:val="auto"/>
        </w:rPr>
        <w:t>)</w:t>
      </w:r>
      <w:r w:rsidR="00F64E72" w:rsidRPr="00B24153">
        <w:rPr>
          <w:rFonts w:asciiTheme="minorHAnsi" w:hAnsiTheme="minorHAnsi" w:cstheme="minorHAnsi"/>
          <w:color w:val="auto"/>
        </w:rPr>
        <w:t>.</w:t>
      </w:r>
      <w:r w:rsidR="001E2097" w:rsidRPr="00B24153">
        <w:rPr>
          <w:rFonts w:asciiTheme="minorHAnsi" w:hAnsiTheme="minorHAnsi" w:cstheme="minorHAnsi"/>
          <w:color w:val="auto"/>
        </w:rPr>
        <w:t xml:space="preserve"> </w:t>
      </w:r>
      <w:r w:rsidR="00F64E72" w:rsidRPr="001E2097">
        <w:rPr>
          <w:rFonts w:asciiTheme="minorHAnsi" w:hAnsiTheme="minorHAnsi" w:cstheme="minorHAnsi"/>
          <w:color w:val="auto"/>
          <w:highlight w:val="yellow"/>
        </w:rPr>
        <w:t>F</w:t>
      </w:r>
      <w:r w:rsidRPr="001E2097">
        <w:rPr>
          <w:rFonts w:asciiTheme="minorHAnsi" w:hAnsiTheme="minorHAnsi" w:cstheme="minorHAnsi"/>
          <w:color w:val="auto"/>
          <w:highlight w:val="yellow"/>
        </w:rPr>
        <w:t xml:space="preserve">ilter </w:t>
      </w:r>
      <w:r w:rsidR="00F64E72" w:rsidRPr="001E2097">
        <w:rPr>
          <w:rFonts w:asciiTheme="minorHAnsi" w:hAnsiTheme="minorHAnsi" w:cstheme="minorHAnsi"/>
          <w:color w:val="auto"/>
          <w:highlight w:val="yellow"/>
        </w:rPr>
        <w:t xml:space="preserve">the medium </w:t>
      </w:r>
      <w:r w:rsidRPr="001E2097">
        <w:rPr>
          <w:rFonts w:asciiTheme="minorHAnsi" w:hAnsiTheme="minorHAnsi" w:cstheme="minorHAnsi"/>
          <w:color w:val="auto"/>
          <w:highlight w:val="yellow"/>
        </w:rPr>
        <w:t>with</w:t>
      </w:r>
      <w:r w:rsidR="0051535E" w:rsidRPr="001E2097">
        <w:rPr>
          <w:rFonts w:asciiTheme="minorHAnsi" w:hAnsiTheme="minorHAnsi" w:cstheme="minorHAnsi"/>
          <w:color w:val="auto"/>
          <w:highlight w:val="yellow"/>
        </w:rPr>
        <w:t xml:space="preserve"> a</w:t>
      </w:r>
      <w:r w:rsidRPr="001E2097">
        <w:rPr>
          <w:rFonts w:asciiTheme="minorHAnsi" w:hAnsiTheme="minorHAnsi" w:cstheme="minorHAnsi"/>
          <w:color w:val="auto"/>
          <w:highlight w:val="yellow"/>
        </w:rPr>
        <w:t xml:space="preserve"> 0.2 µ</w:t>
      </w:r>
      <w:r w:rsidR="000E0845" w:rsidRPr="001E2097">
        <w:rPr>
          <w:rFonts w:asciiTheme="minorHAnsi" w:hAnsiTheme="minorHAnsi" w:cstheme="minorHAnsi"/>
          <w:color w:val="auto"/>
          <w:highlight w:val="yellow"/>
        </w:rPr>
        <w:t xml:space="preserve">m </w:t>
      </w:r>
      <w:r w:rsidRPr="001E2097">
        <w:rPr>
          <w:rFonts w:asciiTheme="minorHAnsi" w:hAnsiTheme="minorHAnsi" w:cstheme="minorHAnsi"/>
          <w:color w:val="auto"/>
          <w:highlight w:val="yellow"/>
        </w:rPr>
        <w:t>filter</w:t>
      </w:r>
      <w:r w:rsidR="002B5F7F" w:rsidRPr="001E2097">
        <w:rPr>
          <w:rFonts w:asciiTheme="minorHAnsi" w:hAnsiTheme="minorHAnsi" w:cstheme="minorHAnsi"/>
          <w:color w:val="auto"/>
          <w:highlight w:val="yellow"/>
        </w:rPr>
        <w:t xml:space="preserve"> using a peristaltic or vacuum pump</w:t>
      </w:r>
      <w:r w:rsidRPr="001E2097">
        <w:rPr>
          <w:rFonts w:asciiTheme="minorHAnsi" w:hAnsiTheme="minorHAnsi" w:cstheme="minorHAnsi"/>
          <w:color w:val="auto"/>
          <w:highlight w:val="yellow"/>
        </w:rPr>
        <w:t xml:space="preserve"> and autoclave.</w:t>
      </w:r>
    </w:p>
    <w:p w14:paraId="20B51DAC" w14:textId="77777777" w:rsidR="00EA4820" w:rsidRPr="00F852C4" w:rsidRDefault="00EA4820" w:rsidP="00344E04">
      <w:pPr>
        <w:rPr>
          <w:rFonts w:asciiTheme="minorHAnsi" w:hAnsiTheme="minorHAnsi" w:cstheme="minorHAnsi"/>
          <w:color w:val="auto"/>
        </w:rPr>
      </w:pPr>
    </w:p>
    <w:p w14:paraId="06011987" w14:textId="6ECE2E43" w:rsidR="00F64E72" w:rsidRPr="001E2097" w:rsidRDefault="00EA4820" w:rsidP="00344E04">
      <w:pPr>
        <w:numPr>
          <w:ilvl w:val="2"/>
          <w:numId w:val="36"/>
        </w:numPr>
        <w:rPr>
          <w:rFonts w:asciiTheme="minorHAnsi" w:hAnsiTheme="minorHAnsi" w:cstheme="minorHAnsi"/>
          <w:color w:val="auto"/>
          <w:highlight w:val="yellow"/>
        </w:rPr>
      </w:pPr>
      <w:bookmarkStart w:id="1" w:name="_Hlk31639169"/>
      <w:r w:rsidRPr="00F852C4">
        <w:rPr>
          <w:rFonts w:asciiTheme="minorHAnsi" w:hAnsiTheme="minorHAnsi" w:cstheme="minorHAnsi"/>
          <w:color w:val="auto"/>
          <w:highlight w:val="yellow"/>
        </w:rPr>
        <w:t>Prepare a 10 mM solution of chemoattractant in 1</w:t>
      </w:r>
      <w:r w:rsidR="00D37E38">
        <w:rPr>
          <w:rFonts w:asciiTheme="minorHAnsi" w:hAnsiTheme="minorHAnsi" w:cstheme="minorHAnsi"/>
          <w:color w:val="auto"/>
          <w:highlight w:val="yellow"/>
        </w:rPr>
        <w:t xml:space="preserve"> mL</w:t>
      </w:r>
      <w:r w:rsidRPr="00F852C4">
        <w:rPr>
          <w:rFonts w:asciiTheme="minorHAnsi" w:hAnsiTheme="minorHAnsi" w:cstheme="minorHAnsi"/>
          <w:color w:val="auto"/>
          <w:highlight w:val="yellow"/>
        </w:rPr>
        <w:t xml:space="preserve"> of the sterile medi</w:t>
      </w:r>
      <w:r w:rsidRPr="00344E04">
        <w:rPr>
          <w:rFonts w:asciiTheme="minorHAnsi" w:hAnsiTheme="minorHAnsi" w:cstheme="minorHAnsi"/>
          <w:color w:val="auto"/>
          <w:highlight w:val="yellow"/>
        </w:rPr>
        <w:t>um.</w:t>
      </w:r>
      <w:r w:rsidR="001E2097" w:rsidRPr="00344E04">
        <w:rPr>
          <w:rFonts w:asciiTheme="minorHAnsi" w:hAnsiTheme="minorHAnsi" w:cstheme="minorHAnsi"/>
          <w:color w:val="auto"/>
          <w:highlight w:val="yellow"/>
        </w:rPr>
        <w:t xml:space="preserve"> Filter t</w:t>
      </w:r>
      <w:r w:rsidR="001E2097" w:rsidRPr="00F852C4">
        <w:rPr>
          <w:rFonts w:asciiTheme="minorHAnsi" w:hAnsiTheme="minorHAnsi" w:cstheme="minorHAnsi"/>
          <w:color w:val="auto"/>
          <w:highlight w:val="yellow"/>
        </w:rPr>
        <w:t>he chemoattractant solution with a 0.2 µm syringe filter to remove particl</w:t>
      </w:r>
      <w:r w:rsidR="001E2097" w:rsidRPr="001E2097">
        <w:rPr>
          <w:rFonts w:asciiTheme="minorHAnsi" w:hAnsiTheme="minorHAnsi" w:cstheme="minorHAnsi"/>
          <w:color w:val="auto"/>
          <w:highlight w:val="yellow"/>
        </w:rPr>
        <w:t>es and potential contaminants.</w:t>
      </w:r>
      <w:r w:rsidRPr="001E2097">
        <w:rPr>
          <w:rFonts w:asciiTheme="minorHAnsi" w:hAnsiTheme="minorHAnsi" w:cstheme="minorHAnsi"/>
          <w:color w:val="auto"/>
        </w:rPr>
        <w:t xml:space="preserve"> </w:t>
      </w:r>
      <w:bookmarkEnd w:id="1"/>
    </w:p>
    <w:p w14:paraId="0BE82463" w14:textId="77777777" w:rsidR="00F64E72" w:rsidRDefault="00F64E72" w:rsidP="00344E04">
      <w:pPr>
        <w:rPr>
          <w:rFonts w:asciiTheme="minorHAnsi" w:hAnsiTheme="minorHAnsi" w:cstheme="minorHAnsi"/>
          <w:color w:val="auto"/>
        </w:rPr>
      </w:pPr>
    </w:p>
    <w:p w14:paraId="5F4005BB" w14:textId="0CB5270B" w:rsidR="00EA4820" w:rsidRPr="00F852C4" w:rsidRDefault="00F64E72" w:rsidP="00344E04">
      <w:pPr>
        <w:rPr>
          <w:rFonts w:asciiTheme="minorHAnsi" w:hAnsiTheme="minorHAnsi" w:cstheme="minorHAnsi"/>
          <w:color w:val="auto"/>
        </w:rPr>
      </w:pPr>
      <w:r w:rsidRPr="00344E04">
        <w:rPr>
          <w:rFonts w:asciiTheme="minorHAnsi" w:hAnsiTheme="minorHAnsi" w:cstheme="minorHAnsi"/>
          <w:color w:val="auto"/>
          <w:highlight w:val="yellow"/>
        </w:rPr>
        <w:t xml:space="preserve">NOTE: </w:t>
      </w:r>
      <w:r w:rsidR="00EA4820" w:rsidRPr="00344E04">
        <w:rPr>
          <w:rFonts w:asciiTheme="minorHAnsi" w:hAnsiTheme="minorHAnsi" w:cstheme="minorHAnsi"/>
          <w:color w:val="auto"/>
          <w:highlight w:val="yellow"/>
        </w:rPr>
        <w:t>Ideally, no organic compound other than the chemoattractant should be present in the final solution.</w:t>
      </w:r>
    </w:p>
    <w:p w14:paraId="278711E9" w14:textId="77777777" w:rsidR="00EA4820" w:rsidRPr="00F852C4" w:rsidRDefault="00EA4820" w:rsidP="00344E04">
      <w:pPr>
        <w:rPr>
          <w:rFonts w:asciiTheme="minorHAnsi" w:hAnsiTheme="minorHAnsi" w:cstheme="minorHAnsi"/>
          <w:color w:val="auto"/>
        </w:rPr>
      </w:pPr>
    </w:p>
    <w:p w14:paraId="03C6D431" w14:textId="6125B7AF" w:rsidR="00EA4820" w:rsidRPr="00344E04" w:rsidRDefault="00EA4820" w:rsidP="00344E04">
      <w:pPr>
        <w:numPr>
          <w:ilvl w:val="1"/>
          <w:numId w:val="36"/>
        </w:numPr>
        <w:rPr>
          <w:rFonts w:asciiTheme="minorHAnsi" w:hAnsiTheme="minorHAnsi" w:cstheme="minorHAnsi"/>
          <w:bCs/>
          <w:color w:val="auto"/>
          <w:highlight w:val="yellow"/>
        </w:rPr>
      </w:pPr>
      <w:r w:rsidRPr="00344E04">
        <w:rPr>
          <w:rFonts w:asciiTheme="minorHAnsi" w:hAnsiTheme="minorHAnsi" w:cstheme="minorHAnsi"/>
          <w:bCs/>
          <w:color w:val="auto"/>
          <w:highlight w:val="yellow"/>
        </w:rPr>
        <w:t xml:space="preserve">Concentration range by dilution series </w:t>
      </w:r>
    </w:p>
    <w:p w14:paraId="7DC70648" w14:textId="77777777" w:rsidR="00EA4820" w:rsidRPr="00F852C4" w:rsidRDefault="00EA4820" w:rsidP="00344E04">
      <w:pPr>
        <w:rPr>
          <w:rFonts w:asciiTheme="minorHAnsi" w:hAnsiTheme="minorHAnsi" w:cstheme="minorHAnsi"/>
          <w:color w:val="auto"/>
        </w:rPr>
      </w:pPr>
    </w:p>
    <w:p w14:paraId="501E5E63" w14:textId="7F04A736" w:rsidR="00226A3D"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Dilute </w:t>
      </w:r>
      <w:r w:rsidR="0051535E" w:rsidRPr="00F852C4">
        <w:rPr>
          <w:rFonts w:asciiTheme="minorHAnsi" w:hAnsiTheme="minorHAnsi" w:cstheme="minorHAnsi"/>
          <w:color w:val="auto"/>
          <w:highlight w:val="yellow"/>
        </w:rPr>
        <w:t xml:space="preserve">the </w:t>
      </w:r>
      <w:r w:rsidRPr="00F852C4">
        <w:rPr>
          <w:rFonts w:asciiTheme="minorHAnsi" w:hAnsiTheme="minorHAnsi" w:cstheme="minorHAnsi"/>
          <w:color w:val="auto"/>
          <w:highlight w:val="yellow"/>
        </w:rPr>
        <w:t xml:space="preserve">filtered chemoattractant stock solution in series, ranging (for example) from 10 mM to 100 </w:t>
      </w:r>
      <w:r w:rsidR="007F73F0" w:rsidRPr="00F852C4">
        <w:rPr>
          <w:rFonts w:asciiTheme="minorHAnsi" w:hAnsiTheme="minorHAnsi" w:cstheme="minorHAnsi"/>
          <w:color w:val="auto"/>
          <w:highlight w:val="yellow"/>
        </w:rPr>
        <w:t>µ</w:t>
      </w:r>
      <w:r w:rsidRPr="00F852C4">
        <w:rPr>
          <w:rFonts w:asciiTheme="minorHAnsi" w:hAnsiTheme="minorHAnsi" w:cstheme="minorHAnsi"/>
          <w:color w:val="auto"/>
          <w:highlight w:val="yellow"/>
        </w:rPr>
        <w:t>M</w:t>
      </w:r>
      <w:r w:rsidRPr="00F852C4">
        <w:rPr>
          <w:rFonts w:asciiTheme="minorHAnsi" w:hAnsiTheme="minorHAnsi" w:cstheme="minorHAnsi"/>
          <w:color w:val="auto"/>
        </w:rPr>
        <w:t xml:space="preserve">. </w:t>
      </w:r>
    </w:p>
    <w:p w14:paraId="728070B8" w14:textId="77777777" w:rsidR="00226A3D" w:rsidRDefault="00226A3D" w:rsidP="00344E04">
      <w:pPr>
        <w:rPr>
          <w:rFonts w:asciiTheme="minorHAnsi" w:hAnsiTheme="minorHAnsi" w:cstheme="minorHAnsi"/>
          <w:color w:val="auto"/>
        </w:rPr>
      </w:pPr>
    </w:p>
    <w:p w14:paraId="5748F7FC" w14:textId="48DFFF47" w:rsidR="00EA4820" w:rsidRPr="00F852C4" w:rsidRDefault="00226A3D" w:rsidP="00344E04">
      <w:pPr>
        <w:rPr>
          <w:rFonts w:asciiTheme="minorHAnsi" w:hAnsiTheme="minorHAnsi" w:cstheme="minorHAnsi"/>
          <w:color w:val="auto"/>
        </w:rPr>
      </w:pPr>
      <w:r>
        <w:rPr>
          <w:rFonts w:asciiTheme="minorHAnsi" w:hAnsiTheme="minorHAnsi" w:cstheme="minorHAnsi"/>
          <w:color w:val="auto"/>
        </w:rPr>
        <w:t xml:space="preserve">NOTE: </w:t>
      </w:r>
      <w:r w:rsidR="00EA4820" w:rsidRPr="00F852C4">
        <w:rPr>
          <w:rFonts w:asciiTheme="minorHAnsi" w:hAnsiTheme="minorHAnsi" w:cstheme="minorHAnsi"/>
          <w:color w:val="auto"/>
        </w:rPr>
        <w:t xml:space="preserve">At least </w:t>
      </w:r>
      <w:r w:rsidR="00DD5989">
        <w:rPr>
          <w:rFonts w:asciiTheme="minorHAnsi" w:hAnsiTheme="minorHAnsi" w:cstheme="minorHAnsi"/>
          <w:color w:val="auto"/>
        </w:rPr>
        <w:t xml:space="preserve">a </w:t>
      </w:r>
      <w:r w:rsidR="00EA4820" w:rsidRPr="00F852C4">
        <w:rPr>
          <w:rFonts w:asciiTheme="minorHAnsi" w:hAnsiTheme="minorHAnsi" w:cstheme="minorHAnsi"/>
          <w:color w:val="auto"/>
        </w:rPr>
        <w:t>0.7 m</w:t>
      </w:r>
      <w:r w:rsidR="001E2097">
        <w:rPr>
          <w:rFonts w:asciiTheme="minorHAnsi" w:hAnsiTheme="minorHAnsi" w:cstheme="minorHAnsi"/>
          <w:color w:val="auto"/>
        </w:rPr>
        <w:t xml:space="preserve">L </w:t>
      </w:r>
      <w:r w:rsidR="00EA4820" w:rsidRPr="00F852C4">
        <w:rPr>
          <w:rFonts w:asciiTheme="minorHAnsi" w:hAnsiTheme="minorHAnsi" w:cstheme="minorHAnsi"/>
          <w:color w:val="auto"/>
        </w:rPr>
        <w:t>final volume is needed per concentration tested.</w:t>
      </w:r>
    </w:p>
    <w:p w14:paraId="255E53E4" w14:textId="77777777" w:rsidR="00EA4820" w:rsidRPr="00F852C4" w:rsidRDefault="00EA4820" w:rsidP="00344E04">
      <w:pPr>
        <w:rPr>
          <w:rFonts w:asciiTheme="minorHAnsi" w:hAnsiTheme="minorHAnsi" w:cstheme="minorHAnsi"/>
          <w:b/>
          <w:color w:val="auto"/>
        </w:rPr>
      </w:pPr>
    </w:p>
    <w:p w14:paraId="2EC52766" w14:textId="708FCDC2"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ISCA filling</w:t>
      </w:r>
      <w:r w:rsidRPr="00344E04">
        <w:rPr>
          <w:rFonts w:asciiTheme="minorHAnsi" w:hAnsiTheme="minorHAnsi" w:cstheme="minorHAnsi"/>
          <w:bCs/>
          <w:color w:val="auto"/>
        </w:rPr>
        <w:t xml:space="preserve"> </w:t>
      </w:r>
    </w:p>
    <w:p w14:paraId="6D71DF62" w14:textId="501D2A3A" w:rsidR="003E48F0" w:rsidRDefault="003E48F0" w:rsidP="00344E04">
      <w:pPr>
        <w:rPr>
          <w:rFonts w:asciiTheme="minorHAnsi" w:hAnsiTheme="minorHAnsi" w:cstheme="minorHAnsi"/>
          <w:color w:val="auto"/>
        </w:rPr>
      </w:pPr>
    </w:p>
    <w:p w14:paraId="4AF6405A" w14:textId="053C2E38" w:rsidR="00226A3D" w:rsidRPr="003A2FE6" w:rsidRDefault="003E48F0" w:rsidP="00344E04">
      <w:pPr>
        <w:numPr>
          <w:ilvl w:val="2"/>
          <w:numId w:val="36"/>
        </w:numPr>
        <w:rPr>
          <w:rFonts w:asciiTheme="minorHAnsi" w:hAnsiTheme="minorHAnsi" w:cstheme="minorHAnsi"/>
          <w:color w:val="auto"/>
        </w:rPr>
      </w:pPr>
      <w:r w:rsidRPr="00221278">
        <w:rPr>
          <w:rFonts w:asciiTheme="minorHAnsi" w:hAnsiTheme="minorHAnsi" w:cstheme="minorHAnsi"/>
          <w:color w:val="auto"/>
          <w:highlight w:val="yellow"/>
        </w:rPr>
        <w:lastRenderedPageBreak/>
        <w:t xml:space="preserve">Fill a 1 </w:t>
      </w:r>
      <w:r w:rsidRPr="003A2FE6">
        <w:rPr>
          <w:rFonts w:asciiTheme="minorHAnsi" w:hAnsiTheme="minorHAnsi" w:cstheme="minorHAnsi"/>
          <w:color w:val="auto"/>
          <w:highlight w:val="yellow"/>
        </w:rPr>
        <w:t>m</w:t>
      </w:r>
      <w:r w:rsidR="00B24153">
        <w:rPr>
          <w:rFonts w:asciiTheme="minorHAnsi" w:hAnsiTheme="minorHAnsi" w:cstheme="minorHAnsi"/>
          <w:color w:val="auto"/>
          <w:highlight w:val="yellow"/>
        </w:rPr>
        <w:t>L</w:t>
      </w:r>
      <w:r w:rsidRPr="003A2FE6">
        <w:rPr>
          <w:rFonts w:asciiTheme="minorHAnsi" w:hAnsiTheme="minorHAnsi" w:cstheme="minorHAnsi"/>
          <w:color w:val="auto"/>
          <w:highlight w:val="yellow"/>
        </w:rPr>
        <w:t xml:space="preserve"> syringe with the filtered chemoattractant and connect it to a 27</w:t>
      </w:r>
      <w:r w:rsidR="00DD5989">
        <w:rPr>
          <w:rFonts w:asciiTheme="minorHAnsi" w:hAnsiTheme="minorHAnsi" w:cstheme="minorHAnsi"/>
          <w:color w:val="auto"/>
          <w:highlight w:val="yellow"/>
        </w:rPr>
        <w:t xml:space="preserve"> </w:t>
      </w:r>
      <w:r w:rsidRPr="003A2FE6">
        <w:rPr>
          <w:rFonts w:asciiTheme="minorHAnsi" w:hAnsiTheme="minorHAnsi" w:cstheme="minorHAnsi"/>
          <w:color w:val="auto"/>
          <w:highlight w:val="yellow"/>
        </w:rPr>
        <w:t>G syringe.</w:t>
      </w:r>
      <w:r w:rsidR="003A2FE6" w:rsidRPr="003A2FE6">
        <w:rPr>
          <w:rFonts w:asciiTheme="minorHAnsi" w:hAnsiTheme="minorHAnsi" w:cstheme="minorHAnsi"/>
          <w:color w:val="auto"/>
          <w:highlight w:val="yellow"/>
        </w:rPr>
        <w:t xml:space="preserve"> </w:t>
      </w:r>
      <w:r w:rsidR="00EA4820" w:rsidRPr="003A2FE6">
        <w:rPr>
          <w:rFonts w:asciiTheme="minorHAnsi" w:hAnsiTheme="minorHAnsi" w:cstheme="minorHAnsi"/>
          <w:color w:val="auto"/>
          <w:highlight w:val="yellow"/>
        </w:rPr>
        <w:t>Holding the ISCA with the port facing up</w:t>
      </w:r>
      <w:r w:rsidR="00EA34E3" w:rsidRPr="003A2FE6">
        <w:rPr>
          <w:rFonts w:asciiTheme="minorHAnsi" w:hAnsiTheme="minorHAnsi" w:cstheme="minorHAnsi"/>
          <w:color w:val="auto"/>
          <w:highlight w:val="yellow"/>
        </w:rPr>
        <w:t>ward</w:t>
      </w:r>
      <w:r w:rsidR="00EA4820" w:rsidRPr="003A2FE6">
        <w:rPr>
          <w:rFonts w:asciiTheme="minorHAnsi" w:hAnsiTheme="minorHAnsi" w:cstheme="minorHAnsi"/>
          <w:color w:val="auto"/>
          <w:highlight w:val="yellow"/>
        </w:rPr>
        <w:t>, slowly inject the substance until a small droplet appears on top of the port.</w:t>
      </w:r>
      <w:r w:rsidR="00EA4820" w:rsidRPr="003A2FE6">
        <w:rPr>
          <w:rFonts w:asciiTheme="minorHAnsi" w:hAnsiTheme="minorHAnsi" w:cstheme="minorHAnsi"/>
          <w:color w:val="auto"/>
        </w:rPr>
        <w:t xml:space="preserve"> </w:t>
      </w:r>
    </w:p>
    <w:p w14:paraId="779BEF9C" w14:textId="77777777" w:rsidR="00F64E72" w:rsidRDefault="00F64E72" w:rsidP="00344E04">
      <w:pPr>
        <w:rPr>
          <w:rFonts w:asciiTheme="minorHAnsi" w:hAnsiTheme="minorHAnsi" w:cstheme="minorHAnsi"/>
          <w:color w:val="auto"/>
        </w:rPr>
      </w:pPr>
    </w:p>
    <w:p w14:paraId="6B0DDD2E" w14:textId="54512E6B" w:rsidR="00EA4820" w:rsidRPr="00F852C4" w:rsidRDefault="00F64E72" w:rsidP="00344E04">
      <w:pPr>
        <w:rPr>
          <w:rFonts w:asciiTheme="minorHAnsi" w:hAnsiTheme="minorHAnsi" w:cstheme="minorHAnsi"/>
          <w:color w:val="auto"/>
        </w:rPr>
      </w:pPr>
      <w:r w:rsidRPr="001E2097">
        <w:rPr>
          <w:rFonts w:asciiTheme="minorHAnsi" w:hAnsiTheme="minorHAnsi" w:cstheme="minorHAnsi"/>
          <w:color w:val="auto"/>
          <w:highlight w:val="yellow"/>
        </w:rPr>
        <w:t xml:space="preserve">NOTE: </w:t>
      </w:r>
      <w:r w:rsidR="001E2097" w:rsidRPr="001E2097">
        <w:rPr>
          <w:rFonts w:asciiTheme="minorHAnsi" w:hAnsiTheme="minorHAnsi" w:cstheme="minorHAnsi"/>
          <w:color w:val="auto"/>
          <w:highlight w:val="yellow"/>
        </w:rPr>
        <w:t xml:space="preserve">1) </w:t>
      </w:r>
      <w:r w:rsidRPr="001E2097">
        <w:rPr>
          <w:rFonts w:asciiTheme="minorHAnsi" w:hAnsiTheme="minorHAnsi" w:cstheme="minorHAnsi"/>
          <w:color w:val="auto"/>
          <w:highlight w:val="yellow"/>
        </w:rPr>
        <w:t>Each d</w:t>
      </w:r>
      <w:r w:rsidRPr="00F852C4">
        <w:rPr>
          <w:rFonts w:asciiTheme="minorHAnsi" w:hAnsiTheme="minorHAnsi" w:cstheme="minorHAnsi"/>
          <w:color w:val="auto"/>
          <w:highlight w:val="yellow"/>
        </w:rPr>
        <w:t xml:space="preserve">ilution or substance must be injected with a </w:t>
      </w:r>
      <w:r w:rsidR="005563FB">
        <w:rPr>
          <w:rFonts w:asciiTheme="minorHAnsi" w:hAnsiTheme="minorHAnsi" w:cstheme="minorHAnsi"/>
          <w:color w:val="auto"/>
          <w:highlight w:val="yellow"/>
        </w:rPr>
        <w:t>separate</w:t>
      </w:r>
      <w:r w:rsidRPr="00F852C4">
        <w:rPr>
          <w:rFonts w:asciiTheme="minorHAnsi" w:hAnsiTheme="minorHAnsi" w:cstheme="minorHAnsi"/>
          <w:color w:val="auto"/>
          <w:highlight w:val="yellow"/>
        </w:rPr>
        <w:t xml:space="preserve"> syringe and needle to prevent cross-contamination</w:t>
      </w:r>
      <w:r w:rsidRPr="00F852C4">
        <w:rPr>
          <w:rFonts w:asciiTheme="minorHAnsi" w:hAnsiTheme="minorHAnsi" w:cstheme="minorHAnsi"/>
          <w:color w:val="auto"/>
        </w:rPr>
        <w:t>.</w:t>
      </w:r>
      <w:r w:rsidR="00226A3D">
        <w:rPr>
          <w:rFonts w:asciiTheme="minorHAnsi" w:hAnsiTheme="minorHAnsi" w:cstheme="minorHAnsi"/>
          <w:color w:val="auto"/>
        </w:rPr>
        <w:t xml:space="preserve"> </w:t>
      </w:r>
      <w:r>
        <w:rPr>
          <w:rFonts w:asciiTheme="minorHAnsi" w:hAnsiTheme="minorHAnsi" w:cstheme="minorHAnsi"/>
          <w:color w:val="auto"/>
        </w:rPr>
        <w:t>2</w:t>
      </w:r>
      <w:r w:rsidR="001E2097">
        <w:rPr>
          <w:rFonts w:asciiTheme="minorHAnsi" w:hAnsiTheme="minorHAnsi" w:cstheme="minorHAnsi"/>
          <w:color w:val="auto"/>
        </w:rPr>
        <w:t>)</w:t>
      </w:r>
      <w:r w:rsidR="00226A3D">
        <w:rPr>
          <w:rFonts w:asciiTheme="minorHAnsi" w:hAnsiTheme="minorHAnsi" w:cstheme="minorHAnsi"/>
          <w:color w:val="auto"/>
        </w:rPr>
        <w:t xml:space="preserve"> </w:t>
      </w:r>
      <w:r w:rsidR="00EA4820" w:rsidRPr="00F852C4">
        <w:rPr>
          <w:rFonts w:asciiTheme="minorHAnsi" w:hAnsiTheme="minorHAnsi" w:cstheme="minorHAnsi"/>
          <w:color w:val="auto"/>
        </w:rPr>
        <w:t xml:space="preserve">This small droplet is important </w:t>
      </w:r>
      <w:r w:rsidR="00EA34E3" w:rsidRPr="00F852C4">
        <w:rPr>
          <w:rFonts w:asciiTheme="minorHAnsi" w:hAnsiTheme="minorHAnsi" w:cstheme="minorHAnsi"/>
          <w:color w:val="auto"/>
        </w:rPr>
        <w:t xml:space="preserve">because it </w:t>
      </w:r>
      <w:r w:rsidR="00EA4820" w:rsidRPr="00F852C4">
        <w:rPr>
          <w:rFonts w:asciiTheme="minorHAnsi" w:hAnsiTheme="minorHAnsi" w:cstheme="minorHAnsi"/>
          <w:color w:val="auto"/>
        </w:rPr>
        <w:t xml:space="preserve">ensures that no air bubble is trapped </w:t>
      </w:r>
      <w:r w:rsidR="00EA34E3" w:rsidRPr="00F852C4">
        <w:rPr>
          <w:rFonts w:asciiTheme="minorHAnsi" w:hAnsiTheme="minorHAnsi" w:cstheme="minorHAnsi"/>
          <w:color w:val="auto"/>
        </w:rPr>
        <w:t>with</w:t>
      </w:r>
      <w:r w:rsidR="00EA4820" w:rsidRPr="00F852C4">
        <w:rPr>
          <w:rFonts w:asciiTheme="minorHAnsi" w:hAnsiTheme="minorHAnsi" w:cstheme="minorHAnsi"/>
          <w:color w:val="auto"/>
        </w:rPr>
        <w:t xml:space="preserve">in the port, which </w:t>
      </w:r>
      <w:r w:rsidR="00EA34E3" w:rsidRPr="00F852C4">
        <w:rPr>
          <w:rFonts w:asciiTheme="minorHAnsi" w:hAnsiTheme="minorHAnsi" w:cstheme="minorHAnsi"/>
          <w:color w:val="auto"/>
        </w:rPr>
        <w:t xml:space="preserve">could </w:t>
      </w:r>
      <w:r w:rsidR="00EA4820" w:rsidRPr="00F852C4">
        <w:rPr>
          <w:rFonts w:asciiTheme="minorHAnsi" w:hAnsiTheme="minorHAnsi" w:cstheme="minorHAnsi"/>
          <w:color w:val="auto"/>
        </w:rPr>
        <w:t>impair the ability of microbes to migrate through the por</w:t>
      </w:r>
      <w:r w:rsidR="00EA4820" w:rsidRPr="00226A3D">
        <w:rPr>
          <w:rFonts w:asciiTheme="minorHAnsi" w:hAnsiTheme="minorHAnsi" w:cstheme="minorHAnsi"/>
          <w:color w:val="auto"/>
        </w:rPr>
        <w:t xml:space="preserve">t. </w:t>
      </w:r>
      <w:r>
        <w:rPr>
          <w:rFonts w:asciiTheme="minorHAnsi" w:hAnsiTheme="minorHAnsi" w:cstheme="minorHAnsi"/>
          <w:color w:val="auto"/>
          <w:highlight w:val="yellow"/>
        </w:rPr>
        <w:t>3</w:t>
      </w:r>
      <w:r w:rsidR="001E2097">
        <w:rPr>
          <w:rFonts w:asciiTheme="minorHAnsi" w:hAnsiTheme="minorHAnsi" w:cstheme="minorHAnsi"/>
          <w:color w:val="auto"/>
          <w:highlight w:val="yellow"/>
        </w:rPr>
        <w:t>)</w:t>
      </w:r>
      <w:r w:rsidR="00226A3D">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It is recommended to fill an entire row per substance or c</w:t>
      </w:r>
      <w:r w:rsidR="00EA4820" w:rsidRPr="001E2097">
        <w:rPr>
          <w:rFonts w:asciiTheme="minorHAnsi" w:hAnsiTheme="minorHAnsi" w:cstheme="minorHAnsi"/>
          <w:color w:val="auto"/>
          <w:highlight w:val="yellow"/>
        </w:rPr>
        <w:t>oncentration (</w:t>
      </w:r>
      <w:r w:rsidR="00DD5989">
        <w:rPr>
          <w:rFonts w:asciiTheme="minorHAnsi" w:hAnsiTheme="minorHAnsi" w:cstheme="minorHAnsi"/>
          <w:color w:val="auto"/>
          <w:highlight w:val="yellow"/>
        </w:rPr>
        <w:t>five</w:t>
      </w:r>
      <w:r w:rsidR="00EA4820" w:rsidRPr="001E2097">
        <w:rPr>
          <w:rFonts w:asciiTheme="minorHAnsi" w:hAnsiTheme="minorHAnsi" w:cstheme="minorHAnsi"/>
          <w:color w:val="auto"/>
          <w:highlight w:val="yellow"/>
        </w:rPr>
        <w:t xml:space="preserve"> wells)</w:t>
      </w:r>
      <w:r w:rsidR="00F0186E" w:rsidRPr="001E2097">
        <w:rPr>
          <w:rFonts w:asciiTheme="minorHAnsi" w:hAnsiTheme="minorHAnsi" w:cstheme="minorHAnsi"/>
          <w:color w:val="auto"/>
          <w:highlight w:val="yellow"/>
        </w:rPr>
        <w:t xml:space="preserve"> to provide an adequate minimal volume for further analyses.</w:t>
      </w:r>
      <w:r w:rsidR="00D37E38">
        <w:rPr>
          <w:rFonts w:asciiTheme="minorHAnsi" w:hAnsiTheme="minorHAnsi" w:cstheme="minorHAnsi"/>
          <w:color w:val="auto"/>
        </w:rPr>
        <w:t xml:space="preserve"> </w:t>
      </w:r>
      <w:r w:rsidR="001E2097">
        <w:rPr>
          <w:rFonts w:asciiTheme="minorHAnsi" w:hAnsiTheme="minorHAnsi" w:cstheme="minorHAnsi"/>
          <w:color w:val="auto"/>
        </w:rPr>
        <w:t>4)</w:t>
      </w:r>
      <w:r w:rsidR="00EA4820" w:rsidRPr="00F852C4">
        <w:rPr>
          <w:rFonts w:asciiTheme="minorHAnsi" w:hAnsiTheme="minorHAnsi" w:cstheme="minorHAnsi"/>
          <w:color w:val="auto"/>
        </w:rPr>
        <w:t xml:space="preserve"> One row per ISCA should act as negative control and should be filled with the filtered medium in which the microbes will be suspended. This treatment accounts for the effect of random motility by microbes into the ISCA wells and should be used to normalize the treatments containing a chemoattractant. </w:t>
      </w:r>
    </w:p>
    <w:p w14:paraId="0DEB16D7" w14:textId="77777777" w:rsidR="00EA4820" w:rsidRPr="00F852C4" w:rsidRDefault="00EA4820" w:rsidP="00344E04">
      <w:pPr>
        <w:rPr>
          <w:rFonts w:asciiTheme="minorHAnsi" w:hAnsiTheme="minorHAnsi" w:cstheme="minorHAnsi"/>
          <w:color w:val="auto"/>
        </w:rPr>
      </w:pPr>
    </w:p>
    <w:p w14:paraId="0ED7E397" w14:textId="14152112"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Deployment in the laboratory</w:t>
      </w:r>
    </w:p>
    <w:p w14:paraId="0B42D526" w14:textId="77777777" w:rsidR="00EA4820" w:rsidRPr="00F852C4" w:rsidRDefault="00EA4820" w:rsidP="00344E04">
      <w:pPr>
        <w:rPr>
          <w:rFonts w:asciiTheme="minorHAnsi" w:hAnsiTheme="minorHAnsi" w:cstheme="minorHAnsi"/>
          <w:b/>
          <w:color w:val="auto"/>
        </w:rPr>
      </w:pPr>
    </w:p>
    <w:p w14:paraId="4699C48B" w14:textId="44250BA9" w:rsidR="00226A3D" w:rsidRDefault="00DD5989" w:rsidP="00344E04">
      <w:pPr>
        <w:numPr>
          <w:ilvl w:val="2"/>
          <w:numId w:val="36"/>
        </w:numPr>
        <w:rPr>
          <w:rFonts w:asciiTheme="minorHAnsi" w:hAnsiTheme="minorHAnsi" w:cstheme="minorHAnsi"/>
          <w:color w:val="auto"/>
          <w:highlight w:val="yellow"/>
        </w:rPr>
      </w:pPr>
      <w:r>
        <w:rPr>
          <w:rFonts w:asciiTheme="minorHAnsi" w:hAnsiTheme="minorHAnsi" w:cstheme="minorHAnsi"/>
          <w:color w:val="auto"/>
          <w:highlight w:val="yellow"/>
        </w:rPr>
        <w:t>Overnight, i</w:t>
      </w:r>
      <w:r w:rsidR="00EA4820" w:rsidRPr="00F852C4">
        <w:rPr>
          <w:rFonts w:asciiTheme="minorHAnsi" w:hAnsiTheme="minorHAnsi" w:cstheme="minorHAnsi"/>
          <w:color w:val="auto"/>
          <w:highlight w:val="yellow"/>
        </w:rPr>
        <w:t>n</w:t>
      </w:r>
      <w:r w:rsidR="005563FB">
        <w:rPr>
          <w:rFonts w:asciiTheme="minorHAnsi" w:hAnsiTheme="minorHAnsi" w:cstheme="minorHAnsi"/>
          <w:color w:val="auto"/>
          <w:highlight w:val="yellow"/>
        </w:rPr>
        <w:t>cubate</w:t>
      </w:r>
      <w:r>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a 5 m</w:t>
      </w:r>
      <w:r w:rsidR="00B24153">
        <w:rPr>
          <w:rFonts w:asciiTheme="minorHAnsi" w:hAnsiTheme="minorHAnsi" w:cstheme="minorHAnsi"/>
          <w:color w:val="auto"/>
          <w:highlight w:val="yellow"/>
        </w:rPr>
        <w:t>L</w:t>
      </w:r>
      <w:r w:rsidR="00EA4820" w:rsidRPr="00F852C4">
        <w:rPr>
          <w:rFonts w:asciiTheme="minorHAnsi" w:hAnsiTheme="minorHAnsi" w:cstheme="minorHAnsi"/>
          <w:color w:val="auto"/>
          <w:highlight w:val="yellow"/>
        </w:rPr>
        <w:t xml:space="preserve"> culture </w:t>
      </w:r>
      <w:r w:rsidR="005563FB">
        <w:rPr>
          <w:rFonts w:asciiTheme="minorHAnsi" w:hAnsiTheme="minorHAnsi" w:cstheme="minorHAnsi"/>
          <w:color w:val="auto"/>
          <w:highlight w:val="yellow"/>
        </w:rPr>
        <w:t>enriched with</w:t>
      </w:r>
      <w:r w:rsidR="00EA4820" w:rsidRPr="00F852C4">
        <w:rPr>
          <w:rFonts w:asciiTheme="minorHAnsi" w:hAnsiTheme="minorHAnsi" w:cstheme="minorHAnsi"/>
          <w:color w:val="auto"/>
          <w:highlight w:val="yellow"/>
        </w:rPr>
        <w:t xml:space="preserve"> 1% </w:t>
      </w:r>
      <w:r>
        <w:rPr>
          <w:rFonts w:asciiTheme="minorHAnsi" w:hAnsiTheme="minorHAnsi" w:cstheme="minorHAnsi"/>
          <w:color w:val="auto"/>
          <w:highlight w:val="yellow"/>
        </w:rPr>
        <w:t>m</w:t>
      </w:r>
      <w:r w:rsidR="00EA4820" w:rsidRPr="00F852C4">
        <w:rPr>
          <w:rFonts w:asciiTheme="minorHAnsi" w:hAnsiTheme="minorHAnsi" w:cstheme="minorHAnsi"/>
          <w:color w:val="auto"/>
          <w:highlight w:val="yellow"/>
        </w:rPr>
        <w:t xml:space="preserve">arine </w:t>
      </w:r>
      <w:r>
        <w:rPr>
          <w:rFonts w:asciiTheme="minorHAnsi" w:hAnsiTheme="minorHAnsi" w:cstheme="minorHAnsi"/>
          <w:color w:val="auto"/>
          <w:highlight w:val="yellow"/>
        </w:rPr>
        <w:t>b</w:t>
      </w:r>
      <w:r w:rsidR="00EA4820" w:rsidRPr="00F852C4">
        <w:rPr>
          <w:rFonts w:asciiTheme="minorHAnsi" w:hAnsiTheme="minorHAnsi" w:cstheme="minorHAnsi"/>
          <w:color w:val="auto"/>
          <w:highlight w:val="yellow"/>
        </w:rPr>
        <w:t xml:space="preserve">roth </w:t>
      </w:r>
      <w:r w:rsidR="005563FB">
        <w:rPr>
          <w:rFonts w:asciiTheme="minorHAnsi" w:hAnsiTheme="minorHAnsi" w:cstheme="minorHAnsi"/>
          <w:color w:val="auto"/>
          <w:highlight w:val="yellow"/>
        </w:rPr>
        <w:t>(</w:t>
      </w:r>
      <w:r w:rsidR="00195B13" w:rsidRPr="00F852C4">
        <w:rPr>
          <w:rFonts w:asciiTheme="minorHAnsi" w:hAnsiTheme="minorHAnsi" w:cstheme="minorHAnsi"/>
          <w:color w:val="auto"/>
          <w:highlight w:val="yellow"/>
        </w:rPr>
        <w:t>for marine bacteria</w:t>
      </w:r>
      <w:r w:rsidR="005563FB" w:rsidRPr="00221278">
        <w:rPr>
          <w:rFonts w:asciiTheme="minorHAnsi" w:hAnsiTheme="minorHAnsi" w:cstheme="minorHAnsi"/>
          <w:color w:val="auto"/>
          <w:highlight w:val="yellow"/>
        </w:rPr>
        <w:t>)</w:t>
      </w:r>
      <w:r w:rsidR="00195B13" w:rsidRPr="00221278">
        <w:rPr>
          <w:rFonts w:asciiTheme="minorHAnsi" w:hAnsiTheme="minorHAnsi" w:cstheme="minorHAnsi"/>
          <w:color w:val="auto"/>
          <w:highlight w:val="yellow"/>
        </w:rPr>
        <w:t xml:space="preserve"> </w:t>
      </w:r>
      <w:r w:rsidR="00EA4820" w:rsidRPr="00221278">
        <w:rPr>
          <w:rFonts w:asciiTheme="minorHAnsi" w:hAnsiTheme="minorHAnsi" w:cstheme="minorHAnsi"/>
          <w:color w:val="auto"/>
          <w:highlight w:val="yellow"/>
        </w:rPr>
        <w:t xml:space="preserve">or 1% </w:t>
      </w:r>
      <w:r>
        <w:rPr>
          <w:rFonts w:asciiTheme="minorHAnsi" w:hAnsiTheme="minorHAnsi" w:cstheme="minorHAnsi"/>
          <w:color w:val="auto"/>
          <w:highlight w:val="yellow"/>
        </w:rPr>
        <w:t>l</w:t>
      </w:r>
      <w:r w:rsidR="003A2FE6">
        <w:rPr>
          <w:rFonts w:asciiTheme="minorHAnsi" w:hAnsiTheme="minorHAnsi" w:cstheme="minorHAnsi"/>
          <w:color w:val="auto"/>
          <w:highlight w:val="yellow"/>
        </w:rPr>
        <w:t xml:space="preserve">ysogeny </w:t>
      </w:r>
      <w:r>
        <w:rPr>
          <w:rFonts w:asciiTheme="minorHAnsi" w:hAnsiTheme="minorHAnsi" w:cstheme="minorHAnsi"/>
          <w:color w:val="auto"/>
          <w:highlight w:val="yellow"/>
        </w:rPr>
        <w:t>b</w:t>
      </w:r>
      <w:r w:rsidR="003A2FE6">
        <w:rPr>
          <w:rFonts w:asciiTheme="minorHAnsi" w:hAnsiTheme="minorHAnsi" w:cstheme="minorHAnsi"/>
          <w:color w:val="auto"/>
          <w:highlight w:val="yellow"/>
        </w:rPr>
        <w:t>roth</w:t>
      </w:r>
      <w:r>
        <w:rPr>
          <w:rFonts w:asciiTheme="minorHAnsi" w:hAnsiTheme="minorHAnsi" w:cstheme="minorHAnsi"/>
          <w:color w:val="auto"/>
          <w:highlight w:val="yellow"/>
        </w:rPr>
        <w:t xml:space="preserve"> (LB,</w:t>
      </w:r>
      <w:r w:rsidR="00EA4820" w:rsidRPr="00221278">
        <w:rPr>
          <w:rFonts w:asciiTheme="minorHAnsi" w:hAnsiTheme="minorHAnsi" w:cstheme="minorHAnsi"/>
          <w:color w:val="auto"/>
          <w:highlight w:val="yellow"/>
        </w:rPr>
        <w:t xml:space="preserve"> </w:t>
      </w:r>
      <w:r w:rsidR="00195B13" w:rsidRPr="00221278">
        <w:rPr>
          <w:rFonts w:asciiTheme="minorHAnsi" w:hAnsiTheme="minorHAnsi" w:cstheme="minorHAnsi"/>
          <w:color w:val="auto"/>
          <w:highlight w:val="yellow"/>
        </w:rPr>
        <w:t xml:space="preserve">for </w:t>
      </w:r>
      <w:proofErr w:type="gramStart"/>
      <w:r w:rsidR="00195B13" w:rsidRPr="00221278">
        <w:rPr>
          <w:rFonts w:asciiTheme="minorHAnsi" w:hAnsiTheme="minorHAnsi" w:cstheme="minorHAnsi"/>
          <w:color w:val="auto"/>
          <w:highlight w:val="yellow"/>
        </w:rPr>
        <w:t>fresh water</w:t>
      </w:r>
      <w:proofErr w:type="gramEnd"/>
      <w:r w:rsidR="00195B13" w:rsidRPr="00221278">
        <w:rPr>
          <w:rFonts w:asciiTheme="minorHAnsi" w:hAnsiTheme="minorHAnsi" w:cstheme="minorHAnsi"/>
          <w:color w:val="auto"/>
          <w:highlight w:val="yellow"/>
        </w:rPr>
        <w:t xml:space="preserve"> bacteria</w:t>
      </w:r>
      <w:r w:rsidR="005563FB" w:rsidRPr="00221278">
        <w:rPr>
          <w:rFonts w:asciiTheme="minorHAnsi" w:hAnsiTheme="minorHAnsi" w:cstheme="minorHAnsi"/>
          <w:color w:val="auto"/>
          <w:highlight w:val="yellow"/>
        </w:rPr>
        <w:t>)</w:t>
      </w:r>
      <w:r w:rsidR="00EA4820" w:rsidRPr="00221278">
        <w:rPr>
          <w:rFonts w:asciiTheme="minorHAnsi" w:hAnsiTheme="minorHAnsi" w:cstheme="minorHAnsi"/>
          <w:color w:val="auto"/>
          <w:highlight w:val="yellow"/>
        </w:rPr>
        <w:t xml:space="preserve">. </w:t>
      </w:r>
    </w:p>
    <w:p w14:paraId="3235095D" w14:textId="77777777" w:rsidR="00226A3D" w:rsidRDefault="00226A3D" w:rsidP="00344E04">
      <w:pPr>
        <w:rPr>
          <w:rFonts w:asciiTheme="minorHAnsi" w:hAnsiTheme="minorHAnsi" w:cstheme="minorHAnsi"/>
          <w:color w:val="auto"/>
          <w:highlight w:val="yellow"/>
        </w:rPr>
      </w:pPr>
    </w:p>
    <w:p w14:paraId="539DCD3D" w14:textId="2ED4F9A4" w:rsidR="00226A3D" w:rsidRDefault="00226A3D" w:rsidP="00344E04">
      <w:pPr>
        <w:rPr>
          <w:rFonts w:asciiTheme="minorHAnsi" w:hAnsiTheme="minorHAnsi" w:cstheme="minorHAnsi"/>
          <w:color w:val="auto"/>
        </w:rPr>
      </w:pPr>
      <w:r>
        <w:rPr>
          <w:rFonts w:asciiTheme="minorHAnsi" w:hAnsiTheme="minorHAnsi" w:cstheme="minorHAnsi"/>
          <w:color w:val="auto"/>
          <w:highlight w:val="yellow"/>
        </w:rPr>
        <w:t xml:space="preserve">NOTE: </w:t>
      </w:r>
      <w:r w:rsidR="005563FB">
        <w:rPr>
          <w:rFonts w:asciiTheme="minorHAnsi" w:hAnsiTheme="minorHAnsi" w:cstheme="minorHAnsi"/>
          <w:color w:val="auto"/>
          <w:highlight w:val="yellow"/>
        </w:rPr>
        <w:t>M</w:t>
      </w:r>
      <w:r w:rsidR="00EA4820" w:rsidRPr="00F852C4">
        <w:rPr>
          <w:rFonts w:asciiTheme="minorHAnsi" w:hAnsiTheme="minorHAnsi" w:cstheme="minorHAnsi"/>
          <w:color w:val="auto"/>
          <w:highlight w:val="yellow"/>
        </w:rPr>
        <w:t xml:space="preserve">otile bacterial isolates </w:t>
      </w:r>
      <w:r w:rsidR="00195B13" w:rsidRPr="00F852C4">
        <w:rPr>
          <w:rFonts w:asciiTheme="minorHAnsi" w:hAnsiTheme="minorHAnsi" w:cstheme="minorHAnsi"/>
          <w:color w:val="auto"/>
          <w:highlight w:val="yellow"/>
        </w:rPr>
        <w:t>or</w:t>
      </w:r>
      <w:r w:rsidR="00EA4820" w:rsidRPr="00F852C4">
        <w:rPr>
          <w:rFonts w:asciiTheme="minorHAnsi" w:hAnsiTheme="minorHAnsi" w:cstheme="minorHAnsi"/>
          <w:color w:val="auto"/>
          <w:highlight w:val="yellow"/>
        </w:rPr>
        <w:t xml:space="preserve"> natural bacterial communities</w:t>
      </w:r>
      <w:r w:rsidR="00195B13" w:rsidRPr="00F852C4">
        <w:rPr>
          <w:rFonts w:asciiTheme="minorHAnsi" w:hAnsiTheme="minorHAnsi" w:cstheme="minorHAnsi"/>
          <w:color w:val="auto"/>
          <w:highlight w:val="yellow"/>
        </w:rPr>
        <w:t xml:space="preserve"> can be used for </w:t>
      </w:r>
      <w:r w:rsidR="005563FB">
        <w:rPr>
          <w:rFonts w:asciiTheme="minorHAnsi" w:hAnsiTheme="minorHAnsi" w:cstheme="minorHAnsi"/>
          <w:color w:val="auto"/>
          <w:highlight w:val="yellow"/>
        </w:rPr>
        <w:t>laboratory deployments</w:t>
      </w:r>
      <w:r w:rsidR="00EA4820" w:rsidRPr="00F852C4">
        <w:rPr>
          <w:rFonts w:asciiTheme="minorHAnsi" w:hAnsiTheme="minorHAnsi" w:cstheme="minorHAnsi"/>
          <w:color w:val="auto"/>
          <w:highlight w:val="yellow"/>
        </w:rPr>
        <w:t>.</w:t>
      </w:r>
      <w:r w:rsidR="00EA4820" w:rsidRPr="00F852C4">
        <w:rPr>
          <w:rFonts w:asciiTheme="minorHAnsi" w:hAnsiTheme="minorHAnsi" w:cstheme="minorHAnsi"/>
          <w:color w:val="auto"/>
        </w:rPr>
        <w:t xml:space="preserve"> </w:t>
      </w:r>
    </w:p>
    <w:p w14:paraId="349FC5EC" w14:textId="77777777" w:rsidR="00226A3D" w:rsidRDefault="00226A3D" w:rsidP="00344E04">
      <w:pPr>
        <w:rPr>
          <w:rFonts w:asciiTheme="minorHAnsi" w:hAnsiTheme="minorHAnsi" w:cstheme="minorHAnsi"/>
          <w:color w:val="auto"/>
        </w:rPr>
      </w:pPr>
    </w:p>
    <w:p w14:paraId="0071A6D4" w14:textId="5C3D1B26" w:rsidR="00EA4820" w:rsidRPr="003A2FE6" w:rsidRDefault="00EA4820" w:rsidP="00344E04">
      <w:pPr>
        <w:numPr>
          <w:ilvl w:val="2"/>
          <w:numId w:val="36"/>
        </w:numPr>
        <w:rPr>
          <w:rFonts w:asciiTheme="minorHAnsi" w:hAnsiTheme="minorHAnsi" w:cstheme="minorHAnsi"/>
          <w:color w:val="auto"/>
        </w:rPr>
      </w:pPr>
      <w:r w:rsidRPr="00743F77">
        <w:rPr>
          <w:rFonts w:asciiTheme="minorHAnsi" w:hAnsiTheme="minorHAnsi" w:cstheme="minorHAnsi"/>
          <w:color w:val="auto"/>
          <w:highlight w:val="yellow"/>
        </w:rPr>
        <w:t>Incubate the culture for 12 h at room temperature</w:t>
      </w:r>
      <w:r w:rsidR="00DD5989">
        <w:rPr>
          <w:rFonts w:asciiTheme="minorHAnsi" w:hAnsiTheme="minorHAnsi" w:cstheme="minorHAnsi"/>
          <w:color w:val="auto"/>
          <w:highlight w:val="yellow"/>
        </w:rPr>
        <w:t xml:space="preserve"> (RT) and</w:t>
      </w:r>
      <w:r w:rsidRPr="00743F77">
        <w:rPr>
          <w:rFonts w:asciiTheme="minorHAnsi" w:hAnsiTheme="minorHAnsi" w:cstheme="minorHAnsi"/>
          <w:color w:val="auto"/>
          <w:highlight w:val="yellow"/>
        </w:rPr>
        <w:t xml:space="preserve"> 180 rpm.</w:t>
      </w:r>
      <w:r w:rsidR="003A2FE6" w:rsidRPr="00743F77">
        <w:rPr>
          <w:rFonts w:asciiTheme="minorHAnsi" w:hAnsiTheme="minorHAnsi" w:cstheme="minorHAnsi"/>
          <w:color w:val="auto"/>
          <w:highlight w:val="yellow"/>
        </w:rPr>
        <w:t xml:space="preserve"> </w:t>
      </w:r>
      <w:r w:rsidRPr="00743F77">
        <w:rPr>
          <w:rFonts w:asciiTheme="minorHAnsi" w:hAnsiTheme="minorHAnsi" w:cstheme="minorHAnsi"/>
          <w:color w:val="auto"/>
          <w:highlight w:val="yellow"/>
        </w:rPr>
        <w:t>Afte</w:t>
      </w:r>
      <w:r w:rsidRPr="003A2FE6">
        <w:rPr>
          <w:rFonts w:asciiTheme="minorHAnsi" w:hAnsiTheme="minorHAnsi" w:cstheme="minorHAnsi"/>
          <w:color w:val="auto"/>
          <w:highlight w:val="yellow"/>
        </w:rPr>
        <w:t xml:space="preserve">r 12 h, </w:t>
      </w:r>
      <w:r w:rsidR="00195B13" w:rsidRPr="003A2FE6">
        <w:rPr>
          <w:rFonts w:asciiTheme="minorHAnsi" w:hAnsiTheme="minorHAnsi" w:cstheme="minorHAnsi"/>
          <w:color w:val="auto"/>
          <w:highlight w:val="yellow"/>
        </w:rPr>
        <w:t>ensure</w:t>
      </w:r>
      <w:r w:rsidRPr="003A2FE6">
        <w:rPr>
          <w:rFonts w:asciiTheme="minorHAnsi" w:hAnsiTheme="minorHAnsi" w:cstheme="minorHAnsi"/>
          <w:color w:val="auto"/>
          <w:highlight w:val="yellow"/>
        </w:rPr>
        <w:t xml:space="preserve"> that the microbial communities are motile </w:t>
      </w:r>
      <w:r w:rsidR="00195B13" w:rsidRPr="003A2FE6">
        <w:rPr>
          <w:rFonts w:asciiTheme="minorHAnsi" w:hAnsiTheme="minorHAnsi" w:cstheme="minorHAnsi"/>
          <w:color w:val="auto"/>
          <w:highlight w:val="yellow"/>
        </w:rPr>
        <w:t xml:space="preserve">by </w:t>
      </w:r>
      <w:r w:rsidR="005563FB" w:rsidRPr="003A2FE6">
        <w:rPr>
          <w:rFonts w:asciiTheme="minorHAnsi" w:hAnsiTheme="minorHAnsi" w:cstheme="minorHAnsi"/>
          <w:color w:val="auto"/>
          <w:highlight w:val="yellow"/>
        </w:rPr>
        <w:t xml:space="preserve">direct </w:t>
      </w:r>
      <w:r w:rsidR="00195B13" w:rsidRPr="003A2FE6">
        <w:rPr>
          <w:rFonts w:asciiTheme="minorHAnsi" w:hAnsiTheme="minorHAnsi" w:cstheme="minorHAnsi"/>
          <w:color w:val="auto"/>
          <w:highlight w:val="yellow"/>
        </w:rPr>
        <w:t xml:space="preserve">observation </w:t>
      </w:r>
      <w:r w:rsidR="005563FB" w:rsidRPr="003A2FE6">
        <w:rPr>
          <w:rFonts w:asciiTheme="minorHAnsi" w:hAnsiTheme="minorHAnsi" w:cstheme="minorHAnsi"/>
          <w:color w:val="auto"/>
          <w:highlight w:val="yellow"/>
        </w:rPr>
        <w:t>under a microscope</w:t>
      </w:r>
      <w:r w:rsidRPr="003A2FE6">
        <w:rPr>
          <w:rFonts w:asciiTheme="minorHAnsi" w:hAnsiTheme="minorHAnsi" w:cstheme="minorHAnsi"/>
          <w:color w:val="auto"/>
          <w:highlight w:val="yellow"/>
        </w:rPr>
        <w:t>.</w:t>
      </w:r>
    </w:p>
    <w:p w14:paraId="2319B76F" w14:textId="77777777" w:rsidR="00EA4820" w:rsidRPr="00F852C4" w:rsidRDefault="00EA4820" w:rsidP="00344E04">
      <w:pPr>
        <w:rPr>
          <w:rFonts w:asciiTheme="minorHAnsi" w:hAnsiTheme="minorHAnsi" w:cstheme="minorHAnsi"/>
          <w:color w:val="auto"/>
        </w:rPr>
      </w:pPr>
    </w:p>
    <w:p w14:paraId="2C9EDB71" w14:textId="28833858"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Spin down the culture at 1,500 </w:t>
      </w:r>
      <w:r w:rsidR="003A2FE6">
        <w:rPr>
          <w:rFonts w:asciiTheme="minorHAnsi" w:hAnsiTheme="minorHAnsi" w:cstheme="minorHAnsi"/>
          <w:color w:val="auto"/>
          <w:highlight w:val="yellow"/>
        </w:rPr>
        <w:t xml:space="preserve">x </w:t>
      </w:r>
      <w:r w:rsidR="003A2FE6">
        <w:rPr>
          <w:rFonts w:asciiTheme="minorHAnsi" w:hAnsiTheme="minorHAnsi" w:cstheme="minorHAnsi"/>
          <w:i/>
          <w:iCs/>
          <w:color w:val="auto"/>
          <w:highlight w:val="yellow"/>
        </w:rPr>
        <w:t>g</w:t>
      </w:r>
      <w:r w:rsidRPr="00F852C4">
        <w:rPr>
          <w:rFonts w:asciiTheme="minorHAnsi" w:hAnsiTheme="minorHAnsi" w:cstheme="minorHAnsi"/>
          <w:color w:val="auto"/>
          <w:highlight w:val="yellow"/>
        </w:rPr>
        <w:t xml:space="preserve"> for 10 min and resuspend 1/100 in 150 m</w:t>
      </w:r>
      <w:r w:rsidR="003A2FE6">
        <w:rPr>
          <w:rFonts w:asciiTheme="minorHAnsi" w:hAnsiTheme="minorHAnsi" w:cstheme="minorHAnsi"/>
          <w:color w:val="auto"/>
          <w:highlight w:val="yellow"/>
        </w:rPr>
        <w:t>L</w:t>
      </w:r>
      <w:r w:rsidRPr="00F852C4">
        <w:rPr>
          <w:rFonts w:asciiTheme="minorHAnsi" w:hAnsiTheme="minorHAnsi" w:cstheme="minorHAnsi"/>
          <w:color w:val="auto"/>
          <w:highlight w:val="yellow"/>
        </w:rPr>
        <w:t xml:space="preserve"> of appropriate medium</w:t>
      </w:r>
      <w:r w:rsidR="00B216D0">
        <w:rPr>
          <w:rFonts w:asciiTheme="minorHAnsi" w:hAnsiTheme="minorHAnsi" w:cstheme="minorHAnsi"/>
          <w:color w:val="auto"/>
          <w:highlight w:val="yellow"/>
        </w:rPr>
        <w:t xml:space="preserve"> (e.g.</w:t>
      </w:r>
      <w:r w:rsidR="00DD5989">
        <w:rPr>
          <w:rFonts w:asciiTheme="minorHAnsi" w:hAnsiTheme="minorHAnsi" w:cstheme="minorHAnsi"/>
          <w:color w:val="auto"/>
          <w:highlight w:val="yellow"/>
        </w:rPr>
        <w:t>,</w:t>
      </w:r>
      <w:r w:rsidR="00B216D0">
        <w:rPr>
          <w:rFonts w:asciiTheme="minorHAnsi" w:hAnsiTheme="minorHAnsi" w:cstheme="minorHAnsi"/>
          <w:color w:val="auto"/>
          <w:highlight w:val="yellow"/>
        </w:rPr>
        <w:t xml:space="preserve"> filtered seawater, filtered freshwater)</w:t>
      </w:r>
      <w:r w:rsidRPr="00F852C4">
        <w:rPr>
          <w:rFonts w:asciiTheme="minorHAnsi" w:hAnsiTheme="minorHAnsi" w:cstheme="minorHAnsi"/>
          <w:color w:val="auto"/>
          <w:highlight w:val="yellow"/>
        </w:rPr>
        <w:t>.</w:t>
      </w:r>
    </w:p>
    <w:p w14:paraId="65555348" w14:textId="77777777" w:rsidR="00EA4820" w:rsidRPr="00F852C4" w:rsidRDefault="00EA4820" w:rsidP="00344E04">
      <w:pPr>
        <w:rPr>
          <w:rFonts w:asciiTheme="minorHAnsi" w:hAnsiTheme="minorHAnsi" w:cstheme="minorHAnsi"/>
          <w:color w:val="auto"/>
        </w:rPr>
      </w:pPr>
    </w:p>
    <w:p w14:paraId="7911B380" w14:textId="0E6DF6E4" w:rsidR="00226A3D" w:rsidRPr="00743F77"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Place two small pieces of double</w:t>
      </w:r>
      <w:r w:rsidR="00195B13" w:rsidRPr="00F852C4">
        <w:rPr>
          <w:rFonts w:asciiTheme="minorHAnsi" w:hAnsiTheme="minorHAnsi" w:cstheme="minorHAnsi"/>
          <w:color w:val="auto"/>
          <w:highlight w:val="yellow"/>
        </w:rPr>
        <w:t>-</w:t>
      </w:r>
      <w:r w:rsidRPr="00F852C4">
        <w:rPr>
          <w:rFonts w:asciiTheme="minorHAnsi" w:hAnsiTheme="minorHAnsi" w:cstheme="minorHAnsi"/>
          <w:color w:val="auto"/>
          <w:highlight w:val="yellow"/>
        </w:rPr>
        <w:t xml:space="preserve">sided </w:t>
      </w:r>
      <w:r w:rsidR="00DC1D20" w:rsidRPr="00F852C4">
        <w:rPr>
          <w:rFonts w:asciiTheme="minorHAnsi" w:hAnsiTheme="minorHAnsi" w:cstheme="minorHAnsi"/>
          <w:color w:val="auto"/>
          <w:highlight w:val="yellow"/>
        </w:rPr>
        <w:t xml:space="preserve">adhesive </w:t>
      </w:r>
      <w:r w:rsidRPr="00F852C4">
        <w:rPr>
          <w:rFonts w:asciiTheme="minorHAnsi" w:hAnsiTheme="minorHAnsi" w:cstheme="minorHAnsi"/>
          <w:color w:val="auto"/>
          <w:highlight w:val="yellow"/>
        </w:rPr>
        <w:t>tape on the flat surface of a 200</w:t>
      </w:r>
      <w:r w:rsidR="00DD5989">
        <w:rPr>
          <w:rFonts w:asciiTheme="minorHAnsi" w:hAnsiTheme="minorHAnsi" w:cstheme="minorHAnsi"/>
          <w:color w:val="auto"/>
          <w:highlight w:val="yellow"/>
        </w:rPr>
        <w:t xml:space="preserve"> </w:t>
      </w:r>
      <w:r w:rsidRPr="00F852C4">
        <w:rPr>
          <w:rFonts w:asciiTheme="minorHAnsi" w:hAnsiTheme="minorHAnsi" w:cstheme="minorHAnsi"/>
          <w:color w:val="auto"/>
          <w:highlight w:val="yellow"/>
        </w:rPr>
        <w:t>m</w:t>
      </w:r>
      <w:r w:rsidR="00DD5989">
        <w:rPr>
          <w:rFonts w:asciiTheme="minorHAnsi" w:hAnsiTheme="minorHAnsi" w:cstheme="minorHAnsi"/>
          <w:color w:val="auto"/>
          <w:highlight w:val="yellow"/>
        </w:rPr>
        <w:t xml:space="preserve">L </w:t>
      </w:r>
      <w:r w:rsidRPr="001E2097">
        <w:rPr>
          <w:rFonts w:asciiTheme="minorHAnsi" w:hAnsiTheme="minorHAnsi" w:cstheme="minorHAnsi"/>
          <w:color w:val="auto"/>
          <w:highlight w:val="yellow"/>
        </w:rPr>
        <w:t>capacity tray (the lid</w:t>
      </w:r>
      <w:r w:rsidR="00DD5989">
        <w:rPr>
          <w:rFonts w:asciiTheme="minorHAnsi" w:hAnsiTheme="minorHAnsi" w:cstheme="minorHAnsi"/>
          <w:color w:val="auto"/>
          <w:highlight w:val="yellow"/>
        </w:rPr>
        <w:t>s</w:t>
      </w:r>
      <w:r w:rsidRPr="001E2097">
        <w:rPr>
          <w:rFonts w:asciiTheme="minorHAnsi" w:hAnsiTheme="minorHAnsi" w:cstheme="minorHAnsi"/>
          <w:color w:val="auto"/>
          <w:highlight w:val="yellow"/>
        </w:rPr>
        <w:t xml:space="preserve"> of 1</w:t>
      </w:r>
      <w:r w:rsidR="00D37E38">
        <w:rPr>
          <w:rFonts w:asciiTheme="minorHAnsi" w:hAnsiTheme="minorHAnsi" w:cstheme="minorHAnsi"/>
          <w:color w:val="auto"/>
          <w:highlight w:val="yellow"/>
        </w:rPr>
        <w:t xml:space="preserve"> mL</w:t>
      </w:r>
      <w:r w:rsidRPr="001E2097">
        <w:rPr>
          <w:rFonts w:asciiTheme="minorHAnsi" w:hAnsiTheme="minorHAnsi" w:cstheme="minorHAnsi"/>
          <w:color w:val="auto"/>
          <w:highlight w:val="yellow"/>
        </w:rPr>
        <w:t xml:space="preserve"> tip boxes </w:t>
      </w:r>
      <w:r w:rsidR="00DD5989">
        <w:rPr>
          <w:rFonts w:asciiTheme="minorHAnsi" w:hAnsiTheme="minorHAnsi" w:cstheme="minorHAnsi"/>
          <w:color w:val="auto"/>
          <w:highlight w:val="yellow"/>
        </w:rPr>
        <w:t>contain</w:t>
      </w:r>
      <w:r w:rsidRPr="001E2097">
        <w:rPr>
          <w:rFonts w:asciiTheme="minorHAnsi" w:hAnsiTheme="minorHAnsi" w:cstheme="minorHAnsi"/>
          <w:color w:val="auto"/>
          <w:highlight w:val="yellow"/>
        </w:rPr>
        <w:t xml:space="preserve"> </w:t>
      </w:r>
      <w:r w:rsidR="00195B13" w:rsidRPr="001E2097">
        <w:rPr>
          <w:rFonts w:asciiTheme="minorHAnsi" w:hAnsiTheme="minorHAnsi" w:cstheme="minorHAnsi"/>
          <w:color w:val="auto"/>
          <w:highlight w:val="yellow"/>
        </w:rPr>
        <w:t xml:space="preserve">the ideal </w:t>
      </w:r>
      <w:r w:rsidRPr="001E2097">
        <w:rPr>
          <w:rFonts w:asciiTheme="minorHAnsi" w:hAnsiTheme="minorHAnsi" w:cstheme="minorHAnsi"/>
          <w:color w:val="auto"/>
          <w:highlight w:val="yellow"/>
        </w:rPr>
        <w:t>dimension</w:t>
      </w:r>
      <w:r w:rsidR="00195B13" w:rsidRPr="001E2097">
        <w:rPr>
          <w:rFonts w:asciiTheme="minorHAnsi" w:hAnsiTheme="minorHAnsi" w:cstheme="minorHAnsi"/>
          <w:color w:val="auto"/>
          <w:highlight w:val="yellow"/>
        </w:rPr>
        <w:t>s</w:t>
      </w:r>
      <w:r w:rsidRPr="001E2097">
        <w:rPr>
          <w:rFonts w:asciiTheme="minorHAnsi" w:hAnsiTheme="minorHAnsi" w:cstheme="minorHAnsi"/>
          <w:color w:val="auto"/>
          <w:highlight w:val="yellow"/>
        </w:rPr>
        <w:t xml:space="preserve"> for </w:t>
      </w:r>
      <w:r w:rsidR="00195B13" w:rsidRPr="001E2097">
        <w:rPr>
          <w:rFonts w:asciiTheme="minorHAnsi" w:hAnsiTheme="minorHAnsi" w:cstheme="minorHAnsi"/>
          <w:color w:val="auto"/>
          <w:highlight w:val="yellow"/>
        </w:rPr>
        <w:t xml:space="preserve">this </w:t>
      </w:r>
      <w:r w:rsidRPr="001E2097">
        <w:rPr>
          <w:rFonts w:asciiTheme="minorHAnsi" w:hAnsiTheme="minorHAnsi" w:cstheme="minorHAnsi"/>
          <w:color w:val="auto"/>
          <w:highlight w:val="yellow"/>
        </w:rPr>
        <w:t>purpose and can easily be autoclaved)</w:t>
      </w:r>
      <w:r w:rsidR="00DD5989">
        <w:rPr>
          <w:rFonts w:asciiTheme="minorHAnsi" w:hAnsiTheme="minorHAnsi" w:cstheme="minorHAnsi"/>
          <w:color w:val="auto"/>
          <w:highlight w:val="yellow"/>
        </w:rPr>
        <w:t>.</w:t>
      </w:r>
      <w:r w:rsidRPr="001E2097">
        <w:rPr>
          <w:rFonts w:asciiTheme="minorHAnsi" w:hAnsiTheme="minorHAnsi" w:cstheme="minorHAnsi"/>
          <w:color w:val="auto"/>
          <w:highlight w:val="yellow"/>
        </w:rPr>
        <w:t xml:space="preserve"> </w:t>
      </w:r>
      <w:r w:rsidR="00DD5989">
        <w:rPr>
          <w:rFonts w:asciiTheme="minorHAnsi" w:hAnsiTheme="minorHAnsi" w:cstheme="minorHAnsi"/>
          <w:color w:val="auto"/>
          <w:highlight w:val="yellow"/>
        </w:rPr>
        <w:t>P</w:t>
      </w:r>
      <w:r w:rsidRPr="001E2097">
        <w:rPr>
          <w:rFonts w:asciiTheme="minorHAnsi" w:hAnsiTheme="minorHAnsi" w:cstheme="minorHAnsi"/>
          <w:color w:val="auto"/>
          <w:highlight w:val="yellow"/>
        </w:rPr>
        <w:t>lace one ISCA on top</w:t>
      </w:r>
      <w:r w:rsidR="00195B13" w:rsidRPr="001E2097">
        <w:rPr>
          <w:rFonts w:asciiTheme="minorHAnsi" w:hAnsiTheme="minorHAnsi" w:cstheme="minorHAnsi"/>
          <w:color w:val="auto"/>
          <w:highlight w:val="yellow"/>
        </w:rPr>
        <w:t>, ensuring</w:t>
      </w:r>
      <w:r w:rsidRPr="001E2097">
        <w:rPr>
          <w:rFonts w:asciiTheme="minorHAnsi" w:hAnsiTheme="minorHAnsi" w:cstheme="minorHAnsi"/>
          <w:color w:val="auto"/>
          <w:highlight w:val="yellow"/>
        </w:rPr>
        <w:t xml:space="preserve"> that it attaches securely to the tape.</w:t>
      </w:r>
      <w:r w:rsidR="00743F77">
        <w:rPr>
          <w:rFonts w:asciiTheme="minorHAnsi" w:hAnsiTheme="minorHAnsi" w:cstheme="minorHAnsi"/>
          <w:color w:val="auto"/>
        </w:rPr>
        <w:t xml:space="preserve"> </w:t>
      </w:r>
      <w:r w:rsidR="00B216D0" w:rsidRPr="00743F77">
        <w:rPr>
          <w:rFonts w:asciiTheme="minorHAnsi" w:hAnsiTheme="minorHAnsi" w:cstheme="minorHAnsi"/>
          <w:color w:val="auto"/>
          <w:highlight w:val="yellow"/>
        </w:rPr>
        <w:t xml:space="preserve">Slowly </w:t>
      </w:r>
      <w:r w:rsidRPr="00743F77">
        <w:rPr>
          <w:rFonts w:asciiTheme="minorHAnsi" w:hAnsiTheme="minorHAnsi" w:cstheme="minorHAnsi"/>
          <w:color w:val="auto"/>
          <w:highlight w:val="yellow"/>
        </w:rPr>
        <w:t xml:space="preserve">fill the deployment tray with the bacterial </w:t>
      </w:r>
      <w:r w:rsidR="00B216D0" w:rsidRPr="00743F77">
        <w:rPr>
          <w:rFonts w:asciiTheme="minorHAnsi" w:hAnsiTheme="minorHAnsi" w:cstheme="minorHAnsi"/>
          <w:color w:val="auto"/>
          <w:highlight w:val="yellow"/>
        </w:rPr>
        <w:t>solution</w:t>
      </w:r>
      <w:r w:rsidRPr="00743F77">
        <w:rPr>
          <w:rFonts w:asciiTheme="minorHAnsi" w:hAnsiTheme="minorHAnsi" w:cstheme="minorHAnsi"/>
          <w:color w:val="auto"/>
          <w:highlight w:val="yellow"/>
        </w:rPr>
        <w:t xml:space="preserve"> using a 50</w:t>
      </w:r>
      <w:r w:rsidR="00D37E38">
        <w:rPr>
          <w:rFonts w:asciiTheme="minorHAnsi" w:hAnsiTheme="minorHAnsi" w:cstheme="minorHAnsi"/>
          <w:color w:val="auto"/>
          <w:highlight w:val="yellow"/>
        </w:rPr>
        <w:t xml:space="preserve"> mL</w:t>
      </w:r>
      <w:r w:rsidRPr="00743F77">
        <w:rPr>
          <w:rFonts w:asciiTheme="minorHAnsi" w:hAnsiTheme="minorHAnsi" w:cstheme="minorHAnsi"/>
          <w:color w:val="auto"/>
          <w:highlight w:val="yellow"/>
        </w:rPr>
        <w:t xml:space="preserve"> serological pipette. </w:t>
      </w:r>
    </w:p>
    <w:p w14:paraId="0B083878" w14:textId="77777777" w:rsidR="00226A3D" w:rsidRDefault="00226A3D" w:rsidP="00344E04">
      <w:pPr>
        <w:rPr>
          <w:rFonts w:asciiTheme="minorHAnsi" w:hAnsiTheme="minorHAnsi" w:cstheme="minorHAnsi"/>
          <w:color w:val="auto"/>
          <w:highlight w:val="yellow"/>
        </w:rPr>
      </w:pPr>
    </w:p>
    <w:p w14:paraId="139A3E86" w14:textId="6830579B" w:rsidR="00EA4820" w:rsidRPr="00F852C4" w:rsidRDefault="00226A3D" w:rsidP="00344E04">
      <w:pPr>
        <w:rPr>
          <w:rFonts w:asciiTheme="minorHAnsi" w:hAnsiTheme="minorHAnsi" w:cstheme="minorHAnsi"/>
          <w:color w:val="auto"/>
        </w:rPr>
      </w:pPr>
      <w:r>
        <w:rPr>
          <w:rFonts w:asciiTheme="minorHAnsi" w:hAnsiTheme="minorHAnsi" w:cstheme="minorHAnsi"/>
          <w:color w:val="auto"/>
          <w:highlight w:val="yellow"/>
        </w:rPr>
        <w:t xml:space="preserve">NOTE: </w:t>
      </w:r>
      <w:r w:rsidR="00EA4820" w:rsidRPr="00F852C4">
        <w:rPr>
          <w:rFonts w:asciiTheme="minorHAnsi" w:hAnsiTheme="minorHAnsi" w:cstheme="minorHAnsi"/>
          <w:color w:val="auto"/>
          <w:highlight w:val="yellow"/>
        </w:rPr>
        <w:t xml:space="preserve">Fill the tray until the ISCA is submerged </w:t>
      </w:r>
      <w:r w:rsidR="00DD5989">
        <w:rPr>
          <w:rFonts w:asciiTheme="minorHAnsi" w:hAnsiTheme="minorHAnsi" w:cstheme="minorHAnsi"/>
          <w:color w:val="auto"/>
          <w:highlight w:val="yellow"/>
        </w:rPr>
        <w:t>with</w:t>
      </w:r>
      <w:r w:rsidR="00B216D0">
        <w:rPr>
          <w:rFonts w:asciiTheme="minorHAnsi" w:hAnsiTheme="minorHAnsi" w:cstheme="minorHAnsi"/>
          <w:color w:val="auto"/>
          <w:highlight w:val="yellow"/>
        </w:rPr>
        <w:t xml:space="preserve"> approximately</w:t>
      </w:r>
      <w:r w:rsidR="00EA4820" w:rsidRPr="00F852C4">
        <w:rPr>
          <w:rFonts w:asciiTheme="minorHAnsi" w:hAnsiTheme="minorHAnsi" w:cstheme="minorHAnsi"/>
          <w:color w:val="auto"/>
          <w:highlight w:val="yellow"/>
        </w:rPr>
        <w:t xml:space="preserve"> 1</w:t>
      </w:r>
      <w:r w:rsidR="00DD5989">
        <w:rPr>
          <w:rFonts w:asciiTheme="minorHAnsi" w:hAnsiTheme="minorHAnsi" w:cstheme="minorHAnsi"/>
          <w:color w:val="auto"/>
          <w:highlight w:val="yellow"/>
        </w:rPr>
        <w:t>–</w:t>
      </w:r>
      <w:r w:rsidR="00EA4820" w:rsidRPr="00F852C4">
        <w:rPr>
          <w:rFonts w:asciiTheme="minorHAnsi" w:hAnsiTheme="minorHAnsi" w:cstheme="minorHAnsi"/>
          <w:color w:val="auto"/>
          <w:highlight w:val="yellow"/>
        </w:rPr>
        <w:t xml:space="preserve">2 cm of </w:t>
      </w:r>
      <w:r w:rsidR="00B216D0">
        <w:rPr>
          <w:rFonts w:asciiTheme="minorHAnsi" w:hAnsiTheme="minorHAnsi" w:cstheme="minorHAnsi"/>
          <w:color w:val="auto"/>
          <w:highlight w:val="yellow"/>
        </w:rPr>
        <w:t>liquid</w:t>
      </w:r>
      <w:r w:rsidR="00EA4820" w:rsidRPr="00F852C4">
        <w:rPr>
          <w:rFonts w:asciiTheme="minorHAnsi" w:hAnsiTheme="minorHAnsi" w:cstheme="minorHAnsi"/>
          <w:color w:val="auto"/>
          <w:highlight w:val="yellow"/>
        </w:rPr>
        <w:t>.</w:t>
      </w:r>
      <w:r>
        <w:rPr>
          <w:rFonts w:asciiTheme="minorHAnsi" w:hAnsiTheme="minorHAnsi" w:cstheme="minorHAnsi"/>
          <w:color w:val="auto"/>
        </w:rPr>
        <w:t xml:space="preserve"> </w:t>
      </w:r>
      <w:r w:rsidR="00EA4820" w:rsidRPr="00F852C4">
        <w:rPr>
          <w:rFonts w:asciiTheme="minorHAnsi" w:hAnsiTheme="minorHAnsi" w:cstheme="minorHAnsi"/>
          <w:color w:val="auto"/>
        </w:rPr>
        <w:t>If using multiple trays, use the same volume across all.</w:t>
      </w:r>
    </w:p>
    <w:p w14:paraId="1F5D43AB" w14:textId="77777777" w:rsidR="00EA4820" w:rsidRPr="00F852C4" w:rsidRDefault="00EA4820" w:rsidP="00344E04">
      <w:pPr>
        <w:rPr>
          <w:rFonts w:asciiTheme="minorHAnsi" w:hAnsiTheme="minorHAnsi" w:cstheme="minorHAnsi"/>
          <w:color w:val="auto"/>
        </w:rPr>
      </w:pPr>
    </w:p>
    <w:p w14:paraId="554B25FE" w14:textId="1E6CC4C1" w:rsidR="00EA4820" w:rsidRPr="003A2FE6" w:rsidRDefault="00195B13"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Leave </w:t>
      </w:r>
      <w:r w:rsidR="00EA4820" w:rsidRPr="00F852C4">
        <w:rPr>
          <w:rFonts w:asciiTheme="minorHAnsi" w:hAnsiTheme="minorHAnsi" w:cstheme="minorHAnsi"/>
          <w:color w:val="auto"/>
          <w:highlight w:val="yellow"/>
        </w:rPr>
        <w:t xml:space="preserve">the ISCA </w:t>
      </w:r>
      <w:r w:rsidR="00B216D0">
        <w:rPr>
          <w:rFonts w:asciiTheme="minorHAnsi" w:hAnsiTheme="minorHAnsi" w:cstheme="minorHAnsi"/>
          <w:color w:val="auto"/>
          <w:highlight w:val="yellow"/>
        </w:rPr>
        <w:t>incubate</w:t>
      </w:r>
      <w:r w:rsidR="00B216D0" w:rsidRPr="00F852C4">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 xml:space="preserve">for </w:t>
      </w:r>
      <w:r w:rsidR="00743F77">
        <w:rPr>
          <w:rFonts w:asciiTheme="minorHAnsi" w:hAnsiTheme="minorHAnsi" w:cstheme="minorHAnsi"/>
          <w:color w:val="auto"/>
          <w:highlight w:val="yellow"/>
        </w:rPr>
        <w:t xml:space="preserve">1 h </w:t>
      </w:r>
      <w:r w:rsidRPr="001E2097">
        <w:rPr>
          <w:rFonts w:asciiTheme="minorHAnsi" w:hAnsiTheme="minorHAnsi" w:cstheme="minorHAnsi"/>
          <w:color w:val="auto"/>
          <w:highlight w:val="yellow"/>
        </w:rPr>
        <w:t>to allow bacterial chemo</w:t>
      </w:r>
      <w:r w:rsidRPr="003A2FE6">
        <w:rPr>
          <w:rFonts w:asciiTheme="minorHAnsi" w:hAnsiTheme="minorHAnsi" w:cstheme="minorHAnsi"/>
          <w:color w:val="auto"/>
          <w:highlight w:val="yellow"/>
        </w:rPr>
        <w:t>taxis</w:t>
      </w:r>
      <w:r w:rsidR="00EA4820" w:rsidRPr="003A2FE6">
        <w:rPr>
          <w:rFonts w:asciiTheme="minorHAnsi" w:hAnsiTheme="minorHAnsi" w:cstheme="minorHAnsi"/>
          <w:color w:val="auto"/>
          <w:highlight w:val="yellow"/>
        </w:rPr>
        <w:t>.</w:t>
      </w:r>
      <w:r w:rsidR="003A2FE6" w:rsidRPr="003A2FE6">
        <w:rPr>
          <w:rFonts w:asciiTheme="minorHAnsi" w:hAnsiTheme="minorHAnsi" w:cstheme="minorHAnsi"/>
          <w:color w:val="auto"/>
          <w:highlight w:val="yellow"/>
        </w:rPr>
        <w:t xml:space="preserve"> </w:t>
      </w:r>
      <w:r w:rsidR="00EA4820" w:rsidRPr="003A2FE6">
        <w:rPr>
          <w:rFonts w:asciiTheme="minorHAnsi" w:hAnsiTheme="minorHAnsi" w:cstheme="minorHAnsi"/>
          <w:color w:val="auto"/>
          <w:highlight w:val="yellow"/>
        </w:rPr>
        <w:t xml:space="preserve">After </w:t>
      </w:r>
      <w:r w:rsidR="00743F77">
        <w:rPr>
          <w:rFonts w:asciiTheme="minorHAnsi" w:hAnsiTheme="minorHAnsi" w:cstheme="minorHAnsi"/>
          <w:color w:val="auto"/>
          <w:highlight w:val="yellow"/>
        </w:rPr>
        <w:t>1 h</w:t>
      </w:r>
      <w:r w:rsidR="00EA4820" w:rsidRPr="003A2FE6">
        <w:rPr>
          <w:rFonts w:asciiTheme="minorHAnsi" w:hAnsiTheme="minorHAnsi" w:cstheme="minorHAnsi"/>
          <w:color w:val="auto"/>
          <w:highlight w:val="yellow"/>
        </w:rPr>
        <w:t xml:space="preserve">, remove the </w:t>
      </w:r>
      <w:r w:rsidRPr="003A2FE6">
        <w:rPr>
          <w:rFonts w:asciiTheme="minorHAnsi" w:hAnsiTheme="minorHAnsi" w:cstheme="minorHAnsi"/>
          <w:color w:val="auto"/>
          <w:highlight w:val="yellow"/>
        </w:rPr>
        <w:t xml:space="preserve">medium </w:t>
      </w:r>
      <w:r w:rsidR="00EA4820" w:rsidRPr="003A2FE6">
        <w:rPr>
          <w:rFonts w:asciiTheme="minorHAnsi" w:hAnsiTheme="minorHAnsi" w:cstheme="minorHAnsi"/>
          <w:color w:val="auto"/>
          <w:highlight w:val="yellow"/>
        </w:rPr>
        <w:t>very gently with a 50</w:t>
      </w:r>
      <w:r w:rsidR="00D37E38">
        <w:rPr>
          <w:rFonts w:asciiTheme="minorHAnsi" w:hAnsiTheme="minorHAnsi" w:cstheme="minorHAnsi"/>
          <w:color w:val="auto"/>
          <w:highlight w:val="yellow"/>
        </w:rPr>
        <w:t xml:space="preserve"> mL</w:t>
      </w:r>
      <w:r w:rsidR="00EA4820" w:rsidRPr="003A2FE6">
        <w:rPr>
          <w:rFonts w:asciiTheme="minorHAnsi" w:hAnsiTheme="minorHAnsi" w:cstheme="minorHAnsi"/>
          <w:color w:val="auto"/>
          <w:highlight w:val="yellow"/>
        </w:rPr>
        <w:t xml:space="preserve"> serological pipette to minimize </w:t>
      </w:r>
      <w:r w:rsidR="00B216D0" w:rsidRPr="003A2FE6">
        <w:rPr>
          <w:rFonts w:asciiTheme="minorHAnsi" w:hAnsiTheme="minorHAnsi" w:cstheme="minorHAnsi"/>
          <w:color w:val="auto"/>
          <w:highlight w:val="yellow"/>
        </w:rPr>
        <w:t>turbulent flow</w:t>
      </w:r>
      <w:r w:rsidR="00EA4820" w:rsidRPr="003A2FE6">
        <w:rPr>
          <w:rFonts w:asciiTheme="minorHAnsi" w:hAnsiTheme="minorHAnsi" w:cstheme="minorHAnsi"/>
          <w:color w:val="auto"/>
          <w:highlight w:val="yellow"/>
        </w:rPr>
        <w:t>.</w:t>
      </w:r>
    </w:p>
    <w:p w14:paraId="3EFD6DB2" w14:textId="77777777" w:rsidR="00EA4820" w:rsidRPr="00F852C4" w:rsidRDefault="00EA4820" w:rsidP="00344E04">
      <w:pPr>
        <w:rPr>
          <w:rFonts w:asciiTheme="minorHAnsi" w:hAnsiTheme="minorHAnsi" w:cstheme="minorHAnsi"/>
          <w:color w:val="auto"/>
        </w:rPr>
      </w:pPr>
    </w:p>
    <w:p w14:paraId="1B661923" w14:textId="3A1E4D6D"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rPr>
        <w:t xml:space="preserve">Retrieve the ISCA from the deployment tray without touching the </w:t>
      </w:r>
      <w:r w:rsidR="00195B13" w:rsidRPr="00F852C4">
        <w:rPr>
          <w:rFonts w:asciiTheme="minorHAnsi" w:hAnsiTheme="minorHAnsi" w:cstheme="minorHAnsi"/>
          <w:color w:val="auto"/>
        </w:rPr>
        <w:t xml:space="preserve">upper </w:t>
      </w:r>
      <w:r w:rsidRPr="00F852C4">
        <w:rPr>
          <w:rFonts w:asciiTheme="minorHAnsi" w:hAnsiTheme="minorHAnsi" w:cstheme="minorHAnsi"/>
          <w:color w:val="auto"/>
        </w:rPr>
        <w:t>surface</w:t>
      </w:r>
      <w:r w:rsidR="00DD5989">
        <w:rPr>
          <w:rFonts w:asciiTheme="minorHAnsi" w:hAnsiTheme="minorHAnsi" w:cstheme="minorHAnsi"/>
          <w:color w:val="auto"/>
        </w:rPr>
        <w:t>. U</w:t>
      </w:r>
      <w:r w:rsidRPr="00F852C4">
        <w:rPr>
          <w:rFonts w:asciiTheme="minorHAnsi" w:hAnsiTheme="minorHAnsi" w:cstheme="minorHAnsi"/>
          <w:color w:val="auto"/>
        </w:rPr>
        <w:t>se a pipette and</w:t>
      </w:r>
      <w:r w:rsidR="003E48F0">
        <w:rPr>
          <w:rFonts w:asciiTheme="minorHAnsi" w:hAnsiTheme="minorHAnsi" w:cstheme="minorHAnsi"/>
          <w:color w:val="auto"/>
        </w:rPr>
        <w:t xml:space="preserve"> </w:t>
      </w:r>
      <w:r w:rsidR="00E22C02" w:rsidRPr="00F852C4">
        <w:rPr>
          <w:rFonts w:asciiTheme="minorHAnsi" w:hAnsiTheme="minorHAnsi" w:cstheme="minorHAnsi"/>
          <w:color w:val="auto"/>
        </w:rPr>
        <w:t>disposable wipers</w:t>
      </w:r>
      <w:r w:rsidRPr="00F852C4">
        <w:rPr>
          <w:rFonts w:asciiTheme="minorHAnsi" w:hAnsiTheme="minorHAnsi" w:cstheme="minorHAnsi"/>
          <w:color w:val="auto"/>
        </w:rPr>
        <w:t xml:space="preserve"> to remove remaining liquid on the ISCA</w:t>
      </w:r>
      <w:r w:rsidR="001D73D5">
        <w:rPr>
          <w:rFonts w:asciiTheme="minorHAnsi" w:hAnsiTheme="minorHAnsi" w:cstheme="minorHAnsi"/>
          <w:color w:val="auto"/>
        </w:rPr>
        <w:t xml:space="preserve"> surface</w:t>
      </w:r>
      <w:r w:rsidRPr="00F852C4">
        <w:rPr>
          <w:rFonts w:asciiTheme="minorHAnsi" w:hAnsiTheme="minorHAnsi" w:cstheme="minorHAnsi"/>
          <w:color w:val="auto"/>
        </w:rPr>
        <w:t xml:space="preserve">. </w:t>
      </w:r>
    </w:p>
    <w:p w14:paraId="36DF1487" w14:textId="77777777" w:rsidR="00EA4820" w:rsidRPr="00F852C4" w:rsidRDefault="00EA4820" w:rsidP="00344E04">
      <w:pPr>
        <w:rPr>
          <w:rFonts w:asciiTheme="minorHAnsi" w:hAnsiTheme="minorHAnsi" w:cstheme="minorHAnsi"/>
          <w:color w:val="auto"/>
        </w:rPr>
      </w:pPr>
    </w:p>
    <w:p w14:paraId="27235D74" w14:textId="378D140F"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NOTE: It is important </w:t>
      </w:r>
      <w:r w:rsidR="00195B13" w:rsidRPr="00F852C4">
        <w:rPr>
          <w:rFonts w:asciiTheme="minorHAnsi" w:hAnsiTheme="minorHAnsi" w:cstheme="minorHAnsi"/>
          <w:color w:val="auto"/>
        </w:rPr>
        <w:t xml:space="preserve">to </w:t>
      </w:r>
      <w:r w:rsidR="001D73D5">
        <w:rPr>
          <w:rFonts w:asciiTheme="minorHAnsi" w:hAnsiTheme="minorHAnsi" w:cstheme="minorHAnsi"/>
          <w:color w:val="auto"/>
        </w:rPr>
        <w:t xml:space="preserve">avoid </w:t>
      </w:r>
      <w:r w:rsidRPr="00F852C4">
        <w:rPr>
          <w:rFonts w:asciiTheme="minorHAnsi" w:hAnsiTheme="minorHAnsi" w:cstheme="minorHAnsi"/>
          <w:color w:val="auto"/>
        </w:rPr>
        <w:t>touch</w:t>
      </w:r>
      <w:r w:rsidR="001D73D5">
        <w:rPr>
          <w:rFonts w:asciiTheme="minorHAnsi" w:hAnsiTheme="minorHAnsi" w:cstheme="minorHAnsi"/>
          <w:color w:val="auto"/>
        </w:rPr>
        <w:t>ing</w:t>
      </w:r>
      <w:r w:rsidRPr="00F852C4">
        <w:rPr>
          <w:rFonts w:asciiTheme="minorHAnsi" w:hAnsiTheme="minorHAnsi" w:cstheme="minorHAnsi"/>
          <w:color w:val="auto"/>
        </w:rPr>
        <w:t xml:space="preserve"> the ports </w:t>
      </w:r>
      <w:r w:rsidR="00195B13" w:rsidRPr="00F852C4">
        <w:rPr>
          <w:rFonts w:asciiTheme="minorHAnsi" w:hAnsiTheme="minorHAnsi" w:cstheme="minorHAnsi"/>
          <w:color w:val="auto"/>
        </w:rPr>
        <w:t xml:space="preserve">during </w:t>
      </w:r>
      <w:r w:rsidRPr="00F852C4">
        <w:rPr>
          <w:rFonts w:asciiTheme="minorHAnsi" w:hAnsiTheme="minorHAnsi" w:cstheme="minorHAnsi"/>
          <w:color w:val="auto"/>
        </w:rPr>
        <w:t xml:space="preserve">this process, as </w:t>
      </w:r>
      <w:r w:rsidR="00195B13" w:rsidRPr="00F852C4">
        <w:rPr>
          <w:rFonts w:asciiTheme="minorHAnsi" w:hAnsiTheme="minorHAnsi" w:cstheme="minorHAnsi"/>
          <w:color w:val="auto"/>
        </w:rPr>
        <w:t xml:space="preserve">the resulting changes in pressure </w:t>
      </w:r>
      <w:r w:rsidR="00DD5989">
        <w:rPr>
          <w:rFonts w:asciiTheme="minorHAnsi" w:hAnsiTheme="minorHAnsi" w:cstheme="minorHAnsi"/>
          <w:color w:val="auto"/>
        </w:rPr>
        <w:t>can</w:t>
      </w:r>
      <w:r w:rsidRPr="00F852C4">
        <w:rPr>
          <w:rFonts w:asciiTheme="minorHAnsi" w:hAnsiTheme="minorHAnsi" w:cstheme="minorHAnsi"/>
          <w:color w:val="auto"/>
        </w:rPr>
        <w:t xml:space="preserve"> remove or add bacteria</w:t>
      </w:r>
      <w:r w:rsidR="00D831D8">
        <w:rPr>
          <w:rFonts w:asciiTheme="minorHAnsi" w:hAnsiTheme="minorHAnsi" w:cstheme="minorHAnsi"/>
          <w:color w:val="auto"/>
        </w:rPr>
        <w:t xml:space="preserve"> from the outside environment</w:t>
      </w:r>
      <w:r w:rsidRPr="00F852C4">
        <w:rPr>
          <w:rFonts w:asciiTheme="minorHAnsi" w:hAnsiTheme="minorHAnsi" w:cstheme="minorHAnsi"/>
          <w:color w:val="auto"/>
        </w:rPr>
        <w:t xml:space="preserve"> into the well and </w:t>
      </w:r>
      <w:r w:rsidR="00195B13" w:rsidRPr="00F852C4">
        <w:rPr>
          <w:rFonts w:asciiTheme="minorHAnsi" w:hAnsiTheme="minorHAnsi" w:cstheme="minorHAnsi"/>
          <w:color w:val="auto"/>
        </w:rPr>
        <w:t xml:space="preserve">thereby </w:t>
      </w:r>
      <w:r w:rsidRPr="00F852C4">
        <w:rPr>
          <w:rFonts w:asciiTheme="minorHAnsi" w:hAnsiTheme="minorHAnsi" w:cstheme="minorHAnsi"/>
          <w:color w:val="auto"/>
        </w:rPr>
        <w:t xml:space="preserve">bias the bacterial </w:t>
      </w:r>
      <w:r w:rsidR="00D831D8">
        <w:rPr>
          <w:rFonts w:asciiTheme="minorHAnsi" w:hAnsiTheme="minorHAnsi" w:cstheme="minorHAnsi"/>
          <w:color w:val="auto"/>
        </w:rPr>
        <w:t>density and composition inside the well</w:t>
      </w:r>
      <w:r w:rsidRPr="00F852C4">
        <w:rPr>
          <w:rFonts w:asciiTheme="minorHAnsi" w:hAnsiTheme="minorHAnsi" w:cstheme="minorHAnsi"/>
          <w:color w:val="auto"/>
        </w:rPr>
        <w:t>.</w:t>
      </w:r>
    </w:p>
    <w:p w14:paraId="12C4FFE3" w14:textId="77777777" w:rsidR="00EA4820" w:rsidRPr="00F852C4" w:rsidRDefault="00EA4820" w:rsidP="00344E04">
      <w:pPr>
        <w:rPr>
          <w:rFonts w:asciiTheme="minorHAnsi" w:hAnsiTheme="minorHAnsi" w:cstheme="minorHAnsi"/>
          <w:color w:val="auto"/>
        </w:rPr>
      </w:pPr>
    </w:p>
    <w:p w14:paraId="2A996BA7" w14:textId="179DA239"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Retrieval of the samples</w:t>
      </w:r>
    </w:p>
    <w:p w14:paraId="5AC3A462" w14:textId="77777777" w:rsidR="00EA4820" w:rsidRPr="00F852C4" w:rsidRDefault="00EA4820" w:rsidP="00344E04">
      <w:pPr>
        <w:rPr>
          <w:rFonts w:asciiTheme="minorHAnsi" w:hAnsiTheme="minorHAnsi" w:cstheme="minorHAnsi"/>
          <w:color w:val="auto"/>
        </w:rPr>
      </w:pPr>
    </w:p>
    <w:p w14:paraId="0DB9C285" w14:textId="76785B01" w:rsidR="00630C0A" w:rsidRDefault="00EA4820" w:rsidP="00344E04">
      <w:pPr>
        <w:numPr>
          <w:ilvl w:val="2"/>
          <w:numId w:val="36"/>
        </w:numPr>
        <w:rPr>
          <w:rFonts w:asciiTheme="minorHAnsi" w:hAnsiTheme="minorHAnsi" w:cstheme="minorHAnsi"/>
          <w:color w:val="auto"/>
        </w:rPr>
      </w:pPr>
      <w:r w:rsidRPr="001E2097">
        <w:rPr>
          <w:rFonts w:asciiTheme="minorHAnsi" w:hAnsiTheme="minorHAnsi" w:cstheme="minorHAnsi"/>
          <w:color w:val="auto"/>
          <w:highlight w:val="yellow"/>
        </w:rPr>
        <w:t>Holding the ISCA with the port facing down</w:t>
      </w:r>
      <w:r w:rsidR="00A372D1" w:rsidRPr="001E2097">
        <w:rPr>
          <w:rFonts w:asciiTheme="minorHAnsi" w:hAnsiTheme="minorHAnsi" w:cstheme="minorHAnsi"/>
          <w:color w:val="auto"/>
          <w:highlight w:val="yellow"/>
        </w:rPr>
        <w:t>ward</w:t>
      </w:r>
      <w:r w:rsidRPr="001E2097">
        <w:rPr>
          <w:rFonts w:asciiTheme="minorHAnsi" w:hAnsiTheme="minorHAnsi" w:cstheme="minorHAnsi"/>
          <w:color w:val="auto"/>
          <w:highlight w:val="yellow"/>
        </w:rPr>
        <w:t>, retr</w:t>
      </w:r>
      <w:r w:rsidRPr="00F852C4">
        <w:rPr>
          <w:rFonts w:asciiTheme="minorHAnsi" w:hAnsiTheme="minorHAnsi" w:cstheme="minorHAnsi"/>
          <w:color w:val="auto"/>
          <w:highlight w:val="yellow"/>
        </w:rPr>
        <w:t xml:space="preserve">ieve the volume of the wells </w:t>
      </w:r>
      <w:r w:rsidR="00A372D1" w:rsidRPr="00F852C4">
        <w:rPr>
          <w:rFonts w:asciiTheme="minorHAnsi" w:hAnsiTheme="minorHAnsi" w:cstheme="minorHAnsi"/>
          <w:color w:val="auto"/>
          <w:highlight w:val="yellow"/>
        </w:rPr>
        <w:t xml:space="preserve">using </w:t>
      </w:r>
      <w:r w:rsidRPr="00F852C4">
        <w:rPr>
          <w:rFonts w:asciiTheme="minorHAnsi" w:hAnsiTheme="minorHAnsi" w:cstheme="minorHAnsi"/>
          <w:color w:val="auto"/>
          <w:highlight w:val="yellow"/>
        </w:rPr>
        <w:t xml:space="preserve">a </w:t>
      </w:r>
      <w:r w:rsidR="00A372D1" w:rsidRPr="00F852C4">
        <w:rPr>
          <w:rFonts w:asciiTheme="minorHAnsi" w:hAnsiTheme="minorHAnsi" w:cstheme="minorHAnsi"/>
          <w:color w:val="auto"/>
          <w:highlight w:val="yellow"/>
        </w:rPr>
        <w:t xml:space="preserve">sterile </w:t>
      </w:r>
      <w:r w:rsidRPr="00F852C4">
        <w:rPr>
          <w:rFonts w:asciiTheme="minorHAnsi" w:hAnsiTheme="minorHAnsi" w:cstheme="minorHAnsi"/>
          <w:color w:val="auto"/>
          <w:highlight w:val="yellow"/>
        </w:rPr>
        <w:t>27</w:t>
      </w:r>
      <w:r w:rsidR="00DD5989">
        <w:rPr>
          <w:rFonts w:asciiTheme="minorHAnsi" w:hAnsiTheme="minorHAnsi" w:cstheme="minorHAnsi"/>
          <w:color w:val="auto"/>
          <w:highlight w:val="yellow"/>
        </w:rPr>
        <w:t xml:space="preserve"> </w:t>
      </w:r>
      <w:r w:rsidRPr="00F852C4">
        <w:rPr>
          <w:rFonts w:asciiTheme="minorHAnsi" w:hAnsiTheme="minorHAnsi" w:cstheme="minorHAnsi"/>
          <w:color w:val="auto"/>
          <w:highlight w:val="yellow"/>
        </w:rPr>
        <w:t>G syringe needle attached to a 1</w:t>
      </w:r>
      <w:r w:rsidR="00D37E38">
        <w:rPr>
          <w:rFonts w:asciiTheme="minorHAnsi" w:hAnsiTheme="minorHAnsi" w:cstheme="minorHAnsi"/>
          <w:color w:val="auto"/>
          <w:highlight w:val="yellow"/>
        </w:rPr>
        <w:t xml:space="preserve"> mL</w:t>
      </w:r>
      <w:r w:rsidRPr="00F852C4">
        <w:rPr>
          <w:rFonts w:asciiTheme="minorHAnsi" w:hAnsiTheme="minorHAnsi" w:cstheme="minorHAnsi"/>
          <w:color w:val="auto"/>
          <w:highlight w:val="yellow"/>
        </w:rPr>
        <w:t xml:space="preserve"> syringe</w:t>
      </w:r>
      <w:r w:rsidR="00725AC1" w:rsidRPr="00F852C4">
        <w:rPr>
          <w:rFonts w:asciiTheme="minorHAnsi" w:hAnsiTheme="minorHAnsi" w:cstheme="minorHAnsi"/>
          <w:color w:val="auto"/>
          <w:highlight w:val="yellow"/>
        </w:rPr>
        <w:t>.</w:t>
      </w:r>
      <w:r w:rsidR="007F73F0" w:rsidRPr="00F852C4">
        <w:rPr>
          <w:rFonts w:asciiTheme="minorHAnsi" w:hAnsiTheme="minorHAnsi" w:cstheme="minorHAnsi"/>
          <w:color w:val="auto"/>
        </w:rPr>
        <w:t xml:space="preserve"> </w:t>
      </w:r>
    </w:p>
    <w:p w14:paraId="5D7F31E1" w14:textId="77777777" w:rsidR="00630C0A" w:rsidRDefault="00630C0A" w:rsidP="00344E04">
      <w:pPr>
        <w:rPr>
          <w:rFonts w:asciiTheme="minorHAnsi" w:hAnsiTheme="minorHAnsi" w:cstheme="minorHAnsi"/>
          <w:color w:val="auto"/>
        </w:rPr>
      </w:pPr>
    </w:p>
    <w:p w14:paraId="1E861EB7" w14:textId="3A474589" w:rsidR="00EA4820" w:rsidRPr="00F852C4" w:rsidRDefault="00630C0A" w:rsidP="00344E04">
      <w:pPr>
        <w:rPr>
          <w:rFonts w:asciiTheme="minorHAnsi" w:hAnsiTheme="minorHAnsi" w:cstheme="minorHAnsi"/>
          <w:color w:val="auto"/>
        </w:rPr>
      </w:pPr>
      <w:r w:rsidRPr="001E2097">
        <w:rPr>
          <w:rFonts w:asciiTheme="minorHAnsi" w:hAnsiTheme="minorHAnsi" w:cstheme="minorHAnsi"/>
          <w:color w:val="auto"/>
          <w:highlight w:val="yellow"/>
        </w:rPr>
        <w:t xml:space="preserve">NOTE: </w:t>
      </w:r>
      <w:r w:rsidR="00EA4820" w:rsidRPr="001E2097">
        <w:rPr>
          <w:rFonts w:asciiTheme="minorHAnsi" w:hAnsiTheme="minorHAnsi" w:cstheme="minorHAnsi"/>
          <w:color w:val="auto"/>
          <w:highlight w:val="yellow"/>
        </w:rPr>
        <w:t>Each row (if contain</w:t>
      </w:r>
      <w:r w:rsidR="00DD5989">
        <w:rPr>
          <w:rFonts w:asciiTheme="minorHAnsi" w:hAnsiTheme="minorHAnsi" w:cstheme="minorHAnsi"/>
          <w:color w:val="auto"/>
          <w:highlight w:val="yellow"/>
        </w:rPr>
        <w:t>ing</w:t>
      </w:r>
      <w:r w:rsidR="00EA4820" w:rsidRPr="001E2097">
        <w:rPr>
          <w:rFonts w:asciiTheme="minorHAnsi" w:hAnsiTheme="minorHAnsi" w:cstheme="minorHAnsi"/>
          <w:color w:val="auto"/>
          <w:highlight w:val="yellow"/>
        </w:rPr>
        <w:t xml:space="preserve"> the same substance) can be pooled to provide a working sample of approximately 550 µ</w:t>
      </w:r>
      <w:r w:rsidR="003A2FE6">
        <w:rPr>
          <w:rFonts w:asciiTheme="minorHAnsi" w:hAnsiTheme="minorHAnsi" w:cstheme="minorHAnsi"/>
          <w:color w:val="auto"/>
          <w:highlight w:val="yellow"/>
        </w:rPr>
        <w:t>L</w:t>
      </w:r>
      <w:r w:rsidR="001E2097">
        <w:rPr>
          <w:rFonts w:asciiTheme="minorHAnsi" w:hAnsiTheme="minorHAnsi" w:cstheme="minorHAnsi"/>
          <w:color w:val="auto"/>
          <w:highlight w:val="yellow"/>
        </w:rPr>
        <w:t xml:space="preserve">. </w:t>
      </w:r>
      <w:r w:rsidR="001E2097" w:rsidRPr="001E2097">
        <w:rPr>
          <w:rFonts w:asciiTheme="minorHAnsi" w:hAnsiTheme="minorHAnsi" w:cstheme="minorHAnsi"/>
          <w:color w:val="auto"/>
        </w:rPr>
        <w:t>This sample</w:t>
      </w:r>
      <w:r w:rsidR="00EA4820" w:rsidRPr="001E2097">
        <w:rPr>
          <w:rFonts w:asciiTheme="minorHAnsi" w:hAnsiTheme="minorHAnsi" w:cstheme="minorHAnsi"/>
          <w:color w:val="auto"/>
        </w:rPr>
        <w:t xml:space="preserve"> can subsequently be aliquoted into different tubes depending on</w:t>
      </w:r>
      <w:r w:rsidR="00DD5989">
        <w:rPr>
          <w:rFonts w:asciiTheme="minorHAnsi" w:hAnsiTheme="minorHAnsi" w:cstheme="minorHAnsi"/>
          <w:color w:val="auto"/>
        </w:rPr>
        <w:t xml:space="preserve"> the</w:t>
      </w:r>
      <w:r w:rsidR="00EA4820" w:rsidRPr="001E2097">
        <w:rPr>
          <w:rFonts w:asciiTheme="minorHAnsi" w:hAnsiTheme="minorHAnsi" w:cstheme="minorHAnsi"/>
          <w:color w:val="auto"/>
        </w:rPr>
        <w:t xml:space="preserve"> required downstream applications.</w:t>
      </w:r>
    </w:p>
    <w:p w14:paraId="1A552787" w14:textId="77777777" w:rsidR="00EA4820" w:rsidRPr="00F852C4" w:rsidRDefault="00EA4820" w:rsidP="00344E04">
      <w:pPr>
        <w:rPr>
          <w:rFonts w:asciiTheme="minorHAnsi" w:hAnsiTheme="minorHAnsi" w:cstheme="minorHAnsi"/>
          <w:color w:val="auto"/>
        </w:rPr>
      </w:pPr>
    </w:p>
    <w:p w14:paraId="4FDA1FBD" w14:textId="46C14EA3"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Determine the number of bacteria </w:t>
      </w:r>
      <w:r w:rsidR="00A372D1" w:rsidRPr="00F852C4">
        <w:rPr>
          <w:rFonts w:asciiTheme="minorHAnsi" w:hAnsiTheme="minorHAnsi" w:cstheme="minorHAnsi"/>
          <w:color w:val="auto"/>
          <w:highlight w:val="yellow"/>
        </w:rPr>
        <w:t xml:space="preserve">attracted to </w:t>
      </w:r>
      <w:r w:rsidRPr="00F852C4">
        <w:rPr>
          <w:rFonts w:asciiTheme="minorHAnsi" w:hAnsiTheme="minorHAnsi" w:cstheme="minorHAnsi"/>
          <w:color w:val="auto"/>
          <w:highlight w:val="yellow"/>
        </w:rPr>
        <w:t>each chemoattractant concentration by analyzing the samples with flow cytometry</w:t>
      </w:r>
      <w:r w:rsidR="009940D8" w:rsidRPr="00F852C4">
        <w:rPr>
          <w:rFonts w:asciiTheme="minorHAnsi" w:hAnsiTheme="minorHAnsi" w:cstheme="minorHAnsi"/>
          <w:color w:val="auto"/>
          <w:highlight w:val="yellow"/>
        </w:rPr>
        <w:fldChar w:fldCharType="begin"/>
      </w:r>
      <w:r w:rsidR="00BB094B">
        <w:rPr>
          <w:rFonts w:asciiTheme="minorHAnsi" w:hAnsiTheme="minorHAnsi" w:cstheme="minorHAnsi"/>
          <w:color w:val="auto"/>
          <w:highlight w:val="yellow"/>
        </w:rPr>
        <w:instrText xml:space="preserve"> ADDIN ZOTERO_ITEM CSL_CITATION {"citationID":"mdrlnnnw","properties":{"formattedCitation":"\\super 12\\nosupersub{}","plainCitation":"12","noteIndex":0},"citationItems":[{"id":176,"uris":["http://zotero.org/users/local/eoOr01tb/items/7F6I4FT9"],"uri":["http://zotero.org/users/local/eoOr01tb/items/7F6I4FT9"],"itemData":{"id":176,"type":"article-journal","abstract":"The novel dye SYBR Green I binds specifically to nucleic acids and can be excited by blue light (488-nm wavelength). Cell concentrations of prokaryotes measured in marine samples with this dye on a low-cost compact flow cytometer are comparable to those obtained with the UV-excited stain Hoechst 33342 (bis-benzimide) on an expensive flow cytometer with a water-cooled laser. In contrast to TOTO-1 and TO-PRO-1, SYBR Green I has the advantage of clearly discriminating both heterotrophic bacteria and autotrophic Prochlorococcus cells, even in oligotrophic waters. As with TOTO-1 and TO-PRO-1, two groups of heterotrophic bacteria (B-I and B-II-like types) can be distinguished. Moreover, the resolution of DNA distribution obtained with SYBR Green I is similar to that obtained with Hoechst 33342 and permits the analysis of the cell cycle of photosynthetic prokaryotes over the whole water column.","container-title":"Applied and Environmental Microbiology","ISSN":"0099-2240","issue":"1","journalAbbreviation":"Appl Environ Microbiol","note":"PMID: 16535483\nPMCID: PMC1389098","page":"186-193","source":"PubMed Central","title":"Enumeration and Cell Cycle Analysis of Natural Populations of Marine Picoplankton by Flow Cytometry Using the Nucleic Acid Stain SYBR Green I","volume":"63","author":[{"family":"Marie","given":"D."},{"family":"Partensky","given":"F."},{"family":"Jacquet","given":"S."},{"family":"Vaulot","given":"D."}],"issued":{"date-parts":[["1997",1]]}}}],"schema":"https://github.com/citation-style-language/schema/raw/master/csl-citation.json"} </w:instrText>
      </w:r>
      <w:r w:rsidR="009940D8" w:rsidRPr="00F852C4">
        <w:rPr>
          <w:rFonts w:asciiTheme="minorHAnsi" w:hAnsiTheme="minorHAnsi" w:cstheme="minorHAnsi"/>
          <w:color w:val="auto"/>
          <w:highlight w:val="yellow"/>
        </w:rPr>
        <w:fldChar w:fldCharType="separate"/>
      </w:r>
      <w:r w:rsidR="009940D8" w:rsidRPr="00F852C4">
        <w:rPr>
          <w:rFonts w:asciiTheme="minorHAnsi" w:hAnsiTheme="minorHAnsi" w:cstheme="minorHAnsi"/>
          <w:highlight w:val="yellow"/>
          <w:vertAlign w:val="superscript"/>
        </w:rPr>
        <w:t>12</w:t>
      </w:r>
      <w:r w:rsidR="009940D8" w:rsidRPr="00F852C4">
        <w:rPr>
          <w:rFonts w:asciiTheme="minorHAnsi" w:hAnsiTheme="minorHAnsi" w:cstheme="minorHAnsi"/>
          <w:color w:val="auto"/>
          <w:highlight w:val="yellow"/>
        </w:rPr>
        <w:fldChar w:fldCharType="end"/>
      </w:r>
      <w:r w:rsidR="00DD5989">
        <w:rPr>
          <w:rFonts w:asciiTheme="minorHAnsi" w:hAnsiTheme="minorHAnsi" w:cstheme="minorHAnsi"/>
          <w:color w:val="auto"/>
          <w:highlight w:val="yellow"/>
        </w:rPr>
        <w:t>. C</w:t>
      </w:r>
      <w:r w:rsidRPr="00F852C4">
        <w:rPr>
          <w:rFonts w:asciiTheme="minorHAnsi" w:hAnsiTheme="minorHAnsi" w:cstheme="minorHAnsi"/>
          <w:color w:val="auto"/>
          <w:highlight w:val="yellow"/>
        </w:rPr>
        <w:t>hoose the concentration of chemoattractant that maximizes chemotaxis for subsequent field deployments</w:t>
      </w:r>
      <w:r w:rsidRPr="00F852C4">
        <w:rPr>
          <w:rFonts w:asciiTheme="minorHAnsi" w:hAnsiTheme="minorHAnsi" w:cstheme="minorHAnsi"/>
          <w:color w:val="auto"/>
        </w:rPr>
        <w:t>.</w:t>
      </w:r>
    </w:p>
    <w:p w14:paraId="7E006A40" w14:textId="0FC7DD0B" w:rsidR="00EA4820" w:rsidRPr="00F852C4" w:rsidRDefault="00EA4820" w:rsidP="00344E04">
      <w:pPr>
        <w:rPr>
          <w:rStyle w:val="Hyperlink"/>
          <w:rFonts w:asciiTheme="minorHAnsi" w:hAnsiTheme="minorHAnsi" w:cstheme="minorHAnsi"/>
          <w:color w:val="auto"/>
        </w:rPr>
      </w:pPr>
    </w:p>
    <w:p w14:paraId="01779E94" w14:textId="3BC15DF5" w:rsidR="00F0186E" w:rsidRDefault="00F0186E" w:rsidP="00344E04">
      <w:pPr>
        <w:numPr>
          <w:ilvl w:val="0"/>
          <w:numId w:val="36"/>
        </w:numPr>
        <w:rPr>
          <w:rStyle w:val="Hyperlink"/>
          <w:rFonts w:asciiTheme="minorHAnsi" w:hAnsiTheme="minorHAnsi" w:cstheme="minorHAnsi"/>
          <w:b/>
          <w:color w:val="auto"/>
          <w:u w:val="none"/>
        </w:rPr>
      </w:pPr>
      <w:r w:rsidRPr="00F852C4">
        <w:rPr>
          <w:rStyle w:val="Hyperlink"/>
          <w:rFonts w:asciiTheme="minorHAnsi" w:hAnsiTheme="minorHAnsi" w:cstheme="minorHAnsi"/>
          <w:b/>
          <w:color w:val="auto"/>
          <w:u w:val="none"/>
        </w:rPr>
        <w:t>Preparation for field deployment</w:t>
      </w:r>
    </w:p>
    <w:p w14:paraId="3D119E44" w14:textId="77777777" w:rsidR="00614746" w:rsidRPr="00F852C4" w:rsidRDefault="00614746" w:rsidP="00344E04">
      <w:pPr>
        <w:rPr>
          <w:rStyle w:val="Hyperlink"/>
          <w:rFonts w:asciiTheme="minorHAnsi" w:hAnsiTheme="minorHAnsi" w:cstheme="minorHAnsi"/>
          <w:b/>
          <w:color w:val="auto"/>
          <w:u w:val="none"/>
        </w:rPr>
      </w:pPr>
    </w:p>
    <w:p w14:paraId="4B16CBE2" w14:textId="00F28DC6" w:rsidR="00226A3D" w:rsidRPr="00F852C4" w:rsidRDefault="001E2097" w:rsidP="00344E04">
      <w:pPr>
        <w:rPr>
          <w:rFonts w:asciiTheme="minorHAnsi" w:hAnsiTheme="minorHAnsi" w:cstheme="minorHAnsi"/>
          <w:color w:val="auto"/>
        </w:rPr>
      </w:pPr>
      <w:r>
        <w:rPr>
          <w:rFonts w:asciiTheme="minorHAnsi" w:hAnsiTheme="minorHAnsi" w:cstheme="minorHAnsi"/>
          <w:color w:val="auto"/>
        </w:rPr>
        <w:t>N</w:t>
      </w:r>
      <w:r w:rsidR="00226A3D">
        <w:rPr>
          <w:rFonts w:asciiTheme="minorHAnsi" w:hAnsiTheme="minorHAnsi" w:cstheme="minorHAnsi"/>
          <w:color w:val="auto"/>
        </w:rPr>
        <w:t xml:space="preserve">OTE: </w:t>
      </w:r>
      <w:r w:rsidR="00226A3D" w:rsidRPr="00F852C4">
        <w:rPr>
          <w:rFonts w:asciiTheme="minorHAnsi" w:hAnsiTheme="minorHAnsi" w:cstheme="minorHAnsi"/>
          <w:color w:val="auto"/>
        </w:rPr>
        <w:t>Preparation of material and construction of the flow-damping enclosure (</w:t>
      </w:r>
      <w:r w:rsidR="00DD5989">
        <w:rPr>
          <w:rFonts w:asciiTheme="minorHAnsi" w:hAnsiTheme="minorHAnsi" w:cstheme="minorHAnsi"/>
          <w:color w:val="auto"/>
        </w:rPr>
        <w:t xml:space="preserve">section </w:t>
      </w:r>
      <w:r w:rsidR="00226A3D" w:rsidRPr="00F852C4">
        <w:rPr>
          <w:rFonts w:asciiTheme="minorHAnsi" w:hAnsiTheme="minorHAnsi" w:cstheme="minorHAnsi"/>
          <w:color w:val="auto"/>
        </w:rPr>
        <w:t xml:space="preserve">2) must be conducted </w:t>
      </w:r>
      <w:r w:rsidR="00D52F97">
        <w:rPr>
          <w:rFonts w:asciiTheme="minorHAnsi" w:hAnsiTheme="minorHAnsi" w:cstheme="minorHAnsi"/>
          <w:color w:val="auto"/>
        </w:rPr>
        <w:t>prior to deployment</w:t>
      </w:r>
      <w:r w:rsidR="00226A3D" w:rsidRPr="00F852C4">
        <w:rPr>
          <w:rFonts w:asciiTheme="minorHAnsi" w:hAnsiTheme="minorHAnsi" w:cstheme="minorHAnsi"/>
          <w:color w:val="auto"/>
        </w:rPr>
        <w:t>.</w:t>
      </w:r>
    </w:p>
    <w:p w14:paraId="367CDE70" w14:textId="77777777" w:rsidR="00F0186E" w:rsidRPr="00F852C4" w:rsidRDefault="00F0186E" w:rsidP="00344E04">
      <w:pPr>
        <w:rPr>
          <w:rStyle w:val="Hyperlink"/>
          <w:rFonts w:asciiTheme="minorHAnsi" w:hAnsiTheme="minorHAnsi" w:cstheme="minorHAnsi"/>
          <w:color w:val="auto"/>
        </w:rPr>
      </w:pPr>
    </w:p>
    <w:p w14:paraId="70F91C39" w14:textId="043E57E6"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rPr>
        <w:t>Preparation of material</w:t>
      </w:r>
      <w:r w:rsidR="008C37C1" w:rsidRPr="00344E04">
        <w:rPr>
          <w:rFonts w:asciiTheme="minorHAnsi" w:hAnsiTheme="minorHAnsi" w:cstheme="minorHAnsi"/>
          <w:bCs/>
          <w:color w:val="auto"/>
        </w:rPr>
        <w:t>s</w:t>
      </w:r>
      <w:r w:rsidRPr="00344E04">
        <w:rPr>
          <w:rFonts w:asciiTheme="minorHAnsi" w:hAnsiTheme="minorHAnsi" w:cstheme="minorHAnsi"/>
          <w:bCs/>
          <w:color w:val="auto"/>
        </w:rPr>
        <w:t xml:space="preserve"> </w:t>
      </w:r>
    </w:p>
    <w:p w14:paraId="1FBCA408" w14:textId="77777777" w:rsidR="00EA4820" w:rsidRPr="00F852C4" w:rsidRDefault="00EA4820" w:rsidP="00344E04">
      <w:pPr>
        <w:rPr>
          <w:rFonts w:asciiTheme="minorHAnsi" w:hAnsiTheme="minorHAnsi" w:cstheme="minorHAnsi"/>
          <w:color w:val="auto"/>
        </w:rPr>
      </w:pPr>
    </w:p>
    <w:p w14:paraId="241A5193" w14:textId="74358E23" w:rsidR="00630C0A"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rPr>
        <w:t>Prepare all material</w:t>
      </w:r>
      <w:r w:rsidR="00BE0218" w:rsidRPr="00F852C4">
        <w:rPr>
          <w:rFonts w:asciiTheme="minorHAnsi" w:hAnsiTheme="minorHAnsi" w:cstheme="minorHAnsi"/>
          <w:color w:val="auto"/>
        </w:rPr>
        <w:t>s</w:t>
      </w:r>
      <w:r w:rsidRPr="00F852C4">
        <w:rPr>
          <w:rFonts w:asciiTheme="minorHAnsi" w:hAnsiTheme="minorHAnsi" w:cstheme="minorHAnsi"/>
          <w:color w:val="auto"/>
        </w:rPr>
        <w:t xml:space="preserve"> listed in </w:t>
      </w:r>
      <w:r w:rsidR="00D37E38" w:rsidRPr="00D37E38">
        <w:rPr>
          <w:rFonts w:asciiTheme="minorHAnsi" w:hAnsiTheme="minorHAnsi" w:cstheme="minorHAnsi"/>
          <w:b/>
          <w:color w:val="auto"/>
        </w:rPr>
        <w:t>Table 1</w:t>
      </w:r>
      <w:r w:rsidRPr="00F852C4">
        <w:rPr>
          <w:rFonts w:asciiTheme="minorHAnsi" w:hAnsiTheme="minorHAnsi" w:cstheme="minorHAnsi"/>
          <w:color w:val="auto"/>
        </w:rPr>
        <w:t xml:space="preserve">. </w:t>
      </w:r>
    </w:p>
    <w:p w14:paraId="50080695" w14:textId="77777777" w:rsidR="00630C0A" w:rsidRDefault="00630C0A" w:rsidP="00344E04">
      <w:pPr>
        <w:rPr>
          <w:rFonts w:asciiTheme="minorHAnsi" w:hAnsiTheme="minorHAnsi" w:cstheme="minorHAnsi"/>
          <w:color w:val="auto"/>
        </w:rPr>
      </w:pPr>
    </w:p>
    <w:p w14:paraId="22ED7AFC" w14:textId="459AD12C" w:rsidR="00EA4820" w:rsidRPr="00F852C4" w:rsidRDefault="00630C0A" w:rsidP="00344E04">
      <w:pPr>
        <w:rPr>
          <w:rFonts w:asciiTheme="minorHAnsi" w:hAnsiTheme="minorHAnsi" w:cstheme="minorHAnsi"/>
          <w:color w:val="auto"/>
        </w:rPr>
      </w:pPr>
      <w:r>
        <w:rPr>
          <w:rFonts w:asciiTheme="minorHAnsi" w:hAnsiTheme="minorHAnsi" w:cstheme="minorHAnsi"/>
          <w:color w:val="auto"/>
        </w:rPr>
        <w:t xml:space="preserve">NOTE: </w:t>
      </w:r>
      <w:r w:rsidR="001C2749">
        <w:rPr>
          <w:rFonts w:asciiTheme="minorHAnsi" w:hAnsiTheme="minorHAnsi" w:cstheme="minorHAnsi"/>
          <w:color w:val="auto"/>
        </w:rPr>
        <w:t>M</w:t>
      </w:r>
      <w:r w:rsidR="00EA4820" w:rsidRPr="00F852C4">
        <w:rPr>
          <w:rFonts w:asciiTheme="minorHAnsi" w:hAnsiTheme="minorHAnsi" w:cstheme="minorHAnsi"/>
          <w:color w:val="auto"/>
        </w:rPr>
        <w:t>aterial</w:t>
      </w:r>
      <w:r w:rsidR="001C2749">
        <w:rPr>
          <w:rFonts w:asciiTheme="minorHAnsi" w:hAnsiTheme="minorHAnsi" w:cstheme="minorHAnsi"/>
          <w:color w:val="auto"/>
        </w:rPr>
        <w:t xml:space="preserve"> quantities</w:t>
      </w:r>
      <w:r w:rsidR="00EA4820" w:rsidRPr="00F852C4">
        <w:rPr>
          <w:rFonts w:asciiTheme="minorHAnsi" w:hAnsiTheme="minorHAnsi" w:cstheme="minorHAnsi"/>
          <w:color w:val="auto"/>
        </w:rPr>
        <w:t xml:space="preserve"> </w:t>
      </w:r>
      <w:r w:rsidR="001C2749">
        <w:rPr>
          <w:rFonts w:asciiTheme="minorHAnsi" w:hAnsiTheme="minorHAnsi" w:cstheme="minorHAnsi"/>
          <w:color w:val="auto"/>
        </w:rPr>
        <w:t>are</w:t>
      </w:r>
      <w:r w:rsidR="00EA4820" w:rsidRPr="00F852C4">
        <w:rPr>
          <w:rFonts w:asciiTheme="minorHAnsi" w:hAnsiTheme="minorHAnsi" w:cstheme="minorHAnsi"/>
          <w:color w:val="auto"/>
        </w:rPr>
        <w:t xml:space="preserve"> </w:t>
      </w:r>
      <w:r w:rsidR="00DD5989">
        <w:rPr>
          <w:rFonts w:asciiTheme="minorHAnsi" w:hAnsiTheme="minorHAnsi" w:cstheme="minorHAnsi"/>
          <w:color w:val="auto"/>
        </w:rPr>
        <w:t>provided</w:t>
      </w:r>
      <w:r w:rsidR="00EA4820" w:rsidRPr="00F852C4">
        <w:rPr>
          <w:rFonts w:asciiTheme="minorHAnsi" w:hAnsiTheme="minorHAnsi" w:cstheme="minorHAnsi"/>
          <w:color w:val="auto"/>
        </w:rPr>
        <w:t xml:space="preserve"> for </w:t>
      </w:r>
      <w:r w:rsidR="001B6600" w:rsidRPr="00F852C4">
        <w:rPr>
          <w:rFonts w:asciiTheme="minorHAnsi" w:hAnsiTheme="minorHAnsi" w:cstheme="minorHAnsi"/>
          <w:color w:val="auto"/>
        </w:rPr>
        <w:t xml:space="preserve">one </w:t>
      </w:r>
      <w:r w:rsidR="00EA4820" w:rsidRPr="00F852C4">
        <w:rPr>
          <w:rFonts w:asciiTheme="minorHAnsi" w:hAnsiTheme="minorHAnsi" w:cstheme="minorHAnsi"/>
          <w:color w:val="auto"/>
        </w:rPr>
        <w:t>ISCA.</w:t>
      </w:r>
    </w:p>
    <w:p w14:paraId="0B93D23E" w14:textId="77777777" w:rsidR="00EA4820" w:rsidRPr="00F852C4" w:rsidRDefault="00EA4820" w:rsidP="00344E04">
      <w:pPr>
        <w:rPr>
          <w:rFonts w:asciiTheme="minorHAnsi" w:hAnsiTheme="minorHAnsi" w:cstheme="minorHAnsi"/>
          <w:color w:val="auto"/>
        </w:rPr>
      </w:pPr>
    </w:p>
    <w:p w14:paraId="40F54CF2" w14:textId="401ECE50"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rPr>
        <w:t>Construction and preparation of the flow-damping enclosure</w:t>
      </w:r>
    </w:p>
    <w:p w14:paraId="1D95B124" w14:textId="68BD7542" w:rsidR="00EA4820" w:rsidRPr="00F852C4" w:rsidRDefault="00EA4820" w:rsidP="00344E04">
      <w:pPr>
        <w:rPr>
          <w:rFonts w:asciiTheme="minorHAnsi" w:hAnsiTheme="minorHAnsi" w:cstheme="minorHAnsi"/>
          <w:color w:val="auto"/>
        </w:rPr>
      </w:pPr>
    </w:p>
    <w:p w14:paraId="47485572" w14:textId="5F575F1F" w:rsidR="00A967E6" w:rsidRPr="00F852C4" w:rsidRDefault="00A967E6" w:rsidP="00344E04">
      <w:pPr>
        <w:rPr>
          <w:rFonts w:asciiTheme="minorHAnsi" w:hAnsiTheme="minorHAnsi" w:cstheme="minorHAnsi"/>
          <w:color w:val="auto"/>
        </w:rPr>
      </w:pPr>
      <w:r w:rsidRPr="00F852C4">
        <w:rPr>
          <w:rFonts w:asciiTheme="minorHAnsi" w:hAnsiTheme="minorHAnsi" w:cstheme="minorHAnsi"/>
          <w:color w:val="auto"/>
        </w:rPr>
        <w:t>NOTE: The fl</w:t>
      </w:r>
      <w:r w:rsidR="00CA4522" w:rsidRPr="00F852C4">
        <w:rPr>
          <w:rFonts w:asciiTheme="minorHAnsi" w:hAnsiTheme="minorHAnsi" w:cstheme="minorHAnsi"/>
          <w:color w:val="auto"/>
        </w:rPr>
        <w:t xml:space="preserve">ow-damping enclosure </w:t>
      </w:r>
      <w:r w:rsidR="00B1040E" w:rsidRPr="00F852C4">
        <w:rPr>
          <w:rFonts w:asciiTheme="minorHAnsi" w:hAnsiTheme="minorHAnsi" w:cstheme="minorHAnsi"/>
          <w:color w:val="auto"/>
        </w:rPr>
        <w:t>minimize</w:t>
      </w:r>
      <w:r w:rsidR="003E48F0">
        <w:rPr>
          <w:rFonts w:asciiTheme="minorHAnsi" w:hAnsiTheme="minorHAnsi" w:cstheme="minorHAnsi"/>
          <w:color w:val="auto"/>
        </w:rPr>
        <w:t>s</w:t>
      </w:r>
      <w:r w:rsidR="00CA4522" w:rsidRPr="00F852C4">
        <w:rPr>
          <w:rFonts w:asciiTheme="minorHAnsi" w:hAnsiTheme="minorHAnsi" w:cstheme="minorHAnsi"/>
          <w:color w:val="auto"/>
        </w:rPr>
        <w:t xml:space="preserve"> </w:t>
      </w:r>
      <w:r w:rsidRPr="00F852C4">
        <w:rPr>
          <w:rFonts w:asciiTheme="minorHAnsi" w:hAnsiTheme="minorHAnsi" w:cstheme="minorHAnsi"/>
          <w:color w:val="auto"/>
        </w:rPr>
        <w:t xml:space="preserve">unwanted </w:t>
      </w:r>
      <w:r w:rsidR="00CA4522" w:rsidRPr="00F852C4">
        <w:rPr>
          <w:rFonts w:asciiTheme="minorHAnsi" w:hAnsiTheme="minorHAnsi" w:cstheme="minorHAnsi"/>
          <w:color w:val="auto"/>
        </w:rPr>
        <w:t>turbulences that</w:t>
      </w:r>
      <w:r w:rsidRPr="00F852C4">
        <w:rPr>
          <w:rFonts w:asciiTheme="minorHAnsi" w:hAnsiTheme="minorHAnsi" w:cstheme="minorHAnsi"/>
          <w:color w:val="auto"/>
        </w:rPr>
        <w:t xml:space="preserve"> </w:t>
      </w:r>
      <w:r w:rsidR="00B1040E" w:rsidRPr="00F852C4">
        <w:rPr>
          <w:rFonts w:asciiTheme="minorHAnsi" w:hAnsiTheme="minorHAnsi" w:cstheme="minorHAnsi"/>
          <w:color w:val="auto"/>
        </w:rPr>
        <w:t>otherwise prevent</w:t>
      </w:r>
      <w:r w:rsidR="00DD5989">
        <w:rPr>
          <w:rFonts w:asciiTheme="minorHAnsi" w:hAnsiTheme="minorHAnsi" w:cstheme="minorHAnsi"/>
          <w:color w:val="auto"/>
        </w:rPr>
        <w:t>s</w:t>
      </w:r>
      <w:r w:rsidR="00B1040E" w:rsidRPr="00F852C4">
        <w:rPr>
          <w:rFonts w:asciiTheme="minorHAnsi" w:hAnsiTheme="minorHAnsi" w:cstheme="minorHAnsi"/>
          <w:color w:val="auto"/>
        </w:rPr>
        <w:t xml:space="preserve"> the establishment of chemical gradient</w:t>
      </w:r>
      <w:r w:rsidR="00037732">
        <w:rPr>
          <w:rFonts w:asciiTheme="minorHAnsi" w:hAnsiTheme="minorHAnsi" w:cstheme="minorHAnsi"/>
          <w:color w:val="auto"/>
        </w:rPr>
        <w:t>s</w:t>
      </w:r>
      <w:r w:rsidR="00B1040E" w:rsidRPr="00F852C4">
        <w:rPr>
          <w:rFonts w:asciiTheme="minorHAnsi" w:hAnsiTheme="minorHAnsi" w:cstheme="minorHAnsi"/>
          <w:color w:val="auto"/>
        </w:rPr>
        <w:t xml:space="preserve"> emanating from the </w:t>
      </w:r>
      <w:r w:rsidRPr="00F852C4">
        <w:rPr>
          <w:rFonts w:asciiTheme="minorHAnsi" w:hAnsiTheme="minorHAnsi" w:cstheme="minorHAnsi"/>
          <w:color w:val="auto"/>
        </w:rPr>
        <w:t>ISCA.</w:t>
      </w:r>
    </w:p>
    <w:p w14:paraId="4F9E4785" w14:textId="77777777" w:rsidR="00A967E6" w:rsidRPr="00F852C4" w:rsidRDefault="00A967E6" w:rsidP="00344E04">
      <w:pPr>
        <w:rPr>
          <w:rFonts w:asciiTheme="minorHAnsi" w:hAnsiTheme="minorHAnsi" w:cstheme="minorHAnsi"/>
          <w:color w:val="auto"/>
        </w:rPr>
      </w:pPr>
    </w:p>
    <w:p w14:paraId="12B961A9" w14:textId="49F66F1B"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rPr>
        <w:t>Cut the pieces for the deployment enclosure with a laser</w:t>
      </w:r>
      <w:r w:rsidR="00DD5989">
        <w:rPr>
          <w:rFonts w:asciiTheme="minorHAnsi" w:hAnsiTheme="minorHAnsi" w:cstheme="minorHAnsi"/>
          <w:color w:val="auto"/>
        </w:rPr>
        <w:t xml:space="preserve"> </w:t>
      </w:r>
      <w:r w:rsidRPr="00F852C4">
        <w:rPr>
          <w:rFonts w:asciiTheme="minorHAnsi" w:hAnsiTheme="minorHAnsi" w:cstheme="minorHAnsi"/>
          <w:color w:val="auto"/>
        </w:rPr>
        <w:t xml:space="preserve">cutter </w:t>
      </w:r>
      <w:r w:rsidR="00DD5989">
        <w:rPr>
          <w:rFonts w:asciiTheme="minorHAnsi" w:hAnsiTheme="minorHAnsi" w:cstheme="minorHAnsi"/>
          <w:color w:val="auto"/>
        </w:rPr>
        <w:t>from</w:t>
      </w:r>
      <w:r w:rsidRPr="00F852C4">
        <w:rPr>
          <w:rFonts w:asciiTheme="minorHAnsi" w:hAnsiTheme="minorHAnsi" w:cstheme="minorHAnsi"/>
          <w:color w:val="auto"/>
        </w:rPr>
        <w:t xml:space="preserve"> a 3 mm acrylic sheet. </w:t>
      </w:r>
    </w:p>
    <w:p w14:paraId="6CE450FB" w14:textId="77777777" w:rsidR="00EA4820" w:rsidRPr="00F852C4" w:rsidRDefault="00EA4820" w:rsidP="00344E04">
      <w:pPr>
        <w:rPr>
          <w:rFonts w:asciiTheme="minorHAnsi" w:hAnsiTheme="minorHAnsi" w:cstheme="minorHAnsi"/>
          <w:color w:val="auto"/>
        </w:rPr>
      </w:pPr>
    </w:p>
    <w:p w14:paraId="3BACDCE8" w14:textId="0E112E89" w:rsidR="00EA4820" w:rsidRPr="00F852C4" w:rsidRDefault="00EA4820" w:rsidP="00344E04">
      <w:pPr>
        <w:rPr>
          <w:rFonts w:asciiTheme="minorHAnsi" w:hAnsiTheme="minorHAnsi" w:cstheme="minorHAnsi"/>
        </w:rPr>
      </w:pPr>
      <w:r w:rsidRPr="00F852C4">
        <w:rPr>
          <w:rFonts w:asciiTheme="minorHAnsi" w:hAnsiTheme="minorHAnsi" w:cstheme="minorHAnsi"/>
          <w:color w:val="auto"/>
        </w:rPr>
        <w:t xml:space="preserve">NOTE: The file for the pieces </w:t>
      </w:r>
      <w:r w:rsidR="00A963D8" w:rsidRPr="00F852C4">
        <w:rPr>
          <w:rFonts w:asciiTheme="minorHAnsi" w:hAnsiTheme="minorHAnsi" w:cstheme="minorHAnsi"/>
          <w:color w:val="auto"/>
        </w:rPr>
        <w:t xml:space="preserve">can be </w:t>
      </w:r>
      <w:r w:rsidRPr="00F852C4">
        <w:rPr>
          <w:rFonts w:asciiTheme="minorHAnsi" w:hAnsiTheme="minorHAnsi" w:cstheme="minorHAnsi"/>
          <w:color w:val="auto"/>
        </w:rPr>
        <w:t xml:space="preserve">found </w:t>
      </w:r>
      <w:r w:rsidR="00DD5989">
        <w:rPr>
          <w:rFonts w:asciiTheme="minorHAnsi" w:hAnsiTheme="minorHAnsi" w:cstheme="minorHAnsi"/>
          <w:color w:val="auto"/>
        </w:rPr>
        <w:t>using the following link</w:t>
      </w:r>
      <w:r w:rsidRPr="00F852C4">
        <w:rPr>
          <w:rFonts w:asciiTheme="minorHAnsi" w:hAnsiTheme="minorHAnsi" w:cstheme="minorHAnsi"/>
          <w:color w:val="auto"/>
        </w:rPr>
        <w:t xml:space="preserve">: </w:t>
      </w:r>
      <w:r w:rsidR="00DD5989">
        <w:rPr>
          <w:rFonts w:asciiTheme="minorHAnsi" w:hAnsiTheme="minorHAnsi" w:cstheme="minorHAnsi"/>
          <w:color w:val="auto"/>
        </w:rPr>
        <w:t>&lt;</w:t>
      </w:r>
      <w:hyperlink r:id="rId15" w:history="1">
        <w:r w:rsidR="00DD5989" w:rsidRPr="00344E04">
          <w:rPr>
            <w:rStyle w:val="Hyperlink"/>
            <w:rFonts w:asciiTheme="minorHAnsi" w:hAnsiTheme="minorHAnsi" w:cstheme="minorHAnsi"/>
          </w:rPr>
          <w:t>https://figshare.com/articles/Flow_damping_enclosure_for_ISCA_deployments/10630220</w:t>
        </w:r>
      </w:hyperlink>
      <w:r w:rsidR="00DD5989" w:rsidRPr="00344E04">
        <w:rPr>
          <w:rStyle w:val="Hyperlink"/>
          <w:rFonts w:asciiTheme="minorHAnsi" w:hAnsiTheme="minorHAnsi" w:cstheme="minorHAnsi"/>
          <w:color w:val="auto"/>
          <w:u w:val="none"/>
        </w:rPr>
        <w:t>&gt;.</w:t>
      </w:r>
    </w:p>
    <w:p w14:paraId="551068CD" w14:textId="77777777" w:rsidR="001D1056" w:rsidRPr="00F852C4" w:rsidRDefault="001D1056" w:rsidP="00344E04">
      <w:pPr>
        <w:rPr>
          <w:rFonts w:asciiTheme="minorHAnsi" w:hAnsiTheme="minorHAnsi" w:cstheme="minorHAnsi"/>
          <w:color w:val="auto"/>
        </w:rPr>
      </w:pPr>
    </w:p>
    <w:p w14:paraId="586DBCF1" w14:textId="4432FB70" w:rsidR="00630C0A"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rPr>
        <w:t xml:space="preserve">Assemble the laser-cut pieces as demonstrated in </w:t>
      </w:r>
      <w:r w:rsidR="00D37E38" w:rsidRPr="00D37E38">
        <w:rPr>
          <w:rFonts w:asciiTheme="minorHAnsi" w:hAnsiTheme="minorHAnsi" w:cstheme="minorHAnsi"/>
          <w:b/>
          <w:color w:val="auto"/>
        </w:rPr>
        <w:t>Figure 2</w:t>
      </w:r>
      <w:r w:rsidR="00DD5989">
        <w:rPr>
          <w:rFonts w:asciiTheme="minorHAnsi" w:hAnsiTheme="minorHAnsi" w:cstheme="minorHAnsi"/>
          <w:color w:val="auto"/>
        </w:rPr>
        <w:t xml:space="preserve"> </w:t>
      </w:r>
      <w:r w:rsidRPr="00F852C4">
        <w:rPr>
          <w:rFonts w:asciiTheme="minorHAnsi" w:hAnsiTheme="minorHAnsi" w:cstheme="minorHAnsi"/>
          <w:color w:val="auto"/>
        </w:rPr>
        <w:t>using acrylic glue</w:t>
      </w:r>
      <w:r w:rsidR="00725AC1" w:rsidRPr="00F852C4">
        <w:rPr>
          <w:rFonts w:asciiTheme="minorHAnsi" w:hAnsiTheme="minorHAnsi" w:cstheme="minorHAnsi"/>
          <w:color w:val="auto"/>
        </w:rPr>
        <w:t>.</w:t>
      </w:r>
      <w:r w:rsidR="007F73F0" w:rsidRPr="00F852C4">
        <w:rPr>
          <w:rFonts w:asciiTheme="minorHAnsi" w:hAnsiTheme="minorHAnsi" w:cstheme="minorHAnsi"/>
          <w:color w:val="auto"/>
        </w:rPr>
        <w:t xml:space="preserve"> </w:t>
      </w:r>
    </w:p>
    <w:p w14:paraId="637836D9" w14:textId="1B7EEA73" w:rsidR="00630C0A" w:rsidRDefault="00630C0A" w:rsidP="00344E04">
      <w:pPr>
        <w:rPr>
          <w:rFonts w:asciiTheme="minorHAnsi" w:hAnsiTheme="minorHAnsi" w:cstheme="minorHAnsi"/>
          <w:color w:val="auto"/>
        </w:rPr>
      </w:pPr>
    </w:p>
    <w:p w14:paraId="65F0EB4A" w14:textId="2F93570C" w:rsidR="00EA4820" w:rsidRDefault="00630C0A" w:rsidP="00344E04">
      <w:pPr>
        <w:rPr>
          <w:rFonts w:asciiTheme="minorHAnsi" w:hAnsiTheme="minorHAnsi" w:cstheme="minorHAnsi"/>
          <w:color w:val="auto"/>
        </w:rPr>
      </w:pPr>
      <w:r w:rsidRPr="00F852C4">
        <w:rPr>
          <w:rFonts w:asciiTheme="minorHAnsi" w:hAnsiTheme="minorHAnsi" w:cstheme="minorHAnsi"/>
          <w:color w:val="auto"/>
        </w:rPr>
        <w:t xml:space="preserve">NOTE: Assemble the pieces with care. Holes or misalignment can create leaks upon deployment, which </w:t>
      </w:r>
      <w:r w:rsidR="00BB6D51">
        <w:rPr>
          <w:rFonts w:asciiTheme="minorHAnsi" w:hAnsiTheme="minorHAnsi" w:cstheme="minorHAnsi"/>
          <w:color w:val="auto"/>
        </w:rPr>
        <w:t>directly</w:t>
      </w:r>
      <w:r w:rsidRPr="00F852C4">
        <w:rPr>
          <w:rFonts w:asciiTheme="minorHAnsi" w:hAnsiTheme="minorHAnsi" w:cstheme="minorHAnsi"/>
          <w:color w:val="auto"/>
        </w:rPr>
        <w:t xml:space="preserve"> impact</w:t>
      </w:r>
      <w:r w:rsidR="00DD5989">
        <w:rPr>
          <w:rFonts w:asciiTheme="minorHAnsi" w:hAnsiTheme="minorHAnsi" w:cstheme="minorHAnsi"/>
          <w:color w:val="auto"/>
        </w:rPr>
        <w:t>s</w:t>
      </w:r>
      <w:r w:rsidRPr="00F852C4">
        <w:rPr>
          <w:rFonts w:asciiTheme="minorHAnsi" w:hAnsiTheme="minorHAnsi" w:cstheme="minorHAnsi"/>
          <w:color w:val="auto"/>
        </w:rPr>
        <w:t xml:space="preserve"> data quality.</w:t>
      </w:r>
    </w:p>
    <w:p w14:paraId="3F08C089" w14:textId="77777777" w:rsidR="00221278" w:rsidRPr="00F852C4" w:rsidRDefault="00221278" w:rsidP="00344E04">
      <w:pPr>
        <w:rPr>
          <w:rFonts w:asciiTheme="minorHAnsi" w:hAnsiTheme="minorHAnsi" w:cstheme="minorHAnsi"/>
          <w:color w:val="auto"/>
        </w:rPr>
      </w:pPr>
    </w:p>
    <w:p w14:paraId="667F7209" w14:textId="237CF67C"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rPr>
        <w:t>Leave the assembled enclosure to dry overnight.</w:t>
      </w:r>
    </w:p>
    <w:p w14:paraId="4246C2A6" w14:textId="77777777" w:rsidR="00EA4820" w:rsidRPr="00F852C4" w:rsidRDefault="00EA4820" w:rsidP="00344E04">
      <w:pPr>
        <w:rPr>
          <w:rFonts w:asciiTheme="minorHAnsi" w:hAnsiTheme="minorHAnsi" w:cstheme="minorHAnsi"/>
          <w:color w:val="auto"/>
        </w:rPr>
      </w:pPr>
    </w:p>
    <w:p w14:paraId="2FA62C0E" w14:textId="0C08AA33" w:rsidR="00EA4820" w:rsidRPr="00F852C4" w:rsidRDefault="00EA4820" w:rsidP="00344E04">
      <w:pPr>
        <w:numPr>
          <w:ilvl w:val="2"/>
          <w:numId w:val="36"/>
        </w:numPr>
        <w:rPr>
          <w:rFonts w:asciiTheme="minorHAnsi" w:hAnsiTheme="minorHAnsi" w:cstheme="minorHAnsi"/>
        </w:rPr>
      </w:pPr>
      <w:r w:rsidRPr="00221278">
        <w:rPr>
          <w:rFonts w:asciiTheme="minorHAnsi" w:hAnsiTheme="minorHAnsi" w:cstheme="minorHAnsi"/>
          <w:color w:val="auto"/>
        </w:rPr>
        <w:t>Wash</w:t>
      </w:r>
      <w:r w:rsidRPr="00F852C4">
        <w:rPr>
          <w:rFonts w:asciiTheme="minorHAnsi" w:hAnsiTheme="minorHAnsi" w:cstheme="minorHAnsi"/>
          <w:color w:val="auto"/>
        </w:rPr>
        <w:t xml:space="preserve"> the enclosure with deionized water</w:t>
      </w:r>
      <w:r w:rsidR="004D280F" w:rsidRPr="00F852C4">
        <w:rPr>
          <w:rFonts w:asciiTheme="minorHAnsi" w:hAnsiTheme="minorHAnsi" w:cstheme="minorHAnsi"/>
          <w:color w:val="auto"/>
        </w:rPr>
        <w:t>.</w:t>
      </w:r>
      <w:r w:rsidRPr="00F852C4">
        <w:rPr>
          <w:rFonts w:asciiTheme="minorHAnsi" w:hAnsiTheme="minorHAnsi" w:cstheme="minorHAnsi"/>
          <w:color w:val="auto"/>
        </w:rPr>
        <w:t xml:space="preserve"> </w:t>
      </w:r>
    </w:p>
    <w:p w14:paraId="72057E6B" w14:textId="450DBBDE" w:rsidR="004D280F" w:rsidRPr="00F852C4" w:rsidRDefault="004D280F" w:rsidP="00344E04">
      <w:pPr>
        <w:rPr>
          <w:rFonts w:asciiTheme="minorHAnsi" w:hAnsiTheme="minorHAnsi" w:cstheme="minorHAnsi"/>
        </w:rPr>
      </w:pPr>
    </w:p>
    <w:p w14:paraId="5EC90451" w14:textId="4C58BB78" w:rsidR="006B32F6" w:rsidRPr="00344E04" w:rsidRDefault="00886434" w:rsidP="00344E04">
      <w:pPr>
        <w:numPr>
          <w:ilvl w:val="2"/>
          <w:numId w:val="36"/>
        </w:numPr>
        <w:rPr>
          <w:rFonts w:asciiTheme="minorHAnsi" w:hAnsiTheme="minorHAnsi" w:cstheme="minorHAnsi"/>
          <w:color w:val="auto"/>
        </w:rPr>
      </w:pPr>
      <w:r>
        <w:rPr>
          <w:rFonts w:asciiTheme="minorHAnsi" w:hAnsiTheme="minorHAnsi" w:cstheme="minorHAnsi"/>
        </w:rPr>
        <w:lastRenderedPageBreak/>
        <w:t xml:space="preserve">Identify potential leakage by pouring deionized water into </w:t>
      </w:r>
      <w:r w:rsidRPr="00344E04">
        <w:rPr>
          <w:rFonts w:asciiTheme="minorHAnsi" w:hAnsiTheme="minorHAnsi" w:cstheme="minorHAnsi"/>
        </w:rPr>
        <w:t>the enclosure</w:t>
      </w:r>
      <w:r w:rsidR="004D280F" w:rsidRPr="00344E04">
        <w:rPr>
          <w:rFonts w:asciiTheme="minorHAnsi" w:hAnsiTheme="minorHAnsi" w:cstheme="minorHAnsi"/>
          <w:color w:val="auto"/>
        </w:rPr>
        <w:t>.</w:t>
      </w:r>
      <w:r w:rsidR="003A2FE6" w:rsidRPr="00344E04">
        <w:rPr>
          <w:rFonts w:asciiTheme="minorHAnsi" w:hAnsiTheme="minorHAnsi" w:cstheme="minorHAnsi"/>
          <w:color w:val="auto"/>
        </w:rPr>
        <w:t xml:space="preserve"> </w:t>
      </w:r>
      <w:r w:rsidR="006B32F6" w:rsidRPr="00344E04">
        <w:rPr>
          <w:rFonts w:asciiTheme="minorHAnsi" w:hAnsiTheme="minorHAnsi" w:cstheme="minorHAnsi"/>
          <w:color w:val="auto"/>
        </w:rPr>
        <w:t xml:space="preserve">Fix any </w:t>
      </w:r>
      <w:r w:rsidRPr="00344E04">
        <w:rPr>
          <w:rFonts w:asciiTheme="minorHAnsi" w:hAnsiTheme="minorHAnsi" w:cstheme="minorHAnsi"/>
          <w:color w:val="auto"/>
        </w:rPr>
        <w:t xml:space="preserve">potential </w:t>
      </w:r>
      <w:r w:rsidR="006B32F6" w:rsidRPr="00344E04">
        <w:rPr>
          <w:rFonts w:asciiTheme="minorHAnsi" w:hAnsiTheme="minorHAnsi" w:cstheme="minorHAnsi"/>
          <w:color w:val="auto"/>
        </w:rPr>
        <w:t xml:space="preserve">leaking joints by </w:t>
      </w:r>
      <w:r w:rsidR="006B32F6" w:rsidRPr="00344E04">
        <w:rPr>
          <w:rFonts w:asciiTheme="minorHAnsi" w:hAnsiTheme="minorHAnsi" w:cstheme="minorHAnsi"/>
        </w:rPr>
        <w:t>adding more acrylic glue</w:t>
      </w:r>
      <w:r w:rsidR="00DD5989" w:rsidRPr="00344E04">
        <w:rPr>
          <w:rFonts w:asciiTheme="minorHAnsi" w:hAnsiTheme="minorHAnsi" w:cstheme="minorHAnsi"/>
        </w:rPr>
        <w:t>,</w:t>
      </w:r>
      <w:r w:rsidR="006B32F6" w:rsidRPr="00344E04">
        <w:rPr>
          <w:rFonts w:asciiTheme="minorHAnsi" w:hAnsiTheme="minorHAnsi" w:cstheme="minorHAnsi"/>
        </w:rPr>
        <w:t xml:space="preserve"> then repeat steps 2.2.3</w:t>
      </w:r>
      <w:r w:rsidR="00DD5989" w:rsidRPr="00344E04">
        <w:rPr>
          <w:rFonts w:asciiTheme="minorHAnsi" w:hAnsiTheme="minorHAnsi" w:cstheme="minorHAnsi"/>
          <w:color w:val="auto"/>
        </w:rPr>
        <w:t>–</w:t>
      </w:r>
      <w:r w:rsidR="006B32F6" w:rsidRPr="00344E04">
        <w:rPr>
          <w:rFonts w:asciiTheme="minorHAnsi" w:hAnsiTheme="minorHAnsi" w:cstheme="minorHAnsi"/>
        </w:rPr>
        <w:t>2.2.</w:t>
      </w:r>
      <w:r w:rsidR="003A2FE6" w:rsidRPr="00344E04">
        <w:rPr>
          <w:rFonts w:asciiTheme="minorHAnsi" w:hAnsiTheme="minorHAnsi" w:cstheme="minorHAnsi"/>
        </w:rPr>
        <w:t>5</w:t>
      </w:r>
      <w:r w:rsidR="006B32F6" w:rsidRPr="00344E04">
        <w:rPr>
          <w:rFonts w:asciiTheme="minorHAnsi" w:hAnsiTheme="minorHAnsi" w:cstheme="minorHAnsi"/>
        </w:rPr>
        <w:t>.</w:t>
      </w:r>
    </w:p>
    <w:p w14:paraId="6F76526C" w14:textId="51764F4B" w:rsidR="00EA4820" w:rsidRDefault="00EA4820" w:rsidP="00344E04">
      <w:pPr>
        <w:rPr>
          <w:rFonts w:asciiTheme="minorHAnsi" w:hAnsiTheme="minorHAnsi" w:cstheme="minorHAnsi"/>
          <w:b/>
          <w:color w:val="auto"/>
        </w:rPr>
      </w:pPr>
    </w:p>
    <w:p w14:paraId="1419C4C5" w14:textId="031CC57C" w:rsidR="003A2FE6" w:rsidRPr="003A2FE6" w:rsidRDefault="00827DF2" w:rsidP="00344E04">
      <w:pPr>
        <w:numPr>
          <w:ilvl w:val="2"/>
          <w:numId w:val="36"/>
        </w:numPr>
        <w:rPr>
          <w:rFonts w:asciiTheme="minorHAnsi" w:hAnsiTheme="minorHAnsi" w:cstheme="minorHAnsi"/>
          <w:color w:val="auto"/>
        </w:rPr>
      </w:pPr>
      <w:r>
        <w:rPr>
          <w:rFonts w:asciiTheme="minorHAnsi" w:hAnsiTheme="minorHAnsi" w:cstheme="minorHAnsi"/>
          <w:shd w:val="clear" w:color="auto" w:fill="FFFFFF"/>
        </w:rPr>
        <w:t>Cut</w:t>
      </w:r>
      <w:r w:rsidR="00630C0A" w:rsidRPr="00F852C4">
        <w:rPr>
          <w:rFonts w:asciiTheme="minorHAnsi" w:hAnsiTheme="minorHAnsi" w:cstheme="minorHAnsi"/>
          <w:shd w:val="clear" w:color="auto" w:fill="FFFFFF"/>
        </w:rPr>
        <w:t xml:space="preserve"> the screw threads in</w:t>
      </w:r>
      <w:r w:rsidR="009D6916">
        <w:rPr>
          <w:rFonts w:asciiTheme="minorHAnsi" w:hAnsiTheme="minorHAnsi" w:cstheme="minorHAnsi"/>
          <w:shd w:val="clear" w:color="auto" w:fill="FFFFFF"/>
        </w:rPr>
        <w:t>to</w:t>
      </w:r>
      <w:r w:rsidR="00630C0A" w:rsidRPr="00F852C4">
        <w:rPr>
          <w:rFonts w:asciiTheme="minorHAnsi" w:hAnsiTheme="minorHAnsi" w:cstheme="minorHAnsi"/>
          <w:shd w:val="clear" w:color="auto" w:fill="FFFFFF"/>
        </w:rPr>
        <w:t xml:space="preserve"> the acrylic piece that will be used to </w:t>
      </w:r>
      <w:r w:rsidR="00CC5B95">
        <w:rPr>
          <w:rFonts w:asciiTheme="minorHAnsi" w:hAnsiTheme="minorHAnsi" w:cstheme="minorHAnsi"/>
          <w:shd w:val="clear" w:color="auto" w:fill="FFFFFF"/>
        </w:rPr>
        <w:t>secure</w:t>
      </w:r>
      <w:r w:rsidR="00630C0A" w:rsidRPr="00F852C4">
        <w:rPr>
          <w:rFonts w:asciiTheme="minorHAnsi" w:hAnsiTheme="minorHAnsi" w:cstheme="minorHAnsi"/>
          <w:shd w:val="clear" w:color="auto" w:fill="FFFFFF"/>
        </w:rPr>
        <w:t xml:space="preserve"> the ISCA.</w:t>
      </w:r>
      <w:r w:rsidR="00CA0B5A">
        <w:rPr>
          <w:rFonts w:asciiTheme="minorHAnsi" w:hAnsiTheme="minorHAnsi" w:cstheme="minorHAnsi"/>
          <w:shd w:val="clear" w:color="auto" w:fill="FFFFFF"/>
        </w:rPr>
        <w:t xml:space="preserve"> This </w:t>
      </w:r>
      <w:r w:rsidR="00DD5989">
        <w:rPr>
          <w:rFonts w:asciiTheme="minorHAnsi" w:hAnsiTheme="minorHAnsi" w:cstheme="minorHAnsi"/>
          <w:shd w:val="clear" w:color="auto" w:fill="FFFFFF"/>
        </w:rPr>
        <w:t>can be</w:t>
      </w:r>
      <w:r w:rsidR="00CA0B5A">
        <w:rPr>
          <w:rFonts w:asciiTheme="minorHAnsi" w:hAnsiTheme="minorHAnsi" w:cstheme="minorHAnsi"/>
          <w:shd w:val="clear" w:color="auto" w:fill="FFFFFF"/>
        </w:rPr>
        <w:t xml:space="preserve"> achieved using a tap with </w:t>
      </w:r>
      <w:r w:rsidR="00DD5989">
        <w:rPr>
          <w:rFonts w:asciiTheme="minorHAnsi" w:hAnsiTheme="minorHAnsi" w:cstheme="minorHAnsi"/>
          <w:shd w:val="clear" w:color="auto" w:fill="FFFFFF"/>
        </w:rPr>
        <w:t xml:space="preserve">a </w:t>
      </w:r>
      <w:r w:rsidR="00CA0B5A">
        <w:rPr>
          <w:rFonts w:asciiTheme="minorHAnsi" w:hAnsiTheme="minorHAnsi" w:cstheme="minorHAnsi"/>
          <w:shd w:val="clear" w:color="auto" w:fill="FFFFFF"/>
        </w:rPr>
        <w:t xml:space="preserve">diameter and pitch matching the mounting screws. </w:t>
      </w:r>
    </w:p>
    <w:p w14:paraId="33AC9505" w14:textId="77777777" w:rsidR="003A2FE6" w:rsidRDefault="003A2FE6" w:rsidP="00344E04">
      <w:pPr>
        <w:pStyle w:val="ListParagraph"/>
        <w:rPr>
          <w:rFonts w:asciiTheme="minorHAnsi" w:hAnsiTheme="minorHAnsi" w:cstheme="minorHAnsi"/>
          <w:shd w:val="clear" w:color="auto" w:fill="FFFFFF"/>
        </w:rPr>
      </w:pPr>
    </w:p>
    <w:p w14:paraId="1DFA45D4" w14:textId="65FB2C05" w:rsidR="003A2FE6" w:rsidRPr="003A2FE6" w:rsidRDefault="00886434" w:rsidP="00344E04">
      <w:pPr>
        <w:numPr>
          <w:ilvl w:val="3"/>
          <w:numId w:val="36"/>
        </w:numPr>
        <w:rPr>
          <w:rFonts w:asciiTheme="minorHAnsi" w:hAnsiTheme="minorHAnsi" w:cstheme="minorHAnsi"/>
          <w:color w:val="auto"/>
        </w:rPr>
      </w:pPr>
      <w:r>
        <w:rPr>
          <w:rFonts w:asciiTheme="minorHAnsi" w:hAnsiTheme="minorHAnsi" w:cstheme="minorHAnsi"/>
          <w:shd w:val="clear" w:color="auto" w:fill="FFFFFF"/>
        </w:rPr>
        <w:t>First</w:t>
      </w:r>
      <w:r w:rsidR="00B147E8">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00CA0B5A">
        <w:rPr>
          <w:rFonts w:asciiTheme="minorHAnsi" w:hAnsiTheme="minorHAnsi" w:cstheme="minorHAnsi"/>
          <w:shd w:val="clear" w:color="auto" w:fill="FFFFFF"/>
        </w:rPr>
        <w:t>affix</w:t>
      </w:r>
      <w:r w:rsidR="0011052B">
        <w:rPr>
          <w:rFonts w:asciiTheme="minorHAnsi" w:hAnsiTheme="minorHAnsi" w:cstheme="minorHAnsi"/>
          <w:shd w:val="clear" w:color="auto" w:fill="FFFFFF"/>
        </w:rPr>
        <w:t xml:space="preserve"> the</w:t>
      </w:r>
      <w:r>
        <w:rPr>
          <w:rFonts w:asciiTheme="minorHAnsi" w:hAnsiTheme="minorHAnsi" w:cstheme="minorHAnsi"/>
          <w:shd w:val="clear" w:color="auto" w:fill="FFFFFF"/>
        </w:rPr>
        <w:t xml:space="preserve"> </w:t>
      </w:r>
      <w:r w:rsidR="0011052B">
        <w:rPr>
          <w:rFonts w:asciiTheme="minorHAnsi" w:hAnsiTheme="minorHAnsi" w:cstheme="minorHAnsi"/>
          <w:shd w:val="clear" w:color="auto" w:fill="FFFFFF"/>
        </w:rPr>
        <w:t xml:space="preserve">tap into a </w:t>
      </w:r>
      <w:r w:rsidR="00CA0B5A">
        <w:rPr>
          <w:rFonts w:asciiTheme="minorHAnsi" w:hAnsiTheme="minorHAnsi" w:cstheme="minorHAnsi"/>
          <w:shd w:val="clear" w:color="auto" w:fill="FFFFFF"/>
        </w:rPr>
        <w:t xml:space="preserve">tap </w:t>
      </w:r>
      <w:r w:rsidR="0011052B">
        <w:rPr>
          <w:rFonts w:asciiTheme="minorHAnsi" w:hAnsiTheme="minorHAnsi" w:cstheme="minorHAnsi"/>
          <w:shd w:val="clear" w:color="auto" w:fill="FFFFFF"/>
        </w:rPr>
        <w:t xml:space="preserve">wrench, </w:t>
      </w:r>
      <w:r>
        <w:rPr>
          <w:rFonts w:asciiTheme="minorHAnsi" w:hAnsiTheme="minorHAnsi" w:cstheme="minorHAnsi"/>
          <w:shd w:val="clear" w:color="auto" w:fill="FFFFFF"/>
        </w:rPr>
        <w:t>the</w:t>
      </w:r>
      <w:r w:rsidR="0011052B">
        <w:rPr>
          <w:rFonts w:asciiTheme="minorHAnsi" w:hAnsiTheme="minorHAnsi" w:cstheme="minorHAnsi"/>
          <w:shd w:val="clear" w:color="auto" w:fill="FFFFFF"/>
        </w:rPr>
        <w:t>n secure the</w:t>
      </w:r>
      <w:r>
        <w:rPr>
          <w:rFonts w:asciiTheme="minorHAnsi" w:hAnsiTheme="minorHAnsi" w:cstheme="minorHAnsi"/>
          <w:shd w:val="clear" w:color="auto" w:fill="FFFFFF"/>
        </w:rPr>
        <w:t xml:space="preserve"> acryl</w:t>
      </w:r>
      <w:r w:rsidR="0011052B">
        <w:rPr>
          <w:rFonts w:asciiTheme="minorHAnsi" w:hAnsiTheme="minorHAnsi" w:cstheme="minorHAnsi"/>
          <w:shd w:val="clear" w:color="auto" w:fill="FFFFFF"/>
        </w:rPr>
        <w:t xml:space="preserve">ic piece to be tapped in a </w:t>
      </w:r>
      <w:r w:rsidR="00CA0B5A">
        <w:rPr>
          <w:rFonts w:asciiTheme="minorHAnsi" w:hAnsiTheme="minorHAnsi" w:cstheme="minorHAnsi"/>
          <w:shd w:val="clear" w:color="auto" w:fill="FFFFFF"/>
        </w:rPr>
        <w:t xml:space="preserve">benchtop </w:t>
      </w:r>
      <w:r w:rsidR="0011052B">
        <w:rPr>
          <w:rFonts w:asciiTheme="minorHAnsi" w:hAnsiTheme="minorHAnsi" w:cstheme="minorHAnsi"/>
          <w:shd w:val="clear" w:color="auto" w:fill="FFFFFF"/>
        </w:rPr>
        <w:t>vice.</w:t>
      </w:r>
      <w:r w:rsidR="00CA0B5A">
        <w:rPr>
          <w:rFonts w:asciiTheme="minorHAnsi" w:hAnsiTheme="minorHAnsi" w:cstheme="minorHAnsi"/>
          <w:shd w:val="clear" w:color="auto" w:fill="FFFFFF"/>
        </w:rPr>
        <w:t xml:space="preserve"> For the best result</w:t>
      </w:r>
      <w:r w:rsidR="00DD5989">
        <w:rPr>
          <w:rFonts w:asciiTheme="minorHAnsi" w:hAnsiTheme="minorHAnsi" w:cstheme="minorHAnsi"/>
          <w:shd w:val="clear" w:color="auto" w:fill="FFFFFF"/>
        </w:rPr>
        <w:t>s,</w:t>
      </w:r>
      <w:r w:rsidR="00CA0B5A">
        <w:rPr>
          <w:rFonts w:asciiTheme="minorHAnsi" w:hAnsiTheme="minorHAnsi" w:cstheme="minorHAnsi"/>
          <w:shd w:val="clear" w:color="auto" w:fill="FFFFFF"/>
        </w:rPr>
        <w:t xml:space="preserve"> make sure the acrylic piece is as level as possible.</w:t>
      </w:r>
      <w:r>
        <w:rPr>
          <w:rFonts w:asciiTheme="minorHAnsi" w:hAnsiTheme="minorHAnsi" w:cstheme="minorHAnsi"/>
          <w:shd w:val="clear" w:color="auto" w:fill="FFFFFF"/>
        </w:rPr>
        <w:t xml:space="preserve"> </w:t>
      </w:r>
      <w:r w:rsidR="0011052B">
        <w:rPr>
          <w:rFonts w:asciiTheme="minorHAnsi" w:hAnsiTheme="minorHAnsi" w:cstheme="minorHAnsi"/>
          <w:shd w:val="clear" w:color="auto" w:fill="FFFFFF"/>
        </w:rPr>
        <w:t>M</w:t>
      </w:r>
      <w:r>
        <w:rPr>
          <w:rFonts w:asciiTheme="minorHAnsi" w:hAnsiTheme="minorHAnsi" w:cstheme="minorHAnsi"/>
          <w:shd w:val="clear" w:color="auto" w:fill="FFFFFF"/>
        </w:rPr>
        <w:t xml:space="preserve">ake sure that the tap </w:t>
      </w:r>
      <w:r w:rsidR="0011052B">
        <w:rPr>
          <w:rFonts w:asciiTheme="minorHAnsi" w:hAnsiTheme="minorHAnsi" w:cstheme="minorHAnsi"/>
          <w:shd w:val="clear" w:color="auto" w:fill="FFFFFF"/>
        </w:rPr>
        <w:t xml:space="preserve">is </w:t>
      </w:r>
      <w:r>
        <w:rPr>
          <w:rFonts w:asciiTheme="minorHAnsi" w:hAnsiTheme="minorHAnsi" w:cstheme="minorHAnsi"/>
          <w:shd w:val="clear" w:color="auto" w:fill="FFFFFF"/>
        </w:rPr>
        <w:t xml:space="preserve">perpendicular </w:t>
      </w:r>
      <w:r w:rsidR="0011052B">
        <w:rPr>
          <w:rFonts w:asciiTheme="minorHAnsi" w:hAnsiTheme="minorHAnsi" w:cstheme="minorHAnsi"/>
          <w:shd w:val="clear" w:color="auto" w:fill="FFFFFF"/>
        </w:rPr>
        <w:t>to the acrylic piece and start</w:t>
      </w:r>
      <w:r>
        <w:rPr>
          <w:rFonts w:asciiTheme="minorHAnsi" w:hAnsiTheme="minorHAnsi" w:cstheme="minorHAnsi"/>
          <w:shd w:val="clear" w:color="auto" w:fill="FFFFFF"/>
        </w:rPr>
        <w:t xml:space="preserve"> turn</w:t>
      </w:r>
      <w:r w:rsidR="0011052B">
        <w:rPr>
          <w:rFonts w:asciiTheme="minorHAnsi" w:hAnsiTheme="minorHAnsi" w:cstheme="minorHAnsi"/>
          <w:shd w:val="clear" w:color="auto" w:fill="FFFFFF"/>
        </w:rPr>
        <w:t>ing</w:t>
      </w:r>
      <w:r>
        <w:rPr>
          <w:rFonts w:asciiTheme="minorHAnsi" w:hAnsiTheme="minorHAnsi" w:cstheme="minorHAnsi"/>
          <w:shd w:val="clear" w:color="auto" w:fill="FFFFFF"/>
        </w:rPr>
        <w:t xml:space="preserve"> the </w:t>
      </w:r>
      <w:r w:rsidR="00D065FD">
        <w:rPr>
          <w:rFonts w:asciiTheme="minorHAnsi" w:hAnsiTheme="minorHAnsi" w:cstheme="minorHAnsi"/>
          <w:shd w:val="clear" w:color="auto" w:fill="FFFFFF"/>
        </w:rPr>
        <w:t xml:space="preserve">tap </w:t>
      </w:r>
      <w:r w:rsidR="0011052B">
        <w:rPr>
          <w:rFonts w:asciiTheme="minorHAnsi" w:hAnsiTheme="minorHAnsi" w:cstheme="minorHAnsi"/>
          <w:shd w:val="clear" w:color="auto" w:fill="FFFFFF"/>
        </w:rPr>
        <w:t>wrench</w:t>
      </w:r>
      <w:r w:rsidR="00D065FD">
        <w:rPr>
          <w:rFonts w:asciiTheme="minorHAnsi" w:hAnsiTheme="minorHAnsi" w:cstheme="minorHAnsi"/>
          <w:shd w:val="clear" w:color="auto" w:fill="FFFFFF"/>
        </w:rPr>
        <w:t xml:space="preserve"> (clockwise),</w:t>
      </w:r>
      <w:r w:rsidR="0011052B">
        <w:rPr>
          <w:rFonts w:asciiTheme="minorHAnsi" w:hAnsiTheme="minorHAnsi" w:cstheme="minorHAnsi"/>
          <w:shd w:val="clear" w:color="auto" w:fill="FFFFFF"/>
        </w:rPr>
        <w:t xml:space="preserve"> applying light pressure to the tap. </w:t>
      </w:r>
    </w:p>
    <w:p w14:paraId="4DC30725" w14:textId="77777777" w:rsidR="003A2FE6" w:rsidRPr="003A2FE6" w:rsidRDefault="003A2FE6" w:rsidP="00344E04">
      <w:pPr>
        <w:rPr>
          <w:rFonts w:asciiTheme="minorHAnsi" w:hAnsiTheme="minorHAnsi" w:cstheme="minorHAnsi"/>
          <w:color w:val="auto"/>
        </w:rPr>
      </w:pPr>
    </w:p>
    <w:p w14:paraId="66CF2D04" w14:textId="28DD439B" w:rsidR="003A2FE6" w:rsidRPr="003A2FE6" w:rsidRDefault="0011052B" w:rsidP="00344E04">
      <w:pPr>
        <w:numPr>
          <w:ilvl w:val="3"/>
          <w:numId w:val="36"/>
        </w:numPr>
        <w:rPr>
          <w:rFonts w:asciiTheme="minorHAnsi" w:hAnsiTheme="minorHAnsi" w:cstheme="minorHAnsi"/>
          <w:color w:val="auto"/>
        </w:rPr>
      </w:pPr>
      <w:r>
        <w:rPr>
          <w:rFonts w:asciiTheme="minorHAnsi" w:hAnsiTheme="minorHAnsi" w:cstheme="minorHAnsi"/>
          <w:shd w:val="clear" w:color="auto" w:fill="FFFFFF"/>
        </w:rPr>
        <w:t xml:space="preserve">After </w:t>
      </w:r>
      <w:r w:rsidR="00DD5989">
        <w:rPr>
          <w:rFonts w:asciiTheme="minorHAnsi" w:hAnsiTheme="minorHAnsi" w:cstheme="minorHAnsi"/>
          <w:shd w:val="clear" w:color="auto" w:fill="FFFFFF"/>
        </w:rPr>
        <w:t>several</w:t>
      </w:r>
      <w:r>
        <w:rPr>
          <w:rFonts w:asciiTheme="minorHAnsi" w:hAnsiTheme="minorHAnsi" w:cstheme="minorHAnsi"/>
          <w:shd w:val="clear" w:color="auto" w:fill="FFFFFF"/>
        </w:rPr>
        <w:t xml:space="preserve"> full revolutions in the acrylic piece,</w:t>
      </w:r>
      <w:r w:rsidR="00D065FD">
        <w:rPr>
          <w:rFonts w:asciiTheme="minorHAnsi" w:hAnsiTheme="minorHAnsi" w:cstheme="minorHAnsi"/>
          <w:shd w:val="clear" w:color="auto" w:fill="FFFFFF"/>
        </w:rPr>
        <w:t xml:space="preserve"> reverse the rotation of the tap (counterclockwise)</w:t>
      </w:r>
      <w:r w:rsidR="00755213">
        <w:rPr>
          <w:rFonts w:asciiTheme="minorHAnsi" w:hAnsiTheme="minorHAnsi" w:cstheme="minorHAnsi"/>
          <w:shd w:val="clear" w:color="auto" w:fill="FFFFFF"/>
        </w:rPr>
        <w:t xml:space="preserve"> for </w:t>
      </w:r>
      <w:r w:rsidR="00DD5989">
        <w:rPr>
          <w:rFonts w:asciiTheme="minorHAnsi" w:hAnsiTheme="minorHAnsi" w:cstheme="minorHAnsi"/>
          <w:shd w:val="clear" w:color="auto" w:fill="FFFFFF"/>
        </w:rPr>
        <w:t>one-quarter of a</w:t>
      </w:r>
      <w:r w:rsidR="00755213">
        <w:rPr>
          <w:rFonts w:asciiTheme="minorHAnsi" w:hAnsiTheme="minorHAnsi" w:cstheme="minorHAnsi"/>
          <w:shd w:val="clear" w:color="auto" w:fill="FFFFFF"/>
        </w:rPr>
        <w:t xml:space="preserve"> rotation</w:t>
      </w:r>
      <w:r w:rsidR="00D065FD">
        <w:rPr>
          <w:rFonts w:asciiTheme="minorHAnsi" w:hAnsiTheme="minorHAnsi" w:cstheme="minorHAnsi"/>
          <w:shd w:val="clear" w:color="auto" w:fill="FFFFFF"/>
        </w:rPr>
        <w:t xml:space="preserve"> to clear acrylic from the tap. Repeat the process until the entire depth of the acrylic piece is tapped.</w:t>
      </w:r>
      <w:r>
        <w:rPr>
          <w:rFonts w:asciiTheme="minorHAnsi" w:hAnsiTheme="minorHAnsi" w:cstheme="minorHAnsi"/>
          <w:shd w:val="clear" w:color="auto" w:fill="FFFFFF"/>
        </w:rPr>
        <w:t xml:space="preserve"> </w:t>
      </w:r>
    </w:p>
    <w:p w14:paraId="3C9D6836" w14:textId="77777777" w:rsidR="003A2FE6" w:rsidRDefault="003A2FE6" w:rsidP="00344E04">
      <w:pPr>
        <w:pStyle w:val="ListParagraph"/>
        <w:rPr>
          <w:rFonts w:asciiTheme="minorHAnsi" w:hAnsiTheme="minorHAnsi" w:cstheme="minorHAnsi"/>
          <w:shd w:val="clear" w:color="auto" w:fill="FFFFFF"/>
        </w:rPr>
      </w:pPr>
    </w:p>
    <w:p w14:paraId="487A3E2F" w14:textId="7C7670B8" w:rsidR="00630C0A" w:rsidRPr="00F852C4" w:rsidRDefault="0011052B" w:rsidP="00344E04">
      <w:pPr>
        <w:numPr>
          <w:ilvl w:val="3"/>
          <w:numId w:val="36"/>
        </w:numPr>
        <w:rPr>
          <w:rFonts w:asciiTheme="minorHAnsi" w:hAnsiTheme="minorHAnsi" w:cstheme="minorHAnsi"/>
          <w:color w:val="auto"/>
        </w:rPr>
      </w:pPr>
      <w:r>
        <w:rPr>
          <w:rFonts w:asciiTheme="minorHAnsi" w:hAnsiTheme="minorHAnsi" w:cstheme="minorHAnsi"/>
          <w:shd w:val="clear" w:color="auto" w:fill="FFFFFF"/>
        </w:rPr>
        <w:t xml:space="preserve">Finally, </w:t>
      </w:r>
      <w:r w:rsidR="00D065FD">
        <w:rPr>
          <w:rFonts w:asciiTheme="minorHAnsi" w:hAnsiTheme="minorHAnsi" w:cstheme="minorHAnsi"/>
          <w:shd w:val="clear" w:color="auto" w:fill="FFFFFF"/>
        </w:rPr>
        <w:t>remove the tap (turning counterclockwise)</w:t>
      </w:r>
      <w:r w:rsidR="00CC5B95">
        <w:rPr>
          <w:rFonts w:asciiTheme="minorHAnsi" w:hAnsiTheme="minorHAnsi" w:cstheme="minorHAnsi"/>
          <w:shd w:val="clear" w:color="auto" w:fill="FFFFFF"/>
        </w:rPr>
        <w:t xml:space="preserve"> and test the threads using a screw.</w:t>
      </w:r>
    </w:p>
    <w:p w14:paraId="42CCBFD2" w14:textId="77777777" w:rsidR="00630C0A" w:rsidRPr="00F852C4" w:rsidRDefault="00630C0A" w:rsidP="00344E04">
      <w:pPr>
        <w:rPr>
          <w:rFonts w:asciiTheme="minorHAnsi" w:hAnsiTheme="minorHAnsi" w:cstheme="minorHAnsi"/>
          <w:b/>
          <w:color w:val="auto"/>
        </w:rPr>
      </w:pPr>
    </w:p>
    <w:p w14:paraId="2944E80E" w14:textId="56ED652D" w:rsidR="00EA4820" w:rsidRPr="00F852C4" w:rsidRDefault="00EA4820" w:rsidP="00344E04">
      <w:pPr>
        <w:numPr>
          <w:ilvl w:val="0"/>
          <w:numId w:val="36"/>
        </w:numPr>
        <w:rPr>
          <w:rFonts w:asciiTheme="minorHAnsi" w:hAnsiTheme="minorHAnsi" w:cstheme="minorHAnsi"/>
          <w:b/>
          <w:color w:val="auto"/>
        </w:rPr>
      </w:pPr>
      <w:r w:rsidRPr="00F852C4">
        <w:rPr>
          <w:rFonts w:asciiTheme="minorHAnsi" w:hAnsiTheme="minorHAnsi" w:cstheme="minorHAnsi"/>
          <w:b/>
          <w:color w:val="auto"/>
          <w:highlight w:val="yellow"/>
        </w:rPr>
        <w:t>Procedure in the field</w:t>
      </w:r>
    </w:p>
    <w:p w14:paraId="53872D70" w14:textId="77777777" w:rsidR="00EA4820" w:rsidRPr="00F852C4" w:rsidRDefault="00EA4820" w:rsidP="00344E04">
      <w:pPr>
        <w:rPr>
          <w:rFonts w:asciiTheme="minorHAnsi" w:hAnsiTheme="minorHAnsi" w:cstheme="minorHAnsi"/>
          <w:b/>
          <w:color w:val="auto"/>
        </w:rPr>
      </w:pPr>
    </w:p>
    <w:p w14:paraId="03E6FF0D" w14:textId="6C4F5579"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Water filtration</w:t>
      </w:r>
    </w:p>
    <w:p w14:paraId="4FD355A3" w14:textId="77777777" w:rsidR="00EA4820" w:rsidRPr="00F852C4" w:rsidRDefault="00EA4820" w:rsidP="00344E04">
      <w:pPr>
        <w:rPr>
          <w:rFonts w:asciiTheme="minorHAnsi" w:hAnsiTheme="minorHAnsi" w:cstheme="minorHAnsi"/>
          <w:b/>
          <w:color w:val="auto"/>
        </w:rPr>
      </w:pPr>
    </w:p>
    <w:p w14:paraId="53028354" w14:textId="4E0E6786" w:rsidR="00EA4820" w:rsidRPr="003A2FE6" w:rsidRDefault="00EA4820" w:rsidP="00344E04">
      <w:pPr>
        <w:numPr>
          <w:ilvl w:val="2"/>
          <w:numId w:val="36"/>
        </w:numPr>
        <w:rPr>
          <w:rFonts w:asciiTheme="minorHAnsi" w:hAnsiTheme="minorHAnsi" w:cstheme="minorHAnsi"/>
          <w:i/>
          <w:color w:val="auto"/>
        </w:rPr>
      </w:pPr>
      <w:r w:rsidRPr="00F852C4">
        <w:rPr>
          <w:rFonts w:asciiTheme="minorHAnsi" w:hAnsiTheme="minorHAnsi" w:cstheme="minorHAnsi"/>
          <w:color w:val="auto"/>
          <w:highlight w:val="yellow"/>
        </w:rPr>
        <w:t>Collect water from the field site when ready to start the experi</w:t>
      </w:r>
      <w:r w:rsidRPr="003A2FE6">
        <w:rPr>
          <w:rFonts w:asciiTheme="minorHAnsi" w:hAnsiTheme="minorHAnsi" w:cstheme="minorHAnsi"/>
          <w:color w:val="auto"/>
          <w:highlight w:val="yellow"/>
        </w:rPr>
        <w:t>ment.</w:t>
      </w:r>
      <w:r w:rsidR="003A2FE6">
        <w:rPr>
          <w:rFonts w:asciiTheme="minorHAnsi" w:hAnsiTheme="minorHAnsi" w:cstheme="minorHAnsi"/>
          <w:color w:val="auto"/>
          <w:highlight w:val="yellow"/>
        </w:rPr>
        <w:t xml:space="preserve"> </w:t>
      </w:r>
      <w:r w:rsidRPr="003A2FE6">
        <w:rPr>
          <w:rFonts w:asciiTheme="minorHAnsi" w:hAnsiTheme="minorHAnsi" w:cstheme="minorHAnsi"/>
          <w:color w:val="auto"/>
          <w:highlight w:val="yellow"/>
        </w:rPr>
        <w:t>Filter 5</w:t>
      </w:r>
      <w:r w:rsidR="00D37E38">
        <w:rPr>
          <w:rFonts w:asciiTheme="minorHAnsi" w:hAnsiTheme="minorHAnsi" w:cstheme="minorHAnsi"/>
          <w:color w:val="auto"/>
          <w:highlight w:val="yellow"/>
        </w:rPr>
        <w:t xml:space="preserve"> mL</w:t>
      </w:r>
      <w:r w:rsidRPr="003A2FE6">
        <w:rPr>
          <w:rFonts w:asciiTheme="minorHAnsi" w:hAnsiTheme="minorHAnsi" w:cstheme="minorHAnsi"/>
          <w:color w:val="auto"/>
          <w:highlight w:val="yellow"/>
        </w:rPr>
        <w:t xml:space="preserve"> </w:t>
      </w:r>
      <w:r w:rsidR="008C37C1" w:rsidRPr="003A2FE6">
        <w:rPr>
          <w:rFonts w:asciiTheme="minorHAnsi" w:hAnsiTheme="minorHAnsi" w:cstheme="minorHAnsi"/>
          <w:color w:val="auto"/>
          <w:highlight w:val="yellow"/>
        </w:rPr>
        <w:t xml:space="preserve">of water </w:t>
      </w:r>
      <w:r w:rsidRPr="003A2FE6">
        <w:rPr>
          <w:rFonts w:asciiTheme="minorHAnsi" w:hAnsiTheme="minorHAnsi" w:cstheme="minorHAnsi"/>
          <w:color w:val="auto"/>
          <w:highlight w:val="yellow"/>
        </w:rPr>
        <w:t xml:space="preserve">per ISCA through a 0.2 µm </w:t>
      </w:r>
      <w:r w:rsidR="00DC1D20" w:rsidRPr="003A2FE6">
        <w:rPr>
          <w:rFonts w:asciiTheme="minorHAnsi" w:hAnsiTheme="minorHAnsi" w:cstheme="minorHAnsi"/>
          <w:color w:val="auto"/>
          <w:highlight w:val="yellow"/>
        </w:rPr>
        <w:t xml:space="preserve">syringe </w:t>
      </w:r>
      <w:r w:rsidRPr="003A2FE6">
        <w:rPr>
          <w:rFonts w:asciiTheme="minorHAnsi" w:hAnsiTheme="minorHAnsi" w:cstheme="minorHAnsi"/>
          <w:color w:val="auto"/>
          <w:highlight w:val="yellow"/>
        </w:rPr>
        <w:t xml:space="preserve">filter </w:t>
      </w:r>
      <w:r w:rsidR="00DD5989">
        <w:rPr>
          <w:rFonts w:asciiTheme="minorHAnsi" w:hAnsiTheme="minorHAnsi" w:cstheme="minorHAnsi"/>
          <w:color w:val="auto"/>
          <w:highlight w:val="yellow"/>
        </w:rPr>
        <w:t>(</w:t>
      </w:r>
      <w:r w:rsidRPr="003A2FE6">
        <w:rPr>
          <w:rFonts w:asciiTheme="minorHAnsi" w:hAnsiTheme="minorHAnsi" w:cstheme="minorHAnsi"/>
          <w:color w:val="auto"/>
          <w:highlight w:val="yellow"/>
        </w:rPr>
        <w:t>with a 50</w:t>
      </w:r>
      <w:r w:rsidR="00D37E38">
        <w:rPr>
          <w:rFonts w:asciiTheme="minorHAnsi" w:hAnsiTheme="minorHAnsi" w:cstheme="minorHAnsi"/>
          <w:color w:val="auto"/>
          <w:highlight w:val="yellow"/>
        </w:rPr>
        <w:t xml:space="preserve"> mL</w:t>
      </w:r>
      <w:r w:rsidRPr="003A2FE6">
        <w:rPr>
          <w:rFonts w:asciiTheme="minorHAnsi" w:hAnsiTheme="minorHAnsi" w:cstheme="minorHAnsi"/>
          <w:color w:val="auto"/>
          <w:highlight w:val="yellow"/>
        </w:rPr>
        <w:t xml:space="preserve"> syringe</w:t>
      </w:r>
      <w:r w:rsidR="00DD5989">
        <w:rPr>
          <w:rFonts w:asciiTheme="minorHAnsi" w:hAnsiTheme="minorHAnsi" w:cstheme="minorHAnsi"/>
          <w:color w:val="auto"/>
          <w:highlight w:val="yellow"/>
        </w:rPr>
        <w:t>)</w:t>
      </w:r>
      <w:r w:rsidRPr="003A2FE6">
        <w:rPr>
          <w:rFonts w:asciiTheme="minorHAnsi" w:hAnsiTheme="minorHAnsi" w:cstheme="minorHAnsi"/>
          <w:color w:val="auto"/>
          <w:highlight w:val="yellow"/>
        </w:rPr>
        <w:t xml:space="preserve"> into a 50</w:t>
      </w:r>
      <w:r w:rsidR="00D37E38">
        <w:rPr>
          <w:rFonts w:asciiTheme="minorHAnsi" w:hAnsiTheme="minorHAnsi" w:cstheme="minorHAnsi"/>
          <w:color w:val="auto"/>
          <w:highlight w:val="yellow"/>
        </w:rPr>
        <w:t xml:space="preserve"> mL</w:t>
      </w:r>
      <w:r w:rsidRPr="003A2FE6">
        <w:rPr>
          <w:rFonts w:asciiTheme="minorHAnsi" w:hAnsiTheme="minorHAnsi" w:cstheme="minorHAnsi"/>
          <w:color w:val="auto"/>
          <w:highlight w:val="yellow"/>
        </w:rPr>
        <w:t xml:space="preserve"> </w:t>
      </w:r>
      <w:r w:rsidR="00E22C02" w:rsidRPr="003A2FE6">
        <w:rPr>
          <w:rFonts w:asciiTheme="minorHAnsi" w:hAnsiTheme="minorHAnsi" w:cstheme="minorHAnsi"/>
          <w:color w:val="auto"/>
          <w:highlight w:val="yellow"/>
        </w:rPr>
        <w:t>conical centrifuge</w:t>
      </w:r>
      <w:r w:rsidRPr="003A2FE6">
        <w:rPr>
          <w:rFonts w:asciiTheme="minorHAnsi" w:hAnsiTheme="minorHAnsi" w:cstheme="minorHAnsi"/>
          <w:color w:val="auto"/>
          <w:highlight w:val="yellow"/>
        </w:rPr>
        <w:t xml:space="preserve"> tube</w:t>
      </w:r>
      <w:r w:rsidR="00725AC1" w:rsidRPr="003A2FE6">
        <w:rPr>
          <w:rFonts w:asciiTheme="minorHAnsi" w:hAnsiTheme="minorHAnsi" w:cstheme="minorHAnsi"/>
          <w:color w:val="auto"/>
          <w:highlight w:val="yellow"/>
        </w:rPr>
        <w:t>.</w:t>
      </w:r>
    </w:p>
    <w:p w14:paraId="22751D76" w14:textId="77777777" w:rsidR="00EA4820" w:rsidRPr="00F852C4" w:rsidRDefault="00EA4820" w:rsidP="00344E04">
      <w:pPr>
        <w:rPr>
          <w:rFonts w:asciiTheme="minorHAnsi" w:hAnsiTheme="minorHAnsi" w:cstheme="minorHAnsi"/>
          <w:color w:val="auto"/>
        </w:rPr>
      </w:pPr>
    </w:p>
    <w:p w14:paraId="01F7F995" w14:textId="2669371E"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NOTE: Approximately 3</w:t>
      </w:r>
      <w:r w:rsidR="00D37E38">
        <w:rPr>
          <w:rFonts w:asciiTheme="minorHAnsi" w:hAnsiTheme="minorHAnsi" w:cstheme="minorHAnsi"/>
          <w:color w:val="auto"/>
        </w:rPr>
        <w:t xml:space="preserve"> mL</w:t>
      </w:r>
      <w:r w:rsidRPr="00F852C4">
        <w:rPr>
          <w:rFonts w:asciiTheme="minorHAnsi" w:hAnsiTheme="minorHAnsi" w:cstheme="minorHAnsi"/>
          <w:color w:val="auto"/>
        </w:rPr>
        <w:t xml:space="preserve"> of filtered water are required to fill all the wells of an ISCA</w:t>
      </w:r>
      <w:r w:rsidR="00DD5989">
        <w:rPr>
          <w:rFonts w:asciiTheme="minorHAnsi" w:hAnsiTheme="minorHAnsi" w:cstheme="minorHAnsi"/>
          <w:color w:val="auto"/>
        </w:rPr>
        <w:t>;</w:t>
      </w:r>
      <w:r w:rsidRPr="00F852C4">
        <w:rPr>
          <w:rFonts w:asciiTheme="minorHAnsi" w:hAnsiTheme="minorHAnsi" w:cstheme="minorHAnsi"/>
          <w:color w:val="auto"/>
        </w:rPr>
        <w:t xml:space="preserve"> however, </w:t>
      </w:r>
      <w:r w:rsidR="00DD5989">
        <w:rPr>
          <w:rFonts w:asciiTheme="minorHAnsi" w:hAnsiTheme="minorHAnsi" w:cstheme="minorHAnsi"/>
          <w:color w:val="auto"/>
        </w:rPr>
        <w:t>it is</w:t>
      </w:r>
      <w:r w:rsidRPr="00F852C4">
        <w:rPr>
          <w:rFonts w:asciiTheme="minorHAnsi" w:hAnsiTheme="minorHAnsi" w:cstheme="minorHAnsi"/>
          <w:color w:val="auto"/>
        </w:rPr>
        <w:t xml:space="preserve"> recommend</w:t>
      </w:r>
      <w:r w:rsidR="00DD5989">
        <w:rPr>
          <w:rFonts w:asciiTheme="minorHAnsi" w:hAnsiTheme="minorHAnsi" w:cstheme="minorHAnsi"/>
          <w:color w:val="auto"/>
        </w:rPr>
        <w:t>ed to</w:t>
      </w:r>
      <w:r w:rsidRPr="00F852C4">
        <w:rPr>
          <w:rFonts w:asciiTheme="minorHAnsi" w:hAnsiTheme="minorHAnsi" w:cstheme="minorHAnsi"/>
          <w:color w:val="auto"/>
        </w:rPr>
        <w:t xml:space="preserve"> </w:t>
      </w:r>
      <w:r w:rsidR="00DD5989">
        <w:rPr>
          <w:rFonts w:asciiTheme="minorHAnsi" w:hAnsiTheme="minorHAnsi" w:cstheme="minorHAnsi"/>
          <w:color w:val="auto"/>
        </w:rPr>
        <w:t xml:space="preserve">1) </w:t>
      </w:r>
      <w:r w:rsidRPr="00F852C4">
        <w:rPr>
          <w:rFonts w:asciiTheme="minorHAnsi" w:hAnsiTheme="minorHAnsi" w:cstheme="minorHAnsi"/>
          <w:color w:val="auto"/>
        </w:rPr>
        <w:t>filter 5</w:t>
      </w:r>
      <w:r w:rsidR="00D37E38">
        <w:rPr>
          <w:rFonts w:asciiTheme="minorHAnsi" w:hAnsiTheme="minorHAnsi" w:cstheme="minorHAnsi"/>
          <w:color w:val="auto"/>
        </w:rPr>
        <w:t xml:space="preserve"> mL</w:t>
      </w:r>
      <w:r w:rsidRPr="00F852C4">
        <w:rPr>
          <w:rFonts w:asciiTheme="minorHAnsi" w:hAnsiTheme="minorHAnsi" w:cstheme="minorHAnsi"/>
          <w:color w:val="auto"/>
        </w:rPr>
        <w:t xml:space="preserve"> per device to account for losses during the quadruple filtration process, and </w:t>
      </w:r>
      <w:r w:rsidR="00DD5989">
        <w:rPr>
          <w:rFonts w:asciiTheme="minorHAnsi" w:hAnsiTheme="minorHAnsi" w:cstheme="minorHAnsi"/>
          <w:color w:val="auto"/>
        </w:rPr>
        <w:t>2)</w:t>
      </w:r>
      <w:r w:rsidRPr="00F852C4">
        <w:rPr>
          <w:rFonts w:asciiTheme="minorHAnsi" w:hAnsiTheme="minorHAnsi" w:cstheme="minorHAnsi"/>
          <w:color w:val="auto"/>
        </w:rPr>
        <w:t xml:space="preserve"> preserve aliquots of the filtrates as negative control</w:t>
      </w:r>
      <w:r w:rsidR="008C37C1" w:rsidRPr="00F852C4">
        <w:rPr>
          <w:rFonts w:asciiTheme="minorHAnsi" w:hAnsiTheme="minorHAnsi" w:cstheme="minorHAnsi"/>
          <w:color w:val="auto"/>
        </w:rPr>
        <w:t>s</w:t>
      </w:r>
      <w:r w:rsidRPr="00F852C4">
        <w:rPr>
          <w:rFonts w:asciiTheme="minorHAnsi" w:hAnsiTheme="minorHAnsi" w:cstheme="minorHAnsi"/>
          <w:color w:val="auto"/>
        </w:rPr>
        <w:t xml:space="preserve"> for both flow cytometry and molecular </w:t>
      </w:r>
      <w:r w:rsidR="00DD5989">
        <w:rPr>
          <w:rFonts w:asciiTheme="minorHAnsi" w:hAnsiTheme="minorHAnsi" w:cstheme="minorHAnsi"/>
          <w:color w:val="auto"/>
        </w:rPr>
        <w:t>procedures</w:t>
      </w:r>
      <w:r w:rsidRPr="00F852C4">
        <w:rPr>
          <w:rFonts w:asciiTheme="minorHAnsi" w:hAnsiTheme="minorHAnsi" w:cstheme="minorHAnsi"/>
          <w:color w:val="auto"/>
        </w:rPr>
        <w:t>.</w:t>
      </w:r>
    </w:p>
    <w:p w14:paraId="374F0C68" w14:textId="77777777" w:rsidR="008C37C1" w:rsidRPr="00F852C4" w:rsidRDefault="008C37C1" w:rsidP="00344E04">
      <w:pPr>
        <w:rPr>
          <w:rFonts w:asciiTheme="minorHAnsi" w:hAnsiTheme="minorHAnsi" w:cstheme="minorHAnsi"/>
          <w:color w:val="auto"/>
        </w:rPr>
      </w:pPr>
    </w:p>
    <w:p w14:paraId="122C3CCD" w14:textId="59BE809A" w:rsidR="00A05A2E" w:rsidRPr="00743F77" w:rsidRDefault="00EA4820" w:rsidP="00344E04">
      <w:pPr>
        <w:numPr>
          <w:ilvl w:val="2"/>
          <w:numId w:val="36"/>
        </w:numPr>
        <w:rPr>
          <w:rFonts w:asciiTheme="minorHAnsi" w:hAnsiTheme="minorHAnsi" w:cstheme="minorHAnsi"/>
          <w:color w:val="auto"/>
        </w:rPr>
      </w:pPr>
      <w:bookmarkStart w:id="2" w:name="_Hlk31639510"/>
      <w:bookmarkStart w:id="3" w:name="_Hlk31641382"/>
      <w:r w:rsidRPr="00F852C4">
        <w:rPr>
          <w:rFonts w:asciiTheme="minorHAnsi" w:hAnsiTheme="minorHAnsi" w:cstheme="minorHAnsi"/>
          <w:color w:val="auto"/>
          <w:highlight w:val="yellow"/>
        </w:rPr>
        <w:t xml:space="preserve">Filter the filtrate </w:t>
      </w:r>
      <w:r w:rsidR="003A2FE6">
        <w:rPr>
          <w:rFonts w:asciiTheme="minorHAnsi" w:hAnsiTheme="minorHAnsi" w:cstheme="minorHAnsi"/>
          <w:color w:val="auto"/>
          <w:highlight w:val="yellow"/>
        </w:rPr>
        <w:t xml:space="preserve">2x </w:t>
      </w:r>
      <w:r w:rsidRPr="00F852C4">
        <w:rPr>
          <w:rFonts w:asciiTheme="minorHAnsi" w:hAnsiTheme="minorHAnsi" w:cstheme="minorHAnsi"/>
          <w:color w:val="auto"/>
          <w:highlight w:val="yellow"/>
        </w:rPr>
        <w:t xml:space="preserve">through a 0.2 µm </w:t>
      </w:r>
      <w:r w:rsidR="00E22C02" w:rsidRPr="00F852C4">
        <w:rPr>
          <w:rFonts w:asciiTheme="minorHAnsi" w:hAnsiTheme="minorHAnsi" w:cstheme="minorHAnsi"/>
          <w:color w:val="auto"/>
          <w:highlight w:val="yellow"/>
        </w:rPr>
        <w:t>hydrophilic GP filter cartridge</w:t>
      </w:r>
      <w:r w:rsidRPr="00F852C4">
        <w:rPr>
          <w:rFonts w:asciiTheme="minorHAnsi" w:hAnsiTheme="minorHAnsi" w:cstheme="minorHAnsi"/>
          <w:color w:val="auto"/>
          <w:highlight w:val="yellow"/>
        </w:rPr>
        <w:t xml:space="preserve"> </w:t>
      </w:r>
      <w:r w:rsidR="003A2FE6">
        <w:rPr>
          <w:rFonts w:asciiTheme="minorHAnsi" w:hAnsiTheme="minorHAnsi" w:cstheme="minorHAnsi"/>
          <w:color w:val="auto"/>
          <w:highlight w:val="yellow"/>
        </w:rPr>
        <w:t>(</w:t>
      </w:r>
      <w:r w:rsidR="00DD5989">
        <w:rPr>
          <w:rFonts w:asciiTheme="minorHAnsi" w:hAnsiTheme="minorHAnsi" w:cstheme="minorHAnsi"/>
          <w:color w:val="auto"/>
          <w:highlight w:val="yellow"/>
        </w:rPr>
        <w:t xml:space="preserve">using </w:t>
      </w:r>
      <w:r w:rsidR="003A2FE6">
        <w:rPr>
          <w:rFonts w:asciiTheme="minorHAnsi" w:hAnsiTheme="minorHAnsi" w:cstheme="minorHAnsi"/>
          <w:color w:val="auto"/>
          <w:highlight w:val="yellow"/>
        </w:rPr>
        <w:t>the same one</w:t>
      </w:r>
      <w:r w:rsidR="00DD5989">
        <w:rPr>
          <w:rFonts w:asciiTheme="minorHAnsi" w:hAnsiTheme="minorHAnsi" w:cstheme="minorHAnsi"/>
          <w:color w:val="auto"/>
          <w:highlight w:val="yellow"/>
        </w:rPr>
        <w:t>,</w:t>
      </w:r>
      <w:r w:rsidR="003A2FE6">
        <w:rPr>
          <w:rFonts w:asciiTheme="minorHAnsi" w:hAnsiTheme="minorHAnsi" w:cstheme="minorHAnsi"/>
          <w:color w:val="auto"/>
          <w:highlight w:val="yellow"/>
        </w:rPr>
        <w:t xml:space="preserve"> both times) </w:t>
      </w:r>
      <w:r w:rsidRPr="00F852C4">
        <w:rPr>
          <w:rFonts w:asciiTheme="minorHAnsi" w:hAnsiTheme="minorHAnsi" w:cstheme="minorHAnsi"/>
          <w:color w:val="auto"/>
          <w:highlight w:val="yellow"/>
        </w:rPr>
        <w:t>with a new 50 m</w:t>
      </w:r>
      <w:r w:rsidR="003A2FE6">
        <w:rPr>
          <w:rFonts w:asciiTheme="minorHAnsi" w:hAnsiTheme="minorHAnsi" w:cstheme="minorHAnsi"/>
          <w:color w:val="auto"/>
          <w:highlight w:val="yellow"/>
        </w:rPr>
        <w:t>L</w:t>
      </w:r>
      <w:r w:rsidRPr="00F852C4">
        <w:rPr>
          <w:rFonts w:asciiTheme="minorHAnsi" w:hAnsiTheme="minorHAnsi" w:cstheme="minorHAnsi"/>
          <w:color w:val="auto"/>
          <w:highlight w:val="yellow"/>
        </w:rPr>
        <w:t xml:space="preserve"> syringe into a new 50 m</w:t>
      </w:r>
      <w:r w:rsidR="003A2FE6">
        <w:rPr>
          <w:rFonts w:asciiTheme="minorHAnsi" w:hAnsiTheme="minorHAnsi" w:cstheme="minorHAnsi"/>
          <w:color w:val="auto"/>
          <w:highlight w:val="yellow"/>
        </w:rPr>
        <w:t>L</w:t>
      </w:r>
      <w:r w:rsidR="00E22C02" w:rsidRPr="00F852C4">
        <w:rPr>
          <w:rFonts w:asciiTheme="minorHAnsi" w:hAnsiTheme="minorHAnsi" w:cstheme="minorHAnsi"/>
          <w:color w:val="auto"/>
          <w:highlight w:val="yellow"/>
        </w:rPr>
        <w:t xml:space="preserve"> conical centrifuge</w:t>
      </w:r>
      <w:r w:rsidRPr="00743F77">
        <w:rPr>
          <w:rFonts w:asciiTheme="minorHAnsi" w:hAnsiTheme="minorHAnsi" w:cstheme="minorHAnsi"/>
          <w:color w:val="auto"/>
          <w:highlight w:val="yellow"/>
        </w:rPr>
        <w:t xml:space="preserve"> tube.</w:t>
      </w:r>
      <w:bookmarkStart w:id="4" w:name="_Hlk31639532"/>
      <w:bookmarkEnd w:id="2"/>
      <w:r w:rsidR="00743F77" w:rsidRPr="00743F77">
        <w:rPr>
          <w:rFonts w:asciiTheme="minorHAnsi" w:hAnsiTheme="minorHAnsi" w:cstheme="minorHAnsi"/>
          <w:color w:val="auto"/>
          <w:highlight w:val="yellow"/>
        </w:rPr>
        <w:t xml:space="preserve"> F</w:t>
      </w:r>
      <w:r w:rsidRPr="00743F77">
        <w:rPr>
          <w:rFonts w:asciiTheme="minorHAnsi" w:hAnsiTheme="minorHAnsi" w:cstheme="minorHAnsi"/>
          <w:color w:val="auto"/>
          <w:highlight w:val="yellow"/>
        </w:rPr>
        <w:t xml:space="preserve">ilter the filtrate through a 0.02 µm </w:t>
      </w:r>
      <w:r w:rsidR="000104F0" w:rsidRPr="00743F77">
        <w:rPr>
          <w:rFonts w:asciiTheme="minorHAnsi" w:hAnsiTheme="minorHAnsi" w:cstheme="minorHAnsi"/>
          <w:color w:val="auto"/>
          <w:highlight w:val="yellow"/>
        </w:rPr>
        <w:t xml:space="preserve">syringe </w:t>
      </w:r>
      <w:r w:rsidRPr="00743F77">
        <w:rPr>
          <w:rFonts w:asciiTheme="minorHAnsi" w:hAnsiTheme="minorHAnsi" w:cstheme="minorHAnsi"/>
          <w:color w:val="auto"/>
          <w:highlight w:val="yellow"/>
        </w:rPr>
        <w:t xml:space="preserve">filter </w:t>
      </w:r>
      <w:r w:rsidR="00DD5989">
        <w:rPr>
          <w:rFonts w:asciiTheme="minorHAnsi" w:hAnsiTheme="minorHAnsi" w:cstheme="minorHAnsi"/>
          <w:color w:val="auto"/>
          <w:highlight w:val="yellow"/>
        </w:rPr>
        <w:t>(</w:t>
      </w:r>
      <w:r w:rsidRPr="00743F77">
        <w:rPr>
          <w:rFonts w:asciiTheme="minorHAnsi" w:hAnsiTheme="minorHAnsi" w:cstheme="minorHAnsi"/>
          <w:color w:val="auto"/>
          <w:highlight w:val="yellow"/>
        </w:rPr>
        <w:t>with a new 50 m</w:t>
      </w:r>
      <w:r w:rsidR="00743F77">
        <w:rPr>
          <w:rFonts w:asciiTheme="minorHAnsi" w:hAnsiTheme="minorHAnsi" w:cstheme="minorHAnsi"/>
          <w:color w:val="auto"/>
          <w:highlight w:val="yellow"/>
        </w:rPr>
        <w:t>L</w:t>
      </w:r>
      <w:r w:rsidRPr="00743F77">
        <w:rPr>
          <w:rFonts w:asciiTheme="minorHAnsi" w:hAnsiTheme="minorHAnsi" w:cstheme="minorHAnsi"/>
          <w:color w:val="auto"/>
          <w:highlight w:val="yellow"/>
        </w:rPr>
        <w:t xml:space="preserve"> syringe</w:t>
      </w:r>
      <w:r w:rsidR="00DD5989">
        <w:rPr>
          <w:rFonts w:asciiTheme="minorHAnsi" w:hAnsiTheme="minorHAnsi" w:cstheme="minorHAnsi"/>
          <w:color w:val="auto"/>
          <w:highlight w:val="yellow"/>
        </w:rPr>
        <w:t>)</w:t>
      </w:r>
      <w:r w:rsidRPr="00743F77">
        <w:rPr>
          <w:rFonts w:asciiTheme="minorHAnsi" w:hAnsiTheme="minorHAnsi" w:cstheme="minorHAnsi"/>
          <w:color w:val="auto"/>
          <w:highlight w:val="yellow"/>
        </w:rPr>
        <w:t xml:space="preserve"> into a new 50 m</w:t>
      </w:r>
      <w:r w:rsidR="00743F77">
        <w:rPr>
          <w:rFonts w:asciiTheme="minorHAnsi" w:hAnsiTheme="minorHAnsi" w:cstheme="minorHAnsi"/>
          <w:color w:val="auto"/>
          <w:highlight w:val="yellow"/>
        </w:rPr>
        <w:t>L</w:t>
      </w:r>
      <w:r w:rsidRPr="00743F77">
        <w:rPr>
          <w:rFonts w:asciiTheme="minorHAnsi" w:hAnsiTheme="minorHAnsi" w:cstheme="minorHAnsi"/>
          <w:color w:val="auto"/>
          <w:highlight w:val="yellow"/>
        </w:rPr>
        <w:t xml:space="preserve"> </w:t>
      </w:r>
      <w:r w:rsidR="00E22C02" w:rsidRPr="00743F77">
        <w:rPr>
          <w:rFonts w:asciiTheme="minorHAnsi" w:hAnsiTheme="minorHAnsi" w:cstheme="minorHAnsi"/>
          <w:color w:val="auto"/>
          <w:highlight w:val="yellow"/>
        </w:rPr>
        <w:t xml:space="preserve">conical </w:t>
      </w:r>
      <w:r w:rsidRPr="00743F77">
        <w:rPr>
          <w:rFonts w:asciiTheme="minorHAnsi" w:hAnsiTheme="minorHAnsi" w:cstheme="minorHAnsi"/>
          <w:color w:val="auto"/>
          <w:highlight w:val="yellow"/>
        </w:rPr>
        <w:t>tube.</w:t>
      </w:r>
      <w:bookmarkEnd w:id="3"/>
      <w:r w:rsidRPr="00743F77">
        <w:rPr>
          <w:rFonts w:asciiTheme="minorHAnsi" w:hAnsiTheme="minorHAnsi" w:cstheme="minorHAnsi"/>
          <w:color w:val="auto"/>
          <w:highlight w:val="yellow"/>
        </w:rPr>
        <w:t xml:space="preserve"> </w:t>
      </w:r>
    </w:p>
    <w:bookmarkEnd w:id="4"/>
    <w:p w14:paraId="46D059EB" w14:textId="77777777" w:rsidR="00A05A2E" w:rsidRDefault="00A05A2E" w:rsidP="00344E04">
      <w:pPr>
        <w:rPr>
          <w:rFonts w:asciiTheme="minorHAnsi" w:hAnsiTheme="minorHAnsi" w:cstheme="minorHAnsi"/>
          <w:color w:val="auto"/>
          <w:highlight w:val="yellow"/>
        </w:rPr>
      </w:pPr>
    </w:p>
    <w:p w14:paraId="3CCC9AF8" w14:textId="1F783691" w:rsidR="00A418F7" w:rsidRPr="00F852C4" w:rsidRDefault="00A05A2E" w:rsidP="00344E04">
      <w:pPr>
        <w:rPr>
          <w:rFonts w:asciiTheme="minorHAnsi" w:hAnsiTheme="minorHAnsi" w:cstheme="minorHAnsi"/>
          <w:color w:val="auto"/>
        </w:rPr>
      </w:pPr>
      <w:r>
        <w:rPr>
          <w:rFonts w:asciiTheme="minorHAnsi" w:hAnsiTheme="minorHAnsi" w:cstheme="minorHAnsi"/>
          <w:color w:val="auto"/>
          <w:highlight w:val="yellow"/>
        </w:rPr>
        <w:t>NOTE:</w:t>
      </w:r>
      <w:r w:rsidR="003E48F0">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This quadruple filtration should remove nearly all microorganisms and particles from the water.</w:t>
      </w:r>
      <w:r w:rsidR="003A2FE6">
        <w:rPr>
          <w:rFonts w:asciiTheme="minorHAnsi" w:hAnsiTheme="minorHAnsi" w:cstheme="minorHAnsi"/>
          <w:color w:val="auto"/>
        </w:rPr>
        <w:t xml:space="preserve"> </w:t>
      </w:r>
      <w:r w:rsidR="00A418F7" w:rsidRPr="00F852C4">
        <w:rPr>
          <w:rFonts w:asciiTheme="minorHAnsi" w:hAnsiTheme="minorHAnsi" w:cstheme="minorHAnsi"/>
          <w:color w:val="auto"/>
        </w:rPr>
        <w:t>Keep the final filtrate away from any source of heat until use. This water will be used to resuspend all chemicals used in the ISCA</w:t>
      </w:r>
      <w:r w:rsidR="00DD5989">
        <w:rPr>
          <w:rFonts w:asciiTheme="minorHAnsi" w:hAnsiTheme="minorHAnsi" w:cstheme="minorHAnsi"/>
          <w:color w:val="auto"/>
        </w:rPr>
        <w:t>,</w:t>
      </w:r>
      <w:r w:rsidR="00A418F7" w:rsidRPr="00F852C4">
        <w:rPr>
          <w:rFonts w:asciiTheme="minorHAnsi" w:hAnsiTheme="minorHAnsi" w:cstheme="minorHAnsi"/>
          <w:color w:val="auto"/>
        </w:rPr>
        <w:t xml:space="preserve"> and</w:t>
      </w:r>
      <w:r w:rsidR="00DD5989">
        <w:rPr>
          <w:rFonts w:asciiTheme="minorHAnsi" w:hAnsiTheme="minorHAnsi" w:cstheme="minorHAnsi"/>
          <w:color w:val="auto"/>
        </w:rPr>
        <w:t xml:space="preserve"> it</w:t>
      </w:r>
      <w:r w:rsidR="00A418F7" w:rsidRPr="00F852C4">
        <w:rPr>
          <w:rFonts w:asciiTheme="minorHAnsi" w:hAnsiTheme="minorHAnsi" w:cstheme="minorHAnsi"/>
          <w:color w:val="auto"/>
        </w:rPr>
        <w:t xml:space="preserve"> should be</w:t>
      </w:r>
      <w:r w:rsidR="00DD5989">
        <w:rPr>
          <w:rFonts w:asciiTheme="minorHAnsi" w:hAnsiTheme="minorHAnsi" w:cstheme="minorHAnsi"/>
          <w:color w:val="auto"/>
        </w:rPr>
        <w:t xml:space="preserve"> </w:t>
      </w:r>
      <w:r w:rsidR="00343B27">
        <w:rPr>
          <w:rFonts w:asciiTheme="minorHAnsi" w:hAnsiTheme="minorHAnsi" w:cstheme="minorHAnsi"/>
          <w:color w:val="auto"/>
        </w:rPr>
        <w:t>maintained</w:t>
      </w:r>
      <w:r w:rsidR="00A418F7" w:rsidRPr="00F852C4">
        <w:rPr>
          <w:rFonts w:asciiTheme="minorHAnsi" w:hAnsiTheme="minorHAnsi" w:cstheme="minorHAnsi"/>
          <w:color w:val="auto"/>
        </w:rPr>
        <w:t xml:space="preserve"> at the same temperature as the water at the deployment site. Convective flows triggered by differences in temperature between the ISCA wells and outside environment </w:t>
      </w:r>
      <w:r w:rsidR="00343B27">
        <w:rPr>
          <w:rFonts w:asciiTheme="minorHAnsi" w:hAnsiTheme="minorHAnsi" w:cstheme="minorHAnsi"/>
          <w:color w:val="auto"/>
        </w:rPr>
        <w:t xml:space="preserve">may </w:t>
      </w:r>
      <w:r w:rsidR="00A418F7" w:rsidRPr="00F852C4">
        <w:rPr>
          <w:rFonts w:asciiTheme="minorHAnsi" w:hAnsiTheme="minorHAnsi" w:cstheme="minorHAnsi"/>
          <w:color w:val="auto"/>
        </w:rPr>
        <w:t>otherwise occur.</w:t>
      </w:r>
    </w:p>
    <w:p w14:paraId="7EE34F6F" w14:textId="77777777" w:rsidR="00EA4820" w:rsidRPr="00F852C4" w:rsidRDefault="00EA4820" w:rsidP="00344E04">
      <w:pPr>
        <w:rPr>
          <w:rFonts w:asciiTheme="minorHAnsi" w:hAnsiTheme="minorHAnsi" w:cstheme="minorHAnsi"/>
          <w:color w:val="auto"/>
        </w:rPr>
      </w:pPr>
    </w:p>
    <w:p w14:paraId="716B414B" w14:textId="3E65F7C1" w:rsidR="00EA4820" w:rsidRPr="003A2FE6"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Use</w:t>
      </w:r>
      <w:r w:rsidR="00231B08" w:rsidRPr="00F852C4">
        <w:rPr>
          <w:rFonts w:asciiTheme="minorHAnsi" w:hAnsiTheme="minorHAnsi" w:cstheme="minorHAnsi"/>
          <w:color w:val="auto"/>
          <w:highlight w:val="yellow"/>
        </w:rPr>
        <w:t xml:space="preserve"> aliquots of</w:t>
      </w:r>
      <w:r w:rsidRPr="00F852C4">
        <w:rPr>
          <w:rFonts w:asciiTheme="minorHAnsi" w:hAnsiTheme="minorHAnsi" w:cstheme="minorHAnsi"/>
          <w:color w:val="auto"/>
          <w:highlight w:val="yellow"/>
        </w:rPr>
        <w:t xml:space="preserve"> the filtrate to resuspend all </w:t>
      </w:r>
      <w:proofErr w:type="spellStart"/>
      <w:r w:rsidRPr="003A2FE6">
        <w:rPr>
          <w:rFonts w:asciiTheme="minorHAnsi" w:hAnsiTheme="minorHAnsi" w:cstheme="minorHAnsi"/>
          <w:color w:val="auto"/>
          <w:highlight w:val="yellow"/>
        </w:rPr>
        <w:t>chemoattractants</w:t>
      </w:r>
      <w:proofErr w:type="spellEnd"/>
      <w:r w:rsidRPr="003A2FE6">
        <w:rPr>
          <w:rFonts w:asciiTheme="minorHAnsi" w:hAnsiTheme="minorHAnsi" w:cstheme="minorHAnsi"/>
          <w:color w:val="auto"/>
          <w:highlight w:val="yellow"/>
        </w:rPr>
        <w:t xml:space="preserve"> of interest </w:t>
      </w:r>
      <w:r w:rsidR="004D280F" w:rsidRPr="003A2FE6">
        <w:rPr>
          <w:rFonts w:asciiTheme="minorHAnsi" w:hAnsiTheme="minorHAnsi" w:cstheme="minorHAnsi"/>
          <w:color w:val="212121"/>
          <w:highlight w:val="yellow"/>
          <w:shd w:val="clear" w:color="auto" w:fill="FFFFFF"/>
        </w:rPr>
        <w:t>(</w:t>
      </w:r>
      <w:r w:rsidR="0051262A" w:rsidRPr="003A2FE6">
        <w:rPr>
          <w:rFonts w:asciiTheme="minorHAnsi" w:hAnsiTheme="minorHAnsi" w:cstheme="minorHAnsi"/>
          <w:color w:val="212121"/>
          <w:highlight w:val="yellow"/>
          <w:shd w:val="clear" w:color="auto" w:fill="FFFFFF"/>
        </w:rPr>
        <w:t>typicall</w:t>
      </w:r>
      <w:r w:rsidR="004D280F" w:rsidRPr="003A2FE6">
        <w:rPr>
          <w:rFonts w:asciiTheme="minorHAnsi" w:hAnsiTheme="minorHAnsi" w:cstheme="minorHAnsi"/>
          <w:color w:val="212121"/>
          <w:highlight w:val="yellow"/>
          <w:shd w:val="clear" w:color="auto" w:fill="FFFFFF"/>
        </w:rPr>
        <w:t xml:space="preserve">y </w:t>
      </w:r>
      <w:r w:rsidR="00C172FA" w:rsidRPr="003A2FE6">
        <w:rPr>
          <w:rFonts w:asciiTheme="minorHAnsi" w:hAnsiTheme="minorHAnsi" w:cstheme="minorHAnsi"/>
          <w:color w:val="212121"/>
          <w:highlight w:val="yellow"/>
          <w:shd w:val="clear" w:color="auto" w:fill="FFFFFF"/>
        </w:rPr>
        <w:t>dry</w:t>
      </w:r>
      <w:r w:rsidR="004D280F" w:rsidRPr="003A2FE6">
        <w:rPr>
          <w:rFonts w:asciiTheme="minorHAnsi" w:hAnsiTheme="minorHAnsi" w:cstheme="minorHAnsi"/>
          <w:color w:val="212121"/>
          <w:highlight w:val="yellow"/>
          <w:shd w:val="clear" w:color="auto" w:fill="FFFFFF"/>
        </w:rPr>
        <w:t xml:space="preserve">) </w:t>
      </w:r>
      <w:r w:rsidRPr="003A2FE6">
        <w:rPr>
          <w:rFonts w:asciiTheme="minorHAnsi" w:hAnsiTheme="minorHAnsi" w:cstheme="minorHAnsi"/>
          <w:color w:val="auto"/>
          <w:highlight w:val="yellow"/>
        </w:rPr>
        <w:t>to the desired concentration</w:t>
      </w:r>
      <w:r w:rsidR="00231B08" w:rsidRPr="003A2FE6">
        <w:rPr>
          <w:rFonts w:asciiTheme="minorHAnsi" w:hAnsiTheme="minorHAnsi" w:cstheme="minorHAnsi"/>
          <w:color w:val="auto"/>
          <w:highlight w:val="yellow"/>
        </w:rPr>
        <w:t>s</w:t>
      </w:r>
      <w:r w:rsidR="00A967E6" w:rsidRPr="003A2FE6">
        <w:rPr>
          <w:rFonts w:asciiTheme="minorHAnsi" w:hAnsiTheme="minorHAnsi" w:cstheme="minorHAnsi"/>
          <w:color w:val="auto"/>
          <w:highlight w:val="yellow"/>
        </w:rPr>
        <w:t xml:space="preserve"> in 15</w:t>
      </w:r>
      <w:r w:rsidR="00D37E38">
        <w:rPr>
          <w:rFonts w:asciiTheme="minorHAnsi" w:hAnsiTheme="minorHAnsi" w:cstheme="minorHAnsi"/>
          <w:color w:val="auto"/>
          <w:highlight w:val="yellow"/>
        </w:rPr>
        <w:t xml:space="preserve"> mL</w:t>
      </w:r>
      <w:r w:rsidR="00A967E6" w:rsidRPr="003A2FE6">
        <w:rPr>
          <w:rFonts w:asciiTheme="minorHAnsi" w:hAnsiTheme="minorHAnsi" w:cstheme="minorHAnsi"/>
          <w:color w:val="auto"/>
          <w:highlight w:val="yellow"/>
        </w:rPr>
        <w:t xml:space="preserve"> </w:t>
      </w:r>
      <w:r w:rsidR="00E22C02" w:rsidRPr="003A2FE6">
        <w:rPr>
          <w:rFonts w:asciiTheme="minorHAnsi" w:hAnsiTheme="minorHAnsi" w:cstheme="minorHAnsi"/>
          <w:color w:val="auto"/>
          <w:highlight w:val="yellow"/>
        </w:rPr>
        <w:t>conical centrifuge</w:t>
      </w:r>
      <w:r w:rsidR="00A967E6" w:rsidRPr="003A2FE6">
        <w:rPr>
          <w:rFonts w:asciiTheme="minorHAnsi" w:hAnsiTheme="minorHAnsi" w:cstheme="minorHAnsi"/>
          <w:color w:val="auto"/>
          <w:highlight w:val="yellow"/>
        </w:rPr>
        <w:t xml:space="preserve"> tubes</w:t>
      </w:r>
      <w:r w:rsidR="00183B87" w:rsidRPr="003A2FE6">
        <w:rPr>
          <w:rFonts w:asciiTheme="minorHAnsi" w:hAnsiTheme="minorHAnsi" w:cstheme="minorHAnsi"/>
          <w:color w:val="auto"/>
          <w:highlight w:val="yellow"/>
        </w:rPr>
        <w:t>.</w:t>
      </w:r>
    </w:p>
    <w:p w14:paraId="3AB4D0B5" w14:textId="77777777" w:rsidR="00EA4820" w:rsidRPr="00F852C4" w:rsidRDefault="00EA4820" w:rsidP="00344E04">
      <w:pPr>
        <w:rPr>
          <w:rFonts w:asciiTheme="minorHAnsi" w:hAnsiTheme="minorHAnsi" w:cstheme="minorHAnsi"/>
          <w:color w:val="auto"/>
        </w:rPr>
      </w:pPr>
    </w:p>
    <w:p w14:paraId="0320BB1D" w14:textId="68DE8393" w:rsidR="00A05A2E" w:rsidRPr="001E2097"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 xml:space="preserve">Filter the resuspended </w:t>
      </w:r>
      <w:proofErr w:type="spellStart"/>
      <w:r w:rsidR="00231B08" w:rsidRPr="00F852C4">
        <w:rPr>
          <w:rFonts w:asciiTheme="minorHAnsi" w:hAnsiTheme="minorHAnsi" w:cstheme="minorHAnsi"/>
          <w:color w:val="auto"/>
          <w:highlight w:val="yellow"/>
        </w:rPr>
        <w:t>chemoattractants</w:t>
      </w:r>
      <w:proofErr w:type="spellEnd"/>
      <w:r w:rsidR="00A967E6" w:rsidRPr="00F852C4">
        <w:rPr>
          <w:rFonts w:asciiTheme="minorHAnsi" w:hAnsiTheme="minorHAnsi" w:cstheme="minorHAnsi"/>
          <w:color w:val="auto"/>
          <w:highlight w:val="yellow"/>
        </w:rPr>
        <w:t xml:space="preserve"> through a 0.2 µm </w:t>
      </w:r>
      <w:r w:rsidR="00E22C02" w:rsidRPr="00F852C4">
        <w:rPr>
          <w:rFonts w:asciiTheme="minorHAnsi" w:hAnsiTheme="minorHAnsi" w:cstheme="minorHAnsi"/>
          <w:color w:val="auto"/>
          <w:highlight w:val="yellow"/>
        </w:rPr>
        <w:t>syringe</w:t>
      </w:r>
      <w:r w:rsidR="00A967E6" w:rsidRPr="00F852C4">
        <w:rPr>
          <w:rFonts w:asciiTheme="minorHAnsi" w:hAnsiTheme="minorHAnsi" w:cstheme="minorHAnsi"/>
          <w:color w:val="auto"/>
          <w:highlight w:val="yellow"/>
        </w:rPr>
        <w:t xml:space="preserve"> filter with a 10</w:t>
      </w:r>
      <w:r w:rsidR="00D37E38">
        <w:rPr>
          <w:rFonts w:asciiTheme="minorHAnsi" w:hAnsiTheme="minorHAnsi" w:cstheme="minorHAnsi"/>
          <w:color w:val="auto"/>
          <w:highlight w:val="yellow"/>
        </w:rPr>
        <w:t xml:space="preserve"> mL</w:t>
      </w:r>
      <w:r w:rsidR="00A967E6" w:rsidRPr="00F852C4">
        <w:rPr>
          <w:rFonts w:asciiTheme="minorHAnsi" w:hAnsiTheme="minorHAnsi" w:cstheme="minorHAnsi"/>
          <w:color w:val="auto"/>
          <w:highlight w:val="yellow"/>
        </w:rPr>
        <w:t xml:space="preserve"> </w:t>
      </w:r>
      <w:r w:rsidR="00A967E6" w:rsidRPr="00F852C4">
        <w:rPr>
          <w:rFonts w:asciiTheme="minorHAnsi" w:hAnsiTheme="minorHAnsi" w:cstheme="minorHAnsi"/>
          <w:color w:val="auto"/>
          <w:highlight w:val="yellow"/>
        </w:rPr>
        <w:lastRenderedPageBreak/>
        <w:t>syringe into sterile 1</w:t>
      </w:r>
      <w:r w:rsidR="00A967E6" w:rsidRPr="001E2097">
        <w:rPr>
          <w:rFonts w:asciiTheme="minorHAnsi" w:hAnsiTheme="minorHAnsi" w:cstheme="minorHAnsi"/>
          <w:color w:val="auto"/>
          <w:highlight w:val="yellow"/>
        </w:rPr>
        <w:t>5</w:t>
      </w:r>
      <w:r w:rsidR="00D37E38">
        <w:rPr>
          <w:rFonts w:asciiTheme="minorHAnsi" w:hAnsiTheme="minorHAnsi" w:cstheme="minorHAnsi"/>
          <w:color w:val="auto"/>
          <w:highlight w:val="yellow"/>
        </w:rPr>
        <w:t xml:space="preserve"> mL</w:t>
      </w:r>
      <w:r w:rsidR="00A967E6" w:rsidRPr="001E2097">
        <w:rPr>
          <w:rFonts w:asciiTheme="minorHAnsi" w:hAnsiTheme="minorHAnsi" w:cstheme="minorHAnsi"/>
          <w:color w:val="auto"/>
          <w:highlight w:val="yellow"/>
        </w:rPr>
        <w:t xml:space="preserve"> </w:t>
      </w:r>
      <w:r w:rsidR="00E22C02" w:rsidRPr="001E2097">
        <w:rPr>
          <w:rFonts w:asciiTheme="minorHAnsi" w:hAnsiTheme="minorHAnsi" w:cstheme="minorHAnsi"/>
          <w:color w:val="auto"/>
          <w:highlight w:val="yellow"/>
        </w:rPr>
        <w:t>conical centrifuge</w:t>
      </w:r>
      <w:r w:rsidR="00A967E6" w:rsidRPr="001E2097">
        <w:rPr>
          <w:rFonts w:asciiTheme="minorHAnsi" w:hAnsiTheme="minorHAnsi" w:cstheme="minorHAnsi"/>
          <w:color w:val="auto"/>
          <w:highlight w:val="yellow"/>
        </w:rPr>
        <w:t xml:space="preserve"> tubes</w:t>
      </w:r>
      <w:r w:rsidRPr="001E2097">
        <w:rPr>
          <w:rFonts w:asciiTheme="minorHAnsi" w:hAnsiTheme="minorHAnsi" w:cstheme="minorHAnsi"/>
          <w:color w:val="auto"/>
          <w:highlight w:val="yellow"/>
        </w:rPr>
        <w:t xml:space="preserve"> to remove unwanted particles or water-insoluble compounds (if using extracts).</w:t>
      </w:r>
    </w:p>
    <w:p w14:paraId="1D811A50" w14:textId="77777777" w:rsidR="00A05A2E" w:rsidRDefault="00A05A2E" w:rsidP="00344E04">
      <w:pPr>
        <w:rPr>
          <w:rFonts w:asciiTheme="minorHAnsi" w:hAnsiTheme="minorHAnsi" w:cstheme="minorHAnsi"/>
          <w:color w:val="auto"/>
        </w:rPr>
      </w:pPr>
    </w:p>
    <w:p w14:paraId="77138326" w14:textId="44436370" w:rsidR="00EA4820" w:rsidRPr="00F852C4" w:rsidRDefault="00A05A2E" w:rsidP="00344E04">
      <w:pPr>
        <w:rPr>
          <w:rFonts w:asciiTheme="minorHAnsi" w:hAnsiTheme="minorHAnsi" w:cstheme="minorHAnsi"/>
          <w:color w:val="auto"/>
        </w:rPr>
      </w:pPr>
      <w:r>
        <w:rPr>
          <w:rFonts w:asciiTheme="minorHAnsi" w:hAnsiTheme="minorHAnsi" w:cstheme="minorHAnsi"/>
          <w:color w:val="auto"/>
        </w:rPr>
        <w:t>NOTE</w:t>
      </w:r>
      <w:r w:rsidR="003A2FE6">
        <w:rPr>
          <w:rFonts w:asciiTheme="minorHAnsi" w:hAnsiTheme="minorHAnsi" w:cstheme="minorHAnsi"/>
          <w:color w:val="auto"/>
        </w:rPr>
        <w:t>:</w:t>
      </w:r>
      <w:r>
        <w:rPr>
          <w:rFonts w:asciiTheme="minorHAnsi" w:hAnsiTheme="minorHAnsi" w:cstheme="minorHAnsi"/>
          <w:color w:val="auto"/>
        </w:rPr>
        <w:t xml:space="preserve"> </w:t>
      </w:r>
      <w:r w:rsidR="00EA4820" w:rsidRPr="00F852C4">
        <w:rPr>
          <w:rFonts w:asciiTheme="minorHAnsi" w:hAnsiTheme="minorHAnsi" w:cstheme="minorHAnsi"/>
          <w:color w:val="auto"/>
          <w:highlight w:val="yellow"/>
        </w:rPr>
        <w:t>Filter gently to prevent particles from passing through the filter.</w:t>
      </w:r>
      <w:r w:rsidR="00343B27">
        <w:rPr>
          <w:rFonts w:asciiTheme="minorHAnsi" w:hAnsiTheme="minorHAnsi" w:cstheme="minorHAnsi"/>
          <w:color w:val="auto"/>
        </w:rPr>
        <w:t xml:space="preserve"> </w:t>
      </w:r>
      <w:r w:rsidR="00EA4820" w:rsidRPr="00F852C4">
        <w:rPr>
          <w:rFonts w:asciiTheme="minorHAnsi" w:hAnsiTheme="minorHAnsi" w:cstheme="minorHAnsi"/>
          <w:color w:val="auto"/>
        </w:rPr>
        <w:t xml:space="preserve">It is important to resuspend the </w:t>
      </w:r>
      <w:proofErr w:type="spellStart"/>
      <w:r w:rsidR="00EA4820" w:rsidRPr="00F852C4">
        <w:rPr>
          <w:rFonts w:asciiTheme="minorHAnsi" w:hAnsiTheme="minorHAnsi" w:cstheme="minorHAnsi"/>
          <w:color w:val="auto"/>
        </w:rPr>
        <w:t>chemoattractants</w:t>
      </w:r>
      <w:proofErr w:type="spellEnd"/>
      <w:r w:rsidR="00EA4820" w:rsidRPr="00F852C4">
        <w:rPr>
          <w:rFonts w:asciiTheme="minorHAnsi" w:hAnsiTheme="minorHAnsi" w:cstheme="minorHAnsi"/>
          <w:color w:val="auto"/>
        </w:rPr>
        <w:t xml:space="preserve"> in the </w:t>
      </w:r>
      <w:proofErr w:type="spellStart"/>
      <w:r w:rsidR="00EA4820" w:rsidRPr="00F852C4">
        <w:rPr>
          <w:rFonts w:asciiTheme="minorHAnsi" w:hAnsiTheme="minorHAnsi" w:cstheme="minorHAnsi"/>
          <w:color w:val="auto"/>
        </w:rPr>
        <w:t>ultrafiltered</w:t>
      </w:r>
      <w:proofErr w:type="spellEnd"/>
      <w:r w:rsidR="00EA4820" w:rsidRPr="00F852C4">
        <w:rPr>
          <w:rFonts w:asciiTheme="minorHAnsi" w:hAnsiTheme="minorHAnsi" w:cstheme="minorHAnsi"/>
          <w:color w:val="auto"/>
        </w:rPr>
        <w:t xml:space="preserve"> water </w:t>
      </w:r>
      <w:r w:rsidR="00AD5D61" w:rsidRPr="00F852C4">
        <w:rPr>
          <w:rFonts w:asciiTheme="minorHAnsi" w:hAnsiTheme="minorHAnsi" w:cstheme="minorHAnsi"/>
          <w:color w:val="auto"/>
        </w:rPr>
        <w:t xml:space="preserve">from the field site </w:t>
      </w:r>
      <w:r w:rsidR="00EA4820" w:rsidRPr="00F852C4">
        <w:rPr>
          <w:rFonts w:asciiTheme="minorHAnsi" w:hAnsiTheme="minorHAnsi" w:cstheme="minorHAnsi"/>
          <w:color w:val="auto"/>
        </w:rPr>
        <w:t>and not solubilize them into other solutions.</w:t>
      </w:r>
      <w:r>
        <w:rPr>
          <w:rFonts w:asciiTheme="minorHAnsi" w:hAnsiTheme="minorHAnsi" w:cstheme="minorHAnsi"/>
          <w:color w:val="auto"/>
        </w:rPr>
        <w:t xml:space="preserve"> </w:t>
      </w:r>
      <w:r w:rsidR="00EA4820" w:rsidRPr="00F852C4">
        <w:rPr>
          <w:rFonts w:asciiTheme="minorHAnsi" w:hAnsiTheme="minorHAnsi" w:cstheme="minorHAnsi"/>
          <w:color w:val="auto"/>
        </w:rPr>
        <w:t>Using water from the field site is necessary</w:t>
      </w:r>
      <w:r w:rsidR="005517C4">
        <w:rPr>
          <w:rFonts w:asciiTheme="minorHAnsi" w:hAnsiTheme="minorHAnsi" w:cstheme="minorHAnsi"/>
          <w:color w:val="auto"/>
        </w:rPr>
        <w:t xml:space="preserve"> to</w:t>
      </w:r>
      <w:r w:rsidR="00EA4820" w:rsidRPr="00F852C4">
        <w:rPr>
          <w:rFonts w:asciiTheme="minorHAnsi" w:hAnsiTheme="minorHAnsi" w:cstheme="minorHAnsi"/>
          <w:color w:val="auto"/>
        </w:rPr>
        <w:t xml:space="preserve"> (</w:t>
      </w:r>
      <w:r w:rsidR="00343B27">
        <w:rPr>
          <w:rFonts w:asciiTheme="minorHAnsi" w:hAnsiTheme="minorHAnsi" w:cstheme="minorHAnsi"/>
          <w:color w:val="auto"/>
        </w:rPr>
        <w:t>1</w:t>
      </w:r>
      <w:r w:rsidR="00EA4820" w:rsidRPr="00F852C4">
        <w:rPr>
          <w:rFonts w:asciiTheme="minorHAnsi" w:hAnsiTheme="minorHAnsi" w:cstheme="minorHAnsi"/>
          <w:color w:val="auto"/>
        </w:rPr>
        <w:t xml:space="preserve">) </w:t>
      </w:r>
      <w:r w:rsidR="00AD5D61" w:rsidRPr="00F852C4">
        <w:rPr>
          <w:rFonts w:asciiTheme="minorHAnsi" w:hAnsiTheme="minorHAnsi" w:cstheme="minorHAnsi"/>
          <w:color w:val="auto"/>
        </w:rPr>
        <w:t xml:space="preserve">obtain </w:t>
      </w:r>
      <w:r w:rsidR="00EA4820" w:rsidRPr="00F852C4">
        <w:rPr>
          <w:rFonts w:asciiTheme="minorHAnsi" w:hAnsiTheme="minorHAnsi" w:cstheme="minorHAnsi"/>
          <w:color w:val="auto"/>
        </w:rPr>
        <w:t xml:space="preserve">the same salt concentration inside the wells </w:t>
      </w:r>
      <w:r w:rsidR="00AD5D61" w:rsidRPr="00F852C4">
        <w:rPr>
          <w:rFonts w:asciiTheme="minorHAnsi" w:hAnsiTheme="minorHAnsi" w:cstheme="minorHAnsi"/>
          <w:color w:val="auto"/>
        </w:rPr>
        <w:t>as that in</w:t>
      </w:r>
      <w:r w:rsidR="00EA4820" w:rsidRPr="00F852C4">
        <w:rPr>
          <w:rFonts w:asciiTheme="minorHAnsi" w:hAnsiTheme="minorHAnsi" w:cstheme="minorHAnsi"/>
          <w:color w:val="auto"/>
        </w:rPr>
        <w:t xml:space="preserve"> the bulk</w:t>
      </w:r>
      <w:r w:rsidR="00AD5D61" w:rsidRPr="00F852C4">
        <w:rPr>
          <w:rFonts w:asciiTheme="minorHAnsi" w:hAnsiTheme="minorHAnsi" w:cstheme="minorHAnsi"/>
          <w:color w:val="auto"/>
        </w:rPr>
        <w:t xml:space="preserve"> environmental</w:t>
      </w:r>
      <w:r w:rsidR="00EA4820" w:rsidRPr="00F852C4">
        <w:rPr>
          <w:rFonts w:asciiTheme="minorHAnsi" w:hAnsiTheme="minorHAnsi" w:cstheme="minorHAnsi"/>
          <w:color w:val="auto"/>
        </w:rPr>
        <w:t xml:space="preserve"> water to prevent density-driven flow</w:t>
      </w:r>
      <w:r w:rsidR="00343B27">
        <w:rPr>
          <w:rFonts w:asciiTheme="minorHAnsi" w:hAnsiTheme="minorHAnsi" w:cstheme="minorHAnsi"/>
          <w:color w:val="auto"/>
        </w:rPr>
        <w:t>,</w:t>
      </w:r>
      <w:r w:rsidR="00EA4820" w:rsidRPr="00F852C4">
        <w:rPr>
          <w:rFonts w:asciiTheme="minorHAnsi" w:hAnsiTheme="minorHAnsi" w:cstheme="minorHAnsi"/>
          <w:color w:val="auto"/>
        </w:rPr>
        <w:t xml:space="preserve"> and (</w:t>
      </w:r>
      <w:r w:rsidR="00343B27">
        <w:rPr>
          <w:rFonts w:asciiTheme="minorHAnsi" w:hAnsiTheme="minorHAnsi" w:cstheme="minorHAnsi"/>
          <w:color w:val="auto"/>
        </w:rPr>
        <w:t>2</w:t>
      </w:r>
      <w:r w:rsidR="00EA4820" w:rsidRPr="00F852C4">
        <w:rPr>
          <w:rFonts w:asciiTheme="minorHAnsi" w:hAnsiTheme="minorHAnsi" w:cstheme="minorHAnsi"/>
          <w:color w:val="auto"/>
        </w:rPr>
        <w:t xml:space="preserve">) guarantee that background nutrient levels are </w:t>
      </w:r>
      <w:r w:rsidR="00343B27">
        <w:rPr>
          <w:rFonts w:asciiTheme="minorHAnsi" w:hAnsiTheme="minorHAnsi" w:cstheme="minorHAnsi"/>
          <w:color w:val="auto"/>
        </w:rPr>
        <w:t>equal</w:t>
      </w:r>
      <w:r w:rsidR="00EA4820" w:rsidRPr="00F852C4">
        <w:rPr>
          <w:rFonts w:asciiTheme="minorHAnsi" w:hAnsiTheme="minorHAnsi" w:cstheme="minorHAnsi"/>
          <w:color w:val="auto"/>
        </w:rPr>
        <w:t xml:space="preserve"> in</w:t>
      </w:r>
      <w:r w:rsidR="00AD5D61" w:rsidRPr="00F852C4">
        <w:rPr>
          <w:rFonts w:asciiTheme="minorHAnsi" w:hAnsiTheme="minorHAnsi" w:cstheme="minorHAnsi"/>
          <w:color w:val="auto"/>
        </w:rPr>
        <w:t>side</w:t>
      </w:r>
      <w:r w:rsidR="00EA4820" w:rsidRPr="00F852C4">
        <w:rPr>
          <w:rFonts w:asciiTheme="minorHAnsi" w:hAnsiTheme="minorHAnsi" w:cstheme="minorHAnsi"/>
          <w:color w:val="auto"/>
        </w:rPr>
        <w:t xml:space="preserve"> and out</w:t>
      </w:r>
      <w:r w:rsidR="00AD5D61" w:rsidRPr="00F852C4">
        <w:rPr>
          <w:rFonts w:asciiTheme="minorHAnsi" w:hAnsiTheme="minorHAnsi" w:cstheme="minorHAnsi"/>
          <w:color w:val="auto"/>
        </w:rPr>
        <w:t>side</w:t>
      </w:r>
      <w:r w:rsidR="00EA4820" w:rsidRPr="00F852C4">
        <w:rPr>
          <w:rFonts w:asciiTheme="minorHAnsi" w:hAnsiTheme="minorHAnsi" w:cstheme="minorHAnsi"/>
          <w:color w:val="auto"/>
        </w:rPr>
        <w:t xml:space="preserve"> of the well.</w:t>
      </w:r>
    </w:p>
    <w:p w14:paraId="429B3C0B" w14:textId="77777777" w:rsidR="00EA4820" w:rsidRPr="00F852C4" w:rsidRDefault="00EA4820" w:rsidP="00344E04">
      <w:pPr>
        <w:rPr>
          <w:rFonts w:asciiTheme="minorHAnsi" w:hAnsiTheme="minorHAnsi" w:cstheme="minorHAnsi"/>
          <w:color w:val="auto"/>
        </w:rPr>
      </w:pPr>
    </w:p>
    <w:p w14:paraId="585B59EC" w14:textId="450502C4"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ISCA filling</w:t>
      </w:r>
    </w:p>
    <w:p w14:paraId="43958A1A" w14:textId="77777777" w:rsidR="00EA4820" w:rsidRPr="00F852C4" w:rsidRDefault="00EA4820" w:rsidP="00344E04">
      <w:pPr>
        <w:rPr>
          <w:rFonts w:asciiTheme="minorHAnsi" w:hAnsiTheme="minorHAnsi" w:cstheme="minorHAnsi"/>
          <w:color w:val="auto"/>
        </w:rPr>
      </w:pPr>
    </w:p>
    <w:p w14:paraId="5ADFD957" w14:textId="106F478A" w:rsidR="00EA4820" w:rsidRPr="00F852C4" w:rsidRDefault="00343B27" w:rsidP="00344E04">
      <w:pPr>
        <w:numPr>
          <w:ilvl w:val="2"/>
          <w:numId w:val="36"/>
        </w:numPr>
        <w:rPr>
          <w:rFonts w:asciiTheme="minorHAnsi" w:hAnsiTheme="minorHAnsi" w:cstheme="minorHAnsi"/>
          <w:color w:val="auto"/>
        </w:rPr>
      </w:pPr>
      <w:r>
        <w:rPr>
          <w:rFonts w:asciiTheme="minorHAnsi" w:hAnsiTheme="minorHAnsi" w:cstheme="minorHAnsi"/>
          <w:color w:val="auto"/>
          <w:highlight w:val="yellow"/>
        </w:rPr>
        <w:t>Perform</w:t>
      </w:r>
      <w:r w:rsidR="00EA4820" w:rsidRPr="001E2097">
        <w:rPr>
          <w:rFonts w:asciiTheme="minorHAnsi" w:hAnsiTheme="minorHAnsi" w:cstheme="minorHAnsi"/>
          <w:color w:val="auto"/>
          <w:highlight w:val="yellow"/>
        </w:rPr>
        <w:t xml:space="preserve"> </w:t>
      </w:r>
      <w:r w:rsidR="003A2FE6">
        <w:rPr>
          <w:rFonts w:asciiTheme="minorHAnsi" w:hAnsiTheme="minorHAnsi" w:cstheme="minorHAnsi"/>
          <w:color w:val="auto"/>
          <w:highlight w:val="yellow"/>
        </w:rPr>
        <w:t>section</w:t>
      </w:r>
      <w:r w:rsidR="00EA4820" w:rsidRPr="001E2097">
        <w:rPr>
          <w:rFonts w:asciiTheme="minorHAnsi" w:hAnsiTheme="minorHAnsi" w:cstheme="minorHAnsi"/>
          <w:color w:val="auto"/>
          <w:highlight w:val="yellow"/>
        </w:rPr>
        <w:t xml:space="preserve"> 1.3 to fill the ISCA.</w:t>
      </w:r>
    </w:p>
    <w:p w14:paraId="58A1CCE6" w14:textId="77777777" w:rsidR="00EA4820" w:rsidRPr="00F852C4" w:rsidRDefault="00EA4820" w:rsidP="00344E04">
      <w:pPr>
        <w:rPr>
          <w:rFonts w:asciiTheme="minorHAnsi" w:hAnsiTheme="minorHAnsi" w:cstheme="minorHAnsi"/>
          <w:color w:val="auto"/>
        </w:rPr>
      </w:pPr>
    </w:p>
    <w:p w14:paraId="523E7BC7" w14:textId="3B1B1B4F"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NOTE: </w:t>
      </w:r>
      <w:r w:rsidR="00343B27">
        <w:rPr>
          <w:rFonts w:asciiTheme="minorHAnsi" w:hAnsiTheme="minorHAnsi" w:cstheme="minorHAnsi"/>
          <w:color w:val="auto"/>
        </w:rPr>
        <w:t>It is</w:t>
      </w:r>
      <w:r w:rsidRPr="00F852C4">
        <w:rPr>
          <w:rFonts w:asciiTheme="minorHAnsi" w:hAnsiTheme="minorHAnsi" w:cstheme="minorHAnsi"/>
          <w:color w:val="auto"/>
        </w:rPr>
        <w:t xml:space="preserve"> recommend</w:t>
      </w:r>
      <w:r w:rsidR="00343B27">
        <w:rPr>
          <w:rFonts w:asciiTheme="minorHAnsi" w:hAnsiTheme="minorHAnsi" w:cstheme="minorHAnsi"/>
          <w:color w:val="auto"/>
        </w:rPr>
        <w:t>ed to</w:t>
      </w:r>
      <w:r w:rsidRPr="00F852C4">
        <w:rPr>
          <w:rFonts w:asciiTheme="minorHAnsi" w:hAnsiTheme="minorHAnsi" w:cstheme="minorHAnsi"/>
          <w:color w:val="auto"/>
        </w:rPr>
        <w:t xml:space="preserve"> </w:t>
      </w:r>
      <w:r w:rsidR="00715CAE">
        <w:rPr>
          <w:rFonts w:asciiTheme="minorHAnsi" w:hAnsiTheme="minorHAnsi" w:cstheme="minorHAnsi"/>
          <w:color w:val="auto"/>
        </w:rPr>
        <w:t>fil</w:t>
      </w:r>
      <w:r w:rsidR="00343B27">
        <w:rPr>
          <w:rFonts w:asciiTheme="minorHAnsi" w:hAnsiTheme="minorHAnsi" w:cstheme="minorHAnsi"/>
          <w:color w:val="auto"/>
        </w:rPr>
        <w:t>l</w:t>
      </w:r>
      <w:r w:rsidRPr="00F852C4">
        <w:rPr>
          <w:rFonts w:asciiTheme="minorHAnsi" w:hAnsiTheme="minorHAnsi" w:cstheme="minorHAnsi"/>
          <w:color w:val="auto"/>
        </w:rPr>
        <w:t xml:space="preserve"> one row (</w:t>
      </w:r>
      <w:r w:rsidR="00343B27">
        <w:rPr>
          <w:rFonts w:asciiTheme="minorHAnsi" w:hAnsiTheme="minorHAnsi" w:cstheme="minorHAnsi"/>
          <w:color w:val="auto"/>
        </w:rPr>
        <w:t>five</w:t>
      </w:r>
      <w:r w:rsidRPr="00F852C4">
        <w:rPr>
          <w:rFonts w:asciiTheme="minorHAnsi" w:hAnsiTheme="minorHAnsi" w:cstheme="minorHAnsi"/>
          <w:color w:val="auto"/>
        </w:rPr>
        <w:t xml:space="preserve"> wells) per substance (i</w:t>
      </w:r>
      <w:r w:rsidR="00232576" w:rsidRPr="00F852C4">
        <w:rPr>
          <w:rFonts w:asciiTheme="minorHAnsi" w:hAnsiTheme="minorHAnsi" w:cstheme="minorHAnsi"/>
          <w:color w:val="auto"/>
        </w:rPr>
        <w:t>.</w:t>
      </w:r>
      <w:r w:rsidRPr="00F852C4">
        <w:rPr>
          <w:rFonts w:asciiTheme="minorHAnsi" w:hAnsiTheme="minorHAnsi" w:cstheme="minorHAnsi"/>
          <w:color w:val="auto"/>
        </w:rPr>
        <w:t>e.</w:t>
      </w:r>
      <w:r w:rsidR="00232576" w:rsidRPr="00F852C4">
        <w:rPr>
          <w:rFonts w:asciiTheme="minorHAnsi" w:hAnsiTheme="minorHAnsi" w:cstheme="minorHAnsi"/>
          <w:color w:val="auto"/>
        </w:rPr>
        <w:t>,</w:t>
      </w:r>
      <w:r w:rsidRPr="00F852C4">
        <w:rPr>
          <w:rFonts w:asciiTheme="minorHAnsi" w:hAnsiTheme="minorHAnsi" w:cstheme="minorHAnsi"/>
          <w:color w:val="auto"/>
        </w:rPr>
        <w:t xml:space="preserve"> </w:t>
      </w:r>
      <w:r w:rsidR="009617C0" w:rsidRPr="00F852C4">
        <w:rPr>
          <w:rFonts w:asciiTheme="minorHAnsi" w:hAnsiTheme="minorHAnsi" w:cstheme="minorHAnsi"/>
          <w:color w:val="auto"/>
        </w:rPr>
        <w:t xml:space="preserve">three </w:t>
      </w:r>
      <w:r w:rsidRPr="00F852C4">
        <w:rPr>
          <w:rFonts w:asciiTheme="minorHAnsi" w:hAnsiTheme="minorHAnsi" w:cstheme="minorHAnsi"/>
          <w:color w:val="auto"/>
        </w:rPr>
        <w:t>different substances per ISCA</w:t>
      </w:r>
      <w:r w:rsidR="009617C0" w:rsidRPr="00F852C4">
        <w:rPr>
          <w:rFonts w:asciiTheme="minorHAnsi" w:hAnsiTheme="minorHAnsi" w:cstheme="minorHAnsi"/>
          <w:color w:val="auto"/>
        </w:rPr>
        <w:t xml:space="preserve"> and one </w:t>
      </w:r>
      <w:proofErr w:type="spellStart"/>
      <w:r w:rsidR="009617C0" w:rsidRPr="00F852C4">
        <w:rPr>
          <w:rFonts w:asciiTheme="minorHAnsi" w:hAnsiTheme="minorHAnsi" w:cstheme="minorHAnsi"/>
          <w:color w:val="auto"/>
        </w:rPr>
        <w:t>ultrafiltered</w:t>
      </w:r>
      <w:proofErr w:type="spellEnd"/>
      <w:r w:rsidR="009617C0" w:rsidRPr="00F852C4">
        <w:rPr>
          <w:rFonts w:asciiTheme="minorHAnsi" w:hAnsiTheme="minorHAnsi" w:cstheme="minorHAnsi"/>
          <w:color w:val="auto"/>
        </w:rPr>
        <w:t xml:space="preserve"> seawater control</w:t>
      </w:r>
      <w:r w:rsidRPr="00F852C4">
        <w:rPr>
          <w:rFonts w:asciiTheme="minorHAnsi" w:hAnsiTheme="minorHAnsi" w:cstheme="minorHAnsi"/>
          <w:color w:val="auto"/>
        </w:rPr>
        <w:t xml:space="preserve">). </w:t>
      </w:r>
    </w:p>
    <w:p w14:paraId="421F7488" w14:textId="77777777" w:rsidR="00EA4820" w:rsidRPr="00F852C4" w:rsidRDefault="00EA4820" w:rsidP="00344E04">
      <w:pPr>
        <w:rPr>
          <w:rFonts w:asciiTheme="minorHAnsi" w:hAnsiTheme="minorHAnsi" w:cstheme="minorHAnsi"/>
          <w:color w:val="auto"/>
        </w:rPr>
      </w:pPr>
    </w:p>
    <w:p w14:paraId="4BC66D2E" w14:textId="1DBFB021" w:rsidR="00EA4820" w:rsidRPr="00344E04" w:rsidRDefault="00EA4820" w:rsidP="00344E04">
      <w:pPr>
        <w:numPr>
          <w:ilvl w:val="1"/>
          <w:numId w:val="36"/>
        </w:numPr>
        <w:rPr>
          <w:rFonts w:asciiTheme="minorHAnsi" w:hAnsiTheme="minorHAnsi" w:cstheme="minorHAnsi"/>
          <w:bCs/>
          <w:color w:val="auto"/>
        </w:rPr>
      </w:pPr>
      <w:r w:rsidRPr="00344E04">
        <w:rPr>
          <w:rFonts w:asciiTheme="minorHAnsi" w:hAnsiTheme="minorHAnsi" w:cstheme="minorHAnsi"/>
          <w:bCs/>
          <w:color w:val="auto"/>
          <w:highlight w:val="yellow"/>
        </w:rPr>
        <w:t>Deployment in the field</w:t>
      </w:r>
    </w:p>
    <w:p w14:paraId="16576D82" w14:textId="77777777" w:rsidR="00EA4820" w:rsidRPr="00F852C4" w:rsidRDefault="00EA4820" w:rsidP="00344E04">
      <w:pPr>
        <w:rPr>
          <w:rFonts w:asciiTheme="minorHAnsi" w:hAnsiTheme="minorHAnsi" w:cstheme="minorHAnsi"/>
          <w:b/>
          <w:color w:val="auto"/>
        </w:rPr>
      </w:pPr>
    </w:p>
    <w:p w14:paraId="07251793" w14:textId="7ABADCB8" w:rsidR="00A05A2E" w:rsidRPr="001E2097"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Screw th</w:t>
      </w:r>
      <w:r w:rsidRPr="001E2097">
        <w:rPr>
          <w:rFonts w:asciiTheme="minorHAnsi" w:hAnsiTheme="minorHAnsi" w:cstheme="minorHAnsi"/>
          <w:color w:val="auto"/>
          <w:highlight w:val="yellow"/>
        </w:rPr>
        <w:t>e ISCA</w:t>
      </w:r>
      <w:r w:rsidR="00CA4522" w:rsidRPr="001E2097">
        <w:rPr>
          <w:rFonts w:asciiTheme="minorHAnsi" w:hAnsiTheme="minorHAnsi" w:cstheme="minorHAnsi"/>
          <w:color w:val="auto"/>
          <w:highlight w:val="yellow"/>
        </w:rPr>
        <w:t xml:space="preserve"> (</w:t>
      </w:r>
      <w:r w:rsidR="00D37E38" w:rsidRPr="00D37E38">
        <w:rPr>
          <w:rFonts w:asciiTheme="minorHAnsi" w:hAnsiTheme="minorHAnsi" w:cstheme="minorHAnsi"/>
          <w:b/>
          <w:color w:val="auto"/>
          <w:highlight w:val="yellow"/>
        </w:rPr>
        <w:t>Figure 3</w:t>
      </w:r>
      <w:r w:rsidR="00CA4522" w:rsidRPr="001E2097">
        <w:rPr>
          <w:rFonts w:asciiTheme="minorHAnsi" w:hAnsiTheme="minorHAnsi" w:cstheme="minorHAnsi"/>
          <w:b/>
          <w:color w:val="auto"/>
          <w:highlight w:val="yellow"/>
        </w:rPr>
        <w:t>A</w:t>
      </w:r>
      <w:r w:rsidR="00CA4522" w:rsidRPr="001E2097">
        <w:rPr>
          <w:rFonts w:asciiTheme="minorHAnsi" w:hAnsiTheme="minorHAnsi" w:cstheme="minorHAnsi"/>
          <w:color w:val="auto"/>
          <w:highlight w:val="yellow"/>
        </w:rPr>
        <w:t>)</w:t>
      </w:r>
      <w:r w:rsidRPr="001E2097">
        <w:rPr>
          <w:rFonts w:asciiTheme="minorHAnsi" w:hAnsiTheme="minorHAnsi" w:cstheme="minorHAnsi"/>
          <w:color w:val="auto"/>
          <w:highlight w:val="yellow"/>
        </w:rPr>
        <w:t xml:space="preserve"> to</w:t>
      </w:r>
      <w:r w:rsidR="00253022" w:rsidRPr="001E2097">
        <w:rPr>
          <w:rFonts w:asciiTheme="minorHAnsi" w:hAnsiTheme="minorHAnsi" w:cstheme="minorHAnsi"/>
          <w:color w:val="auto"/>
          <w:highlight w:val="yellow"/>
        </w:rPr>
        <w:t xml:space="preserve"> piece 9 of</w:t>
      </w:r>
      <w:r w:rsidRPr="001E2097">
        <w:rPr>
          <w:rFonts w:asciiTheme="minorHAnsi" w:hAnsiTheme="minorHAnsi" w:cstheme="minorHAnsi"/>
          <w:color w:val="auto"/>
          <w:highlight w:val="yellow"/>
        </w:rPr>
        <w:t xml:space="preserve"> the enclosure (</w:t>
      </w:r>
      <w:r w:rsidR="00D37E38" w:rsidRPr="00D37E38">
        <w:rPr>
          <w:rFonts w:asciiTheme="minorHAnsi" w:hAnsiTheme="minorHAnsi" w:cstheme="minorHAnsi"/>
          <w:b/>
          <w:color w:val="auto"/>
          <w:highlight w:val="yellow"/>
        </w:rPr>
        <w:t>Figure 2</w:t>
      </w:r>
      <w:r w:rsidR="00253022" w:rsidRPr="001E2097">
        <w:rPr>
          <w:rFonts w:asciiTheme="minorHAnsi" w:hAnsiTheme="minorHAnsi" w:cstheme="minorHAnsi"/>
          <w:b/>
          <w:color w:val="auto"/>
          <w:highlight w:val="yellow"/>
        </w:rPr>
        <w:t>K and</w:t>
      </w:r>
      <w:r w:rsidRPr="001E2097">
        <w:rPr>
          <w:rFonts w:asciiTheme="minorHAnsi" w:hAnsiTheme="minorHAnsi" w:cstheme="minorHAnsi"/>
          <w:b/>
          <w:color w:val="auto"/>
          <w:highlight w:val="yellow"/>
        </w:rPr>
        <w:t xml:space="preserve"> </w:t>
      </w:r>
      <w:r w:rsidR="00D84023" w:rsidRPr="001E2097">
        <w:rPr>
          <w:rFonts w:asciiTheme="minorHAnsi" w:hAnsiTheme="minorHAnsi" w:cstheme="minorHAnsi"/>
          <w:b/>
          <w:color w:val="auto"/>
          <w:highlight w:val="yellow"/>
        </w:rPr>
        <w:t>3</w:t>
      </w:r>
      <w:r w:rsidR="00CA4522" w:rsidRPr="001E2097">
        <w:rPr>
          <w:rFonts w:asciiTheme="minorHAnsi" w:hAnsiTheme="minorHAnsi" w:cstheme="minorHAnsi"/>
          <w:b/>
          <w:color w:val="auto"/>
          <w:highlight w:val="yellow"/>
        </w:rPr>
        <w:t>B</w:t>
      </w:r>
      <w:r w:rsidRPr="001E2097">
        <w:rPr>
          <w:rFonts w:asciiTheme="minorHAnsi" w:hAnsiTheme="minorHAnsi" w:cstheme="minorHAnsi"/>
          <w:color w:val="auto"/>
          <w:highlight w:val="yellow"/>
        </w:rPr>
        <w:t>)</w:t>
      </w:r>
      <w:r w:rsidR="007F73F0" w:rsidRPr="001E2097">
        <w:rPr>
          <w:rFonts w:asciiTheme="minorHAnsi" w:hAnsiTheme="minorHAnsi" w:cstheme="minorHAnsi"/>
          <w:color w:val="auto"/>
          <w:highlight w:val="yellow"/>
        </w:rPr>
        <w:t>.</w:t>
      </w:r>
      <w:r w:rsidRPr="001E2097">
        <w:rPr>
          <w:rFonts w:asciiTheme="minorHAnsi" w:hAnsiTheme="minorHAnsi" w:cstheme="minorHAnsi"/>
          <w:color w:val="auto"/>
          <w:highlight w:val="yellow"/>
        </w:rPr>
        <w:t xml:space="preserve"> </w:t>
      </w:r>
    </w:p>
    <w:p w14:paraId="2C5CDB2A" w14:textId="77777777" w:rsidR="00A05A2E" w:rsidRDefault="00A05A2E" w:rsidP="00344E04">
      <w:pPr>
        <w:rPr>
          <w:rFonts w:asciiTheme="minorHAnsi" w:hAnsiTheme="minorHAnsi" w:cstheme="minorHAnsi"/>
          <w:color w:val="auto"/>
        </w:rPr>
      </w:pPr>
    </w:p>
    <w:p w14:paraId="3310C801" w14:textId="48E548D2" w:rsidR="00EA4820" w:rsidRPr="00F852C4" w:rsidRDefault="00A05A2E" w:rsidP="00344E04">
      <w:pPr>
        <w:rPr>
          <w:rFonts w:asciiTheme="minorHAnsi" w:hAnsiTheme="minorHAnsi" w:cstheme="minorHAnsi"/>
          <w:color w:val="auto"/>
        </w:rPr>
      </w:pPr>
      <w:r>
        <w:rPr>
          <w:rFonts w:asciiTheme="minorHAnsi" w:hAnsiTheme="minorHAnsi" w:cstheme="minorHAnsi"/>
          <w:color w:val="auto"/>
        </w:rPr>
        <w:t xml:space="preserve">NOTE: </w:t>
      </w:r>
      <w:r w:rsidR="00EA4820" w:rsidRPr="00F852C4">
        <w:rPr>
          <w:rFonts w:asciiTheme="minorHAnsi" w:hAnsiTheme="minorHAnsi" w:cstheme="minorHAnsi"/>
          <w:color w:val="auto"/>
        </w:rPr>
        <w:t xml:space="preserve">The flow-damping enclosure </w:t>
      </w:r>
      <w:r w:rsidR="000B435B" w:rsidRPr="00F852C4">
        <w:rPr>
          <w:rFonts w:asciiTheme="minorHAnsi" w:hAnsiTheme="minorHAnsi" w:cstheme="minorHAnsi"/>
          <w:color w:val="auto"/>
        </w:rPr>
        <w:t xml:space="preserve">outlined above </w:t>
      </w:r>
      <w:r w:rsidR="00EA4820" w:rsidRPr="00F852C4">
        <w:rPr>
          <w:rFonts w:asciiTheme="minorHAnsi" w:hAnsiTheme="minorHAnsi" w:cstheme="minorHAnsi"/>
          <w:color w:val="auto"/>
        </w:rPr>
        <w:t xml:space="preserve">can </w:t>
      </w:r>
      <w:r w:rsidR="00343B27">
        <w:rPr>
          <w:rFonts w:asciiTheme="minorHAnsi" w:hAnsiTheme="minorHAnsi" w:cstheme="minorHAnsi"/>
          <w:color w:val="auto"/>
        </w:rPr>
        <w:t>contain</w:t>
      </w:r>
      <w:r w:rsidR="00EA4820" w:rsidRPr="00F852C4">
        <w:rPr>
          <w:rFonts w:asciiTheme="minorHAnsi" w:hAnsiTheme="minorHAnsi" w:cstheme="minorHAnsi"/>
          <w:color w:val="auto"/>
        </w:rPr>
        <w:t xml:space="preserve"> two ISCAs side</w:t>
      </w:r>
      <w:r w:rsidR="00343B27">
        <w:rPr>
          <w:rFonts w:asciiTheme="minorHAnsi" w:hAnsiTheme="minorHAnsi" w:cstheme="minorHAnsi"/>
          <w:color w:val="auto"/>
        </w:rPr>
        <w:t>-</w:t>
      </w:r>
      <w:r w:rsidR="00EA4820" w:rsidRPr="00F852C4">
        <w:rPr>
          <w:rFonts w:asciiTheme="minorHAnsi" w:hAnsiTheme="minorHAnsi" w:cstheme="minorHAnsi"/>
          <w:color w:val="auto"/>
        </w:rPr>
        <w:t>by</w:t>
      </w:r>
      <w:r w:rsidR="00343B27">
        <w:rPr>
          <w:rFonts w:asciiTheme="minorHAnsi" w:hAnsiTheme="minorHAnsi" w:cstheme="minorHAnsi"/>
          <w:color w:val="auto"/>
        </w:rPr>
        <w:t>-</w:t>
      </w:r>
      <w:r w:rsidR="00EA4820" w:rsidRPr="00F852C4">
        <w:rPr>
          <w:rFonts w:asciiTheme="minorHAnsi" w:hAnsiTheme="minorHAnsi" w:cstheme="minorHAnsi"/>
          <w:color w:val="auto"/>
        </w:rPr>
        <w:t xml:space="preserve">side or one ISCA </w:t>
      </w:r>
      <w:r w:rsidR="00E728F7">
        <w:rPr>
          <w:rFonts w:asciiTheme="minorHAnsi" w:hAnsiTheme="minorHAnsi" w:cstheme="minorHAnsi"/>
          <w:color w:val="auto"/>
        </w:rPr>
        <w:t xml:space="preserve">placed </w:t>
      </w:r>
      <w:r w:rsidR="00EA4820" w:rsidRPr="00F852C4">
        <w:rPr>
          <w:rFonts w:asciiTheme="minorHAnsi" w:hAnsiTheme="minorHAnsi" w:cstheme="minorHAnsi"/>
          <w:color w:val="auto"/>
        </w:rPr>
        <w:t xml:space="preserve">at </w:t>
      </w:r>
      <w:r w:rsidR="00E728F7">
        <w:rPr>
          <w:rFonts w:asciiTheme="minorHAnsi" w:hAnsiTheme="minorHAnsi" w:cstheme="minorHAnsi"/>
          <w:color w:val="auto"/>
        </w:rPr>
        <w:t>its</w:t>
      </w:r>
      <w:r w:rsidR="00EA4820" w:rsidRPr="00F852C4">
        <w:rPr>
          <w:rFonts w:asciiTheme="minorHAnsi" w:hAnsiTheme="minorHAnsi" w:cstheme="minorHAnsi"/>
          <w:color w:val="auto"/>
        </w:rPr>
        <w:t xml:space="preserve"> center.</w:t>
      </w:r>
    </w:p>
    <w:p w14:paraId="25D5958C" w14:textId="77777777" w:rsidR="00EA4820" w:rsidRPr="00F852C4" w:rsidRDefault="00EA4820" w:rsidP="00344E04">
      <w:pPr>
        <w:rPr>
          <w:rFonts w:asciiTheme="minorHAnsi" w:hAnsiTheme="minorHAnsi" w:cstheme="minorHAnsi"/>
          <w:color w:val="auto"/>
        </w:rPr>
      </w:pPr>
    </w:p>
    <w:p w14:paraId="7F02946C" w14:textId="46ADAADF" w:rsidR="00A05A2E" w:rsidRPr="001E2097"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 xml:space="preserve">Close the </w:t>
      </w:r>
      <w:r w:rsidR="000B435B" w:rsidRPr="00F852C4">
        <w:rPr>
          <w:rFonts w:asciiTheme="minorHAnsi" w:hAnsiTheme="minorHAnsi" w:cstheme="minorHAnsi"/>
          <w:color w:val="auto"/>
          <w:highlight w:val="yellow"/>
        </w:rPr>
        <w:t>en</w:t>
      </w:r>
      <w:r w:rsidR="000B435B" w:rsidRPr="001E2097">
        <w:rPr>
          <w:rFonts w:asciiTheme="minorHAnsi" w:hAnsiTheme="minorHAnsi" w:cstheme="minorHAnsi"/>
          <w:color w:val="auto"/>
          <w:highlight w:val="yellow"/>
        </w:rPr>
        <w:t>closure</w:t>
      </w:r>
      <w:r w:rsidR="00CA4522" w:rsidRPr="001E2097">
        <w:rPr>
          <w:rFonts w:asciiTheme="minorHAnsi" w:hAnsiTheme="minorHAnsi" w:cstheme="minorHAnsi"/>
          <w:color w:val="auto"/>
          <w:highlight w:val="yellow"/>
        </w:rPr>
        <w:t xml:space="preserve"> (</w:t>
      </w:r>
      <w:r w:rsidR="00D37E38" w:rsidRPr="00D37E38">
        <w:rPr>
          <w:rFonts w:asciiTheme="minorHAnsi" w:hAnsiTheme="minorHAnsi" w:cstheme="minorHAnsi"/>
          <w:b/>
          <w:color w:val="auto"/>
          <w:highlight w:val="yellow"/>
        </w:rPr>
        <w:t>Figure 3</w:t>
      </w:r>
      <w:r w:rsidR="00CA4522" w:rsidRPr="001E2097">
        <w:rPr>
          <w:rFonts w:asciiTheme="minorHAnsi" w:hAnsiTheme="minorHAnsi" w:cstheme="minorHAnsi"/>
          <w:b/>
          <w:color w:val="auto"/>
          <w:highlight w:val="yellow"/>
        </w:rPr>
        <w:t>C</w:t>
      </w:r>
      <w:r w:rsidR="00CA4522" w:rsidRPr="001E2097">
        <w:rPr>
          <w:rFonts w:asciiTheme="minorHAnsi" w:hAnsiTheme="minorHAnsi" w:cstheme="minorHAnsi"/>
          <w:color w:val="auto"/>
          <w:highlight w:val="yellow"/>
        </w:rPr>
        <w:t>)</w:t>
      </w:r>
      <w:r w:rsidR="000B435B" w:rsidRPr="001E2097">
        <w:rPr>
          <w:rFonts w:asciiTheme="minorHAnsi" w:hAnsiTheme="minorHAnsi" w:cstheme="minorHAnsi"/>
          <w:color w:val="auto"/>
          <w:highlight w:val="yellow"/>
        </w:rPr>
        <w:t xml:space="preserve"> </w:t>
      </w:r>
      <w:r w:rsidRPr="001E2097">
        <w:rPr>
          <w:rFonts w:asciiTheme="minorHAnsi" w:hAnsiTheme="minorHAnsi" w:cstheme="minorHAnsi"/>
          <w:color w:val="auto"/>
          <w:highlight w:val="yellow"/>
        </w:rPr>
        <w:t xml:space="preserve">and seal it with </w:t>
      </w:r>
      <w:r w:rsidR="00E22C02" w:rsidRPr="001E2097">
        <w:rPr>
          <w:rFonts w:asciiTheme="minorHAnsi" w:hAnsiTheme="minorHAnsi" w:cstheme="minorHAnsi"/>
          <w:color w:val="auto"/>
          <w:highlight w:val="yellow"/>
        </w:rPr>
        <w:t>adhesive</w:t>
      </w:r>
      <w:r w:rsidRPr="001E2097">
        <w:rPr>
          <w:rFonts w:asciiTheme="minorHAnsi" w:hAnsiTheme="minorHAnsi" w:cstheme="minorHAnsi"/>
          <w:color w:val="auto"/>
          <w:highlight w:val="yellow"/>
        </w:rPr>
        <w:t xml:space="preserve"> tape (</w:t>
      </w:r>
      <w:r w:rsidR="00D37E38" w:rsidRPr="00D37E38">
        <w:rPr>
          <w:rFonts w:asciiTheme="minorHAnsi" w:hAnsiTheme="minorHAnsi" w:cstheme="minorHAnsi"/>
          <w:b/>
          <w:color w:val="auto"/>
          <w:highlight w:val="yellow"/>
        </w:rPr>
        <w:t>Figure 3</w:t>
      </w:r>
      <w:r w:rsidR="00CA4522" w:rsidRPr="001E2097">
        <w:rPr>
          <w:rFonts w:asciiTheme="minorHAnsi" w:hAnsiTheme="minorHAnsi" w:cstheme="minorHAnsi"/>
          <w:b/>
          <w:color w:val="auto"/>
          <w:highlight w:val="yellow"/>
        </w:rPr>
        <w:t>D</w:t>
      </w:r>
      <w:r w:rsidRPr="001E2097">
        <w:rPr>
          <w:rFonts w:asciiTheme="minorHAnsi" w:hAnsiTheme="minorHAnsi" w:cstheme="minorHAnsi"/>
          <w:color w:val="auto"/>
          <w:highlight w:val="yellow"/>
        </w:rPr>
        <w:t xml:space="preserve">). </w:t>
      </w:r>
    </w:p>
    <w:p w14:paraId="58488ADF" w14:textId="77777777" w:rsidR="00A05A2E" w:rsidRDefault="00A05A2E" w:rsidP="00344E04">
      <w:pPr>
        <w:rPr>
          <w:rFonts w:asciiTheme="minorHAnsi" w:hAnsiTheme="minorHAnsi" w:cstheme="minorHAnsi"/>
          <w:color w:val="auto"/>
        </w:rPr>
      </w:pPr>
      <w:bookmarkStart w:id="5" w:name="_Hlk31638966"/>
    </w:p>
    <w:p w14:paraId="5C642220" w14:textId="2DE03456" w:rsidR="00EA4820" w:rsidRPr="00F852C4" w:rsidRDefault="00A05A2E" w:rsidP="00344E04">
      <w:pPr>
        <w:rPr>
          <w:rFonts w:asciiTheme="minorHAnsi" w:hAnsiTheme="minorHAnsi" w:cstheme="minorHAnsi"/>
          <w:color w:val="auto"/>
        </w:rPr>
      </w:pPr>
      <w:r w:rsidRPr="003A2FE6">
        <w:rPr>
          <w:rFonts w:asciiTheme="minorHAnsi" w:hAnsiTheme="minorHAnsi" w:cstheme="minorHAnsi"/>
          <w:color w:val="auto"/>
          <w:highlight w:val="yellow"/>
        </w:rPr>
        <w:t xml:space="preserve">NOTE: </w:t>
      </w:r>
      <w:r w:rsidR="00EA4820" w:rsidRPr="003A2FE6">
        <w:rPr>
          <w:rFonts w:asciiTheme="minorHAnsi" w:hAnsiTheme="minorHAnsi" w:cstheme="minorHAnsi"/>
          <w:color w:val="auto"/>
          <w:highlight w:val="yellow"/>
        </w:rPr>
        <w:t>Wrinkl</w:t>
      </w:r>
      <w:r w:rsidR="00EA4820" w:rsidRPr="00F852C4">
        <w:rPr>
          <w:rFonts w:asciiTheme="minorHAnsi" w:hAnsiTheme="minorHAnsi" w:cstheme="minorHAnsi"/>
          <w:color w:val="auto"/>
          <w:highlight w:val="yellow"/>
        </w:rPr>
        <w:t>es must be avoided to ensure a perfect seal. Seal all sides first</w:t>
      </w:r>
      <w:r w:rsidR="00343B27">
        <w:rPr>
          <w:rFonts w:asciiTheme="minorHAnsi" w:hAnsiTheme="minorHAnsi" w:cstheme="minorHAnsi"/>
          <w:color w:val="auto"/>
          <w:highlight w:val="yellow"/>
        </w:rPr>
        <w:t>,</w:t>
      </w:r>
      <w:r w:rsidR="00EA4820" w:rsidRPr="00F852C4">
        <w:rPr>
          <w:rFonts w:asciiTheme="minorHAnsi" w:hAnsiTheme="minorHAnsi" w:cstheme="minorHAnsi"/>
          <w:color w:val="auto"/>
          <w:highlight w:val="yellow"/>
        </w:rPr>
        <w:t xml:space="preserve"> </w:t>
      </w:r>
      <w:r w:rsidR="00343B27">
        <w:rPr>
          <w:rFonts w:asciiTheme="minorHAnsi" w:hAnsiTheme="minorHAnsi" w:cstheme="minorHAnsi"/>
          <w:color w:val="auto"/>
          <w:highlight w:val="yellow"/>
        </w:rPr>
        <w:t>then</w:t>
      </w:r>
      <w:r w:rsidR="00EA4820" w:rsidRPr="00F852C4">
        <w:rPr>
          <w:rFonts w:asciiTheme="minorHAnsi" w:hAnsiTheme="minorHAnsi" w:cstheme="minorHAnsi"/>
          <w:color w:val="auto"/>
          <w:highlight w:val="yellow"/>
        </w:rPr>
        <w:t xml:space="preserve"> </w:t>
      </w:r>
      <w:r w:rsidR="00343B27">
        <w:rPr>
          <w:rFonts w:asciiTheme="minorHAnsi" w:hAnsiTheme="minorHAnsi" w:cstheme="minorHAnsi"/>
          <w:color w:val="auto"/>
          <w:highlight w:val="yellow"/>
        </w:rPr>
        <w:t>(</w:t>
      </w:r>
      <w:r w:rsidR="00EA4820" w:rsidRPr="00F852C4">
        <w:rPr>
          <w:rFonts w:asciiTheme="minorHAnsi" w:hAnsiTheme="minorHAnsi" w:cstheme="minorHAnsi"/>
          <w:color w:val="auto"/>
          <w:highlight w:val="yellow"/>
        </w:rPr>
        <w:t>in a second step</w:t>
      </w:r>
      <w:r w:rsidR="00343B27">
        <w:rPr>
          <w:rFonts w:asciiTheme="minorHAnsi" w:hAnsiTheme="minorHAnsi" w:cstheme="minorHAnsi"/>
          <w:color w:val="auto"/>
          <w:highlight w:val="yellow"/>
        </w:rPr>
        <w:t>) seal</w:t>
      </w:r>
      <w:r w:rsidR="00EA4820" w:rsidRPr="00F852C4">
        <w:rPr>
          <w:rFonts w:asciiTheme="minorHAnsi" w:hAnsiTheme="minorHAnsi" w:cstheme="minorHAnsi"/>
          <w:color w:val="auto"/>
          <w:highlight w:val="yellow"/>
        </w:rPr>
        <w:t xml:space="preserve"> the side holes</w:t>
      </w:r>
      <w:r w:rsidR="00EA4820" w:rsidRPr="001E2097">
        <w:rPr>
          <w:rFonts w:asciiTheme="minorHAnsi" w:hAnsiTheme="minorHAnsi" w:cstheme="minorHAnsi"/>
          <w:color w:val="auto"/>
          <w:highlight w:val="yellow"/>
        </w:rPr>
        <w:t xml:space="preserve">, which will be used to drain water from the </w:t>
      </w:r>
      <w:r w:rsidR="00A107C6" w:rsidRPr="001E2097">
        <w:rPr>
          <w:rFonts w:asciiTheme="minorHAnsi" w:hAnsiTheme="minorHAnsi" w:cstheme="minorHAnsi"/>
          <w:color w:val="auto"/>
          <w:highlight w:val="yellow"/>
        </w:rPr>
        <w:t>enclosure</w:t>
      </w:r>
      <w:r w:rsidR="00EA4820" w:rsidRPr="001E2097">
        <w:rPr>
          <w:rFonts w:asciiTheme="minorHAnsi" w:hAnsiTheme="minorHAnsi" w:cstheme="minorHAnsi"/>
          <w:color w:val="auto"/>
          <w:highlight w:val="yellow"/>
        </w:rPr>
        <w:t xml:space="preserve"> </w:t>
      </w:r>
      <w:r w:rsidR="000B435B" w:rsidRPr="001E2097">
        <w:rPr>
          <w:rFonts w:asciiTheme="minorHAnsi" w:hAnsiTheme="minorHAnsi" w:cstheme="minorHAnsi"/>
          <w:color w:val="auto"/>
          <w:highlight w:val="yellow"/>
        </w:rPr>
        <w:t>at the end of sampling</w:t>
      </w:r>
      <w:r w:rsidR="00EA4820" w:rsidRPr="001E2097">
        <w:rPr>
          <w:rFonts w:asciiTheme="minorHAnsi" w:hAnsiTheme="minorHAnsi" w:cstheme="minorHAnsi"/>
          <w:color w:val="auto"/>
          <w:highlight w:val="yellow"/>
        </w:rPr>
        <w:t>. Do not seal the top and bottom holes.</w:t>
      </w:r>
      <w:bookmarkEnd w:id="5"/>
      <w:r w:rsidR="003A2FE6">
        <w:rPr>
          <w:rFonts w:asciiTheme="minorHAnsi" w:hAnsiTheme="minorHAnsi" w:cstheme="minorHAnsi"/>
          <w:color w:val="auto"/>
        </w:rPr>
        <w:t xml:space="preserve"> </w:t>
      </w:r>
      <w:r w:rsidR="00EA4820" w:rsidRPr="00F852C4">
        <w:rPr>
          <w:rFonts w:asciiTheme="minorHAnsi" w:hAnsiTheme="minorHAnsi" w:cstheme="minorHAnsi"/>
          <w:color w:val="auto"/>
        </w:rPr>
        <w:t xml:space="preserve">Do not place the ISCA upside down, as density-driven flow can occur in wells containing </w:t>
      </w:r>
      <w:proofErr w:type="spellStart"/>
      <w:r w:rsidR="00EA4820" w:rsidRPr="00F852C4">
        <w:rPr>
          <w:rFonts w:asciiTheme="minorHAnsi" w:hAnsiTheme="minorHAnsi" w:cstheme="minorHAnsi"/>
          <w:color w:val="auto"/>
        </w:rPr>
        <w:t>chemoattractants</w:t>
      </w:r>
      <w:proofErr w:type="spellEnd"/>
      <w:r w:rsidR="00EA4820" w:rsidRPr="00F852C4">
        <w:rPr>
          <w:rFonts w:asciiTheme="minorHAnsi" w:hAnsiTheme="minorHAnsi" w:cstheme="minorHAnsi"/>
          <w:color w:val="auto"/>
        </w:rPr>
        <w:t>, which will bias the number of cells in the wells.</w:t>
      </w:r>
    </w:p>
    <w:p w14:paraId="087E1246" w14:textId="77777777" w:rsidR="00EA4820" w:rsidRPr="00F852C4" w:rsidRDefault="00EA4820" w:rsidP="00344E04">
      <w:pPr>
        <w:rPr>
          <w:rFonts w:asciiTheme="minorHAnsi" w:hAnsiTheme="minorHAnsi" w:cstheme="minorHAnsi"/>
          <w:color w:val="auto"/>
        </w:rPr>
      </w:pPr>
    </w:p>
    <w:p w14:paraId="2ECDA494" w14:textId="7EC7CABF" w:rsidR="00A05A2E" w:rsidRDefault="00343B27" w:rsidP="00344E04">
      <w:pPr>
        <w:numPr>
          <w:ilvl w:val="2"/>
          <w:numId w:val="36"/>
        </w:numPr>
        <w:rPr>
          <w:rFonts w:asciiTheme="minorHAnsi" w:hAnsiTheme="minorHAnsi" w:cstheme="minorHAnsi"/>
          <w:color w:val="auto"/>
          <w:highlight w:val="yellow"/>
        </w:rPr>
      </w:pPr>
      <w:r>
        <w:rPr>
          <w:rFonts w:asciiTheme="minorHAnsi" w:hAnsiTheme="minorHAnsi" w:cstheme="minorHAnsi"/>
          <w:color w:val="auto"/>
          <w:highlight w:val="yellow"/>
        </w:rPr>
        <w:t>Because</w:t>
      </w:r>
      <w:r w:rsidR="00C172FA" w:rsidRPr="001E2097">
        <w:rPr>
          <w:rFonts w:asciiTheme="minorHAnsi" w:hAnsiTheme="minorHAnsi" w:cstheme="minorHAnsi"/>
          <w:color w:val="auto"/>
          <w:highlight w:val="yellow"/>
        </w:rPr>
        <w:t xml:space="preserve"> </w:t>
      </w:r>
      <w:r w:rsidR="00A05A2E" w:rsidRPr="001E2097">
        <w:rPr>
          <w:rFonts w:asciiTheme="minorHAnsi" w:hAnsiTheme="minorHAnsi" w:cstheme="minorHAnsi"/>
          <w:color w:val="auto"/>
          <w:highlight w:val="yellow"/>
        </w:rPr>
        <w:t>t</w:t>
      </w:r>
      <w:r w:rsidR="00B1040E" w:rsidRPr="001E2097">
        <w:rPr>
          <w:rFonts w:asciiTheme="minorHAnsi" w:hAnsiTheme="minorHAnsi" w:cstheme="minorHAnsi"/>
          <w:color w:val="auto"/>
          <w:highlight w:val="yellow"/>
        </w:rPr>
        <w:t xml:space="preserve">he enclosure </w:t>
      </w:r>
      <w:r>
        <w:rPr>
          <w:rFonts w:asciiTheme="minorHAnsi" w:hAnsiTheme="minorHAnsi" w:cstheme="minorHAnsi"/>
          <w:color w:val="auto"/>
          <w:highlight w:val="yellow"/>
        </w:rPr>
        <w:t>must</w:t>
      </w:r>
      <w:r w:rsidR="00B1040E" w:rsidRPr="001E2097">
        <w:rPr>
          <w:rFonts w:asciiTheme="minorHAnsi" w:hAnsiTheme="minorHAnsi" w:cstheme="minorHAnsi"/>
          <w:color w:val="auto"/>
          <w:highlight w:val="yellow"/>
        </w:rPr>
        <w:t xml:space="preserve"> remain steady during deployment</w:t>
      </w:r>
      <w:r w:rsidR="00A05A2E" w:rsidRPr="001E2097">
        <w:rPr>
          <w:rFonts w:asciiTheme="minorHAnsi" w:hAnsiTheme="minorHAnsi" w:cstheme="minorHAnsi"/>
          <w:color w:val="auto"/>
          <w:highlight w:val="yellow"/>
        </w:rPr>
        <w:t xml:space="preserve">, </w:t>
      </w:r>
      <w:r>
        <w:rPr>
          <w:rFonts w:asciiTheme="minorHAnsi" w:hAnsiTheme="minorHAnsi" w:cstheme="minorHAnsi"/>
          <w:color w:val="auto"/>
          <w:highlight w:val="yellow"/>
        </w:rPr>
        <w:t>it is</w:t>
      </w:r>
      <w:r w:rsidR="00B1040E" w:rsidRPr="001E2097">
        <w:rPr>
          <w:rFonts w:asciiTheme="minorHAnsi" w:hAnsiTheme="minorHAnsi" w:cstheme="minorHAnsi"/>
          <w:color w:val="auto"/>
          <w:highlight w:val="yellow"/>
        </w:rPr>
        <w:t xml:space="preserve"> recommend</w:t>
      </w:r>
      <w:r>
        <w:rPr>
          <w:rFonts w:asciiTheme="minorHAnsi" w:hAnsiTheme="minorHAnsi" w:cstheme="minorHAnsi"/>
          <w:color w:val="auto"/>
          <w:highlight w:val="yellow"/>
        </w:rPr>
        <w:t>ed</w:t>
      </w:r>
      <w:r w:rsidR="00B1040E" w:rsidRPr="001E2097">
        <w:rPr>
          <w:rFonts w:asciiTheme="minorHAnsi" w:hAnsiTheme="minorHAnsi" w:cstheme="minorHAnsi"/>
          <w:color w:val="auto"/>
          <w:highlight w:val="yellow"/>
        </w:rPr>
        <w:t xml:space="preserve"> t</w:t>
      </w:r>
      <w:r w:rsidR="005E5235" w:rsidRPr="001E2097">
        <w:rPr>
          <w:rFonts w:asciiTheme="minorHAnsi" w:hAnsiTheme="minorHAnsi" w:cstheme="minorHAnsi"/>
          <w:color w:val="auto"/>
          <w:highlight w:val="yellow"/>
        </w:rPr>
        <w:t xml:space="preserve">o </w:t>
      </w:r>
      <w:r w:rsidR="00B1040E" w:rsidRPr="001E2097">
        <w:rPr>
          <w:rFonts w:asciiTheme="minorHAnsi" w:hAnsiTheme="minorHAnsi" w:cstheme="minorHAnsi"/>
          <w:color w:val="auto"/>
          <w:highlight w:val="yellow"/>
        </w:rPr>
        <w:t>attach</w:t>
      </w:r>
      <w:r w:rsidR="005E5235" w:rsidRPr="001E2097">
        <w:rPr>
          <w:rFonts w:asciiTheme="minorHAnsi" w:hAnsiTheme="minorHAnsi" w:cstheme="minorHAnsi"/>
          <w:color w:val="auto"/>
          <w:highlight w:val="yellow"/>
        </w:rPr>
        <w:t xml:space="preserve"> it to</w:t>
      </w:r>
      <w:r w:rsidR="00B1040E" w:rsidRPr="001E2097">
        <w:rPr>
          <w:rFonts w:asciiTheme="minorHAnsi" w:hAnsiTheme="minorHAnsi" w:cstheme="minorHAnsi"/>
          <w:color w:val="auto"/>
          <w:highlight w:val="yellow"/>
        </w:rPr>
        <w:t xml:space="preserve"> ma</w:t>
      </w:r>
      <w:r w:rsidR="00B1040E" w:rsidRPr="00F852C4">
        <w:rPr>
          <w:rFonts w:asciiTheme="minorHAnsi" w:hAnsiTheme="minorHAnsi" w:cstheme="minorHAnsi"/>
          <w:color w:val="auto"/>
          <w:highlight w:val="yellow"/>
        </w:rPr>
        <w:t>nmade structures (e.g.</w:t>
      </w:r>
      <w:r>
        <w:rPr>
          <w:rFonts w:asciiTheme="minorHAnsi" w:hAnsiTheme="minorHAnsi" w:cstheme="minorHAnsi"/>
          <w:color w:val="auto"/>
          <w:highlight w:val="yellow"/>
        </w:rPr>
        <w:t>,</w:t>
      </w:r>
      <w:r w:rsidR="00B1040E" w:rsidRPr="00F852C4">
        <w:rPr>
          <w:rFonts w:asciiTheme="minorHAnsi" w:hAnsiTheme="minorHAnsi" w:cstheme="minorHAnsi"/>
          <w:color w:val="auto"/>
          <w:highlight w:val="yellow"/>
        </w:rPr>
        <w:t xml:space="preserve"> pontoon, ladder)</w:t>
      </w:r>
      <w:r w:rsidR="005E5235" w:rsidRPr="005E5235">
        <w:rPr>
          <w:rFonts w:asciiTheme="minorHAnsi" w:hAnsiTheme="minorHAnsi" w:cstheme="minorHAnsi"/>
          <w:color w:val="auto"/>
          <w:highlight w:val="yellow"/>
        </w:rPr>
        <w:t xml:space="preserve"> </w:t>
      </w:r>
      <w:r w:rsidR="005E5235" w:rsidRPr="00F852C4">
        <w:rPr>
          <w:rFonts w:asciiTheme="minorHAnsi" w:hAnsiTheme="minorHAnsi" w:cstheme="minorHAnsi"/>
          <w:color w:val="auto"/>
          <w:highlight w:val="yellow"/>
        </w:rPr>
        <w:t>using bungee cords</w:t>
      </w:r>
      <w:r w:rsidR="00B1040E" w:rsidRPr="00F852C4">
        <w:rPr>
          <w:rFonts w:asciiTheme="minorHAnsi" w:hAnsiTheme="minorHAnsi" w:cstheme="minorHAnsi"/>
          <w:color w:val="auto"/>
          <w:highlight w:val="yellow"/>
        </w:rPr>
        <w:t xml:space="preserve">. </w:t>
      </w:r>
    </w:p>
    <w:p w14:paraId="3BA8882F" w14:textId="77777777" w:rsidR="00A05A2E" w:rsidRDefault="00A05A2E" w:rsidP="00344E04">
      <w:pPr>
        <w:rPr>
          <w:rFonts w:asciiTheme="minorHAnsi" w:hAnsiTheme="minorHAnsi" w:cstheme="minorHAnsi"/>
          <w:color w:val="auto"/>
          <w:highlight w:val="yellow"/>
        </w:rPr>
      </w:pPr>
    </w:p>
    <w:p w14:paraId="678FC970" w14:textId="657D4AD0" w:rsidR="00EA4820" w:rsidRPr="00F852C4" w:rsidRDefault="00A05A2E" w:rsidP="00344E04">
      <w:pPr>
        <w:rPr>
          <w:rFonts w:asciiTheme="minorHAnsi" w:hAnsiTheme="minorHAnsi" w:cstheme="minorHAnsi"/>
          <w:color w:val="auto"/>
        </w:rPr>
      </w:pPr>
      <w:r>
        <w:rPr>
          <w:rFonts w:asciiTheme="minorHAnsi" w:hAnsiTheme="minorHAnsi" w:cstheme="minorHAnsi"/>
          <w:color w:val="auto"/>
          <w:highlight w:val="yellow"/>
        </w:rPr>
        <w:t xml:space="preserve">NOTE: </w:t>
      </w:r>
      <w:r w:rsidR="00B1040E" w:rsidRPr="00F852C4">
        <w:rPr>
          <w:rFonts w:asciiTheme="minorHAnsi" w:hAnsiTheme="minorHAnsi" w:cstheme="minorHAnsi"/>
          <w:color w:val="auto"/>
          <w:highlight w:val="yellow"/>
        </w:rPr>
        <w:t>The</w:t>
      </w:r>
      <w:r w:rsidR="00EA4820" w:rsidRPr="00F852C4">
        <w:rPr>
          <w:rFonts w:asciiTheme="minorHAnsi" w:hAnsiTheme="minorHAnsi" w:cstheme="minorHAnsi"/>
          <w:color w:val="auto"/>
          <w:highlight w:val="yellow"/>
        </w:rPr>
        <w:t xml:space="preserve"> enclosure </w:t>
      </w:r>
      <w:r w:rsidR="00B1040E" w:rsidRPr="00F852C4">
        <w:rPr>
          <w:rFonts w:asciiTheme="minorHAnsi" w:hAnsiTheme="minorHAnsi" w:cstheme="minorHAnsi"/>
          <w:color w:val="auto"/>
          <w:highlight w:val="yellow"/>
        </w:rPr>
        <w:t xml:space="preserve">can be attached to </w:t>
      </w:r>
      <w:r w:rsidR="005E5235">
        <w:rPr>
          <w:rFonts w:asciiTheme="minorHAnsi" w:hAnsiTheme="minorHAnsi" w:cstheme="minorHAnsi"/>
          <w:color w:val="auto"/>
          <w:highlight w:val="yellow"/>
        </w:rPr>
        <w:t>a deployme</w:t>
      </w:r>
      <w:r w:rsidR="005E5235" w:rsidRPr="001E2097">
        <w:rPr>
          <w:rFonts w:asciiTheme="minorHAnsi" w:hAnsiTheme="minorHAnsi" w:cstheme="minorHAnsi"/>
          <w:color w:val="auto"/>
          <w:highlight w:val="yellow"/>
        </w:rPr>
        <w:t xml:space="preserve">nt </w:t>
      </w:r>
      <w:r w:rsidR="00EA4820" w:rsidRPr="001E2097">
        <w:rPr>
          <w:rFonts w:asciiTheme="minorHAnsi" w:hAnsiTheme="minorHAnsi" w:cstheme="minorHAnsi"/>
          <w:color w:val="auto"/>
          <w:highlight w:val="yellow"/>
        </w:rPr>
        <w:t>arm</w:t>
      </w:r>
      <w:r w:rsidR="005E5235" w:rsidRPr="001E2097">
        <w:rPr>
          <w:rFonts w:asciiTheme="minorHAnsi" w:hAnsiTheme="minorHAnsi" w:cstheme="minorHAnsi"/>
          <w:color w:val="auto"/>
          <w:highlight w:val="yellow"/>
        </w:rPr>
        <w:t xml:space="preserve"> (</w:t>
      </w:r>
      <w:r w:rsidR="00343B27">
        <w:rPr>
          <w:rFonts w:asciiTheme="minorHAnsi" w:hAnsiTheme="minorHAnsi" w:cstheme="minorHAnsi"/>
          <w:color w:val="auto"/>
          <w:highlight w:val="yellow"/>
        </w:rPr>
        <w:t xml:space="preserve">here, </w:t>
      </w:r>
      <w:r w:rsidR="005E5235" w:rsidRPr="001E2097">
        <w:rPr>
          <w:rFonts w:asciiTheme="minorHAnsi" w:hAnsiTheme="minorHAnsi" w:cstheme="minorHAnsi"/>
          <w:color w:val="auto"/>
          <w:highlight w:val="yellow"/>
        </w:rPr>
        <w:t>a modified clamp with a perpendicular platform)</w:t>
      </w:r>
      <w:r w:rsidR="00EA4820" w:rsidRPr="001E2097">
        <w:rPr>
          <w:rFonts w:asciiTheme="minorHAnsi" w:hAnsiTheme="minorHAnsi" w:cstheme="minorHAnsi"/>
          <w:color w:val="auto"/>
          <w:highlight w:val="yellow"/>
        </w:rPr>
        <w:t xml:space="preserve"> using bungee cords</w:t>
      </w:r>
      <w:r w:rsidR="00B1040E" w:rsidRPr="001E2097">
        <w:rPr>
          <w:rFonts w:asciiTheme="minorHAnsi" w:hAnsiTheme="minorHAnsi" w:cstheme="minorHAnsi"/>
          <w:color w:val="auto"/>
          <w:highlight w:val="yellow"/>
        </w:rPr>
        <w:t xml:space="preserve"> before immersion</w:t>
      </w:r>
      <w:r w:rsidR="00224876" w:rsidRPr="001E2097">
        <w:rPr>
          <w:rFonts w:asciiTheme="minorHAnsi" w:hAnsiTheme="minorHAnsi" w:cstheme="minorHAnsi"/>
          <w:color w:val="auto"/>
          <w:highlight w:val="yellow"/>
        </w:rPr>
        <w:t xml:space="preserve"> in the water.</w:t>
      </w:r>
      <w:r w:rsidR="005E5235" w:rsidRPr="001E2097">
        <w:rPr>
          <w:rFonts w:asciiTheme="minorHAnsi" w:hAnsiTheme="minorHAnsi" w:cstheme="minorHAnsi"/>
          <w:color w:val="auto"/>
          <w:highlight w:val="yellow"/>
        </w:rPr>
        <w:t xml:space="preserve"> Alternatively, the enclosure can be filled and secured</w:t>
      </w:r>
      <w:r w:rsidR="005E5235" w:rsidRPr="008C7B92">
        <w:rPr>
          <w:rFonts w:asciiTheme="minorHAnsi" w:hAnsiTheme="minorHAnsi" w:cstheme="minorHAnsi"/>
          <w:color w:val="auto"/>
          <w:highlight w:val="yellow"/>
        </w:rPr>
        <w:t xml:space="preserve"> with a small weight on shallow substrates. If deployments are intended in the pelagic ocean, the enclosure can be attached to a </w:t>
      </w:r>
      <w:r w:rsidR="005E5235" w:rsidRPr="008C7B92">
        <w:rPr>
          <w:rFonts w:asciiTheme="minorHAnsi" w:hAnsiTheme="minorHAnsi" w:cstheme="minorHAnsi"/>
          <w:color w:val="000000" w:themeColor="text1"/>
          <w:highlight w:val="yellow"/>
        </w:rPr>
        <w:t>net with a buoy on one side and dive weight on the other</w:t>
      </w:r>
      <w:r w:rsidR="005E5235" w:rsidRPr="00F852C4">
        <w:rPr>
          <w:rFonts w:asciiTheme="minorHAnsi" w:hAnsiTheme="minorHAnsi" w:cstheme="minorHAnsi"/>
          <w:color w:val="auto"/>
        </w:rPr>
        <w:t>.</w:t>
      </w:r>
    </w:p>
    <w:p w14:paraId="130DE979" w14:textId="77777777" w:rsidR="00EA4820" w:rsidRPr="00F852C4" w:rsidRDefault="00EA4820" w:rsidP="00344E04">
      <w:pPr>
        <w:rPr>
          <w:rFonts w:asciiTheme="minorHAnsi" w:hAnsiTheme="minorHAnsi" w:cstheme="minorHAnsi"/>
          <w:color w:val="auto"/>
        </w:rPr>
      </w:pPr>
    </w:p>
    <w:p w14:paraId="50FA66DE" w14:textId="12AC0081" w:rsidR="00EA4820" w:rsidRPr="00743F77" w:rsidRDefault="00224876"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S</w:t>
      </w:r>
      <w:r w:rsidR="00EA4820" w:rsidRPr="00F852C4">
        <w:rPr>
          <w:rFonts w:asciiTheme="minorHAnsi" w:hAnsiTheme="minorHAnsi" w:cstheme="minorHAnsi"/>
          <w:color w:val="auto"/>
          <w:highlight w:val="yellow"/>
        </w:rPr>
        <w:t xml:space="preserve">ubmerge the </w:t>
      </w:r>
      <w:r w:rsidR="005E5235">
        <w:rPr>
          <w:rFonts w:asciiTheme="minorHAnsi" w:hAnsiTheme="minorHAnsi" w:cstheme="minorHAnsi"/>
          <w:color w:val="auto"/>
          <w:highlight w:val="yellow"/>
        </w:rPr>
        <w:t>enclosure</w:t>
      </w:r>
      <w:r w:rsidR="005E5235" w:rsidRPr="00F852C4">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completely to sta</w:t>
      </w:r>
      <w:r w:rsidR="00EA4820" w:rsidRPr="00B24153">
        <w:rPr>
          <w:rFonts w:asciiTheme="minorHAnsi" w:hAnsiTheme="minorHAnsi" w:cstheme="minorHAnsi"/>
          <w:color w:val="auto"/>
          <w:highlight w:val="yellow"/>
        </w:rPr>
        <w:t xml:space="preserve">rt filling. While filling, hold </w:t>
      </w:r>
      <w:r w:rsidR="005E5235" w:rsidRPr="00B24153">
        <w:rPr>
          <w:rFonts w:asciiTheme="minorHAnsi" w:hAnsiTheme="minorHAnsi" w:cstheme="minorHAnsi"/>
          <w:color w:val="auto"/>
          <w:highlight w:val="yellow"/>
        </w:rPr>
        <w:t xml:space="preserve">the enclosure </w:t>
      </w:r>
      <w:r w:rsidR="00EA4820" w:rsidRPr="00B24153">
        <w:rPr>
          <w:rFonts w:asciiTheme="minorHAnsi" w:hAnsiTheme="minorHAnsi" w:cstheme="minorHAnsi"/>
          <w:color w:val="auto"/>
          <w:highlight w:val="yellow"/>
        </w:rPr>
        <w:t>firmly to prevent excessive water movement inside.</w:t>
      </w:r>
      <w:r w:rsidR="00743F77" w:rsidRPr="00B24153">
        <w:rPr>
          <w:rFonts w:asciiTheme="minorHAnsi" w:hAnsiTheme="minorHAnsi" w:cstheme="minorHAnsi"/>
          <w:color w:val="auto"/>
          <w:highlight w:val="yellow"/>
        </w:rPr>
        <w:t xml:space="preserve"> </w:t>
      </w:r>
      <w:r w:rsidR="00EA4820" w:rsidRPr="00B24153">
        <w:rPr>
          <w:rFonts w:asciiTheme="minorHAnsi" w:hAnsiTheme="minorHAnsi" w:cstheme="minorHAnsi"/>
          <w:color w:val="auto"/>
          <w:highlight w:val="yellow"/>
        </w:rPr>
        <w:t>Once</w:t>
      </w:r>
      <w:r w:rsidR="00EA4820" w:rsidRPr="00743F77">
        <w:rPr>
          <w:rFonts w:asciiTheme="minorHAnsi" w:hAnsiTheme="minorHAnsi" w:cstheme="minorHAnsi"/>
          <w:color w:val="auto"/>
          <w:highlight w:val="yellow"/>
        </w:rPr>
        <w:t xml:space="preserve"> the level of the water reaches the top of the </w:t>
      </w:r>
      <w:r w:rsidR="005E5235" w:rsidRPr="00743F77">
        <w:rPr>
          <w:rFonts w:asciiTheme="minorHAnsi" w:hAnsiTheme="minorHAnsi" w:cstheme="minorHAnsi"/>
          <w:color w:val="auto"/>
          <w:highlight w:val="yellow"/>
        </w:rPr>
        <w:t>enclosure</w:t>
      </w:r>
      <w:r w:rsidR="00EA4820" w:rsidRPr="00743F77">
        <w:rPr>
          <w:rFonts w:asciiTheme="minorHAnsi" w:hAnsiTheme="minorHAnsi" w:cstheme="minorHAnsi"/>
          <w:color w:val="auto"/>
          <w:highlight w:val="yellow"/>
        </w:rPr>
        <w:t xml:space="preserve">, make sure that no air </w:t>
      </w:r>
      <w:r w:rsidR="008012BE" w:rsidRPr="00743F77">
        <w:rPr>
          <w:rFonts w:asciiTheme="minorHAnsi" w:hAnsiTheme="minorHAnsi" w:cstheme="minorHAnsi"/>
          <w:color w:val="auto"/>
          <w:highlight w:val="yellow"/>
        </w:rPr>
        <w:t>is</w:t>
      </w:r>
      <w:r w:rsidR="00EA4820" w:rsidRPr="00743F77">
        <w:rPr>
          <w:rFonts w:asciiTheme="minorHAnsi" w:hAnsiTheme="minorHAnsi" w:cstheme="minorHAnsi"/>
          <w:color w:val="auto"/>
          <w:highlight w:val="yellow"/>
        </w:rPr>
        <w:t xml:space="preserve"> trapped inside.</w:t>
      </w:r>
      <w:r w:rsidR="00EA4820" w:rsidRPr="00743F77">
        <w:rPr>
          <w:rFonts w:asciiTheme="minorHAnsi" w:hAnsiTheme="minorHAnsi" w:cstheme="minorHAnsi"/>
          <w:color w:val="auto"/>
        </w:rPr>
        <w:t xml:space="preserve"> </w:t>
      </w:r>
    </w:p>
    <w:p w14:paraId="01E0FB26" w14:textId="5D78A975" w:rsidR="00C0034D" w:rsidRPr="00F852C4" w:rsidRDefault="00C0034D" w:rsidP="00344E04">
      <w:pPr>
        <w:rPr>
          <w:rFonts w:asciiTheme="minorHAnsi" w:hAnsiTheme="minorHAnsi" w:cstheme="minorHAnsi"/>
          <w:color w:val="auto"/>
        </w:rPr>
      </w:pPr>
    </w:p>
    <w:p w14:paraId="7909D5F3" w14:textId="4619B240" w:rsidR="00C0034D" w:rsidRPr="00F852C4" w:rsidRDefault="00C0034D" w:rsidP="00344E04">
      <w:pPr>
        <w:rPr>
          <w:rFonts w:asciiTheme="minorHAnsi" w:hAnsiTheme="minorHAnsi" w:cstheme="minorHAnsi"/>
          <w:color w:val="auto"/>
        </w:rPr>
      </w:pPr>
      <w:r w:rsidRPr="00F852C4">
        <w:rPr>
          <w:rFonts w:asciiTheme="minorHAnsi" w:hAnsiTheme="minorHAnsi" w:cstheme="minorHAnsi"/>
          <w:color w:val="auto"/>
        </w:rPr>
        <w:lastRenderedPageBreak/>
        <w:t xml:space="preserve">NOTE: </w:t>
      </w:r>
      <w:r w:rsidR="008A6B4E" w:rsidRPr="00F852C4">
        <w:rPr>
          <w:rFonts w:asciiTheme="minorHAnsi" w:hAnsiTheme="minorHAnsi" w:cstheme="minorHAnsi"/>
        </w:rPr>
        <w:t>In case</w:t>
      </w:r>
      <w:r w:rsidR="005E5235">
        <w:rPr>
          <w:rFonts w:asciiTheme="minorHAnsi" w:hAnsiTheme="minorHAnsi" w:cstheme="minorHAnsi"/>
        </w:rPr>
        <w:t xml:space="preserve"> some air bubbles are trapped</w:t>
      </w:r>
      <w:r w:rsidR="008A6B4E" w:rsidRPr="00F852C4">
        <w:rPr>
          <w:rFonts w:asciiTheme="minorHAnsi" w:hAnsiTheme="minorHAnsi" w:cstheme="minorHAnsi"/>
        </w:rPr>
        <w:t xml:space="preserve">, tilt the </w:t>
      </w:r>
      <w:r w:rsidR="005E5235">
        <w:rPr>
          <w:rFonts w:asciiTheme="minorHAnsi" w:hAnsiTheme="minorHAnsi" w:cstheme="minorHAnsi"/>
        </w:rPr>
        <w:t>enclosure</w:t>
      </w:r>
      <w:r w:rsidR="005A5BB2">
        <w:rPr>
          <w:rFonts w:asciiTheme="minorHAnsi" w:hAnsiTheme="minorHAnsi" w:cstheme="minorHAnsi"/>
        </w:rPr>
        <w:t xml:space="preserve"> </w:t>
      </w:r>
      <w:r w:rsidR="005A5BB2" w:rsidRPr="00F852C4">
        <w:rPr>
          <w:rFonts w:asciiTheme="minorHAnsi" w:hAnsiTheme="minorHAnsi" w:cstheme="minorHAnsi"/>
        </w:rPr>
        <w:t>gently</w:t>
      </w:r>
      <w:r w:rsidR="008A6B4E" w:rsidRPr="00F852C4">
        <w:rPr>
          <w:rFonts w:asciiTheme="minorHAnsi" w:hAnsiTheme="minorHAnsi" w:cstheme="minorHAnsi"/>
        </w:rPr>
        <w:t xml:space="preserve"> with the vent hole facing upward, which will enable the bubbles to escape</w:t>
      </w:r>
      <w:r w:rsidRPr="00F852C4">
        <w:rPr>
          <w:rFonts w:asciiTheme="minorHAnsi" w:hAnsiTheme="minorHAnsi" w:cstheme="minorHAnsi"/>
          <w:color w:val="auto"/>
        </w:rPr>
        <w:t>.</w:t>
      </w:r>
    </w:p>
    <w:p w14:paraId="31492585" w14:textId="77777777" w:rsidR="00EA4820" w:rsidRPr="00F852C4" w:rsidRDefault="00EA4820" w:rsidP="00344E04">
      <w:pPr>
        <w:rPr>
          <w:rFonts w:asciiTheme="minorHAnsi" w:hAnsiTheme="minorHAnsi" w:cstheme="minorHAnsi"/>
          <w:color w:val="auto"/>
        </w:rPr>
      </w:pPr>
    </w:p>
    <w:p w14:paraId="3E5ACD64" w14:textId="11446105" w:rsidR="00F66A7F" w:rsidRPr="001E2097" w:rsidRDefault="00EA4820" w:rsidP="00344E04">
      <w:pPr>
        <w:numPr>
          <w:ilvl w:val="2"/>
          <w:numId w:val="36"/>
        </w:numPr>
        <w:rPr>
          <w:rFonts w:asciiTheme="minorHAnsi" w:hAnsiTheme="minorHAnsi" w:cstheme="minorHAnsi"/>
          <w:color w:val="auto"/>
          <w:highlight w:val="yellow"/>
        </w:rPr>
      </w:pPr>
      <w:r w:rsidRPr="001E2097">
        <w:rPr>
          <w:rFonts w:asciiTheme="minorHAnsi" w:hAnsiTheme="minorHAnsi" w:cstheme="minorHAnsi"/>
          <w:color w:val="auto"/>
          <w:highlight w:val="yellow"/>
        </w:rPr>
        <w:t>Once completely full, seal the bottom and top holes with two plugs</w:t>
      </w:r>
      <w:r w:rsidR="00343B27">
        <w:rPr>
          <w:rFonts w:asciiTheme="minorHAnsi" w:hAnsiTheme="minorHAnsi" w:cstheme="minorHAnsi"/>
          <w:color w:val="auto"/>
          <w:highlight w:val="yellow"/>
        </w:rPr>
        <w:t>,</w:t>
      </w:r>
      <w:r w:rsidRPr="001E2097">
        <w:rPr>
          <w:rFonts w:asciiTheme="minorHAnsi" w:hAnsiTheme="minorHAnsi" w:cstheme="minorHAnsi"/>
          <w:color w:val="auto"/>
          <w:highlight w:val="yellow"/>
        </w:rPr>
        <w:t xml:space="preserve"> which can be </w:t>
      </w:r>
      <w:proofErr w:type="gramStart"/>
      <w:r w:rsidRPr="001E2097">
        <w:rPr>
          <w:rFonts w:asciiTheme="minorHAnsi" w:hAnsiTheme="minorHAnsi" w:cstheme="minorHAnsi"/>
          <w:color w:val="auto"/>
          <w:highlight w:val="yellow"/>
        </w:rPr>
        <w:t>made out of</w:t>
      </w:r>
      <w:proofErr w:type="gramEnd"/>
      <w:r w:rsidRPr="001E2097">
        <w:rPr>
          <w:rFonts w:asciiTheme="minorHAnsi" w:hAnsiTheme="minorHAnsi" w:cstheme="minorHAnsi"/>
          <w:color w:val="auto"/>
          <w:highlight w:val="yellow"/>
        </w:rPr>
        <w:t xml:space="preserve"> silicon</w:t>
      </w:r>
      <w:r w:rsidR="00343B27">
        <w:rPr>
          <w:rFonts w:asciiTheme="minorHAnsi" w:hAnsiTheme="minorHAnsi" w:cstheme="minorHAnsi"/>
          <w:color w:val="auto"/>
          <w:highlight w:val="yellow"/>
        </w:rPr>
        <w:t xml:space="preserve"> or</w:t>
      </w:r>
      <w:r w:rsidRPr="001E2097">
        <w:rPr>
          <w:rFonts w:asciiTheme="minorHAnsi" w:hAnsiTheme="minorHAnsi" w:cstheme="minorHAnsi"/>
          <w:color w:val="auto"/>
          <w:highlight w:val="yellow"/>
        </w:rPr>
        <w:t xml:space="preserve"> rubber or by </w:t>
      </w:r>
      <w:r w:rsidR="00D679AD" w:rsidRPr="001E2097">
        <w:rPr>
          <w:rFonts w:asciiTheme="minorHAnsi" w:hAnsiTheme="minorHAnsi" w:cstheme="minorHAnsi"/>
          <w:color w:val="auto"/>
          <w:highlight w:val="yellow"/>
        </w:rPr>
        <w:t>sealing the extremit</w:t>
      </w:r>
      <w:r w:rsidR="00343B27">
        <w:rPr>
          <w:rFonts w:asciiTheme="minorHAnsi" w:hAnsiTheme="minorHAnsi" w:cstheme="minorHAnsi"/>
          <w:color w:val="auto"/>
          <w:highlight w:val="yellow"/>
        </w:rPr>
        <w:t>ies</w:t>
      </w:r>
      <w:r w:rsidR="00D679AD" w:rsidRPr="001E2097">
        <w:rPr>
          <w:rFonts w:asciiTheme="minorHAnsi" w:hAnsiTheme="minorHAnsi" w:cstheme="minorHAnsi"/>
          <w:color w:val="auto"/>
          <w:highlight w:val="yellow"/>
        </w:rPr>
        <w:t xml:space="preserve"> of </w:t>
      </w:r>
      <w:r w:rsidRPr="001E2097">
        <w:rPr>
          <w:rFonts w:asciiTheme="minorHAnsi" w:hAnsiTheme="minorHAnsi" w:cstheme="minorHAnsi"/>
          <w:color w:val="auto"/>
          <w:highlight w:val="yellow"/>
        </w:rPr>
        <w:t>20 µ</w:t>
      </w:r>
      <w:r w:rsidR="00B24153">
        <w:rPr>
          <w:rFonts w:asciiTheme="minorHAnsi" w:hAnsiTheme="minorHAnsi" w:cstheme="minorHAnsi"/>
          <w:color w:val="auto"/>
          <w:highlight w:val="yellow"/>
        </w:rPr>
        <w:t>L</w:t>
      </w:r>
      <w:r w:rsidRPr="001E2097">
        <w:rPr>
          <w:rFonts w:asciiTheme="minorHAnsi" w:hAnsiTheme="minorHAnsi" w:cstheme="minorHAnsi"/>
          <w:color w:val="auto"/>
          <w:highlight w:val="yellow"/>
        </w:rPr>
        <w:t xml:space="preserve"> pipette tips</w:t>
      </w:r>
      <w:r w:rsidR="003F2BBE" w:rsidRPr="001E2097">
        <w:rPr>
          <w:rFonts w:asciiTheme="minorHAnsi" w:hAnsiTheme="minorHAnsi" w:cstheme="minorHAnsi"/>
          <w:color w:val="auto"/>
          <w:highlight w:val="yellow"/>
        </w:rPr>
        <w:t xml:space="preserve"> (</w:t>
      </w:r>
      <w:r w:rsidR="00D37E38" w:rsidRPr="00D37E38">
        <w:rPr>
          <w:rFonts w:asciiTheme="minorHAnsi" w:hAnsiTheme="minorHAnsi" w:cstheme="minorHAnsi"/>
          <w:b/>
          <w:color w:val="auto"/>
          <w:highlight w:val="yellow"/>
        </w:rPr>
        <w:t>Figure 4</w:t>
      </w:r>
      <w:r w:rsidR="003F2BBE" w:rsidRPr="001E2097">
        <w:rPr>
          <w:rFonts w:asciiTheme="minorHAnsi" w:hAnsiTheme="minorHAnsi" w:cstheme="minorHAnsi"/>
          <w:color w:val="auto"/>
          <w:highlight w:val="yellow"/>
        </w:rPr>
        <w:t>)</w:t>
      </w:r>
      <w:r w:rsidRPr="001E2097">
        <w:rPr>
          <w:rFonts w:asciiTheme="minorHAnsi" w:hAnsiTheme="minorHAnsi" w:cstheme="minorHAnsi"/>
          <w:color w:val="auto"/>
          <w:highlight w:val="yellow"/>
        </w:rPr>
        <w:t>.</w:t>
      </w:r>
    </w:p>
    <w:p w14:paraId="3175B6D2" w14:textId="77777777" w:rsidR="00F66A7F" w:rsidRDefault="00F66A7F" w:rsidP="00344E04">
      <w:pPr>
        <w:rPr>
          <w:rFonts w:asciiTheme="minorHAnsi" w:hAnsiTheme="minorHAnsi" w:cstheme="minorHAnsi"/>
          <w:color w:val="auto"/>
        </w:rPr>
      </w:pPr>
    </w:p>
    <w:p w14:paraId="5E31351C" w14:textId="396A50A9" w:rsidR="00EA4820" w:rsidRPr="00F852C4" w:rsidRDefault="00F66A7F" w:rsidP="00344E04">
      <w:pPr>
        <w:rPr>
          <w:rFonts w:asciiTheme="minorHAnsi" w:hAnsiTheme="minorHAnsi" w:cstheme="minorHAnsi"/>
          <w:color w:val="auto"/>
        </w:rPr>
      </w:pPr>
      <w:r>
        <w:rPr>
          <w:rFonts w:asciiTheme="minorHAnsi" w:hAnsiTheme="minorHAnsi" w:cstheme="minorHAnsi"/>
          <w:color w:val="auto"/>
        </w:rPr>
        <w:t>NOTE:</w:t>
      </w:r>
      <w:r w:rsidR="00EA4820" w:rsidRPr="00F852C4">
        <w:rPr>
          <w:rFonts w:asciiTheme="minorHAnsi" w:hAnsiTheme="minorHAnsi" w:cstheme="minorHAnsi"/>
          <w:color w:val="auto"/>
        </w:rPr>
        <w:t xml:space="preserve"> This step prevents flow inside the </w:t>
      </w:r>
      <w:r w:rsidR="00A107C6">
        <w:rPr>
          <w:rFonts w:asciiTheme="minorHAnsi" w:hAnsiTheme="minorHAnsi" w:cstheme="minorHAnsi"/>
          <w:color w:val="auto"/>
        </w:rPr>
        <w:t>enclosure</w:t>
      </w:r>
      <w:r w:rsidR="00A107C6" w:rsidRPr="00F852C4">
        <w:rPr>
          <w:rFonts w:asciiTheme="minorHAnsi" w:hAnsiTheme="minorHAnsi" w:cstheme="minorHAnsi"/>
          <w:color w:val="auto"/>
        </w:rPr>
        <w:t xml:space="preserve"> </w:t>
      </w:r>
      <w:r w:rsidR="00EA4820" w:rsidRPr="00F852C4">
        <w:rPr>
          <w:rFonts w:asciiTheme="minorHAnsi" w:hAnsiTheme="minorHAnsi" w:cstheme="minorHAnsi"/>
          <w:color w:val="auto"/>
        </w:rPr>
        <w:t xml:space="preserve">during </w:t>
      </w:r>
      <w:r w:rsidR="008012BE" w:rsidRPr="00F852C4">
        <w:rPr>
          <w:rFonts w:asciiTheme="minorHAnsi" w:hAnsiTheme="minorHAnsi" w:cstheme="minorHAnsi"/>
          <w:color w:val="auto"/>
        </w:rPr>
        <w:t>sampling</w:t>
      </w:r>
      <w:r w:rsidR="00EA4820" w:rsidRPr="00F852C4">
        <w:rPr>
          <w:rFonts w:asciiTheme="minorHAnsi" w:hAnsiTheme="minorHAnsi" w:cstheme="minorHAnsi"/>
          <w:color w:val="auto"/>
        </w:rPr>
        <w:t>.</w:t>
      </w:r>
    </w:p>
    <w:p w14:paraId="20CF4C30" w14:textId="77777777" w:rsidR="00EA4820" w:rsidRPr="00F852C4" w:rsidRDefault="00EA4820" w:rsidP="00344E04">
      <w:pPr>
        <w:rPr>
          <w:rFonts w:asciiTheme="minorHAnsi" w:hAnsiTheme="minorHAnsi" w:cstheme="minorHAnsi"/>
          <w:color w:val="auto"/>
        </w:rPr>
      </w:pPr>
    </w:p>
    <w:p w14:paraId="4BAA9F2F" w14:textId="324677CA" w:rsidR="00EA4820" w:rsidRPr="00F852C4" w:rsidRDefault="008012BE"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Leave </w:t>
      </w:r>
      <w:r w:rsidR="00EA4820" w:rsidRPr="00F852C4">
        <w:rPr>
          <w:rFonts w:asciiTheme="minorHAnsi" w:hAnsiTheme="minorHAnsi" w:cstheme="minorHAnsi"/>
          <w:color w:val="auto"/>
          <w:highlight w:val="yellow"/>
        </w:rPr>
        <w:t xml:space="preserve">the ISCA </w:t>
      </w:r>
      <w:r w:rsidRPr="00F852C4">
        <w:rPr>
          <w:rFonts w:asciiTheme="minorHAnsi" w:hAnsiTheme="minorHAnsi" w:cstheme="minorHAnsi"/>
          <w:color w:val="auto"/>
          <w:highlight w:val="yellow"/>
        </w:rPr>
        <w:t xml:space="preserve">in place for sampling </w:t>
      </w:r>
      <w:r w:rsidR="00EA4820" w:rsidRPr="00F852C4">
        <w:rPr>
          <w:rFonts w:asciiTheme="minorHAnsi" w:hAnsiTheme="minorHAnsi" w:cstheme="minorHAnsi"/>
          <w:color w:val="auto"/>
          <w:highlight w:val="yellow"/>
        </w:rPr>
        <w:t>for 1</w:t>
      </w:r>
      <w:r w:rsidRPr="00F852C4">
        <w:rPr>
          <w:rFonts w:asciiTheme="minorHAnsi" w:hAnsiTheme="minorHAnsi" w:cstheme="minorHAnsi"/>
          <w:color w:val="auto"/>
          <w:highlight w:val="yellow"/>
        </w:rPr>
        <w:t>–</w:t>
      </w:r>
      <w:r w:rsidR="00EA4820" w:rsidRPr="00F852C4">
        <w:rPr>
          <w:rFonts w:asciiTheme="minorHAnsi" w:hAnsiTheme="minorHAnsi" w:cstheme="minorHAnsi"/>
          <w:color w:val="auto"/>
          <w:highlight w:val="yellow"/>
        </w:rPr>
        <w:t>3 h.</w:t>
      </w:r>
    </w:p>
    <w:p w14:paraId="6BA9AE6E" w14:textId="77777777" w:rsidR="00EA4820" w:rsidRPr="00F852C4" w:rsidRDefault="00EA4820" w:rsidP="00344E04">
      <w:pPr>
        <w:rPr>
          <w:rFonts w:asciiTheme="minorHAnsi" w:hAnsiTheme="minorHAnsi" w:cstheme="minorHAnsi"/>
          <w:color w:val="auto"/>
        </w:rPr>
      </w:pPr>
    </w:p>
    <w:p w14:paraId="6795A26D" w14:textId="7167AE4A"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NOTE: </w:t>
      </w:r>
      <w:r w:rsidR="00343B27">
        <w:rPr>
          <w:rFonts w:asciiTheme="minorHAnsi" w:hAnsiTheme="minorHAnsi" w:cstheme="minorHAnsi"/>
          <w:color w:val="auto"/>
        </w:rPr>
        <w:t>T</w:t>
      </w:r>
      <w:r w:rsidRPr="00F852C4">
        <w:rPr>
          <w:rFonts w:asciiTheme="minorHAnsi" w:hAnsiTheme="minorHAnsi" w:cstheme="minorHAnsi"/>
          <w:color w:val="auto"/>
        </w:rPr>
        <w:t xml:space="preserve">he </w:t>
      </w:r>
      <w:r w:rsidR="00B41A03" w:rsidRPr="00F852C4">
        <w:rPr>
          <w:rFonts w:asciiTheme="minorHAnsi" w:hAnsiTheme="minorHAnsi" w:cstheme="minorHAnsi"/>
          <w:color w:val="auto"/>
        </w:rPr>
        <w:t xml:space="preserve">ideal </w:t>
      </w:r>
      <w:r w:rsidRPr="00F852C4">
        <w:rPr>
          <w:rFonts w:asciiTheme="minorHAnsi" w:hAnsiTheme="minorHAnsi" w:cstheme="minorHAnsi"/>
          <w:color w:val="auto"/>
        </w:rPr>
        <w:t>deployment time is primarily dictated by the temperature of the water and doubling time of the bacterial community. When the water temperature is above 20</w:t>
      </w:r>
      <w:r w:rsidR="00B41A03" w:rsidRPr="00F852C4">
        <w:rPr>
          <w:rFonts w:asciiTheme="minorHAnsi" w:hAnsiTheme="minorHAnsi" w:cstheme="minorHAnsi"/>
          <w:color w:val="auto"/>
        </w:rPr>
        <w:t xml:space="preserve"> </w:t>
      </w:r>
      <w:r w:rsidRPr="00F852C4">
        <w:rPr>
          <w:rFonts w:asciiTheme="minorHAnsi" w:hAnsiTheme="minorHAnsi" w:cstheme="minorHAnsi"/>
          <w:color w:val="auto"/>
        </w:rPr>
        <w:t>°C, it is not recommended to deploy</w:t>
      </w:r>
      <w:r w:rsidR="00B41A03" w:rsidRPr="00F852C4">
        <w:rPr>
          <w:rFonts w:asciiTheme="minorHAnsi" w:hAnsiTheme="minorHAnsi" w:cstheme="minorHAnsi"/>
          <w:color w:val="auto"/>
        </w:rPr>
        <w:t xml:space="preserve"> the</w:t>
      </w:r>
      <w:r w:rsidRPr="00F852C4">
        <w:rPr>
          <w:rFonts w:asciiTheme="minorHAnsi" w:hAnsiTheme="minorHAnsi" w:cstheme="minorHAnsi"/>
          <w:color w:val="auto"/>
        </w:rPr>
        <w:t xml:space="preserve"> ISCA for more than </w:t>
      </w:r>
      <w:r w:rsidR="00B41A03" w:rsidRPr="00F852C4">
        <w:rPr>
          <w:rFonts w:asciiTheme="minorHAnsi" w:hAnsiTheme="minorHAnsi" w:cstheme="minorHAnsi"/>
          <w:color w:val="auto"/>
        </w:rPr>
        <w:t xml:space="preserve">1 </w:t>
      </w:r>
      <w:r w:rsidRPr="00F852C4">
        <w:rPr>
          <w:rFonts w:asciiTheme="minorHAnsi" w:hAnsiTheme="minorHAnsi" w:cstheme="minorHAnsi"/>
          <w:color w:val="auto"/>
        </w:rPr>
        <w:t>h</w:t>
      </w:r>
      <w:r w:rsidR="00343B27">
        <w:rPr>
          <w:rFonts w:asciiTheme="minorHAnsi" w:hAnsiTheme="minorHAnsi" w:cstheme="minorHAnsi"/>
          <w:color w:val="auto"/>
        </w:rPr>
        <w:t xml:space="preserve">, </w:t>
      </w:r>
      <w:r w:rsidRPr="00F852C4">
        <w:rPr>
          <w:rFonts w:asciiTheme="minorHAnsi" w:hAnsiTheme="minorHAnsi" w:cstheme="minorHAnsi"/>
          <w:color w:val="auto"/>
        </w:rPr>
        <w:t xml:space="preserve">because cell division can occur in the wells containing </w:t>
      </w:r>
      <w:proofErr w:type="spellStart"/>
      <w:r w:rsidRPr="00F852C4">
        <w:rPr>
          <w:rFonts w:asciiTheme="minorHAnsi" w:hAnsiTheme="minorHAnsi" w:cstheme="minorHAnsi"/>
          <w:color w:val="auto"/>
        </w:rPr>
        <w:t>chemoattractants</w:t>
      </w:r>
      <w:proofErr w:type="spellEnd"/>
      <w:r w:rsidRPr="00F852C4">
        <w:rPr>
          <w:rFonts w:asciiTheme="minorHAnsi" w:hAnsiTheme="minorHAnsi" w:cstheme="minorHAnsi"/>
          <w:color w:val="auto"/>
        </w:rPr>
        <w:t xml:space="preserve"> after 1.5</w:t>
      </w:r>
      <w:r w:rsidR="00B41A03" w:rsidRPr="00F852C4">
        <w:rPr>
          <w:rFonts w:asciiTheme="minorHAnsi" w:hAnsiTheme="minorHAnsi" w:cstheme="minorHAnsi"/>
          <w:color w:val="auto"/>
        </w:rPr>
        <w:t>–</w:t>
      </w:r>
      <w:r w:rsidRPr="00F852C4">
        <w:rPr>
          <w:rFonts w:asciiTheme="minorHAnsi" w:hAnsiTheme="minorHAnsi" w:cstheme="minorHAnsi"/>
          <w:color w:val="auto"/>
        </w:rPr>
        <w:t>2</w:t>
      </w:r>
      <w:r w:rsidR="00343B27">
        <w:rPr>
          <w:rFonts w:asciiTheme="minorHAnsi" w:hAnsiTheme="minorHAnsi" w:cstheme="minorHAnsi"/>
          <w:color w:val="auto"/>
        </w:rPr>
        <w:t>.0</w:t>
      </w:r>
      <w:r w:rsidRPr="00F852C4">
        <w:rPr>
          <w:rFonts w:asciiTheme="minorHAnsi" w:hAnsiTheme="minorHAnsi" w:cstheme="minorHAnsi"/>
          <w:color w:val="auto"/>
        </w:rPr>
        <w:t xml:space="preserve"> h. However, optimal deployment time can be tested prior </w:t>
      </w:r>
      <w:r w:rsidR="00B41A03" w:rsidRPr="00F852C4">
        <w:rPr>
          <w:rFonts w:asciiTheme="minorHAnsi" w:hAnsiTheme="minorHAnsi" w:cstheme="minorHAnsi"/>
          <w:color w:val="auto"/>
        </w:rPr>
        <w:t xml:space="preserve">to </w:t>
      </w:r>
      <w:r w:rsidRPr="00F852C4">
        <w:rPr>
          <w:rFonts w:asciiTheme="minorHAnsi" w:hAnsiTheme="minorHAnsi" w:cstheme="minorHAnsi"/>
          <w:color w:val="auto"/>
        </w:rPr>
        <w:t xml:space="preserve">the ISCA experiment by amending natural communities with the </w:t>
      </w:r>
      <w:r w:rsidR="00343B27">
        <w:rPr>
          <w:rFonts w:asciiTheme="minorHAnsi" w:hAnsiTheme="minorHAnsi" w:cstheme="minorHAnsi"/>
          <w:color w:val="auto"/>
        </w:rPr>
        <w:t xml:space="preserve">loaded </w:t>
      </w:r>
      <w:r w:rsidRPr="00F852C4">
        <w:rPr>
          <w:rFonts w:asciiTheme="minorHAnsi" w:hAnsiTheme="minorHAnsi" w:cstheme="minorHAnsi"/>
          <w:color w:val="auto"/>
        </w:rPr>
        <w:t xml:space="preserve">chemicals and quantifying the number of cells through time. </w:t>
      </w:r>
    </w:p>
    <w:p w14:paraId="72852229" w14:textId="77777777" w:rsidR="00EA4820" w:rsidRPr="00F852C4" w:rsidRDefault="00EA4820" w:rsidP="00344E04">
      <w:pPr>
        <w:rPr>
          <w:rFonts w:asciiTheme="minorHAnsi" w:hAnsiTheme="minorHAnsi" w:cstheme="minorHAnsi"/>
          <w:color w:val="auto"/>
        </w:rPr>
      </w:pPr>
    </w:p>
    <w:p w14:paraId="787C74AE" w14:textId="24F33679" w:rsidR="00EA4820" w:rsidRPr="003A2FE6"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 xml:space="preserve">Remove the </w:t>
      </w:r>
      <w:r w:rsidR="00224876" w:rsidRPr="00F852C4">
        <w:rPr>
          <w:rFonts w:asciiTheme="minorHAnsi" w:hAnsiTheme="minorHAnsi" w:cstheme="minorHAnsi"/>
          <w:color w:val="auto"/>
          <w:highlight w:val="yellow"/>
        </w:rPr>
        <w:t>enclosure from</w:t>
      </w:r>
      <w:r w:rsidRPr="00F852C4">
        <w:rPr>
          <w:rFonts w:asciiTheme="minorHAnsi" w:hAnsiTheme="minorHAnsi" w:cstheme="minorHAnsi"/>
          <w:color w:val="auto"/>
          <w:highlight w:val="yellow"/>
        </w:rPr>
        <w:t xml:space="preserve"> the water</w:t>
      </w:r>
      <w:r w:rsidR="00224876" w:rsidRPr="00F852C4">
        <w:rPr>
          <w:rFonts w:asciiTheme="minorHAnsi" w:hAnsiTheme="minorHAnsi" w:cstheme="minorHAnsi"/>
          <w:color w:val="auto"/>
          <w:highlight w:val="yellow"/>
        </w:rPr>
        <w:t>.</w:t>
      </w:r>
      <w:r w:rsidR="003A2FE6">
        <w:rPr>
          <w:rFonts w:asciiTheme="minorHAnsi" w:hAnsiTheme="minorHAnsi" w:cstheme="minorHAnsi"/>
          <w:color w:val="auto"/>
          <w:highlight w:val="yellow"/>
        </w:rPr>
        <w:t xml:space="preserve"> </w:t>
      </w:r>
      <w:r w:rsidRPr="003A2FE6">
        <w:rPr>
          <w:rFonts w:asciiTheme="minorHAnsi" w:hAnsiTheme="minorHAnsi" w:cstheme="minorHAnsi"/>
          <w:color w:val="auto"/>
          <w:highlight w:val="yellow"/>
        </w:rPr>
        <w:t xml:space="preserve">Place it over a container </w:t>
      </w:r>
      <w:r w:rsidR="00A418F7" w:rsidRPr="003A2FE6">
        <w:rPr>
          <w:rFonts w:asciiTheme="minorHAnsi" w:hAnsiTheme="minorHAnsi" w:cstheme="minorHAnsi"/>
          <w:color w:val="auto"/>
          <w:highlight w:val="yellow"/>
        </w:rPr>
        <w:t>enabling the water to be</w:t>
      </w:r>
      <w:r w:rsidRPr="003A2FE6">
        <w:rPr>
          <w:rFonts w:asciiTheme="minorHAnsi" w:hAnsiTheme="minorHAnsi" w:cstheme="minorHAnsi"/>
          <w:color w:val="auto"/>
          <w:highlight w:val="yellow"/>
        </w:rPr>
        <w:t xml:space="preserve"> drain</w:t>
      </w:r>
      <w:r w:rsidR="00A418F7" w:rsidRPr="003A2FE6">
        <w:rPr>
          <w:rFonts w:asciiTheme="minorHAnsi" w:hAnsiTheme="minorHAnsi" w:cstheme="minorHAnsi"/>
          <w:color w:val="auto"/>
          <w:highlight w:val="yellow"/>
        </w:rPr>
        <w:t>ed from</w:t>
      </w:r>
      <w:r w:rsidRPr="003A2FE6">
        <w:rPr>
          <w:rFonts w:asciiTheme="minorHAnsi" w:hAnsiTheme="minorHAnsi" w:cstheme="minorHAnsi"/>
          <w:color w:val="auto"/>
          <w:highlight w:val="yellow"/>
        </w:rPr>
        <w:t xml:space="preserve"> the enclosure.</w:t>
      </w:r>
      <w:r w:rsidRPr="003A2FE6">
        <w:rPr>
          <w:rFonts w:asciiTheme="minorHAnsi" w:hAnsiTheme="minorHAnsi" w:cstheme="minorHAnsi"/>
          <w:color w:val="auto"/>
        </w:rPr>
        <w:t xml:space="preserve"> </w:t>
      </w:r>
    </w:p>
    <w:p w14:paraId="599525BB" w14:textId="77777777" w:rsidR="00EA4820" w:rsidRPr="00F852C4" w:rsidRDefault="00EA4820" w:rsidP="00344E04">
      <w:pPr>
        <w:rPr>
          <w:rFonts w:asciiTheme="minorHAnsi" w:hAnsiTheme="minorHAnsi" w:cstheme="minorHAnsi"/>
          <w:color w:val="auto"/>
        </w:rPr>
      </w:pPr>
    </w:p>
    <w:p w14:paraId="18535ABE" w14:textId="76AAA979" w:rsidR="00F66A7F" w:rsidRDefault="00EA4820" w:rsidP="00344E04">
      <w:pPr>
        <w:numPr>
          <w:ilvl w:val="2"/>
          <w:numId w:val="36"/>
        </w:numPr>
        <w:rPr>
          <w:rFonts w:asciiTheme="minorHAnsi" w:hAnsiTheme="minorHAnsi" w:cstheme="minorHAnsi"/>
          <w:color w:val="auto"/>
          <w:highlight w:val="yellow"/>
        </w:rPr>
      </w:pPr>
      <w:r w:rsidRPr="00F852C4">
        <w:rPr>
          <w:rFonts w:asciiTheme="minorHAnsi" w:hAnsiTheme="minorHAnsi" w:cstheme="minorHAnsi"/>
          <w:color w:val="auto"/>
          <w:highlight w:val="yellow"/>
        </w:rPr>
        <w:t>Remove the upper part of the</w:t>
      </w:r>
      <w:r w:rsidR="00DC1D20" w:rsidRPr="00F852C4">
        <w:rPr>
          <w:rFonts w:asciiTheme="minorHAnsi" w:hAnsiTheme="minorHAnsi" w:cstheme="minorHAnsi"/>
          <w:color w:val="auto"/>
          <w:highlight w:val="yellow"/>
        </w:rPr>
        <w:t xml:space="preserve"> adhesive</w:t>
      </w:r>
      <w:r w:rsidRPr="00F852C4">
        <w:rPr>
          <w:rFonts w:asciiTheme="minorHAnsi" w:hAnsiTheme="minorHAnsi" w:cstheme="minorHAnsi"/>
          <w:color w:val="auto"/>
          <w:highlight w:val="yellow"/>
        </w:rPr>
        <w:t xml:space="preserve"> tape from the front holes very gently. </w:t>
      </w:r>
    </w:p>
    <w:p w14:paraId="12358CE8" w14:textId="77777777" w:rsidR="00F66A7F" w:rsidRDefault="00F66A7F" w:rsidP="00344E04">
      <w:pPr>
        <w:rPr>
          <w:rFonts w:asciiTheme="minorHAnsi" w:hAnsiTheme="minorHAnsi" w:cstheme="minorHAnsi"/>
          <w:color w:val="auto"/>
          <w:highlight w:val="yellow"/>
        </w:rPr>
      </w:pPr>
    </w:p>
    <w:p w14:paraId="49D54DC6" w14:textId="074C10C7" w:rsidR="00EA4820" w:rsidRPr="00F852C4" w:rsidRDefault="00F66A7F" w:rsidP="00344E04">
      <w:pPr>
        <w:rPr>
          <w:rFonts w:asciiTheme="minorHAnsi" w:hAnsiTheme="minorHAnsi" w:cstheme="minorHAnsi"/>
          <w:color w:val="auto"/>
        </w:rPr>
      </w:pPr>
      <w:bookmarkStart w:id="6" w:name="_Hlk31639024"/>
      <w:r>
        <w:rPr>
          <w:rFonts w:asciiTheme="minorHAnsi" w:hAnsiTheme="minorHAnsi" w:cstheme="minorHAnsi"/>
          <w:color w:val="auto"/>
          <w:highlight w:val="yellow"/>
        </w:rPr>
        <w:t>NOTE</w:t>
      </w:r>
      <w:r w:rsidR="001E2097">
        <w:rPr>
          <w:rFonts w:asciiTheme="minorHAnsi" w:hAnsiTheme="minorHAnsi" w:cstheme="minorHAnsi"/>
          <w:color w:val="auto"/>
          <w:highlight w:val="yellow"/>
        </w:rPr>
        <w:t xml:space="preserve">: </w:t>
      </w:r>
      <w:r w:rsidR="00EA4820" w:rsidRPr="00F852C4">
        <w:rPr>
          <w:rFonts w:asciiTheme="minorHAnsi" w:hAnsiTheme="minorHAnsi" w:cstheme="minorHAnsi"/>
          <w:color w:val="auto"/>
          <w:highlight w:val="yellow"/>
        </w:rPr>
        <w:t xml:space="preserve">The flow of the water </w:t>
      </w:r>
      <w:r w:rsidR="00C00DD4" w:rsidRPr="00F852C4">
        <w:rPr>
          <w:rFonts w:asciiTheme="minorHAnsi" w:hAnsiTheme="minorHAnsi" w:cstheme="minorHAnsi"/>
          <w:color w:val="auto"/>
          <w:highlight w:val="yellow"/>
        </w:rPr>
        <w:t>leaving the enclosure</w:t>
      </w:r>
      <w:r w:rsidR="00EA4820" w:rsidRPr="00F852C4">
        <w:rPr>
          <w:rFonts w:asciiTheme="minorHAnsi" w:hAnsiTheme="minorHAnsi" w:cstheme="minorHAnsi"/>
          <w:color w:val="auto"/>
          <w:highlight w:val="yellow"/>
        </w:rPr>
        <w:t xml:space="preserve"> must be at a dripping speed. Proceed one hole at </w:t>
      </w:r>
      <w:r w:rsidR="00C00DD4" w:rsidRPr="00F852C4">
        <w:rPr>
          <w:rFonts w:asciiTheme="minorHAnsi" w:hAnsiTheme="minorHAnsi" w:cstheme="minorHAnsi"/>
          <w:color w:val="auto"/>
          <w:highlight w:val="yellow"/>
        </w:rPr>
        <w:t xml:space="preserve">a </w:t>
      </w:r>
      <w:r w:rsidR="00EA4820" w:rsidRPr="00F852C4">
        <w:rPr>
          <w:rFonts w:asciiTheme="minorHAnsi" w:hAnsiTheme="minorHAnsi" w:cstheme="minorHAnsi"/>
          <w:color w:val="auto"/>
          <w:highlight w:val="yellow"/>
        </w:rPr>
        <w:t>time, from the top of the enclosure to the bottom. It should take approximately 10</w:t>
      </w:r>
      <w:r w:rsidR="00C00DD4" w:rsidRPr="00F852C4">
        <w:rPr>
          <w:rFonts w:asciiTheme="minorHAnsi" w:hAnsiTheme="minorHAnsi" w:cstheme="minorHAnsi"/>
          <w:color w:val="auto"/>
          <w:highlight w:val="yellow"/>
        </w:rPr>
        <w:t>–</w:t>
      </w:r>
      <w:r w:rsidR="00EA4820" w:rsidRPr="00F852C4">
        <w:rPr>
          <w:rFonts w:asciiTheme="minorHAnsi" w:hAnsiTheme="minorHAnsi" w:cstheme="minorHAnsi"/>
          <w:color w:val="auto"/>
          <w:highlight w:val="yellow"/>
        </w:rPr>
        <w:t xml:space="preserve">15 min to drain </w:t>
      </w:r>
      <w:r w:rsidR="00A107C6">
        <w:rPr>
          <w:rFonts w:asciiTheme="minorHAnsi" w:hAnsiTheme="minorHAnsi" w:cstheme="minorHAnsi"/>
          <w:color w:val="auto"/>
          <w:highlight w:val="yellow"/>
        </w:rPr>
        <w:t>the enclosure</w:t>
      </w:r>
      <w:r w:rsidR="00EA4820" w:rsidRPr="00F852C4">
        <w:rPr>
          <w:rFonts w:asciiTheme="minorHAnsi" w:hAnsiTheme="minorHAnsi" w:cstheme="minorHAnsi"/>
          <w:color w:val="auto"/>
          <w:highlight w:val="yellow"/>
        </w:rPr>
        <w:t xml:space="preserve"> completely.</w:t>
      </w:r>
      <w:bookmarkEnd w:id="6"/>
    </w:p>
    <w:p w14:paraId="171592C7" w14:textId="77777777" w:rsidR="00EA4820" w:rsidRPr="00F852C4" w:rsidRDefault="00EA4820" w:rsidP="00344E04">
      <w:pPr>
        <w:rPr>
          <w:rFonts w:asciiTheme="minorHAnsi" w:hAnsiTheme="minorHAnsi" w:cstheme="minorHAnsi"/>
          <w:color w:val="auto"/>
        </w:rPr>
      </w:pPr>
    </w:p>
    <w:p w14:paraId="31AC9AB6" w14:textId="636ED259"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Once the waterline passes below the top of the ISCA, remove the bottom plug</w:t>
      </w:r>
      <w:r w:rsidR="00343B27">
        <w:rPr>
          <w:rFonts w:asciiTheme="minorHAnsi" w:hAnsiTheme="minorHAnsi" w:cstheme="minorHAnsi"/>
          <w:color w:val="auto"/>
          <w:highlight w:val="yellow"/>
        </w:rPr>
        <w:t>,</w:t>
      </w:r>
      <w:r w:rsidRPr="00F852C4">
        <w:rPr>
          <w:rFonts w:asciiTheme="minorHAnsi" w:hAnsiTheme="minorHAnsi" w:cstheme="minorHAnsi"/>
          <w:color w:val="auto"/>
          <w:highlight w:val="yellow"/>
        </w:rPr>
        <w:t xml:space="preserve"> and drain the rest of the water.</w:t>
      </w:r>
    </w:p>
    <w:p w14:paraId="45B7F75B" w14:textId="77777777" w:rsidR="00EA4820" w:rsidRPr="00F852C4" w:rsidRDefault="00EA4820" w:rsidP="00344E04">
      <w:pPr>
        <w:rPr>
          <w:rFonts w:asciiTheme="minorHAnsi" w:hAnsiTheme="minorHAnsi" w:cstheme="minorHAnsi"/>
          <w:color w:val="auto"/>
        </w:rPr>
      </w:pPr>
    </w:p>
    <w:p w14:paraId="3D994396" w14:textId="7EE2627B"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While the ISCAs are still attached to the </w:t>
      </w:r>
      <w:r w:rsidR="00A107C6">
        <w:rPr>
          <w:rFonts w:asciiTheme="minorHAnsi" w:hAnsiTheme="minorHAnsi" w:cstheme="minorHAnsi"/>
          <w:color w:val="auto"/>
          <w:highlight w:val="yellow"/>
        </w:rPr>
        <w:t>enclosure</w:t>
      </w:r>
      <w:r w:rsidRPr="00F852C4">
        <w:rPr>
          <w:rFonts w:asciiTheme="minorHAnsi" w:hAnsiTheme="minorHAnsi" w:cstheme="minorHAnsi"/>
          <w:color w:val="auto"/>
          <w:highlight w:val="yellow"/>
        </w:rPr>
        <w:t xml:space="preserve">, </w:t>
      </w:r>
      <w:r w:rsidR="00DB69C8">
        <w:rPr>
          <w:rFonts w:asciiTheme="minorHAnsi" w:hAnsiTheme="minorHAnsi" w:cstheme="minorHAnsi"/>
          <w:color w:val="auto"/>
          <w:highlight w:val="yellow"/>
        </w:rPr>
        <w:t xml:space="preserve">carefully </w:t>
      </w:r>
      <w:r w:rsidRPr="00F852C4">
        <w:rPr>
          <w:rFonts w:asciiTheme="minorHAnsi" w:hAnsiTheme="minorHAnsi" w:cstheme="minorHAnsi"/>
          <w:color w:val="auto"/>
          <w:highlight w:val="yellow"/>
        </w:rPr>
        <w:t>remove the water trapped on top of the ISCA with a 1</w:t>
      </w:r>
      <w:r w:rsidR="00D37E38">
        <w:rPr>
          <w:rFonts w:asciiTheme="minorHAnsi" w:hAnsiTheme="minorHAnsi" w:cstheme="minorHAnsi"/>
          <w:color w:val="auto"/>
          <w:highlight w:val="yellow"/>
        </w:rPr>
        <w:t xml:space="preserve"> mL</w:t>
      </w:r>
      <w:r w:rsidRPr="00F852C4">
        <w:rPr>
          <w:rFonts w:asciiTheme="minorHAnsi" w:hAnsiTheme="minorHAnsi" w:cstheme="minorHAnsi"/>
          <w:color w:val="auto"/>
          <w:highlight w:val="yellow"/>
        </w:rPr>
        <w:t xml:space="preserve"> pipette.</w:t>
      </w:r>
      <w:r w:rsidRPr="00F852C4">
        <w:rPr>
          <w:rFonts w:asciiTheme="minorHAnsi" w:hAnsiTheme="minorHAnsi" w:cstheme="minorHAnsi"/>
          <w:color w:val="auto"/>
        </w:rPr>
        <w:t xml:space="preserve"> </w:t>
      </w:r>
    </w:p>
    <w:p w14:paraId="3BC2B00D" w14:textId="77777777" w:rsidR="00EA4820" w:rsidRPr="00F852C4" w:rsidRDefault="00EA4820" w:rsidP="00344E04">
      <w:pPr>
        <w:rPr>
          <w:rFonts w:asciiTheme="minorHAnsi" w:hAnsiTheme="minorHAnsi" w:cstheme="minorHAnsi"/>
          <w:color w:val="auto"/>
        </w:rPr>
      </w:pPr>
    </w:p>
    <w:p w14:paraId="36E8C567" w14:textId="3649BFF9" w:rsidR="00EA4820" w:rsidRPr="00F852C4"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 xml:space="preserve">Remove the ISCA without touching the </w:t>
      </w:r>
      <w:r w:rsidR="00C00DD4" w:rsidRPr="00F852C4">
        <w:rPr>
          <w:rFonts w:asciiTheme="minorHAnsi" w:hAnsiTheme="minorHAnsi" w:cstheme="minorHAnsi"/>
          <w:color w:val="auto"/>
          <w:highlight w:val="yellow"/>
        </w:rPr>
        <w:t xml:space="preserve">upper </w:t>
      </w:r>
      <w:r w:rsidRPr="00F852C4">
        <w:rPr>
          <w:rFonts w:asciiTheme="minorHAnsi" w:hAnsiTheme="minorHAnsi" w:cstheme="minorHAnsi"/>
          <w:color w:val="auto"/>
          <w:highlight w:val="yellow"/>
        </w:rPr>
        <w:t xml:space="preserve">surface and use a </w:t>
      </w:r>
      <w:r w:rsidR="00E22C02" w:rsidRPr="00F852C4">
        <w:rPr>
          <w:rFonts w:asciiTheme="minorHAnsi" w:hAnsiTheme="minorHAnsi" w:cstheme="minorHAnsi"/>
          <w:color w:val="auto"/>
          <w:highlight w:val="yellow"/>
        </w:rPr>
        <w:t>disposable wipe</w:t>
      </w:r>
      <w:r w:rsidRPr="00F852C4">
        <w:rPr>
          <w:rFonts w:asciiTheme="minorHAnsi" w:hAnsiTheme="minorHAnsi" w:cstheme="minorHAnsi"/>
          <w:color w:val="auto"/>
          <w:highlight w:val="yellow"/>
        </w:rPr>
        <w:t xml:space="preserve"> to remove any remaining liquid on the </w:t>
      </w:r>
      <w:r w:rsidR="001E2C14" w:rsidRPr="00F852C4">
        <w:rPr>
          <w:rFonts w:asciiTheme="minorHAnsi" w:hAnsiTheme="minorHAnsi" w:cstheme="minorHAnsi"/>
          <w:color w:val="auto"/>
          <w:highlight w:val="yellow"/>
        </w:rPr>
        <w:t>surface</w:t>
      </w:r>
      <w:r w:rsidRPr="00F852C4">
        <w:rPr>
          <w:rFonts w:asciiTheme="minorHAnsi" w:hAnsiTheme="minorHAnsi" w:cstheme="minorHAnsi"/>
          <w:color w:val="auto"/>
          <w:highlight w:val="yellow"/>
        </w:rPr>
        <w:t>.</w:t>
      </w:r>
      <w:r w:rsidRPr="00F852C4">
        <w:rPr>
          <w:rFonts w:asciiTheme="minorHAnsi" w:hAnsiTheme="minorHAnsi" w:cstheme="minorHAnsi"/>
          <w:color w:val="auto"/>
        </w:rPr>
        <w:t xml:space="preserve"> </w:t>
      </w:r>
    </w:p>
    <w:p w14:paraId="1AE9E2BA" w14:textId="77777777" w:rsidR="00EA4820" w:rsidRPr="00F852C4" w:rsidRDefault="00EA4820" w:rsidP="00344E04">
      <w:pPr>
        <w:rPr>
          <w:rFonts w:asciiTheme="minorHAnsi" w:hAnsiTheme="minorHAnsi" w:cstheme="minorHAnsi"/>
          <w:color w:val="auto"/>
        </w:rPr>
      </w:pPr>
    </w:p>
    <w:p w14:paraId="19ABB90A" w14:textId="19F1EE9D"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NOTE: </w:t>
      </w:r>
      <w:r w:rsidR="00C00DD4" w:rsidRPr="00F852C4">
        <w:rPr>
          <w:rFonts w:asciiTheme="minorHAnsi" w:hAnsiTheme="minorHAnsi" w:cstheme="minorHAnsi"/>
          <w:color w:val="auto"/>
        </w:rPr>
        <w:t xml:space="preserve">It is important not to touch the ports during this process, as the resulting changes in pressure </w:t>
      </w:r>
      <w:r w:rsidR="00343B27">
        <w:rPr>
          <w:rFonts w:asciiTheme="minorHAnsi" w:hAnsiTheme="minorHAnsi" w:cstheme="minorHAnsi"/>
          <w:color w:val="auto"/>
        </w:rPr>
        <w:t>can</w:t>
      </w:r>
      <w:r w:rsidR="00343B27" w:rsidRPr="00F852C4">
        <w:rPr>
          <w:rFonts w:asciiTheme="minorHAnsi" w:hAnsiTheme="minorHAnsi" w:cstheme="minorHAnsi"/>
          <w:color w:val="auto"/>
        </w:rPr>
        <w:t xml:space="preserve"> </w:t>
      </w:r>
      <w:r w:rsidR="00C00DD4" w:rsidRPr="00F852C4">
        <w:rPr>
          <w:rFonts w:asciiTheme="minorHAnsi" w:hAnsiTheme="minorHAnsi" w:cstheme="minorHAnsi"/>
          <w:color w:val="auto"/>
        </w:rPr>
        <w:t>remove or add bulk bacteria into the well and bias the bacterial counts.</w:t>
      </w:r>
    </w:p>
    <w:p w14:paraId="6BE66256" w14:textId="77777777" w:rsidR="00EA4820" w:rsidRPr="00F852C4" w:rsidRDefault="00EA4820" w:rsidP="00344E04">
      <w:pPr>
        <w:rPr>
          <w:rFonts w:asciiTheme="minorHAnsi" w:hAnsiTheme="minorHAnsi" w:cstheme="minorHAnsi"/>
          <w:color w:val="auto"/>
        </w:rPr>
      </w:pPr>
    </w:p>
    <w:p w14:paraId="01CE8C24" w14:textId="2E7107CE" w:rsidR="001E2097" w:rsidRDefault="00EA4820" w:rsidP="00344E04">
      <w:pPr>
        <w:numPr>
          <w:ilvl w:val="2"/>
          <w:numId w:val="36"/>
        </w:numPr>
        <w:rPr>
          <w:rFonts w:asciiTheme="minorHAnsi" w:hAnsiTheme="minorHAnsi" w:cstheme="minorHAnsi"/>
          <w:color w:val="auto"/>
        </w:rPr>
      </w:pPr>
      <w:r w:rsidRPr="00F852C4">
        <w:rPr>
          <w:rFonts w:asciiTheme="minorHAnsi" w:hAnsiTheme="minorHAnsi" w:cstheme="minorHAnsi"/>
          <w:color w:val="auto"/>
          <w:highlight w:val="yellow"/>
        </w:rPr>
        <w:t>Retrieve the s</w:t>
      </w:r>
      <w:r w:rsidRPr="001E2097">
        <w:rPr>
          <w:rFonts w:asciiTheme="minorHAnsi" w:hAnsiTheme="minorHAnsi" w:cstheme="minorHAnsi"/>
          <w:color w:val="auto"/>
          <w:highlight w:val="yellow"/>
        </w:rPr>
        <w:t xml:space="preserve">amples from the ISCA by </w:t>
      </w:r>
      <w:r w:rsidR="00343B27">
        <w:rPr>
          <w:rFonts w:asciiTheme="minorHAnsi" w:hAnsiTheme="minorHAnsi" w:cstheme="minorHAnsi"/>
          <w:color w:val="auto"/>
          <w:highlight w:val="yellow"/>
        </w:rPr>
        <w:t>repeating</w:t>
      </w:r>
      <w:r w:rsidR="00343B27" w:rsidRPr="001E2097">
        <w:rPr>
          <w:rFonts w:asciiTheme="minorHAnsi" w:hAnsiTheme="minorHAnsi" w:cstheme="minorHAnsi"/>
          <w:color w:val="auto"/>
          <w:highlight w:val="yellow"/>
        </w:rPr>
        <w:t xml:space="preserve"> </w:t>
      </w:r>
      <w:r w:rsidRPr="001E2097">
        <w:rPr>
          <w:rFonts w:asciiTheme="minorHAnsi" w:hAnsiTheme="minorHAnsi" w:cstheme="minorHAnsi"/>
          <w:color w:val="auto"/>
          <w:highlight w:val="yellow"/>
        </w:rPr>
        <w:t>step 1.5</w:t>
      </w:r>
      <w:r w:rsidR="00C00DD4" w:rsidRPr="001E2097">
        <w:rPr>
          <w:rFonts w:asciiTheme="minorHAnsi" w:hAnsiTheme="minorHAnsi" w:cstheme="minorHAnsi"/>
          <w:color w:val="auto"/>
          <w:highlight w:val="yellow"/>
        </w:rPr>
        <w:t>.1</w:t>
      </w:r>
      <w:r w:rsidRPr="001E2097">
        <w:rPr>
          <w:rFonts w:asciiTheme="minorHAnsi" w:hAnsiTheme="minorHAnsi" w:cstheme="minorHAnsi"/>
          <w:color w:val="auto"/>
          <w:highlight w:val="yellow"/>
        </w:rPr>
        <w:t>.</w:t>
      </w:r>
      <w:bookmarkEnd w:id="0"/>
    </w:p>
    <w:p w14:paraId="3658A5B0" w14:textId="77777777" w:rsidR="001E2097" w:rsidRDefault="001E2097" w:rsidP="00344E04">
      <w:pPr>
        <w:rPr>
          <w:rFonts w:asciiTheme="minorHAnsi" w:hAnsiTheme="minorHAnsi" w:cstheme="minorHAnsi"/>
          <w:color w:val="auto"/>
        </w:rPr>
      </w:pPr>
    </w:p>
    <w:p w14:paraId="1642CE48" w14:textId="414535D0" w:rsidR="003A2FE6" w:rsidRDefault="00A748D6" w:rsidP="00344E04">
      <w:pPr>
        <w:numPr>
          <w:ilvl w:val="0"/>
          <w:numId w:val="36"/>
        </w:numPr>
        <w:rPr>
          <w:rFonts w:asciiTheme="minorHAnsi" w:hAnsiTheme="minorHAnsi" w:cstheme="minorHAnsi"/>
          <w:color w:val="auto"/>
        </w:rPr>
      </w:pPr>
      <w:r>
        <w:rPr>
          <w:rFonts w:asciiTheme="minorHAnsi" w:hAnsiTheme="minorHAnsi" w:cstheme="minorHAnsi"/>
          <w:b/>
          <w:color w:val="auto"/>
        </w:rPr>
        <w:t>D</w:t>
      </w:r>
      <w:r w:rsidR="00EA4820" w:rsidRPr="001E2097">
        <w:rPr>
          <w:rFonts w:asciiTheme="minorHAnsi" w:hAnsiTheme="minorHAnsi" w:cstheme="minorHAnsi"/>
          <w:b/>
          <w:color w:val="auto"/>
        </w:rPr>
        <w:t>ownstream applications</w:t>
      </w:r>
      <w:r w:rsidR="001E2097" w:rsidRPr="001E2097">
        <w:rPr>
          <w:rFonts w:asciiTheme="minorHAnsi" w:hAnsiTheme="minorHAnsi" w:cstheme="minorHAnsi"/>
          <w:color w:val="auto"/>
        </w:rPr>
        <w:t xml:space="preserve"> </w:t>
      </w:r>
    </w:p>
    <w:p w14:paraId="2F3010F5" w14:textId="77777777" w:rsidR="003A2FE6" w:rsidRDefault="003A2FE6" w:rsidP="00344E04">
      <w:pPr>
        <w:rPr>
          <w:rFonts w:asciiTheme="minorHAnsi" w:hAnsiTheme="minorHAnsi" w:cstheme="minorHAnsi"/>
          <w:color w:val="auto"/>
        </w:rPr>
      </w:pPr>
    </w:p>
    <w:p w14:paraId="611A04EE" w14:textId="666FE062" w:rsidR="001E2097" w:rsidRDefault="00EA4820" w:rsidP="00344E04">
      <w:pPr>
        <w:rPr>
          <w:rFonts w:asciiTheme="minorHAnsi" w:hAnsiTheme="minorHAnsi" w:cstheme="minorHAnsi"/>
          <w:color w:val="auto"/>
        </w:rPr>
      </w:pPr>
      <w:r w:rsidRPr="001E2097">
        <w:rPr>
          <w:rFonts w:asciiTheme="minorHAnsi" w:hAnsiTheme="minorHAnsi" w:cstheme="minorHAnsi"/>
          <w:color w:val="auto"/>
        </w:rPr>
        <w:t>NOTE: Volumes are given based on a 550 µ</w:t>
      </w:r>
      <w:r w:rsidR="003A2FE6">
        <w:rPr>
          <w:rFonts w:asciiTheme="minorHAnsi" w:hAnsiTheme="minorHAnsi" w:cstheme="minorHAnsi"/>
          <w:color w:val="auto"/>
        </w:rPr>
        <w:t xml:space="preserve">L </w:t>
      </w:r>
      <w:r w:rsidRPr="001E2097">
        <w:rPr>
          <w:rFonts w:asciiTheme="minorHAnsi" w:hAnsiTheme="minorHAnsi" w:cstheme="minorHAnsi"/>
          <w:color w:val="auto"/>
        </w:rPr>
        <w:t>sample (one row of an ISCA).</w:t>
      </w:r>
    </w:p>
    <w:p w14:paraId="4355F897" w14:textId="77777777" w:rsidR="001E2097" w:rsidRDefault="001E2097" w:rsidP="00344E04">
      <w:pPr>
        <w:rPr>
          <w:rFonts w:asciiTheme="minorHAnsi" w:hAnsiTheme="minorHAnsi" w:cstheme="minorHAnsi"/>
          <w:color w:val="auto"/>
        </w:rPr>
      </w:pPr>
    </w:p>
    <w:p w14:paraId="538CA314" w14:textId="172E4D73" w:rsidR="00F66A7F" w:rsidRPr="001E2097" w:rsidRDefault="00EA4820" w:rsidP="00344E04">
      <w:pPr>
        <w:numPr>
          <w:ilvl w:val="1"/>
          <w:numId w:val="36"/>
        </w:numPr>
        <w:rPr>
          <w:rFonts w:asciiTheme="minorHAnsi" w:hAnsiTheme="minorHAnsi" w:cstheme="minorHAnsi"/>
          <w:color w:val="auto"/>
        </w:rPr>
      </w:pPr>
      <w:r w:rsidRPr="001E2097">
        <w:rPr>
          <w:rFonts w:asciiTheme="minorHAnsi" w:hAnsiTheme="minorHAnsi" w:cstheme="minorHAnsi"/>
          <w:color w:val="auto"/>
        </w:rPr>
        <w:lastRenderedPageBreak/>
        <w:t>Fix 100 µ</w:t>
      </w:r>
      <w:r w:rsidR="00343B27">
        <w:rPr>
          <w:rFonts w:asciiTheme="minorHAnsi" w:hAnsiTheme="minorHAnsi" w:cstheme="minorHAnsi"/>
          <w:color w:val="auto"/>
        </w:rPr>
        <w:t>L</w:t>
      </w:r>
      <w:r w:rsidRPr="001E2097">
        <w:rPr>
          <w:rFonts w:asciiTheme="minorHAnsi" w:hAnsiTheme="minorHAnsi" w:cstheme="minorHAnsi"/>
          <w:color w:val="auto"/>
        </w:rPr>
        <w:t xml:space="preserve"> of well content</w:t>
      </w:r>
      <w:r w:rsidR="00343B27">
        <w:rPr>
          <w:rFonts w:asciiTheme="minorHAnsi" w:hAnsiTheme="minorHAnsi" w:cstheme="minorHAnsi"/>
          <w:color w:val="auto"/>
        </w:rPr>
        <w:t>s</w:t>
      </w:r>
      <w:r w:rsidRPr="001E2097">
        <w:rPr>
          <w:rFonts w:asciiTheme="minorHAnsi" w:hAnsiTheme="minorHAnsi" w:cstheme="minorHAnsi"/>
          <w:color w:val="auto"/>
        </w:rPr>
        <w:t xml:space="preserve"> with glutaraldehyde (2% final concentration) for flow cytometry</w:t>
      </w:r>
      <w:r w:rsidR="00A97E2D" w:rsidRPr="001E2097">
        <w:rPr>
          <w:rFonts w:asciiTheme="minorHAnsi" w:hAnsiTheme="minorHAnsi" w:cstheme="minorHAnsi"/>
          <w:color w:val="auto"/>
        </w:rPr>
        <w:t xml:space="preserve"> to</w:t>
      </w:r>
      <w:r w:rsidR="00567AAC" w:rsidRPr="001E2097">
        <w:rPr>
          <w:rFonts w:asciiTheme="minorHAnsi" w:hAnsiTheme="minorHAnsi" w:cstheme="minorHAnsi"/>
          <w:color w:val="auto"/>
        </w:rPr>
        <w:t xml:space="preserve"> quantify chemotaxis to each attractant</w:t>
      </w:r>
      <w:r w:rsidRPr="001E2097">
        <w:rPr>
          <w:rFonts w:asciiTheme="minorHAnsi" w:hAnsiTheme="minorHAnsi" w:cstheme="minorHAnsi"/>
          <w:color w:val="auto"/>
        </w:rPr>
        <w:t xml:space="preserve">. </w:t>
      </w:r>
    </w:p>
    <w:p w14:paraId="1E1507EC" w14:textId="77777777" w:rsidR="00F66A7F" w:rsidRDefault="00F66A7F" w:rsidP="00344E04">
      <w:pPr>
        <w:rPr>
          <w:rFonts w:asciiTheme="minorHAnsi" w:hAnsiTheme="minorHAnsi" w:cstheme="minorHAnsi"/>
          <w:color w:val="auto"/>
        </w:rPr>
      </w:pPr>
    </w:p>
    <w:p w14:paraId="1263688C" w14:textId="1156E4F2" w:rsidR="002007AB" w:rsidRPr="00F852C4" w:rsidRDefault="00F66A7F" w:rsidP="00344E04">
      <w:pPr>
        <w:rPr>
          <w:rFonts w:asciiTheme="minorHAnsi" w:hAnsiTheme="minorHAnsi" w:cstheme="minorHAnsi"/>
          <w:color w:val="auto"/>
        </w:rPr>
      </w:pPr>
      <w:r>
        <w:rPr>
          <w:rFonts w:asciiTheme="minorHAnsi" w:hAnsiTheme="minorHAnsi" w:cstheme="minorHAnsi"/>
          <w:color w:val="auto"/>
        </w:rPr>
        <w:t>NOTE:</w:t>
      </w:r>
      <w:r w:rsidR="003A2FE6">
        <w:rPr>
          <w:rFonts w:asciiTheme="minorHAnsi" w:hAnsiTheme="minorHAnsi" w:cstheme="minorHAnsi"/>
          <w:color w:val="auto"/>
        </w:rPr>
        <w:t xml:space="preserve"> </w:t>
      </w:r>
      <w:r w:rsidR="00EA4820" w:rsidRPr="00F852C4">
        <w:rPr>
          <w:rFonts w:asciiTheme="minorHAnsi" w:hAnsiTheme="minorHAnsi" w:cstheme="minorHAnsi"/>
          <w:color w:val="auto"/>
        </w:rPr>
        <w:t>Store on ice (or at 4</w:t>
      </w:r>
      <w:r w:rsidR="00A97E2D" w:rsidRPr="00F852C4">
        <w:rPr>
          <w:rFonts w:asciiTheme="minorHAnsi" w:hAnsiTheme="minorHAnsi" w:cstheme="minorHAnsi"/>
          <w:color w:val="auto"/>
        </w:rPr>
        <w:t xml:space="preserve"> </w:t>
      </w:r>
      <w:r w:rsidR="00EA4820" w:rsidRPr="00F852C4">
        <w:rPr>
          <w:rFonts w:asciiTheme="minorHAnsi" w:hAnsiTheme="minorHAnsi" w:cstheme="minorHAnsi"/>
          <w:color w:val="auto"/>
        </w:rPr>
        <w:t xml:space="preserve">°C) and analyze the samples </w:t>
      </w:r>
      <w:r w:rsidR="00343B27">
        <w:rPr>
          <w:rFonts w:asciiTheme="minorHAnsi" w:hAnsiTheme="minorHAnsi" w:cstheme="minorHAnsi"/>
          <w:color w:val="auto"/>
        </w:rPr>
        <w:t xml:space="preserve">on </w:t>
      </w:r>
      <w:r w:rsidR="00EA4820" w:rsidRPr="00F852C4">
        <w:rPr>
          <w:rFonts w:asciiTheme="minorHAnsi" w:hAnsiTheme="minorHAnsi" w:cstheme="minorHAnsi"/>
          <w:color w:val="auto"/>
        </w:rPr>
        <w:t>the same day.</w:t>
      </w:r>
      <w:r>
        <w:rPr>
          <w:rFonts w:asciiTheme="minorHAnsi" w:hAnsiTheme="minorHAnsi" w:cstheme="minorHAnsi"/>
          <w:color w:val="auto"/>
        </w:rPr>
        <w:t xml:space="preserve"> </w:t>
      </w:r>
      <w:r w:rsidR="00EA4820" w:rsidRPr="00F852C4">
        <w:rPr>
          <w:rFonts w:asciiTheme="minorHAnsi" w:hAnsiTheme="minorHAnsi" w:cstheme="minorHAnsi"/>
          <w:color w:val="auto"/>
        </w:rPr>
        <w:t xml:space="preserve">Alternatively, samples can be flash frozen in liquid nitrogen following fixation if analysis is not feasible on </w:t>
      </w:r>
      <w:r w:rsidR="00A97E2D" w:rsidRPr="00F852C4">
        <w:rPr>
          <w:rFonts w:asciiTheme="minorHAnsi" w:hAnsiTheme="minorHAnsi" w:cstheme="minorHAnsi"/>
          <w:color w:val="auto"/>
        </w:rPr>
        <w:t xml:space="preserve">the </w:t>
      </w:r>
      <w:r w:rsidR="00EA4820" w:rsidRPr="00F852C4">
        <w:rPr>
          <w:rFonts w:asciiTheme="minorHAnsi" w:hAnsiTheme="minorHAnsi" w:cstheme="minorHAnsi"/>
          <w:color w:val="auto"/>
        </w:rPr>
        <w:t>same day.</w:t>
      </w:r>
      <w:r w:rsidR="00343B27">
        <w:rPr>
          <w:rFonts w:asciiTheme="minorHAnsi" w:hAnsiTheme="minorHAnsi" w:cstheme="minorHAnsi"/>
          <w:color w:val="auto"/>
        </w:rPr>
        <w:t xml:space="preserve"> </w:t>
      </w:r>
      <w:r w:rsidR="00EA23D4" w:rsidRPr="00F852C4">
        <w:rPr>
          <w:rFonts w:asciiTheme="minorHAnsi" w:hAnsiTheme="minorHAnsi" w:cstheme="minorHAnsi"/>
        </w:rPr>
        <w:t>Flow cytometry is the recommended method to quantify the number of cells in the ISCA wells, as it is straightforward, fast</w:t>
      </w:r>
      <w:r w:rsidR="00343B27">
        <w:rPr>
          <w:rFonts w:asciiTheme="minorHAnsi" w:hAnsiTheme="minorHAnsi" w:cstheme="minorHAnsi"/>
        </w:rPr>
        <w:t>,</w:t>
      </w:r>
      <w:r w:rsidR="00EA23D4" w:rsidRPr="00F852C4">
        <w:rPr>
          <w:rFonts w:asciiTheme="minorHAnsi" w:hAnsiTheme="minorHAnsi" w:cstheme="minorHAnsi"/>
        </w:rPr>
        <w:t xml:space="preserve"> and accurate</w:t>
      </w:r>
      <w:r w:rsidR="008C7B92">
        <w:rPr>
          <w:rFonts w:asciiTheme="minorHAnsi" w:hAnsiTheme="minorHAnsi" w:cstheme="minorHAnsi"/>
        </w:rPr>
        <w:fldChar w:fldCharType="begin"/>
      </w:r>
      <w:r w:rsidR="00BB094B">
        <w:rPr>
          <w:rFonts w:asciiTheme="minorHAnsi" w:hAnsiTheme="minorHAnsi" w:cstheme="minorHAnsi"/>
        </w:rPr>
        <w:instrText xml:space="preserve"> ADDIN ZOTERO_ITEM CSL_CITATION {"citationID":"IjkvhOkI","properties":{"formattedCitation":"\\super 12\\nosupersub{}","plainCitation":"12","noteIndex":0},"citationItems":[{"id":176,"uris":["http://zotero.org/users/local/eoOr01tb/items/7F6I4FT9"],"uri":["http://zotero.org/users/local/eoOr01tb/items/7F6I4FT9"],"itemData":{"id":176,"type":"article-journal","abstract":"The novel dye SYBR Green I binds specifically to nucleic acids and can be excited by blue light (488-nm wavelength). Cell concentrations of prokaryotes measured in marine samples with this dye on a low-cost compact flow cytometer are comparable to those obtained with the UV-excited stain Hoechst 33342 (bis-benzimide) on an expensive flow cytometer with a water-cooled laser. In contrast to TOTO-1 and TO-PRO-1, SYBR Green I has the advantage of clearly discriminating both heterotrophic bacteria and autotrophic Prochlorococcus cells, even in oligotrophic waters. As with TOTO-1 and TO-PRO-1, two groups of heterotrophic bacteria (B-I and B-II-like types) can be distinguished. Moreover, the resolution of DNA distribution obtained with SYBR Green I is similar to that obtained with Hoechst 33342 and permits the analysis of the cell cycle of photosynthetic prokaryotes over the whole water column.","container-title":"Applied and Environmental Microbiology","ISSN":"0099-2240","issue":"1","journalAbbreviation":"Appl Environ Microbiol","note":"PMID: 16535483\nPMCID: PMC1389098","page":"186-193","source":"PubMed Central","title":"Enumeration and Cell Cycle Analysis of Natural Populations of Marine Picoplankton by Flow Cytometry Using the Nucleic Acid Stain SYBR Green I","volume":"63","author":[{"family":"Marie","given":"D."},{"family":"Partensky","given":"F."},{"family":"Jacquet","given":"S."},{"family":"Vaulot","given":"D."}],"issued":{"date-parts":[["1997",1]]}}}],"schema":"https://github.com/citation-style-language/schema/raw/master/csl-citation.json"} </w:instrText>
      </w:r>
      <w:r w:rsidR="008C7B92">
        <w:rPr>
          <w:rFonts w:asciiTheme="minorHAnsi" w:hAnsiTheme="minorHAnsi" w:cstheme="minorHAnsi"/>
        </w:rPr>
        <w:fldChar w:fldCharType="separate"/>
      </w:r>
      <w:r w:rsidR="008C7B92" w:rsidRPr="008C7B92">
        <w:rPr>
          <w:vertAlign w:val="superscript"/>
        </w:rPr>
        <w:t>12</w:t>
      </w:r>
      <w:r w:rsidR="008C7B92">
        <w:rPr>
          <w:rFonts w:asciiTheme="minorHAnsi" w:hAnsiTheme="minorHAnsi" w:cstheme="minorHAnsi"/>
        </w:rPr>
        <w:fldChar w:fldCharType="end"/>
      </w:r>
      <w:r w:rsidR="00EA23D4" w:rsidRPr="00F852C4">
        <w:rPr>
          <w:rFonts w:asciiTheme="minorHAnsi" w:hAnsiTheme="minorHAnsi" w:cstheme="minorHAnsi"/>
          <w:color w:val="auto"/>
        </w:rPr>
        <w:t>.</w:t>
      </w:r>
    </w:p>
    <w:p w14:paraId="13E96424" w14:textId="77777777" w:rsidR="00656FDF" w:rsidRPr="00F852C4" w:rsidRDefault="00656FDF" w:rsidP="00344E04">
      <w:pPr>
        <w:rPr>
          <w:rFonts w:asciiTheme="minorHAnsi" w:hAnsiTheme="minorHAnsi" w:cstheme="minorHAnsi"/>
          <w:color w:val="auto"/>
        </w:rPr>
      </w:pPr>
    </w:p>
    <w:p w14:paraId="20024A76" w14:textId="4D99CD56" w:rsidR="00F66A7F" w:rsidRDefault="00EA4820" w:rsidP="00344E04">
      <w:pPr>
        <w:numPr>
          <w:ilvl w:val="1"/>
          <w:numId w:val="36"/>
        </w:numPr>
        <w:rPr>
          <w:rFonts w:asciiTheme="minorHAnsi" w:hAnsiTheme="minorHAnsi" w:cstheme="minorHAnsi"/>
          <w:color w:val="auto"/>
        </w:rPr>
      </w:pPr>
      <w:r w:rsidRPr="00F852C4">
        <w:rPr>
          <w:rFonts w:asciiTheme="minorHAnsi" w:hAnsiTheme="minorHAnsi" w:cstheme="minorHAnsi"/>
          <w:color w:val="auto"/>
        </w:rPr>
        <w:t>Snap freeze 300 µ</w:t>
      </w:r>
      <w:r w:rsidR="00343B27">
        <w:rPr>
          <w:rFonts w:asciiTheme="minorHAnsi" w:hAnsiTheme="minorHAnsi" w:cstheme="minorHAnsi"/>
          <w:color w:val="auto"/>
        </w:rPr>
        <w:t>L</w:t>
      </w:r>
      <w:r w:rsidRPr="00F852C4">
        <w:rPr>
          <w:rFonts w:asciiTheme="minorHAnsi" w:hAnsiTheme="minorHAnsi" w:cstheme="minorHAnsi"/>
          <w:color w:val="auto"/>
        </w:rPr>
        <w:t xml:space="preserve"> of well content in liquid nitrogen </w:t>
      </w:r>
      <w:r w:rsidRPr="007E7E76">
        <w:rPr>
          <w:rFonts w:asciiTheme="minorHAnsi" w:hAnsiTheme="minorHAnsi" w:cstheme="minorHAnsi"/>
          <w:color w:val="auto"/>
        </w:rPr>
        <w:t>for subsequent DNA extraction and analysis</w:t>
      </w:r>
      <w:r w:rsidR="007E7E76" w:rsidRPr="007E7E76">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{"citationID":"j6EjDMNs","properties":{"formattedCitation":"\\super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7E7E76" w:rsidRPr="007E7E76">
        <w:rPr>
          <w:rFonts w:asciiTheme="minorHAnsi" w:hAnsiTheme="minorHAnsi" w:cstheme="minorHAnsi"/>
          <w:color w:val="auto"/>
        </w:rPr>
        <w:fldChar w:fldCharType="separate"/>
      </w:r>
      <w:r w:rsidR="007E7E76" w:rsidRPr="007E7E76">
        <w:rPr>
          <w:vertAlign w:val="superscript"/>
        </w:rPr>
        <w:t>11</w:t>
      </w:r>
      <w:r w:rsidR="007E7E76" w:rsidRPr="007E7E76">
        <w:rPr>
          <w:rFonts w:asciiTheme="minorHAnsi" w:hAnsiTheme="minorHAnsi" w:cstheme="minorHAnsi"/>
          <w:color w:val="auto"/>
        </w:rPr>
        <w:fldChar w:fldCharType="end"/>
      </w:r>
      <w:r w:rsidRPr="007E7E76">
        <w:rPr>
          <w:rFonts w:asciiTheme="minorHAnsi" w:hAnsiTheme="minorHAnsi" w:cstheme="minorHAnsi"/>
          <w:color w:val="auto"/>
        </w:rPr>
        <w:t>.</w:t>
      </w:r>
      <w:r w:rsidRPr="00F852C4">
        <w:rPr>
          <w:rFonts w:asciiTheme="minorHAnsi" w:hAnsiTheme="minorHAnsi" w:cstheme="minorHAnsi"/>
          <w:color w:val="auto"/>
        </w:rPr>
        <w:t xml:space="preserve"> </w:t>
      </w:r>
    </w:p>
    <w:p w14:paraId="53FDBA4A" w14:textId="77777777" w:rsidR="00F66A7F" w:rsidRDefault="00F66A7F" w:rsidP="00344E04">
      <w:pPr>
        <w:rPr>
          <w:rFonts w:asciiTheme="minorHAnsi" w:hAnsiTheme="minorHAnsi" w:cstheme="minorHAnsi"/>
          <w:color w:val="auto"/>
        </w:rPr>
      </w:pPr>
    </w:p>
    <w:p w14:paraId="444924B3" w14:textId="5D1ABE88" w:rsidR="00EA4820" w:rsidRPr="00F852C4" w:rsidRDefault="001E2097" w:rsidP="00344E04">
      <w:pPr>
        <w:rPr>
          <w:rFonts w:asciiTheme="minorHAnsi" w:hAnsiTheme="minorHAnsi" w:cstheme="minorHAnsi"/>
          <w:color w:val="auto"/>
        </w:rPr>
      </w:pPr>
      <w:r>
        <w:rPr>
          <w:rFonts w:asciiTheme="minorHAnsi" w:hAnsiTheme="minorHAnsi" w:cstheme="minorHAnsi"/>
          <w:color w:val="auto"/>
        </w:rPr>
        <w:t>N</w:t>
      </w:r>
      <w:r w:rsidR="00F66A7F">
        <w:rPr>
          <w:rFonts w:asciiTheme="minorHAnsi" w:hAnsiTheme="minorHAnsi" w:cstheme="minorHAnsi"/>
          <w:color w:val="auto"/>
        </w:rPr>
        <w:t xml:space="preserve">OTE: </w:t>
      </w:r>
      <w:r w:rsidR="00EA4820" w:rsidRPr="00F852C4">
        <w:rPr>
          <w:rFonts w:asciiTheme="minorHAnsi" w:hAnsiTheme="minorHAnsi" w:cstheme="minorHAnsi"/>
          <w:color w:val="auto"/>
        </w:rPr>
        <w:t>Store the samples at -80</w:t>
      </w:r>
      <w:r w:rsidR="00A97E2D" w:rsidRPr="00F852C4">
        <w:rPr>
          <w:rFonts w:asciiTheme="minorHAnsi" w:hAnsiTheme="minorHAnsi" w:cstheme="minorHAnsi"/>
          <w:color w:val="auto"/>
        </w:rPr>
        <w:t xml:space="preserve"> </w:t>
      </w:r>
      <w:r w:rsidR="00EA4820" w:rsidRPr="00F852C4">
        <w:rPr>
          <w:rFonts w:asciiTheme="minorHAnsi" w:hAnsiTheme="minorHAnsi" w:cstheme="minorHAnsi"/>
          <w:color w:val="auto"/>
        </w:rPr>
        <w:t>°C until analysis.</w:t>
      </w:r>
    </w:p>
    <w:p w14:paraId="4511D04D" w14:textId="77777777" w:rsidR="00EA4820" w:rsidRPr="00F852C4" w:rsidRDefault="00EA4820" w:rsidP="00344E04">
      <w:pPr>
        <w:rPr>
          <w:rFonts w:asciiTheme="minorHAnsi" w:hAnsiTheme="minorHAnsi" w:cstheme="minorHAnsi"/>
          <w:color w:val="auto"/>
        </w:rPr>
      </w:pPr>
    </w:p>
    <w:p w14:paraId="5770FBAE" w14:textId="2A4079D4" w:rsidR="00EA4820" w:rsidRPr="00F852C4" w:rsidRDefault="00EA4820" w:rsidP="00344E04">
      <w:pPr>
        <w:numPr>
          <w:ilvl w:val="1"/>
          <w:numId w:val="36"/>
        </w:numPr>
        <w:rPr>
          <w:rFonts w:asciiTheme="minorHAnsi" w:hAnsiTheme="minorHAnsi" w:cstheme="minorHAnsi"/>
          <w:color w:val="auto"/>
        </w:rPr>
      </w:pPr>
      <w:r w:rsidRPr="00F852C4">
        <w:rPr>
          <w:rFonts w:asciiTheme="minorHAnsi" w:hAnsiTheme="minorHAnsi" w:cstheme="minorHAnsi"/>
          <w:color w:val="auto"/>
        </w:rPr>
        <w:t>Add 90 µ</w:t>
      </w:r>
      <w:r w:rsidR="00343B27">
        <w:rPr>
          <w:rFonts w:asciiTheme="minorHAnsi" w:hAnsiTheme="minorHAnsi" w:cstheme="minorHAnsi"/>
          <w:color w:val="auto"/>
        </w:rPr>
        <w:t>L</w:t>
      </w:r>
      <w:r w:rsidRPr="00F852C4">
        <w:rPr>
          <w:rFonts w:asciiTheme="minorHAnsi" w:hAnsiTheme="minorHAnsi" w:cstheme="minorHAnsi"/>
          <w:color w:val="auto"/>
        </w:rPr>
        <w:t xml:space="preserve"> </w:t>
      </w:r>
      <w:r w:rsidR="00A97E2D" w:rsidRPr="00F852C4">
        <w:rPr>
          <w:rFonts w:asciiTheme="minorHAnsi" w:hAnsiTheme="minorHAnsi" w:cstheme="minorHAnsi"/>
          <w:color w:val="auto"/>
        </w:rPr>
        <w:t>of well content</w:t>
      </w:r>
      <w:r w:rsidR="00343B27">
        <w:rPr>
          <w:rFonts w:asciiTheme="minorHAnsi" w:hAnsiTheme="minorHAnsi" w:cstheme="minorHAnsi"/>
          <w:color w:val="auto"/>
        </w:rPr>
        <w:t>s</w:t>
      </w:r>
      <w:r w:rsidR="00A97E2D" w:rsidRPr="00F852C4">
        <w:rPr>
          <w:rFonts w:asciiTheme="minorHAnsi" w:hAnsiTheme="minorHAnsi" w:cstheme="minorHAnsi"/>
          <w:color w:val="auto"/>
        </w:rPr>
        <w:t xml:space="preserve"> </w:t>
      </w:r>
      <w:r w:rsidRPr="00F852C4">
        <w:rPr>
          <w:rFonts w:asciiTheme="minorHAnsi" w:hAnsiTheme="minorHAnsi" w:cstheme="minorHAnsi"/>
          <w:color w:val="auto"/>
        </w:rPr>
        <w:t>to 10 µ</w:t>
      </w:r>
      <w:r w:rsidR="00343B27">
        <w:rPr>
          <w:rFonts w:asciiTheme="minorHAnsi" w:hAnsiTheme="minorHAnsi" w:cstheme="minorHAnsi"/>
          <w:color w:val="auto"/>
        </w:rPr>
        <w:t>L</w:t>
      </w:r>
      <w:r w:rsidRPr="00F852C4">
        <w:rPr>
          <w:rFonts w:asciiTheme="minorHAnsi" w:hAnsiTheme="minorHAnsi" w:cstheme="minorHAnsi"/>
          <w:color w:val="auto"/>
        </w:rPr>
        <w:t xml:space="preserve"> </w:t>
      </w:r>
      <w:r w:rsidRPr="007E7E76">
        <w:rPr>
          <w:rFonts w:asciiTheme="minorHAnsi" w:hAnsiTheme="minorHAnsi" w:cstheme="minorHAnsi"/>
          <w:color w:val="auto"/>
        </w:rPr>
        <w:t>of TE-</w:t>
      </w:r>
      <w:r w:rsidR="00A97E2D" w:rsidRPr="007E7E76">
        <w:rPr>
          <w:rFonts w:asciiTheme="minorHAnsi" w:hAnsiTheme="minorHAnsi" w:cstheme="minorHAnsi"/>
          <w:color w:val="auto"/>
        </w:rPr>
        <w:t>g</w:t>
      </w:r>
      <w:r w:rsidRPr="007E7E76">
        <w:rPr>
          <w:rFonts w:asciiTheme="minorHAnsi" w:hAnsiTheme="minorHAnsi" w:cstheme="minorHAnsi"/>
          <w:color w:val="auto"/>
        </w:rPr>
        <w:t>lycerol buffer</w:t>
      </w:r>
      <w:r w:rsidRPr="00F852C4">
        <w:rPr>
          <w:rFonts w:asciiTheme="minorHAnsi" w:hAnsiTheme="minorHAnsi" w:cstheme="minorHAnsi"/>
          <w:color w:val="auto"/>
        </w:rPr>
        <w:t xml:space="preserve"> and snap</w:t>
      </w:r>
      <w:r w:rsidR="00343B27">
        <w:rPr>
          <w:rFonts w:asciiTheme="minorHAnsi" w:hAnsiTheme="minorHAnsi" w:cstheme="minorHAnsi"/>
          <w:color w:val="auto"/>
        </w:rPr>
        <w:t>-</w:t>
      </w:r>
      <w:r w:rsidRPr="00F852C4">
        <w:rPr>
          <w:rFonts w:asciiTheme="minorHAnsi" w:hAnsiTheme="minorHAnsi" w:cstheme="minorHAnsi"/>
          <w:color w:val="auto"/>
        </w:rPr>
        <w:t>freeze the samples for single-cell genomics</w:t>
      </w:r>
      <w:r w:rsidR="007E7E76">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{"citationID":"l21DACfK","properties":{"formattedCitation":"\\super 13\\nosupersub{}","plainCitation":"13","noteIndex":0},"citationItems":[{"id":233,"uris":["http://zotero.org/users/local/eoOr01tb/items/TL4Q45AI"],"uri":["http://zotero.org/users/local/eoOr01tb/items/TL4Q45AI"],"itemData":{"id":233,"type":"article-journal","container-title":"Nature Protocols","DOI":"10.1038/nprot.2014.067","ISSN":"1754-2189, 1750-2799","issue":"5","journalAbbreviation":"Nat Protoc","language":"en","page":"1038-1048","source":"DOI.org (Crossref)","title":"Obtaining genomes from uncultivated environmental microorganisms using FACS–based single-cell genomics","volume":"9","author":[{"family":"Rinke","given":"Christian"},{"family":"Lee","given":"Janey"},{"family":"Nath","given":"Nandita"},{"family":"Goudeau","given":"Danielle"},{"family":"Thompson","given":"Brian"},{"family":"Poulton","given":"Nicole"},{"family":"Dmitrieff","given":"Elizabeth"},{"family":"Malmstrom","given":"Rex"},{"family":"Stepanauskas","given":"Ramunas"},{"family":"Woyke","given":"Tanja"}],"issued":{"date-parts":[["2014",5]]}}}],"schema":"https://github.com/citation-style-language/schema/raw/master/csl-citation.json"} </w:instrText>
      </w:r>
      <w:r w:rsidR="007E7E76">
        <w:rPr>
          <w:rFonts w:asciiTheme="minorHAnsi" w:hAnsiTheme="minorHAnsi" w:cstheme="minorHAnsi"/>
          <w:color w:val="auto"/>
        </w:rPr>
        <w:fldChar w:fldCharType="separate"/>
      </w:r>
      <w:r w:rsidR="007E7E76" w:rsidRPr="007E7E76">
        <w:rPr>
          <w:vertAlign w:val="superscript"/>
        </w:rPr>
        <w:t>13</w:t>
      </w:r>
      <w:r w:rsidR="007E7E76">
        <w:rPr>
          <w:rFonts w:asciiTheme="minorHAnsi" w:hAnsiTheme="minorHAnsi" w:cstheme="minorHAnsi"/>
          <w:color w:val="auto"/>
        </w:rPr>
        <w:fldChar w:fldCharType="end"/>
      </w:r>
      <w:r w:rsidRPr="00F852C4">
        <w:rPr>
          <w:rFonts w:asciiTheme="minorHAnsi" w:hAnsiTheme="minorHAnsi" w:cstheme="minorHAnsi"/>
          <w:color w:val="auto"/>
        </w:rPr>
        <w:t>.</w:t>
      </w:r>
    </w:p>
    <w:p w14:paraId="247416A8" w14:textId="77777777" w:rsidR="00EA4820" w:rsidRPr="00F852C4" w:rsidRDefault="00EA4820" w:rsidP="00344E04">
      <w:pPr>
        <w:rPr>
          <w:rFonts w:asciiTheme="minorHAnsi" w:hAnsiTheme="minorHAnsi" w:cstheme="minorHAnsi"/>
          <w:color w:val="auto"/>
        </w:rPr>
      </w:pPr>
    </w:p>
    <w:p w14:paraId="1495F9B5" w14:textId="068E76F0" w:rsidR="00EA4820" w:rsidRPr="00F852C4" w:rsidRDefault="00EA4820" w:rsidP="00344E04">
      <w:pPr>
        <w:numPr>
          <w:ilvl w:val="1"/>
          <w:numId w:val="36"/>
        </w:numPr>
        <w:rPr>
          <w:rFonts w:asciiTheme="minorHAnsi" w:hAnsiTheme="minorHAnsi" w:cstheme="minorHAnsi"/>
          <w:color w:val="auto"/>
        </w:rPr>
      </w:pPr>
      <w:r w:rsidRPr="00F852C4">
        <w:rPr>
          <w:rFonts w:asciiTheme="minorHAnsi" w:hAnsiTheme="minorHAnsi" w:cstheme="minorHAnsi"/>
          <w:color w:val="auto"/>
        </w:rPr>
        <w:t>Spread 10</w:t>
      </w:r>
      <w:r w:rsidR="00D94B36" w:rsidRPr="00F852C4">
        <w:rPr>
          <w:rFonts w:asciiTheme="minorHAnsi" w:hAnsiTheme="minorHAnsi" w:cstheme="minorHAnsi"/>
          <w:color w:val="auto"/>
        </w:rPr>
        <w:t>–</w:t>
      </w:r>
      <w:r w:rsidRPr="00F852C4">
        <w:rPr>
          <w:rFonts w:asciiTheme="minorHAnsi" w:hAnsiTheme="minorHAnsi" w:cstheme="minorHAnsi"/>
          <w:color w:val="auto"/>
        </w:rPr>
        <w:t>20 µ</w:t>
      </w:r>
      <w:r w:rsidR="00343B27">
        <w:rPr>
          <w:rFonts w:asciiTheme="minorHAnsi" w:hAnsiTheme="minorHAnsi" w:cstheme="minorHAnsi"/>
          <w:color w:val="auto"/>
        </w:rPr>
        <w:t>L</w:t>
      </w:r>
      <w:r w:rsidRPr="00F852C4">
        <w:rPr>
          <w:rFonts w:asciiTheme="minorHAnsi" w:hAnsiTheme="minorHAnsi" w:cstheme="minorHAnsi"/>
          <w:color w:val="auto"/>
        </w:rPr>
        <w:t xml:space="preserve"> on agar plates </w:t>
      </w:r>
      <w:r w:rsidR="00D94B36" w:rsidRPr="00F852C4">
        <w:rPr>
          <w:rFonts w:asciiTheme="minorHAnsi" w:hAnsiTheme="minorHAnsi" w:cstheme="minorHAnsi"/>
          <w:color w:val="auto"/>
        </w:rPr>
        <w:t xml:space="preserve">containing the </w:t>
      </w:r>
      <w:r w:rsidRPr="00F852C4">
        <w:rPr>
          <w:rFonts w:asciiTheme="minorHAnsi" w:hAnsiTheme="minorHAnsi" w:cstheme="minorHAnsi"/>
          <w:color w:val="auto"/>
        </w:rPr>
        <w:t xml:space="preserve">desired </w:t>
      </w:r>
      <w:r w:rsidRPr="007E7E76">
        <w:rPr>
          <w:rFonts w:asciiTheme="minorHAnsi" w:hAnsiTheme="minorHAnsi" w:cstheme="minorHAnsi"/>
          <w:color w:val="auto"/>
        </w:rPr>
        <w:t>medium for bacterial isolation</w:t>
      </w:r>
      <w:r w:rsidRPr="00F852C4">
        <w:rPr>
          <w:rFonts w:asciiTheme="minorHAnsi" w:hAnsiTheme="minorHAnsi" w:cstheme="minorHAnsi"/>
          <w:color w:val="auto"/>
        </w:rPr>
        <w:t>.</w:t>
      </w:r>
    </w:p>
    <w:p w14:paraId="589963F4" w14:textId="77777777" w:rsidR="00EA4820" w:rsidRPr="00F852C4" w:rsidRDefault="00EA4820" w:rsidP="00344E04">
      <w:pPr>
        <w:rPr>
          <w:rFonts w:asciiTheme="minorHAnsi" w:hAnsiTheme="minorHAnsi" w:cstheme="minorHAnsi"/>
          <w:color w:val="auto"/>
        </w:rPr>
      </w:pPr>
    </w:p>
    <w:p w14:paraId="0F9C6142" w14:textId="77777777" w:rsidR="00EA4820" w:rsidRPr="00F852C4" w:rsidRDefault="00EA4820" w:rsidP="00344E04">
      <w:pPr>
        <w:pStyle w:val="NormalWeb"/>
        <w:spacing w:before="0" w:beforeAutospacing="0" w:after="0" w:afterAutospacing="0"/>
        <w:rPr>
          <w:rFonts w:asciiTheme="minorHAnsi" w:hAnsiTheme="minorHAnsi" w:cstheme="minorHAnsi"/>
          <w:b/>
          <w:color w:val="auto"/>
        </w:rPr>
      </w:pPr>
      <w:r w:rsidRPr="00F852C4">
        <w:rPr>
          <w:rFonts w:asciiTheme="minorHAnsi" w:hAnsiTheme="minorHAnsi" w:cstheme="minorHAnsi"/>
          <w:b/>
          <w:color w:val="auto"/>
        </w:rPr>
        <w:t xml:space="preserve">REPRESENTATIVE RESULTS: </w:t>
      </w:r>
    </w:p>
    <w:p w14:paraId="7D4BDDBD" w14:textId="77777777" w:rsidR="00EA4820" w:rsidRPr="00F852C4" w:rsidRDefault="00EA4820" w:rsidP="00344E04">
      <w:pPr>
        <w:pStyle w:val="NormalWeb"/>
        <w:spacing w:before="0" w:beforeAutospacing="0" w:after="0" w:afterAutospacing="0"/>
        <w:rPr>
          <w:rFonts w:asciiTheme="minorHAnsi" w:hAnsiTheme="minorHAnsi" w:cstheme="minorHAnsi"/>
          <w:b/>
          <w:color w:val="auto"/>
        </w:rPr>
      </w:pPr>
    </w:p>
    <w:p w14:paraId="6286A7C6" w14:textId="1028A908" w:rsidR="00F716FE" w:rsidRPr="00F852C4" w:rsidRDefault="00343B27" w:rsidP="00344E0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This section presents</w:t>
      </w:r>
      <w:r w:rsidR="00EA4820" w:rsidRPr="00F852C4">
        <w:rPr>
          <w:rFonts w:asciiTheme="minorHAnsi" w:hAnsiTheme="minorHAnsi" w:cstheme="minorHAnsi"/>
          <w:color w:val="auto"/>
        </w:rPr>
        <w:t xml:space="preserve"> laboratory results using the ISCA to test the chemotactic response of </w:t>
      </w:r>
      <w:r w:rsidR="004740CB" w:rsidRPr="00F852C4">
        <w:rPr>
          <w:rFonts w:asciiTheme="minorHAnsi" w:hAnsiTheme="minorHAnsi" w:cstheme="minorHAnsi"/>
          <w:color w:val="auto"/>
        </w:rPr>
        <w:t xml:space="preserve">marine </w:t>
      </w:r>
      <w:r w:rsidR="00EA4820" w:rsidRPr="00F852C4">
        <w:rPr>
          <w:rFonts w:asciiTheme="minorHAnsi" w:hAnsiTheme="minorHAnsi" w:cstheme="minorHAnsi"/>
          <w:color w:val="auto"/>
        </w:rPr>
        <w:t>microbes to a concentration range of glutamine, an amino acid known to attract soil bacteria</w:t>
      </w:r>
      <w:r w:rsidR="007F73F0"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{"citationID":"1Bo64z42","properties":{"formattedCitation":"\\super 14\\nosupersub{}","plainCitation":"14","noteIndex":0},"citationItems":[{"id":173,"uris":["http://zotero.org/users/local/eoOr01tb/items/ULSJPL87"],"uri":["http://zotero.org/users/local/eoOr01tb/items/ULSJPL87"],"itemData":{"id":173,"type":"paper-conference","abstract":"Summary: Rhizobium leguminosarum showed positive chemotaxis towards root exudates of its host the edible pea (Pisum sativum L.). Only the fraction of the exudate containing substances with molecular weights less than 1000 showed significant chemotactic activity. Cationic, neutral and anionic fractions were all attractive, the cationic being the most potent and the anionic the least. A range of amino acids, sugars and carboxylic acids were present in the exudate, and many were shown to be attractants. Other Rhizobium species and Escherichia coli were also attracted by pea exudate, and R. leguminosarum and the other bacteria were attracted by exudates from roots of a range of plants including non-legumes. It was concluded that although positive chemotaxis probably facilitates infection of legumes by Rhizobium, it has little or no role in host-symbiont specificity.","DOI":"10.1099/00221287-128-6-1179","source":"Semantic Scholar","title":"Positive Chemotaxis of Rhizobium leguminosarum and other Bacteria towards Root Exudates from Legumes and other Plants","author":[{"family":"Gaworzewska","given":"Ewa T."},{"family":"Carlile","given":"Michael J."}],"issued":{"date-parts":[["1982"]]}}}],"schema":"https://github.com/citation-style-language/schema/raw/master/csl-citation.json"} </w:instrText>
      </w:r>
      <w:r w:rsidR="007F73F0" w:rsidRPr="00F852C4">
        <w:rPr>
          <w:rFonts w:asciiTheme="minorHAnsi" w:hAnsiTheme="minorHAnsi" w:cstheme="minorHAnsi"/>
          <w:color w:val="auto"/>
        </w:rPr>
        <w:fldChar w:fldCharType="separate"/>
      </w:r>
      <w:r w:rsidR="007E7E76" w:rsidRPr="007E7E76">
        <w:rPr>
          <w:vertAlign w:val="superscript"/>
        </w:rPr>
        <w:t>14</w:t>
      </w:r>
      <w:r w:rsidR="007F73F0" w:rsidRPr="00F852C4">
        <w:rPr>
          <w:rFonts w:asciiTheme="minorHAnsi" w:hAnsiTheme="minorHAnsi" w:cstheme="minorHAnsi"/>
          <w:color w:val="auto"/>
        </w:rPr>
        <w:fldChar w:fldCharType="end"/>
      </w:r>
      <w:r w:rsidR="00EA4820" w:rsidRPr="00F852C4">
        <w:rPr>
          <w:rFonts w:asciiTheme="minorHAnsi" w:hAnsiTheme="minorHAnsi" w:cstheme="minorHAnsi"/>
          <w:color w:val="auto"/>
        </w:rPr>
        <w:t xml:space="preserve">. </w:t>
      </w:r>
      <w:r>
        <w:rPr>
          <w:rFonts w:asciiTheme="minorHAnsi" w:hAnsiTheme="minorHAnsi" w:cstheme="minorHAnsi"/>
          <w:color w:val="auto"/>
        </w:rPr>
        <w:t>T</w:t>
      </w:r>
      <w:r w:rsidR="00EA4820" w:rsidRPr="00F852C4">
        <w:rPr>
          <w:rFonts w:asciiTheme="minorHAnsi" w:hAnsiTheme="minorHAnsi" w:cstheme="minorHAnsi"/>
          <w:color w:val="auto"/>
        </w:rPr>
        <w:t xml:space="preserve">he concentration of glutamine that elicited the strongest chemotactic response in the laboratory tests </w:t>
      </w:r>
      <w:r>
        <w:rPr>
          <w:rFonts w:asciiTheme="minorHAnsi" w:hAnsiTheme="minorHAnsi" w:cstheme="minorHAnsi"/>
          <w:color w:val="auto"/>
        </w:rPr>
        <w:t xml:space="preserve">was used </w:t>
      </w:r>
      <w:r w:rsidR="00EA4820" w:rsidRPr="00F852C4">
        <w:rPr>
          <w:rFonts w:asciiTheme="minorHAnsi" w:hAnsiTheme="minorHAnsi" w:cstheme="minorHAnsi"/>
          <w:color w:val="auto"/>
        </w:rPr>
        <w:t xml:space="preserve">to </w:t>
      </w:r>
      <w:r w:rsidR="004740CB" w:rsidRPr="00F852C4">
        <w:rPr>
          <w:rFonts w:asciiTheme="minorHAnsi" w:hAnsiTheme="minorHAnsi" w:cstheme="minorHAnsi"/>
          <w:color w:val="auto"/>
        </w:rPr>
        <w:t>perform</w:t>
      </w:r>
      <w:r w:rsidR="00EA4820" w:rsidRPr="00F852C4">
        <w:rPr>
          <w:rFonts w:asciiTheme="minorHAnsi" w:hAnsiTheme="minorHAnsi" w:cstheme="minorHAnsi"/>
          <w:color w:val="auto"/>
        </w:rPr>
        <w:t xml:space="preserve"> </w:t>
      </w:r>
      <w:r w:rsidR="004740CB" w:rsidRPr="00F852C4">
        <w:rPr>
          <w:rFonts w:asciiTheme="minorHAnsi" w:hAnsiTheme="minorHAnsi" w:cstheme="minorHAnsi"/>
          <w:color w:val="auto"/>
        </w:rPr>
        <w:t>a chemotaxis assay</w:t>
      </w:r>
      <w:r w:rsidR="00EA4820" w:rsidRPr="00F852C4">
        <w:rPr>
          <w:rFonts w:asciiTheme="minorHAnsi" w:hAnsiTheme="minorHAnsi" w:cstheme="minorHAnsi"/>
          <w:color w:val="auto"/>
        </w:rPr>
        <w:t xml:space="preserve"> in the marine environment</w:t>
      </w:r>
      <w:r w:rsidR="00F716FE" w:rsidRPr="00F852C4">
        <w:rPr>
          <w:rFonts w:asciiTheme="minorHAnsi" w:hAnsiTheme="minorHAnsi" w:cstheme="minorHAnsi"/>
          <w:color w:val="auto"/>
        </w:rPr>
        <w:t xml:space="preserve">. </w:t>
      </w:r>
    </w:p>
    <w:p w14:paraId="62DF4A8B" w14:textId="77777777" w:rsidR="00E85FC1" w:rsidRPr="00F852C4" w:rsidRDefault="00E85FC1" w:rsidP="00344E04">
      <w:pPr>
        <w:pStyle w:val="NormalWeb"/>
        <w:spacing w:before="0" w:beforeAutospacing="0" w:after="0" w:afterAutospacing="0"/>
        <w:rPr>
          <w:rFonts w:asciiTheme="minorHAnsi" w:hAnsiTheme="minorHAnsi" w:cstheme="minorHAnsi"/>
          <w:color w:val="auto"/>
        </w:rPr>
      </w:pPr>
    </w:p>
    <w:p w14:paraId="1C97274A" w14:textId="4A93650F" w:rsidR="00343B27"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color w:val="auto"/>
        </w:rPr>
        <w:t xml:space="preserve">To </w:t>
      </w:r>
      <w:r w:rsidR="004740CB" w:rsidRPr="00F852C4">
        <w:rPr>
          <w:rFonts w:asciiTheme="minorHAnsi" w:hAnsiTheme="minorHAnsi" w:cstheme="minorHAnsi"/>
          <w:color w:val="auto"/>
        </w:rPr>
        <w:t>perform</w:t>
      </w:r>
      <w:r w:rsidRPr="00F852C4">
        <w:rPr>
          <w:rFonts w:asciiTheme="minorHAnsi" w:hAnsiTheme="minorHAnsi" w:cstheme="minorHAnsi"/>
          <w:color w:val="auto"/>
        </w:rPr>
        <w:t xml:space="preserve"> the laboratory tests, seawater communities</w:t>
      </w:r>
      <w:r w:rsidR="00A418F7" w:rsidRPr="00F852C4">
        <w:rPr>
          <w:rFonts w:asciiTheme="minorHAnsi" w:hAnsiTheme="minorHAnsi" w:cstheme="minorHAnsi"/>
          <w:color w:val="auto"/>
        </w:rPr>
        <w:t xml:space="preserve"> sampled from coastal water in Sydney, Australia,</w:t>
      </w:r>
      <w:r w:rsidRPr="00F852C4">
        <w:rPr>
          <w:rFonts w:asciiTheme="minorHAnsi" w:hAnsiTheme="minorHAnsi" w:cstheme="minorHAnsi"/>
          <w:color w:val="auto"/>
        </w:rPr>
        <w:t xml:space="preserve"> were enriched for motile cells </w:t>
      </w:r>
      <w:r w:rsidR="008A6B4E" w:rsidRPr="00F852C4">
        <w:rPr>
          <w:rFonts w:asciiTheme="minorHAnsi" w:hAnsiTheme="minorHAnsi" w:cstheme="minorHAnsi"/>
          <w:color w:val="auto"/>
        </w:rPr>
        <w:t>through a simple nutrient amendment</w:t>
      </w:r>
      <w:r w:rsidR="008A6B4E"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{"citationID":"JgdeVedJ","properties":{"formattedCitation":"\\super 4\\nosupersub{}","plainCitation":"4","noteIndex":0},"citationItems":[{"id":184,"uris":["http://zotero.org/users/local/eoOr01tb/items/LW2TRWDX"],"uri":["http://zotero.org/users/local/eoOr01tb/items/LW2TRWDX"],"itemData":{"id":184,"type":"article-journal","abstract":"The microenvironment surrounding individual phytoplankton cells is often rich in dissolved organic matter (DOM), which can attract bacteria by chemotaxis. These “phycospheres” may be prominent sources of resource heterogeneity in the ocean, affecting the growth of bacterial populations and the fate of DOM. However, these effects remain poorly quantified due to a lack of quantitative ecological frameworks. Here, we used video microscopy to dissect with unprecedented resolution the chemotactic accumulation of marine bacteria around individual Chaetoceros affinis diatoms undergoing lysis. The observed spatiotemporal distribution of bacteria was used in a resource utilization model to map the conditions under which competition between different bacterial groups favors chemotaxis. The model predicts that chemotactic, copiotrophic populations outcompete nonmotile, oligotrophic populations during diatom blooms and bloom collapse conditions, resulting in an increase in the ratio of motile to nonmotile cells and in the succession of populations. Partitioning of DOM between the two populations is strongly dependent on the overall concentration of bacteria and the diffusivity of different DOM substances, and within each population, the growth benefit from phycospheres is experienced by only a small fraction of cells. By informing a DOM utilization model with highly resolved behavioral data, the hybrid approach used here represents a new path toward the elusive goal of predicting the consequences of microscale interactions in the ocean.","container-title":"Proceedings of the National Academy of Sciences","DOI":"10.1073/pnas.1512307113","ISSN":"0027-8424, 1091-6490","issue":"6","journalAbbreviation":"PNAS","language":"en","note":"PMID: 26802122","page":"1576-1581","source":"www.pnas.org","title":"Chemotaxis toward phytoplankton drives organic matter partitioning among marine bacteria","volume":"113","author":[{"family":"Smriga","given":"Steven"},{"family":"Fernandez","given":"Vicente I."},{"family":"Mitchell","given":"James G."},{"family":"Stocker","given":"Roman"}],"issued":{"date-parts":[["2016",2,9]]}}}],"schema":"https://github.com/citation-style-language/schema/raw/master/csl-citation.json"} </w:instrText>
      </w:r>
      <w:r w:rsidR="008A6B4E" w:rsidRPr="00F852C4">
        <w:rPr>
          <w:rFonts w:asciiTheme="minorHAnsi" w:hAnsiTheme="minorHAnsi" w:cstheme="minorHAnsi"/>
          <w:color w:val="auto"/>
        </w:rPr>
        <w:fldChar w:fldCharType="separate"/>
      </w:r>
      <w:r w:rsidR="008A6B4E" w:rsidRPr="00F852C4">
        <w:rPr>
          <w:rFonts w:asciiTheme="minorHAnsi" w:hAnsiTheme="minorHAnsi" w:cstheme="minorHAnsi"/>
          <w:vertAlign w:val="superscript"/>
        </w:rPr>
        <w:t>4</w:t>
      </w:r>
      <w:r w:rsidR="008A6B4E" w:rsidRPr="00F852C4">
        <w:rPr>
          <w:rFonts w:asciiTheme="minorHAnsi" w:hAnsiTheme="minorHAnsi" w:cstheme="minorHAnsi"/>
          <w:color w:val="auto"/>
        </w:rPr>
        <w:fldChar w:fldCharType="end"/>
      </w:r>
      <w:r w:rsidR="00A107C6">
        <w:rPr>
          <w:rFonts w:asciiTheme="minorHAnsi" w:hAnsiTheme="minorHAnsi" w:cstheme="minorHAnsi"/>
          <w:color w:val="auto"/>
        </w:rPr>
        <w:t>, as described</w:t>
      </w:r>
      <w:r w:rsidR="004740CB" w:rsidRPr="00F852C4">
        <w:rPr>
          <w:rFonts w:asciiTheme="minorHAnsi" w:hAnsiTheme="minorHAnsi" w:cstheme="minorHAnsi"/>
          <w:color w:val="auto"/>
        </w:rPr>
        <w:t xml:space="preserve"> in step </w:t>
      </w:r>
      <w:r w:rsidRPr="00F852C4">
        <w:rPr>
          <w:rFonts w:asciiTheme="minorHAnsi" w:hAnsiTheme="minorHAnsi" w:cstheme="minorHAnsi"/>
          <w:color w:val="auto"/>
        </w:rPr>
        <w:t xml:space="preserve">1.4. Glutamine was serially diluted in </w:t>
      </w:r>
      <w:proofErr w:type="spellStart"/>
      <w:r w:rsidRPr="00F852C4">
        <w:rPr>
          <w:rFonts w:asciiTheme="minorHAnsi" w:hAnsiTheme="minorHAnsi" w:cstheme="minorHAnsi"/>
          <w:color w:val="auto"/>
        </w:rPr>
        <w:t>ultrafiltered</w:t>
      </w:r>
      <w:proofErr w:type="spellEnd"/>
      <w:r w:rsidRPr="00F852C4">
        <w:rPr>
          <w:rFonts w:asciiTheme="minorHAnsi" w:hAnsiTheme="minorHAnsi" w:cstheme="minorHAnsi"/>
          <w:color w:val="auto"/>
        </w:rPr>
        <w:t xml:space="preserve"> seawater to obtain final concentrations ranging from 10 mM to 100 µM. Five ISCA replicates were deployed simultaneously for this experiment</w:t>
      </w:r>
      <w:r w:rsidR="00343B27">
        <w:rPr>
          <w:rFonts w:asciiTheme="minorHAnsi" w:hAnsiTheme="minorHAnsi" w:cstheme="minorHAnsi"/>
          <w:color w:val="auto"/>
        </w:rPr>
        <w:t>,</w:t>
      </w:r>
      <w:r w:rsidRPr="00F852C4">
        <w:rPr>
          <w:rFonts w:asciiTheme="minorHAnsi" w:hAnsiTheme="minorHAnsi" w:cstheme="minorHAnsi"/>
          <w:color w:val="auto"/>
        </w:rPr>
        <w:t xml:space="preserve"> and each contained three different glutamine concentrations (one </w:t>
      </w:r>
      <w:r w:rsidR="004740CB" w:rsidRPr="00F852C4">
        <w:rPr>
          <w:rFonts w:asciiTheme="minorHAnsi" w:hAnsiTheme="minorHAnsi" w:cstheme="minorHAnsi"/>
          <w:color w:val="auto"/>
        </w:rPr>
        <w:t>concentration</w:t>
      </w:r>
      <w:r w:rsidRPr="00F852C4">
        <w:rPr>
          <w:rFonts w:asciiTheme="minorHAnsi" w:hAnsiTheme="minorHAnsi" w:cstheme="minorHAnsi"/>
          <w:color w:val="auto"/>
        </w:rPr>
        <w:t xml:space="preserve"> per row) as well as a filtered seawater control row. After </w:t>
      </w:r>
      <w:r w:rsidR="00E85FC1" w:rsidRPr="00F852C4">
        <w:rPr>
          <w:rFonts w:asciiTheme="minorHAnsi" w:hAnsiTheme="minorHAnsi" w:cstheme="minorHAnsi"/>
          <w:color w:val="auto"/>
        </w:rPr>
        <w:t xml:space="preserve">a </w:t>
      </w:r>
      <w:r w:rsidRPr="00F852C4">
        <w:rPr>
          <w:rFonts w:asciiTheme="minorHAnsi" w:hAnsiTheme="minorHAnsi" w:cstheme="minorHAnsi"/>
          <w:color w:val="auto"/>
        </w:rPr>
        <w:t>1</w:t>
      </w:r>
      <w:r w:rsidR="00343B27">
        <w:rPr>
          <w:rFonts w:asciiTheme="minorHAnsi" w:hAnsiTheme="minorHAnsi" w:cstheme="minorHAnsi"/>
          <w:color w:val="auto"/>
        </w:rPr>
        <w:t xml:space="preserve"> </w:t>
      </w:r>
      <w:r w:rsidRPr="00F852C4">
        <w:rPr>
          <w:rFonts w:asciiTheme="minorHAnsi" w:hAnsiTheme="minorHAnsi" w:cstheme="minorHAnsi"/>
          <w:color w:val="auto"/>
        </w:rPr>
        <w:t>h deployment, the contents of each ISCA row (containing the same glutamine concentration) were pooled to provide working samples of approximately 550 µ</w:t>
      </w:r>
      <w:r w:rsidR="00343B27">
        <w:rPr>
          <w:rFonts w:asciiTheme="minorHAnsi" w:hAnsiTheme="minorHAnsi" w:cstheme="minorHAnsi"/>
          <w:color w:val="auto"/>
        </w:rPr>
        <w:t>L</w:t>
      </w:r>
      <w:r w:rsidRPr="00F852C4">
        <w:rPr>
          <w:rFonts w:asciiTheme="minorHAnsi" w:hAnsiTheme="minorHAnsi" w:cstheme="minorHAnsi"/>
          <w:color w:val="auto"/>
        </w:rPr>
        <w:t>. This volume was fixed in glutaraldehyde (2% final concentration)</w:t>
      </w:r>
      <w:r w:rsidR="00343B27">
        <w:rPr>
          <w:rFonts w:asciiTheme="minorHAnsi" w:hAnsiTheme="minorHAnsi" w:cstheme="minorHAnsi"/>
          <w:color w:val="auto"/>
        </w:rPr>
        <w:t>,</w:t>
      </w:r>
      <w:r w:rsidRPr="00F852C4">
        <w:rPr>
          <w:rFonts w:asciiTheme="minorHAnsi" w:hAnsiTheme="minorHAnsi" w:cstheme="minorHAnsi"/>
          <w:color w:val="auto"/>
        </w:rPr>
        <w:t xml:space="preserve"> and the number of responding bacteria quantified via flow cytometry. </w:t>
      </w:r>
    </w:p>
    <w:p w14:paraId="2A040B29" w14:textId="77777777" w:rsidR="00343B27" w:rsidRDefault="00343B27" w:rsidP="00344E04">
      <w:pPr>
        <w:pStyle w:val="NormalWeb"/>
        <w:spacing w:before="0" w:beforeAutospacing="0" w:after="0" w:afterAutospacing="0"/>
        <w:rPr>
          <w:rFonts w:asciiTheme="minorHAnsi" w:hAnsiTheme="minorHAnsi" w:cstheme="minorHAnsi"/>
          <w:color w:val="auto"/>
        </w:rPr>
      </w:pPr>
    </w:p>
    <w:p w14:paraId="2B3B9AC0" w14:textId="48F807A0"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color w:val="auto"/>
        </w:rPr>
        <w:t xml:space="preserve">Briefly, </w:t>
      </w:r>
      <w:r w:rsidRPr="00F852C4">
        <w:rPr>
          <w:rFonts w:asciiTheme="minorHAnsi" w:hAnsiTheme="minorHAnsi" w:cstheme="minorHAnsi"/>
          <w:color w:val="auto"/>
          <w:lang w:val="en-AU"/>
        </w:rPr>
        <w:t xml:space="preserve">bacterial abundance was quantified by </w:t>
      </w:r>
      <w:r w:rsidR="00343B27">
        <w:rPr>
          <w:rFonts w:asciiTheme="minorHAnsi" w:hAnsiTheme="minorHAnsi" w:cstheme="minorHAnsi"/>
          <w:color w:val="auto"/>
          <w:lang w:val="en-AU"/>
        </w:rPr>
        <w:t xml:space="preserve">1) </w:t>
      </w:r>
      <w:r w:rsidRPr="00F852C4">
        <w:rPr>
          <w:rFonts w:asciiTheme="minorHAnsi" w:hAnsiTheme="minorHAnsi" w:cstheme="minorHAnsi"/>
          <w:color w:val="auto"/>
          <w:lang w:val="en-AU"/>
        </w:rPr>
        <w:t xml:space="preserve">staining the cells with </w:t>
      </w:r>
      <w:r w:rsidR="002D559E">
        <w:rPr>
          <w:rFonts w:asciiTheme="minorHAnsi" w:hAnsiTheme="minorHAnsi" w:cstheme="minorHAnsi"/>
          <w:color w:val="auto"/>
          <w:lang w:val="en-AU"/>
        </w:rPr>
        <w:t>a green fluorescent DNA dye</w:t>
      </w:r>
      <w:r w:rsidRPr="00F852C4">
        <w:rPr>
          <w:rFonts w:asciiTheme="minorHAnsi" w:hAnsiTheme="minorHAnsi" w:cstheme="minorHAnsi"/>
          <w:color w:val="auto"/>
          <w:lang w:val="en-AU"/>
        </w:rPr>
        <w:t xml:space="preserve"> and </w:t>
      </w:r>
      <w:r w:rsidR="00343B27">
        <w:rPr>
          <w:rFonts w:asciiTheme="minorHAnsi" w:hAnsiTheme="minorHAnsi" w:cstheme="minorHAnsi"/>
          <w:color w:val="auto"/>
          <w:lang w:val="en-AU"/>
        </w:rPr>
        <w:t xml:space="preserve">2) </w:t>
      </w:r>
      <w:r w:rsidRPr="00F852C4">
        <w:rPr>
          <w:rFonts w:asciiTheme="minorHAnsi" w:hAnsiTheme="minorHAnsi" w:cstheme="minorHAnsi"/>
          <w:color w:val="auto"/>
          <w:lang w:val="en-AU"/>
        </w:rPr>
        <w:t xml:space="preserve">analysis </w:t>
      </w:r>
      <w:r w:rsidR="00343B27">
        <w:rPr>
          <w:rFonts w:asciiTheme="minorHAnsi" w:hAnsiTheme="minorHAnsi" w:cstheme="minorHAnsi"/>
          <w:color w:val="auto"/>
          <w:lang w:val="en-AU"/>
        </w:rPr>
        <w:t>using</w:t>
      </w:r>
      <w:r w:rsidRPr="00F852C4">
        <w:rPr>
          <w:rFonts w:asciiTheme="minorHAnsi" w:hAnsiTheme="minorHAnsi" w:cstheme="minorHAnsi"/>
          <w:color w:val="auto"/>
          <w:lang w:val="en-AU"/>
        </w:rPr>
        <w:t xml:space="preserve"> a </w:t>
      </w:r>
      <w:r w:rsidR="004740CB" w:rsidRPr="00F852C4">
        <w:rPr>
          <w:rFonts w:asciiTheme="minorHAnsi" w:hAnsiTheme="minorHAnsi" w:cstheme="minorHAnsi"/>
          <w:color w:val="auto"/>
          <w:lang w:val="en-AU"/>
        </w:rPr>
        <w:t xml:space="preserve">flow cytometer </w:t>
      </w:r>
      <w:r w:rsidRPr="00F852C4">
        <w:rPr>
          <w:rFonts w:asciiTheme="minorHAnsi" w:hAnsiTheme="minorHAnsi" w:cstheme="minorHAnsi"/>
          <w:color w:val="auto"/>
          <w:lang w:val="en-AU"/>
        </w:rPr>
        <w:t>with</w:t>
      </w:r>
      <w:r w:rsidR="00D37E38">
        <w:rPr>
          <w:rFonts w:asciiTheme="minorHAnsi" w:hAnsiTheme="minorHAnsi" w:cstheme="minorHAnsi"/>
          <w:color w:val="auto"/>
          <w:lang w:val="en-AU"/>
        </w:rPr>
        <w:t xml:space="preserve"> </w:t>
      </w:r>
      <w:r w:rsidR="009A13AC" w:rsidRPr="00F852C4">
        <w:rPr>
          <w:rFonts w:asciiTheme="minorHAnsi" w:hAnsiTheme="minorHAnsi" w:cstheme="minorHAnsi"/>
          <w:color w:val="auto"/>
          <w:lang w:val="en-AU"/>
        </w:rPr>
        <w:t>ultrafiltered</w:t>
      </w:r>
      <w:r w:rsidR="002D559E">
        <w:rPr>
          <w:rFonts w:asciiTheme="minorHAnsi" w:hAnsiTheme="minorHAnsi" w:cstheme="minorHAnsi"/>
          <w:color w:val="auto"/>
          <w:lang w:val="en-AU"/>
        </w:rPr>
        <w:t xml:space="preserve"> </w:t>
      </w:r>
      <w:r w:rsidR="00A107C6">
        <w:rPr>
          <w:rFonts w:asciiTheme="minorHAnsi" w:hAnsiTheme="minorHAnsi" w:cstheme="minorHAnsi"/>
          <w:color w:val="auto"/>
          <w:lang w:val="en-AU"/>
        </w:rPr>
        <w:t xml:space="preserve">deionised </w:t>
      </w:r>
      <w:r w:rsidRPr="00F852C4">
        <w:rPr>
          <w:rFonts w:asciiTheme="minorHAnsi" w:hAnsiTheme="minorHAnsi" w:cstheme="minorHAnsi"/>
          <w:color w:val="auto"/>
          <w:lang w:val="en-AU"/>
        </w:rPr>
        <w:t xml:space="preserve">water as the sheath fluid. For each sample, forward scatter (FSC), side scatter (SSC), and green fluorescence were recorded. The samples were analysed at a flow rate of 25 </w:t>
      </w:r>
      <w:proofErr w:type="spellStart"/>
      <w:r w:rsidRPr="00F852C4">
        <w:rPr>
          <w:rFonts w:asciiTheme="minorHAnsi" w:hAnsiTheme="minorHAnsi" w:cstheme="minorHAnsi"/>
          <w:color w:val="auto"/>
          <w:lang w:val="en-AU"/>
        </w:rPr>
        <w:t>μL</w:t>
      </w:r>
      <w:proofErr w:type="spellEnd"/>
      <w:r w:rsidR="00343B27">
        <w:rPr>
          <w:rFonts w:asciiTheme="minorHAnsi" w:hAnsiTheme="minorHAnsi" w:cstheme="minorHAnsi"/>
          <w:color w:val="auto"/>
          <w:lang w:val="en-AU"/>
        </w:rPr>
        <w:t>/</w:t>
      </w:r>
      <w:r w:rsidRPr="00F852C4">
        <w:rPr>
          <w:rFonts w:asciiTheme="minorHAnsi" w:hAnsiTheme="minorHAnsi" w:cstheme="minorHAnsi"/>
          <w:color w:val="auto"/>
          <w:lang w:val="en-AU"/>
        </w:rPr>
        <w:t xml:space="preserve">min, with bacterial cells discriminated according to SSC and </w:t>
      </w:r>
      <w:r w:rsidR="00CB12CF" w:rsidRPr="00F852C4">
        <w:rPr>
          <w:rFonts w:asciiTheme="minorHAnsi" w:hAnsiTheme="minorHAnsi" w:cstheme="minorHAnsi"/>
          <w:color w:val="auto"/>
          <w:lang w:val="en-AU"/>
        </w:rPr>
        <w:t>g</w:t>
      </w:r>
      <w:r w:rsidRPr="00F852C4">
        <w:rPr>
          <w:rFonts w:asciiTheme="minorHAnsi" w:hAnsiTheme="minorHAnsi" w:cstheme="minorHAnsi"/>
          <w:color w:val="auto"/>
          <w:lang w:val="en-AU"/>
        </w:rPr>
        <w:t>reen fluorescence.</w:t>
      </w:r>
      <w:r w:rsidRPr="00F852C4">
        <w:rPr>
          <w:rFonts w:asciiTheme="minorHAnsi" w:hAnsiTheme="minorHAnsi" w:cstheme="minorHAnsi"/>
          <w:color w:val="auto"/>
        </w:rPr>
        <w:t xml:space="preserve"> The chemotactic index (</w:t>
      </w:r>
      <w:proofErr w:type="spellStart"/>
      <w:r w:rsidRPr="00F852C4">
        <w:rPr>
          <w:rFonts w:asciiTheme="minorHAnsi" w:hAnsiTheme="minorHAnsi" w:cstheme="minorHAnsi"/>
          <w:i/>
          <w:color w:val="auto"/>
        </w:rPr>
        <w:t>I</w:t>
      </w:r>
      <w:r w:rsidRPr="00F852C4">
        <w:rPr>
          <w:rFonts w:asciiTheme="minorHAnsi" w:hAnsiTheme="minorHAnsi" w:cstheme="minorHAnsi"/>
          <w:iCs/>
          <w:color w:val="auto"/>
          <w:vertAlign w:val="subscript"/>
        </w:rPr>
        <w:t>c</w:t>
      </w:r>
      <w:proofErr w:type="spellEnd"/>
      <w:r w:rsidRPr="00F852C4">
        <w:rPr>
          <w:rFonts w:asciiTheme="minorHAnsi" w:hAnsiTheme="minorHAnsi" w:cstheme="minorHAnsi"/>
          <w:color w:val="auto"/>
        </w:rPr>
        <w:t>) was determined by dividing the bacterial counts present in each sample by the averaged bacterial counts in the filtered seawater control wells (FSW).</w:t>
      </w:r>
    </w:p>
    <w:p w14:paraId="28AC92F1" w14:textId="77777777" w:rsidR="00E85FC1" w:rsidRPr="00F852C4" w:rsidRDefault="00E85FC1" w:rsidP="00344E04">
      <w:pPr>
        <w:pStyle w:val="NormalWeb"/>
        <w:spacing w:before="0" w:beforeAutospacing="0" w:after="0" w:afterAutospacing="0"/>
        <w:rPr>
          <w:rFonts w:asciiTheme="minorHAnsi" w:hAnsiTheme="minorHAnsi" w:cstheme="minorHAnsi"/>
          <w:color w:val="auto"/>
        </w:rPr>
      </w:pPr>
    </w:p>
    <w:p w14:paraId="7F8DDD32" w14:textId="71D79E8A"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color w:val="auto"/>
        </w:rPr>
        <w:t xml:space="preserve">Results </w:t>
      </w:r>
      <w:r w:rsidR="004740CB" w:rsidRPr="00F852C4">
        <w:rPr>
          <w:rFonts w:asciiTheme="minorHAnsi" w:hAnsiTheme="minorHAnsi" w:cstheme="minorHAnsi"/>
          <w:color w:val="auto"/>
        </w:rPr>
        <w:t xml:space="preserve">showed </w:t>
      </w:r>
      <w:r w:rsidRPr="00F852C4">
        <w:rPr>
          <w:rFonts w:asciiTheme="minorHAnsi" w:hAnsiTheme="minorHAnsi" w:cstheme="minorHAnsi"/>
          <w:color w:val="auto"/>
        </w:rPr>
        <w:t xml:space="preserve">that 1 mM was the optimal </w:t>
      </w:r>
      <w:r w:rsidR="00146D73" w:rsidRPr="00F852C4">
        <w:rPr>
          <w:rFonts w:asciiTheme="minorHAnsi" w:hAnsiTheme="minorHAnsi" w:cstheme="minorHAnsi"/>
          <w:color w:val="auto"/>
        </w:rPr>
        <w:t xml:space="preserve">glutamine </w:t>
      </w:r>
      <w:r w:rsidRPr="00F852C4">
        <w:rPr>
          <w:rFonts w:asciiTheme="minorHAnsi" w:hAnsiTheme="minorHAnsi" w:cstheme="minorHAnsi"/>
          <w:color w:val="auto"/>
        </w:rPr>
        <w:t>deployment concentration</w:t>
      </w:r>
      <w:r w:rsidR="00146D73">
        <w:rPr>
          <w:rFonts w:asciiTheme="minorHAnsi" w:hAnsiTheme="minorHAnsi" w:cstheme="minorHAnsi"/>
          <w:color w:val="auto"/>
        </w:rPr>
        <w:t>,</w:t>
      </w:r>
      <w:r w:rsidRPr="00F852C4">
        <w:rPr>
          <w:rFonts w:asciiTheme="minorHAnsi" w:hAnsiTheme="minorHAnsi" w:cstheme="minorHAnsi"/>
          <w:color w:val="auto"/>
        </w:rPr>
        <w:t xml:space="preserve"> as it induced </w:t>
      </w:r>
      <w:r w:rsidRPr="00F852C4">
        <w:rPr>
          <w:rFonts w:asciiTheme="minorHAnsi" w:hAnsiTheme="minorHAnsi" w:cstheme="minorHAnsi"/>
          <w:color w:val="auto"/>
        </w:rPr>
        <w:lastRenderedPageBreak/>
        <w:t xml:space="preserve">a significant chemotactic response </w:t>
      </w:r>
      <w:r w:rsidR="00146D73">
        <w:rPr>
          <w:rFonts w:asciiTheme="minorHAnsi" w:hAnsiTheme="minorHAnsi" w:cstheme="minorHAnsi"/>
          <w:color w:val="auto"/>
        </w:rPr>
        <w:t xml:space="preserve">that was </w:t>
      </w:r>
      <w:r w:rsidRPr="00F852C4">
        <w:rPr>
          <w:rFonts w:asciiTheme="minorHAnsi" w:hAnsiTheme="minorHAnsi" w:cstheme="minorHAnsi"/>
          <w:color w:val="auto"/>
        </w:rPr>
        <w:t>18</w:t>
      </w:r>
      <w:r w:rsidR="0017104B" w:rsidRPr="00F852C4">
        <w:rPr>
          <w:rFonts w:asciiTheme="minorHAnsi" w:hAnsiTheme="minorHAnsi" w:cstheme="minorHAnsi"/>
          <w:color w:val="auto"/>
        </w:rPr>
        <w:t>-</w:t>
      </w:r>
      <w:r w:rsidRPr="00F852C4">
        <w:rPr>
          <w:rFonts w:asciiTheme="minorHAnsi" w:hAnsiTheme="minorHAnsi" w:cstheme="minorHAnsi"/>
          <w:color w:val="auto"/>
        </w:rPr>
        <w:t>fold higher than the filtered seawater control (</w:t>
      </w:r>
      <w:r w:rsidRPr="00F852C4">
        <w:rPr>
          <w:rFonts w:asciiTheme="minorHAnsi" w:hAnsiTheme="minorHAnsi" w:cstheme="minorHAnsi"/>
          <w:i/>
          <w:iCs/>
          <w:color w:val="auto"/>
        </w:rPr>
        <w:t>t</w:t>
      </w:r>
      <w:r w:rsidRPr="00F852C4">
        <w:rPr>
          <w:rFonts w:asciiTheme="minorHAnsi" w:hAnsiTheme="minorHAnsi" w:cstheme="minorHAnsi"/>
          <w:color w:val="auto"/>
        </w:rPr>
        <w:t>-test,</w:t>
      </w:r>
      <w:r w:rsidR="00D37E38" w:rsidRPr="00D37E38">
        <w:rPr>
          <w:rFonts w:asciiTheme="minorHAnsi" w:hAnsiTheme="minorHAnsi" w:cstheme="minorHAnsi"/>
          <w:i/>
          <w:color w:val="auto"/>
        </w:rPr>
        <w:t xml:space="preserve"> p &lt;</w:t>
      </w:r>
      <w:r w:rsidRPr="00F852C4">
        <w:rPr>
          <w:rFonts w:asciiTheme="minorHAnsi" w:hAnsiTheme="minorHAnsi" w:cstheme="minorHAnsi"/>
          <w:color w:val="auto"/>
        </w:rPr>
        <w:t xml:space="preserve"> 0.001</w:t>
      </w:r>
      <w:r w:rsidRPr="00F852C4">
        <w:rPr>
          <w:rStyle w:val="gd15mcfceub"/>
          <w:rFonts w:asciiTheme="minorHAnsi" w:eastAsiaTheme="majorEastAsia" w:hAnsiTheme="minorHAnsi" w:cstheme="minorHAnsi"/>
          <w:bdr w:val="none" w:sz="0" w:space="0" w:color="auto" w:frame="1"/>
        </w:rPr>
        <w:t>)</w:t>
      </w:r>
      <w:r w:rsidRPr="00F852C4">
        <w:rPr>
          <w:rFonts w:asciiTheme="minorHAnsi" w:hAnsiTheme="minorHAnsi" w:cstheme="minorHAnsi"/>
          <w:color w:val="auto"/>
        </w:rPr>
        <w:t xml:space="preserve"> (</w:t>
      </w:r>
      <w:r w:rsidR="00D37E38" w:rsidRPr="00D37E38">
        <w:rPr>
          <w:rFonts w:asciiTheme="minorHAnsi" w:hAnsiTheme="minorHAnsi" w:cstheme="minorHAnsi"/>
          <w:b/>
          <w:color w:val="auto"/>
        </w:rPr>
        <w:t>Figure 5</w:t>
      </w:r>
      <w:r w:rsidRPr="00D84023">
        <w:rPr>
          <w:rFonts w:asciiTheme="minorHAnsi" w:hAnsiTheme="minorHAnsi" w:cstheme="minorHAnsi"/>
          <w:b/>
          <w:color w:val="auto"/>
        </w:rPr>
        <w:t>A</w:t>
      </w:r>
      <w:r w:rsidRPr="00F852C4">
        <w:rPr>
          <w:rFonts w:asciiTheme="minorHAnsi" w:hAnsiTheme="minorHAnsi" w:cstheme="minorHAnsi"/>
          <w:color w:val="auto"/>
        </w:rPr>
        <w:t xml:space="preserve">). </w:t>
      </w:r>
      <w:r w:rsidR="0017104B" w:rsidRPr="00F852C4">
        <w:rPr>
          <w:rFonts w:asciiTheme="minorHAnsi" w:hAnsiTheme="minorHAnsi" w:cstheme="minorHAnsi"/>
          <w:color w:val="auto"/>
        </w:rPr>
        <w:t>Higher or lower c</w:t>
      </w:r>
      <w:r w:rsidRPr="00F852C4">
        <w:rPr>
          <w:rFonts w:asciiTheme="minorHAnsi" w:hAnsiTheme="minorHAnsi" w:cstheme="minorHAnsi"/>
          <w:color w:val="auto"/>
        </w:rPr>
        <w:t>oncentrations of glutamine induced significant but weaker chemotactic responses (</w:t>
      </w:r>
      <w:proofErr w:type="spellStart"/>
      <w:r w:rsidR="0017104B" w:rsidRPr="00F852C4">
        <w:rPr>
          <w:rFonts w:asciiTheme="minorHAnsi" w:hAnsiTheme="minorHAnsi" w:cstheme="minorHAnsi"/>
          <w:i/>
          <w:color w:val="auto"/>
        </w:rPr>
        <w:t>I</w:t>
      </w:r>
      <w:r w:rsidR="0017104B" w:rsidRPr="00F852C4">
        <w:rPr>
          <w:rFonts w:asciiTheme="minorHAnsi" w:hAnsiTheme="minorHAnsi" w:cstheme="minorHAnsi"/>
          <w:iCs/>
          <w:color w:val="auto"/>
          <w:vertAlign w:val="subscript"/>
        </w:rPr>
        <w:t>c</w:t>
      </w:r>
      <w:proofErr w:type="spellEnd"/>
      <w:r w:rsidR="0017104B" w:rsidRPr="00F852C4">
        <w:rPr>
          <w:rFonts w:asciiTheme="minorHAnsi" w:hAnsiTheme="minorHAnsi" w:cstheme="minorHAnsi"/>
          <w:color w:val="auto"/>
        </w:rPr>
        <w:t xml:space="preserve"> = </w:t>
      </w:r>
      <w:r w:rsidRPr="00F852C4">
        <w:rPr>
          <w:rFonts w:asciiTheme="minorHAnsi" w:hAnsiTheme="minorHAnsi" w:cstheme="minorHAnsi"/>
          <w:color w:val="auto"/>
        </w:rPr>
        <w:t>5.43 for 100 µM,</w:t>
      </w:r>
      <w:r w:rsidR="00D37E38" w:rsidRPr="00D37E38">
        <w:rPr>
          <w:rFonts w:asciiTheme="minorHAnsi" w:hAnsiTheme="minorHAnsi" w:cstheme="minorHAnsi"/>
          <w:i/>
          <w:color w:val="auto"/>
        </w:rPr>
        <w:t xml:space="preserve"> p &lt;</w:t>
      </w:r>
      <w:r w:rsidRPr="00F852C4">
        <w:rPr>
          <w:rFonts w:asciiTheme="minorHAnsi" w:hAnsiTheme="minorHAnsi" w:cstheme="minorHAnsi"/>
          <w:color w:val="auto"/>
        </w:rPr>
        <w:t xml:space="preserve"> 0.001</w:t>
      </w:r>
      <w:r w:rsidR="00F84A24" w:rsidRPr="00F852C4">
        <w:rPr>
          <w:rFonts w:asciiTheme="minorHAnsi" w:hAnsiTheme="minorHAnsi" w:cstheme="minorHAnsi"/>
          <w:color w:val="auto"/>
        </w:rPr>
        <w:t>;</w:t>
      </w:r>
      <w:r w:rsidR="0017104B" w:rsidRPr="00F852C4">
        <w:rPr>
          <w:rFonts w:asciiTheme="minorHAnsi" w:hAnsiTheme="minorHAnsi" w:cstheme="minorHAnsi"/>
          <w:color w:val="auto"/>
        </w:rPr>
        <w:t xml:space="preserve"> </w:t>
      </w:r>
      <w:proofErr w:type="spellStart"/>
      <w:r w:rsidR="0017104B" w:rsidRPr="00F852C4">
        <w:rPr>
          <w:rFonts w:asciiTheme="minorHAnsi" w:hAnsiTheme="minorHAnsi" w:cstheme="minorHAnsi"/>
          <w:i/>
          <w:color w:val="auto"/>
        </w:rPr>
        <w:t>I</w:t>
      </w:r>
      <w:r w:rsidR="0017104B" w:rsidRPr="00F852C4">
        <w:rPr>
          <w:rFonts w:asciiTheme="minorHAnsi" w:hAnsiTheme="minorHAnsi" w:cstheme="minorHAnsi"/>
          <w:iCs/>
          <w:color w:val="auto"/>
          <w:vertAlign w:val="subscript"/>
        </w:rPr>
        <w:t>c</w:t>
      </w:r>
      <w:proofErr w:type="spellEnd"/>
      <w:r w:rsidR="0017104B" w:rsidRPr="00F852C4">
        <w:rPr>
          <w:rFonts w:asciiTheme="minorHAnsi" w:hAnsiTheme="minorHAnsi" w:cstheme="minorHAnsi"/>
          <w:i/>
          <w:color w:val="auto"/>
        </w:rPr>
        <w:t xml:space="preserve"> </w:t>
      </w:r>
      <w:r w:rsidR="0017104B" w:rsidRPr="00F852C4">
        <w:rPr>
          <w:rFonts w:asciiTheme="minorHAnsi" w:hAnsiTheme="minorHAnsi" w:cstheme="minorHAnsi"/>
          <w:iCs/>
          <w:color w:val="auto"/>
        </w:rPr>
        <w:t>=</w:t>
      </w:r>
      <w:r w:rsidRPr="00F852C4">
        <w:rPr>
          <w:rFonts w:asciiTheme="minorHAnsi" w:hAnsiTheme="minorHAnsi" w:cstheme="minorHAnsi"/>
          <w:color w:val="auto"/>
        </w:rPr>
        <w:t xml:space="preserve"> 7.34 for 10 µM,</w:t>
      </w:r>
      <w:r w:rsidR="00D37E38" w:rsidRPr="00D37E38">
        <w:rPr>
          <w:rFonts w:asciiTheme="minorHAnsi" w:hAnsiTheme="minorHAnsi" w:cstheme="minorHAnsi"/>
          <w:i/>
          <w:color w:val="auto"/>
        </w:rPr>
        <w:t xml:space="preserve"> p &lt;</w:t>
      </w:r>
      <w:r w:rsidRPr="00F852C4">
        <w:rPr>
          <w:rFonts w:asciiTheme="minorHAnsi" w:hAnsiTheme="minorHAnsi" w:cstheme="minorHAnsi"/>
          <w:color w:val="auto"/>
        </w:rPr>
        <w:t xml:space="preserve"> 0.001). If the chemoattractant concentration added to an ISCA well is too high, chemotaxis into the well can be reduced</w:t>
      </w:r>
      <w:r w:rsidR="00146D73">
        <w:rPr>
          <w:rFonts w:asciiTheme="minorHAnsi" w:hAnsiTheme="minorHAnsi" w:cstheme="minorHAnsi"/>
          <w:color w:val="auto"/>
        </w:rPr>
        <w:t>,</w:t>
      </w:r>
      <w:r w:rsidRPr="00F852C4">
        <w:rPr>
          <w:rFonts w:asciiTheme="minorHAnsi" w:hAnsiTheme="minorHAnsi" w:cstheme="minorHAnsi"/>
          <w:color w:val="auto"/>
        </w:rPr>
        <w:t xml:space="preserve"> because (</w:t>
      </w:r>
      <w:r w:rsidR="00146D73">
        <w:rPr>
          <w:rFonts w:asciiTheme="minorHAnsi" w:hAnsiTheme="minorHAnsi" w:cstheme="minorHAnsi"/>
          <w:color w:val="auto"/>
        </w:rPr>
        <w:t>1</w:t>
      </w:r>
      <w:r w:rsidRPr="00F852C4">
        <w:rPr>
          <w:rFonts w:asciiTheme="minorHAnsi" w:hAnsiTheme="minorHAnsi" w:cstheme="minorHAnsi"/>
          <w:color w:val="auto"/>
        </w:rPr>
        <w:t xml:space="preserve">) bacteria will not be able to detect a gradient in the port section and </w:t>
      </w:r>
      <w:r w:rsidR="00FF745D" w:rsidRPr="00F852C4">
        <w:rPr>
          <w:rFonts w:asciiTheme="minorHAnsi" w:hAnsiTheme="minorHAnsi" w:cstheme="minorHAnsi"/>
          <w:color w:val="auto"/>
        </w:rPr>
        <w:t xml:space="preserve">may </w:t>
      </w:r>
      <w:r w:rsidRPr="00F852C4">
        <w:rPr>
          <w:rFonts w:asciiTheme="minorHAnsi" w:hAnsiTheme="minorHAnsi" w:cstheme="minorHAnsi"/>
          <w:color w:val="auto"/>
        </w:rPr>
        <w:t>aggregate above the well</w:t>
      </w:r>
      <w:r w:rsidR="00146D73">
        <w:rPr>
          <w:rFonts w:asciiTheme="minorHAnsi" w:hAnsiTheme="minorHAnsi" w:cstheme="minorHAnsi"/>
          <w:color w:val="auto"/>
        </w:rPr>
        <w:t>, or</w:t>
      </w:r>
      <w:r w:rsidRPr="00F852C4">
        <w:rPr>
          <w:rFonts w:asciiTheme="minorHAnsi" w:hAnsiTheme="minorHAnsi" w:cstheme="minorHAnsi"/>
          <w:color w:val="auto"/>
        </w:rPr>
        <w:t xml:space="preserve"> (</w:t>
      </w:r>
      <w:r w:rsidR="00146D73">
        <w:rPr>
          <w:rFonts w:asciiTheme="minorHAnsi" w:hAnsiTheme="minorHAnsi" w:cstheme="minorHAnsi"/>
          <w:color w:val="auto"/>
        </w:rPr>
        <w:t>2</w:t>
      </w:r>
      <w:r w:rsidRPr="00F852C4">
        <w:rPr>
          <w:rFonts w:asciiTheme="minorHAnsi" w:hAnsiTheme="minorHAnsi" w:cstheme="minorHAnsi"/>
          <w:color w:val="auto"/>
        </w:rPr>
        <w:t xml:space="preserve">) </w:t>
      </w:r>
      <w:r w:rsidR="00146D73">
        <w:rPr>
          <w:rFonts w:asciiTheme="minorHAnsi" w:hAnsiTheme="minorHAnsi" w:cstheme="minorHAnsi"/>
          <w:color w:val="auto"/>
        </w:rPr>
        <w:t xml:space="preserve">the </w:t>
      </w:r>
      <w:r w:rsidRPr="00F852C4">
        <w:rPr>
          <w:rFonts w:asciiTheme="minorHAnsi" w:hAnsiTheme="minorHAnsi" w:cstheme="minorHAnsi"/>
          <w:color w:val="auto"/>
        </w:rPr>
        <w:t xml:space="preserve">pH or osmolarity of the well </w:t>
      </w:r>
      <w:r w:rsidR="00FF745D" w:rsidRPr="00F852C4">
        <w:rPr>
          <w:rFonts w:asciiTheme="minorHAnsi" w:hAnsiTheme="minorHAnsi" w:cstheme="minorHAnsi"/>
          <w:color w:val="auto"/>
        </w:rPr>
        <w:t xml:space="preserve">may </w:t>
      </w:r>
      <w:r w:rsidRPr="00F852C4">
        <w:rPr>
          <w:rFonts w:asciiTheme="minorHAnsi" w:hAnsiTheme="minorHAnsi" w:cstheme="minorHAnsi"/>
          <w:color w:val="auto"/>
        </w:rPr>
        <w:t>be affected.</w:t>
      </w:r>
    </w:p>
    <w:p w14:paraId="006BC978" w14:textId="77777777" w:rsidR="00EA4820" w:rsidRPr="00F852C4" w:rsidRDefault="00EA4820" w:rsidP="00344E04">
      <w:pPr>
        <w:pStyle w:val="NormalWeb"/>
        <w:spacing w:before="0" w:beforeAutospacing="0" w:after="0" w:afterAutospacing="0"/>
        <w:rPr>
          <w:rFonts w:asciiTheme="minorHAnsi" w:hAnsiTheme="minorHAnsi" w:cstheme="minorHAnsi"/>
          <w:b/>
          <w:color w:val="auto"/>
        </w:rPr>
      </w:pPr>
    </w:p>
    <w:p w14:paraId="421CAF46" w14:textId="29AAC15A" w:rsidR="00EA4820" w:rsidRDefault="00146D73" w:rsidP="00344E0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w:t>
      </w:r>
      <w:r w:rsidR="00EA4820" w:rsidRPr="00F852C4">
        <w:rPr>
          <w:rFonts w:asciiTheme="minorHAnsi" w:hAnsiTheme="minorHAnsi" w:cstheme="minorHAnsi"/>
          <w:color w:val="auto"/>
        </w:rPr>
        <w:t xml:space="preserve">he optimal glutamine concentration </w:t>
      </w:r>
      <w:r>
        <w:rPr>
          <w:rFonts w:asciiTheme="minorHAnsi" w:hAnsiTheme="minorHAnsi" w:cstheme="minorHAnsi"/>
          <w:color w:val="auto"/>
        </w:rPr>
        <w:t xml:space="preserve">was subsequently used </w:t>
      </w:r>
      <w:r w:rsidR="00EA4820" w:rsidRPr="00F852C4">
        <w:rPr>
          <w:rFonts w:asciiTheme="minorHAnsi" w:hAnsiTheme="minorHAnsi" w:cstheme="minorHAnsi"/>
          <w:color w:val="auto"/>
        </w:rPr>
        <w:t xml:space="preserve">for field deployment. </w:t>
      </w:r>
      <w:r>
        <w:rPr>
          <w:rFonts w:asciiTheme="minorHAnsi" w:hAnsiTheme="minorHAnsi" w:cstheme="minorHAnsi"/>
          <w:color w:val="auto"/>
        </w:rPr>
        <w:t>F</w:t>
      </w:r>
      <w:r w:rsidR="00EA4820" w:rsidRPr="00F852C4">
        <w:rPr>
          <w:rFonts w:asciiTheme="minorHAnsi" w:hAnsiTheme="minorHAnsi" w:cstheme="minorHAnsi"/>
          <w:color w:val="auto"/>
        </w:rPr>
        <w:t xml:space="preserve">ive ISCA replicates filled with 1 mM glutamine </w:t>
      </w:r>
      <w:r>
        <w:rPr>
          <w:rFonts w:asciiTheme="minorHAnsi" w:hAnsiTheme="minorHAnsi" w:cstheme="minorHAnsi"/>
          <w:color w:val="auto"/>
        </w:rPr>
        <w:t xml:space="preserve">were deployed </w:t>
      </w:r>
      <w:r w:rsidR="00EA4820" w:rsidRPr="00F852C4">
        <w:rPr>
          <w:rFonts w:asciiTheme="minorHAnsi" w:hAnsiTheme="minorHAnsi" w:cstheme="minorHAnsi"/>
          <w:color w:val="auto"/>
        </w:rPr>
        <w:t>for 1 h at a coastal site near Sydney, Australia (33.91</w:t>
      </w:r>
      <w:r>
        <w:rPr>
          <w:rFonts w:asciiTheme="minorHAnsi" w:hAnsiTheme="minorHAnsi" w:cstheme="minorHAnsi"/>
          <w:color w:val="auto"/>
        </w:rPr>
        <w:t xml:space="preserve"> </w:t>
      </w:r>
      <w:r w:rsidR="00EA4820" w:rsidRPr="00F852C4">
        <w:rPr>
          <w:rFonts w:asciiTheme="minorHAnsi" w:hAnsiTheme="minorHAnsi" w:cstheme="minorHAnsi"/>
          <w:color w:val="auto"/>
        </w:rPr>
        <w:t>°S, 151.26</w:t>
      </w:r>
      <w:r>
        <w:rPr>
          <w:rFonts w:asciiTheme="minorHAnsi" w:hAnsiTheme="minorHAnsi" w:cstheme="minorHAnsi"/>
          <w:color w:val="auto"/>
        </w:rPr>
        <w:t xml:space="preserve"> </w:t>
      </w:r>
      <w:r w:rsidR="00EA4820" w:rsidRPr="00F852C4">
        <w:rPr>
          <w:rFonts w:asciiTheme="minorHAnsi" w:hAnsiTheme="minorHAnsi" w:cstheme="minorHAnsi"/>
          <w:color w:val="auto"/>
        </w:rPr>
        <w:t>°E). Glutamine attracted 2.98</w:t>
      </w:r>
      <w:r>
        <w:rPr>
          <w:rFonts w:asciiTheme="minorHAnsi" w:hAnsiTheme="minorHAnsi" w:cstheme="minorHAnsi"/>
          <w:color w:val="auto"/>
        </w:rPr>
        <w:t>x</w:t>
      </w:r>
      <w:r w:rsidR="00EA4820" w:rsidRPr="00F852C4">
        <w:rPr>
          <w:rFonts w:asciiTheme="minorHAnsi" w:hAnsiTheme="minorHAnsi" w:cstheme="minorHAnsi"/>
          <w:color w:val="auto"/>
        </w:rPr>
        <w:t xml:space="preserve"> more bacteria than the control wells filled with filtered seawater from the deployment site (</w:t>
      </w:r>
      <w:r w:rsidR="00D37E38" w:rsidRPr="00D37E38">
        <w:rPr>
          <w:rFonts w:asciiTheme="minorHAnsi" w:hAnsiTheme="minorHAnsi" w:cstheme="minorHAnsi"/>
          <w:b/>
          <w:color w:val="auto"/>
        </w:rPr>
        <w:t>Figure 5</w:t>
      </w:r>
      <w:r w:rsidR="00EA4820" w:rsidRPr="00967620">
        <w:rPr>
          <w:rFonts w:asciiTheme="minorHAnsi" w:hAnsiTheme="minorHAnsi" w:cstheme="minorHAnsi"/>
          <w:b/>
          <w:color w:val="auto"/>
        </w:rPr>
        <w:t>B</w:t>
      </w:r>
      <w:r w:rsidR="00EA4820" w:rsidRPr="00F852C4">
        <w:rPr>
          <w:rFonts w:asciiTheme="minorHAnsi" w:hAnsiTheme="minorHAnsi" w:cstheme="minorHAnsi"/>
          <w:color w:val="auto"/>
        </w:rPr>
        <w:t xml:space="preserve">). The chemotactic </w:t>
      </w:r>
      <w:r w:rsidR="00FF745D" w:rsidRPr="00F852C4">
        <w:rPr>
          <w:rFonts w:asciiTheme="minorHAnsi" w:hAnsiTheme="minorHAnsi" w:cstheme="minorHAnsi"/>
          <w:color w:val="auto"/>
        </w:rPr>
        <w:t>response in</w:t>
      </w:r>
      <w:r w:rsidR="00EA4820" w:rsidRPr="00F852C4">
        <w:rPr>
          <w:rFonts w:asciiTheme="minorHAnsi" w:hAnsiTheme="minorHAnsi" w:cstheme="minorHAnsi"/>
          <w:color w:val="auto"/>
        </w:rPr>
        <w:t xml:space="preserve"> this field experiment was significantly different from the controls (</w:t>
      </w:r>
      <w:r w:rsidR="00EA4820" w:rsidRPr="00F852C4">
        <w:rPr>
          <w:rFonts w:asciiTheme="minorHAnsi" w:hAnsiTheme="minorHAnsi" w:cstheme="minorHAnsi"/>
          <w:i/>
          <w:iCs/>
          <w:color w:val="auto"/>
        </w:rPr>
        <w:t>t</w:t>
      </w:r>
      <w:r w:rsidR="00EA4820" w:rsidRPr="00F852C4">
        <w:rPr>
          <w:rFonts w:asciiTheme="minorHAnsi" w:hAnsiTheme="minorHAnsi" w:cstheme="minorHAnsi"/>
          <w:color w:val="auto"/>
        </w:rPr>
        <w:t>-test,</w:t>
      </w:r>
      <w:r w:rsidR="00D37E38" w:rsidRPr="00D37E38">
        <w:rPr>
          <w:rFonts w:asciiTheme="minorHAnsi" w:hAnsiTheme="minorHAnsi" w:cstheme="minorHAnsi"/>
          <w:i/>
          <w:color w:val="auto"/>
        </w:rPr>
        <w:t xml:space="preserve"> p &lt;</w:t>
      </w:r>
      <w:r w:rsidR="00EA4820" w:rsidRPr="00F852C4">
        <w:rPr>
          <w:rFonts w:asciiTheme="minorHAnsi" w:hAnsiTheme="minorHAnsi" w:cstheme="minorHAnsi"/>
          <w:color w:val="auto"/>
        </w:rPr>
        <w:t xml:space="preserve"> 0.001) and constituted a strong response for coastal seawater</w:t>
      </w:r>
      <w:r w:rsidR="00A418F7" w:rsidRPr="00F852C4">
        <w:rPr>
          <w:rFonts w:asciiTheme="minorHAnsi" w:hAnsiTheme="minorHAnsi" w:cstheme="minorHAnsi"/>
          <w:color w:val="auto"/>
        </w:rPr>
        <w:fldChar w:fldCharType="begin"/>
      </w:r>
      <w:r w:rsidR="00BB094B">
        <w:rPr>
          <w:rFonts w:asciiTheme="minorHAnsi" w:hAnsiTheme="minorHAnsi" w:cstheme="minorHAnsi"/>
          <w:color w:val="auto"/>
        </w:rPr>
        <w:instrText xml:space="preserve"> ADDIN ZOTERO_ITEM CSL_CITATION {"citationID":"pdAAdSVl","properties":{"formattedCitation":"\\super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A418F7" w:rsidRPr="00F852C4">
        <w:rPr>
          <w:rFonts w:asciiTheme="minorHAnsi" w:hAnsiTheme="minorHAnsi" w:cstheme="minorHAnsi"/>
          <w:color w:val="auto"/>
        </w:rPr>
        <w:fldChar w:fldCharType="separate"/>
      </w:r>
      <w:r w:rsidR="00A418F7" w:rsidRPr="00F852C4">
        <w:rPr>
          <w:rFonts w:asciiTheme="minorHAnsi" w:hAnsiTheme="minorHAnsi" w:cstheme="minorHAnsi"/>
          <w:vertAlign w:val="superscript"/>
        </w:rPr>
        <w:t>11</w:t>
      </w:r>
      <w:r w:rsidR="00A418F7" w:rsidRPr="00F852C4">
        <w:rPr>
          <w:rFonts w:asciiTheme="minorHAnsi" w:hAnsiTheme="minorHAnsi" w:cstheme="minorHAnsi"/>
          <w:color w:val="auto"/>
        </w:rPr>
        <w:fldChar w:fldCharType="end"/>
      </w:r>
      <w:r w:rsidR="00EA4820" w:rsidRPr="00F852C4">
        <w:rPr>
          <w:rFonts w:asciiTheme="minorHAnsi" w:hAnsiTheme="minorHAnsi" w:cstheme="minorHAnsi"/>
          <w:color w:val="auto"/>
        </w:rPr>
        <w:t xml:space="preserve">. </w:t>
      </w:r>
    </w:p>
    <w:p w14:paraId="1A92B571" w14:textId="2310F302" w:rsidR="001C4E12" w:rsidRDefault="001C4E12" w:rsidP="00344E04">
      <w:pPr>
        <w:pStyle w:val="NormalWeb"/>
        <w:spacing w:before="0" w:beforeAutospacing="0" w:after="0" w:afterAutospacing="0"/>
        <w:rPr>
          <w:rFonts w:asciiTheme="minorHAnsi" w:hAnsiTheme="minorHAnsi" w:cstheme="minorHAnsi"/>
          <w:color w:val="auto"/>
        </w:rPr>
      </w:pPr>
    </w:p>
    <w:p w14:paraId="5C474973" w14:textId="3431078D" w:rsidR="001E2097" w:rsidRDefault="001E2097" w:rsidP="00344E04">
      <w:pPr>
        <w:pStyle w:val="NormalWeb"/>
        <w:spacing w:before="0" w:beforeAutospacing="0" w:after="0" w:afterAutospacing="0"/>
        <w:rPr>
          <w:rFonts w:asciiTheme="minorHAnsi" w:hAnsiTheme="minorHAnsi" w:cstheme="minorHAnsi"/>
          <w:b/>
          <w:bCs/>
          <w:color w:val="auto"/>
        </w:rPr>
      </w:pPr>
      <w:r w:rsidRPr="001E2097">
        <w:rPr>
          <w:rFonts w:asciiTheme="minorHAnsi" w:hAnsiTheme="minorHAnsi" w:cstheme="minorHAnsi"/>
          <w:b/>
          <w:bCs/>
          <w:color w:val="auto"/>
        </w:rPr>
        <w:t xml:space="preserve">FIGURE </w:t>
      </w:r>
      <w:r w:rsidR="00146D73">
        <w:rPr>
          <w:rFonts w:asciiTheme="minorHAnsi" w:hAnsiTheme="minorHAnsi" w:cstheme="minorHAnsi"/>
          <w:b/>
          <w:bCs/>
          <w:color w:val="auto"/>
        </w:rPr>
        <w:t xml:space="preserve">AND TABLE </w:t>
      </w:r>
      <w:r w:rsidRPr="001E2097">
        <w:rPr>
          <w:rFonts w:asciiTheme="minorHAnsi" w:hAnsiTheme="minorHAnsi" w:cstheme="minorHAnsi"/>
          <w:b/>
          <w:bCs/>
          <w:color w:val="auto"/>
        </w:rPr>
        <w:t>LEGENDS:</w:t>
      </w:r>
    </w:p>
    <w:p w14:paraId="378AD8F2" w14:textId="77777777" w:rsidR="002B0374" w:rsidRPr="001E2097" w:rsidRDefault="002B0374" w:rsidP="00344E04">
      <w:pPr>
        <w:pStyle w:val="NormalWeb"/>
        <w:spacing w:before="0" w:beforeAutospacing="0" w:after="0" w:afterAutospacing="0"/>
        <w:rPr>
          <w:rFonts w:asciiTheme="minorHAnsi" w:hAnsiTheme="minorHAnsi" w:cstheme="minorHAnsi"/>
          <w:b/>
          <w:bCs/>
          <w:color w:val="auto"/>
        </w:rPr>
      </w:pPr>
    </w:p>
    <w:p w14:paraId="1579CD6A" w14:textId="74B26434" w:rsidR="001C4E12" w:rsidRPr="00F852C4" w:rsidRDefault="00D37E38" w:rsidP="00344E04">
      <w:pPr>
        <w:pStyle w:val="NormalWeb"/>
        <w:spacing w:before="0" w:beforeAutospacing="0" w:after="0" w:afterAutospacing="0"/>
        <w:rPr>
          <w:rFonts w:asciiTheme="minorHAnsi" w:hAnsiTheme="minorHAnsi" w:cstheme="minorHAnsi"/>
          <w:color w:val="auto"/>
        </w:rPr>
      </w:pPr>
      <w:r w:rsidRPr="00D37E38">
        <w:rPr>
          <w:rFonts w:asciiTheme="minorHAnsi" w:hAnsiTheme="minorHAnsi" w:cstheme="minorHAnsi"/>
          <w:b/>
          <w:color w:val="auto"/>
        </w:rPr>
        <w:t>Figure 1</w:t>
      </w:r>
      <w:r w:rsidR="001C4E12" w:rsidRPr="00B172BE">
        <w:rPr>
          <w:rFonts w:asciiTheme="minorHAnsi" w:hAnsiTheme="minorHAnsi" w:cstheme="minorHAnsi"/>
          <w:b/>
          <w:color w:val="auto"/>
        </w:rPr>
        <w:t xml:space="preserve">: Detailed views of the </w:t>
      </w:r>
      <w:proofErr w:type="gramStart"/>
      <w:r w:rsidR="002B0374">
        <w:rPr>
          <w:rFonts w:asciiTheme="minorHAnsi" w:hAnsiTheme="minorHAnsi" w:cstheme="minorHAnsi"/>
          <w:b/>
          <w:color w:val="auto"/>
        </w:rPr>
        <w:t>i</w:t>
      </w:r>
      <w:r w:rsidR="00B172BE">
        <w:rPr>
          <w:rFonts w:asciiTheme="minorHAnsi" w:hAnsiTheme="minorHAnsi" w:cstheme="minorHAnsi"/>
          <w:b/>
          <w:color w:val="auto"/>
        </w:rPr>
        <w:t xml:space="preserve">n </w:t>
      </w:r>
      <w:r w:rsidR="002B0374">
        <w:rPr>
          <w:rFonts w:asciiTheme="minorHAnsi" w:hAnsiTheme="minorHAnsi" w:cstheme="minorHAnsi"/>
          <w:b/>
          <w:color w:val="auto"/>
        </w:rPr>
        <w:t>s</w:t>
      </w:r>
      <w:r w:rsidR="00B172BE">
        <w:rPr>
          <w:rFonts w:asciiTheme="minorHAnsi" w:hAnsiTheme="minorHAnsi" w:cstheme="minorHAnsi"/>
          <w:b/>
          <w:color w:val="auto"/>
        </w:rPr>
        <w:t>itu</w:t>
      </w:r>
      <w:proofErr w:type="gramEnd"/>
      <w:r w:rsidR="00B172BE">
        <w:rPr>
          <w:rFonts w:asciiTheme="minorHAnsi" w:hAnsiTheme="minorHAnsi" w:cstheme="minorHAnsi"/>
          <w:b/>
          <w:color w:val="auto"/>
        </w:rPr>
        <w:t xml:space="preserve"> </w:t>
      </w:r>
      <w:r w:rsidR="002B0374">
        <w:rPr>
          <w:rFonts w:asciiTheme="minorHAnsi" w:hAnsiTheme="minorHAnsi" w:cstheme="minorHAnsi"/>
          <w:b/>
          <w:color w:val="auto"/>
        </w:rPr>
        <w:t>c</w:t>
      </w:r>
      <w:r w:rsidR="00B172BE">
        <w:rPr>
          <w:rFonts w:asciiTheme="minorHAnsi" w:hAnsiTheme="minorHAnsi" w:cstheme="minorHAnsi"/>
          <w:b/>
          <w:color w:val="auto"/>
        </w:rPr>
        <w:t xml:space="preserve">hemotaxis </w:t>
      </w:r>
      <w:r w:rsidR="002B0374">
        <w:rPr>
          <w:rFonts w:asciiTheme="minorHAnsi" w:hAnsiTheme="minorHAnsi" w:cstheme="minorHAnsi"/>
          <w:b/>
          <w:color w:val="auto"/>
        </w:rPr>
        <w:t>a</w:t>
      </w:r>
      <w:r w:rsidR="00B172BE">
        <w:rPr>
          <w:rFonts w:asciiTheme="minorHAnsi" w:hAnsiTheme="minorHAnsi" w:cstheme="minorHAnsi"/>
          <w:b/>
          <w:color w:val="auto"/>
        </w:rPr>
        <w:t>ssay (</w:t>
      </w:r>
      <w:r w:rsidR="001C4E12" w:rsidRPr="00B172BE">
        <w:rPr>
          <w:rFonts w:asciiTheme="minorHAnsi" w:hAnsiTheme="minorHAnsi" w:cstheme="minorHAnsi"/>
          <w:b/>
          <w:color w:val="auto"/>
        </w:rPr>
        <w:t>ISCA</w:t>
      </w:r>
      <w:r w:rsidR="00B172BE">
        <w:rPr>
          <w:rFonts w:asciiTheme="minorHAnsi" w:hAnsiTheme="minorHAnsi" w:cstheme="minorHAnsi"/>
          <w:b/>
          <w:color w:val="auto"/>
        </w:rPr>
        <w:t>)</w:t>
      </w:r>
      <w:r w:rsidR="001C4E12" w:rsidRPr="00B172BE">
        <w:rPr>
          <w:rFonts w:asciiTheme="minorHAnsi" w:hAnsiTheme="minorHAnsi" w:cstheme="minorHAnsi"/>
          <w:b/>
          <w:color w:val="auto"/>
        </w:rPr>
        <w:t>.</w:t>
      </w:r>
      <w:r w:rsidR="002B0374">
        <w:rPr>
          <w:rFonts w:asciiTheme="minorHAnsi" w:hAnsiTheme="minorHAnsi" w:cstheme="minorHAnsi"/>
          <w:b/>
          <w:color w:val="auto"/>
        </w:rPr>
        <w:t xml:space="preserve"> (</w:t>
      </w:r>
      <w:r w:rsidR="001C4E12" w:rsidRPr="001C4E12">
        <w:rPr>
          <w:rFonts w:asciiTheme="minorHAnsi" w:hAnsiTheme="minorHAnsi" w:cstheme="minorHAnsi"/>
          <w:b/>
          <w:color w:val="auto"/>
        </w:rPr>
        <w:t>A</w:t>
      </w:r>
      <w:r w:rsidR="002B0374">
        <w:rPr>
          <w:rFonts w:asciiTheme="minorHAnsi" w:hAnsiTheme="minorHAnsi" w:cstheme="minorHAnsi"/>
          <w:color w:val="auto"/>
        </w:rPr>
        <w:t>)</w:t>
      </w:r>
      <w:r w:rsidR="001C4E12">
        <w:rPr>
          <w:rFonts w:asciiTheme="minorHAnsi" w:hAnsiTheme="minorHAnsi" w:cstheme="minorHAnsi"/>
          <w:color w:val="auto"/>
        </w:rPr>
        <w:t xml:space="preserve"> </w:t>
      </w:r>
      <w:r w:rsidR="00B172BE">
        <w:rPr>
          <w:rFonts w:asciiTheme="minorHAnsi" w:hAnsiTheme="minorHAnsi" w:cstheme="minorHAnsi"/>
          <w:color w:val="auto"/>
        </w:rPr>
        <w:t xml:space="preserve">The latest </w:t>
      </w:r>
      <w:proofErr w:type="gramStart"/>
      <w:r w:rsidR="00B172BE" w:rsidRPr="00B172BE">
        <w:rPr>
          <w:rFonts w:asciiTheme="minorHAnsi" w:hAnsiTheme="minorHAnsi" w:cstheme="minorHAnsi"/>
          <w:color w:val="auto"/>
        </w:rPr>
        <w:t>injection-molded</w:t>
      </w:r>
      <w:proofErr w:type="gramEnd"/>
      <w:r w:rsidR="00B172BE" w:rsidRPr="00B172BE">
        <w:rPr>
          <w:rFonts w:asciiTheme="minorHAnsi" w:hAnsiTheme="minorHAnsi" w:cstheme="minorHAnsi"/>
          <w:color w:val="auto"/>
        </w:rPr>
        <w:t xml:space="preserve"> </w:t>
      </w:r>
      <w:r w:rsidR="001C4E12">
        <w:rPr>
          <w:rFonts w:asciiTheme="minorHAnsi" w:hAnsiTheme="minorHAnsi" w:cstheme="minorHAnsi"/>
          <w:color w:val="auto"/>
        </w:rPr>
        <w:t>ISCA.</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B</w:t>
      </w:r>
      <w:r w:rsidR="002B0374">
        <w:rPr>
          <w:rFonts w:asciiTheme="minorHAnsi" w:hAnsiTheme="minorHAnsi" w:cstheme="minorHAnsi"/>
          <w:color w:val="auto"/>
        </w:rPr>
        <w:t xml:space="preserve">) </w:t>
      </w:r>
      <w:r w:rsidR="00B172BE">
        <w:rPr>
          <w:rFonts w:asciiTheme="minorHAnsi" w:hAnsiTheme="minorHAnsi" w:cstheme="minorHAnsi"/>
          <w:color w:val="auto"/>
        </w:rPr>
        <w:t>Schematic</w:t>
      </w:r>
      <w:r w:rsidR="00CD199F">
        <w:rPr>
          <w:rFonts w:asciiTheme="minorHAnsi" w:hAnsiTheme="minorHAnsi" w:cstheme="minorHAnsi"/>
          <w:color w:val="auto"/>
        </w:rPr>
        <w:t xml:space="preserve"> of an ISCA well.</w:t>
      </w:r>
      <w:r w:rsidR="00D26888">
        <w:rPr>
          <w:rFonts w:asciiTheme="minorHAnsi" w:hAnsiTheme="minorHAnsi" w:cstheme="minorHAnsi"/>
          <w:color w:val="auto"/>
        </w:rPr>
        <w:t xml:space="preserve"> Scale bar</w:t>
      </w:r>
      <w:r w:rsidR="00146D73">
        <w:rPr>
          <w:rFonts w:asciiTheme="minorHAnsi" w:hAnsiTheme="minorHAnsi" w:cstheme="minorHAnsi"/>
          <w:color w:val="auto"/>
        </w:rPr>
        <w:t xml:space="preserve"> =</w:t>
      </w:r>
      <w:r w:rsidR="00D26888">
        <w:rPr>
          <w:rFonts w:asciiTheme="minorHAnsi" w:hAnsiTheme="minorHAnsi" w:cstheme="minorHAnsi"/>
          <w:color w:val="auto"/>
        </w:rPr>
        <w:t xml:space="preserve"> 7.463 mm.</w:t>
      </w:r>
    </w:p>
    <w:p w14:paraId="0939EB94" w14:textId="02F10B3F" w:rsidR="00EA4820" w:rsidRPr="00F852C4" w:rsidRDefault="00EA4820" w:rsidP="00344E04">
      <w:pPr>
        <w:rPr>
          <w:rFonts w:asciiTheme="minorHAnsi" w:hAnsiTheme="minorHAnsi" w:cstheme="minorHAnsi"/>
          <w:b/>
          <w:color w:val="auto"/>
        </w:rPr>
      </w:pPr>
    </w:p>
    <w:p w14:paraId="0F4B000F" w14:textId="3DC43FA1" w:rsidR="00EA4820" w:rsidRPr="00F852C4" w:rsidRDefault="00D37E38" w:rsidP="00344E04">
      <w:pPr>
        <w:rPr>
          <w:rFonts w:asciiTheme="minorHAnsi" w:hAnsiTheme="minorHAnsi" w:cstheme="minorHAnsi"/>
          <w:color w:val="auto"/>
        </w:rPr>
      </w:pPr>
      <w:r w:rsidRPr="00D37E38">
        <w:rPr>
          <w:rFonts w:asciiTheme="minorHAnsi" w:hAnsiTheme="minorHAnsi" w:cstheme="minorHAnsi"/>
          <w:b/>
          <w:color w:val="auto"/>
        </w:rPr>
        <w:t>Figure 2</w:t>
      </w:r>
      <w:r w:rsidR="00EA4820" w:rsidRPr="00F852C4">
        <w:rPr>
          <w:rFonts w:asciiTheme="minorHAnsi" w:hAnsiTheme="minorHAnsi" w:cstheme="minorHAnsi"/>
          <w:b/>
          <w:color w:val="auto"/>
        </w:rPr>
        <w:t>: Assembly of the flow-damping enclosure</w:t>
      </w:r>
      <w:r w:rsidR="00B172BE">
        <w:rPr>
          <w:rFonts w:asciiTheme="minorHAnsi" w:hAnsiTheme="minorHAnsi" w:cstheme="minorHAnsi"/>
          <w:b/>
          <w:color w:val="auto"/>
        </w:rPr>
        <w:t>.</w:t>
      </w:r>
      <w:r w:rsidR="002B0374">
        <w:rPr>
          <w:rFonts w:asciiTheme="minorHAnsi" w:hAnsiTheme="minorHAnsi" w:cstheme="minorHAnsi"/>
          <w:b/>
          <w:color w:val="auto"/>
        </w:rPr>
        <w:t xml:space="preserve"> (</w:t>
      </w:r>
      <w:r w:rsidR="00EA4820" w:rsidRPr="00F852C4">
        <w:rPr>
          <w:rFonts w:asciiTheme="minorHAnsi" w:hAnsiTheme="minorHAnsi" w:cstheme="minorHAnsi"/>
          <w:b/>
          <w:color w:val="auto"/>
        </w:rPr>
        <w:t>A</w:t>
      </w:r>
      <w:r w:rsidR="002B0374">
        <w:rPr>
          <w:rFonts w:asciiTheme="minorHAnsi" w:hAnsiTheme="minorHAnsi" w:cstheme="minorHAnsi"/>
          <w:b/>
          <w:color w:val="auto"/>
        </w:rPr>
        <w:t>)</w:t>
      </w:r>
      <w:r w:rsidR="00EA4820" w:rsidRPr="00F852C4">
        <w:rPr>
          <w:rFonts w:asciiTheme="minorHAnsi" w:hAnsiTheme="minorHAnsi" w:cstheme="minorHAnsi"/>
          <w:color w:val="auto"/>
        </w:rPr>
        <w:t xml:space="preserve"> </w:t>
      </w:r>
      <w:r w:rsidR="00C26043" w:rsidRPr="00F852C4">
        <w:rPr>
          <w:rFonts w:asciiTheme="minorHAnsi" w:hAnsiTheme="minorHAnsi" w:cstheme="minorHAnsi"/>
          <w:color w:val="auto"/>
        </w:rPr>
        <w:t>The</w:t>
      </w:r>
      <w:r w:rsidR="00EA4820" w:rsidRPr="00F852C4">
        <w:rPr>
          <w:rFonts w:asciiTheme="minorHAnsi" w:hAnsiTheme="minorHAnsi" w:cstheme="minorHAnsi"/>
          <w:color w:val="auto"/>
        </w:rPr>
        <w:t xml:space="preserve"> pieces </w:t>
      </w:r>
      <w:r w:rsidR="00C26043" w:rsidRPr="00F852C4">
        <w:rPr>
          <w:rFonts w:asciiTheme="minorHAnsi" w:hAnsiTheme="minorHAnsi" w:cstheme="minorHAnsi"/>
          <w:color w:val="auto"/>
        </w:rPr>
        <w:t xml:space="preserve">required </w:t>
      </w:r>
      <w:r w:rsidR="005D44E8">
        <w:rPr>
          <w:rFonts w:asciiTheme="minorHAnsi" w:hAnsiTheme="minorHAnsi" w:cstheme="minorHAnsi"/>
          <w:color w:val="auto"/>
        </w:rPr>
        <w:t>for</w:t>
      </w:r>
      <w:r w:rsidR="00EA4820" w:rsidRPr="00F852C4">
        <w:rPr>
          <w:rFonts w:asciiTheme="minorHAnsi" w:hAnsiTheme="minorHAnsi" w:cstheme="minorHAnsi"/>
          <w:color w:val="auto"/>
        </w:rPr>
        <w:t xml:space="preserve"> assembl</w:t>
      </w:r>
      <w:r w:rsidR="005D44E8">
        <w:rPr>
          <w:rFonts w:asciiTheme="minorHAnsi" w:hAnsiTheme="minorHAnsi" w:cstheme="minorHAnsi"/>
          <w:color w:val="auto"/>
        </w:rPr>
        <w:t>y of</w:t>
      </w:r>
      <w:r w:rsidR="00EA4820" w:rsidRPr="00F852C4">
        <w:rPr>
          <w:rFonts w:asciiTheme="minorHAnsi" w:hAnsiTheme="minorHAnsi" w:cstheme="minorHAnsi"/>
          <w:color w:val="auto"/>
        </w:rPr>
        <w:t xml:space="preserve"> the deployment enclosure. </w:t>
      </w:r>
      <w:r w:rsidR="005132F8">
        <w:rPr>
          <w:rFonts w:asciiTheme="minorHAnsi" w:hAnsiTheme="minorHAnsi" w:cstheme="minorHAnsi"/>
          <w:color w:val="auto"/>
        </w:rPr>
        <w:t>During fabrication</w:t>
      </w:r>
      <w:r w:rsidR="00146D73">
        <w:rPr>
          <w:rFonts w:asciiTheme="minorHAnsi" w:hAnsiTheme="minorHAnsi" w:cstheme="minorHAnsi"/>
          <w:color w:val="auto"/>
        </w:rPr>
        <w:t>,</w:t>
      </w:r>
      <w:r w:rsidR="005132F8">
        <w:rPr>
          <w:rFonts w:asciiTheme="minorHAnsi" w:hAnsiTheme="minorHAnsi" w:cstheme="minorHAnsi"/>
          <w:color w:val="auto"/>
        </w:rPr>
        <w:t xml:space="preserve"> </w:t>
      </w:r>
      <w:r w:rsidR="00EA4820" w:rsidRPr="00F852C4">
        <w:rPr>
          <w:rFonts w:asciiTheme="minorHAnsi" w:hAnsiTheme="minorHAnsi" w:cstheme="minorHAnsi"/>
          <w:color w:val="auto"/>
        </w:rPr>
        <w:t xml:space="preserve">edges </w:t>
      </w:r>
      <w:r w:rsidR="00146D73">
        <w:rPr>
          <w:rFonts w:asciiTheme="minorHAnsi" w:hAnsiTheme="minorHAnsi" w:cstheme="minorHAnsi"/>
          <w:color w:val="auto"/>
        </w:rPr>
        <w:t>should be</w:t>
      </w:r>
      <w:r w:rsidR="00EA4820" w:rsidRPr="00F852C4">
        <w:rPr>
          <w:rFonts w:asciiTheme="minorHAnsi" w:hAnsiTheme="minorHAnsi" w:cstheme="minorHAnsi"/>
          <w:color w:val="auto"/>
        </w:rPr>
        <w:t xml:space="preserve"> smooth.</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B</w:t>
      </w:r>
      <w:r w:rsidR="002B0374">
        <w:rPr>
          <w:rFonts w:asciiTheme="minorHAnsi" w:hAnsiTheme="minorHAnsi" w:cstheme="minorHAnsi"/>
          <w:color w:val="auto"/>
        </w:rPr>
        <w:t xml:space="preserve">) </w:t>
      </w:r>
      <w:r w:rsidR="00EA4820" w:rsidRPr="00F852C4">
        <w:rPr>
          <w:rFonts w:asciiTheme="minorHAnsi" w:hAnsiTheme="minorHAnsi" w:cstheme="minorHAnsi"/>
          <w:color w:val="auto"/>
        </w:rPr>
        <w:t>Place pieces 2a, 2b, 3a</w:t>
      </w:r>
      <w:r w:rsidR="00146D73">
        <w:rPr>
          <w:rFonts w:asciiTheme="minorHAnsi" w:hAnsiTheme="minorHAnsi" w:cstheme="minorHAnsi"/>
          <w:color w:val="auto"/>
        </w:rPr>
        <w:t>,</w:t>
      </w:r>
      <w:r w:rsidR="00EA4820" w:rsidRPr="00F852C4">
        <w:rPr>
          <w:rFonts w:asciiTheme="minorHAnsi" w:hAnsiTheme="minorHAnsi" w:cstheme="minorHAnsi"/>
          <w:color w:val="auto"/>
        </w:rPr>
        <w:t xml:space="preserve"> and 3b around piece 1 (</w:t>
      </w:r>
      <w:r w:rsidR="00240A21" w:rsidRPr="00F852C4">
        <w:rPr>
          <w:rFonts w:asciiTheme="minorHAnsi" w:hAnsiTheme="minorHAnsi" w:cstheme="minorHAnsi"/>
          <w:color w:val="auto"/>
        </w:rPr>
        <w:t>lower surface</w:t>
      </w:r>
      <w:r w:rsidR="00EA4820" w:rsidRPr="00F852C4">
        <w:rPr>
          <w:rFonts w:asciiTheme="minorHAnsi" w:hAnsiTheme="minorHAnsi" w:cstheme="minorHAnsi"/>
          <w:color w:val="auto"/>
        </w:rPr>
        <w:t>).</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C</w:t>
      </w:r>
      <w:r w:rsidR="002B0374">
        <w:rPr>
          <w:rFonts w:asciiTheme="minorHAnsi" w:hAnsiTheme="minorHAnsi" w:cstheme="minorHAnsi"/>
          <w:color w:val="auto"/>
        </w:rPr>
        <w:t xml:space="preserve">) </w:t>
      </w:r>
      <w:r w:rsidR="00C56A2C" w:rsidRPr="00F852C4">
        <w:rPr>
          <w:rFonts w:asciiTheme="minorHAnsi" w:hAnsiTheme="minorHAnsi" w:cstheme="minorHAnsi"/>
          <w:color w:val="auto"/>
        </w:rPr>
        <w:t>A</w:t>
      </w:r>
      <w:r w:rsidR="00EA4820" w:rsidRPr="00F852C4">
        <w:rPr>
          <w:rFonts w:asciiTheme="minorHAnsi" w:hAnsiTheme="minorHAnsi" w:cstheme="minorHAnsi"/>
          <w:color w:val="auto"/>
        </w:rPr>
        <w:t>ssembl</w:t>
      </w:r>
      <w:r w:rsidR="0094307F" w:rsidRPr="00F852C4">
        <w:rPr>
          <w:rFonts w:asciiTheme="minorHAnsi" w:hAnsiTheme="minorHAnsi" w:cstheme="minorHAnsi"/>
          <w:color w:val="auto"/>
        </w:rPr>
        <w:t>e</w:t>
      </w:r>
      <w:r w:rsidR="00EA4820" w:rsidRPr="00F852C4">
        <w:rPr>
          <w:rFonts w:asciiTheme="minorHAnsi" w:hAnsiTheme="minorHAnsi" w:cstheme="minorHAnsi"/>
          <w:color w:val="auto"/>
        </w:rPr>
        <w:t xml:space="preserve"> the </w:t>
      </w:r>
      <w:r w:rsidR="0094307F" w:rsidRPr="00F852C4">
        <w:rPr>
          <w:rFonts w:asciiTheme="minorHAnsi" w:hAnsiTheme="minorHAnsi" w:cstheme="minorHAnsi"/>
          <w:color w:val="auto"/>
        </w:rPr>
        <w:t xml:space="preserve">lower </w:t>
      </w:r>
      <w:r w:rsidR="00EA4820" w:rsidRPr="00F852C4">
        <w:rPr>
          <w:rFonts w:asciiTheme="minorHAnsi" w:hAnsiTheme="minorHAnsi" w:cstheme="minorHAnsi"/>
          <w:color w:val="auto"/>
        </w:rPr>
        <w:t xml:space="preserve">part of the enclosure by putting a </w:t>
      </w:r>
      <w:r w:rsidR="00240A21" w:rsidRPr="00F852C4">
        <w:rPr>
          <w:rFonts w:asciiTheme="minorHAnsi" w:hAnsiTheme="minorHAnsi" w:cstheme="minorHAnsi"/>
          <w:color w:val="auto"/>
        </w:rPr>
        <w:t xml:space="preserve">thin </w:t>
      </w:r>
      <w:r w:rsidR="00EA4820" w:rsidRPr="00F852C4">
        <w:rPr>
          <w:rFonts w:asciiTheme="minorHAnsi" w:hAnsiTheme="minorHAnsi" w:cstheme="minorHAnsi"/>
          <w:color w:val="auto"/>
        </w:rPr>
        <w:t xml:space="preserve">layer of acrylic glue </w:t>
      </w:r>
      <w:r w:rsidR="00240A21" w:rsidRPr="00F852C4">
        <w:rPr>
          <w:rFonts w:asciiTheme="minorHAnsi" w:hAnsiTheme="minorHAnsi" w:cstheme="minorHAnsi"/>
          <w:color w:val="auto"/>
        </w:rPr>
        <w:t xml:space="preserve">around </w:t>
      </w:r>
      <w:r w:rsidR="00EA4820" w:rsidRPr="00F852C4">
        <w:rPr>
          <w:rFonts w:asciiTheme="minorHAnsi" w:hAnsiTheme="minorHAnsi" w:cstheme="minorHAnsi"/>
          <w:color w:val="auto"/>
        </w:rPr>
        <w:t xml:space="preserve">the </w:t>
      </w:r>
      <w:r w:rsidR="00685E4B">
        <w:rPr>
          <w:rFonts w:asciiTheme="minorHAnsi" w:hAnsiTheme="minorHAnsi" w:cstheme="minorHAnsi"/>
          <w:color w:val="auto"/>
        </w:rPr>
        <w:t xml:space="preserve">first </w:t>
      </w:r>
      <w:r w:rsidR="00EA4820" w:rsidRPr="00F852C4">
        <w:rPr>
          <w:rFonts w:asciiTheme="minorHAnsi" w:hAnsiTheme="minorHAnsi" w:cstheme="minorHAnsi"/>
          <w:color w:val="auto"/>
        </w:rPr>
        <w:t xml:space="preserve">edge of the </w:t>
      </w:r>
      <w:r w:rsidR="0094307F" w:rsidRPr="00F852C4">
        <w:rPr>
          <w:rFonts w:asciiTheme="minorHAnsi" w:hAnsiTheme="minorHAnsi" w:cstheme="minorHAnsi"/>
          <w:color w:val="auto"/>
        </w:rPr>
        <w:t>lower surface</w:t>
      </w:r>
      <w:r w:rsidR="00240A21" w:rsidRPr="00F852C4">
        <w:rPr>
          <w:rFonts w:asciiTheme="minorHAnsi" w:hAnsiTheme="minorHAnsi" w:cstheme="minorHAnsi"/>
          <w:color w:val="auto"/>
        </w:rPr>
        <w:t xml:space="preserve"> (1)</w:t>
      </w:r>
      <w:r w:rsidR="00EA4820" w:rsidRPr="00F852C4">
        <w:rPr>
          <w:rFonts w:asciiTheme="minorHAnsi" w:hAnsiTheme="minorHAnsi" w:cstheme="minorHAnsi"/>
          <w:color w:val="auto"/>
        </w:rPr>
        <w:t>.</w:t>
      </w:r>
      <w:r w:rsidR="002B0374">
        <w:rPr>
          <w:rFonts w:asciiTheme="minorHAnsi" w:hAnsiTheme="minorHAnsi" w:cstheme="minorHAnsi"/>
          <w:b/>
          <w:color w:val="auto"/>
        </w:rPr>
        <w:t xml:space="preserve"> (D) </w:t>
      </w:r>
      <w:r w:rsidR="00EA4820" w:rsidRPr="00F852C4">
        <w:rPr>
          <w:rFonts w:asciiTheme="minorHAnsi" w:hAnsiTheme="minorHAnsi" w:cstheme="minorHAnsi"/>
          <w:color w:val="auto"/>
        </w:rPr>
        <w:t>Place the first long</w:t>
      </w:r>
      <w:r w:rsidR="00685E4B">
        <w:rPr>
          <w:rFonts w:asciiTheme="minorHAnsi" w:hAnsiTheme="minorHAnsi" w:cstheme="minorHAnsi"/>
          <w:color w:val="auto"/>
        </w:rPr>
        <w:t>er</w:t>
      </w:r>
      <w:r w:rsidR="00EA4820" w:rsidRPr="00F852C4">
        <w:rPr>
          <w:rFonts w:asciiTheme="minorHAnsi" w:hAnsiTheme="minorHAnsi" w:cstheme="minorHAnsi"/>
          <w:color w:val="auto"/>
        </w:rPr>
        <w:t xml:space="preserve"> </w:t>
      </w:r>
      <w:r w:rsidR="00685E4B">
        <w:rPr>
          <w:rFonts w:asciiTheme="minorHAnsi" w:hAnsiTheme="minorHAnsi" w:cstheme="minorHAnsi"/>
          <w:color w:val="auto"/>
        </w:rPr>
        <w:t xml:space="preserve">sidewall </w:t>
      </w:r>
      <w:r w:rsidR="00EA4820" w:rsidRPr="00F852C4">
        <w:rPr>
          <w:rFonts w:asciiTheme="minorHAnsi" w:hAnsiTheme="minorHAnsi" w:cstheme="minorHAnsi"/>
          <w:color w:val="auto"/>
        </w:rPr>
        <w:t xml:space="preserve">piece (2a) </w:t>
      </w:r>
      <w:r w:rsidR="00240A21" w:rsidRPr="00F852C4">
        <w:rPr>
          <w:rFonts w:asciiTheme="minorHAnsi" w:hAnsiTheme="minorHAnsi" w:cstheme="minorHAnsi"/>
          <w:color w:val="auto"/>
        </w:rPr>
        <w:t xml:space="preserve">vertically </w:t>
      </w:r>
      <w:r w:rsidR="00EA4820" w:rsidRPr="00F852C4">
        <w:rPr>
          <w:rFonts w:asciiTheme="minorHAnsi" w:hAnsiTheme="minorHAnsi" w:cstheme="minorHAnsi"/>
          <w:color w:val="auto"/>
        </w:rPr>
        <w:t>on</w:t>
      </w:r>
      <w:r w:rsidR="00240A21" w:rsidRPr="00F852C4">
        <w:rPr>
          <w:rFonts w:asciiTheme="minorHAnsi" w:hAnsiTheme="minorHAnsi" w:cstheme="minorHAnsi"/>
          <w:color w:val="auto"/>
        </w:rPr>
        <w:t>to</w:t>
      </w:r>
      <w:r w:rsidR="00EA4820" w:rsidRPr="00F852C4">
        <w:rPr>
          <w:rFonts w:asciiTheme="minorHAnsi" w:hAnsiTheme="minorHAnsi" w:cstheme="minorHAnsi"/>
          <w:color w:val="auto"/>
        </w:rPr>
        <w:t xml:space="preserve"> the glue and hold it in place. The glue </w:t>
      </w:r>
      <w:r w:rsidR="00146D73">
        <w:rPr>
          <w:rFonts w:asciiTheme="minorHAnsi" w:hAnsiTheme="minorHAnsi" w:cstheme="minorHAnsi"/>
          <w:color w:val="auto"/>
        </w:rPr>
        <w:t>requires</w:t>
      </w:r>
      <w:r w:rsidR="00EA4820" w:rsidRPr="00F852C4">
        <w:rPr>
          <w:rFonts w:asciiTheme="minorHAnsi" w:hAnsiTheme="minorHAnsi" w:cstheme="minorHAnsi"/>
          <w:color w:val="auto"/>
        </w:rPr>
        <w:t xml:space="preserve"> </w:t>
      </w:r>
      <w:r w:rsidR="00146D73">
        <w:rPr>
          <w:rFonts w:asciiTheme="minorHAnsi" w:hAnsiTheme="minorHAnsi" w:cstheme="minorHAnsi"/>
          <w:color w:val="auto"/>
        </w:rPr>
        <w:t>~</w:t>
      </w:r>
      <w:r w:rsidR="00EA4820" w:rsidRPr="00F852C4">
        <w:rPr>
          <w:rFonts w:asciiTheme="minorHAnsi" w:hAnsiTheme="minorHAnsi" w:cstheme="minorHAnsi"/>
          <w:color w:val="auto"/>
        </w:rPr>
        <w:t xml:space="preserve">1 min to </w:t>
      </w:r>
      <w:r w:rsidR="00685E4B">
        <w:rPr>
          <w:rFonts w:asciiTheme="minorHAnsi" w:hAnsiTheme="minorHAnsi" w:cstheme="minorHAnsi"/>
          <w:color w:val="auto"/>
        </w:rPr>
        <w:t>solidify</w:t>
      </w:r>
      <w:r w:rsidR="00D50F86" w:rsidRPr="00F852C4">
        <w:rPr>
          <w:rFonts w:asciiTheme="minorHAnsi" w:hAnsiTheme="minorHAnsi" w:cstheme="minorHAnsi"/>
          <w:color w:val="auto"/>
        </w:rPr>
        <w:t xml:space="preserve"> and </w:t>
      </w:r>
      <w:r w:rsidR="00685E4B">
        <w:rPr>
          <w:rFonts w:asciiTheme="minorHAnsi" w:hAnsiTheme="minorHAnsi" w:cstheme="minorHAnsi"/>
          <w:color w:val="auto"/>
        </w:rPr>
        <w:t>allows</w:t>
      </w:r>
      <w:r w:rsidR="00D50F86" w:rsidRPr="00F852C4">
        <w:rPr>
          <w:rFonts w:asciiTheme="minorHAnsi" w:hAnsiTheme="minorHAnsi" w:cstheme="minorHAnsi"/>
          <w:color w:val="auto"/>
        </w:rPr>
        <w:t xml:space="preserve"> piece</w:t>
      </w:r>
      <w:r w:rsidR="009C7187" w:rsidRPr="00F852C4">
        <w:rPr>
          <w:rFonts w:asciiTheme="minorHAnsi" w:hAnsiTheme="minorHAnsi" w:cstheme="minorHAnsi"/>
          <w:color w:val="auto"/>
        </w:rPr>
        <w:t xml:space="preserve"> 2a</w:t>
      </w:r>
      <w:r w:rsidR="00D50F86" w:rsidRPr="00F852C4">
        <w:rPr>
          <w:rFonts w:asciiTheme="minorHAnsi" w:hAnsiTheme="minorHAnsi" w:cstheme="minorHAnsi"/>
          <w:color w:val="auto"/>
        </w:rPr>
        <w:t xml:space="preserve"> to </w:t>
      </w:r>
      <w:r w:rsidR="00685E4B">
        <w:rPr>
          <w:rFonts w:asciiTheme="minorHAnsi" w:hAnsiTheme="minorHAnsi" w:cstheme="minorHAnsi"/>
          <w:color w:val="auto"/>
        </w:rPr>
        <w:t>support itself</w:t>
      </w:r>
      <w:r w:rsidR="00D50F86" w:rsidRPr="00F852C4">
        <w:rPr>
          <w:rFonts w:asciiTheme="minorHAnsi" w:hAnsiTheme="minorHAnsi" w:cstheme="minorHAnsi"/>
          <w:color w:val="auto"/>
        </w:rPr>
        <w:t xml:space="preserve"> </w:t>
      </w:r>
      <w:r w:rsidR="00D50F86" w:rsidRPr="00344E04">
        <w:rPr>
          <w:rFonts w:asciiTheme="minorHAnsi" w:hAnsiTheme="minorHAnsi" w:cstheme="minorHAnsi"/>
        </w:rPr>
        <w:t xml:space="preserve">while placing the next </w:t>
      </w:r>
      <w:r w:rsidR="00685E4B" w:rsidRPr="00344E04">
        <w:rPr>
          <w:rFonts w:asciiTheme="minorHAnsi" w:hAnsiTheme="minorHAnsi" w:cstheme="minorHAnsi"/>
        </w:rPr>
        <w:t>element</w:t>
      </w:r>
      <w:r w:rsidR="00EA4820" w:rsidRPr="00F852C4">
        <w:rPr>
          <w:rFonts w:asciiTheme="minorHAnsi" w:hAnsiTheme="minorHAnsi" w:cstheme="minorHAnsi"/>
          <w:color w:val="auto"/>
        </w:rPr>
        <w:t xml:space="preserve">. </w:t>
      </w:r>
      <w:r w:rsidR="00146D73">
        <w:rPr>
          <w:rFonts w:asciiTheme="minorHAnsi" w:hAnsiTheme="minorHAnsi" w:cstheme="minorHAnsi"/>
          <w:color w:val="auto"/>
        </w:rPr>
        <w:t>(</w:t>
      </w:r>
      <w:r w:rsidR="00EA4820" w:rsidRPr="00F852C4">
        <w:rPr>
          <w:rFonts w:asciiTheme="minorHAnsi" w:hAnsiTheme="minorHAnsi" w:cstheme="minorHAnsi"/>
          <w:b/>
          <w:color w:val="auto"/>
        </w:rPr>
        <w:t>E</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w:t>
      </w:r>
      <w:r w:rsidR="00685E4B">
        <w:rPr>
          <w:rFonts w:asciiTheme="minorHAnsi" w:hAnsiTheme="minorHAnsi" w:cstheme="minorHAnsi"/>
          <w:color w:val="auto"/>
        </w:rPr>
        <w:t xml:space="preserve">Apply a thin layer of acrylic glue to the lower surface on a shorter side of piece 1. </w:t>
      </w:r>
      <w:r w:rsidR="00EA4820" w:rsidRPr="00F852C4">
        <w:rPr>
          <w:rFonts w:asciiTheme="minorHAnsi" w:hAnsiTheme="minorHAnsi" w:cstheme="minorHAnsi"/>
          <w:color w:val="auto"/>
        </w:rPr>
        <w:t>Place the short side</w:t>
      </w:r>
      <w:r w:rsidR="00685E4B">
        <w:rPr>
          <w:rFonts w:asciiTheme="minorHAnsi" w:hAnsiTheme="minorHAnsi" w:cstheme="minorHAnsi"/>
          <w:color w:val="auto"/>
        </w:rPr>
        <w:t>wall</w:t>
      </w:r>
      <w:r w:rsidR="00EA4820" w:rsidRPr="00F852C4">
        <w:rPr>
          <w:rFonts w:asciiTheme="minorHAnsi" w:hAnsiTheme="minorHAnsi" w:cstheme="minorHAnsi"/>
          <w:color w:val="auto"/>
        </w:rPr>
        <w:t xml:space="preserve"> piece (3a) on</w:t>
      </w:r>
      <w:r w:rsidR="00240A21" w:rsidRPr="00F852C4">
        <w:rPr>
          <w:rFonts w:asciiTheme="minorHAnsi" w:hAnsiTheme="minorHAnsi" w:cstheme="minorHAnsi"/>
          <w:color w:val="auto"/>
        </w:rPr>
        <w:t>to</w:t>
      </w:r>
      <w:r w:rsidR="00EA4820" w:rsidRPr="00F852C4">
        <w:rPr>
          <w:rFonts w:asciiTheme="minorHAnsi" w:hAnsiTheme="minorHAnsi" w:cstheme="minorHAnsi"/>
          <w:color w:val="auto"/>
        </w:rPr>
        <w:t xml:space="preserve"> the acrylic glue and lock it in</w:t>
      </w:r>
      <w:r w:rsidR="00240A21" w:rsidRPr="00F852C4">
        <w:rPr>
          <w:rFonts w:asciiTheme="minorHAnsi" w:hAnsiTheme="minorHAnsi" w:cstheme="minorHAnsi"/>
          <w:color w:val="auto"/>
        </w:rPr>
        <w:t>to</w:t>
      </w:r>
      <w:r w:rsidR="00EA4820" w:rsidRPr="00F852C4">
        <w:rPr>
          <w:rFonts w:asciiTheme="minorHAnsi" w:hAnsiTheme="minorHAnsi" w:cstheme="minorHAnsi"/>
          <w:color w:val="auto"/>
        </w:rPr>
        <w:t xml:space="preserve"> the </w:t>
      </w:r>
      <w:r w:rsidR="00685E4B">
        <w:rPr>
          <w:rFonts w:asciiTheme="minorHAnsi" w:hAnsiTheme="minorHAnsi" w:cstheme="minorHAnsi"/>
          <w:color w:val="auto"/>
        </w:rPr>
        <w:t>previously placed sidewall</w:t>
      </w:r>
      <w:r w:rsidR="00EA4820" w:rsidRPr="00F852C4">
        <w:rPr>
          <w:rFonts w:asciiTheme="minorHAnsi" w:hAnsiTheme="minorHAnsi" w:cstheme="minorHAnsi"/>
          <w:color w:val="auto"/>
        </w:rPr>
        <w:t xml:space="preserve">. </w:t>
      </w:r>
      <w:r w:rsidR="00240A21" w:rsidRPr="00F852C4">
        <w:rPr>
          <w:rFonts w:asciiTheme="minorHAnsi" w:hAnsiTheme="minorHAnsi" w:cstheme="minorHAnsi"/>
          <w:color w:val="auto"/>
        </w:rPr>
        <w:t>H</w:t>
      </w:r>
      <w:r w:rsidR="00EA4820" w:rsidRPr="00F852C4">
        <w:rPr>
          <w:rFonts w:asciiTheme="minorHAnsi" w:hAnsiTheme="minorHAnsi" w:cstheme="minorHAnsi"/>
          <w:color w:val="auto"/>
        </w:rPr>
        <w:t xml:space="preserve">old the two pieces </w:t>
      </w:r>
      <w:r w:rsidR="002D559E">
        <w:rPr>
          <w:rFonts w:asciiTheme="minorHAnsi" w:hAnsiTheme="minorHAnsi" w:cstheme="minorHAnsi"/>
          <w:color w:val="auto"/>
        </w:rPr>
        <w:t xml:space="preserve">for </w:t>
      </w:r>
      <w:r w:rsidR="00685E4B">
        <w:rPr>
          <w:rFonts w:asciiTheme="minorHAnsi" w:hAnsiTheme="minorHAnsi" w:cstheme="minorHAnsi"/>
          <w:color w:val="auto"/>
        </w:rPr>
        <w:t xml:space="preserve">approximately </w:t>
      </w:r>
      <w:r w:rsidR="002D559E">
        <w:rPr>
          <w:rFonts w:asciiTheme="minorHAnsi" w:hAnsiTheme="minorHAnsi" w:cstheme="minorHAnsi"/>
          <w:color w:val="auto"/>
        </w:rPr>
        <w:t>1 min</w:t>
      </w:r>
      <w:r w:rsidR="00EA4820" w:rsidRPr="00F852C4">
        <w:rPr>
          <w:rFonts w:asciiTheme="minorHAnsi" w:hAnsiTheme="minorHAnsi" w:cstheme="minorHAnsi"/>
          <w:color w:val="auto"/>
        </w:rPr>
        <w:t>.</w:t>
      </w:r>
      <w:r w:rsidR="00EA4820" w:rsidRPr="00F852C4">
        <w:rPr>
          <w:rFonts w:asciiTheme="minorHAnsi" w:hAnsiTheme="minorHAnsi" w:cstheme="minorHAnsi"/>
          <w:b/>
          <w:color w:val="auto"/>
        </w:rPr>
        <w:t xml:space="preserve"> </w:t>
      </w:r>
      <w:r w:rsidR="00146D73">
        <w:rPr>
          <w:rFonts w:asciiTheme="minorHAnsi" w:hAnsiTheme="minorHAnsi" w:cstheme="minorHAnsi"/>
          <w:b/>
          <w:color w:val="auto"/>
        </w:rPr>
        <w:t>(</w:t>
      </w:r>
      <w:r w:rsidR="00EA4820" w:rsidRPr="00F852C4">
        <w:rPr>
          <w:rFonts w:asciiTheme="minorHAnsi" w:hAnsiTheme="minorHAnsi" w:cstheme="minorHAnsi"/>
          <w:b/>
          <w:color w:val="auto"/>
        </w:rPr>
        <w:t>F</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Place the other short side</w:t>
      </w:r>
      <w:r w:rsidR="00685E4B">
        <w:rPr>
          <w:rFonts w:asciiTheme="minorHAnsi" w:hAnsiTheme="minorHAnsi" w:cstheme="minorHAnsi"/>
          <w:color w:val="auto"/>
        </w:rPr>
        <w:t>wall</w:t>
      </w:r>
      <w:r w:rsidR="00EA4820" w:rsidRPr="00F852C4">
        <w:rPr>
          <w:rFonts w:asciiTheme="minorHAnsi" w:hAnsiTheme="minorHAnsi" w:cstheme="minorHAnsi"/>
          <w:color w:val="auto"/>
        </w:rPr>
        <w:t xml:space="preserve"> piece (3b) on</w:t>
      </w:r>
      <w:r w:rsidR="00240A21" w:rsidRPr="00F852C4">
        <w:rPr>
          <w:rFonts w:asciiTheme="minorHAnsi" w:hAnsiTheme="minorHAnsi" w:cstheme="minorHAnsi"/>
          <w:color w:val="auto"/>
        </w:rPr>
        <w:t>to</w:t>
      </w:r>
      <w:r w:rsidR="00EA4820" w:rsidRPr="00F852C4">
        <w:rPr>
          <w:rFonts w:asciiTheme="minorHAnsi" w:hAnsiTheme="minorHAnsi" w:cstheme="minorHAnsi"/>
          <w:color w:val="auto"/>
        </w:rPr>
        <w:t xml:space="preserve"> the opposite side of the </w:t>
      </w:r>
      <w:r w:rsidR="00240A21" w:rsidRPr="00F852C4">
        <w:rPr>
          <w:rFonts w:asciiTheme="minorHAnsi" w:hAnsiTheme="minorHAnsi" w:cstheme="minorHAnsi"/>
          <w:color w:val="auto"/>
        </w:rPr>
        <w:t>lower surface</w:t>
      </w:r>
      <w:r w:rsidR="00EA4820" w:rsidRPr="00F852C4">
        <w:rPr>
          <w:rFonts w:asciiTheme="minorHAnsi" w:hAnsiTheme="minorHAnsi" w:cstheme="minorHAnsi"/>
          <w:color w:val="auto"/>
        </w:rPr>
        <w:t xml:space="preserve"> (1). </w:t>
      </w:r>
      <w:r w:rsidR="00240A21" w:rsidRPr="00F852C4">
        <w:rPr>
          <w:rFonts w:asciiTheme="minorHAnsi" w:hAnsiTheme="minorHAnsi" w:cstheme="minorHAnsi"/>
          <w:color w:val="auto"/>
        </w:rPr>
        <w:t xml:space="preserve">Again, lock </w:t>
      </w:r>
      <w:r w:rsidR="00EA4820" w:rsidRPr="00F852C4">
        <w:rPr>
          <w:rFonts w:asciiTheme="minorHAnsi" w:hAnsiTheme="minorHAnsi" w:cstheme="minorHAnsi"/>
          <w:color w:val="auto"/>
        </w:rPr>
        <w:t>it in</w:t>
      </w:r>
      <w:r w:rsidR="00240A21" w:rsidRPr="00F852C4">
        <w:rPr>
          <w:rFonts w:asciiTheme="minorHAnsi" w:hAnsiTheme="minorHAnsi" w:cstheme="minorHAnsi"/>
          <w:color w:val="auto"/>
        </w:rPr>
        <w:t>to</w:t>
      </w:r>
      <w:r w:rsidR="00EA4820" w:rsidRPr="00F852C4">
        <w:rPr>
          <w:rFonts w:asciiTheme="minorHAnsi" w:hAnsiTheme="minorHAnsi" w:cstheme="minorHAnsi"/>
          <w:color w:val="auto"/>
        </w:rPr>
        <w:t xml:space="preserve"> the connecting piece (2a)</w:t>
      </w:r>
      <w:r w:rsidR="00293C37" w:rsidRPr="00F852C4">
        <w:rPr>
          <w:rFonts w:asciiTheme="minorHAnsi" w:hAnsiTheme="minorHAnsi" w:cstheme="minorHAnsi"/>
          <w:color w:val="auto"/>
        </w:rPr>
        <w:t xml:space="preserve"> and hold </w:t>
      </w:r>
      <w:r w:rsidR="002D559E">
        <w:rPr>
          <w:rFonts w:asciiTheme="minorHAnsi" w:hAnsiTheme="minorHAnsi" w:cstheme="minorHAnsi"/>
          <w:color w:val="auto"/>
        </w:rPr>
        <w:t xml:space="preserve">it for </w:t>
      </w:r>
      <w:r w:rsidR="00685E4B">
        <w:rPr>
          <w:rFonts w:asciiTheme="minorHAnsi" w:hAnsiTheme="minorHAnsi" w:cstheme="minorHAnsi"/>
          <w:color w:val="auto"/>
        </w:rPr>
        <w:t xml:space="preserve">approximately </w:t>
      </w:r>
      <w:r w:rsidR="002D559E">
        <w:rPr>
          <w:rFonts w:asciiTheme="minorHAnsi" w:hAnsiTheme="minorHAnsi" w:cstheme="minorHAnsi"/>
          <w:color w:val="auto"/>
        </w:rPr>
        <w:t>1 min</w:t>
      </w:r>
      <w:r w:rsidR="00EA4820" w:rsidRPr="00F852C4">
        <w:rPr>
          <w:rFonts w:asciiTheme="minorHAnsi" w:hAnsiTheme="minorHAnsi" w:cstheme="minorHAnsi"/>
          <w:color w:val="auto"/>
        </w:rPr>
        <w:t>.</w:t>
      </w:r>
      <w:r w:rsidR="00EA4820" w:rsidRPr="00F852C4">
        <w:rPr>
          <w:rFonts w:asciiTheme="minorHAnsi" w:hAnsiTheme="minorHAnsi" w:cstheme="minorHAnsi"/>
          <w:b/>
          <w:color w:val="auto"/>
        </w:rPr>
        <w:t xml:space="preserve"> </w:t>
      </w:r>
      <w:r w:rsidR="00146D73">
        <w:rPr>
          <w:rFonts w:asciiTheme="minorHAnsi" w:hAnsiTheme="minorHAnsi" w:cstheme="minorHAnsi"/>
          <w:b/>
          <w:color w:val="auto"/>
        </w:rPr>
        <w:t>(</w:t>
      </w:r>
      <w:r w:rsidR="00EA4820" w:rsidRPr="00F852C4">
        <w:rPr>
          <w:rFonts w:asciiTheme="minorHAnsi" w:hAnsiTheme="minorHAnsi" w:cstheme="minorHAnsi"/>
          <w:b/>
          <w:color w:val="auto"/>
        </w:rPr>
        <w:t>G</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w:t>
      </w:r>
      <w:r w:rsidR="007E7E76">
        <w:rPr>
          <w:rFonts w:asciiTheme="minorHAnsi" w:hAnsiTheme="minorHAnsi" w:cstheme="minorHAnsi"/>
          <w:color w:val="auto"/>
        </w:rPr>
        <w:t>If needed, rea</w:t>
      </w:r>
      <w:r w:rsidR="00685E4B">
        <w:rPr>
          <w:rFonts w:asciiTheme="minorHAnsi" w:hAnsiTheme="minorHAnsi" w:cstheme="minorHAnsi"/>
          <w:color w:val="auto"/>
        </w:rPr>
        <w:t xml:space="preserve">pply acrylic glue to the remaining long side of the lower surface (1). </w:t>
      </w:r>
      <w:r w:rsidR="00EA4820" w:rsidRPr="00F852C4">
        <w:rPr>
          <w:rFonts w:asciiTheme="minorHAnsi" w:hAnsiTheme="minorHAnsi" w:cstheme="minorHAnsi"/>
          <w:color w:val="auto"/>
        </w:rPr>
        <w:t>Place the last long side</w:t>
      </w:r>
      <w:r w:rsidR="00685E4B">
        <w:rPr>
          <w:rFonts w:asciiTheme="minorHAnsi" w:hAnsiTheme="minorHAnsi" w:cstheme="minorHAnsi"/>
          <w:color w:val="auto"/>
        </w:rPr>
        <w:t>wall</w:t>
      </w:r>
      <w:r w:rsidR="00EA4820" w:rsidRPr="00F852C4">
        <w:rPr>
          <w:rFonts w:asciiTheme="minorHAnsi" w:hAnsiTheme="minorHAnsi" w:cstheme="minorHAnsi"/>
          <w:color w:val="auto"/>
        </w:rPr>
        <w:t xml:space="preserve"> piece (2b) and connect </w:t>
      </w:r>
      <w:r w:rsidR="00293C37" w:rsidRPr="00F852C4">
        <w:rPr>
          <w:rFonts w:asciiTheme="minorHAnsi" w:hAnsiTheme="minorHAnsi" w:cstheme="minorHAnsi"/>
          <w:color w:val="auto"/>
        </w:rPr>
        <w:t xml:space="preserve">it </w:t>
      </w:r>
      <w:r w:rsidR="00EA4820" w:rsidRPr="00F852C4">
        <w:rPr>
          <w:rFonts w:asciiTheme="minorHAnsi" w:hAnsiTheme="minorHAnsi" w:cstheme="minorHAnsi"/>
          <w:color w:val="auto"/>
        </w:rPr>
        <w:t xml:space="preserve">into the two adjacent pieces (3a and 3b). Make sure that all the pieces are properly aligned with the </w:t>
      </w:r>
      <w:r w:rsidR="00293C37" w:rsidRPr="00F852C4">
        <w:rPr>
          <w:rFonts w:asciiTheme="minorHAnsi" w:hAnsiTheme="minorHAnsi" w:cstheme="minorHAnsi"/>
          <w:color w:val="auto"/>
        </w:rPr>
        <w:t xml:space="preserve">lower </w:t>
      </w:r>
      <w:r w:rsidR="00EA4820" w:rsidRPr="00F852C4">
        <w:rPr>
          <w:rFonts w:asciiTheme="minorHAnsi" w:hAnsiTheme="minorHAnsi" w:cstheme="minorHAnsi"/>
          <w:color w:val="auto"/>
        </w:rPr>
        <w:t xml:space="preserve">piece (1) and that no </w:t>
      </w:r>
      <w:r w:rsidR="00E87797">
        <w:rPr>
          <w:rFonts w:asciiTheme="minorHAnsi" w:hAnsiTheme="minorHAnsi" w:cstheme="minorHAnsi"/>
          <w:color w:val="auto"/>
        </w:rPr>
        <w:t xml:space="preserve">signs of </w:t>
      </w:r>
      <w:r w:rsidR="00EA4820" w:rsidRPr="00F852C4">
        <w:rPr>
          <w:rFonts w:asciiTheme="minorHAnsi" w:hAnsiTheme="minorHAnsi" w:cstheme="minorHAnsi"/>
          <w:color w:val="auto"/>
        </w:rPr>
        <w:t xml:space="preserve">misalignment </w:t>
      </w:r>
      <w:r w:rsidR="00293C37" w:rsidRPr="00F852C4">
        <w:rPr>
          <w:rFonts w:asciiTheme="minorHAnsi" w:hAnsiTheme="minorHAnsi" w:cstheme="minorHAnsi"/>
          <w:color w:val="auto"/>
        </w:rPr>
        <w:t xml:space="preserve">or </w:t>
      </w:r>
      <w:r w:rsidR="00EA4820" w:rsidRPr="00F852C4">
        <w:rPr>
          <w:rFonts w:asciiTheme="minorHAnsi" w:hAnsiTheme="minorHAnsi" w:cstheme="minorHAnsi"/>
          <w:color w:val="auto"/>
        </w:rPr>
        <w:t>gap</w:t>
      </w:r>
      <w:r w:rsidR="00293C37" w:rsidRPr="00F852C4">
        <w:rPr>
          <w:rFonts w:asciiTheme="minorHAnsi" w:hAnsiTheme="minorHAnsi" w:cstheme="minorHAnsi"/>
          <w:color w:val="auto"/>
        </w:rPr>
        <w:t>s</w:t>
      </w:r>
      <w:r w:rsidR="00E87797">
        <w:rPr>
          <w:rFonts w:asciiTheme="minorHAnsi" w:hAnsiTheme="minorHAnsi" w:cstheme="minorHAnsi"/>
          <w:color w:val="auto"/>
        </w:rPr>
        <w:t xml:space="preserve"> between sidewalls or the</w:t>
      </w:r>
      <w:r w:rsidR="00685E4B">
        <w:rPr>
          <w:rFonts w:asciiTheme="minorHAnsi" w:hAnsiTheme="minorHAnsi" w:cstheme="minorHAnsi"/>
          <w:color w:val="auto"/>
        </w:rPr>
        <w:t xml:space="preserve"> lower surface</w:t>
      </w:r>
      <w:r w:rsidR="00EA4820" w:rsidRPr="00F852C4">
        <w:rPr>
          <w:rFonts w:asciiTheme="minorHAnsi" w:hAnsiTheme="minorHAnsi" w:cstheme="minorHAnsi"/>
          <w:color w:val="auto"/>
        </w:rPr>
        <w:t xml:space="preserve"> </w:t>
      </w:r>
      <w:r w:rsidR="00293C37" w:rsidRPr="00F852C4">
        <w:rPr>
          <w:rFonts w:asciiTheme="minorHAnsi" w:hAnsiTheme="minorHAnsi" w:cstheme="minorHAnsi"/>
          <w:color w:val="auto"/>
        </w:rPr>
        <w:t xml:space="preserve">are </w:t>
      </w:r>
      <w:r w:rsidR="00EA4820" w:rsidRPr="00F852C4">
        <w:rPr>
          <w:rFonts w:asciiTheme="minorHAnsi" w:hAnsiTheme="minorHAnsi" w:cstheme="minorHAnsi"/>
          <w:color w:val="auto"/>
        </w:rPr>
        <w:t xml:space="preserve">present. </w:t>
      </w:r>
      <w:r w:rsidR="00293C37" w:rsidRPr="00F852C4">
        <w:rPr>
          <w:rFonts w:asciiTheme="minorHAnsi" w:hAnsiTheme="minorHAnsi" w:cstheme="minorHAnsi"/>
          <w:color w:val="auto"/>
        </w:rPr>
        <w:t>Repeat these steps</w:t>
      </w:r>
      <w:r w:rsidR="00EA4820" w:rsidRPr="00F852C4">
        <w:rPr>
          <w:rFonts w:asciiTheme="minorHAnsi" w:hAnsiTheme="minorHAnsi" w:cstheme="minorHAnsi"/>
          <w:color w:val="auto"/>
        </w:rPr>
        <w:t xml:space="preserve"> to assemble the complementary </w:t>
      </w:r>
      <w:r w:rsidR="00293C37" w:rsidRPr="00F852C4">
        <w:rPr>
          <w:rFonts w:asciiTheme="minorHAnsi" w:hAnsiTheme="minorHAnsi" w:cstheme="minorHAnsi"/>
          <w:color w:val="auto"/>
        </w:rPr>
        <w:t xml:space="preserve">upper </w:t>
      </w:r>
      <w:r w:rsidR="00EA4820" w:rsidRPr="00F852C4">
        <w:rPr>
          <w:rFonts w:asciiTheme="minorHAnsi" w:hAnsiTheme="minorHAnsi" w:cstheme="minorHAnsi"/>
          <w:color w:val="auto"/>
        </w:rPr>
        <w:t>p</w:t>
      </w:r>
      <w:r w:rsidR="00685E4B">
        <w:rPr>
          <w:rFonts w:asciiTheme="minorHAnsi" w:hAnsiTheme="minorHAnsi" w:cstheme="minorHAnsi"/>
          <w:color w:val="auto"/>
        </w:rPr>
        <w:t>ortion</w:t>
      </w:r>
      <w:r w:rsidR="00EA4820" w:rsidRPr="00F852C4">
        <w:rPr>
          <w:rFonts w:asciiTheme="minorHAnsi" w:hAnsiTheme="minorHAnsi" w:cstheme="minorHAnsi"/>
          <w:color w:val="auto"/>
        </w:rPr>
        <w:t xml:space="preserve"> of the enclosure (4, 5a, 5b, 6a</w:t>
      </w:r>
      <w:r w:rsidR="00146D73">
        <w:rPr>
          <w:rFonts w:asciiTheme="minorHAnsi" w:hAnsiTheme="minorHAnsi" w:cstheme="minorHAnsi"/>
          <w:color w:val="auto"/>
        </w:rPr>
        <w:t>,</w:t>
      </w:r>
      <w:r w:rsidR="00EA4820" w:rsidRPr="00F852C4">
        <w:rPr>
          <w:rFonts w:asciiTheme="minorHAnsi" w:hAnsiTheme="minorHAnsi" w:cstheme="minorHAnsi"/>
          <w:color w:val="auto"/>
        </w:rPr>
        <w:t xml:space="preserve"> and 6b). </w:t>
      </w:r>
      <w:r w:rsidR="00146D73">
        <w:rPr>
          <w:rFonts w:asciiTheme="minorHAnsi" w:hAnsiTheme="minorHAnsi" w:cstheme="minorHAnsi"/>
          <w:color w:val="auto"/>
        </w:rPr>
        <w:t>(</w:t>
      </w:r>
      <w:r w:rsidR="00EA4820" w:rsidRPr="00F852C4">
        <w:rPr>
          <w:rFonts w:asciiTheme="minorHAnsi" w:hAnsiTheme="minorHAnsi" w:cstheme="minorHAnsi"/>
          <w:b/>
          <w:color w:val="auto"/>
        </w:rPr>
        <w:t>H</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Make sure that the hole in the </w:t>
      </w:r>
      <w:r w:rsidR="00A1249C" w:rsidRPr="00F852C4">
        <w:rPr>
          <w:rFonts w:asciiTheme="minorHAnsi" w:hAnsiTheme="minorHAnsi" w:cstheme="minorHAnsi"/>
          <w:color w:val="auto"/>
        </w:rPr>
        <w:t xml:space="preserve">corner </w:t>
      </w:r>
      <w:r w:rsidR="00EA4820" w:rsidRPr="00F852C4">
        <w:rPr>
          <w:rFonts w:asciiTheme="minorHAnsi" w:hAnsiTheme="minorHAnsi" w:cstheme="minorHAnsi"/>
          <w:color w:val="auto"/>
        </w:rPr>
        <w:t xml:space="preserve">of piece 4 is not </w:t>
      </w:r>
      <w:r w:rsidR="00F701B9">
        <w:rPr>
          <w:rFonts w:asciiTheme="minorHAnsi" w:hAnsiTheme="minorHAnsi" w:cstheme="minorHAnsi"/>
          <w:color w:val="auto"/>
        </w:rPr>
        <w:t>obstructed during assembly</w:t>
      </w:r>
      <w:r w:rsidR="00EA4820" w:rsidRPr="00F852C4">
        <w:rPr>
          <w:rFonts w:asciiTheme="minorHAnsi" w:hAnsiTheme="minorHAnsi" w:cstheme="minorHAnsi"/>
          <w:color w:val="auto"/>
        </w:rPr>
        <w:t>, otherwise punch the opening with a sharp object such as a needle.</w:t>
      </w:r>
      <w:r w:rsidR="006B32F6" w:rsidRPr="00F852C4">
        <w:rPr>
          <w:rFonts w:asciiTheme="minorHAnsi" w:hAnsiTheme="minorHAnsi" w:cstheme="minorHAnsi"/>
          <w:color w:val="auto"/>
        </w:rPr>
        <w:t xml:space="preserve"> </w:t>
      </w:r>
      <w:r w:rsidR="006B32F6" w:rsidRPr="00F852C4">
        <w:rPr>
          <w:rFonts w:asciiTheme="minorHAnsi" w:hAnsiTheme="minorHAnsi" w:cstheme="minorHAnsi"/>
          <w:color w:val="212121"/>
          <w:shd w:val="clear" w:color="auto" w:fill="FFFFFF"/>
        </w:rPr>
        <w:t xml:space="preserve">The holes </w:t>
      </w:r>
      <w:r w:rsidR="00B172BE">
        <w:rPr>
          <w:rFonts w:asciiTheme="minorHAnsi" w:hAnsiTheme="minorHAnsi" w:cstheme="minorHAnsi"/>
          <w:color w:val="212121"/>
          <w:shd w:val="clear" w:color="auto" w:fill="FFFFFF"/>
        </w:rPr>
        <w:t>of</w:t>
      </w:r>
      <w:r w:rsidR="006B32F6" w:rsidRPr="00F852C4">
        <w:rPr>
          <w:rFonts w:asciiTheme="minorHAnsi" w:hAnsiTheme="minorHAnsi" w:cstheme="minorHAnsi"/>
          <w:color w:val="212121"/>
          <w:shd w:val="clear" w:color="auto" w:fill="FFFFFF"/>
        </w:rPr>
        <w:t xml:space="preserve"> the enclosure </w:t>
      </w:r>
      <w:r w:rsidR="00115917">
        <w:rPr>
          <w:rFonts w:asciiTheme="minorHAnsi" w:hAnsiTheme="minorHAnsi" w:cstheme="minorHAnsi"/>
          <w:color w:val="212121"/>
          <w:shd w:val="clear" w:color="auto" w:fill="FFFFFF"/>
        </w:rPr>
        <w:t xml:space="preserve">play a critical role in the deployment process and </w:t>
      </w:r>
      <w:r w:rsidR="00DE010B">
        <w:rPr>
          <w:rFonts w:asciiTheme="minorHAnsi" w:hAnsiTheme="minorHAnsi" w:cstheme="minorHAnsi"/>
          <w:color w:val="212121"/>
          <w:shd w:val="clear" w:color="auto" w:fill="FFFFFF"/>
        </w:rPr>
        <w:t xml:space="preserve">allow </w:t>
      </w:r>
      <w:r w:rsidR="00115917">
        <w:rPr>
          <w:rFonts w:asciiTheme="minorHAnsi" w:hAnsiTheme="minorHAnsi" w:cstheme="minorHAnsi"/>
          <w:color w:val="212121"/>
          <w:shd w:val="clear" w:color="auto" w:fill="FFFFFF"/>
        </w:rPr>
        <w:t xml:space="preserve">water to drain in a </w:t>
      </w:r>
      <w:r w:rsidR="006B32F6" w:rsidRPr="00F852C4">
        <w:rPr>
          <w:rFonts w:asciiTheme="minorHAnsi" w:hAnsiTheme="minorHAnsi" w:cstheme="minorHAnsi"/>
          <w:color w:val="212121"/>
          <w:shd w:val="clear" w:color="auto" w:fill="FFFFFF"/>
        </w:rPr>
        <w:t>slow</w:t>
      </w:r>
      <w:r w:rsidR="00115917">
        <w:rPr>
          <w:rFonts w:asciiTheme="minorHAnsi" w:hAnsiTheme="minorHAnsi" w:cstheme="minorHAnsi"/>
          <w:color w:val="212121"/>
          <w:shd w:val="clear" w:color="auto" w:fill="FFFFFF"/>
        </w:rPr>
        <w:t xml:space="preserve"> and controlled manner.</w:t>
      </w:r>
      <w:r w:rsidR="006B32F6" w:rsidRPr="00F852C4">
        <w:rPr>
          <w:rFonts w:asciiTheme="minorHAnsi" w:hAnsiTheme="minorHAnsi" w:cstheme="minorHAnsi"/>
          <w:color w:val="212121"/>
          <w:shd w:val="clear" w:color="auto" w:fill="FFFFFF"/>
        </w:rPr>
        <w:t xml:space="preserve"> Their diameter has been optimized to reduce turbulent flow inside the enclosure</w:t>
      </w:r>
      <w:r w:rsidR="00115917">
        <w:rPr>
          <w:rFonts w:asciiTheme="minorHAnsi" w:hAnsiTheme="minorHAnsi" w:cstheme="minorHAnsi"/>
          <w:color w:val="212121"/>
          <w:shd w:val="clear" w:color="auto" w:fill="FFFFFF"/>
        </w:rPr>
        <w:t>,</w:t>
      </w:r>
      <w:r w:rsidR="006B32F6" w:rsidRPr="00F852C4">
        <w:rPr>
          <w:rFonts w:asciiTheme="minorHAnsi" w:hAnsiTheme="minorHAnsi" w:cstheme="minorHAnsi"/>
          <w:color w:val="212121"/>
          <w:shd w:val="clear" w:color="auto" w:fill="FFFFFF"/>
        </w:rPr>
        <w:t xml:space="preserve"> which prevents disturbance of the </w:t>
      </w:r>
      <w:r w:rsidR="00115917">
        <w:rPr>
          <w:rFonts w:asciiTheme="minorHAnsi" w:hAnsiTheme="minorHAnsi" w:cstheme="minorHAnsi"/>
          <w:color w:val="212121"/>
          <w:shd w:val="clear" w:color="auto" w:fill="FFFFFF"/>
        </w:rPr>
        <w:t xml:space="preserve">fluid surrounding </w:t>
      </w:r>
      <w:r w:rsidR="006B32F6" w:rsidRPr="00F852C4">
        <w:rPr>
          <w:rFonts w:asciiTheme="minorHAnsi" w:hAnsiTheme="minorHAnsi" w:cstheme="minorHAnsi"/>
          <w:color w:val="212121"/>
          <w:shd w:val="clear" w:color="auto" w:fill="FFFFFF"/>
        </w:rPr>
        <w:t>ISCA</w:t>
      </w:r>
      <w:r w:rsidR="00115917">
        <w:rPr>
          <w:rFonts w:asciiTheme="minorHAnsi" w:hAnsiTheme="minorHAnsi" w:cstheme="minorHAnsi"/>
          <w:color w:val="212121"/>
          <w:shd w:val="clear" w:color="auto" w:fill="FFFFFF"/>
        </w:rPr>
        <w:t xml:space="preserve"> ports</w:t>
      </w:r>
      <w:r w:rsidR="006B32F6" w:rsidRPr="00F852C4">
        <w:rPr>
          <w:rFonts w:asciiTheme="minorHAnsi" w:hAnsiTheme="minorHAnsi" w:cstheme="minorHAnsi"/>
          <w:color w:val="212121"/>
          <w:shd w:val="clear" w:color="auto" w:fill="FFFFFF"/>
        </w:rPr>
        <w:t xml:space="preserve"> upon retrieval.</w:t>
      </w:r>
      <w:r w:rsidR="00EA4820" w:rsidRPr="00F852C4">
        <w:rPr>
          <w:rFonts w:asciiTheme="minorHAnsi" w:hAnsiTheme="minorHAnsi" w:cstheme="minorHAnsi"/>
          <w:color w:val="auto"/>
        </w:rPr>
        <w:t xml:space="preserve"> </w:t>
      </w:r>
      <w:r w:rsidR="00146D73">
        <w:rPr>
          <w:rFonts w:asciiTheme="minorHAnsi" w:hAnsiTheme="minorHAnsi" w:cstheme="minorHAnsi"/>
          <w:color w:val="auto"/>
        </w:rPr>
        <w:t>(</w:t>
      </w:r>
      <w:proofErr w:type="spellStart"/>
      <w:proofErr w:type="gramStart"/>
      <w:r w:rsidR="00EA4820" w:rsidRPr="00F852C4">
        <w:rPr>
          <w:rFonts w:asciiTheme="minorHAnsi" w:hAnsiTheme="minorHAnsi" w:cstheme="minorHAnsi"/>
          <w:b/>
          <w:color w:val="auto"/>
        </w:rPr>
        <w:t>Ia</w:t>
      </w:r>
      <w:r w:rsidR="00146D73">
        <w:rPr>
          <w:rFonts w:asciiTheme="minorHAnsi" w:hAnsiTheme="minorHAnsi" w:cstheme="minorHAnsi"/>
          <w:b/>
          <w:color w:val="auto"/>
        </w:rPr>
        <w:t>,</w:t>
      </w:r>
      <w:r w:rsidR="00EA4820" w:rsidRPr="00F852C4">
        <w:rPr>
          <w:rFonts w:asciiTheme="minorHAnsi" w:hAnsiTheme="minorHAnsi" w:cstheme="minorHAnsi"/>
          <w:b/>
          <w:color w:val="auto"/>
        </w:rPr>
        <w:t>b</w:t>
      </w:r>
      <w:proofErr w:type="spellEnd"/>
      <w:proofErr w:type="gramEnd"/>
      <w:r w:rsidR="00146D73">
        <w:rPr>
          <w:rFonts w:asciiTheme="minorHAnsi" w:hAnsiTheme="minorHAnsi" w:cstheme="minorHAnsi"/>
          <w:b/>
          <w:color w:val="auto"/>
        </w:rPr>
        <w:t>)</w:t>
      </w:r>
      <w:r w:rsidR="00EA4820" w:rsidRPr="00F852C4">
        <w:rPr>
          <w:rFonts w:asciiTheme="minorHAnsi" w:hAnsiTheme="minorHAnsi" w:cstheme="minorHAnsi"/>
          <w:color w:val="auto"/>
        </w:rPr>
        <w:t xml:space="preserve"> Glue </w:t>
      </w:r>
      <w:r w:rsidR="0036405A" w:rsidRPr="00F852C4">
        <w:rPr>
          <w:rFonts w:asciiTheme="minorHAnsi" w:hAnsiTheme="minorHAnsi" w:cstheme="minorHAnsi"/>
          <w:color w:val="auto"/>
        </w:rPr>
        <w:t xml:space="preserve">together </w:t>
      </w:r>
      <w:r w:rsidR="00EA4820" w:rsidRPr="00F852C4">
        <w:rPr>
          <w:rFonts w:asciiTheme="minorHAnsi" w:hAnsiTheme="minorHAnsi" w:cstheme="minorHAnsi"/>
          <w:color w:val="auto"/>
        </w:rPr>
        <w:t xml:space="preserve">two </w:t>
      </w:r>
      <w:r w:rsidR="00C56A2C" w:rsidRPr="00F852C4">
        <w:rPr>
          <w:rFonts w:asciiTheme="minorHAnsi" w:hAnsiTheme="minorHAnsi" w:cstheme="minorHAnsi"/>
          <w:color w:val="auto"/>
        </w:rPr>
        <w:t xml:space="preserve">large </w:t>
      </w:r>
      <w:r w:rsidR="007D0045" w:rsidRPr="00F852C4">
        <w:rPr>
          <w:rFonts w:asciiTheme="minorHAnsi" w:hAnsiTheme="minorHAnsi" w:cstheme="minorHAnsi"/>
          <w:color w:val="auto"/>
        </w:rPr>
        <w:t xml:space="preserve">rectangles </w:t>
      </w:r>
      <w:r w:rsidR="00EA4820" w:rsidRPr="00F852C4">
        <w:rPr>
          <w:rFonts w:asciiTheme="minorHAnsi" w:hAnsiTheme="minorHAnsi" w:cstheme="minorHAnsi"/>
          <w:color w:val="auto"/>
        </w:rPr>
        <w:t xml:space="preserve">(7) and separately </w:t>
      </w:r>
      <w:r w:rsidR="0036405A" w:rsidRPr="00F852C4">
        <w:rPr>
          <w:rFonts w:asciiTheme="minorHAnsi" w:hAnsiTheme="minorHAnsi" w:cstheme="minorHAnsi"/>
          <w:color w:val="auto"/>
        </w:rPr>
        <w:t xml:space="preserve">glue </w:t>
      </w:r>
      <w:r w:rsidR="00EA4820" w:rsidRPr="00F852C4">
        <w:rPr>
          <w:rFonts w:asciiTheme="minorHAnsi" w:hAnsiTheme="minorHAnsi" w:cstheme="minorHAnsi"/>
          <w:color w:val="auto"/>
        </w:rPr>
        <w:t xml:space="preserve">two </w:t>
      </w:r>
      <w:r w:rsidR="00746228" w:rsidRPr="00F852C4">
        <w:rPr>
          <w:rFonts w:asciiTheme="minorHAnsi" w:hAnsiTheme="minorHAnsi" w:cstheme="minorHAnsi"/>
          <w:color w:val="auto"/>
        </w:rPr>
        <w:t xml:space="preserve">smaller ones </w:t>
      </w:r>
      <w:r w:rsidR="00EA4820" w:rsidRPr="00F852C4">
        <w:rPr>
          <w:rFonts w:asciiTheme="minorHAnsi" w:hAnsiTheme="minorHAnsi" w:cstheme="minorHAnsi"/>
          <w:color w:val="auto"/>
        </w:rPr>
        <w:t xml:space="preserve">(8). Repeat </w:t>
      </w:r>
      <w:r w:rsidR="00746228" w:rsidRPr="00F852C4">
        <w:rPr>
          <w:rFonts w:asciiTheme="minorHAnsi" w:hAnsiTheme="minorHAnsi" w:cstheme="minorHAnsi"/>
          <w:color w:val="auto"/>
        </w:rPr>
        <w:t>once for each</w:t>
      </w:r>
      <w:r w:rsidR="00EA4820" w:rsidRPr="00F852C4">
        <w:rPr>
          <w:rFonts w:asciiTheme="minorHAnsi" w:hAnsiTheme="minorHAnsi" w:cstheme="minorHAnsi"/>
          <w:color w:val="auto"/>
        </w:rPr>
        <w:t xml:space="preserve">. </w:t>
      </w:r>
      <w:r w:rsidR="00146D73">
        <w:rPr>
          <w:rFonts w:asciiTheme="minorHAnsi" w:hAnsiTheme="minorHAnsi" w:cstheme="minorHAnsi"/>
          <w:color w:val="auto"/>
        </w:rPr>
        <w:t>(</w:t>
      </w:r>
      <w:r w:rsidR="00EA4820" w:rsidRPr="00F852C4">
        <w:rPr>
          <w:rFonts w:asciiTheme="minorHAnsi" w:hAnsiTheme="minorHAnsi" w:cstheme="minorHAnsi"/>
          <w:b/>
          <w:color w:val="auto"/>
        </w:rPr>
        <w:t>J</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Glue the four </w:t>
      </w:r>
      <w:r w:rsidR="0041321B">
        <w:rPr>
          <w:rFonts w:asciiTheme="minorHAnsi" w:hAnsiTheme="minorHAnsi" w:cstheme="minorHAnsi"/>
          <w:color w:val="auto"/>
        </w:rPr>
        <w:t>assembled</w:t>
      </w:r>
      <w:r w:rsidR="0041321B" w:rsidRPr="00F852C4">
        <w:rPr>
          <w:rFonts w:asciiTheme="minorHAnsi" w:hAnsiTheme="minorHAnsi" w:cstheme="minorHAnsi"/>
          <w:color w:val="auto"/>
        </w:rPr>
        <w:t xml:space="preserve"> </w:t>
      </w:r>
      <w:r w:rsidR="00DC2959" w:rsidRPr="00F852C4">
        <w:rPr>
          <w:rFonts w:asciiTheme="minorHAnsi" w:hAnsiTheme="minorHAnsi" w:cstheme="minorHAnsi"/>
          <w:color w:val="auto"/>
        </w:rPr>
        <w:t xml:space="preserve">rectangles </w:t>
      </w:r>
      <w:r w:rsidR="00EA4820" w:rsidRPr="00F852C4">
        <w:rPr>
          <w:rFonts w:asciiTheme="minorHAnsi" w:hAnsiTheme="minorHAnsi" w:cstheme="minorHAnsi"/>
          <w:color w:val="auto"/>
        </w:rPr>
        <w:t>in the</w:t>
      </w:r>
      <w:r w:rsidR="00746228" w:rsidRPr="00F852C4">
        <w:rPr>
          <w:rFonts w:asciiTheme="minorHAnsi" w:hAnsiTheme="minorHAnsi" w:cstheme="minorHAnsi"/>
          <w:color w:val="auto"/>
        </w:rPr>
        <w:t xml:space="preserve"> center</w:t>
      </w:r>
      <w:r w:rsidR="00EA4820" w:rsidRPr="00F852C4">
        <w:rPr>
          <w:rFonts w:asciiTheme="minorHAnsi" w:hAnsiTheme="minorHAnsi" w:cstheme="minorHAnsi"/>
          <w:color w:val="auto"/>
        </w:rPr>
        <w:t xml:space="preserve"> of the </w:t>
      </w:r>
      <w:r w:rsidR="003B29D4">
        <w:rPr>
          <w:rFonts w:asciiTheme="minorHAnsi" w:hAnsiTheme="minorHAnsi" w:cstheme="minorHAnsi"/>
          <w:color w:val="auto"/>
        </w:rPr>
        <w:t xml:space="preserve">enclosure’s </w:t>
      </w:r>
      <w:r w:rsidR="00A1249C" w:rsidRPr="00F852C4">
        <w:rPr>
          <w:rFonts w:asciiTheme="minorHAnsi" w:hAnsiTheme="minorHAnsi" w:cstheme="minorHAnsi"/>
          <w:color w:val="auto"/>
        </w:rPr>
        <w:t xml:space="preserve">lower surface </w:t>
      </w:r>
      <w:r w:rsidR="00EA4820" w:rsidRPr="00F852C4">
        <w:rPr>
          <w:rFonts w:asciiTheme="minorHAnsi" w:hAnsiTheme="minorHAnsi" w:cstheme="minorHAnsi"/>
          <w:color w:val="auto"/>
        </w:rPr>
        <w:t xml:space="preserve">(1). </w:t>
      </w:r>
      <w:r w:rsidR="00146D73">
        <w:rPr>
          <w:rFonts w:asciiTheme="minorHAnsi" w:hAnsiTheme="minorHAnsi" w:cstheme="minorHAnsi"/>
          <w:color w:val="auto"/>
        </w:rPr>
        <w:t>(</w:t>
      </w:r>
      <w:r w:rsidR="00EA4820" w:rsidRPr="00F852C4">
        <w:rPr>
          <w:rFonts w:asciiTheme="minorHAnsi" w:hAnsiTheme="minorHAnsi" w:cstheme="minorHAnsi"/>
          <w:b/>
          <w:color w:val="auto"/>
        </w:rPr>
        <w:t>K</w:t>
      </w:r>
      <w:r w:rsidR="00146D73">
        <w:rPr>
          <w:rFonts w:asciiTheme="minorHAnsi" w:hAnsiTheme="minorHAnsi" w:cstheme="minorHAnsi"/>
          <w:b/>
          <w:color w:val="auto"/>
        </w:rPr>
        <w:t>)</w:t>
      </w:r>
      <w:r w:rsidR="00EA4820" w:rsidRPr="00F852C4">
        <w:rPr>
          <w:rFonts w:asciiTheme="minorHAnsi" w:hAnsiTheme="minorHAnsi" w:cstheme="minorHAnsi"/>
          <w:color w:val="auto"/>
        </w:rPr>
        <w:t xml:space="preserve"> </w:t>
      </w:r>
      <w:r w:rsidR="00746228" w:rsidRPr="00F852C4">
        <w:rPr>
          <w:rFonts w:asciiTheme="minorHAnsi" w:hAnsiTheme="minorHAnsi" w:cstheme="minorHAnsi"/>
          <w:color w:val="auto"/>
        </w:rPr>
        <w:t xml:space="preserve">Glue the upper deck (9) on top of the rectangles (7 and 8). Make sure that the side holes of the piece are on the external side of the rectangles. </w:t>
      </w:r>
    </w:p>
    <w:p w14:paraId="087E7EFF" w14:textId="3360AD17" w:rsidR="00EA4820" w:rsidRPr="00F852C4" w:rsidRDefault="00EA4820" w:rsidP="00344E04">
      <w:pPr>
        <w:rPr>
          <w:rFonts w:asciiTheme="minorHAnsi" w:hAnsiTheme="minorHAnsi" w:cstheme="minorHAnsi"/>
          <w:b/>
          <w:color w:val="auto"/>
        </w:rPr>
      </w:pPr>
    </w:p>
    <w:p w14:paraId="77DABD4C" w14:textId="2EA16B0E" w:rsidR="00EA4820" w:rsidRPr="00F852C4" w:rsidRDefault="00D37E38" w:rsidP="00344E04">
      <w:pPr>
        <w:rPr>
          <w:rFonts w:asciiTheme="minorHAnsi" w:hAnsiTheme="minorHAnsi" w:cstheme="minorHAnsi"/>
          <w:color w:val="auto"/>
        </w:rPr>
      </w:pPr>
      <w:r w:rsidRPr="00D37E38">
        <w:rPr>
          <w:rFonts w:asciiTheme="minorHAnsi" w:hAnsiTheme="minorHAnsi" w:cstheme="minorHAnsi"/>
          <w:b/>
          <w:color w:val="auto"/>
        </w:rPr>
        <w:lastRenderedPageBreak/>
        <w:t>Figure 3</w:t>
      </w:r>
      <w:r w:rsidR="002B0374">
        <w:rPr>
          <w:rFonts w:asciiTheme="minorHAnsi" w:hAnsiTheme="minorHAnsi" w:cstheme="minorHAnsi"/>
          <w:color w:val="auto"/>
        </w:rPr>
        <w:t>:</w:t>
      </w:r>
      <w:r w:rsidR="00EA4820" w:rsidRPr="00F852C4">
        <w:rPr>
          <w:rFonts w:asciiTheme="minorHAnsi" w:hAnsiTheme="minorHAnsi" w:cstheme="minorHAnsi"/>
          <w:color w:val="auto"/>
        </w:rPr>
        <w:t xml:space="preserve"> </w:t>
      </w:r>
      <w:r w:rsidR="00EA4820" w:rsidRPr="00F852C4">
        <w:rPr>
          <w:rFonts w:asciiTheme="minorHAnsi" w:hAnsiTheme="minorHAnsi" w:cstheme="minorHAnsi"/>
          <w:b/>
          <w:color w:val="auto"/>
        </w:rPr>
        <w:t xml:space="preserve">Placement of ISCAs in </w:t>
      </w:r>
      <w:r w:rsidR="00B8296C" w:rsidRPr="00F852C4">
        <w:rPr>
          <w:rFonts w:asciiTheme="minorHAnsi" w:hAnsiTheme="minorHAnsi" w:cstheme="minorHAnsi"/>
          <w:b/>
          <w:color w:val="auto"/>
        </w:rPr>
        <w:t xml:space="preserve">the </w:t>
      </w:r>
      <w:r w:rsidR="00EA4820" w:rsidRPr="00F852C4">
        <w:rPr>
          <w:rFonts w:asciiTheme="minorHAnsi" w:hAnsiTheme="minorHAnsi" w:cstheme="minorHAnsi"/>
          <w:b/>
          <w:color w:val="auto"/>
        </w:rPr>
        <w:t>enclosure and seal</w:t>
      </w:r>
      <w:r w:rsidR="00B8296C" w:rsidRPr="00F852C4">
        <w:rPr>
          <w:rFonts w:asciiTheme="minorHAnsi" w:hAnsiTheme="minorHAnsi" w:cstheme="minorHAnsi"/>
          <w:b/>
          <w:color w:val="auto"/>
        </w:rPr>
        <w:t>ing</w:t>
      </w:r>
      <w:r w:rsidR="00EA4820" w:rsidRPr="00F852C4">
        <w:rPr>
          <w:rFonts w:asciiTheme="minorHAnsi" w:hAnsiTheme="minorHAnsi" w:cstheme="minorHAnsi"/>
          <w:b/>
          <w:color w:val="auto"/>
        </w:rPr>
        <w:t xml:space="preserve"> by taping</w:t>
      </w:r>
      <w:r w:rsidR="00EA4820" w:rsidRPr="00F852C4">
        <w:rPr>
          <w:rFonts w:asciiTheme="minorHAnsi" w:hAnsiTheme="minorHAnsi" w:cstheme="minorHAnsi"/>
          <w:color w:val="auto"/>
        </w:rPr>
        <w:t>.</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A</w:t>
      </w:r>
      <w:r w:rsidR="002B0374">
        <w:rPr>
          <w:rFonts w:asciiTheme="minorHAnsi" w:hAnsiTheme="minorHAnsi" w:cstheme="minorHAnsi"/>
          <w:color w:val="auto"/>
        </w:rPr>
        <w:t xml:space="preserve">) </w:t>
      </w:r>
      <w:r w:rsidR="00CD199F">
        <w:rPr>
          <w:rFonts w:asciiTheme="minorHAnsi" w:hAnsiTheme="minorHAnsi" w:cstheme="minorHAnsi"/>
          <w:color w:val="auto"/>
        </w:rPr>
        <w:t>Place the</w:t>
      </w:r>
      <w:r w:rsidR="007C594C">
        <w:rPr>
          <w:rFonts w:asciiTheme="minorHAnsi" w:hAnsiTheme="minorHAnsi" w:cstheme="minorHAnsi"/>
          <w:color w:val="auto"/>
        </w:rPr>
        <w:t xml:space="preserve"> mounting</w:t>
      </w:r>
      <w:r w:rsidR="00CD199F">
        <w:rPr>
          <w:rFonts w:asciiTheme="minorHAnsi" w:hAnsiTheme="minorHAnsi" w:cstheme="minorHAnsi"/>
          <w:color w:val="auto"/>
        </w:rPr>
        <w:t xml:space="preserve"> screws in the ISCA.</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B</w:t>
      </w:r>
      <w:r w:rsidR="002B0374">
        <w:rPr>
          <w:rFonts w:asciiTheme="minorHAnsi" w:hAnsiTheme="minorHAnsi" w:cstheme="minorHAnsi"/>
          <w:color w:val="auto"/>
        </w:rPr>
        <w:t xml:space="preserve">) </w:t>
      </w:r>
      <w:r w:rsidR="00EA4820" w:rsidRPr="00F852C4">
        <w:rPr>
          <w:rFonts w:asciiTheme="minorHAnsi" w:hAnsiTheme="minorHAnsi" w:cstheme="minorHAnsi"/>
          <w:color w:val="auto"/>
        </w:rPr>
        <w:t>ISCA placement in the deployment enclosure.</w:t>
      </w:r>
      <w:r w:rsidR="00EA4820" w:rsidRPr="00F852C4">
        <w:rPr>
          <w:rFonts w:asciiTheme="minorHAnsi" w:hAnsiTheme="minorHAnsi" w:cstheme="minorHAnsi"/>
          <w:color w:val="FF0000"/>
        </w:rPr>
        <w:t xml:space="preserve"> </w:t>
      </w:r>
      <w:r w:rsidR="00EA4820" w:rsidRPr="00F852C4">
        <w:rPr>
          <w:rFonts w:asciiTheme="minorHAnsi" w:hAnsiTheme="minorHAnsi" w:cstheme="minorHAnsi"/>
          <w:color w:val="auto"/>
        </w:rPr>
        <w:t xml:space="preserve">Place the ISCA in the middle of the deployment </w:t>
      </w:r>
      <w:r w:rsidR="00A107C6">
        <w:rPr>
          <w:rFonts w:asciiTheme="minorHAnsi" w:hAnsiTheme="minorHAnsi" w:cstheme="minorHAnsi"/>
          <w:color w:val="auto"/>
        </w:rPr>
        <w:t>enclosure</w:t>
      </w:r>
      <w:r w:rsidR="00A107C6" w:rsidRPr="00F852C4">
        <w:rPr>
          <w:rFonts w:asciiTheme="minorHAnsi" w:hAnsiTheme="minorHAnsi" w:cstheme="minorHAnsi"/>
          <w:color w:val="auto"/>
        </w:rPr>
        <w:t xml:space="preserve"> </w:t>
      </w:r>
      <w:r w:rsidR="00EF055B" w:rsidRPr="00F852C4">
        <w:rPr>
          <w:rFonts w:asciiTheme="minorHAnsi" w:hAnsiTheme="minorHAnsi" w:cstheme="minorHAnsi"/>
          <w:color w:val="auto"/>
        </w:rPr>
        <w:t xml:space="preserve">and attach it with the </w:t>
      </w:r>
      <w:r w:rsidR="005A7161">
        <w:rPr>
          <w:rFonts w:asciiTheme="minorHAnsi" w:hAnsiTheme="minorHAnsi" w:cstheme="minorHAnsi"/>
          <w:color w:val="auto"/>
        </w:rPr>
        <w:t>specified</w:t>
      </w:r>
      <w:r w:rsidR="005A7161" w:rsidRPr="00F852C4">
        <w:rPr>
          <w:rFonts w:asciiTheme="minorHAnsi" w:hAnsiTheme="minorHAnsi" w:cstheme="minorHAnsi"/>
          <w:color w:val="auto"/>
        </w:rPr>
        <w:t xml:space="preserve"> </w:t>
      </w:r>
      <w:r w:rsidR="00EF055B" w:rsidRPr="00F852C4">
        <w:rPr>
          <w:rFonts w:asciiTheme="minorHAnsi" w:hAnsiTheme="minorHAnsi" w:cstheme="minorHAnsi"/>
          <w:color w:val="auto"/>
        </w:rPr>
        <w:t>screws</w:t>
      </w:r>
      <w:r w:rsidR="00B8296C" w:rsidRPr="00F852C4">
        <w:rPr>
          <w:rFonts w:asciiTheme="minorHAnsi" w:hAnsiTheme="minorHAnsi" w:cstheme="minorHAnsi"/>
          <w:color w:val="auto"/>
        </w:rPr>
        <w:t>.</w:t>
      </w:r>
      <w:r w:rsidR="00EA4820" w:rsidRPr="00F852C4">
        <w:rPr>
          <w:rFonts w:asciiTheme="minorHAnsi" w:hAnsiTheme="minorHAnsi" w:cstheme="minorHAnsi"/>
          <w:color w:val="auto"/>
        </w:rPr>
        <w:t xml:space="preserve"> </w:t>
      </w:r>
      <w:r w:rsidR="00B8296C" w:rsidRPr="00F852C4">
        <w:rPr>
          <w:rFonts w:asciiTheme="minorHAnsi" w:hAnsiTheme="minorHAnsi" w:cstheme="minorHAnsi"/>
          <w:color w:val="auto"/>
        </w:rPr>
        <w:t>T</w:t>
      </w:r>
      <w:r w:rsidR="00EA4820" w:rsidRPr="00F852C4">
        <w:rPr>
          <w:rFonts w:asciiTheme="minorHAnsi" w:hAnsiTheme="minorHAnsi" w:cstheme="minorHAnsi"/>
          <w:color w:val="auto"/>
        </w:rPr>
        <w:t xml:space="preserve">he </w:t>
      </w:r>
      <w:r w:rsidR="00B8296C" w:rsidRPr="00F852C4">
        <w:rPr>
          <w:rFonts w:asciiTheme="minorHAnsi" w:hAnsiTheme="minorHAnsi" w:cstheme="minorHAnsi"/>
          <w:color w:val="auto"/>
        </w:rPr>
        <w:t xml:space="preserve">lower </w:t>
      </w:r>
      <w:r w:rsidR="00AC17E0">
        <w:rPr>
          <w:rFonts w:asciiTheme="minorHAnsi" w:hAnsiTheme="minorHAnsi" w:cstheme="minorHAnsi"/>
          <w:color w:val="auto"/>
        </w:rPr>
        <w:t>drain hole</w:t>
      </w:r>
      <w:r w:rsidR="00AC17E0" w:rsidRPr="00F852C4">
        <w:rPr>
          <w:rFonts w:asciiTheme="minorHAnsi" w:hAnsiTheme="minorHAnsi" w:cstheme="minorHAnsi"/>
          <w:color w:val="auto"/>
        </w:rPr>
        <w:t xml:space="preserve"> </w:t>
      </w:r>
      <w:r w:rsidR="00AC17E0">
        <w:rPr>
          <w:rFonts w:asciiTheme="minorHAnsi" w:hAnsiTheme="minorHAnsi" w:cstheme="minorHAnsi"/>
          <w:color w:val="auto"/>
        </w:rPr>
        <w:t xml:space="preserve">of the enclosure </w:t>
      </w:r>
      <w:r w:rsidR="00B8296C" w:rsidRPr="00F852C4">
        <w:rPr>
          <w:rFonts w:asciiTheme="minorHAnsi" w:hAnsiTheme="minorHAnsi" w:cstheme="minorHAnsi"/>
          <w:color w:val="auto"/>
        </w:rPr>
        <w:t>must</w:t>
      </w:r>
      <w:r w:rsidR="00EA4820" w:rsidRPr="00F852C4">
        <w:rPr>
          <w:rFonts w:asciiTheme="minorHAnsi" w:hAnsiTheme="minorHAnsi" w:cstheme="minorHAnsi"/>
          <w:color w:val="auto"/>
        </w:rPr>
        <w:t xml:space="preserve"> be </w:t>
      </w:r>
      <w:r w:rsidR="00B8296C" w:rsidRPr="00F852C4">
        <w:rPr>
          <w:rFonts w:asciiTheme="minorHAnsi" w:hAnsiTheme="minorHAnsi" w:cstheme="minorHAnsi"/>
          <w:color w:val="auto"/>
        </w:rPr>
        <w:t>sealed</w:t>
      </w:r>
      <w:r w:rsidR="00EF055B" w:rsidRPr="00F852C4">
        <w:rPr>
          <w:rFonts w:asciiTheme="minorHAnsi" w:hAnsiTheme="minorHAnsi" w:cstheme="minorHAnsi"/>
          <w:color w:val="auto"/>
        </w:rPr>
        <w:t xml:space="preserve"> with a modified 20 µ</w:t>
      </w:r>
      <w:r w:rsidR="00146D73">
        <w:rPr>
          <w:rFonts w:asciiTheme="minorHAnsi" w:hAnsiTheme="minorHAnsi" w:cstheme="minorHAnsi"/>
          <w:color w:val="auto"/>
        </w:rPr>
        <w:t>L</w:t>
      </w:r>
      <w:r w:rsidR="00EF055B" w:rsidRPr="00F852C4">
        <w:rPr>
          <w:rFonts w:asciiTheme="minorHAnsi" w:hAnsiTheme="minorHAnsi" w:cstheme="minorHAnsi"/>
          <w:color w:val="auto"/>
        </w:rPr>
        <w:t xml:space="preserve"> tip (</w:t>
      </w:r>
      <w:r w:rsidRPr="00D37E38">
        <w:rPr>
          <w:rFonts w:asciiTheme="minorHAnsi" w:hAnsiTheme="minorHAnsi" w:cstheme="minorHAnsi"/>
          <w:b/>
          <w:color w:val="auto"/>
        </w:rPr>
        <w:t>Figure 4</w:t>
      </w:r>
      <w:r w:rsidR="00EF055B" w:rsidRPr="00F852C4">
        <w:rPr>
          <w:rFonts w:asciiTheme="minorHAnsi" w:hAnsiTheme="minorHAnsi" w:cstheme="minorHAnsi"/>
          <w:color w:val="auto"/>
        </w:rPr>
        <w:t xml:space="preserve">) once the enclosure </w:t>
      </w:r>
      <w:r w:rsidR="007D0045" w:rsidRPr="00F852C4">
        <w:rPr>
          <w:rFonts w:asciiTheme="minorHAnsi" w:hAnsiTheme="minorHAnsi" w:cstheme="minorHAnsi"/>
          <w:color w:val="auto"/>
        </w:rPr>
        <w:t xml:space="preserve">is </w:t>
      </w:r>
      <w:r w:rsidR="00EF055B" w:rsidRPr="00F852C4">
        <w:rPr>
          <w:rFonts w:asciiTheme="minorHAnsi" w:hAnsiTheme="minorHAnsi" w:cstheme="minorHAnsi"/>
          <w:color w:val="auto"/>
        </w:rPr>
        <w:t>filled with water</w:t>
      </w:r>
      <w:r w:rsidR="00146D73">
        <w:rPr>
          <w:rFonts w:asciiTheme="minorHAnsi" w:hAnsiTheme="minorHAnsi" w:cstheme="minorHAnsi"/>
          <w:color w:val="auto"/>
        </w:rPr>
        <w:t>. This helps</w:t>
      </w:r>
      <w:r w:rsidR="00EA4820" w:rsidRPr="00F852C4">
        <w:rPr>
          <w:rFonts w:asciiTheme="minorHAnsi" w:hAnsiTheme="minorHAnsi" w:cstheme="minorHAnsi"/>
          <w:color w:val="auto"/>
        </w:rPr>
        <w:t xml:space="preserve"> to avoid </w:t>
      </w:r>
      <w:r w:rsidR="00AC17E0">
        <w:rPr>
          <w:rFonts w:asciiTheme="minorHAnsi" w:hAnsiTheme="minorHAnsi" w:cstheme="minorHAnsi"/>
          <w:color w:val="auto"/>
        </w:rPr>
        <w:t>generation</w:t>
      </w:r>
      <w:r w:rsidR="00EA4820" w:rsidRPr="00F852C4">
        <w:rPr>
          <w:rFonts w:asciiTheme="minorHAnsi" w:hAnsiTheme="minorHAnsi" w:cstheme="minorHAnsi"/>
          <w:color w:val="auto"/>
        </w:rPr>
        <w:t xml:space="preserve"> of turbulent flows that can affect the </w:t>
      </w:r>
      <w:r w:rsidR="002B6455">
        <w:rPr>
          <w:rFonts w:asciiTheme="minorHAnsi" w:hAnsiTheme="minorHAnsi" w:cstheme="minorHAnsi"/>
          <w:color w:val="auto"/>
        </w:rPr>
        <w:t xml:space="preserve">stability of the </w:t>
      </w:r>
      <w:r w:rsidR="00EA4820" w:rsidRPr="00F852C4">
        <w:rPr>
          <w:rFonts w:asciiTheme="minorHAnsi" w:hAnsiTheme="minorHAnsi" w:cstheme="minorHAnsi"/>
          <w:color w:val="auto"/>
        </w:rPr>
        <w:t>chemical field and effectiveness of chemotaxis.</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C</w:t>
      </w:r>
      <w:r w:rsidR="002B0374">
        <w:rPr>
          <w:rFonts w:asciiTheme="minorHAnsi" w:hAnsiTheme="minorHAnsi" w:cstheme="minorHAnsi"/>
          <w:color w:val="auto"/>
        </w:rPr>
        <w:t xml:space="preserve">) </w:t>
      </w:r>
      <w:r w:rsidR="00AC4AC4" w:rsidRPr="00F852C4">
        <w:rPr>
          <w:rFonts w:asciiTheme="minorHAnsi" w:hAnsiTheme="minorHAnsi" w:cstheme="minorHAnsi"/>
          <w:color w:val="auto"/>
        </w:rPr>
        <w:t xml:space="preserve">The upper and lower </w:t>
      </w:r>
      <w:r w:rsidR="000D026B" w:rsidRPr="00F852C4">
        <w:rPr>
          <w:rFonts w:asciiTheme="minorHAnsi" w:hAnsiTheme="minorHAnsi" w:cstheme="minorHAnsi"/>
          <w:color w:val="auto"/>
        </w:rPr>
        <w:t>parts are</w:t>
      </w:r>
      <w:r w:rsidR="00AC4AC4" w:rsidRPr="00F852C4">
        <w:rPr>
          <w:rFonts w:asciiTheme="minorHAnsi" w:hAnsiTheme="minorHAnsi" w:cstheme="minorHAnsi"/>
          <w:color w:val="auto"/>
        </w:rPr>
        <w:t xml:space="preserve"> </w:t>
      </w:r>
      <w:proofErr w:type="gramStart"/>
      <w:r w:rsidR="00AC4AC4" w:rsidRPr="00F852C4">
        <w:rPr>
          <w:rFonts w:asciiTheme="minorHAnsi" w:hAnsiTheme="minorHAnsi" w:cstheme="minorHAnsi"/>
          <w:color w:val="auto"/>
        </w:rPr>
        <w:t>assembled together</w:t>
      </w:r>
      <w:proofErr w:type="gramEnd"/>
      <w:r w:rsidR="00046AEA">
        <w:rPr>
          <w:rFonts w:asciiTheme="minorHAnsi" w:hAnsiTheme="minorHAnsi" w:cstheme="minorHAnsi"/>
          <w:color w:val="auto"/>
        </w:rPr>
        <w:t>.</w:t>
      </w:r>
      <w:r w:rsidR="002B0374">
        <w:rPr>
          <w:rFonts w:asciiTheme="minorHAnsi" w:hAnsiTheme="minorHAnsi" w:cstheme="minorHAnsi"/>
          <w:color w:val="auto"/>
        </w:rPr>
        <w:t xml:space="preserve"> (</w:t>
      </w:r>
      <w:r w:rsidR="002B0374" w:rsidRPr="00344E04">
        <w:rPr>
          <w:rFonts w:asciiTheme="minorHAnsi" w:hAnsiTheme="minorHAnsi" w:cstheme="minorHAnsi"/>
          <w:b/>
          <w:bCs/>
          <w:color w:val="auto"/>
        </w:rPr>
        <w:t>D</w:t>
      </w:r>
      <w:r w:rsidR="002B0374">
        <w:rPr>
          <w:rFonts w:asciiTheme="minorHAnsi" w:hAnsiTheme="minorHAnsi" w:cstheme="minorHAnsi"/>
          <w:color w:val="auto"/>
        </w:rPr>
        <w:t xml:space="preserve">) </w:t>
      </w:r>
      <w:r w:rsidR="00EA4820" w:rsidRPr="00F852C4">
        <w:rPr>
          <w:rFonts w:asciiTheme="minorHAnsi" w:hAnsiTheme="minorHAnsi" w:cstheme="minorHAnsi"/>
          <w:color w:val="auto"/>
        </w:rPr>
        <w:t>Sealing of the enclosure</w:t>
      </w:r>
      <w:r w:rsidR="00B8296C" w:rsidRPr="00F852C4">
        <w:rPr>
          <w:rFonts w:asciiTheme="minorHAnsi" w:hAnsiTheme="minorHAnsi" w:cstheme="minorHAnsi"/>
          <w:color w:val="auto"/>
        </w:rPr>
        <w:t xml:space="preserve"> using</w:t>
      </w:r>
      <w:r w:rsidR="00567AAC" w:rsidRPr="00F852C4">
        <w:rPr>
          <w:rFonts w:asciiTheme="minorHAnsi" w:hAnsiTheme="minorHAnsi" w:cstheme="minorHAnsi"/>
          <w:color w:val="auto"/>
        </w:rPr>
        <w:t xml:space="preserve"> </w:t>
      </w:r>
      <w:r w:rsidR="00B172BE">
        <w:rPr>
          <w:rFonts w:asciiTheme="minorHAnsi" w:hAnsiTheme="minorHAnsi" w:cstheme="minorHAnsi"/>
          <w:color w:val="auto"/>
        </w:rPr>
        <w:t>adhesive</w:t>
      </w:r>
      <w:r w:rsidR="00B172BE" w:rsidRPr="00F852C4">
        <w:rPr>
          <w:rFonts w:asciiTheme="minorHAnsi" w:hAnsiTheme="minorHAnsi" w:cstheme="minorHAnsi"/>
          <w:color w:val="auto"/>
        </w:rPr>
        <w:t xml:space="preserve"> </w:t>
      </w:r>
      <w:r w:rsidR="00567AAC" w:rsidRPr="00F852C4">
        <w:rPr>
          <w:rFonts w:asciiTheme="minorHAnsi" w:hAnsiTheme="minorHAnsi" w:cstheme="minorHAnsi"/>
          <w:color w:val="auto"/>
        </w:rPr>
        <w:t>tape</w:t>
      </w:r>
      <w:r w:rsidR="00EA4820" w:rsidRPr="00F852C4">
        <w:rPr>
          <w:rFonts w:asciiTheme="minorHAnsi" w:hAnsiTheme="minorHAnsi" w:cstheme="minorHAnsi"/>
          <w:color w:val="auto"/>
        </w:rPr>
        <w:t>. Wrinkles must be avoided to prevent leaks.</w:t>
      </w:r>
    </w:p>
    <w:p w14:paraId="4A3F46A4" w14:textId="238B36F4" w:rsidR="00EA4820" w:rsidRPr="00F852C4" w:rsidRDefault="00EA4820" w:rsidP="00344E04">
      <w:pPr>
        <w:rPr>
          <w:rFonts w:asciiTheme="minorHAnsi" w:hAnsiTheme="minorHAnsi" w:cstheme="minorHAnsi"/>
          <w:color w:val="auto"/>
        </w:rPr>
      </w:pPr>
    </w:p>
    <w:p w14:paraId="2EC7F380" w14:textId="435D98C1" w:rsidR="001D1056" w:rsidRPr="00F852C4" w:rsidRDefault="00D37E38" w:rsidP="00344E04">
      <w:pPr>
        <w:rPr>
          <w:rFonts w:asciiTheme="minorHAnsi" w:hAnsiTheme="minorHAnsi" w:cstheme="minorHAnsi"/>
          <w:color w:val="auto"/>
        </w:rPr>
      </w:pPr>
      <w:r w:rsidRPr="00D37E38">
        <w:rPr>
          <w:rFonts w:asciiTheme="minorHAnsi" w:hAnsiTheme="minorHAnsi" w:cstheme="minorHAnsi"/>
          <w:b/>
          <w:color w:val="auto"/>
        </w:rPr>
        <w:t>Figure 4</w:t>
      </w:r>
      <w:r w:rsidR="002B0374">
        <w:rPr>
          <w:rFonts w:asciiTheme="minorHAnsi" w:hAnsiTheme="minorHAnsi" w:cstheme="minorHAnsi"/>
          <w:b/>
          <w:color w:val="auto"/>
        </w:rPr>
        <w:t>:</w:t>
      </w:r>
      <w:r w:rsidR="001D1056" w:rsidRPr="00F852C4">
        <w:rPr>
          <w:rFonts w:asciiTheme="minorHAnsi" w:hAnsiTheme="minorHAnsi" w:cstheme="minorHAnsi"/>
          <w:color w:val="auto"/>
        </w:rPr>
        <w:t xml:space="preserve"> </w:t>
      </w:r>
      <w:r w:rsidR="001D1056" w:rsidRPr="00F852C4">
        <w:rPr>
          <w:rFonts w:asciiTheme="minorHAnsi" w:hAnsiTheme="minorHAnsi" w:cstheme="minorHAnsi"/>
          <w:b/>
          <w:color w:val="auto"/>
        </w:rPr>
        <w:t>Plug for sealing the flow-damping enclosure</w:t>
      </w:r>
      <w:r w:rsidR="001D1056" w:rsidRPr="00F852C4">
        <w:rPr>
          <w:rFonts w:asciiTheme="minorHAnsi" w:hAnsiTheme="minorHAnsi" w:cstheme="minorHAnsi"/>
          <w:color w:val="auto"/>
        </w:rPr>
        <w:t>. The plug can be made by sealing a 20 µ</w:t>
      </w:r>
      <w:r w:rsidR="00146D73">
        <w:rPr>
          <w:rFonts w:asciiTheme="minorHAnsi" w:hAnsiTheme="minorHAnsi" w:cstheme="minorHAnsi"/>
          <w:color w:val="auto"/>
        </w:rPr>
        <w:t>L</w:t>
      </w:r>
      <w:r w:rsidR="001D1056" w:rsidRPr="00F852C4">
        <w:rPr>
          <w:rFonts w:asciiTheme="minorHAnsi" w:hAnsiTheme="minorHAnsi" w:cstheme="minorHAnsi"/>
          <w:color w:val="auto"/>
        </w:rPr>
        <w:t xml:space="preserve"> pipette tip</w:t>
      </w:r>
      <w:r w:rsidR="001E3E7A">
        <w:rPr>
          <w:rFonts w:asciiTheme="minorHAnsi" w:hAnsiTheme="minorHAnsi" w:cstheme="minorHAnsi"/>
          <w:color w:val="auto"/>
        </w:rPr>
        <w:t xml:space="preserve"> with </w:t>
      </w:r>
      <w:r w:rsidR="001A2B7B">
        <w:rPr>
          <w:rFonts w:asciiTheme="minorHAnsi" w:hAnsiTheme="minorHAnsi" w:cstheme="minorHAnsi"/>
          <w:color w:val="auto"/>
        </w:rPr>
        <w:t>heat</w:t>
      </w:r>
      <w:r w:rsidR="001D1056" w:rsidRPr="00F852C4">
        <w:rPr>
          <w:rFonts w:asciiTheme="minorHAnsi" w:hAnsiTheme="minorHAnsi" w:cstheme="minorHAnsi"/>
          <w:color w:val="auto"/>
        </w:rPr>
        <w:t>.</w:t>
      </w:r>
    </w:p>
    <w:p w14:paraId="2EB32C45" w14:textId="77777777" w:rsidR="001D1056" w:rsidRPr="00F852C4" w:rsidRDefault="001D1056" w:rsidP="00344E04">
      <w:pPr>
        <w:rPr>
          <w:rFonts w:asciiTheme="minorHAnsi" w:hAnsiTheme="minorHAnsi" w:cstheme="minorHAnsi"/>
          <w:color w:val="auto"/>
        </w:rPr>
      </w:pPr>
    </w:p>
    <w:p w14:paraId="7885CB14" w14:textId="695DC80D" w:rsidR="00EA4820" w:rsidRPr="00F852C4" w:rsidRDefault="00D37E38" w:rsidP="00344E04">
      <w:pPr>
        <w:rPr>
          <w:rFonts w:asciiTheme="minorHAnsi" w:hAnsiTheme="minorHAnsi" w:cstheme="minorHAnsi"/>
          <w:color w:val="auto"/>
        </w:rPr>
      </w:pPr>
      <w:r w:rsidRPr="00D37E38">
        <w:rPr>
          <w:rFonts w:asciiTheme="minorHAnsi" w:hAnsiTheme="minorHAnsi" w:cstheme="minorHAnsi"/>
          <w:b/>
          <w:color w:val="auto"/>
        </w:rPr>
        <w:t>Figure 5</w:t>
      </w:r>
      <w:r w:rsidR="002B0374">
        <w:rPr>
          <w:rFonts w:asciiTheme="minorHAnsi" w:hAnsiTheme="minorHAnsi" w:cstheme="minorHAnsi"/>
          <w:b/>
          <w:color w:val="auto"/>
        </w:rPr>
        <w:t>:</w:t>
      </w:r>
      <w:r w:rsidR="00EA4820" w:rsidRPr="00F852C4">
        <w:rPr>
          <w:rFonts w:asciiTheme="minorHAnsi" w:hAnsiTheme="minorHAnsi" w:cstheme="minorHAnsi"/>
          <w:b/>
          <w:color w:val="auto"/>
        </w:rPr>
        <w:t xml:space="preserve"> Chemotaxis </w:t>
      </w:r>
      <w:r w:rsidR="008F09BE" w:rsidRPr="00F852C4">
        <w:rPr>
          <w:rFonts w:asciiTheme="minorHAnsi" w:hAnsiTheme="minorHAnsi" w:cstheme="minorHAnsi"/>
          <w:b/>
          <w:color w:val="auto"/>
        </w:rPr>
        <w:t>assays using the ISCA</w:t>
      </w:r>
      <w:r w:rsidR="00E9420B" w:rsidRPr="00F852C4">
        <w:rPr>
          <w:rFonts w:asciiTheme="minorHAnsi" w:hAnsiTheme="minorHAnsi" w:cstheme="minorHAnsi"/>
          <w:b/>
          <w:color w:val="auto"/>
        </w:rPr>
        <w:t xml:space="preserve"> </w:t>
      </w:r>
      <w:r w:rsidR="00EA4820" w:rsidRPr="00F852C4">
        <w:rPr>
          <w:rFonts w:asciiTheme="minorHAnsi" w:hAnsiTheme="minorHAnsi" w:cstheme="minorHAnsi"/>
          <w:b/>
          <w:color w:val="auto"/>
        </w:rPr>
        <w:t>to</w:t>
      </w:r>
      <w:r w:rsidR="008F09BE" w:rsidRPr="00F852C4">
        <w:rPr>
          <w:rFonts w:asciiTheme="minorHAnsi" w:hAnsiTheme="minorHAnsi" w:cstheme="minorHAnsi"/>
          <w:b/>
          <w:color w:val="auto"/>
        </w:rPr>
        <w:t>ward</w:t>
      </w:r>
      <w:r w:rsidR="00EA4820" w:rsidRPr="00F852C4">
        <w:rPr>
          <w:rFonts w:asciiTheme="minorHAnsi" w:hAnsiTheme="minorHAnsi" w:cstheme="minorHAnsi"/>
          <w:b/>
          <w:color w:val="auto"/>
        </w:rPr>
        <w:t xml:space="preserve"> glutamine </w:t>
      </w:r>
      <w:r w:rsidR="00146D73">
        <w:rPr>
          <w:rFonts w:asciiTheme="minorHAnsi" w:hAnsiTheme="minorHAnsi" w:cstheme="minorHAnsi"/>
          <w:b/>
          <w:color w:val="auto"/>
        </w:rPr>
        <w:t>of</w:t>
      </w:r>
      <w:r w:rsidR="008F09BE" w:rsidRPr="00F852C4">
        <w:rPr>
          <w:rFonts w:asciiTheme="minorHAnsi" w:hAnsiTheme="minorHAnsi" w:cstheme="minorHAnsi"/>
          <w:b/>
          <w:color w:val="auto"/>
        </w:rPr>
        <w:t xml:space="preserve"> an enriched motile community in </w:t>
      </w:r>
      <w:r w:rsidR="00EA4820" w:rsidRPr="00F852C4">
        <w:rPr>
          <w:rFonts w:asciiTheme="minorHAnsi" w:hAnsiTheme="minorHAnsi" w:cstheme="minorHAnsi"/>
          <w:b/>
          <w:color w:val="auto"/>
        </w:rPr>
        <w:t>the laboratory and</w:t>
      </w:r>
      <w:r w:rsidR="008F09BE" w:rsidRPr="00F852C4">
        <w:rPr>
          <w:rFonts w:asciiTheme="minorHAnsi" w:hAnsiTheme="minorHAnsi" w:cstheme="minorHAnsi"/>
          <w:b/>
          <w:color w:val="auto"/>
        </w:rPr>
        <w:t xml:space="preserve"> natural microbial population in </w:t>
      </w:r>
      <w:r w:rsidR="00EA4820" w:rsidRPr="00F852C4">
        <w:rPr>
          <w:rFonts w:asciiTheme="minorHAnsi" w:hAnsiTheme="minorHAnsi" w:cstheme="minorHAnsi"/>
          <w:b/>
          <w:color w:val="auto"/>
        </w:rPr>
        <w:t xml:space="preserve">the field. </w:t>
      </w:r>
      <w:r w:rsidR="00EA4820" w:rsidRPr="00F852C4">
        <w:rPr>
          <w:rFonts w:asciiTheme="minorHAnsi" w:hAnsiTheme="minorHAnsi" w:cstheme="minorHAnsi"/>
          <w:color w:val="auto"/>
        </w:rPr>
        <w:t xml:space="preserve">Chemotaxis index </w:t>
      </w:r>
      <w:proofErr w:type="spellStart"/>
      <w:r w:rsidR="00EA4820" w:rsidRPr="00F852C4">
        <w:rPr>
          <w:rFonts w:asciiTheme="minorHAnsi" w:hAnsiTheme="minorHAnsi" w:cstheme="minorHAnsi"/>
          <w:i/>
          <w:color w:val="auto"/>
        </w:rPr>
        <w:t>I</w:t>
      </w:r>
      <w:r w:rsidR="00EA4820" w:rsidRPr="00F852C4">
        <w:rPr>
          <w:rFonts w:asciiTheme="minorHAnsi" w:hAnsiTheme="minorHAnsi" w:cstheme="minorHAnsi"/>
          <w:iCs/>
          <w:color w:val="auto"/>
          <w:vertAlign w:val="subscript"/>
        </w:rPr>
        <w:t>c</w:t>
      </w:r>
      <w:proofErr w:type="spellEnd"/>
      <w:r w:rsidR="00EA4820" w:rsidRPr="00F852C4">
        <w:rPr>
          <w:rFonts w:asciiTheme="minorHAnsi" w:hAnsiTheme="minorHAnsi" w:cstheme="minorHAnsi"/>
          <w:color w:val="auto"/>
        </w:rPr>
        <w:t xml:space="preserve"> </w:t>
      </w:r>
      <w:r w:rsidR="00146D73">
        <w:rPr>
          <w:rFonts w:asciiTheme="minorHAnsi" w:hAnsiTheme="minorHAnsi" w:cstheme="minorHAnsi"/>
          <w:color w:val="auto"/>
        </w:rPr>
        <w:t>(</w:t>
      </w:r>
      <w:r w:rsidR="000B386B" w:rsidRPr="00F852C4">
        <w:rPr>
          <w:rFonts w:asciiTheme="minorHAnsi" w:hAnsiTheme="minorHAnsi" w:cstheme="minorHAnsi"/>
          <w:color w:val="auto"/>
        </w:rPr>
        <w:t xml:space="preserve">representing </w:t>
      </w:r>
      <w:r w:rsidR="00EA4820" w:rsidRPr="00F852C4">
        <w:rPr>
          <w:rFonts w:asciiTheme="minorHAnsi" w:hAnsiTheme="minorHAnsi" w:cstheme="minorHAnsi"/>
          <w:color w:val="auto"/>
        </w:rPr>
        <w:t>the concentration of cells within ISCA wells</w:t>
      </w:r>
      <w:r w:rsidR="00146D73">
        <w:rPr>
          <w:rFonts w:asciiTheme="minorHAnsi" w:hAnsiTheme="minorHAnsi" w:cstheme="minorHAnsi"/>
          <w:color w:val="auto"/>
        </w:rPr>
        <w:t>)</w:t>
      </w:r>
      <w:r w:rsidR="00EA4820" w:rsidRPr="00F852C4">
        <w:rPr>
          <w:rFonts w:asciiTheme="minorHAnsi" w:hAnsiTheme="minorHAnsi" w:cstheme="minorHAnsi"/>
          <w:color w:val="auto"/>
        </w:rPr>
        <w:t xml:space="preserve"> normalized by the mean concentration of cells within the wells containing the filtered seawater (FSW) after 60 min</w:t>
      </w:r>
      <w:r w:rsidR="00146D73">
        <w:rPr>
          <w:rFonts w:asciiTheme="minorHAnsi" w:hAnsiTheme="minorHAnsi" w:cstheme="minorHAnsi"/>
          <w:color w:val="auto"/>
        </w:rPr>
        <w:t xml:space="preserve"> of</w:t>
      </w:r>
      <w:r w:rsidR="00EA4820" w:rsidRPr="00F852C4">
        <w:rPr>
          <w:rFonts w:asciiTheme="minorHAnsi" w:hAnsiTheme="minorHAnsi" w:cstheme="minorHAnsi"/>
          <w:color w:val="auto"/>
        </w:rPr>
        <w:t xml:space="preserve"> deployment. Each concentration was tested in five ISCA replicates. Bacterial cells were quantified by flow cytometry (</w:t>
      </w:r>
      <w:r w:rsidR="00EA4820" w:rsidRPr="00344E04">
        <w:rPr>
          <w:rFonts w:asciiTheme="minorHAnsi" w:hAnsiTheme="minorHAnsi" w:cstheme="minorHAnsi"/>
          <w:bCs/>
          <w:color w:val="auto"/>
        </w:rPr>
        <w:t>A</w:t>
      </w:r>
      <w:r w:rsidR="00146D73">
        <w:rPr>
          <w:rFonts w:asciiTheme="minorHAnsi" w:hAnsiTheme="minorHAnsi" w:cstheme="minorHAnsi"/>
          <w:bCs/>
          <w:color w:val="auto"/>
        </w:rPr>
        <w:t>):</w:t>
      </w:r>
      <w:r w:rsidR="00EA4820" w:rsidRPr="00F852C4">
        <w:rPr>
          <w:rFonts w:asciiTheme="minorHAnsi" w:hAnsiTheme="minorHAnsi" w:cstheme="minorHAnsi"/>
          <w:color w:val="auto"/>
        </w:rPr>
        <w:t xml:space="preserve"> FSW</w:t>
      </w:r>
      <w:r w:rsidR="00146D73">
        <w:rPr>
          <w:rFonts w:asciiTheme="minorHAnsi" w:hAnsiTheme="minorHAnsi" w:cstheme="minorHAnsi"/>
          <w:color w:val="auto"/>
        </w:rPr>
        <w:t xml:space="preserve"> =</w:t>
      </w:r>
      <w:r w:rsidR="00EA4820" w:rsidRPr="00F852C4">
        <w:rPr>
          <w:rFonts w:asciiTheme="minorHAnsi" w:hAnsiTheme="minorHAnsi" w:cstheme="minorHAnsi"/>
          <w:color w:val="auto"/>
        </w:rPr>
        <w:t xml:space="preserve"> 4.46</w:t>
      </w:r>
      <w:r w:rsidR="00EA4820" w:rsidRPr="00F852C4">
        <w:rPr>
          <w:rFonts w:asciiTheme="minorHAnsi" w:eastAsiaTheme="minorHAnsi" w:hAnsiTheme="minorHAnsi" w:cstheme="minorHAnsi"/>
          <w:color w:val="auto"/>
        </w:rPr>
        <w:t xml:space="preserve"> ± 0.25 x 10</w:t>
      </w:r>
      <w:r w:rsidR="00EA4820" w:rsidRPr="00F852C4">
        <w:rPr>
          <w:rFonts w:asciiTheme="minorHAnsi" w:eastAsiaTheme="minorHAnsi" w:hAnsiTheme="minorHAnsi" w:cstheme="minorHAnsi"/>
          <w:color w:val="auto"/>
          <w:vertAlign w:val="superscript"/>
        </w:rPr>
        <w:t>3</w:t>
      </w:r>
      <w:r w:rsidR="00EA4820" w:rsidRPr="00F852C4">
        <w:rPr>
          <w:rFonts w:asciiTheme="minorHAnsi" w:eastAsiaTheme="minorHAnsi" w:hAnsiTheme="minorHAnsi" w:cstheme="minorHAnsi"/>
          <w:color w:val="auto"/>
        </w:rPr>
        <w:t xml:space="preserve">; 100 </w:t>
      </w:r>
      <w:r w:rsidR="001D1056" w:rsidRPr="00F852C4">
        <w:rPr>
          <w:rFonts w:asciiTheme="minorHAnsi" w:eastAsiaTheme="minorHAnsi" w:hAnsiTheme="minorHAnsi" w:cstheme="minorHAnsi"/>
          <w:color w:val="auto"/>
        </w:rPr>
        <w:t>µ</w:t>
      </w:r>
      <w:r w:rsidR="00EA4820" w:rsidRPr="00F852C4">
        <w:rPr>
          <w:rFonts w:asciiTheme="minorHAnsi" w:eastAsiaTheme="minorHAnsi" w:hAnsiTheme="minorHAnsi" w:cstheme="minorHAnsi"/>
          <w:color w:val="auto"/>
        </w:rPr>
        <w:t>M</w:t>
      </w:r>
      <w:r w:rsidR="00146D73">
        <w:rPr>
          <w:rFonts w:asciiTheme="minorHAnsi" w:eastAsiaTheme="minorHAnsi" w:hAnsiTheme="minorHAnsi" w:cstheme="minorHAnsi"/>
          <w:color w:val="auto"/>
        </w:rPr>
        <w:t xml:space="preserve"> =</w:t>
      </w:r>
      <w:r w:rsidR="00EA4820" w:rsidRPr="00F852C4">
        <w:rPr>
          <w:rFonts w:asciiTheme="minorHAnsi" w:eastAsiaTheme="minorHAnsi" w:hAnsiTheme="minorHAnsi" w:cstheme="minorHAnsi"/>
          <w:color w:val="auto"/>
        </w:rPr>
        <w:t xml:space="preserve"> 2.43 ± 0.16 x 10</w:t>
      </w:r>
      <w:r w:rsidR="00EA4820" w:rsidRPr="00F852C4">
        <w:rPr>
          <w:rFonts w:asciiTheme="minorHAnsi" w:eastAsiaTheme="minorHAnsi" w:hAnsiTheme="minorHAnsi" w:cstheme="minorHAnsi"/>
          <w:color w:val="auto"/>
          <w:vertAlign w:val="superscript"/>
        </w:rPr>
        <w:t>4</w:t>
      </w:r>
      <w:r w:rsidR="00EA4820" w:rsidRPr="00F852C4">
        <w:rPr>
          <w:rFonts w:asciiTheme="minorHAnsi" w:eastAsiaTheme="minorHAnsi" w:hAnsiTheme="minorHAnsi" w:cstheme="minorHAnsi"/>
          <w:color w:val="auto"/>
        </w:rPr>
        <w:t>; 1</w:t>
      </w:r>
      <w:r w:rsidR="00146D73">
        <w:rPr>
          <w:rFonts w:asciiTheme="minorHAnsi" w:eastAsiaTheme="minorHAnsi" w:hAnsiTheme="minorHAnsi" w:cstheme="minorHAnsi"/>
          <w:color w:val="auto"/>
        </w:rPr>
        <w:t xml:space="preserve"> </w:t>
      </w:r>
      <w:r w:rsidR="00EA4820" w:rsidRPr="00F852C4">
        <w:rPr>
          <w:rFonts w:asciiTheme="minorHAnsi" w:eastAsiaTheme="minorHAnsi" w:hAnsiTheme="minorHAnsi" w:cstheme="minorHAnsi"/>
          <w:color w:val="auto"/>
        </w:rPr>
        <w:t>mM</w:t>
      </w:r>
      <w:r w:rsidR="00146D73">
        <w:rPr>
          <w:rFonts w:asciiTheme="minorHAnsi" w:eastAsiaTheme="minorHAnsi" w:hAnsiTheme="minorHAnsi" w:cstheme="minorHAnsi"/>
          <w:color w:val="auto"/>
        </w:rPr>
        <w:t xml:space="preserve"> =</w:t>
      </w:r>
      <w:r w:rsidR="00EA4820" w:rsidRPr="00F852C4">
        <w:rPr>
          <w:rFonts w:asciiTheme="minorHAnsi" w:eastAsiaTheme="minorHAnsi" w:hAnsiTheme="minorHAnsi" w:cstheme="minorHAnsi"/>
          <w:color w:val="auto"/>
        </w:rPr>
        <w:t xml:space="preserve"> 8.07 ± 0.45 x 10</w:t>
      </w:r>
      <w:r w:rsidR="00EA4820" w:rsidRPr="00F852C4">
        <w:rPr>
          <w:rFonts w:asciiTheme="minorHAnsi" w:eastAsiaTheme="minorHAnsi" w:hAnsiTheme="minorHAnsi" w:cstheme="minorHAnsi"/>
          <w:color w:val="auto"/>
          <w:vertAlign w:val="superscript"/>
        </w:rPr>
        <w:t>4</w:t>
      </w:r>
      <w:r w:rsidR="00EA4820" w:rsidRPr="00F852C4">
        <w:rPr>
          <w:rFonts w:asciiTheme="minorHAnsi" w:hAnsiTheme="minorHAnsi" w:cstheme="minorHAnsi"/>
          <w:color w:val="auto"/>
        </w:rPr>
        <w:t>; 10 mM</w:t>
      </w:r>
      <w:r w:rsidR="00146D73">
        <w:rPr>
          <w:rFonts w:asciiTheme="minorHAnsi" w:hAnsiTheme="minorHAnsi" w:cstheme="minorHAnsi"/>
          <w:color w:val="auto"/>
        </w:rPr>
        <w:t xml:space="preserve"> =</w:t>
      </w:r>
      <w:r w:rsidR="00EA4820" w:rsidRPr="00F852C4">
        <w:rPr>
          <w:rFonts w:asciiTheme="minorHAnsi" w:hAnsiTheme="minorHAnsi" w:cstheme="minorHAnsi"/>
          <w:color w:val="auto"/>
        </w:rPr>
        <w:t xml:space="preserve"> </w:t>
      </w:r>
      <w:r w:rsidR="00EA4820" w:rsidRPr="00F852C4">
        <w:rPr>
          <w:rFonts w:asciiTheme="minorHAnsi" w:eastAsiaTheme="minorHAnsi" w:hAnsiTheme="minorHAnsi" w:cstheme="minorHAnsi"/>
          <w:color w:val="auto"/>
        </w:rPr>
        <w:t>3.28 ± 0.20 x 10</w:t>
      </w:r>
      <w:r w:rsidR="00EA4820" w:rsidRPr="00F852C4">
        <w:rPr>
          <w:rFonts w:asciiTheme="minorHAnsi" w:eastAsiaTheme="minorHAnsi" w:hAnsiTheme="minorHAnsi" w:cstheme="minorHAnsi"/>
          <w:color w:val="auto"/>
          <w:vertAlign w:val="superscript"/>
        </w:rPr>
        <w:t>4</w:t>
      </w:r>
      <w:r w:rsidR="00EA4820" w:rsidRPr="00F852C4">
        <w:rPr>
          <w:rFonts w:asciiTheme="minorHAnsi" w:eastAsiaTheme="minorHAnsi" w:hAnsiTheme="minorHAnsi" w:cstheme="minorHAnsi"/>
          <w:color w:val="auto"/>
        </w:rPr>
        <w:t>;</w:t>
      </w:r>
      <w:r w:rsidR="002B0374">
        <w:rPr>
          <w:rFonts w:asciiTheme="minorHAnsi" w:eastAsiaTheme="minorHAnsi" w:hAnsiTheme="minorHAnsi" w:cstheme="minorHAnsi"/>
          <w:color w:val="auto"/>
        </w:rPr>
        <w:t xml:space="preserve"> (B)</w:t>
      </w:r>
      <w:r w:rsidR="00146D73">
        <w:rPr>
          <w:rFonts w:asciiTheme="minorHAnsi" w:eastAsiaTheme="minorHAnsi" w:hAnsiTheme="minorHAnsi" w:cstheme="minorHAnsi"/>
          <w:color w:val="auto"/>
        </w:rPr>
        <w:t>:</w:t>
      </w:r>
      <w:r w:rsidR="002B0374">
        <w:rPr>
          <w:rFonts w:asciiTheme="minorHAnsi" w:eastAsiaTheme="minorHAnsi" w:hAnsiTheme="minorHAnsi" w:cstheme="minorHAnsi"/>
          <w:color w:val="auto"/>
        </w:rPr>
        <w:t xml:space="preserve"> </w:t>
      </w:r>
      <w:r w:rsidR="00EA4820" w:rsidRPr="00F852C4">
        <w:rPr>
          <w:rFonts w:asciiTheme="minorHAnsi" w:hAnsiTheme="minorHAnsi" w:cstheme="minorHAnsi"/>
          <w:color w:val="auto"/>
        </w:rPr>
        <w:t>FSW</w:t>
      </w:r>
      <w:r w:rsidR="00146D73">
        <w:rPr>
          <w:rFonts w:asciiTheme="minorHAnsi" w:hAnsiTheme="minorHAnsi" w:cstheme="minorHAnsi"/>
          <w:color w:val="auto"/>
        </w:rPr>
        <w:t xml:space="preserve"> =</w:t>
      </w:r>
      <w:r w:rsidR="00EA4820" w:rsidRPr="00F852C4">
        <w:rPr>
          <w:rFonts w:asciiTheme="minorHAnsi" w:hAnsiTheme="minorHAnsi" w:cstheme="minorHAnsi"/>
          <w:color w:val="auto"/>
        </w:rPr>
        <w:t xml:space="preserve"> </w:t>
      </w:r>
      <w:r w:rsidR="00EA4820" w:rsidRPr="00F852C4">
        <w:rPr>
          <w:rFonts w:asciiTheme="minorHAnsi" w:eastAsiaTheme="minorHAnsi" w:hAnsiTheme="minorHAnsi" w:cstheme="minorHAnsi"/>
          <w:color w:val="auto"/>
        </w:rPr>
        <w:t>1.26 ± 0.11 x 10</w:t>
      </w:r>
      <w:r w:rsidR="00EA4820" w:rsidRPr="00F852C4">
        <w:rPr>
          <w:rFonts w:asciiTheme="minorHAnsi" w:eastAsiaTheme="minorHAnsi" w:hAnsiTheme="minorHAnsi" w:cstheme="minorHAnsi"/>
          <w:color w:val="auto"/>
          <w:vertAlign w:val="superscript"/>
        </w:rPr>
        <w:t>4</w:t>
      </w:r>
      <w:r w:rsidR="00EA4820" w:rsidRPr="00F852C4">
        <w:rPr>
          <w:rFonts w:asciiTheme="minorHAnsi" w:eastAsiaTheme="minorHAnsi" w:hAnsiTheme="minorHAnsi" w:cstheme="minorHAnsi"/>
          <w:color w:val="auto"/>
        </w:rPr>
        <w:t>; 1 mM</w:t>
      </w:r>
      <w:r w:rsidR="00146D73">
        <w:rPr>
          <w:rFonts w:asciiTheme="minorHAnsi" w:eastAsiaTheme="minorHAnsi" w:hAnsiTheme="minorHAnsi" w:cstheme="minorHAnsi"/>
          <w:color w:val="auto"/>
        </w:rPr>
        <w:t xml:space="preserve"> =</w:t>
      </w:r>
      <w:r w:rsidR="00EA4820" w:rsidRPr="00F852C4">
        <w:rPr>
          <w:rFonts w:asciiTheme="minorHAnsi" w:eastAsiaTheme="minorHAnsi" w:hAnsiTheme="minorHAnsi" w:cstheme="minorHAnsi"/>
          <w:color w:val="auto"/>
        </w:rPr>
        <w:t xml:space="preserve"> 3.76 ± 0.28 x 10</w:t>
      </w:r>
      <w:r w:rsidR="00EA4820" w:rsidRPr="00F852C4">
        <w:rPr>
          <w:rFonts w:asciiTheme="minorHAnsi" w:eastAsiaTheme="minorHAnsi" w:hAnsiTheme="minorHAnsi" w:cstheme="minorHAnsi"/>
          <w:color w:val="auto"/>
          <w:vertAlign w:val="superscript"/>
        </w:rPr>
        <w:t xml:space="preserve">4 </w:t>
      </w:r>
      <w:r w:rsidR="00EA4820" w:rsidRPr="00F852C4">
        <w:rPr>
          <w:rFonts w:asciiTheme="minorHAnsi" w:eastAsiaTheme="minorHAnsi" w:hAnsiTheme="minorHAnsi" w:cstheme="minorHAnsi"/>
          <w:color w:val="auto"/>
        </w:rPr>
        <w:t>cells</w:t>
      </w:r>
      <w:r w:rsidR="00146D73">
        <w:rPr>
          <w:rFonts w:asciiTheme="minorHAnsi" w:eastAsiaTheme="minorHAnsi" w:hAnsiTheme="minorHAnsi" w:cstheme="minorHAnsi"/>
          <w:color w:val="auto"/>
        </w:rPr>
        <w:t>/</w:t>
      </w:r>
      <w:r>
        <w:rPr>
          <w:rFonts w:asciiTheme="minorHAnsi" w:eastAsiaTheme="minorHAnsi" w:hAnsiTheme="minorHAnsi" w:cstheme="minorHAnsi"/>
          <w:color w:val="auto"/>
        </w:rPr>
        <w:t>mL</w:t>
      </w:r>
      <w:r w:rsidR="00EA4820" w:rsidRPr="00F852C4">
        <w:rPr>
          <w:rFonts w:asciiTheme="minorHAnsi" w:eastAsiaTheme="minorHAnsi" w:hAnsiTheme="minorHAnsi" w:cstheme="minorHAnsi"/>
          <w:color w:val="auto"/>
        </w:rPr>
        <w:t>). All concentrations of glutamine tested in the</w:t>
      </w:r>
      <w:r w:rsidR="00146D73">
        <w:rPr>
          <w:rFonts w:asciiTheme="minorHAnsi" w:eastAsiaTheme="minorHAnsi" w:hAnsiTheme="minorHAnsi" w:cstheme="minorHAnsi"/>
          <w:color w:val="auto"/>
        </w:rPr>
        <w:t xml:space="preserve"> </w:t>
      </w:r>
      <w:r w:rsidR="00146D73">
        <w:rPr>
          <w:rFonts w:asciiTheme="minorHAnsi" w:eastAsiaTheme="minorHAnsi" w:hAnsiTheme="minorHAnsi" w:cstheme="minorHAnsi"/>
          <w:b/>
          <w:color w:val="auto"/>
        </w:rPr>
        <w:t>(A)</w:t>
      </w:r>
      <w:r w:rsidR="00EA4820" w:rsidRPr="00F852C4">
        <w:rPr>
          <w:rFonts w:asciiTheme="minorHAnsi" w:eastAsiaTheme="minorHAnsi" w:hAnsiTheme="minorHAnsi" w:cstheme="minorHAnsi"/>
          <w:color w:val="auto"/>
        </w:rPr>
        <w:t xml:space="preserve"> laboratory</w:t>
      </w:r>
      <w:r w:rsidR="00146D73">
        <w:rPr>
          <w:rFonts w:asciiTheme="minorHAnsi" w:eastAsiaTheme="minorHAnsi" w:hAnsiTheme="minorHAnsi" w:cstheme="minorHAnsi"/>
          <w:color w:val="auto"/>
        </w:rPr>
        <w:t xml:space="preserve"> </w:t>
      </w:r>
      <w:r w:rsidR="00EA4820" w:rsidRPr="00F852C4">
        <w:rPr>
          <w:rFonts w:asciiTheme="minorHAnsi" w:eastAsiaTheme="minorHAnsi" w:hAnsiTheme="minorHAnsi" w:cstheme="minorHAnsi"/>
          <w:color w:val="auto"/>
        </w:rPr>
        <w:t>and</w:t>
      </w:r>
      <w:r w:rsidR="00146D73">
        <w:rPr>
          <w:rFonts w:asciiTheme="minorHAnsi" w:eastAsiaTheme="minorHAnsi" w:hAnsiTheme="minorHAnsi" w:cstheme="minorHAnsi"/>
          <w:color w:val="auto"/>
        </w:rPr>
        <w:t xml:space="preserve"> </w:t>
      </w:r>
      <w:r w:rsidR="00146D73">
        <w:rPr>
          <w:rFonts w:asciiTheme="minorHAnsi" w:eastAsiaTheme="minorHAnsi" w:hAnsiTheme="minorHAnsi" w:cstheme="minorHAnsi"/>
          <w:b/>
          <w:color w:val="auto"/>
        </w:rPr>
        <w:t>(B)</w:t>
      </w:r>
      <w:r w:rsidR="00EA4820" w:rsidRPr="00F852C4">
        <w:rPr>
          <w:rFonts w:asciiTheme="minorHAnsi" w:eastAsiaTheme="minorHAnsi" w:hAnsiTheme="minorHAnsi" w:cstheme="minorHAnsi"/>
          <w:color w:val="auto"/>
        </w:rPr>
        <w:t xml:space="preserve"> field induced a chemotactic response significantly higher than the filtered seawater (FSW) controls</w:t>
      </w:r>
      <w:r w:rsidR="00EA4820" w:rsidRPr="00F852C4">
        <w:rPr>
          <w:rFonts w:asciiTheme="minorHAnsi" w:eastAsiaTheme="minorHAnsi" w:hAnsiTheme="minorHAnsi" w:cstheme="minorHAnsi"/>
          <w:b/>
          <w:color w:val="auto"/>
        </w:rPr>
        <w:t>.</w:t>
      </w:r>
      <w:r w:rsidR="00EA4820" w:rsidRPr="00F852C4">
        <w:rPr>
          <w:rFonts w:asciiTheme="minorHAnsi" w:eastAsiaTheme="minorHAnsi" w:hAnsiTheme="minorHAnsi" w:cstheme="minorHAnsi"/>
          <w:color w:val="auto"/>
        </w:rPr>
        <w:t xml:space="preserve"> </w:t>
      </w:r>
      <w:r w:rsidR="000B386B" w:rsidRPr="00F852C4">
        <w:rPr>
          <w:rFonts w:asciiTheme="minorHAnsi" w:eastAsiaTheme="minorHAnsi" w:hAnsiTheme="minorHAnsi" w:cstheme="minorHAnsi"/>
          <w:color w:val="auto"/>
        </w:rPr>
        <w:t xml:space="preserve">In all </w:t>
      </w:r>
      <w:r w:rsidR="008F09BE" w:rsidRPr="00F852C4">
        <w:rPr>
          <w:rFonts w:asciiTheme="minorHAnsi" w:eastAsiaTheme="minorHAnsi" w:hAnsiTheme="minorHAnsi" w:cstheme="minorHAnsi"/>
          <w:color w:val="auto"/>
        </w:rPr>
        <w:t xml:space="preserve">pairwise </w:t>
      </w:r>
      <w:r w:rsidR="000B386B" w:rsidRPr="00F852C4">
        <w:rPr>
          <w:rFonts w:asciiTheme="minorHAnsi" w:eastAsiaTheme="minorHAnsi" w:hAnsiTheme="minorHAnsi" w:cstheme="minorHAnsi"/>
          <w:color w:val="auto"/>
        </w:rPr>
        <w:t>comparisons</w:t>
      </w:r>
      <w:r w:rsidR="00146D73">
        <w:rPr>
          <w:rFonts w:asciiTheme="minorHAnsi" w:eastAsiaTheme="minorHAnsi" w:hAnsiTheme="minorHAnsi" w:cstheme="minorHAnsi"/>
          <w:color w:val="auto"/>
        </w:rPr>
        <w:t>:</w:t>
      </w:r>
      <w:r w:rsidR="000B386B" w:rsidRPr="00F852C4">
        <w:rPr>
          <w:rFonts w:asciiTheme="minorHAnsi" w:eastAsiaTheme="minorHAnsi" w:hAnsiTheme="minorHAnsi" w:cstheme="minorHAnsi"/>
          <w:color w:val="auto"/>
        </w:rPr>
        <w:t xml:space="preserve"> </w:t>
      </w:r>
      <w:r w:rsidR="00146D73">
        <w:rPr>
          <w:rFonts w:asciiTheme="minorHAnsi" w:eastAsiaTheme="minorHAnsi" w:hAnsiTheme="minorHAnsi" w:cstheme="minorHAnsi"/>
          <w:color w:val="auto"/>
        </w:rPr>
        <w:t xml:space="preserve">(A) </w:t>
      </w:r>
      <w:r w:rsidR="00EA4820" w:rsidRPr="00F852C4">
        <w:rPr>
          <w:rFonts w:asciiTheme="minorHAnsi" w:hAnsiTheme="minorHAnsi" w:cstheme="minorHAnsi"/>
          <w:color w:val="auto"/>
        </w:rPr>
        <w:t xml:space="preserve">Tukey HSD, </w:t>
      </w:r>
      <w:r w:rsidR="00EA4820" w:rsidRPr="00F852C4">
        <w:rPr>
          <w:rFonts w:asciiTheme="minorHAnsi" w:hAnsiTheme="minorHAnsi" w:cstheme="minorHAnsi"/>
          <w:i/>
          <w:iCs/>
          <w:color w:val="auto"/>
        </w:rPr>
        <w:t>n</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5,</w:t>
      </w:r>
      <w:r w:rsidRPr="00D37E38">
        <w:rPr>
          <w:rFonts w:asciiTheme="minorHAnsi" w:hAnsiTheme="minorHAnsi" w:cstheme="minorHAnsi"/>
          <w:i/>
          <w:color w:val="auto"/>
        </w:rPr>
        <w:t xml:space="preserve"> p &lt;</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0.005;</w:t>
      </w:r>
      <w:r w:rsidR="002B0374">
        <w:rPr>
          <w:rFonts w:asciiTheme="minorHAnsi" w:hAnsiTheme="minorHAnsi" w:cstheme="minorHAnsi"/>
          <w:color w:val="auto"/>
        </w:rPr>
        <w:t xml:space="preserve"> (B) </w:t>
      </w:r>
      <w:r w:rsidR="00EA4820" w:rsidRPr="00F852C4">
        <w:rPr>
          <w:rFonts w:asciiTheme="minorHAnsi" w:hAnsiTheme="minorHAnsi" w:cstheme="minorHAnsi"/>
          <w:color w:val="auto"/>
        </w:rPr>
        <w:t xml:space="preserve">Tukey HSD, </w:t>
      </w:r>
      <w:r w:rsidR="00EA4820" w:rsidRPr="00F852C4">
        <w:rPr>
          <w:rFonts w:asciiTheme="minorHAnsi" w:hAnsiTheme="minorHAnsi" w:cstheme="minorHAnsi"/>
          <w:i/>
          <w:iCs/>
          <w:color w:val="auto"/>
        </w:rPr>
        <w:t>n</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5,</w:t>
      </w:r>
      <w:r w:rsidRPr="00D37E38">
        <w:rPr>
          <w:rFonts w:asciiTheme="minorHAnsi" w:hAnsiTheme="minorHAnsi" w:cstheme="minorHAnsi"/>
          <w:i/>
          <w:color w:val="auto"/>
        </w:rPr>
        <w:t xml:space="preserve"> p &lt;</w:t>
      </w:r>
      <w:r w:rsidR="00903A00" w:rsidRPr="00F852C4">
        <w:rPr>
          <w:rFonts w:asciiTheme="minorHAnsi" w:hAnsiTheme="minorHAnsi" w:cstheme="minorHAnsi"/>
          <w:color w:val="auto"/>
        </w:rPr>
        <w:t xml:space="preserve"> </w:t>
      </w:r>
      <w:r w:rsidR="00EA4820" w:rsidRPr="00F852C4">
        <w:rPr>
          <w:rFonts w:asciiTheme="minorHAnsi" w:hAnsiTheme="minorHAnsi" w:cstheme="minorHAnsi"/>
          <w:color w:val="auto"/>
        </w:rPr>
        <w:t xml:space="preserve">0.005. Error bars represent </w:t>
      </w:r>
      <w:r w:rsidR="00146D73">
        <w:rPr>
          <w:rFonts w:asciiTheme="minorHAnsi" w:hAnsiTheme="minorHAnsi" w:cstheme="minorHAnsi"/>
          <w:color w:val="auto"/>
        </w:rPr>
        <w:t>SEM</w:t>
      </w:r>
      <w:r w:rsidR="00EA4820" w:rsidRPr="00F852C4">
        <w:rPr>
          <w:rFonts w:asciiTheme="minorHAnsi" w:hAnsiTheme="minorHAnsi" w:cstheme="minorHAnsi"/>
          <w:color w:val="auto"/>
        </w:rPr>
        <w:t>.</w:t>
      </w:r>
    </w:p>
    <w:p w14:paraId="2F0222C8" w14:textId="77777777" w:rsidR="003F2BBE" w:rsidRPr="00F852C4" w:rsidRDefault="003F2BBE" w:rsidP="00344E04">
      <w:pPr>
        <w:rPr>
          <w:rFonts w:asciiTheme="minorHAnsi" w:hAnsiTheme="minorHAnsi" w:cstheme="minorHAnsi"/>
          <w:color w:val="auto"/>
        </w:rPr>
      </w:pPr>
    </w:p>
    <w:p w14:paraId="3298A759" w14:textId="541CA711" w:rsidR="003F2BBE" w:rsidRPr="00F852C4" w:rsidRDefault="00D37E38" w:rsidP="00344E04">
      <w:pPr>
        <w:rPr>
          <w:rFonts w:asciiTheme="minorHAnsi" w:hAnsiTheme="minorHAnsi" w:cstheme="minorHAnsi"/>
          <w:color w:val="auto"/>
        </w:rPr>
      </w:pPr>
      <w:r w:rsidRPr="00D37E38">
        <w:rPr>
          <w:rFonts w:asciiTheme="minorHAnsi" w:hAnsiTheme="minorHAnsi" w:cstheme="minorHAnsi"/>
          <w:b/>
          <w:color w:val="auto"/>
        </w:rPr>
        <w:t>Table 1</w:t>
      </w:r>
      <w:r w:rsidR="002B0374">
        <w:rPr>
          <w:rFonts w:asciiTheme="minorHAnsi" w:hAnsiTheme="minorHAnsi" w:cstheme="minorHAnsi"/>
          <w:color w:val="auto"/>
        </w:rPr>
        <w:t xml:space="preserve">: </w:t>
      </w:r>
      <w:r w:rsidR="003F2BBE" w:rsidRPr="00344E04">
        <w:rPr>
          <w:rFonts w:asciiTheme="minorHAnsi" w:hAnsiTheme="minorHAnsi" w:cstheme="minorHAnsi"/>
          <w:b/>
          <w:color w:val="auto"/>
        </w:rPr>
        <w:t>Material</w:t>
      </w:r>
      <w:r w:rsidR="00457F06" w:rsidRPr="00344E04">
        <w:rPr>
          <w:rFonts w:asciiTheme="minorHAnsi" w:hAnsiTheme="minorHAnsi" w:cstheme="minorHAnsi"/>
          <w:b/>
          <w:color w:val="auto"/>
        </w:rPr>
        <w:t>s</w:t>
      </w:r>
      <w:r w:rsidR="003F2BBE" w:rsidRPr="00344E04">
        <w:rPr>
          <w:rFonts w:asciiTheme="minorHAnsi" w:hAnsiTheme="minorHAnsi" w:cstheme="minorHAnsi"/>
          <w:b/>
          <w:color w:val="auto"/>
        </w:rPr>
        <w:t xml:space="preserve"> necessary for field deployment.</w:t>
      </w:r>
    </w:p>
    <w:p w14:paraId="3FCCC5BC" w14:textId="77777777" w:rsidR="00EA4820" w:rsidRPr="00F852C4" w:rsidRDefault="00EA4820" w:rsidP="00344E04">
      <w:pPr>
        <w:rPr>
          <w:rFonts w:asciiTheme="minorHAnsi" w:hAnsiTheme="minorHAnsi" w:cstheme="minorHAnsi"/>
          <w:color w:val="auto"/>
        </w:rPr>
      </w:pPr>
    </w:p>
    <w:p w14:paraId="2DCAA6B9" w14:textId="77777777" w:rsidR="00EA4820" w:rsidRPr="00F852C4" w:rsidRDefault="00EA4820" w:rsidP="00344E04">
      <w:pPr>
        <w:rPr>
          <w:rFonts w:asciiTheme="minorHAnsi" w:hAnsiTheme="minorHAnsi" w:cstheme="minorHAnsi"/>
          <w:b/>
          <w:bCs/>
          <w:color w:val="auto"/>
        </w:rPr>
      </w:pPr>
      <w:r w:rsidRPr="00F852C4">
        <w:rPr>
          <w:rFonts w:asciiTheme="minorHAnsi" w:hAnsiTheme="minorHAnsi" w:cstheme="minorHAnsi"/>
          <w:b/>
          <w:color w:val="auto"/>
        </w:rPr>
        <w:t>DISCUSSION</w:t>
      </w:r>
      <w:r w:rsidRPr="00F852C4">
        <w:rPr>
          <w:rFonts w:asciiTheme="minorHAnsi" w:hAnsiTheme="minorHAnsi" w:cstheme="minorHAnsi"/>
          <w:b/>
          <w:bCs/>
          <w:color w:val="auto"/>
        </w:rPr>
        <w:t xml:space="preserve">: </w:t>
      </w:r>
    </w:p>
    <w:p w14:paraId="526AD07C" w14:textId="77777777" w:rsidR="00EA4820" w:rsidRPr="00F852C4" w:rsidRDefault="00EA4820" w:rsidP="00344E04">
      <w:pPr>
        <w:rPr>
          <w:rFonts w:asciiTheme="minorHAnsi" w:hAnsiTheme="minorHAnsi" w:cstheme="minorHAnsi"/>
          <w:bCs/>
          <w:color w:val="auto"/>
        </w:rPr>
      </w:pPr>
    </w:p>
    <w:p w14:paraId="650FB175" w14:textId="421E6759" w:rsidR="00EA4820" w:rsidRPr="00F852C4" w:rsidRDefault="00EA4820" w:rsidP="00344E04">
      <w:pPr>
        <w:rPr>
          <w:rFonts w:asciiTheme="minorHAnsi" w:hAnsiTheme="minorHAnsi" w:cstheme="minorHAnsi"/>
          <w:bCs/>
          <w:color w:val="auto"/>
        </w:rPr>
      </w:pPr>
      <w:r w:rsidRPr="00F852C4">
        <w:rPr>
          <w:rFonts w:asciiTheme="minorHAnsi" w:hAnsiTheme="minorHAnsi" w:cstheme="minorHAnsi"/>
          <w:bCs/>
          <w:color w:val="auto"/>
        </w:rPr>
        <w:t xml:space="preserve">At the scale of </w:t>
      </w:r>
      <w:r w:rsidR="008A45C5" w:rsidRPr="00F852C4">
        <w:rPr>
          <w:rFonts w:asciiTheme="minorHAnsi" w:hAnsiTheme="minorHAnsi" w:cstheme="minorHAnsi"/>
          <w:bCs/>
          <w:color w:val="auto"/>
        </w:rPr>
        <w:t xml:space="preserve">aquatic </w:t>
      </w:r>
      <w:r w:rsidRPr="00F852C4">
        <w:rPr>
          <w:rFonts w:asciiTheme="minorHAnsi" w:hAnsiTheme="minorHAnsi" w:cstheme="minorHAnsi"/>
          <w:bCs/>
          <w:color w:val="auto"/>
        </w:rPr>
        <w:t>microorganisms, the environment is far from homogenous</w:t>
      </w:r>
      <w:r w:rsidR="00146D73">
        <w:rPr>
          <w:rFonts w:asciiTheme="minorHAnsi" w:hAnsiTheme="minorHAnsi" w:cstheme="minorHAnsi"/>
          <w:bCs/>
          <w:color w:val="auto"/>
        </w:rPr>
        <w:t xml:space="preserve"> and is</w:t>
      </w:r>
      <w:r w:rsidR="00E85FC1" w:rsidRPr="00F852C4">
        <w:rPr>
          <w:rFonts w:asciiTheme="minorHAnsi" w:hAnsiTheme="minorHAnsi" w:cstheme="minorHAnsi"/>
          <w:bCs/>
          <w:color w:val="auto"/>
        </w:rPr>
        <w:t xml:space="preserve"> often</w:t>
      </w:r>
      <w:r w:rsidRPr="00F852C4">
        <w:rPr>
          <w:rFonts w:asciiTheme="minorHAnsi" w:hAnsiTheme="minorHAnsi" w:cstheme="minorHAnsi"/>
          <w:bCs/>
          <w:color w:val="auto"/>
        </w:rPr>
        <w:t xml:space="preserve"> characterized by physic</w:t>
      </w:r>
      <w:r w:rsidR="00146D73">
        <w:rPr>
          <w:rFonts w:asciiTheme="minorHAnsi" w:hAnsiTheme="minorHAnsi" w:cstheme="minorHAnsi"/>
          <w:bCs/>
          <w:color w:val="auto"/>
        </w:rPr>
        <w:t>al/</w:t>
      </w:r>
      <w:r w:rsidRPr="00F852C4">
        <w:rPr>
          <w:rFonts w:asciiTheme="minorHAnsi" w:hAnsiTheme="minorHAnsi" w:cstheme="minorHAnsi"/>
          <w:bCs/>
          <w:color w:val="auto"/>
        </w:rPr>
        <w:t>chemical gradients that structure</w:t>
      </w:r>
      <w:r w:rsidR="00E85FC1" w:rsidRPr="00F852C4">
        <w:rPr>
          <w:rFonts w:asciiTheme="minorHAnsi" w:hAnsiTheme="minorHAnsi" w:cstheme="minorHAnsi"/>
          <w:bCs/>
          <w:color w:val="auto"/>
        </w:rPr>
        <w:t xml:space="preserve"> </w:t>
      </w:r>
      <w:r w:rsidRPr="00F852C4">
        <w:rPr>
          <w:rFonts w:asciiTheme="minorHAnsi" w:hAnsiTheme="minorHAnsi" w:cstheme="minorHAnsi"/>
          <w:bCs/>
          <w:color w:val="auto"/>
        </w:rPr>
        <w:t>microbial communities</w:t>
      </w:r>
      <w:r w:rsidR="009940D8" w:rsidRPr="00F852C4">
        <w:rPr>
          <w:rFonts w:asciiTheme="minorHAnsi" w:hAnsiTheme="minorHAnsi" w:cstheme="minorHAnsi"/>
          <w:bCs/>
          <w:color w:val="auto"/>
        </w:rPr>
        <w:fldChar w:fldCharType="begin"/>
      </w:r>
      <w:r w:rsidR="00BB094B">
        <w:rPr>
          <w:rFonts w:asciiTheme="minorHAnsi" w:hAnsiTheme="minorHAnsi" w:cstheme="minorHAnsi"/>
          <w:bCs/>
          <w:color w:val="auto"/>
        </w:rPr>
        <w:instrText xml:space="preserve"> ADDIN ZOTERO_ITEM CSL_CITATION {"citationID":"eDRnxPxh","properties":{"formattedCitation":"\\super 1,15\\nosupersub{}","plainCitation":"1,15","noteIndex":0},"citationItems":[{"id":93,"uris":["http://zotero.org/users/local/eoOr01tb/items/4LD9ZR7U"],"uri":["http://zotero.org/users/local/eoOr01tb/items/4LD9ZR7U"],"itemData":{"id":93,"type":"article-journal","abstract":"Marine bacteria influence Earth’s environmental dynamics in fundamental ways by controlling the biogeochemistry and productivity of the oceans. These large-scale consequences result from the combined effect of countless interactions occurring at the level of the individual cells. At these small scales, the ocean is surprisingly heterogeneous, and microbes experience an environment of pervasive and dynamic chemical and physical gradients. Many species actively exploit this heterogeneity, while others rely on gradient-independent adaptations. This is an exciting time to explore this frontier of oceanography, but understanding microbial behavior and competition in the context of the water column’s microarchitecture calls for new ecological frameworks, such as a microbial optimal foraging theory, to determine the relevant trade-offs and global consequences of microbial life in a sea of gradients.","container-title":"Science","DOI":"10.1126/science.1208929","ISSN":"0036-8075, 1095-9203","issue":"6107","language":"en","note":"PMID: 23118182","page":"628-633","source":"science.sciencemag.org","title":"Marine Microbes See a Sea of Gradients","volume":"338","author":[{"family":"Stocker","given":"Roman"}],"issued":{"date-parts":[["2012",11,2]]}}},{"id":190,"uris":["http://zotero.org/users/local/eoOr01tb/items/GHDDW32F"],"uri":["http://zotero.org/users/local/eoOr01tb/items/GHDDW32F"],"itemData":{"id":190,"type":"article-journal","abstract":"Our understanding of the biology, biochemistry, and genetic development of roots has considerably improved during the last decade ([Smith and Fedoroff, 1995][1]; [Flores et al., 1999][2];[Benfey and Scheres, 2000][3]). In contrast, the processes mediated by roots in the rhizosphere such as the","container-title":"Plant Physiology","DOI":"10.1104/pp.102.019661","ISSN":"0032-0889, 1532-2548","issue":"1","language":"en","note":"PMID: 12746510","page":"44-51","source":"www.plantphysiol.org","title":"Root Exudation and Rhizosphere Biology","volume":"132","author":[{"family":"Walker","given":"Travis S."},{"family":"Bais","given":"Harsh Pal"},{"family":"Grotewold","given":"Erich"},{"family":"Vivanco","given":"Jorge M."}],"issued":{"date-parts":[["2003",5,1]]}}}],"schema":"https://github.com/citation-style-language/schema/raw/master/csl-citation.json"} </w:instrText>
      </w:r>
      <w:r w:rsidR="009940D8" w:rsidRPr="00F852C4">
        <w:rPr>
          <w:rFonts w:asciiTheme="minorHAnsi" w:hAnsiTheme="minorHAnsi" w:cstheme="minorHAnsi"/>
          <w:bCs/>
          <w:color w:val="auto"/>
        </w:rPr>
        <w:fldChar w:fldCharType="separate"/>
      </w:r>
      <w:r w:rsidR="007E7E76" w:rsidRPr="00BB094B">
        <w:rPr>
          <w:vertAlign w:val="superscript"/>
        </w:rPr>
        <w:t>1,15</w:t>
      </w:r>
      <w:r w:rsidR="009940D8" w:rsidRPr="00F852C4">
        <w:rPr>
          <w:rFonts w:asciiTheme="minorHAnsi" w:hAnsiTheme="minorHAnsi" w:cstheme="minorHAnsi"/>
          <w:bCs/>
          <w:color w:val="auto"/>
        </w:rPr>
        <w:fldChar w:fldCharType="end"/>
      </w:r>
      <w:r w:rsidR="009940D8" w:rsidRPr="00F852C4">
        <w:rPr>
          <w:rFonts w:asciiTheme="minorHAnsi" w:hAnsiTheme="minorHAnsi" w:cstheme="minorHAnsi"/>
          <w:bCs/>
          <w:color w:val="auto"/>
        </w:rPr>
        <w:t xml:space="preserve">. </w:t>
      </w:r>
      <w:r w:rsidR="008A45C5" w:rsidRPr="00F852C4">
        <w:rPr>
          <w:rFonts w:asciiTheme="minorHAnsi" w:hAnsiTheme="minorHAnsi" w:cstheme="minorHAnsi"/>
          <w:bCs/>
          <w:color w:val="auto"/>
        </w:rPr>
        <w:t>The capacity of motile micro</w:t>
      </w:r>
      <w:r w:rsidRPr="00F852C4">
        <w:rPr>
          <w:rFonts w:asciiTheme="minorHAnsi" w:hAnsiTheme="minorHAnsi" w:cstheme="minorHAnsi"/>
          <w:bCs/>
          <w:color w:val="auto"/>
        </w:rPr>
        <w:t xml:space="preserve">organisms </w:t>
      </w:r>
      <w:r w:rsidR="008A45C5" w:rsidRPr="00F852C4">
        <w:rPr>
          <w:rFonts w:asciiTheme="minorHAnsi" w:hAnsiTheme="minorHAnsi" w:cstheme="minorHAnsi"/>
          <w:bCs/>
          <w:color w:val="auto"/>
        </w:rPr>
        <w:t xml:space="preserve">to </w:t>
      </w:r>
      <w:r w:rsidRPr="00F852C4">
        <w:rPr>
          <w:rFonts w:asciiTheme="minorHAnsi" w:hAnsiTheme="minorHAnsi" w:cstheme="minorHAnsi"/>
          <w:bCs/>
          <w:color w:val="auto"/>
        </w:rPr>
        <w:t xml:space="preserve">use behavior </w:t>
      </w:r>
      <w:r w:rsidR="00146D73">
        <w:rPr>
          <w:rFonts w:asciiTheme="minorHAnsi" w:hAnsiTheme="minorHAnsi" w:cstheme="minorHAnsi"/>
          <w:bCs/>
          <w:color w:val="auto"/>
        </w:rPr>
        <w:t xml:space="preserve">(i.e., </w:t>
      </w:r>
      <w:r w:rsidRPr="00F852C4">
        <w:rPr>
          <w:rFonts w:asciiTheme="minorHAnsi" w:hAnsiTheme="minorHAnsi" w:cstheme="minorHAnsi"/>
          <w:bCs/>
          <w:color w:val="auto"/>
        </w:rPr>
        <w:t>chemotaxis</w:t>
      </w:r>
      <w:r w:rsidR="00146D73">
        <w:rPr>
          <w:rFonts w:asciiTheme="minorHAnsi" w:hAnsiTheme="minorHAnsi" w:cstheme="minorHAnsi"/>
          <w:bCs/>
          <w:color w:val="auto"/>
        </w:rPr>
        <w:t>)</w:t>
      </w:r>
      <w:r w:rsidRPr="00F852C4">
        <w:rPr>
          <w:rFonts w:asciiTheme="minorHAnsi" w:hAnsiTheme="minorHAnsi" w:cstheme="minorHAnsi"/>
          <w:bCs/>
          <w:color w:val="auto"/>
        </w:rPr>
        <w:t xml:space="preserve"> </w:t>
      </w:r>
      <w:r w:rsidR="008A45C5" w:rsidRPr="00F852C4">
        <w:rPr>
          <w:rFonts w:asciiTheme="minorHAnsi" w:hAnsiTheme="minorHAnsi" w:cstheme="minorHAnsi"/>
          <w:bCs/>
          <w:color w:val="auto"/>
        </w:rPr>
        <w:t>facilitate</w:t>
      </w:r>
      <w:r w:rsidR="00E9420B" w:rsidRPr="00F852C4">
        <w:rPr>
          <w:rFonts w:asciiTheme="minorHAnsi" w:hAnsiTheme="minorHAnsi" w:cstheme="minorHAnsi"/>
          <w:bCs/>
          <w:color w:val="auto"/>
        </w:rPr>
        <w:t>s</w:t>
      </w:r>
      <w:r w:rsidR="008A45C5" w:rsidRPr="00F852C4">
        <w:rPr>
          <w:rFonts w:asciiTheme="minorHAnsi" w:hAnsiTheme="minorHAnsi" w:cstheme="minorHAnsi"/>
          <w:bCs/>
          <w:color w:val="auto"/>
        </w:rPr>
        <w:t xml:space="preserve"> foraging with</w:t>
      </w:r>
      <w:r w:rsidRPr="00F852C4">
        <w:rPr>
          <w:rFonts w:asciiTheme="minorHAnsi" w:hAnsiTheme="minorHAnsi" w:cstheme="minorHAnsi"/>
          <w:bCs/>
          <w:color w:val="auto"/>
        </w:rPr>
        <w:t>in these heterogeneous microenvironments</w:t>
      </w:r>
      <w:r w:rsidR="009940D8" w:rsidRPr="00F852C4">
        <w:rPr>
          <w:rFonts w:asciiTheme="minorHAnsi" w:hAnsiTheme="minorHAnsi" w:cstheme="minorHAnsi"/>
          <w:bCs/>
          <w:color w:val="auto"/>
        </w:rPr>
        <w:fldChar w:fldCharType="begin"/>
      </w:r>
      <w:r w:rsidR="00BB094B">
        <w:rPr>
          <w:rFonts w:asciiTheme="minorHAnsi" w:hAnsiTheme="minorHAnsi" w:cstheme="minorHAnsi"/>
          <w:bCs/>
          <w:color w:val="auto"/>
        </w:rPr>
        <w:instrText xml:space="preserve"> ADDIN ZOTERO_ITEM CSL_CITATION {"citationID":"NZ6TgNPf","properties":{"formattedCitation":"\\super 1\\nosupersub{}","plainCitation":"1","noteIndex":0},"citationItems":[{"id":93,"uris":["http://zotero.org/users/local/eoOr01tb/items/4LD9ZR7U"],"uri":["http://zotero.org/users/local/eoOr01tb/items/4LD9ZR7U"],"itemData":{"id":93,"type":"article-journal","abstract":"Marine bacteria influence Earth’s environmental dynamics in fundamental ways by controlling the biogeochemistry and productivity of the oceans. These large-scale consequences result from the combined effect of countless interactions occurring at the level of the individual cells. At these small scales, the ocean is surprisingly heterogeneous, and microbes experience an environment of pervasive and dynamic chemical and physical gradients. Many species actively exploit this heterogeneity, while others rely on gradient-independent adaptations. This is an exciting time to explore this frontier of oceanography, but understanding microbial behavior and competition in the context of the water column’s microarchitecture calls for new ecological frameworks, such as a microbial optimal foraging theory, to determine the relevant trade-offs and global consequences of microbial life in a sea of gradients.","container-title":"Science","DOI":"10.1126/science.1208929","ISSN":"0036-8075, 1095-9203","issue":"6107","language":"en","note":"PMID: 23118182","page":"628-633","source":"science.sciencemag.org","title":"Marine Microbes See a Sea of Gradients","volume":"338","author":[{"family":"Stocker","given":"Roman"}],"issued":{"date-parts":[["2012",11,2]]}}}],"schema":"https://github.com/citation-style-language/schema/raw/master/csl-citation.json"} </w:instrText>
      </w:r>
      <w:r w:rsidR="009940D8" w:rsidRPr="00F852C4">
        <w:rPr>
          <w:rFonts w:asciiTheme="minorHAnsi" w:hAnsiTheme="minorHAnsi" w:cstheme="minorHAnsi"/>
          <w:bCs/>
          <w:color w:val="auto"/>
        </w:rPr>
        <w:fldChar w:fldCharType="separate"/>
      </w:r>
      <w:r w:rsidR="009940D8" w:rsidRPr="00F852C4">
        <w:rPr>
          <w:rFonts w:asciiTheme="minorHAnsi" w:hAnsiTheme="minorHAnsi" w:cstheme="minorHAnsi"/>
          <w:vertAlign w:val="superscript"/>
        </w:rPr>
        <w:t>1</w:t>
      </w:r>
      <w:r w:rsidR="009940D8" w:rsidRPr="00F852C4">
        <w:rPr>
          <w:rFonts w:asciiTheme="minorHAnsi" w:hAnsiTheme="minorHAnsi" w:cstheme="minorHAnsi"/>
          <w:bCs/>
          <w:color w:val="auto"/>
        </w:rPr>
        <w:fldChar w:fldCharType="end"/>
      </w:r>
      <w:r w:rsidRPr="00F852C4">
        <w:rPr>
          <w:rFonts w:asciiTheme="minorHAnsi" w:hAnsiTheme="minorHAnsi" w:cstheme="minorHAnsi"/>
          <w:bCs/>
          <w:color w:val="auto"/>
        </w:rPr>
        <w:t xml:space="preserve">. Studying chemotaxis directly in the environment </w:t>
      </w:r>
      <w:r w:rsidR="008A45C5" w:rsidRPr="00F852C4">
        <w:rPr>
          <w:rFonts w:asciiTheme="minorHAnsi" w:hAnsiTheme="minorHAnsi" w:cstheme="minorHAnsi"/>
          <w:bCs/>
          <w:color w:val="auto"/>
        </w:rPr>
        <w:t>has the potential to identify</w:t>
      </w:r>
      <w:r w:rsidRPr="00F852C4">
        <w:rPr>
          <w:rFonts w:asciiTheme="minorHAnsi" w:hAnsiTheme="minorHAnsi" w:cstheme="minorHAnsi"/>
          <w:bCs/>
          <w:color w:val="auto"/>
        </w:rPr>
        <w:t xml:space="preserve"> important interspeci</w:t>
      </w:r>
      <w:r w:rsidR="00E9420B" w:rsidRPr="00F852C4">
        <w:rPr>
          <w:rFonts w:asciiTheme="minorHAnsi" w:hAnsiTheme="minorHAnsi" w:cstheme="minorHAnsi"/>
          <w:bCs/>
          <w:color w:val="auto"/>
        </w:rPr>
        <w:t>fic</w:t>
      </w:r>
      <w:r w:rsidRPr="00F852C4">
        <w:rPr>
          <w:rFonts w:asciiTheme="minorHAnsi" w:hAnsiTheme="minorHAnsi" w:cstheme="minorHAnsi"/>
          <w:bCs/>
          <w:color w:val="auto"/>
        </w:rPr>
        <w:t xml:space="preserve"> interactions</w:t>
      </w:r>
      <w:r w:rsidR="00E9420B" w:rsidRPr="00F852C4">
        <w:rPr>
          <w:rFonts w:asciiTheme="minorHAnsi" w:hAnsiTheme="minorHAnsi" w:cstheme="minorHAnsi"/>
          <w:bCs/>
          <w:color w:val="auto"/>
        </w:rPr>
        <w:t xml:space="preserve"> and</w:t>
      </w:r>
      <w:r w:rsidRPr="00F852C4">
        <w:rPr>
          <w:rFonts w:asciiTheme="minorHAnsi" w:hAnsiTheme="minorHAnsi" w:cstheme="minorHAnsi"/>
          <w:bCs/>
          <w:color w:val="auto"/>
        </w:rPr>
        <w:t xml:space="preserve"> chemical preferences</w:t>
      </w:r>
      <w:r w:rsidR="00E9420B" w:rsidRPr="00F852C4">
        <w:rPr>
          <w:rFonts w:asciiTheme="minorHAnsi" w:hAnsiTheme="minorHAnsi" w:cstheme="minorHAnsi"/>
          <w:bCs/>
          <w:color w:val="auto"/>
        </w:rPr>
        <w:t>,</w:t>
      </w:r>
      <w:r w:rsidRPr="00F852C4">
        <w:rPr>
          <w:rFonts w:asciiTheme="minorHAnsi" w:hAnsiTheme="minorHAnsi" w:cstheme="minorHAnsi"/>
          <w:bCs/>
          <w:color w:val="auto"/>
        </w:rPr>
        <w:t xml:space="preserve"> and </w:t>
      </w:r>
      <w:r w:rsidR="00A748D6">
        <w:rPr>
          <w:rFonts w:asciiTheme="minorHAnsi" w:hAnsiTheme="minorHAnsi" w:cstheme="minorHAnsi"/>
          <w:bCs/>
          <w:color w:val="auto"/>
        </w:rPr>
        <w:t xml:space="preserve">this </w:t>
      </w:r>
      <w:r w:rsidR="00680933">
        <w:rPr>
          <w:rFonts w:asciiTheme="minorHAnsi" w:hAnsiTheme="minorHAnsi" w:cstheme="minorHAnsi"/>
          <w:bCs/>
          <w:color w:val="auto"/>
        </w:rPr>
        <w:t>can</w:t>
      </w:r>
      <w:r w:rsidR="00A748D6">
        <w:rPr>
          <w:rFonts w:asciiTheme="minorHAnsi" w:hAnsiTheme="minorHAnsi" w:cstheme="minorHAnsi"/>
          <w:bCs/>
          <w:color w:val="auto"/>
        </w:rPr>
        <w:t xml:space="preserve"> help</w:t>
      </w:r>
      <w:r w:rsidRPr="00F852C4">
        <w:rPr>
          <w:rFonts w:asciiTheme="minorHAnsi" w:hAnsiTheme="minorHAnsi" w:cstheme="minorHAnsi"/>
          <w:bCs/>
          <w:color w:val="auto"/>
        </w:rPr>
        <w:t xml:space="preserve"> untangle the contribution</w:t>
      </w:r>
      <w:r w:rsidR="00E9420B" w:rsidRPr="00F852C4">
        <w:rPr>
          <w:rFonts w:asciiTheme="minorHAnsi" w:hAnsiTheme="minorHAnsi" w:cstheme="minorHAnsi"/>
          <w:bCs/>
          <w:color w:val="auto"/>
        </w:rPr>
        <w:t>s</w:t>
      </w:r>
      <w:r w:rsidRPr="00F852C4">
        <w:rPr>
          <w:rFonts w:asciiTheme="minorHAnsi" w:hAnsiTheme="minorHAnsi" w:cstheme="minorHAnsi"/>
          <w:bCs/>
          <w:color w:val="auto"/>
        </w:rPr>
        <w:t xml:space="preserve"> of specific microbes </w:t>
      </w:r>
      <w:r w:rsidR="00E9420B" w:rsidRPr="00F852C4">
        <w:rPr>
          <w:rFonts w:asciiTheme="minorHAnsi" w:hAnsiTheme="minorHAnsi" w:cstheme="minorHAnsi"/>
          <w:bCs/>
          <w:color w:val="auto"/>
        </w:rPr>
        <w:t xml:space="preserve">to </w:t>
      </w:r>
      <w:r w:rsidRPr="00F852C4">
        <w:rPr>
          <w:rFonts w:asciiTheme="minorHAnsi" w:hAnsiTheme="minorHAnsi" w:cstheme="minorHAnsi"/>
          <w:bCs/>
          <w:color w:val="auto"/>
        </w:rPr>
        <w:t xml:space="preserve">biogeochemical processes. </w:t>
      </w:r>
      <w:r w:rsidR="00A748D6">
        <w:rPr>
          <w:rFonts w:asciiTheme="minorHAnsi" w:hAnsiTheme="minorHAnsi" w:cstheme="minorHAnsi"/>
          <w:bCs/>
          <w:color w:val="auto"/>
        </w:rPr>
        <w:t xml:space="preserve">The presented protocol </w:t>
      </w:r>
      <w:r w:rsidRPr="00F852C4">
        <w:rPr>
          <w:rFonts w:asciiTheme="minorHAnsi" w:hAnsiTheme="minorHAnsi" w:cstheme="minorHAnsi"/>
          <w:bCs/>
          <w:color w:val="auto"/>
        </w:rPr>
        <w:t>deploy</w:t>
      </w:r>
      <w:r w:rsidR="00A748D6">
        <w:rPr>
          <w:rFonts w:asciiTheme="minorHAnsi" w:hAnsiTheme="minorHAnsi" w:cstheme="minorHAnsi"/>
          <w:bCs/>
          <w:color w:val="auto"/>
        </w:rPr>
        <w:t>s</w:t>
      </w:r>
      <w:r w:rsidRPr="00F852C4">
        <w:rPr>
          <w:rFonts w:asciiTheme="minorHAnsi" w:hAnsiTheme="minorHAnsi" w:cstheme="minorHAnsi"/>
          <w:bCs/>
          <w:color w:val="auto"/>
        </w:rPr>
        <w:t xml:space="preserve"> the ISCA in the environment</w:t>
      </w:r>
      <w:r w:rsidR="009940D8" w:rsidRPr="00F852C4">
        <w:rPr>
          <w:rFonts w:asciiTheme="minorHAnsi" w:hAnsiTheme="minorHAnsi" w:cstheme="minorHAnsi"/>
          <w:bCs/>
          <w:color w:val="auto"/>
        </w:rPr>
        <w:fldChar w:fldCharType="begin"/>
      </w:r>
      <w:r w:rsidR="00BB094B">
        <w:rPr>
          <w:rFonts w:asciiTheme="minorHAnsi" w:hAnsiTheme="minorHAnsi" w:cstheme="minorHAnsi"/>
          <w:bCs/>
          <w:color w:val="auto"/>
        </w:rPr>
        <w:instrText xml:space="preserve"> ADDIN ZOTERO_ITEM CSL_CITATION {"citationID":"STlOxx3C","properties":{"formattedCitation":"\\super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9940D8" w:rsidRPr="00F852C4">
        <w:rPr>
          <w:rFonts w:asciiTheme="minorHAnsi" w:hAnsiTheme="minorHAnsi" w:cstheme="minorHAnsi"/>
          <w:bCs/>
          <w:color w:val="auto"/>
        </w:rPr>
        <w:fldChar w:fldCharType="separate"/>
      </w:r>
      <w:r w:rsidR="009940D8" w:rsidRPr="00F852C4">
        <w:rPr>
          <w:rFonts w:asciiTheme="minorHAnsi" w:hAnsiTheme="minorHAnsi" w:cstheme="minorHAnsi"/>
          <w:vertAlign w:val="superscript"/>
        </w:rPr>
        <w:t>11</w:t>
      </w:r>
      <w:r w:rsidR="009940D8" w:rsidRPr="00F852C4">
        <w:rPr>
          <w:rFonts w:asciiTheme="minorHAnsi" w:hAnsiTheme="minorHAnsi" w:cstheme="minorHAnsi"/>
          <w:bCs/>
          <w:color w:val="auto"/>
        </w:rPr>
        <w:fldChar w:fldCharType="end"/>
      </w:r>
      <w:r w:rsidR="009940D8" w:rsidRPr="00F852C4">
        <w:rPr>
          <w:rFonts w:asciiTheme="minorHAnsi" w:hAnsiTheme="minorHAnsi" w:cstheme="minorHAnsi"/>
          <w:bCs/>
          <w:color w:val="auto"/>
        </w:rPr>
        <w:t xml:space="preserve"> </w:t>
      </w:r>
      <w:r w:rsidRPr="00F852C4">
        <w:rPr>
          <w:rFonts w:asciiTheme="minorHAnsi" w:hAnsiTheme="minorHAnsi" w:cstheme="minorHAnsi"/>
          <w:color w:val="auto"/>
        </w:rPr>
        <w:t xml:space="preserve">to </w:t>
      </w:r>
      <w:r w:rsidR="00E85FC1" w:rsidRPr="00F852C4">
        <w:rPr>
          <w:rFonts w:asciiTheme="minorHAnsi" w:hAnsiTheme="minorHAnsi" w:cstheme="minorHAnsi"/>
          <w:color w:val="auto"/>
        </w:rPr>
        <w:t xml:space="preserve">facilitate the acquisition of </w:t>
      </w:r>
      <w:r w:rsidRPr="00F852C4">
        <w:rPr>
          <w:rFonts w:asciiTheme="minorHAnsi" w:hAnsiTheme="minorHAnsi" w:cstheme="minorHAnsi"/>
          <w:color w:val="auto"/>
        </w:rPr>
        <w:t xml:space="preserve">reproducible research on </w:t>
      </w:r>
      <w:r w:rsidRPr="00F852C4">
        <w:rPr>
          <w:rFonts w:asciiTheme="minorHAnsi" w:hAnsiTheme="minorHAnsi" w:cstheme="minorHAnsi"/>
          <w:bCs/>
          <w:color w:val="auto"/>
        </w:rPr>
        <w:t xml:space="preserve">chemotaxis </w:t>
      </w:r>
      <w:r w:rsidRPr="00344E04">
        <w:rPr>
          <w:rFonts w:asciiTheme="minorHAnsi" w:hAnsiTheme="minorHAnsi" w:cstheme="minorHAnsi"/>
          <w:bCs/>
          <w:iCs/>
          <w:color w:val="auto"/>
        </w:rPr>
        <w:t>in situ</w:t>
      </w:r>
      <w:r w:rsidRPr="005C2C7B">
        <w:rPr>
          <w:rFonts w:asciiTheme="minorHAnsi" w:hAnsiTheme="minorHAnsi" w:cstheme="minorHAnsi"/>
          <w:bCs/>
          <w:iCs/>
          <w:color w:val="auto"/>
        </w:rPr>
        <w:t>.</w:t>
      </w:r>
      <w:r w:rsidRPr="00F852C4">
        <w:rPr>
          <w:rFonts w:asciiTheme="minorHAnsi" w:hAnsiTheme="minorHAnsi" w:cstheme="minorHAnsi"/>
          <w:bCs/>
          <w:color w:val="auto"/>
        </w:rPr>
        <w:t xml:space="preserve"> </w:t>
      </w:r>
    </w:p>
    <w:p w14:paraId="2617C406" w14:textId="77777777" w:rsidR="00EA4820" w:rsidRPr="00F852C4" w:rsidRDefault="00EA4820" w:rsidP="00344E04">
      <w:pPr>
        <w:rPr>
          <w:rFonts w:asciiTheme="minorHAnsi" w:hAnsiTheme="minorHAnsi" w:cstheme="minorHAnsi"/>
          <w:bCs/>
          <w:color w:val="auto"/>
        </w:rPr>
      </w:pPr>
    </w:p>
    <w:p w14:paraId="29735ACB" w14:textId="64A8496D" w:rsidR="00EA4820" w:rsidRPr="00F852C4" w:rsidRDefault="00680933" w:rsidP="00344E04">
      <w:pPr>
        <w:rPr>
          <w:rFonts w:asciiTheme="minorHAnsi" w:hAnsiTheme="minorHAnsi" w:cstheme="minorHAnsi"/>
          <w:bCs/>
          <w:color w:val="auto"/>
        </w:rPr>
      </w:pPr>
      <w:r>
        <w:rPr>
          <w:rFonts w:asciiTheme="minorHAnsi" w:hAnsiTheme="minorHAnsi" w:cstheme="minorHAnsi"/>
          <w:bCs/>
          <w:color w:val="auto"/>
        </w:rPr>
        <w:t xml:space="preserve">Using the ISCA, </w:t>
      </w:r>
      <w:r w:rsidR="00A748D6">
        <w:rPr>
          <w:rFonts w:asciiTheme="minorHAnsi" w:hAnsiTheme="minorHAnsi" w:cstheme="minorHAnsi"/>
          <w:bCs/>
          <w:color w:val="auto"/>
        </w:rPr>
        <w:t>it is</w:t>
      </w:r>
      <w:r>
        <w:rPr>
          <w:rFonts w:asciiTheme="minorHAnsi" w:hAnsiTheme="minorHAnsi" w:cstheme="minorHAnsi"/>
          <w:bCs/>
          <w:color w:val="auto"/>
        </w:rPr>
        <w:t xml:space="preserve"> show</w:t>
      </w:r>
      <w:r w:rsidR="00A748D6">
        <w:rPr>
          <w:rFonts w:asciiTheme="minorHAnsi" w:hAnsiTheme="minorHAnsi" w:cstheme="minorHAnsi"/>
          <w:bCs/>
          <w:color w:val="auto"/>
        </w:rPr>
        <w:t>n</w:t>
      </w:r>
      <w:r>
        <w:rPr>
          <w:rFonts w:asciiTheme="minorHAnsi" w:hAnsiTheme="minorHAnsi" w:cstheme="minorHAnsi"/>
          <w:bCs/>
          <w:color w:val="auto"/>
        </w:rPr>
        <w:t xml:space="preserve"> that</w:t>
      </w:r>
      <w:r w:rsidR="00EA4820" w:rsidRPr="00F852C4">
        <w:rPr>
          <w:rFonts w:asciiTheme="minorHAnsi" w:hAnsiTheme="minorHAnsi" w:cstheme="minorHAnsi"/>
          <w:bCs/>
          <w:color w:val="auto"/>
        </w:rPr>
        <w:t xml:space="preserve"> glutamine elicit</w:t>
      </w:r>
      <w:r w:rsidR="00A748D6">
        <w:rPr>
          <w:rFonts w:asciiTheme="minorHAnsi" w:hAnsiTheme="minorHAnsi" w:cstheme="minorHAnsi"/>
          <w:bCs/>
          <w:color w:val="auto"/>
        </w:rPr>
        <w:t>s</w:t>
      </w:r>
      <w:r w:rsidR="00EA4820" w:rsidRPr="00F852C4">
        <w:rPr>
          <w:rFonts w:asciiTheme="minorHAnsi" w:hAnsiTheme="minorHAnsi" w:cstheme="minorHAnsi"/>
          <w:bCs/>
          <w:color w:val="auto"/>
        </w:rPr>
        <w:t xml:space="preserve"> a positive chemotactic response both in laboratory conditions and in the field. The ISCA deployment of glutamine in the field yield</w:t>
      </w:r>
      <w:r w:rsidR="00A748D6">
        <w:rPr>
          <w:rFonts w:asciiTheme="minorHAnsi" w:hAnsiTheme="minorHAnsi" w:cstheme="minorHAnsi"/>
          <w:bCs/>
          <w:color w:val="auto"/>
        </w:rPr>
        <w:t>s</w:t>
      </w:r>
      <w:r w:rsidR="00EA4820" w:rsidRPr="00F852C4">
        <w:rPr>
          <w:rFonts w:asciiTheme="minorHAnsi" w:hAnsiTheme="minorHAnsi" w:cstheme="minorHAnsi"/>
          <w:bCs/>
          <w:color w:val="auto"/>
        </w:rPr>
        <w:t xml:space="preserve"> a lower chemota</w:t>
      </w:r>
      <w:r w:rsidR="00E85FC1" w:rsidRPr="00F852C4">
        <w:rPr>
          <w:rFonts w:asciiTheme="minorHAnsi" w:hAnsiTheme="minorHAnsi" w:cstheme="minorHAnsi"/>
          <w:bCs/>
          <w:color w:val="auto"/>
        </w:rPr>
        <w:t>ctic</w:t>
      </w:r>
      <w:r w:rsidR="00EA4820" w:rsidRPr="00F852C4">
        <w:rPr>
          <w:rFonts w:asciiTheme="minorHAnsi" w:hAnsiTheme="minorHAnsi" w:cstheme="minorHAnsi"/>
          <w:bCs/>
          <w:color w:val="auto"/>
        </w:rPr>
        <w:t xml:space="preserve"> response than in the laboratory (</w:t>
      </w:r>
      <w:r w:rsidR="00D37E38" w:rsidRPr="00D37E38">
        <w:rPr>
          <w:rFonts w:asciiTheme="minorHAnsi" w:hAnsiTheme="minorHAnsi" w:cstheme="minorHAnsi"/>
          <w:b/>
          <w:bCs/>
          <w:color w:val="auto"/>
        </w:rPr>
        <w:t>Figure 5</w:t>
      </w:r>
      <w:r w:rsidR="00EA4820" w:rsidRPr="00F852C4">
        <w:rPr>
          <w:rFonts w:asciiTheme="minorHAnsi" w:hAnsiTheme="minorHAnsi" w:cstheme="minorHAnsi"/>
          <w:bCs/>
          <w:color w:val="auto"/>
        </w:rPr>
        <w:t xml:space="preserve">). </w:t>
      </w:r>
      <w:r w:rsidR="00623104">
        <w:rPr>
          <w:rFonts w:asciiTheme="minorHAnsi" w:hAnsiTheme="minorHAnsi" w:cstheme="minorHAnsi"/>
          <w:bCs/>
          <w:color w:val="auto"/>
        </w:rPr>
        <w:t>Similar patters between laboratory and field experiments have</w:t>
      </w:r>
      <w:r w:rsidR="00623104" w:rsidRPr="00F852C4">
        <w:rPr>
          <w:rFonts w:asciiTheme="minorHAnsi" w:hAnsiTheme="minorHAnsi" w:cstheme="minorHAnsi"/>
          <w:bCs/>
          <w:color w:val="auto"/>
        </w:rPr>
        <w:t xml:space="preserve"> </w:t>
      </w:r>
      <w:r w:rsidR="00623104">
        <w:rPr>
          <w:rFonts w:asciiTheme="minorHAnsi" w:hAnsiTheme="minorHAnsi" w:cstheme="minorHAnsi"/>
          <w:bCs/>
          <w:color w:val="auto"/>
        </w:rPr>
        <w:t>been observed previously</w:t>
      </w:r>
      <w:r w:rsidR="00BB094B">
        <w:rPr>
          <w:rFonts w:asciiTheme="minorHAnsi" w:hAnsiTheme="minorHAnsi" w:cstheme="minorHAnsi"/>
          <w:bCs/>
          <w:color w:val="auto"/>
        </w:rPr>
        <w:fldChar w:fldCharType="begin"/>
      </w:r>
      <w:r w:rsidR="00BB094B">
        <w:rPr>
          <w:rFonts w:asciiTheme="minorHAnsi" w:hAnsiTheme="minorHAnsi" w:cstheme="minorHAnsi"/>
          <w:bCs/>
          <w:color w:val="auto"/>
        </w:rPr>
        <w:instrText xml:space="preserve"> ADDIN ZOTERO_ITEM CSL_CITATION {"citationID":"Z0vi1ikQ","properties":{"formattedCitation":"\\super 11\\nosupersub{}","plainCitation":"11","noteIndex":0},"citationItems":[{"id":52,"uris":["http://zotero.org/users/local/eoOr01tb/items/REVN5VSA"],"uri":["http://zotero.org/users/local/eoOr01tb/items/REVN5VSA"],"itemData":{"id":52,"type":"article-journal","abstract":"Microbial interactions influence the productivity and biogeochemistry of the ocean, yet they occur in miniscule volumes that cannot be sampled by traditional oceanographic techniques. To investigate the behaviours of marine microorganisms at spatially relevant scales, we engineered an in situ chemotaxis assay (ISCA) based on microfluidic technology. Here, we describe the fabrication, testing and first field results of the ISCA, demonstrating its value in accessing the microbial behaviours that shape marine ecosystems.","container-title":"Nature Microbiology","DOI":"10.1038/s41564-017-0010-9","ISSN":"2058-5276","issue":"10","journalAbbreviation":"Nat Microbiol","language":"eng","note":"PMID: 28848238","page":"1344-1349","source":"PubMed","title":"A microfluidics-based in situ chemotaxis assay to study the behaviour of aquatic microbial communities","volume":"2","author":[{"family":"Lambert","given":"Bennett S."},{"family":"Raina","given":"Jean-Baptiste"},{"family":"Fernandez","given":"Vicente I."},{"family":"Rinke","given":"Christian"},{"family":"Siboni","given":"Nachshon"},{"family":"Rubino","given":"Francesco"},{"family":"Hugenholtz","given":"Philip"},{"family":"Tyson","given":"Gene W."},{"family":"Seymour","given":"Justin R."},{"family":"Stocker","given":"Roman"}],"issued":{"date-parts":[["2017",10]]}}}],"schema":"https://github.com/citation-style-language/schema/raw/master/csl-citation.json"} </w:instrText>
      </w:r>
      <w:r w:rsidR="00BB094B">
        <w:rPr>
          <w:rFonts w:asciiTheme="minorHAnsi" w:hAnsiTheme="minorHAnsi" w:cstheme="minorHAnsi"/>
          <w:bCs/>
          <w:color w:val="auto"/>
        </w:rPr>
        <w:fldChar w:fldCharType="separate"/>
      </w:r>
      <w:r w:rsidR="00BB094B" w:rsidRPr="00BB094B">
        <w:rPr>
          <w:vertAlign w:val="superscript"/>
        </w:rPr>
        <w:t>11</w:t>
      </w:r>
      <w:r w:rsidR="00BB094B">
        <w:rPr>
          <w:rFonts w:asciiTheme="minorHAnsi" w:hAnsiTheme="minorHAnsi" w:cstheme="minorHAnsi"/>
          <w:bCs/>
          <w:color w:val="auto"/>
        </w:rPr>
        <w:fldChar w:fldCharType="end"/>
      </w:r>
      <w:r w:rsidR="00A748D6">
        <w:rPr>
          <w:rFonts w:asciiTheme="minorHAnsi" w:hAnsiTheme="minorHAnsi" w:cstheme="minorHAnsi"/>
          <w:bCs/>
          <w:color w:val="auto"/>
        </w:rPr>
        <w:t xml:space="preserve">. These </w:t>
      </w:r>
      <w:r w:rsidR="00EA4820" w:rsidRPr="00F852C4">
        <w:rPr>
          <w:rFonts w:asciiTheme="minorHAnsi" w:hAnsiTheme="minorHAnsi" w:cstheme="minorHAnsi"/>
          <w:bCs/>
          <w:color w:val="auto"/>
        </w:rPr>
        <w:t xml:space="preserve">can be explained by the </w:t>
      </w:r>
      <w:r w:rsidR="00E85FC1" w:rsidRPr="00F852C4">
        <w:rPr>
          <w:rFonts w:asciiTheme="minorHAnsi" w:hAnsiTheme="minorHAnsi" w:cstheme="minorHAnsi"/>
          <w:bCs/>
          <w:color w:val="auto"/>
        </w:rPr>
        <w:t>low</w:t>
      </w:r>
      <w:r>
        <w:rPr>
          <w:rFonts w:asciiTheme="minorHAnsi" w:hAnsiTheme="minorHAnsi" w:cstheme="minorHAnsi"/>
          <w:bCs/>
          <w:color w:val="auto"/>
        </w:rPr>
        <w:t>er</w:t>
      </w:r>
      <w:r w:rsidR="00E85FC1" w:rsidRPr="00F852C4">
        <w:rPr>
          <w:rFonts w:asciiTheme="minorHAnsi" w:hAnsiTheme="minorHAnsi" w:cstheme="minorHAnsi"/>
          <w:bCs/>
          <w:color w:val="auto"/>
        </w:rPr>
        <w:t xml:space="preserve"> </w:t>
      </w:r>
      <w:r w:rsidR="00EA4820" w:rsidRPr="00F852C4">
        <w:rPr>
          <w:rFonts w:asciiTheme="minorHAnsi" w:hAnsiTheme="minorHAnsi" w:cstheme="minorHAnsi"/>
          <w:bCs/>
          <w:color w:val="auto"/>
        </w:rPr>
        <w:t>proportion of motile cells in the environment</w:t>
      </w:r>
      <w:r w:rsidR="00623104">
        <w:rPr>
          <w:rFonts w:asciiTheme="minorHAnsi" w:hAnsiTheme="minorHAnsi" w:cstheme="minorHAnsi"/>
          <w:bCs/>
          <w:color w:val="auto"/>
        </w:rPr>
        <w:t xml:space="preserve"> compared to the enriched communities or single motile isolate used in laboratory assays</w:t>
      </w:r>
      <w:r w:rsidR="00EA4820" w:rsidRPr="00F852C4">
        <w:rPr>
          <w:rFonts w:asciiTheme="minorHAnsi" w:hAnsiTheme="minorHAnsi" w:cstheme="minorHAnsi"/>
          <w:bCs/>
          <w:color w:val="auto"/>
        </w:rPr>
        <w:t>.</w:t>
      </w:r>
    </w:p>
    <w:p w14:paraId="496EE05B" w14:textId="77777777" w:rsidR="00EA4820" w:rsidRPr="00F852C4" w:rsidRDefault="00EA4820" w:rsidP="00344E04">
      <w:pPr>
        <w:rPr>
          <w:rFonts w:asciiTheme="minorHAnsi" w:hAnsiTheme="minorHAnsi" w:cstheme="minorHAnsi"/>
          <w:bCs/>
          <w:color w:val="auto"/>
        </w:rPr>
      </w:pPr>
    </w:p>
    <w:p w14:paraId="3DA1EF41" w14:textId="00388172" w:rsidR="00EA4820" w:rsidRPr="00F852C4" w:rsidRDefault="00EA4820" w:rsidP="00344E04">
      <w:pPr>
        <w:rPr>
          <w:rFonts w:asciiTheme="minorHAnsi" w:hAnsiTheme="minorHAnsi" w:cstheme="minorHAnsi"/>
          <w:bCs/>
          <w:color w:val="auto"/>
        </w:rPr>
      </w:pPr>
      <w:r w:rsidRPr="00F852C4">
        <w:rPr>
          <w:rFonts w:asciiTheme="minorHAnsi" w:hAnsiTheme="minorHAnsi" w:cstheme="minorHAnsi"/>
          <w:bCs/>
          <w:color w:val="auto"/>
        </w:rPr>
        <w:t xml:space="preserve">The importance of preliminary laboratory-based experiments </w:t>
      </w:r>
      <w:r w:rsidR="00A748D6">
        <w:rPr>
          <w:rFonts w:asciiTheme="minorHAnsi" w:hAnsiTheme="minorHAnsi" w:cstheme="minorHAnsi"/>
          <w:bCs/>
          <w:color w:val="auto"/>
        </w:rPr>
        <w:t>should not</w:t>
      </w:r>
      <w:r w:rsidRPr="00F852C4">
        <w:rPr>
          <w:rFonts w:asciiTheme="minorHAnsi" w:hAnsiTheme="minorHAnsi" w:cstheme="minorHAnsi"/>
          <w:bCs/>
          <w:color w:val="auto"/>
        </w:rPr>
        <w:t xml:space="preserve"> be underestimated, as </w:t>
      </w:r>
      <w:r w:rsidR="00CA2DF9" w:rsidRPr="00F852C4">
        <w:rPr>
          <w:rFonts w:asciiTheme="minorHAnsi" w:hAnsiTheme="minorHAnsi" w:cstheme="minorHAnsi"/>
          <w:bCs/>
          <w:color w:val="auto"/>
        </w:rPr>
        <w:lastRenderedPageBreak/>
        <w:t>they permit determination</w:t>
      </w:r>
      <w:r w:rsidR="00710DB2" w:rsidRPr="00F852C4">
        <w:rPr>
          <w:rFonts w:asciiTheme="minorHAnsi" w:hAnsiTheme="minorHAnsi" w:cstheme="minorHAnsi"/>
          <w:bCs/>
          <w:color w:val="auto"/>
        </w:rPr>
        <w:t xml:space="preserve"> of</w:t>
      </w:r>
      <w:r w:rsidRPr="00F852C4">
        <w:rPr>
          <w:rFonts w:asciiTheme="minorHAnsi" w:hAnsiTheme="minorHAnsi" w:cstheme="minorHAnsi"/>
          <w:bCs/>
          <w:color w:val="auto"/>
        </w:rPr>
        <w:t xml:space="preserve"> optimal chemoattractant</w:t>
      </w:r>
      <w:r w:rsidR="00A748D6">
        <w:rPr>
          <w:rFonts w:asciiTheme="minorHAnsi" w:hAnsiTheme="minorHAnsi" w:cstheme="minorHAnsi"/>
          <w:bCs/>
          <w:color w:val="auto"/>
        </w:rPr>
        <w:t xml:space="preserve"> concentrations</w:t>
      </w:r>
      <w:r w:rsidRPr="00F852C4">
        <w:rPr>
          <w:rFonts w:asciiTheme="minorHAnsi" w:hAnsiTheme="minorHAnsi" w:cstheme="minorHAnsi"/>
          <w:bCs/>
          <w:color w:val="auto"/>
        </w:rPr>
        <w:t xml:space="preserve"> to use in field deployments. </w:t>
      </w:r>
      <w:r w:rsidR="00CA2DF9" w:rsidRPr="00F852C4">
        <w:rPr>
          <w:rFonts w:asciiTheme="minorHAnsi" w:hAnsiTheme="minorHAnsi" w:cstheme="minorHAnsi"/>
          <w:bCs/>
          <w:color w:val="auto"/>
        </w:rPr>
        <w:t>The o</w:t>
      </w:r>
      <w:r w:rsidRPr="00F852C4">
        <w:rPr>
          <w:rFonts w:asciiTheme="minorHAnsi" w:hAnsiTheme="minorHAnsi" w:cstheme="minorHAnsi"/>
          <w:bCs/>
          <w:color w:val="auto"/>
        </w:rPr>
        <w:t xml:space="preserve">ptimal concentration is specific to each chemoattractant and influenced by its molecular weight, solubility, and </w:t>
      </w:r>
      <w:r w:rsidR="001A2B7B" w:rsidRPr="00F852C4">
        <w:rPr>
          <w:rFonts w:asciiTheme="minorHAnsi" w:hAnsiTheme="minorHAnsi" w:cstheme="minorHAnsi"/>
          <w:bCs/>
          <w:color w:val="auto"/>
        </w:rPr>
        <w:t>diffusivity from the wells</w:t>
      </w:r>
      <w:r w:rsidRPr="00F852C4">
        <w:rPr>
          <w:rFonts w:asciiTheme="minorHAnsi" w:hAnsiTheme="minorHAnsi" w:cstheme="minorHAnsi"/>
          <w:bCs/>
          <w:color w:val="auto"/>
        </w:rPr>
        <w:t xml:space="preserve">. In </w:t>
      </w:r>
      <w:r w:rsidR="00F20C7E" w:rsidRPr="00F852C4">
        <w:rPr>
          <w:rFonts w:asciiTheme="minorHAnsi" w:hAnsiTheme="minorHAnsi" w:cstheme="minorHAnsi"/>
          <w:bCs/>
          <w:color w:val="auto"/>
        </w:rPr>
        <w:t xml:space="preserve">the </w:t>
      </w:r>
      <w:r w:rsidRPr="00F852C4">
        <w:rPr>
          <w:rFonts w:asciiTheme="minorHAnsi" w:hAnsiTheme="minorHAnsi" w:cstheme="minorHAnsi"/>
          <w:bCs/>
          <w:color w:val="auto"/>
        </w:rPr>
        <w:t xml:space="preserve">case of deployment of multiple </w:t>
      </w:r>
      <w:r w:rsidR="00F20C7E" w:rsidRPr="00F852C4">
        <w:rPr>
          <w:rFonts w:asciiTheme="minorHAnsi" w:hAnsiTheme="minorHAnsi" w:cstheme="minorHAnsi"/>
          <w:bCs/>
          <w:color w:val="auto"/>
        </w:rPr>
        <w:t xml:space="preserve">distinct </w:t>
      </w:r>
      <w:r w:rsidRPr="00F852C4">
        <w:rPr>
          <w:rFonts w:asciiTheme="minorHAnsi" w:hAnsiTheme="minorHAnsi" w:cstheme="minorHAnsi"/>
          <w:bCs/>
          <w:color w:val="auto"/>
        </w:rPr>
        <w:t>substances, each should be tested individually</w:t>
      </w:r>
      <w:r w:rsidR="00F20C7E" w:rsidRPr="00F852C4">
        <w:rPr>
          <w:rFonts w:asciiTheme="minorHAnsi" w:hAnsiTheme="minorHAnsi" w:cstheme="minorHAnsi"/>
          <w:bCs/>
          <w:color w:val="auto"/>
        </w:rPr>
        <w:t xml:space="preserve"> </w:t>
      </w:r>
      <w:r w:rsidRPr="00F852C4">
        <w:rPr>
          <w:rFonts w:asciiTheme="minorHAnsi" w:hAnsiTheme="minorHAnsi" w:cstheme="minorHAnsi"/>
          <w:bCs/>
          <w:color w:val="auto"/>
        </w:rPr>
        <w:t xml:space="preserve">across a concentration range. If no chemotaxis is detected in the field after </w:t>
      </w:r>
      <w:r w:rsidR="00A748D6">
        <w:rPr>
          <w:rFonts w:asciiTheme="minorHAnsi" w:hAnsiTheme="minorHAnsi" w:cstheme="minorHAnsi"/>
          <w:bCs/>
          <w:color w:val="auto"/>
        </w:rPr>
        <w:t>1</w:t>
      </w:r>
      <w:r w:rsidRPr="00F852C4">
        <w:rPr>
          <w:rFonts w:asciiTheme="minorHAnsi" w:hAnsiTheme="minorHAnsi" w:cstheme="minorHAnsi"/>
          <w:bCs/>
          <w:color w:val="auto"/>
        </w:rPr>
        <w:t xml:space="preserve"> h, longer deployment</w:t>
      </w:r>
      <w:r w:rsidR="0016014F" w:rsidRPr="00F852C4">
        <w:rPr>
          <w:rFonts w:asciiTheme="minorHAnsi" w:hAnsiTheme="minorHAnsi" w:cstheme="minorHAnsi"/>
          <w:bCs/>
          <w:color w:val="auto"/>
        </w:rPr>
        <w:t>s</w:t>
      </w:r>
      <w:r w:rsidRPr="00F852C4">
        <w:rPr>
          <w:rFonts w:asciiTheme="minorHAnsi" w:hAnsiTheme="minorHAnsi" w:cstheme="minorHAnsi"/>
          <w:bCs/>
          <w:color w:val="auto"/>
        </w:rPr>
        <w:t xml:space="preserve"> can be carried out. However, the length of the deployment is strongly constrained by </w:t>
      </w:r>
      <w:r w:rsidR="001A2B7B">
        <w:rPr>
          <w:rFonts w:asciiTheme="minorHAnsi" w:hAnsiTheme="minorHAnsi" w:cstheme="minorHAnsi"/>
          <w:bCs/>
          <w:color w:val="auto"/>
        </w:rPr>
        <w:t xml:space="preserve">bacterial growth and should always be shorter than </w:t>
      </w:r>
      <w:r w:rsidRPr="00F852C4">
        <w:rPr>
          <w:rFonts w:asciiTheme="minorHAnsi" w:hAnsiTheme="minorHAnsi" w:cstheme="minorHAnsi"/>
          <w:bCs/>
          <w:color w:val="auto"/>
        </w:rPr>
        <w:t>the d</w:t>
      </w:r>
      <w:r w:rsidR="001A2B7B">
        <w:rPr>
          <w:rFonts w:asciiTheme="minorHAnsi" w:hAnsiTheme="minorHAnsi" w:cstheme="minorHAnsi"/>
          <w:bCs/>
          <w:color w:val="auto"/>
        </w:rPr>
        <w:t>ivision rate</w:t>
      </w:r>
      <w:r w:rsidRPr="00F852C4">
        <w:rPr>
          <w:rFonts w:asciiTheme="minorHAnsi" w:hAnsiTheme="minorHAnsi" w:cstheme="minorHAnsi"/>
          <w:bCs/>
          <w:color w:val="auto"/>
        </w:rPr>
        <w:t xml:space="preserve"> of bacteria in the targeted environment</w:t>
      </w:r>
      <w:r w:rsidR="00A748D6">
        <w:rPr>
          <w:rFonts w:asciiTheme="minorHAnsi" w:hAnsiTheme="minorHAnsi" w:cstheme="minorHAnsi"/>
          <w:bCs/>
          <w:color w:val="auto"/>
        </w:rPr>
        <w:t xml:space="preserve">. This helps </w:t>
      </w:r>
      <w:r w:rsidR="0026728E" w:rsidRPr="00F852C4">
        <w:rPr>
          <w:rFonts w:asciiTheme="minorHAnsi" w:hAnsiTheme="minorHAnsi" w:cstheme="minorHAnsi"/>
          <w:bCs/>
          <w:color w:val="auto"/>
        </w:rPr>
        <w:t>to avoid population growth within the ISCA</w:t>
      </w:r>
      <w:r w:rsidRPr="00F852C4">
        <w:rPr>
          <w:rFonts w:asciiTheme="minorHAnsi" w:hAnsiTheme="minorHAnsi" w:cstheme="minorHAnsi"/>
          <w:bCs/>
          <w:color w:val="auto"/>
        </w:rPr>
        <w:t>.</w:t>
      </w:r>
    </w:p>
    <w:p w14:paraId="0864758C" w14:textId="77777777" w:rsidR="00EA4820" w:rsidRPr="00F852C4" w:rsidRDefault="00EA4820" w:rsidP="00344E04">
      <w:pPr>
        <w:rPr>
          <w:rFonts w:asciiTheme="minorHAnsi" w:hAnsiTheme="minorHAnsi" w:cstheme="minorHAnsi"/>
          <w:bCs/>
          <w:color w:val="auto"/>
        </w:rPr>
      </w:pPr>
    </w:p>
    <w:p w14:paraId="10FE22AD" w14:textId="6C1C2BC8" w:rsidR="00EA4820" w:rsidRPr="0084101D" w:rsidRDefault="00EA4820" w:rsidP="00344E04">
      <w:pPr>
        <w:rPr>
          <w:rFonts w:asciiTheme="minorHAnsi" w:hAnsiTheme="minorHAnsi" w:cstheme="minorHAnsi"/>
        </w:rPr>
      </w:pPr>
      <w:r w:rsidRPr="00F852C4">
        <w:rPr>
          <w:rFonts w:asciiTheme="minorHAnsi" w:hAnsiTheme="minorHAnsi" w:cstheme="minorHAnsi"/>
          <w:bCs/>
          <w:color w:val="auto"/>
        </w:rPr>
        <w:t xml:space="preserve">The ISCA is sensitive to water turbulence and care should be taken when filling and emptying the flow-damping enclosure. These steps </w:t>
      </w:r>
      <w:r w:rsidR="00B519DC" w:rsidRPr="00F852C4">
        <w:rPr>
          <w:rFonts w:asciiTheme="minorHAnsi" w:hAnsiTheme="minorHAnsi" w:cstheme="minorHAnsi"/>
          <w:bCs/>
          <w:color w:val="auto"/>
        </w:rPr>
        <w:t>must</w:t>
      </w:r>
      <w:r w:rsidRPr="00F852C4">
        <w:rPr>
          <w:rFonts w:asciiTheme="minorHAnsi" w:hAnsiTheme="minorHAnsi" w:cstheme="minorHAnsi"/>
          <w:bCs/>
          <w:color w:val="auto"/>
        </w:rPr>
        <w:t xml:space="preserve"> be </w:t>
      </w:r>
      <w:r w:rsidR="00710DB2" w:rsidRPr="00F852C4">
        <w:rPr>
          <w:rFonts w:asciiTheme="minorHAnsi" w:hAnsiTheme="minorHAnsi" w:cstheme="minorHAnsi"/>
          <w:bCs/>
          <w:color w:val="auto"/>
        </w:rPr>
        <w:t xml:space="preserve">performed </w:t>
      </w:r>
      <w:r w:rsidRPr="00F852C4">
        <w:rPr>
          <w:rFonts w:asciiTheme="minorHAnsi" w:hAnsiTheme="minorHAnsi" w:cstheme="minorHAnsi"/>
          <w:bCs/>
          <w:color w:val="auto"/>
        </w:rPr>
        <w:t>slowly</w:t>
      </w:r>
      <w:r w:rsidR="00A748D6">
        <w:rPr>
          <w:rFonts w:asciiTheme="minorHAnsi" w:hAnsiTheme="minorHAnsi" w:cstheme="minorHAnsi"/>
          <w:bCs/>
          <w:color w:val="auto"/>
        </w:rPr>
        <w:t>,</w:t>
      </w:r>
      <w:r w:rsidRPr="00F852C4">
        <w:rPr>
          <w:rFonts w:asciiTheme="minorHAnsi" w:hAnsiTheme="minorHAnsi" w:cstheme="minorHAnsi"/>
          <w:bCs/>
          <w:color w:val="auto"/>
        </w:rPr>
        <w:t xml:space="preserve"> </w:t>
      </w:r>
      <w:r w:rsidR="00B519DC" w:rsidRPr="00F852C4">
        <w:rPr>
          <w:rFonts w:asciiTheme="minorHAnsi" w:hAnsiTheme="minorHAnsi" w:cstheme="minorHAnsi"/>
          <w:bCs/>
          <w:color w:val="auto"/>
        </w:rPr>
        <w:t xml:space="preserve">because </w:t>
      </w:r>
      <w:r w:rsidR="00710DB2" w:rsidRPr="00F852C4">
        <w:rPr>
          <w:rFonts w:asciiTheme="minorHAnsi" w:hAnsiTheme="minorHAnsi" w:cstheme="minorHAnsi"/>
          <w:bCs/>
          <w:color w:val="auto"/>
        </w:rPr>
        <w:t xml:space="preserve">flows resulting from </w:t>
      </w:r>
      <w:r w:rsidRPr="00F852C4">
        <w:rPr>
          <w:rFonts w:asciiTheme="minorHAnsi" w:hAnsiTheme="minorHAnsi" w:cstheme="minorHAnsi"/>
          <w:bCs/>
          <w:color w:val="auto"/>
        </w:rPr>
        <w:t xml:space="preserve">rapid </w:t>
      </w:r>
      <w:r w:rsidR="00710DB2" w:rsidRPr="00F852C4">
        <w:rPr>
          <w:rFonts w:asciiTheme="minorHAnsi" w:hAnsiTheme="minorHAnsi" w:cstheme="minorHAnsi"/>
          <w:bCs/>
          <w:color w:val="auto"/>
        </w:rPr>
        <w:t xml:space="preserve">filling can flush or dilute </w:t>
      </w:r>
      <w:r w:rsidRPr="00F852C4">
        <w:rPr>
          <w:rFonts w:asciiTheme="minorHAnsi" w:hAnsiTheme="minorHAnsi" w:cstheme="minorHAnsi"/>
          <w:bCs/>
          <w:color w:val="auto"/>
        </w:rPr>
        <w:t>the contents of the wells</w:t>
      </w:r>
      <w:r w:rsidR="00A748D6">
        <w:rPr>
          <w:rFonts w:asciiTheme="minorHAnsi" w:hAnsiTheme="minorHAnsi" w:cstheme="minorHAnsi"/>
          <w:bCs/>
          <w:color w:val="auto"/>
        </w:rPr>
        <w:t>. As a result, this</w:t>
      </w:r>
      <w:r w:rsidRPr="00F852C4">
        <w:rPr>
          <w:rFonts w:asciiTheme="minorHAnsi" w:hAnsiTheme="minorHAnsi" w:cstheme="minorHAnsi"/>
          <w:bCs/>
          <w:color w:val="auto"/>
        </w:rPr>
        <w:t xml:space="preserve"> </w:t>
      </w:r>
      <w:r w:rsidR="001B00BB" w:rsidRPr="00F852C4">
        <w:rPr>
          <w:rFonts w:asciiTheme="minorHAnsi" w:hAnsiTheme="minorHAnsi" w:cstheme="minorHAnsi"/>
          <w:bCs/>
          <w:color w:val="auto"/>
        </w:rPr>
        <w:t>remov</w:t>
      </w:r>
      <w:r w:rsidR="00A748D6">
        <w:rPr>
          <w:rFonts w:asciiTheme="minorHAnsi" w:hAnsiTheme="minorHAnsi" w:cstheme="minorHAnsi"/>
          <w:bCs/>
          <w:color w:val="auto"/>
        </w:rPr>
        <w:t>es</w:t>
      </w:r>
      <w:r w:rsidR="001B00BB" w:rsidRPr="00F852C4">
        <w:rPr>
          <w:rFonts w:asciiTheme="minorHAnsi" w:hAnsiTheme="minorHAnsi" w:cstheme="minorHAnsi"/>
          <w:bCs/>
          <w:color w:val="auto"/>
        </w:rPr>
        <w:t xml:space="preserve"> or </w:t>
      </w:r>
      <w:r w:rsidRPr="00F852C4">
        <w:rPr>
          <w:rFonts w:asciiTheme="minorHAnsi" w:hAnsiTheme="minorHAnsi" w:cstheme="minorHAnsi"/>
          <w:bCs/>
          <w:color w:val="auto"/>
        </w:rPr>
        <w:t>prevent</w:t>
      </w:r>
      <w:r w:rsidR="00A748D6">
        <w:rPr>
          <w:rFonts w:asciiTheme="minorHAnsi" w:hAnsiTheme="minorHAnsi" w:cstheme="minorHAnsi"/>
          <w:bCs/>
          <w:color w:val="auto"/>
        </w:rPr>
        <w:t>s</w:t>
      </w:r>
      <w:r w:rsidRPr="00F852C4">
        <w:rPr>
          <w:rFonts w:asciiTheme="minorHAnsi" w:hAnsiTheme="minorHAnsi" w:cstheme="minorHAnsi"/>
          <w:bCs/>
          <w:color w:val="auto"/>
        </w:rPr>
        <w:t xml:space="preserve"> </w:t>
      </w:r>
      <w:proofErr w:type="spellStart"/>
      <w:r w:rsidRPr="00F852C4">
        <w:rPr>
          <w:rFonts w:asciiTheme="minorHAnsi" w:hAnsiTheme="minorHAnsi" w:cstheme="minorHAnsi"/>
          <w:bCs/>
          <w:color w:val="auto"/>
        </w:rPr>
        <w:t>chemoattractants</w:t>
      </w:r>
      <w:proofErr w:type="spellEnd"/>
      <w:r w:rsidRPr="00F852C4">
        <w:rPr>
          <w:rFonts w:asciiTheme="minorHAnsi" w:hAnsiTheme="minorHAnsi" w:cstheme="minorHAnsi"/>
          <w:bCs/>
          <w:color w:val="auto"/>
        </w:rPr>
        <w:t xml:space="preserve"> </w:t>
      </w:r>
      <w:r w:rsidR="00B519DC" w:rsidRPr="00F852C4">
        <w:rPr>
          <w:rFonts w:asciiTheme="minorHAnsi" w:hAnsiTheme="minorHAnsi" w:cstheme="minorHAnsi"/>
          <w:bCs/>
          <w:color w:val="auto"/>
        </w:rPr>
        <w:t xml:space="preserve">from </w:t>
      </w:r>
      <w:r w:rsidRPr="00F852C4">
        <w:rPr>
          <w:rFonts w:asciiTheme="minorHAnsi" w:hAnsiTheme="minorHAnsi" w:cstheme="minorHAnsi"/>
          <w:bCs/>
          <w:color w:val="auto"/>
        </w:rPr>
        <w:t>diffus</w:t>
      </w:r>
      <w:r w:rsidR="00B519DC" w:rsidRPr="00F852C4">
        <w:rPr>
          <w:rFonts w:asciiTheme="minorHAnsi" w:hAnsiTheme="minorHAnsi" w:cstheme="minorHAnsi"/>
          <w:bCs/>
          <w:color w:val="auto"/>
        </w:rPr>
        <w:t>ing</w:t>
      </w:r>
      <w:r w:rsidRPr="00F852C4">
        <w:rPr>
          <w:rFonts w:asciiTheme="minorHAnsi" w:hAnsiTheme="minorHAnsi" w:cstheme="minorHAnsi"/>
          <w:bCs/>
          <w:color w:val="auto"/>
        </w:rPr>
        <w:t xml:space="preserve"> properly or introducing bacteria from the surrounding environment, ultimately biasing cell counts. Fully filling the </w:t>
      </w:r>
      <w:r w:rsidR="00A107C6">
        <w:rPr>
          <w:rFonts w:asciiTheme="minorHAnsi" w:hAnsiTheme="minorHAnsi" w:cstheme="minorHAnsi"/>
          <w:bCs/>
          <w:color w:val="auto"/>
        </w:rPr>
        <w:t>enclosure</w:t>
      </w:r>
      <w:r w:rsidR="00A107C6" w:rsidRPr="00F852C4">
        <w:rPr>
          <w:rFonts w:asciiTheme="minorHAnsi" w:hAnsiTheme="minorHAnsi" w:cstheme="minorHAnsi"/>
          <w:bCs/>
          <w:color w:val="auto"/>
        </w:rPr>
        <w:t xml:space="preserve"> </w:t>
      </w:r>
      <w:r w:rsidRPr="00F852C4">
        <w:rPr>
          <w:rFonts w:asciiTheme="minorHAnsi" w:hAnsiTheme="minorHAnsi" w:cstheme="minorHAnsi"/>
          <w:bCs/>
          <w:color w:val="auto"/>
        </w:rPr>
        <w:t>with water</w:t>
      </w:r>
      <w:r w:rsidR="00710DB2" w:rsidRPr="00F852C4">
        <w:rPr>
          <w:rFonts w:asciiTheme="minorHAnsi" w:hAnsiTheme="minorHAnsi" w:cstheme="minorHAnsi"/>
          <w:bCs/>
          <w:color w:val="auto"/>
        </w:rPr>
        <w:t xml:space="preserve"> while </w:t>
      </w:r>
      <w:r w:rsidRPr="00F852C4">
        <w:rPr>
          <w:rFonts w:asciiTheme="minorHAnsi" w:hAnsiTheme="minorHAnsi" w:cstheme="minorHAnsi"/>
          <w:bCs/>
          <w:color w:val="auto"/>
        </w:rPr>
        <w:t>venting all air</w:t>
      </w:r>
      <w:r w:rsidR="00710DB2" w:rsidRPr="00F852C4">
        <w:rPr>
          <w:rFonts w:asciiTheme="minorHAnsi" w:hAnsiTheme="minorHAnsi" w:cstheme="minorHAnsi"/>
          <w:bCs/>
          <w:color w:val="auto"/>
        </w:rPr>
        <w:t xml:space="preserve">, </w:t>
      </w:r>
      <w:r w:rsidR="00A748D6">
        <w:rPr>
          <w:rFonts w:asciiTheme="minorHAnsi" w:hAnsiTheme="minorHAnsi" w:cstheme="minorHAnsi"/>
          <w:bCs/>
          <w:color w:val="auto"/>
        </w:rPr>
        <w:t>then c</w:t>
      </w:r>
      <w:r w:rsidRPr="00F852C4">
        <w:rPr>
          <w:rFonts w:asciiTheme="minorHAnsi" w:hAnsiTheme="minorHAnsi" w:cstheme="minorHAnsi"/>
          <w:bCs/>
          <w:color w:val="auto"/>
        </w:rPr>
        <w:t xml:space="preserve">losing it </w:t>
      </w:r>
      <w:r w:rsidR="00710DB2" w:rsidRPr="00F852C4">
        <w:rPr>
          <w:rFonts w:asciiTheme="minorHAnsi" w:hAnsiTheme="minorHAnsi" w:cstheme="minorHAnsi"/>
          <w:bCs/>
          <w:color w:val="auto"/>
        </w:rPr>
        <w:t>completely</w:t>
      </w:r>
      <w:r w:rsidR="00A748D6">
        <w:rPr>
          <w:rFonts w:asciiTheme="minorHAnsi" w:hAnsiTheme="minorHAnsi" w:cstheme="minorHAnsi"/>
          <w:bCs/>
          <w:color w:val="auto"/>
        </w:rPr>
        <w:t>,</w:t>
      </w:r>
      <w:r w:rsidR="00710DB2" w:rsidRPr="00F852C4">
        <w:rPr>
          <w:rFonts w:asciiTheme="minorHAnsi" w:hAnsiTheme="minorHAnsi" w:cstheme="minorHAnsi"/>
          <w:bCs/>
          <w:color w:val="auto"/>
        </w:rPr>
        <w:t xml:space="preserve"> </w:t>
      </w:r>
      <w:r w:rsidRPr="00F852C4">
        <w:rPr>
          <w:rFonts w:asciiTheme="minorHAnsi" w:hAnsiTheme="minorHAnsi" w:cstheme="minorHAnsi"/>
          <w:bCs/>
          <w:color w:val="auto"/>
        </w:rPr>
        <w:t xml:space="preserve">ensures that turbulence </w:t>
      </w:r>
      <w:r w:rsidR="00710DB2" w:rsidRPr="00F852C4">
        <w:rPr>
          <w:rFonts w:asciiTheme="minorHAnsi" w:hAnsiTheme="minorHAnsi" w:cstheme="minorHAnsi"/>
          <w:bCs/>
          <w:color w:val="auto"/>
        </w:rPr>
        <w:t>will not interfere with</w:t>
      </w:r>
      <w:r w:rsidRPr="00F852C4">
        <w:rPr>
          <w:rFonts w:asciiTheme="minorHAnsi" w:hAnsiTheme="minorHAnsi" w:cstheme="minorHAnsi"/>
          <w:bCs/>
          <w:color w:val="auto"/>
        </w:rPr>
        <w:t xml:space="preserve"> the deployment. </w:t>
      </w:r>
      <w:r w:rsidRPr="0084101D">
        <w:rPr>
          <w:rFonts w:asciiTheme="minorHAnsi" w:hAnsiTheme="minorHAnsi" w:cstheme="minorHAnsi"/>
        </w:rPr>
        <w:t>Collecting metadata at the deployment site (</w:t>
      </w:r>
      <w:r w:rsidR="00A748D6">
        <w:rPr>
          <w:rFonts w:asciiTheme="minorHAnsi" w:hAnsiTheme="minorHAnsi" w:cstheme="minorHAnsi"/>
        </w:rPr>
        <w:t>i.e.,</w:t>
      </w:r>
      <w:r w:rsidRPr="0084101D">
        <w:rPr>
          <w:rFonts w:asciiTheme="minorHAnsi" w:hAnsiTheme="minorHAnsi" w:cstheme="minorHAnsi"/>
        </w:rPr>
        <w:t xml:space="preserve"> temperature, salinity, chlorophyll</w:t>
      </w:r>
      <w:r w:rsidR="00A748D6">
        <w:rPr>
          <w:rFonts w:asciiTheme="minorHAnsi" w:hAnsiTheme="minorHAnsi" w:cstheme="minorHAnsi"/>
        </w:rPr>
        <w:t>/</w:t>
      </w:r>
      <w:r w:rsidRPr="0084101D">
        <w:rPr>
          <w:rFonts w:asciiTheme="minorHAnsi" w:hAnsiTheme="minorHAnsi" w:cstheme="minorHAnsi"/>
        </w:rPr>
        <w:t>nutrient concentration) is also a critical step to interpret results</w:t>
      </w:r>
      <w:r w:rsidR="00277B84" w:rsidRPr="0084101D">
        <w:rPr>
          <w:rFonts w:asciiTheme="minorHAnsi" w:hAnsiTheme="minorHAnsi" w:cstheme="minorHAnsi"/>
        </w:rPr>
        <w:t>,</w:t>
      </w:r>
      <w:r w:rsidRPr="0084101D">
        <w:rPr>
          <w:rFonts w:asciiTheme="minorHAnsi" w:hAnsiTheme="minorHAnsi" w:cstheme="minorHAnsi"/>
        </w:rPr>
        <w:t xml:space="preserve"> as the</w:t>
      </w:r>
      <w:r w:rsidR="00277B84" w:rsidRPr="0084101D">
        <w:rPr>
          <w:rFonts w:asciiTheme="minorHAnsi" w:hAnsiTheme="minorHAnsi" w:cstheme="minorHAnsi"/>
        </w:rPr>
        <w:t>se</w:t>
      </w:r>
      <w:r w:rsidRPr="0084101D">
        <w:rPr>
          <w:rFonts w:asciiTheme="minorHAnsi" w:hAnsiTheme="minorHAnsi" w:cstheme="minorHAnsi"/>
        </w:rPr>
        <w:t xml:space="preserve"> </w:t>
      </w:r>
      <w:r w:rsidR="00A748D6">
        <w:rPr>
          <w:rFonts w:asciiTheme="minorHAnsi" w:hAnsiTheme="minorHAnsi" w:cstheme="minorHAnsi"/>
        </w:rPr>
        <w:t xml:space="preserve">factors </w:t>
      </w:r>
      <w:r w:rsidRPr="0084101D">
        <w:rPr>
          <w:rFonts w:asciiTheme="minorHAnsi" w:hAnsiTheme="minorHAnsi" w:cstheme="minorHAnsi"/>
        </w:rPr>
        <w:t xml:space="preserve">can influence chemotaxis. </w:t>
      </w:r>
    </w:p>
    <w:p w14:paraId="0084FDC6" w14:textId="77777777" w:rsidR="00EA4820" w:rsidRPr="00F852C4" w:rsidRDefault="00EA4820" w:rsidP="00344E04">
      <w:pPr>
        <w:rPr>
          <w:rFonts w:asciiTheme="minorHAnsi" w:hAnsiTheme="minorHAnsi" w:cstheme="minorHAnsi"/>
          <w:color w:val="auto"/>
        </w:rPr>
      </w:pPr>
    </w:p>
    <w:p w14:paraId="1EA06604" w14:textId="553F5B97"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 xml:space="preserve">The ISCA </w:t>
      </w:r>
      <w:r w:rsidR="005D2C0C" w:rsidRPr="00F852C4">
        <w:rPr>
          <w:rFonts w:asciiTheme="minorHAnsi" w:hAnsiTheme="minorHAnsi" w:cstheme="minorHAnsi"/>
          <w:color w:val="auto"/>
        </w:rPr>
        <w:t xml:space="preserve">is an accessible, user-friendly device that </w:t>
      </w:r>
      <w:r w:rsidR="00A748D6">
        <w:rPr>
          <w:rFonts w:asciiTheme="minorHAnsi" w:hAnsiTheme="minorHAnsi" w:cstheme="minorHAnsi"/>
          <w:color w:val="auto"/>
        </w:rPr>
        <w:t>provides</w:t>
      </w:r>
      <w:r w:rsidR="005D2C0C" w:rsidRPr="00F852C4">
        <w:rPr>
          <w:rFonts w:asciiTheme="minorHAnsi" w:hAnsiTheme="minorHAnsi" w:cstheme="minorHAnsi"/>
          <w:color w:val="auto"/>
        </w:rPr>
        <w:t xml:space="preserve"> </w:t>
      </w:r>
      <w:r w:rsidR="00D679AD" w:rsidRPr="00F852C4">
        <w:rPr>
          <w:rFonts w:asciiTheme="minorHAnsi" w:hAnsiTheme="minorHAnsi" w:cstheme="minorHAnsi"/>
          <w:color w:val="auto"/>
        </w:rPr>
        <w:t>new</w:t>
      </w:r>
      <w:r w:rsidR="005D2C0C" w:rsidRPr="00F852C4">
        <w:rPr>
          <w:rFonts w:asciiTheme="minorHAnsi" w:hAnsiTheme="minorHAnsi" w:cstheme="minorHAnsi"/>
          <w:color w:val="auto"/>
        </w:rPr>
        <w:t xml:space="preserve"> </w:t>
      </w:r>
      <w:r w:rsidR="00D679AD" w:rsidRPr="00F852C4">
        <w:rPr>
          <w:rFonts w:asciiTheme="minorHAnsi" w:hAnsiTheme="minorHAnsi" w:cstheme="minorHAnsi"/>
          <w:color w:val="auto"/>
        </w:rPr>
        <w:t>insights</w:t>
      </w:r>
      <w:r w:rsidR="005D2C0C" w:rsidRPr="00F852C4">
        <w:rPr>
          <w:rFonts w:asciiTheme="minorHAnsi" w:hAnsiTheme="minorHAnsi" w:cstheme="minorHAnsi"/>
          <w:color w:val="auto"/>
        </w:rPr>
        <w:t xml:space="preserve"> </w:t>
      </w:r>
      <w:r w:rsidR="00A748D6">
        <w:rPr>
          <w:rFonts w:asciiTheme="minorHAnsi" w:hAnsiTheme="minorHAnsi" w:cstheme="minorHAnsi"/>
          <w:color w:val="auto"/>
        </w:rPr>
        <w:t>into</w:t>
      </w:r>
      <w:r w:rsidR="005D2C0C" w:rsidRPr="00F852C4">
        <w:rPr>
          <w:rFonts w:asciiTheme="minorHAnsi" w:hAnsiTheme="minorHAnsi" w:cstheme="minorHAnsi"/>
          <w:color w:val="auto"/>
        </w:rPr>
        <w:t xml:space="preserve"> </w:t>
      </w:r>
      <w:r w:rsidR="00D679AD" w:rsidRPr="00F852C4">
        <w:rPr>
          <w:rFonts w:asciiTheme="minorHAnsi" w:hAnsiTheme="minorHAnsi" w:cstheme="minorHAnsi"/>
          <w:color w:val="auto"/>
        </w:rPr>
        <w:t xml:space="preserve">the role and prevalence of </w:t>
      </w:r>
      <w:r w:rsidR="005D2C0C" w:rsidRPr="00F852C4">
        <w:rPr>
          <w:rFonts w:asciiTheme="minorHAnsi" w:hAnsiTheme="minorHAnsi" w:cstheme="minorHAnsi"/>
          <w:color w:val="auto"/>
        </w:rPr>
        <w:t>chemotaxis</w:t>
      </w:r>
      <w:r w:rsidR="00D679AD" w:rsidRPr="00F852C4">
        <w:rPr>
          <w:rFonts w:asciiTheme="minorHAnsi" w:hAnsiTheme="minorHAnsi" w:cstheme="minorHAnsi"/>
          <w:color w:val="auto"/>
        </w:rPr>
        <w:t xml:space="preserve"> in the environment</w:t>
      </w:r>
      <w:r w:rsidR="005D2C0C" w:rsidRPr="00F852C4">
        <w:rPr>
          <w:rFonts w:asciiTheme="minorHAnsi" w:hAnsiTheme="minorHAnsi" w:cstheme="minorHAnsi"/>
          <w:color w:val="auto"/>
        </w:rPr>
        <w:t>.</w:t>
      </w:r>
      <w:r w:rsidR="007118A9" w:rsidRPr="00F852C4">
        <w:rPr>
          <w:rFonts w:asciiTheme="minorHAnsi" w:hAnsiTheme="minorHAnsi" w:cstheme="minorHAnsi"/>
          <w:color w:val="auto"/>
        </w:rPr>
        <w:t xml:space="preserve"> </w:t>
      </w:r>
      <w:r w:rsidR="005D2C0C" w:rsidRPr="00F852C4">
        <w:rPr>
          <w:rFonts w:asciiTheme="minorHAnsi" w:hAnsiTheme="minorHAnsi" w:cstheme="minorHAnsi"/>
          <w:color w:val="auto"/>
        </w:rPr>
        <w:t xml:space="preserve">It </w:t>
      </w:r>
      <w:r w:rsidRPr="00F852C4">
        <w:rPr>
          <w:rFonts w:asciiTheme="minorHAnsi" w:hAnsiTheme="minorHAnsi" w:cstheme="minorHAnsi"/>
          <w:color w:val="auto"/>
        </w:rPr>
        <w:t>enables interrog</w:t>
      </w:r>
      <w:bookmarkStart w:id="7" w:name="_GoBack"/>
      <w:bookmarkEnd w:id="7"/>
      <w:r w:rsidRPr="00F852C4">
        <w:rPr>
          <w:rFonts w:asciiTheme="minorHAnsi" w:hAnsiTheme="minorHAnsi" w:cstheme="minorHAnsi"/>
          <w:color w:val="auto"/>
        </w:rPr>
        <w:t>ation of chemotaxis in any system containing a liquid phase (e.g.</w:t>
      </w:r>
      <w:r w:rsidR="00B519DC" w:rsidRPr="00F852C4">
        <w:rPr>
          <w:rFonts w:asciiTheme="minorHAnsi" w:hAnsiTheme="minorHAnsi" w:cstheme="minorHAnsi"/>
          <w:color w:val="auto"/>
        </w:rPr>
        <w:t>,</w:t>
      </w:r>
      <w:r w:rsidRPr="00F852C4">
        <w:rPr>
          <w:rFonts w:asciiTheme="minorHAnsi" w:hAnsiTheme="minorHAnsi" w:cstheme="minorHAnsi"/>
          <w:color w:val="auto"/>
        </w:rPr>
        <w:t xml:space="preserve"> marine, freshwater, soil, wastewater systems)</w:t>
      </w:r>
      <w:r w:rsidR="00A748D6">
        <w:rPr>
          <w:rFonts w:asciiTheme="minorHAnsi" w:hAnsiTheme="minorHAnsi" w:cstheme="minorHAnsi"/>
          <w:color w:val="auto"/>
        </w:rPr>
        <w:t>. Finally, it</w:t>
      </w:r>
      <w:r w:rsidRPr="00F852C4">
        <w:rPr>
          <w:rFonts w:asciiTheme="minorHAnsi" w:hAnsiTheme="minorHAnsi" w:cstheme="minorHAnsi"/>
          <w:color w:val="auto"/>
        </w:rPr>
        <w:t xml:space="preserve"> </w:t>
      </w:r>
      <w:r w:rsidR="00A748D6">
        <w:rPr>
          <w:rFonts w:asciiTheme="minorHAnsi" w:hAnsiTheme="minorHAnsi" w:cstheme="minorHAnsi"/>
          <w:color w:val="auto"/>
        </w:rPr>
        <w:t>can</w:t>
      </w:r>
      <w:r w:rsidRPr="00F852C4">
        <w:rPr>
          <w:rFonts w:asciiTheme="minorHAnsi" w:hAnsiTheme="minorHAnsi" w:cstheme="minorHAnsi"/>
          <w:color w:val="auto"/>
        </w:rPr>
        <w:t xml:space="preserve"> be used for targeted studies on pathogens and antibiotic resistance in the environment, isolation of key microbes for bioprospecting, </w:t>
      </w:r>
      <w:r w:rsidR="00A748D6">
        <w:rPr>
          <w:rFonts w:asciiTheme="minorHAnsi" w:hAnsiTheme="minorHAnsi" w:cstheme="minorHAnsi"/>
          <w:color w:val="auto"/>
        </w:rPr>
        <w:t>and</w:t>
      </w:r>
      <w:r w:rsidRPr="00F852C4">
        <w:rPr>
          <w:rFonts w:asciiTheme="minorHAnsi" w:hAnsiTheme="minorHAnsi" w:cstheme="minorHAnsi"/>
          <w:color w:val="auto"/>
        </w:rPr>
        <w:t xml:space="preserve"> bioremediation of specific pollutants and microplastics. </w:t>
      </w:r>
    </w:p>
    <w:p w14:paraId="0A766C0E" w14:textId="77777777" w:rsidR="00EA4820" w:rsidRPr="00F852C4" w:rsidRDefault="00EA4820" w:rsidP="00344E04">
      <w:pPr>
        <w:rPr>
          <w:rFonts w:asciiTheme="minorHAnsi" w:hAnsiTheme="minorHAnsi" w:cstheme="minorHAnsi"/>
          <w:color w:val="auto"/>
        </w:rPr>
      </w:pPr>
    </w:p>
    <w:p w14:paraId="7C1C0094" w14:textId="77777777"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b/>
          <w:bCs/>
          <w:color w:val="auto"/>
        </w:rPr>
        <w:t xml:space="preserve">ACKNOWLEDGMENTS: </w:t>
      </w:r>
    </w:p>
    <w:p w14:paraId="594F2BC2" w14:textId="74FE1458" w:rsidR="00EA4820" w:rsidRPr="00F852C4" w:rsidRDefault="00EA4820" w:rsidP="00344E04">
      <w:pPr>
        <w:pStyle w:val="NormalWeb"/>
        <w:spacing w:before="0" w:beforeAutospacing="0" w:after="0" w:afterAutospacing="0"/>
        <w:rPr>
          <w:rFonts w:asciiTheme="minorHAnsi" w:hAnsiTheme="minorHAnsi" w:cstheme="minorHAnsi"/>
          <w:b/>
          <w:bCs/>
          <w:color w:val="auto"/>
        </w:rPr>
      </w:pPr>
      <w:r w:rsidRPr="00F852C4">
        <w:rPr>
          <w:rFonts w:asciiTheme="minorHAnsi" w:hAnsiTheme="minorHAnsi" w:cstheme="minorHAnsi"/>
          <w:color w:val="auto"/>
        </w:rPr>
        <w:t xml:space="preserve">This research was funded in part by the Gordon and Betty Moore Foundation Marine Microbiology Initiative, through grant GBMF3801 to J.R.S. and R.S., </w:t>
      </w:r>
      <w:r w:rsidR="00BC091A" w:rsidRPr="00F852C4">
        <w:rPr>
          <w:rFonts w:asciiTheme="minorHAnsi" w:hAnsiTheme="minorHAnsi" w:cstheme="minorHAnsi"/>
          <w:color w:val="auto"/>
        </w:rPr>
        <w:t xml:space="preserve">and </w:t>
      </w:r>
      <w:r w:rsidRPr="00F852C4">
        <w:rPr>
          <w:rFonts w:asciiTheme="minorHAnsi" w:hAnsiTheme="minorHAnsi" w:cstheme="minorHAnsi"/>
          <w:color w:val="auto"/>
        </w:rPr>
        <w:t xml:space="preserve">an Investigator Award (GBMF3783) to R.S., </w:t>
      </w:r>
      <w:r w:rsidR="00BC091A" w:rsidRPr="00F852C4">
        <w:rPr>
          <w:rFonts w:asciiTheme="minorHAnsi" w:hAnsiTheme="minorHAnsi" w:cstheme="minorHAnsi"/>
          <w:color w:val="auto"/>
        </w:rPr>
        <w:t xml:space="preserve">as well as </w:t>
      </w:r>
      <w:r w:rsidRPr="00F852C4">
        <w:rPr>
          <w:rFonts w:asciiTheme="minorHAnsi" w:hAnsiTheme="minorHAnsi" w:cstheme="minorHAnsi"/>
          <w:color w:val="auto"/>
        </w:rPr>
        <w:t>an Australian Research Council Fellowship (DE160100636) to J.-B.R., an award from the Simons Foundation to B.S.L. (</w:t>
      </w:r>
      <w:r w:rsidRPr="0084101D">
        <w:rPr>
          <w:rFonts w:asciiTheme="minorHAnsi" w:hAnsiTheme="minorHAnsi" w:cstheme="minorHAnsi"/>
        </w:rPr>
        <w:t>594111),</w:t>
      </w:r>
      <w:r w:rsidRPr="00F852C4">
        <w:rPr>
          <w:rFonts w:asciiTheme="minorHAnsi" w:hAnsiTheme="minorHAnsi" w:cstheme="minorHAnsi"/>
          <w:color w:val="auto"/>
        </w:rPr>
        <w:t xml:space="preserve"> and a grant from the Simons Foundation (542395) to R.S. as part of the Principles of Microbial Ecosystems (</w:t>
      </w:r>
      <w:proofErr w:type="spellStart"/>
      <w:r w:rsidRPr="00F852C4">
        <w:rPr>
          <w:rFonts w:asciiTheme="minorHAnsi" w:hAnsiTheme="minorHAnsi" w:cstheme="minorHAnsi"/>
          <w:color w:val="auto"/>
        </w:rPr>
        <w:t>PriME</w:t>
      </w:r>
      <w:proofErr w:type="spellEnd"/>
      <w:r w:rsidRPr="00F852C4">
        <w:rPr>
          <w:rFonts w:asciiTheme="minorHAnsi" w:hAnsiTheme="minorHAnsi" w:cstheme="minorHAnsi"/>
          <w:color w:val="auto"/>
        </w:rPr>
        <w:t>) Collaborative.</w:t>
      </w:r>
      <w:r w:rsidRPr="00F852C4" w:rsidDel="006E3B35">
        <w:rPr>
          <w:rFonts w:asciiTheme="minorHAnsi" w:hAnsiTheme="minorHAnsi" w:cstheme="minorHAnsi"/>
          <w:color w:val="auto"/>
        </w:rPr>
        <w:t xml:space="preserve"> </w:t>
      </w:r>
    </w:p>
    <w:p w14:paraId="4D4E889E" w14:textId="77777777" w:rsidR="00EA4820" w:rsidRPr="00F852C4" w:rsidRDefault="00EA4820" w:rsidP="00344E04">
      <w:pPr>
        <w:pStyle w:val="NormalWeb"/>
        <w:spacing w:before="0" w:beforeAutospacing="0" w:after="0" w:afterAutospacing="0"/>
        <w:rPr>
          <w:rFonts w:asciiTheme="minorHAnsi" w:hAnsiTheme="minorHAnsi" w:cstheme="minorHAnsi"/>
          <w:b/>
          <w:color w:val="auto"/>
        </w:rPr>
      </w:pPr>
    </w:p>
    <w:p w14:paraId="58DBF8C1" w14:textId="77777777" w:rsidR="00EA4820" w:rsidRPr="00F852C4" w:rsidRDefault="00EA4820" w:rsidP="00344E04">
      <w:pPr>
        <w:pStyle w:val="NormalWeb"/>
        <w:spacing w:before="0" w:beforeAutospacing="0" w:after="0" w:afterAutospacing="0"/>
        <w:rPr>
          <w:rFonts w:asciiTheme="minorHAnsi" w:hAnsiTheme="minorHAnsi" w:cstheme="minorHAnsi"/>
          <w:color w:val="auto"/>
        </w:rPr>
      </w:pPr>
      <w:r w:rsidRPr="00F852C4">
        <w:rPr>
          <w:rFonts w:asciiTheme="minorHAnsi" w:hAnsiTheme="minorHAnsi" w:cstheme="minorHAnsi"/>
          <w:b/>
          <w:color w:val="auto"/>
        </w:rPr>
        <w:t>DISCLOSURES</w:t>
      </w:r>
      <w:r w:rsidRPr="00F852C4">
        <w:rPr>
          <w:rFonts w:asciiTheme="minorHAnsi" w:hAnsiTheme="minorHAnsi" w:cstheme="minorHAnsi"/>
          <w:b/>
          <w:bCs/>
          <w:color w:val="auto"/>
        </w:rPr>
        <w:t xml:space="preserve">: </w:t>
      </w:r>
    </w:p>
    <w:p w14:paraId="09E2D869" w14:textId="77777777" w:rsidR="00EA4820" w:rsidRPr="00F852C4" w:rsidRDefault="00EA4820" w:rsidP="00344E04">
      <w:pPr>
        <w:rPr>
          <w:rFonts w:asciiTheme="minorHAnsi" w:hAnsiTheme="minorHAnsi" w:cstheme="minorHAnsi"/>
          <w:color w:val="auto"/>
        </w:rPr>
      </w:pPr>
      <w:r w:rsidRPr="00F852C4">
        <w:rPr>
          <w:rFonts w:asciiTheme="minorHAnsi" w:hAnsiTheme="minorHAnsi" w:cstheme="minorHAnsi"/>
          <w:color w:val="auto"/>
        </w:rPr>
        <w:t>The authors declare no conflict of interest.</w:t>
      </w:r>
    </w:p>
    <w:p w14:paraId="5E94F4E2" w14:textId="77777777" w:rsidR="00EA4820" w:rsidRPr="00F852C4" w:rsidRDefault="00EA4820" w:rsidP="00344E04">
      <w:pPr>
        <w:rPr>
          <w:rFonts w:asciiTheme="minorHAnsi" w:hAnsiTheme="minorHAnsi" w:cstheme="minorHAnsi"/>
          <w:color w:val="auto"/>
        </w:rPr>
      </w:pPr>
    </w:p>
    <w:p w14:paraId="10BB28D1" w14:textId="7AA9A138" w:rsidR="00BB094B" w:rsidRPr="00F852C4" w:rsidRDefault="00EA4820" w:rsidP="00344E04">
      <w:pPr>
        <w:rPr>
          <w:rFonts w:asciiTheme="minorHAnsi" w:hAnsiTheme="minorHAnsi" w:cstheme="minorHAnsi"/>
          <w:b/>
          <w:color w:val="auto"/>
        </w:rPr>
      </w:pPr>
      <w:r w:rsidRPr="00F852C4">
        <w:rPr>
          <w:rFonts w:asciiTheme="minorHAnsi" w:hAnsiTheme="minorHAnsi" w:cstheme="minorHAnsi"/>
          <w:b/>
          <w:bCs/>
          <w:color w:val="auto"/>
        </w:rPr>
        <w:t>REFERENCES:</w:t>
      </w:r>
      <w:r w:rsidRPr="00F852C4">
        <w:rPr>
          <w:rFonts w:asciiTheme="minorHAnsi" w:hAnsiTheme="minorHAnsi" w:cstheme="minorHAnsi"/>
          <w:color w:val="auto"/>
        </w:rPr>
        <w:t xml:space="preserve"> </w:t>
      </w:r>
    </w:p>
    <w:p w14:paraId="46475BB4" w14:textId="08506DCD" w:rsidR="00BB094B" w:rsidRDefault="00BB094B" w:rsidP="00344E04">
      <w:pPr>
        <w:pStyle w:val="Bibliography"/>
        <w:spacing w:line="240" w:lineRule="auto"/>
      </w:pPr>
      <w:r>
        <w:rPr>
          <w:rFonts w:asciiTheme="minorHAnsi" w:hAnsiTheme="minorHAnsi" w:cstheme="minorHAnsi"/>
          <w:color w:val="auto"/>
          <w:shd w:val="clear" w:color="auto" w:fill="FFFFFF"/>
        </w:rPr>
        <w:fldChar w:fldCharType="begin"/>
      </w:r>
      <w:r>
        <w:rPr>
          <w:rFonts w:asciiTheme="minorHAnsi" w:hAnsiTheme="minorHAnsi" w:cstheme="minorHAnsi"/>
          <w:color w:val="auto"/>
          <w:shd w:val="clear" w:color="auto" w:fill="FFFFFF"/>
        </w:rPr>
        <w:instrText xml:space="preserve"> ADDIN ZOTERO_BIBL {"uncited":[],"omitted":[],"custom":[]} CSL_BIBLIOGRAPHY </w:instrText>
      </w:r>
      <w:r>
        <w:rPr>
          <w:rFonts w:asciiTheme="minorHAnsi" w:hAnsiTheme="minorHAnsi" w:cstheme="minorHAnsi"/>
          <w:color w:val="auto"/>
          <w:shd w:val="clear" w:color="auto" w:fill="FFFFFF"/>
        </w:rPr>
        <w:fldChar w:fldCharType="separate"/>
      </w:r>
      <w:r w:rsidRPr="00BB094B">
        <w:t>1.</w:t>
      </w:r>
      <w:r w:rsidRPr="00BB094B">
        <w:tab/>
      </w:r>
      <w:r w:rsidR="00AA19B2" w:rsidRPr="0084101D">
        <w:rPr>
          <w:rFonts w:asciiTheme="minorHAnsi" w:hAnsiTheme="minorHAnsi" w:cstheme="minorHAnsi"/>
        </w:rPr>
        <w:t xml:space="preserve">Stocker, R. Marine microbes see a sea of gradients. </w:t>
      </w:r>
      <w:r w:rsidR="00AA19B2" w:rsidRPr="0084101D">
        <w:rPr>
          <w:rFonts w:asciiTheme="minorHAnsi" w:hAnsiTheme="minorHAnsi" w:cstheme="minorHAnsi"/>
          <w:i/>
          <w:iCs/>
        </w:rPr>
        <w:t>Science</w:t>
      </w:r>
      <w:r w:rsidR="00344E04">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338</w:t>
      </w:r>
      <w:r w:rsidR="00AA19B2" w:rsidRPr="0084101D">
        <w:rPr>
          <w:rFonts w:asciiTheme="minorHAnsi" w:hAnsiTheme="minorHAnsi" w:cstheme="minorHAnsi"/>
        </w:rPr>
        <w:t>, 628–633 (2012)</w:t>
      </w:r>
      <w:r w:rsidRPr="00BB094B">
        <w:t>.</w:t>
      </w:r>
    </w:p>
    <w:p w14:paraId="3A95D604" w14:textId="5D8DDFBC" w:rsidR="00BB094B" w:rsidRDefault="00BB094B" w:rsidP="00344E04">
      <w:pPr>
        <w:pStyle w:val="Bibliography"/>
        <w:spacing w:line="240" w:lineRule="auto"/>
        <w:ind w:left="0" w:firstLine="0"/>
      </w:pPr>
      <w:r w:rsidRPr="00424BC5">
        <w:t>2.</w:t>
      </w:r>
      <w:r w:rsidRPr="00424BC5">
        <w:tab/>
      </w:r>
      <w:r w:rsidR="00AA19B2" w:rsidRPr="0084101D">
        <w:rPr>
          <w:rFonts w:asciiTheme="minorHAnsi" w:hAnsiTheme="minorHAnsi" w:cstheme="minorHAnsi"/>
        </w:rPr>
        <w:t>Raina, J.-B., Fernandez, V., Lambert, B., Stocker, R.</w:t>
      </w:r>
      <w:r w:rsidR="00A748D6">
        <w:rPr>
          <w:rFonts w:asciiTheme="minorHAnsi" w:hAnsiTheme="minorHAnsi" w:cstheme="minorHAnsi"/>
        </w:rPr>
        <w:t>,</w:t>
      </w:r>
      <w:r w:rsidR="00AA19B2" w:rsidRPr="0084101D">
        <w:rPr>
          <w:rFonts w:asciiTheme="minorHAnsi" w:hAnsiTheme="minorHAnsi" w:cstheme="minorHAnsi"/>
        </w:rPr>
        <w:t xml:space="preserve"> Seymour, J. R. The role of microbial motility and chemotaxis in symbiosis. </w:t>
      </w:r>
      <w:r w:rsidR="00AA19B2" w:rsidRPr="0084101D">
        <w:rPr>
          <w:rFonts w:asciiTheme="minorHAnsi" w:hAnsiTheme="minorHAnsi" w:cstheme="minorHAnsi"/>
          <w:i/>
          <w:iCs/>
        </w:rPr>
        <w:t>Nature Reviews Microbiology</w:t>
      </w:r>
      <w:r w:rsidR="00344E04">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17</w:t>
      </w:r>
      <w:r w:rsidR="00AA19B2" w:rsidRPr="0084101D">
        <w:rPr>
          <w:rFonts w:asciiTheme="minorHAnsi" w:hAnsiTheme="minorHAnsi" w:cstheme="minorHAnsi"/>
        </w:rPr>
        <w:t>, 284–294 (2019)</w:t>
      </w:r>
      <w:r w:rsidRPr="00424BC5">
        <w:t>.</w:t>
      </w:r>
    </w:p>
    <w:p w14:paraId="222E0EAE" w14:textId="322C9CEB" w:rsidR="00AA19B2" w:rsidRPr="0084101D" w:rsidRDefault="00BB094B" w:rsidP="00344E04">
      <w:pPr>
        <w:pStyle w:val="Bibliography"/>
        <w:spacing w:line="240" w:lineRule="auto"/>
        <w:ind w:left="0" w:firstLine="0"/>
        <w:rPr>
          <w:rFonts w:asciiTheme="minorHAnsi" w:hAnsiTheme="minorHAnsi" w:cstheme="minorHAnsi"/>
        </w:rPr>
      </w:pPr>
      <w:r w:rsidRPr="00424BC5">
        <w:t>3.</w:t>
      </w:r>
      <w:r w:rsidRPr="00424BC5">
        <w:tab/>
      </w:r>
      <w:r w:rsidR="00AA19B2" w:rsidRPr="0084101D">
        <w:rPr>
          <w:rFonts w:asciiTheme="minorHAnsi" w:hAnsiTheme="minorHAnsi" w:cstheme="minorHAnsi"/>
        </w:rPr>
        <w:t xml:space="preserve">Chet, I., </w:t>
      </w:r>
      <w:proofErr w:type="spellStart"/>
      <w:r w:rsidR="00AA19B2" w:rsidRPr="0084101D">
        <w:rPr>
          <w:rFonts w:asciiTheme="minorHAnsi" w:hAnsiTheme="minorHAnsi" w:cstheme="minorHAnsi"/>
        </w:rPr>
        <w:t>Asketh</w:t>
      </w:r>
      <w:proofErr w:type="spellEnd"/>
      <w:r w:rsidR="00AA19B2" w:rsidRPr="0084101D">
        <w:rPr>
          <w:rFonts w:asciiTheme="minorHAnsi" w:hAnsiTheme="minorHAnsi" w:cstheme="minorHAnsi"/>
        </w:rPr>
        <w:t>, P.</w:t>
      </w:r>
      <w:r w:rsidR="00A748D6">
        <w:rPr>
          <w:rFonts w:asciiTheme="minorHAnsi" w:hAnsiTheme="minorHAnsi" w:cstheme="minorHAnsi"/>
        </w:rPr>
        <w:t>,</w:t>
      </w:r>
      <w:r w:rsidR="00AA19B2" w:rsidRPr="0084101D">
        <w:rPr>
          <w:rFonts w:asciiTheme="minorHAnsi" w:hAnsiTheme="minorHAnsi" w:cstheme="minorHAnsi"/>
        </w:rPr>
        <w:t xml:space="preserve"> Mitchell, R. Repulsion of bacteria from marine surfaces. </w:t>
      </w:r>
      <w:r w:rsidR="00AA19B2" w:rsidRPr="0084101D">
        <w:rPr>
          <w:rFonts w:asciiTheme="minorHAnsi" w:hAnsiTheme="minorHAnsi" w:cstheme="minorHAnsi"/>
          <w:i/>
          <w:iCs/>
        </w:rPr>
        <w:t xml:space="preserve">Applied </w:t>
      </w:r>
      <w:r w:rsidR="00AA19B2">
        <w:rPr>
          <w:rFonts w:asciiTheme="minorHAnsi" w:hAnsiTheme="minorHAnsi" w:cstheme="minorHAnsi"/>
          <w:i/>
          <w:iCs/>
        </w:rPr>
        <w:t>M</w:t>
      </w:r>
      <w:r w:rsidR="00AA19B2" w:rsidRPr="0084101D">
        <w:rPr>
          <w:rFonts w:asciiTheme="minorHAnsi" w:hAnsiTheme="minorHAnsi" w:cstheme="minorHAnsi"/>
          <w:i/>
          <w:iCs/>
        </w:rPr>
        <w:t>icrobiology</w:t>
      </w:r>
      <w:r w:rsidR="00344E04">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30</w:t>
      </w:r>
      <w:r w:rsidR="00AA19B2" w:rsidRPr="0084101D">
        <w:rPr>
          <w:rFonts w:asciiTheme="minorHAnsi" w:hAnsiTheme="minorHAnsi" w:cstheme="minorHAnsi"/>
        </w:rPr>
        <w:t>, 1043–1045 (1975).</w:t>
      </w:r>
    </w:p>
    <w:p w14:paraId="37B85005" w14:textId="10605BC0" w:rsidR="00BB094B" w:rsidRDefault="00BB094B" w:rsidP="00344E04">
      <w:pPr>
        <w:pStyle w:val="Bibliography"/>
        <w:spacing w:line="240" w:lineRule="auto"/>
        <w:ind w:left="0" w:firstLine="0"/>
      </w:pPr>
      <w:r w:rsidRPr="00424BC5">
        <w:t>4.</w:t>
      </w:r>
      <w:r w:rsidRPr="00424BC5">
        <w:tab/>
      </w:r>
      <w:r w:rsidR="00AA19B2" w:rsidRPr="0084101D">
        <w:rPr>
          <w:rFonts w:asciiTheme="minorHAnsi" w:hAnsiTheme="minorHAnsi" w:cstheme="minorHAnsi"/>
        </w:rPr>
        <w:t>Smriga, S., Fernandez, V. I., Mitchell, J. G.</w:t>
      </w:r>
      <w:r w:rsidR="00A748D6">
        <w:rPr>
          <w:rFonts w:asciiTheme="minorHAnsi" w:hAnsiTheme="minorHAnsi" w:cstheme="minorHAnsi"/>
        </w:rPr>
        <w:t>,</w:t>
      </w:r>
      <w:r w:rsidR="00AA19B2" w:rsidRPr="0084101D">
        <w:rPr>
          <w:rFonts w:asciiTheme="minorHAnsi" w:hAnsiTheme="minorHAnsi" w:cstheme="minorHAnsi"/>
        </w:rPr>
        <w:t xml:space="preserve"> Stocker, R. Chemotaxis toward phytoplankton drives </w:t>
      </w:r>
      <w:r w:rsidR="00AA19B2" w:rsidRPr="0084101D">
        <w:rPr>
          <w:rFonts w:asciiTheme="minorHAnsi" w:hAnsiTheme="minorHAnsi" w:cstheme="minorHAnsi"/>
        </w:rPr>
        <w:lastRenderedPageBreak/>
        <w:t xml:space="preserve">organic matter partitioning among marine bacteria. </w:t>
      </w:r>
      <w:r w:rsidR="00AA19B2" w:rsidRPr="0084101D">
        <w:rPr>
          <w:rFonts w:asciiTheme="minorHAnsi" w:hAnsiTheme="minorHAnsi" w:cstheme="minorHAnsi"/>
          <w:i/>
          <w:iCs/>
        </w:rPr>
        <w:t>PNAS</w:t>
      </w:r>
      <w:r w:rsidR="00A748D6">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113</w:t>
      </w:r>
      <w:r w:rsidR="00AA19B2" w:rsidRPr="0084101D">
        <w:rPr>
          <w:rFonts w:asciiTheme="minorHAnsi" w:hAnsiTheme="minorHAnsi" w:cstheme="minorHAnsi"/>
        </w:rPr>
        <w:t>, 1576–1581 (2016).</w:t>
      </w:r>
    </w:p>
    <w:p w14:paraId="2200C0C5" w14:textId="03D9376C" w:rsidR="00AA19B2" w:rsidRPr="0084101D" w:rsidRDefault="00BB094B" w:rsidP="00344E04">
      <w:pPr>
        <w:pStyle w:val="Bibliography"/>
        <w:spacing w:line="240" w:lineRule="auto"/>
        <w:ind w:left="0" w:firstLine="0"/>
        <w:rPr>
          <w:rFonts w:asciiTheme="minorHAnsi" w:hAnsiTheme="minorHAnsi" w:cstheme="minorHAnsi"/>
        </w:rPr>
      </w:pPr>
      <w:r w:rsidRPr="00424BC5">
        <w:t>5.</w:t>
      </w:r>
      <w:r w:rsidRPr="00424BC5">
        <w:tab/>
      </w:r>
      <w:proofErr w:type="spellStart"/>
      <w:r w:rsidR="00AA19B2" w:rsidRPr="0084101D">
        <w:rPr>
          <w:rFonts w:asciiTheme="minorHAnsi" w:hAnsiTheme="minorHAnsi" w:cstheme="minorHAnsi"/>
        </w:rPr>
        <w:t>Matilla</w:t>
      </w:r>
      <w:proofErr w:type="spellEnd"/>
      <w:r w:rsidR="00AA19B2" w:rsidRPr="0084101D">
        <w:rPr>
          <w:rFonts w:asciiTheme="minorHAnsi" w:hAnsiTheme="minorHAnsi" w:cstheme="minorHAnsi"/>
        </w:rPr>
        <w:t>, M.</w:t>
      </w:r>
      <w:r w:rsidR="00A748D6">
        <w:rPr>
          <w:rFonts w:asciiTheme="minorHAnsi" w:hAnsiTheme="minorHAnsi" w:cstheme="minorHAnsi"/>
        </w:rPr>
        <w:t>,</w:t>
      </w:r>
      <w:r w:rsidR="00AA19B2" w:rsidRPr="0084101D">
        <w:rPr>
          <w:rFonts w:asciiTheme="minorHAnsi" w:hAnsiTheme="minorHAnsi" w:cstheme="minorHAnsi"/>
        </w:rPr>
        <w:t xml:space="preserve"> Krell, T. The effect of bacterial chemotaxis on host infection and pathogenicity. </w:t>
      </w:r>
      <w:r w:rsidR="00AA19B2" w:rsidRPr="0084101D">
        <w:rPr>
          <w:rFonts w:asciiTheme="minorHAnsi" w:hAnsiTheme="minorHAnsi" w:cstheme="minorHAnsi"/>
          <w:i/>
          <w:iCs/>
        </w:rPr>
        <w:t>FEMS Microbiology Reviews</w:t>
      </w:r>
      <w:r w:rsidR="00A748D6">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42</w:t>
      </w:r>
      <w:r w:rsidR="00AA19B2" w:rsidRPr="0084101D">
        <w:rPr>
          <w:rFonts w:asciiTheme="minorHAnsi" w:hAnsiTheme="minorHAnsi" w:cstheme="minorHAnsi"/>
        </w:rPr>
        <w:t>, (2018).</w:t>
      </w:r>
    </w:p>
    <w:p w14:paraId="772E9CB7" w14:textId="68444A68" w:rsidR="00BB094B" w:rsidRDefault="00BB094B" w:rsidP="00344E04">
      <w:pPr>
        <w:pStyle w:val="Bibliography"/>
        <w:spacing w:line="240" w:lineRule="auto"/>
        <w:ind w:left="0" w:firstLine="0"/>
      </w:pPr>
      <w:r w:rsidRPr="00424BC5">
        <w:t>6.</w:t>
      </w:r>
      <w:r w:rsidRPr="00424BC5">
        <w:tab/>
        <w:t xml:space="preserve">Adler, J. Chemotaxis in bacteria. </w:t>
      </w:r>
      <w:r w:rsidRPr="00424BC5">
        <w:rPr>
          <w:i/>
          <w:iCs/>
        </w:rPr>
        <w:t>Science</w:t>
      </w:r>
      <w:r w:rsidR="00A748D6">
        <w:rPr>
          <w:i/>
          <w:iCs/>
        </w:rPr>
        <w:t>.</w:t>
      </w:r>
      <w:r w:rsidRPr="00424BC5">
        <w:t xml:space="preserve"> </w:t>
      </w:r>
      <w:r w:rsidRPr="00424BC5">
        <w:rPr>
          <w:b/>
          <w:bCs/>
        </w:rPr>
        <w:t>153</w:t>
      </w:r>
      <w:r w:rsidRPr="00424BC5">
        <w:t>, 708–716 (1966).</w:t>
      </w:r>
    </w:p>
    <w:p w14:paraId="7896CC01" w14:textId="3F2FCB21" w:rsidR="00424BC5" w:rsidRDefault="00BB094B" w:rsidP="00344E04">
      <w:pPr>
        <w:pStyle w:val="Bibliography"/>
        <w:spacing w:line="240" w:lineRule="auto"/>
        <w:ind w:left="0" w:firstLine="0"/>
        <w:rPr>
          <w:rFonts w:asciiTheme="minorHAnsi" w:hAnsiTheme="minorHAnsi" w:cstheme="minorHAnsi"/>
        </w:rPr>
      </w:pPr>
      <w:r w:rsidRPr="00424BC5">
        <w:t>7.</w:t>
      </w:r>
      <w:r w:rsidRPr="00424BC5">
        <w:tab/>
      </w:r>
      <w:r w:rsidR="00AA19B2" w:rsidRPr="0084101D">
        <w:rPr>
          <w:rFonts w:asciiTheme="minorHAnsi" w:hAnsiTheme="minorHAnsi" w:cstheme="minorHAnsi"/>
        </w:rPr>
        <w:t>Adler, J.</w:t>
      </w:r>
      <w:r w:rsidR="00A748D6">
        <w:rPr>
          <w:rFonts w:asciiTheme="minorHAnsi" w:hAnsiTheme="minorHAnsi" w:cstheme="minorHAnsi"/>
        </w:rPr>
        <w:t>,</w:t>
      </w:r>
      <w:r w:rsidR="00AA19B2" w:rsidRPr="0084101D">
        <w:rPr>
          <w:rFonts w:asciiTheme="minorHAnsi" w:hAnsiTheme="minorHAnsi" w:cstheme="minorHAnsi"/>
        </w:rPr>
        <w:t xml:space="preserve"> Dahl, M. M. A method for measuring the motility of bacteria and for comparing random and non-random motility. </w:t>
      </w:r>
      <w:r w:rsidR="00AA19B2" w:rsidRPr="0084101D">
        <w:rPr>
          <w:rFonts w:asciiTheme="minorHAnsi" w:hAnsiTheme="minorHAnsi" w:cstheme="minorHAnsi"/>
          <w:i/>
          <w:iCs/>
        </w:rPr>
        <w:t>Journal of General Microbiology</w:t>
      </w:r>
      <w:r w:rsidR="00A748D6">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46</w:t>
      </w:r>
      <w:r w:rsidR="00AA19B2" w:rsidRPr="0084101D">
        <w:rPr>
          <w:rFonts w:asciiTheme="minorHAnsi" w:hAnsiTheme="minorHAnsi" w:cstheme="minorHAnsi"/>
        </w:rPr>
        <w:t>, 161–173 (1967).</w:t>
      </w:r>
    </w:p>
    <w:p w14:paraId="5AB6B6E8" w14:textId="279080DD" w:rsidR="00BB094B" w:rsidRDefault="00BB094B" w:rsidP="00344E04">
      <w:pPr>
        <w:pStyle w:val="Bibliography"/>
        <w:spacing w:line="240" w:lineRule="auto"/>
        <w:ind w:left="0" w:firstLine="0"/>
      </w:pPr>
      <w:r w:rsidRPr="00424BC5">
        <w:t>8.</w:t>
      </w:r>
      <w:r w:rsidRPr="00424BC5">
        <w:tab/>
        <w:t>Ahmed, T., S. Shimizu, T.</w:t>
      </w:r>
      <w:r w:rsidR="00A748D6">
        <w:t>,</w:t>
      </w:r>
      <w:r w:rsidRPr="00424BC5">
        <w:t xml:space="preserve"> Stocker, R. Microfluidics for bacterial chemotaxis. </w:t>
      </w:r>
      <w:r w:rsidRPr="00424BC5">
        <w:rPr>
          <w:i/>
          <w:iCs/>
        </w:rPr>
        <w:t>Integrative Biology</w:t>
      </w:r>
      <w:r w:rsidRPr="00424BC5">
        <w:t xml:space="preserve"> </w:t>
      </w:r>
      <w:r w:rsidRPr="00424BC5">
        <w:rPr>
          <w:b/>
          <w:bCs/>
        </w:rPr>
        <w:t>2</w:t>
      </w:r>
      <w:r w:rsidRPr="00424BC5">
        <w:t>, 604–629 (2010).</w:t>
      </w:r>
    </w:p>
    <w:p w14:paraId="2E93B6A7" w14:textId="0A670DDF" w:rsidR="00BB094B" w:rsidRDefault="00BB094B" w:rsidP="00344E04">
      <w:pPr>
        <w:pStyle w:val="Bibliography"/>
        <w:spacing w:line="240" w:lineRule="auto"/>
        <w:ind w:left="0" w:firstLine="0"/>
      </w:pPr>
      <w:r w:rsidRPr="00424BC5">
        <w:t>9.</w:t>
      </w:r>
      <w:r w:rsidRPr="00424BC5">
        <w:tab/>
        <w:t>Hol, F. J. H.</w:t>
      </w:r>
      <w:r w:rsidR="00A748D6">
        <w:t>,</w:t>
      </w:r>
      <w:r w:rsidRPr="00424BC5">
        <w:t xml:space="preserve"> Dekker,</w:t>
      </w:r>
      <w:r w:rsidR="002B0374">
        <w:t xml:space="preserve"> C</w:t>
      </w:r>
      <w:r w:rsidR="00A748D6">
        <w:t>.</w:t>
      </w:r>
      <w:r w:rsidR="002B0374">
        <w:t xml:space="preserve"> </w:t>
      </w:r>
      <w:r w:rsidRPr="00424BC5">
        <w:t xml:space="preserve">Zooming in to see the bigger picture: microfluidic and nanofabrication tools to study bacteria. </w:t>
      </w:r>
      <w:r w:rsidRPr="00424BC5">
        <w:rPr>
          <w:i/>
          <w:iCs/>
        </w:rPr>
        <w:t>Science</w:t>
      </w:r>
      <w:r w:rsidR="00A748D6">
        <w:rPr>
          <w:i/>
          <w:iCs/>
        </w:rPr>
        <w:t>.</w:t>
      </w:r>
      <w:r w:rsidRPr="00424BC5">
        <w:t xml:space="preserve"> </w:t>
      </w:r>
      <w:r w:rsidRPr="00424BC5">
        <w:rPr>
          <w:b/>
          <w:bCs/>
        </w:rPr>
        <w:t>346</w:t>
      </w:r>
      <w:r w:rsidRPr="00424BC5">
        <w:t>, 1251821 (2014).</w:t>
      </w:r>
    </w:p>
    <w:p w14:paraId="5B6CD3DA" w14:textId="2E8BE6C6" w:rsidR="00AA19B2" w:rsidRPr="0084101D" w:rsidRDefault="00BB094B" w:rsidP="00344E04">
      <w:pPr>
        <w:pStyle w:val="Bibliography"/>
        <w:spacing w:line="240" w:lineRule="auto"/>
        <w:ind w:left="0" w:firstLine="0"/>
        <w:rPr>
          <w:rFonts w:asciiTheme="minorHAnsi" w:hAnsiTheme="minorHAnsi" w:cstheme="minorHAnsi"/>
        </w:rPr>
      </w:pPr>
      <w:r w:rsidRPr="00424BC5">
        <w:t>10.</w:t>
      </w:r>
      <w:r w:rsidR="00AA19B2">
        <w:rPr>
          <w:rFonts w:asciiTheme="minorHAnsi" w:hAnsiTheme="minorHAnsi" w:cstheme="minorHAnsi"/>
        </w:rPr>
        <w:t xml:space="preserve"> </w:t>
      </w:r>
      <w:r w:rsidR="00AA19B2" w:rsidRPr="0084101D">
        <w:rPr>
          <w:rFonts w:asciiTheme="minorHAnsi" w:hAnsiTheme="minorHAnsi" w:cstheme="minorHAnsi"/>
        </w:rPr>
        <w:t xml:space="preserve">Rusconi, R., </w:t>
      </w:r>
      <w:proofErr w:type="spellStart"/>
      <w:r w:rsidR="00AA19B2" w:rsidRPr="0084101D">
        <w:rPr>
          <w:rFonts w:asciiTheme="minorHAnsi" w:hAnsiTheme="minorHAnsi" w:cstheme="minorHAnsi"/>
        </w:rPr>
        <w:t>Garren</w:t>
      </w:r>
      <w:proofErr w:type="spellEnd"/>
      <w:r w:rsidR="00AA19B2" w:rsidRPr="0084101D">
        <w:rPr>
          <w:rFonts w:asciiTheme="minorHAnsi" w:hAnsiTheme="minorHAnsi" w:cstheme="minorHAnsi"/>
        </w:rPr>
        <w:t>, M.</w:t>
      </w:r>
      <w:r w:rsidR="00A748D6">
        <w:rPr>
          <w:rFonts w:asciiTheme="minorHAnsi" w:hAnsiTheme="minorHAnsi" w:cstheme="minorHAnsi"/>
        </w:rPr>
        <w:t>,</w:t>
      </w:r>
      <w:r w:rsidR="00AA19B2" w:rsidRPr="0084101D">
        <w:rPr>
          <w:rFonts w:asciiTheme="minorHAnsi" w:hAnsiTheme="minorHAnsi" w:cstheme="minorHAnsi"/>
        </w:rPr>
        <w:t xml:space="preserve"> Stocker, R. Microfluidics expanding the frontiers of microbial ecology. </w:t>
      </w:r>
      <w:r w:rsidR="00AA19B2" w:rsidRPr="0084101D">
        <w:rPr>
          <w:rFonts w:asciiTheme="minorHAnsi" w:hAnsiTheme="minorHAnsi" w:cstheme="minorHAnsi"/>
          <w:i/>
          <w:iCs/>
        </w:rPr>
        <w:t>Annual Review of Biophysics</w:t>
      </w:r>
      <w:r w:rsidR="00A748D6">
        <w:rPr>
          <w:rFonts w:asciiTheme="minorHAnsi" w:hAnsiTheme="minorHAnsi" w:cstheme="minorHAnsi"/>
          <w:i/>
          <w:iCs/>
        </w:rPr>
        <w:t>.</w:t>
      </w:r>
      <w:r w:rsidR="00AA19B2" w:rsidRPr="0084101D">
        <w:rPr>
          <w:rFonts w:asciiTheme="minorHAnsi" w:hAnsiTheme="minorHAnsi" w:cstheme="minorHAnsi"/>
        </w:rPr>
        <w:t xml:space="preserve"> </w:t>
      </w:r>
      <w:r w:rsidR="00AA19B2" w:rsidRPr="0084101D">
        <w:rPr>
          <w:rFonts w:asciiTheme="minorHAnsi" w:hAnsiTheme="minorHAnsi" w:cstheme="minorHAnsi"/>
          <w:b/>
          <w:bCs/>
        </w:rPr>
        <w:t>43</w:t>
      </w:r>
      <w:r w:rsidR="00AA19B2" w:rsidRPr="0084101D">
        <w:rPr>
          <w:rFonts w:asciiTheme="minorHAnsi" w:hAnsiTheme="minorHAnsi" w:cstheme="minorHAnsi"/>
        </w:rPr>
        <w:t>, 65–91 (2014).</w:t>
      </w:r>
    </w:p>
    <w:p w14:paraId="60EE5FA5" w14:textId="48210DB3" w:rsidR="00AA19B2" w:rsidRPr="0084101D" w:rsidRDefault="00AA19B2" w:rsidP="00344E04">
      <w:pPr>
        <w:pStyle w:val="Bibliography"/>
        <w:spacing w:line="240" w:lineRule="auto"/>
        <w:ind w:left="0" w:firstLine="0"/>
        <w:rPr>
          <w:rFonts w:asciiTheme="minorHAnsi" w:hAnsiTheme="minorHAnsi" w:cstheme="minorHAnsi"/>
        </w:rPr>
      </w:pPr>
      <w:r w:rsidRPr="00AA19B2">
        <w:rPr>
          <w:rFonts w:asciiTheme="minorHAnsi" w:hAnsiTheme="minorHAnsi" w:cstheme="minorHAnsi"/>
          <w:lang w:val="fr-CH"/>
        </w:rPr>
        <w:t>11. Lambert,</w:t>
      </w:r>
      <w:r w:rsidR="002B0374">
        <w:rPr>
          <w:rFonts w:asciiTheme="minorHAnsi" w:hAnsiTheme="minorHAnsi" w:cstheme="minorHAnsi"/>
          <w:lang w:val="fr-CH"/>
        </w:rPr>
        <w:t xml:space="preserve"> B</w:t>
      </w:r>
      <w:r w:rsidR="00A748D6">
        <w:rPr>
          <w:rFonts w:asciiTheme="minorHAnsi" w:hAnsiTheme="minorHAnsi" w:cstheme="minorHAnsi"/>
          <w:lang w:val="fr-CH"/>
        </w:rPr>
        <w:t>.</w:t>
      </w:r>
      <w:r w:rsidR="002B0374">
        <w:rPr>
          <w:rFonts w:asciiTheme="minorHAnsi" w:hAnsiTheme="minorHAnsi" w:cstheme="minorHAnsi"/>
          <w:lang w:val="fr-CH"/>
        </w:rPr>
        <w:t xml:space="preserve"> </w:t>
      </w:r>
      <w:r w:rsidRPr="00AA19B2">
        <w:rPr>
          <w:rFonts w:asciiTheme="minorHAnsi" w:hAnsiTheme="minorHAnsi" w:cstheme="minorHAnsi"/>
          <w:lang w:val="fr-CH"/>
        </w:rPr>
        <w:t xml:space="preserve">S. </w:t>
      </w:r>
      <w:r w:rsidRPr="00AA19B2">
        <w:rPr>
          <w:rFonts w:asciiTheme="minorHAnsi" w:hAnsiTheme="minorHAnsi" w:cstheme="minorHAnsi"/>
          <w:i/>
          <w:iCs/>
          <w:lang w:val="fr-CH"/>
        </w:rPr>
        <w:t>et al.</w:t>
      </w:r>
      <w:r w:rsidRPr="00AA19B2">
        <w:rPr>
          <w:rFonts w:asciiTheme="minorHAnsi" w:hAnsiTheme="minorHAnsi" w:cstheme="minorHAnsi"/>
          <w:lang w:val="fr-CH"/>
        </w:rPr>
        <w:t xml:space="preserve"> </w:t>
      </w:r>
      <w:r w:rsidRPr="0084101D">
        <w:rPr>
          <w:rFonts w:asciiTheme="minorHAnsi" w:hAnsiTheme="minorHAnsi" w:cstheme="minorHAnsi"/>
        </w:rPr>
        <w:t xml:space="preserve">A microfluidics-based in situ chemotaxis assay to study the behaviour of aquatic microbial communities. </w:t>
      </w:r>
      <w:r w:rsidRPr="0084101D">
        <w:rPr>
          <w:rFonts w:asciiTheme="minorHAnsi" w:hAnsiTheme="minorHAnsi" w:cstheme="minorHAnsi"/>
          <w:i/>
          <w:iCs/>
        </w:rPr>
        <w:t>Nature Microbiology</w:t>
      </w:r>
      <w:r w:rsidR="00A748D6">
        <w:rPr>
          <w:rFonts w:asciiTheme="minorHAnsi" w:hAnsiTheme="minorHAnsi" w:cstheme="minorHAnsi"/>
          <w:i/>
          <w:iCs/>
        </w:rPr>
        <w:t>.</w:t>
      </w:r>
      <w:r w:rsidRPr="0084101D">
        <w:rPr>
          <w:rFonts w:asciiTheme="minorHAnsi" w:hAnsiTheme="minorHAnsi" w:cstheme="minorHAnsi"/>
        </w:rPr>
        <w:t xml:space="preserve"> </w:t>
      </w:r>
      <w:r w:rsidRPr="0084101D">
        <w:rPr>
          <w:rFonts w:asciiTheme="minorHAnsi" w:hAnsiTheme="minorHAnsi" w:cstheme="minorHAnsi"/>
          <w:b/>
          <w:bCs/>
        </w:rPr>
        <w:t>2</w:t>
      </w:r>
      <w:r w:rsidRPr="0084101D">
        <w:rPr>
          <w:rFonts w:asciiTheme="minorHAnsi" w:hAnsiTheme="minorHAnsi" w:cstheme="minorHAnsi"/>
        </w:rPr>
        <w:t>, 1344–1349 (2017).</w:t>
      </w:r>
    </w:p>
    <w:p w14:paraId="3476C066" w14:textId="18190269" w:rsidR="00AA19B2" w:rsidRPr="0084101D" w:rsidRDefault="00AA19B2" w:rsidP="00344E04">
      <w:pPr>
        <w:pStyle w:val="Bibliography"/>
        <w:spacing w:line="240" w:lineRule="auto"/>
        <w:ind w:left="0" w:firstLine="0"/>
        <w:rPr>
          <w:rFonts w:asciiTheme="minorHAnsi" w:hAnsiTheme="minorHAnsi" w:cstheme="minorHAnsi"/>
        </w:rPr>
      </w:pPr>
      <w:r w:rsidRPr="0084101D">
        <w:rPr>
          <w:rFonts w:asciiTheme="minorHAnsi" w:hAnsiTheme="minorHAnsi" w:cstheme="minorHAnsi"/>
        </w:rPr>
        <w:t xml:space="preserve">12. Marie, D., Partensky, F., </w:t>
      </w:r>
      <w:proofErr w:type="spellStart"/>
      <w:r w:rsidRPr="0084101D">
        <w:rPr>
          <w:rFonts w:asciiTheme="minorHAnsi" w:hAnsiTheme="minorHAnsi" w:cstheme="minorHAnsi"/>
        </w:rPr>
        <w:t>Jacquet</w:t>
      </w:r>
      <w:proofErr w:type="spellEnd"/>
      <w:r w:rsidRPr="0084101D">
        <w:rPr>
          <w:rFonts w:asciiTheme="minorHAnsi" w:hAnsiTheme="minorHAnsi" w:cstheme="minorHAnsi"/>
        </w:rPr>
        <w:t>, S.</w:t>
      </w:r>
      <w:r w:rsidR="00A748D6">
        <w:rPr>
          <w:rFonts w:asciiTheme="minorHAnsi" w:hAnsiTheme="minorHAnsi" w:cstheme="minorHAnsi"/>
        </w:rPr>
        <w:t>,</w:t>
      </w:r>
      <w:r w:rsidRPr="0084101D">
        <w:rPr>
          <w:rFonts w:asciiTheme="minorHAnsi" w:hAnsiTheme="minorHAnsi" w:cstheme="minorHAnsi"/>
        </w:rPr>
        <w:t xml:space="preserve"> </w:t>
      </w:r>
      <w:proofErr w:type="spellStart"/>
      <w:r w:rsidRPr="0084101D">
        <w:rPr>
          <w:rFonts w:asciiTheme="minorHAnsi" w:hAnsiTheme="minorHAnsi" w:cstheme="minorHAnsi"/>
        </w:rPr>
        <w:t>Vaulot</w:t>
      </w:r>
      <w:proofErr w:type="spellEnd"/>
      <w:r w:rsidRPr="0084101D">
        <w:rPr>
          <w:rFonts w:asciiTheme="minorHAnsi" w:hAnsiTheme="minorHAnsi" w:cstheme="minorHAnsi"/>
        </w:rPr>
        <w:t>,</w:t>
      </w:r>
      <w:r w:rsidR="002B0374">
        <w:rPr>
          <w:rFonts w:asciiTheme="minorHAnsi" w:hAnsiTheme="minorHAnsi" w:cstheme="minorHAnsi"/>
        </w:rPr>
        <w:t xml:space="preserve"> D</w:t>
      </w:r>
      <w:r w:rsidR="00A748D6">
        <w:rPr>
          <w:rFonts w:asciiTheme="minorHAnsi" w:hAnsiTheme="minorHAnsi" w:cstheme="minorHAnsi"/>
        </w:rPr>
        <w:t>.</w:t>
      </w:r>
      <w:r w:rsidR="002B0374">
        <w:rPr>
          <w:rFonts w:asciiTheme="minorHAnsi" w:hAnsiTheme="minorHAnsi" w:cstheme="minorHAnsi"/>
        </w:rPr>
        <w:t xml:space="preserve"> </w:t>
      </w:r>
      <w:r w:rsidRPr="0084101D">
        <w:rPr>
          <w:rFonts w:asciiTheme="minorHAnsi" w:hAnsiTheme="minorHAnsi" w:cstheme="minorHAnsi"/>
        </w:rPr>
        <w:t xml:space="preserve">Enumeration and cell cycle analysis of natural populations of marine picoplankton by flow cytometry using the nucleic acid stain SYBR Green I. </w:t>
      </w:r>
      <w:r w:rsidRPr="0084101D">
        <w:rPr>
          <w:rFonts w:asciiTheme="minorHAnsi" w:hAnsiTheme="minorHAnsi" w:cstheme="minorHAnsi"/>
          <w:i/>
          <w:iCs/>
        </w:rPr>
        <w:t>Applied Environmental Microbiology</w:t>
      </w:r>
      <w:r w:rsidR="00A748D6">
        <w:rPr>
          <w:rFonts w:asciiTheme="minorHAnsi" w:hAnsiTheme="minorHAnsi" w:cstheme="minorHAnsi"/>
          <w:i/>
          <w:iCs/>
        </w:rPr>
        <w:t>.</w:t>
      </w:r>
      <w:r w:rsidRPr="0084101D">
        <w:rPr>
          <w:rFonts w:asciiTheme="minorHAnsi" w:hAnsiTheme="minorHAnsi" w:cstheme="minorHAnsi"/>
        </w:rPr>
        <w:t xml:space="preserve"> </w:t>
      </w:r>
      <w:r w:rsidRPr="0084101D">
        <w:rPr>
          <w:rFonts w:asciiTheme="minorHAnsi" w:hAnsiTheme="minorHAnsi" w:cstheme="minorHAnsi"/>
          <w:b/>
          <w:bCs/>
        </w:rPr>
        <w:t>63</w:t>
      </w:r>
      <w:r w:rsidRPr="0084101D">
        <w:rPr>
          <w:rFonts w:asciiTheme="minorHAnsi" w:hAnsiTheme="minorHAnsi" w:cstheme="minorHAnsi"/>
        </w:rPr>
        <w:t>, 186–193 (1997).</w:t>
      </w:r>
    </w:p>
    <w:p w14:paraId="2F23F325" w14:textId="127E2607" w:rsidR="00BB094B" w:rsidRDefault="00BB094B" w:rsidP="00344E04">
      <w:pPr>
        <w:pStyle w:val="Bibliography"/>
        <w:spacing w:line="240" w:lineRule="auto"/>
        <w:ind w:left="0" w:firstLine="0"/>
      </w:pPr>
      <w:r w:rsidRPr="00424BC5">
        <w:t>13.</w:t>
      </w:r>
      <w:r w:rsidR="00AA19B2">
        <w:t xml:space="preserve"> </w:t>
      </w:r>
      <w:r w:rsidRPr="00424BC5">
        <w:t>Rinke,</w:t>
      </w:r>
      <w:r w:rsidR="002B0374">
        <w:t xml:space="preserve"> C</w:t>
      </w:r>
      <w:r w:rsidR="00A748D6">
        <w:t>.</w:t>
      </w:r>
      <w:r w:rsidR="002B0374">
        <w:t xml:space="preserve"> </w:t>
      </w:r>
      <w:r w:rsidRPr="00424BC5">
        <w:rPr>
          <w:i/>
          <w:iCs/>
        </w:rPr>
        <w:t>et al.</w:t>
      </w:r>
      <w:r w:rsidRPr="00424BC5">
        <w:t xml:space="preserve"> Obtaining genomes from uncultivated environmental microorganisms using FACS–based single-cell genomics. </w:t>
      </w:r>
      <w:r w:rsidRPr="00424BC5">
        <w:rPr>
          <w:i/>
          <w:iCs/>
        </w:rPr>
        <w:t>Nat</w:t>
      </w:r>
      <w:r w:rsidR="00614746">
        <w:rPr>
          <w:i/>
          <w:iCs/>
        </w:rPr>
        <w:t>ure</w:t>
      </w:r>
      <w:r w:rsidRPr="00424BC5">
        <w:rPr>
          <w:i/>
          <w:iCs/>
        </w:rPr>
        <w:t xml:space="preserve"> Protoc</w:t>
      </w:r>
      <w:r w:rsidR="00614746">
        <w:rPr>
          <w:i/>
          <w:iCs/>
        </w:rPr>
        <w:t>ols</w:t>
      </w:r>
      <w:r w:rsidR="00A748D6">
        <w:rPr>
          <w:i/>
          <w:iCs/>
        </w:rPr>
        <w:t>.</w:t>
      </w:r>
      <w:r w:rsidRPr="00424BC5">
        <w:t xml:space="preserve"> </w:t>
      </w:r>
      <w:r w:rsidRPr="00424BC5">
        <w:rPr>
          <w:b/>
          <w:bCs/>
        </w:rPr>
        <w:t>9</w:t>
      </w:r>
      <w:r w:rsidRPr="00424BC5">
        <w:t>, 1038–1048 (2014).</w:t>
      </w:r>
    </w:p>
    <w:p w14:paraId="1133AD68" w14:textId="7B0AC2F5" w:rsidR="00BB094B" w:rsidRDefault="00BB094B" w:rsidP="00344E04">
      <w:pPr>
        <w:pStyle w:val="Bibliography"/>
        <w:spacing w:line="240" w:lineRule="auto"/>
        <w:ind w:left="0" w:firstLine="0"/>
      </w:pPr>
      <w:r w:rsidRPr="00424BC5">
        <w:t>14.</w:t>
      </w:r>
      <w:r w:rsidR="00AA19B2" w:rsidRPr="00AA19B2">
        <w:rPr>
          <w:rFonts w:asciiTheme="minorHAnsi" w:hAnsiTheme="minorHAnsi" w:cstheme="minorHAnsi"/>
        </w:rPr>
        <w:t xml:space="preserve"> </w:t>
      </w:r>
      <w:r w:rsidR="00AA19B2" w:rsidRPr="0084101D">
        <w:rPr>
          <w:rFonts w:asciiTheme="minorHAnsi" w:hAnsiTheme="minorHAnsi" w:cstheme="minorHAnsi"/>
        </w:rPr>
        <w:t>Gaworzewska, E. T.</w:t>
      </w:r>
      <w:r w:rsidR="00A748D6">
        <w:rPr>
          <w:rFonts w:asciiTheme="minorHAnsi" w:hAnsiTheme="minorHAnsi" w:cstheme="minorHAnsi"/>
        </w:rPr>
        <w:t>,</w:t>
      </w:r>
      <w:r w:rsidR="00AA19B2" w:rsidRPr="0084101D">
        <w:rPr>
          <w:rFonts w:asciiTheme="minorHAnsi" w:hAnsiTheme="minorHAnsi" w:cstheme="minorHAnsi"/>
        </w:rPr>
        <w:t xml:space="preserve"> Carlile, M. J. Positive chemotaxis of Rhizobium leguminosarum and other bacteria towards root exudates from legumes and other plants. doi:10.1099/00221287-128-6-1179</w:t>
      </w:r>
      <w:r w:rsidR="00A748D6">
        <w:rPr>
          <w:rFonts w:asciiTheme="minorHAnsi" w:hAnsiTheme="minorHAnsi" w:cstheme="minorHAnsi"/>
        </w:rPr>
        <w:t xml:space="preserve"> (1982)</w:t>
      </w:r>
      <w:r w:rsidRPr="00424BC5">
        <w:t>.</w:t>
      </w:r>
    </w:p>
    <w:p w14:paraId="3BDE14E2" w14:textId="66E639F9" w:rsidR="00AA19B2" w:rsidRPr="0084101D" w:rsidRDefault="00AA19B2" w:rsidP="00344E04">
      <w:pPr>
        <w:pStyle w:val="Bibliography"/>
        <w:spacing w:line="240" w:lineRule="auto"/>
        <w:ind w:left="0" w:firstLine="0"/>
        <w:rPr>
          <w:rFonts w:asciiTheme="minorHAnsi" w:hAnsiTheme="minorHAnsi" w:cstheme="minorHAnsi"/>
        </w:rPr>
      </w:pPr>
      <w:r>
        <w:rPr>
          <w:rFonts w:asciiTheme="minorHAnsi" w:hAnsiTheme="minorHAnsi" w:cstheme="minorHAnsi"/>
        </w:rPr>
        <w:t>15</w:t>
      </w:r>
      <w:r w:rsidRPr="0084101D">
        <w:rPr>
          <w:rFonts w:asciiTheme="minorHAnsi" w:hAnsiTheme="minorHAnsi" w:cstheme="minorHAnsi"/>
        </w:rPr>
        <w:t xml:space="preserve">. Walker, T. S., Bais, H. P., </w:t>
      </w:r>
      <w:proofErr w:type="spellStart"/>
      <w:r w:rsidRPr="0084101D">
        <w:rPr>
          <w:rFonts w:asciiTheme="minorHAnsi" w:hAnsiTheme="minorHAnsi" w:cstheme="minorHAnsi"/>
        </w:rPr>
        <w:t>Grotewold</w:t>
      </w:r>
      <w:proofErr w:type="spellEnd"/>
      <w:r w:rsidRPr="0084101D">
        <w:rPr>
          <w:rFonts w:asciiTheme="minorHAnsi" w:hAnsiTheme="minorHAnsi" w:cstheme="minorHAnsi"/>
        </w:rPr>
        <w:t>, E.</w:t>
      </w:r>
      <w:r w:rsidR="00A748D6">
        <w:rPr>
          <w:rFonts w:asciiTheme="minorHAnsi" w:hAnsiTheme="minorHAnsi" w:cstheme="minorHAnsi"/>
        </w:rPr>
        <w:t>,</w:t>
      </w:r>
      <w:r w:rsidRPr="0084101D">
        <w:rPr>
          <w:rFonts w:asciiTheme="minorHAnsi" w:hAnsiTheme="minorHAnsi" w:cstheme="minorHAnsi"/>
        </w:rPr>
        <w:t xml:space="preserve"> Vivanco, J. M. Root exudation and rhizosphere biology. </w:t>
      </w:r>
      <w:r w:rsidRPr="0084101D">
        <w:rPr>
          <w:rFonts w:asciiTheme="minorHAnsi" w:hAnsiTheme="minorHAnsi" w:cstheme="minorHAnsi"/>
          <w:i/>
          <w:iCs/>
        </w:rPr>
        <w:t>Plant Physiology</w:t>
      </w:r>
      <w:r w:rsidR="00A748D6">
        <w:rPr>
          <w:rFonts w:asciiTheme="minorHAnsi" w:hAnsiTheme="minorHAnsi" w:cstheme="minorHAnsi"/>
          <w:i/>
          <w:iCs/>
        </w:rPr>
        <w:t>.</w:t>
      </w:r>
      <w:r w:rsidRPr="0084101D">
        <w:rPr>
          <w:rFonts w:asciiTheme="minorHAnsi" w:hAnsiTheme="minorHAnsi" w:cstheme="minorHAnsi"/>
        </w:rPr>
        <w:t xml:space="preserve"> </w:t>
      </w:r>
      <w:r w:rsidRPr="0084101D">
        <w:rPr>
          <w:rFonts w:asciiTheme="minorHAnsi" w:hAnsiTheme="minorHAnsi" w:cstheme="minorHAnsi"/>
          <w:b/>
          <w:bCs/>
        </w:rPr>
        <w:t>132</w:t>
      </w:r>
      <w:r w:rsidRPr="0084101D">
        <w:rPr>
          <w:rFonts w:asciiTheme="minorHAnsi" w:hAnsiTheme="minorHAnsi" w:cstheme="minorHAnsi"/>
        </w:rPr>
        <w:t>, 44–51 (2003).</w:t>
      </w:r>
    </w:p>
    <w:p w14:paraId="114DDBF8" w14:textId="1B988C0D" w:rsidR="00BB094B" w:rsidRPr="00F852C4" w:rsidRDefault="00BB094B" w:rsidP="00344E04">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fldChar w:fldCharType="end"/>
      </w:r>
    </w:p>
    <w:sectPr w:rsidR="00BB094B" w:rsidRPr="00F852C4" w:rsidSect="00D37E38">
      <w:headerReference w:type="default" r:id="rId16"/>
      <w:footerReference w:type="default" r:id="rId17"/>
      <w:head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DD36" w14:textId="77777777" w:rsidR="00A72342" w:rsidRDefault="00A72342">
      <w:r>
        <w:separator/>
      </w:r>
    </w:p>
  </w:endnote>
  <w:endnote w:type="continuationSeparator" w:id="0">
    <w:p w14:paraId="50067168" w14:textId="77777777" w:rsidR="00A72342" w:rsidRDefault="00A7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7398B20" w14:textId="72A5BC86" w:rsidR="00146D73" w:rsidRDefault="00146D73">
        <w:pPr>
          <w:pStyle w:val="Footer"/>
        </w:pPr>
        <w:r>
          <w:rPr>
            <w:noProof/>
          </w:rPr>
          <w:tab/>
        </w:r>
        <w:r>
          <w:rPr>
            <w:noProof/>
          </w:rPr>
          <w:tab/>
        </w:r>
      </w:p>
    </w:sdtContent>
  </w:sdt>
  <w:p w14:paraId="459AF7E2" w14:textId="77777777" w:rsidR="00146D73" w:rsidRPr="00494F77" w:rsidRDefault="00146D73" w:rsidP="000B4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443C" w14:textId="77777777" w:rsidR="00A72342" w:rsidRDefault="00A72342">
      <w:r>
        <w:separator/>
      </w:r>
    </w:p>
  </w:footnote>
  <w:footnote w:type="continuationSeparator" w:id="0">
    <w:p w14:paraId="305049D8" w14:textId="77777777" w:rsidR="00A72342" w:rsidRDefault="00A7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40908" w14:textId="77777777" w:rsidR="00146D73" w:rsidRPr="006F06E4" w:rsidRDefault="00146D73" w:rsidP="000B492A">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EC5D" w14:textId="1F8FC61B" w:rsidR="00146D73" w:rsidRPr="006F06E4" w:rsidRDefault="00146D73" w:rsidP="000B492A">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1498"/>
    <w:multiLevelType w:val="hybridMultilevel"/>
    <w:tmpl w:val="A336FBC8"/>
    <w:lvl w:ilvl="0" w:tplc="82A0D436">
      <w:start w:val="4"/>
      <w:numFmt w:val="bullet"/>
      <w:lvlText w:val=""/>
      <w:lvlJc w:val="left"/>
      <w:pPr>
        <w:ind w:left="720" w:hanging="360"/>
      </w:pPr>
      <w:rPr>
        <w:rFonts w:ascii="Wingdings" w:eastAsia="Times New Roman"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3210A"/>
    <w:multiLevelType w:val="multilevel"/>
    <w:tmpl w:val="6C00D47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i w:val="0"/>
        <w:i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15A4BB0"/>
    <w:multiLevelType w:val="multilevel"/>
    <w:tmpl w:val="AF5E3F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505D24"/>
    <w:multiLevelType w:val="multilevel"/>
    <w:tmpl w:val="0CCE7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7C3B4D"/>
    <w:multiLevelType w:val="multilevel"/>
    <w:tmpl w:val="4D0E85D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i w:val="0"/>
        <w:i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2AF1D17"/>
    <w:multiLevelType w:val="hybridMultilevel"/>
    <w:tmpl w:val="A2703A50"/>
    <w:lvl w:ilvl="0" w:tplc="F606CE9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21121"/>
    <w:multiLevelType w:val="hybridMultilevel"/>
    <w:tmpl w:val="C52E2144"/>
    <w:lvl w:ilvl="0" w:tplc="534AAC6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16986"/>
    <w:multiLevelType w:val="hybridMultilevel"/>
    <w:tmpl w:val="ACDE300A"/>
    <w:lvl w:ilvl="0" w:tplc="A18C284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3"/>
  </w:num>
  <w:num w:numId="5">
    <w:abstractNumId w:val="15"/>
  </w:num>
  <w:num w:numId="6">
    <w:abstractNumId w:val="22"/>
  </w:num>
  <w:num w:numId="7">
    <w:abstractNumId w:val="0"/>
  </w:num>
  <w:num w:numId="8">
    <w:abstractNumId w:val="16"/>
  </w:num>
  <w:num w:numId="9">
    <w:abstractNumId w:val="17"/>
  </w:num>
  <w:num w:numId="10">
    <w:abstractNumId w:val="24"/>
  </w:num>
  <w:num w:numId="11">
    <w:abstractNumId w:val="28"/>
  </w:num>
  <w:num w:numId="12">
    <w:abstractNumId w:val="3"/>
  </w:num>
  <w:num w:numId="13">
    <w:abstractNumId w:val="26"/>
  </w:num>
  <w:num w:numId="14">
    <w:abstractNumId w:val="33"/>
  </w:num>
  <w:num w:numId="15">
    <w:abstractNumId w:val="19"/>
  </w:num>
  <w:num w:numId="16">
    <w:abstractNumId w:val="14"/>
  </w:num>
  <w:num w:numId="17">
    <w:abstractNumId w:val="27"/>
  </w:num>
  <w:num w:numId="18">
    <w:abstractNumId w:val="20"/>
  </w:num>
  <w:num w:numId="19">
    <w:abstractNumId w:val="30"/>
  </w:num>
  <w:num w:numId="20">
    <w:abstractNumId w:val="4"/>
  </w:num>
  <w:num w:numId="21">
    <w:abstractNumId w:val="32"/>
  </w:num>
  <w:num w:numId="22">
    <w:abstractNumId w:val="29"/>
  </w:num>
  <w:num w:numId="23">
    <w:abstractNumId w:val="21"/>
  </w:num>
  <w:num w:numId="24">
    <w:abstractNumId w:val="34"/>
  </w:num>
  <w:num w:numId="25">
    <w:abstractNumId w:val="10"/>
  </w:num>
  <w:num w:numId="26">
    <w:abstractNumId w:val="2"/>
  </w:num>
  <w:num w:numId="27">
    <w:abstractNumId w:val="9"/>
  </w:num>
  <w:num w:numId="28">
    <w:abstractNumId w:val="35"/>
  </w:num>
  <w:num w:numId="29">
    <w:abstractNumId w:val="18"/>
  </w:num>
  <w:num w:numId="30">
    <w:abstractNumId w:val="13"/>
  </w:num>
  <w:num w:numId="31">
    <w:abstractNumId w:val="31"/>
  </w:num>
  <w:num w:numId="32">
    <w:abstractNumId w:val="1"/>
  </w:num>
  <w:num w:numId="33">
    <w:abstractNumId w:val="12"/>
  </w:num>
  <w:num w:numId="34">
    <w:abstractNumId w:val="11"/>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fr-CH"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3sDC1NDI1MAFiCyUdpeDU4uLM/DyQAqNaABmvBO0sAAAA"/>
  </w:docVars>
  <w:rsids>
    <w:rsidRoot w:val="00EA4820"/>
    <w:rsid w:val="000104F0"/>
    <w:rsid w:val="00011E43"/>
    <w:rsid w:val="0003583C"/>
    <w:rsid w:val="00035CFC"/>
    <w:rsid w:val="00037732"/>
    <w:rsid w:val="00046AEA"/>
    <w:rsid w:val="000907B4"/>
    <w:rsid w:val="000B386B"/>
    <w:rsid w:val="000B3C94"/>
    <w:rsid w:val="000B435B"/>
    <w:rsid w:val="000B492A"/>
    <w:rsid w:val="000D026B"/>
    <w:rsid w:val="000E0845"/>
    <w:rsid w:val="000E4D5F"/>
    <w:rsid w:val="0011052B"/>
    <w:rsid w:val="00115917"/>
    <w:rsid w:val="00146D73"/>
    <w:rsid w:val="0016014F"/>
    <w:rsid w:val="00167E1A"/>
    <w:rsid w:val="0017104B"/>
    <w:rsid w:val="00183B87"/>
    <w:rsid w:val="00195B13"/>
    <w:rsid w:val="001A2B7B"/>
    <w:rsid w:val="001A30A9"/>
    <w:rsid w:val="001B00BB"/>
    <w:rsid w:val="001B6600"/>
    <w:rsid w:val="001C2749"/>
    <w:rsid w:val="001C4E12"/>
    <w:rsid w:val="001D1056"/>
    <w:rsid w:val="001D73D5"/>
    <w:rsid w:val="001D7E11"/>
    <w:rsid w:val="001E2097"/>
    <w:rsid w:val="001E2C14"/>
    <w:rsid w:val="001E3E7A"/>
    <w:rsid w:val="002007AB"/>
    <w:rsid w:val="002120B5"/>
    <w:rsid w:val="00221278"/>
    <w:rsid w:val="00223948"/>
    <w:rsid w:val="00224876"/>
    <w:rsid w:val="002267B1"/>
    <w:rsid w:val="00226A3D"/>
    <w:rsid w:val="00231B08"/>
    <w:rsid w:val="00231F3C"/>
    <w:rsid w:val="00232576"/>
    <w:rsid w:val="00240A21"/>
    <w:rsid w:val="00251CA9"/>
    <w:rsid w:val="00253022"/>
    <w:rsid w:val="0026728E"/>
    <w:rsid w:val="00274BD1"/>
    <w:rsid w:val="00277B84"/>
    <w:rsid w:val="00293C37"/>
    <w:rsid w:val="002B0374"/>
    <w:rsid w:val="002B5F7F"/>
    <w:rsid w:val="002B6455"/>
    <w:rsid w:val="002B73E4"/>
    <w:rsid w:val="002C2574"/>
    <w:rsid w:val="002C7FE1"/>
    <w:rsid w:val="002D1E0F"/>
    <w:rsid w:val="002D559E"/>
    <w:rsid w:val="002F28C7"/>
    <w:rsid w:val="00317F9E"/>
    <w:rsid w:val="003228BF"/>
    <w:rsid w:val="00327053"/>
    <w:rsid w:val="00340DC2"/>
    <w:rsid w:val="00343B27"/>
    <w:rsid w:val="00344E04"/>
    <w:rsid w:val="0036405A"/>
    <w:rsid w:val="0036540D"/>
    <w:rsid w:val="003A2FE6"/>
    <w:rsid w:val="003B29D4"/>
    <w:rsid w:val="003E48F0"/>
    <w:rsid w:val="003E58D3"/>
    <w:rsid w:val="003F2BBE"/>
    <w:rsid w:val="003F62FC"/>
    <w:rsid w:val="004077F0"/>
    <w:rsid w:val="0041321B"/>
    <w:rsid w:val="00424BC5"/>
    <w:rsid w:val="004278D7"/>
    <w:rsid w:val="0043668E"/>
    <w:rsid w:val="00454098"/>
    <w:rsid w:val="00457F06"/>
    <w:rsid w:val="004626AE"/>
    <w:rsid w:val="004740CB"/>
    <w:rsid w:val="004D280F"/>
    <w:rsid w:val="004E1CA3"/>
    <w:rsid w:val="005045B8"/>
    <w:rsid w:val="005049EA"/>
    <w:rsid w:val="0051262A"/>
    <w:rsid w:val="005132F8"/>
    <w:rsid w:val="0051535E"/>
    <w:rsid w:val="005218EC"/>
    <w:rsid w:val="00526403"/>
    <w:rsid w:val="00527D9C"/>
    <w:rsid w:val="005358FF"/>
    <w:rsid w:val="005517C4"/>
    <w:rsid w:val="005563FB"/>
    <w:rsid w:val="00561B7A"/>
    <w:rsid w:val="00567AAC"/>
    <w:rsid w:val="00572CE2"/>
    <w:rsid w:val="00575EE0"/>
    <w:rsid w:val="00582DF1"/>
    <w:rsid w:val="005863DE"/>
    <w:rsid w:val="005A5BB2"/>
    <w:rsid w:val="005A6C33"/>
    <w:rsid w:val="005A7161"/>
    <w:rsid w:val="005C15EE"/>
    <w:rsid w:val="005C2C7B"/>
    <w:rsid w:val="005C2ECB"/>
    <w:rsid w:val="005C57B7"/>
    <w:rsid w:val="005D2C0C"/>
    <w:rsid w:val="005D44E8"/>
    <w:rsid w:val="005D77A2"/>
    <w:rsid w:val="005E5235"/>
    <w:rsid w:val="0060068A"/>
    <w:rsid w:val="00614746"/>
    <w:rsid w:val="0061483D"/>
    <w:rsid w:val="00623104"/>
    <w:rsid w:val="00630C0A"/>
    <w:rsid w:val="00654712"/>
    <w:rsid w:val="00656FDF"/>
    <w:rsid w:val="0067487D"/>
    <w:rsid w:val="00680933"/>
    <w:rsid w:val="00685E4B"/>
    <w:rsid w:val="00695FD1"/>
    <w:rsid w:val="006B32F6"/>
    <w:rsid w:val="006C0FC1"/>
    <w:rsid w:val="006C2103"/>
    <w:rsid w:val="006D2FA1"/>
    <w:rsid w:val="00707287"/>
    <w:rsid w:val="00710DB2"/>
    <w:rsid w:val="007118A9"/>
    <w:rsid w:val="00715CAE"/>
    <w:rsid w:val="007161E7"/>
    <w:rsid w:val="00725AC1"/>
    <w:rsid w:val="00735E9F"/>
    <w:rsid w:val="00743F77"/>
    <w:rsid w:val="00746228"/>
    <w:rsid w:val="00755213"/>
    <w:rsid w:val="00761487"/>
    <w:rsid w:val="0079396D"/>
    <w:rsid w:val="007A1C28"/>
    <w:rsid w:val="007C2038"/>
    <w:rsid w:val="007C594C"/>
    <w:rsid w:val="007C7EE2"/>
    <w:rsid w:val="007D0045"/>
    <w:rsid w:val="007D39FA"/>
    <w:rsid w:val="007E7E76"/>
    <w:rsid w:val="007F73F0"/>
    <w:rsid w:val="008012BE"/>
    <w:rsid w:val="0080775B"/>
    <w:rsid w:val="0082666F"/>
    <w:rsid w:val="00827DF2"/>
    <w:rsid w:val="00831A72"/>
    <w:rsid w:val="008321D5"/>
    <w:rsid w:val="008375B9"/>
    <w:rsid w:val="0084101D"/>
    <w:rsid w:val="0084123A"/>
    <w:rsid w:val="0086105D"/>
    <w:rsid w:val="008764B9"/>
    <w:rsid w:val="008774C7"/>
    <w:rsid w:val="00886434"/>
    <w:rsid w:val="00895A78"/>
    <w:rsid w:val="00895F79"/>
    <w:rsid w:val="008A45C5"/>
    <w:rsid w:val="008A5DCC"/>
    <w:rsid w:val="008A6B4E"/>
    <w:rsid w:val="008B5E70"/>
    <w:rsid w:val="008C37C1"/>
    <w:rsid w:val="008C7B92"/>
    <w:rsid w:val="008E5ED9"/>
    <w:rsid w:val="008F09BE"/>
    <w:rsid w:val="008F3F30"/>
    <w:rsid w:val="00901C1A"/>
    <w:rsid w:val="00903A00"/>
    <w:rsid w:val="00913400"/>
    <w:rsid w:val="00914527"/>
    <w:rsid w:val="009224D9"/>
    <w:rsid w:val="009237A8"/>
    <w:rsid w:val="0093031A"/>
    <w:rsid w:val="0094307F"/>
    <w:rsid w:val="00943E54"/>
    <w:rsid w:val="00950ECB"/>
    <w:rsid w:val="009617C0"/>
    <w:rsid w:val="00967620"/>
    <w:rsid w:val="00980AEC"/>
    <w:rsid w:val="00986BCC"/>
    <w:rsid w:val="009940D8"/>
    <w:rsid w:val="009A13AC"/>
    <w:rsid w:val="009A393B"/>
    <w:rsid w:val="009C7187"/>
    <w:rsid w:val="009D6916"/>
    <w:rsid w:val="00A05A2E"/>
    <w:rsid w:val="00A107C6"/>
    <w:rsid w:val="00A1249C"/>
    <w:rsid w:val="00A27841"/>
    <w:rsid w:val="00A3464F"/>
    <w:rsid w:val="00A372D1"/>
    <w:rsid w:val="00A37D58"/>
    <w:rsid w:val="00A418F7"/>
    <w:rsid w:val="00A56B7F"/>
    <w:rsid w:val="00A71C1E"/>
    <w:rsid w:val="00A72342"/>
    <w:rsid w:val="00A748D6"/>
    <w:rsid w:val="00A82E76"/>
    <w:rsid w:val="00A963D8"/>
    <w:rsid w:val="00A967E6"/>
    <w:rsid w:val="00A97E2D"/>
    <w:rsid w:val="00AA19B2"/>
    <w:rsid w:val="00AC17E0"/>
    <w:rsid w:val="00AC4AC4"/>
    <w:rsid w:val="00AD5D61"/>
    <w:rsid w:val="00AD77C4"/>
    <w:rsid w:val="00AE74FD"/>
    <w:rsid w:val="00AF59F5"/>
    <w:rsid w:val="00B006A7"/>
    <w:rsid w:val="00B01250"/>
    <w:rsid w:val="00B1040E"/>
    <w:rsid w:val="00B12A95"/>
    <w:rsid w:val="00B147E8"/>
    <w:rsid w:val="00B172BE"/>
    <w:rsid w:val="00B20966"/>
    <w:rsid w:val="00B216D0"/>
    <w:rsid w:val="00B233A3"/>
    <w:rsid w:val="00B24153"/>
    <w:rsid w:val="00B3497D"/>
    <w:rsid w:val="00B41A03"/>
    <w:rsid w:val="00B510B1"/>
    <w:rsid w:val="00B519DC"/>
    <w:rsid w:val="00B60F06"/>
    <w:rsid w:val="00B74F21"/>
    <w:rsid w:val="00B82883"/>
    <w:rsid w:val="00B8296C"/>
    <w:rsid w:val="00B840F0"/>
    <w:rsid w:val="00BA4A4B"/>
    <w:rsid w:val="00BB094B"/>
    <w:rsid w:val="00BB6D51"/>
    <w:rsid w:val="00BC091A"/>
    <w:rsid w:val="00BC51EA"/>
    <w:rsid w:val="00BC76E6"/>
    <w:rsid w:val="00BE0218"/>
    <w:rsid w:val="00BE043D"/>
    <w:rsid w:val="00BF66AD"/>
    <w:rsid w:val="00BF684D"/>
    <w:rsid w:val="00C0034D"/>
    <w:rsid w:val="00C00DD4"/>
    <w:rsid w:val="00C14280"/>
    <w:rsid w:val="00C172FA"/>
    <w:rsid w:val="00C26043"/>
    <w:rsid w:val="00C36A3B"/>
    <w:rsid w:val="00C45BF5"/>
    <w:rsid w:val="00C56A2C"/>
    <w:rsid w:val="00C60EED"/>
    <w:rsid w:val="00CA0B5A"/>
    <w:rsid w:val="00CA2916"/>
    <w:rsid w:val="00CA2DF9"/>
    <w:rsid w:val="00CA4522"/>
    <w:rsid w:val="00CB12CF"/>
    <w:rsid w:val="00CC4338"/>
    <w:rsid w:val="00CC5B95"/>
    <w:rsid w:val="00CD199F"/>
    <w:rsid w:val="00CD4A13"/>
    <w:rsid w:val="00CE2730"/>
    <w:rsid w:val="00CE4BCA"/>
    <w:rsid w:val="00D00FD3"/>
    <w:rsid w:val="00D065FD"/>
    <w:rsid w:val="00D070D1"/>
    <w:rsid w:val="00D14025"/>
    <w:rsid w:val="00D26888"/>
    <w:rsid w:val="00D37E38"/>
    <w:rsid w:val="00D50F86"/>
    <w:rsid w:val="00D52A44"/>
    <w:rsid w:val="00D52F97"/>
    <w:rsid w:val="00D679AD"/>
    <w:rsid w:val="00D831D8"/>
    <w:rsid w:val="00D84023"/>
    <w:rsid w:val="00D942D0"/>
    <w:rsid w:val="00D94B36"/>
    <w:rsid w:val="00DB107C"/>
    <w:rsid w:val="00DB4C76"/>
    <w:rsid w:val="00DB69C8"/>
    <w:rsid w:val="00DB7BBF"/>
    <w:rsid w:val="00DC1D20"/>
    <w:rsid w:val="00DC2959"/>
    <w:rsid w:val="00DD5989"/>
    <w:rsid w:val="00DE010B"/>
    <w:rsid w:val="00DE070C"/>
    <w:rsid w:val="00DE550B"/>
    <w:rsid w:val="00E22C02"/>
    <w:rsid w:val="00E5233F"/>
    <w:rsid w:val="00E66FCF"/>
    <w:rsid w:val="00E728F7"/>
    <w:rsid w:val="00E72F4A"/>
    <w:rsid w:val="00E85FC1"/>
    <w:rsid w:val="00E87797"/>
    <w:rsid w:val="00E91902"/>
    <w:rsid w:val="00E9420B"/>
    <w:rsid w:val="00EA23D4"/>
    <w:rsid w:val="00EA34E3"/>
    <w:rsid w:val="00EA468F"/>
    <w:rsid w:val="00EA4820"/>
    <w:rsid w:val="00EA5021"/>
    <w:rsid w:val="00EB721D"/>
    <w:rsid w:val="00EF055B"/>
    <w:rsid w:val="00EF100C"/>
    <w:rsid w:val="00F0186E"/>
    <w:rsid w:val="00F02CBF"/>
    <w:rsid w:val="00F20C7E"/>
    <w:rsid w:val="00F20E93"/>
    <w:rsid w:val="00F41138"/>
    <w:rsid w:val="00F64E72"/>
    <w:rsid w:val="00F66A7F"/>
    <w:rsid w:val="00F7003B"/>
    <w:rsid w:val="00F701B9"/>
    <w:rsid w:val="00F716FE"/>
    <w:rsid w:val="00F72CE6"/>
    <w:rsid w:val="00F73531"/>
    <w:rsid w:val="00F8022A"/>
    <w:rsid w:val="00F84A24"/>
    <w:rsid w:val="00F852C4"/>
    <w:rsid w:val="00F87400"/>
    <w:rsid w:val="00F92F3B"/>
    <w:rsid w:val="00FB5CEB"/>
    <w:rsid w:val="00FC03A7"/>
    <w:rsid w:val="00FD07A4"/>
    <w:rsid w:val="00FD4AF3"/>
    <w:rsid w:val="00FE0BD0"/>
    <w:rsid w:val="00FE4155"/>
    <w:rsid w:val="00FF745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EC60A"/>
  <w15:docId w15:val="{57BEC87C-EA4B-4BD1-B101-BD791376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2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EA482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A482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A482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820"/>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EA4820"/>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EA4820"/>
    <w:rPr>
      <w:rFonts w:asciiTheme="majorHAnsi" w:eastAsiaTheme="majorEastAsia" w:hAnsiTheme="majorHAnsi" w:cstheme="majorBidi"/>
      <w:b/>
      <w:bCs/>
      <w:color w:val="5B9BD5" w:themeColor="accent1"/>
      <w:sz w:val="24"/>
      <w:szCs w:val="24"/>
    </w:rPr>
  </w:style>
  <w:style w:type="paragraph" w:styleId="NormalWeb">
    <w:name w:val="Normal (Web)"/>
    <w:basedOn w:val="Normal"/>
    <w:rsid w:val="00EA4820"/>
    <w:pPr>
      <w:spacing w:before="100" w:beforeAutospacing="1" w:after="100" w:afterAutospacing="1"/>
    </w:pPr>
  </w:style>
  <w:style w:type="character" w:styleId="Hyperlink">
    <w:name w:val="Hyperlink"/>
    <w:uiPriority w:val="99"/>
    <w:rsid w:val="00EA4820"/>
    <w:rPr>
      <w:color w:val="0000FF"/>
      <w:u w:val="single"/>
    </w:rPr>
  </w:style>
  <w:style w:type="paragraph" w:styleId="Header">
    <w:name w:val="header"/>
    <w:basedOn w:val="Normal"/>
    <w:link w:val="HeaderChar"/>
    <w:uiPriority w:val="99"/>
    <w:rsid w:val="00EA4820"/>
    <w:pPr>
      <w:tabs>
        <w:tab w:val="center" w:pos="4680"/>
        <w:tab w:val="right" w:pos="9360"/>
      </w:tabs>
    </w:pPr>
  </w:style>
  <w:style w:type="character" w:customStyle="1" w:styleId="HeaderChar">
    <w:name w:val="Header Char"/>
    <w:basedOn w:val="DefaultParagraphFont"/>
    <w:link w:val="Header"/>
    <w:uiPriority w:val="99"/>
    <w:rsid w:val="00EA4820"/>
    <w:rPr>
      <w:rFonts w:ascii="Calibri" w:eastAsia="Times New Roman" w:hAnsi="Calibri" w:cs="Calibri"/>
      <w:color w:val="000000"/>
      <w:sz w:val="24"/>
      <w:szCs w:val="24"/>
    </w:rPr>
  </w:style>
  <w:style w:type="paragraph" w:styleId="Footer">
    <w:name w:val="footer"/>
    <w:basedOn w:val="Normal"/>
    <w:link w:val="FooterChar"/>
    <w:uiPriority w:val="99"/>
    <w:rsid w:val="00EA4820"/>
    <w:pPr>
      <w:tabs>
        <w:tab w:val="center" w:pos="4680"/>
        <w:tab w:val="right" w:pos="9360"/>
      </w:tabs>
    </w:pPr>
  </w:style>
  <w:style w:type="character" w:customStyle="1" w:styleId="FooterChar">
    <w:name w:val="Footer Char"/>
    <w:basedOn w:val="DefaultParagraphFont"/>
    <w:link w:val="Footer"/>
    <w:uiPriority w:val="99"/>
    <w:rsid w:val="00EA4820"/>
    <w:rPr>
      <w:rFonts w:ascii="Calibri" w:eastAsia="Times New Roman" w:hAnsi="Calibri" w:cs="Calibri"/>
      <w:color w:val="000000"/>
      <w:sz w:val="24"/>
      <w:szCs w:val="24"/>
    </w:rPr>
  </w:style>
  <w:style w:type="character" w:styleId="CommentReference">
    <w:name w:val="annotation reference"/>
    <w:uiPriority w:val="99"/>
    <w:rsid w:val="00EA4820"/>
    <w:rPr>
      <w:sz w:val="18"/>
      <w:szCs w:val="18"/>
    </w:rPr>
  </w:style>
  <w:style w:type="paragraph" w:styleId="CommentText">
    <w:name w:val="annotation text"/>
    <w:basedOn w:val="Normal"/>
    <w:link w:val="CommentTextChar"/>
    <w:uiPriority w:val="99"/>
    <w:rsid w:val="00EA4820"/>
  </w:style>
  <w:style w:type="character" w:customStyle="1" w:styleId="CommentTextChar">
    <w:name w:val="Comment Text Char"/>
    <w:basedOn w:val="DefaultParagraphFont"/>
    <w:link w:val="CommentText"/>
    <w:uiPriority w:val="99"/>
    <w:rsid w:val="00EA4820"/>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EA4820"/>
    <w:rPr>
      <w:b/>
      <w:bCs/>
      <w:sz w:val="20"/>
      <w:szCs w:val="20"/>
    </w:rPr>
  </w:style>
  <w:style w:type="character" w:customStyle="1" w:styleId="CommentSubjectChar">
    <w:name w:val="Comment Subject Char"/>
    <w:basedOn w:val="CommentTextChar"/>
    <w:link w:val="CommentSubject"/>
    <w:rsid w:val="00EA4820"/>
    <w:rPr>
      <w:rFonts w:ascii="Calibri" w:eastAsia="Times New Roman" w:hAnsi="Calibri" w:cs="Calibri"/>
      <w:b/>
      <w:bCs/>
      <w:color w:val="000000"/>
      <w:sz w:val="20"/>
      <w:szCs w:val="20"/>
    </w:rPr>
  </w:style>
  <w:style w:type="paragraph" w:styleId="BalloonText">
    <w:name w:val="Balloon Text"/>
    <w:basedOn w:val="Normal"/>
    <w:link w:val="BalloonTextChar"/>
    <w:rsid w:val="00EA4820"/>
    <w:rPr>
      <w:rFonts w:ascii="Lucida Grande" w:hAnsi="Lucida Grande"/>
      <w:sz w:val="18"/>
      <w:szCs w:val="18"/>
    </w:rPr>
  </w:style>
  <w:style w:type="character" w:customStyle="1" w:styleId="BalloonTextChar">
    <w:name w:val="Balloon Text Char"/>
    <w:basedOn w:val="DefaultParagraphFont"/>
    <w:link w:val="BalloonText"/>
    <w:rsid w:val="00EA4820"/>
    <w:rPr>
      <w:rFonts w:ascii="Lucida Grande" w:eastAsia="Times New Roman" w:hAnsi="Lucida Grande" w:cs="Calibri"/>
      <w:color w:val="000000"/>
      <w:sz w:val="18"/>
      <w:szCs w:val="18"/>
    </w:rPr>
  </w:style>
  <w:style w:type="character" w:styleId="PageNumber">
    <w:name w:val="page number"/>
    <w:basedOn w:val="DefaultParagraphFont"/>
    <w:rsid w:val="00EA4820"/>
  </w:style>
  <w:style w:type="character" w:styleId="FollowedHyperlink">
    <w:name w:val="FollowedHyperlink"/>
    <w:rsid w:val="00EA4820"/>
    <w:rPr>
      <w:color w:val="800080"/>
      <w:u w:val="single"/>
    </w:rPr>
  </w:style>
  <w:style w:type="character" w:customStyle="1" w:styleId="apple-converted-space">
    <w:name w:val="apple-converted-space"/>
    <w:basedOn w:val="DefaultParagraphFont"/>
    <w:rsid w:val="00EA4820"/>
  </w:style>
  <w:style w:type="character" w:styleId="IntenseEmphasis">
    <w:name w:val="Intense Emphasis"/>
    <w:qFormat/>
    <w:rsid w:val="00EA4820"/>
    <w:rPr>
      <w:b/>
      <w:bCs/>
      <w:i/>
      <w:iCs/>
      <w:color w:val="4F81BD"/>
    </w:rPr>
  </w:style>
  <w:style w:type="paragraph" w:customStyle="1" w:styleId="Exampletext">
    <w:name w:val="Example text"/>
    <w:basedOn w:val="Normal"/>
    <w:link w:val="ExampletextChar"/>
    <w:qFormat/>
    <w:rsid w:val="00EA4820"/>
    <w:pPr>
      <w:spacing w:after="240"/>
    </w:pPr>
    <w:rPr>
      <w:color w:val="7F7F7F"/>
    </w:rPr>
  </w:style>
  <w:style w:type="character" w:customStyle="1" w:styleId="ExampletextChar">
    <w:name w:val="Example text Char"/>
    <w:link w:val="Exampletext"/>
    <w:rsid w:val="00EA4820"/>
    <w:rPr>
      <w:rFonts w:ascii="Calibri" w:eastAsia="Times New Roman" w:hAnsi="Calibri" w:cs="Calibri"/>
      <w:color w:val="7F7F7F"/>
      <w:sz w:val="24"/>
      <w:szCs w:val="24"/>
    </w:rPr>
  </w:style>
  <w:style w:type="paragraph" w:styleId="ListParagraph">
    <w:name w:val="List Paragraph"/>
    <w:basedOn w:val="Normal"/>
    <w:uiPriority w:val="34"/>
    <w:qFormat/>
    <w:rsid w:val="00EA4820"/>
    <w:pPr>
      <w:ind w:left="720"/>
      <w:contextualSpacing/>
    </w:pPr>
  </w:style>
  <w:style w:type="paragraph" w:styleId="Revision">
    <w:name w:val="Revision"/>
    <w:hidden/>
    <w:uiPriority w:val="99"/>
    <w:semiHidden/>
    <w:rsid w:val="00EA4820"/>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EA4820"/>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A4820"/>
    <w:rPr>
      <w:rFonts w:ascii="Calibri" w:eastAsia="Calibri" w:hAnsi="Calibri" w:cs="Calibri"/>
      <w:sz w:val="24"/>
      <w:szCs w:val="24"/>
    </w:rPr>
  </w:style>
  <w:style w:type="character" w:styleId="Strong">
    <w:name w:val="Strong"/>
    <w:basedOn w:val="DefaultParagraphFont"/>
    <w:uiPriority w:val="22"/>
    <w:qFormat/>
    <w:rsid w:val="00EA4820"/>
    <w:rPr>
      <w:b/>
      <w:bCs/>
    </w:rPr>
  </w:style>
  <w:style w:type="character" w:styleId="Emphasis">
    <w:name w:val="Emphasis"/>
    <w:basedOn w:val="DefaultParagraphFont"/>
    <w:uiPriority w:val="20"/>
    <w:qFormat/>
    <w:rsid w:val="00EA4820"/>
    <w:rPr>
      <w:i/>
      <w:iCs/>
    </w:rPr>
  </w:style>
  <w:style w:type="character" w:styleId="LineNumber">
    <w:name w:val="line number"/>
    <w:basedOn w:val="DefaultParagraphFont"/>
    <w:uiPriority w:val="99"/>
    <w:semiHidden/>
    <w:unhideWhenUsed/>
    <w:rsid w:val="00EA4820"/>
  </w:style>
  <w:style w:type="character" w:customStyle="1" w:styleId="UnresolvedMention1">
    <w:name w:val="Unresolved Mention1"/>
    <w:basedOn w:val="DefaultParagraphFont"/>
    <w:uiPriority w:val="99"/>
    <w:semiHidden/>
    <w:unhideWhenUsed/>
    <w:rsid w:val="00EA4820"/>
    <w:rPr>
      <w:color w:val="808080"/>
      <w:shd w:val="clear" w:color="auto" w:fill="E6E6E6"/>
    </w:rPr>
  </w:style>
  <w:style w:type="character" w:styleId="PlaceholderText">
    <w:name w:val="Placeholder Text"/>
    <w:basedOn w:val="DefaultParagraphFont"/>
    <w:uiPriority w:val="99"/>
    <w:semiHidden/>
    <w:rsid w:val="00EA4820"/>
    <w:rPr>
      <w:color w:val="808080"/>
    </w:rPr>
  </w:style>
  <w:style w:type="character" w:customStyle="1" w:styleId="gd15mcfceub">
    <w:name w:val="gd15mcfceub"/>
    <w:basedOn w:val="DefaultParagraphFont"/>
    <w:rsid w:val="00EA4820"/>
  </w:style>
  <w:style w:type="paragraph" w:styleId="Bibliography">
    <w:name w:val="Bibliography"/>
    <w:basedOn w:val="Normal"/>
    <w:next w:val="Normal"/>
    <w:uiPriority w:val="37"/>
    <w:unhideWhenUsed/>
    <w:rsid w:val="002F28C7"/>
    <w:pPr>
      <w:tabs>
        <w:tab w:val="left" w:pos="264"/>
      </w:tabs>
      <w:spacing w:line="480" w:lineRule="auto"/>
      <w:ind w:left="264" w:hanging="264"/>
    </w:pPr>
  </w:style>
  <w:style w:type="character" w:styleId="UnresolvedMention">
    <w:name w:val="Unresolved Mention"/>
    <w:basedOn w:val="DefaultParagraphFont"/>
    <w:uiPriority w:val="99"/>
    <w:semiHidden/>
    <w:unhideWhenUsed/>
    <w:rsid w:val="00DD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mbertb@uw.ed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Baptiste.Raina@uts.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lerc@ethz.ch" TargetMode="External"/><Relationship Id="rId5" Type="http://schemas.openxmlformats.org/officeDocument/2006/relationships/numbering" Target="numbering.xml"/><Relationship Id="rId15" Type="http://schemas.openxmlformats.org/officeDocument/2006/relationships/hyperlink" Target="https://figshare.com/articles/Flow_damping_enclosure_for_ISCA_deployments/106302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stin.Seymour@ut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0" ma:contentTypeDescription="Create a new document." ma:contentTypeScope="" ma:versionID="7cc5c1c2f3ee3fee208b50579b92df16">
  <xsd:schema xmlns:xsd="http://www.w3.org/2001/XMLSchema" xmlns:xs="http://www.w3.org/2001/XMLSchema" xmlns:p="http://schemas.microsoft.com/office/2006/metadata/properties" xmlns:ns1="http://schemas.microsoft.com/sharepoint/v3" xmlns:ns3="0fb774b7-0571-4e61-9f02-9eb8691563b7" targetNamespace="http://schemas.microsoft.com/office/2006/metadata/properties" ma:root="true" ma:fieldsID="9ed206be593e7f6017d057fdcfc78553" ns1:_="" ns3:_="">
    <xsd:import namespace="http://schemas.microsoft.com/sharepoint/v3"/>
    <xsd:import namespace="0fb774b7-0571-4e61-9f02-9eb869156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11DF-15FD-4AB0-91F2-5422DFC1D8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2D6E79-4504-4CCD-981F-EE48474C435F}">
  <ds:schemaRefs>
    <ds:schemaRef ds:uri="http://schemas.microsoft.com/sharepoint/v3/contenttype/forms"/>
  </ds:schemaRefs>
</ds:datastoreItem>
</file>

<file path=customXml/itemProps3.xml><?xml version="1.0" encoding="utf-8"?>
<ds:datastoreItem xmlns:ds="http://schemas.openxmlformats.org/officeDocument/2006/customXml" ds:itemID="{AD889FC7-B115-49BF-8BD0-81D5F559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CDC7C-C18E-4BB4-B633-8490A035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12061</Words>
  <Characters>68753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Steindel</cp:lastModifiedBy>
  <cp:revision>3</cp:revision>
  <cp:lastPrinted>2019-11-27T11:09:00Z</cp:lastPrinted>
  <dcterms:created xsi:type="dcterms:W3CDTF">2020-02-05T14:10:00Z</dcterms:created>
  <dcterms:modified xsi:type="dcterms:W3CDTF">2020-02-05T14:21:00Z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id="JIgoYOeb"/&gt;&lt;style id="http://www.zotero.org/styles/nature" hasBibliography="1" bibliographyStyleHasBeenSet="1"/&gt;&lt;prefs&gt;&lt;pref name="fieldType" value="Field"/&gt;&lt;/prefs&gt;&lt;/data&gt;</vt:lpwstr>
  </property>
  <property fmtid="{D5CDD505-2E9C-101B-9397-08002B2CF9AE}" pid="3" name="ContentTypeId">
    <vt:lpwstr>0x010100EAA1561C7AC61740AC0C42373ECAF626</vt:lpwstr>
  </property>
</Properties>
</file>