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E5" w:rsidRDefault="000D01E5" w:rsidP="000D01E5">
      <w:pPr>
        <w:pStyle w:val="Header"/>
        <w:ind w:left="5387"/>
      </w:pPr>
      <w:r>
        <w:rPr>
          <w:noProof/>
        </w:rPr>
        <w:drawing>
          <wp:anchor distT="0" distB="0" distL="114300" distR="114300" simplePos="0" relativeHeight="251659264" behindDoc="0" locked="0" layoutInCell="1" allowOverlap="1" wp14:anchorId="58AF1661" wp14:editId="4FFA5AB5">
            <wp:simplePos x="0" y="0"/>
            <wp:positionH relativeFrom="margin">
              <wp:align>left</wp:align>
            </wp:positionH>
            <wp:positionV relativeFrom="paragraph">
              <wp:posOffset>7010</wp:posOffset>
            </wp:positionV>
            <wp:extent cx="1616400" cy="1292400"/>
            <wp:effectExtent l="0" t="0" r="3175" b="3175"/>
            <wp:wrapThrough wrapText="bothSides">
              <wp:wrapPolygon edited="0">
                <wp:start x="0" y="0"/>
                <wp:lineTo x="0" y="21335"/>
                <wp:lineTo x="21388" y="21335"/>
                <wp:lineTo x="2138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6400" cy="129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01E5" w:rsidRDefault="000D01E5" w:rsidP="000D01E5">
      <w:pPr>
        <w:pStyle w:val="Header"/>
        <w:ind w:left="5387"/>
      </w:pPr>
      <w:r>
        <w:t>Dr Anthony Callanan</w:t>
      </w:r>
    </w:p>
    <w:p w:rsidR="000D01E5" w:rsidRPr="00216CED" w:rsidRDefault="000D01E5" w:rsidP="000D01E5">
      <w:pPr>
        <w:pStyle w:val="Header"/>
        <w:ind w:left="5387"/>
      </w:pPr>
      <w:r w:rsidRPr="004C4942">
        <w:rPr>
          <w:lang w:val="en-IE" w:eastAsia="x-none"/>
        </w:rPr>
        <w:t xml:space="preserve">Institute for </w:t>
      </w:r>
      <w:proofErr w:type="spellStart"/>
      <w:r>
        <w:rPr>
          <w:lang w:val="en-IE" w:eastAsia="x-none"/>
        </w:rPr>
        <w:t>BioEngineering</w:t>
      </w:r>
      <w:proofErr w:type="spellEnd"/>
      <w:r>
        <w:rPr>
          <w:lang w:val="en-IE" w:eastAsia="x-none"/>
        </w:rPr>
        <w:t xml:space="preserve"> (</w:t>
      </w:r>
      <w:proofErr w:type="spellStart"/>
      <w:r>
        <w:rPr>
          <w:lang w:val="en-IE" w:eastAsia="x-none"/>
        </w:rPr>
        <w:t>IBioE</w:t>
      </w:r>
      <w:proofErr w:type="spellEnd"/>
      <w:r w:rsidRPr="004C4942">
        <w:rPr>
          <w:lang w:val="en-IE" w:eastAsia="x-none"/>
        </w:rPr>
        <w:t>)</w:t>
      </w:r>
    </w:p>
    <w:p w:rsidR="000D01E5" w:rsidRDefault="000D01E5" w:rsidP="000D01E5">
      <w:pPr>
        <w:pStyle w:val="Header"/>
        <w:ind w:left="5387"/>
      </w:pPr>
      <w:r>
        <w:rPr>
          <w:lang w:val="en-IE" w:eastAsia="x-none"/>
        </w:rPr>
        <w:t xml:space="preserve">The </w:t>
      </w:r>
      <w:r w:rsidRPr="004C4942">
        <w:rPr>
          <w:lang w:val="en-IE" w:eastAsia="x-none"/>
        </w:rPr>
        <w:t>School of Engineering</w:t>
      </w:r>
    </w:p>
    <w:p w:rsidR="000D01E5" w:rsidRDefault="000D01E5" w:rsidP="000D01E5">
      <w:pPr>
        <w:pStyle w:val="Header"/>
        <w:ind w:left="5387"/>
      </w:pPr>
      <w:r>
        <w:rPr>
          <w:lang w:val="en-IE" w:eastAsia="x-none"/>
        </w:rPr>
        <w:t xml:space="preserve">The </w:t>
      </w:r>
      <w:r w:rsidRPr="004C4942">
        <w:rPr>
          <w:lang w:val="en-IE" w:eastAsia="x-none"/>
        </w:rPr>
        <w:t>University of Edinburgh</w:t>
      </w:r>
      <w:r>
        <w:t xml:space="preserve"> </w:t>
      </w:r>
    </w:p>
    <w:p w:rsidR="000D01E5" w:rsidRDefault="000D01E5" w:rsidP="000D01E5">
      <w:pPr>
        <w:pStyle w:val="Header"/>
        <w:ind w:left="5387"/>
      </w:pPr>
      <w:r>
        <w:t xml:space="preserve">Faraday Building </w:t>
      </w:r>
    </w:p>
    <w:p w:rsidR="000D01E5" w:rsidRDefault="000D01E5" w:rsidP="000D01E5">
      <w:pPr>
        <w:pStyle w:val="Header"/>
        <w:ind w:left="5387"/>
      </w:pPr>
      <w:r>
        <w:t xml:space="preserve">King’s Buildings, Edinburgh, UK </w:t>
      </w:r>
    </w:p>
    <w:p w:rsidR="000D01E5" w:rsidRDefault="000D01E5" w:rsidP="000D01E5">
      <w:pPr>
        <w:pStyle w:val="Header"/>
      </w:pPr>
    </w:p>
    <w:p w:rsidR="000D01E5" w:rsidRPr="004C4942" w:rsidRDefault="000D01E5" w:rsidP="000D01E5">
      <w:pPr>
        <w:pStyle w:val="Title"/>
        <w:tabs>
          <w:tab w:val="left" w:pos="360"/>
        </w:tabs>
        <w:rPr>
          <w:b w:val="0"/>
          <w:sz w:val="24"/>
          <w:szCs w:val="24"/>
          <w:lang w:val="en-IE" w:eastAsia="x-none"/>
        </w:rPr>
      </w:pPr>
      <w:r>
        <w:rPr>
          <w:b w:val="0"/>
          <w:sz w:val="24"/>
          <w:szCs w:val="24"/>
          <w:lang w:val="en-IE" w:eastAsia="x-none"/>
        </w:rPr>
        <w:tab/>
      </w:r>
    </w:p>
    <w:p w:rsidR="000D01E5" w:rsidRPr="0018342C" w:rsidRDefault="000D01E5" w:rsidP="000D01E5">
      <w:pPr>
        <w:pStyle w:val="Header"/>
        <w:ind w:left="5387"/>
      </w:pPr>
    </w:p>
    <w:p w:rsidR="000D01E5" w:rsidRPr="0018342C" w:rsidRDefault="000D01E5" w:rsidP="000D01E5">
      <w:pPr>
        <w:pStyle w:val="Header"/>
      </w:pPr>
    </w:p>
    <w:p w:rsidR="000D01E5" w:rsidRDefault="00F2781D" w:rsidP="000D01E5">
      <w:pPr>
        <w:pStyle w:val="Date"/>
        <w:tabs>
          <w:tab w:val="left" w:pos="5387"/>
        </w:tabs>
        <w:spacing w:after="0"/>
        <w:jc w:val="left"/>
        <w:rPr>
          <w:rFonts w:ascii="Times New Roman" w:hAnsi="Times New Roman"/>
          <w:sz w:val="24"/>
          <w:szCs w:val="24"/>
        </w:rPr>
      </w:pPr>
      <w:r>
        <w:rPr>
          <w:rFonts w:ascii="Times New Roman" w:hAnsi="Times New Roman"/>
          <w:sz w:val="24"/>
          <w:szCs w:val="24"/>
        </w:rPr>
        <w:t>28</w:t>
      </w:r>
      <w:r w:rsidRPr="00F2781D">
        <w:rPr>
          <w:rFonts w:ascii="Times New Roman" w:hAnsi="Times New Roman"/>
          <w:sz w:val="24"/>
          <w:szCs w:val="24"/>
          <w:vertAlign w:val="superscript"/>
        </w:rPr>
        <w:t>th</w:t>
      </w:r>
      <w:r>
        <w:rPr>
          <w:rFonts w:ascii="Times New Roman" w:hAnsi="Times New Roman"/>
          <w:sz w:val="24"/>
          <w:szCs w:val="24"/>
        </w:rPr>
        <w:t xml:space="preserve"> January 2020</w:t>
      </w:r>
    </w:p>
    <w:p w:rsidR="000D01E5" w:rsidRDefault="000D01E5" w:rsidP="000D01E5">
      <w:pPr>
        <w:pStyle w:val="Date"/>
        <w:tabs>
          <w:tab w:val="left" w:pos="5387"/>
        </w:tabs>
        <w:spacing w:after="0"/>
        <w:jc w:val="left"/>
        <w:rPr>
          <w:rFonts w:ascii="Times New Roman" w:hAnsi="Times New Roman"/>
          <w:sz w:val="24"/>
          <w:szCs w:val="24"/>
        </w:rPr>
      </w:pPr>
    </w:p>
    <w:p w:rsidR="000D01E5" w:rsidRDefault="00341295" w:rsidP="000D01E5">
      <w:pPr>
        <w:rPr>
          <w:color w:val="000000" w:themeColor="text1"/>
          <w:lang w:eastAsia="en-US"/>
        </w:rPr>
      </w:pPr>
      <w:r>
        <w:rPr>
          <w:color w:val="000000" w:themeColor="text1"/>
          <w:lang w:eastAsia="en-US"/>
        </w:rPr>
        <w:t>Prof</w:t>
      </w:r>
      <w:r w:rsidR="002555D3">
        <w:rPr>
          <w:color w:val="000000" w:themeColor="text1"/>
          <w:lang w:eastAsia="en-US"/>
        </w:rPr>
        <w:t xml:space="preserve"> David Hay</w:t>
      </w:r>
    </w:p>
    <w:p w:rsidR="000D01E5" w:rsidRPr="00680EC3" w:rsidRDefault="00341295" w:rsidP="000D01E5">
      <w:pPr>
        <w:rPr>
          <w:bCs/>
          <w:color w:val="000000" w:themeColor="text1"/>
          <w:lang w:val="en-US" w:eastAsia="en-US"/>
        </w:rPr>
      </w:pPr>
      <w:r>
        <w:rPr>
          <w:bCs/>
          <w:color w:val="000000" w:themeColor="text1"/>
          <w:lang w:val="en-US" w:eastAsia="en-US"/>
        </w:rPr>
        <w:t>Guest Editor</w:t>
      </w:r>
    </w:p>
    <w:p w:rsidR="00680EC3" w:rsidRPr="00680EC3" w:rsidRDefault="00341295" w:rsidP="000D01E5">
      <w:pPr>
        <w:pStyle w:val="Date"/>
        <w:tabs>
          <w:tab w:val="left" w:pos="5387"/>
        </w:tabs>
        <w:spacing w:after="0"/>
        <w:jc w:val="left"/>
        <w:rPr>
          <w:rFonts w:ascii="Times New Roman" w:eastAsia="Times New Roman" w:hAnsi="Times New Roman"/>
          <w:bCs/>
          <w:color w:val="000000" w:themeColor="text1"/>
          <w:kern w:val="0"/>
          <w:sz w:val="24"/>
          <w:szCs w:val="24"/>
          <w:lang w:val="en-US"/>
        </w:rPr>
      </w:pPr>
      <w:proofErr w:type="spellStart"/>
      <w:r>
        <w:rPr>
          <w:rFonts w:ascii="Times New Roman" w:eastAsia="Times New Roman" w:hAnsi="Times New Roman"/>
          <w:bCs/>
          <w:color w:val="000000" w:themeColor="text1"/>
          <w:kern w:val="0"/>
          <w:sz w:val="24"/>
          <w:szCs w:val="24"/>
          <w:lang w:val="en-US"/>
        </w:rPr>
        <w:t>JoVE</w:t>
      </w:r>
      <w:proofErr w:type="spellEnd"/>
      <w:r>
        <w:rPr>
          <w:rFonts w:ascii="Times New Roman" w:eastAsia="Times New Roman" w:hAnsi="Times New Roman"/>
          <w:bCs/>
          <w:color w:val="000000" w:themeColor="text1"/>
          <w:kern w:val="0"/>
          <w:sz w:val="24"/>
          <w:szCs w:val="24"/>
          <w:lang w:val="en-US"/>
        </w:rPr>
        <w:t xml:space="preserve"> video journal</w:t>
      </w:r>
    </w:p>
    <w:p w:rsidR="000D01E5" w:rsidRPr="00680EC3" w:rsidRDefault="000D01E5" w:rsidP="000D01E5">
      <w:pPr>
        <w:pStyle w:val="Date"/>
        <w:tabs>
          <w:tab w:val="left" w:pos="5387"/>
        </w:tabs>
        <w:spacing w:after="0"/>
        <w:jc w:val="left"/>
        <w:rPr>
          <w:rFonts w:ascii="Times New Roman" w:hAnsi="Times New Roman"/>
          <w:sz w:val="24"/>
          <w:szCs w:val="24"/>
        </w:rPr>
      </w:pPr>
      <w:r w:rsidRPr="00680EC3">
        <w:rPr>
          <w:rFonts w:ascii="Times New Roman" w:hAnsi="Times New Roman"/>
          <w:sz w:val="24"/>
          <w:szCs w:val="24"/>
        </w:rPr>
        <w:tab/>
      </w:r>
    </w:p>
    <w:p w:rsidR="000D01E5" w:rsidRPr="00680EC3" w:rsidRDefault="000D01E5" w:rsidP="000D01E5">
      <w:pPr>
        <w:jc w:val="both"/>
      </w:pPr>
      <w:r w:rsidRPr="00680EC3">
        <w:t xml:space="preserve">Dear </w:t>
      </w:r>
      <w:r w:rsidR="00341295">
        <w:t>Prof Hay</w:t>
      </w:r>
      <w:r w:rsidRPr="00680EC3">
        <w:t>,</w:t>
      </w:r>
    </w:p>
    <w:p w:rsidR="000D01E5" w:rsidRPr="00680EC3" w:rsidRDefault="000D01E5" w:rsidP="000D01E5">
      <w:pPr>
        <w:jc w:val="both"/>
      </w:pPr>
    </w:p>
    <w:p w:rsidR="000D01E5" w:rsidRPr="00680EC3" w:rsidRDefault="000D01E5" w:rsidP="005063DD">
      <w:pPr>
        <w:pStyle w:val="Date"/>
        <w:tabs>
          <w:tab w:val="left" w:pos="5387"/>
        </w:tabs>
        <w:spacing w:after="0"/>
        <w:rPr>
          <w:rFonts w:ascii="Times New Roman" w:eastAsia="Times New Roman" w:hAnsi="Times New Roman"/>
          <w:bCs/>
          <w:color w:val="000000" w:themeColor="text1"/>
          <w:kern w:val="0"/>
          <w:sz w:val="24"/>
          <w:szCs w:val="24"/>
          <w:lang w:val="en-US"/>
        </w:rPr>
      </w:pPr>
      <w:r w:rsidRPr="00680EC3">
        <w:rPr>
          <w:rFonts w:ascii="Times New Roman" w:hAnsi="Times New Roman"/>
          <w:sz w:val="24"/>
          <w:szCs w:val="24"/>
        </w:rPr>
        <w:t xml:space="preserve">We submit for your consideration our manuscript entitled </w:t>
      </w:r>
      <w:r w:rsidRPr="00680EC3">
        <w:rPr>
          <w:rFonts w:ascii="Times New Roman" w:hAnsi="Times New Roman"/>
          <w:i/>
          <w:sz w:val="24"/>
          <w:szCs w:val="24"/>
        </w:rPr>
        <w:t>“</w:t>
      </w:r>
      <w:r w:rsidR="002555D3" w:rsidRPr="002555D3">
        <w:rPr>
          <w:rFonts w:ascii="Times New Roman" w:hAnsi="Times New Roman"/>
          <w:i/>
          <w:sz w:val="24"/>
          <w:szCs w:val="24"/>
        </w:rPr>
        <w:t xml:space="preserve">Protocol for controlling electrospun polymer morphology for tissue engineering: </w:t>
      </w:r>
      <w:r w:rsidR="00567904">
        <w:rPr>
          <w:rFonts w:ascii="Times New Roman" w:hAnsi="Times New Roman"/>
          <w:i/>
          <w:sz w:val="24"/>
          <w:szCs w:val="24"/>
        </w:rPr>
        <w:t>demonstration using</w:t>
      </w:r>
      <w:r w:rsidR="002555D3" w:rsidRPr="002555D3">
        <w:rPr>
          <w:rFonts w:ascii="Times New Roman" w:hAnsi="Times New Roman"/>
          <w:i/>
          <w:sz w:val="24"/>
          <w:szCs w:val="24"/>
        </w:rPr>
        <w:t xml:space="preserve"> hepG2 cell line</w:t>
      </w:r>
      <w:r w:rsidRPr="00680EC3">
        <w:rPr>
          <w:rFonts w:ascii="Times New Roman" w:hAnsi="Times New Roman"/>
          <w:i/>
          <w:sz w:val="24"/>
          <w:szCs w:val="24"/>
        </w:rPr>
        <w:t xml:space="preserve">” </w:t>
      </w:r>
      <w:r w:rsidRPr="00680EC3">
        <w:rPr>
          <w:rFonts w:ascii="Times New Roman" w:hAnsi="Times New Roman"/>
          <w:sz w:val="24"/>
          <w:szCs w:val="24"/>
        </w:rPr>
        <w:t xml:space="preserve">for publication in your </w:t>
      </w:r>
      <w:r w:rsidR="002555D3">
        <w:rPr>
          <w:rFonts w:ascii="Times New Roman" w:hAnsi="Times New Roman"/>
          <w:sz w:val="24"/>
          <w:szCs w:val="24"/>
        </w:rPr>
        <w:t>methods collection</w:t>
      </w:r>
      <w:r w:rsidR="00680EC3" w:rsidRPr="00680EC3">
        <w:rPr>
          <w:rFonts w:ascii="Times New Roman" w:hAnsi="Times New Roman"/>
          <w:sz w:val="24"/>
          <w:szCs w:val="24"/>
        </w:rPr>
        <w:t xml:space="preserve">: </w:t>
      </w:r>
      <w:r w:rsidR="002555D3">
        <w:rPr>
          <w:rFonts w:ascii="Times New Roman" w:eastAsia="Times New Roman" w:hAnsi="Times New Roman"/>
          <w:bCs/>
          <w:color w:val="000000" w:themeColor="text1"/>
          <w:kern w:val="0"/>
          <w:sz w:val="24"/>
          <w:szCs w:val="24"/>
          <w:lang w:val="en-US"/>
        </w:rPr>
        <w:t>“</w:t>
      </w:r>
      <w:r w:rsidR="002555D3" w:rsidRPr="002555D3">
        <w:rPr>
          <w:rFonts w:ascii="Times New Roman" w:eastAsia="Times New Roman" w:hAnsi="Times New Roman"/>
          <w:bCs/>
          <w:color w:val="000000" w:themeColor="text1"/>
          <w:kern w:val="0"/>
          <w:sz w:val="24"/>
          <w:szCs w:val="24"/>
          <w:lang w:val="en-US"/>
        </w:rPr>
        <w:t>Pluripotent stem cell differentiation, genome editing and tissue engineering.</w:t>
      </w:r>
      <w:r w:rsidR="002555D3">
        <w:rPr>
          <w:rFonts w:ascii="Times New Roman" w:eastAsia="Times New Roman" w:hAnsi="Times New Roman"/>
          <w:bCs/>
          <w:color w:val="000000" w:themeColor="text1"/>
          <w:kern w:val="0"/>
          <w:sz w:val="24"/>
          <w:szCs w:val="24"/>
          <w:lang w:val="en-US"/>
        </w:rPr>
        <w:t xml:space="preserve">” for the </w:t>
      </w:r>
      <w:proofErr w:type="spellStart"/>
      <w:r w:rsidR="002555D3">
        <w:rPr>
          <w:rFonts w:ascii="Times New Roman" w:eastAsia="Times New Roman" w:hAnsi="Times New Roman"/>
          <w:bCs/>
          <w:color w:val="000000" w:themeColor="text1"/>
          <w:kern w:val="0"/>
          <w:sz w:val="24"/>
          <w:szCs w:val="24"/>
          <w:lang w:val="en-US"/>
        </w:rPr>
        <w:t>JoVE</w:t>
      </w:r>
      <w:proofErr w:type="spellEnd"/>
      <w:r w:rsidR="002555D3">
        <w:rPr>
          <w:rFonts w:ascii="Times New Roman" w:eastAsia="Times New Roman" w:hAnsi="Times New Roman"/>
          <w:bCs/>
          <w:color w:val="000000" w:themeColor="text1"/>
          <w:kern w:val="0"/>
          <w:sz w:val="24"/>
          <w:szCs w:val="24"/>
          <w:lang w:val="en-US"/>
        </w:rPr>
        <w:t xml:space="preserve"> video journal</w:t>
      </w:r>
      <w:r w:rsidRPr="00680EC3">
        <w:rPr>
          <w:rFonts w:ascii="Times New Roman" w:hAnsi="Times New Roman"/>
          <w:sz w:val="24"/>
          <w:szCs w:val="24"/>
        </w:rPr>
        <w:t xml:space="preserve">. </w:t>
      </w:r>
    </w:p>
    <w:p w:rsidR="000D01E5" w:rsidRPr="00680EC3" w:rsidRDefault="000D01E5" w:rsidP="005063DD">
      <w:pPr>
        <w:jc w:val="both"/>
      </w:pPr>
    </w:p>
    <w:p w:rsidR="00F2781D" w:rsidRDefault="00F2781D" w:rsidP="005063DD">
      <w:pPr>
        <w:pStyle w:val="Date"/>
        <w:tabs>
          <w:tab w:val="left" w:pos="5387"/>
        </w:tabs>
        <w:spacing w:after="0"/>
        <w:rPr>
          <w:rFonts w:ascii="Times New Roman" w:hAnsi="Times New Roman"/>
          <w:sz w:val="24"/>
          <w:szCs w:val="24"/>
        </w:rPr>
      </w:pPr>
      <w:r>
        <w:rPr>
          <w:rFonts w:ascii="Times New Roman" w:hAnsi="Times New Roman"/>
          <w:sz w:val="24"/>
          <w:szCs w:val="24"/>
        </w:rPr>
        <w:t>We thank the reviewers for spending the time reviewing the submitted manuscript and offering their invaluable feedback upon which we could improve the manuscript. We have taken on board the advice and criticism offered by the reviewers and we now offer a revised manuscript.</w:t>
      </w:r>
    </w:p>
    <w:p w:rsidR="00F2781D" w:rsidRDefault="00F2781D" w:rsidP="005063DD">
      <w:pPr>
        <w:pStyle w:val="Date"/>
        <w:tabs>
          <w:tab w:val="left" w:pos="5387"/>
        </w:tabs>
        <w:spacing w:after="0"/>
        <w:rPr>
          <w:rFonts w:ascii="Times New Roman" w:hAnsi="Times New Roman"/>
          <w:sz w:val="24"/>
          <w:szCs w:val="24"/>
        </w:rPr>
      </w:pPr>
      <w:r>
        <w:rPr>
          <w:rFonts w:ascii="Times New Roman" w:hAnsi="Times New Roman"/>
          <w:sz w:val="24"/>
          <w:szCs w:val="24"/>
        </w:rPr>
        <w:t xml:space="preserve">    </w:t>
      </w:r>
    </w:p>
    <w:p w:rsidR="000D01E5" w:rsidRPr="005063DD" w:rsidRDefault="00F2781D" w:rsidP="005063DD">
      <w:pPr>
        <w:pStyle w:val="Date"/>
        <w:tabs>
          <w:tab w:val="left" w:pos="5387"/>
        </w:tabs>
        <w:spacing w:after="0"/>
        <w:rPr>
          <w:rFonts w:ascii="Times New Roman" w:eastAsia="Times New Roman" w:hAnsi="Times New Roman"/>
          <w:bCs/>
          <w:color w:val="000000" w:themeColor="text1"/>
          <w:kern w:val="0"/>
          <w:sz w:val="24"/>
          <w:szCs w:val="24"/>
          <w:lang w:val="en-US"/>
        </w:rPr>
      </w:pPr>
      <w:r>
        <w:rPr>
          <w:rFonts w:ascii="Times New Roman" w:eastAsia="Times New Roman" w:hAnsi="Times New Roman"/>
          <w:kern w:val="0"/>
          <w:sz w:val="24"/>
          <w:szCs w:val="24"/>
        </w:rPr>
        <w:t>The document</w:t>
      </w:r>
      <w:r w:rsidR="00F40E20">
        <w:rPr>
          <w:rFonts w:ascii="Times New Roman" w:eastAsia="Times New Roman" w:hAnsi="Times New Roman"/>
          <w:kern w:val="0"/>
          <w:sz w:val="24"/>
          <w:szCs w:val="24"/>
        </w:rPr>
        <w:t>s</w:t>
      </w:r>
      <w:r>
        <w:rPr>
          <w:rFonts w:ascii="Times New Roman" w:eastAsia="Times New Roman" w:hAnsi="Times New Roman"/>
          <w:kern w:val="0"/>
          <w:sz w:val="24"/>
          <w:szCs w:val="24"/>
        </w:rPr>
        <w:t xml:space="preserve"> attached describes the changes we have made and offers a rebuttal to each of the comments made by the reviewers. </w:t>
      </w:r>
      <w:r w:rsidR="00160244" w:rsidRPr="005063DD">
        <w:rPr>
          <w:rFonts w:ascii="Times New Roman" w:hAnsi="Times New Roman"/>
          <w:sz w:val="24"/>
          <w:szCs w:val="24"/>
        </w:rPr>
        <w:t xml:space="preserve">We look forward to your feedback and thank you for the opportunity to publish in </w:t>
      </w:r>
      <w:proofErr w:type="spellStart"/>
      <w:r w:rsidR="00341295">
        <w:rPr>
          <w:rFonts w:ascii="Times New Roman" w:eastAsia="Times New Roman" w:hAnsi="Times New Roman"/>
          <w:bCs/>
          <w:color w:val="000000" w:themeColor="text1"/>
          <w:kern w:val="0"/>
          <w:sz w:val="24"/>
          <w:szCs w:val="24"/>
          <w:lang w:val="en-US"/>
        </w:rPr>
        <w:t>JoVE</w:t>
      </w:r>
      <w:proofErr w:type="spellEnd"/>
      <w:r w:rsidR="00341295">
        <w:rPr>
          <w:rFonts w:ascii="Times New Roman" w:eastAsia="Times New Roman" w:hAnsi="Times New Roman"/>
          <w:bCs/>
          <w:color w:val="000000" w:themeColor="text1"/>
          <w:kern w:val="0"/>
          <w:sz w:val="24"/>
          <w:szCs w:val="24"/>
          <w:lang w:val="en-US"/>
        </w:rPr>
        <w:t xml:space="preserve"> video journal.</w:t>
      </w:r>
    </w:p>
    <w:p w:rsidR="000D01E5" w:rsidRPr="00D4102C" w:rsidRDefault="000D01E5" w:rsidP="000D01E5">
      <w:pPr>
        <w:jc w:val="both"/>
      </w:pPr>
    </w:p>
    <w:p w:rsidR="000D01E5" w:rsidRDefault="000D01E5" w:rsidP="000D01E5">
      <w:pPr>
        <w:jc w:val="both"/>
      </w:pPr>
      <w:r>
        <w:t>Best regards,</w:t>
      </w:r>
    </w:p>
    <w:p w:rsidR="000D01E5" w:rsidRDefault="000D01E5" w:rsidP="000D01E5">
      <w:pPr>
        <w:jc w:val="both"/>
      </w:pPr>
    </w:p>
    <w:p w:rsidR="000D01E5" w:rsidRDefault="000D01E5" w:rsidP="000D01E5">
      <w:pPr>
        <w:jc w:val="both"/>
      </w:pPr>
      <w:r w:rsidRPr="00216CED">
        <w:rPr>
          <w:noProof/>
        </w:rPr>
        <w:drawing>
          <wp:inline distT="0" distB="0" distL="0" distR="0" wp14:anchorId="5276B8EE" wp14:editId="2FA160DF">
            <wp:extent cx="1975104" cy="911003"/>
            <wp:effectExtent l="0" t="0" r="6350" b="3810"/>
            <wp:docPr id="1" name="Picture 1" descr="C:\Users\acallana\Edinburgh University Documents\Banking\signa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allana\Edinburgh University Documents\Banking\signature2.pn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008110" cy="926227"/>
                    </a:xfrm>
                    <a:prstGeom prst="rect">
                      <a:avLst/>
                    </a:prstGeom>
                    <a:noFill/>
                    <a:ln>
                      <a:noFill/>
                    </a:ln>
                  </pic:spPr>
                </pic:pic>
              </a:graphicData>
            </a:graphic>
          </wp:inline>
        </w:drawing>
      </w:r>
    </w:p>
    <w:p w:rsidR="00EF3833" w:rsidRDefault="00D0335D"/>
    <w:p w:rsidR="00F40E20" w:rsidRDefault="00F40E20"/>
    <w:p w:rsidR="00F40E20" w:rsidRDefault="00F40E20"/>
    <w:p w:rsidR="00F40E20" w:rsidRDefault="00F40E20"/>
    <w:p w:rsidR="00F40E20" w:rsidRDefault="00F40E20"/>
    <w:p w:rsidR="00F40E20" w:rsidRDefault="00F40E20"/>
    <w:p w:rsidR="00F40E20" w:rsidRDefault="00F40E20"/>
    <w:p w:rsidR="00F40E20" w:rsidRDefault="00F40E20"/>
    <w:p w:rsidR="00F40E20" w:rsidRDefault="00F40E20"/>
    <w:p w:rsidR="00F40E20" w:rsidRDefault="00F40E20"/>
    <w:p w:rsidR="00F40E20" w:rsidRDefault="00F40E20"/>
    <w:p w:rsidR="00F40E20" w:rsidRPr="00F40E20" w:rsidRDefault="00F40E20" w:rsidP="00F40E20">
      <w:pPr>
        <w:spacing w:after="160" w:line="259" w:lineRule="auto"/>
        <w:rPr>
          <w:rFonts w:ascii="Lora" w:eastAsiaTheme="minorHAnsi" w:hAnsi="Lora" w:cstheme="minorBidi"/>
          <w:sz w:val="22"/>
          <w:szCs w:val="22"/>
          <w:u w:val="single"/>
          <w:lang w:eastAsia="en-US"/>
        </w:rPr>
      </w:pPr>
      <w:r w:rsidRPr="00F40E20">
        <w:rPr>
          <w:rFonts w:ascii="Lora" w:eastAsiaTheme="minorHAnsi" w:hAnsi="Lora" w:cstheme="minorBidi"/>
          <w:sz w:val="22"/>
          <w:szCs w:val="22"/>
          <w:u w:val="single"/>
          <w:lang w:eastAsia="en-US"/>
        </w:rPr>
        <w:lastRenderedPageBreak/>
        <w:t>Editorial Comments</w:t>
      </w:r>
    </w:p>
    <w:p w:rsidR="00F40E20" w:rsidRPr="00F40E20" w:rsidRDefault="00F40E20" w:rsidP="00F40E20">
      <w:pPr>
        <w:spacing w:after="160" w:line="259" w:lineRule="auto"/>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Thank-you for your diligent comments regarding the manuscript content, we have addressed the points as per below:</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 xml:space="preserve">Protocol Detail: 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rsidRPr="00F40E20">
        <w:rPr>
          <w:rFonts w:ascii="Lora" w:eastAsiaTheme="minorHAnsi" w:hAnsi="Lora" w:cstheme="minorBidi"/>
          <w:color w:val="FF0000"/>
          <w:sz w:val="22"/>
          <w:szCs w:val="22"/>
          <w:lang w:eastAsia="en-US"/>
        </w:rPr>
        <w:t>etc</w:t>
      </w:r>
      <w:proofErr w:type="spellEnd"/>
      <w:r w:rsidRPr="00F40E20">
        <w:rPr>
          <w:rFonts w:ascii="Lora" w:eastAsiaTheme="minorHAnsi" w:hAnsi="Lora" w:cstheme="minorBidi"/>
          <w:color w:val="FF0000"/>
          <w:sz w:val="22"/>
          <w:szCs w:val="22"/>
          <w:lang w:eastAsia="en-US"/>
        </w:rPr>
        <w:t>) to your protocol steps. There should be enough detail in each step to supplement the actions seen in the video so that viewers can easily replicate the protocol.</w:t>
      </w:r>
    </w:p>
    <w:p w:rsidR="00F40E20" w:rsidRPr="00F40E20" w:rsidRDefault="00F40E20" w:rsidP="00F40E20">
      <w:pPr>
        <w:spacing w:after="160" w:line="259" w:lineRule="auto"/>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We have made some edits to the protocol which highlight button presses and software usage.</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 Protocol Highlight: Please highlight ~2.5 pages or less of text (which includes headings and spaces) in yellow, to identify which steps should be visualized to tell the most cohesive story of your protocol steps.</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2) The highlighted steps should form a cohesive narrative, that is, there must be a logical flow from one highlighted step to the next.</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3) Please highlight complete sentences (not parts of sentences). Include sub-headings and spaces when calculating the final highlighted length.</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4) Notes cannot be filmed and should be excluded from highlighting.</w:t>
      </w:r>
    </w:p>
    <w:p w:rsidR="00F40E20" w:rsidRPr="00F40E20" w:rsidRDefault="00F40E20" w:rsidP="00F40E20">
      <w:pPr>
        <w:spacing w:after="160" w:line="259" w:lineRule="auto"/>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We have highlighted the appropriate parts of the text that identify the important visual steps that are to be recorded.</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 xml:space="preserve">• Results: Please add at least one paragraph of results text that explains your representative results in the context of the technique you describe; i.e. how do these results show the technique, suggestions about how to </w:t>
      </w:r>
      <w:proofErr w:type="spellStart"/>
      <w:r w:rsidRPr="00F40E20">
        <w:rPr>
          <w:rFonts w:ascii="Lora" w:eastAsiaTheme="minorHAnsi" w:hAnsi="Lora" w:cstheme="minorBidi"/>
          <w:color w:val="FF0000"/>
          <w:sz w:val="22"/>
          <w:szCs w:val="22"/>
          <w:lang w:eastAsia="en-US"/>
        </w:rPr>
        <w:t>analyze</w:t>
      </w:r>
      <w:proofErr w:type="spellEnd"/>
      <w:r w:rsidRPr="00F40E20">
        <w:rPr>
          <w:rFonts w:ascii="Lora" w:eastAsiaTheme="minorHAnsi" w:hAnsi="Lora" w:cstheme="minorBidi"/>
          <w:color w:val="FF0000"/>
          <w:sz w:val="22"/>
          <w:szCs w:val="22"/>
          <w:lang w:eastAsia="en-US"/>
        </w:rPr>
        <w:t xml:space="preserve"> the outcome etc. This text should be written in paragraph form under a "Representative Results" heading and should refer to all of the results figures. You may include the figure captions under this heading but the captions and figure text must be separate entities.</w:t>
      </w:r>
    </w:p>
    <w:p w:rsidR="00F40E20" w:rsidRPr="00F40E20" w:rsidRDefault="00F40E20" w:rsidP="00F40E20">
      <w:pPr>
        <w:spacing w:after="160" w:line="259" w:lineRule="auto"/>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 xml:space="preserve">We have added paragraph form text within the representative results section that describe the results in the context of the technique. </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 xml:space="preserve">• Discussion: </w:t>
      </w:r>
      <w:proofErr w:type="spellStart"/>
      <w:r w:rsidRPr="00F40E20">
        <w:rPr>
          <w:rFonts w:ascii="Lora" w:eastAsiaTheme="minorHAnsi" w:hAnsi="Lora" w:cstheme="minorBidi"/>
          <w:color w:val="FF0000"/>
          <w:sz w:val="22"/>
          <w:szCs w:val="22"/>
          <w:lang w:eastAsia="en-US"/>
        </w:rPr>
        <w:t>JoVE</w:t>
      </w:r>
      <w:proofErr w:type="spellEnd"/>
      <w:r w:rsidRPr="00F40E20">
        <w:rPr>
          <w:rFonts w:ascii="Lora" w:eastAsiaTheme="minorHAnsi" w:hAnsi="Lora" w:cstheme="minorBidi"/>
          <w:color w:val="FF0000"/>
          <w:sz w:val="22"/>
          <w:szCs w:val="22"/>
          <w:lang w:eastAsia="en-US"/>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F40E20" w:rsidRPr="00F40E20" w:rsidRDefault="00F40E20" w:rsidP="00F40E20">
      <w:pPr>
        <w:spacing w:after="160" w:line="259" w:lineRule="auto"/>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 xml:space="preserve">We have edited the discussion information to fulfil these requirements to the best possible effect. The main edits were made in the addition of the final paragraph, and the </w:t>
      </w:r>
      <w:r w:rsidRPr="00F40E20">
        <w:rPr>
          <w:rFonts w:ascii="Lora" w:eastAsiaTheme="minorHAnsi" w:hAnsi="Lora" w:cstheme="minorBidi"/>
          <w:sz w:val="22"/>
          <w:szCs w:val="22"/>
          <w:lang w:eastAsia="en-US"/>
        </w:rPr>
        <w:lastRenderedPageBreak/>
        <w:t xml:space="preserve">movement of some discussion elements to the representative results section where they were more relevant.  </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 xml:space="preserve">• Figures: Define the </w:t>
      </w:r>
      <w:proofErr w:type="spellStart"/>
      <w:r w:rsidRPr="00F40E20">
        <w:rPr>
          <w:rFonts w:ascii="Lora" w:eastAsiaTheme="minorHAnsi" w:hAnsi="Lora" w:cstheme="minorBidi"/>
          <w:color w:val="FF0000"/>
          <w:sz w:val="22"/>
          <w:szCs w:val="22"/>
          <w:lang w:eastAsia="en-US"/>
        </w:rPr>
        <w:t>pseudocolors</w:t>
      </w:r>
      <w:proofErr w:type="spellEnd"/>
      <w:r w:rsidRPr="00F40E20">
        <w:rPr>
          <w:rFonts w:ascii="Lora" w:eastAsiaTheme="minorHAnsi" w:hAnsi="Lora" w:cstheme="minorBidi"/>
          <w:color w:val="FF0000"/>
          <w:sz w:val="22"/>
          <w:szCs w:val="22"/>
          <w:lang w:eastAsia="en-US"/>
        </w:rPr>
        <w:t xml:space="preserve"> in Fig 4.</w:t>
      </w:r>
    </w:p>
    <w:p w:rsidR="00F40E20" w:rsidRPr="00F40E20" w:rsidRDefault="00F40E20" w:rsidP="00F40E20">
      <w:pPr>
        <w:spacing w:after="160" w:line="259" w:lineRule="auto"/>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Fig 4 caption has been appropriately updated to indicate the colours in the figure.</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 xml:space="preserve">• Table of Materials: Please revise the table of the essential supplies, reagents, and equipment. The table should include the name, company, and </w:t>
      </w:r>
      <w:proofErr w:type="spellStart"/>
      <w:r w:rsidRPr="00F40E20">
        <w:rPr>
          <w:rFonts w:ascii="Lora" w:eastAsiaTheme="minorHAnsi" w:hAnsi="Lora" w:cstheme="minorBidi"/>
          <w:color w:val="FF0000"/>
          <w:sz w:val="22"/>
          <w:szCs w:val="22"/>
          <w:lang w:eastAsia="en-US"/>
        </w:rPr>
        <w:t>catalog</w:t>
      </w:r>
      <w:proofErr w:type="spellEnd"/>
      <w:r w:rsidRPr="00F40E20">
        <w:rPr>
          <w:rFonts w:ascii="Lora" w:eastAsiaTheme="minorHAnsi" w:hAnsi="Lora" w:cstheme="minorBidi"/>
          <w:color w:val="FF0000"/>
          <w:sz w:val="22"/>
          <w:szCs w:val="22"/>
          <w:lang w:eastAsia="en-US"/>
        </w:rPr>
        <w:t xml:space="preserve"> number of all relevant materials/software in separate columns in an </w:t>
      </w:r>
      <w:proofErr w:type="spellStart"/>
      <w:r w:rsidRPr="00F40E20">
        <w:rPr>
          <w:rFonts w:ascii="Lora" w:eastAsiaTheme="minorHAnsi" w:hAnsi="Lora" w:cstheme="minorBidi"/>
          <w:color w:val="FF0000"/>
          <w:sz w:val="22"/>
          <w:szCs w:val="22"/>
          <w:lang w:eastAsia="en-US"/>
        </w:rPr>
        <w:t>xls</w:t>
      </w:r>
      <w:proofErr w:type="spellEnd"/>
      <w:r w:rsidRPr="00F40E20">
        <w:rPr>
          <w:rFonts w:ascii="Lora" w:eastAsiaTheme="minorHAnsi" w:hAnsi="Lora" w:cstheme="minorBidi"/>
          <w:color w:val="FF0000"/>
          <w:sz w:val="22"/>
          <w:szCs w:val="22"/>
          <w:lang w:eastAsia="en-US"/>
        </w:rPr>
        <w:t>/</w:t>
      </w:r>
      <w:proofErr w:type="spellStart"/>
      <w:r w:rsidRPr="00F40E20">
        <w:rPr>
          <w:rFonts w:ascii="Lora" w:eastAsiaTheme="minorHAnsi" w:hAnsi="Lora" w:cstheme="minorBidi"/>
          <w:color w:val="FF0000"/>
          <w:sz w:val="22"/>
          <w:szCs w:val="22"/>
          <w:lang w:eastAsia="en-US"/>
        </w:rPr>
        <w:t>xlsx</w:t>
      </w:r>
      <w:proofErr w:type="spellEnd"/>
      <w:r w:rsidRPr="00F40E20">
        <w:rPr>
          <w:rFonts w:ascii="Lora" w:eastAsiaTheme="minorHAnsi" w:hAnsi="Lora" w:cstheme="minorBidi"/>
          <w:color w:val="FF0000"/>
          <w:sz w:val="22"/>
          <w:szCs w:val="22"/>
          <w:lang w:eastAsia="en-US"/>
        </w:rPr>
        <w:t xml:space="preserve"> file. Please include items such as dyes and stain used, cell lines, software etc.</w:t>
      </w:r>
    </w:p>
    <w:p w:rsidR="00F40E20" w:rsidRPr="00F40E20" w:rsidRDefault="00F40E20" w:rsidP="00F40E20">
      <w:pPr>
        <w:spacing w:after="160" w:line="259" w:lineRule="auto"/>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The table of materials has been appropriately updated.</w:t>
      </w:r>
    </w:p>
    <w:p w:rsidR="00F40E20" w:rsidRPr="00F40E20" w:rsidRDefault="00F40E20" w:rsidP="00F40E20">
      <w:pPr>
        <w:spacing w:after="160" w:line="259" w:lineRule="auto"/>
        <w:rPr>
          <w:rFonts w:ascii="Lora" w:eastAsiaTheme="minorHAnsi" w:hAnsi="Lora" w:cstheme="minorBidi"/>
          <w:sz w:val="22"/>
          <w:szCs w:val="22"/>
          <w:u w:val="single"/>
          <w:lang w:eastAsia="en-US"/>
        </w:rPr>
      </w:pPr>
      <w:r w:rsidRPr="00F40E20">
        <w:rPr>
          <w:rFonts w:ascii="Lora" w:eastAsiaTheme="minorHAnsi" w:hAnsi="Lora" w:cstheme="minorBidi"/>
          <w:sz w:val="22"/>
          <w:szCs w:val="22"/>
          <w:u w:val="single"/>
          <w:lang w:eastAsia="en-US"/>
        </w:rPr>
        <w:t>Reviewer #1:</w:t>
      </w:r>
    </w:p>
    <w:p w:rsidR="00F40E20" w:rsidRPr="00F40E20" w:rsidRDefault="00F40E20" w:rsidP="00F40E20">
      <w:pPr>
        <w:spacing w:after="160" w:line="259" w:lineRule="auto"/>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Major Concerns</w:t>
      </w:r>
      <w:proofErr w:type="gramStart"/>
      <w:r w:rsidRPr="00F40E20">
        <w:rPr>
          <w:rFonts w:ascii="Lora" w:eastAsiaTheme="minorHAnsi" w:hAnsi="Lora" w:cstheme="minorBidi"/>
          <w:color w:val="FF0000"/>
          <w:sz w:val="22"/>
          <w:szCs w:val="22"/>
          <w:lang w:eastAsia="en-US"/>
        </w:rPr>
        <w:t>:</w:t>
      </w:r>
      <w:proofErr w:type="gramEnd"/>
      <w:r w:rsidRPr="00F40E20">
        <w:rPr>
          <w:rFonts w:ascii="Lora" w:eastAsiaTheme="minorHAnsi" w:hAnsi="Lora" w:cstheme="minorBidi"/>
          <w:color w:val="FF0000"/>
          <w:sz w:val="22"/>
          <w:szCs w:val="22"/>
          <w:lang w:eastAsia="en-US"/>
        </w:rPr>
        <w:br/>
        <w:t xml:space="preserve">The assessment of the </w:t>
      </w:r>
      <w:proofErr w:type="spellStart"/>
      <w:r w:rsidRPr="00F40E20">
        <w:rPr>
          <w:rFonts w:ascii="Lora" w:eastAsiaTheme="minorHAnsi" w:hAnsi="Lora" w:cstheme="minorBidi"/>
          <w:color w:val="FF0000"/>
          <w:sz w:val="22"/>
          <w:szCs w:val="22"/>
          <w:lang w:eastAsia="en-US"/>
        </w:rPr>
        <w:t>HepG</w:t>
      </w:r>
      <w:proofErr w:type="spellEnd"/>
      <w:r w:rsidRPr="00F40E20">
        <w:rPr>
          <w:rFonts w:ascii="Lora" w:eastAsiaTheme="minorHAnsi" w:hAnsi="Lora" w:cstheme="minorBidi"/>
          <w:color w:val="FF0000"/>
          <w:sz w:val="22"/>
          <w:szCs w:val="22"/>
          <w:lang w:eastAsia="en-US"/>
        </w:rPr>
        <w:t xml:space="preserve"> cell line is not conducted in detail.</w:t>
      </w:r>
    </w:p>
    <w:p w:rsidR="00F40E20" w:rsidRPr="00F40E20" w:rsidRDefault="00F40E20" w:rsidP="00F40E20">
      <w:pPr>
        <w:spacing w:after="160" w:line="259" w:lineRule="auto"/>
        <w:jc w:val="both"/>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 xml:space="preserve">Thank you for your comment regarding the assessment of the HepG2 culture and we understand your concerns regarding the lack of detail included about it. It is true that the article currently includes little detail on the cell culture aspect which was a decision made because it is provided as a demonstration only. It is expected that readers of this article have at least been exposed to standard cell culture methods before attempting to carry out studies with these scaffolds. The method describes that it requires only standard cell culture techniques, the sole difference being the inclusion of the scaffold. The results shown are representative results so it was not thought necessary to include a detailed account of how to carry out the cell culture. Also, the application of multiple cell types is encouraged within the introduction and discussion which implies slightly different materials and methods would be applied in each case. To address your comment we have expanded the methods section to include some more detail on the cell culture aspect (Section 7 of the method). We have also changed the title of the article to reflect our intended purpose of demonstrating an example of a potential cell study using the hepg2 cell line.  </w:t>
      </w:r>
    </w:p>
    <w:p w:rsidR="00F40E20" w:rsidRPr="00F40E20" w:rsidRDefault="00F40E20" w:rsidP="00F40E20">
      <w:pPr>
        <w:spacing w:after="160" w:line="259" w:lineRule="auto"/>
        <w:jc w:val="both"/>
        <w:rPr>
          <w:rFonts w:ascii="Lora" w:eastAsiaTheme="minorHAnsi" w:hAnsi="Lora" w:cstheme="minorBidi"/>
          <w:sz w:val="22"/>
          <w:szCs w:val="22"/>
          <w:u w:val="single"/>
          <w:lang w:eastAsia="en-US"/>
        </w:rPr>
      </w:pPr>
      <w:r w:rsidRPr="00F40E20">
        <w:rPr>
          <w:rFonts w:ascii="Lora" w:eastAsiaTheme="minorHAnsi" w:hAnsi="Lora" w:cstheme="minorBidi"/>
          <w:sz w:val="22"/>
          <w:szCs w:val="22"/>
          <w:u w:val="single"/>
          <w:lang w:eastAsia="en-US"/>
        </w:rPr>
        <w:t>Reviewer #2:</w:t>
      </w:r>
    </w:p>
    <w:p w:rsidR="00F40E20" w:rsidRPr="00F40E20" w:rsidRDefault="00F40E20" w:rsidP="00F40E20">
      <w:pPr>
        <w:spacing w:after="160" w:line="259" w:lineRule="auto"/>
        <w:jc w:val="both"/>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Thank-you for your comments, these have been addressed as per below:</w:t>
      </w:r>
    </w:p>
    <w:p w:rsidR="00F40E20" w:rsidRPr="00F40E20" w:rsidRDefault="00F40E20" w:rsidP="00F40E20">
      <w:pPr>
        <w:spacing w:after="160" w:line="259" w:lineRule="auto"/>
        <w:jc w:val="both"/>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Minor Concerns:</w:t>
      </w:r>
    </w:p>
    <w:p w:rsidR="00F40E20" w:rsidRPr="00F40E20" w:rsidRDefault="00F40E20" w:rsidP="00F40E20">
      <w:pPr>
        <w:spacing w:after="160" w:line="259" w:lineRule="auto"/>
        <w:jc w:val="both"/>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1- Proof-read the paper after complete revision and consider the grammatical points and typos.</w:t>
      </w:r>
    </w:p>
    <w:p w:rsidR="00F40E20" w:rsidRPr="00F40E20" w:rsidRDefault="00F40E20" w:rsidP="00F40E20">
      <w:pPr>
        <w:spacing w:after="160" w:line="259" w:lineRule="auto"/>
        <w:jc w:val="both"/>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 xml:space="preserve">The manuscript has been reviewed and we have made edits to the grammar and typos where appropriate. </w:t>
      </w:r>
    </w:p>
    <w:p w:rsidR="00F40E20" w:rsidRPr="00F40E20" w:rsidRDefault="00F40E20" w:rsidP="00F40E20">
      <w:pPr>
        <w:spacing w:after="160" w:line="259" w:lineRule="auto"/>
        <w:jc w:val="both"/>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t>2- Please use the recent literature reports in discussion section and compare your work with them</w:t>
      </w:r>
    </w:p>
    <w:p w:rsidR="00F40E20" w:rsidRPr="00F40E20" w:rsidRDefault="00F40E20" w:rsidP="00F40E20">
      <w:pPr>
        <w:spacing w:after="160" w:line="259" w:lineRule="auto"/>
        <w:jc w:val="both"/>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Comparisons of the described method with others recently published in the literature</w:t>
      </w:r>
      <w:r w:rsidR="00D0335D">
        <w:rPr>
          <w:rFonts w:ascii="Lora" w:eastAsiaTheme="minorHAnsi" w:hAnsi="Lora" w:cstheme="minorBidi"/>
          <w:sz w:val="22"/>
          <w:szCs w:val="22"/>
          <w:lang w:eastAsia="en-US"/>
        </w:rPr>
        <w:t xml:space="preserve"> have been included</w:t>
      </w:r>
      <w:r w:rsidRPr="00F40E20">
        <w:rPr>
          <w:rFonts w:ascii="Lora" w:eastAsiaTheme="minorHAnsi" w:hAnsi="Lora" w:cstheme="minorBidi"/>
          <w:sz w:val="22"/>
          <w:szCs w:val="22"/>
          <w:lang w:eastAsia="en-US"/>
        </w:rPr>
        <w:t>. The final paragraph in the discussion includes these comparisons and 45% of citations within</w:t>
      </w:r>
      <w:r w:rsidR="00D0335D">
        <w:rPr>
          <w:rFonts w:ascii="Lora" w:eastAsiaTheme="minorHAnsi" w:hAnsi="Lora" w:cstheme="minorBidi"/>
          <w:sz w:val="22"/>
          <w:szCs w:val="22"/>
          <w:lang w:eastAsia="en-US"/>
        </w:rPr>
        <w:t xml:space="preserve"> the</w:t>
      </w:r>
      <w:r w:rsidRPr="00F40E20">
        <w:rPr>
          <w:rFonts w:ascii="Lora" w:eastAsiaTheme="minorHAnsi" w:hAnsi="Lora" w:cstheme="minorBidi"/>
          <w:sz w:val="22"/>
          <w:szCs w:val="22"/>
          <w:lang w:eastAsia="en-US"/>
        </w:rPr>
        <w:t xml:space="preserve"> discussion are dated between 2018 and 2019. </w:t>
      </w:r>
    </w:p>
    <w:p w:rsidR="00F40E20" w:rsidRPr="00F40E20" w:rsidRDefault="00F40E20" w:rsidP="00F40E20">
      <w:pPr>
        <w:spacing w:after="160" w:line="259" w:lineRule="auto"/>
        <w:jc w:val="both"/>
        <w:rPr>
          <w:rFonts w:ascii="Lora" w:eastAsiaTheme="minorHAnsi" w:hAnsi="Lora" w:cstheme="minorBidi"/>
          <w:color w:val="FF0000"/>
          <w:sz w:val="22"/>
          <w:szCs w:val="22"/>
          <w:lang w:eastAsia="en-US"/>
        </w:rPr>
      </w:pPr>
      <w:r w:rsidRPr="00F40E20">
        <w:rPr>
          <w:rFonts w:ascii="Lora" w:eastAsiaTheme="minorHAnsi" w:hAnsi="Lora" w:cstheme="minorBidi"/>
          <w:color w:val="FF0000"/>
          <w:sz w:val="22"/>
          <w:szCs w:val="22"/>
          <w:lang w:eastAsia="en-US"/>
        </w:rPr>
        <w:lastRenderedPageBreak/>
        <w:t>3- Please update the references in Introduction and cite very recently published works, if exist, especially publications from 2018 and 2019.</w:t>
      </w:r>
    </w:p>
    <w:p w:rsidR="00F40E20" w:rsidRPr="00F40E20" w:rsidRDefault="00F40E20" w:rsidP="00F40E20">
      <w:pPr>
        <w:spacing w:after="160" w:line="259" w:lineRule="auto"/>
        <w:jc w:val="both"/>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We appreciate your requirement for more up-to-date articles cited within the introduction. Having updated some citations, we have 39% of citations dated between 2018 and 2019 within the introduction.</w:t>
      </w:r>
    </w:p>
    <w:p w:rsidR="00F40E20" w:rsidRPr="00F40E20" w:rsidRDefault="00F40E20" w:rsidP="00F40E20">
      <w:pPr>
        <w:spacing w:after="160" w:line="259" w:lineRule="auto"/>
        <w:jc w:val="both"/>
        <w:rPr>
          <w:rFonts w:ascii="Lora" w:eastAsiaTheme="minorHAnsi" w:hAnsi="Lora" w:cstheme="minorBidi"/>
          <w:sz w:val="22"/>
          <w:szCs w:val="22"/>
          <w:u w:val="single"/>
          <w:lang w:eastAsia="en-US"/>
        </w:rPr>
      </w:pPr>
      <w:r w:rsidRPr="00F40E20">
        <w:rPr>
          <w:rFonts w:ascii="Lora" w:eastAsiaTheme="minorHAnsi" w:hAnsi="Lora" w:cstheme="minorBidi"/>
          <w:sz w:val="22"/>
          <w:szCs w:val="22"/>
          <w:u w:val="single"/>
          <w:lang w:eastAsia="en-US"/>
        </w:rPr>
        <w:t>Reviewer #3:</w:t>
      </w:r>
    </w:p>
    <w:p w:rsidR="00F40E20" w:rsidRPr="00F40E20" w:rsidRDefault="00F40E20" w:rsidP="00F40E20">
      <w:pPr>
        <w:spacing w:before="100" w:beforeAutospacing="1" w:after="100" w:afterAutospacing="1"/>
        <w:rPr>
          <w:rFonts w:ascii="Lora" w:eastAsiaTheme="minorHAnsi" w:hAnsi="Lora"/>
          <w:color w:val="FF0000"/>
          <w:sz w:val="22"/>
          <w:szCs w:val="22"/>
        </w:rPr>
      </w:pPr>
      <w:r w:rsidRPr="00F40E20">
        <w:rPr>
          <w:rFonts w:ascii="Lora" w:eastAsiaTheme="minorHAnsi" w:hAnsi="Lora"/>
          <w:color w:val="FF0000"/>
          <w:sz w:val="22"/>
          <w:szCs w:val="22"/>
        </w:rPr>
        <w:t>Major Concerns</w:t>
      </w:r>
      <w:proofErr w:type="gramStart"/>
      <w:r w:rsidRPr="00F40E20">
        <w:rPr>
          <w:rFonts w:ascii="Lora" w:eastAsiaTheme="minorHAnsi" w:hAnsi="Lora"/>
          <w:color w:val="FF0000"/>
          <w:sz w:val="22"/>
          <w:szCs w:val="22"/>
        </w:rPr>
        <w:t>:</w:t>
      </w:r>
      <w:proofErr w:type="gramEnd"/>
      <w:r w:rsidRPr="00F40E20">
        <w:rPr>
          <w:rFonts w:ascii="Lora" w:eastAsiaTheme="minorHAnsi" w:hAnsi="Lora"/>
          <w:color w:val="FF0000"/>
          <w:sz w:val="22"/>
          <w:szCs w:val="22"/>
        </w:rPr>
        <w:br/>
        <w:t xml:space="preserve">manuscript does not communicate any new information. </w:t>
      </w:r>
      <w:proofErr w:type="gramStart"/>
      <w:r w:rsidRPr="00F40E20">
        <w:rPr>
          <w:rFonts w:ascii="Lora" w:eastAsiaTheme="minorHAnsi" w:hAnsi="Lora"/>
          <w:color w:val="FF0000"/>
          <w:sz w:val="22"/>
          <w:szCs w:val="22"/>
        </w:rPr>
        <w:t>science</w:t>
      </w:r>
      <w:proofErr w:type="gramEnd"/>
      <w:r w:rsidRPr="00F40E20">
        <w:rPr>
          <w:rFonts w:ascii="Lora" w:eastAsiaTheme="minorHAnsi" w:hAnsi="Lora"/>
          <w:color w:val="FF0000"/>
          <w:sz w:val="22"/>
          <w:szCs w:val="22"/>
        </w:rPr>
        <w:t xml:space="preserve"> is poor and </w:t>
      </w:r>
      <w:proofErr w:type="spellStart"/>
      <w:r w:rsidRPr="00F40E20">
        <w:rPr>
          <w:rFonts w:ascii="Lora" w:eastAsiaTheme="minorHAnsi" w:hAnsi="Lora"/>
          <w:color w:val="FF0000"/>
          <w:sz w:val="22"/>
          <w:szCs w:val="22"/>
        </w:rPr>
        <w:t>and</w:t>
      </w:r>
      <w:proofErr w:type="spellEnd"/>
      <w:r w:rsidRPr="00F40E20">
        <w:rPr>
          <w:rFonts w:ascii="Lora" w:eastAsiaTheme="minorHAnsi" w:hAnsi="Lora"/>
          <w:color w:val="FF0000"/>
          <w:sz w:val="22"/>
          <w:szCs w:val="22"/>
        </w:rPr>
        <w:t xml:space="preserve"> just repeat what many other papers have shown already in last decade</w:t>
      </w:r>
    </w:p>
    <w:p w:rsidR="00F40E20" w:rsidRPr="00F40E20" w:rsidRDefault="00F40E20" w:rsidP="00F40E20">
      <w:pPr>
        <w:spacing w:after="160" w:line="259" w:lineRule="auto"/>
        <w:jc w:val="both"/>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t xml:space="preserve">Thank-you for your comments regarding the manuscript content. We do acknowledge that the information is not necessarily new and </w:t>
      </w:r>
      <w:r w:rsidR="00D0335D">
        <w:rPr>
          <w:rFonts w:ascii="Lora" w:eastAsiaTheme="minorHAnsi" w:hAnsi="Lora" w:cstheme="minorBidi"/>
          <w:sz w:val="22"/>
          <w:szCs w:val="22"/>
          <w:lang w:eastAsia="en-US"/>
        </w:rPr>
        <w:t xml:space="preserve">in the introduction </w:t>
      </w:r>
      <w:bookmarkStart w:id="0" w:name="_GoBack"/>
      <w:bookmarkEnd w:id="0"/>
      <w:r w:rsidRPr="00F40E20">
        <w:rPr>
          <w:rFonts w:ascii="Lora" w:eastAsiaTheme="minorHAnsi" w:hAnsi="Lora" w:cstheme="minorBidi"/>
          <w:sz w:val="22"/>
          <w:szCs w:val="22"/>
          <w:lang w:eastAsia="en-US"/>
        </w:rPr>
        <w:t>we had mentioned that it is adapted from previous work</w:t>
      </w:r>
      <w:r w:rsidRPr="00F40E20">
        <w:rPr>
          <w:rFonts w:ascii="Lora" w:eastAsiaTheme="minorHAnsi" w:hAnsi="Lora" w:cstheme="minorBidi"/>
          <w:sz w:val="22"/>
          <w:szCs w:val="22"/>
          <w:lang w:eastAsia="en-US"/>
        </w:rPr>
        <w:fldChar w:fldCharType="begin" w:fldLock="1"/>
      </w:r>
      <w:r w:rsidRPr="00F40E20">
        <w:rPr>
          <w:rFonts w:ascii="Lora" w:eastAsiaTheme="minorHAnsi" w:hAnsi="Lora" w:cstheme="minorBidi"/>
          <w:sz w:val="22"/>
          <w:szCs w:val="22"/>
          <w:lang w:eastAsia="en-US"/>
        </w:rPr>
        <w:instrText>ADDIN CSL_CITATION {"citationItems":[{"id":"ITEM-1","itemData":{"DOI":"10.1007/s13770-017-0107-5","ISSN":"22125469","abstract":"Chronic kidney disease is a major global health problem affecting millions of people; kidney tissue engineering provides an opportunity to better understand this disease, and has the capacity to provide a cure. Two-dimensional cell culture and decellularised tissue have been the main focus of this research thus far, but despite promising results these methods are not without their shortcomings. Polymer fabrication techniques such as electrospinning have the potential to provide a non-woven path for kidney tissue engineering. In this experiment we isolated rat primary kidney cells which were seeded on electrospun poly(lactic acid) scaffolds. Our results showed that the scaffolds were capable of sustaining a multi-population of kidney cells, determined by the presence of: aquaporin-1 (proximal tubules), aquaporin-2 (collecting ducts), synaptopodin (glomerular epithelia) and von Willebrand factor (glomerular endothelia cells), viability of cells appeared to be unaffected by fibre diameter. The ability of electrospun polymer scaffold to act as a conveyor for kidney cells makes them an ideal candidate within kidney tissue engineering; the non-woven path provides benefits over decellularised tissue by offering a high morphological control as well as providing superior mechanical properties with degradation over a tuneable time frame.","author":[{"dropping-particle":"","family":"Burton","given":"Todd P.","non-dropping-particle":"","parse-names":false,"suffix":""},{"dropping-particle":"","family":"Callanan","given":"Anthony","non-dropping-particle":"","parse-names":false,"suffix":""}],"container-title":"Tissue Engineering and Regenerative Medicine","id":"ITEM-1","issue":"3","issued":{"date-parts":[["2018","6","1"]]},"page":"301-310","publisher":"Korean Tissue Engineering and Regenerative Medicine Society","title":"A Non-woven Path: Electrospun Poly(lactic acid) Scaffolds for Kidney Tissue Engineering","type":"article-journal","volume":"15"},"uris":["http://www.mendeley.com/documents/?uuid=fe91a12c-ed1b-3f32-9abe-e1f860e01a2e"]}],"mendeley":{"formattedCitation":"&lt;sup&gt;1&lt;/sup&gt;","plainTextFormattedCitation":"1"},"properties":{"noteIndex":0},"schema":"https://github.com/citation-style-language/schema/raw/master/csl-citation.json"}</w:instrText>
      </w:r>
      <w:r w:rsidRPr="00F40E20">
        <w:rPr>
          <w:rFonts w:ascii="Lora" w:eastAsiaTheme="minorHAnsi" w:hAnsi="Lora" w:cstheme="minorBidi"/>
          <w:sz w:val="22"/>
          <w:szCs w:val="22"/>
          <w:lang w:eastAsia="en-US"/>
        </w:rPr>
        <w:fldChar w:fldCharType="separate"/>
      </w:r>
      <w:r w:rsidRPr="00F40E20">
        <w:rPr>
          <w:rFonts w:ascii="Lora" w:eastAsiaTheme="minorHAnsi" w:hAnsi="Lora" w:cstheme="minorBidi"/>
          <w:noProof/>
          <w:sz w:val="22"/>
          <w:szCs w:val="22"/>
          <w:vertAlign w:val="superscript"/>
          <w:lang w:eastAsia="en-US"/>
        </w:rPr>
        <w:t>1</w:t>
      </w:r>
      <w:r w:rsidRPr="00F40E20">
        <w:rPr>
          <w:rFonts w:ascii="Lora" w:eastAsiaTheme="minorHAnsi" w:hAnsi="Lora" w:cstheme="minorBidi"/>
          <w:sz w:val="22"/>
          <w:szCs w:val="22"/>
          <w:lang w:eastAsia="en-US"/>
        </w:rPr>
        <w:fldChar w:fldCharType="end"/>
      </w:r>
      <w:r w:rsidRPr="00F40E20">
        <w:rPr>
          <w:rFonts w:ascii="Lora" w:eastAsiaTheme="minorHAnsi" w:hAnsi="Lora" w:cstheme="minorBidi"/>
          <w:sz w:val="22"/>
          <w:szCs w:val="22"/>
          <w:lang w:eastAsia="en-US"/>
        </w:rPr>
        <w:t>. However we must highlight the fact that this method has not been published with the high level of step-by-step detail provided within this manuscript and for a methods based or visual experiment journal. Whilst electrospun polymer technology has been thoroughly explored within the last decade, there is an enduring lack of consideration for morphological consistency and seemingly arbitrary choices of architecture and fibre size</w:t>
      </w:r>
      <w:r w:rsidRPr="00F40E20">
        <w:rPr>
          <w:rFonts w:ascii="Lora" w:eastAsiaTheme="minorHAnsi" w:hAnsi="Lora" w:cstheme="minorBidi"/>
          <w:sz w:val="22"/>
          <w:szCs w:val="22"/>
          <w:lang w:eastAsia="en-US"/>
        </w:rPr>
        <w:fldChar w:fldCharType="begin" w:fldLock="1"/>
      </w:r>
      <w:r w:rsidRPr="00F40E20">
        <w:rPr>
          <w:rFonts w:ascii="Lora" w:eastAsiaTheme="minorHAnsi" w:hAnsi="Lora" w:cstheme="minorBidi"/>
          <w:sz w:val="22"/>
          <w:szCs w:val="22"/>
          <w:lang w:eastAsia="en-US"/>
        </w:rPr>
        <w:instrText>ADDIN CSL_CITATION {"citationItems":[{"id":"ITEM-1","itemData":{"DOI":"10.1016/j.jcis.2018.04.060","ISSN":"10957103","abstract":"Poly(</w:instrText>
      </w:r>
      <w:r w:rsidRPr="00F40E20">
        <w:rPr>
          <w:rFonts w:ascii="Lora" w:eastAsiaTheme="minorHAnsi" w:hAnsi="Lora" w:cstheme="minorBidi" w:hint="eastAsia"/>
          <w:sz w:val="22"/>
          <w:szCs w:val="22"/>
          <w:lang w:eastAsia="en-US"/>
        </w:rPr>
        <w:instrText>ε</w:instrText>
      </w:r>
      <w:r w:rsidRPr="00F40E20">
        <w:rPr>
          <w:rFonts w:ascii="Lora" w:eastAsiaTheme="minorHAnsi" w:hAnsi="Lora" w:cstheme="minorBidi"/>
          <w:sz w:val="22"/>
          <w:szCs w:val="22"/>
          <w:lang w:eastAsia="en-US"/>
        </w:rPr>
        <w:instrText>-caprolactone) (PCL) is a hydrophobic and cytocompatible aliphatic polyester that has been used to produce PCL-based nanofibrous for both wound healing and tissue repair. However, the high hydrophobicity and low water adsorptive have been challenges for developing PCL-based materials for use in tissue engineering field. Here, we report a new polymer (a hydrophilic amino-functionalized tannin (TN)) that is associated with PCL for developing PCL-TN blends at different PCL:TN weight ratios (100:0, 95:5, 85:15 and 78:22). PCL:TN ratio may be tuned to modulate hydrophilicity and cytocompatibility of the nanofibers. The neutralization step and surface wettability played an important role in the attachment of human adipose-derived stem cells (ADSC cells) on PCL-TN membranes. Also, fluorescence images confirmed great proliferation of ADSC cells on the PCL-TN electrospun surfaces. Yet, neutralized PCL-TN nanofibers promoted bactericidal activity against Pseudomonas aeruginosa. These membranes have potential to be used as scaffolds for tissue engineering purposes.","author":[{"dropping-particle":"","family":"Martins","given":"Alessandro F.","non-dropping-particle":"","parse-names":false,"suffix":""},{"dropping-particle":"","family":"Facchi","given":"Suelen P.","non-dropping-particle":"","parse-names":false,"suffix":""},{"dropping-particle":"","family":"Câmara","given":"Paulo C.F.","non-dropping-particle":"da","parse-names":false,"suffix":""},{"dropping-particle":"","family":"Camargo","given":"Samira E.A.","non-dropping-particle":"","parse-names":false,"suffix":""},{"dropping-particle":"","family":"Camargo","given":"Carlos H.R.","non-dropping-particle":"","parse-names":false,"suffix":""},{"dropping-particle":"","family":"Popat","given":"Ketul C.","non-dropping-particle":"","parse-names":false,"suffix":""},{"dropping-particle":"","family":"Kipper","given":"Matt J.","non-dropping-particle":"","parse-names":false,"suffix":""}],"container-title":"Journal of Colloid and Interface Science","id":"ITEM-1","issued":{"date-parts":[["2018","9","1"]]},"page":"21-30","publisher":"Academic Press Inc.","title":"Novel poly(</w:instrText>
      </w:r>
      <w:r w:rsidRPr="00F40E20">
        <w:rPr>
          <w:rFonts w:ascii="Lora" w:eastAsiaTheme="minorHAnsi" w:hAnsi="Lora" w:cstheme="minorBidi" w:hint="eastAsia"/>
          <w:sz w:val="22"/>
          <w:szCs w:val="22"/>
          <w:lang w:eastAsia="en-US"/>
        </w:rPr>
        <w:instrText>ε</w:instrText>
      </w:r>
      <w:r w:rsidRPr="00F40E20">
        <w:rPr>
          <w:rFonts w:ascii="Lora" w:eastAsiaTheme="minorHAnsi" w:hAnsi="Lora" w:cstheme="minorBidi"/>
          <w:sz w:val="22"/>
          <w:szCs w:val="22"/>
          <w:lang w:eastAsia="en-US"/>
        </w:rPr>
        <w:instrText>-caprolactone)/amino-functionalized tannin electrospun membranes as scaffolds for tissue engineering","type":"article-journal","volume":"525"},"uris":["http://www.mendeley.com/documents/?uuid=fa02fefe-b0d5-32eb-b861-ec8681f917ad"]},{"id":"ITEM-2","itemData":{"DOI":"10.1016/j.msec.2016.03.035","ISSN":"09284931","abstract":"Nerve tissue engineering (TE) requires biomimetic scaffolds providing essential chemical and topographical cues for nerve regeneration. Poly(glycerol sebacate) (PGS) is a biodegradable and elastic polymer that has gained great interest as a TE scaffolding biomaterial. However, uncured PGS is difficult to be electrospun into nanofibers. PGS would, therefore, require the addition of electrospinning agents. In this study, we modified PGS by using atom transfer radical polymerization (ATRP) to synthesize PGS-based copolymers with methyl methacrylate (MMA). The synthesized PGS-PMMA copolymer showed a molecular weight of 82 kDa and a glass transition temperature of 115 °C. More importantly, the PGS-PMMA could be easily electrospun into nanofiber with a fiber diameter of 167 ± 33 nm. Blending gelatin into PGS-PMMA nanofibers was found to increase its hydrophilicity and biocompatibility. Rat PC12 cells were seeded onto the PGS-PMMA/gelatin nanofibers to investigate their potential for nerve regeneration. It was found that gelatin-containing PGS-based nanofibers promoted cell proliferation. The elongated cell morphology observed on such nanofibers indicated that the scaffolds could induce the neurite outgrowth of the nerve stem cells. Overall, our study suggested that the synthesis of PGS-based copolymers might be a promising approach to enhance their processability, and therefore advancing bioscaffold engineering for various TE applications.","author":[{"dropping-particle":"","family":"Hu","given":"Jue","non-dropping-particle":"","parse-names":false,"suffix":""},{"dropping-particle":"","family":"Kai","given":"Dan","non-dropping-particle":"","parse-names":false,"suffix":""},{"dropping-particle":"","family":"Ye","given":"Hongye","non-dropping-particle":"","parse-names":false,"suffix":""},{"dropping-particle":"","family":"Tian","given":"Lingling","non-dropping-particle":"","parse-names":false,"suffix":""},{"dropping-particle":"","family":"Ding","given":"Xin","non-dropping-particle":"","parse-names":false,"suffix":""},{"dropping-particle":"","family":"Ramakrishna","given":"Seeram","non-dropping-particle":"","parse-names":false,"suffix":""},{"dropping-particle":"","family":"Loh","given":"Xian Jun","non-dropping-particle":"","parse-names":false,"suffix":""}],"container-title":"Materials Science and Engineering C","id":"ITEM-2","issued":{"date-parts":[["2017","1","1"]]},"page":"1089-1094","publisher":"Elsevier Ltd","title":"Electrospinning of poly(glycerol sebacate)-based nanofibers for nerve tissue engineering","type":"article-journal","volume":"70"},"uris":["http://www.mendeley.com/documents/?uuid=a3c1c55a-da1b-38a5-8353-dd538a97e5ee"]},{"id":"ITEM-3","itemData":{"DOI":"10.1002/jbm.b.34116","ISSN":"15524973","author":[{"dropping-particle":"","family":"Zhuravleva","given":"Margarita","non-dropping-particle":"","parse-names":false,"suffix":""},{"dropping-particle":"","family":"Gilazieva","given":"Zarema","non-dropping-particle":"","parse-names":false,"suffix":""},{"dropping-particle":"","family":"Grigoriev","given":"Timofei E.","non-dropping-particle":"","parse-names":false,"suffix":""},{"dropping-particle":"","family":"Shepelev","given":"Alexey D.","non-dropping-particle":"","parse-names":false,"suffix":""},{"dropping-particle":"","family":"Kh. Tenchurin","given":"Timur","non-dropping-particle":"","parse-names":false,"suffix":""},{"dropping-particle":"","family":"Kamyshinsky","given":"Roman","non-dropping-particle":"","parse-names":false,"suffix":""},{"dropping-particle":"V.","family":"Krasheninnikov","given":"Sergey","non-dropping-particle":"","parse-names":false,"suffix":""},{"dropping-particle":"","family":"Orlov","given":"Sergei","non-dropping-particle":"","parse-names":false,"suffix":""},{"dropping-particle":"","family":"Caralogli","given":"Gina","non-dropping-particle":"","parse-names":false,"suffix":""},{"dropping-particle":"","family":"Archipova","given":"Svetlana","non-dropping-particle":"","parse-names":false,"suffix":""},{"dropping-particle":"","family":"Holterman","given":"Mark J.","non-dropping-particle":"","parse-names":false,"suffix":""},{"dropping-particle":"","family":"Mavlikeev","given":"Mikhail","non-dropping-particle":"","parse-names":false,"suffix":""},{"dropping-particle":"V.","family":"Deev","given":"Roman","non-dropping-particle":"","parse-names":false,"suffix":""},{"dropping-particle":"","family":"Chvalun","given":"Sergei N.","non-dropping-particle":"","parse-names":false,"suffix":""},{"dropping-particle":"","family":"Macchiarini","given":"Paolo","non-dropping-particle":"","parse-names":false,"suffix":""}],"container-title":"Journal of Biomedical Materials Research Part B: Applied Biomaterials","id":"ITEM-3","issue":"2","issued":{"date-parts":[["2019","2"]]},"page":"253-268","title":"&lt;i&gt;In vitro&lt;/i&gt; assessment of electrospun polyamide-6 scaffolds for esophageal tissue engineering","type":"article-journal","volume":"107"},"uris":["http://www.mendeley.com/documents/?uuid=25f27752-20e1-3c1b-94b0-93949df8d282"]}],"mendeley":{"formattedCitation":"&lt;sup&gt;2–4&lt;/sup&gt;","plainTextFormattedCitation":"2–4","previouslyFormattedCitation":"&lt;sup&gt;1–3&lt;/sup&gt;"},"properties":{"noteIndex":0},"schema":"https://github.com/citation-style-language/schema/raw/master/csl-citation.json"}</w:instrText>
      </w:r>
      <w:r w:rsidRPr="00F40E20">
        <w:rPr>
          <w:rFonts w:ascii="Lora" w:eastAsiaTheme="minorHAnsi" w:hAnsi="Lora" w:cstheme="minorBidi"/>
          <w:sz w:val="22"/>
          <w:szCs w:val="22"/>
          <w:lang w:eastAsia="en-US"/>
        </w:rPr>
        <w:fldChar w:fldCharType="separate"/>
      </w:r>
      <w:r w:rsidRPr="00F40E20">
        <w:rPr>
          <w:rFonts w:ascii="Lora" w:eastAsiaTheme="minorHAnsi" w:hAnsi="Lora" w:cstheme="minorBidi"/>
          <w:noProof/>
          <w:sz w:val="22"/>
          <w:szCs w:val="22"/>
          <w:vertAlign w:val="superscript"/>
          <w:lang w:eastAsia="en-US"/>
        </w:rPr>
        <w:t>2–4</w:t>
      </w:r>
      <w:r w:rsidRPr="00F40E20">
        <w:rPr>
          <w:rFonts w:ascii="Lora" w:eastAsiaTheme="minorHAnsi" w:hAnsi="Lora" w:cstheme="minorBidi"/>
          <w:sz w:val="22"/>
          <w:szCs w:val="22"/>
          <w:lang w:eastAsia="en-US"/>
        </w:rPr>
        <w:fldChar w:fldCharType="end"/>
      </w:r>
      <w:r w:rsidRPr="00F40E20">
        <w:rPr>
          <w:rFonts w:ascii="Lora" w:eastAsiaTheme="minorHAnsi" w:hAnsi="Lora" w:cstheme="minorBidi"/>
          <w:sz w:val="22"/>
          <w:szCs w:val="22"/>
          <w:lang w:eastAsia="en-US"/>
        </w:rPr>
        <w:t xml:space="preserve">. This method is intended to address these issues and provide researchers with access to a detailed study design through which </w:t>
      </w:r>
      <w:proofErr w:type="spellStart"/>
      <w:r w:rsidRPr="00F40E20">
        <w:rPr>
          <w:rFonts w:ascii="Lora" w:eastAsiaTheme="minorHAnsi" w:hAnsi="Lora" w:cstheme="minorBidi"/>
          <w:sz w:val="22"/>
          <w:szCs w:val="22"/>
          <w:lang w:eastAsia="en-US"/>
        </w:rPr>
        <w:t>mechano</w:t>
      </w:r>
      <w:proofErr w:type="spellEnd"/>
      <w:r w:rsidRPr="00F40E20">
        <w:rPr>
          <w:rFonts w:ascii="Lora" w:eastAsiaTheme="minorHAnsi" w:hAnsi="Lora" w:cstheme="minorBidi"/>
          <w:sz w:val="22"/>
          <w:szCs w:val="22"/>
          <w:lang w:eastAsia="en-US"/>
        </w:rPr>
        <w:t xml:space="preserve">-biological optimisation of electrospun </w:t>
      </w:r>
      <w:r w:rsidRPr="00F40E20">
        <w:rPr>
          <w:rFonts w:ascii="Lora" w:eastAsiaTheme="minorHAnsi" w:hAnsi="Lora" w:cstheme="minorBidi"/>
          <w:i/>
          <w:sz w:val="22"/>
          <w:szCs w:val="22"/>
          <w:lang w:eastAsia="en-US"/>
        </w:rPr>
        <w:t xml:space="preserve">in-vitro </w:t>
      </w:r>
      <w:r w:rsidRPr="00F40E20">
        <w:rPr>
          <w:rFonts w:ascii="Lora" w:eastAsiaTheme="minorHAnsi" w:hAnsi="Lora" w:cstheme="minorBidi"/>
          <w:sz w:val="22"/>
          <w:szCs w:val="22"/>
          <w:lang w:eastAsia="en-US"/>
        </w:rPr>
        <w:t>systems can be achieved. The level of method detail included is for the purpose of introducing standardised methods into the research field that other researchers are able to follow and reproduce. The representative results described are in accordance with current standards in literature</w:t>
      </w:r>
      <w:r w:rsidRPr="00F40E20">
        <w:rPr>
          <w:rFonts w:ascii="Lora" w:eastAsiaTheme="minorHAnsi" w:hAnsi="Lora" w:cstheme="minorBidi"/>
          <w:sz w:val="22"/>
          <w:szCs w:val="22"/>
          <w:lang w:eastAsia="en-US"/>
        </w:rPr>
        <w:fldChar w:fldCharType="begin" w:fldLock="1"/>
      </w:r>
      <w:r w:rsidRPr="00F40E20">
        <w:rPr>
          <w:rFonts w:ascii="Lora" w:eastAsiaTheme="minorHAnsi" w:hAnsi="Lora" w:cstheme="minorBidi"/>
          <w:sz w:val="22"/>
          <w:szCs w:val="22"/>
          <w:lang w:eastAsia="en-US"/>
        </w:rPr>
        <w:instrText>ADDIN CSL_CITATION {"citationItems":[{"id":"ITEM-1","itemData":{"DOI":"10.1038/s41598-019-42627-7","ISSN":"20452322","abstract":"Tissue engineering of a transplantable liver could provide an alternative to donor livers for transplant, solving the problem of escalating donor shortages. One of the challenges for tissue engineers is the extracellular matrix (ECM); a finely controlled in vivo niche which supports hepatocytes. Polymers and decellularized tissue scaffolds each provide some of the necessary biological cues for hepatocytes, however, neither alone has proved sufficient. Enhancing microenvironments using bioactive molecules allows researchers to create more appropriate niches for hepatocytes. We combined decellularized human liver tissue with electrospun polymers to produce a niche for hepatocytes and compared the human liver ECM to its individual components; Collagen I, Laminin-521 and Fibronectin. The resulting scaffolds were validated using THLE-3 hepatocytes. Immunohistochemistry confirmed retention of proteins in the scaffolds. Mechanical testing demonstrated significant increases in the Young’s Modulus of the decellularized ECM scaffold; providing significantly stiffer environments for hepatocytes. Each scaffold maintained hepatocyte growth, albumin production and influenced expression of key hepatic genes, with the decellularized ECM scaffolds exerting an influence which is not recapitulated by individual ECM components. Blended protein:polymer scaffolds provide a viable, translatable niche for hepatocytes and offers a solution to current obstacles in disease modelling and liver tissue engineering.","author":[{"dropping-particle":"","family":"Grant","given":"Rhiannon","non-dropping-particle":"","parse-names":false,"suffix":""},{"dropping-particle":"","family":"Hallett","given":"John","non-dropping-particle":"","parse-names":false,"suffix":""},{"dropping-particle":"","family":"Forbes","given":"Stuart","non-dropping-particle":"","parse-names":false,"suffix":""},{"dropping-particle":"","family":"Hay","given":"David","non-dropping-particle":"","parse-names":false,"suffix":""},{"dropping-particle":"","family":"Callanan","given":"Anthony","non-dropping-particle":"","parse-names":false,"suffix":""}],"container-title":"Scientific Reports","id":"ITEM-1","issue":"1","issued":{"date-parts":[["2019","12","1"]]},"publisher":"Nature Publishing Group","title":"Blended electrospinning with human liver extracellular matrix for engineering new hepatic microenvironments","type":"article-journal","volume":"9"},"uris":["http://www.mendeley.com/documents/?uuid=f26fd7d2-2d06-3748-991b-822ca39ac4c7"]},{"id":"ITEM-2","itemData":{"DOI":"10.1016/j.bprint.2019.e00056","ISSN":"24058866","abstract":"Osteoarthritis is the predominant form of arthritis and is a leading cause of disability. Tissue engineered scaffolds are showing great promise for the treatment of cartilage defects. The cartilage consists of a complex architecture, which is greatly responsible for its properties and functions. In this study, highly porous multizone scaffolds were fabricated using both cryo-printing and electrospinning. The developed multizone scaffolds successfully mimic the complex structure of the collagen fibre orientation in the native cartilage. MSC were seeded onto the multizone scaffolds. Cell viability, DNA quantification and fluorescence staining demonstrated that these scaffolds allow MSC attachment and viability after 4 weeks of in vitro culture. Moreover, a key chondrogenesis factor, glycosaminoglycan, was maintained over 4 weeks of culture. Compressive properties of the multizone scaffolds were significantly lower in comparison to the phase separated control, making it mechanically suitable for the cartilage. Overall, this study produced multizone scaffolds which express a complex structure similar to that of the native cartilage and the results demonstrate the ability of the multizone scaffolds to act as platforms for MSC attachment and survival, highlighting the potential within cartilage tissue engineering.","author":[{"dropping-particle":"","family":"Munir","given":"N.","non-dropping-particle":"","parse-names":false,"suffix":""},{"dropping-particle":"","family":"McDonald","given":"A.","non-dropping-particle":"","parse-names":false,"suffix":""},{"dropping-particle":"","family":"Callanan","given":"A.","non-dropping-particle":"","parse-names":false,"suffix":""}],"container-title":"Bioprinting","id":"ITEM-2","issued":{"date-parts":[["2019","12","1"]]},"publisher":"Elsevier B.V.","title":"A combinatorial approach: Cryo-printing and electrospinning hybrid scaffolds for cartilage tissue engineering","type":"article-journal","volume":"16"},"uris":["http://www.mendeley.com/documents/?uuid=f02960e8-7e92-3b74-a8ee-606dad5bfd75"]},{"id":"ITEM-3","itemData":{"DOI":"10.1002/app.48181","ISSN":"0021-8995","author":[{"dropping-particle":"","family":"Reid","given":"James A.","non-dropping-particle":"","parse-names":false,"suffix":""},{"dropping-particle":"","family":"Callanan","given":"Anthony","non-dropping-particle":"","parse-names":false,"suffix":""}],"container-title":"Journal of Applied Polymer Science","id":"ITEM-3","issue":"44","issued":{"date-parts":[["2019","11","20"]]},"page":"48181","title":"Influence of aorta extracellular matrix in electrospun polycaprolactone scaffolds","type":"article-journal","volume":"136"},"uris":["http://www.mendeley.com/documents/?uuid=45c4f4e1-dbbe-36a8-ac60-65808a813999"]}],"mendeley":{"formattedCitation":"&lt;sup&gt;5–7&lt;/sup&gt;","plainTextFormattedCitation":"5–7","previouslyFormattedCitation":"&lt;sup&gt;4–6&lt;/sup&gt;"},"properties":{"noteIndex":0},"schema":"https://github.com/citation-style-language/schema/raw/master/csl-citation.json"}</w:instrText>
      </w:r>
      <w:r w:rsidRPr="00F40E20">
        <w:rPr>
          <w:rFonts w:ascii="Lora" w:eastAsiaTheme="minorHAnsi" w:hAnsi="Lora" w:cstheme="minorBidi"/>
          <w:sz w:val="22"/>
          <w:szCs w:val="22"/>
          <w:lang w:eastAsia="en-US"/>
        </w:rPr>
        <w:fldChar w:fldCharType="separate"/>
      </w:r>
      <w:r w:rsidRPr="00F40E20">
        <w:rPr>
          <w:rFonts w:ascii="Lora" w:eastAsiaTheme="minorHAnsi" w:hAnsi="Lora" w:cstheme="minorBidi"/>
          <w:noProof/>
          <w:sz w:val="22"/>
          <w:szCs w:val="22"/>
          <w:vertAlign w:val="superscript"/>
          <w:lang w:eastAsia="en-US"/>
        </w:rPr>
        <w:t>5–7</w:t>
      </w:r>
      <w:r w:rsidRPr="00F40E20">
        <w:rPr>
          <w:rFonts w:ascii="Lora" w:eastAsiaTheme="minorHAnsi" w:hAnsi="Lora" w:cstheme="minorBidi"/>
          <w:sz w:val="22"/>
          <w:szCs w:val="22"/>
          <w:lang w:eastAsia="en-US"/>
        </w:rPr>
        <w:fldChar w:fldCharType="end"/>
      </w:r>
      <w:r w:rsidRPr="00F40E20">
        <w:rPr>
          <w:rFonts w:ascii="Lora" w:eastAsiaTheme="minorHAnsi" w:hAnsi="Lora" w:cstheme="minorBidi"/>
          <w:sz w:val="22"/>
          <w:szCs w:val="22"/>
          <w:lang w:eastAsia="en-US"/>
        </w:rPr>
        <w:t xml:space="preserve">. We have supplied results which show a suitable level of data to legitimise claims made in the justification for the method. The statement ‘science is poor’ is rather vague and as with any scientific writing a basic requirement is the justification of your argument in order to facilitate understanding. </w:t>
      </w:r>
    </w:p>
    <w:p w:rsidR="00F40E20" w:rsidRPr="00F40E20" w:rsidRDefault="00F40E20" w:rsidP="00F40E20">
      <w:pPr>
        <w:spacing w:after="160" w:line="259" w:lineRule="auto"/>
        <w:jc w:val="both"/>
        <w:rPr>
          <w:rFonts w:ascii="Lora" w:eastAsiaTheme="minorHAnsi" w:hAnsi="Lora" w:cstheme="minorBidi"/>
          <w:b/>
          <w:sz w:val="22"/>
          <w:szCs w:val="22"/>
          <w:lang w:eastAsia="en-US"/>
        </w:rPr>
      </w:pPr>
      <w:r w:rsidRPr="00F40E20">
        <w:rPr>
          <w:rFonts w:ascii="Lora" w:eastAsiaTheme="minorHAnsi" w:hAnsi="Lora" w:cstheme="minorBidi"/>
          <w:b/>
          <w:sz w:val="22"/>
          <w:szCs w:val="22"/>
          <w:lang w:eastAsia="en-US"/>
        </w:rPr>
        <w:t>References</w:t>
      </w:r>
    </w:p>
    <w:p w:rsidR="00F40E20" w:rsidRPr="00F40E20" w:rsidRDefault="00F40E20" w:rsidP="00F40E20">
      <w:pPr>
        <w:widowControl w:val="0"/>
        <w:autoSpaceDE w:val="0"/>
        <w:autoSpaceDN w:val="0"/>
        <w:adjustRightInd w:val="0"/>
        <w:spacing w:after="160"/>
        <w:ind w:left="640" w:hanging="640"/>
        <w:rPr>
          <w:rFonts w:ascii="Lora" w:eastAsiaTheme="minorHAnsi" w:hAnsi="Lora"/>
          <w:noProof/>
          <w:sz w:val="22"/>
          <w:lang w:eastAsia="en-US"/>
        </w:rPr>
      </w:pPr>
      <w:r w:rsidRPr="00F40E20">
        <w:rPr>
          <w:rFonts w:ascii="Lora" w:eastAsiaTheme="minorHAnsi" w:hAnsi="Lora" w:cstheme="minorBidi"/>
          <w:sz w:val="22"/>
          <w:szCs w:val="22"/>
          <w:lang w:eastAsia="en-US"/>
        </w:rPr>
        <w:fldChar w:fldCharType="begin" w:fldLock="1"/>
      </w:r>
      <w:r w:rsidRPr="00F40E20">
        <w:rPr>
          <w:rFonts w:ascii="Lora" w:eastAsiaTheme="minorHAnsi" w:hAnsi="Lora" w:cstheme="minorBidi"/>
          <w:sz w:val="22"/>
          <w:szCs w:val="22"/>
          <w:lang w:eastAsia="en-US"/>
        </w:rPr>
        <w:instrText xml:space="preserve">ADDIN Mendeley Bibliography CSL_BIBLIOGRAPHY </w:instrText>
      </w:r>
      <w:r w:rsidRPr="00F40E20">
        <w:rPr>
          <w:rFonts w:ascii="Lora" w:eastAsiaTheme="minorHAnsi" w:hAnsi="Lora" w:cstheme="minorBidi"/>
          <w:sz w:val="22"/>
          <w:szCs w:val="22"/>
          <w:lang w:eastAsia="en-US"/>
        </w:rPr>
        <w:fldChar w:fldCharType="separate"/>
      </w:r>
      <w:r w:rsidRPr="00F40E20">
        <w:rPr>
          <w:rFonts w:ascii="Lora" w:eastAsiaTheme="minorHAnsi" w:hAnsi="Lora"/>
          <w:noProof/>
          <w:sz w:val="22"/>
          <w:lang w:eastAsia="en-US"/>
        </w:rPr>
        <w:t>1.</w:t>
      </w:r>
      <w:r w:rsidRPr="00F40E20">
        <w:rPr>
          <w:rFonts w:ascii="Lora" w:eastAsiaTheme="minorHAnsi" w:hAnsi="Lora"/>
          <w:noProof/>
          <w:sz w:val="22"/>
          <w:lang w:eastAsia="en-US"/>
        </w:rPr>
        <w:tab/>
        <w:t xml:space="preserve">Burton, T. P. &amp; Callanan, A. A Non-woven Path: Electrospun Poly(lactic acid) Scaffolds for Kidney Tissue Engineering. </w:t>
      </w:r>
      <w:r w:rsidRPr="00F40E20">
        <w:rPr>
          <w:rFonts w:ascii="Lora" w:eastAsiaTheme="minorHAnsi" w:hAnsi="Lora"/>
          <w:i/>
          <w:iCs/>
          <w:noProof/>
          <w:sz w:val="22"/>
          <w:lang w:eastAsia="en-US"/>
        </w:rPr>
        <w:t>Tissue Eng. Regen. Med.</w:t>
      </w:r>
      <w:r w:rsidRPr="00F40E20">
        <w:rPr>
          <w:rFonts w:ascii="Lora" w:eastAsiaTheme="minorHAnsi" w:hAnsi="Lora"/>
          <w:noProof/>
          <w:sz w:val="22"/>
          <w:lang w:eastAsia="en-US"/>
        </w:rPr>
        <w:t xml:space="preserve"> </w:t>
      </w:r>
      <w:r w:rsidRPr="00F40E20">
        <w:rPr>
          <w:rFonts w:ascii="Lora" w:eastAsiaTheme="minorHAnsi" w:hAnsi="Lora"/>
          <w:b/>
          <w:bCs/>
          <w:noProof/>
          <w:sz w:val="22"/>
          <w:lang w:eastAsia="en-US"/>
        </w:rPr>
        <w:t>15,</w:t>
      </w:r>
      <w:r w:rsidRPr="00F40E20">
        <w:rPr>
          <w:rFonts w:ascii="Lora" w:eastAsiaTheme="minorHAnsi" w:hAnsi="Lora"/>
          <w:noProof/>
          <w:sz w:val="22"/>
          <w:lang w:eastAsia="en-US"/>
        </w:rPr>
        <w:t xml:space="preserve"> 301–310 (2018).</w:t>
      </w:r>
    </w:p>
    <w:p w:rsidR="00F40E20" w:rsidRPr="00F40E20" w:rsidRDefault="00F40E20" w:rsidP="00F40E20">
      <w:pPr>
        <w:widowControl w:val="0"/>
        <w:autoSpaceDE w:val="0"/>
        <w:autoSpaceDN w:val="0"/>
        <w:adjustRightInd w:val="0"/>
        <w:spacing w:after="160"/>
        <w:ind w:left="640" w:hanging="640"/>
        <w:rPr>
          <w:rFonts w:ascii="Lora" w:eastAsiaTheme="minorHAnsi" w:hAnsi="Lora"/>
          <w:noProof/>
          <w:sz w:val="22"/>
          <w:lang w:eastAsia="en-US"/>
        </w:rPr>
      </w:pPr>
      <w:r w:rsidRPr="00F40E20">
        <w:rPr>
          <w:rFonts w:ascii="Lora" w:eastAsiaTheme="minorHAnsi" w:hAnsi="Lora"/>
          <w:noProof/>
          <w:sz w:val="22"/>
          <w:lang w:eastAsia="en-US"/>
        </w:rPr>
        <w:t>2.</w:t>
      </w:r>
      <w:r w:rsidRPr="00F40E20">
        <w:rPr>
          <w:rFonts w:ascii="Lora" w:eastAsiaTheme="minorHAnsi" w:hAnsi="Lora"/>
          <w:noProof/>
          <w:sz w:val="22"/>
          <w:lang w:eastAsia="en-US"/>
        </w:rPr>
        <w:tab/>
        <w:t xml:space="preserve">Martins, A. F. </w:t>
      </w:r>
      <w:r w:rsidRPr="00F40E20">
        <w:rPr>
          <w:rFonts w:ascii="Lora" w:eastAsiaTheme="minorHAnsi" w:hAnsi="Lora"/>
          <w:i/>
          <w:iCs/>
          <w:noProof/>
          <w:sz w:val="22"/>
          <w:lang w:eastAsia="en-US"/>
        </w:rPr>
        <w:t>et al.</w:t>
      </w:r>
      <w:r w:rsidRPr="00F40E20">
        <w:rPr>
          <w:rFonts w:ascii="Lora" w:eastAsiaTheme="minorHAnsi" w:hAnsi="Lora"/>
          <w:noProof/>
          <w:sz w:val="22"/>
          <w:lang w:eastAsia="en-US"/>
        </w:rPr>
        <w:t xml:space="preserve"> Novel poly(</w:t>
      </w:r>
      <w:r w:rsidRPr="00F40E20">
        <w:rPr>
          <w:rFonts w:ascii="Cambria" w:eastAsiaTheme="minorHAnsi" w:hAnsi="Cambria" w:cs="Cambria"/>
          <w:noProof/>
          <w:sz w:val="22"/>
          <w:lang w:eastAsia="en-US"/>
        </w:rPr>
        <w:t>ε</w:t>
      </w:r>
      <w:r w:rsidRPr="00F40E20">
        <w:rPr>
          <w:rFonts w:ascii="Lora" w:eastAsiaTheme="minorHAnsi" w:hAnsi="Lora"/>
          <w:noProof/>
          <w:sz w:val="22"/>
          <w:lang w:eastAsia="en-US"/>
        </w:rPr>
        <w:t xml:space="preserve">-caprolactone)/amino-functionalized tannin electrospun membranes as scaffolds for tissue engineering. </w:t>
      </w:r>
      <w:r w:rsidRPr="00F40E20">
        <w:rPr>
          <w:rFonts w:ascii="Lora" w:eastAsiaTheme="minorHAnsi" w:hAnsi="Lora"/>
          <w:i/>
          <w:iCs/>
          <w:noProof/>
          <w:sz w:val="22"/>
          <w:lang w:eastAsia="en-US"/>
        </w:rPr>
        <w:t>J. Colloid Interface Sci.</w:t>
      </w:r>
      <w:r w:rsidRPr="00F40E20">
        <w:rPr>
          <w:rFonts w:ascii="Lora" w:eastAsiaTheme="minorHAnsi" w:hAnsi="Lora"/>
          <w:noProof/>
          <w:sz w:val="22"/>
          <w:lang w:eastAsia="en-US"/>
        </w:rPr>
        <w:t xml:space="preserve"> </w:t>
      </w:r>
      <w:r w:rsidRPr="00F40E20">
        <w:rPr>
          <w:rFonts w:ascii="Lora" w:eastAsiaTheme="minorHAnsi" w:hAnsi="Lora"/>
          <w:b/>
          <w:bCs/>
          <w:noProof/>
          <w:sz w:val="22"/>
          <w:lang w:eastAsia="en-US"/>
        </w:rPr>
        <w:t>525,</w:t>
      </w:r>
      <w:r w:rsidRPr="00F40E20">
        <w:rPr>
          <w:rFonts w:ascii="Lora" w:eastAsiaTheme="minorHAnsi" w:hAnsi="Lora"/>
          <w:noProof/>
          <w:sz w:val="22"/>
          <w:lang w:eastAsia="en-US"/>
        </w:rPr>
        <w:t xml:space="preserve"> 21–30 (2018).</w:t>
      </w:r>
    </w:p>
    <w:p w:rsidR="00F40E20" w:rsidRPr="00F40E20" w:rsidRDefault="00F40E20" w:rsidP="00F40E20">
      <w:pPr>
        <w:widowControl w:val="0"/>
        <w:autoSpaceDE w:val="0"/>
        <w:autoSpaceDN w:val="0"/>
        <w:adjustRightInd w:val="0"/>
        <w:spacing w:after="160"/>
        <w:ind w:left="640" w:hanging="640"/>
        <w:rPr>
          <w:rFonts w:ascii="Lora" w:eastAsiaTheme="minorHAnsi" w:hAnsi="Lora"/>
          <w:noProof/>
          <w:sz w:val="22"/>
          <w:lang w:eastAsia="en-US"/>
        </w:rPr>
      </w:pPr>
      <w:r w:rsidRPr="00F40E20">
        <w:rPr>
          <w:rFonts w:ascii="Lora" w:eastAsiaTheme="minorHAnsi" w:hAnsi="Lora"/>
          <w:noProof/>
          <w:sz w:val="22"/>
          <w:lang w:eastAsia="en-US"/>
        </w:rPr>
        <w:t>3.</w:t>
      </w:r>
      <w:r w:rsidRPr="00F40E20">
        <w:rPr>
          <w:rFonts w:ascii="Lora" w:eastAsiaTheme="minorHAnsi" w:hAnsi="Lora"/>
          <w:noProof/>
          <w:sz w:val="22"/>
          <w:lang w:eastAsia="en-US"/>
        </w:rPr>
        <w:tab/>
        <w:t xml:space="preserve">Hu, J. </w:t>
      </w:r>
      <w:r w:rsidRPr="00F40E20">
        <w:rPr>
          <w:rFonts w:ascii="Lora" w:eastAsiaTheme="minorHAnsi" w:hAnsi="Lora"/>
          <w:i/>
          <w:iCs/>
          <w:noProof/>
          <w:sz w:val="22"/>
          <w:lang w:eastAsia="en-US"/>
        </w:rPr>
        <w:t>et al.</w:t>
      </w:r>
      <w:r w:rsidRPr="00F40E20">
        <w:rPr>
          <w:rFonts w:ascii="Lora" w:eastAsiaTheme="minorHAnsi" w:hAnsi="Lora"/>
          <w:noProof/>
          <w:sz w:val="22"/>
          <w:lang w:eastAsia="en-US"/>
        </w:rPr>
        <w:t xml:space="preserve"> Electrospinning of poly(glycerol sebacate)-based nanofibers for nerve tissue engineering. </w:t>
      </w:r>
      <w:r w:rsidRPr="00F40E20">
        <w:rPr>
          <w:rFonts w:ascii="Lora" w:eastAsiaTheme="minorHAnsi" w:hAnsi="Lora"/>
          <w:i/>
          <w:iCs/>
          <w:noProof/>
          <w:sz w:val="22"/>
          <w:lang w:eastAsia="en-US"/>
        </w:rPr>
        <w:t>Mater. Sci. Eng. C</w:t>
      </w:r>
      <w:r w:rsidRPr="00F40E20">
        <w:rPr>
          <w:rFonts w:ascii="Lora" w:eastAsiaTheme="minorHAnsi" w:hAnsi="Lora"/>
          <w:noProof/>
          <w:sz w:val="22"/>
          <w:lang w:eastAsia="en-US"/>
        </w:rPr>
        <w:t xml:space="preserve"> </w:t>
      </w:r>
      <w:r w:rsidRPr="00F40E20">
        <w:rPr>
          <w:rFonts w:ascii="Lora" w:eastAsiaTheme="minorHAnsi" w:hAnsi="Lora"/>
          <w:b/>
          <w:bCs/>
          <w:noProof/>
          <w:sz w:val="22"/>
          <w:lang w:eastAsia="en-US"/>
        </w:rPr>
        <w:t>70,</w:t>
      </w:r>
      <w:r w:rsidRPr="00F40E20">
        <w:rPr>
          <w:rFonts w:ascii="Lora" w:eastAsiaTheme="minorHAnsi" w:hAnsi="Lora"/>
          <w:noProof/>
          <w:sz w:val="22"/>
          <w:lang w:eastAsia="en-US"/>
        </w:rPr>
        <w:t xml:space="preserve"> 1089–1094 (2017).</w:t>
      </w:r>
    </w:p>
    <w:p w:rsidR="00F40E20" w:rsidRPr="00F40E20" w:rsidRDefault="00F40E20" w:rsidP="00F40E20">
      <w:pPr>
        <w:widowControl w:val="0"/>
        <w:autoSpaceDE w:val="0"/>
        <w:autoSpaceDN w:val="0"/>
        <w:adjustRightInd w:val="0"/>
        <w:spacing w:after="160"/>
        <w:ind w:left="640" w:hanging="640"/>
        <w:rPr>
          <w:rFonts w:ascii="Lora" w:eastAsiaTheme="minorHAnsi" w:hAnsi="Lora"/>
          <w:noProof/>
          <w:sz w:val="22"/>
          <w:lang w:eastAsia="en-US"/>
        </w:rPr>
      </w:pPr>
      <w:r w:rsidRPr="00F40E20">
        <w:rPr>
          <w:rFonts w:ascii="Lora" w:eastAsiaTheme="minorHAnsi" w:hAnsi="Lora"/>
          <w:noProof/>
          <w:sz w:val="22"/>
          <w:lang w:eastAsia="en-US"/>
        </w:rPr>
        <w:t>4.</w:t>
      </w:r>
      <w:r w:rsidRPr="00F40E20">
        <w:rPr>
          <w:rFonts w:ascii="Lora" w:eastAsiaTheme="minorHAnsi" w:hAnsi="Lora"/>
          <w:noProof/>
          <w:sz w:val="22"/>
          <w:lang w:eastAsia="en-US"/>
        </w:rPr>
        <w:tab/>
        <w:t xml:space="preserve">Zhuravleva, M. </w:t>
      </w:r>
      <w:r w:rsidRPr="00F40E20">
        <w:rPr>
          <w:rFonts w:ascii="Lora" w:eastAsiaTheme="minorHAnsi" w:hAnsi="Lora"/>
          <w:i/>
          <w:iCs/>
          <w:noProof/>
          <w:sz w:val="22"/>
          <w:lang w:eastAsia="en-US"/>
        </w:rPr>
        <w:t>et al.</w:t>
      </w:r>
      <w:r w:rsidRPr="00F40E20">
        <w:rPr>
          <w:rFonts w:ascii="Lora" w:eastAsiaTheme="minorHAnsi" w:hAnsi="Lora"/>
          <w:noProof/>
          <w:sz w:val="22"/>
          <w:lang w:eastAsia="en-US"/>
        </w:rPr>
        <w:t xml:space="preserve"> </w:t>
      </w:r>
      <w:r w:rsidRPr="00F40E20">
        <w:rPr>
          <w:rFonts w:ascii="Lora" w:eastAsiaTheme="minorHAnsi" w:hAnsi="Lora"/>
          <w:i/>
          <w:iCs/>
          <w:noProof/>
          <w:sz w:val="22"/>
          <w:lang w:eastAsia="en-US"/>
        </w:rPr>
        <w:t>In vitro</w:t>
      </w:r>
      <w:r w:rsidRPr="00F40E20">
        <w:rPr>
          <w:rFonts w:ascii="Lora" w:eastAsiaTheme="minorHAnsi" w:hAnsi="Lora"/>
          <w:noProof/>
          <w:sz w:val="22"/>
          <w:lang w:eastAsia="en-US"/>
        </w:rPr>
        <w:t xml:space="preserve"> assessment of electrospun polyamide-6 scaffolds for esophageal tissue engineering. </w:t>
      </w:r>
      <w:r w:rsidRPr="00F40E20">
        <w:rPr>
          <w:rFonts w:ascii="Lora" w:eastAsiaTheme="minorHAnsi" w:hAnsi="Lora"/>
          <w:i/>
          <w:iCs/>
          <w:noProof/>
          <w:sz w:val="22"/>
          <w:lang w:eastAsia="en-US"/>
        </w:rPr>
        <w:t>J. Biomed. Mater. Res. Part B Appl. Biomater.</w:t>
      </w:r>
      <w:r w:rsidRPr="00F40E20">
        <w:rPr>
          <w:rFonts w:ascii="Lora" w:eastAsiaTheme="minorHAnsi" w:hAnsi="Lora"/>
          <w:noProof/>
          <w:sz w:val="22"/>
          <w:lang w:eastAsia="en-US"/>
        </w:rPr>
        <w:t xml:space="preserve"> </w:t>
      </w:r>
      <w:r w:rsidRPr="00F40E20">
        <w:rPr>
          <w:rFonts w:ascii="Lora" w:eastAsiaTheme="minorHAnsi" w:hAnsi="Lora"/>
          <w:b/>
          <w:bCs/>
          <w:noProof/>
          <w:sz w:val="22"/>
          <w:lang w:eastAsia="en-US"/>
        </w:rPr>
        <w:t>107,</w:t>
      </w:r>
      <w:r w:rsidRPr="00F40E20">
        <w:rPr>
          <w:rFonts w:ascii="Lora" w:eastAsiaTheme="minorHAnsi" w:hAnsi="Lora"/>
          <w:noProof/>
          <w:sz w:val="22"/>
          <w:lang w:eastAsia="en-US"/>
        </w:rPr>
        <w:t xml:space="preserve"> 253–268 (2019).</w:t>
      </w:r>
    </w:p>
    <w:p w:rsidR="00F40E20" w:rsidRPr="00F40E20" w:rsidRDefault="00F40E20" w:rsidP="00F40E20">
      <w:pPr>
        <w:widowControl w:val="0"/>
        <w:autoSpaceDE w:val="0"/>
        <w:autoSpaceDN w:val="0"/>
        <w:adjustRightInd w:val="0"/>
        <w:spacing w:after="160"/>
        <w:ind w:left="640" w:hanging="640"/>
        <w:rPr>
          <w:rFonts w:ascii="Lora" w:eastAsiaTheme="minorHAnsi" w:hAnsi="Lora"/>
          <w:noProof/>
          <w:sz w:val="22"/>
          <w:lang w:eastAsia="en-US"/>
        </w:rPr>
      </w:pPr>
      <w:r w:rsidRPr="00F40E20">
        <w:rPr>
          <w:rFonts w:ascii="Lora" w:eastAsiaTheme="minorHAnsi" w:hAnsi="Lora"/>
          <w:noProof/>
          <w:sz w:val="22"/>
          <w:lang w:eastAsia="en-US"/>
        </w:rPr>
        <w:t>5.</w:t>
      </w:r>
      <w:r w:rsidRPr="00F40E20">
        <w:rPr>
          <w:rFonts w:ascii="Lora" w:eastAsiaTheme="minorHAnsi" w:hAnsi="Lora"/>
          <w:noProof/>
          <w:sz w:val="22"/>
          <w:lang w:eastAsia="en-US"/>
        </w:rPr>
        <w:tab/>
        <w:t xml:space="preserve">Grant, R., Hallett, J., Forbes, S., Hay, D. &amp; Callanan, A. Blended electrospinning with human liver extracellular matrix for engineering new hepatic microenvironments. </w:t>
      </w:r>
      <w:r w:rsidRPr="00F40E20">
        <w:rPr>
          <w:rFonts w:ascii="Lora" w:eastAsiaTheme="minorHAnsi" w:hAnsi="Lora"/>
          <w:i/>
          <w:iCs/>
          <w:noProof/>
          <w:sz w:val="22"/>
          <w:lang w:eastAsia="en-US"/>
        </w:rPr>
        <w:t>Sci. Rep.</w:t>
      </w:r>
      <w:r w:rsidRPr="00F40E20">
        <w:rPr>
          <w:rFonts w:ascii="Lora" w:eastAsiaTheme="minorHAnsi" w:hAnsi="Lora"/>
          <w:noProof/>
          <w:sz w:val="22"/>
          <w:lang w:eastAsia="en-US"/>
        </w:rPr>
        <w:t xml:space="preserve"> </w:t>
      </w:r>
      <w:r w:rsidRPr="00F40E20">
        <w:rPr>
          <w:rFonts w:ascii="Lora" w:eastAsiaTheme="minorHAnsi" w:hAnsi="Lora"/>
          <w:b/>
          <w:bCs/>
          <w:noProof/>
          <w:sz w:val="22"/>
          <w:lang w:eastAsia="en-US"/>
        </w:rPr>
        <w:t>9,</w:t>
      </w:r>
      <w:r w:rsidRPr="00F40E20">
        <w:rPr>
          <w:rFonts w:ascii="Lora" w:eastAsiaTheme="minorHAnsi" w:hAnsi="Lora"/>
          <w:noProof/>
          <w:sz w:val="22"/>
          <w:lang w:eastAsia="en-US"/>
        </w:rPr>
        <w:t xml:space="preserve"> (2019).</w:t>
      </w:r>
    </w:p>
    <w:p w:rsidR="00F40E20" w:rsidRPr="00F40E20" w:rsidRDefault="00F40E20" w:rsidP="00F40E20">
      <w:pPr>
        <w:widowControl w:val="0"/>
        <w:autoSpaceDE w:val="0"/>
        <w:autoSpaceDN w:val="0"/>
        <w:adjustRightInd w:val="0"/>
        <w:spacing w:after="160"/>
        <w:ind w:left="640" w:hanging="640"/>
        <w:rPr>
          <w:rFonts w:ascii="Lora" w:eastAsiaTheme="minorHAnsi" w:hAnsi="Lora"/>
          <w:noProof/>
          <w:sz w:val="22"/>
          <w:lang w:eastAsia="en-US"/>
        </w:rPr>
      </w:pPr>
      <w:r w:rsidRPr="00F40E20">
        <w:rPr>
          <w:rFonts w:ascii="Lora" w:eastAsiaTheme="minorHAnsi" w:hAnsi="Lora"/>
          <w:noProof/>
          <w:sz w:val="22"/>
          <w:lang w:eastAsia="en-US"/>
        </w:rPr>
        <w:t>6.</w:t>
      </w:r>
      <w:r w:rsidRPr="00F40E20">
        <w:rPr>
          <w:rFonts w:ascii="Lora" w:eastAsiaTheme="minorHAnsi" w:hAnsi="Lora"/>
          <w:noProof/>
          <w:sz w:val="22"/>
          <w:lang w:eastAsia="en-US"/>
        </w:rPr>
        <w:tab/>
        <w:t xml:space="preserve">Munir, N., McDonald, A. &amp; Callanan, A. A combinatorial approach: Cryo-printing </w:t>
      </w:r>
      <w:r w:rsidRPr="00F40E20">
        <w:rPr>
          <w:rFonts w:ascii="Lora" w:eastAsiaTheme="minorHAnsi" w:hAnsi="Lora"/>
          <w:noProof/>
          <w:sz w:val="22"/>
          <w:lang w:eastAsia="en-US"/>
        </w:rPr>
        <w:lastRenderedPageBreak/>
        <w:t xml:space="preserve">and electrospinning hybrid scaffolds for cartilage tissue engineering. </w:t>
      </w:r>
      <w:r w:rsidRPr="00F40E20">
        <w:rPr>
          <w:rFonts w:ascii="Lora" w:eastAsiaTheme="minorHAnsi" w:hAnsi="Lora"/>
          <w:i/>
          <w:iCs/>
          <w:noProof/>
          <w:sz w:val="22"/>
          <w:lang w:eastAsia="en-US"/>
        </w:rPr>
        <w:t>Bioprinting</w:t>
      </w:r>
      <w:r w:rsidRPr="00F40E20">
        <w:rPr>
          <w:rFonts w:ascii="Lora" w:eastAsiaTheme="minorHAnsi" w:hAnsi="Lora"/>
          <w:noProof/>
          <w:sz w:val="22"/>
          <w:lang w:eastAsia="en-US"/>
        </w:rPr>
        <w:t xml:space="preserve"> </w:t>
      </w:r>
      <w:r w:rsidRPr="00F40E20">
        <w:rPr>
          <w:rFonts w:ascii="Lora" w:eastAsiaTheme="minorHAnsi" w:hAnsi="Lora"/>
          <w:b/>
          <w:bCs/>
          <w:noProof/>
          <w:sz w:val="22"/>
          <w:lang w:eastAsia="en-US"/>
        </w:rPr>
        <w:t>16,</w:t>
      </w:r>
      <w:r w:rsidRPr="00F40E20">
        <w:rPr>
          <w:rFonts w:ascii="Lora" w:eastAsiaTheme="minorHAnsi" w:hAnsi="Lora"/>
          <w:noProof/>
          <w:sz w:val="22"/>
          <w:lang w:eastAsia="en-US"/>
        </w:rPr>
        <w:t xml:space="preserve"> (2019).</w:t>
      </w:r>
    </w:p>
    <w:p w:rsidR="00F40E20" w:rsidRPr="00F40E20" w:rsidRDefault="00F40E20" w:rsidP="00F40E20">
      <w:pPr>
        <w:widowControl w:val="0"/>
        <w:autoSpaceDE w:val="0"/>
        <w:autoSpaceDN w:val="0"/>
        <w:adjustRightInd w:val="0"/>
        <w:spacing w:after="160"/>
        <w:ind w:left="640" w:hanging="640"/>
        <w:rPr>
          <w:rFonts w:ascii="Lora" w:eastAsiaTheme="minorHAnsi" w:hAnsi="Lora" w:cstheme="minorBidi"/>
          <w:noProof/>
          <w:sz w:val="22"/>
          <w:szCs w:val="22"/>
          <w:lang w:eastAsia="en-US"/>
        </w:rPr>
      </w:pPr>
      <w:r w:rsidRPr="00F40E20">
        <w:rPr>
          <w:rFonts w:ascii="Lora" w:eastAsiaTheme="minorHAnsi" w:hAnsi="Lora"/>
          <w:noProof/>
          <w:sz w:val="22"/>
          <w:lang w:eastAsia="en-US"/>
        </w:rPr>
        <w:t>7.</w:t>
      </w:r>
      <w:r w:rsidRPr="00F40E20">
        <w:rPr>
          <w:rFonts w:ascii="Lora" w:eastAsiaTheme="minorHAnsi" w:hAnsi="Lora"/>
          <w:noProof/>
          <w:sz w:val="22"/>
          <w:lang w:eastAsia="en-US"/>
        </w:rPr>
        <w:tab/>
        <w:t xml:space="preserve">Reid, J. A. &amp; Callanan, A. Influence of aorta extracellular matrix in electrospun polycaprolactone scaffolds. </w:t>
      </w:r>
      <w:r w:rsidRPr="00F40E20">
        <w:rPr>
          <w:rFonts w:ascii="Lora" w:eastAsiaTheme="minorHAnsi" w:hAnsi="Lora"/>
          <w:i/>
          <w:iCs/>
          <w:noProof/>
          <w:sz w:val="22"/>
          <w:lang w:eastAsia="en-US"/>
        </w:rPr>
        <w:t>J. Appl. Polym. Sci.</w:t>
      </w:r>
      <w:r w:rsidRPr="00F40E20">
        <w:rPr>
          <w:rFonts w:ascii="Lora" w:eastAsiaTheme="minorHAnsi" w:hAnsi="Lora"/>
          <w:noProof/>
          <w:sz w:val="22"/>
          <w:lang w:eastAsia="en-US"/>
        </w:rPr>
        <w:t xml:space="preserve"> </w:t>
      </w:r>
      <w:r w:rsidRPr="00F40E20">
        <w:rPr>
          <w:rFonts w:ascii="Lora" w:eastAsiaTheme="minorHAnsi" w:hAnsi="Lora"/>
          <w:b/>
          <w:bCs/>
          <w:noProof/>
          <w:sz w:val="22"/>
          <w:lang w:eastAsia="en-US"/>
        </w:rPr>
        <w:t>136,</w:t>
      </w:r>
      <w:r w:rsidRPr="00F40E20">
        <w:rPr>
          <w:rFonts w:ascii="Lora" w:eastAsiaTheme="minorHAnsi" w:hAnsi="Lora"/>
          <w:noProof/>
          <w:sz w:val="22"/>
          <w:lang w:eastAsia="en-US"/>
        </w:rPr>
        <w:t xml:space="preserve"> 48181 (2019).</w:t>
      </w:r>
    </w:p>
    <w:p w:rsidR="00F40E20" w:rsidRPr="00F40E20" w:rsidRDefault="00F40E20" w:rsidP="00F40E20">
      <w:pPr>
        <w:spacing w:after="160" w:line="259" w:lineRule="auto"/>
        <w:jc w:val="both"/>
        <w:rPr>
          <w:rFonts w:ascii="Lora" w:eastAsiaTheme="minorHAnsi" w:hAnsi="Lora" w:cstheme="minorBidi"/>
          <w:sz w:val="22"/>
          <w:szCs w:val="22"/>
          <w:lang w:eastAsia="en-US"/>
        </w:rPr>
      </w:pPr>
      <w:r w:rsidRPr="00F40E20">
        <w:rPr>
          <w:rFonts w:ascii="Lora" w:eastAsiaTheme="minorHAnsi" w:hAnsi="Lora" w:cstheme="minorBidi"/>
          <w:sz w:val="22"/>
          <w:szCs w:val="22"/>
          <w:lang w:eastAsia="en-US"/>
        </w:rPr>
        <w:fldChar w:fldCharType="end"/>
      </w:r>
      <w:r w:rsidRPr="00F40E20">
        <w:rPr>
          <w:rFonts w:ascii="Lora" w:eastAsiaTheme="minorHAnsi" w:hAnsi="Lora" w:cstheme="minorBidi"/>
          <w:sz w:val="22"/>
          <w:szCs w:val="22"/>
          <w:lang w:eastAsia="en-US"/>
        </w:rPr>
        <w:t xml:space="preserve">      </w:t>
      </w:r>
    </w:p>
    <w:p w:rsidR="00F40E20" w:rsidRDefault="00F40E20"/>
    <w:sectPr w:rsidR="00F40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ora">
    <w:panose1 w:val="02000503000000020004"/>
    <w:charset w:val="00"/>
    <w:family w:val="auto"/>
    <w:pitch w:val="variable"/>
    <w:sig w:usb0="800002A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1E5"/>
    <w:rsid w:val="000C7BD7"/>
    <w:rsid w:val="000D01E5"/>
    <w:rsid w:val="00160244"/>
    <w:rsid w:val="002555D3"/>
    <w:rsid w:val="00341295"/>
    <w:rsid w:val="005063DD"/>
    <w:rsid w:val="00555F1E"/>
    <w:rsid w:val="00567904"/>
    <w:rsid w:val="005D52F7"/>
    <w:rsid w:val="00680EC3"/>
    <w:rsid w:val="00D0335D"/>
    <w:rsid w:val="00DE4AA8"/>
    <w:rsid w:val="00F2781D"/>
    <w:rsid w:val="00F40E20"/>
    <w:rsid w:val="00F47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BC89"/>
  <w15:chartTrackingRefBased/>
  <w15:docId w15:val="{6C4DD8B4-34A1-4FA2-B96E-AB0DE1DA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1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01E5"/>
    <w:pPr>
      <w:tabs>
        <w:tab w:val="center" w:pos="4153"/>
        <w:tab w:val="right" w:pos="8306"/>
      </w:tabs>
    </w:pPr>
  </w:style>
  <w:style w:type="character" w:customStyle="1" w:styleId="HeaderChar">
    <w:name w:val="Header Char"/>
    <w:basedOn w:val="DefaultParagraphFont"/>
    <w:link w:val="Header"/>
    <w:rsid w:val="000D01E5"/>
    <w:rPr>
      <w:rFonts w:ascii="Times New Roman" w:eastAsia="Times New Roman" w:hAnsi="Times New Roman" w:cs="Times New Roman"/>
      <w:sz w:val="24"/>
      <w:szCs w:val="24"/>
      <w:lang w:eastAsia="en-GB"/>
    </w:rPr>
  </w:style>
  <w:style w:type="paragraph" w:styleId="Date">
    <w:name w:val="Date"/>
    <w:basedOn w:val="Normal"/>
    <w:next w:val="Normal"/>
    <w:link w:val="DateChar"/>
    <w:rsid w:val="000D01E5"/>
    <w:pPr>
      <w:spacing w:after="220"/>
      <w:jc w:val="both"/>
    </w:pPr>
    <w:rPr>
      <w:rFonts w:ascii="Arial" w:eastAsia="MS Mincho" w:hAnsi="Arial"/>
      <w:kern w:val="18"/>
      <w:sz w:val="22"/>
      <w:szCs w:val="20"/>
      <w:lang w:eastAsia="en-US"/>
    </w:rPr>
  </w:style>
  <w:style w:type="character" w:customStyle="1" w:styleId="DateChar">
    <w:name w:val="Date Char"/>
    <w:basedOn w:val="DefaultParagraphFont"/>
    <w:link w:val="Date"/>
    <w:rsid w:val="000D01E5"/>
    <w:rPr>
      <w:rFonts w:ascii="Arial" w:eastAsia="MS Mincho" w:hAnsi="Arial" w:cs="Times New Roman"/>
      <w:kern w:val="18"/>
      <w:szCs w:val="20"/>
    </w:rPr>
  </w:style>
  <w:style w:type="paragraph" w:styleId="Title">
    <w:name w:val="Title"/>
    <w:basedOn w:val="Normal"/>
    <w:link w:val="TitleChar"/>
    <w:qFormat/>
    <w:rsid w:val="000D01E5"/>
    <w:pPr>
      <w:jc w:val="center"/>
    </w:pPr>
    <w:rPr>
      <w:b/>
      <w:sz w:val="20"/>
      <w:szCs w:val="20"/>
      <w:lang w:val="en-US" w:eastAsia="en-US"/>
    </w:rPr>
  </w:style>
  <w:style w:type="character" w:customStyle="1" w:styleId="TitleChar">
    <w:name w:val="Title Char"/>
    <w:basedOn w:val="DefaultParagraphFont"/>
    <w:link w:val="Title"/>
    <w:rsid w:val="000D01E5"/>
    <w:rPr>
      <w:rFonts w:ascii="Times New Roman" w:eastAsia="Times New Roma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Jamie</dc:creator>
  <cp:keywords/>
  <dc:description/>
  <cp:lastModifiedBy>BATE Thomas</cp:lastModifiedBy>
  <cp:revision>5</cp:revision>
  <dcterms:created xsi:type="dcterms:W3CDTF">2020-01-28T18:38:00Z</dcterms:created>
  <dcterms:modified xsi:type="dcterms:W3CDTF">2020-01-28T18:48:00Z</dcterms:modified>
</cp:coreProperties>
</file>