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ECD" w:rsidRDefault="00323ECD" w:rsidP="00323ECD">
      <w:r>
        <w:rPr>
          <w:noProof/>
        </w:rPr>
        <w:drawing>
          <wp:inline distT="0" distB="0" distL="0" distR="0" wp14:anchorId="046C8FA6" wp14:editId="1AC8B8D6">
            <wp:extent cx="5943600" cy="2192655"/>
            <wp:effectExtent l="0" t="0" r="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ECD" w:rsidRPr="00323ECD" w:rsidRDefault="00323ECD" w:rsidP="00323ECD">
      <w:pPr>
        <w:rPr>
          <w:b w:val="0"/>
          <w:bCs w:val="0"/>
        </w:rPr>
      </w:pPr>
      <w:r>
        <w:t>Supplemental Figure 1</w:t>
      </w:r>
      <w:r>
        <w:rPr>
          <w:b w:val="0"/>
          <w:bCs w:val="0"/>
        </w:rPr>
        <w:t xml:space="preserve">. </w:t>
      </w:r>
      <w:proofErr w:type="spellStart"/>
      <w:r>
        <w:rPr>
          <w:b w:val="0"/>
          <w:bCs w:val="0"/>
        </w:rPr>
        <w:t>Monodispersity</w:t>
      </w:r>
      <w:proofErr w:type="spellEnd"/>
      <w:r>
        <w:rPr>
          <w:b w:val="0"/>
          <w:bCs w:val="0"/>
        </w:rPr>
        <w:t xml:space="preserve"> characterization of drops produced by device A. (A) Representative micrograph of collected emulsion. Scale bar 1000 um. (B) Histogram of drop diameters based on drops shown in (A). </w:t>
      </w:r>
      <w:bookmarkStart w:id="0" w:name="_GoBack"/>
      <w:bookmarkEnd w:id="0"/>
    </w:p>
    <w:p w:rsidR="00323ECD" w:rsidRDefault="00323ECD" w:rsidP="00323ECD"/>
    <w:p w:rsidR="00323ECD" w:rsidRDefault="00323ECD" w:rsidP="00323ECD"/>
    <w:p w:rsidR="00E10B8A" w:rsidRDefault="00323ECD" w:rsidP="00323ECD">
      <w:r w:rsidRPr="00323ECD">
        <w:rPr>
          <w:noProof/>
        </w:rPr>
        <w:drawing>
          <wp:inline distT="0" distB="0" distL="0" distR="0">
            <wp:extent cx="4095818" cy="3067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73" cy="306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ECD" w:rsidRPr="00323ECD" w:rsidRDefault="00323ECD" w:rsidP="00323ECD">
      <w:pPr>
        <w:rPr>
          <w:b w:val="0"/>
          <w:bCs w:val="0"/>
        </w:rPr>
      </w:pPr>
      <w:r>
        <w:t>Supplemental Figure 2.</w:t>
      </w:r>
      <w:r>
        <w:rPr>
          <w:b w:val="0"/>
          <w:bCs w:val="0"/>
        </w:rPr>
        <w:t xml:space="preserve"> Relationship between single and double encapsulation frequency for several different lambda values, given that bead loading into droplets follows Poisson statistics. </w:t>
      </w:r>
    </w:p>
    <w:sectPr w:rsidR="00323ECD" w:rsidRPr="00323E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ECD"/>
    <w:rsid w:val="00323ECD"/>
    <w:rsid w:val="00E1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13900"/>
  <w15:chartTrackingRefBased/>
  <w15:docId w15:val="{3C52A913-FEEC-4404-A36F-06384A644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ECD"/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Zhang</dc:creator>
  <cp:keywords/>
  <dc:description/>
  <cp:lastModifiedBy>Jesse Zhang</cp:lastModifiedBy>
  <cp:revision>1</cp:revision>
  <dcterms:created xsi:type="dcterms:W3CDTF">2020-01-22T23:39:00Z</dcterms:created>
  <dcterms:modified xsi:type="dcterms:W3CDTF">2020-01-22T23:45:00Z</dcterms:modified>
</cp:coreProperties>
</file>