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5EDCC" w14:textId="3527558D" w:rsidR="002A29F7" w:rsidRDefault="002A29F7" w:rsidP="002F1AFC">
      <w:pPr>
        <w:jc w:val="both"/>
      </w:pPr>
      <w:r>
        <w:t>Dear Editor,</w:t>
      </w:r>
    </w:p>
    <w:p w14:paraId="4109DA43" w14:textId="32072697" w:rsidR="002A29F7" w:rsidRDefault="002A29F7" w:rsidP="002F1AFC">
      <w:pPr>
        <w:jc w:val="both"/>
      </w:pPr>
    </w:p>
    <w:p w14:paraId="0F98BE0A" w14:textId="77777777" w:rsidR="00230CFB" w:rsidRDefault="002A29F7" w:rsidP="00230CFB">
      <w:pPr>
        <w:rPr>
          <w:rFonts w:cstheme="minorHAnsi"/>
          <w:color w:val="000000" w:themeColor="text1"/>
        </w:rPr>
      </w:pPr>
      <w:r>
        <w:t xml:space="preserve">Please find </w:t>
      </w:r>
      <w:r w:rsidR="00230CFB">
        <w:t>enclosed our rebuttal letter for our manuscript: “</w:t>
      </w:r>
      <w:r w:rsidR="00230CFB" w:rsidRPr="008D670B">
        <w:rPr>
          <w:rFonts w:cstheme="minorHAnsi"/>
          <w:color w:val="000000" w:themeColor="text1"/>
        </w:rPr>
        <w:t xml:space="preserve">Characterisation of amyloid structures in aging </w:t>
      </w:r>
      <w:r w:rsidR="00230CFB" w:rsidRPr="00E740FB">
        <w:rPr>
          <w:rFonts w:cstheme="minorHAnsi"/>
          <w:i/>
          <w:color w:val="000000" w:themeColor="text1"/>
        </w:rPr>
        <w:t xml:space="preserve">C. </w:t>
      </w:r>
      <w:proofErr w:type="spellStart"/>
      <w:r w:rsidR="00230CFB" w:rsidRPr="00E740FB">
        <w:rPr>
          <w:rFonts w:cstheme="minorHAnsi"/>
          <w:i/>
          <w:color w:val="000000" w:themeColor="text1"/>
        </w:rPr>
        <w:t>elegans</w:t>
      </w:r>
      <w:proofErr w:type="spellEnd"/>
      <w:r w:rsidR="00230CFB" w:rsidRPr="008D670B">
        <w:rPr>
          <w:rFonts w:cstheme="minorHAnsi"/>
          <w:color w:val="000000" w:themeColor="text1"/>
        </w:rPr>
        <w:t xml:space="preserve"> using fluorescen</w:t>
      </w:r>
      <w:r w:rsidR="00230CFB">
        <w:rPr>
          <w:rFonts w:cstheme="minorHAnsi"/>
          <w:color w:val="000000" w:themeColor="text1"/>
        </w:rPr>
        <w:t>ce</w:t>
      </w:r>
      <w:r w:rsidR="00230CFB" w:rsidRPr="008D670B">
        <w:rPr>
          <w:rFonts w:cstheme="minorHAnsi"/>
          <w:color w:val="000000" w:themeColor="text1"/>
        </w:rPr>
        <w:t xml:space="preserve"> lifetime imaging</w:t>
      </w:r>
      <w:r w:rsidR="00230CFB">
        <w:rPr>
          <w:rFonts w:cstheme="minorHAnsi"/>
          <w:color w:val="000000" w:themeColor="text1"/>
        </w:rPr>
        <w:t>”</w:t>
      </w:r>
    </w:p>
    <w:p w14:paraId="4E720AB1" w14:textId="77777777" w:rsidR="00230CFB" w:rsidRDefault="00230CFB" w:rsidP="00230CFB">
      <w:pPr>
        <w:rPr>
          <w:rFonts w:cstheme="minorHAnsi"/>
          <w:color w:val="000000" w:themeColor="text1"/>
        </w:rPr>
      </w:pPr>
    </w:p>
    <w:p w14:paraId="5585A0C0" w14:textId="680C18B2" w:rsidR="00230CFB" w:rsidRPr="00230CFB" w:rsidRDefault="00230CFB" w:rsidP="00230CFB">
      <w:pPr>
        <w:rPr>
          <w:rFonts w:cstheme="minorHAnsi"/>
          <w:color w:val="000000" w:themeColor="text1"/>
          <w:lang w:val="de-DE"/>
        </w:rPr>
      </w:pPr>
      <w:proofErr w:type="spellStart"/>
      <w:r w:rsidRPr="00230CFB">
        <w:rPr>
          <w:rFonts w:cstheme="minorHAnsi"/>
          <w:color w:val="000000" w:themeColor="text1"/>
          <w:lang w:val="de-DE"/>
        </w:rPr>
        <w:t>By</w:t>
      </w:r>
      <w:proofErr w:type="spellEnd"/>
      <w:r w:rsidRPr="00230CFB">
        <w:rPr>
          <w:rFonts w:cstheme="minorHAnsi"/>
          <w:color w:val="000000" w:themeColor="text1"/>
          <w:lang w:val="de-DE"/>
        </w:rPr>
        <w:t xml:space="preserve"> </w:t>
      </w:r>
      <w:proofErr w:type="spellStart"/>
      <w:r w:rsidRPr="00251581">
        <w:rPr>
          <w:rFonts w:cstheme="minorHAnsi"/>
          <w:color w:val="000000" w:themeColor="text1"/>
          <w:lang w:val="de-DE"/>
        </w:rPr>
        <w:t>Pigazzini</w:t>
      </w:r>
      <w:proofErr w:type="spellEnd"/>
      <w:r>
        <w:rPr>
          <w:rFonts w:cstheme="minorHAnsi"/>
          <w:color w:val="000000" w:themeColor="text1"/>
          <w:lang w:val="de-DE"/>
        </w:rPr>
        <w:t xml:space="preserve"> ML</w:t>
      </w:r>
      <w:r w:rsidRPr="00251581">
        <w:rPr>
          <w:rFonts w:cstheme="minorHAnsi"/>
          <w:color w:val="000000" w:themeColor="text1"/>
          <w:vertAlign w:val="superscript"/>
          <w:lang w:val="de-DE"/>
        </w:rPr>
        <w:t>*</w:t>
      </w:r>
      <w:r>
        <w:rPr>
          <w:rFonts w:cstheme="minorHAnsi"/>
          <w:color w:val="000000" w:themeColor="text1"/>
          <w:lang w:val="de-DE"/>
        </w:rPr>
        <w:t xml:space="preserve">, </w:t>
      </w:r>
      <w:proofErr w:type="spellStart"/>
      <w:r w:rsidRPr="00251581">
        <w:rPr>
          <w:rFonts w:cstheme="minorHAnsi"/>
          <w:color w:val="000000" w:themeColor="text1"/>
          <w:lang w:val="de-DE"/>
        </w:rPr>
        <w:t>Gallrein</w:t>
      </w:r>
      <w:proofErr w:type="spellEnd"/>
      <w:r>
        <w:rPr>
          <w:rFonts w:cstheme="minorHAnsi"/>
          <w:color w:val="000000" w:themeColor="text1"/>
          <w:lang w:val="de-DE"/>
        </w:rPr>
        <w:t xml:space="preserve"> G</w:t>
      </w:r>
      <w:r w:rsidRPr="00251581">
        <w:rPr>
          <w:rFonts w:cstheme="minorHAnsi"/>
          <w:color w:val="000000" w:themeColor="text1"/>
          <w:vertAlign w:val="superscript"/>
          <w:lang w:val="de-DE"/>
        </w:rPr>
        <w:t>*</w:t>
      </w:r>
      <w:r w:rsidRPr="00251581">
        <w:rPr>
          <w:rFonts w:cstheme="minorHAnsi"/>
          <w:color w:val="000000" w:themeColor="text1"/>
          <w:lang w:val="de-DE"/>
        </w:rPr>
        <w:t xml:space="preserve">, </w:t>
      </w:r>
      <w:proofErr w:type="spellStart"/>
      <w:r w:rsidRPr="00251581">
        <w:rPr>
          <w:rFonts w:cstheme="minorHAnsi"/>
          <w:color w:val="000000" w:themeColor="text1"/>
          <w:lang w:val="de-DE"/>
        </w:rPr>
        <w:t>Iburg</w:t>
      </w:r>
      <w:proofErr w:type="spellEnd"/>
      <w:r>
        <w:rPr>
          <w:rFonts w:cstheme="minorHAnsi"/>
          <w:color w:val="000000" w:themeColor="text1"/>
          <w:lang w:val="de-DE"/>
        </w:rPr>
        <w:t xml:space="preserve"> M</w:t>
      </w:r>
      <w:r w:rsidRPr="00251581">
        <w:rPr>
          <w:rFonts w:cstheme="minorHAnsi"/>
          <w:color w:val="000000" w:themeColor="text1"/>
          <w:lang w:val="de-DE"/>
        </w:rPr>
        <w:t xml:space="preserve">, Kaminski </w:t>
      </w:r>
      <w:proofErr w:type="spellStart"/>
      <w:r w:rsidRPr="00251581">
        <w:rPr>
          <w:rFonts w:cstheme="minorHAnsi"/>
          <w:color w:val="000000" w:themeColor="text1"/>
          <w:lang w:val="de-DE"/>
        </w:rPr>
        <w:t>Schierle</w:t>
      </w:r>
      <w:proofErr w:type="spellEnd"/>
      <w:r>
        <w:rPr>
          <w:rFonts w:cstheme="minorHAnsi"/>
          <w:color w:val="000000" w:themeColor="text1"/>
          <w:vertAlign w:val="superscript"/>
          <w:lang w:val="de-DE"/>
        </w:rPr>
        <w:t xml:space="preserve"> </w:t>
      </w:r>
      <w:r>
        <w:rPr>
          <w:rFonts w:cstheme="minorHAnsi"/>
          <w:color w:val="000000" w:themeColor="text1"/>
          <w:lang w:val="de-DE"/>
        </w:rPr>
        <w:t>G</w:t>
      </w:r>
      <w:r w:rsidRPr="00251581">
        <w:rPr>
          <w:rFonts w:cstheme="minorHAnsi"/>
          <w:color w:val="000000" w:themeColor="text1"/>
          <w:lang w:val="de-DE"/>
        </w:rPr>
        <w:t xml:space="preserve"> &amp; Kirstein</w:t>
      </w:r>
      <w:r>
        <w:rPr>
          <w:rFonts w:cstheme="minorHAnsi"/>
          <w:color w:val="000000" w:themeColor="text1"/>
          <w:lang w:val="de-DE"/>
        </w:rPr>
        <w:t xml:space="preserve"> J</w:t>
      </w:r>
    </w:p>
    <w:p w14:paraId="66B9EF99" w14:textId="3578B3DB" w:rsidR="001D7190" w:rsidRDefault="00230CFB" w:rsidP="00230CFB">
      <w:pPr>
        <w:rPr>
          <w:rFonts w:cstheme="minorHAnsi"/>
          <w:color w:val="000000" w:themeColor="text1"/>
          <w:lang w:val="de-DE"/>
        </w:rPr>
      </w:pPr>
      <w:r w:rsidRPr="00230CFB">
        <w:rPr>
          <w:rFonts w:cstheme="minorHAnsi"/>
          <w:color w:val="000000" w:themeColor="text1"/>
          <w:lang w:val="de-DE"/>
        </w:rPr>
        <w:t xml:space="preserve"> </w:t>
      </w:r>
    </w:p>
    <w:p w14:paraId="7298B95D" w14:textId="77777777" w:rsidR="00230CFB" w:rsidRPr="00230CFB" w:rsidRDefault="00230CFB" w:rsidP="00230CFB">
      <w:pPr>
        <w:rPr>
          <w:rFonts w:cstheme="minorHAnsi"/>
          <w:color w:val="000000" w:themeColor="text1"/>
          <w:lang w:val="de-DE"/>
        </w:rPr>
      </w:pPr>
    </w:p>
    <w:p w14:paraId="08A529EA" w14:textId="16A7BDF2" w:rsidR="001D7190" w:rsidRDefault="002F1AFC" w:rsidP="002F1AFC">
      <w:pPr>
        <w:jc w:val="both"/>
      </w:pPr>
      <w:r>
        <w:t>We would like to acknowledge the time and constructive criticism of the reviewers and editor. In the rebuttal letter we list each comment of the editor and both reviewers and add underneath in red our response.</w:t>
      </w:r>
    </w:p>
    <w:p w14:paraId="11F17A22" w14:textId="77E71608" w:rsidR="002F1AFC" w:rsidRDefault="002F1AFC" w:rsidP="002F1AFC">
      <w:pPr>
        <w:jc w:val="both"/>
      </w:pPr>
    </w:p>
    <w:p w14:paraId="77452D22" w14:textId="77777777" w:rsidR="002F1AFC" w:rsidRDefault="002F1AFC" w:rsidP="002F1AFC">
      <w:pPr>
        <w:jc w:val="both"/>
      </w:pPr>
      <w:bookmarkStart w:id="0" w:name="_GoBack"/>
      <w:bookmarkEnd w:id="0"/>
    </w:p>
    <w:p w14:paraId="4AE177E7" w14:textId="0629B22D" w:rsidR="001D7190" w:rsidRDefault="001D7190" w:rsidP="002F1AFC">
      <w:pPr>
        <w:jc w:val="both"/>
      </w:pPr>
      <w:r>
        <w:t>Editorial comments:</w:t>
      </w:r>
    </w:p>
    <w:p w14:paraId="46C1C424" w14:textId="77777777" w:rsidR="001D7190" w:rsidRDefault="001D7190" w:rsidP="002F1AFC">
      <w:pPr>
        <w:jc w:val="both"/>
      </w:pPr>
    </w:p>
    <w:p w14:paraId="128E7026" w14:textId="77777777" w:rsidR="001D7190" w:rsidRDefault="001D7190" w:rsidP="002F1AFC">
      <w:pPr>
        <w:jc w:val="both"/>
      </w:pPr>
      <w:r>
        <w:t>Changes to be made by the author(s):</w:t>
      </w:r>
    </w:p>
    <w:p w14:paraId="7D7117D3" w14:textId="7E1474DB" w:rsidR="001D7190" w:rsidRDefault="001D7190" w:rsidP="002F1AFC">
      <w:pPr>
        <w:jc w:val="both"/>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71D3E460" w14:textId="68ED2997" w:rsidR="001D7190" w:rsidRDefault="001D7190" w:rsidP="002F1AFC">
      <w:pPr>
        <w:jc w:val="both"/>
      </w:pPr>
    </w:p>
    <w:p w14:paraId="6D61634A" w14:textId="4C2AFB21" w:rsidR="001D7190" w:rsidRDefault="001D7190" w:rsidP="002F1AFC">
      <w:pPr>
        <w:jc w:val="both"/>
      </w:pPr>
    </w:p>
    <w:p w14:paraId="27F0F489" w14:textId="3A9715AD" w:rsidR="001D7190" w:rsidRPr="001D7190" w:rsidRDefault="001D7190" w:rsidP="002F1AFC">
      <w:pPr>
        <w:jc w:val="both"/>
        <w:rPr>
          <w:color w:val="FF0000"/>
        </w:rPr>
      </w:pPr>
      <w:r>
        <w:rPr>
          <w:color w:val="FF0000"/>
        </w:rPr>
        <w:t xml:space="preserve">We </w:t>
      </w:r>
      <w:r w:rsidR="002F1AFC">
        <w:rPr>
          <w:color w:val="FF0000"/>
        </w:rPr>
        <w:t xml:space="preserve">have carefully proofread the manuscript. </w:t>
      </w:r>
    </w:p>
    <w:p w14:paraId="34494283" w14:textId="798970B5" w:rsidR="001D7190" w:rsidRDefault="001D7190" w:rsidP="002F1AFC">
      <w:pPr>
        <w:jc w:val="both"/>
      </w:pPr>
    </w:p>
    <w:p w14:paraId="28B5B6C8" w14:textId="77777777" w:rsidR="001D7190" w:rsidRDefault="001D7190" w:rsidP="002F1AFC">
      <w:pPr>
        <w:jc w:val="both"/>
      </w:pPr>
    </w:p>
    <w:p w14:paraId="76ABF86E" w14:textId="51275A6C" w:rsidR="001D7190" w:rsidRDefault="001D7190" w:rsidP="002F1AFC">
      <w:pPr>
        <w:jc w:val="both"/>
      </w:pPr>
      <w:r>
        <w:t>2. Authors and affiliations: Please provide an email address for each author in the manuscript.</w:t>
      </w:r>
    </w:p>
    <w:p w14:paraId="6DC4D37F" w14:textId="32F2AF6A" w:rsidR="002F1AFC" w:rsidRDefault="002F1AFC" w:rsidP="002F1AFC">
      <w:pPr>
        <w:jc w:val="both"/>
      </w:pPr>
    </w:p>
    <w:p w14:paraId="23404E26" w14:textId="7502DD12" w:rsidR="002F1AFC" w:rsidRDefault="002F1AFC" w:rsidP="002F1AFC">
      <w:pPr>
        <w:jc w:val="both"/>
      </w:pPr>
    </w:p>
    <w:p w14:paraId="09E7F081" w14:textId="4E451A40" w:rsidR="002F1AFC" w:rsidRPr="002F1AFC" w:rsidRDefault="002F1AFC" w:rsidP="002F1AFC">
      <w:pPr>
        <w:jc w:val="both"/>
        <w:rPr>
          <w:color w:val="FF0000"/>
        </w:rPr>
      </w:pPr>
      <w:r w:rsidRPr="002F1AFC">
        <w:rPr>
          <w:color w:val="FF0000"/>
        </w:rPr>
        <w:t>We have checked the affiliation and email address of each author.</w:t>
      </w:r>
    </w:p>
    <w:p w14:paraId="4C0CFA9E" w14:textId="28F7526C" w:rsidR="002F1AFC" w:rsidRDefault="002F1AFC" w:rsidP="002F1AFC">
      <w:pPr>
        <w:jc w:val="both"/>
      </w:pPr>
    </w:p>
    <w:p w14:paraId="3321B69A" w14:textId="77777777" w:rsidR="002F1AFC" w:rsidRDefault="002F1AFC" w:rsidP="002F1AFC">
      <w:pPr>
        <w:jc w:val="both"/>
      </w:pPr>
    </w:p>
    <w:p w14:paraId="3E667AB0" w14:textId="5AEB18E3" w:rsidR="001D7190" w:rsidRDefault="001D7190" w:rsidP="002F1AFC">
      <w:pPr>
        <w:jc w:val="both"/>
      </w:pPr>
      <w:r>
        <w:t>3. Please combine some of the shorter Protocol steps so that individual steps contain 2-3 actions and maximum of 4 sentences per step.</w:t>
      </w:r>
    </w:p>
    <w:p w14:paraId="082699E7" w14:textId="4D36C817" w:rsidR="001E57FD" w:rsidRDefault="001E57FD" w:rsidP="002F1AFC">
      <w:pPr>
        <w:jc w:val="both"/>
      </w:pPr>
    </w:p>
    <w:p w14:paraId="49A6EEB9" w14:textId="78ED1765" w:rsidR="001E57FD" w:rsidRDefault="00A95943" w:rsidP="002F1AFC">
      <w:pPr>
        <w:jc w:val="both"/>
        <w:rPr>
          <w:color w:val="FF0000"/>
        </w:rPr>
      </w:pPr>
      <w:r w:rsidRPr="00A95943">
        <w:rPr>
          <w:color w:val="FF0000"/>
        </w:rPr>
        <w:t xml:space="preserve">We have combined some of the shorter protocol steps. </w:t>
      </w:r>
    </w:p>
    <w:p w14:paraId="3AA774FA" w14:textId="77777777" w:rsidR="00A95943" w:rsidRDefault="00A95943" w:rsidP="002F1AFC">
      <w:pPr>
        <w:jc w:val="both"/>
      </w:pPr>
    </w:p>
    <w:p w14:paraId="2098B5DB" w14:textId="77777777" w:rsidR="00A95943" w:rsidRDefault="00A95943" w:rsidP="002F1AFC">
      <w:pPr>
        <w:jc w:val="both"/>
      </w:pPr>
    </w:p>
    <w:p w14:paraId="7C7D8CF9" w14:textId="16194CE5" w:rsidR="001D7190" w:rsidRDefault="001D7190" w:rsidP="002F1AFC">
      <w:pPr>
        <w:jc w:val="both"/>
      </w:pPr>
      <w:r>
        <w:t>4. Please include single line spacing between each numbered step or note in the protocol.</w:t>
      </w:r>
    </w:p>
    <w:p w14:paraId="63A79D12" w14:textId="30419800" w:rsidR="00A95943" w:rsidRDefault="00A95943" w:rsidP="002F1AFC">
      <w:pPr>
        <w:jc w:val="both"/>
      </w:pPr>
    </w:p>
    <w:p w14:paraId="5F711762" w14:textId="6F26AD82" w:rsidR="00A95943" w:rsidRPr="00A95943" w:rsidRDefault="00A95943" w:rsidP="002F1AFC">
      <w:pPr>
        <w:jc w:val="both"/>
        <w:rPr>
          <w:color w:val="FF0000"/>
        </w:rPr>
      </w:pPr>
      <w:r w:rsidRPr="00A95943">
        <w:rPr>
          <w:color w:val="FF0000"/>
        </w:rPr>
        <w:t xml:space="preserve">We have included a single line spacing between each numbered step in the protocol. </w:t>
      </w:r>
    </w:p>
    <w:p w14:paraId="228AE598" w14:textId="4596BBCE" w:rsidR="00A95943" w:rsidRDefault="00A95943" w:rsidP="002F1AFC">
      <w:pPr>
        <w:jc w:val="both"/>
      </w:pPr>
    </w:p>
    <w:p w14:paraId="42AFA188" w14:textId="77777777" w:rsidR="00A95943" w:rsidRDefault="00A95943" w:rsidP="002F1AFC">
      <w:pPr>
        <w:jc w:val="both"/>
      </w:pPr>
    </w:p>
    <w:p w14:paraId="779620E4" w14:textId="0A6C94CC" w:rsidR="001D7190" w:rsidRDefault="001D7190" w:rsidP="002F1AFC">
      <w:pPr>
        <w:jc w:val="both"/>
      </w:pPr>
      <w:r>
        <w:t xml:space="preserve">5. As we can only film 2.75 pages of the protocol, please highlight in yellow up to 2.75 pages (no less than 1 page) of protocol text (including headers and spacing) to be featured in the </w:t>
      </w:r>
      <w:r>
        <w:lastRenderedPageBreak/>
        <w:t>video. Bear in mind the goal of the protocol and highlight the critical steps to be filmed. Our scriptwriters will derive the video script directly from the highlighted text.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02950C96" w14:textId="2B108BFE" w:rsidR="00A95943" w:rsidRDefault="00A95943" w:rsidP="002F1AFC">
      <w:pPr>
        <w:jc w:val="both"/>
      </w:pPr>
    </w:p>
    <w:p w14:paraId="34D75D47" w14:textId="685FA628" w:rsidR="00A95943" w:rsidRPr="00A95943" w:rsidRDefault="00A95943" w:rsidP="002F1AFC">
      <w:pPr>
        <w:jc w:val="both"/>
        <w:rPr>
          <w:color w:val="FF0000"/>
        </w:rPr>
      </w:pPr>
      <w:r w:rsidRPr="00A95943">
        <w:rPr>
          <w:color w:val="FF0000"/>
        </w:rPr>
        <w:t xml:space="preserve">We have highlighted the protocol sections that should be featured in the video according to the requested guidelines. </w:t>
      </w:r>
    </w:p>
    <w:p w14:paraId="38763E59" w14:textId="77777777" w:rsidR="00A95943" w:rsidRDefault="00A95943" w:rsidP="002F1AFC">
      <w:pPr>
        <w:jc w:val="both"/>
      </w:pPr>
    </w:p>
    <w:p w14:paraId="4D309B37" w14:textId="77777777" w:rsidR="00A95943" w:rsidRDefault="00A95943" w:rsidP="002F1AFC">
      <w:pPr>
        <w:jc w:val="both"/>
      </w:pPr>
    </w:p>
    <w:p w14:paraId="5578D585" w14:textId="570E6882" w:rsidR="001D7190" w:rsidRDefault="001D7190" w:rsidP="002F1AFC">
      <w:pPr>
        <w:jc w:val="both"/>
      </w:pPr>
      <w:r>
        <w:t>6. References: Please provide volume/issue/page numbers for each reference.</w:t>
      </w:r>
    </w:p>
    <w:p w14:paraId="5ECC2468" w14:textId="589D9A2C" w:rsidR="00A95943" w:rsidRDefault="00A95943" w:rsidP="002F1AFC">
      <w:pPr>
        <w:jc w:val="both"/>
      </w:pPr>
    </w:p>
    <w:p w14:paraId="31307582" w14:textId="6519D36D" w:rsidR="00A95943" w:rsidRPr="00A95943" w:rsidRDefault="00A95943" w:rsidP="002F1AFC">
      <w:pPr>
        <w:jc w:val="both"/>
        <w:rPr>
          <w:color w:val="FF0000"/>
        </w:rPr>
      </w:pPr>
      <w:r w:rsidRPr="00A95943">
        <w:rPr>
          <w:color w:val="FF0000"/>
        </w:rPr>
        <w:t xml:space="preserve">We have changed the reference style so that now all references are listed with volume/issue and page numbers. </w:t>
      </w:r>
    </w:p>
    <w:p w14:paraId="17A4318D" w14:textId="2AD0F78E" w:rsidR="001D7190" w:rsidRDefault="001D7190" w:rsidP="002F1AFC">
      <w:pPr>
        <w:jc w:val="both"/>
      </w:pPr>
    </w:p>
    <w:p w14:paraId="2DB5DF33" w14:textId="77777777" w:rsidR="00A95943" w:rsidRDefault="00A95943" w:rsidP="002F1AFC">
      <w:pPr>
        <w:jc w:val="both"/>
      </w:pPr>
    </w:p>
    <w:p w14:paraId="110DA6B9" w14:textId="77777777" w:rsidR="001D7190" w:rsidRDefault="001D7190" w:rsidP="002F1AFC">
      <w:pPr>
        <w:jc w:val="both"/>
      </w:pPr>
      <w:r>
        <w:t>Reviewers' comments:</w:t>
      </w:r>
    </w:p>
    <w:p w14:paraId="53C1B909" w14:textId="77777777" w:rsidR="001D7190" w:rsidRDefault="001D7190" w:rsidP="002F1AFC">
      <w:pPr>
        <w:jc w:val="both"/>
      </w:pPr>
    </w:p>
    <w:p w14:paraId="49E46017" w14:textId="77777777" w:rsidR="001D7190" w:rsidRDefault="001D7190" w:rsidP="002F1AFC">
      <w:pPr>
        <w:jc w:val="both"/>
      </w:pPr>
    </w:p>
    <w:p w14:paraId="594739AE" w14:textId="77777777" w:rsidR="001D7190" w:rsidRDefault="001D7190" w:rsidP="002F1AFC">
      <w:pPr>
        <w:jc w:val="both"/>
      </w:pPr>
      <w:r>
        <w:t>Reviewer #1:</w:t>
      </w:r>
    </w:p>
    <w:p w14:paraId="1C7CB48F" w14:textId="77777777" w:rsidR="001D7190" w:rsidRDefault="001D7190" w:rsidP="002F1AFC">
      <w:pPr>
        <w:jc w:val="both"/>
      </w:pPr>
    </w:p>
    <w:p w14:paraId="77279E73" w14:textId="77777777" w:rsidR="001D7190" w:rsidRDefault="001D7190" w:rsidP="002F1AFC">
      <w:pPr>
        <w:jc w:val="both"/>
      </w:pPr>
      <w:r>
        <w:t>Manuscript Summary:</w:t>
      </w:r>
    </w:p>
    <w:p w14:paraId="45F68D13" w14:textId="6F7B5940" w:rsidR="001D7190" w:rsidRDefault="001D7190" w:rsidP="002F1AFC">
      <w:pPr>
        <w:jc w:val="both"/>
      </w:pPr>
      <w:r>
        <w:t xml:space="preserve">The paper </w:t>
      </w:r>
      <w:proofErr w:type="spellStart"/>
      <w:r>
        <w:t>Pigazzini</w:t>
      </w:r>
      <w:proofErr w:type="spellEnd"/>
      <w:r>
        <w:t xml:space="preserve"> et al. describes a new method of fluorescence lifetime imaging to characterize amyloid structures in the nematode Caenorhabditis </w:t>
      </w:r>
      <w:proofErr w:type="spellStart"/>
      <w:r>
        <w:t>elegans</w:t>
      </w:r>
      <w:proofErr w:type="spellEnd"/>
      <w:r>
        <w:t xml:space="preserve">. By this the authors are able to distinguish the aggregation propensities of plaque forming proteins which is relevant for the development of Alzheimer´s disease in living animals. The paper is sound and provides a versatile methodology for the scientific community to study aggregation of </w:t>
      </w:r>
      <w:proofErr w:type="spellStart"/>
      <w:r>
        <w:t>amlyoids</w:t>
      </w:r>
      <w:proofErr w:type="spellEnd"/>
      <w:r>
        <w:t>.</w:t>
      </w:r>
    </w:p>
    <w:p w14:paraId="6A1BE81B" w14:textId="4BA43763" w:rsidR="00282DCE" w:rsidRDefault="00282DCE" w:rsidP="002F1AFC">
      <w:pPr>
        <w:jc w:val="both"/>
      </w:pPr>
    </w:p>
    <w:p w14:paraId="083B9ACB" w14:textId="77777777" w:rsidR="00282DCE" w:rsidRDefault="00282DCE" w:rsidP="002F1AFC">
      <w:pPr>
        <w:jc w:val="both"/>
      </w:pPr>
    </w:p>
    <w:p w14:paraId="289E8A47" w14:textId="71AE1FC1" w:rsidR="00282DCE" w:rsidRDefault="00282DCE" w:rsidP="002F1AFC">
      <w:pPr>
        <w:jc w:val="both"/>
        <w:rPr>
          <w:color w:val="FF0000"/>
        </w:rPr>
      </w:pPr>
      <w:r w:rsidRPr="00282DCE">
        <w:rPr>
          <w:color w:val="FF0000"/>
        </w:rPr>
        <w:t>We thank this reviewer for the positive assessment of our manuscript.</w:t>
      </w:r>
    </w:p>
    <w:p w14:paraId="4005304A" w14:textId="77777777" w:rsidR="00282DCE" w:rsidRPr="00282DCE" w:rsidRDefault="00282DCE" w:rsidP="002F1AFC">
      <w:pPr>
        <w:jc w:val="both"/>
        <w:rPr>
          <w:color w:val="FF0000"/>
        </w:rPr>
      </w:pPr>
    </w:p>
    <w:p w14:paraId="1E8EEFF1" w14:textId="77777777" w:rsidR="001D7190" w:rsidRDefault="001D7190" w:rsidP="002F1AFC">
      <w:pPr>
        <w:jc w:val="both"/>
      </w:pPr>
    </w:p>
    <w:p w14:paraId="6C97A273" w14:textId="77777777" w:rsidR="001D7190" w:rsidRDefault="001D7190" w:rsidP="002F1AFC">
      <w:pPr>
        <w:jc w:val="both"/>
      </w:pPr>
      <w:r>
        <w:t>Minor Concerns:</w:t>
      </w:r>
    </w:p>
    <w:p w14:paraId="104014EF" w14:textId="221A666B" w:rsidR="001D7190" w:rsidRDefault="001D7190" w:rsidP="002F1AFC">
      <w:pPr>
        <w:jc w:val="both"/>
      </w:pPr>
      <w:r>
        <w:t>- The authors should make clear why a fusion protein comprising different polyglutamine stretches should be valid to investigate aggregation in Alzheimer´s disease. As it appears aggregation relevant in Huntington´s disease was studied.</w:t>
      </w:r>
    </w:p>
    <w:p w14:paraId="69D7E10C" w14:textId="19E182D2" w:rsidR="00282DCE" w:rsidRDefault="00282DCE" w:rsidP="002F1AFC">
      <w:pPr>
        <w:jc w:val="both"/>
      </w:pPr>
    </w:p>
    <w:p w14:paraId="7B64769F" w14:textId="686F399C" w:rsidR="00282DCE" w:rsidRDefault="00282DCE" w:rsidP="002F1AFC">
      <w:pPr>
        <w:jc w:val="both"/>
      </w:pPr>
    </w:p>
    <w:p w14:paraId="5A4B1447" w14:textId="2D8A200A" w:rsidR="00282DCE" w:rsidRPr="00282DCE" w:rsidRDefault="00282DCE" w:rsidP="00282DCE">
      <w:pPr>
        <w:jc w:val="both"/>
        <w:rPr>
          <w:color w:val="FF0000"/>
        </w:rPr>
      </w:pPr>
      <w:r w:rsidRPr="00282DCE">
        <w:rPr>
          <w:color w:val="FF0000"/>
        </w:rPr>
        <w:t xml:space="preserve">We </w:t>
      </w:r>
      <w:r>
        <w:rPr>
          <w:color w:val="FF0000"/>
        </w:rPr>
        <w:t xml:space="preserve">assume </w:t>
      </w:r>
      <w:r w:rsidRPr="00282DCE">
        <w:rPr>
          <w:color w:val="FF0000"/>
        </w:rPr>
        <w:t xml:space="preserve">the reviewer must have been under the impression we would also be including experiments with </w:t>
      </w:r>
      <w:proofErr w:type="spellStart"/>
      <w:r w:rsidRPr="00282DCE">
        <w:rPr>
          <w:color w:val="FF0000"/>
        </w:rPr>
        <w:t>Abeta</w:t>
      </w:r>
      <w:proofErr w:type="spellEnd"/>
      <w:r w:rsidRPr="00282DCE">
        <w:rPr>
          <w:color w:val="FF0000"/>
        </w:rPr>
        <w:t>, or potentially tau</w:t>
      </w:r>
      <w:r>
        <w:rPr>
          <w:color w:val="FF0000"/>
        </w:rPr>
        <w:t xml:space="preserve"> as we mentioned Alzheimer’s disease (AD) in the abstract</w:t>
      </w:r>
      <w:r w:rsidRPr="00282DCE">
        <w:rPr>
          <w:color w:val="FF0000"/>
        </w:rPr>
        <w:t>. Of course</w:t>
      </w:r>
      <w:r>
        <w:rPr>
          <w:color w:val="FF0000"/>
        </w:rPr>
        <w:t>,</w:t>
      </w:r>
      <w:r w:rsidRPr="00282DCE">
        <w:rPr>
          <w:color w:val="FF0000"/>
        </w:rPr>
        <w:t xml:space="preserve"> there is no involvement of polyglutamine proteins, of any length, in AD, </w:t>
      </w:r>
      <w:r w:rsidRPr="00282DCE">
        <w:rPr>
          <w:color w:val="FF0000"/>
        </w:rPr>
        <w:lastRenderedPageBreak/>
        <w:t xml:space="preserve">at least not directly. Fusion polyglutamine proteins here are taken as one example of proteins that aggregate and cause neurodegeneration. Different stretches were selected to show the direct correlation between speed </w:t>
      </w:r>
      <w:r>
        <w:rPr>
          <w:color w:val="FF0000"/>
        </w:rPr>
        <w:t xml:space="preserve">and severity </w:t>
      </w:r>
      <w:r w:rsidRPr="00282DCE">
        <w:rPr>
          <w:color w:val="FF0000"/>
        </w:rPr>
        <w:t>of aggregation and length of glutamines. Our aim is to highlight how the FLIM method can be adapted to study the aggregation of any amyloid forming protein, regardless of the disorder it is responsible for, or potentially even non-pathogenic</w:t>
      </w:r>
      <w:r>
        <w:rPr>
          <w:color w:val="FF0000"/>
        </w:rPr>
        <w:t>,</w:t>
      </w:r>
      <w:r w:rsidRPr="00282DCE">
        <w:rPr>
          <w:color w:val="FF0000"/>
        </w:rPr>
        <w:t xml:space="preserve"> but still aggregation-prone proteins. This versatility is referenced at different points in the main text. </w:t>
      </w:r>
    </w:p>
    <w:p w14:paraId="0E01F283" w14:textId="77777777" w:rsidR="00282DCE" w:rsidRDefault="00282DCE" w:rsidP="002F1AFC">
      <w:pPr>
        <w:jc w:val="both"/>
      </w:pPr>
    </w:p>
    <w:p w14:paraId="03E9393E" w14:textId="2545B5EC" w:rsidR="00282DCE" w:rsidRDefault="00282DCE" w:rsidP="002F1AFC">
      <w:pPr>
        <w:jc w:val="both"/>
      </w:pPr>
    </w:p>
    <w:p w14:paraId="7E60F3A0" w14:textId="77777777" w:rsidR="00282DCE" w:rsidRDefault="00282DCE" w:rsidP="002F1AFC">
      <w:pPr>
        <w:jc w:val="both"/>
      </w:pPr>
    </w:p>
    <w:p w14:paraId="056FD1BF" w14:textId="26FBF6C7" w:rsidR="001D7190" w:rsidRDefault="001D7190" w:rsidP="002F1AFC">
      <w:pPr>
        <w:jc w:val="both"/>
      </w:pPr>
      <w:r>
        <w:t>- It is questionable whether the data shown in Fig. 3 are important or whether it would be sufficient to mention them in the text.</w:t>
      </w:r>
    </w:p>
    <w:p w14:paraId="2B36ED49" w14:textId="7539DDD0" w:rsidR="00282DCE" w:rsidRDefault="00282DCE" w:rsidP="002F1AFC">
      <w:pPr>
        <w:jc w:val="both"/>
      </w:pPr>
    </w:p>
    <w:p w14:paraId="47FF5BAA" w14:textId="2A6C6033" w:rsidR="00282DCE" w:rsidRDefault="00282DCE" w:rsidP="002F1AFC">
      <w:pPr>
        <w:jc w:val="both"/>
      </w:pPr>
    </w:p>
    <w:p w14:paraId="32CBF469" w14:textId="635D6406" w:rsidR="00282DCE" w:rsidRPr="00282DCE" w:rsidRDefault="00282DCE" w:rsidP="00282DCE">
      <w:pPr>
        <w:jc w:val="both"/>
        <w:rPr>
          <w:color w:val="FF0000"/>
        </w:rPr>
      </w:pPr>
      <w:r w:rsidRPr="00282DCE">
        <w:rPr>
          <w:color w:val="FF0000"/>
        </w:rPr>
        <w:t xml:space="preserve">The </w:t>
      </w:r>
      <w:r>
        <w:rPr>
          <w:color w:val="FF0000"/>
        </w:rPr>
        <w:t xml:space="preserve">reviewer points out that the data obtained with CFP-fusion proteins are hard to interpret. Yet, </w:t>
      </w:r>
      <w:r w:rsidRPr="00282DCE">
        <w:rPr>
          <w:color w:val="FF0000"/>
        </w:rPr>
        <w:t xml:space="preserve">we chose to include figure 3 to illustrate some drawbacks of the </w:t>
      </w:r>
      <w:r>
        <w:rPr>
          <w:color w:val="FF0000"/>
        </w:rPr>
        <w:t xml:space="preserve">FLIM </w:t>
      </w:r>
      <w:r w:rsidRPr="00282DCE">
        <w:rPr>
          <w:color w:val="FF0000"/>
        </w:rPr>
        <w:t>technique</w:t>
      </w:r>
      <w:r>
        <w:rPr>
          <w:color w:val="FF0000"/>
        </w:rPr>
        <w:t>. N</w:t>
      </w:r>
      <w:r w:rsidRPr="00282DCE">
        <w:rPr>
          <w:color w:val="FF0000"/>
        </w:rPr>
        <w:t>o methodology is failproof after all</w:t>
      </w:r>
      <w:r>
        <w:rPr>
          <w:color w:val="FF0000"/>
        </w:rPr>
        <w:t xml:space="preserve"> and we feel that the readers should be made aware of the limitations</w:t>
      </w:r>
      <w:r w:rsidRPr="00282DCE">
        <w:rPr>
          <w:color w:val="FF0000"/>
        </w:rPr>
        <w:t xml:space="preserve">. Here, we show that not every fluorophore is ideal for tracking and quantifying aggregation via FLIM and care should be taken before creating a fusion protein for FLIM. Indeed, CFP should not be employed as a fusion protein in tracking aggregation for two reasons: it possesses two lifetimes, and one of these lifetimes is relatively short. Short lifetimes make it harder to measure a steep decrease of the lifetime, if and when there is </w:t>
      </w:r>
      <w:r w:rsidR="004F0833">
        <w:rPr>
          <w:color w:val="FF0000"/>
        </w:rPr>
        <w:t>rapid</w:t>
      </w:r>
      <w:r w:rsidRPr="00282DCE">
        <w:rPr>
          <w:color w:val="FF0000"/>
        </w:rPr>
        <w:t xml:space="preserve"> aggregation. Conversely, CFP is suited and widely used in FRET-FLIM measurements, as pointed out and referenced in the main text. </w:t>
      </w:r>
    </w:p>
    <w:p w14:paraId="1AB35D65" w14:textId="6E12AF80" w:rsidR="00282DCE" w:rsidRDefault="00282DCE" w:rsidP="002F1AFC">
      <w:pPr>
        <w:jc w:val="both"/>
      </w:pPr>
    </w:p>
    <w:p w14:paraId="5DE3AA19" w14:textId="020170CE" w:rsidR="00282DCE" w:rsidRDefault="00282DCE" w:rsidP="002F1AFC">
      <w:pPr>
        <w:jc w:val="both"/>
      </w:pPr>
    </w:p>
    <w:p w14:paraId="0C513BA6" w14:textId="77777777" w:rsidR="00282DCE" w:rsidRDefault="00282DCE" w:rsidP="002F1AFC">
      <w:pPr>
        <w:jc w:val="both"/>
      </w:pPr>
    </w:p>
    <w:p w14:paraId="2DCE335A" w14:textId="77777777" w:rsidR="001D7190" w:rsidRDefault="001D7190" w:rsidP="002F1AFC">
      <w:pPr>
        <w:jc w:val="both"/>
      </w:pPr>
      <w:r>
        <w:t>- In Fig. 4 it appears that the intensity maps in A do not fit to the data presented in B.</w:t>
      </w:r>
    </w:p>
    <w:p w14:paraId="5A94C88E" w14:textId="77777777" w:rsidR="001D7190" w:rsidRDefault="001D7190" w:rsidP="002F1AFC">
      <w:pPr>
        <w:jc w:val="both"/>
      </w:pPr>
    </w:p>
    <w:p w14:paraId="18DEC6A8" w14:textId="5DAFB48F" w:rsidR="001D7190" w:rsidRDefault="001D7190" w:rsidP="002F1AFC">
      <w:pPr>
        <w:jc w:val="both"/>
      </w:pPr>
    </w:p>
    <w:p w14:paraId="5BF13BB0" w14:textId="5913D504" w:rsidR="004F0833" w:rsidRPr="004F0833" w:rsidRDefault="004F0833" w:rsidP="004F0833">
      <w:pPr>
        <w:jc w:val="both"/>
        <w:rPr>
          <w:color w:val="FF0000"/>
        </w:rPr>
      </w:pPr>
      <w:r>
        <w:rPr>
          <w:color w:val="FF0000"/>
        </w:rPr>
        <w:t>We</w:t>
      </w:r>
      <w:r w:rsidRPr="004F0833">
        <w:rPr>
          <w:color w:val="FF0000"/>
        </w:rPr>
        <w:t xml:space="preserve"> respectfully disagree that the lifetime-intensity map </w:t>
      </w:r>
      <w:r>
        <w:rPr>
          <w:color w:val="FF0000"/>
        </w:rPr>
        <w:t xml:space="preserve">in figure 4 </w:t>
      </w:r>
      <w:r w:rsidRPr="004F0833">
        <w:rPr>
          <w:color w:val="FF0000"/>
        </w:rPr>
        <w:t xml:space="preserve">does not reflect the below quantification. The day 4 panels clearly show a higher `red` signal, representing high lifetimes. The appearance of `blue´ coloured puncta represent instead a decrease in lifetime. This decrease </w:t>
      </w:r>
      <w:r>
        <w:rPr>
          <w:color w:val="FF0000"/>
        </w:rPr>
        <w:t>occurs</w:t>
      </w:r>
      <w:r w:rsidRPr="004F0833">
        <w:rPr>
          <w:color w:val="FF0000"/>
        </w:rPr>
        <w:t xml:space="preserve"> both </w:t>
      </w:r>
      <w:r>
        <w:rPr>
          <w:color w:val="FF0000"/>
        </w:rPr>
        <w:t xml:space="preserve">with the progression of aging as well as upon perturbation of the </w:t>
      </w:r>
      <w:proofErr w:type="spellStart"/>
      <w:r>
        <w:rPr>
          <w:color w:val="FF0000"/>
        </w:rPr>
        <w:t>proteostasis</w:t>
      </w:r>
      <w:proofErr w:type="spellEnd"/>
      <w:r>
        <w:rPr>
          <w:color w:val="FF0000"/>
        </w:rPr>
        <w:t xml:space="preserve"> network. </w:t>
      </w:r>
      <w:r w:rsidRPr="004F0833">
        <w:rPr>
          <w:color w:val="FF0000"/>
        </w:rPr>
        <w:t xml:space="preserve">Finally, it should be </w:t>
      </w:r>
      <w:r>
        <w:rPr>
          <w:color w:val="FF0000"/>
        </w:rPr>
        <w:t>noted</w:t>
      </w:r>
      <w:r w:rsidRPr="004F0833">
        <w:rPr>
          <w:color w:val="FF0000"/>
        </w:rPr>
        <w:t xml:space="preserve"> that the images shown are just one example of a whole set of nematodes, for which the quantification is indeed overall more valuable. </w:t>
      </w:r>
    </w:p>
    <w:p w14:paraId="4D4E9D31" w14:textId="77777777" w:rsidR="004F0833" w:rsidRDefault="004F0833" w:rsidP="002F1AFC">
      <w:pPr>
        <w:jc w:val="both"/>
      </w:pPr>
    </w:p>
    <w:p w14:paraId="3577D10E" w14:textId="77777777" w:rsidR="001D7190" w:rsidRDefault="001D7190" w:rsidP="002F1AFC">
      <w:pPr>
        <w:jc w:val="both"/>
      </w:pPr>
    </w:p>
    <w:p w14:paraId="509BDE80" w14:textId="77777777" w:rsidR="001D7190" w:rsidRDefault="001D7190" w:rsidP="002F1AFC">
      <w:pPr>
        <w:jc w:val="both"/>
      </w:pPr>
      <w:r>
        <w:t>Reviewer #2:</w:t>
      </w:r>
    </w:p>
    <w:p w14:paraId="06B3BB3B" w14:textId="77777777" w:rsidR="001D7190" w:rsidRDefault="001D7190" w:rsidP="002F1AFC">
      <w:pPr>
        <w:jc w:val="both"/>
      </w:pPr>
    </w:p>
    <w:p w14:paraId="38227B09" w14:textId="77777777" w:rsidR="001D7190" w:rsidRDefault="001D7190" w:rsidP="002F1AFC">
      <w:pPr>
        <w:jc w:val="both"/>
      </w:pPr>
      <w:r>
        <w:t>Manuscript Summary:</w:t>
      </w:r>
    </w:p>
    <w:p w14:paraId="1DD6CF61" w14:textId="77777777" w:rsidR="001D7190" w:rsidRDefault="001D7190" w:rsidP="002F1AFC">
      <w:pPr>
        <w:jc w:val="both"/>
      </w:pPr>
    </w:p>
    <w:p w14:paraId="54DE7E2D" w14:textId="77777777" w:rsidR="001D7190" w:rsidRDefault="001D7190" w:rsidP="002F1AFC">
      <w:pPr>
        <w:jc w:val="both"/>
      </w:pPr>
      <w:r>
        <w:lastRenderedPageBreak/>
        <w:t xml:space="preserve">The ability to faithfully interrogate the localization and properties of amyloid species in living animals is incredibly important for our understanding of the mechanisms that drive amyloid deposition and the identification of strategies to suppress amyloid formation. Here, the authors describe a FLIM protocol that allows for visualization and quantification of amyloid fibrils in Caenorhabditis </w:t>
      </w:r>
      <w:proofErr w:type="spellStart"/>
      <w:r>
        <w:t>elegans</w:t>
      </w:r>
      <w:proofErr w:type="spellEnd"/>
      <w:r>
        <w:t xml:space="preserve"> tissues in vivo in response to diverse conditions, such as ageing or perturbation of protein quality control pathways.</w:t>
      </w:r>
    </w:p>
    <w:p w14:paraId="769B5830" w14:textId="77777777" w:rsidR="001D7190" w:rsidRDefault="001D7190" w:rsidP="002F1AFC">
      <w:pPr>
        <w:jc w:val="both"/>
      </w:pPr>
    </w:p>
    <w:p w14:paraId="40933375" w14:textId="77777777" w:rsidR="001D7190" w:rsidRDefault="001D7190" w:rsidP="002F1AFC">
      <w:pPr>
        <w:jc w:val="both"/>
      </w:pPr>
      <w:r>
        <w:t>The protocol is easy to follow and gives clear examples of expected experimental outcomes when monitoring polyglutamine aggregation in different tissues. All steps are well-described and the source of all reagents and equipment is stated.</w:t>
      </w:r>
    </w:p>
    <w:p w14:paraId="6A29D975" w14:textId="77777777" w:rsidR="001D7190" w:rsidRDefault="001D7190" w:rsidP="002F1AFC">
      <w:pPr>
        <w:jc w:val="both"/>
      </w:pPr>
    </w:p>
    <w:p w14:paraId="6288420E" w14:textId="17042523" w:rsidR="001D7190" w:rsidRDefault="001D7190" w:rsidP="002F1AFC">
      <w:pPr>
        <w:jc w:val="both"/>
      </w:pPr>
      <w:r>
        <w:t xml:space="preserve">This article will be a highly useful resource for the existing C. </w:t>
      </w:r>
      <w:proofErr w:type="spellStart"/>
      <w:r>
        <w:t>elegans</w:t>
      </w:r>
      <w:proofErr w:type="spellEnd"/>
      <w:r>
        <w:t xml:space="preserve"> </w:t>
      </w:r>
      <w:proofErr w:type="spellStart"/>
      <w:r>
        <w:t>proteostasis</w:t>
      </w:r>
      <w:proofErr w:type="spellEnd"/>
      <w:r>
        <w:t xml:space="preserve"> community and will be of use to researchers adopting C. </w:t>
      </w:r>
      <w:proofErr w:type="spellStart"/>
      <w:r>
        <w:t>elegans</w:t>
      </w:r>
      <w:proofErr w:type="spellEnd"/>
      <w:r>
        <w:t xml:space="preserve"> as a model system to study protein conformational disease or ageing.</w:t>
      </w:r>
    </w:p>
    <w:p w14:paraId="15116FC8" w14:textId="58FA0ABF" w:rsidR="002A29F7" w:rsidRDefault="002A29F7" w:rsidP="002F1AFC">
      <w:pPr>
        <w:jc w:val="both"/>
      </w:pPr>
    </w:p>
    <w:p w14:paraId="0B7B18FB" w14:textId="0C7A15A0" w:rsidR="002A29F7" w:rsidRDefault="002A29F7" w:rsidP="002F1AFC">
      <w:pPr>
        <w:jc w:val="both"/>
      </w:pPr>
    </w:p>
    <w:p w14:paraId="429C56B1" w14:textId="69FF2A56" w:rsidR="002A29F7" w:rsidRPr="002A29F7" w:rsidRDefault="002A29F7" w:rsidP="002F1AFC">
      <w:pPr>
        <w:jc w:val="both"/>
        <w:rPr>
          <w:color w:val="FF0000"/>
        </w:rPr>
      </w:pPr>
      <w:r w:rsidRPr="002A29F7">
        <w:rPr>
          <w:color w:val="FF0000"/>
        </w:rPr>
        <w:t xml:space="preserve">We appreciate the very positive assessment of our work by this reviewer. </w:t>
      </w:r>
    </w:p>
    <w:p w14:paraId="7D081F86" w14:textId="77777777" w:rsidR="002A29F7" w:rsidRDefault="002A29F7" w:rsidP="002F1AFC">
      <w:pPr>
        <w:jc w:val="both"/>
      </w:pPr>
    </w:p>
    <w:p w14:paraId="205B0A26" w14:textId="77777777" w:rsidR="001D7190" w:rsidRDefault="001D7190" w:rsidP="002F1AFC">
      <w:pPr>
        <w:jc w:val="both"/>
      </w:pPr>
    </w:p>
    <w:p w14:paraId="5FA11F55" w14:textId="77777777" w:rsidR="001D7190" w:rsidRDefault="001D7190" w:rsidP="002F1AFC">
      <w:pPr>
        <w:jc w:val="both"/>
      </w:pPr>
      <w:r>
        <w:t>Major Concerns:</w:t>
      </w:r>
    </w:p>
    <w:p w14:paraId="433BDD51" w14:textId="77777777" w:rsidR="001D7190" w:rsidRDefault="001D7190" w:rsidP="002F1AFC">
      <w:pPr>
        <w:jc w:val="both"/>
      </w:pPr>
      <w:r>
        <w:t>None</w:t>
      </w:r>
    </w:p>
    <w:p w14:paraId="6AA6334E" w14:textId="77777777" w:rsidR="001D7190" w:rsidRDefault="001D7190" w:rsidP="002F1AFC">
      <w:pPr>
        <w:jc w:val="both"/>
      </w:pPr>
    </w:p>
    <w:p w14:paraId="050B3119" w14:textId="77777777" w:rsidR="001D7190" w:rsidRDefault="001D7190" w:rsidP="002F1AFC">
      <w:pPr>
        <w:jc w:val="both"/>
      </w:pPr>
      <w:r>
        <w:t>Minor Concerns:</w:t>
      </w:r>
    </w:p>
    <w:p w14:paraId="196745EE" w14:textId="77777777" w:rsidR="001D7190" w:rsidRDefault="001D7190" w:rsidP="002F1AFC">
      <w:pPr>
        <w:jc w:val="both"/>
      </w:pPr>
    </w:p>
    <w:p w14:paraId="29F277A1" w14:textId="3BAE424E" w:rsidR="001D7190" w:rsidRDefault="001D7190" w:rsidP="002F1AFC">
      <w:pPr>
        <w:jc w:val="both"/>
      </w:pPr>
      <w:r>
        <w:t>1. It might be worth noting that the RNAi conditions given are general and that knockdown efficiency may need to optimized for RNAi clones/genes of interest.</w:t>
      </w:r>
    </w:p>
    <w:p w14:paraId="27327019" w14:textId="550326AE" w:rsidR="002A29F7" w:rsidRDefault="002A29F7" w:rsidP="002F1AFC">
      <w:pPr>
        <w:jc w:val="both"/>
      </w:pPr>
    </w:p>
    <w:p w14:paraId="74EFB281" w14:textId="2AA00224" w:rsidR="002A29F7" w:rsidRDefault="002A29F7" w:rsidP="002F1AFC">
      <w:pPr>
        <w:jc w:val="both"/>
      </w:pPr>
    </w:p>
    <w:p w14:paraId="577EDB8B" w14:textId="0056F0BD" w:rsidR="002A29F7" w:rsidRPr="002A29F7" w:rsidRDefault="002A29F7" w:rsidP="002F1AFC">
      <w:pPr>
        <w:jc w:val="both"/>
        <w:rPr>
          <w:color w:val="FF0000"/>
        </w:rPr>
      </w:pPr>
      <w:r w:rsidRPr="002A29F7">
        <w:rPr>
          <w:color w:val="FF0000"/>
        </w:rPr>
        <w:t xml:space="preserve">We agree </w:t>
      </w:r>
      <w:r>
        <w:rPr>
          <w:color w:val="FF0000"/>
        </w:rPr>
        <w:t xml:space="preserve">with the reviewer </w:t>
      </w:r>
      <w:r w:rsidRPr="002A29F7">
        <w:rPr>
          <w:color w:val="FF0000"/>
        </w:rPr>
        <w:t>and have added a note in the protocol that the siRNA efficiency needs to be established for each analysed knockdown and each experimental condition.</w:t>
      </w:r>
    </w:p>
    <w:p w14:paraId="6BCFC819" w14:textId="77777777" w:rsidR="002A29F7" w:rsidRDefault="002A29F7" w:rsidP="002F1AFC">
      <w:pPr>
        <w:jc w:val="both"/>
      </w:pPr>
    </w:p>
    <w:p w14:paraId="55E42FDB" w14:textId="77777777" w:rsidR="001D7190" w:rsidRDefault="001D7190" w:rsidP="002F1AFC">
      <w:pPr>
        <w:jc w:val="both"/>
      </w:pPr>
    </w:p>
    <w:p w14:paraId="0825A31D" w14:textId="2E0CD2A1" w:rsidR="001D7190" w:rsidRDefault="001D7190" w:rsidP="002F1AFC">
      <w:pPr>
        <w:jc w:val="both"/>
      </w:pPr>
      <w:r>
        <w:t>2. Although clearly stated in the equipment list, it would also be helpful to include the make and model of laser scanning confocal microscope being used within the main protocol text.</w:t>
      </w:r>
    </w:p>
    <w:p w14:paraId="7BEE4CBD" w14:textId="59979F21" w:rsidR="001D7190" w:rsidRDefault="001D7190" w:rsidP="002F1AFC">
      <w:pPr>
        <w:jc w:val="both"/>
      </w:pPr>
    </w:p>
    <w:p w14:paraId="28C08C95" w14:textId="77777777" w:rsidR="002A29F7" w:rsidRDefault="002A29F7" w:rsidP="002F1AFC">
      <w:pPr>
        <w:jc w:val="both"/>
      </w:pPr>
    </w:p>
    <w:p w14:paraId="093F2609" w14:textId="651B0B91" w:rsidR="002D4196" w:rsidRPr="002A29F7" w:rsidRDefault="002A29F7" w:rsidP="002F1AFC">
      <w:pPr>
        <w:jc w:val="both"/>
        <w:rPr>
          <w:color w:val="FF0000"/>
        </w:rPr>
      </w:pPr>
      <w:r w:rsidRPr="002A29F7">
        <w:rPr>
          <w:color w:val="FF0000"/>
        </w:rPr>
        <w:t>We agree with the reviewer and added the information on the model</w:t>
      </w:r>
      <w:r w:rsidR="002D4196" w:rsidRPr="002A29F7">
        <w:rPr>
          <w:color w:val="FF0000"/>
        </w:rPr>
        <w:t xml:space="preserve"> of the confocal microscopes employed for the experiments. </w:t>
      </w:r>
    </w:p>
    <w:p w14:paraId="56A2E1A3" w14:textId="77777777" w:rsidR="00392FB1" w:rsidRDefault="00392FB1" w:rsidP="002F1AFC">
      <w:pPr>
        <w:jc w:val="both"/>
      </w:pPr>
    </w:p>
    <w:p w14:paraId="0B07233B" w14:textId="77777777" w:rsidR="002F1AFC" w:rsidRDefault="002F1AFC">
      <w:pPr>
        <w:jc w:val="both"/>
      </w:pPr>
    </w:p>
    <w:sectPr w:rsidR="002F1AFC" w:rsidSect="0067337F">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6826B" w14:textId="77777777" w:rsidR="002F6022" w:rsidRDefault="002F6022" w:rsidP="002A29F7">
      <w:r>
        <w:separator/>
      </w:r>
    </w:p>
  </w:endnote>
  <w:endnote w:type="continuationSeparator" w:id="0">
    <w:p w14:paraId="44C55DD8" w14:textId="77777777" w:rsidR="002F6022" w:rsidRDefault="002F6022" w:rsidP="002A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3B8AD" w14:textId="77777777" w:rsidR="002F6022" w:rsidRDefault="002F6022" w:rsidP="002A29F7">
      <w:r>
        <w:separator/>
      </w:r>
    </w:p>
  </w:footnote>
  <w:footnote w:type="continuationSeparator" w:id="0">
    <w:p w14:paraId="0EE24F14" w14:textId="77777777" w:rsidR="002F6022" w:rsidRDefault="002F6022" w:rsidP="002A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83FD" w14:textId="77777777" w:rsidR="002A29F7" w:rsidRDefault="002A29F7" w:rsidP="002A29F7">
    <w:pPr>
      <w:pStyle w:val="Header"/>
      <w:rPr>
        <w:lang w:val="de-DE"/>
      </w:rPr>
    </w:pPr>
    <w:r w:rsidRPr="0070693C">
      <w:rPr>
        <w:noProof/>
        <w:lang w:val="de-DE"/>
      </w:rPr>
      <w:drawing>
        <wp:anchor distT="0" distB="0" distL="114300" distR="114300" simplePos="0" relativeHeight="251659264" behindDoc="1" locked="0" layoutInCell="1" allowOverlap="1" wp14:anchorId="41C288F8" wp14:editId="5F0D75D2">
          <wp:simplePos x="0" y="0"/>
          <wp:positionH relativeFrom="column">
            <wp:posOffset>3538643</wp:posOffset>
          </wp:positionH>
          <wp:positionV relativeFrom="paragraph">
            <wp:posOffset>-16722</wp:posOffset>
          </wp:positionV>
          <wp:extent cx="2286000" cy="393700"/>
          <wp:effectExtent l="0" t="0" r="0" b="0"/>
          <wp:wrapTight wrapText="bothSides">
            <wp:wrapPolygon edited="0">
              <wp:start x="0" y="0"/>
              <wp:lineTo x="0" y="20903"/>
              <wp:lineTo x="21480" y="20903"/>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393700"/>
                  </a:xfrm>
                  <a:prstGeom prst="rect">
                    <a:avLst/>
                  </a:prstGeom>
                </pic:spPr>
              </pic:pic>
            </a:graphicData>
          </a:graphic>
          <wp14:sizeRelH relativeFrom="page">
            <wp14:pctWidth>0</wp14:pctWidth>
          </wp14:sizeRelH>
          <wp14:sizeRelV relativeFrom="page">
            <wp14:pctHeight>0</wp14:pctHeight>
          </wp14:sizeRelV>
        </wp:anchor>
      </w:drawing>
    </w:r>
    <w:r>
      <w:rPr>
        <w:lang w:val="de-DE"/>
      </w:rPr>
      <w:t>Prof. Dr. Janine Kirstein</w:t>
    </w:r>
  </w:p>
  <w:p w14:paraId="48BD8083" w14:textId="77777777" w:rsidR="002A29F7" w:rsidRDefault="002A29F7" w:rsidP="002A29F7">
    <w:pPr>
      <w:pStyle w:val="Header"/>
      <w:rPr>
        <w:lang w:val="de-DE"/>
      </w:rPr>
    </w:pPr>
    <w:r>
      <w:rPr>
        <w:lang w:val="de-DE"/>
      </w:rPr>
      <w:t>Universität Bremen</w:t>
    </w:r>
  </w:p>
  <w:p w14:paraId="28F80851" w14:textId="77777777" w:rsidR="002A29F7" w:rsidRDefault="002A29F7" w:rsidP="002A29F7">
    <w:pPr>
      <w:pStyle w:val="Header"/>
      <w:rPr>
        <w:lang w:val="de-DE"/>
      </w:rPr>
    </w:pPr>
    <w:r>
      <w:rPr>
        <w:lang w:val="de-DE"/>
      </w:rPr>
      <w:t>Fachbereich 2</w:t>
    </w:r>
  </w:p>
  <w:p w14:paraId="4E63E663" w14:textId="77777777" w:rsidR="002A29F7" w:rsidRPr="00C0286A" w:rsidRDefault="002A29F7" w:rsidP="002A29F7">
    <w:pPr>
      <w:pStyle w:val="Header"/>
      <w:rPr>
        <w:lang w:val="de-DE"/>
      </w:rPr>
    </w:pPr>
    <w:r w:rsidRPr="00C0286A">
      <w:rPr>
        <w:lang w:val="de-DE"/>
      </w:rPr>
      <w:t>Zellbiologie</w:t>
    </w:r>
  </w:p>
  <w:p w14:paraId="698A516F" w14:textId="77777777" w:rsidR="002A29F7" w:rsidRPr="00C0286A" w:rsidRDefault="002A29F7" w:rsidP="002A29F7">
    <w:pPr>
      <w:pStyle w:val="Header"/>
      <w:rPr>
        <w:lang w:val="de-DE"/>
      </w:rPr>
    </w:pPr>
    <w:hyperlink r:id="rId2" w:history="1">
      <w:r w:rsidRPr="00C0286A">
        <w:rPr>
          <w:rStyle w:val="Hyperlink"/>
          <w:lang w:val="de-DE"/>
        </w:rPr>
        <w:t>kirstein@uni-bremen.de</w:t>
      </w:r>
    </w:hyperlink>
  </w:p>
  <w:p w14:paraId="7A62F79F" w14:textId="0D1C27C7" w:rsidR="002A29F7" w:rsidRDefault="002A29F7" w:rsidP="002A29F7">
    <w:pPr>
      <w:pStyle w:val="Header"/>
      <w:rPr>
        <w:lang w:val="de-DE"/>
      </w:rPr>
    </w:pPr>
    <w:r>
      <w:rPr>
        <w:lang w:val="de-DE"/>
      </w:rPr>
      <w:t>+49-(0)421-21862880</w:t>
    </w:r>
  </w:p>
  <w:p w14:paraId="0C2EAD2D" w14:textId="77777777" w:rsidR="002A29F7" w:rsidRDefault="002A29F7" w:rsidP="002A29F7">
    <w:pPr>
      <w:pStyle w:val="Header"/>
      <w:rPr>
        <w:lang w:val="de-DE"/>
      </w:rPr>
    </w:pPr>
  </w:p>
  <w:p w14:paraId="4DA1DBC8" w14:textId="77777777" w:rsidR="002A29F7" w:rsidRPr="002A29F7" w:rsidRDefault="002A29F7" w:rsidP="002A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23F4"/>
    <w:multiLevelType w:val="hybridMultilevel"/>
    <w:tmpl w:val="B408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AB"/>
    <w:rsid w:val="00006709"/>
    <w:rsid w:val="00037DD7"/>
    <w:rsid w:val="00072FD1"/>
    <w:rsid w:val="001D7190"/>
    <w:rsid w:val="001E57FD"/>
    <w:rsid w:val="00230CFB"/>
    <w:rsid w:val="00282DCE"/>
    <w:rsid w:val="002A29F7"/>
    <w:rsid w:val="002A53E4"/>
    <w:rsid w:val="002D4196"/>
    <w:rsid w:val="002E1094"/>
    <w:rsid w:val="002F1AFC"/>
    <w:rsid w:val="002F6022"/>
    <w:rsid w:val="003218FA"/>
    <w:rsid w:val="0037143D"/>
    <w:rsid w:val="00392FB1"/>
    <w:rsid w:val="003C22AD"/>
    <w:rsid w:val="004F0833"/>
    <w:rsid w:val="0052083F"/>
    <w:rsid w:val="00557403"/>
    <w:rsid w:val="005E795C"/>
    <w:rsid w:val="0064791A"/>
    <w:rsid w:val="00654BE9"/>
    <w:rsid w:val="0067337F"/>
    <w:rsid w:val="00691517"/>
    <w:rsid w:val="006E3C72"/>
    <w:rsid w:val="007B25E3"/>
    <w:rsid w:val="008C704D"/>
    <w:rsid w:val="0099781E"/>
    <w:rsid w:val="00A05ACF"/>
    <w:rsid w:val="00A95943"/>
    <w:rsid w:val="00B66833"/>
    <w:rsid w:val="00BB711D"/>
    <w:rsid w:val="00CA5CAB"/>
    <w:rsid w:val="00D14DA1"/>
    <w:rsid w:val="00E04BE0"/>
    <w:rsid w:val="00E22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005DC8"/>
  <w14:defaultImageDpi w14:val="32767"/>
  <w15:chartTrackingRefBased/>
  <w15:docId w15:val="{FC35CC62-4FE3-8B44-B08B-F614893B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CAB"/>
    <w:pPr>
      <w:ind w:left="720"/>
      <w:contextualSpacing/>
    </w:pPr>
  </w:style>
  <w:style w:type="paragraph" w:styleId="Header">
    <w:name w:val="header"/>
    <w:basedOn w:val="Normal"/>
    <w:link w:val="HeaderChar"/>
    <w:uiPriority w:val="99"/>
    <w:unhideWhenUsed/>
    <w:rsid w:val="002A29F7"/>
    <w:pPr>
      <w:tabs>
        <w:tab w:val="center" w:pos="4703"/>
        <w:tab w:val="right" w:pos="9406"/>
      </w:tabs>
    </w:pPr>
  </w:style>
  <w:style w:type="character" w:customStyle="1" w:styleId="HeaderChar">
    <w:name w:val="Header Char"/>
    <w:basedOn w:val="DefaultParagraphFont"/>
    <w:link w:val="Header"/>
    <w:uiPriority w:val="99"/>
    <w:rsid w:val="002A29F7"/>
  </w:style>
  <w:style w:type="paragraph" w:styleId="Footer">
    <w:name w:val="footer"/>
    <w:basedOn w:val="Normal"/>
    <w:link w:val="FooterChar"/>
    <w:uiPriority w:val="99"/>
    <w:unhideWhenUsed/>
    <w:rsid w:val="002A29F7"/>
    <w:pPr>
      <w:tabs>
        <w:tab w:val="center" w:pos="4703"/>
        <w:tab w:val="right" w:pos="9406"/>
      </w:tabs>
    </w:pPr>
  </w:style>
  <w:style w:type="character" w:customStyle="1" w:styleId="FooterChar">
    <w:name w:val="Footer Char"/>
    <w:basedOn w:val="DefaultParagraphFont"/>
    <w:link w:val="Footer"/>
    <w:uiPriority w:val="99"/>
    <w:rsid w:val="002A29F7"/>
  </w:style>
  <w:style w:type="character" w:styleId="Hyperlink">
    <w:name w:val="Hyperlink"/>
    <w:basedOn w:val="DefaultParagraphFont"/>
    <w:uiPriority w:val="99"/>
    <w:unhideWhenUsed/>
    <w:rsid w:val="002A29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kirstein@uni-bremen.de" TargetMode="External"/><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2019-12-05T16:17:00Z</dcterms:created>
  <dcterms:modified xsi:type="dcterms:W3CDTF">2019-12-05T16:59:00Z</dcterms:modified>
</cp:coreProperties>
</file>