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05619" w14:textId="61DA7C11" w:rsidR="00424F6E" w:rsidRDefault="00FE4F80" w:rsidP="007D1582">
      <w:pPr>
        <w:spacing w:before="100" w:beforeAutospacing="1" w:after="100" w:afterAutospacing="1"/>
        <w:rPr>
          <w:rFonts w:ascii="Times New Roman" w:eastAsia="Times New Roman" w:hAnsi="Times New Roman" w:cs="Times New Roman"/>
          <w:color w:val="222222"/>
        </w:rPr>
      </w:pPr>
      <w:r>
        <w:rPr>
          <w:rFonts w:ascii="Times New Roman" w:eastAsia="Times New Roman" w:hAnsi="Times New Roman" w:cs="Times New Roman"/>
          <w:color w:val="222222"/>
        </w:rPr>
        <w:t xml:space="preserve">Dear Editor and Reviewers, </w:t>
      </w:r>
    </w:p>
    <w:p w14:paraId="15D690AA" w14:textId="1DA1311C" w:rsidR="00FE4F80" w:rsidRDefault="00FE4F80" w:rsidP="007D1582">
      <w:pPr>
        <w:spacing w:before="100" w:beforeAutospacing="1" w:after="100" w:afterAutospacing="1"/>
        <w:rPr>
          <w:rFonts w:ascii="Times New Roman" w:eastAsia="Times New Roman" w:hAnsi="Times New Roman" w:cs="Times New Roman"/>
          <w:color w:val="222222"/>
        </w:rPr>
      </w:pPr>
      <w:r>
        <w:rPr>
          <w:rFonts w:ascii="Times New Roman" w:eastAsia="Times New Roman" w:hAnsi="Times New Roman" w:cs="Times New Roman"/>
          <w:color w:val="222222"/>
        </w:rPr>
        <w:t xml:space="preserve">We thank you for your helpful comments and the opportunity to resubmit our article titled “Retroviral overexpression of CXCR4 on murine B-1a cells and adoptive transfer for targeted B-1a cell migration to the bone marrow and IgM production” to the Journal of Visualized Experiments. We have addressed your concerns as discussed point by point below and have updated our manuscript to reflect this. </w:t>
      </w:r>
    </w:p>
    <w:p w14:paraId="75BF15E1" w14:textId="48FD19B4" w:rsidR="00FE4F80" w:rsidRDefault="00FE4F80" w:rsidP="007D1582">
      <w:pPr>
        <w:spacing w:before="100" w:beforeAutospacing="1" w:after="100" w:afterAutospacing="1"/>
        <w:rPr>
          <w:rFonts w:ascii="Times New Roman" w:eastAsia="Times New Roman" w:hAnsi="Times New Roman" w:cs="Times New Roman"/>
          <w:color w:val="222222"/>
        </w:rPr>
      </w:pPr>
      <w:r>
        <w:rPr>
          <w:rFonts w:ascii="Times New Roman" w:eastAsia="Times New Roman" w:hAnsi="Times New Roman" w:cs="Times New Roman"/>
          <w:color w:val="222222"/>
        </w:rPr>
        <w:t>Thank you for your consideration,</w:t>
      </w:r>
    </w:p>
    <w:p w14:paraId="6E3FC81F" w14:textId="1FED375D" w:rsidR="005B2422" w:rsidRDefault="00FE4F80" w:rsidP="007D1582">
      <w:pPr>
        <w:spacing w:before="100" w:beforeAutospacing="1" w:after="100" w:afterAutospacing="1"/>
        <w:rPr>
          <w:rFonts w:ascii="Times New Roman" w:eastAsia="Times New Roman" w:hAnsi="Times New Roman" w:cs="Times New Roman"/>
          <w:color w:val="222222"/>
        </w:rPr>
      </w:pPr>
      <w:r>
        <w:rPr>
          <w:rFonts w:ascii="Times New Roman" w:eastAsia="Times New Roman" w:hAnsi="Times New Roman" w:cs="Times New Roman"/>
          <w:color w:val="222222"/>
        </w:rPr>
        <w:t>Aditi Upadhye, Timothy Bender, and Coleen McNamara</w:t>
      </w:r>
    </w:p>
    <w:p w14:paraId="16C3ABFD" w14:textId="5724458D" w:rsidR="00424F6E" w:rsidRDefault="00FE4F80" w:rsidP="007D1582">
      <w:pPr>
        <w:spacing w:before="100" w:beforeAutospacing="1" w:after="100" w:afterAutospacing="1"/>
        <w:rPr>
          <w:rFonts w:ascii="Times New Roman" w:eastAsia="Times New Roman" w:hAnsi="Times New Roman" w:cs="Times New Roman"/>
          <w:color w:val="222222"/>
        </w:rPr>
      </w:pPr>
      <w:r>
        <w:rPr>
          <w:rFonts w:ascii="Times New Roman" w:eastAsia="Times New Roman" w:hAnsi="Times New Roman" w:cs="Times New Roman"/>
          <w:color w:val="222222"/>
        </w:rPr>
        <w:t>------------------------------------------------------------------------------------------------</w:t>
      </w:r>
      <w:r w:rsidR="0022661B">
        <w:rPr>
          <w:rFonts w:ascii="Times New Roman" w:eastAsia="Times New Roman" w:hAnsi="Times New Roman" w:cs="Times New Roman"/>
          <w:color w:val="222222"/>
        </w:rPr>
        <w:t>-------------------</w:t>
      </w:r>
    </w:p>
    <w:p w14:paraId="1D32167F" w14:textId="77777777" w:rsidR="008C2501" w:rsidRDefault="007D1582" w:rsidP="00424F6E">
      <w:pPr>
        <w:spacing w:before="100" w:beforeAutospacing="1" w:after="100" w:afterAutospacing="1" w:line="240" w:lineRule="atLeast"/>
        <w:rPr>
          <w:rFonts w:ascii="Times New Roman" w:eastAsia="Times New Roman" w:hAnsi="Times New Roman" w:cs="Times New Roman"/>
          <w:color w:val="222222"/>
        </w:rPr>
      </w:pPr>
      <w:r w:rsidRPr="007D1582">
        <w:rPr>
          <w:rFonts w:ascii="Times New Roman" w:eastAsia="Times New Roman" w:hAnsi="Times New Roman" w:cs="Times New Roman"/>
          <w:color w:val="222222"/>
        </w:rPr>
        <w:br/>
      </w:r>
      <w:r w:rsidRPr="007D1582">
        <w:rPr>
          <w:rFonts w:ascii="Times New Roman" w:eastAsia="Times New Roman" w:hAnsi="Times New Roman" w:cs="Times New Roman"/>
          <w:b/>
          <w:bCs/>
          <w:color w:val="FF0000"/>
          <w:u w:val="single"/>
        </w:rPr>
        <w:t>Editorial Comments:</w:t>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t>• Please take this opportunity to thoroughly proofread the manuscript to ensure that there are no spelling or grammatical errors.</w:t>
      </w:r>
    </w:p>
    <w:p w14:paraId="2595D50A" w14:textId="77777777" w:rsidR="008C2501" w:rsidRPr="008C2501" w:rsidRDefault="008C2501" w:rsidP="00424F6E">
      <w:pPr>
        <w:spacing w:before="100" w:beforeAutospacing="1" w:after="100" w:afterAutospacing="1" w:line="240" w:lineRule="atLeast"/>
        <w:rPr>
          <w:rFonts w:ascii="Times New Roman" w:eastAsia="Times New Roman" w:hAnsi="Times New Roman" w:cs="Times New Roman"/>
          <w:color w:val="2F5496" w:themeColor="accent1" w:themeShade="BF"/>
        </w:rPr>
      </w:pPr>
      <w:r w:rsidRPr="008C2501">
        <w:rPr>
          <w:rFonts w:eastAsia="Times New Roman" w:cstheme="minorHAnsi"/>
          <w:color w:val="2F5496" w:themeColor="accent1" w:themeShade="BF"/>
        </w:rPr>
        <w:t xml:space="preserve">We have double checked </w:t>
      </w:r>
      <w:r w:rsidR="0049452C">
        <w:rPr>
          <w:rFonts w:eastAsia="Times New Roman" w:cstheme="minorHAnsi"/>
          <w:color w:val="2F5496" w:themeColor="accent1" w:themeShade="BF"/>
        </w:rPr>
        <w:t>and corrected</w:t>
      </w:r>
      <w:r w:rsidRPr="008C2501">
        <w:rPr>
          <w:rFonts w:eastAsia="Times New Roman" w:cstheme="minorHAnsi"/>
          <w:color w:val="2F5496" w:themeColor="accent1" w:themeShade="BF"/>
        </w:rPr>
        <w:t xml:space="preserve"> spelling and grammatical errors. </w:t>
      </w:r>
    </w:p>
    <w:p w14:paraId="001A9E61" w14:textId="77777777" w:rsidR="008C2501" w:rsidRDefault="007D1582" w:rsidP="00424F6E">
      <w:pPr>
        <w:spacing w:before="100" w:beforeAutospacing="1" w:after="100" w:afterAutospacing="1" w:line="240" w:lineRule="atLeast"/>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 </w:t>
      </w:r>
      <w:r w:rsidRPr="007D1582">
        <w:rPr>
          <w:rFonts w:ascii="Times New Roman" w:eastAsia="Times New Roman" w:hAnsi="Times New Roman" w:cs="Times New Roman"/>
          <w:b/>
          <w:bCs/>
          <w:color w:val="FF0000"/>
        </w:rPr>
        <w:t>Protocol Detail:</w:t>
      </w:r>
      <w:r w:rsidRPr="007D1582">
        <w:rPr>
          <w:rFonts w:ascii="Times New Roman" w:eastAsia="Times New Roman" w:hAnsi="Times New Roman" w:cs="Times New Roman"/>
          <w:color w:val="222222"/>
        </w:rPr>
        <w:t> Please note that your protocol will be used to generate the script for the video, and must contain everything that you would like shown in the video. </w:t>
      </w:r>
      <w:r w:rsidRPr="007D1582">
        <w:rPr>
          <w:rFonts w:ascii="Times New Roman" w:eastAsia="Times New Roman" w:hAnsi="Times New Roman" w:cs="Times New Roman"/>
          <w:b/>
          <w:bCs/>
          <w:color w:val="222222"/>
        </w:rPr>
        <w:t xml:space="preserve">Please add more specific details (e.g. button clicks for software actions, numerical values for settings, </w:t>
      </w:r>
      <w:proofErr w:type="spellStart"/>
      <w:r w:rsidRPr="007D1582">
        <w:rPr>
          <w:rFonts w:ascii="Times New Roman" w:eastAsia="Times New Roman" w:hAnsi="Times New Roman" w:cs="Times New Roman"/>
          <w:b/>
          <w:bCs/>
          <w:color w:val="222222"/>
        </w:rPr>
        <w:t>etc</w:t>
      </w:r>
      <w:proofErr w:type="spellEnd"/>
      <w:r w:rsidRPr="007D1582">
        <w:rPr>
          <w:rFonts w:ascii="Times New Roman" w:eastAsia="Times New Roman" w:hAnsi="Times New Roman" w:cs="Times New Roman"/>
          <w:b/>
          <w:bCs/>
          <w:color w:val="222222"/>
        </w:rPr>
        <w:t>) to your protocol steps. </w:t>
      </w:r>
      <w:r w:rsidRPr="007D1582">
        <w:rPr>
          <w:rFonts w:ascii="Times New Roman" w:eastAsia="Times New Roman" w:hAnsi="Times New Roman" w:cs="Times New Roman"/>
          <w:color w:val="222222"/>
        </w:rPr>
        <w:t>There should be enough detail in each step to supplement the actions seen in the video so that viewers can easily replicate the protocol.</w:t>
      </w:r>
    </w:p>
    <w:p w14:paraId="183A9621" w14:textId="77777777" w:rsidR="00B8101C" w:rsidRDefault="008C2501" w:rsidP="00424F6E">
      <w:pPr>
        <w:spacing w:before="100" w:beforeAutospacing="1" w:after="100" w:afterAutospacing="1" w:line="240" w:lineRule="atLeast"/>
        <w:rPr>
          <w:rFonts w:eastAsia="Times New Roman" w:cstheme="minorHAnsi"/>
          <w:color w:val="2F5496" w:themeColor="accent1" w:themeShade="BF"/>
        </w:rPr>
      </w:pPr>
      <w:r w:rsidRPr="008C2501">
        <w:rPr>
          <w:rFonts w:eastAsia="Times New Roman" w:cstheme="minorHAnsi"/>
          <w:color w:val="2F5496" w:themeColor="accent1" w:themeShade="BF"/>
        </w:rPr>
        <w:t>We have</w:t>
      </w:r>
      <w:r w:rsidR="00521822">
        <w:rPr>
          <w:rFonts w:eastAsia="Times New Roman" w:cstheme="minorHAnsi"/>
          <w:color w:val="2F5496" w:themeColor="accent1" w:themeShade="BF"/>
        </w:rPr>
        <w:t xml:space="preserve"> added additional details to our protocol according to the recommendations below.</w:t>
      </w:r>
      <w:r w:rsidR="004746FF">
        <w:rPr>
          <w:rFonts w:eastAsia="Times New Roman" w:cstheme="minorHAnsi"/>
          <w:color w:val="2F5496" w:themeColor="accent1" w:themeShade="BF"/>
        </w:rPr>
        <w:t xml:space="preserve"> We have not included instrument settings for the flow cytometer as these numbers vary from instrument to instrument and can vary from day to day</w:t>
      </w:r>
      <w:r w:rsidR="0045651C">
        <w:rPr>
          <w:rFonts w:eastAsia="Times New Roman" w:cstheme="minorHAnsi"/>
          <w:color w:val="2F5496" w:themeColor="accent1" w:themeShade="BF"/>
        </w:rPr>
        <w:t xml:space="preserve"> on the same instrument</w:t>
      </w:r>
      <w:r w:rsidR="004746FF">
        <w:rPr>
          <w:rFonts w:eastAsia="Times New Roman" w:cstheme="minorHAnsi"/>
          <w:color w:val="2F5496" w:themeColor="accent1" w:themeShade="BF"/>
        </w:rPr>
        <w:t>. We have not included button clicks for software actions for</w:t>
      </w:r>
      <w:r w:rsidR="00E73FD8">
        <w:rPr>
          <w:rFonts w:eastAsia="Times New Roman" w:cstheme="minorHAnsi"/>
          <w:color w:val="2F5496" w:themeColor="accent1" w:themeShade="BF"/>
        </w:rPr>
        <w:t xml:space="preserve"> the</w:t>
      </w:r>
      <w:r w:rsidR="004746FF">
        <w:rPr>
          <w:rFonts w:eastAsia="Times New Roman" w:cstheme="minorHAnsi"/>
          <w:color w:val="2F5496" w:themeColor="accent1" w:themeShade="BF"/>
        </w:rPr>
        <w:t xml:space="preserve"> flow analysis software as this software undergoes routine updates so this information may lose relevance over time</w:t>
      </w:r>
      <w:r w:rsidR="00B8101C">
        <w:rPr>
          <w:rFonts w:eastAsia="Times New Roman" w:cstheme="minorHAnsi"/>
          <w:color w:val="2F5496" w:themeColor="accent1" w:themeShade="BF"/>
        </w:rPr>
        <w:t>.</w:t>
      </w:r>
    </w:p>
    <w:p w14:paraId="1A9E2DE2" w14:textId="77777777" w:rsidR="008C2501" w:rsidRPr="00521822" w:rsidRDefault="007D1582" w:rsidP="00424F6E">
      <w:pPr>
        <w:spacing w:before="100" w:beforeAutospacing="1" w:after="100" w:afterAutospacing="1" w:line="240" w:lineRule="atLeast"/>
        <w:rPr>
          <w:rFonts w:eastAsia="Times New Roman" w:cstheme="minorHAnsi"/>
          <w:color w:val="2F5496" w:themeColor="accent1" w:themeShade="BF"/>
        </w:rPr>
      </w:pPr>
      <w:r w:rsidRPr="007D1582">
        <w:rPr>
          <w:rFonts w:ascii="Times New Roman" w:eastAsia="Times New Roman" w:hAnsi="Times New Roman" w:cs="Times New Roman"/>
          <w:color w:val="222222"/>
        </w:rPr>
        <w:br/>
        <w:t>1) 1.1: Mention animal age, sex, weight. Unclear how flushing is performed. Do you inject using a syringe? Mention needle gauge. What is meant by "shake the mouse"? how vigorous is this action? Please describe it more clearly. Mention puncture site for peritoneal fluid collection. What is the incision made? Mention surgical tools used. How deep do you incise?</w:t>
      </w:r>
    </w:p>
    <w:p w14:paraId="4152FA4B" w14:textId="77777777" w:rsidR="008C2501" w:rsidRDefault="008C2501" w:rsidP="00424F6E">
      <w:pPr>
        <w:spacing w:before="100" w:beforeAutospacing="1" w:after="100" w:afterAutospacing="1" w:line="240" w:lineRule="atLeast"/>
        <w:rPr>
          <w:rFonts w:eastAsia="Times New Roman" w:cstheme="minorHAnsi"/>
          <w:color w:val="2F5496" w:themeColor="accent1" w:themeShade="BF"/>
        </w:rPr>
      </w:pPr>
      <w:r w:rsidRPr="008C2501">
        <w:rPr>
          <w:rFonts w:eastAsia="Times New Roman" w:cstheme="minorHAnsi"/>
          <w:color w:val="2F5496" w:themeColor="accent1" w:themeShade="BF"/>
        </w:rPr>
        <w:t>We have</w:t>
      </w:r>
      <w:r w:rsidR="00521822">
        <w:rPr>
          <w:rFonts w:eastAsia="Times New Roman" w:cstheme="minorHAnsi"/>
          <w:color w:val="2F5496" w:themeColor="accent1" w:themeShade="BF"/>
        </w:rPr>
        <w:t xml:space="preserve"> included the above information to step 1.1 as </w:t>
      </w:r>
      <w:r w:rsidR="00515D1C">
        <w:rPr>
          <w:rFonts w:eastAsia="Times New Roman" w:cstheme="minorHAnsi"/>
          <w:color w:val="2F5496" w:themeColor="accent1" w:themeShade="BF"/>
        </w:rPr>
        <w:t xml:space="preserve">copied below. We do not typically use or measure weight of donor mice, therefore have not included this parameter. </w:t>
      </w:r>
    </w:p>
    <w:p w14:paraId="2758EE50" w14:textId="01E0ADBF" w:rsidR="00515D1C" w:rsidRPr="00694930" w:rsidRDefault="00515D1C" w:rsidP="00424F6E">
      <w:pPr>
        <w:pStyle w:val="ListParagraph"/>
        <w:numPr>
          <w:ilvl w:val="1"/>
          <w:numId w:val="1"/>
        </w:numPr>
        <w:spacing w:line="240" w:lineRule="atLeast"/>
        <w:ind w:left="0" w:firstLine="0"/>
        <w:rPr>
          <w:highlight w:val="yellow"/>
        </w:rPr>
      </w:pPr>
      <w:r w:rsidRPr="00B56BD7">
        <w:rPr>
          <w:highlight w:val="yellow"/>
        </w:rPr>
        <w:t xml:space="preserve">Euthanize a </w:t>
      </w:r>
      <w:proofErr w:type="gramStart"/>
      <w:r w:rsidRPr="00B56BD7">
        <w:rPr>
          <w:highlight w:val="yellow"/>
        </w:rPr>
        <w:t>12-14 week-old</w:t>
      </w:r>
      <w:proofErr w:type="gramEnd"/>
      <w:r w:rsidRPr="00B56BD7">
        <w:rPr>
          <w:highlight w:val="yellow"/>
        </w:rPr>
        <w:t>, male, CD45.1</w:t>
      </w:r>
      <w:r w:rsidRPr="00B56BD7">
        <w:rPr>
          <w:highlight w:val="yellow"/>
          <w:vertAlign w:val="superscript"/>
        </w:rPr>
        <w:t>+</w:t>
      </w:r>
      <w:r w:rsidRPr="00B56BD7">
        <w:rPr>
          <w:highlight w:val="yellow"/>
        </w:rPr>
        <w:t>ApoE</w:t>
      </w:r>
      <w:r w:rsidRPr="00B56BD7">
        <w:rPr>
          <w:highlight w:val="yellow"/>
          <w:vertAlign w:val="superscript"/>
        </w:rPr>
        <w:t xml:space="preserve">-/- </w:t>
      </w:r>
      <w:r w:rsidRPr="00B56BD7">
        <w:rPr>
          <w:highlight w:val="yellow"/>
        </w:rPr>
        <w:t>mouse using CO</w:t>
      </w:r>
      <w:r w:rsidRPr="00B56BD7">
        <w:rPr>
          <w:highlight w:val="yellow"/>
          <w:vertAlign w:val="subscript"/>
        </w:rPr>
        <w:t>2</w:t>
      </w:r>
      <w:r w:rsidRPr="00B56BD7">
        <w:rPr>
          <w:highlight w:val="yellow"/>
        </w:rPr>
        <w:t xml:space="preserve">. </w:t>
      </w:r>
      <w:r w:rsidR="00694930">
        <w:rPr>
          <w:highlight w:val="yellow"/>
        </w:rPr>
        <w:t xml:space="preserve">Make a </w:t>
      </w:r>
      <w:proofErr w:type="gramStart"/>
      <w:r w:rsidR="00694930">
        <w:rPr>
          <w:highlight w:val="yellow"/>
        </w:rPr>
        <w:t>superficial  cut</w:t>
      </w:r>
      <w:proofErr w:type="gramEnd"/>
      <w:r w:rsidR="00694930">
        <w:rPr>
          <w:highlight w:val="yellow"/>
        </w:rPr>
        <w:t xml:space="preserve"> in the abdomen using straight surgical scissors and peel back skin using curved scissors to </w:t>
      </w:r>
      <w:r w:rsidR="00694930">
        <w:rPr>
          <w:highlight w:val="yellow"/>
        </w:rPr>
        <w:lastRenderedPageBreak/>
        <w:t xml:space="preserve">expose the peritoneal wall. </w:t>
      </w:r>
      <w:r w:rsidRPr="00B56BD7">
        <w:rPr>
          <w:highlight w:val="yellow"/>
        </w:rPr>
        <w:t xml:space="preserve">Flush peritoneal cavity with 10 mL 37 </w:t>
      </w:r>
      <w:r w:rsidRPr="00B56BD7">
        <w:rPr>
          <w:highlight w:val="yellow"/>
        </w:rPr>
        <w:sym w:font="Symbol" w:char="F0B0"/>
      </w:r>
      <w:r w:rsidRPr="00B56BD7">
        <w:rPr>
          <w:highlight w:val="yellow"/>
        </w:rPr>
        <w:t xml:space="preserve">C RPMI-1640 medium using a </w:t>
      </w:r>
      <w:proofErr w:type="gramStart"/>
      <w:r w:rsidRPr="00B56BD7">
        <w:rPr>
          <w:highlight w:val="yellow"/>
        </w:rPr>
        <w:t>10 mL</w:t>
      </w:r>
      <w:proofErr w:type="gramEnd"/>
      <w:r w:rsidRPr="00B56BD7">
        <w:rPr>
          <w:highlight w:val="yellow"/>
        </w:rPr>
        <w:t xml:space="preserve"> syringe and 25-gauge needle. Shake mouse to disengage cells by grasping the tail and moving the mouse side to side thoroughly for 15-20 seconds. Massaging the </w:t>
      </w:r>
      <w:proofErr w:type="spellStart"/>
      <w:r w:rsidRPr="00B56BD7">
        <w:rPr>
          <w:highlight w:val="yellow"/>
        </w:rPr>
        <w:t>lavaged</w:t>
      </w:r>
      <w:proofErr w:type="spellEnd"/>
      <w:r w:rsidRPr="00B56BD7">
        <w:rPr>
          <w:highlight w:val="yellow"/>
        </w:rPr>
        <w:t xml:space="preserve"> peritoneum can also maximize cell recovery. Collect peritoneal fluid using a </w:t>
      </w:r>
      <w:proofErr w:type="gramStart"/>
      <w:r w:rsidRPr="00B56BD7">
        <w:rPr>
          <w:highlight w:val="yellow"/>
        </w:rPr>
        <w:t>10 mL</w:t>
      </w:r>
      <w:proofErr w:type="gramEnd"/>
      <w:r w:rsidRPr="00B56BD7">
        <w:rPr>
          <w:highlight w:val="yellow"/>
        </w:rPr>
        <w:t xml:space="preserve"> syringe and 25-gauge needle by drawing up fluid at the lower right side of the peritoneum just above the level of the hip, near the intestines. Avoid disrupting </w:t>
      </w:r>
      <w:proofErr w:type="spellStart"/>
      <w:r w:rsidRPr="00B56BD7">
        <w:rPr>
          <w:highlight w:val="yellow"/>
        </w:rPr>
        <w:t>epidydimal</w:t>
      </w:r>
      <w:proofErr w:type="spellEnd"/>
      <w:r w:rsidRPr="00B56BD7">
        <w:rPr>
          <w:highlight w:val="yellow"/>
        </w:rPr>
        <w:t xml:space="preserve"> fat depots and underlying organs. Avoid drawing fluid from the mouse’s left side as the omental fat can easily be drawn into the syringe. Once ~6-7 mL of fluid is collected, dispense into a </w:t>
      </w:r>
      <w:proofErr w:type="gramStart"/>
      <w:r w:rsidRPr="00B56BD7">
        <w:rPr>
          <w:highlight w:val="yellow"/>
        </w:rPr>
        <w:t>50 mL</w:t>
      </w:r>
      <w:proofErr w:type="gramEnd"/>
      <w:r w:rsidRPr="00B56BD7">
        <w:rPr>
          <w:highlight w:val="yellow"/>
        </w:rPr>
        <w:t xml:space="preserve"> conical tube placed on ice. Next, elevate the mouse vertically by holding the peritoneal wall above the diaphragm using forceps so that any remaining fluid remains at the bottom of the peritoneal cavity. Make a small cut in the peritoneal wall using surgical scissors above the liver (make sure not to cut the liver) and collect any remaining peritoneal fluid using a glass pipet and bulb. </w:t>
      </w:r>
    </w:p>
    <w:p w14:paraId="19BB41AA" w14:textId="77777777" w:rsidR="008C2501" w:rsidRDefault="007D1582" w:rsidP="00424F6E">
      <w:pPr>
        <w:spacing w:before="100" w:beforeAutospacing="1" w:after="100" w:afterAutospacing="1" w:line="240" w:lineRule="atLeast"/>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2) 1.3: Mention counting method.</w:t>
      </w:r>
    </w:p>
    <w:p w14:paraId="3FD2DEFD" w14:textId="77777777" w:rsidR="008C2501" w:rsidRDefault="008C2501" w:rsidP="00424F6E">
      <w:pPr>
        <w:spacing w:before="100" w:beforeAutospacing="1" w:after="100" w:afterAutospacing="1" w:line="240" w:lineRule="atLeast"/>
        <w:rPr>
          <w:rFonts w:eastAsia="Times New Roman" w:cstheme="minorHAnsi"/>
          <w:color w:val="2F5496" w:themeColor="accent1" w:themeShade="BF"/>
        </w:rPr>
      </w:pPr>
      <w:r w:rsidRPr="008C2501">
        <w:rPr>
          <w:rFonts w:eastAsia="Times New Roman" w:cstheme="minorHAnsi"/>
          <w:color w:val="2F5496" w:themeColor="accent1" w:themeShade="BF"/>
        </w:rPr>
        <w:t>We have</w:t>
      </w:r>
      <w:r w:rsidR="008E376B">
        <w:rPr>
          <w:rFonts w:eastAsia="Times New Roman" w:cstheme="minorHAnsi"/>
          <w:color w:val="2F5496" w:themeColor="accent1" w:themeShade="BF"/>
        </w:rPr>
        <w:t xml:space="preserve"> added this information to step 1.3 as below:</w:t>
      </w:r>
    </w:p>
    <w:p w14:paraId="17C16DA6" w14:textId="77777777" w:rsidR="008E376B" w:rsidRDefault="008E376B" w:rsidP="00424F6E">
      <w:pPr>
        <w:spacing w:before="100" w:beforeAutospacing="1" w:after="100" w:afterAutospacing="1" w:line="240" w:lineRule="atLeast"/>
        <w:rPr>
          <w:rFonts w:eastAsia="Times New Roman" w:cstheme="minorHAnsi"/>
          <w:color w:val="2F5496" w:themeColor="accent1" w:themeShade="BF"/>
        </w:rPr>
      </w:pPr>
      <w:r w:rsidRPr="00B56BD7">
        <w:rPr>
          <w:highlight w:val="yellow"/>
        </w:rPr>
        <w:t>Count live cells using a viability dye such as trypan blue and a hemocytometer (dilute samples</w:t>
      </w:r>
      <w:r>
        <w:rPr>
          <w:highlight w:val="yellow"/>
        </w:rPr>
        <w:t xml:space="preserve"> 1:5</w:t>
      </w:r>
      <w:r w:rsidRPr="00B56BD7">
        <w:rPr>
          <w:highlight w:val="yellow"/>
        </w:rPr>
        <w:t xml:space="preserve"> in trypan blue and load 10 </w:t>
      </w:r>
      <w:proofErr w:type="spellStart"/>
      <w:r w:rsidRPr="00B56BD7">
        <w:rPr>
          <w:highlight w:val="yellow"/>
        </w:rPr>
        <w:t>uL</w:t>
      </w:r>
      <w:proofErr w:type="spellEnd"/>
      <w:r w:rsidRPr="00B56BD7">
        <w:rPr>
          <w:highlight w:val="yellow"/>
        </w:rPr>
        <w:t xml:space="preserve"> into hemocytometer chamber).</w:t>
      </w:r>
    </w:p>
    <w:p w14:paraId="729835B2" w14:textId="77777777" w:rsidR="008C2501" w:rsidRDefault="007D1582" w:rsidP="00424F6E">
      <w:pPr>
        <w:spacing w:before="100" w:beforeAutospacing="1" w:after="100" w:afterAutospacing="1" w:line="240" w:lineRule="atLeast"/>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 xml:space="preserve">3) 1.9 NOTE: please supply a reference for the flow cytometry procedure or describe it briefly (e.g., mention gating strategy </w:t>
      </w:r>
      <w:proofErr w:type="spellStart"/>
      <w:r w:rsidRPr="007D1582">
        <w:rPr>
          <w:rFonts w:ascii="Times New Roman" w:eastAsia="Times New Roman" w:hAnsi="Times New Roman" w:cs="Times New Roman"/>
          <w:color w:val="222222"/>
        </w:rPr>
        <w:t>etc</w:t>
      </w:r>
      <w:proofErr w:type="spellEnd"/>
      <w:r w:rsidRPr="007D1582">
        <w:rPr>
          <w:rFonts w:ascii="Times New Roman" w:eastAsia="Times New Roman" w:hAnsi="Times New Roman" w:cs="Times New Roman"/>
          <w:color w:val="222222"/>
        </w:rPr>
        <w:t>)</w:t>
      </w:r>
    </w:p>
    <w:p w14:paraId="5450D6F0" w14:textId="77777777" w:rsidR="008C2501" w:rsidRDefault="008C2501" w:rsidP="00424F6E">
      <w:pPr>
        <w:spacing w:before="100" w:beforeAutospacing="1" w:after="100" w:afterAutospacing="1" w:line="240" w:lineRule="atLeast"/>
        <w:rPr>
          <w:rFonts w:eastAsia="Times New Roman" w:cstheme="minorHAnsi"/>
          <w:color w:val="2F5496" w:themeColor="accent1" w:themeShade="BF"/>
        </w:rPr>
      </w:pPr>
      <w:r w:rsidRPr="008C2501">
        <w:rPr>
          <w:rFonts w:eastAsia="Times New Roman" w:cstheme="minorHAnsi"/>
          <w:color w:val="2F5496" w:themeColor="accent1" w:themeShade="BF"/>
        </w:rPr>
        <w:t>We have</w:t>
      </w:r>
      <w:r w:rsidR="008E376B">
        <w:rPr>
          <w:rFonts w:eastAsia="Times New Roman" w:cstheme="minorHAnsi"/>
          <w:color w:val="2F5496" w:themeColor="accent1" w:themeShade="BF"/>
        </w:rPr>
        <w:t xml:space="preserve"> now described a gating strategy as given below, and </w:t>
      </w:r>
      <w:r w:rsidR="00424F6E">
        <w:rPr>
          <w:rFonts w:eastAsia="Times New Roman" w:cstheme="minorHAnsi"/>
          <w:color w:val="2F5496" w:themeColor="accent1" w:themeShade="BF"/>
        </w:rPr>
        <w:t>the gating strategy</w:t>
      </w:r>
      <w:r w:rsidR="008E376B">
        <w:rPr>
          <w:rFonts w:eastAsia="Times New Roman" w:cstheme="minorHAnsi"/>
          <w:color w:val="2F5496" w:themeColor="accent1" w:themeShade="BF"/>
        </w:rPr>
        <w:t xml:space="preserve"> is also </w:t>
      </w:r>
      <w:r w:rsidR="00424F6E">
        <w:rPr>
          <w:rFonts w:eastAsia="Times New Roman" w:cstheme="minorHAnsi"/>
          <w:color w:val="2F5496" w:themeColor="accent1" w:themeShade="BF"/>
        </w:rPr>
        <w:t>depicted</w:t>
      </w:r>
      <w:r w:rsidR="008E376B">
        <w:rPr>
          <w:rFonts w:eastAsia="Times New Roman" w:cstheme="minorHAnsi"/>
          <w:color w:val="2F5496" w:themeColor="accent1" w:themeShade="BF"/>
        </w:rPr>
        <w:t xml:space="preserve"> in Figure 2. </w:t>
      </w:r>
    </w:p>
    <w:p w14:paraId="3C5296F8" w14:textId="77777777" w:rsidR="008E376B" w:rsidRPr="008E376B" w:rsidRDefault="008E376B" w:rsidP="00424F6E">
      <w:pPr>
        <w:pStyle w:val="ListParagraph"/>
        <w:spacing w:line="240" w:lineRule="atLeast"/>
        <w:ind w:left="0"/>
      </w:pPr>
      <w:r w:rsidRPr="00B56BD7">
        <w:t xml:space="preserve">NOTE: an aliquot of the pre-purified and post-purified cell fractions should be separately analyzed by flow cytometry for purification efficiency by staining for CD19+ B cells, F480+ macrophages, and CD5+ T cells as shown in Figure 2. </w:t>
      </w:r>
    </w:p>
    <w:p w14:paraId="47768382" w14:textId="77777777" w:rsidR="008C2501" w:rsidRDefault="007D1582" w:rsidP="00424F6E">
      <w:pPr>
        <w:spacing w:before="100" w:beforeAutospacing="1" w:after="100" w:afterAutospacing="1" w:line="240" w:lineRule="atLeast"/>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4) 1.10, 4.2: mention counting method.</w:t>
      </w:r>
    </w:p>
    <w:p w14:paraId="289FDCC8" w14:textId="77777777" w:rsidR="008E376B" w:rsidRDefault="008C2501" w:rsidP="00424F6E">
      <w:pPr>
        <w:spacing w:before="100" w:beforeAutospacing="1" w:after="100" w:afterAutospacing="1" w:line="240" w:lineRule="atLeast"/>
        <w:rPr>
          <w:rFonts w:eastAsia="Times New Roman" w:cstheme="minorHAnsi"/>
          <w:color w:val="2F5496" w:themeColor="accent1" w:themeShade="BF"/>
        </w:rPr>
      </w:pPr>
      <w:r w:rsidRPr="008C2501">
        <w:rPr>
          <w:rFonts w:eastAsia="Times New Roman" w:cstheme="minorHAnsi"/>
          <w:color w:val="2F5496" w:themeColor="accent1" w:themeShade="BF"/>
        </w:rPr>
        <w:t>We have</w:t>
      </w:r>
      <w:r w:rsidR="008E376B">
        <w:rPr>
          <w:rFonts w:eastAsia="Times New Roman" w:cstheme="minorHAnsi"/>
          <w:color w:val="2F5496" w:themeColor="accent1" w:themeShade="BF"/>
        </w:rPr>
        <w:t xml:space="preserve"> added this to step 1.10 and 4.2 as given below:</w:t>
      </w:r>
    </w:p>
    <w:p w14:paraId="17E5B43C" w14:textId="77777777" w:rsidR="008E376B" w:rsidRPr="008E376B" w:rsidRDefault="008E376B" w:rsidP="00424F6E">
      <w:pPr>
        <w:pStyle w:val="ListParagraph"/>
        <w:spacing w:line="240" w:lineRule="atLeast"/>
        <w:ind w:left="0"/>
        <w:rPr>
          <w:highlight w:val="yellow"/>
        </w:rPr>
      </w:pPr>
      <w:r>
        <w:rPr>
          <w:highlight w:val="yellow"/>
        </w:rPr>
        <w:t xml:space="preserve">1.10. </w:t>
      </w:r>
      <w:r w:rsidRPr="00B56BD7">
        <w:rPr>
          <w:highlight w:val="yellow"/>
        </w:rPr>
        <w:t>Count the post-purified cell fraction</w:t>
      </w:r>
      <w:r w:rsidR="00F70823">
        <w:rPr>
          <w:highlight w:val="yellow"/>
        </w:rPr>
        <w:t xml:space="preserve"> (the eluent containing enriched B-1 cells)</w:t>
      </w:r>
      <w:r w:rsidRPr="00B56BD7">
        <w:rPr>
          <w:highlight w:val="yellow"/>
        </w:rPr>
        <w:t xml:space="preserve"> by counting live cells as in step 1.3,</w:t>
      </w:r>
      <w:r w:rsidRPr="008E376B">
        <w:rPr>
          <w:highlight w:val="yellow"/>
        </w:rPr>
        <w:t xml:space="preserve"> </w:t>
      </w:r>
      <w:r w:rsidRPr="00B56BD7">
        <w:rPr>
          <w:highlight w:val="yellow"/>
        </w:rPr>
        <w:t xml:space="preserve">and </w:t>
      </w:r>
      <w:proofErr w:type="spellStart"/>
      <w:r w:rsidRPr="00B56BD7">
        <w:rPr>
          <w:highlight w:val="yellow"/>
        </w:rPr>
        <w:t>resuspend</w:t>
      </w:r>
      <w:proofErr w:type="spellEnd"/>
      <w:r w:rsidRPr="00B56BD7">
        <w:rPr>
          <w:highlight w:val="yellow"/>
        </w:rPr>
        <w:t xml:space="preserve"> at 1x10</w:t>
      </w:r>
      <w:r w:rsidRPr="00B56BD7">
        <w:rPr>
          <w:highlight w:val="yellow"/>
          <w:vertAlign w:val="superscript"/>
        </w:rPr>
        <w:t xml:space="preserve">6 </w:t>
      </w:r>
      <w:r w:rsidRPr="00B56BD7">
        <w:rPr>
          <w:highlight w:val="yellow"/>
        </w:rPr>
        <w:t xml:space="preserve">cells/mL in B cell culture medium (RPMI-1640, 10% heat-inactivated fetal bovine serum, 10 </w:t>
      </w:r>
      <w:proofErr w:type="spellStart"/>
      <w:r w:rsidRPr="00B56BD7">
        <w:rPr>
          <w:highlight w:val="yellow"/>
        </w:rPr>
        <w:t>mM</w:t>
      </w:r>
      <w:proofErr w:type="spellEnd"/>
      <w:r w:rsidRPr="00B56BD7">
        <w:rPr>
          <w:highlight w:val="yellow"/>
        </w:rPr>
        <w:t xml:space="preserve"> HEPES, 1X non-essential amino acids, 1 </w:t>
      </w:r>
      <w:proofErr w:type="spellStart"/>
      <w:r w:rsidRPr="00B56BD7">
        <w:rPr>
          <w:highlight w:val="yellow"/>
        </w:rPr>
        <w:t>mM</w:t>
      </w:r>
      <w:proofErr w:type="spellEnd"/>
      <w:r w:rsidRPr="00B56BD7">
        <w:rPr>
          <w:highlight w:val="yellow"/>
        </w:rPr>
        <w:t xml:space="preserve"> sodium pyruvate, 50 ug/mL gentamicin, 55 </w:t>
      </w:r>
      <w:proofErr w:type="spellStart"/>
      <w:r w:rsidRPr="00B56BD7">
        <w:rPr>
          <w:highlight w:val="yellow"/>
        </w:rPr>
        <w:t>uM</w:t>
      </w:r>
      <w:proofErr w:type="spellEnd"/>
      <w:r w:rsidRPr="00B56BD7">
        <w:rPr>
          <w:highlight w:val="yellow"/>
        </w:rPr>
        <w:t xml:space="preserve"> </w:t>
      </w:r>
      <w:r w:rsidRPr="00B56BD7">
        <w:rPr>
          <w:highlight w:val="yellow"/>
        </w:rPr>
        <w:sym w:font="Symbol" w:char="F062"/>
      </w:r>
      <w:r w:rsidRPr="00B56BD7">
        <w:rPr>
          <w:highlight w:val="yellow"/>
        </w:rPr>
        <w:t xml:space="preserve">-mercaptoethanol). </w:t>
      </w:r>
    </w:p>
    <w:p w14:paraId="62401186" w14:textId="77777777" w:rsidR="008E376B" w:rsidRDefault="008E376B" w:rsidP="00424F6E">
      <w:pPr>
        <w:pStyle w:val="ListParagraph"/>
        <w:spacing w:line="240" w:lineRule="atLeast"/>
        <w:ind w:left="0"/>
      </w:pPr>
    </w:p>
    <w:p w14:paraId="4EED3691" w14:textId="77777777" w:rsidR="008E376B" w:rsidRPr="00B56BD7" w:rsidRDefault="008E376B" w:rsidP="00424F6E">
      <w:pPr>
        <w:pStyle w:val="ListParagraph"/>
        <w:spacing w:line="240" w:lineRule="atLeast"/>
        <w:ind w:left="0"/>
      </w:pPr>
      <w:r>
        <w:t xml:space="preserve">4.2) </w:t>
      </w:r>
      <w:r w:rsidRPr="00B56BD7">
        <w:t>Count live cells as in step 1.3,</w:t>
      </w:r>
      <w:r w:rsidRPr="008E376B">
        <w:t xml:space="preserve"> </w:t>
      </w:r>
      <w:r w:rsidRPr="00B56BD7">
        <w:t xml:space="preserve">then centrifuge at 400xg for 5 minutes at 4 </w:t>
      </w:r>
      <w:r w:rsidRPr="00B56BD7">
        <w:sym w:font="Symbol" w:char="F0B0"/>
      </w:r>
      <w:r w:rsidRPr="00B56BD7">
        <w:t>C and aspirate supernatant.</w:t>
      </w:r>
    </w:p>
    <w:p w14:paraId="7D53404C" w14:textId="77777777" w:rsidR="008C2501" w:rsidRDefault="007D1582" w:rsidP="00424F6E">
      <w:pPr>
        <w:spacing w:before="100" w:beforeAutospacing="1" w:after="100" w:afterAutospacing="1" w:line="240" w:lineRule="atLeast"/>
        <w:rPr>
          <w:rFonts w:ascii="Times New Roman" w:eastAsia="Times New Roman" w:hAnsi="Times New Roman" w:cs="Times New Roman"/>
          <w:color w:val="222222"/>
        </w:rPr>
      </w:pPr>
      <w:r w:rsidRPr="007D1582">
        <w:rPr>
          <w:rFonts w:ascii="Times New Roman" w:eastAsia="Times New Roman" w:hAnsi="Times New Roman" w:cs="Times New Roman"/>
          <w:color w:val="222222"/>
        </w:rPr>
        <w:lastRenderedPageBreak/>
        <w:br/>
        <w:t>• </w:t>
      </w:r>
      <w:r w:rsidRPr="007D1582">
        <w:rPr>
          <w:rFonts w:ascii="Times New Roman" w:eastAsia="Times New Roman" w:hAnsi="Times New Roman" w:cs="Times New Roman"/>
          <w:b/>
          <w:bCs/>
          <w:color w:val="FF0000"/>
        </w:rPr>
        <w:t xml:space="preserve">Protocol </w:t>
      </w:r>
      <w:proofErr w:type="spellStart"/>
      <w:proofErr w:type="gramStart"/>
      <w:r w:rsidRPr="007D1582">
        <w:rPr>
          <w:rFonts w:ascii="Times New Roman" w:eastAsia="Times New Roman" w:hAnsi="Times New Roman" w:cs="Times New Roman"/>
          <w:b/>
          <w:bCs/>
          <w:color w:val="FF0000"/>
        </w:rPr>
        <w:t>Numbering:</w:t>
      </w:r>
      <w:r w:rsidRPr="007D1582">
        <w:rPr>
          <w:rFonts w:ascii="Times New Roman" w:eastAsia="Times New Roman" w:hAnsi="Times New Roman" w:cs="Times New Roman"/>
          <w:color w:val="222222"/>
        </w:rPr>
        <w:t>All</w:t>
      </w:r>
      <w:proofErr w:type="spellEnd"/>
      <w:proofErr w:type="gramEnd"/>
      <w:r w:rsidRPr="007D1582">
        <w:rPr>
          <w:rFonts w:ascii="Times New Roman" w:eastAsia="Times New Roman" w:hAnsi="Times New Roman" w:cs="Times New Roman"/>
          <w:color w:val="222222"/>
        </w:rPr>
        <w:t xml:space="preserve"> steps should be lined up at the left margin with no indentations.</w:t>
      </w:r>
    </w:p>
    <w:p w14:paraId="7DD6ABD3" w14:textId="77777777" w:rsidR="008C2501" w:rsidRDefault="008C2501" w:rsidP="00424F6E">
      <w:pPr>
        <w:spacing w:before="100" w:beforeAutospacing="1" w:after="100" w:afterAutospacing="1" w:line="240" w:lineRule="atLeast"/>
        <w:rPr>
          <w:rFonts w:eastAsia="Times New Roman" w:cstheme="minorHAnsi"/>
          <w:color w:val="2F5496" w:themeColor="accent1" w:themeShade="BF"/>
        </w:rPr>
      </w:pPr>
      <w:r w:rsidRPr="008C2501">
        <w:rPr>
          <w:rFonts w:eastAsia="Times New Roman" w:cstheme="minorHAnsi"/>
          <w:color w:val="2F5496" w:themeColor="accent1" w:themeShade="BF"/>
        </w:rPr>
        <w:t>We have</w:t>
      </w:r>
      <w:r w:rsidR="00783CFF">
        <w:rPr>
          <w:rFonts w:eastAsia="Times New Roman" w:cstheme="minorHAnsi"/>
          <w:color w:val="2F5496" w:themeColor="accent1" w:themeShade="BF"/>
        </w:rPr>
        <w:t xml:space="preserve"> now removed indentations for our protocol steps. </w:t>
      </w:r>
      <w:r w:rsidR="007D1582" w:rsidRPr="007D1582">
        <w:rPr>
          <w:rFonts w:ascii="Times New Roman" w:eastAsia="Times New Roman" w:hAnsi="Times New Roman" w:cs="Times New Roman"/>
          <w:color w:val="222222"/>
        </w:rPr>
        <w:br/>
      </w:r>
      <w:r w:rsidR="007D1582" w:rsidRPr="007D1582">
        <w:rPr>
          <w:rFonts w:ascii="Times New Roman" w:eastAsia="Times New Roman" w:hAnsi="Times New Roman" w:cs="Times New Roman"/>
          <w:color w:val="222222"/>
        </w:rPr>
        <w:br/>
        <w:t>• </w:t>
      </w:r>
      <w:r w:rsidR="007D1582" w:rsidRPr="007D1582">
        <w:rPr>
          <w:rFonts w:ascii="Times New Roman" w:eastAsia="Times New Roman" w:hAnsi="Times New Roman" w:cs="Times New Roman"/>
          <w:b/>
          <w:bCs/>
          <w:color w:val="FF0000"/>
        </w:rPr>
        <w:t>Protocol Highlight:</w:t>
      </w:r>
      <w:r w:rsidR="007D1582" w:rsidRPr="007D1582">
        <w:rPr>
          <w:rFonts w:ascii="Times New Roman" w:eastAsia="Times New Roman" w:hAnsi="Times New Roman" w:cs="Times New Roman"/>
          <w:color w:val="222222"/>
        </w:rPr>
        <w: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007D1582" w:rsidRPr="007D1582">
        <w:rPr>
          <w:rFonts w:ascii="Times New Roman" w:eastAsia="Times New Roman" w:hAnsi="Times New Roman" w:cs="Times New Roman"/>
          <w:color w:val="222222"/>
        </w:rPr>
        <w:br/>
        <w:t xml:space="preserve">1) The highlighting must include all relevant details that are required to perform the step. For example, in your </w:t>
      </w:r>
      <w:proofErr w:type="spellStart"/>
      <w:r w:rsidR="007D1582" w:rsidRPr="007D1582">
        <w:rPr>
          <w:rFonts w:ascii="Times New Roman" w:eastAsia="Times New Roman" w:hAnsi="Times New Roman" w:cs="Times New Roman"/>
          <w:color w:val="222222"/>
        </w:rPr>
        <w:t>protocolstep</w:t>
      </w:r>
      <w:proofErr w:type="spellEnd"/>
      <w:r w:rsidR="007D1582" w:rsidRPr="007D1582">
        <w:rPr>
          <w:rFonts w:ascii="Times New Roman" w:eastAsia="Times New Roman" w:hAnsi="Times New Roman" w:cs="Times New Roman"/>
          <w:color w:val="222222"/>
        </w:rPr>
        <w:t xml:space="preserve"> 4 is highlighted for filming and the details of how to perform the step are given in steps 4.10, then the sub-steps where the details are provided must be included in the highlighting.</w:t>
      </w:r>
      <w:r w:rsidR="007D1582" w:rsidRPr="007D1582">
        <w:rPr>
          <w:rFonts w:ascii="Times New Roman" w:eastAsia="Times New Roman" w:hAnsi="Times New Roman" w:cs="Times New Roman"/>
          <w:color w:val="222222"/>
        </w:rPr>
        <w:br/>
        <w:t>2) The highlighted steps should form a cohesive narrative, that is, there must be a logical flow from one highlighted step to the next.</w:t>
      </w:r>
      <w:r w:rsidR="007D1582" w:rsidRPr="007D1582">
        <w:rPr>
          <w:rFonts w:ascii="Times New Roman" w:eastAsia="Times New Roman" w:hAnsi="Times New Roman" w:cs="Times New Roman"/>
          <w:color w:val="222222"/>
        </w:rPr>
        <w:br/>
        <w:t>3) Please highlight complete sentences (not parts of sentences). Include sub-headings and spaces when calculating the final highlighted length.</w:t>
      </w:r>
      <w:r w:rsidR="007D1582" w:rsidRPr="007D1582">
        <w:rPr>
          <w:rFonts w:ascii="Times New Roman" w:eastAsia="Times New Roman" w:hAnsi="Times New Roman" w:cs="Times New Roman"/>
          <w:color w:val="222222"/>
        </w:rPr>
        <w:br/>
        <w:t>4) Notes cannot be filmed and should be excluded from highlighting.</w:t>
      </w:r>
      <w:r w:rsidR="007D1582" w:rsidRPr="007D1582">
        <w:rPr>
          <w:rFonts w:ascii="Times New Roman" w:eastAsia="Times New Roman" w:hAnsi="Times New Roman" w:cs="Times New Roman"/>
          <w:color w:val="222222"/>
        </w:rPr>
        <w:br/>
        <w:t>5) Please ensure that the highlighting best represents the highlighted portion of the protocol.</w:t>
      </w:r>
    </w:p>
    <w:p w14:paraId="2F8AC68C" w14:textId="77777777" w:rsidR="008C2501" w:rsidRDefault="008C2501" w:rsidP="00424F6E">
      <w:pPr>
        <w:spacing w:before="100" w:beforeAutospacing="1" w:after="100" w:afterAutospacing="1" w:line="240" w:lineRule="atLeast"/>
        <w:rPr>
          <w:rFonts w:ascii="Times New Roman" w:eastAsia="Times New Roman" w:hAnsi="Times New Roman" w:cs="Times New Roman"/>
          <w:color w:val="222222"/>
        </w:rPr>
      </w:pPr>
      <w:r w:rsidRPr="008C2501">
        <w:rPr>
          <w:rFonts w:eastAsia="Times New Roman" w:cstheme="minorHAnsi"/>
          <w:color w:val="2F5496" w:themeColor="accent1" w:themeShade="BF"/>
        </w:rPr>
        <w:t>We have</w:t>
      </w:r>
      <w:r w:rsidR="0032110B">
        <w:rPr>
          <w:rFonts w:eastAsia="Times New Roman" w:cstheme="minorHAnsi"/>
          <w:color w:val="2F5496" w:themeColor="accent1" w:themeShade="BF"/>
        </w:rPr>
        <w:t xml:space="preserve"> now excluded step 4 from our highlighted portion as it exceeds your given limit.  </w:t>
      </w:r>
      <w:r w:rsidR="007D1582" w:rsidRPr="007D1582">
        <w:rPr>
          <w:rFonts w:ascii="Times New Roman" w:eastAsia="Times New Roman" w:hAnsi="Times New Roman" w:cs="Times New Roman"/>
          <w:color w:val="222222"/>
        </w:rPr>
        <w:br/>
      </w:r>
    </w:p>
    <w:p w14:paraId="79EFBD4D" w14:textId="77777777" w:rsidR="008C2501" w:rsidRDefault="007D1582" w:rsidP="00424F6E">
      <w:pPr>
        <w:spacing w:before="100" w:beforeAutospacing="1" w:after="100" w:afterAutospacing="1" w:line="240" w:lineRule="atLeast"/>
        <w:rPr>
          <w:rFonts w:ascii="Times New Roman" w:eastAsia="Times New Roman" w:hAnsi="Times New Roman" w:cs="Times New Roman"/>
          <w:color w:val="222222"/>
        </w:rPr>
      </w:pPr>
      <w:r w:rsidRPr="007D1582">
        <w:rPr>
          <w:rFonts w:ascii="Times New Roman" w:eastAsia="Times New Roman" w:hAnsi="Times New Roman" w:cs="Times New Roman"/>
          <w:color w:val="222222"/>
        </w:rPr>
        <w:t>• </w:t>
      </w:r>
      <w:r w:rsidRPr="007D1582">
        <w:rPr>
          <w:rFonts w:ascii="Times New Roman" w:eastAsia="Times New Roman" w:hAnsi="Times New Roman" w:cs="Times New Roman"/>
          <w:b/>
          <w:bCs/>
          <w:color w:val="FF0000"/>
        </w:rPr>
        <w:t>Figures:</w:t>
      </w:r>
      <w:r w:rsidRPr="007D1582">
        <w:rPr>
          <w:rFonts w:ascii="Times New Roman" w:eastAsia="Times New Roman" w:hAnsi="Times New Roman" w:cs="Times New Roman"/>
          <w:color w:val="222222"/>
        </w:rPr>
        <w:br/>
        <w:t>1. Please remove the text "Figure #" from each figure.</w:t>
      </w:r>
    </w:p>
    <w:p w14:paraId="7D3E2802" w14:textId="79C788B8" w:rsidR="008C2501" w:rsidRPr="008C2501" w:rsidRDefault="008C2501" w:rsidP="00424F6E">
      <w:pPr>
        <w:spacing w:before="100" w:beforeAutospacing="1" w:after="100" w:afterAutospacing="1" w:line="240" w:lineRule="atLeast"/>
        <w:rPr>
          <w:rFonts w:ascii="Times New Roman" w:eastAsia="Times New Roman" w:hAnsi="Times New Roman" w:cs="Times New Roman"/>
          <w:color w:val="222222"/>
        </w:rPr>
      </w:pPr>
      <w:r w:rsidRPr="008C2501">
        <w:rPr>
          <w:rFonts w:eastAsia="Times New Roman" w:cstheme="minorHAnsi"/>
          <w:color w:val="2F5496" w:themeColor="accent1" w:themeShade="BF"/>
        </w:rPr>
        <w:t>We have</w:t>
      </w:r>
      <w:r w:rsidR="008116C0">
        <w:rPr>
          <w:rFonts w:eastAsia="Times New Roman" w:cstheme="minorHAnsi"/>
          <w:color w:val="2F5496" w:themeColor="accent1" w:themeShade="BF"/>
        </w:rPr>
        <w:t xml:space="preserve"> removed Figure # from our figures and saved as .</w:t>
      </w:r>
      <w:proofErr w:type="spellStart"/>
      <w:r w:rsidR="008116C0">
        <w:rPr>
          <w:rFonts w:eastAsia="Times New Roman" w:cstheme="minorHAnsi"/>
          <w:color w:val="2F5496" w:themeColor="accent1" w:themeShade="BF"/>
        </w:rPr>
        <w:t>psd</w:t>
      </w:r>
      <w:proofErr w:type="spellEnd"/>
      <w:r w:rsidR="008116C0">
        <w:rPr>
          <w:rFonts w:eastAsia="Times New Roman" w:cstheme="minorHAnsi"/>
          <w:color w:val="2F5496" w:themeColor="accent1" w:themeShade="BF"/>
        </w:rPr>
        <w:t xml:space="preserve"> files. </w:t>
      </w:r>
    </w:p>
    <w:p w14:paraId="5491CA70" w14:textId="77777777" w:rsidR="008C2501" w:rsidRDefault="007D1582" w:rsidP="00424F6E">
      <w:pPr>
        <w:spacing w:before="100" w:beforeAutospacing="1" w:after="100" w:afterAutospacing="1" w:line="240" w:lineRule="atLeast"/>
        <w:rPr>
          <w:rFonts w:eastAsia="Times New Roman" w:cstheme="minorHAnsi"/>
          <w:color w:val="2F5496" w:themeColor="accent1" w:themeShade="BF"/>
        </w:rPr>
      </w:pPr>
      <w:r w:rsidRPr="007D1582">
        <w:rPr>
          <w:rFonts w:ascii="Times New Roman" w:eastAsia="Times New Roman" w:hAnsi="Times New Roman" w:cs="Times New Roman"/>
          <w:color w:val="222222"/>
        </w:rPr>
        <w:br/>
        <w:t>2. Fig 3: define the error bars.</w:t>
      </w:r>
      <w:r w:rsidRPr="007D1582">
        <w:rPr>
          <w:rFonts w:ascii="Times New Roman" w:eastAsia="Times New Roman" w:hAnsi="Times New Roman" w:cs="Times New Roman"/>
          <w:color w:val="222222"/>
        </w:rPr>
        <w:br/>
      </w:r>
      <w:r w:rsidR="008C2501" w:rsidRPr="008C2501">
        <w:rPr>
          <w:rFonts w:eastAsia="Times New Roman" w:cstheme="minorHAnsi"/>
          <w:color w:val="2F5496" w:themeColor="accent1" w:themeShade="BF"/>
        </w:rPr>
        <w:t>We have</w:t>
      </w:r>
      <w:r w:rsidR="00F60173">
        <w:rPr>
          <w:rFonts w:eastAsia="Times New Roman" w:cstheme="minorHAnsi"/>
          <w:color w:val="2F5496" w:themeColor="accent1" w:themeShade="BF"/>
        </w:rPr>
        <w:t xml:space="preserve"> now defined the error bars in the Figure 3 legend as </w:t>
      </w:r>
      <w:r w:rsidR="00F60173" w:rsidRPr="00F60173">
        <w:rPr>
          <w:rFonts w:eastAsia="Times New Roman" w:cstheme="minorHAnsi"/>
          <w:color w:val="2F5496" w:themeColor="accent1" w:themeShade="BF"/>
        </w:rPr>
        <w:t xml:space="preserve">mean </w:t>
      </w:r>
      <w:r w:rsidR="00F60173" w:rsidRPr="00F60173">
        <w:rPr>
          <w:rFonts w:cs="Arial"/>
          <w:bCs/>
          <w:color w:val="2F5496" w:themeColor="accent1" w:themeShade="BF"/>
        </w:rPr>
        <w:t xml:space="preserve">± </w:t>
      </w:r>
      <w:proofErr w:type="spellStart"/>
      <w:r w:rsidR="00F60173" w:rsidRPr="00F60173">
        <w:rPr>
          <w:rFonts w:cs="Arial"/>
          <w:bCs/>
          <w:color w:val="2F5496" w:themeColor="accent1" w:themeShade="BF"/>
        </w:rPr>
        <w:t>s.e.m</w:t>
      </w:r>
      <w:proofErr w:type="spellEnd"/>
      <w:r w:rsidR="00F60173" w:rsidRPr="00F60173">
        <w:rPr>
          <w:rFonts w:cs="Arial"/>
          <w:bCs/>
          <w:color w:val="2F5496" w:themeColor="accent1" w:themeShade="BF"/>
        </w:rPr>
        <w:t>.</w:t>
      </w:r>
    </w:p>
    <w:p w14:paraId="7810124F" w14:textId="77777777" w:rsidR="008C2501" w:rsidRDefault="007D1582" w:rsidP="00424F6E">
      <w:pPr>
        <w:spacing w:before="100" w:beforeAutospacing="1" w:after="100" w:afterAutospacing="1" w:line="240" w:lineRule="atLeast"/>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 </w:t>
      </w:r>
      <w:r w:rsidRPr="007D1582">
        <w:rPr>
          <w:rFonts w:ascii="Times New Roman" w:eastAsia="Times New Roman" w:hAnsi="Times New Roman" w:cs="Times New Roman"/>
          <w:b/>
          <w:bCs/>
          <w:color w:val="FF0000"/>
        </w:rPr>
        <w:t>Discussion:</w:t>
      </w:r>
      <w:r w:rsidRPr="007D1582">
        <w:rPr>
          <w:rFonts w:ascii="Times New Roman" w:eastAsia="Times New Roman" w:hAnsi="Times New Roman" w:cs="Times New Roman"/>
          <w:color w:val="222222"/>
        </w:rPr>
        <w:t> </w:t>
      </w:r>
      <w:proofErr w:type="spellStart"/>
      <w:r w:rsidRPr="007D1582">
        <w:rPr>
          <w:rFonts w:ascii="Times New Roman" w:eastAsia="Times New Roman" w:hAnsi="Times New Roman" w:cs="Times New Roman"/>
          <w:color w:val="222222"/>
        </w:rPr>
        <w:t>JoVE</w:t>
      </w:r>
      <w:proofErr w:type="spellEnd"/>
      <w:r w:rsidRPr="007D1582">
        <w:rPr>
          <w:rFonts w:ascii="Times New Roman" w:eastAsia="Times New Roman" w:hAnsi="Times New Roman" w:cs="Times New Roman"/>
          <w:color w:val="222222"/>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1B9B68EC" w14:textId="2BEE97DA" w:rsidR="008C2501" w:rsidRDefault="008C2501" w:rsidP="00424F6E">
      <w:pPr>
        <w:spacing w:before="100" w:beforeAutospacing="1" w:after="100" w:afterAutospacing="1" w:line="240" w:lineRule="atLeast"/>
        <w:rPr>
          <w:rFonts w:ascii="Times New Roman" w:eastAsia="Times New Roman" w:hAnsi="Times New Roman" w:cs="Times New Roman"/>
          <w:color w:val="222222"/>
        </w:rPr>
      </w:pPr>
      <w:r w:rsidRPr="008C2501">
        <w:rPr>
          <w:rFonts w:eastAsia="Times New Roman" w:cstheme="minorHAnsi"/>
          <w:color w:val="2F5496" w:themeColor="accent1" w:themeShade="BF"/>
        </w:rPr>
        <w:t>We have</w:t>
      </w:r>
      <w:r w:rsidR="00004044">
        <w:rPr>
          <w:rFonts w:eastAsia="Times New Roman" w:cstheme="minorHAnsi"/>
          <w:color w:val="2F5496" w:themeColor="accent1" w:themeShade="BF"/>
        </w:rPr>
        <w:t xml:space="preserve"> edited our discussion section to </w:t>
      </w:r>
      <w:r w:rsidR="00132627">
        <w:rPr>
          <w:rFonts w:eastAsia="Times New Roman" w:cstheme="minorHAnsi"/>
          <w:color w:val="2F5496" w:themeColor="accent1" w:themeShade="BF"/>
        </w:rPr>
        <w:t>address</w:t>
      </w:r>
      <w:r w:rsidR="00004044">
        <w:rPr>
          <w:rFonts w:eastAsia="Times New Roman" w:cstheme="minorHAnsi"/>
          <w:color w:val="2F5496" w:themeColor="accent1" w:themeShade="BF"/>
        </w:rPr>
        <w:t xml:space="preserve"> these topics. </w:t>
      </w:r>
      <w:r w:rsidR="007D1582" w:rsidRPr="007D1582">
        <w:rPr>
          <w:rFonts w:ascii="Times New Roman" w:eastAsia="Times New Roman" w:hAnsi="Times New Roman" w:cs="Times New Roman"/>
          <w:color w:val="222222"/>
        </w:rPr>
        <w:br/>
      </w:r>
      <w:r w:rsidR="007D1582" w:rsidRPr="007D1582">
        <w:rPr>
          <w:rFonts w:ascii="Times New Roman" w:eastAsia="Times New Roman" w:hAnsi="Times New Roman" w:cs="Times New Roman"/>
          <w:color w:val="222222"/>
        </w:rPr>
        <w:br/>
        <w:t>• </w:t>
      </w:r>
      <w:r w:rsidR="007D1582" w:rsidRPr="007D1582">
        <w:rPr>
          <w:rFonts w:ascii="Times New Roman" w:eastAsia="Times New Roman" w:hAnsi="Times New Roman" w:cs="Times New Roman"/>
          <w:b/>
          <w:bCs/>
          <w:color w:val="FF0000"/>
        </w:rPr>
        <w:t>References:</w:t>
      </w:r>
      <w:r w:rsidR="007D1582" w:rsidRPr="007D1582">
        <w:rPr>
          <w:rFonts w:ascii="Times New Roman" w:eastAsia="Times New Roman" w:hAnsi="Times New Roman" w:cs="Times New Roman"/>
          <w:color w:val="222222"/>
        </w:rPr>
        <w:t> Please spell out journal names.</w:t>
      </w:r>
    </w:p>
    <w:p w14:paraId="3414E1E7" w14:textId="2C4D0C89" w:rsidR="008C2501" w:rsidRDefault="008C2501" w:rsidP="00424F6E">
      <w:pPr>
        <w:spacing w:before="100" w:beforeAutospacing="1" w:after="100" w:afterAutospacing="1" w:line="240" w:lineRule="atLeast"/>
        <w:rPr>
          <w:rFonts w:ascii="Times New Roman" w:eastAsia="Times New Roman" w:hAnsi="Times New Roman" w:cs="Times New Roman"/>
          <w:color w:val="222222"/>
        </w:rPr>
      </w:pPr>
      <w:r w:rsidRPr="008C2501">
        <w:rPr>
          <w:rFonts w:eastAsia="Times New Roman" w:cstheme="minorHAnsi"/>
          <w:color w:val="2F5496" w:themeColor="accent1" w:themeShade="BF"/>
        </w:rPr>
        <w:t>We have</w:t>
      </w:r>
      <w:r w:rsidR="00A16810">
        <w:rPr>
          <w:rFonts w:eastAsia="Times New Roman" w:cstheme="minorHAnsi"/>
          <w:color w:val="2F5496" w:themeColor="accent1" w:themeShade="BF"/>
        </w:rPr>
        <w:t xml:space="preserve"> spelled out journal names in our references.</w:t>
      </w:r>
      <w:r w:rsidR="007D1582" w:rsidRPr="007D1582">
        <w:rPr>
          <w:rFonts w:ascii="Times New Roman" w:eastAsia="Times New Roman" w:hAnsi="Times New Roman" w:cs="Times New Roman"/>
          <w:color w:val="222222"/>
        </w:rPr>
        <w:br/>
      </w:r>
      <w:r w:rsidR="007D1582" w:rsidRPr="007D1582">
        <w:rPr>
          <w:rFonts w:ascii="Times New Roman" w:eastAsia="Times New Roman" w:hAnsi="Times New Roman" w:cs="Times New Roman"/>
          <w:color w:val="222222"/>
        </w:rPr>
        <w:br/>
      </w:r>
      <w:r w:rsidR="007D1582" w:rsidRPr="007D1582">
        <w:rPr>
          <w:rFonts w:ascii="Times New Roman" w:eastAsia="Times New Roman" w:hAnsi="Times New Roman" w:cs="Times New Roman"/>
          <w:color w:val="222222"/>
        </w:rPr>
        <w:lastRenderedPageBreak/>
        <w:t>• </w:t>
      </w:r>
      <w:r w:rsidR="007D1582" w:rsidRPr="007D1582">
        <w:rPr>
          <w:rFonts w:ascii="Times New Roman" w:eastAsia="Times New Roman" w:hAnsi="Times New Roman" w:cs="Times New Roman"/>
          <w:b/>
          <w:bCs/>
          <w:color w:val="FF0000"/>
        </w:rPr>
        <w:t>Commercial Language:</w:t>
      </w:r>
      <w:r w:rsidR="007D1582" w:rsidRPr="007D1582">
        <w:rPr>
          <w:rFonts w:ascii="Times New Roman" w:eastAsia="Times New Roman" w:hAnsi="Times New Roman" w:cs="Times New Roman"/>
          <w:color w:val="222222"/>
        </w:rPr>
        <w:t> </w:t>
      </w:r>
      <w:proofErr w:type="spellStart"/>
      <w:r w:rsidR="007D1582" w:rsidRPr="007D1582">
        <w:rPr>
          <w:rFonts w:ascii="Times New Roman" w:eastAsia="Times New Roman" w:hAnsi="Times New Roman" w:cs="Times New Roman"/>
          <w:color w:val="222222"/>
        </w:rPr>
        <w:t>JoVE</w:t>
      </w:r>
      <w:proofErr w:type="spellEnd"/>
      <w:r w:rsidR="007D1582" w:rsidRPr="007D1582">
        <w:rPr>
          <w:rFonts w:ascii="Times New Roman" w:eastAsia="Times New Roman" w:hAnsi="Times New Roman" w:cs="Times New Roman"/>
          <w:color w:val="222222"/>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MACS, Fc block, </w:t>
      </w:r>
      <w:proofErr w:type="spellStart"/>
      <w:r w:rsidR="007D1582" w:rsidRPr="007D1582">
        <w:rPr>
          <w:rFonts w:ascii="Times New Roman" w:eastAsia="Times New Roman" w:hAnsi="Times New Roman" w:cs="Times New Roman"/>
          <w:color w:val="222222"/>
        </w:rPr>
        <w:t>Miltenyi</w:t>
      </w:r>
      <w:proofErr w:type="spellEnd"/>
      <w:r w:rsidR="007D1582" w:rsidRPr="007D1582">
        <w:rPr>
          <w:rFonts w:ascii="Times New Roman" w:eastAsia="Times New Roman" w:hAnsi="Times New Roman" w:cs="Times New Roman"/>
          <w:color w:val="222222"/>
        </w:rPr>
        <w:t>,</w:t>
      </w:r>
      <w:r w:rsidR="007D1582" w:rsidRPr="007D1582">
        <w:rPr>
          <w:rFonts w:ascii="Times New Roman" w:eastAsia="Times New Roman" w:hAnsi="Times New Roman" w:cs="Times New Roman"/>
          <w:color w:val="222222"/>
        </w:rPr>
        <w:br/>
        <w:t>1) Please use MS Word’s find function (</w:t>
      </w:r>
      <w:proofErr w:type="spellStart"/>
      <w:r w:rsidR="007D1582" w:rsidRPr="007D1582">
        <w:rPr>
          <w:rFonts w:ascii="Times New Roman" w:eastAsia="Times New Roman" w:hAnsi="Times New Roman" w:cs="Times New Roman"/>
          <w:color w:val="222222"/>
        </w:rPr>
        <w:t>Ctrl+F</w:t>
      </w:r>
      <w:proofErr w:type="spellEnd"/>
      <w:r w:rsidR="007D1582" w:rsidRPr="007D1582">
        <w:rPr>
          <w:rFonts w:ascii="Times New Roman" w:eastAsia="Times New Roman" w:hAnsi="Times New Roman" w:cs="Times New Roman"/>
          <w:color w:val="222222"/>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02B2F4A" w14:textId="77777777" w:rsidR="008C2501" w:rsidRDefault="008C2501" w:rsidP="00424F6E">
      <w:pPr>
        <w:spacing w:before="100" w:beforeAutospacing="1" w:after="100" w:afterAutospacing="1" w:line="240" w:lineRule="atLeast"/>
        <w:rPr>
          <w:rFonts w:eastAsia="Times New Roman" w:cstheme="minorHAnsi"/>
          <w:color w:val="2F5496" w:themeColor="accent1" w:themeShade="BF"/>
        </w:rPr>
      </w:pPr>
      <w:r w:rsidRPr="008C2501">
        <w:rPr>
          <w:rFonts w:eastAsia="Times New Roman" w:cstheme="minorHAnsi"/>
          <w:color w:val="2F5496" w:themeColor="accent1" w:themeShade="BF"/>
        </w:rPr>
        <w:t>We have</w:t>
      </w:r>
      <w:r w:rsidR="009A56FB">
        <w:rPr>
          <w:rFonts w:eastAsia="Times New Roman" w:cstheme="minorHAnsi"/>
          <w:color w:val="2F5496" w:themeColor="accent1" w:themeShade="BF"/>
        </w:rPr>
        <w:t xml:space="preserve"> now removed use of the terms “MACS”, “Fc block”, “</w:t>
      </w:r>
      <w:proofErr w:type="spellStart"/>
      <w:r w:rsidR="009A56FB">
        <w:rPr>
          <w:rFonts w:eastAsia="Times New Roman" w:cstheme="minorHAnsi"/>
          <w:color w:val="2F5496" w:themeColor="accent1" w:themeShade="BF"/>
        </w:rPr>
        <w:t>Miltenyi</w:t>
      </w:r>
      <w:proofErr w:type="spellEnd"/>
      <w:r w:rsidR="009A56FB">
        <w:rPr>
          <w:rFonts w:eastAsia="Times New Roman" w:cstheme="minorHAnsi"/>
          <w:color w:val="2F5496" w:themeColor="accent1" w:themeShade="BF"/>
        </w:rPr>
        <w:t>”</w:t>
      </w:r>
      <w:r w:rsidR="00217A55">
        <w:rPr>
          <w:rFonts w:eastAsia="Times New Roman" w:cstheme="minorHAnsi"/>
          <w:color w:val="2F5496" w:themeColor="accent1" w:themeShade="BF"/>
        </w:rPr>
        <w:t>, and “LS columns”</w:t>
      </w:r>
      <w:r w:rsidR="009A56FB">
        <w:rPr>
          <w:rFonts w:eastAsia="Times New Roman" w:cstheme="minorHAnsi"/>
          <w:color w:val="2F5496" w:themeColor="accent1" w:themeShade="BF"/>
        </w:rPr>
        <w:t xml:space="preserve"> from our protocol. </w:t>
      </w:r>
    </w:p>
    <w:p w14:paraId="33C1F197" w14:textId="77777777" w:rsidR="008C2501" w:rsidRDefault="007D1582" w:rsidP="007D1582">
      <w:pPr>
        <w:spacing w:before="100" w:beforeAutospacing="1" w:after="100" w:afterAutospacing="1"/>
        <w:rPr>
          <w:rFonts w:eastAsia="Times New Roman" w:cstheme="minorHAnsi"/>
          <w:color w:val="2F5496" w:themeColor="accent1" w:themeShade="BF"/>
        </w:rPr>
      </w:pPr>
      <w:r w:rsidRPr="007D1582">
        <w:rPr>
          <w:rFonts w:ascii="Times New Roman" w:eastAsia="Times New Roman" w:hAnsi="Times New Roman" w:cs="Times New Roman"/>
          <w:color w:val="222222"/>
        </w:rPr>
        <w:br/>
        <w:t>2) Please remove the registered trademark symbols TM/R from the table of reagents/materials.</w:t>
      </w:r>
      <w:r w:rsidRPr="007D1582">
        <w:rPr>
          <w:rFonts w:ascii="Times New Roman" w:eastAsia="Times New Roman" w:hAnsi="Times New Roman" w:cs="Times New Roman"/>
          <w:color w:val="222222"/>
        </w:rPr>
        <w:br/>
      </w:r>
      <w:r w:rsidR="008C2501" w:rsidRPr="008C2501">
        <w:rPr>
          <w:rFonts w:eastAsia="Times New Roman" w:cstheme="minorHAnsi"/>
          <w:color w:val="2F5496" w:themeColor="accent1" w:themeShade="BF"/>
        </w:rPr>
        <w:t>We have</w:t>
      </w:r>
      <w:r w:rsidR="007B53C2">
        <w:rPr>
          <w:rFonts w:eastAsia="Times New Roman" w:cstheme="minorHAnsi"/>
          <w:color w:val="2F5496" w:themeColor="accent1" w:themeShade="BF"/>
        </w:rPr>
        <w:t xml:space="preserve"> removed any TM/R symbols from our Table of materials. </w:t>
      </w:r>
    </w:p>
    <w:p w14:paraId="325E012D" w14:textId="77777777" w:rsidR="007D1582"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7D1582">
        <w:rPr>
          <w:rFonts w:ascii="Times New Roman" w:eastAsia="Times New Roman" w:hAnsi="Times New Roman" w:cs="Times New Roman"/>
          <w:color w:val="222222"/>
        </w:rPr>
        <w:t>JoVE</w:t>
      </w:r>
      <w:proofErr w:type="spellEnd"/>
      <w:r w:rsidRPr="007D1582">
        <w:rPr>
          <w:rFonts w:ascii="Times New Roman" w:eastAsia="Times New Roman" w:hAnsi="Times New Roman" w:cs="Times New Roman"/>
          <w:color w:val="222222"/>
        </w:rPr>
        <w:t>)" section. Please also cite the figure appropriately in the figure legend, i.e. "This figure has been modified from [citation]."</w:t>
      </w:r>
      <w:r w:rsidRPr="007D1582">
        <w:rPr>
          <w:rFonts w:ascii="Times New Roman" w:eastAsia="Times New Roman" w:hAnsi="Times New Roman" w:cs="Times New Roman"/>
          <w:color w:val="222222"/>
        </w:rPr>
        <w:br/>
        <w:t> </w:t>
      </w:r>
    </w:p>
    <w:p w14:paraId="5B5FF496" w14:textId="77777777" w:rsidR="008C2501" w:rsidRPr="007D1582" w:rsidRDefault="008C2501" w:rsidP="007D1582">
      <w:pPr>
        <w:spacing w:before="100" w:beforeAutospacing="1" w:after="100" w:afterAutospacing="1"/>
        <w:rPr>
          <w:rFonts w:ascii="Times New Roman" w:eastAsia="Times New Roman" w:hAnsi="Times New Roman" w:cs="Times New Roman"/>
          <w:color w:val="222222"/>
        </w:rPr>
      </w:pPr>
      <w:r w:rsidRPr="008C2501">
        <w:rPr>
          <w:rFonts w:eastAsia="Times New Roman" w:cstheme="minorHAnsi"/>
          <w:color w:val="2F5496" w:themeColor="accent1" w:themeShade="BF"/>
        </w:rPr>
        <w:t>We have</w:t>
      </w:r>
      <w:r w:rsidR="00A00465">
        <w:rPr>
          <w:rFonts w:eastAsia="Times New Roman" w:cstheme="minorHAnsi"/>
          <w:color w:val="2F5496" w:themeColor="accent1" w:themeShade="BF"/>
        </w:rPr>
        <w:t xml:space="preserve"> received reprint permissions from </w:t>
      </w:r>
      <w:r w:rsidR="00A00465" w:rsidRPr="00A00465">
        <w:rPr>
          <w:rFonts w:eastAsia="Times New Roman" w:cstheme="minorHAnsi"/>
          <w:i/>
          <w:color w:val="2F5496" w:themeColor="accent1" w:themeShade="BF"/>
        </w:rPr>
        <w:t>Circulation Research</w:t>
      </w:r>
      <w:r w:rsidR="00A00465">
        <w:rPr>
          <w:rFonts w:eastAsia="Times New Roman" w:cstheme="minorHAnsi"/>
          <w:color w:val="2F5496" w:themeColor="accent1" w:themeShade="BF"/>
        </w:rPr>
        <w:t xml:space="preserve"> and Wolters Kluwer Health, Inc. and have included this letter as a supplemental file in our resubmission. </w:t>
      </w:r>
      <w:r w:rsidR="005F3B5D">
        <w:rPr>
          <w:rFonts w:eastAsia="Times New Roman" w:cstheme="minorHAnsi"/>
          <w:color w:val="2F5496" w:themeColor="accent1" w:themeShade="BF"/>
        </w:rPr>
        <w:t>We have additionally updated figure and table legends to cite our previous publication.</w:t>
      </w:r>
    </w:p>
    <w:p w14:paraId="0B370526" w14:textId="77777777" w:rsidR="007D1582" w:rsidRPr="007D1582" w:rsidRDefault="003C74B7" w:rsidP="007D1582">
      <w:pPr>
        <w:jc w:val="center"/>
        <w:rPr>
          <w:rFonts w:ascii="Arial" w:eastAsia="Times New Roman" w:hAnsi="Arial" w:cs="Arial"/>
          <w:color w:val="222222"/>
        </w:rPr>
      </w:pPr>
      <w:r>
        <w:rPr>
          <w:rFonts w:ascii="Arial" w:eastAsia="Times New Roman" w:hAnsi="Arial" w:cs="Arial"/>
          <w:noProof/>
          <w:color w:val="222222"/>
        </w:rPr>
        <w:pict w14:anchorId="02A983EB">
          <v:rect id="_x0000_i1025" alt="" style="width:468pt;height:3pt;mso-width-percent:0;mso-height-percent:0;mso-width-percent:0;mso-height-percent:0" o:hralign="center" o:hrstd="t" o:hr="t" fillcolor="#a0a0a0" stroked="f"/>
        </w:pict>
      </w:r>
    </w:p>
    <w:p w14:paraId="58CD306F" w14:textId="77777777" w:rsidR="007D1582" w:rsidRPr="007D1582"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t> </w:t>
      </w:r>
    </w:p>
    <w:p w14:paraId="52C803EA" w14:textId="77777777" w:rsidR="0017514E"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r>
      <w:r w:rsidRPr="007D1582">
        <w:rPr>
          <w:rFonts w:ascii="Times New Roman" w:eastAsia="Times New Roman" w:hAnsi="Times New Roman" w:cs="Times New Roman"/>
          <w:b/>
          <w:bCs/>
          <w:color w:val="0000FF"/>
          <w:u w:val="single"/>
        </w:rPr>
        <w:t>Comments from Peer-Reviewers:</w:t>
      </w:r>
      <w:r w:rsidRPr="007D1582">
        <w:rPr>
          <w:rFonts w:ascii="Times New Roman" w:eastAsia="Times New Roman" w:hAnsi="Times New Roman" w:cs="Times New Roman"/>
        </w:rPr>
        <w:t> </w:t>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r>
      <w:r w:rsidRPr="007D1582">
        <w:rPr>
          <w:rFonts w:ascii="Times New Roman" w:eastAsia="Times New Roman" w:hAnsi="Times New Roman" w:cs="Times New Roman"/>
          <w:b/>
          <w:bCs/>
          <w:color w:val="222222"/>
        </w:rPr>
        <w:t>Reviewers' comments:</w:t>
      </w:r>
      <w:r w:rsidRPr="007D1582">
        <w:rPr>
          <w:rFonts w:ascii="Times New Roman" w:eastAsia="Times New Roman" w:hAnsi="Times New Roman" w:cs="Times New Roman"/>
          <w:color w:val="222222"/>
        </w:rPr>
        <w:br/>
        <w:t>Reviewer #1:</w:t>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t>Manuscript Summary:</w:t>
      </w:r>
      <w:r w:rsidRPr="007D1582">
        <w:rPr>
          <w:rFonts w:ascii="Times New Roman" w:eastAsia="Times New Roman" w:hAnsi="Times New Roman" w:cs="Times New Roman"/>
          <w:color w:val="222222"/>
        </w:rPr>
        <w:br/>
        <w:t xml:space="preserve">The authors describe a method to transduce B cells in particular B1a cells with the chemokine </w:t>
      </w:r>
      <w:r w:rsidRPr="007D1582">
        <w:rPr>
          <w:rFonts w:ascii="Times New Roman" w:eastAsia="Times New Roman" w:hAnsi="Times New Roman" w:cs="Times New Roman"/>
          <w:color w:val="222222"/>
        </w:rPr>
        <w:lastRenderedPageBreak/>
        <w:t>receptor CXCR4 using a recombinant retrovirus. To improve transduction efficiency, they isolate peritoneal cells, MACS deplete none-B cells and activate the remainig cells with CpG. After transduction, they sort-purify the CXCR4 expressing B1a cells and adoptively transfer them into lymphopenic mice. After a considerable time, they recover the cells from bone marrow and spleen of the recepient mice. In Addition, they analyse the plasma for antibodies and claim that the bone marrow targeted B1a cells are responsible for the antibodies they find in such mice.</w:t>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t>Major Concerns:</w:t>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t>Figure 6. Only percentages and FMI are given. This is not sufficient to conclude an enrichment. Abolute number need to be displayed.</w:t>
      </w:r>
    </w:p>
    <w:p w14:paraId="5E4B0FEF" w14:textId="56D9DB4D" w:rsidR="005567C1" w:rsidRDefault="0017514E" w:rsidP="007D1582">
      <w:pPr>
        <w:spacing w:before="100" w:beforeAutospacing="1" w:after="100" w:afterAutospacing="1"/>
        <w:rPr>
          <w:rFonts w:eastAsia="Times New Roman" w:cstheme="minorHAnsi"/>
          <w:color w:val="2F5496" w:themeColor="accent1" w:themeShade="BF"/>
        </w:rPr>
      </w:pPr>
      <w:r>
        <w:rPr>
          <w:rFonts w:eastAsia="Times New Roman" w:cstheme="minorHAnsi"/>
          <w:color w:val="2F5496" w:themeColor="accent1" w:themeShade="BF"/>
        </w:rPr>
        <w:t xml:space="preserve">We thank the Reviewer for making this important point. We have now included absolute number </w:t>
      </w:r>
      <w:r w:rsidR="005567C1">
        <w:rPr>
          <w:rFonts w:eastAsia="Times New Roman" w:cstheme="minorHAnsi"/>
          <w:color w:val="2F5496" w:themeColor="accent1" w:themeShade="BF"/>
        </w:rPr>
        <w:t xml:space="preserve">of donor cells recovered </w:t>
      </w:r>
      <w:r>
        <w:rPr>
          <w:rFonts w:eastAsia="Times New Roman" w:cstheme="minorHAnsi"/>
          <w:color w:val="2F5496" w:themeColor="accent1" w:themeShade="BF"/>
        </w:rPr>
        <w:t xml:space="preserve">in bone marrow and spleen to Figure </w:t>
      </w:r>
      <w:r w:rsidR="00781A43">
        <w:rPr>
          <w:rFonts w:eastAsia="Times New Roman" w:cstheme="minorHAnsi"/>
          <w:color w:val="2F5496" w:themeColor="accent1" w:themeShade="BF"/>
        </w:rPr>
        <w:t>6e</w:t>
      </w:r>
      <w:r w:rsidR="005567C1">
        <w:rPr>
          <w:rFonts w:eastAsia="Times New Roman" w:cstheme="minorHAnsi"/>
          <w:color w:val="2F5496" w:themeColor="accent1" w:themeShade="BF"/>
        </w:rPr>
        <w:t xml:space="preserve"> and 6f. Importantly, we believe that because CXCR4 overexpression did not occur equivalently on CXCR4-GFP transduced B-1a cells (as seen in Figure 6c), that the correlative analysis showing a positive correlation between CXCR4 expression and # of donor cells in bone marrow </w:t>
      </w:r>
      <w:r w:rsidR="0009131B">
        <w:rPr>
          <w:rFonts w:eastAsia="Times New Roman" w:cstheme="minorHAnsi"/>
          <w:color w:val="2F5496" w:themeColor="accent1" w:themeShade="BF"/>
        </w:rPr>
        <w:t>in Table 2</w:t>
      </w:r>
      <w:r w:rsidR="005567C1">
        <w:rPr>
          <w:rFonts w:eastAsia="Times New Roman" w:cstheme="minorHAnsi"/>
          <w:color w:val="2F5496" w:themeColor="accent1" w:themeShade="BF"/>
        </w:rPr>
        <w:t xml:space="preserve"> is a better representation of our point that increasing CXCR4 expression can result in increa</w:t>
      </w:r>
      <w:r w:rsidR="0009131B">
        <w:rPr>
          <w:rFonts w:eastAsia="Times New Roman" w:cstheme="minorHAnsi"/>
          <w:color w:val="2F5496" w:themeColor="accent1" w:themeShade="BF"/>
        </w:rPr>
        <w:t>sed localization specifically to</w:t>
      </w:r>
      <w:r w:rsidR="005567C1">
        <w:rPr>
          <w:rFonts w:eastAsia="Times New Roman" w:cstheme="minorHAnsi"/>
          <w:color w:val="2F5496" w:themeColor="accent1" w:themeShade="BF"/>
        </w:rPr>
        <w:t xml:space="preserve"> the bone marrow.</w:t>
      </w:r>
    </w:p>
    <w:p w14:paraId="31B1FCFF" w14:textId="77777777" w:rsidR="0009131B"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Table3: A positive correlation with particular antibody specificites and the number of donor B cells in bone marrow is given. To me it is not clear whether under these condition, i.e. activated B1a cells, the antibodies are produced in bone marrow at all. This could also explain why only 20% of the amount is found under these conditions.</w:t>
      </w:r>
      <w:r w:rsidRPr="007D1582">
        <w:rPr>
          <w:rFonts w:ascii="Times New Roman" w:eastAsia="Times New Roman" w:hAnsi="Times New Roman" w:cs="Times New Roman"/>
          <w:color w:val="222222"/>
        </w:rPr>
        <w:br/>
      </w:r>
    </w:p>
    <w:p w14:paraId="5435C74A" w14:textId="320A0F7E" w:rsidR="00944082" w:rsidRDefault="008B618B" w:rsidP="007D1582">
      <w:pPr>
        <w:spacing w:before="100" w:beforeAutospacing="1" w:after="100" w:afterAutospacing="1"/>
        <w:rPr>
          <w:rFonts w:eastAsia="Times New Roman" w:cstheme="minorHAnsi"/>
          <w:color w:val="2F5496" w:themeColor="accent1" w:themeShade="BF"/>
        </w:rPr>
      </w:pPr>
      <w:r>
        <w:rPr>
          <w:rFonts w:eastAsia="Times New Roman" w:cstheme="minorHAnsi"/>
          <w:color w:val="2F5496" w:themeColor="accent1" w:themeShade="BF"/>
        </w:rPr>
        <w:t xml:space="preserve">Thank you for bringing up this interesting point. We also performed ELISPOTs </w:t>
      </w:r>
      <w:r w:rsidR="00BE622C">
        <w:rPr>
          <w:rFonts w:eastAsia="Times New Roman" w:cstheme="minorHAnsi"/>
          <w:color w:val="2F5496" w:themeColor="accent1" w:themeShade="BF"/>
        </w:rPr>
        <w:t>on bone marrow and found low but detectable numbers of IgM antibody secreting cells in bone marrow post-transfer (</w:t>
      </w:r>
      <w:r w:rsidR="002E56FD">
        <w:rPr>
          <w:rFonts w:eastAsia="Times New Roman" w:cstheme="minorHAnsi"/>
          <w:color w:val="2F5496" w:themeColor="accent1" w:themeShade="BF"/>
        </w:rPr>
        <w:t>on the order of 10</w:t>
      </w:r>
      <w:r w:rsidR="002E56FD" w:rsidRPr="002E56FD">
        <w:rPr>
          <w:rFonts w:eastAsia="Times New Roman" w:cstheme="minorHAnsi"/>
          <w:color w:val="2F5496" w:themeColor="accent1" w:themeShade="BF"/>
          <w:vertAlign w:val="superscript"/>
        </w:rPr>
        <w:t>3</w:t>
      </w:r>
      <w:r w:rsidR="002E56FD">
        <w:rPr>
          <w:rFonts w:eastAsia="Times New Roman" w:cstheme="minorHAnsi"/>
          <w:color w:val="2F5496" w:themeColor="accent1" w:themeShade="BF"/>
          <w:vertAlign w:val="superscript"/>
        </w:rPr>
        <w:t xml:space="preserve"> </w:t>
      </w:r>
      <w:r w:rsidR="002E56FD">
        <w:rPr>
          <w:rFonts w:eastAsia="Times New Roman" w:cstheme="minorHAnsi"/>
          <w:color w:val="2F5496" w:themeColor="accent1" w:themeShade="BF"/>
        </w:rPr>
        <w:t>from 1 femur and tibia). This is lower than what was found in spleen (also seen by comparing</w:t>
      </w:r>
      <w:r w:rsidR="000370AB">
        <w:rPr>
          <w:rFonts w:eastAsia="Times New Roman" w:cstheme="minorHAnsi"/>
          <w:color w:val="2F5496" w:themeColor="accent1" w:themeShade="BF"/>
        </w:rPr>
        <w:t xml:space="preserve"> the number of donor cells in spleen vs bone marrow measured by flow,</w:t>
      </w:r>
      <w:r w:rsidR="002E56FD">
        <w:rPr>
          <w:rFonts w:eastAsia="Times New Roman" w:cstheme="minorHAnsi"/>
          <w:color w:val="2F5496" w:themeColor="accent1" w:themeShade="BF"/>
        </w:rPr>
        <w:t xml:space="preserve"> Figure 6a and 6b), and </w:t>
      </w:r>
      <w:r w:rsidR="000370AB">
        <w:rPr>
          <w:rFonts w:eastAsia="Times New Roman" w:cstheme="minorHAnsi"/>
          <w:color w:val="2F5496" w:themeColor="accent1" w:themeShade="BF"/>
        </w:rPr>
        <w:t xml:space="preserve">is </w:t>
      </w:r>
      <w:r w:rsidR="002E56FD">
        <w:rPr>
          <w:rFonts w:eastAsia="Times New Roman" w:cstheme="minorHAnsi"/>
          <w:color w:val="2F5496" w:themeColor="accent1" w:themeShade="BF"/>
        </w:rPr>
        <w:t xml:space="preserve">also lower compared to </w:t>
      </w:r>
      <w:r w:rsidR="00944082">
        <w:rPr>
          <w:rFonts w:eastAsia="Times New Roman" w:cstheme="minorHAnsi"/>
          <w:color w:val="2F5496" w:themeColor="accent1" w:themeShade="BF"/>
        </w:rPr>
        <w:t xml:space="preserve">the number of IgM ASC seen in </w:t>
      </w:r>
      <w:r w:rsidR="002E56FD">
        <w:rPr>
          <w:rFonts w:eastAsia="Times New Roman" w:cstheme="minorHAnsi"/>
          <w:color w:val="2F5496" w:themeColor="accent1" w:themeShade="BF"/>
        </w:rPr>
        <w:t>wild-type bone marrow from a non-lymphopenic mouse</w:t>
      </w:r>
      <w:r w:rsidR="00E25630">
        <w:rPr>
          <w:rFonts w:eastAsia="Times New Roman" w:cstheme="minorHAnsi"/>
          <w:color w:val="2F5496" w:themeColor="accent1" w:themeShade="BF"/>
        </w:rPr>
        <w:t xml:space="preserve"> (on the order of 10</w:t>
      </w:r>
      <w:r w:rsidR="00E25630">
        <w:rPr>
          <w:rFonts w:eastAsia="Times New Roman" w:cstheme="minorHAnsi"/>
          <w:color w:val="2F5496" w:themeColor="accent1" w:themeShade="BF"/>
          <w:vertAlign w:val="superscript"/>
        </w:rPr>
        <w:t xml:space="preserve">5 </w:t>
      </w:r>
      <w:r w:rsidR="00E25630">
        <w:rPr>
          <w:rFonts w:eastAsia="Times New Roman" w:cstheme="minorHAnsi"/>
          <w:color w:val="2F5496" w:themeColor="accent1" w:themeShade="BF"/>
        </w:rPr>
        <w:t>from 1 femur and tibia after a similar length of Western diet feeding)</w:t>
      </w:r>
      <w:r w:rsidR="002E56FD">
        <w:rPr>
          <w:rFonts w:eastAsia="Times New Roman" w:cstheme="minorHAnsi"/>
          <w:color w:val="2F5496" w:themeColor="accent1" w:themeShade="BF"/>
        </w:rPr>
        <w:t xml:space="preserve">. </w:t>
      </w:r>
    </w:p>
    <w:p w14:paraId="7D758CEA" w14:textId="50E48073" w:rsidR="0009131B" w:rsidRDefault="000370AB" w:rsidP="007D1582">
      <w:pPr>
        <w:spacing w:before="100" w:beforeAutospacing="1" w:after="100" w:afterAutospacing="1"/>
        <w:rPr>
          <w:rFonts w:ascii="Times New Roman" w:eastAsia="Times New Roman" w:hAnsi="Times New Roman" w:cs="Times New Roman"/>
          <w:color w:val="222222"/>
        </w:rPr>
      </w:pPr>
      <w:r>
        <w:rPr>
          <w:rFonts w:eastAsia="Times New Roman" w:cstheme="minorHAnsi"/>
          <w:color w:val="2F5496" w:themeColor="accent1" w:themeShade="BF"/>
        </w:rPr>
        <w:t xml:space="preserve">However, despite there being </w:t>
      </w:r>
      <w:r w:rsidR="00075274">
        <w:rPr>
          <w:rFonts w:eastAsia="Times New Roman" w:cstheme="minorHAnsi"/>
          <w:color w:val="2F5496" w:themeColor="accent1" w:themeShade="BF"/>
        </w:rPr>
        <w:t>fewer</w:t>
      </w:r>
      <w:r>
        <w:rPr>
          <w:rFonts w:eastAsia="Times New Roman" w:cstheme="minorHAnsi"/>
          <w:color w:val="2F5496" w:themeColor="accent1" w:themeShade="BF"/>
        </w:rPr>
        <w:t xml:space="preserve"> overall </w:t>
      </w:r>
      <w:r w:rsidR="00944082">
        <w:rPr>
          <w:rFonts w:eastAsia="Times New Roman" w:cstheme="minorHAnsi"/>
          <w:color w:val="2F5496" w:themeColor="accent1" w:themeShade="BF"/>
        </w:rPr>
        <w:t>IgM ASC</w:t>
      </w:r>
      <w:r>
        <w:rPr>
          <w:rFonts w:eastAsia="Times New Roman" w:cstheme="minorHAnsi"/>
          <w:color w:val="2F5496" w:themeColor="accent1" w:themeShade="BF"/>
        </w:rPr>
        <w:t xml:space="preserve"> in bone marrow</w:t>
      </w:r>
      <w:r w:rsidR="00944082">
        <w:rPr>
          <w:rFonts w:eastAsia="Times New Roman" w:cstheme="minorHAnsi"/>
          <w:color w:val="2F5496" w:themeColor="accent1" w:themeShade="BF"/>
        </w:rPr>
        <w:t xml:space="preserve"> post B-1a cell transfer</w:t>
      </w:r>
      <w:r>
        <w:rPr>
          <w:rFonts w:eastAsia="Times New Roman" w:cstheme="minorHAnsi"/>
          <w:color w:val="2F5496" w:themeColor="accent1" w:themeShade="BF"/>
        </w:rPr>
        <w:t>, we still see a positive association with the number of donor cells in bone marrow (measured by flow) and the amount of plasma anti-OSE IgM, as well as a positive association with the number of bone marrow IgM ASC (measured by ELISPOT) and the amount of plasma anti-OSE IgM. Our point is not that other tissues do not contribute to</w:t>
      </w:r>
      <w:r w:rsidR="00075274">
        <w:rPr>
          <w:rFonts w:eastAsia="Times New Roman" w:cstheme="minorHAnsi"/>
          <w:color w:val="2F5496" w:themeColor="accent1" w:themeShade="BF"/>
        </w:rPr>
        <w:t xml:space="preserve"> overall plasma</w:t>
      </w:r>
      <w:r>
        <w:rPr>
          <w:rFonts w:eastAsia="Times New Roman" w:cstheme="minorHAnsi"/>
          <w:color w:val="2F5496" w:themeColor="accent1" w:themeShade="BF"/>
        </w:rPr>
        <w:t xml:space="preserve"> IgM </w:t>
      </w:r>
      <w:r w:rsidR="00075274">
        <w:rPr>
          <w:rFonts w:eastAsia="Times New Roman" w:cstheme="minorHAnsi"/>
          <w:color w:val="2F5496" w:themeColor="accent1" w:themeShade="BF"/>
        </w:rPr>
        <w:t>levels</w:t>
      </w:r>
      <w:r>
        <w:rPr>
          <w:rFonts w:eastAsia="Times New Roman" w:cstheme="minorHAnsi"/>
          <w:color w:val="2F5496" w:themeColor="accent1" w:themeShade="BF"/>
        </w:rPr>
        <w:t xml:space="preserve"> (indeed the spleen likely contributes more in this setting as more donor cells went there), but that donor cells in the bone marrow also contribute to the overall amount of plasma IgM and that increasing their localization to the bone marrow via increasing CXCR4 </w:t>
      </w:r>
      <w:r w:rsidR="00B13874">
        <w:rPr>
          <w:rFonts w:eastAsia="Times New Roman" w:cstheme="minorHAnsi"/>
          <w:color w:val="2F5496" w:themeColor="accent1" w:themeShade="BF"/>
        </w:rPr>
        <w:t>could</w:t>
      </w:r>
      <w:r>
        <w:rPr>
          <w:rFonts w:eastAsia="Times New Roman" w:cstheme="minorHAnsi"/>
          <w:color w:val="2F5496" w:themeColor="accent1" w:themeShade="BF"/>
        </w:rPr>
        <w:t xml:space="preserve"> boost this. </w:t>
      </w:r>
    </w:p>
    <w:p w14:paraId="00AF1B32" w14:textId="144385ED" w:rsidR="00B5479A"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lastRenderedPageBreak/>
        <w:br/>
        <w:t>Minor Concerns:</w:t>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t>Methods description:</w:t>
      </w:r>
      <w:r w:rsidRPr="007D1582">
        <w:rPr>
          <w:rFonts w:ascii="Times New Roman" w:eastAsia="Times New Roman" w:hAnsi="Times New Roman" w:cs="Times New Roman"/>
          <w:color w:val="222222"/>
        </w:rPr>
        <w:br/>
        <w:t>After 1.4 a washing step seems to be missing</w:t>
      </w:r>
    </w:p>
    <w:p w14:paraId="58B2F8B2" w14:textId="77777777" w:rsidR="003E79D8" w:rsidRDefault="005A0F2B" w:rsidP="007D1582">
      <w:pPr>
        <w:spacing w:before="100" w:beforeAutospacing="1" w:after="100" w:afterAutospacing="1"/>
        <w:rPr>
          <w:rFonts w:eastAsia="Times New Roman" w:cstheme="minorHAnsi"/>
          <w:color w:val="2F5496" w:themeColor="accent1" w:themeShade="BF"/>
        </w:rPr>
      </w:pPr>
      <w:r w:rsidRPr="008C2501">
        <w:rPr>
          <w:rFonts w:eastAsia="Times New Roman" w:cstheme="minorHAnsi"/>
          <w:color w:val="2F5496" w:themeColor="accent1" w:themeShade="BF"/>
        </w:rPr>
        <w:t xml:space="preserve">We </w:t>
      </w:r>
      <w:r>
        <w:rPr>
          <w:rFonts w:eastAsia="Times New Roman" w:cstheme="minorHAnsi"/>
          <w:color w:val="2F5496" w:themeColor="accent1" w:themeShade="BF"/>
        </w:rPr>
        <w:t xml:space="preserve">stain with anti-CD16/CD32 to block Fc receptors </w:t>
      </w:r>
      <w:r w:rsidR="003E79D8">
        <w:rPr>
          <w:rFonts w:eastAsia="Times New Roman" w:cstheme="minorHAnsi"/>
          <w:color w:val="2F5496" w:themeColor="accent1" w:themeShade="BF"/>
        </w:rPr>
        <w:t>for 10 minutes before we</w:t>
      </w:r>
      <w:r w:rsidR="00BB2E95">
        <w:rPr>
          <w:rFonts w:eastAsia="Times New Roman" w:cstheme="minorHAnsi"/>
          <w:color w:val="2F5496" w:themeColor="accent1" w:themeShade="BF"/>
        </w:rPr>
        <w:t xml:space="preserve"> directly</w:t>
      </w:r>
      <w:r w:rsidR="003E79D8">
        <w:rPr>
          <w:rFonts w:eastAsia="Times New Roman" w:cstheme="minorHAnsi"/>
          <w:color w:val="2F5496" w:themeColor="accent1" w:themeShade="BF"/>
        </w:rPr>
        <w:t xml:space="preserve"> add our primary staining antibodies, therefore there is no need to wash between steps 1.4 and 1.5. </w:t>
      </w:r>
    </w:p>
    <w:p w14:paraId="64FBB2F5" w14:textId="77777777" w:rsidR="00E612DB"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 xml:space="preserve">1.5: the description how the 2x master mix is established and why it is called 2x master mix is unclear. Why was anit-CD11b not included. In </w:t>
      </w:r>
      <w:proofErr w:type="gramStart"/>
      <w:r w:rsidRPr="007D1582">
        <w:rPr>
          <w:rFonts w:ascii="Times New Roman" w:eastAsia="Times New Roman" w:hAnsi="Times New Roman" w:cs="Times New Roman"/>
          <w:color w:val="222222"/>
        </w:rPr>
        <w:t>addition</w:t>
      </w:r>
      <w:proofErr w:type="gramEnd"/>
      <w:r w:rsidRPr="007D1582">
        <w:rPr>
          <w:rFonts w:ascii="Times New Roman" w:eastAsia="Times New Roman" w:hAnsi="Times New Roman" w:cs="Times New Roman"/>
          <w:color w:val="222222"/>
        </w:rPr>
        <w:t xml:space="preserve"> a cenrifugation step seems to be missing.</w:t>
      </w:r>
    </w:p>
    <w:p w14:paraId="270D54B2" w14:textId="77777777" w:rsidR="00BB2E95" w:rsidRDefault="006D5ADC" w:rsidP="007D1582">
      <w:pPr>
        <w:spacing w:before="100" w:beforeAutospacing="1" w:after="100" w:afterAutospacing="1"/>
        <w:rPr>
          <w:rFonts w:eastAsia="Times New Roman" w:cstheme="minorHAnsi"/>
          <w:color w:val="2F5496" w:themeColor="accent1" w:themeShade="BF"/>
        </w:rPr>
      </w:pPr>
      <w:r>
        <w:rPr>
          <w:rFonts w:eastAsia="Times New Roman" w:cstheme="minorHAnsi"/>
          <w:color w:val="2F5496" w:themeColor="accent1" w:themeShade="BF"/>
        </w:rPr>
        <w:t xml:space="preserve">We thank the Reviewer for pointing out this confusing language. </w:t>
      </w:r>
      <w:r w:rsidR="00BB2E95">
        <w:rPr>
          <w:rFonts w:eastAsia="Times New Roman" w:cstheme="minorHAnsi"/>
          <w:color w:val="2F5496" w:themeColor="accent1" w:themeShade="BF"/>
        </w:rPr>
        <w:t>We add our primary antibody stains directly to the cells that are incubating in Fc block. This saves a wash and centrifugation step and potential cell loss. Therefore, to account for the volume of liquid that the cells are already in (Fc block in assay buffer), we prepare a 2X master mix of our primary antibody stains. We have clarified this in step 1.5 with the following language:</w:t>
      </w:r>
    </w:p>
    <w:p w14:paraId="4576F586" w14:textId="77777777" w:rsidR="006D5ADC" w:rsidRPr="006D5ADC" w:rsidRDefault="006D5ADC" w:rsidP="006D5ADC">
      <w:pPr>
        <w:pStyle w:val="ListParagraph"/>
        <w:numPr>
          <w:ilvl w:val="1"/>
          <w:numId w:val="5"/>
        </w:numPr>
        <w:ind w:left="0" w:firstLine="0"/>
        <w:rPr>
          <w:highlight w:val="yellow"/>
        </w:rPr>
      </w:pPr>
      <w:r w:rsidRPr="006D5ADC">
        <w:rPr>
          <w:highlight w:val="yellow"/>
        </w:rPr>
        <w:t xml:space="preserve">Prepare a 2X master mix of the following biotinylated antibodies in assay buffer for depletion. The 2X master mix accounts for the volume of liquid the cells are already in when incubating with anti-CD16/CD32, i.e. if cells are incubating in 500 uL of diluted anti-CD16/CD32, then add 500 uL of 2X master mix containing 10 uL biotinylated Ter119, Gr-1, CD23, and NK1.1 antibody, and 25 uL of biotinylated F4/80 antibody to achieve the final concentrations given in the table below. Add 2X master mix to cells and stain for 20 min at 4 </w:t>
      </w:r>
      <w:r w:rsidRPr="00B56BD7">
        <w:rPr>
          <w:highlight w:val="yellow"/>
        </w:rPr>
        <w:sym w:font="Symbol" w:char="F0B0"/>
      </w:r>
      <w:r w:rsidRPr="006D5ADC">
        <w:rPr>
          <w:highlight w:val="yellow"/>
        </w:rPr>
        <w:t>C.</w:t>
      </w:r>
    </w:p>
    <w:p w14:paraId="7FB5ECBE" w14:textId="77777777" w:rsidR="006D5ADC" w:rsidRPr="00B56BD7" w:rsidRDefault="006D5ADC" w:rsidP="006D5ADC">
      <w:pPr>
        <w:pStyle w:val="ListParagraph"/>
        <w:ind w:left="360"/>
      </w:pPr>
    </w:p>
    <w:tbl>
      <w:tblPr>
        <w:tblStyle w:val="TableGrid"/>
        <w:tblpPr w:leftFromText="180" w:rightFromText="180" w:vertAnchor="text" w:horzAnchor="page" w:tblpX="2710" w:tblpY="31"/>
        <w:tblW w:w="0" w:type="auto"/>
        <w:tblLook w:val="04A0" w:firstRow="1" w:lastRow="0" w:firstColumn="1" w:lastColumn="0" w:noHBand="0" w:noVBand="1"/>
      </w:tblPr>
      <w:tblGrid>
        <w:gridCol w:w="1790"/>
        <w:gridCol w:w="3508"/>
      </w:tblGrid>
      <w:tr w:rsidR="006D5ADC" w:rsidRPr="00B56BD7" w14:paraId="24751992" w14:textId="77777777" w:rsidTr="00E706F1">
        <w:trPr>
          <w:trHeight w:val="345"/>
        </w:trPr>
        <w:tc>
          <w:tcPr>
            <w:tcW w:w="1790" w:type="dxa"/>
          </w:tcPr>
          <w:p w14:paraId="014837C7" w14:textId="77777777" w:rsidR="006D5ADC" w:rsidRPr="00B56BD7" w:rsidRDefault="006D5ADC" w:rsidP="00E706F1">
            <w:pPr>
              <w:pStyle w:val="ListParagraph"/>
              <w:ind w:left="0"/>
            </w:pPr>
            <w:r w:rsidRPr="00B56BD7">
              <w:t>Antibody</w:t>
            </w:r>
          </w:p>
        </w:tc>
        <w:tc>
          <w:tcPr>
            <w:tcW w:w="3508" w:type="dxa"/>
          </w:tcPr>
          <w:p w14:paraId="4A907F6B" w14:textId="77777777" w:rsidR="006D5ADC" w:rsidRPr="00B56BD7" w:rsidRDefault="006D5ADC" w:rsidP="00E706F1">
            <w:pPr>
              <w:pStyle w:val="ListParagraph"/>
              <w:ind w:left="0"/>
            </w:pPr>
            <w:r w:rsidRPr="00B56BD7">
              <w:t>Final concentration</w:t>
            </w:r>
          </w:p>
        </w:tc>
      </w:tr>
      <w:tr w:rsidR="006D5ADC" w:rsidRPr="00B56BD7" w14:paraId="0802D72A" w14:textId="77777777" w:rsidTr="00E706F1">
        <w:tc>
          <w:tcPr>
            <w:tcW w:w="1790" w:type="dxa"/>
          </w:tcPr>
          <w:p w14:paraId="3B62B1FB" w14:textId="77777777" w:rsidR="006D5ADC" w:rsidRPr="00B56BD7" w:rsidRDefault="006D5ADC" w:rsidP="00E706F1">
            <w:pPr>
              <w:pStyle w:val="ListParagraph"/>
              <w:ind w:left="0"/>
            </w:pPr>
            <w:r w:rsidRPr="00B56BD7">
              <w:t>Ter119 biotin</w:t>
            </w:r>
          </w:p>
        </w:tc>
        <w:tc>
          <w:tcPr>
            <w:tcW w:w="3508" w:type="dxa"/>
          </w:tcPr>
          <w:p w14:paraId="5452D003" w14:textId="77777777" w:rsidR="006D5ADC" w:rsidRPr="00B56BD7" w:rsidRDefault="006D5ADC" w:rsidP="00E706F1">
            <w:pPr>
              <w:pStyle w:val="ListParagraph"/>
              <w:ind w:left="0"/>
            </w:pPr>
            <w:r w:rsidRPr="00B56BD7">
              <w:t>1 uL per 100 uL final volume</w:t>
            </w:r>
          </w:p>
        </w:tc>
      </w:tr>
      <w:tr w:rsidR="006D5ADC" w:rsidRPr="00B56BD7" w14:paraId="7D0B5CA2" w14:textId="77777777" w:rsidTr="00E706F1">
        <w:tc>
          <w:tcPr>
            <w:tcW w:w="1790" w:type="dxa"/>
          </w:tcPr>
          <w:p w14:paraId="70051217" w14:textId="77777777" w:rsidR="006D5ADC" w:rsidRPr="00B56BD7" w:rsidRDefault="006D5ADC" w:rsidP="00E706F1">
            <w:pPr>
              <w:pStyle w:val="ListParagraph"/>
              <w:ind w:left="0"/>
            </w:pPr>
            <w:r w:rsidRPr="00B56BD7">
              <w:t>CD3e biotin</w:t>
            </w:r>
          </w:p>
        </w:tc>
        <w:tc>
          <w:tcPr>
            <w:tcW w:w="3508" w:type="dxa"/>
          </w:tcPr>
          <w:p w14:paraId="0D93E02A" w14:textId="77777777" w:rsidR="006D5ADC" w:rsidRPr="00B56BD7" w:rsidRDefault="006D5ADC" w:rsidP="00E706F1">
            <w:pPr>
              <w:pStyle w:val="ListParagraph"/>
              <w:ind w:left="0"/>
            </w:pPr>
            <w:r w:rsidRPr="00B56BD7">
              <w:t>1 uL per 100 uL final volume</w:t>
            </w:r>
          </w:p>
        </w:tc>
      </w:tr>
      <w:tr w:rsidR="006D5ADC" w:rsidRPr="00B56BD7" w14:paraId="3209EF56" w14:textId="77777777" w:rsidTr="00E706F1">
        <w:tc>
          <w:tcPr>
            <w:tcW w:w="1790" w:type="dxa"/>
          </w:tcPr>
          <w:p w14:paraId="37EDA797" w14:textId="77777777" w:rsidR="006D5ADC" w:rsidRPr="00B56BD7" w:rsidRDefault="006D5ADC" w:rsidP="00E706F1">
            <w:pPr>
              <w:pStyle w:val="ListParagraph"/>
              <w:ind w:left="0"/>
            </w:pPr>
            <w:r w:rsidRPr="00B56BD7">
              <w:t>Gr-1 biotin</w:t>
            </w:r>
          </w:p>
        </w:tc>
        <w:tc>
          <w:tcPr>
            <w:tcW w:w="3508" w:type="dxa"/>
          </w:tcPr>
          <w:p w14:paraId="334325B2" w14:textId="77777777" w:rsidR="006D5ADC" w:rsidRPr="00B56BD7" w:rsidRDefault="006D5ADC" w:rsidP="00E706F1">
            <w:pPr>
              <w:pStyle w:val="ListParagraph"/>
              <w:ind w:left="0"/>
            </w:pPr>
            <w:r w:rsidRPr="00B56BD7">
              <w:t>1 uL per 100 uL final volume</w:t>
            </w:r>
          </w:p>
        </w:tc>
      </w:tr>
      <w:tr w:rsidR="006D5ADC" w:rsidRPr="00B56BD7" w14:paraId="3D90B305" w14:textId="77777777" w:rsidTr="00E706F1">
        <w:tc>
          <w:tcPr>
            <w:tcW w:w="1790" w:type="dxa"/>
          </w:tcPr>
          <w:p w14:paraId="422F8FA2" w14:textId="77777777" w:rsidR="006D5ADC" w:rsidRPr="00B56BD7" w:rsidRDefault="006D5ADC" w:rsidP="00E706F1">
            <w:pPr>
              <w:pStyle w:val="ListParagraph"/>
              <w:ind w:left="0"/>
            </w:pPr>
            <w:r w:rsidRPr="00B56BD7">
              <w:t>CD23 biotin</w:t>
            </w:r>
          </w:p>
        </w:tc>
        <w:tc>
          <w:tcPr>
            <w:tcW w:w="3508" w:type="dxa"/>
          </w:tcPr>
          <w:p w14:paraId="35A60814" w14:textId="77777777" w:rsidR="006D5ADC" w:rsidRPr="00B56BD7" w:rsidRDefault="006D5ADC" w:rsidP="00E706F1">
            <w:pPr>
              <w:pStyle w:val="ListParagraph"/>
              <w:ind w:left="0"/>
            </w:pPr>
            <w:r w:rsidRPr="00B56BD7">
              <w:t>1 uL per 100 uL final volume</w:t>
            </w:r>
          </w:p>
        </w:tc>
      </w:tr>
      <w:tr w:rsidR="006D5ADC" w:rsidRPr="00B56BD7" w14:paraId="22143316" w14:textId="77777777" w:rsidTr="00E706F1">
        <w:tc>
          <w:tcPr>
            <w:tcW w:w="1790" w:type="dxa"/>
          </w:tcPr>
          <w:p w14:paraId="733092CA" w14:textId="77777777" w:rsidR="006D5ADC" w:rsidRPr="00B56BD7" w:rsidRDefault="006D5ADC" w:rsidP="00E706F1">
            <w:pPr>
              <w:pStyle w:val="ListParagraph"/>
              <w:ind w:left="0"/>
            </w:pPr>
            <w:r w:rsidRPr="00B56BD7">
              <w:t>NK1.1 biotin</w:t>
            </w:r>
          </w:p>
        </w:tc>
        <w:tc>
          <w:tcPr>
            <w:tcW w:w="3508" w:type="dxa"/>
          </w:tcPr>
          <w:p w14:paraId="297C56A1" w14:textId="77777777" w:rsidR="006D5ADC" w:rsidRPr="00B56BD7" w:rsidRDefault="006D5ADC" w:rsidP="00E706F1">
            <w:pPr>
              <w:pStyle w:val="ListParagraph"/>
              <w:ind w:left="0"/>
            </w:pPr>
            <w:r w:rsidRPr="00B56BD7">
              <w:t>1 uL per 100 uL final volume</w:t>
            </w:r>
          </w:p>
        </w:tc>
      </w:tr>
      <w:tr w:rsidR="006D5ADC" w:rsidRPr="00B56BD7" w14:paraId="42F2071F" w14:textId="77777777" w:rsidTr="00E706F1">
        <w:tc>
          <w:tcPr>
            <w:tcW w:w="1790" w:type="dxa"/>
          </w:tcPr>
          <w:p w14:paraId="7BF8893D" w14:textId="77777777" w:rsidR="006D5ADC" w:rsidRPr="00B56BD7" w:rsidRDefault="006D5ADC" w:rsidP="00E706F1">
            <w:pPr>
              <w:pStyle w:val="ListParagraph"/>
              <w:ind w:left="0"/>
            </w:pPr>
            <w:r w:rsidRPr="00B56BD7">
              <w:t>F4/80 biotin</w:t>
            </w:r>
          </w:p>
        </w:tc>
        <w:tc>
          <w:tcPr>
            <w:tcW w:w="3508" w:type="dxa"/>
          </w:tcPr>
          <w:p w14:paraId="08B5D67C" w14:textId="77777777" w:rsidR="006D5ADC" w:rsidRPr="00B56BD7" w:rsidRDefault="006D5ADC" w:rsidP="00E706F1">
            <w:pPr>
              <w:pStyle w:val="ListParagraph"/>
              <w:ind w:left="0"/>
            </w:pPr>
            <w:r w:rsidRPr="00B56BD7">
              <w:t>2.5 uL per 100 uL final volume</w:t>
            </w:r>
          </w:p>
        </w:tc>
      </w:tr>
    </w:tbl>
    <w:p w14:paraId="5A081351" w14:textId="77777777" w:rsidR="006D5ADC" w:rsidRPr="00B56BD7" w:rsidRDefault="006D5ADC" w:rsidP="006D5ADC"/>
    <w:p w14:paraId="02D9E937" w14:textId="77777777" w:rsidR="00BB2E95" w:rsidRDefault="00BB2E95" w:rsidP="007D1582">
      <w:pPr>
        <w:spacing w:before="100" w:beforeAutospacing="1" w:after="100" w:afterAutospacing="1"/>
        <w:rPr>
          <w:rFonts w:eastAsia="Times New Roman" w:cstheme="minorHAnsi"/>
          <w:color w:val="2F5496" w:themeColor="accent1" w:themeShade="BF"/>
        </w:rPr>
      </w:pPr>
    </w:p>
    <w:p w14:paraId="7CD48DD6" w14:textId="77777777" w:rsidR="006D5ADC" w:rsidRDefault="006D5ADC" w:rsidP="007D1582">
      <w:pPr>
        <w:spacing w:before="100" w:beforeAutospacing="1" w:after="100" w:afterAutospacing="1"/>
        <w:rPr>
          <w:rFonts w:eastAsia="Times New Roman" w:cstheme="minorHAnsi"/>
          <w:color w:val="2F5496" w:themeColor="accent1" w:themeShade="BF"/>
        </w:rPr>
      </w:pPr>
    </w:p>
    <w:p w14:paraId="0152470E" w14:textId="77777777" w:rsidR="006D5ADC" w:rsidRDefault="006D5ADC" w:rsidP="007D1582">
      <w:pPr>
        <w:spacing w:before="100" w:beforeAutospacing="1" w:after="100" w:afterAutospacing="1"/>
        <w:rPr>
          <w:rFonts w:eastAsia="Times New Roman" w:cstheme="minorHAnsi"/>
          <w:color w:val="2F5496" w:themeColor="accent1" w:themeShade="BF"/>
        </w:rPr>
      </w:pPr>
    </w:p>
    <w:p w14:paraId="4C7C9550" w14:textId="77777777" w:rsidR="006D5ADC" w:rsidRDefault="006D5ADC" w:rsidP="007D1582">
      <w:pPr>
        <w:spacing w:before="100" w:beforeAutospacing="1" w:after="100" w:afterAutospacing="1"/>
        <w:rPr>
          <w:rFonts w:eastAsia="Times New Roman" w:cstheme="minorHAnsi"/>
          <w:color w:val="2F5496" w:themeColor="accent1" w:themeShade="BF"/>
        </w:rPr>
      </w:pPr>
    </w:p>
    <w:p w14:paraId="627904DD" w14:textId="77777777" w:rsidR="00E612DB" w:rsidRDefault="00E612DB" w:rsidP="007D1582">
      <w:pPr>
        <w:spacing w:before="100" w:beforeAutospacing="1" w:after="100" w:afterAutospacing="1"/>
        <w:rPr>
          <w:rFonts w:eastAsia="Times New Roman" w:cstheme="minorHAnsi"/>
          <w:color w:val="2F5496" w:themeColor="accent1" w:themeShade="BF"/>
        </w:rPr>
      </w:pPr>
      <w:r w:rsidRPr="008C2501">
        <w:rPr>
          <w:rFonts w:eastAsia="Times New Roman" w:cstheme="minorHAnsi"/>
          <w:color w:val="2F5496" w:themeColor="accent1" w:themeShade="BF"/>
        </w:rPr>
        <w:t>We</w:t>
      </w:r>
      <w:r>
        <w:rPr>
          <w:rFonts w:eastAsia="Times New Roman" w:cstheme="minorHAnsi"/>
          <w:color w:val="2F5496" w:themeColor="accent1" w:themeShade="BF"/>
        </w:rPr>
        <w:t xml:space="preserve"> do not include CD11b in our depletion because a large proportion of peritoneal B-1 cells express CD11b and would therefore be depleted. The wash and centrifugation step occurs in step 1.6. </w:t>
      </w:r>
    </w:p>
    <w:p w14:paraId="57BC7FAE" w14:textId="77777777" w:rsidR="006D2037"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3.1: it is not clear whether the tiration of the Virus preparation should be described as it is very important for establishing MOIs.</w:t>
      </w:r>
    </w:p>
    <w:p w14:paraId="757B178A" w14:textId="6D5EAF80" w:rsidR="006D2037" w:rsidRDefault="006D2037" w:rsidP="007D1582">
      <w:pPr>
        <w:spacing w:before="100" w:beforeAutospacing="1" w:after="100" w:afterAutospacing="1"/>
        <w:rPr>
          <w:rFonts w:eastAsia="Times New Roman" w:cstheme="minorHAnsi"/>
          <w:color w:val="2F5496" w:themeColor="accent1" w:themeShade="BF"/>
        </w:rPr>
      </w:pPr>
      <w:r w:rsidRPr="008C2501">
        <w:rPr>
          <w:rFonts w:eastAsia="Times New Roman" w:cstheme="minorHAnsi"/>
          <w:color w:val="2F5496" w:themeColor="accent1" w:themeShade="BF"/>
        </w:rPr>
        <w:lastRenderedPageBreak/>
        <w:t>We</w:t>
      </w:r>
      <w:r>
        <w:rPr>
          <w:rFonts w:eastAsia="Times New Roman" w:cstheme="minorHAnsi"/>
          <w:color w:val="2F5496" w:themeColor="accent1" w:themeShade="BF"/>
        </w:rPr>
        <w:t xml:space="preserve"> thank the Reviewer for this suggestion, </w:t>
      </w:r>
      <w:r w:rsidR="00495E21">
        <w:rPr>
          <w:rFonts w:eastAsia="Times New Roman" w:cstheme="minorHAnsi"/>
          <w:color w:val="2F5496" w:themeColor="accent1" w:themeShade="BF"/>
        </w:rPr>
        <w:t>and agree that accurate retrovirus titration is a very important step in this process. H</w:t>
      </w:r>
      <w:r>
        <w:rPr>
          <w:rFonts w:eastAsia="Times New Roman" w:cstheme="minorHAnsi"/>
          <w:color w:val="2F5496" w:themeColor="accent1" w:themeShade="BF"/>
        </w:rPr>
        <w:t>owever</w:t>
      </w:r>
      <w:r w:rsidR="00495E21">
        <w:rPr>
          <w:rFonts w:eastAsia="Times New Roman" w:cstheme="minorHAnsi"/>
          <w:color w:val="2F5496" w:themeColor="accent1" w:themeShade="BF"/>
        </w:rPr>
        <w:t>,</w:t>
      </w:r>
      <w:r>
        <w:rPr>
          <w:rFonts w:eastAsia="Times New Roman" w:cstheme="minorHAnsi"/>
          <w:color w:val="2F5496" w:themeColor="accent1" w:themeShade="BF"/>
        </w:rPr>
        <w:t xml:space="preserve"> preparation and titration of retrovirus stocks </w:t>
      </w:r>
      <w:r w:rsidR="00495E21">
        <w:rPr>
          <w:rFonts w:eastAsia="Times New Roman" w:cstheme="minorHAnsi"/>
          <w:color w:val="2F5496" w:themeColor="accent1" w:themeShade="BF"/>
        </w:rPr>
        <w:t xml:space="preserve">are lengthy processes we believe are outside the scope of this particular protocol. We instead </w:t>
      </w:r>
      <w:r>
        <w:rPr>
          <w:rFonts w:eastAsia="Times New Roman" w:cstheme="minorHAnsi"/>
          <w:color w:val="2F5496" w:themeColor="accent1" w:themeShade="BF"/>
        </w:rPr>
        <w:t>cite previously published protocols</w:t>
      </w:r>
      <w:r w:rsidR="00495E21">
        <w:rPr>
          <w:rFonts w:eastAsia="Times New Roman" w:cstheme="minorHAnsi"/>
          <w:color w:val="2F5496" w:themeColor="accent1" w:themeShade="BF"/>
        </w:rPr>
        <w:t xml:space="preserve"> that discuss the </w:t>
      </w:r>
      <w:r w:rsidR="004C4149">
        <w:rPr>
          <w:rFonts w:eastAsia="Times New Roman" w:cstheme="minorHAnsi"/>
          <w:color w:val="2F5496" w:themeColor="accent1" w:themeShade="BF"/>
        </w:rPr>
        <w:t>details</w:t>
      </w:r>
      <w:r w:rsidR="00495E21">
        <w:rPr>
          <w:rFonts w:eastAsia="Times New Roman" w:cstheme="minorHAnsi"/>
          <w:color w:val="2F5496" w:themeColor="accent1" w:themeShade="BF"/>
        </w:rPr>
        <w:t xml:space="preserve"> of those steps more thoroughly. </w:t>
      </w:r>
    </w:p>
    <w:p w14:paraId="0E430777" w14:textId="77777777" w:rsidR="00495E21"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3.3: is Polybrene no longer necessary?</w:t>
      </w:r>
    </w:p>
    <w:p w14:paraId="3C821D4C" w14:textId="77777777" w:rsidR="00495E21" w:rsidRDefault="00495E21" w:rsidP="007D1582">
      <w:pPr>
        <w:spacing w:before="100" w:beforeAutospacing="1" w:after="100" w:afterAutospacing="1"/>
        <w:rPr>
          <w:rFonts w:eastAsia="Times New Roman" w:cstheme="minorHAnsi"/>
          <w:color w:val="2F5496" w:themeColor="accent1" w:themeShade="BF"/>
        </w:rPr>
      </w:pPr>
      <w:r w:rsidRPr="008C2501">
        <w:rPr>
          <w:rFonts w:eastAsia="Times New Roman" w:cstheme="minorHAnsi"/>
          <w:color w:val="2F5496" w:themeColor="accent1" w:themeShade="BF"/>
        </w:rPr>
        <w:t>We</w:t>
      </w:r>
      <w:r>
        <w:rPr>
          <w:rFonts w:eastAsia="Times New Roman" w:cstheme="minorHAnsi"/>
          <w:color w:val="2F5496" w:themeColor="accent1" w:themeShade="BF"/>
        </w:rPr>
        <w:t xml:space="preserve"> perform spinfection and incubation in the presence of polybrene, and do not replate with fresh B cell media (lacking polybrene) until step 3.5. </w:t>
      </w:r>
    </w:p>
    <w:p w14:paraId="66AAC7DF" w14:textId="77777777" w:rsidR="007E1005"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4.5 2x antibody mix in not understandable alo centrifugation step seems to be missing.</w:t>
      </w:r>
    </w:p>
    <w:p w14:paraId="40C298FE" w14:textId="77777777" w:rsidR="007E1005" w:rsidRDefault="007E1005" w:rsidP="007D1582">
      <w:pPr>
        <w:spacing w:before="100" w:beforeAutospacing="1" w:after="100" w:afterAutospacing="1"/>
        <w:rPr>
          <w:rFonts w:eastAsia="Times New Roman" w:cstheme="minorHAnsi"/>
          <w:color w:val="2F5496" w:themeColor="accent1" w:themeShade="BF"/>
        </w:rPr>
      </w:pPr>
      <w:r>
        <w:rPr>
          <w:rFonts w:eastAsia="Times New Roman" w:cstheme="minorHAnsi"/>
          <w:color w:val="2F5496" w:themeColor="accent1" w:themeShade="BF"/>
        </w:rPr>
        <w:t>As in step 1.4/1.5, we add primary antibody straight to cells incubating in Fc block.</w:t>
      </w:r>
    </w:p>
    <w:p w14:paraId="04742018" w14:textId="77777777" w:rsidR="007E1005"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 xml:space="preserve">5.3: adoptive Transfer is done via retro-orbital injection which is technically very demanding. Why was not a tail vein </w:t>
      </w:r>
      <w:proofErr w:type="gramStart"/>
      <w:r w:rsidRPr="007D1582">
        <w:rPr>
          <w:rFonts w:ascii="Times New Roman" w:eastAsia="Times New Roman" w:hAnsi="Times New Roman" w:cs="Times New Roman"/>
          <w:color w:val="222222"/>
        </w:rPr>
        <w:t>choosen.</w:t>
      </w:r>
      <w:proofErr w:type="gramEnd"/>
    </w:p>
    <w:p w14:paraId="75FFE7B2" w14:textId="77777777" w:rsidR="007E1005" w:rsidRDefault="007E1005" w:rsidP="007D1582">
      <w:pPr>
        <w:spacing w:before="100" w:beforeAutospacing="1" w:after="100" w:afterAutospacing="1"/>
        <w:rPr>
          <w:rFonts w:eastAsia="Times New Roman" w:cstheme="minorHAnsi"/>
          <w:color w:val="2F5496" w:themeColor="accent1" w:themeShade="BF"/>
        </w:rPr>
      </w:pPr>
      <w:r>
        <w:rPr>
          <w:rFonts w:eastAsia="Times New Roman" w:cstheme="minorHAnsi"/>
          <w:color w:val="2F5496" w:themeColor="accent1" w:themeShade="BF"/>
        </w:rPr>
        <w:t>In our hands, retro-orbital injection is easier than tail vein, however either intravenous route would work. We have updated step 5.3 to include tail vein injection as an option.</w:t>
      </w:r>
    </w:p>
    <w:p w14:paraId="75689398" w14:textId="1302903B" w:rsidR="00705449" w:rsidRDefault="007D1582" w:rsidP="007D1582">
      <w:pPr>
        <w:spacing w:before="100" w:beforeAutospacing="1" w:after="100" w:afterAutospacing="1"/>
        <w:rPr>
          <w:rFonts w:eastAsia="Times New Roman" w:cstheme="minorHAnsi"/>
          <w:color w:val="2F5496" w:themeColor="accent1" w:themeShade="BF"/>
        </w:rPr>
      </w:pPr>
      <w:r w:rsidRPr="007D1582">
        <w:rPr>
          <w:rFonts w:ascii="Times New Roman" w:eastAsia="Times New Roman" w:hAnsi="Times New Roman" w:cs="Times New Roman"/>
          <w:color w:val="222222"/>
        </w:rPr>
        <w:br/>
        <w:t>6.1: many additional antibodies were used besides the three described here.</w:t>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r>
      <w:r w:rsidR="007E1005">
        <w:rPr>
          <w:rFonts w:eastAsia="Times New Roman" w:cstheme="minorHAnsi"/>
          <w:color w:val="2F5496" w:themeColor="accent1" w:themeShade="BF"/>
        </w:rPr>
        <w:t xml:space="preserve">Actually, for the post-transfer analysis, donor cells in recipients were identified as CD45.1+CD45.2-GFP+, then CXCR4 expression was measured, therefore, only these 3 antibodies were utilized, as shown in Figure 6. </w:t>
      </w:r>
    </w:p>
    <w:p w14:paraId="47F318D7" w14:textId="77777777" w:rsidR="00C819AA"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t>Reviewer #2:</w:t>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t>This is an authoritative protocol manuscript from the groups of Coleen McNamara and Timothy Bender, who are well-established experts in the field of B cell biology and Atherosclerosis. I have made a number of comments on the protocol that they may wish to consider at their discretion. I apologize for my delay in reviewing the manuscript</w:t>
      </w:r>
      <w:r w:rsidRPr="007D1582">
        <w:rPr>
          <w:rFonts w:ascii="Times New Roman" w:eastAsia="Times New Roman" w:hAnsi="Times New Roman" w:cs="Times New Roman"/>
          <w:color w:val="222222"/>
        </w:rPr>
        <w:br/>
      </w:r>
      <w:r w:rsidRPr="007D1582">
        <w:rPr>
          <w:rFonts w:ascii="Times New Roman" w:eastAsia="Times New Roman" w:hAnsi="Times New Roman" w:cs="Times New Roman"/>
          <w:color w:val="222222"/>
        </w:rPr>
        <w:br/>
        <w:t>I would emphasize that mice need more than gentle shaking to dislodge the peritoneal cells. Often the lavaged peritoneum needs massaging vigorously to fully realize maximal cell recovery. An option to using a syringe is to cut open the peritoneum and collect the liquid into a beaker or Falcon tube, as recovering all the suspension via syringe can be problematic.</w:t>
      </w:r>
    </w:p>
    <w:p w14:paraId="540CDC3A" w14:textId="77777777" w:rsidR="00A219EF" w:rsidRDefault="00C819AA" w:rsidP="00A219EF">
      <w:pPr>
        <w:spacing w:before="100" w:beforeAutospacing="1" w:after="100" w:afterAutospacing="1"/>
        <w:rPr>
          <w:rFonts w:eastAsia="Times New Roman" w:cstheme="minorHAnsi"/>
          <w:color w:val="2F5496" w:themeColor="accent1" w:themeShade="BF"/>
        </w:rPr>
      </w:pPr>
      <w:r w:rsidRPr="008C2501">
        <w:rPr>
          <w:rFonts w:eastAsia="Times New Roman" w:cstheme="minorHAnsi"/>
          <w:color w:val="2F5496" w:themeColor="accent1" w:themeShade="BF"/>
        </w:rPr>
        <w:lastRenderedPageBreak/>
        <w:t xml:space="preserve">We </w:t>
      </w:r>
      <w:r>
        <w:rPr>
          <w:rFonts w:eastAsia="Times New Roman" w:cstheme="minorHAnsi"/>
          <w:color w:val="2F5496" w:themeColor="accent1" w:themeShade="BF"/>
        </w:rPr>
        <w:t xml:space="preserve">thank the Reviewer for these comments, and agree that </w:t>
      </w:r>
      <w:r w:rsidR="00303247">
        <w:rPr>
          <w:rFonts w:eastAsia="Times New Roman" w:cstheme="minorHAnsi"/>
          <w:color w:val="2F5496" w:themeColor="accent1" w:themeShade="BF"/>
        </w:rPr>
        <w:t xml:space="preserve">more vigorous shaking is needed to maximize cell recovery. </w:t>
      </w:r>
      <w:r w:rsidR="00A219EF">
        <w:rPr>
          <w:rFonts w:eastAsia="Times New Roman" w:cstheme="minorHAnsi"/>
          <w:color w:val="2F5496" w:themeColor="accent1" w:themeShade="BF"/>
        </w:rPr>
        <w:t xml:space="preserve">We also agree that collecting all </w:t>
      </w:r>
      <w:r w:rsidR="00BE666B">
        <w:rPr>
          <w:rFonts w:eastAsia="Times New Roman" w:cstheme="minorHAnsi"/>
          <w:color w:val="2F5496" w:themeColor="accent1" w:themeShade="BF"/>
        </w:rPr>
        <w:t>of the peritoneal fluid via syringe is difficult and now include a step to cut open the peritoneum and collect</w:t>
      </w:r>
      <w:r w:rsidR="009E2F0E">
        <w:rPr>
          <w:rFonts w:eastAsia="Times New Roman" w:cstheme="minorHAnsi"/>
          <w:color w:val="2F5496" w:themeColor="accent1" w:themeShade="BF"/>
        </w:rPr>
        <w:t xml:space="preserve"> the</w:t>
      </w:r>
      <w:r w:rsidR="00BE666B">
        <w:rPr>
          <w:rFonts w:eastAsia="Times New Roman" w:cstheme="minorHAnsi"/>
          <w:color w:val="2F5496" w:themeColor="accent1" w:themeShade="BF"/>
        </w:rPr>
        <w:t xml:space="preserve"> rest of the fluid via pipet. The updated </w:t>
      </w:r>
      <w:r w:rsidR="00303247">
        <w:rPr>
          <w:rFonts w:eastAsia="Times New Roman" w:cstheme="minorHAnsi"/>
          <w:color w:val="2F5496" w:themeColor="accent1" w:themeShade="BF"/>
        </w:rPr>
        <w:t xml:space="preserve">protocol step 1.1 </w:t>
      </w:r>
      <w:r w:rsidR="00BE666B">
        <w:rPr>
          <w:rFonts w:eastAsia="Times New Roman" w:cstheme="minorHAnsi"/>
          <w:color w:val="2F5496" w:themeColor="accent1" w:themeShade="BF"/>
        </w:rPr>
        <w:t>is</w:t>
      </w:r>
      <w:r w:rsidR="00A219EF">
        <w:rPr>
          <w:rFonts w:eastAsia="Times New Roman" w:cstheme="minorHAnsi"/>
          <w:color w:val="2F5496" w:themeColor="accent1" w:themeShade="BF"/>
        </w:rPr>
        <w:t xml:space="preserve"> given below. </w:t>
      </w:r>
    </w:p>
    <w:p w14:paraId="0C697B09" w14:textId="27CC4BCF" w:rsidR="00A219EF" w:rsidRPr="00A219EF" w:rsidRDefault="00A219EF" w:rsidP="00A219EF">
      <w:pPr>
        <w:pStyle w:val="ListParagraph"/>
        <w:numPr>
          <w:ilvl w:val="1"/>
          <w:numId w:val="4"/>
        </w:numPr>
        <w:spacing w:before="100" w:beforeAutospacing="1" w:after="100" w:afterAutospacing="1"/>
        <w:ind w:left="0" w:firstLine="0"/>
        <w:rPr>
          <w:rFonts w:eastAsia="Times New Roman" w:cstheme="minorHAnsi"/>
          <w:color w:val="2F5496" w:themeColor="accent1" w:themeShade="BF"/>
        </w:rPr>
      </w:pPr>
      <w:r w:rsidRPr="00A219EF">
        <w:rPr>
          <w:highlight w:val="yellow"/>
        </w:rPr>
        <w:t xml:space="preserve">Euthanize a </w:t>
      </w:r>
      <w:proofErr w:type="gramStart"/>
      <w:r w:rsidRPr="00A219EF">
        <w:rPr>
          <w:highlight w:val="yellow"/>
        </w:rPr>
        <w:t>12-14 week-old</w:t>
      </w:r>
      <w:proofErr w:type="gramEnd"/>
      <w:r w:rsidRPr="00A219EF">
        <w:rPr>
          <w:highlight w:val="yellow"/>
        </w:rPr>
        <w:t>, male, CD45.1</w:t>
      </w:r>
      <w:r w:rsidRPr="00A219EF">
        <w:rPr>
          <w:highlight w:val="yellow"/>
          <w:vertAlign w:val="superscript"/>
        </w:rPr>
        <w:t>+</w:t>
      </w:r>
      <w:r w:rsidRPr="00A219EF">
        <w:rPr>
          <w:highlight w:val="yellow"/>
        </w:rPr>
        <w:t>ApoE</w:t>
      </w:r>
      <w:r w:rsidRPr="00A219EF">
        <w:rPr>
          <w:highlight w:val="yellow"/>
          <w:vertAlign w:val="superscript"/>
        </w:rPr>
        <w:t xml:space="preserve">-/- </w:t>
      </w:r>
      <w:r w:rsidRPr="00A219EF">
        <w:rPr>
          <w:highlight w:val="yellow"/>
        </w:rPr>
        <w:t>mouse using CO</w:t>
      </w:r>
      <w:r w:rsidRPr="00A219EF">
        <w:rPr>
          <w:highlight w:val="yellow"/>
          <w:vertAlign w:val="subscript"/>
        </w:rPr>
        <w:t>2</w:t>
      </w:r>
      <w:r w:rsidRPr="00A219EF">
        <w:rPr>
          <w:highlight w:val="yellow"/>
        </w:rPr>
        <w:t xml:space="preserve">. Make a </w:t>
      </w:r>
      <w:proofErr w:type="gramStart"/>
      <w:r w:rsidRPr="00A219EF">
        <w:rPr>
          <w:highlight w:val="yellow"/>
        </w:rPr>
        <w:t>superficial  cut</w:t>
      </w:r>
      <w:proofErr w:type="gramEnd"/>
      <w:r w:rsidRPr="00A219EF">
        <w:rPr>
          <w:highlight w:val="yellow"/>
        </w:rPr>
        <w:t xml:space="preserve"> in the abdomen using straight surgical scissors and peel back skin using curved scissors to expose the peritoneal wall. Flush peritoneal cavity with 10 mL 37 </w:t>
      </w:r>
      <w:r w:rsidRPr="00B56BD7">
        <w:rPr>
          <w:highlight w:val="yellow"/>
        </w:rPr>
        <w:sym w:font="Symbol" w:char="F0B0"/>
      </w:r>
      <w:r w:rsidRPr="00A219EF">
        <w:rPr>
          <w:highlight w:val="yellow"/>
        </w:rPr>
        <w:t xml:space="preserve">C RPMI-1640 medium using a </w:t>
      </w:r>
      <w:proofErr w:type="gramStart"/>
      <w:r w:rsidRPr="00A219EF">
        <w:rPr>
          <w:highlight w:val="yellow"/>
        </w:rPr>
        <w:t>10 mL</w:t>
      </w:r>
      <w:proofErr w:type="gramEnd"/>
      <w:r w:rsidRPr="00A219EF">
        <w:rPr>
          <w:highlight w:val="yellow"/>
        </w:rPr>
        <w:t xml:space="preserve"> syringe and 25-gauge needle. Shake mouse to disengage cells by grasping the tail and moving the mouse side to side thoroughly for 15-20 seconds. Massaging the lavaged peritoneum can also maximize cell recovery. Collect peritoneal fluid using a </w:t>
      </w:r>
      <w:proofErr w:type="gramStart"/>
      <w:r w:rsidRPr="00A219EF">
        <w:rPr>
          <w:highlight w:val="yellow"/>
        </w:rPr>
        <w:t>10 mL</w:t>
      </w:r>
      <w:proofErr w:type="gramEnd"/>
      <w:r w:rsidRPr="00A219EF">
        <w:rPr>
          <w:highlight w:val="yellow"/>
        </w:rPr>
        <w:t xml:space="preserve"> syringe and 25-gauge needle by drawing up fluid at the lower right side of the peritoneum just above the level of the hip, near the intestines. Avoid disrupting epidydimal fat depots and underlying organs. Avoid drawing fluid from the mouse’s left side as the omental fat can easily be drawn into the syringe. Once ~6-7 mL of fluid is collected, dispense into a </w:t>
      </w:r>
      <w:proofErr w:type="gramStart"/>
      <w:r w:rsidRPr="00A219EF">
        <w:rPr>
          <w:highlight w:val="yellow"/>
        </w:rPr>
        <w:t>50 mL</w:t>
      </w:r>
      <w:proofErr w:type="gramEnd"/>
      <w:r w:rsidRPr="00A219EF">
        <w:rPr>
          <w:highlight w:val="yellow"/>
        </w:rPr>
        <w:t xml:space="preserve"> conical tube placed on ice. Next, elevate the mouse vertically by holding the peritoneal wall above the diaphragm using forceps so that any remaining fluid remains at the bottom of the peritoneal cavity. Make a small cut in the peritoneal wall using surgical scissors above the liver (make sure not to cut the liver) and collect any remaining peritoneal fluid using a glass pipet and bulb. </w:t>
      </w:r>
    </w:p>
    <w:p w14:paraId="45A1B334" w14:textId="77777777" w:rsidR="009E2F0E" w:rsidRPr="00B015AF"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The clones of the antibodies used would be a useful addition, perhaps together with the material table at the end of the manuscript</w:t>
      </w:r>
      <w:r w:rsidR="00B015AF">
        <w:rPr>
          <w:rFonts w:ascii="Times New Roman" w:eastAsia="Times New Roman" w:hAnsi="Times New Roman" w:cs="Times New Roman"/>
          <w:color w:val="222222"/>
        </w:rPr>
        <w:t>.</w:t>
      </w:r>
      <w:r w:rsidRPr="007D1582">
        <w:rPr>
          <w:rFonts w:ascii="Times New Roman" w:eastAsia="Times New Roman" w:hAnsi="Times New Roman" w:cs="Times New Roman"/>
          <w:color w:val="222222"/>
        </w:rPr>
        <w:br/>
      </w:r>
      <w:r w:rsidR="009E2F0E">
        <w:rPr>
          <w:rFonts w:eastAsia="Times New Roman" w:cstheme="minorHAnsi"/>
          <w:color w:val="2F5496" w:themeColor="accent1" w:themeShade="BF"/>
        </w:rPr>
        <w:t xml:space="preserve">We have now included antibody clones in our table of materials. </w:t>
      </w:r>
    </w:p>
    <w:p w14:paraId="6764AECD" w14:textId="77777777" w:rsidR="00B015AF"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br/>
        <w:t>It is my experience that MACS incubations are very sensitive to temperature. Often samples kept on ice perform poorly compared to incubations done in the fridge</w:t>
      </w:r>
      <w:r w:rsidR="00B015AF">
        <w:rPr>
          <w:rFonts w:ascii="Times New Roman" w:eastAsia="Times New Roman" w:hAnsi="Times New Roman" w:cs="Times New Roman"/>
          <w:color w:val="222222"/>
        </w:rPr>
        <w:t>.</w:t>
      </w:r>
    </w:p>
    <w:p w14:paraId="1C92D14E" w14:textId="77777777" w:rsidR="003860F6" w:rsidRDefault="00B015AF" w:rsidP="007D1582">
      <w:pPr>
        <w:spacing w:before="100" w:beforeAutospacing="1" w:after="100" w:afterAutospacing="1"/>
        <w:rPr>
          <w:rFonts w:ascii="Times New Roman" w:eastAsia="Times New Roman" w:hAnsi="Times New Roman" w:cs="Times New Roman"/>
          <w:color w:val="222222"/>
        </w:rPr>
      </w:pPr>
      <w:r>
        <w:rPr>
          <w:rFonts w:eastAsia="Times New Roman" w:cstheme="minorHAnsi"/>
          <w:color w:val="2F5496" w:themeColor="accent1" w:themeShade="BF"/>
        </w:rPr>
        <w:t>We also find this to be true. The Miltenyi MACS protocol also recommends incubations to be done in the fridge, therefore we have specified in the MACS incubation step</w:t>
      </w:r>
      <w:r w:rsidR="003860F6">
        <w:rPr>
          <w:rFonts w:eastAsia="Times New Roman" w:cstheme="minorHAnsi"/>
          <w:color w:val="2F5496" w:themeColor="accent1" w:themeShade="BF"/>
        </w:rPr>
        <w:t xml:space="preserve"> (1.7), to incubate as per the concentration and protocol recommended by the manufacturer. </w:t>
      </w:r>
      <w:r w:rsidR="007D1582" w:rsidRPr="007D1582">
        <w:rPr>
          <w:rFonts w:ascii="Times New Roman" w:eastAsia="Times New Roman" w:hAnsi="Times New Roman" w:cs="Times New Roman"/>
          <w:color w:val="222222"/>
        </w:rPr>
        <w:br/>
      </w:r>
      <w:r w:rsidR="007D1582" w:rsidRPr="007D1582">
        <w:rPr>
          <w:rFonts w:ascii="Times New Roman" w:eastAsia="Times New Roman" w:hAnsi="Times New Roman" w:cs="Times New Roman"/>
          <w:color w:val="222222"/>
        </w:rPr>
        <w:br/>
        <w:t>Have other B cell mitogens been tested, or is the use of ODN1668 or IL-5 critical?</w:t>
      </w:r>
    </w:p>
    <w:p w14:paraId="47746737" w14:textId="77777777" w:rsidR="007D1582" w:rsidRPr="00A219EF" w:rsidRDefault="0010646A" w:rsidP="007D1582">
      <w:pPr>
        <w:spacing w:before="100" w:beforeAutospacing="1" w:after="100" w:afterAutospacing="1"/>
        <w:rPr>
          <w:rFonts w:eastAsia="Times New Roman" w:cstheme="minorHAnsi"/>
          <w:color w:val="2F5496" w:themeColor="accent1" w:themeShade="BF"/>
        </w:rPr>
      </w:pPr>
      <w:r>
        <w:rPr>
          <w:rFonts w:eastAsia="Times New Roman" w:cstheme="minorHAnsi"/>
          <w:color w:val="2F5496" w:themeColor="accent1" w:themeShade="BF"/>
        </w:rPr>
        <w:t>We have only used ODN1668 for our B cell transductions, but we hypothesize that IL-5 or a TLR4 agonist like LPS may have similar efficacy for transduction. We discuss alternative activation strategies in the discussion section of the manuscript.</w:t>
      </w:r>
      <w:r w:rsidR="007D1582" w:rsidRPr="007D1582">
        <w:rPr>
          <w:rFonts w:ascii="Times New Roman" w:eastAsia="Times New Roman" w:hAnsi="Times New Roman" w:cs="Times New Roman"/>
          <w:color w:val="222222"/>
        </w:rPr>
        <w:br/>
      </w:r>
      <w:r w:rsidR="007D1582" w:rsidRPr="007D1582">
        <w:rPr>
          <w:rFonts w:ascii="Times New Roman" w:eastAsia="Times New Roman" w:hAnsi="Times New Roman" w:cs="Times New Roman"/>
          <w:color w:val="222222"/>
        </w:rPr>
        <w:br/>
        <w:t>It might be useful to mention that mouse tonic PBS can be beneficial for i.v. injections.</w:t>
      </w:r>
    </w:p>
    <w:p w14:paraId="57A88691" w14:textId="2BD2B67E" w:rsidR="007D1582" w:rsidRPr="007D1582" w:rsidRDefault="007D1582" w:rsidP="007D1582">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t> </w:t>
      </w:r>
      <w:r w:rsidR="0051392B">
        <w:rPr>
          <w:rFonts w:eastAsia="Times New Roman" w:cstheme="minorHAnsi"/>
          <w:color w:val="2F5496" w:themeColor="accent1" w:themeShade="BF"/>
        </w:rPr>
        <w:t xml:space="preserve">We used </w:t>
      </w:r>
      <w:r w:rsidR="00E52E80">
        <w:rPr>
          <w:rFonts w:eastAsia="Times New Roman" w:cstheme="minorHAnsi"/>
          <w:color w:val="2F5496" w:themeColor="accent1" w:themeShade="BF"/>
        </w:rPr>
        <w:t xml:space="preserve">commercial </w:t>
      </w:r>
      <w:r w:rsidR="0051392B">
        <w:rPr>
          <w:rFonts w:eastAsia="Times New Roman" w:cstheme="minorHAnsi"/>
          <w:color w:val="2F5496" w:themeColor="accent1" w:themeShade="BF"/>
        </w:rPr>
        <w:t>PBS</w:t>
      </w:r>
      <w:r w:rsidR="005F0D3B">
        <w:rPr>
          <w:rFonts w:eastAsia="Times New Roman" w:cstheme="minorHAnsi"/>
          <w:color w:val="2F5496" w:themeColor="accent1" w:themeShade="BF"/>
        </w:rPr>
        <w:t xml:space="preserve"> (now in our table of materials)</w:t>
      </w:r>
      <w:r w:rsidR="0051392B">
        <w:rPr>
          <w:rFonts w:eastAsia="Times New Roman" w:cstheme="minorHAnsi"/>
          <w:color w:val="2F5496" w:themeColor="accent1" w:themeShade="BF"/>
        </w:rPr>
        <w:t xml:space="preserve"> for our i.v. injections</w:t>
      </w:r>
      <w:r w:rsidR="00E52E80">
        <w:rPr>
          <w:rFonts w:eastAsia="Times New Roman" w:cstheme="minorHAnsi"/>
          <w:color w:val="2F5496" w:themeColor="accent1" w:themeShade="BF"/>
        </w:rPr>
        <w:t>, which our lab commonly uses</w:t>
      </w:r>
      <w:r w:rsidR="003C74B7">
        <w:rPr>
          <w:rFonts w:eastAsia="Times New Roman" w:cstheme="minorHAnsi"/>
          <w:color w:val="2F5496" w:themeColor="accent1" w:themeShade="BF"/>
        </w:rPr>
        <w:t xml:space="preserve"> for adoptive transfer</w:t>
      </w:r>
      <w:r w:rsidR="0051392B">
        <w:rPr>
          <w:rFonts w:eastAsia="Times New Roman" w:cstheme="minorHAnsi"/>
          <w:color w:val="2F5496" w:themeColor="accent1" w:themeShade="BF"/>
        </w:rPr>
        <w:t>.</w:t>
      </w:r>
    </w:p>
    <w:p w14:paraId="5026FC4A" w14:textId="41E628CB" w:rsidR="00CA31C8" w:rsidRPr="0017516E" w:rsidRDefault="007D1582" w:rsidP="0017516E">
      <w:pPr>
        <w:spacing w:before="100" w:beforeAutospacing="1" w:after="100" w:afterAutospacing="1"/>
        <w:rPr>
          <w:rFonts w:ascii="Times New Roman" w:eastAsia="Times New Roman" w:hAnsi="Times New Roman" w:cs="Times New Roman"/>
          <w:color w:val="222222"/>
        </w:rPr>
      </w:pPr>
      <w:r w:rsidRPr="007D1582">
        <w:rPr>
          <w:rFonts w:ascii="Times New Roman" w:eastAsia="Times New Roman" w:hAnsi="Times New Roman" w:cs="Times New Roman"/>
          <w:color w:val="222222"/>
        </w:rPr>
        <w:t> </w:t>
      </w:r>
      <w:bookmarkStart w:id="0" w:name="_GoBack"/>
      <w:bookmarkEnd w:id="0"/>
    </w:p>
    <w:sectPr w:rsidR="00CA31C8" w:rsidRPr="0017516E" w:rsidSect="00DD3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07879"/>
    <w:multiLevelType w:val="multilevel"/>
    <w:tmpl w:val="256034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056A01"/>
    <w:multiLevelType w:val="multilevel"/>
    <w:tmpl w:val="CF126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4DB5540"/>
    <w:multiLevelType w:val="multilevel"/>
    <w:tmpl w:val="A4968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F1209AC"/>
    <w:multiLevelType w:val="multilevel"/>
    <w:tmpl w:val="540CA22E"/>
    <w:lvl w:ilvl="0">
      <w:start w:val="1"/>
      <w:numFmt w:val="decimal"/>
      <w:lvlText w:val="%1."/>
      <w:lvlJc w:val="left"/>
      <w:pPr>
        <w:ind w:left="360" w:hanging="360"/>
      </w:pPr>
      <w:rPr>
        <w:rFonts w:eastAsiaTheme="minorHAnsi" w:cstheme="minorBidi" w:hint="default"/>
        <w:color w:val="auto"/>
      </w:rPr>
    </w:lvl>
    <w:lvl w:ilvl="1">
      <w:start w:val="1"/>
      <w:numFmt w:val="decimal"/>
      <w:lvlText w:val="%1.%2."/>
      <w:lvlJc w:val="left"/>
      <w:pPr>
        <w:ind w:left="360"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4">
    <w:nsid w:val="70B6518C"/>
    <w:multiLevelType w:val="multilevel"/>
    <w:tmpl w:val="CB982B5A"/>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s>
  <w:rsids>
    <w:rsidRoot w:val="007D1582"/>
    <w:rsid w:val="00004044"/>
    <w:rsid w:val="000370AB"/>
    <w:rsid w:val="00075274"/>
    <w:rsid w:val="00076A0E"/>
    <w:rsid w:val="0009131B"/>
    <w:rsid w:val="000C6E41"/>
    <w:rsid w:val="000D6FB6"/>
    <w:rsid w:val="000F18FC"/>
    <w:rsid w:val="0010646A"/>
    <w:rsid w:val="00132627"/>
    <w:rsid w:val="00134D0B"/>
    <w:rsid w:val="00134E30"/>
    <w:rsid w:val="00135FA4"/>
    <w:rsid w:val="0017514E"/>
    <w:rsid w:val="0017516E"/>
    <w:rsid w:val="001C5359"/>
    <w:rsid w:val="00217A55"/>
    <w:rsid w:val="0022661B"/>
    <w:rsid w:val="00235A12"/>
    <w:rsid w:val="002A3A05"/>
    <w:rsid w:val="002E56FD"/>
    <w:rsid w:val="00303247"/>
    <w:rsid w:val="00314CCE"/>
    <w:rsid w:val="0031534B"/>
    <w:rsid w:val="0032110B"/>
    <w:rsid w:val="003860F6"/>
    <w:rsid w:val="003B28E5"/>
    <w:rsid w:val="003C74B7"/>
    <w:rsid w:val="003D4984"/>
    <w:rsid w:val="003E79D8"/>
    <w:rsid w:val="004008FB"/>
    <w:rsid w:val="004167AD"/>
    <w:rsid w:val="00424F6E"/>
    <w:rsid w:val="00453C97"/>
    <w:rsid w:val="0045651C"/>
    <w:rsid w:val="004746FF"/>
    <w:rsid w:val="00492ACE"/>
    <w:rsid w:val="0049452C"/>
    <w:rsid w:val="00495E21"/>
    <w:rsid w:val="004C4149"/>
    <w:rsid w:val="0051392B"/>
    <w:rsid w:val="00515D1C"/>
    <w:rsid w:val="00521822"/>
    <w:rsid w:val="0052247D"/>
    <w:rsid w:val="005567C1"/>
    <w:rsid w:val="005A0F2B"/>
    <w:rsid w:val="005B2422"/>
    <w:rsid w:val="005C0985"/>
    <w:rsid w:val="005C43A1"/>
    <w:rsid w:val="005F0D3B"/>
    <w:rsid w:val="005F3B5D"/>
    <w:rsid w:val="005F7B32"/>
    <w:rsid w:val="006018C5"/>
    <w:rsid w:val="00620739"/>
    <w:rsid w:val="00622250"/>
    <w:rsid w:val="00636B4E"/>
    <w:rsid w:val="00663191"/>
    <w:rsid w:val="00694930"/>
    <w:rsid w:val="00696620"/>
    <w:rsid w:val="006A38D3"/>
    <w:rsid w:val="006A64B4"/>
    <w:rsid w:val="006B638A"/>
    <w:rsid w:val="006D2037"/>
    <w:rsid w:val="006D5ADC"/>
    <w:rsid w:val="00705449"/>
    <w:rsid w:val="00757B6F"/>
    <w:rsid w:val="00774EB5"/>
    <w:rsid w:val="00781A43"/>
    <w:rsid w:val="00783CFF"/>
    <w:rsid w:val="00783E6A"/>
    <w:rsid w:val="007B53C2"/>
    <w:rsid w:val="007D1582"/>
    <w:rsid w:val="007E1005"/>
    <w:rsid w:val="008116C0"/>
    <w:rsid w:val="00820709"/>
    <w:rsid w:val="00843110"/>
    <w:rsid w:val="00861F14"/>
    <w:rsid w:val="00880FDA"/>
    <w:rsid w:val="008B6067"/>
    <w:rsid w:val="008B618B"/>
    <w:rsid w:val="008C2501"/>
    <w:rsid w:val="008D1446"/>
    <w:rsid w:val="008D26E7"/>
    <w:rsid w:val="008E0FBC"/>
    <w:rsid w:val="008E376B"/>
    <w:rsid w:val="008E71DA"/>
    <w:rsid w:val="008F0350"/>
    <w:rsid w:val="00944082"/>
    <w:rsid w:val="009A56FB"/>
    <w:rsid w:val="009C49B9"/>
    <w:rsid w:val="009E2F0E"/>
    <w:rsid w:val="009F2936"/>
    <w:rsid w:val="00A00465"/>
    <w:rsid w:val="00A16810"/>
    <w:rsid w:val="00A219EF"/>
    <w:rsid w:val="00B015AF"/>
    <w:rsid w:val="00B13874"/>
    <w:rsid w:val="00B359D3"/>
    <w:rsid w:val="00B5479A"/>
    <w:rsid w:val="00B8101C"/>
    <w:rsid w:val="00BB2E95"/>
    <w:rsid w:val="00BE622C"/>
    <w:rsid w:val="00BE666B"/>
    <w:rsid w:val="00BF1317"/>
    <w:rsid w:val="00C230EC"/>
    <w:rsid w:val="00C26BAA"/>
    <w:rsid w:val="00C819AA"/>
    <w:rsid w:val="00C84A92"/>
    <w:rsid w:val="00CA31C8"/>
    <w:rsid w:val="00D01387"/>
    <w:rsid w:val="00D17D54"/>
    <w:rsid w:val="00D5711D"/>
    <w:rsid w:val="00D92FCD"/>
    <w:rsid w:val="00DD3400"/>
    <w:rsid w:val="00E01639"/>
    <w:rsid w:val="00E25630"/>
    <w:rsid w:val="00E52E80"/>
    <w:rsid w:val="00E612DB"/>
    <w:rsid w:val="00E73FD8"/>
    <w:rsid w:val="00EA2043"/>
    <w:rsid w:val="00EB2D59"/>
    <w:rsid w:val="00F21667"/>
    <w:rsid w:val="00F60173"/>
    <w:rsid w:val="00F6236E"/>
    <w:rsid w:val="00F70823"/>
    <w:rsid w:val="00F723F7"/>
    <w:rsid w:val="00FA4131"/>
    <w:rsid w:val="00FE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CC74"/>
  <w15:chartTrackingRefBased/>
  <w15:docId w15:val="{EF11C839-46DC-124B-84CF-5C63001D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58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D1582"/>
    <w:rPr>
      <w:b/>
      <w:bCs/>
    </w:rPr>
  </w:style>
  <w:style w:type="character" w:customStyle="1" w:styleId="apple-converted-space">
    <w:name w:val="apple-converted-space"/>
    <w:basedOn w:val="DefaultParagraphFont"/>
    <w:rsid w:val="007D1582"/>
  </w:style>
  <w:style w:type="character" w:styleId="Hyperlink">
    <w:name w:val="Hyperlink"/>
    <w:basedOn w:val="DefaultParagraphFont"/>
    <w:uiPriority w:val="99"/>
    <w:semiHidden/>
    <w:unhideWhenUsed/>
    <w:rsid w:val="007D1582"/>
    <w:rPr>
      <w:color w:val="0000FF"/>
      <w:u w:val="single"/>
    </w:rPr>
  </w:style>
  <w:style w:type="paragraph" w:styleId="ListParagraph">
    <w:name w:val="List Paragraph"/>
    <w:basedOn w:val="Normal"/>
    <w:uiPriority w:val="34"/>
    <w:qFormat/>
    <w:rsid w:val="00515D1C"/>
    <w:pPr>
      <w:ind w:left="720"/>
      <w:contextualSpacing/>
    </w:pPr>
  </w:style>
  <w:style w:type="paragraph" w:styleId="BalloonText">
    <w:name w:val="Balloon Text"/>
    <w:basedOn w:val="Normal"/>
    <w:link w:val="BalloonTextChar"/>
    <w:uiPriority w:val="99"/>
    <w:semiHidden/>
    <w:unhideWhenUsed/>
    <w:rsid w:val="00515D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5D1C"/>
    <w:rPr>
      <w:rFonts w:ascii="Times New Roman" w:hAnsi="Times New Roman" w:cs="Times New Roman"/>
      <w:sz w:val="18"/>
      <w:szCs w:val="18"/>
    </w:rPr>
  </w:style>
  <w:style w:type="table" w:styleId="TableGrid">
    <w:name w:val="Table Grid"/>
    <w:basedOn w:val="TableNormal"/>
    <w:uiPriority w:val="39"/>
    <w:rsid w:val="006D5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01639"/>
    <w:rPr>
      <w:sz w:val="18"/>
      <w:szCs w:val="18"/>
    </w:rPr>
  </w:style>
  <w:style w:type="paragraph" w:styleId="CommentText">
    <w:name w:val="annotation text"/>
    <w:basedOn w:val="Normal"/>
    <w:link w:val="CommentTextChar"/>
    <w:uiPriority w:val="99"/>
    <w:semiHidden/>
    <w:unhideWhenUsed/>
    <w:rsid w:val="00E01639"/>
  </w:style>
  <w:style w:type="character" w:customStyle="1" w:styleId="CommentTextChar">
    <w:name w:val="Comment Text Char"/>
    <w:basedOn w:val="DefaultParagraphFont"/>
    <w:link w:val="CommentText"/>
    <w:uiPriority w:val="99"/>
    <w:semiHidden/>
    <w:rsid w:val="00E01639"/>
  </w:style>
  <w:style w:type="paragraph" w:styleId="CommentSubject">
    <w:name w:val="annotation subject"/>
    <w:basedOn w:val="CommentText"/>
    <w:next w:val="CommentText"/>
    <w:link w:val="CommentSubjectChar"/>
    <w:uiPriority w:val="99"/>
    <w:semiHidden/>
    <w:unhideWhenUsed/>
    <w:rsid w:val="00E01639"/>
    <w:rPr>
      <w:b/>
      <w:bCs/>
      <w:sz w:val="20"/>
      <w:szCs w:val="20"/>
    </w:rPr>
  </w:style>
  <w:style w:type="character" w:customStyle="1" w:styleId="CommentSubjectChar">
    <w:name w:val="Comment Subject Char"/>
    <w:basedOn w:val="CommentTextChar"/>
    <w:link w:val="CommentSubject"/>
    <w:uiPriority w:val="99"/>
    <w:semiHidden/>
    <w:rsid w:val="00E016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17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2870</Words>
  <Characters>16359</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2020-01-08T21:03:00Z</dcterms:created>
  <dcterms:modified xsi:type="dcterms:W3CDTF">2020-01-14T21:59:00Z</dcterms:modified>
</cp:coreProperties>
</file>