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7AC" w:rsidRDefault="006E3F8E" w:rsidP="006E3F8E">
      <w:pPr>
        <w:spacing w:after="0" w:line="240" w:lineRule="auto"/>
        <w:rPr>
          <w:sz w:val="24"/>
          <w:szCs w:val="24"/>
        </w:rPr>
      </w:pPr>
      <w:r>
        <w:rPr>
          <w:sz w:val="24"/>
          <w:szCs w:val="24"/>
        </w:rPr>
        <w:t>JoVE60961</w:t>
      </w:r>
    </w:p>
    <w:p w:rsidR="006E3F8E" w:rsidRDefault="006E3F8E" w:rsidP="006E3F8E">
      <w:pPr>
        <w:spacing w:after="0" w:line="240" w:lineRule="auto"/>
        <w:rPr>
          <w:sz w:val="24"/>
          <w:szCs w:val="24"/>
        </w:rPr>
      </w:pPr>
    </w:p>
    <w:p w:rsidR="006E3F8E" w:rsidRDefault="006E3F8E" w:rsidP="006E3F8E">
      <w:pPr>
        <w:spacing w:after="0" w:line="240" w:lineRule="auto"/>
        <w:rPr>
          <w:sz w:val="24"/>
          <w:szCs w:val="24"/>
        </w:rPr>
      </w:pPr>
      <w:r>
        <w:rPr>
          <w:sz w:val="24"/>
          <w:szCs w:val="24"/>
        </w:rPr>
        <w:t xml:space="preserve">“Preparation of </w:t>
      </w:r>
      <w:r>
        <w:rPr>
          <w:i/>
          <w:sz w:val="24"/>
          <w:szCs w:val="24"/>
        </w:rPr>
        <w:t>Drosophila</w:t>
      </w:r>
      <w:r>
        <w:rPr>
          <w:sz w:val="24"/>
          <w:szCs w:val="24"/>
        </w:rPr>
        <w:t xml:space="preserve"> larval and pupal testes for analysis of cell division in live, intact tissue”</w:t>
      </w:r>
    </w:p>
    <w:p w:rsidR="006E3F8E" w:rsidRDefault="006E3F8E" w:rsidP="006E3F8E">
      <w:pPr>
        <w:spacing w:after="0" w:line="240" w:lineRule="auto"/>
        <w:rPr>
          <w:sz w:val="24"/>
          <w:szCs w:val="24"/>
        </w:rPr>
      </w:pPr>
    </w:p>
    <w:p w:rsidR="006E3F8E" w:rsidRDefault="006E3F8E" w:rsidP="006E3F8E">
      <w:pPr>
        <w:spacing w:after="0" w:line="240" w:lineRule="auto"/>
        <w:rPr>
          <w:sz w:val="24"/>
          <w:szCs w:val="24"/>
        </w:rPr>
      </w:pPr>
      <w:r>
        <w:rPr>
          <w:sz w:val="24"/>
          <w:szCs w:val="24"/>
        </w:rPr>
        <w:t xml:space="preserve">Darya </w:t>
      </w:r>
      <w:proofErr w:type="spellStart"/>
      <w:r>
        <w:rPr>
          <w:sz w:val="24"/>
          <w:szCs w:val="24"/>
        </w:rPr>
        <w:t>Karabasheva</w:t>
      </w:r>
      <w:proofErr w:type="spellEnd"/>
      <w:r>
        <w:rPr>
          <w:sz w:val="24"/>
          <w:szCs w:val="24"/>
        </w:rPr>
        <w:t xml:space="preserve"> and Jeremy T. Smyth</w:t>
      </w:r>
    </w:p>
    <w:p w:rsidR="006E3F8E" w:rsidRDefault="006E3F8E" w:rsidP="006E3F8E">
      <w:pPr>
        <w:spacing w:after="0" w:line="240" w:lineRule="auto"/>
        <w:rPr>
          <w:sz w:val="24"/>
          <w:szCs w:val="24"/>
        </w:rPr>
      </w:pPr>
    </w:p>
    <w:p w:rsidR="006E3F8E" w:rsidRDefault="006E3F8E" w:rsidP="006E3F8E">
      <w:pPr>
        <w:spacing w:after="0" w:line="240" w:lineRule="auto"/>
        <w:rPr>
          <w:sz w:val="24"/>
          <w:szCs w:val="24"/>
        </w:rPr>
      </w:pPr>
    </w:p>
    <w:p w:rsidR="006E3F8E" w:rsidRDefault="006E3F8E" w:rsidP="006E3F8E">
      <w:pPr>
        <w:spacing w:after="0" w:line="240" w:lineRule="auto"/>
        <w:rPr>
          <w:sz w:val="24"/>
          <w:szCs w:val="24"/>
        </w:rPr>
      </w:pPr>
      <w:r>
        <w:rPr>
          <w:b/>
          <w:sz w:val="24"/>
          <w:szCs w:val="24"/>
          <w:u w:val="single"/>
        </w:rPr>
        <w:t>Rebuttal to Editorial Comments</w:t>
      </w:r>
    </w:p>
    <w:p w:rsidR="006E3F8E" w:rsidRDefault="006E3F8E" w:rsidP="006E3F8E">
      <w:pPr>
        <w:spacing w:after="0" w:line="240" w:lineRule="auto"/>
        <w:rPr>
          <w:sz w:val="24"/>
          <w:szCs w:val="24"/>
        </w:rPr>
      </w:pPr>
    </w:p>
    <w:p w:rsidR="006E3F8E" w:rsidRDefault="006E3F8E" w:rsidP="006E3F8E">
      <w:pPr>
        <w:spacing w:after="0" w:line="240" w:lineRule="auto"/>
        <w:rPr>
          <w:sz w:val="24"/>
          <w:szCs w:val="24"/>
        </w:rPr>
      </w:pPr>
      <w:r w:rsidRPr="006E3F8E">
        <w:rPr>
          <w:sz w:val="24"/>
          <w:szCs w:val="24"/>
        </w:rPr>
        <w:t>1.</w:t>
      </w:r>
      <w:r>
        <w:rPr>
          <w:sz w:val="24"/>
          <w:szCs w:val="24"/>
        </w:rPr>
        <w:t xml:space="preserve"> We have proofread the manuscript and fixed spelling and grammar issues.</w:t>
      </w:r>
    </w:p>
    <w:p w:rsidR="006E3F8E" w:rsidRDefault="006E3F8E" w:rsidP="006E3F8E">
      <w:pPr>
        <w:spacing w:after="0" w:line="240" w:lineRule="auto"/>
        <w:rPr>
          <w:sz w:val="24"/>
          <w:szCs w:val="24"/>
        </w:rPr>
      </w:pPr>
    </w:p>
    <w:p w:rsidR="006E3F8E" w:rsidRDefault="006E3F8E" w:rsidP="006E3F8E">
      <w:pPr>
        <w:spacing w:after="0" w:line="240" w:lineRule="auto"/>
        <w:rPr>
          <w:sz w:val="24"/>
          <w:szCs w:val="24"/>
        </w:rPr>
      </w:pPr>
      <w:r>
        <w:rPr>
          <w:sz w:val="24"/>
          <w:szCs w:val="24"/>
        </w:rPr>
        <w:t xml:space="preserve">2. A copy of the webpage that describes the editorial policy that allows re-prints for Nature Publishing Group has been included. This pertains to Figure 4, which contains data reproduced from our earlier manuscript published in </w:t>
      </w:r>
      <w:r>
        <w:rPr>
          <w:i/>
          <w:sz w:val="24"/>
          <w:szCs w:val="24"/>
        </w:rPr>
        <w:t>Scientific Reports</w:t>
      </w:r>
      <w:r>
        <w:rPr>
          <w:sz w:val="24"/>
          <w:szCs w:val="24"/>
        </w:rPr>
        <w:t>.</w:t>
      </w:r>
    </w:p>
    <w:p w:rsidR="003570A3" w:rsidRDefault="003570A3" w:rsidP="006E3F8E">
      <w:pPr>
        <w:spacing w:after="0" w:line="240" w:lineRule="auto"/>
        <w:rPr>
          <w:sz w:val="24"/>
          <w:szCs w:val="24"/>
        </w:rPr>
      </w:pPr>
    </w:p>
    <w:p w:rsidR="003570A3" w:rsidRDefault="003570A3" w:rsidP="006E3F8E">
      <w:pPr>
        <w:spacing w:after="0" w:line="240" w:lineRule="auto"/>
        <w:rPr>
          <w:sz w:val="24"/>
          <w:szCs w:val="24"/>
        </w:rPr>
      </w:pPr>
      <w:r>
        <w:rPr>
          <w:sz w:val="24"/>
          <w:szCs w:val="24"/>
        </w:rPr>
        <w:t xml:space="preserve">3. All text is 12 </w:t>
      </w:r>
      <w:proofErr w:type="spellStart"/>
      <w:r>
        <w:rPr>
          <w:sz w:val="24"/>
          <w:szCs w:val="24"/>
        </w:rPr>
        <w:t>pt</w:t>
      </w:r>
      <w:proofErr w:type="spellEnd"/>
      <w:r>
        <w:rPr>
          <w:sz w:val="24"/>
          <w:szCs w:val="24"/>
        </w:rPr>
        <w:t xml:space="preserve"> and single-spaced.</w:t>
      </w:r>
    </w:p>
    <w:p w:rsidR="003570A3" w:rsidRDefault="003570A3" w:rsidP="006E3F8E">
      <w:pPr>
        <w:spacing w:after="0" w:line="240" w:lineRule="auto"/>
        <w:rPr>
          <w:sz w:val="24"/>
          <w:szCs w:val="24"/>
        </w:rPr>
      </w:pPr>
    </w:p>
    <w:p w:rsidR="003570A3" w:rsidRDefault="003570A3" w:rsidP="006E3F8E">
      <w:pPr>
        <w:spacing w:after="0" w:line="240" w:lineRule="auto"/>
        <w:rPr>
          <w:sz w:val="24"/>
          <w:szCs w:val="24"/>
        </w:rPr>
      </w:pPr>
      <w:r>
        <w:rPr>
          <w:sz w:val="24"/>
          <w:szCs w:val="24"/>
        </w:rPr>
        <w:t xml:space="preserve">4. </w:t>
      </w:r>
      <w:proofErr w:type="gramStart"/>
      <w:r w:rsidR="007A155D">
        <w:rPr>
          <w:sz w:val="24"/>
          <w:szCs w:val="24"/>
        </w:rPr>
        <w:t>Numbering</w:t>
      </w:r>
      <w:proofErr w:type="gramEnd"/>
      <w:r w:rsidR="007A155D">
        <w:rPr>
          <w:sz w:val="24"/>
          <w:szCs w:val="24"/>
        </w:rPr>
        <w:t xml:space="preserve"> of the Protocol has been changed to follow </w:t>
      </w:r>
      <w:proofErr w:type="spellStart"/>
      <w:r w:rsidR="007A155D">
        <w:rPr>
          <w:sz w:val="24"/>
          <w:szCs w:val="24"/>
        </w:rPr>
        <w:t>JoVE</w:t>
      </w:r>
      <w:proofErr w:type="spellEnd"/>
      <w:r w:rsidR="007A155D">
        <w:rPr>
          <w:sz w:val="24"/>
          <w:szCs w:val="24"/>
        </w:rPr>
        <w:t xml:space="preserve"> instructions.</w:t>
      </w:r>
    </w:p>
    <w:p w:rsidR="007A155D" w:rsidRDefault="007A155D" w:rsidP="006E3F8E">
      <w:pPr>
        <w:spacing w:after="0" w:line="240" w:lineRule="auto"/>
        <w:rPr>
          <w:sz w:val="24"/>
          <w:szCs w:val="24"/>
        </w:rPr>
      </w:pPr>
    </w:p>
    <w:p w:rsidR="007A155D" w:rsidRDefault="007A155D" w:rsidP="006E3F8E">
      <w:pPr>
        <w:spacing w:after="0" w:line="240" w:lineRule="auto"/>
        <w:rPr>
          <w:sz w:val="24"/>
          <w:szCs w:val="24"/>
        </w:rPr>
      </w:pPr>
      <w:r>
        <w:rPr>
          <w:sz w:val="24"/>
          <w:szCs w:val="24"/>
        </w:rPr>
        <w:t>5. Protocol steps are separated by a one-line space.</w:t>
      </w:r>
    </w:p>
    <w:p w:rsidR="007A155D" w:rsidRDefault="007A155D" w:rsidP="006E3F8E">
      <w:pPr>
        <w:spacing w:after="0" w:line="240" w:lineRule="auto"/>
        <w:rPr>
          <w:sz w:val="24"/>
          <w:szCs w:val="24"/>
        </w:rPr>
      </w:pPr>
    </w:p>
    <w:p w:rsidR="007A155D" w:rsidRDefault="007A155D" w:rsidP="006E3F8E">
      <w:pPr>
        <w:spacing w:after="0" w:line="240" w:lineRule="auto"/>
        <w:rPr>
          <w:sz w:val="24"/>
          <w:szCs w:val="24"/>
        </w:rPr>
      </w:pPr>
      <w:r>
        <w:rPr>
          <w:sz w:val="24"/>
          <w:szCs w:val="24"/>
        </w:rPr>
        <w:t>6. Steps longer than 4 lines were separated into two steps where possible.</w:t>
      </w:r>
    </w:p>
    <w:p w:rsidR="007A155D" w:rsidRDefault="007A155D" w:rsidP="006E3F8E">
      <w:pPr>
        <w:spacing w:after="0" w:line="240" w:lineRule="auto"/>
        <w:rPr>
          <w:sz w:val="24"/>
          <w:szCs w:val="24"/>
        </w:rPr>
      </w:pPr>
    </w:p>
    <w:p w:rsidR="007A155D" w:rsidRDefault="007A155D" w:rsidP="006E3F8E">
      <w:pPr>
        <w:spacing w:after="0" w:line="240" w:lineRule="auto"/>
        <w:rPr>
          <w:sz w:val="24"/>
          <w:szCs w:val="24"/>
        </w:rPr>
      </w:pPr>
      <w:r>
        <w:rPr>
          <w:sz w:val="24"/>
          <w:szCs w:val="24"/>
        </w:rPr>
        <w:t>7. Appropriate Greek characters have been used for SI units.</w:t>
      </w:r>
    </w:p>
    <w:p w:rsidR="007A155D" w:rsidRDefault="007A155D" w:rsidP="006E3F8E">
      <w:pPr>
        <w:spacing w:after="0" w:line="240" w:lineRule="auto"/>
        <w:rPr>
          <w:sz w:val="24"/>
          <w:szCs w:val="24"/>
        </w:rPr>
      </w:pPr>
    </w:p>
    <w:p w:rsidR="007A155D" w:rsidRDefault="007A155D" w:rsidP="006E3F8E">
      <w:pPr>
        <w:spacing w:after="0" w:line="240" w:lineRule="auto"/>
        <w:rPr>
          <w:sz w:val="24"/>
          <w:szCs w:val="24"/>
        </w:rPr>
      </w:pPr>
      <w:r>
        <w:rPr>
          <w:sz w:val="24"/>
          <w:szCs w:val="24"/>
        </w:rPr>
        <w:t>8. Commercial language (“</w:t>
      </w:r>
      <w:proofErr w:type="spellStart"/>
      <w:r>
        <w:rPr>
          <w:sz w:val="24"/>
          <w:szCs w:val="24"/>
        </w:rPr>
        <w:t>Vectashield</w:t>
      </w:r>
      <w:proofErr w:type="spellEnd"/>
      <w:r>
        <w:rPr>
          <w:sz w:val="24"/>
          <w:szCs w:val="24"/>
        </w:rPr>
        <w:t xml:space="preserve">”) in lines 276-280 has been changed to “microscopy mounting medium”. The Table of Materials has been updated to indicate that </w:t>
      </w:r>
      <w:proofErr w:type="spellStart"/>
      <w:r>
        <w:rPr>
          <w:sz w:val="24"/>
          <w:szCs w:val="24"/>
        </w:rPr>
        <w:t>Vectashield</w:t>
      </w:r>
      <w:proofErr w:type="spellEnd"/>
      <w:r>
        <w:rPr>
          <w:sz w:val="24"/>
          <w:szCs w:val="24"/>
        </w:rPr>
        <w:t xml:space="preserve"> refers to the microscopy mounting medium.</w:t>
      </w:r>
    </w:p>
    <w:p w:rsidR="007A155D" w:rsidRDefault="007A155D" w:rsidP="006E3F8E">
      <w:pPr>
        <w:spacing w:after="0" w:line="240" w:lineRule="auto"/>
        <w:rPr>
          <w:sz w:val="24"/>
          <w:szCs w:val="24"/>
        </w:rPr>
      </w:pPr>
    </w:p>
    <w:p w:rsidR="007A155D" w:rsidRDefault="007A155D" w:rsidP="006E3F8E">
      <w:pPr>
        <w:spacing w:after="0" w:line="240" w:lineRule="auto"/>
        <w:rPr>
          <w:sz w:val="24"/>
          <w:szCs w:val="24"/>
        </w:rPr>
      </w:pPr>
      <w:r>
        <w:rPr>
          <w:sz w:val="24"/>
          <w:szCs w:val="24"/>
        </w:rPr>
        <w:t xml:space="preserve">9. </w:t>
      </w:r>
      <w:r w:rsidR="005D48DB">
        <w:rPr>
          <w:sz w:val="24"/>
          <w:szCs w:val="24"/>
        </w:rPr>
        <w:t>All journal titles have been spelled out fully in the References.</w:t>
      </w:r>
    </w:p>
    <w:p w:rsidR="005D48DB" w:rsidRDefault="005D48DB" w:rsidP="006E3F8E">
      <w:pPr>
        <w:spacing w:after="0" w:line="240" w:lineRule="auto"/>
        <w:rPr>
          <w:sz w:val="24"/>
          <w:szCs w:val="24"/>
        </w:rPr>
      </w:pPr>
    </w:p>
    <w:p w:rsidR="005D48DB" w:rsidRDefault="005D48DB" w:rsidP="006E3F8E">
      <w:pPr>
        <w:spacing w:after="0" w:line="240" w:lineRule="auto"/>
        <w:rPr>
          <w:sz w:val="24"/>
          <w:szCs w:val="24"/>
        </w:rPr>
      </w:pPr>
    </w:p>
    <w:p w:rsidR="005D48DB" w:rsidRDefault="005D48DB" w:rsidP="006E3F8E">
      <w:pPr>
        <w:spacing w:after="0" w:line="240" w:lineRule="auto"/>
        <w:rPr>
          <w:sz w:val="24"/>
          <w:szCs w:val="24"/>
        </w:rPr>
      </w:pPr>
      <w:r>
        <w:rPr>
          <w:b/>
          <w:sz w:val="24"/>
          <w:szCs w:val="24"/>
          <w:u w:val="single"/>
        </w:rPr>
        <w:t>Rebuttal to Peer Review Comments</w:t>
      </w:r>
    </w:p>
    <w:p w:rsidR="005D48DB" w:rsidRDefault="005D48DB" w:rsidP="006E3F8E">
      <w:pPr>
        <w:spacing w:after="0" w:line="240" w:lineRule="auto"/>
        <w:rPr>
          <w:sz w:val="24"/>
          <w:szCs w:val="24"/>
        </w:rPr>
      </w:pPr>
    </w:p>
    <w:p w:rsidR="005D48DB" w:rsidRDefault="005D48DB" w:rsidP="006E3F8E">
      <w:pPr>
        <w:spacing w:after="0" w:line="240" w:lineRule="auto"/>
        <w:rPr>
          <w:sz w:val="24"/>
          <w:szCs w:val="24"/>
        </w:rPr>
      </w:pPr>
      <w:r>
        <w:rPr>
          <w:b/>
          <w:sz w:val="24"/>
          <w:szCs w:val="24"/>
        </w:rPr>
        <w:t>Reviewer #1</w:t>
      </w:r>
    </w:p>
    <w:p w:rsidR="005D48DB" w:rsidRDefault="005D48DB" w:rsidP="006E3F8E">
      <w:pPr>
        <w:spacing w:after="0" w:line="240" w:lineRule="auto"/>
        <w:rPr>
          <w:sz w:val="24"/>
          <w:szCs w:val="24"/>
        </w:rPr>
      </w:pPr>
    </w:p>
    <w:p w:rsidR="005D48DB" w:rsidRDefault="005D48DB" w:rsidP="006E3F8E">
      <w:pPr>
        <w:spacing w:after="0" w:line="240" w:lineRule="auto"/>
        <w:rPr>
          <w:sz w:val="24"/>
          <w:szCs w:val="24"/>
        </w:rPr>
      </w:pPr>
      <w:r>
        <w:rPr>
          <w:sz w:val="24"/>
          <w:szCs w:val="24"/>
        </w:rPr>
        <w:t>We appreciate that the reviewer found our protocol to be thorough and adequately detailed. The reviewer’s suggestions for improvements were very helpful to us, and we have made the following changes in response to these suggestions:</w:t>
      </w:r>
    </w:p>
    <w:p w:rsidR="005D48DB" w:rsidRDefault="005D48DB" w:rsidP="006E3F8E">
      <w:pPr>
        <w:spacing w:after="0" w:line="240" w:lineRule="auto"/>
        <w:rPr>
          <w:sz w:val="24"/>
          <w:szCs w:val="24"/>
        </w:rPr>
      </w:pPr>
    </w:p>
    <w:p w:rsidR="005D48DB" w:rsidRDefault="005D48DB" w:rsidP="006E3F8E">
      <w:pPr>
        <w:spacing w:after="0" w:line="240" w:lineRule="auto"/>
        <w:rPr>
          <w:i/>
          <w:sz w:val="24"/>
          <w:szCs w:val="24"/>
        </w:rPr>
      </w:pPr>
      <w:r>
        <w:rPr>
          <w:i/>
          <w:sz w:val="24"/>
          <w:szCs w:val="24"/>
        </w:rPr>
        <w:t xml:space="preserve">1. The authors repeatedly claim that intact testes can be maintained ex vivo for upwards of 24 hours but do not demonstrate this themselves nor provide citations for previous literature. I would like to see the authors demonstrate this with their own culture conditions, especially since </w:t>
      </w:r>
      <w:r>
        <w:rPr>
          <w:i/>
          <w:sz w:val="24"/>
          <w:szCs w:val="24"/>
        </w:rPr>
        <w:lastRenderedPageBreak/>
        <w:t>they state “our methods are optimized for long-term culture of testes on the microscope stage”. To substantiate this claim the authors should provide data on the following:</w:t>
      </w:r>
    </w:p>
    <w:p w:rsidR="005D48DB" w:rsidRDefault="005D48DB" w:rsidP="006E3F8E">
      <w:pPr>
        <w:spacing w:after="0" w:line="240" w:lineRule="auto"/>
        <w:rPr>
          <w:i/>
          <w:sz w:val="24"/>
          <w:szCs w:val="24"/>
        </w:rPr>
      </w:pPr>
    </w:p>
    <w:p w:rsidR="005D48DB" w:rsidRDefault="005D48DB" w:rsidP="006E3F8E">
      <w:pPr>
        <w:spacing w:after="0" w:line="240" w:lineRule="auto"/>
        <w:rPr>
          <w:i/>
          <w:sz w:val="24"/>
          <w:szCs w:val="24"/>
        </w:rPr>
      </w:pPr>
      <w:r>
        <w:rPr>
          <w:i/>
          <w:sz w:val="24"/>
          <w:szCs w:val="24"/>
        </w:rPr>
        <w:t>1) Percent survival of testes after extended culture</w:t>
      </w:r>
    </w:p>
    <w:p w:rsidR="005D48DB" w:rsidRDefault="005D48DB" w:rsidP="006E3F8E">
      <w:pPr>
        <w:spacing w:after="0" w:line="240" w:lineRule="auto"/>
        <w:rPr>
          <w:sz w:val="24"/>
          <w:szCs w:val="24"/>
        </w:rPr>
      </w:pPr>
      <w:r>
        <w:rPr>
          <w:i/>
          <w:sz w:val="24"/>
          <w:szCs w:val="24"/>
        </w:rPr>
        <w:t xml:space="preserve">2) Whether there is an increase in cell cycle abnormalities (cell division time increases, number of lagging chromosomes, activation of division checkpoints, </w:t>
      </w:r>
      <w:proofErr w:type="spellStart"/>
      <w:r>
        <w:rPr>
          <w:i/>
          <w:sz w:val="24"/>
          <w:szCs w:val="24"/>
        </w:rPr>
        <w:t>etc</w:t>
      </w:r>
      <w:proofErr w:type="spellEnd"/>
      <w:r>
        <w:rPr>
          <w:i/>
          <w:sz w:val="24"/>
          <w:szCs w:val="24"/>
        </w:rPr>
        <w:t>) after extended culture</w:t>
      </w:r>
    </w:p>
    <w:p w:rsidR="005D48DB" w:rsidRDefault="005D48DB" w:rsidP="006E3F8E">
      <w:pPr>
        <w:spacing w:after="0" w:line="240" w:lineRule="auto"/>
        <w:rPr>
          <w:sz w:val="24"/>
          <w:szCs w:val="24"/>
        </w:rPr>
      </w:pPr>
    </w:p>
    <w:p w:rsidR="005D48DB" w:rsidRDefault="00927A40" w:rsidP="006E3F8E">
      <w:pPr>
        <w:spacing w:after="0" w:line="240" w:lineRule="auto"/>
        <w:rPr>
          <w:sz w:val="24"/>
          <w:szCs w:val="24"/>
        </w:rPr>
      </w:pPr>
      <w:r>
        <w:rPr>
          <w:sz w:val="24"/>
          <w:szCs w:val="24"/>
        </w:rPr>
        <w:t>We agree that it is important to determine whether long-term culture of testes results in increased cell</w:t>
      </w:r>
      <w:r w:rsidR="00944075">
        <w:rPr>
          <w:sz w:val="24"/>
          <w:szCs w:val="24"/>
        </w:rPr>
        <w:t xml:space="preserve"> cycle abnormalities, especially because our statement of “upwards of 24 hours” suggests that testes can be maintained for several days. </w:t>
      </w:r>
      <w:r w:rsidR="00B24FCB">
        <w:rPr>
          <w:sz w:val="24"/>
          <w:szCs w:val="24"/>
        </w:rPr>
        <w:t xml:space="preserve">To address this, we have first changed “upwards of 24 hours” to “up to about 24 hours” (line 79), which more accurately reflects culture durations that we have done in our lab. </w:t>
      </w:r>
      <w:r w:rsidR="005B3E40">
        <w:rPr>
          <w:sz w:val="24"/>
          <w:szCs w:val="24"/>
        </w:rPr>
        <w:t xml:space="preserve">We have also added a new paragraph to the Discussion (lines 397-414) explaining the utility of long-term culture and explaining that in our hands, testes maintained overnight remain healthy and viable based on the routine presence of cells actively undergoing cell division. </w:t>
      </w:r>
      <w:r w:rsidR="00F738D7">
        <w:rPr>
          <w:sz w:val="24"/>
          <w:szCs w:val="24"/>
        </w:rPr>
        <w:t xml:space="preserve">Unfortunately, we do not currently have data directly comparing cell cycle parameters for freshly dissected versus long-term cultured samples, though we agree with the reviewer that including such data would strengthen the protocol. </w:t>
      </w:r>
      <w:r w:rsidR="006E00A5">
        <w:rPr>
          <w:sz w:val="24"/>
          <w:szCs w:val="24"/>
        </w:rPr>
        <w:t>W</w:t>
      </w:r>
      <w:bookmarkStart w:id="0" w:name="_GoBack"/>
      <w:bookmarkEnd w:id="0"/>
      <w:r w:rsidR="005B3E40">
        <w:rPr>
          <w:sz w:val="24"/>
          <w:szCs w:val="24"/>
        </w:rPr>
        <w:t xml:space="preserve">e </w:t>
      </w:r>
      <w:r w:rsidR="00F738D7">
        <w:rPr>
          <w:sz w:val="24"/>
          <w:szCs w:val="24"/>
        </w:rPr>
        <w:t xml:space="preserve">now address this in the new Discussion paragraph by </w:t>
      </w:r>
      <w:r w:rsidR="005B3E40">
        <w:rPr>
          <w:sz w:val="24"/>
          <w:szCs w:val="24"/>
        </w:rPr>
        <w:t xml:space="preserve">advising the reader that precautions should be taken to determine whether, for their respective assays and conditions, long-term culture adversely affects the physiology of the testes and cells within. This includes, as suggested by the reviewer, </w:t>
      </w:r>
      <w:r w:rsidR="00EB63DE">
        <w:rPr>
          <w:sz w:val="24"/>
          <w:szCs w:val="24"/>
        </w:rPr>
        <w:t>assaying for increased incidence of meiotic abnormalities.</w:t>
      </w:r>
      <w:r w:rsidR="00F738D7">
        <w:rPr>
          <w:sz w:val="24"/>
          <w:szCs w:val="24"/>
        </w:rPr>
        <w:t xml:space="preserve"> </w:t>
      </w:r>
    </w:p>
    <w:p w:rsidR="00EB63DE" w:rsidRDefault="00EB63DE" w:rsidP="006E3F8E">
      <w:pPr>
        <w:spacing w:after="0" w:line="240" w:lineRule="auto"/>
        <w:rPr>
          <w:sz w:val="24"/>
          <w:szCs w:val="24"/>
        </w:rPr>
      </w:pPr>
    </w:p>
    <w:p w:rsidR="00EB63DE" w:rsidRDefault="00EB63DE" w:rsidP="006E3F8E">
      <w:pPr>
        <w:spacing w:after="0" w:line="240" w:lineRule="auto"/>
        <w:rPr>
          <w:sz w:val="24"/>
          <w:szCs w:val="24"/>
        </w:rPr>
      </w:pPr>
      <w:r>
        <w:rPr>
          <w:i/>
          <w:sz w:val="24"/>
          <w:szCs w:val="24"/>
        </w:rPr>
        <w:t>2. The authors should take care when describing their system to use in vivo versus ex vivo appropriately.</w:t>
      </w:r>
    </w:p>
    <w:p w:rsidR="00EB63DE" w:rsidRDefault="00EB63DE" w:rsidP="006E3F8E">
      <w:pPr>
        <w:spacing w:after="0" w:line="240" w:lineRule="auto"/>
        <w:rPr>
          <w:sz w:val="24"/>
          <w:szCs w:val="24"/>
        </w:rPr>
      </w:pPr>
    </w:p>
    <w:p w:rsidR="00EB63DE" w:rsidRDefault="00EB63DE" w:rsidP="006E3F8E">
      <w:pPr>
        <w:spacing w:after="0" w:line="240" w:lineRule="auto"/>
        <w:rPr>
          <w:sz w:val="24"/>
          <w:szCs w:val="24"/>
        </w:rPr>
      </w:pPr>
      <w:r>
        <w:rPr>
          <w:sz w:val="24"/>
          <w:szCs w:val="24"/>
        </w:rPr>
        <w:t>We have changed “in vivo” to “in intact tissue” or “ex vivo” in several places in several places in the manuscript</w:t>
      </w:r>
      <w:r w:rsidR="00C22C02">
        <w:rPr>
          <w:sz w:val="24"/>
          <w:szCs w:val="24"/>
        </w:rPr>
        <w:t xml:space="preserve"> (e.g., lines 102 and 132)</w:t>
      </w:r>
      <w:r>
        <w:rPr>
          <w:sz w:val="24"/>
          <w:szCs w:val="24"/>
        </w:rPr>
        <w:t>.</w:t>
      </w:r>
    </w:p>
    <w:p w:rsidR="00EB63DE" w:rsidRDefault="00EB63DE" w:rsidP="006E3F8E">
      <w:pPr>
        <w:spacing w:after="0" w:line="240" w:lineRule="auto"/>
        <w:rPr>
          <w:sz w:val="24"/>
          <w:szCs w:val="24"/>
        </w:rPr>
      </w:pPr>
    </w:p>
    <w:p w:rsidR="00EB63DE" w:rsidRDefault="00EB63DE" w:rsidP="006E3F8E">
      <w:pPr>
        <w:spacing w:after="0" w:line="240" w:lineRule="auto"/>
        <w:rPr>
          <w:sz w:val="24"/>
          <w:szCs w:val="24"/>
        </w:rPr>
      </w:pPr>
      <w:r>
        <w:rPr>
          <w:i/>
          <w:sz w:val="24"/>
          <w:szCs w:val="24"/>
        </w:rPr>
        <w:t>3. The authors should consider adding a troubleshooting section where they discuss common technical pitfalls in their protocol and how to recognize them.</w:t>
      </w:r>
    </w:p>
    <w:p w:rsidR="00EB63DE" w:rsidRDefault="00EB63DE" w:rsidP="006E3F8E">
      <w:pPr>
        <w:spacing w:after="0" w:line="240" w:lineRule="auto"/>
        <w:rPr>
          <w:sz w:val="24"/>
          <w:szCs w:val="24"/>
        </w:rPr>
      </w:pPr>
    </w:p>
    <w:p w:rsidR="00EB63DE" w:rsidRDefault="00EB63DE" w:rsidP="006E3F8E">
      <w:pPr>
        <w:spacing w:after="0" w:line="240" w:lineRule="auto"/>
        <w:rPr>
          <w:sz w:val="24"/>
          <w:szCs w:val="24"/>
        </w:rPr>
      </w:pPr>
      <w:r>
        <w:rPr>
          <w:sz w:val="24"/>
          <w:szCs w:val="24"/>
        </w:rPr>
        <w:t xml:space="preserve">We have included all troubleshooting steps and pointers in the Discussion section, as </w:t>
      </w:r>
      <w:r w:rsidR="00D3057D">
        <w:rPr>
          <w:sz w:val="24"/>
          <w:szCs w:val="24"/>
        </w:rPr>
        <w:t xml:space="preserve">prescribed in the </w:t>
      </w:r>
      <w:proofErr w:type="spellStart"/>
      <w:r w:rsidR="00D3057D">
        <w:rPr>
          <w:i/>
          <w:sz w:val="24"/>
          <w:szCs w:val="24"/>
        </w:rPr>
        <w:t>JoVE</w:t>
      </w:r>
      <w:proofErr w:type="spellEnd"/>
      <w:r w:rsidR="00D3057D">
        <w:rPr>
          <w:sz w:val="24"/>
          <w:szCs w:val="24"/>
        </w:rPr>
        <w:t xml:space="preserve"> manuscript preparation guidelines. This includes sections on avoiding damaging testes during dissection, preventing bursting of the testes during</w:t>
      </w:r>
      <w:r w:rsidR="00EF52D1">
        <w:rPr>
          <w:sz w:val="24"/>
          <w:szCs w:val="24"/>
        </w:rPr>
        <w:t xml:space="preserve"> mounting, and considerations regarding</w:t>
      </w:r>
      <w:r w:rsidR="00D3057D">
        <w:rPr>
          <w:sz w:val="24"/>
          <w:szCs w:val="24"/>
        </w:rPr>
        <w:t xml:space="preserve"> fixation methods</w:t>
      </w:r>
      <w:r w:rsidR="00EF52D1">
        <w:rPr>
          <w:sz w:val="24"/>
          <w:szCs w:val="24"/>
        </w:rPr>
        <w:t xml:space="preserve"> and</w:t>
      </w:r>
      <w:r w:rsidR="00D3057D">
        <w:rPr>
          <w:sz w:val="24"/>
          <w:szCs w:val="24"/>
        </w:rPr>
        <w:t xml:space="preserve"> proper</w:t>
      </w:r>
      <w:r w:rsidR="00EF52D1">
        <w:rPr>
          <w:sz w:val="24"/>
          <w:szCs w:val="24"/>
        </w:rPr>
        <w:t xml:space="preserve"> preservation of</w:t>
      </w:r>
      <w:r w:rsidR="00D3057D">
        <w:rPr>
          <w:sz w:val="24"/>
          <w:szCs w:val="24"/>
        </w:rPr>
        <w:t xml:space="preserve"> cell and tissue architecture.</w:t>
      </w:r>
    </w:p>
    <w:p w:rsidR="004F4B9E" w:rsidRDefault="004F4B9E" w:rsidP="006E3F8E">
      <w:pPr>
        <w:spacing w:after="0" w:line="240" w:lineRule="auto"/>
        <w:rPr>
          <w:sz w:val="24"/>
          <w:szCs w:val="24"/>
        </w:rPr>
      </w:pPr>
    </w:p>
    <w:p w:rsidR="004F4B9E" w:rsidRDefault="004F4B9E" w:rsidP="006E3F8E">
      <w:pPr>
        <w:spacing w:after="0" w:line="240" w:lineRule="auto"/>
        <w:rPr>
          <w:sz w:val="24"/>
          <w:szCs w:val="24"/>
        </w:rPr>
      </w:pPr>
      <w:r>
        <w:rPr>
          <w:i/>
          <w:sz w:val="24"/>
          <w:szCs w:val="24"/>
        </w:rPr>
        <w:t>4. It was unclear why highlighting was used for portions of the text.</w:t>
      </w:r>
    </w:p>
    <w:p w:rsidR="004F4B9E" w:rsidRDefault="004F4B9E" w:rsidP="006E3F8E">
      <w:pPr>
        <w:spacing w:after="0" w:line="240" w:lineRule="auto"/>
        <w:rPr>
          <w:sz w:val="24"/>
          <w:szCs w:val="24"/>
        </w:rPr>
      </w:pPr>
    </w:p>
    <w:p w:rsidR="004F4B9E" w:rsidRDefault="004F4B9E" w:rsidP="006E3F8E">
      <w:pPr>
        <w:spacing w:after="0" w:line="240" w:lineRule="auto"/>
        <w:rPr>
          <w:sz w:val="24"/>
          <w:szCs w:val="24"/>
        </w:rPr>
      </w:pPr>
      <w:r>
        <w:rPr>
          <w:sz w:val="24"/>
          <w:szCs w:val="24"/>
        </w:rPr>
        <w:t xml:space="preserve">Highlighting was used to indicate steps that should be included in the video, as prescribed in the </w:t>
      </w:r>
      <w:proofErr w:type="spellStart"/>
      <w:r>
        <w:rPr>
          <w:i/>
          <w:sz w:val="24"/>
          <w:szCs w:val="24"/>
        </w:rPr>
        <w:t>JoVE</w:t>
      </w:r>
      <w:proofErr w:type="spellEnd"/>
      <w:r>
        <w:rPr>
          <w:sz w:val="24"/>
          <w:szCs w:val="24"/>
        </w:rPr>
        <w:t xml:space="preserve"> manuscript preparation guidelines.</w:t>
      </w:r>
    </w:p>
    <w:p w:rsidR="00F526C4" w:rsidRDefault="00F526C4" w:rsidP="006E3F8E">
      <w:pPr>
        <w:spacing w:after="0" w:line="240" w:lineRule="auto"/>
        <w:rPr>
          <w:sz w:val="24"/>
          <w:szCs w:val="24"/>
        </w:rPr>
      </w:pPr>
    </w:p>
    <w:p w:rsidR="00F526C4" w:rsidRDefault="00F526C4" w:rsidP="006E3F8E">
      <w:pPr>
        <w:spacing w:after="0" w:line="240" w:lineRule="auto"/>
        <w:rPr>
          <w:sz w:val="24"/>
          <w:szCs w:val="24"/>
        </w:rPr>
      </w:pPr>
    </w:p>
    <w:p w:rsidR="00764135" w:rsidRDefault="00764135" w:rsidP="006E3F8E">
      <w:pPr>
        <w:spacing w:after="0" w:line="240" w:lineRule="auto"/>
        <w:rPr>
          <w:b/>
          <w:sz w:val="24"/>
          <w:szCs w:val="24"/>
        </w:rPr>
      </w:pPr>
    </w:p>
    <w:p w:rsidR="00764135" w:rsidRDefault="00764135" w:rsidP="006E3F8E">
      <w:pPr>
        <w:spacing w:after="0" w:line="240" w:lineRule="auto"/>
        <w:rPr>
          <w:b/>
          <w:sz w:val="24"/>
          <w:szCs w:val="24"/>
        </w:rPr>
      </w:pPr>
    </w:p>
    <w:p w:rsidR="00F526C4" w:rsidRDefault="00F526C4" w:rsidP="006E3F8E">
      <w:pPr>
        <w:spacing w:after="0" w:line="240" w:lineRule="auto"/>
        <w:rPr>
          <w:sz w:val="24"/>
          <w:szCs w:val="24"/>
        </w:rPr>
      </w:pPr>
      <w:r>
        <w:rPr>
          <w:b/>
          <w:sz w:val="24"/>
          <w:szCs w:val="24"/>
        </w:rPr>
        <w:lastRenderedPageBreak/>
        <w:t>Reviewer #2</w:t>
      </w:r>
    </w:p>
    <w:p w:rsidR="00F526C4" w:rsidRDefault="00F526C4" w:rsidP="006E3F8E">
      <w:pPr>
        <w:spacing w:after="0" w:line="240" w:lineRule="auto"/>
        <w:rPr>
          <w:sz w:val="24"/>
          <w:szCs w:val="24"/>
        </w:rPr>
      </w:pPr>
    </w:p>
    <w:p w:rsidR="00F526C4" w:rsidRPr="00F526C4" w:rsidRDefault="00F526C4" w:rsidP="006E3F8E">
      <w:pPr>
        <w:spacing w:after="0" w:line="240" w:lineRule="auto"/>
        <w:rPr>
          <w:sz w:val="24"/>
          <w:szCs w:val="24"/>
        </w:rPr>
      </w:pPr>
      <w:r>
        <w:rPr>
          <w:sz w:val="24"/>
          <w:szCs w:val="24"/>
        </w:rPr>
        <w:t>We thank the reviewer for their favorable comments. In response to the suggesting to “include other panels to describe some important steps”, we feel that the video will provide adequate visualization of the important steps of our protocol.</w:t>
      </w:r>
    </w:p>
    <w:sectPr w:rsidR="00F526C4" w:rsidRPr="00F52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4700E0"/>
    <w:multiLevelType w:val="hybridMultilevel"/>
    <w:tmpl w:val="B7060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8E"/>
    <w:rsid w:val="000C71F3"/>
    <w:rsid w:val="003570A3"/>
    <w:rsid w:val="004F4B9E"/>
    <w:rsid w:val="005B3E40"/>
    <w:rsid w:val="005D48DB"/>
    <w:rsid w:val="006E00A5"/>
    <w:rsid w:val="006E3F8E"/>
    <w:rsid w:val="006F57AC"/>
    <w:rsid w:val="00764135"/>
    <w:rsid w:val="007A155D"/>
    <w:rsid w:val="00927A40"/>
    <w:rsid w:val="00944075"/>
    <w:rsid w:val="00B24FCB"/>
    <w:rsid w:val="00C22C02"/>
    <w:rsid w:val="00D3057D"/>
    <w:rsid w:val="00EB63DE"/>
    <w:rsid w:val="00EF52D1"/>
    <w:rsid w:val="00F526C4"/>
    <w:rsid w:val="00F738D7"/>
    <w:rsid w:val="00FE5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3DEE5-229E-4CFA-BC6C-BB329932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1552</TotalTime>
  <Pages>3</Pages>
  <Words>687</Words>
  <Characters>3940</Characters>
  <Application>Microsoft Office Word</Application>
  <DocSecurity>0</DocSecurity>
  <Lines>58</Lines>
  <Paragraphs>11</Paragraphs>
  <ScaleCrop>false</ScaleCrop>
  <HeadingPairs>
    <vt:vector size="2" baseType="variant">
      <vt:variant>
        <vt:lpstr>Title</vt:lpstr>
      </vt:variant>
      <vt:variant>
        <vt:i4>1</vt:i4>
      </vt:variant>
    </vt:vector>
  </HeadingPairs>
  <TitlesOfParts>
    <vt:vector size="1" baseType="lpstr">
      <vt:lpstr/>
    </vt:vector>
  </TitlesOfParts>
  <Company>USUHS</Company>
  <LinksUpToDate>false</LinksUpToDate>
  <CharactersWithSpaces>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Jeremy</dc:creator>
  <cp:keywords/>
  <dc:description/>
  <cp:lastModifiedBy>Smyth, Jeremy</cp:lastModifiedBy>
  <cp:revision>17</cp:revision>
  <dcterms:created xsi:type="dcterms:W3CDTF">2019-12-04T18:49:00Z</dcterms:created>
  <dcterms:modified xsi:type="dcterms:W3CDTF">2019-12-06T16:25:00Z</dcterms:modified>
</cp:coreProperties>
</file>