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Purification of Fibroblasts and Schwann Cells from Sensory and Motor Nerves in Vitro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Qianru He, Fanhui Yu, Yan Li, Junjie Sun, Fei Ding</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 Laboratory of Neuroregeneration of Jiangsu and Ministry of Education, Co-Innovation Center of Neuroregeneration, Jiangsu Clinical Medicine Center of Tissue Engineering and Nerve Injury Repair, Nantong University, Nantong, PR China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heqianru@ntu.edu.cn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1352554076@qq.com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hesaidan@126.com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15506660626@163.com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Fei Ding</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dingfei@ntu.edu.cn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sensory Schwann cells, motor Schwann cells, sensory fibroblasts, motor fibroblasts, cell culture, peripheral nervous system</w:t>
      </w:r>
    </w:p>
    <w:p>
      <w:pPr>
        <w:spacing w:before="0" w:after="0" w:line="240"/>
        <w:ind w:right="0" w:left="0" w:firstLine="1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br/>
        <w:t xml:space="preserve">Here, we present a method to purify fibroblasts and Schwann cells from sensory and motor nerves in vitro.</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principal cells in the peripheral nervous system are the Schwann cells (SCs) and the fibroblasts. Both these cells distinctly express the sensory and motor phenotypes involved in different patterns of neurotrophic factor gene expression and other biological processes, affecting nerve regeneration. The present study has established a protocol to obtain highly purified rat sensory and motor SCs and fibroblasts more rapidly. The ventral root (motor nerve) and the dorsal root (sensory nerve) of neonatal rats (7-days-old) were dissociated and the cells were cultured for 4-5 days, followed by isolation of sensory and motor fibroblasts and SCs by combining differential digestion and differential adherence methods sequentially. The results of immunocytochemistry and flow cytometry analyses showed that the purity of the sensory and motor SCs and fibroblasts were &amp;gt;90%. This protocol can be used to obtain a large number of sensory and motor fibroblasts/SCs more rapidly, contributing to the exploration of sensory and motor nerve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peripheral nervous system, the nerve fibers mainly consists of axons, Schwann cells (SCs), and fibroblasts, and also contains a small number of macrophages, microvascular endothelial cells, and immune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SCs wrap the axons in a 1:1 ratio and are enclosed by a connective tissue layer called the endoneurium. The axons are then bundled together to form groups called fascicles, and each fascicle is wrapped in a connective tissue layer known as the perineurium. Finally, the whole nerve fiber is wrapped in a layer of connective tissue, which is termed as the epineurium. In the endoneurium, the whole cell population is comprised of 48% SCs, and a substantial portion of the remaining cells involves fibroblasts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fibroblasts are important components of all nerve compartments, including the epineurium, the perineurium, and the endoneurium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Many studies have indicated that SCs and fibroblasts play a crucial role in the regeneration process after peripheral nerve injuries</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After transection of the peripheral nerve, the perineurial fibroblasts regulate cell sorting via the ephrin-B/EphB2 signaling pathway between SCs and fibroblasts, further guiding the axonal regrowth through wounds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Peripheral nerve fibroblasts secrete tenascin-C protein and enhance the migration of SCs during nerve regeneration through &amp;#946;1-integrin signaling pathway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the SCs and fibroblasts used in the above studies were derived from the sciatic nerve, which includes both sensory and motor nerves.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peripheral nervous system, the sensory nerves (afferent nerves) conduct sensory signaling from the receptors to the central nervous system (CNS), while the motor nerves (efferent nerves) conduct signals from the CNS to the muscles. Previous studies have indicated that SCs express distinct motor and sensory phenotypes and secrete neurotrophic factors to support peripheral nerve regeneration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According to a recent study, fibroblasts also express different motor and sensory phenotypes and affect the migration of SCs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the exploration of differences between motor and sensory nerve fibroblasts/SCs allows us to study the complicated underlying molecular mechanisms of peripheral nerve specific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there are many ways to purify SCs and fibroblasts, including the application of antimitotic agents, antibody-mediated cytolysis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sequential immunopanning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laminin substratum</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all the above methods remove fibroblasts and preserve only the SCs. Highly purified SCs and fibroblasts can be obtained by flow cytometry sorting technology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but it is a time-consuming and costly technique. Hence, in this study, a simple differential digestion and differential adherence method for purifying and isolating sensory and motor nerve fibroblasts and SCs was developed in order to obtain a large number of fibroblasts and SCs more rapidly.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carried out in accordance with the Institutional Animal Care Guidelines of Nantong University. All the procedures including the animal subjects were ethically approved by the Administration Committee of Experimental Animals, Jiangsu Province,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Isolation and culture of motor and sensory nerve fibroblasts and 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seven-day-old Sprague-Dawley (SD) rats (n=4) provided by the Experimental Animal Center of Nantong University of China. Place the rats in a tank containing 5% isoflurane for 2-3 minutes, allow the animals to breath slowly and have no independent activity, and then sanitize using 75% ethanol prior to decapitation.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Use scissors to cut the back skin for about 3 cm and remove the spinal column. Open the vertebral canal carefully to expose the spinal cord.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Maintain the spinal cord in a 60 mm Petri dish with 2-3 mL of ice-cold D-Hanks’ balanced salt solution (HBSS).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Based on the anatomical structure, excise the ventral root (motor nerve) and then the dorsal root (sensory nerve) under a dissecting microscope. Next, place them in an ice-cold D-Hanks’ balanced salt solution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After removing the HBSS, slice the nerves into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mm pieces</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with scissors and digest with 1 mL of 0.25% (w/v) trypsin at 37 &amp;#176;C for 18-20 min. Next, supplement with 3-4 mL of DMEM containing 10% fetal bovine serum (FBS) to stop the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Pipette the mixture</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up and down gently about 10 times and centrifuge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After that, discard the supernatant and suspend the precipitate in 2-3 mL of DMEM supplemented with 10% FBS.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Filter the cell suspension using a 400 mesh filter, and then inoculate the cells in 60 mm Petri dish and culture at 37 &amp;#176;C in the presence of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After 4-5 days of culturing, isolate the passage 0 (p0) fibroblasts and SCs after reaching 90% confluence.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Isolation and culture of SCs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1.8.1.</w:t>
        <w:tab/>
        <w:t xml:space="preserve">Wash the cells once using 1x PBS. Add 1 mL of 0.25% (w/v) trypsin (37 &amp;#176;C) per 60 mm Petri dish to digest the cells for 8-10 s at room temperature. After that, add 3 mL of DMEM supplemented with 10% FBS to stop the digestion.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1.8.2.</w:t>
        <w:tab/>
        <w:t xml:space="preserve">Gently blow the mixture to detach the SCs with a pipette. Then collect and centrifuge the SCs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1.8.3.</w:t>
        <w:tab/>
        <w:t xml:space="preserve">Discard the supernatant and suspend the precipitate in 3 mL of DMEM with 10% FBS, 1% penicillin/streptomycin, 2 &amp;#181;M forskolin and 10 ng/mL HRG, and then inoculate the cells in uncoated 60 mm Petri dish. After culturing at 37 &amp;#176;C for 30-45 min, the fibroblasts (a few number of fibroblasts are digested with SCs) attach to the bottom of the dish.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1.8.4.</w:t>
        <w:tab/>
        <w:t xml:space="preserve">Transfer the supernatant (including the SCs) to another poly-L-lysine (PLL)-coated medium dish and culture at 37 &amp;#176;C for 2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Isolation and culture of fibroblasts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1.9.1.</w:t>
        <w:tab/>
        <w:t xml:space="preserve">After removing the SCs (as shown in step 1.8), wash the remaining fibroblasts in the dishes with 1x PBS and then add 1 mL of 0.25% (w/v) trypsin to digest the fibroblasts for 2 min at 37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1.9.2.</w:t>
        <w:tab/>
        <w:t xml:space="preserve">Add DMEM supplemented with 10% FBS to end the digestion. Blow the fibroblasts using a pipette, and then collect and centrifuge them at 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1.9.3.</w:t>
        <w:tab/>
        <w:t xml:space="preserve">Discard the supernatant, suspend the precipitate with 2 mL of DMEM containing 10% FBS, and then inoculate the cells in uncoated 60 mm Petri dish. The fibroblasts after culturing for 30-45 min at 37 &amp;#176;C attach to the bottom of the dish. Discard the supernatant (including a few numbers of SCs). Then add 3 mL of DMEM supplemented with 10% FBS into the fibroblasts dish and culture at 37 &amp;#176;C for 2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Passage the p1 cells until they reached 90% confluence. Then purify them by differential digestion and differential adherence again as described in sections 1.8 and 1.9.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Digest the p2 fibroblasts and SCs after culturing for 2 days, and then collect the cells, count and inoculate in 1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numbers/well on PLL-coated slides for immunocytochemistry (ICC).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ICC for identification of cell purity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Culture the cells for 24 h</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at 37 &amp;#176;C and perform ICC staining after differential digestion and differential adherence of motor and sensory fibroblasts and SCs.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Wash the motor and sensory fibroblasts and SCs with 1x PBS and fix them in 200 &amp;#181;L/well of 4% paraformaldehyde (pH 7.4) for 18 min at room temperature.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Block the sample SCs with blocking buffer (0.1% Triton X-100 in 0.01 M PBS containing 5% goat serum) and block the sample fibroblasts with blocking buffer (0.01 M PBS containing 5% goat serum) for 45 min at 37 &amp;#176;C after washing them with PBS thrice.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Remove the blocking buffer, and incubate with the following primary antibodies: mouse monoclonal anti-CD90 antibody (a specific marker for fibroblasts) (1:1000) for fibroblasts and mouse anti-S100 antibody (a specific marker for SCs) (1:400) for SCs at 4 &amp;#176;C overnight.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Discard the primary antibodies, wash with PBS thrice, and incubate with the following secondary antibodies: Alexa Fluor 594 goat anti-mouse IgG (1:400) for fibroblasts and 488-conjugated goat anti-mouse IgG (1:400) for SCs at room temperature for 1.5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Wash the samples thrice with PBS, and stain the nuclei with 5 &amp;#181;g/mL Hoechst 33342 dye for 10 min at room temperature. Wash the sample with 1x PBS thrice and mount them using the mounting medium (20 &amp;#181;L/slide) on the glass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Take the cell photographs by confocal laser scanning microscope in three random fields for each well. Evaluate the total number of nuclei and CD90-positive cells, S100-positive cells and then calculate the percentage of CD90-positive cells and S100-positive cells, respectively. Perform the staining in triplicate.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Flow cytometry analysis (FCA) for identification of cell purity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Evaluate the purity of motor and sensory fibroblasts and SCs as described previously by FCA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Briefly, digest the p2 motor and sensory fibroblasts and SCs with 0.25% (w/v) trypsin, resuspend the cell pellets and incubate them in fixation medium at room temperature for 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Incubate the cells with permeabilization medium and probe using mouse monoclonal anti-CD90 antibody (0.1 &amp;#181;g/10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200 &amp;#181;L) for fibroblasts and mouse anti-S100 antibody (1:400, 200 &amp;#181;L) for SCs at room temperature for 30 min,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Incubate the cells with 488-conjugated goat anti-mouse IgG for 30 min. Use FACS caliber to perform flow cytometry, and analyze the data using Cell Quest software.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Incubate the cells only with 488-conjugated goat anti-mouse IgG (fibroblasts Group) and mouse IgG1 kappa [MOPC-21] (FITC) - Isotype control (SCs group, which serves as negative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SimSun" w:hAnsi="SimSun" w:cs="SimSun" w:eastAsia="SimSun"/>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Present all data as means &amp;plusmn; SEM. Assess statistical differences in the data by unpaired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using GraphPad Prism 6.0. Set statistical significance at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&amp;lt;0.05. Perform all assays in triplicate.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Light microscopic observation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SCs and fibroblasts are the two main cell populations obtained in the primary cell culture from nerve tissues. After inoculation for 1 h, most of the cells adhered to the bottom of the dish, and the cell morphology changed from round to oval. After culturing for 24 h, the SCs exhibited a bipolar or tripolar morphology and the length of these ranged from 100 to 200 &amp;#181;m. After 48 h, aggregation and proliferation of cells occurred, in which many cells were aggregated in an end-to-end, shoulder-to-shoulder, whirlpool or fence-like arrangement. The other fibroblasts that are larger than SCs exhibited flat and irregular shape. With prolonged culture time, the number of SCs and fibroblasts was gradually increased. The SCs were clustered together between spaces of fibroblasts or located on the surface of fibroblasts (</w:t>
      </w:r>
      <w:r>
        <w:rPr>
          <w:rFonts w:ascii="Calibri" w:hAnsi="Calibri" w:cs="Calibri" w:eastAsia="Calibri"/>
          <w:b/>
          <w:color w:val="auto"/>
          <w:spacing w:val="0"/>
          <w:position w:val="0"/>
          <w:sz w:val="24"/>
          <w:shd w:fill="auto" w:val="clear"/>
        </w:rPr>
        <w:t xml:space="preserve">Figure 2A, 2B</w:t>
      </w:r>
      <w:r>
        <w:rPr>
          <w:rFonts w:ascii="Calibri" w:hAnsi="Calibri" w:cs="Calibri" w:eastAsia="Calibri"/>
          <w:color w:val="auto"/>
          <w:spacing w:val="0"/>
          <w:position w:val="0"/>
          <w:sz w:val="24"/>
          <w:shd w:fill="auto" w:val="clear"/>
        </w:rPr>
        <w:t xml:space="preserve">). The cells are subjected to differential digestion and differential adherence to isolate fibroblasts and SCs. After digestion for 8-10 s, SCs appeared as round and are blown off easily, while the fibroblasts are flat and attached to the bottom of the dish (</w:t>
      </w:r>
      <w:r>
        <w:rPr>
          <w:rFonts w:ascii="Calibri" w:hAnsi="Calibri" w:cs="Calibri" w:eastAsia="Calibri"/>
          <w:b/>
          <w:color w:val="auto"/>
          <w:spacing w:val="0"/>
          <w:position w:val="0"/>
          <w:sz w:val="24"/>
          <w:shd w:fill="auto" w:val="clear"/>
        </w:rPr>
        <w:t xml:space="preserve">Figure 2C, 2D</w:t>
      </w:r>
      <w:r>
        <w:rPr>
          <w:rFonts w:ascii="Calibri" w:hAnsi="Calibri" w:cs="Calibri" w:eastAsia="Calibri"/>
          <w:color w:val="auto"/>
          <w:spacing w:val="0"/>
          <w:position w:val="0"/>
          <w:sz w:val="24"/>
          <w:shd w:fill="auto" w:val="clear"/>
        </w:rPr>
        <w:t xml:space="preserve">). After differential digestion and differential adherence twice, the primary cultured SCs and fibroblasts were isolated and the typical cell morphology of motor and sensory SCs and fibroblasts was observed (</w:t>
      </w:r>
      <w:r>
        <w:rPr>
          <w:rFonts w:ascii="Calibri" w:hAnsi="Calibri" w:cs="Calibri" w:eastAsia="Calibri"/>
          <w:b/>
          <w:color w:val="auto"/>
          <w:spacing w:val="0"/>
          <w:position w:val="0"/>
          <w:sz w:val="24"/>
          <w:shd w:fill="auto" w:val="clear"/>
        </w:rPr>
        <w:t xml:space="preserve">Figure 2E-2H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purity of motor and sensory fibroblasts and SCs by ICC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sensory and motor fibroblasts were labeled using CD90 and visualized using a confocal laser scanning microscope (</w:t>
      </w:r>
      <w:r>
        <w:rPr>
          <w:rFonts w:ascii="Calibri" w:hAnsi="Calibri" w:cs="Calibri" w:eastAsia="Calibri"/>
          <w:b/>
          <w:color w:val="auto"/>
          <w:spacing w:val="0"/>
          <w:position w:val="0"/>
          <w:sz w:val="24"/>
          <w:shd w:fill="auto" w:val="clear"/>
        </w:rPr>
        <w:t xml:space="preserve">Figure 3A, 3D</w:t>
      </w:r>
      <w:r>
        <w:rPr>
          <w:rFonts w:ascii="Calibri" w:hAnsi="Calibri" w:cs="Calibri" w:eastAsia="Calibri"/>
          <w:color w:val="auto"/>
          <w:spacing w:val="0"/>
          <w:position w:val="0"/>
          <w:sz w:val="24"/>
          <w:shd w:fill="auto" w:val="clear"/>
        </w:rPr>
        <w:t xml:space="preserve">). Hoechst 33342 dye was used to label the cell nucleus (</w:t>
      </w:r>
      <w:r>
        <w:rPr>
          <w:rFonts w:ascii="Calibri" w:hAnsi="Calibri" w:cs="Calibri" w:eastAsia="Calibri"/>
          <w:b/>
          <w:color w:val="auto"/>
          <w:spacing w:val="0"/>
          <w:position w:val="0"/>
          <w:sz w:val="24"/>
          <w:shd w:fill="auto" w:val="clear"/>
        </w:rPr>
        <w:t xml:space="preserve">Figure 3B, 3E</w:t>
      </w:r>
      <w:r>
        <w:rPr>
          <w:rFonts w:ascii="Calibri" w:hAnsi="Calibri" w:cs="Calibri" w:eastAsia="Calibri"/>
          <w:color w:val="auto"/>
          <w:spacing w:val="0"/>
          <w:position w:val="0"/>
          <w:sz w:val="24"/>
          <w:shd w:fill="auto" w:val="clear"/>
        </w:rPr>
        <w:t xml:space="preserve">). The merged images of fibroblast immunostaining and nuclear staining (</w:t>
      </w:r>
      <w:r>
        <w:rPr>
          <w:rFonts w:ascii="Calibri" w:hAnsi="Calibri" w:cs="Calibri" w:eastAsia="Calibri"/>
          <w:b/>
          <w:color w:val="auto"/>
          <w:spacing w:val="0"/>
          <w:position w:val="0"/>
          <w:sz w:val="24"/>
          <w:shd w:fill="auto" w:val="clear"/>
        </w:rPr>
        <w:t xml:space="preserve">Figure 3C, 3F</w:t>
      </w:r>
      <w:r>
        <w:rPr>
          <w:rFonts w:ascii="Calibri" w:hAnsi="Calibri" w:cs="Calibri" w:eastAsia="Calibri"/>
          <w:color w:val="auto"/>
          <w:spacing w:val="0"/>
          <w:position w:val="0"/>
          <w:sz w:val="24"/>
          <w:shd w:fill="auto" w:val="clear"/>
        </w:rPr>
        <w:t xml:space="preserve">) indicated that 92.51% and 92.64% of CD90 and Hoechst co-labeled cells were present in the motor and sensory fibroblasts (</w:t>
      </w:r>
      <w:r>
        <w:rPr>
          <w:rFonts w:ascii="Calibri" w:hAnsi="Calibri" w:cs="Calibri" w:eastAsia="Calibri"/>
          <w:b/>
          <w:color w:val="auto"/>
          <w:spacing w:val="0"/>
          <w:position w:val="0"/>
          <w:sz w:val="24"/>
          <w:shd w:fill="auto" w:val="clear"/>
        </w:rPr>
        <w:t xml:space="preserve">Figure 3G</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sensory and motor SCs were labeled using S100 and visualized using a confocal laser scanning microscope (</w:t>
      </w:r>
      <w:r>
        <w:rPr>
          <w:rFonts w:ascii="Calibri" w:hAnsi="Calibri" w:cs="Calibri" w:eastAsia="Calibri"/>
          <w:b/>
          <w:color w:val="auto"/>
          <w:spacing w:val="0"/>
          <w:position w:val="0"/>
          <w:sz w:val="24"/>
          <w:shd w:fill="auto" w:val="clear"/>
        </w:rPr>
        <w:t xml:space="preserve">Figure 4A, 4D</w:t>
      </w:r>
      <w:r>
        <w:rPr>
          <w:rFonts w:ascii="Calibri" w:hAnsi="Calibri" w:cs="Calibri" w:eastAsia="Calibri"/>
          <w:color w:val="auto"/>
          <w:spacing w:val="0"/>
          <w:position w:val="0"/>
          <w:sz w:val="24"/>
          <w:shd w:fill="auto" w:val="clear"/>
        </w:rPr>
        <w:t xml:space="preserve">), respectively. Hoechst 33342 dye was used to label the cell nucleus (</w:t>
      </w:r>
      <w:r>
        <w:rPr>
          <w:rFonts w:ascii="Calibri" w:hAnsi="Calibri" w:cs="Calibri" w:eastAsia="Calibri"/>
          <w:b/>
          <w:color w:val="auto"/>
          <w:spacing w:val="0"/>
          <w:position w:val="0"/>
          <w:sz w:val="24"/>
          <w:shd w:fill="auto" w:val="clear"/>
        </w:rPr>
        <w:t xml:space="preserve">Figure 4B, 4E</w:t>
      </w:r>
      <w:r>
        <w:rPr>
          <w:rFonts w:ascii="Calibri" w:hAnsi="Calibri" w:cs="Calibri" w:eastAsia="Calibri"/>
          <w:color w:val="auto"/>
          <w:spacing w:val="0"/>
          <w:position w:val="0"/>
          <w:sz w:val="24"/>
          <w:shd w:fill="auto" w:val="clear"/>
        </w:rPr>
        <w:t xml:space="preserve">). The merged images of SC immunostaining and nuclear staining (</w:t>
      </w:r>
      <w:r>
        <w:rPr>
          <w:rFonts w:ascii="Calibri" w:hAnsi="Calibri" w:cs="Calibri" w:eastAsia="Calibri"/>
          <w:b/>
          <w:color w:val="auto"/>
          <w:spacing w:val="0"/>
          <w:position w:val="0"/>
          <w:sz w:val="24"/>
          <w:shd w:fill="auto" w:val="clear"/>
        </w:rPr>
        <w:t xml:space="preserve">Figure 4C, 4F</w:t>
      </w:r>
      <w:r>
        <w:rPr>
          <w:rFonts w:ascii="Calibri" w:hAnsi="Calibri" w:cs="Calibri" w:eastAsia="Calibri"/>
          <w:color w:val="auto"/>
          <w:spacing w:val="0"/>
          <w:position w:val="0"/>
          <w:sz w:val="24"/>
          <w:shd w:fill="auto" w:val="clear"/>
        </w:rPr>
        <w:t xml:space="preserve">) indicated the presence of 91.61% and 93.56% of S100 and Hoechst co-labeled cells in motor and sensory SCs (</w:t>
      </w:r>
      <w:r>
        <w:rPr>
          <w:rFonts w:ascii="Calibri" w:hAnsi="Calibri" w:cs="Calibri" w:eastAsia="Calibri"/>
          <w:b/>
          <w:color w:val="auto"/>
          <w:spacing w:val="0"/>
          <w:position w:val="0"/>
          <w:sz w:val="24"/>
          <w:shd w:fill="auto" w:val="clear"/>
        </w:rPr>
        <w:t xml:space="preserve">Figure 4G</w:t>
      </w:r>
      <w:r>
        <w:rPr>
          <w:rFonts w:ascii="Calibri" w:hAnsi="Calibri" w:cs="Calibri" w:eastAsia="Calibri"/>
          <w:color w:val="auto"/>
          <w:spacing w:val="0"/>
          <w:position w:val="0"/>
          <w:sz w:val="24"/>
          <w:shd w:fill="auto" w:val="clear"/>
        </w:rPr>
        <w:t xml:space="preserve">),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purity of sensory and motor fibroblasts and SCs by FCA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differential digestion and differential adherence twice, the primary cultured fibroblasts and SCs were isolated. As shown in </w:t>
      </w:r>
      <w:r>
        <w:rPr>
          <w:rFonts w:ascii="Calibri" w:hAnsi="Calibri" w:cs="Calibri" w:eastAsia="Calibri"/>
          <w:b/>
          <w:color w:val="auto"/>
          <w:spacing w:val="0"/>
          <w:position w:val="0"/>
          <w:sz w:val="24"/>
          <w:shd w:fill="auto" w:val="clear"/>
        </w:rPr>
        <w:t xml:space="preserve">Figure 5A-5C</w:t>
      </w:r>
      <w:r>
        <w:rPr>
          <w:rFonts w:ascii="Calibri" w:hAnsi="Calibri" w:cs="Calibri" w:eastAsia="Calibri"/>
          <w:color w:val="auto"/>
          <w:spacing w:val="0"/>
          <w:position w:val="0"/>
          <w:sz w:val="24"/>
          <w:shd w:fill="auto" w:val="clear"/>
        </w:rPr>
        <w:t xml:space="preserve">, almost &amp;gt;90% of cells in the motor and sensory Fb culture were fibroblasts, which was indicated by M2, while the remaining &amp;lt;10% (indicated by M1) were SCs. </w:t>
      </w:r>
      <w:r>
        <w:rPr>
          <w:rFonts w:ascii="Calibri" w:hAnsi="Calibri" w:cs="Calibri" w:eastAsia="Calibri"/>
          <w:b/>
          <w:color w:val="auto"/>
          <w:spacing w:val="0"/>
          <w:position w:val="0"/>
          <w:sz w:val="24"/>
          <w:shd w:fill="auto" w:val="clear"/>
        </w:rPr>
        <w:t xml:space="preserve">Figure 4C-4F</w:t>
      </w:r>
      <w:r>
        <w:rPr>
          <w:rFonts w:ascii="Calibri" w:hAnsi="Calibri" w:cs="Calibri" w:eastAsia="Calibri"/>
          <w:color w:val="auto"/>
          <w:spacing w:val="0"/>
          <w:position w:val="0"/>
          <w:sz w:val="24"/>
          <w:shd w:fill="auto" w:val="clear"/>
        </w:rPr>
        <w:t xml:space="preserve"> showed that &amp;gt;92% of all cells in the motor and sensory SC culture were SCs, which was indicated by M2, while the remaining &amp;lt;8% (indicated by M1) were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schematic diagram showing the separation and purification steps of sensory and motor Fibroblasts and 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Phase-contrast micrograph showing the cell morphology of (A) primary cultured motor and (B) sensory fibroblasts and SCs.</w:t>
      </w:r>
      <w:r>
        <w:rPr>
          <w:rFonts w:ascii="Calibri" w:hAnsi="Calibri" w:cs="Calibri" w:eastAsia="Calibri"/>
          <w:color w:val="auto"/>
          <w:spacing w:val="0"/>
          <w:position w:val="0"/>
          <w:sz w:val="24"/>
          <w:shd w:fill="auto" w:val="clear"/>
        </w:rPr>
        <w:t xml:space="preserve"> After digestion for 10 s, the cell morphology of the SCs was round (as indicated by the arrows), while the fibroblasts remained flat and were attached at the bottom of the dish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Motor Fibroblasts and SCs;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Sensory Fibroblasts and SCs). After differential digestion and differential adherence, the SCs and Fibroblasts were isolated and the typical cell morphology of motor and sensory Fibroblasts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Motor Fibroblasts;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Sensory Fibroblasts) and SCs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Motor SCs;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Sensory SCs) were shown. (Scale bar: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Identification of purity of motor and sensory fibroblasts by ICC.</w:t>
      </w:r>
      <w:r>
        <w:rPr>
          <w:rFonts w:ascii="Calibri" w:hAnsi="Calibri" w:cs="Calibri" w:eastAsia="Calibri"/>
          <w:color w:val="auto"/>
          <w:spacing w:val="0"/>
          <w:position w:val="0"/>
          <w:sz w:val="24"/>
          <w:shd w:fill="auto" w:val="clear"/>
        </w:rPr>
        <w:t xml:space="preserve"> Fluorescence microscopic photographs of cultured motor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sensory Fibroblasts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showing immunostaining with antibodies against CD90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red), Hoechst 33342 nuclear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blue), and merging of both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Statistical analysis of purity of cultured Fibroblasts.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Identification of purity of motor and sensory SCs by ICC.</w:t>
      </w:r>
      <w:r>
        <w:rPr>
          <w:rFonts w:ascii="Calibri" w:hAnsi="Calibri" w:cs="Calibri" w:eastAsia="Calibri"/>
          <w:color w:val="auto"/>
          <w:spacing w:val="0"/>
          <w:position w:val="0"/>
          <w:sz w:val="24"/>
          <w:shd w:fill="auto" w:val="clear"/>
        </w:rPr>
        <w:t xml:space="preserve"> Fluorescence microscopic photographs of cultured motor (</w:t>
      </w:r>
      <w:r>
        <w:rPr>
          <w:rFonts w:ascii="Calibri" w:hAnsi="Calibri" w:cs="Calibri" w:eastAsia="Calibri"/>
          <w:b/>
          <w:color w:val="auto"/>
          <w:spacing w:val="0"/>
          <w:position w:val="0"/>
          <w:sz w:val="24"/>
          <w:shd w:fill="auto" w:val="clear"/>
        </w:rPr>
        <w:t xml:space="preserve">A-C</w:t>
      </w:r>
      <w:r>
        <w:rPr>
          <w:rFonts w:ascii="Calibri" w:hAnsi="Calibri" w:cs="Calibri" w:eastAsia="Calibri"/>
          <w:color w:val="auto"/>
          <w:spacing w:val="0"/>
          <w:position w:val="0"/>
          <w:sz w:val="24"/>
          <w:shd w:fill="auto" w:val="clear"/>
        </w:rPr>
        <w:t xml:space="preserve">) and sensory SCs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showing immunostaining with antibodies against S100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red), Hoechst 33342 nuclear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blue), and merging of both staining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Statistical analysis of purity of cultured SCs. (Scale bar: 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Identification of purity of sensory and motor fibroblasts and SCs by FCA.</w:t>
      </w:r>
      <w:r>
        <w:rPr>
          <w:rFonts w:ascii="Calibri" w:hAnsi="Calibri" w:cs="Calibri" w:eastAsia="Calibri"/>
          <w:color w:val="auto"/>
          <w:spacing w:val="0"/>
          <w:position w:val="0"/>
          <w:sz w:val="24"/>
          <w:shd w:fill="auto" w:val="clear"/>
        </w:rPr>
        <w:t xml:space="preserve"> The FCA graph showing the percentage of CD90-positive cells/S100-positive cells (M2) of cultured motor and sensory Fibroblasts/SCs. Statistical analysis of purity of cultured Fibroblasts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SCs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major cell populations of peripheral nerves included SCs and fibroblasts. The primarily cultured fibroblasts and SCs can accurately assist in modeling the physiology of fibroblasts and SCs during peripheral nerve development and regeneration. The study showed that P7 rat sciatic nerve cells contained about 85% of S100-positive SCs, 13% of OX7-positive fibroblasts and only 1.5% of OX42-positive macrophages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Although the number of fibroblasts is less than SCs, the initial proliferation rate of fibroblasts is faster than that of SCs. Therefore, Ara-C is the most commonly used antimitotic agent for removing fibroblasts in many studies. However, Ara-C is not specific for cell mitosis, and it can also inhibit the proliferation of SCs during vigorous stage of division. With the antibody-mediated cytolysis or immunopanning method, the fibroblasts either were lost or died. Although flow cytometry sorting technology can be used to obtain high-purity fibroblasts and SCs at the same time, it needs a large number of cells, and the cell acquisition rate remained low. To the best of our knowledge, this was the first study to show the purification method of sensory and motor SCs and fibroblasts.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 large number of sensory and motor fibroblasts and SCs was obtained at the same time by combining differential digestion as well as differential adherence sequentially, causing no harm to the cells. The results of ICC staining and FCA showed that all the sensory and motor SCs/fibroblasts were of high purity (&amp;gt;90%). The critical step of this method is to control the time of differential digestion. If the time is too short, it makes SCs hard to detach, and if the time is too long, it causes some fibroblasts to digest with SCs. In Weiss’s study, ice cold Accutase is used to detach SCs from fibroblasts, but this is more expensive than trypsin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Differential digestion with trypsin can effectively assist in separating SCs and fibroblasts. The limitation of this protocol is that it is not easy to excise sensory and motor nerves from neonatal rats, which requires more practice with the dissecting microscope. The protocol for culturing is very useful for studying the biological characteristics of sensory and motor nerve fibroblasts and SCs, and for the mechanism of sensory and motor nerve regeneration or fibroblasts and SCs transplantation to promote nerve regeneration.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the National Key Research and Development Program of China (Grant No. 2017YFA0104703), the National Natural Foundation of China (Grant No. 81371389).&lt;/p&gt;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Stierli,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regulation of the homeostasis and regeneration of peripheral nerve is distinct from the CNS and independent of a stem cell population. </w:t>
      </w:r>
      <w:r>
        <w:rPr>
          <w:rFonts w:ascii="Calibri" w:hAnsi="Calibri" w:cs="Calibri" w:eastAsia="Calibri"/>
          <w:i/>
          <w:color w:val="auto"/>
          <w:spacing w:val="0"/>
          <w:position w:val="0"/>
          <w:sz w:val="24"/>
          <w:shd w:fill="auto" w:val="clear"/>
        </w:rPr>
        <w:t xml:space="preserve">Development (The Company of Biologists).</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Schubert, T., Friede, R. L. The role of endoneurial fibroblasts in myelin degradation. </w:t>
      </w:r>
      <w:r>
        <w:rPr>
          <w:rFonts w:ascii="Calibri" w:hAnsi="Calibri" w:cs="Calibri" w:eastAsia="Calibri"/>
          <w:i/>
          <w:color w:val="auto"/>
          <w:spacing w:val="0"/>
          <w:position w:val="0"/>
          <w:sz w:val="24"/>
          <w:shd w:fill="auto" w:val="clear"/>
        </w:rPr>
        <w:t xml:space="preserve">Journal of Neuropathology and Experimental Neurology.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134-154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Dreesmann, L., Mittnacht, U., Lietz, M., Schlosshauer, B. Nerve fibroblast impact on Schwann cell behavior.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 285-300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Lavdas, 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Schwann cells engineered to express the cell adhesion molecule L1 accelerate myelination and motor recovery after spinal cord injury. </w:t>
      </w:r>
      <w:r>
        <w:rPr>
          <w:rFonts w:ascii="Calibri" w:hAnsi="Calibri" w:cs="Calibri" w:eastAsia="Calibri"/>
          <w:i/>
          <w:color w:val="auto"/>
          <w:spacing w:val="0"/>
          <w:position w:val="0"/>
          <w:sz w:val="24"/>
          <w:shd w:fill="auto" w:val="clear"/>
        </w:rPr>
        <w:t xml:space="preserve">Experimental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 206-216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Parrinello,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EphB signaling directs peripheral nerve regeneration through Sox2-dependent Schwann cell sorting.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(1), 145-155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Benito, C., Davis, C. M., Gomez-Sanchez, J. A. STAT3 Controls the Long-Term Survival and Phenotype of Repair Schwann Cells during Nerve Regeneration. </w:t>
      </w:r>
      <w:r>
        <w:rPr>
          <w:rFonts w:ascii="Calibri" w:hAnsi="Calibri" w:cs="Calibri" w:eastAsia="Calibri"/>
          <w:i/>
          <w:color w:val="auto"/>
          <w:spacing w:val="0"/>
          <w:position w:val="0"/>
          <w:sz w:val="24"/>
          <w:shd w:fill="auto" w:val="clear"/>
        </w:rPr>
        <w:t xml:space="preserve">Journal of Neuroscience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(16), 4255-4269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Zhang, Z. J., Jiang, B. C., Gao, Y. J. Chemokines in neuron-glial cell interaction and pathogenesis of neuropathic pain.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(18), 3275-3291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Hoke,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Schwann cells express motor and sensory phenotypes that regulate axon regeneration.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(38), 9646-9655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Brushart,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Schwann cell phenotype is regulated by axon modality and central-peripheral location, and persists in vitro. </w:t>
      </w:r>
      <w:r>
        <w:rPr>
          <w:rFonts w:ascii="Calibri" w:hAnsi="Calibri" w:cs="Calibri" w:eastAsia="Calibri"/>
          <w:i/>
          <w:color w:val="auto"/>
          <w:spacing w:val="0"/>
          <w:position w:val="0"/>
          <w:sz w:val="24"/>
          <w:shd w:fill="auto" w:val="clear"/>
        </w:rPr>
        <w:t xml:space="preserve">Experiment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247</w:t>
      </w:r>
      <w:r>
        <w:rPr>
          <w:rFonts w:ascii="Calibri" w:hAnsi="Calibri" w:cs="Calibri" w:eastAsia="Calibri"/>
          <w:color w:val="auto"/>
          <w:spacing w:val="0"/>
          <w:position w:val="0"/>
          <w:sz w:val="24"/>
          <w:shd w:fill="auto" w:val="clear"/>
        </w:rPr>
        <w:t xml:space="preserve">, 272-281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Differential Gene Expression in Primary Cultured Sensory and Motor Nerve Fibroblasts. </w:t>
      </w:r>
      <w:r>
        <w:rPr>
          <w:rFonts w:ascii="Calibri" w:hAnsi="Calibri" w:cs="Calibri" w:eastAsia="Calibri"/>
          <w:i/>
          <w:color w:val="auto"/>
          <w:spacing w:val="0"/>
          <w:position w:val="0"/>
          <w:sz w:val="24"/>
          <w:shd w:fill="auto" w:val="clear"/>
        </w:rPr>
        <w:t xml:space="preserve">Frontiers in Neuroscience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1016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Weinstein, D. E., Wu, R. Isolation and purification of primary Schwann cells. Current protocols in neuroscience. </w:t>
      </w:r>
      <w:r>
        <w:rPr>
          <w:rFonts w:ascii="Calibri" w:hAnsi="Calibri" w:cs="Calibri" w:eastAsia="Calibri"/>
          <w:b/>
          <w:color w:val="auto"/>
          <w:spacing w:val="0"/>
          <w:position w:val="0"/>
          <w:sz w:val="24"/>
          <w:shd w:fill="auto" w:val="clear"/>
        </w:rPr>
        <w:t xml:space="preserve">Chapter 3</w:t>
      </w:r>
      <w:r>
        <w:rPr>
          <w:rFonts w:ascii="Calibri" w:hAnsi="Calibri" w:cs="Calibri" w:eastAsia="Calibri"/>
          <w:color w:val="auto"/>
          <w:spacing w:val="0"/>
          <w:position w:val="0"/>
          <w:sz w:val="24"/>
          <w:shd w:fill="auto" w:val="clear"/>
        </w:rPr>
        <w:t xml:space="preserve">, Unit 3.17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Palomo Irigoyen,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and Purification of Primary Rodent Schwann Cells.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1791</w:t>
      </w:r>
      <w:r>
        <w:rPr>
          <w:rFonts w:ascii="Calibri" w:hAnsi="Calibri" w:cs="Calibri" w:eastAsia="Calibri"/>
          <w:color w:val="auto"/>
          <w:spacing w:val="0"/>
          <w:position w:val="0"/>
          <w:sz w:val="24"/>
          <w:shd w:fill="auto" w:val="clear"/>
        </w:rPr>
        <w:t xml:space="preserve">, 81-93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Cheng, L., Khan, M., Mudge, A. W. Calcitonin gene-related peptide promotes Schwann cell proliferation.</w:t>
      </w:r>
      <w:r>
        <w:rPr>
          <w:rFonts w:ascii="Calibri" w:hAnsi="Calibri" w:cs="Calibri" w:eastAsia="Calibri"/>
          <w:i/>
          <w:color w:val="auto"/>
          <w:spacing w:val="0"/>
          <w:position w:val="0"/>
          <w:sz w:val="24"/>
          <w:shd w:fill="auto" w:val="clear"/>
        </w:rPr>
        <w:t xml:space="preserv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789-796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Pannunzio,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new method of selecting Schwann cells from adult mouse sciatic nerve.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74-81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Shen, M., Tang, W., Cao, Z., Cao, X., Ding, F. Isolation of rat Schwann cells based on cell sorting. </w:t>
      </w:r>
      <w:r>
        <w:rPr>
          <w:rFonts w:ascii="Calibri" w:hAnsi="Calibri" w:cs="Calibri" w:eastAsia="Calibri"/>
          <w:i/>
          <w:color w:val="auto"/>
          <w:spacing w:val="0"/>
          <w:position w:val="0"/>
          <w:sz w:val="24"/>
          <w:shd w:fill="auto" w:val="clear"/>
        </w:rPr>
        <w:t xml:space="preserve">Molecular Medicine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1747-1752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He, Q., Man, L., Ji, Y., Ding, F. Comparison in the biological characteristics between primary cultured sensory and motor Schwann cells. </w:t>
      </w:r>
      <w:r>
        <w:rPr>
          <w:rFonts w:ascii="Calibri" w:hAnsi="Calibri" w:cs="Calibri" w:eastAsia="Calibri"/>
          <w:i/>
          <w:color w:val="auto"/>
          <w:spacing w:val="0"/>
          <w:position w:val="0"/>
          <w:sz w:val="24"/>
          <w:shd w:fill="auto" w:val="clear"/>
        </w:rPr>
        <w:t xml:space="preserve">Neuroscience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 (1), 57-61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Weiss,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Proteomics and transcriptomics of peripheral nerve tissue and cells unravel new aspects of the human Schwann cell repair phenotype.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(12), 2133-2153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