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54F3A16" w:rsidR="006305D7" w:rsidRPr="0082639A" w:rsidRDefault="006305D7" w:rsidP="0082639A">
      <w:pPr>
        <w:contextualSpacing/>
        <w:jc w:val="left"/>
      </w:pPr>
      <w:r w:rsidRPr="0082639A">
        <w:rPr>
          <w:b/>
          <w:bCs/>
        </w:rPr>
        <w:t>TITLE:</w:t>
      </w:r>
    </w:p>
    <w:p w14:paraId="2E300B21" w14:textId="496A8DA5" w:rsidR="007A4DD6" w:rsidRPr="0082639A" w:rsidRDefault="00F00E15" w:rsidP="0082639A">
      <w:pPr>
        <w:contextualSpacing/>
        <w:jc w:val="left"/>
        <w:rPr>
          <w:b/>
          <w:bCs/>
        </w:rPr>
      </w:pPr>
      <w:r w:rsidRPr="0082639A">
        <w:rPr>
          <w:b/>
          <w:bCs/>
        </w:rPr>
        <w:t>Isolation of</w:t>
      </w:r>
      <w:r w:rsidR="00476FC6" w:rsidRPr="0082639A">
        <w:rPr>
          <w:b/>
          <w:bCs/>
        </w:rPr>
        <w:t xml:space="preserve"> </w:t>
      </w:r>
      <w:r w:rsidR="00BB688E" w:rsidRPr="0082639A">
        <w:rPr>
          <w:b/>
          <w:bCs/>
        </w:rPr>
        <w:t>Tonsillar Mononuclear Cells</w:t>
      </w:r>
      <w:r w:rsidR="00757C25" w:rsidRPr="0082639A">
        <w:rPr>
          <w:b/>
          <w:bCs/>
        </w:rPr>
        <w:t xml:space="preserve"> to </w:t>
      </w:r>
      <w:r w:rsidR="00BB688E" w:rsidRPr="0082639A">
        <w:rPr>
          <w:b/>
          <w:bCs/>
        </w:rPr>
        <w:t>Study</w:t>
      </w:r>
      <w:r w:rsidR="00757C25" w:rsidRPr="0082639A">
        <w:rPr>
          <w:b/>
          <w:bCs/>
        </w:rPr>
        <w:t xml:space="preserve"> </w:t>
      </w:r>
      <w:r w:rsidR="00757C25" w:rsidRPr="008D46BC">
        <w:rPr>
          <w:b/>
        </w:rPr>
        <w:t>ex vivo</w:t>
      </w:r>
      <w:r w:rsidR="00757C25" w:rsidRPr="0082639A">
        <w:rPr>
          <w:b/>
          <w:bCs/>
        </w:rPr>
        <w:t xml:space="preserve"> </w:t>
      </w:r>
      <w:r w:rsidR="00BB688E" w:rsidRPr="0082639A">
        <w:rPr>
          <w:b/>
          <w:bCs/>
        </w:rPr>
        <w:t>Innate Immune Responses</w:t>
      </w:r>
      <w:r w:rsidR="00B72BDE" w:rsidRPr="0082639A">
        <w:rPr>
          <w:b/>
          <w:bCs/>
        </w:rPr>
        <w:t xml:space="preserve"> in a </w:t>
      </w:r>
      <w:r w:rsidR="00BB688E" w:rsidRPr="0082639A">
        <w:rPr>
          <w:b/>
          <w:bCs/>
        </w:rPr>
        <w:t>Human Mucosal Lymphoid Tissue</w:t>
      </w:r>
    </w:p>
    <w:p w14:paraId="3F0F632A" w14:textId="77777777" w:rsidR="0098426B" w:rsidRPr="0082639A" w:rsidRDefault="0098426B" w:rsidP="0082639A">
      <w:pPr>
        <w:contextualSpacing/>
        <w:jc w:val="left"/>
        <w:rPr>
          <w:b/>
          <w:bCs/>
        </w:rPr>
      </w:pPr>
    </w:p>
    <w:p w14:paraId="5EA359BD" w14:textId="77777777" w:rsidR="00BA34BD" w:rsidRPr="0082639A" w:rsidRDefault="00BA34BD" w:rsidP="0082639A">
      <w:pPr>
        <w:contextualSpacing/>
        <w:jc w:val="left"/>
        <w:rPr>
          <w:color w:val="808080" w:themeColor="background1" w:themeShade="80"/>
        </w:rPr>
      </w:pPr>
      <w:r w:rsidRPr="0082639A">
        <w:rPr>
          <w:b/>
          <w:bCs/>
        </w:rPr>
        <w:t>AUTHORS AND AFFILIATIONS:</w:t>
      </w:r>
    </w:p>
    <w:p w14:paraId="3BB6A338" w14:textId="37E47248" w:rsidR="00BA34BD" w:rsidRPr="0082639A" w:rsidRDefault="00BA34BD" w:rsidP="0082639A">
      <w:pPr>
        <w:contextualSpacing/>
        <w:jc w:val="left"/>
        <w:rPr>
          <w:color w:val="000000" w:themeColor="text1"/>
        </w:rPr>
      </w:pPr>
      <w:proofErr w:type="spellStart"/>
      <w:r w:rsidRPr="0082639A">
        <w:rPr>
          <w:color w:val="000000" w:themeColor="text1"/>
        </w:rPr>
        <w:t>Nikaïa</w:t>
      </w:r>
      <w:proofErr w:type="spellEnd"/>
      <w:r w:rsidRPr="0082639A">
        <w:rPr>
          <w:color w:val="000000" w:themeColor="text1"/>
        </w:rPr>
        <w:t xml:space="preserve"> Smith</w:t>
      </w:r>
      <w:r w:rsidRPr="0082639A">
        <w:rPr>
          <w:color w:val="000000" w:themeColor="text1"/>
          <w:vertAlign w:val="superscript"/>
        </w:rPr>
        <w:t>1,2,3,4</w:t>
      </w:r>
      <w:r w:rsidRPr="0082639A">
        <w:rPr>
          <w:color w:val="000000" w:themeColor="text1"/>
        </w:rPr>
        <w:t xml:space="preserve">, </w:t>
      </w:r>
      <w:proofErr w:type="spellStart"/>
      <w:r w:rsidRPr="0082639A">
        <w:rPr>
          <w:color w:val="000000" w:themeColor="text1"/>
        </w:rPr>
        <w:t>Nassima</w:t>
      </w:r>
      <w:proofErr w:type="spellEnd"/>
      <w:r w:rsidRPr="0082639A">
        <w:rPr>
          <w:color w:val="000000" w:themeColor="text1"/>
        </w:rPr>
        <w:t xml:space="preserve"> Bekaddour</w:t>
      </w:r>
      <w:r w:rsidRPr="0082639A">
        <w:rPr>
          <w:color w:val="000000" w:themeColor="text1"/>
          <w:vertAlign w:val="superscript"/>
        </w:rPr>
        <w:t>2,3,4</w:t>
      </w:r>
      <w:r w:rsidRPr="0082639A">
        <w:rPr>
          <w:color w:val="000000" w:themeColor="text1"/>
        </w:rPr>
        <w:t>, Nicolas Leboulanger</w:t>
      </w:r>
      <w:r w:rsidRPr="0082639A">
        <w:rPr>
          <w:color w:val="000000" w:themeColor="text1"/>
          <w:vertAlign w:val="superscript"/>
        </w:rPr>
        <w:t>4,5</w:t>
      </w:r>
      <w:r w:rsidRPr="0082639A">
        <w:rPr>
          <w:color w:val="000000" w:themeColor="text1"/>
        </w:rPr>
        <w:t>, Yolande Richard</w:t>
      </w:r>
      <w:r w:rsidRPr="0082639A">
        <w:rPr>
          <w:color w:val="000000" w:themeColor="text1"/>
          <w:vertAlign w:val="superscript"/>
        </w:rPr>
        <w:t>6</w:t>
      </w:r>
      <w:r w:rsidR="00BB688E">
        <w:rPr>
          <w:color w:val="000000" w:themeColor="text1"/>
          <w:vertAlign w:val="superscript"/>
        </w:rPr>
        <w:t>*</w:t>
      </w:r>
      <w:r w:rsidRPr="0082639A">
        <w:rPr>
          <w:color w:val="000000" w:themeColor="text1"/>
        </w:rPr>
        <w:t>, Jean-Philippe Herbeuval</w:t>
      </w:r>
      <w:r w:rsidRPr="0082639A">
        <w:rPr>
          <w:color w:val="000000" w:themeColor="text1"/>
          <w:vertAlign w:val="superscript"/>
        </w:rPr>
        <w:t>2,3,4</w:t>
      </w:r>
      <w:r w:rsidR="00BB688E">
        <w:rPr>
          <w:color w:val="000000" w:themeColor="text1"/>
          <w:vertAlign w:val="superscript"/>
        </w:rPr>
        <w:t>*</w:t>
      </w:r>
    </w:p>
    <w:p w14:paraId="68A062F9" w14:textId="77777777" w:rsidR="00BA34BD" w:rsidRPr="0082639A" w:rsidRDefault="00BA34BD" w:rsidP="0082639A">
      <w:pPr>
        <w:contextualSpacing/>
        <w:jc w:val="left"/>
        <w:rPr>
          <w:color w:val="000000" w:themeColor="text1"/>
        </w:rPr>
      </w:pPr>
    </w:p>
    <w:p w14:paraId="6C01DD2B" w14:textId="09864F39" w:rsidR="00BA34BD" w:rsidRPr="0082639A" w:rsidRDefault="00BA34BD" w:rsidP="0082639A">
      <w:pPr>
        <w:contextualSpacing/>
        <w:jc w:val="left"/>
        <w:rPr>
          <w:color w:val="000000" w:themeColor="text1"/>
        </w:rPr>
      </w:pPr>
      <w:r w:rsidRPr="0082639A">
        <w:rPr>
          <w:color w:val="000000" w:themeColor="text1"/>
          <w:vertAlign w:val="superscript"/>
        </w:rPr>
        <w:t>1</w:t>
      </w:r>
      <w:r w:rsidRPr="0082639A">
        <w:rPr>
          <w:color w:val="000000" w:themeColor="text1"/>
        </w:rPr>
        <w:t>Institute of Molecular Virology, Ulm University Medical Center, Ulm, Germany.</w:t>
      </w:r>
    </w:p>
    <w:p w14:paraId="1E8EBE59" w14:textId="56BA5B93" w:rsidR="00BA34BD" w:rsidRPr="0082639A" w:rsidRDefault="00BA34BD" w:rsidP="0082639A">
      <w:pPr>
        <w:contextualSpacing/>
        <w:jc w:val="left"/>
        <w:rPr>
          <w:color w:val="000000" w:themeColor="text1"/>
          <w:lang w:val="fr-FR"/>
        </w:rPr>
      </w:pPr>
      <w:r w:rsidRPr="0082639A">
        <w:rPr>
          <w:color w:val="000000" w:themeColor="text1"/>
          <w:vertAlign w:val="superscript"/>
          <w:lang w:val="fr-FR"/>
        </w:rPr>
        <w:t>2</w:t>
      </w:r>
      <w:r w:rsidRPr="0082639A">
        <w:rPr>
          <w:color w:val="000000" w:themeColor="text1"/>
          <w:lang w:val="fr-FR"/>
        </w:rPr>
        <w:t>CNRS UMR</w:t>
      </w:r>
      <w:r w:rsidRPr="0082639A">
        <w:rPr>
          <w:rFonts w:ascii="Cambria Math" w:hAnsi="Cambria Math" w:cs="Cambria Math"/>
          <w:color w:val="000000" w:themeColor="text1"/>
          <w:lang w:val="fr-FR"/>
        </w:rPr>
        <w:t>‑</w:t>
      </w:r>
      <w:r w:rsidRPr="0082639A">
        <w:rPr>
          <w:color w:val="000000" w:themeColor="text1"/>
          <w:lang w:val="fr-FR"/>
        </w:rPr>
        <w:t>8601, CICB, Paris, France.</w:t>
      </w:r>
    </w:p>
    <w:p w14:paraId="65291C65" w14:textId="3A06A566" w:rsidR="00BA34BD" w:rsidRPr="0082639A" w:rsidRDefault="00BA34BD" w:rsidP="0082639A">
      <w:pPr>
        <w:contextualSpacing/>
        <w:jc w:val="left"/>
        <w:rPr>
          <w:color w:val="000000" w:themeColor="text1"/>
        </w:rPr>
      </w:pPr>
      <w:r w:rsidRPr="0082639A">
        <w:rPr>
          <w:color w:val="000000" w:themeColor="text1"/>
          <w:vertAlign w:val="superscript"/>
        </w:rPr>
        <w:t>3</w:t>
      </w:r>
      <w:r w:rsidRPr="0082639A">
        <w:rPr>
          <w:color w:val="000000" w:themeColor="text1"/>
        </w:rPr>
        <w:t>Team Chemistry &amp; Biology, Modeling &amp;</w:t>
      </w:r>
      <w:r w:rsidR="00BB688E">
        <w:rPr>
          <w:color w:val="000000" w:themeColor="text1"/>
        </w:rPr>
        <w:t xml:space="preserve"> </w:t>
      </w:r>
      <w:r w:rsidRPr="0082639A">
        <w:rPr>
          <w:color w:val="000000" w:themeColor="text1"/>
        </w:rPr>
        <w:t>Immunology for Therapy, CBMIT</w:t>
      </w:r>
      <w:r w:rsidR="00BB688E">
        <w:rPr>
          <w:color w:val="000000" w:themeColor="text1"/>
        </w:rPr>
        <w:t xml:space="preserve">, </w:t>
      </w:r>
      <w:r w:rsidR="00BB688E" w:rsidRPr="0082639A">
        <w:rPr>
          <w:color w:val="000000" w:themeColor="text1"/>
        </w:rPr>
        <w:t>Paris</w:t>
      </w:r>
      <w:r w:rsidR="00BB688E">
        <w:rPr>
          <w:color w:val="000000" w:themeColor="text1"/>
        </w:rPr>
        <w:t xml:space="preserve">, </w:t>
      </w:r>
      <w:r w:rsidR="00BB688E" w:rsidRPr="0082639A">
        <w:rPr>
          <w:color w:val="000000" w:themeColor="text1"/>
        </w:rPr>
        <w:t>France</w:t>
      </w:r>
    </w:p>
    <w:p w14:paraId="75333424" w14:textId="2C040AC1" w:rsidR="00BA34BD" w:rsidRPr="0082639A" w:rsidRDefault="00BA34BD" w:rsidP="0082639A">
      <w:pPr>
        <w:contextualSpacing/>
        <w:jc w:val="left"/>
        <w:rPr>
          <w:color w:val="000000" w:themeColor="text1"/>
          <w:lang w:val="fr-FR"/>
        </w:rPr>
      </w:pPr>
      <w:r w:rsidRPr="0082639A">
        <w:rPr>
          <w:color w:val="000000" w:themeColor="text1"/>
          <w:vertAlign w:val="superscript"/>
          <w:lang w:val="fr-FR"/>
        </w:rPr>
        <w:t>4</w:t>
      </w:r>
      <w:r w:rsidRPr="0082639A">
        <w:rPr>
          <w:color w:val="000000" w:themeColor="text1"/>
          <w:lang w:val="fr-FR"/>
        </w:rPr>
        <w:t>Université Paris Descartes, Sorbonne Paris Cité, Paris, France.</w:t>
      </w:r>
    </w:p>
    <w:p w14:paraId="48644708" w14:textId="321D59A4" w:rsidR="00BA34BD" w:rsidRPr="0082639A" w:rsidRDefault="00BA34BD" w:rsidP="0082639A">
      <w:pPr>
        <w:contextualSpacing/>
        <w:jc w:val="left"/>
        <w:rPr>
          <w:color w:val="000000" w:themeColor="text1"/>
          <w:lang w:val="fr-FR"/>
        </w:rPr>
      </w:pPr>
      <w:r w:rsidRPr="0082639A">
        <w:rPr>
          <w:color w:val="000000" w:themeColor="text1"/>
          <w:vertAlign w:val="superscript"/>
          <w:lang w:val="fr-FR"/>
        </w:rPr>
        <w:t>5</w:t>
      </w:r>
      <w:r w:rsidRPr="0082639A">
        <w:rPr>
          <w:color w:val="000000" w:themeColor="text1"/>
          <w:lang w:val="fr-FR"/>
        </w:rPr>
        <w:t xml:space="preserve">Pediatric </w:t>
      </w:r>
      <w:proofErr w:type="spellStart"/>
      <w:r w:rsidRPr="0082639A">
        <w:rPr>
          <w:color w:val="000000" w:themeColor="text1"/>
          <w:lang w:val="fr-FR"/>
        </w:rPr>
        <w:t>Otolaryngology</w:t>
      </w:r>
      <w:proofErr w:type="spellEnd"/>
      <w:r w:rsidRPr="0082639A">
        <w:rPr>
          <w:color w:val="000000" w:themeColor="text1"/>
          <w:lang w:val="fr-FR"/>
        </w:rPr>
        <w:t xml:space="preserve"> </w:t>
      </w:r>
      <w:proofErr w:type="spellStart"/>
      <w:r w:rsidRPr="0082639A">
        <w:rPr>
          <w:color w:val="000000" w:themeColor="text1"/>
          <w:lang w:val="fr-FR"/>
        </w:rPr>
        <w:t>Department</w:t>
      </w:r>
      <w:proofErr w:type="spellEnd"/>
      <w:r w:rsidRPr="0082639A">
        <w:rPr>
          <w:color w:val="000000" w:themeColor="text1"/>
          <w:lang w:val="fr-FR"/>
        </w:rPr>
        <w:t>, Hôpital Necker</w:t>
      </w:r>
      <w:r w:rsidRPr="0082639A">
        <w:rPr>
          <w:rFonts w:ascii="Cambria Math" w:hAnsi="Cambria Math" w:cs="Cambria Math"/>
          <w:color w:val="000000" w:themeColor="text1"/>
          <w:lang w:val="fr-FR"/>
        </w:rPr>
        <w:t>‑</w:t>
      </w:r>
      <w:r w:rsidRPr="0082639A">
        <w:rPr>
          <w:color w:val="000000" w:themeColor="text1"/>
          <w:lang w:val="fr-FR"/>
        </w:rPr>
        <w:t>Enfants Malades, Assistance Publique Hôpitaux de Paris, Paris, France.</w:t>
      </w:r>
    </w:p>
    <w:p w14:paraId="4A05E4C8" w14:textId="712D4E55" w:rsidR="00BA34BD" w:rsidRPr="0082639A" w:rsidRDefault="00BA34BD" w:rsidP="0082639A">
      <w:pPr>
        <w:contextualSpacing/>
        <w:jc w:val="left"/>
        <w:rPr>
          <w:color w:val="000000" w:themeColor="text1"/>
          <w:lang w:val="fr-FR"/>
        </w:rPr>
      </w:pPr>
      <w:r w:rsidRPr="0082639A">
        <w:rPr>
          <w:color w:val="000000" w:themeColor="text1"/>
          <w:vertAlign w:val="superscript"/>
          <w:lang w:val="fr-FR"/>
        </w:rPr>
        <w:t>6</w:t>
      </w:r>
      <w:r w:rsidRPr="0082639A">
        <w:rPr>
          <w:color w:val="000000" w:themeColor="text1"/>
          <w:lang w:val="fr-FR"/>
        </w:rPr>
        <w:t>Université de Paris, Institut Cochin, Paris, France</w:t>
      </w:r>
    </w:p>
    <w:p w14:paraId="4A96E825" w14:textId="77777777" w:rsidR="00D94008" w:rsidRPr="0082639A" w:rsidRDefault="00D94008" w:rsidP="0082639A">
      <w:pPr>
        <w:contextualSpacing/>
        <w:jc w:val="left"/>
        <w:rPr>
          <w:color w:val="000000" w:themeColor="text1"/>
          <w:lang w:val="fr-FR"/>
        </w:rPr>
      </w:pPr>
    </w:p>
    <w:p w14:paraId="60F1BA8D" w14:textId="00BA5B57" w:rsidR="0098426B" w:rsidRPr="0082639A" w:rsidRDefault="00BB688E" w:rsidP="0082639A">
      <w:pPr>
        <w:contextualSpacing/>
        <w:jc w:val="left"/>
        <w:rPr>
          <w:color w:val="000000" w:themeColor="text1"/>
        </w:rPr>
      </w:pPr>
      <w:r>
        <w:rPr>
          <w:color w:val="000000" w:themeColor="text1"/>
        </w:rPr>
        <w:t>*</w:t>
      </w:r>
      <w:r w:rsidR="00D20B28">
        <w:rPr>
          <w:color w:val="000000" w:themeColor="text1"/>
        </w:rPr>
        <w:t>These authors c</w:t>
      </w:r>
      <w:r w:rsidR="00D94008" w:rsidRPr="0082639A">
        <w:rPr>
          <w:color w:val="000000" w:themeColor="text1"/>
        </w:rPr>
        <w:t>ontributed equally</w:t>
      </w:r>
      <w:r w:rsidR="00D20B28">
        <w:rPr>
          <w:color w:val="000000" w:themeColor="text1"/>
        </w:rPr>
        <w:t xml:space="preserve"> to this study.</w:t>
      </w:r>
    </w:p>
    <w:p w14:paraId="5EF26BB3" w14:textId="77777777" w:rsidR="00D94008" w:rsidRPr="0082639A" w:rsidRDefault="00D94008" w:rsidP="0082639A">
      <w:pPr>
        <w:contextualSpacing/>
        <w:jc w:val="left"/>
        <w:rPr>
          <w:color w:val="000000" w:themeColor="text1"/>
        </w:rPr>
      </w:pPr>
    </w:p>
    <w:p w14:paraId="04521591" w14:textId="084EB635" w:rsidR="0098426B" w:rsidRPr="008D46BC" w:rsidRDefault="0098426B" w:rsidP="0082639A">
      <w:pPr>
        <w:contextualSpacing/>
        <w:jc w:val="left"/>
        <w:rPr>
          <w:b/>
          <w:color w:val="000000" w:themeColor="text1"/>
        </w:rPr>
      </w:pPr>
      <w:r w:rsidRPr="008D46BC">
        <w:rPr>
          <w:b/>
          <w:color w:val="000000" w:themeColor="text1"/>
        </w:rPr>
        <w:t>Corresponding Author</w:t>
      </w:r>
      <w:r w:rsidR="00A94D58" w:rsidRPr="008D46BC">
        <w:rPr>
          <w:b/>
          <w:color w:val="000000" w:themeColor="text1"/>
        </w:rPr>
        <w:t>s</w:t>
      </w:r>
      <w:r w:rsidRPr="008D46BC">
        <w:rPr>
          <w:b/>
          <w:color w:val="000000" w:themeColor="text1"/>
        </w:rPr>
        <w:t>:</w:t>
      </w:r>
    </w:p>
    <w:p w14:paraId="49934A29" w14:textId="661BAA63" w:rsidR="0098426B" w:rsidRPr="0082639A" w:rsidRDefault="0098426B" w:rsidP="0082639A">
      <w:pPr>
        <w:contextualSpacing/>
        <w:jc w:val="left"/>
        <w:rPr>
          <w:color w:val="000000" w:themeColor="text1"/>
        </w:rPr>
      </w:pPr>
      <w:r w:rsidRPr="0082639A">
        <w:rPr>
          <w:color w:val="000000" w:themeColor="text1"/>
        </w:rPr>
        <w:t xml:space="preserve">Jean-Philippe </w:t>
      </w:r>
      <w:proofErr w:type="spellStart"/>
      <w:r w:rsidRPr="0082639A">
        <w:rPr>
          <w:color w:val="000000" w:themeColor="text1"/>
        </w:rPr>
        <w:t>Herbeuval</w:t>
      </w:r>
      <w:proofErr w:type="spellEnd"/>
      <w:r w:rsidR="008D46BC">
        <w:rPr>
          <w:color w:val="000000" w:themeColor="text1"/>
        </w:rPr>
        <w:t xml:space="preserve"> (</w:t>
      </w:r>
      <w:r w:rsidR="008D46BC" w:rsidRPr="008D46BC">
        <w:rPr>
          <w:color w:val="000000" w:themeColor="text1"/>
        </w:rPr>
        <w:t>jean-philippe.herbeuval@parisdescartes.fr</w:t>
      </w:r>
      <w:r w:rsidR="008D46BC">
        <w:rPr>
          <w:color w:val="000000" w:themeColor="text1"/>
        </w:rPr>
        <w:t>)</w:t>
      </w:r>
    </w:p>
    <w:p w14:paraId="1592A989" w14:textId="591EA839" w:rsidR="00830D67" w:rsidRPr="0082639A" w:rsidRDefault="00830D67" w:rsidP="0082639A">
      <w:pPr>
        <w:contextualSpacing/>
        <w:jc w:val="left"/>
        <w:rPr>
          <w:color w:val="000000" w:themeColor="text1"/>
        </w:rPr>
      </w:pPr>
      <w:proofErr w:type="spellStart"/>
      <w:r w:rsidRPr="0082639A">
        <w:rPr>
          <w:color w:val="000000" w:themeColor="text1"/>
        </w:rPr>
        <w:t>Nikaïa</w:t>
      </w:r>
      <w:proofErr w:type="spellEnd"/>
      <w:r w:rsidRPr="0082639A">
        <w:rPr>
          <w:color w:val="000000" w:themeColor="text1"/>
        </w:rPr>
        <w:t xml:space="preserve"> Smith</w:t>
      </w:r>
      <w:r w:rsidR="008D46BC">
        <w:rPr>
          <w:color w:val="000000" w:themeColor="text1"/>
        </w:rPr>
        <w:t xml:space="preserve"> (</w:t>
      </w:r>
      <w:r w:rsidR="008D46BC" w:rsidRPr="008D46BC">
        <w:rPr>
          <w:color w:val="000000" w:themeColor="text1"/>
        </w:rPr>
        <w:t>nikaia.smith@pasteur.fr</w:t>
      </w:r>
      <w:r w:rsidR="008D46BC">
        <w:rPr>
          <w:color w:val="000000" w:themeColor="text1"/>
        </w:rPr>
        <w:t>)</w:t>
      </w:r>
    </w:p>
    <w:p w14:paraId="48675C8D" w14:textId="77777777" w:rsidR="00BB688E" w:rsidRPr="0082639A" w:rsidRDefault="00BB688E" w:rsidP="0082639A">
      <w:pPr>
        <w:contextualSpacing/>
        <w:jc w:val="left"/>
        <w:rPr>
          <w:color w:val="000000" w:themeColor="text1"/>
        </w:rPr>
      </w:pPr>
    </w:p>
    <w:p w14:paraId="0F7E1000" w14:textId="77777777" w:rsidR="00BB688E" w:rsidRPr="008D46BC" w:rsidRDefault="00BB688E" w:rsidP="00BB688E">
      <w:pPr>
        <w:rPr>
          <w:rFonts w:asciiTheme="minorHAnsi" w:hAnsiTheme="minorHAnsi" w:cstheme="minorHAnsi"/>
          <w:b/>
          <w:bCs/>
          <w:color w:val="000000" w:themeColor="text1"/>
        </w:rPr>
      </w:pPr>
      <w:r w:rsidRPr="008D46BC">
        <w:rPr>
          <w:rFonts w:asciiTheme="minorHAnsi" w:hAnsiTheme="minorHAnsi" w:cstheme="minorHAnsi"/>
          <w:b/>
          <w:bCs/>
          <w:color w:val="000000" w:themeColor="text1"/>
        </w:rPr>
        <w:t>Email Addresses of Co-authors:</w:t>
      </w:r>
    </w:p>
    <w:p w14:paraId="2C4AB61A" w14:textId="02E40346" w:rsidR="008D46BC" w:rsidRDefault="008D46BC" w:rsidP="0082639A">
      <w:pPr>
        <w:contextualSpacing/>
        <w:jc w:val="left"/>
        <w:rPr>
          <w:color w:val="000000" w:themeColor="text1"/>
          <w:vertAlign w:val="superscript"/>
        </w:rPr>
      </w:pPr>
      <w:proofErr w:type="spellStart"/>
      <w:r w:rsidRPr="0082639A">
        <w:rPr>
          <w:color w:val="000000" w:themeColor="text1"/>
        </w:rPr>
        <w:t>Nassima</w:t>
      </w:r>
      <w:proofErr w:type="spellEnd"/>
      <w:r w:rsidRPr="0082639A">
        <w:rPr>
          <w:color w:val="000000" w:themeColor="text1"/>
        </w:rPr>
        <w:t xml:space="preserve"> </w:t>
      </w:r>
      <w:proofErr w:type="spellStart"/>
      <w:r w:rsidRPr="0082639A">
        <w:rPr>
          <w:color w:val="000000" w:themeColor="text1"/>
        </w:rPr>
        <w:t>Bekaddour</w:t>
      </w:r>
      <w:proofErr w:type="spellEnd"/>
      <w:r>
        <w:rPr>
          <w:color w:val="000000" w:themeColor="text1"/>
        </w:rPr>
        <w:t xml:space="preserve"> (</w:t>
      </w:r>
      <w:r w:rsidRPr="008D46BC">
        <w:rPr>
          <w:color w:val="000000" w:themeColor="text1"/>
        </w:rPr>
        <w:t>nassima.bekaddour-benatia@parisdescartes.fr</w:t>
      </w:r>
      <w:r>
        <w:rPr>
          <w:color w:val="000000" w:themeColor="text1"/>
        </w:rPr>
        <w:t>)</w:t>
      </w:r>
    </w:p>
    <w:p w14:paraId="3CE248B7" w14:textId="5D071ECE" w:rsidR="008D46BC" w:rsidRDefault="008D46BC" w:rsidP="0082639A">
      <w:pPr>
        <w:contextualSpacing/>
        <w:jc w:val="left"/>
        <w:rPr>
          <w:color w:val="000000" w:themeColor="text1"/>
        </w:rPr>
      </w:pPr>
      <w:r w:rsidRPr="0082639A">
        <w:rPr>
          <w:color w:val="000000" w:themeColor="text1"/>
        </w:rPr>
        <w:t xml:space="preserve">Nicolas </w:t>
      </w:r>
      <w:proofErr w:type="spellStart"/>
      <w:r w:rsidRPr="0082639A">
        <w:rPr>
          <w:color w:val="000000" w:themeColor="text1"/>
        </w:rPr>
        <w:t>Leboulanger</w:t>
      </w:r>
      <w:proofErr w:type="spellEnd"/>
      <w:r>
        <w:rPr>
          <w:color w:val="000000" w:themeColor="text1"/>
        </w:rPr>
        <w:t xml:space="preserve"> (</w:t>
      </w:r>
      <w:r w:rsidRPr="008D46BC">
        <w:rPr>
          <w:color w:val="000000" w:themeColor="text1"/>
        </w:rPr>
        <w:t>nicolas.leboulanger@aphp.fr</w:t>
      </w:r>
      <w:r>
        <w:rPr>
          <w:color w:val="000000" w:themeColor="text1"/>
        </w:rPr>
        <w:t>)</w:t>
      </w:r>
    </w:p>
    <w:p w14:paraId="20C9A3A6" w14:textId="1C221AE8" w:rsidR="00A94D58" w:rsidRDefault="008D46BC" w:rsidP="0082639A">
      <w:pPr>
        <w:contextualSpacing/>
        <w:jc w:val="left"/>
        <w:rPr>
          <w:bCs/>
          <w:color w:val="808080" w:themeColor="background1" w:themeShade="80"/>
        </w:rPr>
      </w:pPr>
      <w:r w:rsidRPr="0082639A">
        <w:rPr>
          <w:color w:val="000000" w:themeColor="text1"/>
        </w:rPr>
        <w:t>Yolande Richard</w:t>
      </w:r>
      <w:r>
        <w:rPr>
          <w:color w:val="000000" w:themeColor="text1"/>
        </w:rPr>
        <w:t xml:space="preserve"> (</w:t>
      </w:r>
      <w:r w:rsidRPr="008D46BC">
        <w:rPr>
          <w:color w:val="000000" w:themeColor="text1"/>
        </w:rPr>
        <w:t>yolande.richard@inserm.fr</w:t>
      </w:r>
      <w:r>
        <w:rPr>
          <w:color w:val="000000" w:themeColor="text1"/>
        </w:rPr>
        <w:t>)</w:t>
      </w:r>
    </w:p>
    <w:p w14:paraId="6378B366" w14:textId="77777777" w:rsidR="008D46BC" w:rsidRPr="0082639A" w:rsidRDefault="008D46BC" w:rsidP="0082639A">
      <w:pPr>
        <w:contextualSpacing/>
        <w:jc w:val="left"/>
        <w:rPr>
          <w:bCs/>
          <w:color w:val="808080" w:themeColor="background1" w:themeShade="80"/>
        </w:rPr>
      </w:pPr>
    </w:p>
    <w:p w14:paraId="71B79AC9" w14:textId="7E347698" w:rsidR="006305D7" w:rsidRPr="0082639A" w:rsidRDefault="006305D7" w:rsidP="0082639A">
      <w:pPr>
        <w:pStyle w:val="NormalWeb"/>
        <w:spacing w:before="0" w:beforeAutospacing="0" w:after="0" w:afterAutospacing="0"/>
        <w:contextualSpacing/>
        <w:jc w:val="left"/>
      </w:pPr>
      <w:r w:rsidRPr="0082639A">
        <w:rPr>
          <w:b/>
          <w:bCs/>
        </w:rPr>
        <w:t>KEYWORDS:</w:t>
      </w:r>
    </w:p>
    <w:p w14:paraId="1CB4E390" w14:textId="7ACB888F" w:rsidR="006305D7" w:rsidRPr="0082639A" w:rsidRDefault="00BB688E" w:rsidP="0082639A">
      <w:pPr>
        <w:pStyle w:val="NormalWeb"/>
        <w:spacing w:before="0" w:beforeAutospacing="0" w:after="0" w:afterAutospacing="0"/>
        <w:contextualSpacing/>
        <w:jc w:val="left"/>
        <w:rPr>
          <w:color w:val="000000" w:themeColor="text1"/>
        </w:rPr>
      </w:pPr>
      <w:r w:rsidRPr="0082639A">
        <w:rPr>
          <w:color w:val="000000" w:themeColor="text1"/>
        </w:rPr>
        <w:t>mucosa-associated lymphoid</w:t>
      </w:r>
      <w:r w:rsidR="00E01CB7" w:rsidRPr="0082639A">
        <w:rPr>
          <w:color w:val="000000" w:themeColor="text1"/>
        </w:rPr>
        <w:t xml:space="preserve"> tissue</w:t>
      </w:r>
      <w:r>
        <w:rPr>
          <w:color w:val="000000" w:themeColor="text1"/>
        </w:rPr>
        <w:t>,</w:t>
      </w:r>
      <w:r w:rsidR="00757C25" w:rsidRPr="0082639A">
        <w:rPr>
          <w:color w:val="000000" w:themeColor="text1"/>
        </w:rPr>
        <w:t xml:space="preserve"> tonsil</w:t>
      </w:r>
      <w:r>
        <w:rPr>
          <w:color w:val="000000" w:themeColor="text1"/>
        </w:rPr>
        <w:t>,</w:t>
      </w:r>
      <w:r w:rsidR="006B566E">
        <w:rPr>
          <w:color w:val="000000" w:themeColor="text1"/>
        </w:rPr>
        <w:t xml:space="preserve"> tonsillar mononuclear cell</w:t>
      </w:r>
      <w:r>
        <w:rPr>
          <w:color w:val="000000" w:themeColor="text1"/>
        </w:rPr>
        <w:t>,</w:t>
      </w:r>
      <w:r w:rsidR="00757C25" w:rsidRPr="0082639A">
        <w:rPr>
          <w:color w:val="000000" w:themeColor="text1"/>
        </w:rPr>
        <w:t xml:space="preserve"> immunity</w:t>
      </w:r>
      <w:r>
        <w:rPr>
          <w:color w:val="000000" w:themeColor="text1"/>
        </w:rPr>
        <w:t>,</w:t>
      </w:r>
      <w:r w:rsidR="00757C25" w:rsidRPr="0082639A">
        <w:rPr>
          <w:color w:val="000000" w:themeColor="text1"/>
        </w:rPr>
        <w:t xml:space="preserve"> </w:t>
      </w:r>
      <w:r w:rsidR="00757C25" w:rsidRPr="008D46BC">
        <w:rPr>
          <w:color w:val="000000" w:themeColor="text1"/>
        </w:rPr>
        <w:t>ex vivo</w:t>
      </w:r>
      <w:r w:rsidR="00757C25" w:rsidRPr="0082639A">
        <w:rPr>
          <w:color w:val="000000" w:themeColor="text1"/>
        </w:rPr>
        <w:t xml:space="preserve"> cell culture</w:t>
      </w:r>
      <w:r>
        <w:rPr>
          <w:color w:val="000000" w:themeColor="text1"/>
        </w:rPr>
        <w:t>,</w:t>
      </w:r>
      <w:r w:rsidR="00757C25" w:rsidRPr="0082639A">
        <w:rPr>
          <w:color w:val="000000" w:themeColor="text1"/>
        </w:rPr>
        <w:t xml:space="preserve"> </w:t>
      </w:r>
      <w:r w:rsidR="00E01CB7" w:rsidRPr="0082639A">
        <w:rPr>
          <w:color w:val="000000" w:themeColor="text1"/>
        </w:rPr>
        <w:t>cytokine</w:t>
      </w:r>
      <w:r>
        <w:rPr>
          <w:color w:val="000000" w:themeColor="text1"/>
        </w:rPr>
        <w:t>,</w:t>
      </w:r>
      <w:r w:rsidRPr="0082639A">
        <w:rPr>
          <w:color w:val="000000" w:themeColor="text1"/>
        </w:rPr>
        <w:t xml:space="preserve"> </w:t>
      </w:r>
      <w:r w:rsidR="0082639A">
        <w:rPr>
          <w:color w:val="000000" w:themeColor="text1"/>
        </w:rPr>
        <w:t>host-pathogen interaction</w:t>
      </w:r>
    </w:p>
    <w:p w14:paraId="794698E8" w14:textId="77777777" w:rsidR="001F391D" w:rsidRPr="0082639A" w:rsidRDefault="001F391D" w:rsidP="0082639A">
      <w:pPr>
        <w:pStyle w:val="NormalWeb"/>
        <w:spacing w:before="0" w:beforeAutospacing="0" w:after="0" w:afterAutospacing="0"/>
        <w:contextualSpacing/>
        <w:jc w:val="left"/>
      </w:pPr>
    </w:p>
    <w:p w14:paraId="2583ECFF" w14:textId="33CF61B4" w:rsidR="00B72BDE" w:rsidRPr="0082639A" w:rsidRDefault="00086FF5" w:rsidP="0082639A">
      <w:pPr>
        <w:contextualSpacing/>
        <w:jc w:val="left"/>
      </w:pPr>
      <w:r w:rsidRPr="0082639A">
        <w:rPr>
          <w:b/>
          <w:bCs/>
        </w:rPr>
        <w:t>SUMMARY</w:t>
      </w:r>
      <w:r w:rsidR="006305D7" w:rsidRPr="0082639A">
        <w:rPr>
          <w:b/>
          <w:bCs/>
        </w:rPr>
        <w:t>:</w:t>
      </w:r>
      <w:r w:rsidR="006305D7" w:rsidRPr="0082639A">
        <w:t xml:space="preserve"> </w:t>
      </w:r>
    </w:p>
    <w:p w14:paraId="55BD92E7" w14:textId="6D42CA4F" w:rsidR="001F727B" w:rsidRPr="0082639A" w:rsidRDefault="001F727B" w:rsidP="0082639A">
      <w:pPr>
        <w:tabs>
          <w:tab w:val="left" w:pos="0"/>
        </w:tabs>
        <w:contextualSpacing/>
        <w:jc w:val="left"/>
        <w:rPr>
          <w:color w:val="808080" w:themeColor="background1" w:themeShade="80"/>
        </w:rPr>
      </w:pPr>
      <w:r w:rsidRPr="0082639A">
        <w:t>In the present protocol, we explain how to easily process and culture tonsillar mononuclear cells from healthy human</w:t>
      </w:r>
      <w:r w:rsidR="00D86DA9" w:rsidRPr="0082639A">
        <w:t>s</w:t>
      </w:r>
      <w:r w:rsidRPr="0082639A">
        <w:t xml:space="preserve"> undergoing </w:t>
      </w:r>
      <w:r w:rsidR="004E2390" w:rsidRPr="0082639A">
        <w:t xml:space="preserve">partial </w:t>
      </w:r>
      <w:r w:rsidRPr="0082639A">
        <w:t>surgical tonsillectomy to study innate immune responses upon activation</w:t>
      </w:r>
      <w:r w:rsidR="00EB1C19">
        <w:t>,</w:t>
      </w:r>
      <w:r w:rsidRPr="0082639A">
        <w:t xml:space="preserve"> mimicking viral infection in mucosal tissues.</w:t>
      </w:r>
    </w:p>
    <w:p w14:paraId="761028D6" w14:textId="69F6D86A" w:rsidR="006305D7" w:rsidRPr="0082639A" w:rsidRDefault="006305D7" w:rsidP="0082639A">
      <w:pPr>
        <w:contextualSpacing/>
        <w:jc w:val="left"/>
      </w:pPr>
    </w:p>
    <w:p w14:paraId="6842D8A4" w14:textId="5F307F7B" w:rsidR="00B72BDE" w:rsidRPr="0082639A" w:rsidRDefault="006305D7" w:rsidP="0082639A">
      <w:pPr>
        <w:contextualSpacing/>
        <w:jc w:val="left"/>
        <w:rPr>
          <w:i/>
          <w:color w:val="808080"/>
        </w:rPr>
      </w:pPr>
      <w:r w:rsidRPr="0082639A">
        <w:rPr>
          <w:b/>
          <w:bCs/>
        </w:rPr>
        <w:t>ABSTRACT</w:t>
      </w:r>
      <w:r w:rsidR="00B72BDE" w:rsidRPr="0082639A">
        <w:rPr>
          <w:b/>
          <w:bCs/>
        </w:rPr>
        <w:t xml:space="preserve">: </w:t>
      </w:r>
    </w:p>
    <w:p w14:paraId="67874F2C" w14:textId="0D7BF7BA" w:rsidR="00992BC0" w:rsidRPr="0082639A" w:rsidRDefault="00FF2BFC" w:rsidP="008D46BC">
      <w:r w:rsidRPr="0082639A">
        <w:t xml:space="preserve">Studying isolated cells from mucosa-associated lymphoid tissues (MALT) allows </w:t>
      </w:r>
      <w:r w:rsidR="003C3C4A" w:rsidRPr="0082639A">
        <w:t>understanding</w:t>
      </w:r>
      <w:r w:rsidRPr="0082639A">
        <w:t xml:space="preserve"> of immune cells response in pathologies </w:t>
      </w:r>
      <w:r w:rsidR="00FE79BA">
        <w:t xml:space="preserve">involving </w:t>
      </w:r>
      <w:r w:rsidRPr="0082639A">
        <w:t xml:space="preserve">mucosal immunity, </w:t>
      </w:r>
      <w:r w:rsidR="00FE79BA" w:rsidRPr="002A4B86">
        <w:t>because</w:t>
      </w:r>
      <w:r w:rsidR="00FE79BA" w:rsidRPr="0082639A">
        <w:t xml:space="preserve"> </w:t>
      </w:r>
      <w:r w:rsidRPr="0082639A">
        <w:t xml:space="preserve">they can model host-pathogen interactions in the tissue. While isolated cells derived from tissues </w:t>
      </w:r>
      <w:r w:rsidR="00E85BFE">
        <w:t>were</w:t>
      </w:r>
      <w:r w:rsidR="00E85BFE" w:rsidRPr="00BB688E">
        <w:t xml:space="preserve"> </w:t>
      </w:r>
      <w:r w:rsidRPr="0082639A">
        <w:t xml:space="preserve">the first cell culture model, </w:t>
      </w:r>
      <w:r w:rsidR="00E85BFE">
        <w:t>their use</w:t>
      </w:r>
      <w:r w:rsidR="00E85BFE" w:rsidRPr="00BB688E">
        <w:t xml:space="preserve"> </w:t>
      </w:r>
      <w:r w:rsidRPr="0082639A">
        <w:t xml:space="preserve">has been neglected </w:t>
      </w:r>
      <w:r w:rsidR="00E85BFE" w:rsidRPr="00CF34EE">
        <w:t>because</w:t>
      </w:r>
      <w:r w:rsidR="00E85BFE" w:rsidRPr="00BB688E">
        <w:t xml:space="preserve"> </w:t>
      </w:r>
      <w:r w:rsidRPr="0082639A">
        <w:t xml:space="preserve">tissue can be hard to </w:t>
      </w:r>
      <w:r w:rsidR="005F060E">
        <w:t>obtain</w:t>
      </w:r>
      <w:r w:rsidRPr="0082639A">
        <w:t>. In the present protocol, we explain how to easily process and culture tonsillar mononuclear cells (TMCs) from healthy human tonsils to study innate immune responses upon activation</w:t>
      </w:r>
      <w:r w:rsidR="00E85BFE">
        <w:t>,</w:t>
      </w:r>
      <w:r w:rsidRPr="0082639A">
        <w:t xml:space="preserve"> mimicking viral infection</w:t>
      </w:r>
      <w:r w:rsidR="00037F4A" w:rsidRPr="0082639A">
        <w:t xml:space="preserve"> in mucosal tissues</w:t>
      </w:r>
      <w:r w:rsidRPr="0082639A">
        <w:t xml:space="preserve">. </w:t>
      </w:r>
      <w:r w:rsidR="00992BC0" w:rsidRPr="0082639A">
        <w:t xml:space="preserve">Isolation of TMCs from </w:t>
      </w:r>
      <w:r w:rsidR="002A4B86">
        <w:t xml:space="preserve">the </w:t>
      </w:r>
      <w:r w:rsidR="00992BC0" w:rsidRPr="0082639A">
        <w:t xml:space="preserve">tonsils </w:t>
      </w:r>
      <w:r w:rsidR="00B97CBD" w:rsidRPr="0082639A">
        <w:t>is</w:t>
      </w:r>
      <w:r w:rsidR="00992BC0" w:rsidRPr="0082639A">
        <w:t xml:space="preserve"> quick</w:t>
      </w:r>
      <w:r w:rsidR="00E85BFE">
        <w:t>,</w:t>
      </w:r>
      <w:r w:rsidR="00992BC0" w:rsidRPr="0082639A">
        <w:t xml:space="preserve"> </w:t>
      </w:r>
      <w:r w:rsidR="00E85BFE" w:rsidRPr="00CF34EE">
        <w:t>because</w:t>
      </w:r>
      <w:r w:rsidR="00992BC0" w:rsidRPr="0082639A">
        <w:t xml:space="preserve"> the tonsils barely </w:t>
      </w:r>
      <w:r w:rsidR="00992BC0" w:rsidRPr="0082639A">
        <w:lastRenderedPageBreak/>
        <w:t xml:space="preserve">have any epithelium and yield up to billions of all major immune cell types. This method allows detection of cytokine production using several </w:t>
      </w:r>
      <w:r w:rsidR="00992BC0" w:rsidRPr="00BB688E">
        <w:t>techni</w:t>
      </w:r>
      <w:r w:rsidR="00E85BFE">
        <w:t>que</w:t>
      </w:r>
      <w:r w:rsidR="00992BC0" w:rsidRPr="00BB688E">
        <w:t>s</w:t>
      </w:r>
      <w:r w:rsidR="00E85BFE">
        <w:t>,</w:t>
      </w:r>
      <w:r w:rsidR="00992BC0" w:rsidRPr="0082639A">
        <w:t xml:space="preserve"> including </w:t>
      </w:r>
      <w:r w:rsidR="00992BC0" w:rsidRPr="00BB688E">
        <w:t>immunoassay</w:t>
      </w:r>
      <w:r w:rsidR="00E85BFE">
        <w:t>s</w:t>
      </w:r>
      <w:r w:rsidR="00992BC0" w:rsidRPr="0082639A">
        <w:t>, qPCR, microscopy, flow cytometry</w:t>
      </w:r>
      <w:r w:rsidR="005F01ED">
        <w:t xml:space="preserve">, etc., </w:t>
      </w:r>
      <w:proofErr w:type="gramStart"/>
      <w:r w:rsidR="00E85BFE">
        <w:t>similar to</w:t>
      </w:r>
      <w:proofErr w:type="gramEnd"/>
      <w:r w:rsidR="00E85BFE">
        <w:t xml:space="preserve"> the use of</w:t>
      </w:r>
      <w:r w:rsidR="00992BC0" w:rsidRPr="00BB688E">
        <w:t xml:space="preserve"> </w:t>
      </w:r>
      <w:r w:rsidR="003969AD" w:rsidRPr="00BB688E">
        <w:t xml:space="preserve">peripheral </w:t>
      </w:r>
      <w:r w:rsidR="002A4B86" w:rsidRPr="00BB688E">
        <w:t>mononuclear cells (</w:t>
      </w:r>
      <w:r w:rsidR="002A4B86" w:rsidRPr="0082639A">
        <w:t>PBMCs</w:t>
      </w:r>
      <w:r w:rsidR="002A4B86" w:rsidRPr="00BB688E">
        <w:t>)</w:t>
      </w:r>
      <w:r w:rsidR="002A4B86">
        <w:t xml:space="preserve"> </w:t>
      </w:r>
      <w:r w:rsidR="002A4B86" w:rsidRPr="00BB688E">
        <w:t>from blood</w:t>
      </w:r>
      <w:r w:rsidR="00992BC0" w:rsidRPr="0082639A">
        <w:t>. Furthermore, TMCs show a higher sensitivity to drug testing than PBMCs</w:t>
      </w:r>
      <w:r w:rsidR="00E85BFE">
        <w:t>,</w:t>
      </w:r>
      <w:r w:rsidR="00992BC0" w:rsidRPr="0082639A">
        <w:t xml:space="preserve"> which </w:t>
      </w:r>
      <w:r w:rsidR="003969AD">
        <w:t>needs</w:t>
      </w:r>
      <w:r w:rsidR="00992BC0" w:rsidRPr="0082639A">
        <w:t xml:space="preserve"> to be considered for future toxicity assays.</w:t>
      </w:r>
      <w:r w:rsidR="0061322F">
        <w:t xml:space="preserve"> </w:t>
      </w:r>
      <w:r w:rsidR="00992BC0" w:rsidRPr="0082639A">
        <w:t xml:space="preserve">Thus, </w:t>
      </w:r>
      <w:r w:rsidR="00992BC0" w:rsidRPr="008D46BC">
        <w:rPr>
          <w:rFonts w:asciiTheme="minorHAnsi" w:hAnsiTheme="minorHAnsi"/>
        </w:rPr>
        <w:t xml:space="preserve">ex </w:t>
      </w:r>
      <w:r w:rsidR="00CF34EE" w:rsidRPr="00CF34EE">
        <w:rPr>
          <w:rFonts w:asciiTheme="minorHAnsi" w:hAnsiTheme="minorHAnsi" w:cstheme="minorHAnsi"/>
        </w:rPr>
        <w:t>vivo</w:t>
      </w:r>
      <w:r w:rsidR="00992BC0" w:rsidRPr="0082639A">
        <w:t xml:space="preserve"> TMCs cultures </w:t>
      </w:r>
      <w:r w:rsidR="00CF34EE">
        <w:t>are</w:t>
      </w:r>
      <w:r w:rsidR="00992BC0" w:rsidRPr="0082639A">
        <w:t xml:space="preserve"> an easy and accessible mucosal model.</w:t>
      </w:r>
    </w:p>
    <w:p w14:paraId="4C7D5FD5" w14:textId="4FBC9E9E" w:rsidR="006305D7" w:rsidRPr="0082639A" w:rsidRDefault="006305D7" w:rsidP="0082639A">
      <w:pPr>
        <w:contextualSpacing/>
        <w:jc w:val="left"/>
      </w:pPr>
    </w:p>
    <w:p w14:paraId="031D447F" w14:textId="3787C0C4" w:rsidR="00B72BDE" w:rsidRPr="0082639A" w:rsidRDefault="006305D7" w:rsidP="0082639A">
      <w:pPr>
        <w:contextualSpacing/>
        <w:jc w:val="left"/>
        <w:rPr>
          <w:i/>
          <w:color w:val="808080"/>
        </w:rPr>
      </w:pPr>
      <w:r w:rsidRPr="0082639A">
        <w:rPr>
          <w:b/>
        </w:rPr>
        <w:t>INTRODUCTION</w:t>
      </w:r>
      <w:r w:rsidRPr="0082639A">
        <w:rPr>
          <w:b/>
          <w:bCs/>
        </w:rPr>
        <w:t>:</w:t>
      </w:r>
      <w:r w:rsidRPr="0082639A">
        <w:t xml:space="preserve"> </w:t>
      </w:r>
    </w:p>
    <w:p w14:paraId="1428E298" w14:textId="4959B262" w:rsidR="00951592" w:rsidRPr="0082639A" w:rsidRDefault="00D12F8B" w:rsidP="008D46BC">
      <w:pPr>
        <w:rPr>
          <w:color w:val="000000" w:themeColor="text1"/>
        </w:rPr>
      </w:pPr>
      <w:r w:rsidRPr="0082639A">
        <w:rPr>
          <w:color w:val="000000" w:themeColor="text1"/>
        </w:rPr>
        <w:t xml:space="preserve">Studies on human organs are restricted due to accessibility as well as obvious ethical reasons. However, they are essential to fully understand the complexity of human biology. </w:t>
      </w:r>
      <w:r w:rsidR="003969AD" w:rsidRPr="00BB688E">
        <w:rPr>
          <w:color w:val="000000" w:themeColor="text1"/>
        </w:rPr>
        <w:t>Cultures</w:t>
      </w:r>
      <w:r w:rsidR="00ED266D" w:rsidRPr="0082639A">
        <w:rPr>
          <w:color w:val="000000" w:themeColor="text1"/>
        </w:rPr>
        <w:t xml:space="preserve"> of isolated cells (primary </w:t>
      </w:r>
      <w:r w:rsidR="003969AD">
        <w:rPr>
          <w:color w:val="000000" w:themeColor="text1"/>
        </w:rPr>
        <w:t>cultures</w:t>
      </w:r>
      <w:r w:rsidR="00ED266D" w:rsidRPr="00BB688E">
        <w:rPr>
          <w:color w:val="000000" w:themeColor="text1"/>
        </w:rPr>
        <w:t xml:space="preserve"> </w:t>
      </w:r>
      <w:r w:rsidR="00ED266D" w:rsidRPr="0082639A">
        <w:rPr>
          <w:color w:val="000000" w:themeColor="text1"/>
        </w:rPr>
        <w:t xml:space="preserve">or cell lines) are </w:t>
      </w:r>
      <w:r w:rsidR="005C0F3F" w:rsidRPr="0082639A">
        <w:rPr>
          <w:color w:val="000000" w:themeColor="text1"/>
        </w:rPr>
        <w:t xml:space="preserve">a standard system </w:t>
      </w:r>
      <w:r w:rsidR="00ED266D" w:rsidRPr="0082639A">
        <w:rPr>
          <w:color w:val="000000" w:themeColor="text1"/>
        </w:rPr>
        <w:t xml:space="preserve">in cell biology studies </w:t>
      </w:r>
      <w:r w:rsidR="005C0F3F" w:rsidRPr="0082639A">
        <w:rPr>
          <w:color w:val="000000" w:themeColor="text1"/>
        </w:rPr>
        <w:t xml:space="preserve">due to their </w:t>
      </w:r>
      <w:r w:rsidR="002A4B86">
        <w:rPr>
          <w:color w:val="000000" w:themeColor="text1"/>
        </w:rPr>
        <w:t>availability</w:t>
      </w:r>
      <w:r w:rsidR="001A0D79" w:rsidRPr="0082639A">
        <w:rPr>
          <w:color w:val="000000" w:themeColor="text1"/>
        </w:rPr>
        <w:t xml:space="preserve">. While isolated </w:t>
      </w:r>
      <w:r w:rsidR="001A0D79" w:rsidRPr="00BB688E">
        <w:rPr>
          <w:color w:val="000000" w:themeColor="text1"/>
        </w:rPr>
        <w:t>cell culture</w:t>
      </w:r>
      <w:r w:rsidR="003969AD">
        <w:rPr>
          <w:color w:val="000000" w:themeColor="text1"/>
        </w:rPr>
        <w:t>s</w:t>
      </w:r>
      <w:r w:rsidR="001A0D79" w:rsidRPr="00BB688E">
        <w:rPr>
          <w:color w:val="000000" w:themeColor="text1"/>
        </w:rPr>
        <w:t xml:space="preserve"> ha</w:t>
      </w:r>
      <w:r w:rsidR="003969AD">
        <w:rPr>
          <w:color w:val="000000" w:themeColor="text1"/>
        </w:rPr>
        <w:t>ve</w:t>
      </w:r>
      <w:r w:rsidR="001A0D79" w:rsidRPr="0082639A">
        <w:rPr>
          <w:color w:val="000000" w:themeColor="text1"/>
        </w:rPr>
        <w:t xml:space="preserve"> allowed outstanding discoveries, </w:t>
      </w:r>
      <w:r w:rsidR="00E750D4" w:rsidRPr="0082639A">
        <w:rPr>
          <w:color w:val="000000" w:themeColor="text1"/>
        </w:rPr>
        <w:t xml:space="preserve">the use of cell lines </w:t>
      </w:r>
      <w:r w:rsidR="003969AD">
        <w:rPr>
          <w:color w:val="000000" w:themeColor="text1"/>
        </w:rPr>
        <w:t xml:space="preserve">has come upon closer scrutiny </w:t>
      </w:r>
      <w:r w:rsidR="003969AD" w:rsidRPr="003969AD">
        <w:rPr>
          <w:color w:val="000000" w:themeColor="text1"/>
        </w:rPr>
        <w:t>because</w:t>
      </w:r>
      <w:r w:rsidR="001A0D79" w:rsidRPr="00BB688E">
        <w:rPr>
          <w:color w:val="000000" w:themeColor="text1"/>
        </w:rPr>
        <w:t xml:space="preserve"> </w:t>
      </w:r>
      <w:r w:rsidR="003969AD">
        <w:rPr>
          <w:color w:val="000000" w:themeColor="text1"/>
        </w:rPr>
        <w:t>they</w:t>
      </w:r>
      <w:r w:rsidR="001A0D79" w:rsidRPr="00BB688E">
        <w:rPr>
          <w:color w:val="000000" w:themeColor="text1"/>
        </w:rPr>
        <w:t xml:space="preserve"> do</w:t>
      </w:r>
      <w:r w:rsidR="001A0D79" w:rsidRPr="0082639A">
        <w:rPr>
          <w:color w:val="000000" w:themeColor="text1"/>
        </w:rPr>
        <w:t xml:space="preserve"> not </w:t>
      </w:r>
      <w:r w:rsidR="00E750D4" w:rsidRPr="0082639A">
        <w:rPr>
          <w:color w:val="000000" w:themeColor="text1"/>
        </w:rPr>
        <w:t xml:space="preserve">fully </w:t>
      </w:r>
      <w:r w:rsidR="001A0D79" w:rsidRPr="0082639A">
        <w:rPr>
          <w:color w:val="000000" w:themeColor="text1"/>
        </w:rPr>
        <w:t xml:space="preserve">mimic </w:t>
      </w:r>
      <w:r w:rsidR="001A0D79" w:rsidRPr="008D46BC">
        <w:rPr>
          <w:rFonts w:asciiTheme="minorHAnsi" w:hAnsiTheme="minorHAnsi"/>
        </w:rPr>
        <w:t xml:space="preserve">in </w:t>
      </w:r>
      <w:r w:rsidR="00CF34EE" w:rsidRPr="00CF34EE">
        <w:rPr>
          <w:rFonts w:asciiTheme="minorHAnsi" w:hAnsiTheme="minorHAnsi" w:cstheme="minorHAnsi"/>
          <w:iCs/>
        </w:rPr>
        <w:t>vivo</w:t>
      </w:r>
      <w:r w:rsidR="001A0D79" w:rsidRPr="0082639A">
        <w:rPr>
          <w:color w:val="000000" w:themeColor="text1"/>
        </w:rPr>
        <w:t xml:space="preserve"> organ biology.</w:t>
      </w:r>
      <w:r w:rsidR="005F68AD" w:rsidRPr="0082639A">
        <w:rPr>
          <w:color w:val="000000" w:themeColor="text1"/>
        </w:rPr>
        <w:t xml:space="preserve"> </w:t>
      </w:r>
      <w:r w:rsidR="003969AD">
        <w:rPr>
          <w:color w:val="000000" w:themeColor="text1"/>
        </w:rPr>
        <w:t>However</w:t>
      </w:r>
      <w:r w:rsidR="005F68AD" w:rsidRPr="0082639A">
        <w:rPr>
          <w:color w:val="000000" w:themeColor="text1"/>
        </w:rPr>
        <w:t>, the culture of three-</w:t>
      </w:r>
      <w:r w:rsidR="005F68AD" w:rsidRPr="00BB688E">
        <w:rPr>
          <w:color w:val="000000" w:themeColor="text1"/>
        </w:rPr>
        <w:t>dimension</w:t>
      </w:r>
      <w:r w:rsidR="00CF34EE">
        <w:rPr>
          <w:color w:val="000000" w:themeColor="text1"/>
        </w:rPr>
        <w:t>al</w:t>
      </w:r>
      <w:r w:rsidR="005F68AD" w:rsidRPr="0082639A">
        <w:rPr>
          <w:color w:val="000000" w:themeColor="text1"/>
        </w:rPr>
        <w:t xml:space="preserve"> cell</w:t>
      </w:r>
      <w:r w:rsidR="00275C26" w:rsidRPr="0082639A">
        <w:rPr>
          <w:color w:val="000000" w:themeColor="text1"/>
        </w:rPr>
        <w:t>s</w:t>
      </w:r>
      <w:r w:rsidR="005F68AD" w:rsidRPr="0082639A">
        <w:rPr>
          <w:color w:val="000000" w:themeColor="text1"/>
        </w:rPr>
        <w:t xml:space="preserve"> or tissue </w:t>
      </w:r>
      <w:r w:rsidR="00275C26" w:rsidRPr="0082639A">
        <w:rPr>
          <w:color w:val="000000" w:themeColor="text1"/>
        </w:rPr>
        <w:t>explants</w:t>
      </w:r>
      <w:r w:rsidR="005F68AD" w:rsidRPr="0082639A">
        <w:rPr>
          <w:color w:val="000000" w:themeColor="text1"/>
        </w:rPr>
        <w:t xml:space="preserve"> </w:t>
      </w:r>
      <w:r w:rsidR="00813FA8" w:rsidRPr="0082639A">
        <w:rPr>
          <w:color w:val="000000" w:themeColor="text1"/>
        </w:rPr>
        <w:t xml:space="preserve">is </w:t>
      </w:r>
      <w:r w:rsidR="005F68AD" w:rsidRPr="0082639A">
        <w:rPr>
          <w:color w:val="000000" w:themeColor="text1"/>
        </w:rPr>
        <w:t>highly complex</w:t>
      </w:r>
      <w:r w:rsidR="00275C26" w:rsidRPr="0082639A">
        <w:rPr>
          <w:color w:val="000000" w:themeColor="text1"/>
        </w:rPr>
        <w:fldChar w:fldCharType="begin" w:fldLock="1"/>
      </w:r>
      <w:r w:rsidR="00275C26" w:rsidRPr="0082639A">
        <w:rPr>
          <w:color w:val="000000" w:themeColor="text1"/>
        </w:rPr>
        <w:instrText>ADDIN CSL_CITATION {"citationItems":[{"id":"ITEM-1","itemData":{"DOI":"10.1128/AAC.01129-06","abstract":"A human cervical explant culture was utilized for the preclinical assessment of anti-human immunodefi-ciency virus type 1 (HIV-1) activity and tissue toxicity of formulated, candidate topical microbicides. Products tested included cellulose acetate 1,2-benzene dicarboxylate (CAP), a carrageenan-based product (PC-515), a naphthalene sulfonate polymer (PRO 2000), a lysine dendrimer (SPL7013), a nonnucleoside reverse tran-scriptase inhibitor (UC781), and an antimicrobial peptide (D2A21), along with their placebos. Cervical explants were cultured overnight with HIV-1 with or without product, washed, and monitored for signs of HIV-1 infection. HIV-1 infection was determined by p24gag levels in the basolateral medium and by immunohisto-chemical analysis of the explant. Product toxicity was measured by the MTT [1-(4,5-dimethylthiazol-2-yl)-3,5-diphenylformazan] assay and histology. CAP, PRO 2000, SPL7013, and UC781 consistently prevented HIV-1 infection in all explants tested. PC-515 and D2A21 prevented HIV-1 infection in 50% or fewer of the explants tested. Placebos did not prevent infection in any of the explants tested. With the exception of PRO 2000 (4%), the MTT assay and histological analysis of the other products and placebos showed minimal toxicity to the epithelium and submucosa. Collectively, these data suggest that this culture system can be used for evaluating the safety and efficacy of topical microbicides designed for vaginal use.","author":[{"dropping-particle":"","family":"Cummins","given":"James E","non-dropping-particle":"","parse-names":false,"suffix":""},{"dropping-particle":"","family":"Guarner","given":"Jeannette","non-dropping-particle":"","parse-names":false,"suffix":""},{"dropping-particle":"","family":"Flowers","given":"Lisa","non-dropping-particle":"","parse-names":false,"suffix":""},{"dropping-particle":"","family":"Guenthner","given":"Patricia C","non-dropping-particle":"","parse-names":false,"suffix":""},{"dropping-particle":"","family":"Bartlett","given":"Jeanine","non-dropping-particle":"","parse-names":false,"suffix":""},{"dropping-particle":"","family":"Morken","given":"Timothy","non-dropping-particle":"","parse-names":false,"suffix":""},{"dropping-particle":"","family":"Grohskopf","given":"Lisa A","non-dropping-particle":"","parse-names":false,"suffix":""},{"dropping-particle":"","family":"Paxton","given":"Lynn","non-dropping-particle":"","parse-names":false,"suffix":""},{"dropping-particle":"","family":"Dezzutti","given":"Charlene S","non-dropping-particle":"","parse-names":false,"suffix":""}],"container-title":"ANTIMICROBIAL AGENTS AND CHEMOTHERAPY","id":"ITEM-1","issue":"5","issued":{"date-parts":[["2007"]]},"page":"1770-1779","title":"Preclinical Testing of Candidate Topical Microbicides for Anti-Human Immunodeficiency Virus Type 1 Activity and Tissue Toxicity in a Human Cervical Explant Culture","type":"article-journal","volume":"51"},"uris":["http://www.mendeley.com/documents/?uuid=9e490963-3c53-3fc6-a286-35fbd023e109"]},{"id":"ITEM-2","itemData":{"DOI":"10.1086/462424","ISSN":"0022-1899","author":[{"dropping-particle":"","family":"Abner","given":"Sheila R.","non-dropping-particle":"","parse-names":false,"suffix":""},{"dropping-particle":"","family":"Guenthner","given":"Patricia C.","non-dropping-particle":"","parse-names":false,"suffix":""},{"dropping-particle":"","family":"Guarner","given":"Jeannette","non-dropping-particle":"","parse-names":false,"suffix":""},{"dropping-particle":"","family":"Hancock","given":"Kelly A.","non-dropping-particle":"","parse-names":false,"suffix":""},{"dropping-particle":"","family":"Cummins, Jr.","given":"James E.","non-dropping-particle":"","parse-names":false,"suffix":""},{"dropping-particle":"","family":"Fink","given":"Aaron","non-dropping-particle":"","parse-names":false,"suffix":""},{"dropping-particle":"","family":"Gilmore","given":"G. Thomas","non-dropping-particle":"","parse-names":false,"suffix":""},{"dropping-particle":"","family":"Staley","given":"Charles","non-dropping-particle":"","parse-names":false,"suffix":""},{"dropping-particle":"","family":"Ward","given":"Albert","non-dropping-particle":"","parse-names":false,"suffix":""},{"dropping-particle":"","family":"Ali","given":"Odessa","non-dropping-particle":"","parse-names":false,"suffix":""},{"dropping-particle":"","family":"Binderow","given":"Sander","non-dropping-particle":"","parse-names":false,"suffix":""},{"dropping-particle":"","family":"Cohen","given":"Stephen","non-dropping-particle":"","parse-names":false,"suffix":""},{"dropping-particle":"","family":"Grohskopf","given":"Lisa A.","non-dropping-particle":"","parse-names":false,"suffix":""},{"dropping-particle":"","family":"Paxton","given":"Lynn","non-dropping-particle":"","parse-names":false,"suffix":""},{"dropping-particle":"","family":"Hart","given":"Clyde E.","non-dropping-particle":"","parse-names":false,"suffix":""},{"dropping-particle":"","family":"Dezzutti","given":"Charlene S.","non-dropping-particle":"","parse-names":false,"suffix":""}],"container-title":"The Journal of Infectious Diseases","id":"ITEM-2","issue":"9","issued":{"date-parts":[["2005","11","1"]]},"page":"1545-1556","publisher":"Narnia","title":"A Human Colorectal Explant Culture to Evaluate Topical Microbicides for the Prevention of HIV Infection","type":"article-journal","volume":"192"},"uris":["http://www.mendeley.com/documents/?uuid=f22da551-5153-3d4b-9c2b-a3dce6643af8"]},{"id":"ITEM-3","itemData":{"DOI":"10.3791/57013","ISSN":"1940-087X","abstract":"Histocultures allow studying intercellular interactions within human tissues, and they can be employed to model host-pathogen interactions under controlled laboratory conditions. Ex vivo infection of human tissues with human immunodeficiency virus (HIV), among other viruses, has been successfully used to investigate early disease pathogenesis, as well as a platform to test the efficacy and toxicity of antiviral drugs. In the present protocol, we explain how to process and infect with HIV-1 tissue explants from human tonsils and cervical mucosae, and maintain them in culture on top of gelatin sponges at the liquid-air interface for about two weeks. This non-polarized culture setting maximizes access to nutrients in culture medium and oxygen, although progressive loss of tissue integrity and functional architectures remains its main limitation. This method allows monitoring HIV-1 replication and pathogenesis using several techniques, including immunoassays, qPCR, and flow cytometry. Of importance, the physiologic variability between tissue donors, as well as between explants from different areas of the same specimen, may significantly affect experimental results. To ensure result reproducibility, it is critical to use an adequate number of explants, technical replicates, and donor-matched control conditions to normalize the results of the experimental treatments when compiling data from multiple experiments (i.e., conducted using tissue from different donors) for statistical analysis.","author":[{"dropping-particle":"","family":"Introini","given":"Andrea","non-dropping-particle":"","parse-names":false,"suffix":""},{"dropping-particle":"","family":"Vanpouille","given":"Christophe","non-dropping-particle":"","parse-names":false,"suffix":""},{"dropping-particle":"","family":"Fitzgerald","given":"Wendy","non-dropping-particle":"","parse-names":false,"suffix":""},{"dropping-particle":"","family":"Broliden","given":"Kristina","non-dropping-particle":"","parse-names":false,"suffix":""},{"dropping-particle":"","family":"Margolis","given":"Leonid","non-dropping-particle":"","parse-names":false,"suffix":""}],"container-title":"Journal of Visualized Experiments","id":"ITEM-3","issue":"140","issued":{"date-parts":[["2018","10","12"]]},"page":"e57013","title":"Ex Vivo Infection of Human Lymphoid Tissue and Female Genital Mucosa with Human Immunodeficiency Virus 1 and Histoculture","type":"article-journal"},"uris":["http://www.mendeley.com/documents/?uuid=ead7a957-baba-36b8-9c34-8156e1fe5fc4"]}],"mendeley":{"formattedCitation":"&lt;sup&gt;4–6&lt;/sup&gt;","plainTextFormattedCitation":"4–6","previouslyFormattedCitation":"&lt;sup&gt;4–6&lt;/sup&gt;"},"properties":{"noteIndex":0},"schema":"https://github.com/citation-style-language/schema/raw/master/csl-citation.json"}</w:instrText>
      </w:r>
      <w:r w:rsidR="00275C26" w:rsidRPr="0082639A">
        <w:rPr>
          <w:color w:val="000000" w:themeColor="text1"/>
        </w:rPr>
        <w:fldChar w:fldCharType="separate"/>
      </w:r>
      <w:r w:rsidR="00275C26" w:rsidRPr="0082639A">
        <w:rPr>
          <w:noProof/>
          <w:color w:val="000000" w:themeColor="text1"/>
          <w:vertAlign w:val="superscript"/>
        </w:rPr>
        <w:t>4–6</w:t>
      </w:r>
      <w:r w:rsidR="00275C26" w:rsidRPr="0082639A">
        <w:rPr>
          <w:color w:val="000000" w:themeColor="text1"/>
        </w:rPr>
        <w:fldChar w:fldCharType="end"/>
      </w:r>
      <w:r w:rsidR="005F68AD" w:rsidRPr="0082639A">
        <w:rPr>
          <w:color w:val="000000" w:themeColor="text1"/>
        </w:rPr>
        <w:t xml:space="preserve">. Indeed, </w:t>
      </w:r>
      <w:r w:rsidR="00437089" w:rsidRPr="0082639A">
        <w:rPr>
          <w:color w:val="000000" w:themeColor="text1"/>
        </w:rPr>
        <w:t xml:space="preserve">a </w:t>
      </w:r>
      <w:r w:rsidR="00EF407F" w:rsidRPr="0082639A">
        <w:rPr>
          <w:color w:val="000000" w:themeColor="text1"/>
        </w:rPr>
        <w:t xml:space="preserve">piece of </w:t>
      </w:r>
      <w:r w:rsidR="00437089" w:rsidRPr="0082639A">
        <w:rPr>
          <w:color w:val="000000" w:themeColor="text1"/>
        </w:rPr>
        <w:t xml:space="preserve">tissue or organ is highly heterogenous </w:t>
      </w:r>
      <w:r w:rsidR="003969AD" w:rsidRPr="003969AD">
        <w:rPr>
          <w:color w:val="000000" w:themeColor="text1"/>
        </w:rPr>
        <w:t>because</w:t>
      </w:r>
      <w:r w:rsidR="00E750D4" w:rsidRPr="0082639A">
        <w:rPr>
          <w:color w:val="000000" w:themeColor="text1"/>
        </w:rPr>
        <w:t xml:space="preserve"> it</w:t>
      </w:r>
      <w:r w:rsidR="00EF407F" w:rsidRPr="0082639A">
        <w:rPr>
          <w:color w:val="000000" w:themeColor="text1"/>
        </w:rPr>
        <w:t xml:space="preserve">s cell composition differs depending on </w:t>
      </w:r>
      <w:r w:rsidR="00DC03D1" w:rsidRPr="0082639A">
        <w:rPr>
          <w:color w:val="000000" w:themeColor="text1"/>
        </w:rPr>
        <w:t xml:space="preserve">the localization in the tissue. Thus, using tissue blocks requires the analysis of </w:t>
      </w:r>
      <w:r w:rsidR="00471FC5">
        <w:rPr>
          <w:color w:val="000000" w:themeColor="text1"/>
        </w:rPr>
        <w:t>many</w:t>
      </w:r>
      <w:r w:rsidR="00813FA8" w:rsidRPr="0082639A">
        <w:rPr>
          <w:color w:val="000000" w:themeColor="text1"/>
        </w:rPr>
        <w:t xml:space="preserve"> technical and biological replicates</w:t>
      </w:r>
      <w:r w:rsidR="00437089" w:rsidRPr="0082639A">
        <w:rPr>
          <w:color w:val="000000" w:themeColor="text1"/>
        </w:rPr>
        <w:t xml:space="preserve">, leading to the need of </w:t>
      </w:r>
      <w:proofErr w:type="gramStart"/>
      <w:r w:rsidR="00471FC5">
        <w:rPr>
          <w:color w:val="000000" w:themeColor="text1"/>
        </w:rPr>
        <w:t>a large</w:t>
      </w:r>
      <w:r w:rsidR="00471FC5" w:rsidRPr="0082639A">
        <w:rPr>
          <w:color w:val="000000" w:themeColor="text1"/>
        </w:rPr>
        <w:t xml:space="preserve"> </w:t>
      </w:r>
      <w:r w:rsidR="00437089" w:rsidRPr="0082639A">
        <w:rPr>
          <w:color w:val="000000" w:themeColor="text1"/>
        </w:rPr>
        <w:t>number of</w:t>
      </w:r>
      <w:proofErr w:type="gramEnd"/>
      <w:r w:rsidR="00437089" w:rsidRPr="0082639A">
        <w:rPr>
          <w:color w:val="000000" w:themeColor="text1"/>
        </w:rPr>
        <w:t xml:space="preserve"> donors or patients.</w:t>
      </w:r>
    </w:p>
    <w:p w14:paraId="3BABDA0F" w14:textId="77777777" w:rsidR="00CC4FCF" w:rsidRPr="0082639A" w:rsidRDefault="00CC4FCF" w:rsidP="0082639A">
      <w:pPr>
        <w:tabs>
          <w:tab w:val="left" w:pos="180"/>
        </w:tabs>
        <w:contextualSpacing/>
        <w:jc w:val="left"/>
        <w:rPr>
          <w:color w:val="000000" w:themeColor="text1"/>
        </w:rPr>
      </w:pPr>
    </w:p>
    <w:p w14:paraId="68087C37" w14:textId="04E0CF34" w:rsidR="00ED0B5E" w:rsidRPr="0082639A" w:rsidRDefault="00AF3516" w:rsidP="0082639A">
      <w:pPr>
        <w:pStyle w:val="NormalWeb"/>
        <w:spacing w:before="0" w:beforeAutospacing="0" w:after="0" w:afterAutospacing="0"/>
        <w:contextualSpacing/>
        <w:jc w:val="left"/>
      </w:pPr>
      <w:r w:rsidRPr="0082639A">
        <w:t xml:space="preserve">The mucosa-associated lymphoid tissues (MALT) </w:t>
      </w:r>
      <w:r w:rsidR="003969AD">
        <w:rPr>
          <w:color w:val="2E2E2E"/>
        </w:rPr>
        <w:t>are</w:t>
      </w:r>
      <w:r w:rsidR="002E3E1A" w:rsidRPr="00BB688E">
        <w:rPr>
          <w:color w:val="2E2E2E"/>
        </w:rPr>
        <w:t xml:space="preserve"> structural</w:t>
      </w:r>
      <w:r w:rsidR="003969AD">
        <w:rPr>
          <w:color w:val="2E2E2E"/>
        </w:rPr>
        <w:t>ly</w:t>
      </w:r>
      <w:r w:rsidR="002E3E1A" w:rsidRPr="00BB688E">
        <w:rPr>
          <w:color w:val="2E2E2E"/>
        </w:rPr>
        <w:t xml:space="preserve"> </w:t>
      </w:r>
      <w:r w:rsidRPr="00BB688E">
        <w:rPr>
          <w:color w:val="2E2E2E"/>
        </w:rPr>
        <w:t>similar</w:t>
      </w:r>
      <w:r w:rsidR="003969AD">
        <w:rPr>
          <w:color w:val="2E2E2E"/>
        </w:rPr>
        <w:t xml:space="preserve"> to</w:t>
      </w:r>
      <w:r w:rsidR="002E3E1A" w:rsidRPr="00BB688E">
        <w:rPr>
          <w:color w:val="2E2E2E"/>
        </w:rPr>
        <w:t xml:space="preserve"> </w:t>
      </w:r>
      <w:r w:rsidR="003969AD">
        <w:rPr>
          <w:color w:val="2E2E2E"/>
        </w:rPr>
        <w:t>the</w:t>
      </w:r>
      <w:r w:rsidR="002E3E1A" w:rsidRPr="0082639A">
        <w:rPr>
          <w:color w:val="2E2E2E"/>
        </w:rPr>
        <w:t xml:space="preserve"> lymph nodes </w:t>
      </w:r>
      <w:r w:rsidRPr="0082639A">
        <w:rPr>
          <w:color w:val="2E2E2E"/>
        </w:rPr>
        <w:t>but have unique</w:t>
      </w:r>
      <w:r w:rsidR="002E3E1A" w:rsidRPr="0082639A">
        <w:rPr>
          <w:color w:val="2E2E2E"/>
        </w:rPr>
        <w:t xml:space="preserve"> functions</w:t>
      </w:r>
      <w:r w:rsidR="00CF34EE">
        <w:rPr>
          <w:color w:val="2E2E2E"/>
        </w:rPr>
        <w:t>,</w:t>
      </w:r>
      <w:r w:rsidR="002E3E1A" w:rsidRPr="0082639A">
        <w:rPr>
          <w:color w:val="2E2E2E"/>
        </w:rPr>
        <w:t xml:space="preserve"> </w:t>
      </w:r>
      <w:r w:rsidR="00CF34EE" w:rsidRPr="00CF34EE">
        <w:rPr>
          <w:color w:val="2E2E2E"/>
        </w:rPr>
        <w:t>because</w:t>
      </w:r>
      <w:r w:rsidRPr="0082639A">
        <w:rPr>
          <w:color w:val="2E2E2E"/>
        </w:rPr>
        <w:t xml:space="preserve"> their main</w:t>
      </w:r>
      <w:r w:rsidR="002E3E1A" w:rsidRPr="0082639A">
        <w:rPr>
          <w:color w:val="2E2E2E"/>
        </w:rPr>
        <w:t xml:space="preserve"> role </w:t>
      </w:r>
      <w:r w:rsidRPr="0082639A">
        <w:rPr>
          <w:color w:val="2E2E2E"/>
        </w:rPr>
        <w:t xml:space="preserve">is to </w:t>
      </w:r>
      <w:r w:rsidR="00E25C0E" w:rsidRPr="0082639A">
        <w:rPr>
          <w:color w:val="2E2E2E"/>
        </w:rPr>
        <w:t>regulate mucosal immunity</w:t>
      </w:r>
      <w:r w:rsidR="00275C26" w:rsidRPr="0082639A">
        <w:rPr>
          <w:color w:val="2E2E2E"/>
        </w:rPr>
        <w:fldChar w:fldCharType="begin" w:fldLock="1"/>
      </w:r>
      <w:r w:rsidR="005E786C" w:rsidRPr="0082639A">
        <w:rPr>
          <w:color w:val="2E2E2E"/>
        </w:rPr>
        <w:instrText>ADDIN CSL_CITATION {"citationItems":[{"id":"ITEM-1","itemData":{"DOI":"10.1080/01926230600939989","PMID":"17067953","author":[{"dropping-particle":"","family":"Elmore","given":"Susan A.","non-dropping-particle":"","parse-names":false,"suffix":""}],"container-title":"Toxicologic pathology","id":"ITEM-1","issue":"5","issued":{"date-parts":[["2006"]]},"page":"687","publisher":"NIH Public Access","title":"Enhanced Histopathology of Mucosa-Associated Lymphoid Tissue","type":"article-journal","volume":"34"},"uris":["http://www.mendeley.com/documents/?uuid=c84dbd8b-b76c-3797-a122-b97d5e1ff599"]}],"mendeley":{"formattedCitation":"&lt;sup&gt;7&lt;/sup&gt;","plainTextFormattedCitation":"7","previouslyFormattedCitation":"&lt;sup&gt;7&lt;/sup&gt;"},"properties":{"noteIndex":0},"schema":"https://github.com/citation-style-language/schema/raw/master/csl-citation.json"}</w:instrText>
      </w:r>
      <w:r w:rsidR="00275C26" w:rsidRPr="0082639A">
        <w:rPr>
          <w:color w:val="2E2E2E"/>
        </w:rPr>
        <w:fldChar w:fldCharType="separate"/>
      </w:r>
      <w:r w:rsidR="00275C26" w:rsidRPr="0082639A">
        <w:rPr>
          <w:noProof/>
          <w:color w:val="2E2E2E"/>
          <w:vertAlign w:val="superscript"/>
        </w:rPr>
        <w:t>7</w:t>
      </w:r>
      <w:r w:rsidR="00275C26" w:rsidRPr="0082639A">
        <w:rPr>
          <w:color w:val="2E2E2E"/>
        </w:rPr>
        <w:fldChar w:fldCharType="end"/>
      </w:r>
      <w:r w:rsidR="002E3E1A" w:rsidRPr="0082639A">
        <w:rPr>
          <w:color w:val="2E2E2E"/>
        </w:rPr>
        <w:t xml:space="preserve">. Unlike </w:t>
      </w:r>
      <w:r w:rsidR="002A4B86">
        <w:rPr>
          <w:color w:val="2E2E2E"/>
        </w:rPr>
        <w:t xml:space="preserve">the </w:t>
      </w:r>
      <w:r w:rsidR="002E3E1A" w:rsidRPr="0082639A">
        <w:rPr>
          <w:color w:val="2E2E2E"/>
        </w:rPr>
        <w:t xml:space="preserve">lymph nodes, which are usually located at some distance from the tissues, MALT </w:t>
      </w:r>
      <w:proofErr w:type="gramStart"/>
      <w:r w:rsidRPr="0082639A">
        <w:rPr>
          <w:color w:val="2E2E2E"/>
        </w:rPr>
        <w:t>are</w:t>
      </w:r>
      <w:proofErr w:type="gramEnd"/>
      <w:r w:rsidR="002E3E1A" w:rsidRPr="0082639A">
        <w:rPr>
          <w:color w:val="2E2E2E"/>
        </w:rPr>
        <w:t xml:space="preserve"> generally located immediately below the epithelium of the mucosal tissue. </w:t>
      </w:r>
      <w:r w:rsidR="008E3BA5" w:rsidRPr="0082639A">
        <w:t xml:space="preserve">Histologically, they are mainly composed of high concentrations of B and T cells, but also antigen-presenting cells such as macrophages and dendritic cells. </w:t>
      </w:r>
      <w:r w:rsidR="00E25C0E" w:rsidRPr="0082639A">
        <w:t xml:space="preserve">MALT constitute about 50% of the lymphoid tissue in the human body. MALT </w:t>
      </w:r>
      <w:r w:rsidR="002A4B86">
        <w:t>are</w:t>
      </w:r>
      <w:r w:rsidR="002A4B86" w:rsidRPr="0082639A">
        <w:t xml:space="preserve"> </w:t>
      </w:r>
      <w:r w:rsidR="00E25C0E" w:rsidRPr="0082639A">
        <w:t>subdivided into nine groups</w:t>
      </w:r>
      <w:r w:rsidR="005C01DB" w:rsidRPr="0082639A">
        <w:t xml:space="preserve"> depending on their location</w:t>
      </w:r>
      <w:r w:rsidR="00E25C0E" w:rsidRPr="0082639A">
        <w:t>: GALT (gut-), BALT (bronchus-), NALT (nasal-), CALT (conjunctival), LALT (larynx-), SALT (skin-), VALT (</w:t>
      </w:r>
      <w:proofErr w:type="spellStart"/>
      <w:r w:rsidR="00E25C0E" w:rsidRPr="0082639A">
        <w:t>vulvo</w:t>
      </w:r>
      <w:proofErr w:type="spellEnd"/>
      <w:r w:rsidR="00E25C0E" w:rsidRPr="0082639A">
        <w:t>-), O-MALT (organized</w:t>
      </w:r>
      <w:r w:rsidR="00E25C0E" w:rsidRPr="00BB688E">
        <w:t>)</w:t>
      </w:r>
      <w:r w:rsidR="00CF34EE">
        <w:t>,</w:t>
      </w:r>
      <w:r w:rsidR="00E25C0E" w:rsidRPr="0082639A">
        <w:t xml:space="preserve"> and D-MALT (diffuse</w:t>
      </w:r>
      <w:r w:rsidR="005C01DB" w:rsidRPr="0082639A">
        <w:t>d</w:t>
      </w:r>
      <w:r w:rsidR="00E25C0E" w:rsidRPr="0082639A">
        <w:t xml:space="preserve">). The O-MALT is mainly composed of the tonsils of </w:t>
      </w:r>
      <w:proofErr w:type="spellStart"/>
      <w:r w:rsidR="00E25C0E" w:rsidRPr="0082639A">
        <w:t>Waldeyer's</w:t>
      </w:r>
      <w:proofErr w:type="spellEnd"/>
      <w:r w:rsidR="00E25C0E" w:rsidRPr="0082639A">
        <w:t xml:space="preserve"> tonsillar ring</w:t>
      </w:r>
      <w:r w:rsidR="000D2494" w:rsidRPr="0082639A">
        <w:t xml:space="preserve"> and is the most accessible MALT</w:t>
      </w:r>
      <w:r w:rsidR="005E786C" w:rsidRPr="0082639A">
        <w:fldChar w:fldCharType="begin" w:fldLock="1"/>
      </w:r>
      <w:r w:rsidR="005E786C" w:rsidRPr="0082639A">
        <w:instrText>ADDIN CSL_CITATION {"citationItems":[{"id":"ITEM-1","itemData":{"DOI":"10.1016/B978-0-12-804019-5.00003-7","ISBN":"9780128040195","abstract":"Dendritic cells (DCs) comprise a heterogeneous population of cells that play a key role in initiating, directing and regulating adaptive immune responses. DCs recognize and analyze various inauspicious agents, including pathogens and cancer cells, and orchestrate the type of adaptive immune response that should be elicited to fight a particular type of threat. Hence the final immunological effect of exposition to a particular threat, either natural or evoked by prophylactic or therapeutic vaccination, depends on DCs, i.e., how they perceive and interpret danger represented by particular vaccine antigen formulations. Therefore the majority of vaccines are coadministered with various immune potentiators or vaccine adjuvants that shape the functional status of decision-making DCs rendering them capable of eliciting a proper adaptive immune response most suitable for fighting a particular threat. We discuss the general aspects of the DC system and a critical role of adjuvants in educating DCs to make the right decision during the polarization of adaptive immune responses.","author":[{"dropping-particle":"","family":"Strioga","given":"M.M.","non-dropping-particle":"","parse-names":false,"suffix":""},{"dropping-particle":"","family":"Dobrovolskiene","given":"N.T.","non-dropping-particle":"","parse-names":false,"suffix":""}],"container-title":"Immunopotentiators in Modern Vaccines","id":"ITEM-1","issued":{"date-parts":[["2017","1","1"]]},"page":"43-64","publisher":"Academic Press","title":"Dendritic Cells as Targets of Vaccines and Adjuvants","type":"article-journal"},"uris":["http://www.mendeley.com/documents/?uuid=7bc43b5d-ccba-3cd1-9ec8-af4a5da7b522"]},{"id":"ITEM-2","itemData":{"DOI":"10.1055/s-2007-998243","ISSN":"0935-8943","author":[{"dropping-particle":"","family":"Bachert","given":"C.","non-dropping-particle":"","parse-names":false,"suffix":""},{"dropping-particle":"","family":"Möller","given":"P.","non-dropping-particle":"","parse-names":false,"suffix":""}],"container-title":"Laryngo-Rhino-Otologie","id":"ITEM-2","issue":"10","issued":{"date-parts":[["1990","10","29"]]},"page":"515-520","publisher":"© Georg Thieme Verlag Stuttgart · New York","title":"Die Tonsille als MALT (mucosa-associated lymphoid tissue) der Nasenschleimhaut","type":"article-journal","volume":"69"},"uris":["http://www.mendeley.com/documents/?uuid=59b814d8-2eaf-3070-b8d5-40508d7c8b83"]}],"mendeley":{"formattedCitation":"&lt;sup&gt;8,9&lt;/sup&gt;","plainTextFormattedCitation":"8,9","previouslyFormattedCitation":"&lt;sup&gt;8,9&lt;/sup&gt;"},"properties":{"noteIndex":0},"schema":"https://github.com/citation-style-language/schema/raw/master/csl-citation.json"}</w:instrText>
      </w:r>
      <w:r w:rsidR="005E786C" w:rsidRPr="0082639A">
        <w:fldChar w:fldCharType="separate"/>
      </w:r>
      <w:r w:rsidR="005E786C" w:rsidRPr="0082639A">
        <w:rPr>
          <w:noProof/>
          <w:vertAlign w:val="superscript"/>
        </w:rPr>
        <w:t>8,9</w:t>
      </w:r>
      <w:r w:rsidR="005E786C" w:rsidRPr="0082639A">
        <w:fldChar w:fldCharType="end"/>
      </w:r>
      <w:r w:rsidR="000D2494" w:rsidRPr="0082639A">
        <w:t xml:space="preserve">. Indeed, tonsils located </w:t>
      </w:r>
      <w:r w:rsidR="00724B3A" w:rsidRPr="0082639A">
        <w:t xml:space="preserve">in </w:t>
      </w:r>
      <w:r w:rsidR="000D2494" w:rsidRPr="0082639A">
        <w:t xml:space="preserve">the oropharynx </w:t>
      </w:r>
      <w:r w:rsidR="00724B3A" w:rsidRPr="0082639A">
        <w:t xml:space="preserve">constitute </w:t>
      </w:r>
      <w:r w:rsidR="000D2494" w:rsidRPr="0082639A">
        <w:t xml:space="preserve">the major barrier protecting the digestive and respiratory tracts from </w:t>
      </w:r>
      <w:r w:rsidR="00724B3A" w:rsidRPr="0082639A">
        <w:t>(</w:t>
      </w:r>
      <w:r w:rsidR="000D2494" w:rsidRPr="0082639A">
        <w:t>potential</w:t>
      </w:r>
      <w:r w:rsidR="00724B3A" w:rsidRPr="0082639A">
        <w:t>)</w:t>
      </w:r>
      <w:r w:rsidR="000D2494" w:rsidRPr="0082639A">
        <w:t xml:space="preserve"> invasive microorganisms</w:t>
      </w:r>
      <w:r w:rsidR="00114A15" w:rsidRPr="0082639A">
        <w:fldChar w:fldCharType="begin" w:fldLock="1"/>
      </w:r>
      <w:r w:rsidR="000115C8" w:rsidRPr="0082639A">
        <w:instrText>ADDIN CSL_CITATION {"citationItems":[{"id":"ITEM-1","itemData":{"DOI":"10.1016/S0167-5699(98)01307-3","ISSN":"0167-5699","abstract":"The tonsils are lymphoepithelial structures that provide a protective immunological ring at the openings of both digestive and respiratory tracts. Here, as discussed by Marta Perry and Anthony Whyte, the unique nature of the various human tonsils reveals that they are capable of a variety of complex immunological functions.","author":[{"dropping-particle":"","family":"Perry","given":"Marta","non-dropping-particle":"","parse-names":false,"suffix":""},{"dropping-particle":"","family":"Whyte","given":"Anthony","non-dropping-particle":"","parse-names":false,"suffix":""}],"container-title":"Immunology Today","id":"ITEM-1","issue":"9","issued":{"date-parts":[["1998","9","1"]]},"page":"414-421","publisher":"Elsevier Current Trends","title":"Immunology of the tonsils","type":"article-journal","volume":"19"},"uris":["http://www.mendeley.com/documents/?uuid=708123de-d236-3cf3-bd49-3b13018e1bd2"]}],"mendeley":{"formattedCitation":"&lt;sup&gt;10&lt;/sup&gt;","plainTextFormattedCitation":"10","previouslyFormattedCitation":"&lt;sup&gt;10&lt;/sup&gt;"},"properties":{"noteIndex":0},"schema":"https://github.com/citation-style-language/schema/raw/master/csl-citation.json"}</w:instrText>
      </w:r>
      <w:r w:rsidR="00114A15" w:rsidRPr="0082639A">
        <w:fldChar w:fldCharType="separate"/>
      </w:r>
      <w:r w:rsidR="00114A15" w:rsidRPr="0082639A">
        <w:rPr>
          <w:noProof/>
          <w:vertAlign w:val="superscript"/>
        </w:rPr>
        <w:t>10</w:t>
      </w:r>
      <w:r w:rsidR="00114A15" w:rsidRPr="0082639A">
        <w:fldChar w:fldCharType="end"/>
      </w:r>
      <w:r w:rsidR="000D2494" w:rsidRPr="0082639A">
        <w:t xml:space="preserve">. </w:t>
      </w:r>
      <w:r w:rsidR="000D2494" w:rsidRPr="0082639A">
        <w:rPr>
          <w:color w:val="2E2E2E"/>
        </w:rPr>
        <w:t>In addition, the tonsils are covered by a fine stratified squamous non-</w:t>
      </w:r>
      <w:r w:rsidR="00E01CB7" w:rsidRPr="0082639A">
        <w:rPr>
          <w:color w:val="2E2E2E"/>
        </w:rPr>
        <w:t>keratinizing</w:t>
      </w:r>
      <w:r w:rsidR="000D2494" w:rsidRPr="0082639A">
        <w:rPr>
          <w:color w:val="2E2E2E"/>
        </w:rPr>
        <w:t xml:space="preserve"> epithelium, supported by a capsule of connective tissue containing blood vessels, nerves</w:t>
      </w:r>
      <w:r w:rsidR="00CF34EE">
        <w:rPr>
          <w:color w:val="2E2E2E"/>
        </w:rPr>
        <w:t>,</w:t>
      </w:r>
      <w:r w:rsidR="000D2494" w:rsidRPr="0082639A">
        <w:rPr>
          <w:color w:val="2E2E2E"/>
        </w:rPr>
        <w:t xml:space="preserve"> and lymphatics, </w:t>
      </w:r>
      <w:r w:rsidR="00CF34EE" w:rsidRPr="00BB688E">
        <w:rPr>
          <w:color w:val="2E2E2E"/>
        </w:rPr>
        <w:t>providing</w:t>
      </w:r>
      <w:r w:rsidR="000D2494" w:rsidRPr="0082639A">
        <w:rPr>
          <w:color w:val="2E2E2E"/>
        </w:rPr>
        <w:t xml:space="preserve"> easy access to the immune cells</w:t>
      </w:r>
      <w:r w:rsidR="005E786C" w:rsidRPr="0082639A">
        <w:rPr>
          <w:color w:val="2E2E2E"/>
        </w:rPr>
        <w:fldChar w:fldCharType="begin" w:fldLock="1"/>
      </w:r>
      <w:r w:rsidR="000115C8" w:rsidRPr="0082639A">
        <w:rPr>
          <w:color w:val="2E2E2E"/>
        </w:rPr>
        <w:instrText>ADDIN CSL_CITATION {"citationItems":[{"id":"ITEM-1","itemData":{"abstract":"Material from 25 human palatine tonsils was studied by light microscopy, immunocytochemistry, scanning and transmission electron microscopy. Special attention was focused on the structure of the epithelium lining the tonsillar crypts in the context of its ascribed immunological functions. This epithelium was not uniform and contained patches of stratified squamous nonkeratinising epithelium and patches of reticulated sponge-like epithelium. The degree of reticulation of the epithelial cells and the infiltration of nonepithelial cells varied. Reticulated patches were associated with disruptions in the continuity of basement membrane, and often also with desquamation of the upper cell layers, and contained numerous small blood vessels. The epithelial cells showed considerable variation in their morphology when surrounded by infiltrating cells. The rearrangement of their cytoskeleton and redistribution of desmosomal contacts indicate the responsiveness and dynamic nature of such epithelium. Cytoplasmic glycogen granules, located in the upper strata, suggest the possibility of energy-demanding functions such as absorption and secretion. The numerous membrane-coating granules may have contributed to cell membrane thickening and possibly also to tonsillar mucosal protection. Some areas contained a few keratohyalin granules but there was little evidence of keratinisation. The presence, and sometimes the predominance, of nonepithelial cells was characteristic of the reticulated epithelium. T and B cells often infiltrated the whole epithelial thickness, and many plasma cells were located around intraepithelial vessels, while macrophages and interdigitating cells showed a patchy distribution. It is proposed that the major functions of the reticulated epithelium are: (1) to provide a favourable environment for the intimate contact between the effector cells of immune responses; (2) to facilitate direct transport of antigens; (3) to synthesise the secretory component continually; and (4) to contain a pool of immunoglobulins. Thus the reticulated epithelium lining the tonsillar crypts represents a specialised compartment, important in the immunological functions of the tonsil as a whole.","author":[{"dropping-particle":"","family":"Perry","given":"Marta E","non-dropping-particle":"","parse-names":false,"suffix":""}],"container-title":"J. Anat","id":"ITEM-1","issued":{"date-parts":[["1994"]]},"number-of-pages":"111-127","title":"The specialised structure of crypt epithelium in the human palatine tonsil and its functional significance","type":"report","volume":"185"},"uris":["http://www.mendeley.com/documents/?uuid=bd95252a-b38e-3623-af27-542d704d4d0d"]},{"id":"ITEM-2","itemData":{"DOI":"10.1080/01926230600865531","ISSN":"0192-6233","abstract":"The mucosa-associated lymphoid tissue (MALT) initiates immune responses to specific antigens encountered along all mucosal surfaces. MALT inductive sites are secondary immune tissues where antigen ...","author":[{"dropping-particle":"","family":"Cesta","given":"Mark F.","non-dropping-particle":"","parse-names":false,"suffix":""}],"container-title":"Toxicologic Pathology","id":"ITEM-2","issue":"5","issued":{"date-parts":[["2006","8","25"]]},"page":"599-608","publisher":"SAGE Publications","title":"Normal Structure, Function, and Histology of Mucosa-Associated Lymphoid Tissue","type":"article-journal","volume":"34"},"uris":["http://www.mendeley.com/documents/?uuid=2326f3e6-75e4-31f9-8373-0b8b61dbc59e"]}],"mendeley":{"formattedCitation":"&lt;sup&gt;11,12&lt;/sup&gt;","plainTextFormattedCitation":"11,12","previouslyFormattedCitation":"&lt;sup&gt;11,12&lt;/sup&gt;"},"properties":{"noteIndex":0},"schema":"https://github.com/citation-style-language/schema/raw/master/csl-citation.json"}</w:instrText>
      </w:r>
      <w:r w:rsidR="005E786C" w:rsidRPr="0082639A">
        <w:rPr>
          <w:color w:val="2E2E2E"/>
        </w:rPr>
        <w:fldChar w:fldCharType="separate"/>
      </w:r>
      <w:r w:rsidR="00114A15" w:rsidRPr="0082639A">
        <w:rPr>
          <w:noProof/>
          <w:color w:val="2E2E2E"/>
          <w:vertAlign w:val="superscript"/>
        </w:rPr>
        <w:t>11,12</w:t>
      </w:r>
      <w:r w:rsidR="005E786C" w:rsidRPr="0082639A">
        <w:rPr>
          <w:color w:val="2E2E2E"/>
        </w:rPr>
        <w:fldChar w:fldCharType="end"/>
      </w:r>
      <w:r w:rsidR="000D2494" w:rsidRPr="0082639A">
        <w:rPr>
          <w:color w:val="2E2E2E"/>
        </w:rPr>
        <w:t xml:space="preserve">. Furthermore, tonsillectomy, the surgical act of removing tonsils, is a common procedure performed on children having </w:t>
      </w:r>
      <w:r w:rsidR="000D2494" w:rsidRPr="0082639A">
        <w:t>sleep-disordered breathing, making tonsils a</w:t>
      </w:r>
      <w:r w:rsidR="005C01DB" w:rsidRPr="0082639A">
        <w:t>n</w:t>
      </w:r>
      <w:r w:rsidR="000D2494" w:rsidRPr="0082639A">
        <w:t xml:space="preserve"> </w:t>
      </w:r>
      <w:r w:rsidR="002A4B86">
        <w:t xml:space="preserve">easily </w:t>
      </w:r>
      <w:r w:rsidR="00B57329">
        <w:t>available</w:t>
      </w:r>
      <w:r w:rsidR="000D2494" w:rsidRPr="0082639A">
        <w:t xml:space="preserve"> tissue</w:t>
      </w:r>
      <w:r w:rsidR="005E786C" w:rsidRPr="0082639A">
        <w:fldChar w:fldCharType="begin" w:fldLock="1"/>
      </w:r>
      <w:r w:rsidR="000115C8" w:rsidRPr="0082639A">
        <w:instrText>ADDIN CSL_CITATION {"citationItems":[{"id":"ITEM-1","itemData":{"DOI":"10.1183/13993003.00385-2015","abstract":"This document summarises the conclusions of a European Respiratory Society Task Force on the diagnosis and management of obstructive sleep disordered breathing (SDB) in childhood and refers to children aged 2-18 years. Prospective cohort studies describing the natural history of SDB or randomised, double-blind, placebo-controlled trials regarding its management are scarce. Selected evidence (362 articles) can be consolidated into seven management steps. SDB is suspected when symptoms or abnormalities related to upper airway obstruction are present (step 1). Central nervous or cardiovascular system morbidity, growth failure or enuresis and predictors of SDB persistence in the long-term are recognised (steps 2 and 3), and SDB severity is determined objectively preferably using polysomnography (step 4). Children with an apnoea-hypopnoea index (AHI) &gt;5 episodes·h −1 , those with an AHI of 1-5 episodes·h −1 and the presence of morbidity or factors predicting SDB persistence, and children with complex conditions (e.g. Down syndrome and Prader-Willi syndrome) all appear to benefit from treatment (step 5). Treatment interventions are usually implemented in a stepwise fashion addressing all abnormalities that predispose to SDB (step 6) with re-evaluation after each intervention to detect residual disease and to determine the need for additional treatment (step 7). @ERSpublications Management of obstructive sleep disordered breathing in childhood should follow a stepwise approach","author":[{"dropping-particle":"","family":"Kaditis","given":"Athanasios G","non-dropping-particle":"","parse-names":false,"suffix":""},{"dropping-particle":"","family":"Luz","given":"Maria","non-dropping-particle":"","parse-names":false,"suffix":""},{"dropping-particle":"","family":"Alvarez","given":"Alonso","non-dropping-particle":"","parse-names":false,"suffix":""},{"dropping-particle":"","family":"Boudewyns","given":"An","non-dropping-particle":"","parse-names":false,"suffix":""},{"dropping-particle":"","family":"Alexopoulos","given":"Emmanouel I","non-dropping-particle":"","parse-names":false,"suffix":""},{"dropping-particle":"","family":"Ersu","given":"Refika","non-dropping-particle":"","parse-names":false,"suffix":""},{"dropping-particle":"","family":"Joosten","given":"Koen","non-dropping-particle":"","parse-names":false,"suffix":""},{"dropping-particle":"","family":"Larramona","given":"Helena","non-dropping-particle":"","parse-names":false,"suffix":""},{"dropping-particle":"","family":"Miano","given":"Silvia","non-dropping-particle":"","parse-names":false,"suffix":""},{"dropping-particle":"","family":"Narang","given":"Indra","non-dropping-particle":"","parse-names":false,"suffix":""},{"dropping-particle":"","family":"Trang","given":"Ha","non-dropping-particle":"","parse-names":false,"suffix":""},{"dropping-particle":"","family":"Tsaoussoglou","given":"Marina","non-dropping-particle":"","parse-names":false,"suffix":""},{"dropping-particle":"","family":"Vandenbussche","given":"Nele","non-dropping-particle":"","parse-names":false,"suffix":""},{"dropping-particle":"","family":"Villa","given":"Maria Pia","non-dropping-particle":"","parse-names":false,"suffix":""},{"dropping-particle":"","family":"Waardenburg","given":"Dick","non-dropping-particle":"Van","parse-names":false,"suffix":""},{"dropping-particle":"","family":"Weber","given":"Silke","non-dropping-particle":"","parse-names":false,"suffix":""},{"dropping-particle":"","family":"Verhulst","given":"Stijn","non-dropping-particle":"","parse-names":false,"suffix":""}],"container-title":"Eur Respir J","id":"ITEM-1","issued":{"date-parts":[["2016"]]},"page":"69-94","title":"Obstructive sleep disordered breathing in 2-to 18-year-old children: diagnosis and management TASK FORCE REPORT ERS STATEMENT","type":"article-journal","volume":"47"},"uris":["http://www.mendeley.com/documents/?uuid=508983b6-2efb-3b38-befd-c566637b3e25"]}],"mendeley":{"formattedCitation":"&lt;sup&gt;13&lt;/sup&gt;","plainTextFormattedCitation":"13","previouslyFormattedCitation":"&lt;sup&gt;13&lt;/sup&gt;"},"properties":{"noteIndex":0},"schema":"https://github.com/citation-style-language/schema/raw/master/csl-citation.json"}</w:instrText>
      </w:r>
      <w:r w:rsidR="005E786C" w:rsidRPr="0082639A">
        <w:fldChar w:fldCharType="separate"/>
      </w:r>
      <w:r w:rsidR="00114A15" w:rsidRPr="0082639A">
        <w:rPr>
          <w:noProof/>
          <w:vertAlign w:val="superscript"/>
        </w:rPr>
        <w:t>13</w:t>
      </w:r>
      <w:r w:rsidR="005E786C" w:rsidRPr="0082639A">
        <w:fldChar w:fldCharType="end"/>
      </w:r>
      <w:r w:rsidR="00D86DA9" w:rsidRPr="0082639A">
        <w:t xml:space="preserve"> </w:t>
      </w:r>
      <w:r w:rsidR="00D36D2E" w:rsidRPr="0082639A">
        <w:t>in physiological settings</w:t>
      </w:r>
      <w:r w:rsidR="000D2494" w:rsidRPr="0082639A">
        <w:t xml:space="preserve">. </w:t>
      </w:r>
    </w:p>
    <w:p w14:paraId="0CEC2C3C" w14:textId="77777777" w:rsidR="00CC4FCF" w:rsidRPr="0082639A" w:rsidRDefault="00CC4FCF" w:rsidP="0082639A">
      <w:pPr>
        <w:pStyle w:val="NormalWeb"/>
        <w:spacing w:before="0" w:beforeAutospacing="0" w:after="0" w:afterAutospacing="0"/>
        <w:contextualSpacing/>
        <w:jc w:val="left"/>
      </w:pPr>
    </w:p>
    <w:p w14:paraId="5212147E" w14:textId="5F96D32C" w:rsidR="00D36D2E" w:rsidRPr="0082639A" w:rsidRDefault="00ED0B5E" w:rsidP="0082639A">
      <w:pPr>
        <w:pStyle w:val="NormalWeb"/>
        <w:spacing w:before="0" w:beforeAutospacing="0" w:after="0" w:afterAutospacing="0"/>
        <w:contextualSpacing/>
        <w:jc w:val="left"/>
      </w:pPr>
      <w:r w:rsidRPr="0082639A">
        <w:t xml:space="preserve">Tonsils </w:t>
      </w:r>
      <w:r w:rsidRPr="00BB688E">
        <w:t xml:space="preserve">allow </w:t>
      </w:r>
      <w:r w:rsidR="00CF34EE">
        <w:t>the</w:t>
      </w:r>
      <w:r w:rsidRPr="0082639A">
        <w:t xml:space="preserve"> </w:t>
      </w:r>
      <w:r w:rsidR="005C01DB" w:rsidRPr="0082639A">
        <w:t xml:space="preserve">study </w:t>
      </w:r>
      <w:r w:rsidR="00E01CB7" w:rsidRPr="0082639A">
        <w:t xml:space="preserve">of </w:t>
      </w:r>
      <w:r w:rsidR="005C01DB" w:rsidRPr="0082639A">
        <w:t xml:space="preserve">immune cell response in pathologies </w:t>
      </w:r>
      <w:r w:rsidR="00B57329" w:rsidRPr="00B57329">
        <w:t>involving</w:t>
      </w:r>
      <w:r w:rsidR="005C01DB" w:rsidRPr="0082639A">
        <w:t xml:space="preserve"> mucosal immunity. </w:t>
      </w:r>
      <w:r w:rsidR="00E01CB7" w:rsidRPr="0082639A">
        <w:t xml:space="preserve">Indeed, </w:t>
      </w:r>
      <w:r w:rsidR="003262FF" w:rsidRPr="0082639A">
        <w:t xml:space="preserve">in HIV infection, </w:t>
      </w:r>
      <w:r w:rsidR="00B57329" w:rsidRPr="00B57329">
        <w:t>because</w:t>
      </w:r>
      <w:r w:rsidR="003262FF" w:rsidRPr="0082639A">
        <w:t xml:space="preserve"> </w:t>
      </w:r>
      <w:r w:rsidR="00E01CB7" w:rsidRPr="0082639A">
        <w:t xml:space="preserve">tonsils </w:t>
      </w:r>
      <w:r w:rsidR="003262FF" w:rsidRPr="0082639A">
        <w:t xml:space="preserve">are composed of </w:t>
      </w:r>
      <w:r w:rsidR="00B57329">
        <w:t xml:space="preserve">a </w:t>
      </w:r>
      <w:r w:rsidR="003262FF" w:rsidRPr="0082639A">
        <w:t>high concentration of immune cells</w:t>
      </w:r>
      <w:r w:rsidR="00B57329">
        <w:t>,</w:t>
      </w:r>
      <w:r w:rsidR="003262FF" w:rsidRPr="0082639A">
        <w:t xml:space="preserve"> they are the main target of viral replication but also produce </w:t>
      </w:r>
      <w:r w:rsidR="002A4B86">
        <w:t xml:space="preserve">a </w:t>
      </w:r>
      <w:r w:rsidR="00B57329">
        <w:t>large</w:t>
      </w:r>
      <w:r w:rsidR="003262FF" w:rsidRPr="0082639A">
        <w:t xml:space="preserve"> amount of cytokines that are not detected in the circulation</w:t>
      </w:r>
      <w:r w:rsidR="00202207" w:rsidRPr="0082639A">
        <w:fldChar w:fldCharType="begin" w:fldLock="1"/>
      </w:r>
      <w:r w:rsidR="00202207" w:rsidRPr="0082639A">
        <w:instrText>ADDIN CSL_CITATION {"citationItems":[{"id":"ITEM-1","itemData":{"PMID":"19050384","abstract":"OBJECTIVE:: To determine how antiretroviral therapy (ART) or HAART affects the expression of apoptotic ligands and their death receptors in the blood and lymphoid tissues of HIV-infected patients and simian immunodeficiency virus-infected macaques. METHODS:: We analyzed the mRNA expression of death molecules [tumor necrosis factor-related apoptosis-inducing ligand (TRAIL) and FasL] and their receptors (DR5 and Fas) in blood and tonsils from HIV-infected patients (HIV positive), HIV-infected patients receiving HAART and HIV-uninfected (HIV negative) donors in a cross-sectional study. We comparatively analyzed mRNA expression of TRAIL and DR5 in blood and lymph nodes collected longitudinally from simian immunodeficiency virus-infected macaques before and after ART. RESULTS:: Expression of TRAIL, FasL, DR5 and Fas was elevated in circulating CD4 T cells from a group of HIV-positive patients as compared with that from both HIV-negative donors and HAART patients. In a different study group, TRAIL, FasL, DR5 and Fas were increased in tonsils of HIV-positive patients as compared with HIV-negative donors and HAART patients. However, tonsils from HAART patients showed reduced expression of TRAIL and FasL but not DR5 and Fas as compared with HIV-positive patients. Similarly, data obtained in a longitudinal study of simian immunodeficiency virus-infected macaques showed that ART reduced both TRAIL and DR5 in peripheral blood but only TRAIL and not DR5 in lymph nodes from the same animals. CONCLUSION:: These findings suggest that HAART or ART is ineffective in reducing the expression of apoptotic death receptors in lymphoid tissue. However, analysis limited to blood leukocytes may not reveal such a defect. Our results highlight the persistence of an underlying immunologic condition that may prevent therapy-induced restoration of CD4 T cells in lymphoid tissue.","author":[{"dropping-particle":"","family":"Herbeuval","given":"J P","non-dropping-particle":"","parse-names":false,"suffix":""},{"dropping-particle":"","family":"Nilsson","given":"J","non-dropping-particle":"","parse-names":false,"suffix":""},{"dropping-particle":"","family":"Boasso","given":"A","non-dropping-particle":"","parse-names":false,"suffix":""},{"dropping-particle":"","family":"Hardy","given":"A W","non-dropping-particle":"","parse-names":false,"suffix":""},{"dropping-particle":"","family":"Vaccari","given":"M","non-dropping-particle":"","parse-names":false,"suffix":""},{"dropping-particle":"","family":"Cecchinato","given":"V","non-dropping-particle":"","parse-names":false,"suffix":""},{"dropping-particle":"","family":"Valeri","given":"V","non-dropping-particle":"","parse-names":false,"suffix":""},{"dropping-particle":"","family":"Franchini","given":"G","non-dropping-particle":"","parse-names":false,"suffix":""},{"dropping-particle":"","family":"Andersson","given":"J","non-dropping-particle":"","parse-names":false,"suffix":""},{"dropping-particle":"","family":"Shearer","given":"G M","non-dropping-particle":"","parse-names":false,"suffix":""}],"container-title":"AIDS","id":"ITEM-1","issue":"1","issued":{"date-parts":[["2009"]]},"note":"1473-5571 (Electronic)\nJournal article","page":"35-40","title":"HAART reduces death ligand but not death receptors in lymphoid tissue of HIV-infected patients and simian immunodeficiency virus-infected macaques","type":"article-journal","volume":"23"},"uris":["http://www.mendeley.com/documents/?uuid=78925e8b-c0bd-4953-8be6-65ea68bdee81"]},{"id":"ITEM-2","itemData":{"DOI":"10.1073/pnas.0600363103","ISBN":"0027-8424 (Print)\r0027-8424 (Linking)","PMID":"16632604","abstract":"Loss of CD4+ T cells, the hallmark of HIV pathogenesis, was suggested to be partly due to apoptosis. We recently reported that IFN-alpha produced by HIV-1-activated plasmacytoid dendritic cells (pDCs) contributes to CD4+ T cell apoptosis by the TNF-related apoptosis-inducing ligand (TRAIL)/death receptor (DR)5 pathway. Here, we show that HIV-1-induced intracellular expression of IFN-alpha in pDCs is coupled to increased expression of IFN regulatory factor 7 and MyD88 by pDCs in vivo and in vitro. Expression of IFN-alpha was increased in lymphoid tonsillar tissue (LT) of patients with progressive (HIV(prog)) compared with nonprogressive (HIV(NP)) HIV-1 disease and to uninfected controls. LT from HIV(prog) exhibited higher TRAIL and DR5 mRNA levels than LT from HIV(NP) or controls. TRAIL mRNA levels in LT correlated with plasma viral load. We show that HIV-1 induces IFN-alpha and the TRAIL/DR5 apoptotic pathway in LT, suggesting a role for these cytokines in HIV-1 immunopathogenesis.","author":[{"dropping-particle":"","family":"Herbeuval","given":"J P","non-dropping-particle":"","parse-names":false,"suffix":""},{"dropping-particle":"","family":"Nilsson","given":"J","non-dropping-particle":"","parse-names":false,"suffix":""},{"dropping-particle":"","family":"Boasso","given":"A","non-dropping-particle":"","parse-names":false,"suffix":""},{"dropping-particle":"","family":"Hardy","given":"A W","non-dropping-particle":"","parse-names":false,"suffix":""},{"dropping-particle":"","family":"Kruhlak","given":"M J","non-dropping-particle":"","parse-names":false,"suffix":""},{"dropping-particle":"","family":"Anderson","given":"S A","non-dropping-particle":"","parse-names":false,"suffix":""},{"dropping-particle":"","family":"Dolan","given":"M J","non-dropping-particle":"","parse-names":false,"suffix":""},{"dropping-particle":"","family":"Dy","given":"M","non-dropping-particle":"","parse-names":false,"suffix":""},{"dropping-particle":"","family":"Andersson","given":"J","non-dropping-particle":"","parse-names":false,"suffix":""},{"dropping-particle":"","family":"Shearer","given":"G M","non-dropping-particle":"","parse-names":false,"suffix":""}],"container-title":"Proc Natl Acad Sci U S A","edition":"2006/04/25","id":"ITEM-2","issue":"18","issued":{"date-parts":[["2006"]]},"language":"eng","note":"Herbeuval, Jean-Philippe\nNilsson, Jakob\nBoasso, Adriano\nHardy, Andrew W\nKruhlak, Michael J\nAnderson, Stephanie A\nDolan, Matthew J\nDy, Michel\nAndersson, Jan\nShearer, Gene M\nProc Natl Acad Sci U S A. 2006 May 2;103(18):7000-5. Epub 2006 Apr 21.","page":"7000-7005","title":"Differential expression of IFN-alpha and TRAIL/DR5 in lymphoid tissue of progressor versus nonprogressor HIV-1-infected patients","type":"article-journal","volume":"103"},"uris":["http://www.mendeley.com/documents/?uuid=1e19c427-f3b8-4a6d-9680-fa511a091cff"]}],"mendeley":{"formattedCitation":"&lt;sup&gt;14,15&lt;/sup&gt;","plainTextFormattedCitation":"14,15"},"properties":{"noteIndex":0},"schema":"https://github.com/citation-style-language/schema/raw/master/csl-citation.json"}</w:instrText>
      </w:r>
      <w:r w:rsidR="00202207" w:rsidRPr="0082639A">
        <w:fldChar w:fldCharType="separate"/>
      </w:r>
      <w:r w:rsidR="00202207" w:rsidRPr="0082639A">
        <w:rPr>
          <w:noProof/>
          <w:vertAlign w:val="superscript"/>
        </w:rPr>
        <w:t>14,15</w:t>
      </w:r>
      <w:r w:rsidR="00202207" w:rsidRPr="0082639A">
        <w:fldChar w:fldCharType="end"/>
      </w:r>
      <w:r w:rsidR="003262FF" w:rsidRPr="0082639A">
        <w:t>.</w:t>
      </w:r>
      <w:r w:rsidR="0061322F">
        <w:t xml:space="preserve"> </w:t>
      </w:r>
      <w:r w:rsidR="00D36D2E" w:rsidRPr="0082639A">
        <w:t xml:space="preserve">At steady states, rare populations </w:t>
      </w:r>
      <w:r w:rsidR="00B57329">
        <w:t>of</w:t>
      </w:r>
      <w:r w:rsidR="00D36D2E" w:rsidRPr="0082639A">
        <w:t xml:space="preserve"> innate-like cells are present in various mucosal tissues, including </w:t>
      </w:r>
      <w:r w:rsidR="00B57329">
        <w:t xml:space="preserve">the </w:t>
      </w:r>
      <w:r w:rsidR="00D36D2E" w:rsidRPr="0082639A">
        <w:t xml:space="preserve">tonsils, </w:t>
      </w:r>
      <w:r w:rsidR="00B57329">
        <w:t>but are</w:t>
      </w:r>
      <w:r w:rsidR="00D36D2E" w:rsidRPr="0082639A">
        <w:t xml:space="preserve"> essentially absent from blood. </w:t>
      </w:r>
    </w:p>
    <w:p w14:paraId="1FCAE830" w14:textId="6A40AA79" w:rsidR="006D47F4" w:rsidRPr="0082639A" w:rsidRDefault="003262FF" w:rsidP="008D46BC">
      <w:r w:rsidRPr="0082639A">
        <w:t xml:space="preserve">Thus, </w:t>
      </w:r>
      <w:r w:rsidR="00025ACF" w:rsidRPr="0082639A">
        <w:t xml:space="preserve">mononuclear cells from </w:t>
      </w:r>
      <w:r w:rsidR="008E3BA5" w:rsidRPr="0082639A">
        <w:t>tonsils</w:t>
      </w:r>
      <w:r w:rsidR="00D36D2E" w:rsidRPr="0082639A">
        <w:t xml:space="preserve"> (TMCs) </w:t>
      </w:r>
      <w:r w:rsidR="008E3BA5" w:rsidRPr="0082639A">
        <w:t xml:space="preserve">are a more relevant and complex model than </w:t>
      </w:r>
      <w:r w:rsidR="00025ACF" w:rsidRPr="0082639A">
        <w:t xml:space="preserve">PBMCs </w:t>
      </w:r>
      <w:r w:rsidRPr="0082639A">
        <w:t xml:space="preserve">and can answer </w:t>
      </w:r>
      <w:r w:rsidR="002A4B86">
        <w:t>more profound</w:t>
      </w:r>
      <w:r w:rsidR="002A4B86" w:rsidRPr="0082639A">
        <w:t xml:space="preserve"> </w:t>
      </w:r>
      <w:r w:rsidRPr="0082639A">
        <w:t>questions</w:t>
      </w:r>
      <w:r w:rsidR="008E3BA5" w:rsidRPr="0082639A">
        <w:t>.</w:t>
      </w:r>
      <w:r w:rsidR="008E3BA5" w:rsidRPr="0082639A">
        <w:rPr>
          <w:color w:val="2E2E2E"/>
        </w:rPr>
        <w:t xml:space="preserve"> </w:t>
      </w:r>
      <w:r w:rsidR="00025ACF" w:rsidRPr="0082639A">
        <w:rPr>
          <w:color w:val="2E2E2E"/>
        </w:rPr>
        <w:t xml:space="preserve">On the other </w:t>
      </w:r>
      <w:r w:rsidR="001979D6">
        <w:rPr>
          <w:color w:val="2E2E2E"/>
        </w:rPr>
        <w:t>hand</w:t>
      </w:r>
      <w:r w:rsidR="00025ACF" w:rsidRPr="0082639A">
        <w:rPr>
          <w:color w:val="2E2E2E"/>
        </w:rPr>
        <w:t xml:space="preserve">, the use of tissue </w:t>
      </w:r>
      <w:r w:rsidR="00025ACF" w:rsidRPr="00BB688E">
        <w:rPr>
          <w:color w:val="2E2E2E"/>
        </w:rPr>
        <w:t>explant</w:t>
      </w:r>
      <w:r w:rsidR="00B57329">
        <w:rPr>
          <w:color w:val="2E2E2E"/>
        </w:rPr>
        <w:t>s</w:t>
      </w:r>
      <w:r w:rsidR="00025ACF" w:rsidRPr="0082639A">
        <w:rPr>
          <w:color w:val="2E2E2E"/>
        </w:rPr>
        <w:t xml:space="preserve"> can be complex and </w:t>
      </w:r>
      <w:r w:rsidR="006C4FDF" w:rsidRPr="0082639A">
        <w:rPr>
          <w:color w:val="2E2E2E"/>
        </w:rPr>
        <w:t>not always relevant to innate immune studies.</w:t>
      </w:r>
      <w:r w:rsidR="00025ACF" w:rsidRPr="0082639A">
        <w:rPr>
          <w:color w:val="2E2E2E"/>
        </w:rPr>
        <w:t xml:space="preserve"> </w:t>
      </w:r>
      <w:r w:rsidR="005C01DB" w:rsidRPr="0082639A">
        <w:rPr>
          <w:color w:val="2E2E2E"/>
        </w:rPr>
        <w:t>Thus, w</w:t>
      </w:r>
      <w:r w:rsidR="00DC03D1" w:rsidRPr="0082639A">
        <w:rPr>
          <w:color w:val="000000" w:themeColor="text1"/>
        </w:rPr>
        <w:t xml:space="preserve">e established a model </w:t>
      </w:r>
      <w:r w:rsidR="005C01DB" w:rsidRPr="0082639A">
        <w:rPr>
          <w:color w:val="000000" w:themeColor="text1"/>
        </w:rPr>
        <w:t xml:space="preserve">to </w:t>
      </w:r>
      <w:r w:rsidR="005C01DB" w:rsidRPr="0082639A">
        <w:rPr>
          <w:color w:val="000000" w:themeColor="text1"/>
        </w:rPr>
        <w:lastRenderedPageBreak/>
        <w:t>study mucosal immune activatio</w:t>
      </w:r>
      <w:r w:rsidR="006C4FDF" w:rsidRPr="0082639A">
        <w:rPr>
          <w:color w:val="000000" w:themeColor="text1"/>
        </w:rPr>
        <w:t>n</w:t>
      </w:r>
      <w:r w:rsidR="007C0CA4" w:rsidRPr="0082639A">
        <w:rPr>
          <w:color w:val="000000" w:themeColor="text1"/>
        </w:rPr>
        <w:t xml:space="preserve"> using TMCs</w:t>
      </w:r>
      <w:r w:rsidR="000115C8" w:rsidRPr="0082639A">
        <w:rPr>
          <w:color w:val="000000" w:themeColor="text1"/>
        </w:rPr>
        <w:fldChar w:fldCharType="begin" w:fldLock="1"/>
      </w:r>
      <w:r w:rsidR="00202207" w:rsidRPr="0082639A">
        <w:rPr>
          <w:color w:val="000000" w:themeColor="text1"/>
        </w:rPr>
        <w:instrText>ADDIN CSL_CITATION {"citationItems":[{"id":"ITEM-1","itemData":{"DOI":"10.1126/sciadv.aav9019","ISSN":"2375-2548","abstract":"&lt;p&gt;Type I interferons are highly potent cytokines essential for self-protection against tumors and infections. Deregulations of type I interferon signaling are associated with multiple diseases that require novel therapeutic options. Here, we identified the small molecule, IT1t, a previously described CXCR4 ligand, as a highly potent inhibitor of Toll-like receptor 7 (TLR7)–mediated inflammation. IT1t inhibits chemical (R848) and natural (HIV) TLR7-mediated inflammation in purified human plasmacytoid dendritic cells from blood and human tonsils. In a TLR7-dependent lupus-like model, in vivo treatment of mice with IT1t drives drastic reduction of both systemic inflammation and anti–double-stranded DNA autoantibodies and prevents glomerulonephritis. Furthermore, IT1t controls inflammation, including interferon α secretion, in resting and stimulated cells from patients with systemic lupus erythematosus. Our findings highlight a groundbreaking immunoregulatory property of CXCR4 signaling that opens new therapeutic perspectives in inflammatory settings and autoimmune diseases.&lt;/p&gt;","author":[{"dropping-particle":"","family":"Smith","given":"Nikaïa","non-dropping-particle":"","parse-names":false,"suffix":""},{"dropping-particle":"","family":"Rodero","given":"Mathieu P.","non-dropping-particle":"","parse-names":false,"suffix":""},{"dropping-particle":"","family":"Bekaddour","given":"Nassima","non-dropping-particle":"","parse-names":false,"suffix":""},{"dropping-particle":"","family":"Bondet","given":"Vincent","non-dropping-particle":"","parse-names":false,"suffix":""},{"dropping-particle":"","family":"Ruiz-Blanco","given":"Yasser B.","non-dropping-particle":"","parse-names":false,"suffix":""},{"dropping-particle":"","family":"Harms","given":"Mirja","non-dropping-particle":"","parse-names":false,"suffix":""},{"dropping-particle":"","family":"Mayer","given":"Benjamin","non-dropping-particle":"","parse-names":false,"suffix":""},{"dropping-particle":"","family":"Bader-Meunier","given":"Brigitte","non-dropping-particle":"","parse-names":false,"suffix":""},{"dropping-particle":"","family":"Quartier","given":"Pierre","non-dropping-particle":"","parse-names":false,"suffix":""},{"dropping-particle":"","family":"Bodemer","given":"Christine","non-dropping-particle":"","parse-names":false,"suffix":""},{"dropping-particle":"","family":"Baudouin","given":"Véronique","non-dropping-particle":"","parse-names":false,"suffix":""},{"dropping-particle":"","family":"Dieudonné","given":"Yannick","non-dropping-particle":"","parse-names":false,"suffix":""},{"dropping-particle":"","family":"Kirchhoff","given":"Frank","non-dropping-particle":"","parse-names":false,"suffix":""},{"dropping-particle":"","family":"Sanchez Garcia","given":"Elsa","non-dropping-particle":"","parse-names":false,"suffix":""},{"dropping-particle":"","family":"Charbit","given":"Bruno","non-dropping-particle":"","parse-names":false,"suffix":""},{"dropping-particle":"","family":"Leboulanger","given":"Nicolas","non-dropping-particle":"","parse-names":false,"suffix":""},{"dropping-particle":"","family":"Jahrsdörfer","given":"Bernd","non-dropping-particle":"","parse-names":false,"suffix":""},{"dropping-particle":"","family":"Richard","given":"Yolande","non-dropping-particle":"","parse-names":false,"suffix":""},{"dropping-particle":"","family":"Korganow","given":"Anne-Sophie","non-dropping-particle":"","parse-names":false,"suffix":""},{"dropping-particle":"","family":"Münch","given":"Jan","non-dropping-particle":"","parse-names":false,"suffix":""},{"dropping-particle":"","family":"Nisole","given":"Sébastien","non-dropping-particle":"","parse-names":false,"suffix":""},{"dropping-particle":"","family":"Duffy","given":"Darragh","non-dropping-particle":"","parse-names":false,"suffix":""},{"dropping-particle":"","family":"Herbeuval","given":"Jean-Philippe","non-dropping-particle":"","parse-names":false,"suffix":""}],"container-title":"Science Advances","id":"ITEM-1","issue":"7","issued":{"date-parts":[["2019","7","1"]]},"page":"eaav9019","publisher":"American Association for the Advancement of Science","title":"Control of TLR7-mediated type I IFN signaling in pDCs through CXCR4 engagement—A new target for lupus treatment","type":"article-journal","volume":"5"},"uris":["http://www.mendeley.com/documents/?uuid=bcf043aa-4f1d-34c1-8fd4-9ffd19b100b7"]}],"mendeley":{"formattedCitation":"&lt;sup&gt;16&lt;/sup&gt;","plainTextFormattedCitation":"16","previouslyFormattedCitation":"&lt;sup&gt;15&lt;/sup&gt;"},"properties":{"noteIndex":0},"schema":"https://github.com/citation-style-language/schema/raw/master/csl-citation.json"}</w:instrText>
      </w:r>
      <w:r w:rsidR="000115C8" w:rsidRPr="0082639A">
        <w:rPr>
          <w:color w:val="000000" w:themeColor="text1"/>
        </w:rPr>
        <w:fldChar w:fldCharType="separate"/>
      </w:r>
      <w:r w:rsidR="00202207" w:rsidRPr="0082639A">
        <w:rPr>
          <w:noProof/>
          <w:color w:val="000000" w:themeColor="text1"/>
          <w:vertAlign w:val="superscript"/>
        </w:rPr>
        <w:t>16</w:t>
      </w:r>
      <w:r w:rsidR="000115C8" w:rsidRPr="0082639A">
        <w:rPr>
          <w:color w:val="000000" w:themeColor="text1"/>
        </w:rPr>
        <w:fldChar w:fldCharType="end"/>
      </w:r>
      <w:r w:rsidR="00E740BA" w:rsidRPr="0082639A">
        <w:rPr>
          <w:color w:val="000000" w:themeColor="text1"/>
        </w:rPr>
        <w:t xml:space="preserve">. </w:t>
      </w:r>
      <w:r w:rsidR="00912042" w:rsidRPr="0082639A">
        <w:t xml:space="preserve">Here, we describe a method for efficient isolation of </w:t>
      </w:r>
      <w:r w:rsidR="00E740BA" w:rsidRPr="0082639A">
        <w:t>TMCs</w:t>
      </w:r>
      <w:r w:rsidR="00025ACF" w:rsidRPr="0082639A">
        <w:t xml:space="preserve"> </w:t>
      </w:r>
      <w:r w:rsidR="00912042" w:rsidRPr="0082639A">
        <w:t xml:space="preserve">from fresh human tonsils. </w:t>
      </w:r>
      <w:r w:rsidR="00E740BA" w:rsidRPr="0082639A">
        <w:t>T</w:t>
      </w:r>
      <w:r w:rsidR="00912042" w:rsidRPr="0082639A">
        <w:t>his method allows</w:t>
      </w:r>
      <w:r w:rsidR="00912042" w:rsidRPr="00BB688E">
        <w:t xml:space="preserve"> </w:t>
      </w:r>
      <w:r w:rsidR="00B57329">
        <w:t>the</w:t>
      </w:r>
      <w:r w:rsidR="00912042" w:rsidRPr="0082639A">
        <w:t xml:space="preserve"> </w:t>
      </w:r>
      <w:r w:rsidR="00912042" w:rsidRPr="00BB688E">
        <w:t>recover</w:t>
      </w:r>
      <w:r w:rsidR="001979D6">
        <w:t>y of</w:t>
      </w:r>
      <w:r w:rsidR="00912042" w:rsidRPr="0082639A">
        <w:t xml:space="preserve"> </w:t>
      </w:r>
      <w:proofErr w:type="gramStart"/>
      <w:r w:rsidR="00912042" w:rsidRPr="0082639A">
        <w:t xml:space="preserve">a </w:t>
      </w:r>
      <w:r w:rsidR="00B57329">
        <w:t>large</w:t>
      </w:r>
      <w:r w:rsidR="006C4FDF" w:rsidRPr="0082639A">
        <w:t xml:space="preserve"> number</w:t>
      </w:r>
      <w:r w:rsidR="00912042" w:rsidRPr="0082639A">
        <w:t xml:space="preserve"> of</w:t>
      </w:r>
      <w:proofErr w:type="gramEnd"/>
      <w:r w:rsidR="00912042" w:rsidRPr="0082639A">
        <w:t xml:space="preserve"> </w:t>
      </w:r>
      <w:r w:rsidR="006C4FDF" w:rsidRPr="0082639A">
        <w:t xml:space="preserve">immune </w:t>
      </w:r>
      <w:r w:rsidR="00912042" w:rsidRPr="0082639A">
        <w:t xml:space="preserve">cells while keeping their </w:t>
      </w:r>
      <w:r w:rsidR="001979D6" w:rsidRPr="00BB688E">
        <w:t>integrit</w:t>
      </w:r>
      <w:r w:rsidR="001979D6">
        <w:t>y</w:t>
      </w:r>
      <w:r w:rsidR="001979D6" w:rsidRPr="00BB688E">
        <w:t xml:space="preserve"> </w:t>
      </w:r>
      <w:r w:rsidR="00912042" w:rsidRPr="0082639A">
        <w:t xml:space="preserve">for </w:t>
      </w:r>
      <w:r w:rsidR="00912042" w:rsidRPr="008D46BC">
        <w:rPr>
          <w:rFonts w:asciiTheme="minorHAnsi" w:hAnsiTheme="minorHAnsi"/>
        </w:rPr>
        <w:t xml:space="preserve">ex </w:t>
      </w:r>
      <w:r w:rsidR="001979D6" w:rsidRPr="00F75EA8">
        <w:rPr>
          <w:rFonts w:asciiTheme="minorHAnsi" w:hAnsiTheme="minorHAnsi" w:cstheme="minorHAnsi"/>
        </w:rPr>
        <w:t>vivo</w:t>
      </w:r>
      <w:r w:rsidR="00912042" w:rsidRPr="0082639A">
        <w:t xml:space="preserve"> studies. </w:t>
      </w:r>
    </w:p>
    <w:p w14:paraId="26463FE5" w14:textId="77777777" w:rsidR="0054014E" w:rsidRPr="0082639A" w:rsidRDefault="0054014E" w:rsidP="0082639A">
      <w:pPr>
        <w:contextualSpacing/>
        <w:jc w:val="left"/>
        <w:rPr>
          <w:b/>
        </w:rPr>
      </w:pPr>
    </w:p>
    <w:p w14:paraId="0F2521C6" w14:textId="67B01A49" w:rsidR="00B72BDE" w:rsidRPr="0082639A" w:rsidRDefault="006305D7" w:rsidP="0082639A">
      <w:pPr>
        <w:contextualSpacing/>
        <w:jc w:val="left"/>
        <w:rPr>
          <w:i/>
          <w:color w:val="808080"/>
          <w:lang w:val="fr-FR"/>
        </w:rPr>
      </w:pPr>
      <w:r w:rsidRPr="0082639A">
        <w:rPr>
          <w:b/>
          <w:lang w:val="fr-FR"/>
        </w:rPr>
        <w:t>PROTOCOL</w:t>
      </w:r>
      <w:r w:rsidR="00B72BDE" w:rsidRPr="0082639A">
        <w:rPr>
          <w:b/>
          <w:lang w:val="fr-FR"/>
        </w:rPr>
        <w:t> :</w:t>
      </w:r>
    </w:p>
    <w:p w14:paraId="36E81BB6" w14:textId="6227392D" w:rsidR="008614D5" w:rsidRDefault="008614D5" w:rsidP="0082639A">
      <w:pPr>
        <w:contextualSpacing/>
        <w:jc w:val="left"/>
        <w:rPr>
          <w:b/>
          <w:lang w:val="fr-FR"/>
        </w:rPr>
      </w:pPr>
    </w:p>
    <w:p w14:paraId="3D9290AE" w14:textId="5D75B2AB" w:rsidR="000251AE" w:rsidRPr="008D46BC" w:rsidRDefault="000251AE" w:rsidP="000251AE">
      <w:pPr>
        <w:contextualSpacing/>
        <w:jc w:val="left"/>
      </w:pPr>
      <w:r w:rsidRPr="0082639A">
        <w:t xml:space="preserve">The specimens are not collected specifically for research </w:t>
      </w:r>
      <w:r w:rsidRPr="00BB688E">
        <w:t>purpose</w:t>
      </w:r>
      <w:r w:rsidR="00B57329">
        <w:t>s</w:t>
      </w:r>
      <w:r w:rsidRPr="0082639A">
        <w:t xml:space="preserve"> and the study is not considered invasive. However, human tonsils collection requires ethical approval by the local </w:t>
      </w:r>
      <w:r w:rsidR="00B57329">
        <w:t>relevant</w:t>
      </w:r>
      <w:r w:rsidRPr="0082639A">
        <w:t xml:space="preserve"> authorities. In our case, it was approved by the </w:t>
      </w:r>
      <w:proofErr w:type="spellStart"/>
      <w:r w:rsidRPr="0082639A">
        <w:t>Comité</w:t>
      </w:r>
      <w:proofErr w:type="spellEnd"/>
      <w:r w:rsidRPr="0082639A">
        <w:t xml:space="preserve"> de Protection des </w:t>
      </w:r>
      <w:proofErr w:type="spellStart"/>
      <w:r w:rsidRPr="0082639A">
        <w:t>Personnes</w:t>
      </w:r>
      <w:proofErr w:type="spellEnd"/>
      <w:r w:rsidRPr="0082639A">
        <w:t xml:space="preserve"> (ID</w:t>
      </w:r>
      <w:r w:rsidRPr="0082639A">
        <w:noBreakHyphen/>
        <w:t>RCB/EUDRACT: 2018</w:t>
      </w:r>
      <w:r w:rsidRPr="0082639A">
        <w:noBreakHyphen/>
        <w:t>A01358</w:t>
      </w:r>
      <w:r w:rsidRPr="0082639A">
        <w:noBreakHyphen/>
        <w:t xml:space="preserve">47). Furthermore, consent of each patient or legal representative is requested to obtain donors' personal data (e.g., sex, age, history of ENT infections) that can help interpret </w:t>
      </w:r>
      <w:r w:rsidRPr="007E6240">
        <w:t xml:space="preserve">experimental results. </w:t>
      </w:r>
    </w:p>
    <w:p w14:paraId="15C96B89" w14:textId="77777777" w:rsidR="000251AE" w:rsidRPr="0082639A" w:rsidRDefault="000251AE" w:rsidP="0082639A">
      <w:pPr>
        <w:contextualSpacing/>
        <w:jc w:val="left"/>
        <w:rPr>
          <w:b/>
          <w:lang w:val="fr-FR"/>
        </w:rPr>
      </w:pPr>
    </w:p>
    <w:p w14:paraId="2B549115" w14:textId="30EE142C" w:rsidR="005F01ED" w:rsidRDefault="00313767" w:rsidP="005F01ED">
      <w:pPr>
        <w:pStyle w:val="ListParagraph"/>
        <w:numPr>
          <w:ilvl w:val="0"/>
          <w:numId w:val="34"/>
        </w:numPr>
        <w:jc w:val="left"/>
        <w:rPr>
          <w:b/>
          <w:highlight w:val="yellow"/>
        </w:rPr>
      </w:pPr>
      <w:bookmarkStart w:id="0" w:name="_Hlk24634905"/>
      <w:r w:rsidRPr="00084FEA">
        <w:rPr>
          <w:b/>
          <w:highlight w:val="yellow"/>
        </w:rPr>
        <w:t>Handling of the human tonsillar tissue</w:t>
      </w:r>
    </w:p>
    <w:p w14:paraId="14A26E04" w14:textId="4D243324" w:rsidR="005F01ED" w:rsidRDefault="005F01ED" w:rsidP="005F01ED">
      <w:pPr>
        <w:contextualSpacing/>
        <w:jc w:val="left"/>
        <w:rPr>
          <w:highlight w:val="yellow"/>
        </w:rPr>
      </w:pPr>
      <w:r w:rsidRPr="0082639A">
        <w:t xml:space="preserve"> </w:t>
      </w:r>
    </w:p>
    <w:p w14:paraId="2BED2631" w14:textId="07542277" w:rsidR="005F01ED" w:rsidRDefault="000251AE" w:rsidP="005F01ED">
      <w:pPr>
        <w:pStyle w:val="ListParagraph"/>
        <w:numPr>
          <w:ilvl w:val="1"/>
          <w:numId w:val="34"/>
        </w:numPr>
        <w:jc w:val="left"/>
      </w:pPr>
      <w:r>
        <w:rPr>
          <w:highlight w:val="yellow"/>
        </w:rPr>
        <w:t>Put t</w:t>
      </w:r>
      <w:r w:rsidR="005F01ED" w:rsidRPr="007E6240">
        <w:rPr>
          <w:highlight w:val="yellow"/>
        </w:rPr>
        <w:t xml:space="preserve">onsils from every donor in one sterile 50 mL vial containing 25 mL PBS </w:t>
      </w:r>
      <w:r w:rsidR="005F01ED" w:rsidRPr="00BB688E">
        <w:rPr>
          <w:highlight w:val="yellow"/>
        </w:rPr>
        <w:t>1</w:t>
      </w:r>
      <w:r w:rsidR="00B57329" w:rsidRPr="00BB688E">
        <w:rPr>
          <w:highlight w:val="yellow"/>
        </w:rPr>
        <w:t>x</w:t>
      </w:r>
      <w:r w:rsidR="005F01ED" w:rsidRPr="007E6240">
        <w:rPr>
          <w:highlight w:val="yellow"/>
        </w:rPr>
        <w:t xml:space="preserve"> and transport at room temperature </w:t>
      </w:r>
      <w:r w:rsidR="001979D6">
        <w:rPr>
          <w:highlight w:val="yellow"/>
        </w:rPr>
        <w:t>(RT)</w:t>
      </w:r>
      <w:r w:rsidR="005F01ED" w:rsidRPr="00BB688E">
        <w:rPr>
          <w:highlight w:val="yellow"/>
        </w:rPr>
        <w:t xml:space="preserve"> </w:t>
      </w:r>
      <w:r w:rsidR="005F01ED" w:rsidRPr="007E6240">
        <w:rPr>
          <w:highlight w:val="yellow"/>
        </w:rPr>
        <w:t>to the laboratory according to the authority’s recommendations (</w:t>
      </w:r>
      <w:r w:rsidR="00B57329">
        <w:rPr>
          <w:highlight w:val="yellow"/>
        </w:rPr>
        <w:t xml:space="preserve">use </w:t>
      </w:r>
      <w:r w:rsidR="005F01ED" w:rsidRPr="007E6240">
        <w:rPr>
          <w:highlight w:val="yellow"/>
        </w:rPr>
        <w:t>three levels of protection</w:t>
      </w:r>
      <w:r w:rsidR="00B57329">
        <w:rPr>
          <w:highlight w:val="yellow"/>
        </w:rPr>
        <w:t>:</w:t>
      </w:r>
      <w:r w:rsidR="005F01ED" w:rsidRPr="007E6240">
        <w:rPr>
          <w:highlight w:val="yellow"/>
        </w:rPr>
        <w:t xml:space="preserve"> vials, </w:t>
      </w:r>
      <w:r w:rsidR="00F92932">
        <w:rPr>
          <w:highlight w:val="yellow"/>
        </w:rPr>
        <w:t xml:space="preserve">a </w:t>
      </w:r>
      <w:r w:rsidR="005F01ED" w:rsidRPr="007E6240">
        <w:rPr>
          <w:highlight w:val="yellow"/>
        </w:rPr>
        <w:t>safety box</w:t>
      </w:r>
      <w:r w:rsidR="001967B5">
        <w:rPr>
          <w:highlight w:val="yellow"/>
        </w:rPr>
        <w:t>,</w:t>
      </w:r>
      <w:r w:rsidR="005F01ED" w:rsidRPr="007E6240">
        <w:rPr>
          <w:highlight w:val="yellow"/>
        </w:rPr>
        <w:t xml:space="preserve"> and </w:t>
      </w:r>
      <w:r w:rsidR="00F92932">
        <w:rPr>
          <w:highlight w:val="yellow"/>
        </w:rPr>
        <w:t xml:space="preserve">a </w:t>
      </w:r>
      <w:r w:rsidR="005F01ED" w:rsidRPr="007E6240">
        <w:rPr>
          <w:highlight w:val="yellow"/>
        </w:rPr>
        <w:t>bag).</w:t>
      </w:r>
      <w:r w:rsidR="005F01ED" w:rsidRPr="0082639A">
        <w:t xml:space="preserve"> </w:t>
      </w:r>
    </w:p>
    <w:p w14:paraId="5361C6BC" w14:textId="77777777" w:rsidR="005F01ED" w:rsidRDefault="005F01ED" w:rsidP="005F01ED">
      <w:pPr>
        <w:pStyle w:val="ListParagraph"/>
        <w:ind w:left="0"/>
        <w:jc w:val="left"/>
      </w:pPr>
    </w:p>
    <w:p w14:paraId="528CD857" w14:textId="1E30AEDD" w:rsidR="005F01ED" w:rsidRDefault="000251AE" w:rsidP="005F01ED">
      <w:pPr>
        <w:pStyle w:val="ListParagraph"/>
        <w:ind w:left="0"/>
        <w:jc w:val="left"/>
      </w:pPr>
      <w:r w:rsidRPr="001B6A53">
        <w:t>NOTE: T</w:t>
      </w:r>
      <w:r w:rsidR="005F01ED" w:rsidRPr="001B6A53">
        <w:t xml:space="preserve">he entire procedure should be carried out in a biological safety </w:t>
      </w:r>
      <w:r w:rsidR="005F01ED">
        <w:t>level 2 laboratory</w:t>
      </w:r>
      <w:r w:rsidR="005F01ED" w:rsidRPr="001B6A53">
        <w:t xml:space="preserve">. All human specimens should be handled with care as they have not been previously qualified and may contain infectious agents. </w:t>
      </w:r>
    </w:p>
    <w:p w14:paraId="3820D068" w14:textId="77777777" w:rsidR="005F01ED" w:rsidRDefault="005F01ED" w:rsidP="005F01ED">
      <w:pPr>
        <w:pStyle w:val="ListParagraph"/>
      </w:pPr>
    </w:p>
    <w:p w14:paraId="73BD5C50" w14:textId="77777777" w:rsidR="000251AE" w:rsidRDefault="000251AE" w:rsidP="005F01ED">
      <w:pPr>
        <w:pStyle w:val="ListParagraph"/>
        <w:numPr>
          <w:ilvl w:val="1"/>
          <w:numId w:val="34"/>
        </w:numPr>
        <w:jc w:val="left"/>
      </w:pPr>
      <w:r>
        <w:t>Clean a</w:t>
      </w:r>
      <w:r w:rsidR="005F01ED" w:rsidRPr="001B6A53">
        <w:t xml:space="preserve">ll tools in between each use. </w:t>
      </w:r>
    </w:p>
    <w:p w14:paraId="687C16CF" w14:textId="77777777" w:rsidR="000251AE" w:rsidRDefault="000251AE" w:rsidP="000251AE">
      <w:pPr>
        <w:pStyle w:val="ListParagraph"/>
        <w:ind w:left="0"/>
        <w:jc w:val="left"/>
      </w:pPr>
    </w:p>
    <w:p w14:paraId="3D2B27EE" w14:textId="3A7B2136" w:rsidR="000251AE" w:rsidRDefault="005F01ED" w:rsidP="000251AE">
      <w:pPr>
        <w:pStyle w:val="ListParagraph"/>
        <w:numPr>
          <w:ilvl w:val="2"/>
          <w:numId w:val="34"/>
        </w:numPr>
        <w:jc w:val="left"/>
      </w:pPr>
      <w:r w:rsidRPr="001B6A53">
        <w:t xml:space="preserve">After use, </w:t>
      </w:r>
      <w:r w:rsidR="000251AE">
        <w:t xml:space="preserve">disassemble </w:t>
      </w:r>
      <w:r w:rsidRPr="001B6A53">
        <w:t>the cell strainer and ke</w:t>
      </w:r>
      <w:r w:rsidR="000251AE">
        <w:t>ep</w:t>
      </w:r>
      <w:r w:rsidR="00F92932">
        <w:t xml:space="preserve"> </w:t>
      </w:r>
      <w:r w:rsidRPr="001B6A53">
        <w:t>with all the other instruments (</w:t>
      </w:r>
      <w:r w:rsidR="00F75EA8">
        <w:t xml:space="preserve">e.g., </w:t>
      </w:r>
      <w:r w:rsidRPr="001B6A53">
        <w:t>pestle, forceps) in a bath containing a detergent solution (1/10 volume detergent in H</w:t>
      </w:r>
      <w:r w:rsidRPr="005F01ED">
        <w:rPr>
          <w:vertAlign w:val="subscript"/>
        </w:rPr>
        <w:t>2</w:t>
      </w:r>
      <w:r w:rsidRPr="001B6A53">
        <w:t xml:space="preserve">O) overnight. </w:t>
      </w:r>
    </w:p>
    <w:p w14:paraId="74F4943D" w14:textId="77777777" w:rsidR="000251AE" w:rsidRDefault="000251AE" w:rsidP="000251AE">
      <w:pPr>
        <w:pStyle w:val="ListParagraph"/>
        <w:ind w:left="0"/>
        <w:jc w:val="left"/>
      </w:pPr>
    </w:p>
    <w:p w14:paraId="5E86531A" w14:textId="59716854" w:rsidR="000251AE" w:rsidRDefault="000251AE" w:rsidP="000251AE">
      <w:pPr>
        <w:pStyle w:val="ListParagraph"/>
        <w:numPr>
          <w:ilvl w:val="2"/>
          <w:numId w:val="34"/>
        </w:numPr>
        <w:jc w:val="left"/>
      </w:pPr>
      <w:r>
        <w:t>Brush e</w:t>
      </w:r>
      <w:r w:rsidR="005F01ED" w:rsidRPr="001B6A53">
        <w:t xml:space="preserve">ach </w:t>
      </w:r>
      <w:r w:rsidR="00F75EA8">
        <w:t>utensil</w:t>
      </w:r>
      <w:r w:rsidR="00F75EA8" w:rsidRPr="00BB688E">
        <w:t xml:space="preserve"> </w:t>
      </w:r>
      <w:r w:rsidR="005F01ED" w:rsidRPr="001B6A53">
        <w:t xml:space="preserve">to remove the tissue and wash with clear water. </w:t>
      </w:r>
    </w:p>
    <w:p w14:paraId="6B128490" w14:textId="77777777" w:rsidR="000251AE" w:rsidRDefault="000251AE" w:rsidP="000251AE">
      <w:pPr>
        <w:pStyle w:val="ListParagraph"/>
      </w:pPr>
    </w:p>
    <w:p w14:paraId="26A648B9" w14:textId="481DD1F6" w:rsidR="000251AE" w:rsidRDefault="000251AE" w:rsidP="000251AE">
      <w:pPr>
        <w:pStyle w:val="ListParagraph"/>
        <w:numPr>
          <w:ilvl w:val="2"/>
          <w:numId w:val="34"/>
        </w:numPr>
        <w:jc w:val="left"/>
      </w:pPr>
      <w:r>
        <w:t>Dry all</w:t>
      </w:r>
      <w:r w:rsidR="005F01ED" w:rsidRPr="001B6A53">
        <w:t xml:space="preserve"> parts</w:t>
      </w:r>
      <w:r>
        <w:t xml:space="preserve"> well, then prepare</w:t>
      </w:r>
      <w:r w:rsidR="005F01ED" w:rsidRPr="001B6A53">
        <w:t xml:space="preserve"> the cell strainer (85 mL, 37 mm diameter) by placing a </w:t>
      </w:r>
      <w:proofErr w:type="gramStart"/>
      <w:r w:rsidR="005F01ED" w:rsidRPr="001B6A53">
        <w:t>60 mesh</w:t>
      </w:r>
      <w:proofErr w:type="gramEnd"/>
      <w:r w:rsidR="005F01ED" w:rsidRPr="001B6A53">
        <w:t xml:space="preserve"> steel grid on top of a 10 mesh steel grid and tightly close the ring.</w:t>
      </w:r>
    </w:p>
    <w:p w14:paraId="422E129E" w14:textId="77777777" w:rsidR="000251AE" w:rsidRDefault="000251AE" w:rsidP="000251AE">
      <w:pPr>
        <w:pStyle w:val="ListParagraph"/>
      </w:pPr>
    </w:p>
    <w:p w14:paraId="7A217EB3" w14:textId="6D9A2738" w:rsidR="00011549" w:rsidRPr="001B6A53" w:rsidRDefault="000251AE" w:rsidP="000251AE">
      <w:pPr>
        <w:pStyle w:val="ListParagraph"/>
        <w:numPr>
          <w:ilvl w:val="2"/>
          <w:numId w:val="34"/>
        </w:numPr>
        <w:jc w:val="left"/>
      </w:pPr>
      <w:r>
        <w:t>Place a</w:t>
      </w:r>
      <w:r w:rsidR="005F01ED" w:rsidRPr="001B6A53">
        <w:t xml:space="preserve">ll </w:t>
      </w:r>
      <w:r w:rsidR="00F92932">
        <w:t xml:space="preserve">the </w:t>
      </w:r>
      <w:r w:rsidR="005F01ED" w:rsidRPr="001B6A53">
        <w:t>tools in sterile bags and autoclave.</w:t>
      </w:r>
    </w:p>
    <w:p w14:paraId="5F7555EC" w14:textId="77777777" w:rsidR="00C11FB8" w:rsidRPr="001B6A53" w:rsidRDefault="00C11FB8" w:rsidP="0082639A">
      <w:pPr>
        <w:contextualSpacing/>
        <w:jc w:val="left"/>
      </w:pPr>
    </w:p>
    <w:p w14:paraId="08F4EFDF" w14:textId="77777777" w:rsidR="00886F7D" w:rsidRPr="001B6A53" w:rsidRDefault="00886F7D" w:rsidP="00886F7D">
      <w:pPr>
        <w:pStyle w:val="ListParagraph"/>
        <w:numPr>
          <w:ilvl w:val="0"/>
          <w:numId w:val="34"/>
        </w:numPr>
        <w:jc w:val="left"/>
        <w:rPr>
          <w:b/>
          <w:highlight w:val="yellow"/>
        </w:rPr>
      </w:pPr>
      <w:r w:rsidRPr="001B6A53">
        <w:rPr>
          <w:b/>
          <w:highlight w:val="yellow"/>
        </w:rPr>
        <w:t>Dissection of the human tonsillar tissue and isolation of the tonsillar mononuclear cells (TMCs)</w:t>
      </w:r>
    </w:p>
    <w:p w14:paraId="662172E9" w14:textId="77777777" w:rsidR="00EB7ED3" w:rsidRDefault="00EB7ED3" w:rsidP="00EB7ED3">
      <w:pPr>
        <w:pStyle w:val="ListParagraph"/>
        <w:ind w:left="0"/>
        <w:jc w:val="left"/>
        <w:rPr>
          <w:highlight w:val="yellow"/>
        </w:rPr>
      </w:pPr>
    </w:p>
    <w:p w14:paraId="246C8B20" w14:textId="450FBBD0" w:rsidR="00886F7D" w:rsidRPr="001B6A53" w:rsidRDefault="00886F7D" w:rsidP="00886F7D">
      <w:pPr>
        <w:pStyle w:val="ListParagraph"/>
        <w:numPr>
          <w:ilvl w:val="1"/>
          <w:numId w:val="34"/>
        </w:numPr>
        <w:jc w:val="left"/>
        <w:rPr>
          <w:highlight w:val="yellow"/>
        </w:rPr>
      </w:pPr>
      <w:r w:rsidRPr="001B6A53">
        <w:rPr>
          <w:highlight w:val="yellow"/>
        </w:rPr>
        <w:t xml:space="preserve">Place the cell strainer onto one 150 x 25 mm (SPL150) cell culture dish and all the instruments in another SPL150 to keep them sterile. </w:t>
      </w:r>
    </w:p>
    <w:p w14:paraId="01E049B9" w14:textId="77777777" w:rsidR="00EB7ED3" w:rsidRDefault="00EB7ED3" w:rsidP="00EB7ED3">
      <w:pPr>
        <w:pStyle w:val="ListParagraph"/>
        <w:ind w:left="0"/>
        <w:jc w:val="left"/>
        <w:rPr>
          <w:highlight w:val="yellow"/>
        </w:rPr>
      </w:pPr>
    </w:p>
    <w:p w14:paraId="7F49D092" w14:textId="5C648DD5" w:rsidR="004E564A" w:rsidRPr="001B6A53" w:rsidRDefault="00313767" w:rsidP="004E564A">
      <w:pPr>
        <w:pStyle w:val="ListParagraph"/>
        <w:numPr>
          <w:ilvl w:val="1"/>
          <w:numId w:val="34"/>
        </w:numPr>
        <w:jc w:val="left"/>
        <w:rPr>
          <w:highlight w:val="yellow"/>
        </w:rPr>
      </w:pPr>
      <w:r w:rsidRPr="001B6A53">
        <w:rPr>
          <w:highlight w:val="yellow"/>
        </w:rPr>
        <w:t xml:space="preserve">Transfer the tonsils from the </w:t>
      </w:r>
      <w:r w:rsidR="00FF19D9" w:rsidRPr="001B6A53">
        <w:rPr>
          <w:highlight w:val="yellow"/>
        </w:rPr>
        <w:t>vial</w:t>
      </w:r>
      <w:r w:rsidRPr="001B6A53">
        <w:rPr>
          <w:highlight w:val="yellow"/>
        </w:rPr>
        <w:t xml:space="preserve"> into the </w:t>
      </w:r>
      <w:r w:rsidR="00FF19D9" w:rsidRPr="001B6A53">
        <w:rPr>
          <w:highlight w:val="yellow"/>
        </w:rPr>
        <w:t>cell strainer</w:t>
      </w:r>
      <w:r w:rsidRPr="001B6A53">
        <w:rPr>
          <w:highlight w:val="yellow"/>
        </w:rPr>
        <w:t xml:space="preserve"> using sterile forceps</w:t>
      </w:r>
      <w:r w:rsidR="00F75EA8">
        <w:rPr>
          <w:highlight w:val="yellow"/>
        </w:rPr>
        <w:t>.</w:t>
      </w:r>
      <w:r w:rsidRPr="001B6A53">
        <w:rPr>
          <w:highlight w:val="yellow"/>
        </w:rPr>
        <w:t xml:space="preserve"> </w:t>
      </w:r>
      <w:r w:rsidR="00F75EA8" w:rsidRPr="00BB688E">
        <w:rPr>
          <w:highlight w:val="yellow"/>
        </w:rPr>
        <w:t xml:space="preserve">Also </w:t>
      </w:r>
      <w:r w:rsidR="00F75EA8">
        <w:rPr>
          <w:highlight w:val="yellow"/>
        </w:rPr>
        <w:t>pour in</w:t>
      </w:r>
      <w:r w:rsidRPr="001B6A53">
        <w:rPr>
          <w:highlight w:val="yellow"/>
        </w:rPr>
        <w:t xml:space="preserve"> </w:t>
      </w:r>
      <w:proofErr w:type="gramStart"/>
      <w:r w:rsidRPr="001B6A53">
        <w:rPr>
          <w:highlight w:val="yellow"/>
        </w:rPr>
        <w:t>all</w:t>
      </w:r>
      <w:r w:rsidRPr="00BB688E">
        <w:rPr>
          <w:highlight w:val="yellow"/>
        </w:rPr>
        <w:t xml:space="preserve"> </w:t>
      </w:r>
      <w:r w:rsidR="00F75EA8">
        <w:rPr>
          <w:highlight w:val="yellow"/>
        </w:rPr>
        <w:t>of</w:t>
      </w:r>
      <w:proofErr w:type="gramEnd"/>
      <w:r w:rsidRPr="001B6A53">
        <w:rPr>
          <w:highlight w:val="yellow"/>
        </w:rPr>
        <w:t xml:space="preserve"> the PBS</w:t>
      </w:r>
      <w:r w:rsidR="005F01ED">
        <w:rPr>
          <w:highlight w:val="yellow"/>
        </w:rPr>
        <w:t>, which</w:t>
      </w:r>
      <w:r w:rsidRPr="001B6A53">
        <w:rPr>
          <w:highlight w:val="yellow"/>
        </w:rPr>
        <w:t xml:space="preserve"> contains some cells that</w:t>
      </w:r>
      <w:r w:rsidR="005F01ED">
        <w:rPr>
          <w:highlight w:val="yellow"/>
        </w:rPr>
        <w:t xml:space="preserve"> have</w:t>
      </w:r>
      <w:r w:rsidRPr="001B6A53">
        <w:rPr>
          <w:highlight w:val="yellow"/>
        </w:rPr>
        <w:t xml:space="preserve"> egressed the tonsils. If </w:t>
      </w:r>
      <w:r w:rsidR="00F06082" w:rsidRPr="001B6A53">
        <w:rPr>
          <w:highlight w:val="yellow"/>
        </w:rPr>
        <w:t>necessary,</w:t>
      </w:r>
      <w:r w:rsidRPr="001B6A53">
        <w:rPr>
          <w:highlight w:val="yellow"/>
        </w:rPr>
        <w:t xml:space="preserve"> add more PBS </w:t>
      </w:r>
      <w:r w:rsidRPr="001B6A53">
        <w:rPr>
          <w:highlight w:val="yellow"/>
        </w:rPr>
        <w:lastRenderedPageBreak/>
        <w:t>to immer</w:t>
      </w:r>
      <w:r w:rsidR="00F75EA8">
        <w:rPr>
          <w:highlight w:val="yellow"/>
        </w:rPr>
        <w:t>s</w:t>
      </w:r>
      <w:r w:rsidRPr="001B6A53">
        <w:rPr>
          <w:highlight w:val="yellow"/>
        </w:rPr>
        <w:t xml:space="preserve">e the grid. </w:t>
      </w:r>
    </w:p>
    <w:p w14:paraId="2ABB1724" w14:textId="77777777" w:rsidR="00EB7ED3" w:rsidRDefault="00EB7ED3" w:rsidP="004E564A">
      <w:pPr>
        <w:pStyle w:val="ListParagraph"/>
        <w:ind w:left="0"/>
        <w:jc w:val="left"/>
      </w:pPr>
    </w:p>
    <w:p w14:paraId="355092BB" w14:textId="0F312B0A" w:rsidR="004E564A" w:rsidRPr="001B6A53" w:rsidRDefault="001967B5" w:rsidP="004E564A">
      <w:pPr>
        <w:pStyle w:val="ListParagraph"/>
        <w:ind w:left="0"/>
        <w:jc w:val="left"/>
      </w:pPr>
      <w:r w:rsidRPr="001B6A53">
        <w:t>NOTE</w:t>
      </w:r>
      <w:r w:rsidR="00313767" w:rsidRPr="001B6A53">
        <w:t xml:space="preserve">: </w:t>
      </w:r>
      <w:r w:rsidR="00291AD8">
        <w:t>T</w:t>
      </w:r>
      <w:r w:rsidR="00313767" w:rsidRPr="001B6A53">
        <w:t xml:space="preserve">he tissue </w:t>
      </w:r>
      <w:proofErr w:type="gramStart"/>
      <w:r w:rsidR="00313767" w:rsidRPr="001B6A53">
        <w:t>should be immer</w:t>
      </w:r>
      <w:r w:rsidR="00E75C31">
        <w:t>s</w:t>
      </w:r>
      <w:r w:rsidR="00313767" w:rsidRPr="001B6A53">
        <w:t>ed at all time</w:t>
      </w:r>
      <w:r w:rsidR="00F75EA8">
        <w:t>s</w:t>
      </w:r>
      <w:proofErr w:type="gramEnd"/>
      <w:r w:rsidR="00313767" w:rsidRPr="001B6A53">
        <w:t xml:space="preserve"> to avoid desiccation.</w:t>
      </w:r>
    </w:p>
    <w:p w14:paraId="5ACE4535" w14:textId="77777777" w:rsidR="00EB7ED3" w:rsidRDefault="00EB7ED3" w:rsidP="00EB7ED3">
      <w:pPr>
        <w:pStyle w:val="ListParagraph"/>
        <w:ind w:left="0"/>
        <w:jc w:val="left"/>
        <w:rPr>
          <w:highlight w:val="yellow"/>
        </w:rPr>
      </w:pPr>
    </w:p>
    <w:p w14:paraId="6C31B983" w14:textId="130FA8E0" w:rsidR="004E564A" w:rsidRPr="001B6A53" w:rsidRDefault="00313767" w:rsidP="004E564A">
      <w:pPr>
        <w:pStyle w:val="ListParagraph"/>
        <w:numPr>
          <w:ilvl w:val="1"/>
          <w:numId w:val="34"/>
        </w:numPr>
        <w:jc w:val="left"/>
        <w:rPr>
          <w:highlight w:val="yellow"/>
        </w:rPr>
      </w:pPr>
      <w:r w:rsidRPr="001B6A53">
        <w:rPr>
          <w:highlight w:val="yellow"/>
        </w:rPr>
        <w:t>Remove cauterized, bloody</w:t>
      </w:r>
      <w:r w:rsidR="001967B5">
        <w:rPr>
          <w:highlight w:val="yellow"/>
        </w:rPr>
        <w:t>,</w:t>
      </w:r>
      <w:r w:rsidRPr="001B6A53">
        <w:rPr>
          <w:highlight w:val="yellow"/>
        </w:rPr>
        <w:t xml:space="preserve"> and fibroid tissue using forceps and </w:t>
      </w:r>
      <w:r w:rsidR="00F75EA8">
        <w:rPr>
          <w:highlight w:val="yellow"/>
        </w:rPr>
        <w:t xml:space="preserve">a </w:t>
      </w:r>
      <w:r w:rsidRPr="001B6A53">
        <w:rPr>
          <w:highlight w:val="yellow"/>
        </w:rPr>
        <w:t xml:space="preserve">scalpel. </w:t>
      </w:r>
    </w:p>
    <w:p w14:paraId="6A32C1E9" w14:textId="77777777" w:rsidR="00EB7ED3" w:rsidRDefault="00EB7ED3" w:rsidP="004E564A">
      <w:pPr>
        <w:pStyle w:val="ListParagraph"/>
        <w:ind w:left="0"/>
        <w:jc w:val="left"/>
      </w:pPr>
    </w:p>
    <w:p w14:paraId="3D8637E4" w14:textId="305D47DD" w:rsidR="004E564A" w:rsidRPr="001B6A53" w:rsidRDefault="001967B5" w:rsidP="004E564A">
      <w:pPr>
        <w:pStyle w:val="ListParagraph"/>
        <w:ind w:left="0"/>
        <w:jc w:val="left"/>
      </w:pPr>
      <w:r w:rsidRPr="001B6A53">
        <w:t>NOTE</w:t>
      </w:r>
      <w:r w:rsidR="00313767" w:rsidRPr="001B6A53">
        <w:t xml:space="preserve">: </w:t>
      </w:r>
      <w:r w:rsidR="00F75EA8" w:rsidRPr="001B6A53">
        <w:t>Tonsils</w:t>
      </w:r>
      <w:r w:rsidR="00313767" w:rsidRPr="001B6A53">
        <w:t xml:space="preserve"> removed from children do not </w:t>
      </w:r>
      <w:r w:rsidR="00471FC5">
        <w:t>need this step</w:t>
      </w:r>
      <w:r w:rsidR="00313767" w:rsidRPr="001B6A53">
        <w:t>.</w:t>
      </w:r>
    </w:p>
    <w:p w14:paraId="379874CF" w14:textId="77777777" w:rsidR="00EB7ED3" w:rsidRDefault="00EB7ED3" w:rsidP="00EB7ED3">
      <w:pPr>
        <w:pStyle w:val="ListParagraph"/>
        <w:ind w:left="0"/>
        <w:jc w:val="left"/>
        <w:rPr>
          <w:highlight w:val="yellow"/>
        </w:rPr>
      </w:pPr>
    </w:p>
    <w:p w14:paraId="2D4988D2" w14:textId="5B57E243" w:rsidR="004E564A" w:rsidRPr="001B6A53" w:rsidRDefault="00313767" w:rsidP="004E564A">
      <w:pPr>
        <w:pStyle w:val="ListParagraph"/>
        <w:numPr>
          <w:ilvl w:val="1"/>
          <w:numId w:val="34"/>
        </w:numPr>
        <w:jc w:val="left"/>
        <w:rPr>
          <w:highlight w:val="yellow"/>
        </w:rPr>
      </w:pPr>
      <w:r w:rsidRPr="001B6A53">
        <w:rPr>
          <w:highlight w:val="yellow"/>
        </w:rPr>
        <w:t xml:space="preserve">Cut </w:t>
      </w:r>
      <w:r w:rsidR="00F75EA8">
        <w:rPr>
          <w:highlight w:val="yellow"/>
        </w:rPr>
        <w:t>the</w:t>
      </w:r>
      <w:r w:rsidR="00F75EA8" w:rsidRPr="001B6A53">
        <w:rPr>
          <w:highlight w:val="yellow"/>
        </w:rPr>
        <w:t xml:space="preserve"> </w:t>
      </w:r>
      <w:r w:rsidRPr="001B6A53">
        <w:rPr>
          <w:highlight w:val="yellow"/>
        </w:rPr>
        <w:t>tissues in</w:t>
      </w:r>
      <w:r w:rsidR="00F75EA8">
        <w:rPr>
          <w:highlight w:val="yellow"/>
        </w:rPr>
        <w:t>to</w:t>
      </w:r>
      <w:r w:rsidRPr="001B6A53">
        <w:rPr>
          <w:highlight w:val="yellow"/>
        </w:rPr>
        <w:t xml:space="preserve"> small pieces of less than 0</w:t>
      </w:r>
      <w:r w:rsidR="00565557" w:rsidRPr="001B6A53">
        <w:rPr>
          <w:highlight w:val="yellow"/>
        </w:rPr>
        <w:t>.</w:t>
      </w:r>
      <w:r w:rsidRPr="001B6A53">
        <w:rPr>
          <w:highlight w:val="yellow"/>
        </w:rPr>
        <w:t xml:space="preserve">5 cm </w:t>
      </w:r>
      <w:r w:rsidR="001967B5">
        <w:rPr>
          <w:highlight w:val="yellow"/>
        </w:rPr>
        <w:t>in</w:t>
      </w:r>
      <w:r w:rsidR="001967B5" w:rsidRPr="001B6A53">
        <w:rPr>
          <w:highlight w:val="yellow"/>
        </w:rPr>
        <w:t xml:space="preserve"> </w:t>
      </w:r>
      <w:r w:rsidRPr="001B6A53">
        <w:rPr>
          <w:highlight w:val="yellow"/>
        </w:rPr>
        <w:t xml:space="preserve">diameter using the </w:t>
      </w:r>
      <w:r w:rsidR="00650851" w:rsidRPr="001B6A53">
        <w:rPr>
          <w:highlight w:val="yellow"/>
        </w:rPr>
        <w:t>scalpel</w:t>
      </w:r>
      <w:r w:rsidRPr="001B6A53">
        <w:rPr>
          <w:highlight w:val="yellow"/>
        </w:rPr>
        <w:t xml:space="preserve"> and the curved tweezers. Cut all the tissue so that the small pieces </w:t>
      </w:r>
      <w:proofErr w:type="gramStart"/>
      <w:r w:rsidRPr="001B6A53">
        <w:rPr>
          <w:highlight w:val="yellow"/>
        </w:rPr>
        <w:t xml:space="preserve">can be </w:t>
      </w:r>
      <w:r w:rsidRPr="00BB688E">
        <w:rPr>
          <w:highlight w:val="yellow"/>
        </w:rPr>
        <w:t>immer</w:t>
      </w:r>
      <w:r w:rsidR="00F75EA8">
        <w:rPr>
          <w:highlight w:val="yellow"/>
        </w:rPr>
        <w:t>s</w:t>
      </w:r>
      <w:r w:rsidRPr="00BB688E">
        <w:rPr>
          <w:highlight w:val="yellow"/>
        </w:rPr>
        <w:t>ed</w:t>
      </w:r>
      <w:r w:rsidRPr="001B6A53">
        <w:rPr>
          <w:highlight w:val="yellow"/>
        </w:rPr>
        <w:t xml:space="preserve"> at all times</w:t>
      </w:r>
      <w:proofErr w:type="gramEnd"/>
      <w:r w:rsidRPr="001B6A53">
        <w:rPr>
          <w:highlight w:val="yellow"/>
        </w:rPr>
        <w:t>.</w:t>
      </w:r>
    </w:p>
    <w:p w14:paraId="2711C92F" w14:textId="77777777" w:rsidR="00EB7ED3" w:rsidRDefault="00EB7ED3" w:rsidP="00EB7ED3">
      <w:pPr>
        <w:pStyle w:val="ListParagraph"/>
        <w:ind w:left="0"/>
        <w:jc w:val="left"/>
        <w:rPr>
          <w:highlight w:val="yellow"/>
        </w:rPr>
      </w:pPr>
    </w:p>
    <w:p w14:paraId="4D53CD39" w14:textId="131399FC" w:rsidR="004E564A" w:rsidRPr="001B6A53" w:rsidRDefault="00313767" w:rsidP="004E564A">
      <w:pPr>
        <w:pStyle w:val="ListParagraph"/>
        <w:numPr>
          <w:ilvl w:val="1"/>
          <w:numId w:val="34"/>
        </w:numPr>
        <w:jc w:val="left"/>
        <w:rPr>
          <w:highlight w:val="yellow"/>
        </w:rPr>
      </w:pPr>
      <w:r w:rsidRPr="001B6A53">
        <w:rPr>
          <w:highlight w:val="yellow"/>
        </w:rPr>
        <w:t xml:space="preserve">Place a few pieces of tissue in the cell strainer and </w:t>
      </w:r>
      <w:r w:rsidRPr="00BB688E">
        <w:rPr>
          <w:highlight w:val="yellow"/>
        </w:rPr>
        <w:t>scrap</w:t>
      </w:r>
      <w:r w:rsidR="00F75EA8">
        <w:rPr>
          <w:highlight w:val="yellow"/>
        </w:rPr>
        <w:t>e</w:t>
      </w:r>
      <w:r w:rsidRPr="001B6A53">
        <w:rPr>
          <w:highlight w:val="yellow"/>
        </w:rPr>
        <w:t xml:space="preserve"> them onto the grid with a glass pestle until only </w:t>
      </w:r>
      <w:r w:rsidR="00F75EA8">
        <w:rPr>
          <w:highlight w:val="yellow"/>
        </w:rPr>
        <w:t>a</w:t>
      </w:r>
      <w:r w:rsidR="00F75EA8" w:rsidRPr="00BB688E">
        <w:rPr>
          <w:highlight w:val="yellow"/>
        </w:rPr>
        <w:t xml:space="preserve"> </w:t>
      </w:r>
      <w:proofErr w:type="gramStart"/>
      <w:r w:rsidRPr="001B6A53">
        <w:rPr>
          <w:highlight w:val="yellow"/>
        </w:rPr>
        <w:t>really thin</w:t>
      </w:r>
      <w:proofErr w:type="gramEnd"/>
      <w:r w:rsidRPr="001B6A53">
        <w:rPr>
          <w:highlight w:val="yellow"/>
        </w:rPr>
        <w:t xml:space="preserve"> layer of white stroma remains. Remove and discard the stroma to avoid clogging the grid. </w:t>
      </w:r>
    </w:p>
    <w:p w14:paraId="531E3A38" w14:textId="77777777" w:rsidR="00EB7ED3" w:rsidRDefault="00EB7ED3" w:rsidP="00EB7ED3">
      <w:pPr>
        <w:pStyle w:val="ListParagraph"/>
        <w:ind w:left="0"/>
        <w:jc w:val="left"/>
        <w:rPr>
          <w:highlight w:val="yellow"/>
        </w:rPr>
      </w:pPr>
    </w:p>
    <w:p w14:paraId="706039AF" w14:textId="72071BE8" w:rsidR="004E564A" w:rsidRPr="001B6A53" w:rsidRDefault="00313767" w:rsidP="004E564A">
      <w:pPr>
        <w:pStyle w:val="ListParagraph"/>
        <w:numPr>
          <w:ilvl w:val="1"/>
          <w:numId w:val="34"/>
        </w:numPr>
        <w:jc w:val="left"/>
        <w:rPr>
          <w:highlight w:val="yellow"/>
        </w:rPr>
      </w:pPr>
      <w:r w:rsidRPr="001B6A53">
        <w:rPr>
          <w:highlight w:val="yellow"/>
        </w:rPr>
        <w:t xml:space="preserve">Once all the tissues have been squeezed through the grid, use a 10 mL pipette to transfer all the cell suspension onto the grid and </w:t>
      </w:r>
      <w:r w:rsidRPr="00BB688E">
        <w:rPr>
          <w:highlight w:val="yellow"/>
        </w:rPr>
        <w:t>scrap</w:t>
      </w:r>
      <w:r w:rsidR="001967B5">
        <w:rPr>
          <w:highlight w:val="yellow"/>
        </w:rPr>
        <w:t>e</w:t>
      </w:r>
      <w:r w:rsidRPr="001B6A53">
        <w:rPr>
          <w:highlight w:val="yellow"/>
        </w:rPr>
        <w:t xml:space="preserve"> it one last time. </w:t>
      </w:r>
    </w:p>
    <w:p w14:paraId="2488A397" w14:textId="77777777" w:rsidR="00EB7ED3" w:rsidRDefault="00EB7ED3" w:rsidP="00EB7ED3">
      <w:pPr>
        <w:pStyle w:val="ListParagraph"/>
        <w:ind w:left="0"/>
        <w:jc w:val="left"/>
        <w:rPr>
          <w:highlight w:val="yellow"/>
        </w:rPr>
      </w:pPr>
    </w:p>
    <w:p w14:paraId="26EA0D75" w14:textId="08E3A794" w:rsidR="004E564A" w:rsidRPr="001B6A53" w:rsidRDefault="00313767" w:rsidP="004E564A">
      <w:pPr>
        <w:pStyle w:val="ListParagraph"/>
        <w:numPr>
          <w:ilvl w:val="1"/>
          <w:numId w:val="34"/>
        </w:numPr>
        <w:jc w:val="left"/>
        <w:rPr>
          <w:highlight w:val="yellow"/>
        </w:rPr>
      </w:pPr>
      <w:r w:rsidRPr="001B6A53">
        <w:rPr>
          <w:highlight w:val="yellow"/>
        </w:rPr>
        <w:t xml:space="preserve">Transfer the cell suspension with a 10 mL pipette into a </w:t>
      </w:r>
      <w:r w:rsidR="002B72F3" w:rsidRPr="001B6A53">
        <w:rPr>
          <w:highlight w:val="yellow"/>
        </w:rPr>
        <w:t xml:space="preserve">sterile </w:t>
      </w:r>
      <w:r w:rsidR="006F19F2" w:rsidRPr="001B6A53">
        <w:rPr>
          <w:highlight w:val="yellow"/>
        </w:rPr>
        <w:t>vial</w:t>
      </w:r>
      <w:r w:rsidRPr="001B6A53">
        <w:rPr>
          <w:highlight w:val="yellow"/>
        </w:rPr>
        <w:t xml:space="preserve">. Wash the grid and the </w:t>
      </w:r>
      <w:r w:rsidR="00C502F9" w:rsidRPr="001B6A53">
        <w:rPr>
          <w:highlight w:val="yellow"/>
        </w:rPr>
        <w:t>cell strainer</w:t>
      </w:r>
      <w:r w:rsidRPr="001B6A53">
        <w:rPr>
          <w:highlight w:val="yellow"/>
        </w:rPr>
        <w:t xml:space="preserve"> with PBS</w:t>
      </w:r>
      <w:r w:rsidR="00C502F9" w:rsidRPr="001B6A53">
        <w:rPr>
          <w:highlight w:val="yellow"/>
        </w:rPr>
        <w:t xml:space="preserve"> </w:t>
      </w:r>
      <w:r w:rsidR="00C502F9" w:rsidRPr="00BB688E">
        <w:rPr>
          <w:highlight w:val="yellow"/>
        </w:rPr>
        <w:t>1</w:t>
      </w:r>
      <w:r w:rsidR="001967B5" w:rsidRPr="00BB688E">
        <w:rPr>
          <w:highlight w:val="yellow"/>
        </w:rPr>
        <w:t>x</w:t>
      </w:r>
      <w:r w:rsidRPr="001B6A53">
        <w:rPr>
          <w:highlight w:val="yellow"/>
        </w:rPr>
        <w:t xml:space="preserve">. Let the cell suspension rest for 5 </w:t>
      </w:r>
      <w:r w:rsidR="001967B5" w:rsidRPr="00CF34EE">
        <w:rPr>
          <w:highlight w:val="yellow"/>
        </w:rPr>
        <w:t>min</w:t>
      </w:r>
      <w:r w:rsidR="001967B5" w:rsidRPr="00BB688E">
        <w:rPr>
          <w:highlight w:val="yellow"/>
        </w:rPr>
        <w:t xml:space="preserve"> </w:t>
      </w:r>
      <w:r w:rsidRPr="001B6A53">
        <w:rPr>
          <w:highlight w:val="yellow"/>
        </w:rPr>
        <w:t>at RT on the bench. This step allows the precipitation and agglomeration of the leftover stroma, dead cells</w:t>
      </w:r>
      <w:r w:rsidR="00471FC5">
        <w:rPr>
          <w:highlight w:val="yellow"/>
        </w:rPr>
        <w:t>,</w:t>
      </w:r>
      <w:r w:rsidRPr="001B6A53">
        <w:rPr>
          <w:highlight w:val="yellow"/>
        </w:rPr>
        <w:t xml:space="preserve"> and </w:t>
      </w:r>
      <w:r w:rsidR="00471FC5">
        <w:rPr>
          <w:highlight w:val="yellow"/>
        </w:rPr>
        <w:t xml:space="preserve">any </w:t>
      </w:r>
      <w:r w:rsidR="00471FC5" w:rsidRPr="001B6A53">
        <w:rPr>
          <w:highlight w:val="yellow"/>
        </w:rPr>
        <w:t xml:space="preserve">released </w:t>
      </w:r>
      <w:r w:rsidRPr="001B6A53">
        <w:rPr>
          <w:highlight w:val="yellow"/>
        </w:rPr>
        <w:t>DNA</w:t>
      </w:r>
      <w:r w:rsidR="00471FC5">
        <w:rPr>
          <w:highlight w:val="yellow"/>
        </w:rPr>
        <w:t>,</w:t>
      </w:r>
      <w:r w:rsidRPr="001B6A53">
        <w:rPr>
          <w:highlight w:val="yellow"/>
        </w:rPr>
        <w:t xml:space="preserve"> and will facilitate the next step. </w:t>
      </w:r>
    </w:p>
    <w:p w14:paraId="70CBE0F4" w14:textId="77777777" w:rsidR="00EB7ED3" w:rsidRDefault="00EB7ED3" w:rsidP="00EB7ED3">
      <w:pPr>
        <w:pStyle w:val="ListParagraph"/>
        <w:ind w:left="0"/>
        <w:jc w:val="left"/>
        <w:rPr>
          <w:highlight w:val="yellow"/>
        </w:rPr>
      </w:pPr>
    </w:p>
    <w:p w14:paraId="3DF56739" w14:textId="6B0FB7A5" w:rsidR="004E564A" w:rsidRPr="001B6A53" w:rsidRDefault="00565557" w:rsidP="004E564A">
      <w:pPr>
        <w:pStyle w:val="ListParagraph"/>
        <w:numPr>
          <w:ilvl w:val="1"/>
          <w:numId w:val="34"/>
        </w:numPr>
        <w:jc w:val="left"/>
        <w:rPr>
          <w:highlight w:val="yellow"/>
        </w:rPr>
      </w:pPr>
      <w:r w:rsidRPr="001B6A53">
        <w:rPr>
          <w:highlight w:val="yellow"/>
        </w:rPr>
        <w:t>P</w:t>
      </w:r>
      <w:r w:rsidR="00313767" w:rsidRPr="001B6A53">
        <w:rPr>
          <w:highlight w:val="yellow"/>
        </w:rPr>
        <w:t xml:space="preserve">lace a </w:t>
      </w:r>
      <w:r w:rsidRPr="001B6A53">
        <w:rPr>
          <w:highlight w:val="yellow"/>
        </w:rPr>
        <w:t xml:space="preserve">sterile </w:t>
      </w:r>
      <w:r w:rsidR="00313767" w:rsidRPr="001B6A53">
        <w:rPr>
          <w:highlight w:val="yellow"/>
        </w:rPr>
        <w:t xml:space="preserve">70 µm sieve on top </w:t>
      </w:r>
      <w:r w:rsidRPr="001B6A53">
        <w:rPr>
          <w:highlight w:val="yellow"/>
        </w:rPr>
        <w:t>of a new 50 mL vial (</w:t>
      </w:r>
      <w:r w:rsidR="001E0D59">
        <w:rPr>
          <w:highlight w:val="yellow"/>
        </w:rPr>
        <w:t>remove carefully</w:t>
      </w:r>
      <w:r w:rsidRPr="001B6A53">
        <w:rPr>
          <w:highlight w:val="yellow"/>
        </w:rPr>
        <w:t xml:space="preserve"> from </w:t>
      </w:r>
      <w:r w:rsidR="001E0D59">
        <w:rPr>
          <w:highlight w:val="yellow"/>
        </w:rPr>
        <w:t xml:space="preserve">the </w:t>
      </w:r>
      <w:r w:rsidRPr="00BB688E">
        <w:rPr>
          <w:highlight w:val="yellow"/>
        </w:rPr>
        <w:t>envelop</w:t>
      </w:r>
      <w:r w:rsidR="001967B5">
        <w:rPr>
          <w:highlight w:val="yellow"/>
        </w:rPr>
        <w:t>e</w:t>
      </w:r>
      <w:r w:rsidRPr="001B6A53">
        <w:rPr>
          <w:highlight w:val="yellow"/>
        </w:rPr>
        <w:t xml:space="preserve">) </w:t>
      </w:r>
      <w:r w:rsidR="00313767" w:rsidRPr="001B6A53">
        <w:rPr>
          <w:highlight w:val="yellow"/>
        </w:rPr>
        <w:t xml:space="preserve">and </w:t>
      </w:r>
      <w:r w:rsidR="002B72F3" w:rsidRPr="001B6A53">
        <w:rPr>
          <w:highlight w:val="yellow"/>
        </w:rPr>
        <w:t xml:space="preserve">gently </w:t>
      </w:r>
      <w:r w:rsidR="00313767" w:rsidRPr="001B6A53">
        <w:rPr>
          <w:highlight w:val="yellow"/>
        </w:rPr>
        <w:t>transfer the cell suspension onto it with a 10 mL pipette</w:t>
      </w:r>
      <w:r w:rsidR="001E0D59">
        <w:rPr>
          <w:highlight w:val="yellow"/>
        </w:rPr>
        <w:t>. D</w:t>
      </w:r>
      <w:r w:rsidR="002B72F3" w:rsidRPr="001B6A53">
        <w:rPr>
          <w:highlight w:val="yellow"/>
        </w:rPr>
        <w:t xml:space="preserve">o not mix the suspension, </w:t>
      </w:r>
      <w:r w:rsidR="001E0D59">
        <w:rPr>
          <w:highlight w:val="yellow"/>
        </w:rPr>
        <w:t xml:space="preserve">because </w:t>
      </w:r>
      <w:r w:rsidR="002B72F3" w:rsidRPr="001B6A53">
        <w:rPr>
          <w:highlight w:val="yellow"/>
        </w:rPr>
        <w:t>a pellet is frequently present</w:t>
      </w:r>
      <w:r w:rsidR="00313767" w:rsidRPr="001B6A53">
        <w:rPr>
          <w:highlight w:val="yellow"/>
        </w:rPr>
        <w:t xml:space="preserve">. If the sieve is clogged, use the back of a </w:t>
      </w:r>
      <w:r w:rsidR="00C502F9" w:rsidRPr="001B6A53">
        <w:rPr>
          <w:highlight w:val="yellow"/>
        </w:rPr>
        <w:t xml:space="preserve">sterile </w:t>
      </w:r>
      <w:r w:rsidR="001E0D59">
        <w:rPr>
          <w:highlight w:val="yellow"/>
        </w:rPr>
        <w:t>1 mL pipette</w:t>
      </w:r>
      <w:r w:rsidR="001E0D59" w:rsidRPr="001B6A53">
        <w:rPr>
          <w:highlight w:val="yellow"/>
        </w:rPr>
        <w:t xml:space="preserve"> </w:t>
      </w:r>
      <w:r w:rsidR="00313767" w:rsidRPr="001B6A53">
        <w:rPr>
          <w:highlight w:val="yellow"/>
        </w:rPr>
        <w:t xml:space="preserve">tip to scratch the cells trough the sieve. </w:t>
      </w:r>
      <w:r w:rsidRPr="001B6A53">
        <w:rPr>
          <w:color w:val="000000" w:themeColor="text1"/>
          <w:highlight w:val="yellow"/>
        </w:rPr>
        <w:t>C</w:t>
      </w:r>
      <w:r w:rsidR="00313767" w:rsidRPr="001B6A53">
        <w:rPr>
          <w:color w:val="000000" w:themeColor="text1"/>
          <w:highlight w:val="yellow"/>
        </w:rPr>
        <w:t xml:space="preserve">hange </w:t>
      </w:r>
      <w:r w:rsidR="001E0D59">
        <w:rPr>
          <w:color w:val="000000" w:themeColor="text1"/>
          <w:highlight w:val="yellow"/>
        </w:rPr>
        <w:t xml:space="preserve">the </w:t>
      </w:r>
      <w:r w:rsidR="00313767" w:rsidRPr="001B6A53">
        <w:rPr>
          <w:color w:val="000000" w:themeColor="text1"/>
          <w:highlight w:val="yellow"/>
        </w:rPr>
        <w:t>sieve as often as necessary.</w:t>
      </w:r>
    </w:p>
    <w:p w14:paraId="398940C6" w14:textId="77777777" w:rsidR="00EB7ED3" w:rsidRPr="00EB7ED3" w:rsidRDefault="00EB7ED3" w:rsidP="00EB7ED3">
      <w:pPr>
        <w:pStyle w:val="ListParagraph"/>
        <w:ind w:left="0"/>
        <w:jc w:val="left"/>
        <w:rPr>
          <w:highlight w:val="yellow"/>
        </w:rPr>
      </w:pPr>
    </w:p>
    <w:p w14:paraId="55C60616" w14:textId="2CF120EF" w:rsidR="004E564A" w:rsidRPr="001B6A53" w:rsidRDefault="00313767" w:rsidP="004E564A">
      <w:pPr>
        <w:pStyle w:val="ListParagraph"/>
        <w:numPr>
          <w:ilvl w:val="1"/>
          <w:numId w:val="34"/>
        </w:numPr>
        <w:jc w:val="left"/>
        <w:rPr>
          <w:highlight w:val="yellow"/>
        </w:rPr>
      </w:pPr>
      <w:r w:rsidRPr="001B6A53">
        <w:rPr>
          <w:color w:val="000000" w:themeColor="text1"/>
          <w:highlight w:val="yellow"/>
        </w:rPr>
        <w:t xml:space="preserve">Centrifuge the cells at </w:t>
      </w:r>
      <w:r w:rsidRPr="001B6A53">
        <w:rPr>
          <w:highlight w:val="yellow"/>
        </w:rPr>
        <w:t xml:space="preserve">250 </w:t>
      </w:r>
      <w:r w:rsidR="00E448D2" w:rsidRPr="001B6A53">
        <w:rPr>
          <w:highlight w:val="yellow"/>
        </w:rPr>
        <w:t xml:space="preserve">x </w:t>
      </w:r>
      <w:r w:rsidRPr="008D46BC">
        <w:rPr>
          <w:i/>
          <w:highlight w:val="yellow"/>
        </w:rPr>
        <w:t>g</w:t>
      </w:r>
      <w:r w:rsidRPr="001B6A53">
        <w:rPr>
          <w:highlight w:val="yellow"/>
        </w:rPr>
        <w:t xml:space="preserve"> for 10 min at 4</w:t>
      </w:r>
      <w:r w:rsidR="00243911" w:rsidRPr="001B6A53">
        <w:rPr>
          <w:highlight w:val="yellow"/>
        </w:rPr>
        <w:t xml:space="preserve"> </w:t>
      </w:r>
      <w:r w:rsidRPr="001B6A53">
        <w:rPr>
          <w:highlight w:val="yellow"/>
        </w:rPr>
        <w:t xml:space="preserve">°C. </w:t>
      </w:r>
    </w:p>
    <w:p w14:paraId="0C1847E5" w14:textId="77777777" w:rsidR="00EB7ED3" w:rsidRDefault="00EB7ED3" w:rsidP="00EB7ED3">
      <w:pPr>
        <w:pStyle w:val="ListParagraph"/>
        <w:ind w:left="0"/>
        <w:jc w:val="left"/>
        <w:rPr>
          <w:highlight w:val="yellow"/>
        </w:rPr>
      </w:pPr>
    </w:p>
    <w:p w14:paraId="25E13F05" w14:textId="45C75BC4" w:rsidR="004E564A" w:rsidRPr="001B6A53" w:rsidRDefault="00565557" w:rsidP="004E564A">
      <w:pPr>
        <w:pStyle w:val="ListParagraph"/>
        <w:numPr>
          <w:ilvl w:val="1"/>
          <w:numId w:val="34"/>
        </w:numPr>
        <w:jc w:val="left"/>
        <w:rPr>
          <w:highlight w:val="yellow"/>
        </w:rPr>
      </w:pPr>
      <w:r w:rsidRPr="001B6A53">
        <w:rPr>
          <w:highlight w:val="yellow"/>
        </w:rPr>
        <w:t>Discard the supernatant and r</w:t>
      </w:r>
      <w:r w:rsidR="00313767" w:rsidRPr="001B6A53">
        <w:rPr>
          <w:highlight w:val="yellow"/>
        </w:rPr>
        <w:t xml:space="preserve">esuspend the </w:t>
      </w:r>
      <w:r w:rsidRPr="001B6A53">
        <w:rPr>
          <w:highlight w:val="yellow"/>
        </w:rPr>
        <w:t>pellet</w:t>
      </w:r>
      <w:r w:rsidR="00313767" w:rsidRPr="001B6A53">
        <w:rPr>
          <w:highlight w:val="yellow"/>
        </w:rPr>
        <w:t xml:space="preserve"> by gently mixing the </w:t>
      </w:r>
      <w:r w:rsidR="006F19F2" w:rsidRPr="001B6A53">
        <w:rPr>
          <w:highlight w:val="yellow"/>
        </w:rPr>
        <w:t>vial</w:t>
      </w:r>
      <w:r w:rsidR="00313767" w:rsidRPr="001B6A53">
        <w:rPr>
          <w:highlight w:val="yellow"/>
        </w:rPr>
        <w:t xml:space="preserve">, then resuspend the cells in 35 mL of PBS. </w:t>
      </w:r>
    </w:p>
    <w:p w14:paraId="69C785BE" w14:textId="77777777" w:rsidR="00EB7ED3" w:rsidRDefault="00EB7ED3" w:rsidP="00EB7ED3">
      <w:pPr>
        <w:pStyle w:val="ListParagraph"/>
        <w:ind w:left="0"/>
        <w:jc w:val="left"/>
        <w:rPr>
          <w:highlight w:val="yellow"/>
        </w:rPr>
      </w:pPr>
    </w:p>
    <w:p w14:paraId="5FF46896" w14:textId="41D7D527" w:rsidR="00313767" w:rsidRPr="001B6A53" w:rsidRDefault="00313767" w:rsidP="004E564A">
      <w:pPr>
        <w:pStyle w:val="ListParagraph"/>
        <w:numPr>
          <w:ilvl w:val="1"/>
          <w:numId w:val="34"/>
        </w:numPr>
        <w:jc w:val="left"/>
        <w:rPr>
          <w:highlight w:val="yellow"/>
        </w:rPr>
      </w:pPr>
      <w:r w:rsidRPr="001B6A53">
        <w:rPr>
          <w:highlight w:val="yellow"/>
        </w:rPr>
        <w:t xml:space="preserve">In a new </w:t>
      </w:r>
      <w:r w:rsidR="006F19F2" w:rsidRPr="001B6A53">
        <w:rPr>
          <w:highlight w:val="yellow"/>
        </w:rPr>
        <w:t>vial</w:t>
      </w:r>
      <w:r w:rsidRPr="001B6A53">
        <w:rPr>
          <w:highlight w:val="yellow"/>
        </w:rPr>
        <w:t xml:space="preserve">, place a new 70 µm sieve on top and transfer the cell suspension onto it with a 10 mL pipette. If the sieve is clogged, use the </w:t>
      </w:r>
      <w:r w:rsidR="00332EEE" w:rsidRPr="00BB688E">
        <w:rPr>
          <w:highlight w:val="yellow"/>
        </w:rPr>
        <w:t>tech</w:t>
      </w:r>
      <w:r w:rsidR="00332EEE" w:rsidRPr="001B6A53">
        <w:rPr>
          <w:highlight w:val="yellow"/>
        </w:rPr>
        <w:t>ni</w:t>
      </w:r>
      <w:r w:rsidR="001967B5">
        <w:rPr>
          <w:highlight w:val="yellow"/>
        </w:rPr>
        <w:t>que</w:t>
      </w:r>
      <w:r w:rsidR="00332EEE" w:rsidRPr="001B6A53">
        <w:rPr>
          <w:highlight w:val="yellow"/>
        </w:rPr>
        <w:t xml:space="preserve"> detailed </w:t>
      </w:r>
      <w:r w:rsidRPr="001B6A53">
        <w:rPr>
          <w:highlight w:val="yellow"/>
        </w:rPr>
        <w:t xml:space="preserve">in step </w:t>
      </w:r>
      <w:r w:rsidR="00565557" w:rsidRPr="001B6A53">
        <w:rPr>
          <w:highlight w:val="yellow"/>
        </w:rPr>
        <w:t>2.7</w:t>
      </w:r>
      <w:r w:rsidRPr="001B6A53">
        <w:rPr>
          <w:color w:val="000000" w:themeColor="text1"/>
          <w:highlight w:val="yellow"/>
        </w:rPr>
        <w:t>.</w:t>
      </w:r>
    </w:p>
    <w:p w14:paraId="68775651" w14:textId="77777777" w:rsidR="00313767" w:rsidRPr="001B6A53" w:rsidRDefault="00313767" w:rsidP="0082639A">
      <w:pPr>
        <w:pStyle w:val="ListParagraph"/>
        <w:widowControl/>
        <w:autoSpaceDE/>
        <w:autoSpaceDN/>
        <w:adjustRightInd/>
        <w:ind w:left="426" w:hanging="426"/>
        <w:jc w:val="left"/>
        <w:outlineLvl w:val="0"/>
        <w:rPr>
          <w:b/>
        </w:rPr>
      </w:pPr>
    </w:p>
    <w:p w14:paraId="224699E2" w14:textId="70B286FF" w:rsidR="00313767" w:rsidRPr="001B6A53" w:rsidRDefault="004A5911" w:rsidP="004E564A">
      <w:pPr>
        <w:pStyle w:val="ListParagraph"/>
        <w:widowControl/>
        <w:numPr>
          <w:ilvl w:val="0"/>
          <w:numId w:val="34"/>
        </w:numPr>
        <w:autoSpaceDE/>
        <w:autoSpaceDN/>
        <w:adjustRightInd/>
        <w:jc w:val="left"/>
        <w:outlineLvl w:val="0"/>
        <w:rPr>
          <w:b/>
          <w:highlight w:val="yellow"/>
        </w:rPr>
      </w:pPr>
      <w:r w:rsidRPr="001B6A53">
        <w:rPr>
          <w:b/>
          <w:highlight w:val="yellow"/>
        </w:rPr>
        <w:t>Isolation of the</w:t>
      </w:r>
      <w:r w:rsidR="00313767" w:rsidRPr="001B6A53">
        <w:rPr>
          <w:b/>
          <w:highlight w:val="yellow"/>
        </w:rPr>
        <w:t xml:space="preserve"> TMCs</w:t>
      </w:r>
      <w:r w:rsidRPr="001B6A53">
        <w:rPr>
          <w:b/>
          <w:highlight w:val="yellow"/>
        </w:rPr>
        <w:t xml:space="preserve"> by cell density gradient</w:t>
      </w:r>
    </w:p>
    <w:p w14:paraId="12443673" w14:textId="77777777" w:rsidR="00332EEE" w:rsidRPr="001B6A53" w:rsidRDefault="00332EEE" w:rsidP="0082639A">
      <w:pPr>
        <w:widowControl/>
        <w:autoSpaceDE/>
        <w:autoSpaceDN/>
        <w:adjustRightInd/>
        <w:ind w:left="567"/>
        <w:contextualSpacing/>
        <w:jc w:val="left"/>
        <w:outlineLvl w:val="0"/>
      </w:pPr>
    </w:p>
    <w:p w14:paraId="6A2A2869" w14:textId="442FF355" w:rsidR="00332EEE" w:rsidRPr="001B6A53" w:rsidRDefault="000251AE" w:rsidP="0082639A">
      <w:pPr>
        <w:pStyle w:val="ListParagraph"/>
        <w:widowControl/>
        <w:autoSpaceDE/>
        <w:autoSpaceDN/>
        <w:adjustRightInd/>
        <w:ind w:left="0"/>
        <w:jc w:val="left"/>
        <w:outlineLvl w:val="0"/>
      </w:pPr>
      <w:r w:rsidRPr="001B6A53">
        <w:t>NOTE: T</w:t>
      </w:r>
      <w:r w:rsidR="00332EEE" w:rsidRPr="001B6A53">
        <w:t>he TMCs can be used after step 2.1</w:t>
      </w:r>
      <w:r w:rsidR="00565557" w:rsidRPr="001B6A53">
        <w:t>0</w:t>
      </w:r>
      <w:r w:rsidR="001967B5">
        <w:t>.</w:t>
      </w:r>
      <w:r w:rsidR="00332EEE" w:rsidRPr="001B6A53">
        <w:t xml:space="preserve"> </w:t>
      </w:r>
      <w:r w:rsidR="001967B5" w:rsidRPr="001B6A53">
        <w:t>However</w:t>
      </w:r>
      <w:r w:rsidR="00332EEE" w:rsidRPr="001B6A53">
        <w:t xml:space="preserve">, to obtain a clearer cell solution and to remove </w:t>
      </w:r>
      <w:r w:rsidR="001E0D59">
        <w:t>other</w:t>
      </w:r>
      <w:r w:rsidR="001E0D59" w:rsidRPr="001B6A53">
        <w:t xml:space="preserve"> </w:t>
      </w:r>
      <w:r w:rsidR="00332EEE" w:rsidRPr="001B6A53">
        <w:t>cell debris</w:t>
      </w:r>
      <w:r w:rsidR="00953D69" w:rsidRPr="001B6A53">
        <w:t xml:space="preserve"> and </w:t>
      </w:r>
      <w:r w:rsidR="001E0D59">
        <w:t xml:space="preserve">any </w:t>
      </w:r>
      <w:r w:rsidR="00953D69" w:rsidRPr="001B6A53">
        <w:t>red cells</w:t>
      </w:r>
      <w:r w:rsidR="00332EEE" w:rsidRPr="001B6A53">
        <w:t>, it is advised to perform a cell density gradient isolation of the mononuclear cells.</w:t>
      </w:r>
      <w:r w:rsidR="0061322F">
        <w:t xml:space="preserve"> </w:t>
      </w:r>
    </w:p>
    <w:p w14:paraId="01259BF9" w14:textId="77777777" w:rsidR="00332EEE" w:rsidRPr="001B6A53" w:rsidRDefault="00332EEE" w:rsidP="0082639A">
      <w:pPr>
        <w:widowControl/>
        <w:autoSpaceDE/>
        <w:autoSpaceDN/>
        <w:adjustRightInd/>
        <w:contextualSpacing/>
        <w:jc w:val="left"/>
        <w:outlineLvl w:val="0"/>
      </w:pPr>
    </w:p>
    <w:p w14:paraId="18223BD0" w14:textId="67064AC1" w:rsidR="00BE025E" w:rsidRPr="001B6A53" w:rsidRDefault="00BE025E" w:rsidP="004E564A">
      <w:pPr>
        <w:pStyle w:val="ListParagraph"/>
        <w:numPr>
          <w:ilvl w:val="1"/>
          <w:numId w:val="34"/>
        </w:numPr>
        <w:jc w:val="left"/>
        <w:rPr>
          <w:highlight w:val="yellow"/>
        </w:rPr>
      </w:pPr>
      <w:r w:rsidRPr="001B6A53">
        <w:rPr>
          <w:highlight w:val="yellow"/>
        </w:rPr>
        <w:t>Add</w:t>
      </w:r>
      <w:r w:rsidR="00190956" w:rsidRPr="001B6A53">
        <w:rPr>
          <w:highlight w:val="yellow"/>
        </w:rPr>
        <w:t xml:space="preserve"> 15</w:t>
      </w:r>
      <w:r w:rsidRPr="001B6A53">
        <w:rPr>
          <w:highlight w:val="yellow"/>
        </w:rPr>
        <w:t xml:space="preserve"> </w:t>
      </w:r>
      <w:r w:rsidR="00190956" w:rsidRPr="001B6A53">
        <w:rPr>
          <w:highlight w:val="yellow"/>
        </w:rPr>
        <w:t xml:space="preserve">mL of </w:t>
      </w:r>
      <w:r w:rsidRPr="001B6A53">
        <w:rPr>
          <w:highlight w:val="yellow"/>
        </w:rPr>
        <w:t xml:space="preserve">the density gradient medium </w:t>
      </w:r>
      <w:r w:rsidR="00115945" w:rsidRPr="001B6A53">
        <w:rPr>
          <w:highlight w:val="yellow"/>
        </w:rPr>
        <w:t>(d</w:t>
      </w:r>
      <w:r w:rsidR="001967B5">
        <w:rPr>
          <w:highlight w:val="yellow"/>
        </w:rPr>
        <w:t xml:space="preserve"> </w:t>
      </w:r>
      <w:r w:rsidR="00115945" w:rsidRPr="001B6A53">
        <w:rPr>
          <w:highlight w:val="yellow"/>
        </w:rPr>
        <w:t>=</w:t>
      </w:r>
      <w:r w:rsidR="001967B5">
        <w:rPr>
          <w:highlight w:val="yellow"/>
        </w:rPr>
        <w:t xml:space="preserve"> </w:t>
      </w:r>
      <w:r w:rsidR="00115945" w:rsidRPr="001B6A53">
        <w:rPr>
          <w:highlight w:val="yellow"/>
        </w:rPr>
        <w:t>1.076 g/</w:t>
      </w:r>
      <w:r w:rsidR="008D46BC">
        <w:rPr>
          <w:highlight w:val="yellow"/>
        </w:rPr>
        <w:t>mL</w:t>
      </w:r>
      <w:r w:rsidR="00115945" w:rsidRPr="001B6A53">
        <w:rPr>
          <w:highlight w:val="yellow"/>
        </w:rPr>
        <w:t>)</w:t>
      </w:r>
      <w:r w:rsidRPr="001B6A53">
        <w:rPr>
          <w:highlight w:val="yellow"/>
        </w:rPr>
        <w:t xml:space="preserve"> in a new 50 mL </w:t>
      </w:r>
      <w:r w:rsidR="006F19F2" w:rsidRPr="001B6A53">
        <w:rPr>
          <w:highlight w:val="yellow"/>
        </w:rPr>
        <w:t>vial</w:t>
      </w:r>
      <w:r w:rsidRPr="001B6A53">
        <w:rPr>
          <w:highlight w:val="yellow"/>
        </w:rPr>
        <w:t xml:space="preserve">. Pour the TMCs solution on top of the </w:t>
      </w:r>
      <w:r w:rsidR="009B5354" w:rsidRPr="001B6A53">
        <w:rPr>
          <w:highlight w:val="yellow"/>
        </w:rPr>
        <w:t>density gradient medium</w:t>
      </w:r>
      <w:r w:rsidRPr="001B6A53">
        <w:rPr>
          <w:highlight w:val="yellow"/>
        </w:rPr>
        <w:t xml:space="preserve">, being careful to minimize mixing of </w:t>
      </w:r>
      <w:r w:rsidR="001E0D59">
        <w:rPr>
          <w:highlight w:val="yellow"/>
        </w:rPr>
        <w:t xml:space="preserve">the </w:t>
      </w:r>
      <w:r w:rsidR="00565557" w:rsidRPr="001B6A53">
        <w:rPr>
          <w:highlight w:val="yellow"/>
        </w:rPr>
        <w:lastRenderedPageBreak/>
        <w:t>suspension</w:t>
      </w:r>
      <w:r w:rsidRPr="001B6A53">
        <w:rPr>
          <w:highlight w:val="yellow"/>
        </w:rPr>
        <w:t xml:space="preserve"> with </w:t>
      </w:r>
      <w:r w:rsidR="001E0D59">
        <w:rPr>
          <w:highlight w:val="yellow"/>
        </w:rPr>
        <w:t xml:space="preserve">the </w:t>
      </w:r>
      <w:r w:rsidR="009B5354" w:rsidRPr="001B6A53">
        <w:rPr>
          <w:highlight w:val="yellow"/>
        </w:rPr>
        <w:t>density gradient medium</w:t>
      </w:r>
      <w:r w:rsidRPr="001B6A53">
        <w:rPr>
          <w:highlight w:val="yellow"/>
        </w:rPr>
        <w:t xml:space="preserve">. </w:t>
      </w:r>
    </w:p>
    <w:p w14:paraId="431E076A" w14:textId="77777777" w:rsidR="00EB7ED3" w:rsidRDefault="00EB7ED3" w:rsidP="00EB7ED3">
      <w:pPr>
        <w:pStyle w:val="ListParagraph"/>
        <w:widowControl/>
        <w:autoSpaceDE/>
        <w:autoSpaceDN/>
        <w:adjustRightInd/>
        <w:ind w:left="0"/>
        <w:jc w:val="left"/>
        <w:outlineLvl w:val="0"/>
        <w:rPr>
          <w:highlight w:val="yellow"/>
        </w:rPr>
      </w:pPr>
    </w:p>
    <w:p w14:paraId="1F8B5ADB" w14:textId="7DE9E052" w:rsidR="00313767" w:rsidRPr="001B6A53" w:rsidRDefault="00BE025E" w:rsidP="004E564A">
      <w:pPr>
        <w:pStyle w:val="ListParagraph"/>
        <w:widowControl/>
        <w:numPr>
          <w:ilvl w:val="1"/>
          <w:numId w:val="34"/>
        </w:numPr>
        <w:autoSpaceDE/>
        <w:autoSpaceDN/>
        <w:adjustRightInd/>
        <w:jc w:val="left"/>
        <w:outlineLvl w:val="0"/>
        <w:rPr>
          <w:highlight w:val="yellow"/>
        </w:rPr>
      </w:pPr>
      <w:r w:rsidRPr="001B6A53">
        <w:rPr>
          <w:highlight w:val="yellow"/>
        </w:rPr>
        <w:t xml:space="preserve">Centrifuge the </w:t>
      </w:r>
      <w:r w:rsidR="00C12134" w:rsidRPr="001B6A53">
        <w:rPr>
          <w:highlight w:val="yellow"/>
        </w:rPr>
        <w:t>solution</w:t>
      </w:r>
      <w:r w:rsidRPr="001B6A53">
        <w:rPr>
          <w:highlight w:val="yellow"/>
        </w:rPr>
        <w:t xml:space="preserve"> at </w:t>
      </w:r>
      <w:r w:rsidR="00190956" w:rsidRPr="001B6A53">
        <w:rPr>
          <w:highlight w:val="yellow"/>
        </w:rPr>
        <w:t>1</w:t>
      </w:r>
      <w:r w:rsidR="001967B5">
        <w:rPr>
          <w:highlight w:val="yellow"/>
        </w:rPr>
        <w:t>,</w:t>
      </w:r>
      <w:r w:rsidR="00190956" w:rsidRPr="001B6A53">
        <w:rPr>
          <w:highlight w:val="yellow"/>
        </w:rPr>
        <w:t>000</w:t>
      </w:r>
      <w:r w:rsidRPr="001B6A53">
        <w:rPr>
          <w:highlight w:val="yellow"/>
        </w:rPr>
        <w:t xml:space="preserve"> </w:t>
      </w:r>
      <w:r w:rsidR="001E0D59">
        <w:rPr>
          <w:highlight w:val="yellow"/>
        </w:rPr>
        <w:t xml:space="preserve">x </w:t>
      </w:r>
      <w:r w:rsidR="00190956" w:rsidRPr="008D46BC">
        <w:rPr>
          <w:i/>
          <w:iCs/>
          <w:highlight w:val="yellow"/>
        </w:rPr>
        <w:t>g</w:t>
      </w:r>
      <w:r w:rsidRPr="001B6A53">
        <w:rPr>
          <w:highlight w:val="yellow"/>
        </w:rPr>
        <w:t xml:space="preserve"> for </w:t>
      </w:r>
      <w:r w:rsidR="00190956" w:rsidRPr="001B6A53">
        <w:rPr>
          <w:highlight w:val="yellow"/>
        </w:rPr>
        <w:t>30</w:t>
      </w:r>
      <w:r w:rsidRPr="001B6A53">
        <w:rPr>
          <w:highlight w:val="yellow"/>
        </w:rPr>
        <w:t xml:space="preserve"> </w:t>
      </w:r>
      <w:r w:rsidR="00190956" w:rsidRPr="001B6A53">
        <w:rPr>
          <w:highlight w:val="yellow"/>
        </w:rPr>
        <w:t>min</w:t>
      </w:r>
      <w:r w:rsidRPr="001B6A53">
        <w:rPr>
          <w:highlight w:val="yellow"/>
        </w:rPr>
        <w:t xml:space="preserve"> at </w:t>
      </w:r>
      <w:r w:rsidR="00336C92" w:rsidRPr="001B6A53">
        <w:rPr>
          <w:highlight w:val="yellow"/>
        </w:rPr>
        <w:t>RT</w:t>
      </w:r>
      <w:r w:rsidRPr="001B6A53">
        <w:rPr>
          <w:highlight w:val="yellow"/>
        </w:rPr>
        <w:t xml:space="preserve"> with </w:t>
      </w:r>
      <w:r w:rsidR="00565557" w:rsidRPr="001B6A53">
        <w:rPr>
          <w:highlight w:val="yellow"/>
        </w:rPr>
        <w:t xml:space="preserve">acceleration and </w:t>
      </w:r>
      <w:r w:rsidRPr="001B6A53">
        <w:rPr>
          <w:highlight w:val="yellow"/>
        </w:rPr>
        <w:t>break off.</w:t>
      </w:r>
    </w:p>
    <w:p w14:paraId="4B7FDE81" w14:textId="77777777" w:rsidR="00EB7ED3" w:rsidRDefault="00EB7ED3" w:rsidP="00EB7ED3">
      <w:pPr>
        <w:pStyle w:val="ListParagraph"/>
        <w:widowControl/>
        <w:autoSpaceDE/>
        <w:autoSpaceDN/>
        <w:adjustRightInd/>
        <w:ind w:left="0"/>
        <w:jc w:val="left"/>
        <w:outlineLvl w:val="0"/>
        <w:rPr>
          <w:highlight w:val="yellow"/>
        </w:rPr>
      </w:pPr>
    </w:p>
    <w:p w14:paraId="21229E14" w14:textId="0BEF6AB3" w:rsidR="00C12134" w:rsidRPr="001B6A53" w:rsidRDefault="00C12134" w:rsidP="004E564A">
      <w:pPr>
        <w:pStyle w:val="ListParagraph"/>
        <w:widowControl/>
        <w:numPr>
          <w:ilvl w:val="1"/>
          <w:numId w:val="34"/>
        </w:numPr>
        <w:autoSpaceDE/>
        <w:autoSpaceDN/>
        <w:adjustRightInd/>
        <w:jc w:val="left"/>
        <w:outlineLvl w:val="0"/>
        <w:rPr>
          <w:highlight w:val="yellow"/>
        </w:rPr>
      </w:pPr>
      <w:r w:rsidRPr="001B6A53">
        <w:rPr>
          <w:highlight w:val="yellow"/>
        </w:rPr>
        <w:t xml:space="preserve">Remove with a 10 mL </w:t>
      </w:r>
      <w:r w:rsidRPr="00BB688E">
        <w:rPr>
          <w:highlight w:val="yellow"/>
        </w:rPr>
        <w:t>pipet</w:t>
      </w:r>
      <w:r w:rsidR="001967B5">
        <w:rPr>
          <w:highlight w:val="yellow"/>
        </w:rPr>
        <w:t>te</w:t>
      </w:r>
      <w:r w:rsidRPr="001B6A53">
        <w:rPr>
          <w:highlight w:val="yellow"/>
        </w:rPr>
        <w:t xml:space="preserve"> and discard the upper layer</w:t>
      </w:r>
      <w:r w:rsidR="00953D69" w:rsidRPr="001B6A53">
        <w:rPr>
          <w:highlight w:val="yellow"/>
        </w:rPr>
        <w:t xml:space="preserve"> (</w:t>
      </w:r>
      <w:r w:rsidR="00D86DA9" w:rsidRPr="001B6A53">
        <w:rPr>
          <w:highlight w:val="yellow"/>
        </w:rPr>
        <w:t xml:space="preserve">containing mostly </w:t>
      </w:r>
      <w:r w:rsidR="00953D69" w:rsidRPr="001B6A53">
        <w:rPr>
          <w:highlight w:val="yellow"/>
        </w:rPr>
        <w:t>PBS</w:t>
      </w:r>
      <w:r w:rsidR="00D86DA9" w:rsidRPr="001B6A53">
        <w:rPr>
          <w:highlight w:val="yellow"/>
        </w:rPr>
        <w:t xml:space="preserve"> </w:t>
      </w:r>
      <w:r w:rsidR="00953D69" w:rsidRPr="00BB688E">
        <w:rPr>
          <w:highlight w:val="yellow"/>
        </w:rPr>
        <w:t>1</w:t>
      </w:r>
      <w:r w:rsidR="001967B5" w:rsidRPr="00BB688E">
        <w:rPr>
          <w:highlight w:val="yellow"/>
        </w:rPr>
        <w:t>x</w:t>
      </w:r>
      <w:r w:rsidR="00953D69" w:rsidRPr="001B6A53">
        <w:rPr>
          <w:highlight w:val="yellow"/>
        </w:rPr>
        <w:t>)</w:t>
      </w:r>
      <w:r w:rsidRPr="001B6A53">
        <w:rPr>
          <w:highlight w:val="yellow"/>
        </w:rPr>
        <w:t xml:space="preserve"> without disturbing the</w:t>
      </w:r>
      <w:r w:rsidR="009B5354" w:rsidRPr="001B6A53">
        <w:rPr>
          <w:highlight w:val="yellow"/>
        </w:rPr>
        <w:t xml:space="preserve"> interface between</w:t>
      </w:r>
      <w:r w:rsidRPr="001B6A53">
        <w:rPr>
          <w:highlight w:val="yellow"/>
        </w:rPr>
        <w:t xml:space="preserve"> </w:t>
      </w:r>
      <w:r w:rsidR="001E0D59">
        <w:rPr>
          <w:highlight w:val="yellow"/>
        </w:rPr>
        <w:t xml:space="preserve">the </w:t>
      </w:r>
      <w:r w:rsidRPr="001B6A53">
        <w:rPr>
          <w:highlight w:val="yellow"/>
        </w:rPr>
        <w:t>TMCs</w:t>
      </w:r>
      <w:r w:rsidR="009B5354" w:rsidRPr="001B6A53">
        <w:rPr>
          <w:highlight w:val="yellow"/>
        </w:rPr>
        <w:t xml:space="preserve"> and </w:t>
      </w:r>
      <w:r w:rsidR="001E0D59">
        <w:rPr>
          <w:highlight w:val="yellow"/>
        </w:rPr>
        <w:t xml:space="preserve">the </w:t>
      </w:r>
      <w:r w:rsidR="009B5354" w:rsidRPr="001B6A53">
        <w:rPr>
          <w:highlight w:val="yellow"/>
        </w:rPr>
        <w:t>density gradient medium</w:t>
      </w:r>
      <w:r w:rsidR="001967B5">
        <w:rPr>
          <w:highlight w:val="yellow"/>
        </w:rPr>
        <w:t>.</w:t>
      </w:r>
    </w:p>
    <w:p w14:paraId="65D94B78" w14:textId="77777777" w:rsidR="00EB7ED3" w:rsidRDefault="00EB7ED3" w:rsidP="0082639A">
      <w:pPr>
        <w:pStyle w:val="ListParagraph"/>
        <w:widowControl/>
        <w:autoSpaceDE/>
        <w:autoSpaceDN/>
        <w:adjustRightInd/>
        <w:ind w:left="0"/>
        <w:jc w:val="left"/>
        <w:outlineLvl w:val="0"/>
        <w:rPr>
          <w:highlight w:val="yellow"/>
        </w:rPr>
      </w:pPr>
    </w:p>
    <w:p w14:paraId="714F46C1" w14:textId="01B14058" w:rsidR="00C12134" w:rsidRPr="001B6A53" w:rsidRDefault="001967B5" w:rsidP="0082639A">
      <w:pPr>
        <w:pStyle w:val="ListParagraph"/>
        <w:widowControl/>
        <w:autoSpaceDE/>
        <w:autoSpaceDN/>
        <w:adjustRightInd/>
        <w:ind w:left="0"/>
        <w:jc w:val="left"/>
        <w:outlineLvl w:val="0"/>
        <w:rPr>
          <w:highlight w:val="yellow"/>
        </w:rPr>
      </w:pPr>
      <w:r w:rsidRPr="00BB688E">
        <w:rPr>
          <w:highlight w:val="yellow"/>
        </w:rPr>
        <w:t>NOTE</w:t>
      </w:r>
      <w:r w:rsidR="00C12134" w:rsidRPr="001B6A53">
        <w:rPr>
          <w:highlight w:val="yellow"/>
        </w:rPr>
        <w:t xml:space="preserve">: </w:t>
      </w:r>
      <w:r w:rsidR="00E67C9E" w:rsidRPr="001B6A53">
        <w:rPr>
          <w:highlight w:val="yellow"/>
        </w:rPr>
        <w:t xml:space="preserve">The TMCs contains </w:t>
      </w:r>
      <w:r>
        <w:rPr>
          <w:highlight w:val="yellow"/>
        </w:rPr>
        <w:t xml:space="preserve">a </w:t>
      </w:r>
      <w:r w:rsidR="00E67C9E" w:rsidRPr="001B6A53">
        <w:rPr>
          <w:highlight w:val="yellow"/>
        </w:rPr>
        <w:t xml:space="preserve">low number of erythrocytes, therefore the solution is clear. Thus, the interface between the solution of TMCs in PBS and the </w:t>
      </w:r>
      <w:r w:rsidR="009B5354" w:rsidRPr="001B6A53">
        <w:rPr>
          <w:highlight w:val="yellow"/>
        </w:rPr>
        <w:t xml:space="preserve">density gradient medium </w:t>
      </w:r>
      <w:r w:rsidR="00E67C9E" w:rsidRPr="001B6A53">
        <w:rPr>
          <w:highlight w:val="yellow"/>
        </w:rPr>
        <w:t xml:space="preserve">can be difficult to </w:t>
      </w:r>
      <w:r w:rsidR="00E67C9E" w:rsidRPr="00BB688E">
        <w:rPr>
          <w:highlight w:val="yellow"/>
        </w:rPr>
        <w:t>visualize</w:t>
      </w:r>
      <w:r w:rsidR="00E67C9E" w:rsidRPr="001B6A53">
        <w:rPr>
          <w:highlight w:val="yellow"/>
        </w:rPr>
        <w:t xml:space="preserve">. </w:t>
      </w:r>
      <w:r w:rsidR="00953D69" w:rsidRPr="001B6A53">
        <w:rPr>
          <w:highlight w:val="yellow"/>
        </w:rPr>
        <w:t>Accordingly, cells can be resuspended in RPMI 1640 supplemented with 20</w:t>
      </w:r>
      <w:r w:rsidR="00D86DA9" w:rsidRPr="001B6A53">
        <w:rPr>
          <w:highlight w:val="yellow"/>
        </w:rPr>
        <w:t xml:space="preserve"> </w:t>
      </w:r>
      <w:r w:rsidR="00953D69" w:rsidRPr="001B6A53">
        <w:rPr>
          <w:highlight w:val="yellow"/>
        </w:rPr>
        <w:t xml:space="preserve">mM HEPES (without FBS) before </w:t>
      </w:r>
      <w:r>
        <w:rPr>
          <w:highlight w:val="yellow"/>
        </w:rPr>
        <w:t xml:space="preserve">the </w:t>
      </w:r>
      <w:r w:rsidR="00953D69" w:rsidRPr="001B6A53">
        <w:rPr>
          <w:highlight w:val="yellow"/>
        </w:rPr>
        <w:t>density gradient is performed</w:t>
      </w:r>
      <w:r w:rsidR="00D86DA9" w:rsidRPr="001B6A53">
        <w:rPr>
          <w:highlight w:val="yellow"/>
        </w:rPr>
        <w:t xml:space="preserve">. </w:t>
      </w:r>
    </w:p>
    <w:p w14:paraId="4F4C11A6" w14:textId="77777777" w:rsidR="00EB7ED3" w:rsidRDefault="00EB7ED3" w:rsidP="00EB7ED3">
      <w:pPr>
        <w:pStyle w:val="ListParagraph"/>
        <w:widowControl/>
        <w:autoSpaceDE/>
        <w:autoSpaceDN/>
        <w:adjustRightInd/>
        <w:ind w:left="0"/>
        <w:jc w:val="left"/>
        <w:outlineLvl w:val="0"/>
        <w:rPr>
          <w:highlight w:val="yellow"/>
        </w:rPr>
      </w:pPr>
    </w:p>
    <w:p w14:paraId="22AAA28C" w14:textId="57761122" w:rsidR="00C12134" w:rsidRPr="00EB7ED3" w:rsidRDefault="00584CC1" w:rsidP="00EB7ED3">
      <w:pPr>
        <w:pStyle w:val="ListParagraph"/>
        <w:widowControl/>
        <w:numPr>
          <w:ilvl w:val="1"/>
          <w:numId w:val="34"/>
        </w:numPr>
        <w:autoSpaceDE/>
        <w:autoSpaceDN/>
        <w:adjustRightInd/>
        <w:jc w:val="left"/>
        <w:outlineLvl w:val="0"/>
        <w:rPr>
          <w:highlight w:val="yellow"/>
        </w:rPr>
      </w:pPr>
      <w:r w:rsidRPr="00EB7ED3">
        <w:rPr>
          <w:highlight w:val="yellow"/>
        </w:rPr>
        <w:t>R</w:t>
      </w:r>
      <w:r w:rsidR="00C12134" w:rsidRPr="00EB7ED3">
        <w:rPr>
          <w:highlight w:val="yellow"/>
        </w:rPr>
        <w:t>emove</w:t>
      </w:r>
      <w:r w:rsidRPr="00EB7ED3">
        <w:rPr>
          <w:highlight w:val="yellow"/>
        </w:rPr>
        <w:t xml:space="preserve"> the TMCs </w:t>
      </w:r>
      <w:r w:rsidR="00C12134" w:rsidRPr="00EB7ED3">
        <w:rPr>
          <w:highlight w:val="yellow"/>
        </w:rPr>
        <w:t xml:space="preserve">with a </w:t>
      </w:r>
      <w:r w:rsidR="00605E5E" w:rsidRPr="00EB7ED3">
        <w:rPr>
          <w:highlight w:val="yellow"/>
        </w:rPr>
        <w:t xml:space="preserve">sterile </w:t>
      </w:r>
      <w:r w:rsidR="001E0D59">
        <w:rPr>
          <w:highlight w:val="yellow"/>
        </w:rPr>
        <w:t>1 mL pipette tip</w:t>
      </w:r>
      <w:r w:rsidR="001E0D59" w:rsidRPr="00EB7ED3">
        <w:rPr>
          <w:highlight w:val="yellow"/>
        </w:rPr>
        <w:t xml:space="preserve"> </w:t>
      </w:r>
      <w:r w:rsidR="00C12134" w:rsidRPr="00EB7ED3">
        <w:rPr>
          <w:highlight w:val="yellow"/>
        </w:rPr>
        <w:t>and place</w:t>
      </w:r>
      <w:r w:rsidRPr="00EB7ED3">
        <w:rPr>
          <w:highlight w:val="yellow"/>
        </w:rPr>
        <w:t xml:space="preserve"> </w:t>
      </w:r>
      <w:r w:rsidR="00C12134" w:rsidRPr="00EB7ED3">
        <w:rPr>
          <w:highlight w:val="yellow"/>
        </w:rPr>
        <w:t xml:space="preserve">in a new 50 mL </w:t>
      </w:r>
      <w:r w:rsidR="006F19F2" w:rsidRPr="00EB7ED3">
        <w:rPr>
          <w:highlight w:val="yellow"/>
        </w:rPr>
        <w:t>vial</w:t>
      </w:r>
      <w:r w:rsidR="001967B5">
        <w:rPr>
          <w:highlight w:val="yellow"/>
        </w:rPr>
        <w:t>.</w:t>
      </w:r>
    </w:p>
    <w:p w14:paraId="334C5874" w14:textId="77777777" w:rsidR="00EB7ED3" w:rsidRDefault="00EB7ED3" w:rsidP="00EB7ED3">
      <w:pPr>
        <w:pStyle w:val="ListParagraph"/>
        <w:ind w:left="0"/>
        <w:jc w:val="left"/>
        <w:rPr>
          <w:highlight w:val="yellow"/>
        </w:rPr>
      </w:pPr>
    </w:p>
    <w:p w14:paraId="25F73408" w14:textId="235A6338" w:rsidR="00313767" w:rsidRPr="001B6A53" w:rsidRDefault="00426B3E" w:rsidP="004E564A">
      <w:pPr>
        <w:pStyle w:val="ListParagraph"/>
        <w:numPr>
          <w:ilvl w:val="1"/>
          <w:numId w:val="34"/>
        </w:numPr>
        <w:jc w:val="left"/>
        <w:rPr>
          <w:highlight w:val="yellow"/>
        </w:rPr>
      </w:pPr>
      <w:r w:rsidRPr="001B6A53">
        <w:rPr>
          <w:highlight w:val="yellow"/>
        </w:rPr>
        <w:t xml:space="preserve">Wash the </w:t>
      </w:r>
      <w:r w:rsidR="004A5911" w:rsidRPr="001B6A53">
        <w:rPr>
          <w:highlight w:val="yellow"/>
        </w:rPr>
        <w:t xml:space="preserve">cells </w:t>
      </w:r>
      <w:r w:rsidR="00E67C9E" w:rsidRPr="001B6A53">
        <w:rPr>
          <w:highlight w:val="yellow"/>
        </w:rPr>
        <w:t xml:space="preserve">by adding </w:t>
      </w:r>
      <w:r w:rsidR="00190956" w:rsidRPr="001B6A53">
        <w:rPr>
          <w:highlight w:val="yellow"/>
        </w:rPr>
        <w:t>50</w:t>
      </w:r>
      <w:r w:rsidR="00E67C9E" w:rsidRPr="001B6A53">
        <w:rPr>
          <w:highlight w:val="yellow"/>
        </w:rPr>
        <w:t xml:space="preserve"> </w:t>
      </w:r>
      <w:r w:rsidR="00190956" w:rsidRPr="001B6A53">
        <w:rPr>
          <w:highlight w:val="yellow"/>
        </w:rPr>
        <w:t>mL of PBS</w:t>
      </w:r>
      <w:r w:rsidR="00E67C9E" w:rsidRPr="001B6A53">
        <w:rPr>
          <w:highlight w:val="yellow"/>
        </w:rPr>
        <w:t xml:space="preserve"> containing 2% of </w:t>
      </w:r>
      <w:r w:rsidR="001E0D59" w:rsidRPr="001B6A53">
        <w:rPr>
          <w:highlight w:val="yellow"/>
        </w:rPr>
        <w:t xml:space="preserve">fetal bovine serum </w:t>
      </w:r>
      <w:r w:rsidR="00E67C9E" w:rsidRPr="001B6A53">
        <w:rPr>
          <w:highlight w:val="yellow"/>
        </w:rPr>
        <w:t>(</w:t>
      </w:r>
      <w:r w:rsidR="00190956" w:rsidRPr="001B6A53">
        <w:rPr>
          <w:highlight w:val="yellow"/>
        </w:rPr>
        <w:t>F</w:t>
      </w:r>
      <w:r w:rsidR="00B052D7" w:rsidRPr="001B6A53">
        <w:rPr>
          <w:highlight w:val="yellow"/>
        </w:rPr>
        <w:t>B</w:t>
      </w:r>
      <w:r w:rsidR="00190956" w:rsidRPr="001B6A53">
        <w:rPr>
          <w:highlight w:val="yellow"/>
        </w:rPr>
        <w:t>S</w:t>
      </w:r>
      <w:r w:rsidR="00E67C9E" w:rsidRPr="001B6A53">
        <w:rPr>
          <w:highlight w:val="yellow"/>
        </w:rPr>
        <w:t xml:space="preserve">) and 2 mM </w:t>
      </w:r>
      <w:r w:rsidR="00190956" w:rsidRPr="001B6A53">
        <w:rPr>
          <w:highlight w:val="yellow"/>
        </w:rPr>
        <w:t xml:space="preserve">EDTA </w:t>
      </w:r>
      <w:r w:rsidR="00E67C9E" w:rsidRPr="001B6A53">
        <w:rPr>
          <w:highlight w:val="yellow"/>
        </w:rPr>
        <w:t>and centrifuge the tube at</w:t>
      </w:r>
      <w:r w:rsidR="00190956" w:rsidRPr="001B6A53">
        <w:rPr>
          <w:highlight w:val="yellow"/>
        </w:rPr>
        <w:t xml:space="preserve"> 250</w:t>
      </w:r>
      <w:r w:rsidR="00E67C9E" w:rsidRPr="001B6A53">
        <w:rPr>
          <w:highlight w:val="yellow"/>
        </w:rPr>
        <w:t xml:space="preserve"> </w:t>
      </w:r>
      <w:r w:rsidR="00E448D2" w:rsidRPr="001B6A53">
        <w:rPr>
          <w:highlight w:val="yellow"/>
        </w:rPr>
        <w:t xml:space="preserve">x </w:t>
      </w:r>
      <w:r w:rsidR="00190956" w:rsidRPr="008D46BC">
        <w:rPr>
          <w:i/>
          <w:highlight w:val="yellow"/>
        </w:rPr>
        <w:t>g</w:t>
      </w:r>
      <w:r w:rsidR="00E67C9E" w:rsidRPr="001B6A53">
        <w:rPr>
          <w:highlight w:val="yellow"/>
        </w:rPr>
        <w:t xml:space="preserve"> for </w:t>
      </w:r>
      <w:r w:rsidR="00190956" w:rsidRPr="001B6A53">
        <w:rPr>
          <w:highlight w:val="yellow"/>
        </w:rPr>
        <w:t>10</w:t>
      </w:r>
      <w:r w:rsidR="00BB3EF2">
        <w:rPr>
          <w:highlight w:val="yellow"/>
        </w:rPr>
        <w:t xml:space="preserve"> </w:t>
      </w:r>
      <w:r w:rsidR="00190956" w:rsidRPr="001B6A53">
        <w:rPr>
          <w:highlight w:val="yellow"/>
        </w:rPr>
        <w:t>min</w:t>
      </w:r>
      <w:r w:rsidR="00E67C9E" w:rsidRPr="001B6A53">
        <w:rPr>
          <w:highlight w:val="yellow"/>
        </w:rPr>
        <w:t xml:space="preserve"> at </w:t>
      </w:r>
      <w:r w:rsidR="00190956" w:rsidRPr="001B6A53">
        <w:rPr>
          <w:highlight w:val="yellow"/>
        </w:rPr>
        <w:t>4</w:t>
      </w:r>
      <w:r w:rsidR="00243911" w:rsidRPr="001B6A53">
        <w:rPr>
          <w:highlight w:val="yellow"/>
        </w:rPr>
        <w:t xml:space="preserve"> </w:t>
      </w:r>
      <w:r w:rsidR="00190956" w:rsidRPr="001B6A53">
        <w:rPr>
          <w:highlight w:val="yellow"/>
        </w:rPr>
        <w:t>°C</w:t>
      </w:r>
      <w:r w:rsidR="00565557" w:rsidRPr="001B6A53">
        <w:rPr>
          <w:highlight w:val="yellow"/>
        </w:rPr>
        <w:t xml:space="preserve"> to remove the </w:t>
      </w:r>
      <w:r w:rsidR="00AE2706">
        <w:rPr>
          <w:highlight w:val="yellow"/>
        </w:rPr>
        <w:t>remaining</w:t>
      </w:r>
      <w:r w:rsidR="00AE2706" w:rsidRPr="001B6A53">
        <w:rPr>
          <w:highlight w:val="yellow"/>
        </w:rPr>
        <w:t xml:space="preserve"> </w:t>
      </w:r>
      <w:r w:rsidR="00565557" w:rsidRPr="001B6A53">
        <w:rPr>
          <w:highlight w:val="yellow"/>
        </w:rPr>
        <w:t>platelets</w:t>
      </w:r>
      <w:r w:rsidR="00E67C9E" w:rsidRPr="001B6A53">
        <w:rPr>
          <w:highlight w:val="yellow"/>
        </w:rPr>
        <w:t>.</w:t>
      </w:r>
      <w:r w:rsidR="00D86DA9" w:rsidRPr="001B6A53">
        <w:rPr>
          <w:highlight w:val="yellow"/>
        </w:rPr>
        <w:t xml:space="preserve"> </w:t>
      </w:r>
    </w:p>
    <w:p w14:paraId="34B9CDDA" w14:textId="77777777" w:rsidR="00EB7ED3" w:rsidRDefault="00EB7ED3" w:rsidP="00EB7ED3">
      <w:pPr>
        <w:pStyle w:val="ListParagraph"/>
        <w:ind w:left="0"/>
        <w:jc w:val="left"/>
        <w:rPr>
          <w:highlight w:val="yellow"/>
        </w:rPr>
      </w:pPr>
    </w:p>
    <w:p w14:paraId="1D5C6941" w14:textId="5D9D2A77" w:rsidR="004A5911" w:rsidRPr="001B6A53" w:rsidRDefault="004A5911" w:rsidP="004E564A">
      <w:pPr>
        <w:pStyle w:val="ListParagraph"/>
        <w:numPr>
          <w:ilvl w:val="1"/>
          <w:numId w:val="34"/>
        </w:numPr>
        <w:jc w:val="left"/>
        <w:rPr>
          <w:highlight w:val="yellow"/>
        </w:rPr>
      </w:pPr>
      <w:r w:rsidRPr="001B6A53">
        <w:rPr>
          <w:highlight w:val="yellow"/>
        </w:rPr>
        <w:t xml:space="preserve">Repeat step </w:t>
      </w:r>
      <w:r w:rsidR="00233E3A">
        <w:rPr>
          <w:highlight w:val="yellow"/>
        </w:rPr>
        <w:t>3.</w:t>
      </w:r>
      <w:r w:rsidRPr="001B6A53">
        <w:rPr>
          <w:highlight w:val="yellow"/>
        </w:rPr>
        <w:t>5</w:t>
      </w:r>
      <w:r w:rsidR="00440307">
        <w:rPr>
          <w:highlight w:val="yellow"/>
        </w:rPr>
        <w:t>,</w:t>
      </w:r>
      <w:r w:rsidRPr="001B6A53">
        <w:rPr>
          <w:highlight w:val="yellow"/>
        </w:rPr>
        <w:t xml:space="preserve"> but centrifuge the tube at 400 </w:t>
      </w:r>
      <w:r w:rsidR="00E448D2" w:rsidRPr="001B6A53">
        <w:rPr>
          <w:highlight w:val="yellow"/>
        </w:rPr>
        <w:t xml:space="preserve">x </w:t>
      </w:r>
      <w:r w:rsidRPr="008D46BC">
        <w:rPr>
          <w:i/>
          <w:highlight w:val="yellow"/>
        </w:rPr>
        <w:t>g</w:t>
      </w:r>
      <w:r w:rsidRPr="001B6A53">
        <w:rPr>
          <w:highlight w:val="yellow"/>
        </w:rPr>
        <w:t xml:space="preserve"> for 10</w:t>
      </w:r>
      <w:r w:rsidR="00E448D2" w:rsidRPr="001B6A53">
        <w:rPr>
          <w:highlight w:val="yellow"/>
        </w:rPr>
        <w:t xml:space="preserve"> </w:t>
      </w:r>
      <w:r w:rsidRPr="001B6A53">
        <w:rPr>
          <w:highlight w:val="yellow"/>
        </w:rPr>
        <w:t>min at 4</w:t>
      </w:r>
      <w:r w:rsidR="00243911" w:rsidRPr="001B6A53">
        <w:rPr>
          <w:highlight w:val="yellow"/>
        </w:rPr>
        <w:t xml:space="preserve"> </w:t>
      </w:r>
      <w:r w:rsidRPr="001B6A53">
        <w:rPr>
          <w:highlight w:val="yellow"/>
        </w:rPr>
        <w:t>°C.</w:t>
      </w:r>
    </w:p>
    <w:p w14:paraId="159B91B1" w14:textId="77777777" w:rsidR="00EB7ED3" w:rsidRPr="00EB7ED3" w:rsidRDefault="00EB7ED3" w:rsidP="00EB7ED3">
      <w:pPr>
        <w:pStyle w:val="ListParagraph"/>
        <w:ind w:left="0"/>
        <w:jc w:val="left"/>
        <w:rPr>
          <w:color w:val="000000" w:themeColor="text1"/>
          <w:highlight w:val="yellow"/>
        </w:rPr>
      </w:pPr>
    </w:p>
    <w:p w14:paraId="1E24182E" w14:textId="6642DB69" w:rsidR="004A5911" w:rsidRPr="001B6A53" w:rsidRDefault="004A5911" w:rsidP="004E564A">
      <w:pPr>
        <w:pStyle w:val="ListParagraph"/>
        <w:numPr>
          <w:ilvl w:val="1"/>
          <w:numId w:val="34"/>
        </w:numPr>
        <w:jc w:val="left"/>
        <w:rPr>
          <w:color w:val="000000" w:themeColor="text1"/>
          <w:highlight w:val="yellow"/>
        </w:rPr>
      </w:pPr>
      <w:r w:rsidRPr="001B6A53">
        <w:rPr>
          <w:highlight w:val="yellow"/>
        </w:rPr>
        <w:t>Prepare culture medium (</w:t>
      </w:r>
      <w:r w:rsidR="00355C07" w:rsidRPr="001B6A53">
        <w:rPr>
          <w:highlight w:val="yellow"/>
        </w:rPr>
        <w:t>R10</w:t>
      </w:r>
      <w:r w:rsidRPr="001B6A53">
        <w:rPr>
          <w:highlight w:val="yellow"/>
        </w:rPr>
        <w:t xml:space="preserve">) by supplementing </w:t>
      </w:r>
      <w:r w:rsidR="00355C07" w:rsidRPr="001B6A53">
        <w:rPr>
          <w:highlight w:val="yellow"/>
        </w:rPr>
        <w:t>RPMI</w:t>
      </w:r>
      <w:r w:rsidR="00115945" w:rsidRPr="001B6A53">
        <w:rPr>
          <w:highlight w:val="yellow"/>
        </w:rPr>
        <w:t xml:space="preserve"> 1640</w:t>
      </w:r>
      <w:r w:rsidRPr="001B6A53">
        <w:rPr>
          <w:highlight w:val="yellow"/>
        </w:rPr>
        <w:t xml:space="preserve"> with 10% heat inactivated F</w:t>
      </w:r>
      <w:r w:rsidR="00B052D7" w:rsidRPr="001B6A53">
        <w:rPr>
          <w:highlight w:val="yellow"/>
        </w:rPr>
        <w:t>B</w:t>
      </w:r>
      <w:r w:rsidRPr="001B6A53">
        <w:rPr>
          <w:highlight w:val="yellow"/>
        </w:rPr>
        <w:t>S, 2 mM L-</w:t>
      </w:r>
      <w:r w:rsidR="00233E3A" w:rsidRPr="001B6A53">
        <w:rPr>
          <w:highlight w:val="yellow"/>
        </w:rPr>
        <w:t>glutamine</w:t>
      </w:r>
      <w:r w:rsidR="00233E3A">
        <w:rPr>
          <w:highlight w:val="yellow"/>
        </w:rPr>
        <w:t>,</w:t>
      </w:r>
      <w:r w:rsidR="00233E3A" w:rsidRPr="001B6A53">
        <w:rPr>
          <w:highlight w:val="yellow"/>
        </w:rPr>
        <w:t xml:space="preserve"> </w:t>
      </w:r>
      <w:r w:rsidRPr="001B6A53">
        <w:rPr>
          <w:highlight w:val="yellow"/>
        </w:rPr>
        <w:t xml:space="preserve">and the </w:t>
      </w:r>
      <w:r w:rsidRPr="001B6A53">
        <w:rPr>
          <w:color w:val="000000" w:themeColor="text1"/>
          <w:highlight w:val="yellow"/>
        </w:rPr>
        <w:t>antibiotic solution (</w:t>
      </w:r>
      <w:r w:rsidRPr="001B6A53">
        <w:rPr>
          <w:highlight w:val="yellow"/>
        </w:rPr>
        <w:t xml:space="preserve">100 U/mL </w:t>
      </w:r>
      <w:r w:rsidR="00440307" w:rsidRPr="00BB688E">
        <w:rPr>
          <w:highlight w:val="yellow"/>
        </w:rPr>
        <w:t>penicillium</w:t>
      </w:r>
      <w:r w:rsidRPr="001B6A53">
        <w:rPr>
          <w:highlight w:val="yellow"/>
        </w:rPr>
        <w:t xml:space="preserve"> and 100 </w:t>
      </w:r>
      <w:proofErr w:type="spellStart"/>
      <w:r w:rsidRPr="001B6A53">
        <w:rPr>
          <w:highlight w:val="yellow"/>
        </w:rPr>
        <w:t>μg</w:t>
      </w:r>
      <w:proofErr w:type="spellEnd"/>
      <w:r w:rsidRPr="001B6A53">
        <w:rPr>
          <w:highlight w:val="yellow"/>
        </w:rPr>
        <w:t xml:space="preserve">/mL </w:t>
      </w:r>
      <w:r w:rsidR="00440307" w:rsidRPr="00BB688E">
        <w:rPr>
          <w:highlight w:val="yellow"/>
        </w:rPr>
        <w:t>streptomycin</w:t>
      </w:r>
      <w:r w:rsidRPr="001B6A53">
        <w:rPr>
          <w:color w:val="000000" w:themeColor="text1"/>
          <w:highlight w:val="yellow"/>
        </w:rPr>
        <w:t>).</w:t>
      </w:r>
    </w:p>
    <w:p w14:paraId="6C2BDA3F" w14:textId="77777777" w:rsidR="00EB7ED3" w:rsidRDefault="00EB7ED3" w:rsidP="00EB7ED3">
      <w:pPr>
        <w:pStyle w:val="ListParagraph"/>
        <w:widowControl/>
        <w:autoSpaceDE/>
        <w:autoSpaceDN/>
        <w:adjustRightInd/>
        <w:ind w:left="0"/>
        <w:jc w:val="left"/>
        <w:outlineLvl w:val="0"/>
        <w:rPr>
          <w:color w:val="000000" w:themeColor="text1"/>
          <w:highlight w:val="yellow"/>
        </w:rPr>
      </w:pPr>
    </w:p>
    <w:p w14:paraId="62E58DBD" w14:textId="76CA2ACC" w:rsidR="00291AD8" w:rsidRPr="008D46BC" w:rsidRDefault="004A5911" w:rsidP="0082639A">
      <w:pPr>
        <w:pStyle w:val="ListParagraph"/>
        <w:widowControl/>
        <w:numPr>
          <w:ilvl w:val="1"/>
          <w:numId w:val="34"/>
        </w:numPr>
        <w:autoSpaceDE/>
        <w:autoSpaceDN/>
        <w:adjustRightInd/>
        <w:jc w:val="left"/>
        <w:outlineLvl w:val="0"/>
        <w:rPr>
          <w:color w:val="000000" w:themeColor="text1"/>
        </w:rPr>
      </w:pPr>
      <w:r w:rsidRPr="001B6A53">
        <w:rPr>
          <w:color w:val="000000" w:themeColor="text1"/>
          <w:highlight w:val="yellow"/>
        </w:rPr>
        <w:t xml:space="preserve">Resuspend the TMCs in 10 mL of </w:t>
      </w:r>
      <w:r w:rsidR="00355C07" w:rsidRPr="001B6A53">
        <w:rPr>
          <w:color w:val="000000" w:themeColor="text1"/>
          <w:highlight w:val="yellow"/>
        </w:rPr>
        <w:t>R10</w:t>
      </w:r>
      <w:r w:rsidRPr="001B6A53">
        <w:rPr>
          <w:color w:val="000000" w:themeColor="text1"/>
          <w:highlight w:val="yellow"/>
        </w:rPr>
        <w:t xml:space="preserve"> and count the cells.</w:t>
      </w:r>
      <w:r w:rsidR="00190956" w:rsidRPr="001B6A53">
        <w:rPr>
          <w:color w:val="000000" w:themeColor="text1"/>
          <w:highlight w:val="yellow"/>
        </w:rPr>
        <w:t xml:space="preserve"> </w:t>
      </w:r>
      <w:r w:rsidRPr="00291AD8">
        <w:rPr>
          <w:color w:val="000000" w:themeColor="text1"/>
        </w:rPr>
        <w:t>On average, this techni</w:t>
      </w:r>
      <w:r w:rsidR="005F01ED" w:rsidRPr="00291AD8">
        <w:rPr>
          <w:color w:val="000000" w:themeColor="text1"/>
        </w:rPr>
        <w:t xml:space="preserve">que </w:t>
      </w:r>
      <w:r w:rsidR="00233E3A">
        <w:rPr>
          <w:color w:val="000000" w:themeColor="text1"/>
        </w:rPr>
        <w:t>yields</w:t>
      </w:r>
      <w:r w:rsidR="00190956" w:rsidRPr="00291AD8">
        <w:rPr>
          <w:color w:val="000000" w:themeColor="text1"/>
        </w:rPr>
        <w:t xml:space="preserve"> </w:t>
      </w:r>
      <w:r w:rsidRPr="00291AD8">
        <w:rPr>
          <w:color w:val="000000" w:themeColor="text1"/>
        </w:rPr>
        <w:t>5</w:t>
      </w:r>
      <w:r w:rsidR="00765F68" w:rsidRPr="00765F68">
        <w:rPr>
          <w:color w:val="000000" w:themeColor="text1"/>
        </w:rPr>
        <w:t xml:space="preserve"> </w:t>
      </w:r>
      <w:r w:rsidR="00765F68" w:rsidRPr="00291AD8">
        <w:rPr>
          <w:color w:val="000000" w:themeColor="text1"/>
        </w:rPr>
        <w:t>x</w:t>
      </w:r>
      <w:r w:rsidR="00765F68">
        <w:rPr>
          <w:color w:val="000000" w:themeColor="text1"/>
        </w:rPr>
        <w:t xml:space="preserve"> </w:t>
      </w:r>
      <w:r w:rsidR="00765F68" w:rsidRPr="00291AD8">
        <w:rPr>
          <w:color w:val="000000" w:themeColor="text1"/>
        </w:rPr>
        <w:t>10</w:t>
      </w:r>
      <w:r w:rsidR="00765F68">
        <w:rPr>
          <w:color w:val="000000" w:themeColor="text1"/>
          <w:vertAlign w:val="superscript"/>
        </w:rPr>
        <w:t>8</w:t>
      </w:r>
      <w:r w:rsidR="00440307" w:rsidRPr="00CF34EE">
        <w:rPr>
          <w:color w:val="000000" w:themeColor="text1"/>
        </w:rPr>
        <w:t>–</w:t>
      </w:r>
      <w:r w:rsidR="00190956" w:rsidRPr="00291AD8">
        <w:rPr>
          <w:color w:val="000000" w:themeColor="text1"/>
        </w:rPr>
        <w:t>2</w:t>
      </w:r>
      <w:r w:rsidR="00440307">
        <w:rPr>
          <w:color w:val="000000" w:themeColor="text1"/>
        </w:rPr>
        <w:t xml:space="preserve"> </w:t>
      </w:r>
      <w:r w:rsidR="00BB3EF2" w:rsidRPr="00291AD8">
        <w:rPr>
          <w:color w:val="000000" w:themeColor="text1"/>
        </w:rPr>
        <w:t>x</w:t>
      </w:r>
      <w:r w:rsidR="00440307">
        <w:rPr>
          <w:color w:val="000000" w:themeColor="text1"/>
        </w:rPr>
        <w:t xml:space="preserve"> </w:t>
      </w:r>
      <w:r w:rsidR="00190956" w:rsidRPr="00291AD8">
        <w:rPr>
          <w:color w:val="000000" w:themeColor="text1"/>
        </w:rPr>
        <w:t>10</w:t>
      </w:r>
      <w:r w:rsidR="00190956" w:rsidRPr="00291AD8">
        <w:rPr>
          <w:color w:val="000000" w:themeColor="text1"/>
          <w:vertAlign w:val="superscript"/>
        </w:rPr>
        <w:t>9</w:t>
      </w:r>
      <w:r w:rsidR="00190956" w:rsidRPr="00291AD8">
        <w:rPr>
          <w:color w:val="000000" w:themeColor="text1"/>
        </w:rPr>
        <w:t xml:space="preserve"> </w:t>
      </w:r>
      <w:r w:rsidRPr="00291AD8">
        <w:rPr>
          <w:color w:val="000000" w:themeColor="text1"/>
        </w:rPr>
        <w:t xml:space="preserve">TMCs </w:t>
      </w:r>
      <w:r w:rsidR="00190956" w:rsidRPr="00291AD8">
        <w:rPr>
          <w:color w:val="000000" w:themeColor="text1"/>
        </w:rPr>
        <w:t>per pair of tonsils</w:t>
      </w:r>
      <w:r w:rsidRPr="00291AD8">
        <w:rPr>
          <w:color w:val="000000" w:themeColor="text1"/>
        </w:rPr>
        <w:t>.</w:t>
      </w:r>
      <w:r w:rsidR="00A23FA6" w:rsidRPr="001B6A53">
        <w:t xml:space="preserve"> </w:t>
      </w:r>
      <w:r w:rsidR="00AE2706" w:rsidRPr="001B6A53">
        <w:t xml:space="preserve">The </w:t>
      </w:r>
      <w:r w:rsidR="00A23FA6" w:rsidRPr="001B6A53">
        <w:t xml:space="preserve">cells can </w:t>
      </w:r>
      <w:r w:rsidR="00AE2706">
        <w:t xml:space="preserve">now </w:t>
      </w:r>
      <w:r w:rsidR="00A23FA6" w:rsidRPr="001B6A53">
        <w:t>be used</w:t>
      </w:r>
      <w:r w:rsidR="00AE2706">
        <w:t xml:space="preserve"> for investigations</w:t>
      </w:r>
      <w:r w:rsidR="00A23FA6" w:rsidRPr="001B6A53">
        <w:t xml:space="preserve"> </w:t>
      </w:r>
      <w:r w:rsidR="00233E3A">
        <w:t>like</w:t>
      </w:r>
      <w:r w:rsidR="00233E3A" w:rsidRPr="001B6A53">
        <w:t xml:space="preserve"> </w:t>
      </w:r>
      <w:r w:rsidR="00A23FA6" w:rsidRPr="001B6A53">
        <w:t>PBMCs from whole blood (e.g</w:t>
      </w:r>
      <w:r w:rsidR="00A23FA6" w:rsidRPr="00BB688E">
        <w:t>.</w:t>
      </w:r>
      <w:r w:rsidR="00440307">
        <w:t>,</w:t>
      </w:r>
      <w:r w:rsidR="00A23FA6" w:rsidRPr="001B6A53">
        <w:t xml:space="preserve"> purification of spe</w:t>
      </w:r>
      <w:bookmarkStart w:id="1" w:name="_GoBack"/>
      <w:bookmarkEnd w:id="1"/>
      <w:r w:rsidR="00A23FA6" w:rsidRPr="001B6A53">
        <w:t xml:space="preserve">cific cell type, cell culture, </w:t>
      </w:r>
      <w:r w:rsidR="00104D8B" w:rsidRPr="001B6A53">
        <w:t>flow cytometry, RT-qPCR</w:t>
      </w:r>
      <w:r w:rsidR="004830E3" w:rsidRPr="001B6A53">
        <w:t>, freezing</w:t>
      </w:r>
      <w:r w:rsidR="000251AE">
        <w:t>, etc.</w:t>
      </w:r>
      <w:r w:rsidR="00104D8B" w:rsidRPr="001B6A53">
        <w:t>)</w:t>
      </w:r>
      <w:r w:rsidR="00F456F4" w:rsidRPr="001B6A53">
        <w:t xml:space="preserve">. </w:t>
      </w:r>
    </w:p>
    <w:p w14:paraId="06AF8A32" w14:textId="77777777" w:rsidR="00291AD8" w:rsidRDefault="00291AD8" w:rsidP="00291AD8">
      <w:pPr>
        <w:pStyle w:val="ListParagraph"/>
      </w:pPr>
    </w:p>
    <w:p w14:paraId="6CB90688" w14:textId="5CD32477" w:rsidR="00291AD8" w:rsidRPr="000251AE" w:rsidRDefault="00104D8B" w:rsidP="0082639A">
      <w:pPr>
        <w:pStyle w:val="ListParagraph"/>
        <w:widowControl/>
        <w:numPr>
          <w:ilvl w:val="1"/>
          <w:numId w:val="34"/>
        </w:numPr>
        <w:autoSpaceDE/>
        <w:autoSpaceDN/>
        <w:adjustRightInd/>
        <w:jc w:val="left"/>
        <w:outlineLvl w:val="0"/>
        <w:rPr>
          <w:color w:val="000000" w:themeColor="text1"/>
        </w:rPr>
      </w:pPr>
      <w:r w:rsidRPr="001B6A53">
        <w:t xml:space="preserve"> </w:t>
      </w:r>
      <w:r w:rsidR="000251AE">
        <w:t>I</w:t>
      </w:r>
      <w:r w:rsidR="000251AE" w:rsidRPr="000251AE">
        <w:t xml:space="preserve">f needed, freeze </w:t>
      </w:r>
      <w:r w:rsidR="00233E3A">
        <w:t xml:space="preserve">the </w:t>
      </w:r>
      <w:r w:rsidR="000251AE" w:rsidRPr="000251AE">
        <w:t>c</w:t>
      </w:r>
      <w:r w:rsidRPr="000251AE">
        <w:t xml:space="preserve">ells for further use </w:t>
      </w:r>
      <w:r w:rsidR="000251AE" w:rsidRPr="000251AE">
        <w:t xml:space="preserve">using standard techniques </w:t>
      </w:r>
      <w:r w:rsidRPr="000251AE">
        <w:t xml:space="preserve">for primary cell freezing. </w:t>
      </w:r>
    </w:p>
    <w:p w14:paraId="1E8E44BA" w14:textId="77777777" w:rsidR="00291AD8" w:rsidRPr="000251AE" w:rsidRDefault="00291AD8" w:rsidP="00291AD8">
      <w:pPr>
        <w:pStyle w:val="ListParagraph"/>
      </w:pPr>
    </w:p>
    <w:p w14:paraId="6D43A36B" w14:textId="08DFE728" w:rsidR="000251AE" w:rsidRPr="000251AE" w:rsidRDefault="00233E3A" w:rsidP="00291AD8">
      <w:pPr>
        <w:pStyle w:val="ListParagraph"/>
        <w:widowControl/>
        <w:numPr>
          <w:ilvl w:val="2"/>
          <w:numId w:val="34"/>
        </w:numPr>
        <w:autoSpaceDE/>
        <w:autoSpaceDN/>
        <w:adjustRightInd/>
        <w:jc w:val="left"/>
        <w:outlineLvl w:val="3"/>
        <w:rPr>
          <w:color w:val="000000" w:themeColor="text1"/>
        </w:rPr>
      </w:pPr>
      <w:r>
        <w:t>Count</w:t>
      </w:r>
      <w:r w:rsidRPr="000251AE">
        <w:t xml:space="preserve"> </w:t>
      </w:r>
      <w:r w:rsidR="00104D8B" w:rsidRPr="000251AE">
        <w:t>the number of cell</w:t>
      </w:r>
      <w:r w:rsidR="00291AD8" w:rsidRPr="000251AE">
        <w:t>s</w:t>
      </w:r>
      <w:r w:rsidR="00104D8B" w:rsidRPr="000251AE">
        <w:t xml:space="preserve">. </w:t>
      </w:r>
    </w:p>
    <w:p w14:paraId="43B8B86F" w14:textId="77777777" w:rsidR="000251AE" w:rsidRPr="000251AE" w:rsidRDefault="000251AE" w:rsidP="000251AE">
      <w:pPr>
        <w:pStyle w:val="ListParagraph"/>
        <w:widowControl/>
        <w:autoSpaceDE/>
        <w:autoSpaceDN/>
        <w:adjustRightInd/>
        <w:ind w:left="0"/>
        <w:jc w:val="left"/>
        <w:outlineLvl w:val="3"/>
        <w:rPr>
          <w:color w:val="000000" w:themeColor="text1"/>
        </w:rPr>
      </w:pPr>
    </w:p>
    <w:p w14:paraId="6BC68E92" w14:textId="79CD2508" w:rsidR="000251AE" w:rsidRPr="000251AE" w:rsidRDefault="00291AD8" w:rsidP="00291AD8">
      <w:pPr>
        <w:pStyle w:val="ListParagraph"/>
        <w:widowControl/>
        <w:numPr>
          <w:ilvl w:val="2"/>
          <w:numId w:val="34"/>
        </w:numPr>
        <w:autoSpaceDE/>
        <w:autoSpaceDN/>
        <w:adjustRightInd/>
        <w:jc w:val="left"/>
        <w:outlineLvl w:val="3"/>
        <w:rPr>
          <w:color w:val="000000" w:themeColor="text1"/>
        </w:rPr>
      </w:pPr>
      <w:r w:rsidRPr="000251AE">
        <w:t xml:space="preserve">Centrifuge </w:t>
      </w:r>
      <w:r w:rsidR="00104D8B" w:rsidRPr="000251AE">
        <w:t xml:space="preserve">the cells and </w:t>
      </w:r>
      <w:r w:rsidRPr="000251AE">
        <w:t xml:space="preserve">remove </w:t>
      </w:r>
      <w:r w:rsidR="00104D8B" w:rsidRPr="000251AE">
        <w:t>the supernatant.</w:t>
      </w:r>
      <w:r w:rsidR="0061322F">
        <w:t xml:space="preserve"> </w:t>
      </w:r>
      <w:r w:rsidR="00233E3A">
        <w:t>Dissolve</w:t>
      </w:r>
      <w:r w:rsidR="00233E3A" w:rsidRPr="000251AE">
        <w:t xml:space="preserve"> </w:t>
      </w:r>
      <w:r w:rsidR="000251AE" w:rsidRPr="000251AE">
        <w:t>t</w:t>
      </w:r>
      <w:r w:rsidR="00104D8B" w:rsidRPr="000251AE">
        <w:t xml:space="preserve">he </w:t>
      </w:r>
      <w:r w:rsidR="008D3D68" w:rsidRPr="000251AE">
        <w:t>pellet</w:t>
      </w:r>
      <w:r w:rsidR="00104D8B" w:rsidRPr="000251AE">
        <w:t xml:space="preserve"> in </w:t>
      </w:r>
      <w:r w:rsidR="000251AE" w:rsidRPr="000251AE">
        <w:t xml:space="preserve">enough </w:t>
      </w:r>
      <w:r w:rsidR="00104D8B" w:rsidRPr="000251AE">
        <w:t>100% F</w:t>
      </w:r>
      <w:r w:rsidR="00B052D7" w:rsidRPr="000251AE">
        <w:t>B</w:t>
      </w:r>
      <w:r w:rsidR="00104D8B" w:rsidRPr="000251AE">
        <w:t xml:space="preserve">S </w:t>
      </w:r>
      <w:r w:rsidR="000251AE" w:rsidRPr="000251AE">
        <w:t xml:space="preserve">for a </w:t>
      </w:r>
      <w:r w:rsidR="00233E3A">
        <w:t xml:space="preserve">final </w:t>
      </w:r>
      <w:r w:rsidR="000251AE" w:rsidRPr="000251AE">
        <w:t>concentration</w:t>
      </w:r>
      <w:r w:rsidR="00104D8B" w:rsidRPr="000251AE">
        <w:t xml:space="preserve"> </w:t>
      </w:r>
      <w:r w:rsidR="00440307">
        <w:t xml:space="preserve">of </w:t>
      </w:r>
      <w:r w:rsidR="00F456F4" w:rsidRPr="00BB688E">
        <w:rPr>
          <w:color w:val="000000" w:themeColor="text1"/>
        </w:rPr>
        <w:t>1</w:t>
      </w:r>
      <w:r w:rsidR="00440307">
        <w:rPr>
          <w:color w:val="000000" w:themeColor="text1"/>
        </w:rPr>
        <w:t xml:space="preserve"> </w:t>
      </w:r>
      <w:r w:rsidR="00BB3EF2" w:rsidRPr="00BB688E">
        <w:rPr>
          <w:color w:val="000000" w:themeColor="text1"/>
        </w:rPr>
        <w:t>x</w:t>
      </w:r>
      <w:r w:rsidR="00440307">
        <w:rPr>
          <w:color w:val="000000" w:themeColor="text1"/>
        </w:rPr>
        <w:t xml:space="preserve"> </w:t>
      </w:r>
      <w:r w:rsidR="00104D8B" w:rsidRPr="00BB688E">
        <w:rPr>
          <w:color w:val="000000" w:themeColor="text1"/>
        </w:rPr>
        <w:t>10</w:t>
      </w:r>
      <w:r w:rsidR="00F456F4" w:rsidRPr="00BB688E">
        <w:rPr>
          <w:color w:val="000000" w:themeColor="text1"/>
          <w:vertAlign w:val="superscript"/>
        </w:rPr>
        <w:t>8</w:t>
      </w:r>
      <w:r w:rsidR="00104D8B" w:rsidRPr="000251AE">
        <w:rPr>
          <w:color w:val="000000" w:themeColor="text1"/>
        </w:rPr>
        <w:t xml:space="preserve"> cells/mL</w:t>
      </w:r>
      <w:r w:rsidR="000251AE" w:rsidRPr="000251AE">
        <w:rPr>
          <w:color w:val="000000" w:themeColor="text1"/>
        </w:rPr>
        <w:t>,</w:t>
      </w:r>
      <w:r w:rsidR="008D3D68" w:rsidRPr="000251AE">
        <w:rPr>
          <w:color w:val="000000" w:themeColor="text1"/>
        </w:rPr>
        <w:t xml:space="preserve"> then add the same volume of </w:t>
      </w:r>
      <w:r w:rsidR="00104D8B" w:rsidRPr="000251AE">
        <w:rPr>
          <w:color w:val="000000" w:themeColor="text1"/>
        </w:rPr>
        <w:t>a</w:t>
      </w:r>
      <w:r w:rsidR="00233E3A">
        <w:rPr>
          <w:color w:val="000000" w:themeColor="text1"/>
        </w:rPr>
        <w:t>n</w:t>
      </w:r>
      <w:r w:rsidR="00104D8B" w:rsidRPr="000251AE">
        <w:rPr>
          <w:color w:val="000000" w:themeColor="text1"/>
        </w:rPr>
        <w:t xml:space="preserve"> </w:t>
      </w:r>
      <w:r w:rsidR="00104D8B" w:rsidRPr="000251AE">
        <w:t>80% F</w:t>
      </w:r>
      <w:r w:rsidR="00B052D7" w:rsidRPr="000251AE">
        <w:t>B</w:t>
      </w:r>
      <w:r w:rsidR="00104D8B" w:rsidRPr="000251AE">
        <w:t>S + 20% DMSO</w:t>
      </w:r>
      <w:r w:rsidR="00233E3A">
        <w:t xml:space="preserve"> </w:t>
      </w:r>
      <w:r w:rsidR="00233E3A" w:rsidRPr="000251AE">
        <w:rPr>
          <w:color w:val="000000" w:themeColor="text1"/>
        </w:rPr>
        <w:t>solution</w:t>
      </w:r>
      <w:r w:rsidR="008D3D68" w:rsidRPr="000251AE">
        <w:t xml:space="preserve">. The </w:t>
      </w:r>
      <w:r w:rsidR="00104D8B" w:rsidRPr="000251AE">
        <w:t xml:space="preserve">cells </w:t>
      </w:r>
      <w:r w:rsidR="000251AE" w:rsidRPr="000251AE">
        <w:t>will then be</w:t>
      </w:r>
      <w:r w:rsidR="00104D8B" w:rsidRPr="000251AE">
        <w:t xml:space="preserve"> at </w:t>
      </w:r>
      <w:r w:rsidR="00F456F4" w:rsidRPr="00BB688E">
        <w:rPr>
          <w:color w:val="000000" w:themeColor="text1"/>
        </w:rPr>
        <w:t>5</w:t>
      </w:r>
      <w:r w:rsidR="00440307">
        <w:rPr>
          <w:color w:val="000000" w:themeColor="text1"/>
        </w:rPr>
        <w:t xml:space="preserve"> </w:t>
      </w:r>
      <w:r w:rsidR="00BB3EF2" w:rsidRPr="00BB688E">
        <w:rPr>
          <w:color w:val="000000" w:themeColor="text1"/>
        </w:rPr>
        <w:t>x</w:t>
      </w:r>
      <w:r w:rsidR="00440307">
        <w:rPr>
          <w:color w:val="000000" w:themeColor="text1"/>
        </w:rPr>
        <w:t xml:space="preserve"> </w:t>
      </w:r>
      <w:r w:rsidR="00104D8B" w:rsidRPr="00BB688E">
        <w:rPr>
          <w:color w:val="000000" w:themeColor="text1"/>
        </w:rPr>
        <w:t>10</w:t>
      </w:r>
      <w:r w:rsidR="00F456F4" w:rsidRPr="00BB688E">
        <w:rPr>
          <w:color w:val="000000" w:themeColor="text1"/>
          <w:vertAlign w:val="superscript"/>
        </w:rPr>
        <w:t>7</w:t>
      </w:r>
      <w:r w:rsidR="00104D8B" w:rsidRPr="000251AE">
        <w:rPr>
          <w:color w:val="000000" w:themeColor="text1"/>
        </w:rPr>
        <w:t xml:space="preserve"> cells/</w:t>
      </w:r>
      <w:proofErr w:type="spellStart"/>
      <w:r w:rsidR="00104D8B" w:rsidRPr="000251AE">
        <w:rPr>
          <w:color w:val="000000" w:themeColor="text1"/>
        </w:rPr>
        <w:t>mL.</w:t>
      </w:r>
      <w:proofErr w:type="spellEnd"/>
      <w:r w:rsidR="00104D8B" w:rsidRPr="000251AE">
        <w:rPr>
          <w:color w:val="000000" w:themeColor="text1"/>
        </w:rPr>
        <w:t xml:space="preserve"> </w:t>
      </w:r>
      <w:r w:rsidR="008D3D68" w:rsidRPr="000251AE">
        <w:rPr>
          <w:color w:val="000000" w:themeColor="text1"/>
        </w:rPr>
        <w:t>This step should be done at 4</w:t>
      </w:r>
      <w:r w:rsidR="00243911" w:rsidRPr="000251AE">
        <w:rPr>
          <w:color w:val="000000" w:themeColor="text1"/>
        </w:rPr>
        <w:t xml:space="preserve"> </w:t>
      </w:r>
      <w:r w:rsidR="008D3D68" w:rsidRPr="000251AE">
        <w:rPr>
          <w:color w:val="000000" w:themeColor="text1"/>
        </w:rPr>
        <w:t xml:space="preserve">°C and the FBS </w:t>
      </w:r>
      <w:r w:rsidR="00233E3A">
        <w:rPr>
          <w:color w:val="000000" w:themeColor="text1"/>
        </w:rPr>
        <w:t>and</w:t>
      </w:r>
      <w:r w:rsidR="00233E3A" w:rsidRPr="000251AE">
        <w:rPr>
          <w:color w:val="000000" w:themeColor="text1"/>
        </w:rPr>
        <w:t xml:space="preserve"> </w:t>
      </w:r>
      <w:r w:rsidR="008D3D68" w:rsidRPr="000251AE">
        <w:rPr>
          <w:color w:val="000000" w:themeColor="text1"/>
        </w:rPr>
        <w:t xml:space="preserve">DMSO </w:t>
      </w:r>
      <w:r w:rsidR="00233E3A" w:rsidRPr="000251AE">
        <w:rPr>
          <w:color w:val="000000" w:themeColor="text1"/>
        </w:rPr>
        <w:t xml:space="preserve">solution </w:t>
      </w:r>
      <w:r w:rsidR="008D3D68" w:rsidRPr="000251AE">
        <w:rPr>
          <w:color w:val="000000" w:themeColor="text1"/>
        </w:rPr>
        <w:t>should be kept at 4</w:t>
      </w:r>
      <w:r w:rsidR="00243911" w:rsidRPr="000251AE">
        <w:rPr>
          <w:color w:val="000000" w:themeColor="text1"/>
        </w:rPr>
        <w:t xml:space="preserve"> </w:t>
      </w:r>
      <w:r w:rsidR="008D3D68" w:rsidRPr="000251AE">
        <w:rPr>
          <w:color w:val="000000" w:themeColor="text1"/>
        </w:rPr>
        <w:t xml:space="preserve">°C before using. </w:t>
      </w:r>
    </w:p>
    <w:p w14:paraId="7FAE7EF8" w14:textId="77777777" w:rsidR="000251AE" w:rsidRPr="000251AE" w:rsidRDefault="000251AE" w:rsidP="000251AE">
      <w:pPr>
        <w:pStyle w:val="ListParagraph"/>
        <w:rPr>
          <w:color w:val="000000" w:themeColor="text1"/>
        </w:rPr>
      </w:pPr>
    </w:p>
    <w:p w14:paraId="41B39FF5" w14:textId="1DF474E3" w:rsidR="000251AE" w:rsidRDefault="00F456F4" w:rsidP="00291AD8">
      <w:pPr>
        <w:pStyle w:val="ListParagraph"/>
        <w:widowControl/>
        <w:numPr>
          <w:ilvl w:val="2"/>
          <w:numId w:val="34"/>
        </w:numPr>
        <w:autoSpaceDE/>
        <w:autoSpaceDN/>
        <w:adjustRightInd/>
        <w:jc w:val="left"/>
        <w:outlineLvl w:val="3"/>
        <w:rPr>
          <w:color w:val="000000" w:themeColor="text1"/>
        </w:rPr>
      </w:pPr>
      <w:r w:rsidRPr="000251AE">
        <w:rPr>
          <w:color w:val="000000" w:themeColor="text1"/>
        </w:rPr>
        <w:t>Distribute 1 mL of the cell solution into cryotubes</w:t>
      </w:r>
      <w:r w:rsidR="000251AE">
        <w:rPr>
          <w:color w:val="000000" w:themeColor="text1"/>
        </w:rPr>
        <w:t xml:space="preserve"> and</w:t>
      </w:r>
      <w:r w:rsidRPr="000251AE">
        <w:rPr>
          <w:color w:val="000000" w:themeColor="text1"/>
        </w:rPr>
        <w:t xml:space="preserve"> put them in </w:t>
      </w:r>
      <w:r w:rsidR="000251AE">
        <w:rPr>
          <w:color w:val="000000" w:themeColor="text1"/>
        </w:rPr>
        <w:t xml:space="preserve">a </w:t>
      </w:r>
      <w:r w:rsidR="009B5354" w:rsidRPr="000251AE">
        <w:rPr>
          <w:color w:val="000000" w:themeColor="text1"/>
        </w:rPr>
        <w:t>slow f</w:t>
      </w:r>
      <w:r w:rsidRPr="000251AE">
        <w:rPr>
          <w:color w:val="000000" w:themeColor="text1"/>
        </w:rPr>
        <w:t xml:space="preserve">reezing </w:t>
      </w:r>
      <w:r w:rsidR="009B5354" w:rsidRPr="000251AE">
        <w:rPr>
          <w:color w:val="000000" w:themeColor="text1"/>
        </w:rPr>
        <w:t>c</w:t>
      </w:r>
      <w:r w:rsidRPr="000251AE">
        <w:rPr>
          <w:color w:val="000000" w:themeColor="text1"/>
        </w:rPr>
        <w:t>ontainer</w:t>
      </w:r>
      <w:r w:rsidR="008D3D68" w:rsidRPr="000251AE">
        <w:rPr>
          <w:color w:val="000000" w:themeColor="text1"/>
        </w:rPr>
        <w:t xml:space="preserve"> </w:t>
      </w:r>
      <w:r w:rsidR="000251AE">
        <w:rPr>
          <w:color w:val="000000" w:themeColor="text1"/>
        </w:rPr>
        <w:t xml:space="preserve">that has been </w:t>
      </w:r>
      <w:r w:rsidR="008D3D68" w:rsidRPr="000251AE">
        <w:rPr>
          <w:color w:val="000000" w:themeColor="text1"/>
        </w:rPr>
        <w:t>at 4</w:t>
      </w:r>
      <w:r w:rsidR="00243911" w:rsidRPr="000251AE">
        <w:rPr>
          <w:color w:val="000000" w:themeColor="text1"/>
        </w:rPr>
        <w:t xml:space="preserve"> </w:t>
      </w:r>
      <w:r w:rsidR="008D3D68" w:rsidRPr="000251AE">
        <w:rPr>
          <w:color w:val="000000" w:themeColor="text1"/>
        </w:rPr>
        <w:t>°C overnight</w:t>
      </w:r>
      <w:r w:rsidRPr="000251AE">
        <w:rPr>
          <w:color w:val="000000" w:themeColor="text1"/>
        </w:rPr>
        <w:t xml:space="preserve"> to control</w:t>
      </w:r>
      <w:r w:rsidR="000251AE">
        <w:rPr>
          <w:color w:val="000000" w:themeColor="text1"/>
        </w:rPr>
        <w:t xml:space="preserve"> the</w:t>
      </w:r>
      <w:r w:rsidRPr="000251AE">
        <w:rPr>
          <w:color w:val="000000" w:themeColor="text1"/>
        </w:rPr>
        <w:t xml:space="preserve"> rate of cell freezing</w:t>
      </w:r>
      <w:r w:rsidR="00440307">
        <w:rPr>
          <w:color w:val="000000" w:themeColor="text1"/>
        </w:rPr>
        <w:t>.</w:t>
      </w:r>
      <w:r w:rsidRPr="000251AE">
        <w:rPr>
          <w:color w:val="000000" w:themeColor="text1"/>
        </w:rPr>
        <w:t xml:space="preserve"> </w:t>
      </w:r>
      <w:r w:rsidR="00440307" w:rsidRPr="000251AE">
        <w:rPr>
          <w:color w:val="000000" w:themeColor="text1"/>
        </w:rPr>
        <w:t>Place</w:t>
      </w:r>
      <w:r w:rsidRPr="000251AE">
        <w:rPr>
          <w:color w:val="000000" w:themeColor="text1"/>
        </w:rPr>
        <w:t xml:space="preserve"> it at -80°C.</w:t>
      </w:r>
      <w:r w:rsidR="00EC02D3" w:rsidRPr="000251AE">
        <w:rPr>
          <w:color w:val="000000" w:themeColor="text1"/>
        </w:rPr>
        <w:t xml:space="preserve"> </w:t>
      </w:r>
    </w:p>
    <w:p w14:paraId="7E31DCFF" w14:textId="77777777" w:rsidR="000251AE" w:rsidRDefault="000251AE" w:rsidP="000251AE">
      <w:pPr>
        <w:pStyle w:val="ListParagraph"/>
        <w:rPr>
          <w:color w:val="000000" w:themeColor="text1"/>
        </w:rPr>
      </w:pPr>
    </w:p>
    <w:p w14:paraId="2417E9DB" w14:textId="74738365" w:rsidR="000251AE" w:rsidRDefault="00EC02D3" w:rsidP="00291AD8">
      <w:pPr>
        <w:pStyle w:val="ListParagraph"/>
        <w:widowControl/>
        <w:numPr>
          <w:ilvl w:val="2"/>
          <w:numId w:val="34"/>
        </w:numPr>
        <w:autoSpaceDE/>
        <w:autoSpaceDN/>
        <w:adjustRightInd/>
        <w:jc w:val="left"/>
        <w:outlineLvl w:val="3"/>
        <w:rPr>
          <w:color w:val="000000" w:themeColor="text1"/>
        </w:rPr>
      </w:pPr>
      <w:r w:rsidRPr="000251AE">
        <w:rPr>
          <w:color w:val="000000" w:themeColor="text1"/>
        </w:rPr>
        <w:t>To thaw the cells, place the cryovials in a warm bath at 37</w:t>
      </w:r>
      <w:r w:rsidR="00243911" w:rsidRPr="000251AE">
        <w:rPr>
          <w:color w:val="000000" w:themeColor="text1"/>
        </w:rPr>
        <w:t xml:space="preserve"> </w:t>
      </w:r>
      <w:r w:rsidRPr="000251AE">
        <w:rPr>
          <w:color w:val="000000" w:themeColor="text1"/>
        </w:rPr>
        <w:t>°C for a few seconds</w:t>
      </w:r>
      <w:r w:rsidR="00953D69" w:rsidRPr="000251AE">
        <w:rPr>
          <w:color w:val="000000" w:themeColor="text1"/>
        </w:rPr>
        <w:t xml:space="preserve"> with constant agitation</w:t>
      </w:r>
      <w:r w:rsidRPr="000251AE">
        <w:rPr>
          <w:color w:val="000000" w:themeColor="text1"/>
        </w:rPr>
        <w:t>. As soon as the cells start to thaw</w:t>
      </w:r>
      <w:r w:rsidR="00233E3A">
        <w:rPr>
          <w:color w:val="000000" w:themeColor="text1"/>
        </w:rPr>
        <w:t>,</w:t>
      </w:r>
      <w:r w:rsidRPr="000251AE">
        <w:rPr>
          <w:color w:val="000000" w:themeColor="text1"/>
        </w:rPr>
        <w:t xml:space="preserve"> transfer them </w:t>
      </w:r>
      <w:r w:rsidR="00440307">
        <w:rPr>
          <w:color w:val="000000" w:themeColor="text1"/>
        </w:rPr>
        <w:t>to</w:t>
      </w:r>
      <w:r w:rsidR="00440307" w:rsidRPr="00BB688E">
        <w:rPr>
          <w:color w:val="000000" w:themeColor="text1"/>
        </w:rPr>
        <w:t xml:space="preserve"> </w:t>
      </w:r>
      <w:r w:rsidR="008D3D68" w:rsidRPr="000251AE">
        <w:rPr>
          <w:color w:val="000000" w:themeColor="text1"/>
        </w:rPr>
        <w:t>4</w:t>
      </w:r>
      <w:r w:rsidRPr="000251AE">
        <w:rPr>
          <w:color w:val="000000" w:themeColor="text1"/>
        </w:rPr>
        <w:t xml:space="preserve">9 mL of R10 and centrifuge to remove the DMSO. </w:t>
      </w:r>
      <w:r w:rsidR="008D3D68" w:rsidRPr="000251AE">
        <w:rPr>
          <w:color w:val="000000" w:themeColor="text1"/>
        </w:rPr>
        <w:t xml:space="preserve">Count the cells and use them as PBMCs. </w:t>
      </w:r>
    </w:p>
    <w:p w14:paraId="4AC6E6B3" w14:textId="77777777" w:rsidR="000251AE" w:rsidRDefault="000251AE" w:rsidP="000251AE">
      <w:pPr>
        <w:pStyle w:val="ListParagraph"/>
        <w:rPr>
          <w:color w:val="000000" w:themeColor="text1"/>
        </w:rPr>
      </w:pPr>
    </w:p>
    <w:p w14:paraId="1574229A" w14:textId="5A445007" w:rsidR="00A23FA6" w:rsidRPr="000251AE" w:rsidRDefault="000251AE" w:rsidP="000251AE">
      <w:pPr>
        <w:pStyle w:val="ListParagraph"/>
        <w:widowControl/>
        <w:autoSpaceDE/>
        <w:autoSpaceDN/>
        <w:adjustRightInd/>
        <w:ind w:left="0"/>
        <w:jc w:val="left"/>
        <w:outlineLvl w:val="3"/>
        <w:rPr>
          <w:color w:val="000000" w:themeColor="text1"/>
        </w:rPr>
      </w:pPr>
      <w:r>
        <w:rPr>
          <w:color w:val="000000" w:themeColor="text1"/>
        </w:rPr>
        <w:t xml:space="preserve">NOTE: </w:t>
      </w:r>
      <w:r w:rsidR="00233E3A">
        <w:rPr>
          <w:color w:val="000000" w:themeColor="text1"/>
        </w:rPr>
        <w:t>Although</w:t>
      </w:r>
      <w:r w:rsidR="00440307">
        <w:rPr>
          <w:color w:val="000000" w:themeColor="text1"/>
        </w:rPr>
        <w:t xml:space="preserve"> </w:t>
      </w:r>
      <w:r w:rsidR="00440307" w:rsidRPr="00BB688E">
        <w:rPr>
          <w:color w:val="000000" w:themeColor="text1"/>
        </w:rPr>
        <w:t>freezing</w:t>
      </w:r>
      <w:r w:rsidR="00EC02D3" w:rsidRPr="000251AE">
        <w:rPr>
          <w:color w:val="000000" w:themeColor="text1"/>
        </w:rPr>
        <w:t xml:space="preserve"> and thawing the TMCs will remove debris, it will also </w:t>
      </w:r>
      <w:r w:rsidR="00233E3A">
        <w:rPr>
          <w:color w:val="000000" w:themeColor="text1"/>
        </w:rPr>
        <w:t>damage</w:t>
      </w:r>
      <w:r w:rsidR="00233E3A" w:rsidRPr="000251AE">
        <w:rPr>
          <w:color w:val="000000" w:themeColor="text1"/>
        </w:rPr>
        <w:t xml:space="preserve"> </w:t>
      </w:r>
      <w:r w:rsidR="00EC02D3" w:rsidRPr="000251AE">
        <w:rPr>
          <w:color w:val="000000" w:themeColor="text1"/>
        </w:rPr>
        <w:t>some rare cell types.</w:t>
      </w:r>
      <w:r w:rsidR="00953D69" w:rsidRPr="000251AE">
        <w:rPr>
          <w:color w:val="000000" w:themeColor="text1"/>
        </w:rPr>
        <w:t xml:space="preserve"> If clumps or debris are present after thawing</w:t>
      </w:r>
      <w:r w:rsidR="00020529" w:rsidRPr="000251AE">
        <w:rPr>
          <w:color w:val="000000" w:themeColor="text1"/>
        </w:rPr>
        <w:t>,</w:t>
      </w:r>
      <w:r>
        <w:rPr>
          <w:color w:val="000000" w:themeColor="text1"/>
        </w:rPr>
        <w:t xml:space="preserve"> </w:t>
      </w:r>
      <w:r w:rsidR="00440307">
        <w:rPr>
          <w:color w:val="000000" w:themeColor="text1"/>
        </w:rPr>
        <w:t>it is best</w:t>
      </w:r>
      <w:r w:rsidR="00020529" w:rsidRPr="000251AE">
        <w:rPr>
          <w:color w:val="000000" w:themeColor="text1"/>
        </w:rPr>
        <w:t xml:space="preserve"> to pass the cell suspension through a sterile 70</w:t>
      </w:r>
      <w:r w:rsidR="00D86DA9" w:rsidRPr="000251AE">
        <w:rPr>
          <w:color w:val="000000" w:themeColor="text1"/>
        </w:rPr>
        <w:t xml:space="preserve"> </w:t>
      </w:r>
      <w:r w:rsidR="00020529" w:rsidRPr="000251AE">
        <w:rPr>
          <w:color w:val="000000" w:themeColor="text1"/>
        </w:rPr>
        <w:t xml:space="preserve">µm sieve before using </w:t>
      </w:r>
      <w:r w:rsidR="00440307">
        <w:rPr>
          <w:color w:val="000000" w:themeColor="text1"/>
        </w:rPr>
        <w:t>it</w:t>
      </w:r>
      <w:r w:rsidR="00020529" w:rsidRPr="000251AE">
        <w:rPr>
          <w:color w:val="000000" w:themeColor="text1"/>
        </w:rPr>
        <w:t>.</w:t>
      </w:r>
    </w:p>
    <w:p w14:paraId="6A219471" w14:textId="7D66120B" w:rsidR="00104D8B" w:rsidRPr="001B6A53" w:rsidRDefault="00104D8B" w:rsidP="0082639A">
      <w:pPr>
        <w:pStyle w:val="ListParagraph"/>
        <w:ind w:left="0"/>
        <w:jc w:val="left"/>
        <w:rPr>
          <w:b/>
        </w:rPr>
      </w:pPr>
    </w:p>
    <w:p w14:paraId="065043B5" w14:textId="44CF739D" w:rsidR="00BE3DC0" w:rsidRPr="001B6A53" w:rsidRDefault="00BE3DC0" w:rsidP="004E564A">
      <w:pPr>
        <w:pStyle w:val="ListParagraph"/>
        <w:widowControl/>
        <w:numPr>
          <w:ilvl w:val="0"/>
          <w:numId w:val="34"/>
        </w:numPr>
        <w:autoSpaceDE/>
        <w:autoSpaceDN/>
        <w:adjustRightInd/>
        <w:jc w:val="left"/>
        <w:outlineLvl w:val="0"/>
        <w:rPr>
          <w:b/>
          <w:highlight w:val="yellow"/>
        </w:rPr>
      </w:pPr>
      <w:r w:rsidRPr="001B6A53">
        <w:rPr>
          <w:b/>
          <w:highlight w:val="yellow"/>
        </w:rPr>
        <w:t>Phenotyping of TMCs by flow cytometry</w:t>
      </w:r>
    </w:p>
    <w:p w14:paraId="2D6558B4" w14:textId="77777777" w:rsidR="00EB7ED3" w:rsidRDefault="00EB7ED3" w:rsidP="00EB7ED3">
      <w:pPr>
        <w:pStyle w:val="ListParagraph"/>
        <w:ind w:left="0"/>
        <w:jc w:val="left"/>
        <w:rPr>
          <w:highlight w:val="yellow"/>
        </w:rPr>
      </w:pPr>
    </w:p>
    <w:p w14:paraId="54419C0D" w14:textId="682C133B" w:rsidR="008D3D68" w:rsidRPr="00EB7ED3" w:rsidRDefault="00BE3DC0" w:rsidP="004E564A">
      <w:pPr>
        <w:pStyle w:val="ListParagraph"/>
        <w:numPr>
          <w:ilvl w:val="1"/>
          <w:numId w:val="34"/>
        </w:numPr>
        <w:jc w:val="left"/>
        <w:rPr>
          <w:highlight w:val="yellow"/>
        </w:rPr>
      </w:pPr>
      <w:r w:rsidRPr="001B6A53">
        <w:rPr>
          <w:highlight w:val="yellow"/>
        </w:rPr>
        <w:t xml:space="preserve">Retrieve </w:t>
      </w:r>
      <w:r w:rsidR="00336C92" w:rsidRPr="00BB688E">
        <w:rPr>
          <w:color w:val="000000" w:themeColor="text1"/>
          <w:highlight w:val="yellow"/>
        </w:rPr>
        <w:t>5</w:t>
      </w:r>
      <w:r w:rsidR="00440307">
        <w:rPr>
          <w:color w:val="000000" w:themeColor="text1"/>
          <w:highlight w:val="yellow"/>
        </w:rPr>
        <w:t xml:space="preserve"> </w:t>
      </w:r>
      <w:r w:rsidR="00BB3EF2" w:rsidRPr="00BB688E">
        <w:rPr>
          <w:color w:val="000000" w:themeColor="text1"/>
          <w:highlight w:val="yellow"/>
        </w:rPr>
        <w:t>x</w:t>
      </w:r>
      <w:r w:rsidR="00440307">
        <w:rPr>
          <w:color w:val="000000" w:themeColor="text1"/>
          <w:highlight w:val="yellow"/>
        </w:rPr>
        <w:t xml:space="preserve"> </w:t>
      </w:r>
      <w:r w:rsidR="00B052D7" w:rsidRPr="00BB688E">
        <w:rPr>
          <w:color w:val="000000" w:themeColor="text1"/>
          <w:highlight w:val="yellow"/>
        </w:rPr>
        <w:t>10</w:t>
      </w:r>
      <w:r w:rsidR="00B052D7" w:rsidRPr="00BB688E">
        <w:rPr>
          <w:color w:val="000000" w:themeColor="text1"/>
          <w:highlight w:val="yellow"/>
          <w:vertAlign w:val="superscript"/>
        </w:rPr>
        <w:t>6</w:t>
      </w:r>
      <w:r w:rsidR="00B052D7" w:rsidRPr="001B6A53">
        <w:rPr>
          <w:color w:val="000000" w:themeColor="text1"/>
          <w:highlight w:val="yellow"/>
        </w:rPr>
        <w:t xml:space="preserve"> cells</w:t>
      </w:r>
      <w:r w:rsidR="008D3D68" w:rsidRPr="001B6A53">
        <w:rPr>
          <w:color w:val="000000" w:themeColor="text1"/>
          <w:highlight w:val="yellow"/>
        </w:rPr>
        <w:t xml:space="preserve"> </w:t>
      </w:r>
      <w:r w:rsidR="00B052D7" w:rsidRPr="001B6A53">
        <w:rPr>
          <w:color w:val="000000" w:themeColor="text1"/>
          <w:highlight w:val="yellow"/>
        </w:rPr>
        <w:t>from the previous solution</w:t>
      </w:r>
      <w:r w:rsidR="00042C09" w:rsidRPr="001B6A53">
        <w:rPr>
          <w:color w:val="000000" w:themeColor="text1"/>
          <w:highlight w:val="yellow"/>
        </w:rPr>
        <w:t xml:space="preserve"> for each antibody </w:t>
      </w:r>
      <w:r w:rsidR="008D3D68" w:rsidRPr="001B6A53">
        <w:rPr>
          <w:color w:val="000000" w:themeColor="text1"/>
          <w:highlight w:val="yellow"/>
        </w:rPr>
        <w:t>mixture panel</w:t>
      </w:r>
      <w:r w:rsidR="00042C09" w:rsidRPr="001B6A53">
        <w:rPr>
          <w:color w:val="000000" w:themeColor="text1"/>
          <w:highlight w:val="yellow"/>
        </w:rPr>
        <w:t xml:space="preserve"> that needs to be tested</w:t>
      </w:r>
      <w:r w:rsidR="008D3D68" w:rsidRPr="001B6A53">
        <w:rPr>
          <w:color w:val="000000" w:themeColor="text1"/>
          <w:highlight w:val="yellow"/>
        </w:rPr>
        <w:t xml:space="preserve"> and place in a 5 mL cytometry tube.</w:t>
      </w:r>
      <w:r w:rsidR="0061322F">
        <w:rPr>
          <w:color w:val="000000" w:themeColor="text1"/>
          <w:highlight w:val="yellow"/>
        </w:rPr>
        <w:t xml:space="preserve"> </w:t>
      </w:r>
      <w:r w:rsidR="00D86DA9" w:rsidRPr="001B6A53">
        <w:rPr>
          <w:highlight w:val="yellow"/>
        </w:rPr>
        <w:t xml:space="preserve">Retrieve </w:t>
      </w:r>
      <w:r w:rsidR="00D86DA9" w:rsidRPr="00BB688E">
        <w:rPr>
          <w:color w:val="000000" w:themeColor="text1"/>
          <w:highlight w:val="yellow"/>
        </w:rPr>
        <w:t>1</w:t>
      </w:r>
      <w:r w:rsidR="00440307">
        <w:rPr>
          <w:color w:val="000000" w:themeColor="text1"/>
          <w:highlight w:val="yellow"/>
        </w:rPr>
        <w:t xml:space="preserve"> </w:t>
      </w:r>
      <w:r w:rsidR="00BB3EF2" w:rsidRPr="00BB688E">
        <w:rPr>
          <w:color w:val="000000" w:themeColor="text1"/>
          <w:highlight w:val="yellow"/>
        </w:rPr>
        <w:t>x</w:t>
      </w:r>
      <w:r w:rsidR="00440307">
        <w:rPr>
          <w:color w:val="000000" w:themeColor="text1"/>
          <w:highlight w:val="yellow"/>
        </w:rPr>
        <w:t xml:space="preserve"> </w:t>
      </w:r>
      <w:r w:rsidR="00D86DA9" w:rsidRPr="00BB688E">
        <w:rPr>
          <w:color w:val="000000" w:themeColor="text1"/>
          <w:highlight w:val="yellow"/>
        </w:rPr>
        <w:t>10</w:t>
      </w:r>
      <w:r w:rsidR="00D86DA9" w:rsidRPr="00BB688E">
        <w:rPr>
          <w:color w:val="000000" w:themeColor="text1"/>
          <w:highlight w:val="yellow"/>
          <w:vertAlign w:val="superscript"/>
        </w:rPr>
        <w:t>6</w:t>
      </w:r>
      <w:r w:rsidR="00D86DA9" w:rsidRPr="001B6A53">
        <w:rPr>
          <w:color w:val="000000" w:themeColor="text1"/>
          <w:highlight w:val="yellow"/>
        </w:rPr>
        <w:t xml:space="preserve"> cells for the unstained </w:t>
      </w:r>
      <w:r w:rsidR="00AE2706">
        <w:rPr>
          <w:color w:val="000000" w:themeColor="text1"/>
          <w:highlight w:val="yellow"/>
        </w:rPr>
        <w:t>control</w:t>
      </w:r>
      <w:r w:rsidR="00D86DA9" w:rsidRPr="001B6A53">
        <w:rPr>
          <w:color w:val="000000" w:themeColor="text1"/>
          <w:highlight w:val="yellow"/>
        </w:rPr>
        <w:t xml:space="preserve">. </w:t>
      </w:r>
    </w:p>
    <w:p w14:paraId="49C5C461" w14:textId="77777777" w:rsidR="00EB7ED3" w:rsidRPr="001B6A53" w:rsidRDefault="00EB7ED3" w:rsidP="00EB7ED3">
      <w:pPr>
        <w:pStyle w:val="ListParagraph"/>
        <w:ind w:left="0"/>
        <w:jc w:val="left"/>
        <w:rPr>
          <w:highlight w:val="yellow"/>
        </w:rPr>
      </w:pPr>
    </w:p>
    <w:p w14:paraId="0F5A6D25" w14:textId="667006F7" w:rsidR="00B052D7" w:rsidRPr="001B6A53" w:rsidRDefault="00B052D7" w:rsidP="004E564A">
      <w:pPr>
        <w:pStyle w:val="ListParagraph"/>
        <w:numPr>
          <w:ilvl w:val="1"/>
          <w:numId w:val="34"/>
        </w:numPr>
        <w:jc w:val="left"/>
        <w:rPr>
          <w:highlight w:val="yellow"/>
        </w:rPr>
      </w:pPr>
      <w:r w:rsidRPr="001B6A53">
        <w:rPr>
          <w:highlight w:val="yellow"/>
        </w:rPr>
        <w:t xml:space="preserve">Wash the cells in PBS </w:t>
      </w:r>
      <w:r w:rsidR="00440307">
        <w:rPr>
          <w:highlight w:val="yellow"/>
        </w:rPr>
        <w:t>and</w:t>
      </w:r>
      <w:r w:rsidR="00440307" w:rsidRPr="00BB688E">
        <w:rPr>
          <w:highlight w:val="yellow"/>
        </w:rPr>
        <w:t xml:space="preserve"> </w:t>
      </w:r>
      <w:r w:rsidRPr="00BB688E">
        <w:rPr>
          <w:highlight w:val="yellow"/>
        </w:rPr>
        <w:t>centrifug</w:t>
      </w:r>
      <w:r w:rsidR="00440307">
        <w:rPr>
          <w:highlight w:val="yellow"/>
        </w:rPr>
        <w:t>e</w:t>
      </w:r>
      <w:r w:rsidRPr="001B6A53">
        <w:rPr>
          <w:highlight w:val="yellow"/>
        </w:rPr>
        <w:t xml:space="preserve"> at 400 </w:t>
      </w:r>
      <w:r w:rsidR="00E448D2" w:rsidRPr="001B6A53">
        <w:rPr>
          <w:highlight w:val="yellow"/>
        </w:rPr>
        <w:t xml:space="preserve">x </w:t>
      </w:r>
      <w:r w:rsidRPr="008D46BC">
        <w:rPr>
          <w:i/>
          <w:highlight w:val="yellow"/>
        </w:rPr>
        <w:t>g</w:t>
      </w:r>
      <w:r w:rsidRPr="001B6A53">
        <w:rPr>
          <w:highlight w:val="yellow"/>
        </w:rPr>
        <w:t xml:space="preserve"> for 5</w:t>
      </w:r>
      <w:r w:rsidR="008D3D68" w:rsidRPr="001B6A53">
        <w:rPr>
          <w:highlight w:val="yellow"/>
        </w:rPr>
        <w:t xml:space="preserve"> </w:t>
      </w:r>
      <w:r w:rsidRPr="001B6A53">
        <w:rPr>
          <w:highlight w:val="yellow"/>
        </w:rPr>
        <w:t>min at 4</w:t>
      </w:r>
      <w:r w:rsidR="00243911" w:rsidRPr="001B6A53">
        <w:rPr>
          <w:highlight w:val="yellow"/>
        </w:rPr>
        <w:t xml:space="preserve"> </w:t>
      </w:r>
      <w:r w:rsidRPr="001B6A53">
        <w:rPr>
          <w:highlight w:val="yellow"/>
        </w:rPr>
        <w:t>°C</w:t>
      </w:r>
      <w:r w:rsidR="00440307">
        <w:rPr>
          <w:highlight w:val="yellow"/>
        </w:rPr>
        <w:t>.</w:t>
      </w:r>
      <w:r w:rsidR="00336C92" w:rsidRPr="001B6A53">
        <w:rPr>
          <w:highlight w:val="yellow"/>
        </w:rPr>
        <w:t xml:space="preserve"> </w:t>
      </w:r>
      <w:r w:rsidR="00440307" w:rsidRPr="00BB688E">
        <w:rPr>
          <w:highlight w:val="yellow"/>
        </w:rPr>
        <w:t>Resuspend</w:t>
      </w:r>
      <w:r w:rsidR="00336C92" w:rsidRPr="001B6A53">
        <w:rPr>
          <w:highlight w:val="yellow"/>
        </w:rPr>
        <w:t xml:space="preserve"> them in 500 µL of PBS </w:t>
      </w:r>
      <w:r w:rsidR="008D3D68" w:rsidRPr="001B6A53">
        <w:rPr>
          <w:highlight w:val="yellow"/>
        </w:rPr>
        <w:t>(</w:t>
      </w:r>
      <w:r w:rsidR="008D3D68" w:rsidRPr="00BB688E">
        <w:rPr>
          <w:color w:val="000000" w:themeColor="text1"/>
          <w:highlight w:val="yellow"/>
        </w:rPr>
        <w:t>1</w:t>
      </w:r>
      <w:r w:rsidR="00440307">
        <w:rPr>
          <w:color w:val="000000" w:themeColor="text1"/>
          <w:highlight w:val="yellow"/>
        </w:rPr>
        <w:t xml:space="preserve"> </w:t>
      </w:r>
      <w:r w:rsidR="00BB3EF2" w:rsidRPr="00BB688E">
        <w:rPr>
          <w:color w:val="000000" w:themeColor="text1"/>
          <w:highlight w:val="yellow"/>
        </w:rPr>
        <w:t>x</w:t>
      </w:r>
      <w:r w:rsidR="00440307">
        <w:rPr>
          <w:color w:val="000000" w:themeColor="text1"/>
          <w:highlight w:val="yellow"/>
        </w:rPr>
        <w:t xml:space="preserve"> </w:t>
      </w:r>
      <w:r w:rsidR="008D3D68" w:rsidRPr="00BB688E">
        <w:rPr>
          <w:color w:val="000000" w:themeColor="text1"/>
          <w:highlight w:val="yellow"/>
        </w:rPr>
        <w:t>10</w:t>
      </w:r>
      <w:r w:rsidR="008D3D68" w:rsidRPr="00BB688E">
        <w:rPr>
          <w:color w:val="000000" w:themeColor="text1"/>
          <w:highlight w:val="yellow"/>
          <w:vertAlign w:val="superscript"/>
        </w:rPr>
        <w:t>6</w:t>
      </w:r>
      <w:r w:rsidR="008D3D68" w:rsidRPr="001B6A53">
        <w:rPr>
          <w:color w:val="000000" w:themeColor="text1"/>
          <w:highlight w:val="yellow"/>
        </w:rPr>
        <w:t xml:space="preserve"> cells</w:t>
      </w:r>
      <w:r w:rsidR="00440307">
        <w:rPr>
          <w:color w:val="000000" w:themeColor="text1"/>
          <w:highlight w:val="yellow"/>
        </w:rPr>
        <w:t>/</w:t>
      </w:r>
      <w:r w:rsidR="008D3D68" w:rsidRPr="001B6A53">
        <w:rPr>
          <w:color w:val="000000" w:themeColor="text1"/>
          <w:highlight w:val="yellow"/>
        </w:rPr>
        <w:t xml:space="preserve">mL) </w:t>
      </w:r>
      <w:r w:rsidR="00336C92" w:rsidRPr="001B6A53">
        <w:rPr>
          <w:highlight w:val="yellow"/>
        </w:rPr>
        <w:t>and incubate with a viability stain</w:t>
      </w:r>
      <w:r w:rsidR="00020529" w:rsidRPr="001B6A53">
        <w:rPr>
          <w:highlight w:val="yellow"/>
        </w:rPr>
        <w:t xml:space="preserve"> </w:t>
      </w:r>
      <w:r w:rsidR="00336C92" w:rsidRPr="001B6A53">
        <w:rPr>
          <w:highlight w:val="yellow"/>
        </w:rPr>
        <w:t>for 30 min at 4</w:t>
      </w:r>
      <w:r w:rsidR="00243911" w:rsidRPr="001B6A53">
        <w:rPr>
          <w:highlight w:val="yellow"/>
        </w:rPr>
        <w:t xml:space="preserve"> </w:t>
      </w:r>
      <w:r w:rsidR="00336C92" w:rsidRPr="001B6A53">
        <w:rPr>
          <w:highlight w:val="yellow"/>
        </w:rPr>
        <w:t>°C</w:t>
      </w:r>
      <w:r w:rsidR="008D3D68" w:rsidRPr="001B6A53">
        <w:rPr>
          <w:highlight w:val="yellow"/>
        </w:rPr>
        <w:t xml:space="preserve"> in the dark</w:t>
      </w:r>
      <w:r w:rsidR="00336C92" w:rsidRPr="001B6A53">
        <w:rPr>
          <w:highlight w:val="yellow"/>
        </w:rPr>
        <w:t>.</w:t>
      </w:r>
      <w:r w:rsidR="0061322F">
        <w:rPr>
          <w:highlight w:val="yellow"/>
        </w:rPr>
        <w:t xml:space="preserve"> </w:t>
      </w:r>
    </w:p>
    <w:p w14:paraId="4E8B83A2" w14:textId="77777777" w:rsidR="00EB7ED3" w:rsidRDefault="00EB7ED3" w:rsidP="00EB7ED3">
      <w:pPr>
        <w:pStyle w:val="ListParagraph"/>
        <w:ind w:left="0"/>
        <w:jc w:val="left"/>
        <w:rPr>
          <w:highlight w:val="yellow"/>
        </w:rPr>
      </w:pPr>
    </w:p>
    <w:p w14:paraId="72F0E967" w14:textId="72C81D8D" w:rsidR="00D63CEF" w:rsidRPr="001B6A53" w:rsidRDefault="00D63CEF" w:rsidP="004E564A">
      <w:pPr>
        <w:pStyle w:val="ListParagraph"/>
        <w:numPr>
          <w:ilvl w:val="1"/>
          <w:numId w:val="34"/>
        </w:numPr>
        <w:jc w:val="left"/>
        <w:rPr>
          <w:highlight w:val="yellow"/>
        </w:rPr>
      </w:pPr>
      <w:r w:rsidRPr="001B6A53">
        <w:rPr>
          <w:highlight w:val="yellow"/>
        </w:rPr>
        <w:t xml:space="preserve">Add </w:t>
      </w:r>
      <w:r w:rsidR="008D3D68" w:rsidRPr="001B6A53">
        <w:rPr>
          <w:highlight w:val="yellow"/>
        </w:rPr>
        <w:t>5 µL heat</w:t>
      </w:r>
      <w:r w:rsidR="002B0C2C">
        <w:rPr>
          <w:highlight w:val="yellow"/>
        </w:rPr>
        <w:t xml:space="preserve"> </w:t>
      </w:r>
      <w:r w:rsidR="008D3D68" w:rsidRPr="001B6A53">
        <w:rPr>
          <w:highlight w:val="yellow"/>
        </w:rPr>
        <w:t xml:space="preserve">inactivated </w:t>
      </w:r>
      <w:r w:rsidRPr="001B6A53">
        <w:rPr>
          <w:highlight w:val="yellow"/>
        </w:rPr>
        <w:t xml:space="preserve">human AB serum </w:t>
      </w:r>
      <w:r w:rsidR="008D3D68" w:rsidRPr="001B6A53">
        <w:rPr>
          <w:highlight w:val="yellow"/>
        </w:rPr>
        <w:t xml:space="preserve">per 100 µL of cell suspension </w:t>
      </w:r>
      <w:r w:rsidRPr="001B6A53">
        <w:rPr>
          <w:highlight w:val="yellow"/>
        </w:rPr>
        <w:t>and incubate for 15 min at 4</w:t>
      </w:r>
      <w:r w:rsidR="00243911" w:rsidRPr="001B6A53">
        <w:rPr>
          <w:highlight w:val="yellow"/>
        </w:rPr>
        <w:t xml:space="preserve"> </w:t>
      </w:r>
      <w:r w:rsidRPr="001B6A53">
        <w:rPr>
          <w:highlight w:val="yellow"/>
        </w:rPr>
        <w:t>°C</w:t>
      </w:r>
      <w:r w:rsidR="00020529" w:rsidRPr="001B6A53">
        <w:rPr>
          <w:highlight w:val="yellow"/>
        </w:rPr>
        <w:t xml:space="preserve"> in the dark</w:t>
      </w:r>
      <w:r w:rsidRPr="001B6A53">
        <w:rPr>
          <w:highlight w:val="yellow"/>
        </w:rPr>
        <w:t xml:space="preserve">. </w:t>
      </w:r>
    </w:p>
    <w:p w14:paraId="6CBAAB0C" w14:textId="77777777" w:rsidR="00EB7ED3" w:rsidRDefault="00EB7ED3" w:rsidP="00EB7ED3">
      <w:pPr>
        <w:pStyle w:val="ListParagraph"/>
        <w:ind w:left="0"/>
        <w:jc w:val="left"/>
        <w:rPr>
          <w:highlight w:val="yellow"/>
        </w:rPr>
      </w:pPr>
    </w:p>
    <w:p w14:paraId="3E1DED2E" w14:textId="560675DC" w:rsidR="00E06508" w:rsidRPr="001B6A53" w:rsidRDefault="00D63CEF" w:rsidP="004E564A">
      <w:pPr>
        <w:pStyle w:val="ListParagraph"/>
        <w:numPr>
          <w:ilvl w:val="1"/>
          <w:numId w:val="34"/>
        </w:numPr>
        <w:jc w:val="left"/>
        <w:rPr>
          <w:highlight w:val="yellow"/>
        </w:rPr>
      </w:pPr>
      <w:r w:rsidRPr="001B6A53">
        <w:rPr>
          <w:highlight w:val="yellow"/>
        </w:rPr>
        <w:t>Wash the cells in PBS + 2% FBS + 2 mM EDTA (</w:t>
      </w:r>
      <w:r w:rsidR="00233E3A" w:rsidRPr="001B6A53">
        <w:rPr>
          <w:highlight w:val="yellow"/>
        </w:rPr>
        <w:t>Wash Buffer</w:t>
      </w:r>
      <w:r w:rsidR="00E06508" w:rsidRPr="001B6A53">
        <w:rPr>
          <w:highlight w:val="yellow"/>
        </w:rPr>
        <w:t>)</w:t>
      </w:r>
      <w:r w:rsidRPr="001B6A53">
        <w:rPr>
          <w:highlight w:val="yellow"/>
        </w:rPr>
        <w:t xml:space="preserve"> </w:t>
      </w:r>
      <w:r w:rsidR="00440307">
        <w:rPr>
          <w:highlight w:val="yellow"/>
        </w:rPr>
        <w:t>and</w:t>
      </w:r>
      <w:r w:rsidR="00440307" w:rsidRPr="001B6A53">
        <w:rPr>
          <w:highlight w:val="yellow"/>
        </w:rPr>
        <w:t xml:space="preserve"> </w:t>
      </w:r>
      <w:r w:rsidRPr="001B6A53">
        <w:rPr>
          <w:highlight w:val="yellow"/>
        </w:rPr>
        <w:t>centrifug</w:t>
      </w:r>
      <w:r w:rsidR="00440307">
        <w:rPr>
          <w:highlight w:val="yellow"/>
        </w:rPr>
        <w:t>e</w:t>
      </w:r>
      <w:r w:rsidRPr="001B6A53">
        <w:rPr>
          <w:highlight w:val="yellow"/>
        </w:rPr>
        <w:t xml:space="preserve"> at 400 </w:t>
      </w:r>
      <w:r w:rsidR="00E448D2" w:rsidRPr="001B6A53">
        <w:rPr>
          <w:highlight w:val="yellow"/>
        </w:rPr>
        <w:t xml:space="preserve">x </w:t>
      </w:r>
      <w:r w:rsidRPr="008D46BC">
        <w:rPr>
          <w:i/>
          <w:highlight w:val="yellow"/>
        </w:rPr>
        <w:t>g</w:t>
      </w:r>
      <w:r w:rsidRPr="001B6A53">
        <w:rPr>
          <w:highlight w:val="yellow"/>
        </w:rPr>
        <w:t xml:space="preserve"> for 5</w:t>
      </w:r>
      <w:r w:rsidR="00EB7ED3">
        <w:rPr>
          <w:highlight w:val="yellow"/>
        </w:rPr>
        <w:t xml:space="preserve"> </w:t>
      </w:r>
      <w:r w:rsidRPr="001B6A53">
        <w:rPr>
          <w:highlight w:val="yellow"/>
        </w:rPr>
        <w:t>min at 4</w:t>
      </w:r>
      <w:r w:rsidR="00243911" w:rsidRPr="001B6A53">
        <w:rPr>
          <w:highlight w:val="yellow"/>
        </w:rPr>
        <w:t xml:space="preserve"> </w:t>
      </w:r>
      <w:r w:rsidRPr="001B6A53">
        <w:rPr>
          <w:highlight w:val="yellow"/>
        </w:rPr>
        <w:t>°C</w:t>
      </w:r>
      <w:r w:rsidR="00E06508" w:rsidRPr="001B6A53">
        <w:rPr>
          <w:highlight w:val="yellow"/>
        </w:rPr>
        <w:t>.</w:t>
      </w:r>
    </w:p>
    <w:p w14:paraId="186DFC3B" w14:textId="77777777" w:rsidR="00EB7ED3" w:rsidRDefault="00EB7ED3" w:rsidP="00EB7ED3">
      <w:pPr>
        <w:pStyle w:val="ListParagraph"/>
        <w:ind w:left="0"/>
        <w:jc w:val="left"/>
        <w:rPr>
          <w:highlight w:val="yellow"/>
        </w:rPr>
      </w:pPr>
    </w:p>
    <w:p w14:paraId="6F17B3F2" w14:textId="50E4523A" w:rsidR="00BE3DC0" w:rsidRPr="001B6A53" w:rsidRDefault="00E06508" w:rsidP="004E564A">
      <w:pPr>
        <w:pStyle w:val="ListParagraph"/>
        <w:numPr>
          <w:ilvl w:val="1"/>
          <w:numId w:val="34"/>
        </w:numPr>
        <w:jc w:val="left"/>
        <w:rPr>
          <w:highlight w:val="yellow"/>
        </w:rPr>
      </w:pPr>
      <w:r w:rsidRPr="001B6A53">
        <w:rPr>
          <w:highlight w:val="yellow"/>
        </w:rPr>
        <w:t>R</w:t>
      </w:r>
      <w:r w:rsidR="00D63CEF" w:rsidRPr="001B6A53">
        <w:rPr>
          <w:highlight w:val="yellow"/>
        </w:rPr>
        <w:t>esuspend the</w:t>
      </w:r>
      <w:r w:rsidRPr="001B6A53">
        <w:rPr>
          <w:highlight w:val="yellow"/>
        </w:rPr>
        <w:t xml:space="preserve"> TMCs</w:t>
      </w:r>
      <w:r w:rsidR="00D63CEF" w:rsidRPr="001B6A53">
        <w:rPr>
          <w:highlight w:val="yellow"/>
        </w:rPr>
        <w:t xml:space="preserve"> in 500 µL of </w:t>
      </w:r>
      <w:r w:rsidR="00233E3A" w:rsidRPr="001B6A53">
        <w:rPr>
          <w:highlight w:val="yellow"/>
        </w:rPr>
        <w:t xml:space="preserve">Wash Buffer </w:t>
      </w:r>
      <w:r w:rsidRPr="001B6A53">
        <w:rPr>
          <w:highlight w:val="yellow"/>
        </w:rPr>
        <w:t xml:space="preserve">containing the antibodies as detailed in </w:t>
      </w:r>
      <w:r w:rsidR="00440307" w:rsidRPr="00440307">
        <w:rPr>
          <w:b/>
          <w:bCs/>
          <w:highlight w:val="yellow"/>
        </w:rPr>
        <w:t>Table</w:t>
      </w:r>
      <w:r w:rsidR="00291AD8">
        <w:rPr>
          <w:highlight w:val="yellow"/>
        </w:rPr>
        <w:t xml:space="preserve"> </w:t>
      </w:r>
      <w:r w:rsidR="00291AD8" w:rsidRPr="008D46BC">
        <w:rPr>
          <w:b/>
          <w:highlight w:val="yellow"/>
        </w:rPr>
        <w:t>1</w:t>
      </w:r>
      <w:r w:rsidRPr="001B6A53">
        <w:rPr>
          <w:highlight w:val="yellow"/>
        </w:rPr>
        <w:t xml:space="preserve">. Incubate the cells </w:t>
      </w:r>
      <w:r w:rsidR="00B908F1" w:rsidRPr="001B6A53">
        <w:rPr>
          <w:highlight w:val="yellow"/>
        </w:rPr>
        <w:t xml:space="preserve">for </w:t>
      </w:r>
      <w:r w:rsidRPr="001B6A53">
        <w:rPr>
          <w:highlight w:val="yellow"/>
        </w:rPr>
        <w:t>30 min at 4</w:t>
      </w:r>
      <w:r w:rsidR="00243911" w:rsidRPr="001B6A53">
        <w:rPr>
          <w:highlight w:val="yellow"/>
        </w:rPr>
        <w:t xml:space="preserve"> </w:t>
      </w:r>
      <w:r w:rsidRPr="001B6A53">
        <w:rPr>
          <w:highlight w:val="yellow"/>
        </w:rPr>
        <w:t>°C</w:t>
      </w:r>
      <w:r w:rsidR="00B908F1" w:rsidRPr="001B6A53">
        <w:rPr>
          <w:highlight w:val="yellow"/>
        </w:rPr>
        <w:t xml:space="preserve"> in the dark</w:t>
      </w:r>
      <w:r w:rsidRPr="001B6A53">
        <w:rPr>
          <w:highlight w:val="yellow"/>
        </w:rPr>
        <w:t xml:space="preserve">. </w:t>
      </w:r>
    </w:p>
    <w:p w14:paraId="70410E6A" w14:textId="77777777" w:rsidR="00EB7ED3" w:rsidRDefault="00EB7ED3" w:rsidP="00EB7ED3">
      <w:pPr>
        <w:pStyle w:val="ListParagraph"/>
        <w:ind w:left="0"/>
        <w:jc w:val="left"/>
        <w:rPr>
          <w:highlight w:val="yellow"/>
        </w:rPr>
      </w:pPr>
    </w:p>
    <w:p w14:paraId="6886ADA7" w14:textId="50925B19" w:rsidR="00EE58B4" w:rsidRPr="001B6A53" w:rsidRDefault="00E06508" w:rsidP="004E564A">
      <w:pPr>
        <w:pStyle w:val="ListParagraph"/>
        <w:numPr>
          <w:ilvl w:val="1"/>
          <w:numId w:val="34"/>
        </w:numPr>
        <w:jc w:val="left"/>
        <w:rPr>
          <w:highlight w:val="yellow"/>
        </w:rPr>
      </w:pPr>
      <w:r w:rsidRPr="001B6A53">
        <w:rPr>
          <w:highlight w:val="yellow"/>
        </w:rPr>
        <w:t xml:space="preserve">Wash the cells in </w:t>
      </w:r>
      <w:r w:rsidR="00233E3A" w:rsidRPr="001B6A53">
        <w:rPr>
          <w:highlight w:val="yellow"/>
        </w:rPr>
        <w:t xml:space="preserve">Wash Buffer </w:t>
      </w:r>
      <w:r w:rsidR="00440307">
        <w:rPr>
          <w:highlight w:val="yellow"/>
        </w:rPr>
        <w:t>and</w:t>
      </w:r>
      <w:r w:rsidR="00440307" w:rsidRPr="00BB688E">
        <w:rPr>
          <w:highlight w:val="yellow"/>
        </w:rPr>
        <w:t xml:space="preserve"> </w:t>
      </w:r>
      <w:r w:rsidRPr="00BB688E">
        <w:rPr>
          <w:highlight w:val="yellow"/>
        </w:rPr>
        <w:t>centrifug</w:t>
      </w:r>
      <w:r w:rsidR="00440307">
        <w:rPr>
          <w:highlight w:val="yellow"/>
        </w:rPr>
        <w:t>e</w:t>
      </w:r>
      <w:r w:rsidRPr="001B6A53">
        <w:rPr>
          <w:highlight w:val="yellow"/>
        </w:rPr>
        <w:t xml:space="preserve"> at 400 </w:t>
      </w:r>
      <w:r w:rsidR="00E448D2" w:rsidRPr="001B6A53">
        <w:rPr>
          <w:highlight w:val="yellow"/>
        </w:rPr>
        <w:t xml:space="preserve">x </w:t>
      </w:r>
      <w:r w:rsidRPr="008D46BC">
        <w:rPr>
          <w:i/>
          <w:highlight w:val="yellow"/>
        </w:rPr>
        <w:t>g</w:t>
      </w:r>
      <w:r w:rsidRPr="001B6A53">
        <w:rPr>
          <w:highlight w:val="yellow"/>
        </w:rPr>
        <w:t xml:space="preserve"> for </w:t>
      </w:r>
      <w:r w:rsidRPr="00BB688E">
        <w:rPr>
          <w:highlight w:val="yellow"/>
        </w:rPr>
        <w:t>5</w:t>
      </w:r>
      <w:r w:rsidR="001967B5">
        <w:rPr>
          <w:highlight w:val="yellow"/>
        </w:rPr>
        <w:t xml:space="preserve"> </w:t>
      </w:r>
      <w:r w:rsidRPr="00BB688E">
        <w:rPr>
          <w:highlight w:val="yellow"/>
        </w:rPr>
        <w:t>min</w:t>
      </w:r>
      <w:r w:rsidRPr="001B6A53">
        <w:rPr>
          <w:highlight w:val="yellow"/>
        </w:rPr>
        <w:t xml:space="preserve"> at 4</w:t>
      </w:r>
      <w:r w:rsidR="00243911" w:rsidRPr="001B6A53">
        <w:rPr>
          <w:highlight w:val="yellow"/>
        </w:rPr>
        <w:t xml:space="preserve"> </w:t>
      </w:r>
      <w:r w:rsidRPr="001B6A53">
        <w:rPr>
          <w:highlight w:val="yellow"/>
        </w:rPr>
        <w:t>°C</w:t>
      </w:r>
      <w:r w:rsidR="00440307">
        <w:rPr>
          <w:highlight w:val="yellow"/>
        </w:rPr>
        <w:t>.</w:t>
      </w:r>
      <w:r w:rsidRPr="001B6A53">
        <w:rPr>
          <w:highlight w:val="yellow"/>
        </w:rPr>
        <w:t xml:space="preserve"> </w:t>
      </w:r>
      <w:r w:rsidR="00440307" w:rsidRPr="00BB688E">
        <w:rPr>
          <w:highlight w:val="yellow"/>
        </w:rPr>
        <w:t>Resuspend</w:t>
      </w:r>
      <w:r w:rsidRPr="001B6A53">
        <w:rPr>
          <w:highlight w:val="yellow"/>
        </w:rPr>
        <w:t xml:space="preserve"> the TMCs in 500 µL of PBS containing 0.5% of paraformaldehyde (PFA). Keep in </w:t>
      </w:r>
      <w:r w:rsidR="00233E3A">
        <w:rPr>
          <w:highlight w:val="yellow"/>
        </w:rPr>
        <w:t xml:space="preserve">the </w:t>
      </w:r>
      <w:r w:rsidRPr="001B6A53">
        <w:rPr>
          <w:highlight w:val="yellow"/>
        </w:rPr>
        <w:t>dark at 4</w:t>
      </w:r>
      <w:r w:rsidR="00243911" w:rsidRPr="001B6A53">
        <w:rPr>
          <w:highlight w:val="yellow"/>
        </w:rPr>
        <w:t xml:space="preserve"> </w:t>
      </w:r>
      <w:r w:rsidRPr="001B6A53">
        <w:rPr>
          <w:highlight w:val="yellow"/>
        </w:rPr>
        <w:t xml:space="preserve">°C until acquisition by flow cytometry. </w:t>
      </w:r>
    </w:p>
    <w:p w14:paraId="4E008D5E" w14:textId="77777777" w:rsidR="00EB7ED3" w:rsidRDefault="00EB7ED3" w:rsidP="0082639A">
      <w:pPr>
        <w:pStyle w:val="ListParagraph"/>
        <w:ind w:left="0"/>
        <w:jc w:val="left"/>
        <w:rPr>
          <w:color w:val="000000" w:themeColor="text1"/>
          <w:highlight w:val="yellow"/>
        </w:rPr>
      </w:pPr>
    </w:p>
    <w:p w14:paraId="2F267C76" w14:textId="38E00EF9" w:rsidR="00D86DA9" w:rsidRPr="00291AD8" w:rsidRDefault="00233E3A" w:rsidP="0082639A">
      <w:pPr>
        <w:pStyle w:val="ListParagraph"/>
        <w:ind w:left="0"/>
        <w:jc w:val="left"/>
      </w:pPr>
      <w:r w:rsidRPr="001B6A53">
        <w:rPr>
          <w:color w:val="000000" w:themeColor="text1"/>
          <w:highlight w:val="yellow"/>
        </w:rPr>
        <w:t>NOTE</w:t>
      </w:r>
      <w:r w:rsidR="00D86DA9" w:rsidRPr="001B6A53">
        <w:rPr>
          <w:color w:val="000000" w:themeColor="text1"/>
          <w:highlight w:val="yellow"/>
        </w:rPr>
        <w:t xml:space="preserve">: PFA is </w:t>
      </w:r>
      <w:r>
        <w:rPr>
          <w:color w:val="000000" w:themeColor="text1"/>
          <w:highlight w:val="yellow"/>
        </w:rPr>
        <w:t>hazardous</w:t>
      </w:r>
      <w:r w:rsidR="00D86DA9" w:rsidRPr="001B6A53">
        <w:rPr>
          <w:color w:val="000000" w:themeColor="text1"/>
          <w:highlight w:val="yellow"/>
        </w:rPr>
        <w:t xml:space="preserve">. Use </w:t>
      </w:r>
      <w:r w:rsidR="00440307">
        <w:rPr>
          <w:color w:val="000000" w:themeColor="text1"/>
          <w:highlight w:val="yellow"/>
        </w:rPr>
        <w:t xml:space="preserve">a </w:t>
      </w:r>
      <w:r w:rsidR="00D86DA9" w:rsidRPr="001B6A53">
        <w:rPr>
          <w:color w:val="000000" w:themeColor="text1"/>
          <w:highlight w:val="yellow"/>
        </w:rPr>
        <w:t>commercial ready</w:t>
      </w:r>
      <w:r w:rsidR="00440307">
        <w:rPr>
          <w:color w:val="000000" w:themeColor="text1"/>
          <w:highlight w:val="yellow"/>
        </w:rPr>
        <w:t>-</w:t>
      </w:r>
      <w:r w:rsidR="00D86DA9" w:rsidRPr="001B6A53">
        <w:rPr>
          <w:color w:val="000000" w:themeColor="text1"/>
          <w:highlight w:val="yellow"/>
        </w:rPr>
        <w:t>to</w:t>
      </w:r>
      <w:r w:rsidR="00440307">
        <w:rPr>
          <w:color w:val="000000" w:themeColor="text1"/>
          <w:highlight w:val="yellow"/>
        </w:rPr>
        <w:t>-</w:t>
      </w:r>
      <w:r w:rsidR="00D86DA9" w:rsidRPr="001B6A53">
        <w:rPr>
          <w:color w:val="000000" w:themeColor="text1"/>
          <w:highlight w:val="yellow"/>
        </w:rPr>
        <w:t xml:space="preserve">use solution to prepare </w:t>
      </w:r>
      <w:r>
        <w:rPr>
          <w:color w:val="000000" w:themeColor="text1"/>
          <w:highlight w:val="yellow"/>
        </w:rPr>
        <w:t xml:space="preserve">the </w:t>
      </w:r>
      <w:r w:rsidR="00D86DA9" w:rsidRPr="001B6A53">
        <w:rPr>
          <w:color w:val="000000" w:themeColor="text1"/>
          <w:highlight w:val="yellow"/>
        </w:rPr>
        <w:t>0.5% PFA solution</w:t>
      </w:r>
      <w:r w:rsidR="00291AD8">
        <w:rPr>
          <w:color w:val="000000" w:themeColor="text1"/>
          <w:highlight w:val="yellow"/>
        </w:rPr>
        <w:t>.</w:t>
      </w:r>
    </w:p>
    <w:p w14:paraId="4208E15E" w14:textId="77777777" w:rsidR="00EB7ED3" w:rsidRPr="00291AD8" w:rsidRDefault="00EB7ED3" w:rsidP="0082639A">
      <w:pPr>
        <w:pStyle w:val="ListParagraph"/>
        <w:ind w:left="0"/>
        <w:jc w:val="left"/>
        <w:rPr>
          <w:bCs/>
          <w:color w:val="000000" w:themeColor="text1"/>
        </w:rPr>
      </w:pPr>
    </w:p>
    <w:p w14:paraId="78F2E95E" w14:textId="06AB25ED" w:rsidR="00123670" w:rsidRPr="00291AD8" w:rsidRDefault="00E5163F" w:rsidP="0082639A">
      <w:pPr>
        <w:pStyle w:val="ListParagraph"/>
        <w:ind w:left="0"/>
        <w:jc w:val="left"/>
        <w:rPr>
          <w:color w:val="000000" w:themeColor="text1"/>
        </w:rPr>
      </w:pPr>
      <w:r w:rsidRPr="00291AD8">
        <w:rPr>
          <w:bCs/>
          <w:color w:val="000000" w:themeColor="text1"/>
        </w:rPr>
        <w:t xml:space="preserve">[Place </w:t>
      </w:r>
      <w:r w:rsidR="00440307" w:rsidRPr="00440307">
        <w:rPr>
          <w:b/>
          <w:bCs/>
          <w:color w:val="000000" w:themeColor="text1"/>
        </w:rPr>
        <w:t>Table</w:t>
      </w:r>
      <w:r w:rsidRPr="00291AD8">
        <w:rPr>
          <w:bCs/>
          <w:color w:val="000000" w:themeColor="text1"/>
        </w:rPr>
        <w:t xml:space="preserve"> 1 here]</w:t>
      </w:r>
    </w:p>
    <w:p w14:paraId="061277E8" w14:textId="77777777" w:rsidR="00123670" w:rsidRPr="001B6A53" w:rsidRDefault="00123670" w:rsidP="0082639A">
      <w:pPr>
        <w:contextualSpacing/>
        <w:jc w:val="left"/>
        <w:rPr>
          <w:b/>
          <w:highlight w:val="yellow"/>
        </w:rPr>
      </w:pPr>
    </w:p>
    <w:p w14:paraId="3A24DBB3" w14:textId="296DB3C5" w:rsidR="00355C07" w:rsidRPr="001B6A53" w:rsidRDefault="007A498A" w:rsidP="004E564A">
      <w:pPr>
        <w:pStyle w:val="ListParagraph"/>
        <w:widowControl/>
        <w:numPr>
          <w:ilvl w:val="0"/>
          <w:numId w:val="34"/>
        </w:numPr>
        <w:autoSpaceDE/>
        <w:autoSpaceDN/>
        <w:adjustRightInd/>
        <w:jc w:val="left"/>
        <w:outlineLvl w:val="0"/>
        <w:rPr>
          <w:b/>
          <w:highlight w:val="yellow"/>
        </w:rPr>
      </w:pPr>
      <w:r w:rsidRPr="001B6A53">
        <w:rPr>
          <w:b/>
          <w:highlight w:val="yellow"/>
        </w:rPr>
        <w:t>Example of a</w:t>
      </w:r>
      <w:r w:rsidR="00355C07" w:rsidRPr="001B6A53">
        <w:rPr>
          <w:b/>
          <w:highlight w:val="yellow"/>
        </w:rPr>
        <w:t>ctivation of TMCs and measure</w:t>
      </w:r>
      <w:r w:rsidR="004B506F" w:rsidRPr="001B6A53">
        <w:rPr>
          <w:b/>
          <w:highlight w:val="yellow"/>
        </w:rPr>
        <w:t>ment</w:t>
      </w:r>
      <w:r w:rsidR="00355C07" w:rsidRPr="001B6A53">
        <w:rPr>
          <w:b/>
          <w:highlight w:val="yellow"/>
        </w:rPr>
        <w:t xml:space="preserve"> of cytokine production</w:t>
      </w:r>
    </w:p>
    <w:p w14:paraId="447FDB7C" w14:textId="77777777" w:rsidR="00EB7ED3" w:rsidRDefault="00EB7ED3" w:rsidP="00EB7ED3">
      <w:pPr>
        <w:pStyle w:val="ListParagraph"/>
        <w:ind w:left="0"/>
        <w:jc w:val="left"/>
        <w:rPr>
          <w:highlight w:val="yellow"/>
        </w:rPr>
      </w:pPr>
    </w:p>
    <w:p w14:paraId="0C75F82D" w14:textId="2E70B630" w:rsidR="00355C07" w:rsidRPr="001B6A53" w:rsidRDefault="00355C07" w:rsidP="004E564A">
      <w:pPr>
        <w:pStyle w:val="ListParagraph"/>
        <w:numPr>
          <w:ilvl w:val="1"/>
          <w:numId w:val="34"/>
        </w:numPr>
        <w:jc w:val="left"/>
        <w:rPr>
          <w:highlight w:val="yellow"/>
        </w:rPr>
      </w:pPr>
      <w:r w:rsidRPr="001B6A53">
        <w:rPr>
          <w:highlight w:val="yellow"/>
        </w:rPr>
        <w:t xml:space="preserve">Dilute the TMCs in R10 </w:t>
      </w:r>
      <w:r w:rsidR="00291AD8">
        <w:rPr>
          <w:highlight w:val="yellow"/>
        </w:rPr>
        <w:t xml:space="preserve">medium </w:t>
      </w:r>
      <w:r w:rsidRPr="001B6A53">
        <w:rPr>
          <w:highlight w:val="yellow"/>
        </w:rPr>
        <w:t xml:space="preserve">to get a concentration of </w:t>
      </w:r>
      <w:r w:rsidRPr="001B6A53">
        <w:rPr>
          <w:color w:val="000000" w:themeColor="text1"/>
          <w:highlight w:val="yellow"/>
        </w:rPr>
        <w:t>2</w:t>
      </w:r>
      <w:r w:rsidR="00440307">
        <w:rPr>
          <w:color w:val="000000" w:themeColor="text1"/>
          <w:highlight w:val="yellow"/>
        </w:rPr>
        <w:t xml:space="preserve"> </w:t>
      </w:r>
      <w:r w:rsidR="00BB3EF2">
        <w:rPr>
          <w:color w:val="000000" w:themeColor="text1"/>
          <w:highlight w:val="yellow"/>
        </w:rPr>
        <w:t>x</w:t>
      </w:r>
      <w:r w:rsidR="00440307">
        <w:rPr>
          <w:color w:val="000000" w:themeColor="text1"/>
          <w:highlight w:val="yellow"/>
        </w:rPr>
        <w:t xml:space="preserve"> </w:t>
      </w:r>
      <w:r w:rsidRPr="001B6A53">
        <w:rPr>
          <w:color w:val="000000" w:themeColor="text1"/>
          <w:highlight w:val="yellow"/>
        </w:rPr>
        <w:t>10</w:t>
      </w:r>
      <w:r w:rsidRPr="001B6A53">
        <w:rPr>
          <w:color w:val="000000" w:themeColor="text1"/>
          <w:highlight w:val="yellow"/>
          <w:vertAlign w:val="superscript"/>
        </w:rPr>
        <w:t>6</w:t>
      </w:r>
      <w:r w:rsidRPr="001B6A53">
        <w:rPr>
          <w:color w:val="000000" w:themeColor="text1"/>
          <w:highlight w:val="yellow"/>
        </w:rPr>
        <w:t xml:space="preserve"> cells</w:t>
      </w:r>
      <w:r w:rsidR="00440307">
        <w:rPr>
          <w:color w:val="000000" w:themeColor="text1"/>
          <w:highlight w:val="yellow"/>
        </w:rPr>
        <w:t>/</w:t>
      </w:r>
      <w:proofErr w:type="spellStart"/>
      <w:r w:rsidRPr="001B6A53">
        <w:rPr>
          <w:color w:val="000000" w:themeColor="text1"/>
          <w:highlight w:val="yellow"/>
        </w:rPr>
        <w:t>mL.</w:t>
      </w:r>
      <w:proofErr w:type="spellEnd"/>
    </w:p>
    <w:p w14:paraId="52FD3FDD" w14:textId="77777777" w:rsidR="00EB7ED3" w:rsidRDefault="00EB7ED3" w:rsidP="00EB7ED3">
      <w:pPr>
        <w:pStyle w:val="ListParagraph"/>
        <w:ind w:left="0"/>
        <w:jc w:val="left"/>
        <w:rPr>
          <w:highlight w:val="yellow"/>
        </w:rPr>
      </w:pPr>
    </w:p>
    <w:p w14:paraId="2B995BEA" w14:textId="61E6FA13" w:rsidR="00A23FA6" w:rsidRPr="001B6A53" w:rsidRDefault="00A23FA6" w:rsidP="004E564A">
      <w:pPr>
        <w:pStyle w:val="ListParagraph"/>
        <w:numPr>
          <w:ilvl w:val="1"/>
          <w:numId w:val="34"/>
        </w:numPr>
        <w:jc w:val="left"/>
        <w:rPr>
          <w:highlight w:val="yellow"/>
        </w:rPr>
      </w:pPr>
      <w:r w:rsidRPr="001B6A53">
        <w:rPr>
          <w:highlight w:val="yellow"/>
        </w:rPr>
        <w:t>Distribute 400</w:t>
      </w:r>
      <w:r w:rsidR="00440307">
        <w:rPr>
          <w:highlight w:val="yellow"/>
        </w:rPr>
        <w:t>,</w:t>
      </w:r>
      <w:r w:rsidRPr="001B6A53">
        <w:rPr>
          <w:highlight w:val="yellow"/>
        </w:rPr>
        <w:t xml:space="preserve">000 TMCs in 200 µL of R10 in </w:t>
      </w:r>
      <w:r w:rsidR="00523627">
        <w:rPr>
          <w:highlight w:val="yellow"/>
        </w:rPr>
        <w:t xml:space="preserve">a </w:t>
      </w:r>
      <w:r w:rsidRPr="001B6A53">
        <w:rPr>
          <w:highlight w:val="yellow"/>
        </w:rPr>
        <w:t>96</w:t>
      </w:r>
      <w:r w:rsidR="00440307">
        <w:rPr>
          <w:highlight w:val="yellow"/>
        </w:rPr>
        <w:t xml:space="preserve"> </w:t>
      </w:r>
      <w:r w:rsidRPr="001B6A53">
        <w:rPr>
          <w:highlight w:val="yellow"/>
        </w:rPr>
        <w:t>well round bottom plate.</w:t>
      </w:r>
    </w:p>
    <w:p w14:paraId="0D04EBB2" w14:textId="77777777" w:rsidR="00EB7ED3" w:rsidRDefault="00EB7ED3" w:rsidP="00EB7ED3">
      <w:pPr>
        <w:pStyle w:val="ListParagraph"/>
        <w:ind w:left="0"/>
        <w:jc w:val="left"/>
        <w:rPr>
          <w:highlight w:val="yellow"/>
        </w:rPr>
      </w:pPr>
    </w:p>
    <w:p w14:paraId="3DD47329" w14:textId="535C0A53" w:rsidR="007A52AB" w:rsidRPr="001B6A53" w:rsidRDefault="00A23FA6" w:rsidP="004E564A">
      <w:pPr>
        <w:pStyle w:val="ListParagraph"/>
        <w:numPr>
          <w:ilvl w:val="1"/>
          <w:numId w:val="34"/>
        </w:numPr>
        <w:jc w:val="left"/>
        <w:rPr>
          <w:highlight w:val="yellow"/>
        </w:rPr>
      </w:pPr>
      <w:r w:rsidRPr="001B6A53">
        <w:rPr>
          <w:highlight w:val="yellow"/>
        </w:rPr>
        <w:t xml:space="preserve">To activate the cells, add </w:t>
      </w:r>
      <w:r w:rsidR="00B908F1" w:rsidRPr="001B6A53">
        <w:rPr>
          <w:highlight w:val="yellow"/>
        </w:rPr>
        <w:t xml:space="preserve">5 µg/mL of </w:t>
      </w:r>
      <w:r w:rsidRPr="001B6A53">
        <w:rPr>
          <w:highlight w:val="yellow"/>
        </w:rPr>
        <w:t xml:space="preserve">the TLR7/8 agonist </w:t>
      </w:r>
      <w:proofErr w:type="spellStart"/>
      <w:r w:rsidRPr="001B6A53">
        <w:rPr>
          <w:highlight w:val="yellow"/>
        </w:rPr>
        <w:t>resiquimod</w:t>
      </w:r>
      <w:proofErr w:type="spellEnd"/>
      <w:r w:rsidRPr="001B6A53">
        <w:rPr>
          <w:highlight w:val="yellow"/>
        </w:rPr>
        <w:t xml:space="preserve"> (R848) overnight.</w:t>
      </w:r>
    </w:p>
    <w:p w14:paraId="3C5C2443" w14:textId="77777777" w:rsidR="00EB7ED3" w:rsidRDefault="00EB7ED3" w:rsidP="00EB7ED3">
      <w:pPr>
        <w:pStyle w:val="ListParagraph"/>
        <w:ind w:left="0"/>
        <w:jc w:val="left"/>
        <w:rPr>
          <w:highlight w:val="yellow"/>
        </w:rPr>
      </w:pPr>
    </w:p>
    <w:p w14:paraId="6B8EB26A" w14:textId="0C7E18D9" w:rsidR="004830E3" w:rsidRDefault="00B908F1" w:rsidP="004E564A">
      <w:pPr>
        <w:pStyle w:val="ListParagraph"/>
        <w:numPr>
          <w:ilvl w:val="1"/>
          <w:numId w:val="34"/>
        </w:numPr>
        <w:jc w:val="left"/>
        <w:rPr>
          <w:highlight w:val="yellow"/>
        </w:rPr>
      </w:pPr>
      <w:r w:rsidRPr="001B6A53">
        <w:rPr>
          <w:highlight w:val="yellow"/>
        </w:rPr>
        <w:t>Centrifuge the plates and r</w:t>
      </w:r>
      <w:r w:rsidR="004830E3" w:rsidRPr="001B6A53">
        <w:rPr>
          <w:highlight w:val="yellow"/>
        </w:rPr>
        <w:t xml:space="preserve">etrieve the TMCs’ supernatant and freeze it for further analysis. </w:t>
      </w:r>
      <w:r w:rsidR="00523627" w:rsidRPr="001B6A53">
        <w:rPr>
          <w:highlight w:val="yellow"/>
        </w:rPr>
        <w:t xml:space="preserve">Cytokine </w:t>
      </w:r>
      <w:r w:rsidR="004830E3" w:rsidRPr="001B6A53">
        <w:rPr>
          <w:highlight w:val="yellow"/>
        </w:rPr>
        <w:t xml:space="preserve">production </w:t>
      </w:r>
      <w:r w:rsidR="007A52AB" w:rsidRPr="001B6A53">
        <w:rPr>
          <w:highlight w:val="yellow"/>
        </w:rPr>
        <w:t>will be</w:t>
      </w:r>
      <w:r w:rsidR="004830E3" w:rsidRPr="001B6A53">
        <w:rPr>
          <w:highlight w:val="yellow"/>
        </w:rPr>
        <w:t xml:space="preserve"> assessed using </w:t>
      </w:r>
      <w:r w:rsidR="007A52AB" w:rsidRPr="001B6A53">
        <w:rPr>
          <w:highlight w:val="yellow"/>
        </w:rPr>
        <w:t xml:space="preserve">bead-based immunoassays to quantify multiple soluble cytokines simultaneously using a flow cytometer following </w:t>
      </w:r>
      <w:r w:rsidR="00440307">
        <w:rPr>
          <w:highlight w:val="yellow"/>
        </w:rPr>
        <w:t xml:space="preserve">the </w:t>
      </w:r>
      <w:r w:rsidR="007A52AB" w:rsidRPr="001B6A53">
        <w:rPr>
          <w:highlight w:val="yellow"/>
        </w:rPr>
        <w:t>manufacturer’s protocol.</w:t>
      </w:r>
    </w:p>
    <w:p w14:paraId="7E120390" w14:textId="77777777" w:rsidR="00EB7ED3" w:rsidRPr="001B6A53" w:rsidRDefault="00EB7ED3" w:rsidP="00EB7ED3">
      <w:pPr>
        <w:pStyle w:val="ListParagraph"/>
        <w:ind w:left="0"/>
        <w:jc w:val="left"/>
        <w:rPr>
          <w:highlight w:val="yellow"/>
        </w:rPr>
      </w:pPr>
    </w:p>
    <w:p w14:paraId="338A7E08" w14:textId="3D7DD034" w:rsidR="00A23FA6" w:rsidRPr="001B6A53" w:rsidRDefault="000251AE" w:rsidP="004E564A">
      <w:pPr>
        <w:pStyle w:val="ListParagraph"/>
        <w:numPr>
          <w:ilvl w:val="1"/>
          <w:numId w:val="34"/>
        </w:numPr>
        <w:jc w:val="left"/>
        <w:rPr>
          <w:highlight w:val="yellow"/>
        </w:rPr>
      </w:pPr>
      <w:r>
        <w:rPr>
          <w:highlight w:val="yellow"/>
        </w:rPr>
        <w:lastRenderedPageBreak/>
        <w:t>Assess the v</w:t>
      </w:r>
      <w:r w:rsidR="007A52AB" w:rsidRPr="001B6A53">
        <w:rPr>
          <w:highlight w:val="yellow"/>
        </w:rPr>
        <w:t>iability</w:t>
      </w:r>
      <w:r w:rsidR="00163B50" w:rsidRPr="001B6A53">
        <w:rPr>
          <w:highlight w:val="yellow"/>
        </w:rPr>
        <w:t xml:space="preserve"> of the cells</w:t>
      </w:r>
      <w:r w:rsidR="007A52AB" w:rsidRPr="001B6A53">
        <w:rPr>
          <w:highlight w:val="yellow"/>
        </w:rPr>
        <w:t xml:space="preserve"> using </w:t>
      </w:r>
      <w:r w:rsidR="007509FC" w:rsidRPr="001B6A53">
        <w:rPr>
          <w:highlight w:val="yellow"/>
        </w:rPr>
        <w:t>a l</w:t>
      </w:r>
      <w:r w:rsidR="007A52AB" w:rsidRPr="001B6A53">
        <w:rPr>
          <w:highlight w:val="yellow"/>
        </w:rPr>
        <w:t xml:space="preserve">uminescent </w:t>
      </w:r>
      <w:r w:rsidR="007509FC" w:rsidRPr="001B6A53">
        <w:rPr>
          <w:highlight w:val="yellow"/>
        </w:rPr>
        <w:t>c</w:t>
      </w:r>
      <w:r w:rsidR="007A52AB" w:rsidRPr="001B6A53">
        <w:rPr>
          <w:highlight w:val="yellow"/>
        </w:rPr>
        <w:t xml:space="preserve">ell </w:t>
      </w:r>
      <w:r w:rsidR="007509FC" w:rsidRPr="001B6A53">
        <w:rPr>
          <w:highlight w:val="yellow"/>
        </w:rPr>
        <w:t>v</w:t>
      </w:r>
      <w:r w:rsidR="007A52AB" w:rsidRPr="001B6A53">
        <w:rPr>
          <w:highlight w:val="yellow"/>
        </w:rPr>
        <w:t xml:space="preserve">iability </w:t>
      </w:r>
      <w:r w:rsidR="007509FC" w:rsidRPr="001B6A53">
        <w:rPr>
          <w:highlight w:val="yellow"/>
        </w:rPr>
        <w:t>a</w:t>
      </w:r>
      <w:r w:rsidR="007A52AB" w:rsidRPr="001B6A53">
        <w:rPr>
          <w:highlight w:val="yellow"/>
        </w:rPr>
        <w:t xml:space="preserve">ssay following </w:t>
      </w:r>
      <w:r w:rsidR="00440307">
        <w:rPr>
          <w:highlight w:val="yellow"/>
        </w:rPr>
        <w:t xml:space="preserve">the </w:t>
      </w:r>
      <w:r w:rsidR="007A52AB" w:rsidRPr="001B6A53">
        <w:rPr>
          <w:highlight w:val="yellow"/>
        </w:rPr>
        <w:t>manufacturer’s protocol. Briefly,</w:t>
      </w:r>
      <w:r>
        <w:rPr>
          <w:highlight w:val="yellow"/>
        </w:rPr>
        <w:t xml:space="preserve"> add</w:t>
      </w:r>
      <w:r w:rsidR="007A52AB" w:rsidRPr="001B6A53">
        <w:rPr>
          <w:highlight w:val="yellow"/>
        </w:rPr>
        <w:t xml:space="preserve"> 60 µL of </w:t>
      </w:r>
      <w:r w:rsidR="007509FC" w:rsidRPr="001B6A53">
        <w:rPr>
          <w:highlight w:val="yellow"/>
        </w:rPr>
        <w:t>cell viability</w:t>
      </w:r>
      <w:r w:rsidR="007A52AB" w:rsidRPr="001B6A53">
        <w:rPr>
          <w:highlight w:val="yellow"/>
        </w:rPr>
        <w:t xml:space="preserve"> solution to the wells and </w:t>
      </w:r>
      <w:r>
        <w:rPr>
          <w:highlight w:val="yellow"/>
        </w:rPr>
        <w:t xml:space="preserve">measure </w:t>
      </w:r>
      <w:r w:rsidR="007A52AB" w:rsidRPr="001B6A53">
        <w:rPr>
          <w:highlight w:val="yellow"/>
        </w:rPr>
        <w:t>luminescen</w:t>
      </w:r>
      <w:r w:rsidR="00B908F1" w:rsidRPr="001B6A53">
        <w:rPr>
          <w:highlight w:val="yellow"/>
        </w:rPr>
        <w:t>ce</w:t>
      </w:r>
      <w:r w:rsidR="007A52AB" w:rsidRPr="001B6A53">
        <w:rPr>
          <w:highlight w:val="yellow"/>
        </w:rPr>
        <w:t xml:space="preserve"> within 10 min</w:t>
      </w:r>
      <w:r w:rsidR="00B908F1" w:rsidRPr="001B6A53">
        <w:rPr>
          <w:highlight w:val="yellow"/>
        </w:rPr>
        <w:t xml:space="preserve"> (acquisition for 1 </w:t>
      </w:r>
      <w:r w:rsidR="00440307" w:rsidRPr="00CF34EE">
        <w:rPr>
          <w:highlight w:val="yellow"/>
        </w:rPr>
        <w:t>s</w:t>
      </w:r>
      <w:r w:rsidR="00440307">
        <w:rPr>
          <w:highlight w:val="yellow"/>
        </w:rPr>
        <w:t>/</w:t>
      </w:r>
      <w:r w:rsidR="00B908F1" w:rsidRPr="001B6A53">
        <w:rPr>
          <w:highlight w:val="yellow"/>
        </w:rPr>
        <w:t>well)</w:t>
      </w:r>
      <w:r w:rsidR="007A52AB" w:rsidRPr="001B6A53">
        <w:rPr>
          <w:highlight w:val="yellow"/>
        </w:rPr>
        <w:t xml:space="preserve">. </w:t>
      </w:r>
    </w:p>
    <w:bookmarkEnd w:id="0"/>
    <w:p w14:paraId="496AB0B4" w14:textId="5CE3D8F1" w:rsidR="001C1E49" w:rsidRPr="0082639A" w:rsidRDefault="001C1E49" w:rsidP="0082639A">
      <w:pPr>
        <w:contextualSpacing/>
        <w:jc w:val="left"/>
        <w:rPr>
          <w:b/>
        </w:rPr>
      </w:pPr>
    </w:p>
    <w:p w14:paraId="3EA68D89" w14:textId="70919D38" w:rsidR="00B72BDE" w:rsidRPr="0082639A" w:rsidRDefault="006305D7" w:rsidP="0082639A">
      <w:pPr>
        <w:contextualSpacing/>
        <w:jc w:val="left"/>
        <w:rPr>
          <w:b/>
          <w:color w:val="000000" w:themeColor="text1"/>
        </w:rPr>
      </w:pPr>
      <w:r w:rsidRPr="0082639A">
        <w:rPr>
          <w:b/>
        </w:rPr>
        <w:t>REPRESENTATIVE RESULTS</w:t>
      </w:r>
      <w:r w:rsidR="00EF1462" w:rsidRPr="0082639A">
        <w:rPr>
          <w:b/>
        </w:rPr>
        <w:t>:</w:t>
      </w:r>
    </w:p>
    <w:p w14:paraId="61B693EF" w14:textId="72B56BBA" w:rsidR="000E2CE7" w:rsidRDefault="00042C09" w:rsidP="0082639A">
      <w:pPr>
        <w:contextualSpacing/>
        <w:jc w:val="left"/>
        <w:rPr>
          <w:color w:val="000000" w:themeColor="text1"/>
        </w:rPr>
      </w:pPr>
      <w:r w:rsidRPr="0082639A">
        <w:rPr>
          <w:color w:val="000000" w:themeColor="text1"/>
        </w:rPr>
        <w:t xml:space="preserve">We first characterized the immune profile of cells present in the culture and </w:t>
      </w:r>
      <w:r w:rsidR="0090569B" w:rsidRPr="0082639A">
        <w:rPr>
          <w:color w:val="000000" w:themeColor="text1"/>
        </w:rPr>
        <w:t>analyzed</w:t>
      </w:r>
      <w:r w:rsidRPr="0082639A">
        <w:rPr>
          <w:color w:val="000000" w:themeColor="text1"/>
        </w:rPr>
        <w:t xml:space="preserve"> the </w:t>
      </w:r>
      <w:r w:rsidR="00523627">
        <w:rPr>
          <w:color w:val="000000" w:themeColor="text1"/>
        </w:rPr>
        <w:t>amount</w:t>
      </w:r>
      <w:r w:rsidR="00523627" w:rsidRPr="0082639A">
        <w:rPr>
          <w:color w:val="000000" w:themeColor="text1"/>
        </w:rPr>
        <w:t xml:space="preserve"> </w:t>
      </w:r>
      <w:r w:rsidRPr="0082639A">
        <w:rPr>
          <w:color w:val="000000" w:themeColor="text1"/>
        </w:rPr>
        <w:t xml:space="preserve">of TMCs. </w:t>
      </w:r>
      <w:r w:rsidR="000E2CE7" w:rsidRPr="0082639A">
        <w:rPr>
          <w:color w:val="000000" w:themeColor="text1"/>
        </w:rPr>
        <w:t>W</w:t>
      </w:r>
      <w:r w:rsidR="006B301A" w:rsidRPr="0082639A">
        <w:rPr>
          <w:color w:val="000000" w:themeColor="text1"/>
        </w:rPr>
        <w:t xml:space="preserve">e </w:t>
      </w:r>
      <w:proofErr w:type="spellStart"/>
      <w:r w:rsidR="000E2CE7" w:rsidRPr="0082639A">
        <w:rPr>
          <w:color w:val="000000" w:themeColor="text1"/>
        </w:rPr>
        <w:t>phenotyped</w:t>
      </w:r>
      <w:proofErr w:type="spellEnd"/>
      <w:r w:rsidR="000E2CE7" w:rsidRPr="0082639A">
        <w:rPr>
          <w:color w:val="000000" w:themeColor="text1"/>
        </w:rPr>
        <w:t xml:space="preserve"> the TMCs </w:t>
      </w:r>
      <w:r w:rsidR="0086385F" w:rsidRPr="0082639A">
        <w:rPr>
          <w:color w:val="000000" w:themeColor="text1"/>
        </w:rPr>
        <w:t xml:space="preserve">from tonsils </w:t>
      </w:r>
      <w:r w:rsidR="00523627" w:rsidRPr="00D20B28">
        <w:rPr>
          <w:color w:val="000000" w:themeColor="text1"/>
        </w:rPr>
        <w:t>with</w:t>
      </w:r>
      <w:r w:rsidR="00523627" w:rsidRPr="0082639A">
        <w:rPr>
          <w:color w:val="000000" w:themeColor="text1"/>
        </w:rPr>
        <w:t xml:space="preserve"> </w:t>
      </w:r>
      <w:r w:rsidR="000E2CE7" w:rsidRPr="0082639A">
        <w:rPr>
          <w:color w:val="000000" w:themeColor="text1"/>
        </w:rPr>
        <w:t xml:space="preserve">flow cytometry. As shown in </w:t>
      </w:r>
      <w:r w:rsidR="00E85BFE" w:rsidRPr="00E85BFE">
        <w:rPr>
          <w:b/>
          <w:bCs/>
          <w:color w:val="000000" w:themeColor="text1"/>
        </w:rPr>
        <w:t>Figure</w:t>
      </w:r>
      <w:r w:rsidR="000E2CE7" w:rsidRPr="0082639A">
        <w:rPr>
          <w:color w:val="000000" w:themeColor="text1"/>
        </w:rPr>
        <w:t xml:space="preserve"> </w:t>
      </w:r>
      <w:r w:rsidR="000E2CE7" w:rsidRPr="008D46BC">
        <w:rPr>
          <w:b/>
          <w:color w:val="000000" w:themeColor="text1"/>
        </w:rPr>
        <w:t>1</w:t>
      </w:r>
      <w:r w:rsidR="000E2CE7" w:rsidRPr="0082639A">
        <w:rPr>
          <w:color w:val="000000" w:themeColor="text1"/>
        </w:rPr>
        <w:t xml:space="preserve">, </w:t>
      </w:r>
      <w:r w:rsidR="00EA566E" w:rsidRPr="0082639A">
        <w:rPr>
          <w:color w:val="000000" w:themeColor="text1"/>
        </w:rPr>
        <w:t xml:space="preserve">all </w:t>
      </w:r>
      <w:r w:rsidR="0086385F" w:rsidRPr="0082639A">
        <w:rPr>
          <w:color w:val="000000" w:themeColor="text1"/>
        </w:rPr>
        <w:t xml:space="preserve">major </w:t>
      </w:r>
      <w:r w:rsidR="00EA566E" w:rsidRPr="0082639A">
        <w:rPr>
          <w:color w:val="000000" w:themeColor="text1"/>
        </w:rPr>
        <w:t xml:space="preserve">immune cell types </w:t>
      </w:r>
      <w:r w:rsidR="00F05952" w:rsidRPr="0082639A">
        <w:rPr>
          <w:color w:val="000000" w:themeColor="text1"/>
        </w:rPr>
        <w:t xml:space="preserve">present in PBMCs from blood </w:t>
      </w:r>
      <w:r w:rsidR="001227D7">
        <w:rPr>
          <w:color w:val="000000" w:themeColor="text1"/>
        </w:rPr>
        <w:t>were</w:t>
      </w:r>
      <w:r w:rsidR="001227D7" w:rsidRPr="0082639A">
        <w:rPr>
          <w:color w:val="000000" w:themeColor="text1"/>
        </w:rPr>
        <w:t xml:space="preserve"> </w:t>
      </w:r>
      <w:r w:rsidR="00EA566E" w:rsidRPr="0082639A">
        <w:rPr>
          <w:color w:val="000000" w:themeColor="text1"/>
        </w:rPr>
        <w:t xml:space="preserve">represent </w:t>
      </w:r>
      <w:r w:rsidR="00F05952" w:rsidRPr="0082639A">
        <w:rPr>
          <w:color w:val="000000" w:themeColor="text1"/>
        </w:rPr>
        <w:t xml:space="preserve">in the TMCs from tonsils. </w:t>
      </w:r>
      <w:r w:rsidR="00F74B8F" w:rsidRPr="0082639A">
        <w:rPr>
          <w:color w:val="000000" w:themeColor="text1"/>
        </w:rPr>
        <w:t xml:space="preserve">However, </w:t>
      </w:r>
      <w:r w:rsidR="00AE2706" w:rsidRPr="0082639A">
        <w:rPr>
          <w:color w:val="000000" w:themeColor="text1"/>
        </w:rPr>
        <w:t xml:space="preserve">in TMCs </w:t>
      </w:r>
      <w:r w:rsidR="00F74B8F" w:rsidRPr="0082639A">
        <w:rPr>
          <w:color w:val="000000" w:themeColor="text1"/>
        </w:rPr>
        <w:t>t</w:t>
      </w:r>
      <w:r w:rsidR="00F05952" w:rsidRPr="0082639A">
        <w:rPr>
          <w:color w:val="000000" w:themeColor="text1"/>
        </w:rPr>
        <w:t>he frequency of all cell type</w:t>
      </w:r>
      <w:r w:rsidR="00523627">
        <w:rPr>
          <w:color w:val="000000" w:themeColor="text1"/>
        </w:rPr>
        <w:t>s</w:t>
      </w:r>
      <w:r w:rsidR="00F05952" w:rsidRPr="0082639A">
        <w:rPr>
          <w:color w:val="000000" w:themeColor="text1"/>
        </w:rPr>
        <w:t xml:space="preserve">, except B cells, </w:t>
      </w:r>
      <w:r w:rsidR="001227D7">
        <w:rPr>
          <w:color w:val="000000" w:themeColor="text1"/>
        </w:rPr>
        <w:t>were</w:t>
      </w:r>
      <w:r w:rsidR="001227D7" w:rsidRPr="0082639A">
        <w:rPr>
          <w:color w:val="000000" w:themeColor="text1"/>
        </w:rPr>
        <w:t xml:space="preserve"> </w:t>
      </w:r>
      <w:r w:rsidR="00F05952" w:rsidRPr="0082639A">
        <w:rPr>
          <w:color w:val="000000" w:themeColor="text1"/>
        </w:rPr>
        <w:t xml:space="preserve">lower </w:t>
      </w:r>
      <w:r w:rsidR="00FA54D4" w:rsidRPr="0082639A">
        <w:rPr>
          <w:color w:val="000000" w:themeColor="text1"/>
        </w:rPr>
        <w:t xml:space="preserve">than </w:t>
      </w:r>
      <w:r w:rsidR="00F05952" w:rsidRPr="0082639A">
        <w:rPr>
          <w:color w:val="000000" w:themeColor="text1"/>
        </w:rPr>
        <w:t xml:space="preserve">in </w:t>
      </w:r>
      <w:r w:rsidR="00AE2706" w:rsidRPr="0082639A">
        <w:rPr>
          <w:color w:val="000000" w:themeColor="text1"/>
        </w:rPr>
        <w:t>PBMCs</w:t>
      </w:r>
      <w:r w:rsidR="00F05952" w:rsidRPr="0082639A">
        <w:rPr>
          <w:color w:val="000000" w:themeColor="text1"/>
        </w:rPr>
        <w:t xml:space="preserve">. </w:t>
      </w:r>
    </w:p>
    <w:p w14:paraId="57231AF1" w14:textId="77777777" w:rsidR="005F01ED" w:rsidRPr="0082639A" w:rsidRDefault="005F01ED" w:rsidP="0082639A">
      <w:pPr>
        <w:contextualSpacing/>
        <w:jc w:val="left"/>
        <w:rPr>
          <w:color w:val="000000" w:themeColor="text1"/>
        </w:rPr>
      </w:pPr>
    </w:p>
    <w:p w14:paraId="4EAA6DD8" w14:textId="34F2BDCD" w:rsidR="00290F0E" w:rsidRPr="0082639A" w:rsidRDefault="00290F0E" w:rsidP="0082639A">
      <w:pPr>
        <w:contextualSpacing/>
        <w:jc w:val="left"/>
        <w:rPr>
          <w:color w:val="000000" w:themeColor="text1"/>
        </w:rPr>
      </w:pPr>
      <w:r w:rsidRPr="0082639A">
        <w:rPr>
          <w:bCs/>
          <w:color w:val="000000" w:themeColor="text1"/>
        </w:rPr>
        <w:t xml:space="preserve">[Place </w:t>
      </w:r>
      <w:r w:rsidR="00E85BFE" w:rsidRPr="00E85BFE">
        <w:rPr>
          <w:b/>
          <w:bCs/>
          <w:color w:val="000000" w:themeColor="text1"/>
        </w:rPr>
        <w:t>Figure</w:t>
      </w:r>
      <w:r w:rsidRPr="0082639A">
        <w:rPr>
          <w:bCs/>
          <w:color w:val="000000" w:themeColor="text1"/>
        </w:rPr>
        <w:t xml:space="preserve"> 1 here]</w:t>
      </w:r>
    </w:p>
    <w:p w14:paraId="6EF3D2F5" w14:textId="174E6D6D" w:rsidR="000E2CE7" w:rsidRPr="0082639A" w:rsidRDefault="000E2CE7" w:rsidP="0082639A">
      <w:pPr>
        <w:contextualSpacing/>
        <w:jc w:val="left"/>
        <w:rPr>
          <w:color w:val="000000" w:themeColor="text1"/>
        </w:rPr>
      </w:pPr>
    </w:p>
    <w:p w14:paraId="4AFC005F" w14:textId="29116582" w:rsidR="000E2CE7" w:rsidRDefault="007D3126" w:rsidP="0082639A">
      <w:pPr>
        <w:contextualSpacing/>
        <w:jc w:val="left"/>
        <w:rPr>
          <w:color w:val="000000" w:themeColor="text1"/>
        </w:rPr>
      </w:pPr>
      <w:r w:rsidRPr="0082639A">
        <w:rPr>
          <w:color w:val="000000" w:themeColor="text1"/>
        </w:rPr>
        <w:t>We then</w:t>
      </w:r>
      <w:r w:rsidR="004B43BE" w:rsidRPr="0082639A">
        <w:rPr>
          <w:color w:val="000000" w:themeColor="text1"/>
        </w:rPr>
        <w:t xml:space="preserve"> tested the immunological </w:t>
      </w:r>
      <w:r w:rsidR="0032151B" w:rsidRPr="0082639A">
        <w:rPr>
          <w:color w:val="000000" w:themeColor="text1"/>
        </w:rPr>
        <w:t>responses</w:t>
      </w:r>
      <w:r w:rsidR="004B43BE" w:rsidRPr="0082639A">
        <w:rPr>
          <w:color w:val="000000" w:themeColor="text1"/>
        </w:rPr>
        <w:t xml:space="preserve"> of the TMCs.</w:t>
      </w:r>
      <w:r w:rsidR="00F74B8F" w:rsidRPr="0082639A">
        <w:rPr>
          <w:color w:val="000000" w:themeColor="text1"/>
        </w:rPr>
        <w:t xml:space="preserve"> One way to reproduce </w:t>
      </w:r>
      <w:r w:rsidR="00523627">
        <w:rPr>
          <w:color w:val="000000" w:themeColor="text1"/>
        </w:rPr>
        <w:t xml:space="preserve">a </w:t>
      </w:r>
      <w:r w:rsidR="00F74B8F" w:rsidRPr="0082639A">
        <w:rPr>
          <w:color w:val="000000" w:themeColor="text1"/>
        </w:rPr>
        <w:t xml:space="preserve">cell’s </w:t>
      </w:r>
      <w:r w:rsidR="0032151B" w:rsidRPr="0082639A">
        <w:rPr>
          <w:color w:val="000000" w:themeColor="text1"/>
        </w:rPr>
        <w:t>activation</w:t>
      </w:r>
      <w:r w:rsidR="00F74B8F" w:rsidRPr="0082639A">
        <w:rPr>
          <w:color w:val="000000" w:themeColor="text1"/>
        </w:rPr>
        <w:t xml:space="preserve"> against a pathogen is to stimulate </w:t>
      </w:r>
      <w:r w:rsidR="00A67D57" w:rsidRPr="0082639A">
        <w:rPr>
          <w:color w:val="000000" w:themeColor="text1"/>
        </w:rPr>
        <w:t>the innate immune sensors from the Toll-Like Receptor</w:t>
      </w:r>
      <w:r w:rsidR="0032151B" w:rsidRPr="0082639A">
        <w:rPr>
          <w:color w:val="000000" w:themeColor="text1"/>
        </w:rPr>
        <w:t>s</w:t>
      </w:r>
      <w:r w:rsidR="00A67D57" w:rsidRPr="0082639A">
        <w:rPr>
          <w:color w:val="000000" w:themeColor="text1"/>
        </w:rPr>
        <w:t xml:space="preserve"> (TLR</w:t>
      </w:r>
      <w:r w:rsidR="0032151B" w:rsidRPr="0082639A">
        <w:rPr>
          <w:color w:val="000000" w:themeColor="text1"/>
        </w:rPr>
        <w:t>s</w:t>
      </w:r>
      <w:r w:rsidR="00A67D57" w:rsidRPr="0082639A">
        <w:rPr>
          <w:color w:val="000000" w:themeColor="text1"/>
        </w:rPr>
        <w:t xml:space="preserve">) </w:t>
      </w:r>
      <w:r w:rsidR="00EC1D64" w:rsidRPr="0082639A">
        <w:rPr>
          <w:color w:val="000000" w:themeColor="text1"/>
        </w:rPr>
        <w:t xml:space="preserve">family. </w:t>
      </w:r>
      <w:r w:rsidR="0032151B" w:rsidRPr="0082639A">
        <w:rPr>
          <w:color w:val="000000" w:themeColor="text1"/>
        </w:rPr>
        <w:t xml:space="preserve">TLRs are mainly present in monocytes/macrophages, </w:t>
      </w:r>
      <w:r w:rsidR="00B75749" w:rsidRPr="0082639A">
        <w:rPr>
          <w:color w:val="000000" w:themeColor="text1"/>
        </w:rPr>
        <w:t xml:space="preserve">all </w:t>
      </w:r>
      <w:r w:rsidR="00523627" w:rsidRPr="0082639A">
        <w:rPr>
          <w:color w:val="000000" w:themeColor="text1"/>
        </w:rPr>
        <w:t xml:space="preserve">dendritic cell </w:t>
      </w:r>
      <w:r w:rsidR="00F04E13" w:rsidRPr="0082639A">
        <w:rPr>
          <w:color w:val="000000" w:themeColor="text1"/>
        </w:rPr>
        <w:t xml:space="preserve">(DC) </w:t>
      </w:r>
      <w:r w:rsidR="00B75749" w:rsidRPr="0082639A">
        <w:rPr>
          <w:color w:val="000000" w:themeColor="text1"/>
        </w:rPr>
        <w:t>subtypes</w:t>
      </w:r>
      <w:r w:rsidR="00523627">
        <w:rPr>
          <w:color w:val="000000" w:themeColor="text1"/>
        </w:rPr>
        <w:t>,</w:t>
      </w:r>
      <w:r w:rsidR="00D91C5B" w:rsidRPr="0082639A">
        <w:rPr>
          <w:color w:val="000000" w:themeColor="text1"/>
        </w:rPr>
        <w:t xml:space="preserve"> </w:t>
      </w:r>
      <w:r w:rsidR="00C32447" w:rsidRPr="0082639A">
        <w:rPr>
          <w:color w:val="000000" w:themeColor="text1"/>
        </w:rPr>
        <w:t>plasmacytoid dendritic cells (</w:t>
      </w:r>
      <w:proofErr w:type="spellStart"/>
      <w:r w:rsidR="0032151B" w:rsidRPr="0082639A">
        <w:rPr>
          <w:color w:val="000000" w:themeColor="text1"/>
        </w:rPr>
        <w:t>pDCs</w:t>
      </w:r>
      <w:proofErr w:type="spellEnd"/>
      <w:r w:rsidR="00C32447" w:rsidRPr="0082639A">
        <w:rPr>
          <w:color w:val="000000" w:themeColor="text1"/>
        </w:rPr>
        <w:t>)</w:t>
      </w:r>
      <w:r w:rsidR="00523627">
        <w:rPr>
          <w:color w:val="000000" w:themeColor="text1"/>
        </w:rPr>
        <w:t>,</w:t>
      </w:r>
      <w:r w:rsidR="0032151B" w:rsidRPr="0082639A">
        <w:rPr>
          <w:color w:val="000000" w:themeColor="text1"/>
        </w:rPr>
        <w:t xml:space="preserve"> </w:t>
      </w:r>
      <w:proofErr w:type="gramStart"/>
      <w:r w:rsidR="00523627">
        <w:rPr>
          <w:color w:val="000000" w:themeColor="text1"/>
        </w:rPr>
        <w:t xml:space="preserve">and </w:t>
      </w:r>
      <w:r w:rsidR="0032151B" w:rsidRPr="0082639A">
        <w:rPr>
          <w:color w:val="000000" w:themeColor="text1"/>
        </w:rPr>
        <w:t>also</w:t>
      </w:r>
      <w:proofErr w:type="gramEnd"/>
      <w:r w:rsidR="0032151B" w:rsidRPr="0082639A">
        <w:rPr>
          <w:color w:val="000000" w:themeColor="text1"/>
        </w:rPr>
        <w:t xml:space="preserve"> in B cells. </w:t>
      </w:r>
      <w:r w:rsidRPr="0082639A">
        <w:rPr>
          <w:color w:val="000000" w:themeColor="text1"/>
        </w:rPr>
        <w:t>In this example, we stud</w:t>
      </w:r>
      <w:r w:rsidR="00523627">
        <w:rPr>
          <w:color w:val="000000" w:themeColor="text1"/>
        </w:rPr>
        <w:t>ied</w:t>
      </w:r>
      <w:r w:rsidR="00E42EC2" w:rsidRPr="0082639A">
        <w:rPr>
          <w:color w:val="000000" w:themeColor="text1"/>
        </w:rPr>
        <w:t xml:space="preserve"> </w:t>
      </w:r>
      <w:r w:rsidR="0032151B" w:rsidRPr="0082639A">
        <w:rPr>
          <w:color w:val="000000" w:themeColor="text1"/>
        </w:rPr>
        <w:t>TLR7 and TLR8</w:t>
      </w:r>
      <w:r w:rsidR="00523627">
        <w:rPr>
          <w:color w:val="000000" w:themeColor="text1"/>
        </w:rPr>
        <w:t>,</w:t>
      </w:r>
      <w:r w:rsidRPr="0082639A">
        <w:rPr>
          <w:color w:val="000000" w:themeColor="text1"/>
        </w:rPr>
        <w:t xml:space="preserve"> </w:t>
      </w:r>
      <w:r w:rsidR="00523627" w:rsidRPr="00D20B28">
        <w:rPr>
          <w:color w:val="000000" w:themeColor="text1"/>
        </w:rPr>
        <w:t>because</w:t>
      </w:r>
      <w:r w:rsidRPr="0082639A">
        <w:rPr>
          <w:color w:val="000000" w:themeColor="text1"/>
        </w:rPr>
        <w:t xml:space="preserve"> they </w:t>
      </w:r>
      <w:r w:rsidR="0032151B" w:rsidRPr="0082639A">
        <w:rPr>
          <w:color w:val="000000" w:themeColor="text1"/>
        </w:rPr>
        <w:t>specialize in antiviral responses</w:t>
      </w:r>
      <w:r w:rsidRPr="0082639A">
        <w:rPr>
          <w:color w:val="000000" w:themeColor="text1"/>
        </w:rPr>
        <w:t xml:space="preserve"> and most cases of tonsillitis (</w:t>
      </w:r>
      <w:r w:rsidR="00523627">
        <w:rPr>
          <w:color w:val="000000" w:themeColor="text1"/>
        </w:rPr>
        <w:t xml:space="preserve">i.e., </w:t>
      </w:r>
      <w:r w:rsidRPr="0082639A">
        <w:rPr>
          <w:color w:val="000000" w:themeColor="text1"/>
        </w:rPr>
        <w:t>tonsil infection</w:t>
      </w:r>
      <w:r w:rsidR="00523627">
        <w:rPr>
          <w:color w:val="000000" w:themeColor="text1"/>
        </w:rPr>
        <w:t>s</w:t>
      </w:r>
      <w:r w:rsidRPr="0082639A">
        <w:rPr>
          <w:color w:val="000000" w:themeColor="text1"/>
        </w:rPr>
        <w:t>) are caused by a viral infection</w:t>
      </w:r>
      <w:r w:rsidR="0032151B" w:rsidRPr="0082639A">
        <w:rPr>
          <w:color w:val="000000" w:themeColor="text1"/>
        </w:rPr>
        <w:t xml:space="preserve">. </w:t>
      </w:r>
      <w:r w:rsidR="004B43BE" w:rsidRPr="0082639A">
        <w:rPr>
          <w:color w:val="000000" w:themeColor="text1"/>
        </w:rPr>
        <w:t xml:space="preserve">Thus, TMCs </w:t>
      </w:r>
      <w:r w:rsidRPr="0082639A">
        <w:rPr>
          <w:color w:val="000000" w:themeColor="text1"/>
        </w:rPr>
        <w:t xml:space="preserve">from tonsils </w:t>
      </w:r>
      <w:r w:rsidR="00AF4359" w:rsidRPr="0082639A">
        <w:rPr>
          <w:color w:val="000000" w:themeColor="text1"/>
        </w:rPr>
        <w:t xml:space="preserve">(graph in blue) </w:t>
      </w:r>
      <w:r w:rsidRPr="0082639A">
        <w:rPr>
          <w:color w:val="000000" w:themeColor="text1"/>
        </w:rPr>
        <w:t xml:space="preserve">from seven healthy donors </w:t>
      </w:r>
      <w:r w:rsidR="004B43BE" w:rsidRPr="0082639A">
        <w:rPr>
          <w:color w:val="000000" w:themeColor="text1"/>
        </w:rPr>
        <w:t xml:space="preserve">were stimulated overnight </w:t>
      </w:r>
      <w:r w:rsidR="00F74B8F" w:rsidRPr="0082639A">
        <w:rPr>
          <w:color w:val="000000" w:themeColor="text1"/>
        </w:rPr>
        <w:t xml:space="preserve">with the </w:t>
      </w:r>
      <w:r w:rsidR="0032151B" w:rsidRPr="0082639A">
        <w:rPr>
          <w:color w:val="000000" w:themeColor="text1"/>
        </w:rPr>
        <w:t xml:space="preserve">TLR7/8 </w:t>
      </w:r>
      <w:r w:rsidR="00C32447" w:rsidRPr="0082639A">
        <w:rPr>
          <w:color w:val="000000" w:themeColor="text1"/>
        </w:rPr>
        <w:t xml:space="preserve">ligand </w:t>
      </w:r>
      <w:proofErr w:type="spellStart"/>
      <w:r w:rsidR="00F74B8F" w:rsidRPr="0082639A">
        <w:rPr>
          <w:color w:val="000000" w:themeColor="text1"/>
        </w:rPr>
        <w:t>resiquimod</w:t>
      </w:r>
      <w:proofErr w:type="spellEnd"/>
      <w:r w:rsidR="00F74B8F" w:rsidRPr="0082639A">
        <w:rPr>
          <w:color w:val="000000" w:themeColor="text1"/>
        </w:rPr>
        <w:t xml:space="preserve"> (R848). </w:t>
      </w:r>
      <w:r w:rsidRPr="0082639A">
        <w:rPr>
          <w:color w:val="000000" w:themeColor="text1"/>
        </w:rPr>
        <w:t>As in PBMCs</w:t>
      </w:r>
      <w:r w:rsidR="00AF4359" w:rsidRPr="0082639A">
        <w:rPr>
          <w:color w:val="000000" w:themeColor="text1"/>
        </w:rPr>
        <w:t xml:space="preserve"> (graph in green)</w:t>
      </w:r>
      <w:r w:rsidRPr="0082639A">
        <w:rPr>
          <w:color w:val="000000" w:themeColor="text1"/>
        </w:rPr>
        <w:t xml:space="preserve">, activation </w:t>
      </w:r>
      <w:r w:rsidR="00B84545" w:rsidRPr="0082639A">
        <w:rPr>
          <w:color w:val="000000" w:themeColor="text1"/>
        </w:rPr>
        <w:t xml:space="preserve">through TLR7/8 signaling </w:t>
      </w:r>
      <w:r w:rsidRPr="0082639A">
        <w:rPr>
          <w:color w:val="000000" w:themeColor="text1"/>
        </w:rPr>
        <w:t>trigger</w:t>
      </w:r>
      <w:r w:rsidR="001227D7">
        <w:rPr>
          <w:color w:val="000000" w:themeColor="text1"/>
        </w:rPr>
        <w:t>ed</w:t>
      </w:r>
      <w:r w:rsidRPr="0082639A">
        <w:rPr>
          <w:color w:val="000000" w:themeColor="text1"/>
        </w:rPr>
        <w:t xml:space="preserve"> production of type I </w:t>
      </w:r>
      <w:r w:rsidR="00523627" w:rsidRPr="00523627">
        <w:rPr>
          <w:color w:val="000000" w:themeColor="text1"/>
        </w:rPr>
        <w:t>interferons </w:t>
      </w:r>
      <w:r w:rsidR="00523627">
        <w:rPr>
          <w:color w:val="000000" w:themeColor="text1"/>
        </w:rPr>
        <w:t>(</w:t>
      </w:r>
      <w:r w:rsidRPr="0082639A">
        <w:rPr>
          <w:color w:val="000000" w:themeColor="text1"/>
        </w:rPr>
        <w:t>IFN</w:t>
      </w:r>
      <w:r w:rsidR="00523627">
        <w:rPr>
          <w:color w:val="000000" w:themeColor="text1"/>
        </w:rPr>
        <w:t>)</w:t>
      </w:r>
      <w:r w:rsidRPr="0082639A">
        <w:rPr>
          <w:color w:val="000000" w:themeColor="text1"/>
        </w:rPr>
        <w:t xml:space="preserve"> and pro</w:t>
      </w:r>
      <w:r w:rsidR="002B0C2C">
        <w:rPr>
          <w:color w:val="000000" w:themeColor="text1"/>
        </w:rPr>
        <w:t>-</w:t>
      </w:r>
      <w:r w:rsidRPr="0082639A">
        <w:rPr>
          <w:color w:val="000000" w:themeColor="text1"/>
        </w:rPr>
        <w:t xml:space="preserve">inflammatory cytokines. </w:t>
      </w:r>
      <w:r w:rsidR="00523627" w:rsidRPr="0082639A">
        <w:rPr>
          <w:color w:val="000000" w:themeColor="text1"/>
        </w:rPr>
        <w:t>In fact</w:t>
      </w:r>
      <w:r w:rsidR="003444CC" w:rsidRPr="0082639A">
        <w:rPr>
          <w:color w:val="000000" w:themeColor="text1"/>
        </w:rPr>
        <w:t xml:space="preserve">, </w:t>
      </w:r>
      <w:r w:rsidR="00523627" w:rsidRPr="0082639A">
        <w:rPr>
          <w:color w:val="000000" w:themeColor="text1"/>
        </w:rPr>
        <w:t xml:space="preserve">the cytokine most </w:t>
      </w:r>
      <w:r w:rsidR="00523627">
        <w:rPr>
          <w:color w:val="000000" w:themeColor="text1"/>
        </w:rPr>
        <w:t xml:space="preserve">highly </w:t>
      </w:r>
      <w:r w:rsidR="00523627" w:rsidRPr="0082639A">
        <w:rPr>
          <w:color w:val="000000" w:themeColor="text1"/>
        </w:rPr>
        <w:t xml:space="preserve">produced in TMCs upon activation </w:t>
      </w:r>
      <w:r w:rsidR="00523627">
        <w:rPr>
          <w:color w:val="000000" w:themeColor="text1"/>
        </w:rPr>
        <w:t xml:space="preserve">was </w:t>
      </w:r>
      <w:r w:rsidR="000B615D" w:rsidRPr="0082639A">
        <w:rPr>
          <w:color w:val="000000" w:themeColor="text1"/>
        </w:rPr>
        <w:t>IFN</w:t>
      </w:r>
      <w:r w:rsidR="000B615D" w:rsidRPr="0082639A">
        <w:rPr>
          <w:color w:val="000000" w:themeColor="text1"/>
        </w:rPr>
        <w:sym w:font="Symbol" w:char="F061"/>
      </w:r>
      <w:r w:rsidR="000B615D" w:rsidRPr="0082639A">
        <w:rPr>
          <w:color w:val="000000" w:themeColor="text1"/>
        </w:rPr>
        <w:t xml:space="preserve">, a member of </w:t>
      </w:r>
      <w:r w:rsidR="00523627">
        <w:rPr>
          <w:color w:val="000000" w:themeColor="text1"/>
        </w:rPr>
        <w:t xml:space="preserve">the </w:t>
      </w:r>
      <w:r w:rsidR="000B615D" w:rsidRPr="0082639A">
        <w:rPr>
          <w:color w:val="000000" w:themeColor="text1"/>
        </w:rPr>
        <w:t xml:space="preserve">type I IFN family </w:t>
      </w:r>
      <w:r w:rsidR="00523627">
        <w:rPr>
          <w:color w:val="000000" w:themeColor="text1"/>
        </w:rPr>
        <w:t>t</w:t>
      </w:r>
      <w:r w:rsidR="000B615D" w:rsidRPr="0082639A">
        <w:rPr>
          <w:color w:val="000000" w:themeColor="text1"/>
        </w:rPr>
        <w:t xml:space="preserve">hat is mainly involved in innate immunity against viral infection and </w:t>
      </w:r>
      <w:r w:rsidR="00523627">
        <w:rPr>
          <w:color w:val="000000" w:themeColor="text1"/>
        </w:rPr>
        <w:t xml:space="preserve">is </w:t>
      </w:r>
      <w:r w:rsidR="000B615D" w:rsidRPr="0082639A">
        <w:rPr>
          <w:color w:val="000000" w:themeColor="text1"/>
        </w:rPr>
        <w:t xml:space="preserve">mostly produced by the </w:t>
      </w:r>
      <w:proofErr w:type="spellStart"/>
      <w:r w:rsidR="000B615D" w:rsidRPr="0082639A">
        <w:rPr>
          <w:color w:val="000000" w:themeColor="text1"/>
        </w:rPr>
        <w:t>pDC</w:t>
      </w:r>
      <w:r w:rsidR="00F04E13" w:rsidRPr="0082639A">
        <w:rPr>
          <w:color w:val="000000" w:themeColor="text1"/>
        </w:rPr>
        <w:t>s</w:t>
      </w:r>
      <w:proofErr w:type="spellEnd"/>
      <w:r w:rsidR="000B615D" w:rsidRPr="0082639A">
        <w:rPr>
          <w:color w:val="000000" w:themeColor="text1"/>
        </w:rPr>
        <w:t xml:space="preserve">. </w:t>
      </w:r>
      <w:r w:rsidR="00AC2A56" w:rsidRPr="0082639A">
        <w:rPr>
          <w:color w:val="000000" w:themeColor="text1"/>
        </w:rPr>
        <w:t>A</w:t>
      </w:r>
      <w:r w:rsidR="00FA54D4" w:rsidRPr="0082639A">
        <w:rPr>
          <w:color w:val="000000" w:themeColor="text1"/>
        </w:rPr>
        <w:t>ll cytokines tested, except IFN</w:t>
      </w:r>
      <w:r w:rsidR="00FA54D4" w:rsidRPr="0082639A">
        <w:rPr>
          <w:color w:val="000000" w:themeColor="text1"/>
        </w:rPr>
        <w:sym w:font="Symbol" w:char="F06C"/>
      </w:r>
      <w:r w:rsidR="00FA54D4" w:rsidRPr="0082639A">
        <w:rPr>
          <w:color w:val="000000" w:themeColor="text1"/>
        </w:rPr>
        <w:t xml:space="preserve">2/3 and IL-8, </w:t>
      </w:r>
      <w:r w:rsidR="00523627">
        <w:rPr>
          <w:color w:val="000000" w:themeColor="text1"/>
        </w:rPr>
        <w:t>were</w:t>
      </w:r>
      <w:r w:rsidR="00523627" w:rsidRPr="0082639A">
        <w:rPr>
          <w:color w:val="000000" w:themeColor="text1"/>
        </w:rPr>
        <w:t xml:space="preserve"> </w:t>
      </w:r>
      <w:r w:rsidR="00FA54D4" w:rsidRPr="0082639A">
        <w:rPr>
          <w:color w:val="000000" w:themeColor="text1"/>
        </w:rPr>
        <w:t>produced by TMCs</w:t>
      </w:r>
      <w:r w:rsidR="00523627">
        <w:rPr>
          <w:color w:val="000000" w:themeColor="text1"/>
        </w:rPr>
        <w:t>, although</w:t>
      </w:r>
      <w:r w:rsidR="00FA54D4" w:rsidRPr="0082639A">
        <w:rPr>
          <w:color w:val="000000" w:themeColor="text1"/>
        </w:rPr>
        <w:t xml:space="preserve"> </w:t>
      </w:r>
      <w:r w:rsidR="00C32447" w:rsidRPr="0082639A">
        <w:rPr>
          <w:color w:val="000000" w:themeColor="text1"/>
        </w:rPr>
        <w:t>at lower levels</w:t>
      </w:r>
      <w:r w:rsidR="00FA54D4" w:rsidRPr="0082639A">
        <w:rPr>
          <w:color w:val="000000" w:themeColor="text1"/>
        </w:rPr>
        <w:t xml:space="preserve"> than in PBMCs. Interestingly, some cytokines (mainly IL-8</w:t>
      </w:r>
      <w:r w:rsidR="001227D7">
        <w:rPr>
          <w:color w:val="000000" w:themeColor="text1"/>
        </w:rPr>
        <w:t>,</w:t>
      </w:r>
      <w:r w:rsidR="00FA54D4" w:rsidRPr="0082639A">
        <w:rPr>
          <w:color w:val="000000" w:themeColor="text1"/>
        </w:rPr>
        <w:t xml:space="preserve"> but also IL-6, IL-10</w:t>
      </w:r>
      <w:r w:rsidR="00E85BFE">
        <w:rPr>
          <w:color w:val="000000" w:themeColor="text1"/>
        </w:rPr>
        <w:t>,</w:t>
      </w:r>
      <w:r w:rsidR="00FA54D4" w:rsidRPr="0082639A">
        <w:rPr>
          <w:color w:val="000000" w:themeColor="text1"/>
        </w:rPr>
        <w:t xml:space="preserve"> and TNF</w:t>
      </w:r>
      <w:r w:rsidR="00FA54D4" w:rsidRPr="0082639A">
        <w:rPr>
          <w:color w:val="000000" w:themeColor="text1"/>
        </w:rPr>
        <w:sym w:font="Symbol" w:char="F061"/>
      </w:r>
      <w:r w:rsidR="00FA54D4" w:rsidRPr="0082639A">
        <w:rPr>
          <w:color w:val="000000" w:themeColor="text1"/>
        </w:rPr>
        <w:t xml:space="preserve">) </w:t>
      </w:r>
      <w:r w:rsidR="00523627">
        <w:rPr>
          <w:color w:val="000000" w:themeColor="text1"/>
        </w:rPr>
        <w:t>were</w:t>
      </w:r>
      <w:r w:rsidR="00523627" w:rsidRPr="0082639A">
        <w:rPr>
          <w:color w:val="000000" w:themeColor="text1"/>
        </w:rPr>
        <w:t xml:space="preserve"> </w:t>
      </w:r>
      <w:r w:rsidR="00FA54D4" w:rsidRPr="0082639A">
        <w:rPr>
          <w:color w:val="000000" w:themeColor="text1"/>
        </w:rPr>
        <w:t xml:space="preserve">present in </w:t>
      </w:r>
      <w:r w:rsidR="00471FC5">
        <w:rPr>
          <w:color w:val="000000" w:themeColor="text1"/>
        </w:rPr>
        <w:t>larg</w:t>
      </w:r>
      <w:r w:rsidR="00471FC5" w:rsidRPr="0082639A">
        <w:rPr>
          <w:color w:val="000000" w:themeColor="text1"/>
        </w:rPr>
        <w:t xml:space="preserve">er </w:t>
      </w:r>
      <w:r w:rsidR="00FA54D4" w:rsidRPr="0082639A">
        <w:rPr>
          <w:color w:val="000000" w:themeColor="text1"/>
        </w:rPr>
        <w:t xml:space="preserve">amount at basal levels. </w:t>
      </w:r>
      <w:r w:rsidR="00F204CE" w:rsidRPr="0082639A">
        <w:rPr>
          <w:color w:val="000000" w:themeColor="text1"/>
        </w:rPr>
        <w:t>Furthermore, we compared the cytokine produced by isolated TMCs or by tonsillar tissue bloc</w:t>
      </w:r>
      <w:r w:rsidR="00897285">
        <w:rPr>
          <w:color w:val="000000" w:themeColor="text1"/>
        </w:rPr>
        <w:t>s</w:t>
      </w:r>
      <w:r w:rsidR="00F204CE" w:rsidRPr="0082639A">
        <w:rPr>
          <w:color w:val="000000" w:themeColor="text1"/>
        </w:rPr>
        <w:t xml:space="preserve"> prepared as described previously</w:t>
      </w:r>
      <w:r w:rsidR="00F204CE" w:rsidRPr="0082639A">
        <w:rPr>
          <w:color w:val="000000" w:themeColor="text1"/>
        </w:rPr>
        <w:fldChar w:fldCharType="begin" w:fldLock="1"/>
      </w:r>
      <w:r w:rsidR="00275C26" w:rsidRPr="0082639A">
        <w:rPr>
          <w:color w:val="000000" w:themeColor="text1"/>
        </w:rPr>
        <w:instrText>ADDIN CSL_CITATION {"citationItems":[{"id":"ITEM-1","itemData":{"DOI":"10.3791/57013","ISSN":"1940-087X","abstract":"Histocultures allow studying intercellular interactions within human tissues, and they can be employed to model host-pathogen interactions under controlled laboratory conditions. Ex vivo infection of human tissues with human immunodeficiency virus (HIV), among other viruses, has been successfully used to investigate early disease pathogenesis, as well as a platform to test the efficacy and toxicity of antiviral drugs. In the present protocol, we explain how to process and infect with HIV-1 tissue explants from human tonsils and cervical mucosae, and maintain them in culture on top of gelatin sponges at the liquid-air interface for about two weeks. This non-polarized culture setting maximizes access to nutrients in culture medium and oxygen, although progressive loss of tissue integrity and functional architectures remains its main limitation. This method allows monitoring HIV-1 replication and pathogenesis using several techniques, including immunoassays, qPCR, and flow cytometry. Of importance, the physiologic variability between tissue donors, as well as between explants from different areas of the same specimen, may significantly affect experimental results. To ensure result reproducibility, it is critical to use an adequate number of explants, technical replicates, and donor-matched control conditions to normalize the results of the experimental treatments when compiling data from multiple experiments (i.e., conducted using tissue from different donors) for statistical analysis.","author":[{"dropping-particle":"","family":"Introini","given":"Andrea","non-dropping-particle":"","parse-names":false,"suffix":""},{"dropping-particle":"","family":"Vanpouille","given":"Christophe","non-dropping-particle":"","parse-names":false,"suffix":""},{"dropping-particle":"","family":"Fitzgerald","given":"Wendy","non-dropping-particle":"","parse-names":false,"suffix":""},{"dropping-particle":"","family":"Broliden","given":"Kristina","non-dropping-particle":"","parse-names":false,"suffix":""},{"dropping-particle":"","family":"Margolis","given":"Leonid","non-dropping-particle":"","parse-names":false,"suffix":""}],"container-title":"Journal of Visualized Experiments","id":"ITEM-1","issue":"140","issued":{"date-parts":[["2018","10","12"]]},"page":"e57013","title":"Ex Vivo Infection of Human Lymphoid Tissue and Female Genital Mucosa with Human Immunodeficiency Virus 1 and Histoculture","type":"article-journal"},"uris":["http://www.mendeley.com/documents/?uuid=ead7a957-baba-36b8-9c34-8156e1fe5fc4"]}],"mendeley":{"formattedCitation":"&lt;sup&gt;6&lt;/sup&gt;","plainTextFormattedCitation":"6","previouslyFormattedCitation":"&lt;sup&gt;6&lt;/sup&gt;"},"properties":{"noteIndex":0},"schema":"https://github.com/citation-style-language/schema/raw/master/csl-citation.json"}</w:instrText>
      </w:r>
      <w:r w:rsidR="00F204CE" w:rsidRPr="0082639A">
        <w:rPr>
          <w:color w:val="000000" w:themeColor="text1"/>
        </w:rPr>
        <w:fldChar w:fldCharType="separate"/>
      </w:r>
      <w:r w:rsidR="00275C26" w:rsidRPr="0082639A">
        <w:rPr>
          <w:noProof/>
          <w:color w:val="000000" w:themeColor="text1"/>
          <w:vertAlign w:val="superscript"/>
        </w:rPr>
        <w:t>6</w:t>
      </w:r>
      <w:r w:rsidR="00F204CE" w:rsidRPr="0082639A">
        <w:rPr>
          <w:color w:val="000000" w:themeColor="text1"/>
        </w:rPr>
        <w:fldChar w:fldCharType="end"/>
      </w:r>
      <w:r w:rsidR="00305B6E" w:rsidRPr="0082639A">
        <w:rPr>
          <w:color w:val="000000" w:themeColor="text1"/>
        </w:rPr>
        <w:t>. W</w:t>
      </w:r>
      <w:r w:rsidR="00F204CE" w:rsidRPr="0082639A">
        <w:rPr>
          <w:color w:val="000000" w:themeColor="text1"/>
        </w:rPr>
        <w:t>e measure</w:t>
      </w:r>
      <w:r w:rsidR="00C32447" w:rsidRPr="0082639A">
        <w:rPr>
          <w:color w:val="000000" w:themeColor="text1"/>
        </w:rPr>
        <w:t>d</w:t>
      </w:r>
      <w:r w:rsidR="00F204CE" w:rsidRPr="0082639A">
        <w:rPr>
          <w:color w:val="000000" w:themeColor="text1"/>
        </w:rPr>
        <w:t xml:space="preserve"> all type</w:t>
      </w:r>
      <w:r w:rsidR="00523627">
        <w:rPr>
          <w:color w:val="000000" w:themeColor="text1"/>
        </w:rPr>
        <w:t>s</w:t>
      </w:r>
      <w:r w:rsidR="00F204CE" w:rsidRPr="0082639A">
        <w:rPr>
          <w:color w:val="000000" w:themeColor="text1"/>
        </w:rPr>
        <w:t xml:space="preserve"> of IFN produced in the supernatant </w:t>
      </w:r>
      <w:r w:rsidR="00305B6E" w:rsidRPr="0082639A">
        <w:rPr>
          <w:color w:val="000000" w:themeColor="text1"/>
        </w:rPr>
        <w:t xml:space="preserve">of both cell cultures </w:t>
      </w:r>
      <w:r w:rsidR="00F204CE" w:rsidRPr="0082639A">
        <w:rPr>
          <w:color w:val="000000" w:themeColor="text1"/>
        </w:rPr>
        <w:t xml:space="preserve">using the STING-37 cell line reporter assay as </w:t>
      </w:r>
      <w:r w:rsidR="00F204CE" w:rsidRPr="0082639A">
        <w:rPr>
          <w:bCs/>
          <w:color w:val="000000" w:themeColor="text1"/>
          <w:kern w:val="24"/>
        </w:rPr>
        <w:t>described previously</w:t>
      </w:r>
      <w:r w:rsidR="00F204CE" w:rsidRPr="0082639A">
        <w:rPr>
          <w:bCs/>
          <w:color w:val="000000" w:themeColor="text1"/>
          <w:kern w:val="24"/>
        </w:rPr>
        <w:fldChar w:fldCharType="begin" w:fldLock="1"/>
      </w:r>
      <w:r w:rsidR="00202207" w:rsidRPr="0082639A">
        <w:rPr>
          <w:bCs/>
          <w:color w:val="000000" w:themeColor="text1"/>
          <w:kern w:val="24"/>
        </w:rPr>
        <w:instrText>ADDIN CSL_CITATION {"citationItems":[{"id":"ITEM-1","itemData":{"DOI":"10.1371/journal.ppat.1003678","ISBN":"1553-7374 (Electronic)\r1553-7366 (Linking)","PMID":"24098125","abstract":"Searching for stimulators of the innate antiviral response is an appealing approach to develop novel therapeutics against viral infections. Here, we established a cell-based reporter assay to identify compounds stimulating expression of interferon-inducible antiviral genes. DD264 was selected out of 41,353 compounds for both its immuno-stimulatory and antiviral properties. While searching for its mode of action, we identified DD264 as an inhibitor of pyrimidine biosynthesis pathway. This metabolic pathway was recently identified as a prime target of broad-spectrum antiviral molecules, but our data unraveled a yet unsuspected link with innate immunity. Indeed, we showed that DD264 or brequinar, a well-known inhibitor of pyrimidine biosynthesis pathway, both enhanced the expression of antiviral genes in human cells. Furthermore, antiviral activity of DD264 or brequinar was found strictly dependent on cellular gene transcription, nuclear export machinery, and required IRF1 transcription factor. In conclusion, the antiviral property of pyrimidine biosynthesis inhibitors is not a direct consequence of pyrimidine deprivation on the virus machinery, but rather involves the induction of cellular immune response.","author":[{"dropping-particle":"","family":"Lucas-Hourani","given":"M","non-dropping-particle":"","parse-names":false,"suffix":""},{"dropping-particle":"","family":"Dauzonne","given":"D","non-dropping-particle":"","parse-names":false,"suffix":""},{"dropping-particle":"","family":"Jorda","given":"P","non-dropping-particle":"","parse-names":false,"suffix":""},{"dropping-particle":"","family":"Cousin","given":"G","non-dropping-particle":"","parse-names":false,"suffix":""},{"dropping-particle":"","family":"Lupan","given":"A","non-dropping-particle":"","parse-names":false,"suffix":""},{"dropping-particle":"","family":"Helynck","given":"O","non-dropping-particle":"","parse-names":false,"suffix":""},{"dropping-particle":"","family":"Caignard","given":"G","non-dropping-particle":"","parse-names":false,"suffix":""},{"dropping-particle":"","family":"Janvier","given":"G","non-dropping-particle":"","parse-names":false,"suffix":""},{"dropping-particle":"","family":"Andre-Leroux","given":"G","non-dropping-particle":"","parse-names":false,"suffix":""},{"dropping-particle":"","family":"Khiar","given":"S","non-dropping-particle":"","parse-names":false,"suffix":""},{"dropping-particle":"","family":"Escriou","given":"N","non-dropping-particle":"","parse-names":false,"suffix":""},{"dropping-particle":"","family":"Despres","given":"P","non-dropping-particle":"","parse-names":false,"suffix":""},{"dropping-particle":"","family":"Jacob","given":"Y","non-dropping-particle":"","parse-names":false,"suffix":""},{"dropping-particle":"","family":"Munier-Lehmann","given":"H","non-dropping-particle":"","parse-names":false,"suffix":""},{"dropping-particle":"","family":"Tangy","given":"F","non-dropping-particle":"","parse-names":false,"suffix":""},{"dropping-particle":"","family":"Vidalain","given":"P O","non-dropping-particle":"","parse-names":false,"suffix":""}],"container-title":"PLoS Pathog","id":"ITEM-1","issue":"10","issued":{"date-parts":[["2013"]]},"note":"Lucas-Hourani, Marianne\nDauzonne, Daniel\nJorda, Pierre\nCousin, Gaelle\nLupan, Alexandru\nHelynck, Olivier\nCaignard, Gregory\nJanvier, Genevieve\nAndre-Leroux, Gwenaelle\nKhiar, Samira\nEscriou, Nicolas\nDespres, Philippe\nJacob, Yves\nMunier-Lehmann, Helene\nTangy, Frederic\nVidalain, Pierre-Olivier\neng\nResearch Support, Non-U.S. Gov't\n2013/10/08 06:00\nPLoS Pathog. 2013;9(10):e1003678. doi: 10.1371/journal.ppat.1003678. Epub 2013 Oct 3.","page":"e1003678","title":"Inhibition of pyrimidine biosynthesis pathway suppresses viral growth through innate immunity","type":"article-journal","volume":"9"},"uris":["http://www.mendeley.com/documents/?uuid=9319b865-bc66-401e-ad07-1078a7f14ac7"]}],"mendeley":{"formattedCitation":"&lt;sup&gt;17&lt;/sup&gt;","plainTextFormattedCitation":"17","previouslyFormattedCitation":"&lt;sup&gt;16&lt;/sup&gt;"},"properties":{"noteIndex":0},"schema":"https://github.com/citation-style-language/schema/raw/master/csl-citation.json"}</w:instrText>
      </w:r>
      <w:r w:rsidR="00F204CE" w:rsidRPr="0082639A">
        <w:rPr>
          <w:bCs/>
          <w:color w:val="000000" w:themeColor="text1"/>
          <w:kern w:val="24"/>
        </w:rPr>
        <w:fldChar w:fldCharType="separate"/>
      </w:r>
      <w:r w:rsidR="00202207" w:rsidRPr="0082639A">
        <w:rPr>
          <w:bCs/>
          <w:noProof/>
          <w:color w:val="000000" w:themeColor="text1"/>
          <w:kern w:val="24"/>
          <w:vertAlign w:val="superscript"/>
        </w:rPr>
        <w:t>17</w:t>
      </w:r>
      <w:r w:rsidR="00F204CE" w:rsidRPr="0082639A">
        <w:rPr>
          <w:bCs/>
          <w:color w:val="000000" w:themeColor="text1"/>
          <w:kern w:val="24"/>
        </w:rPr>
        <w:fldChar w:fldCharType="end"/>
      </w:r>
      <w:r w:rsidR="00305B6E" w:rsidRPr="0082639A">
        <w:rPr>
          <w:bCs/>
          <w:color w:val="000000" w:themeColor="text1"/>
          <w:kern w:val="24"/>
        </w:rPr>
        <w:t xml:space="preserve"> and showed that we could only measure IFN levels in the </w:t>
      </w:r>
      <w:r w:rsidR="00305B6E" w:rsidRPr="0082639A">
        <w:rPr>
          <w:color w:val="000000" w:themeColor="text1"/>
        </w:rPr>
        <w:t>isolated TMCs.</w:t>
      </w:r>
    </w:p>
    <w:p w14:paraId="5DD79E88" w14:textId="77777777" w:rsidR="005F01ED" w:rsidRPr="0082639A" w:rsidRDefault="005F01ED" w:rsidP="0082639A">
      <w:pPr>
        <w:contextualSpacing/>
        <w:jc w:val="left"/>
        <w:rPr>
          <w:color w:val="000000" w:themeColor="text1"/>
        </w:rPr>
      </w:pPr>
    </w:p>
    <w:p w14:paraId="67FD8B90" w14:textId="1B6FFF79" w:rsidR="000E2CE7" w:rsidRPr="0082639A" w:rsidRDefault="00290F0E" w:rsidP="0082639A">
      <w:pPr>
        <w:contextualSpacing/>
        <w:jc w:val="left"/>
        <w:rPr>
          <w:color w:val="000000" w:themeColor="text1"/>
        </w:rPr>
      </w:pPr>
      <w:r w:rsidRPr="0082639A">
        <w:rPr>
          <w:bCs/>
          <w:color w:val="000000" w:themeColor="text1"/>
        </w:rPr>
        <w:t xml:space="preserve">[Place </w:t>
      </w:r>
      <w:r w:rsidR="00E85BFE" w:rsidRPr="00E85BFE">
        <w:rPr>
          <w:b/>
          <w:bCs/>
          <w:color w:val="000000" w:themeColor="text1"/>
        </w:rPr>
        <w:t>Figure</w:t>
      </w:r>
      <w:r w:rsidRPr="0082639A">
        <w:rPr>
          <w:bCs/>
          <w:color w:val="000000" w:themeColor="text1"/>
        </w:rPr>
        <w:t xml:space="preserve"> 2 here]</w:t>
      </w:r>
    </w:p>
    <w:p w14:paraId="0F368055" w14:textId="77777777" w:rsidR="006D1CAB" w:rsidRPr="0082639A" w:rsidRDefault="006D1CAB" w:rsidP="0082639A">
      <w:pPr>
        <w:contextualSpacing/>
        <w:jc w:val="left"/>
        <w:rPr>
          <w:color w:val="000000" w:themeColor="text1"/>
        </w:rPr>
      </w:pPr>
    </w:p>
    <w:p w14:paraId="0DD63B4F" w14:textId="201C7A92" w:rsidR="00AC2A56" w:rsidRPr="0082639A" w:rsidRDefault="00AC2A56" w:rsidP="0082639A">
      <w:pPr>
        <w:contextualSpacing/>
        <w:jc w:val="left"/>
      </w:pPr>
      <w:r w:rsidRPr="0082639A">
        <w:rPr>
          <w:color w:val="000000" w:themeColor="text1"/>
        </w:rPr>
        <w:t xml:space="preserve">Finally, </w:t>
      </w:r>
      <w:r w:rsidR="00F27363" w:rsidRPr="0082639A">
        <w:rPr>
          <w:color w:val="000000" w:themeColor="text1"/>
        </w:rPr>
        <w:t xml:space="preserve">we tested </w:t>
      </w:r>
      <w:r w:rsidR="00523627">
        <w:rPr>
          <w:color w:val="000000" w:themeColor="text1"/>
        </w:rPr>
        <w:t xml:space="preserve">the </w:t>
      </w:r>
      <w:r w:rsidR="00F27363" w:rsidRPr="0082639A">
        <w:rPr>
          <w:color w:val="000000" w:themeColor="text1"/>
        </w:rPr>
        <w:t>viability of the TMCs</w:t>
      </w:r>
      <w:r w:rsidR="00D644E9" w:rsidRPr="0082639A">
        <w:rPr>
          <w:color w:val="000000" w:themeColor="text1"/>
        </w:rPr>
        <w:t>. Several techni</w:t>
      </w:r>
      <w:r w:rsidR="00523627">
        <w:rPr>
          <w:color w:val="000000" w:themeColor="text1"/>
        </w:rPr>
        <w:t>que</w:t>
      </w:r>
      <w:r w:rsidR="00D644E9" w:rsidRPr="0082639A">
        <w:rPr>
          <w:color w:val="000000" w:themeColor="text1"/>
        </w:rPr>
        <w:t xml:space="preserve">s are available to measure </w:t>
      </w:r>
      <w:r w:rsidR="00D1402E" w:rsidRPr="0082639A">
        <w:rPr>
          <w:color w:val="000000" w:themeColor="text1"/>
        </w:rPr>
        <w:t>cell viability</w:t>
      </w:r>
      <w:r w:rsidR="00135526" w:rsidRPr="0082639A">
        <w:rPr>
          <w:color w:val="000000" w:themeColor="text1"/>
        </w:rPr>
        <w:t xml:space="preserve">. Here, we </w:t>
      </w:r>
      <w:r w:rsidR="00523627">
        <w:rPr>
          <w:color w:val="000000" w:themeColor="text1"/>
        </w:rPr>
        <w:t>used</w:t>
      </w:r>
      <w:r w:rsidR="00523627" w:rsidRPr="0082639A">
        <w:rPr>
          <w:color w:val="000000" w:themeColor="text1"/>
        </w:rPr>
        <w:t xml:space="preserve"> </w:t>
      </w:r>
      <w:r w:rsidR="007509FC">
        <w:rPr>
          <w:color w:val="000000" w:themeColor="text1"/>
        </w:rPr>
        <w:t>a l</w:t>
      </w:r>
      <w:r w:rsidR="00135526" w:rsidRPr="0082639A">
        <w:t xml:space="preserve">uminescent </w:t>
      </w:r>
      <w:r w:rsidR="007509FC">
        <w:t>c</w:t>
      </w:r>
      <w:r w:rsidR="00135526" w:rsidRPr="0082639A">
        <w:t xml:space="preserve">ell </w:t>
      </w:r>
      <w:r w:rsidR="007509FC">
        <w:t>v</w:t>
      </w:r>
      <w:r w:rsidR="00135526" w:rsidRPr="0082639A">
        <w:t xml:space="preserve">iability </w:t>
      </w:r>
      <w:r w:rsidR="007509FC">
        <w:t>a</w:t>
      </w:r>
      <w:r w:rsidR="00135526" w:rsidRPr="0082639A">
        <w:t>ssay</w:t>
      </w:r>
      <w:r w:rsidR="00504B93" w:rsidRPr="0082639A">
        <w:t xml:space="preserve">, an easy and quick two-step assay. As shown in </w:t>
      </w:r>
      <w:r w:rsidR="00E85BFE" w:rsidRPr="00E85BFE">
        <w:rPr>
          <w:b/>
          <w:bCs/>
        </w:rPr>
        <w:t>Figure</w:t>
      </w:r>
      <w:r w:rsidR="00504B93" w:rsidRPr="0082639A">
        <w:t xml:space="preserve"> </w:t>
      </w:r>
      <w:r w:rsidR="00504B93" w:rsidRPr="008D46BC">
        <w:rPr>
          <w:b/>
        </w:rPr>
        <w:t>3</w:t>
      </w:r>
      <w:r w:rsidR="00504B93" w:rsidRPr="0082639A">
        <w:t xml:space="preserve">, </w:t>
      </w:r>
      <w:r w:rsidR="00D62014" w:rsidRPr="0082639A">
        <w:t>we clearly detect</w:t>
      </w:r>
      <w:r w:rsidR="001227D7">
        <w:t>ed</w:t>
      </w:r>
      <w:r w:rsidR="00D62014" w:rsidRPr="0082639A">
        <w:t xml:space="preserve"> </w:t>
      </w:r>
      <w:r w:rsidR="00576952" w:rsidRPr="0082639A">
        <w:t>the cytotoxicity induce</w:t>
      </w:r>
      <w:r w:rsidR="001227D7">
        <w:t>d</w:t>
      </w:r>
      <w:r w:rsidR="00576952" w:rsidRPr="0082639A">
        <w:t xml:space="preserve"> by compound 1 in TMCs, which was not toxic to PBMCs. Thus, TMCs show</w:t>
      </w:r>
      <w:r w:rsidR="001227D7">
        <w:t>ed</w:t>
      </w:r>
      <w:r w:rsidR="00576952" w:rsidRPr="0082639A">
        <w:t xml:space="preserve"> </w:t>
      </w:r>
      <w:r w:rsidR="001227D7">
        <w:t xml:space="preserve">a </w:t>
      </w:r>
      <w:r w:rsidR="00576952" w:rsidRPr="0082639A">
        <w:t xml:space="preserve">higher sensitivity </w:t>
      </w:r>
      <w:r w:rsidR="00290F0E" w:rsidRPr="0082639A">
        <w:t>to the</w:t>
      </w:r>
      <w:r w:rsidR="00576952" w:rsidRPr="0082639A">
        <w:t xml:space="preserve"> drug tested. </w:t>
      </w:r>
    </w:p>
    <w:p w14:paraId="0798121D" w14:textId="77777777" w:rsidR="00291AD8" w:rsidRDefault="00291AD8" w:rsidP="0082639A">
      <w:pPr>
        <w:contextualSpacing/>
        <w:jc w:val="left"/>
        <w:rPr>
          <w:bCs/>
          <w:color w:val="000000" w:themeColor="text1"/>
        </w:rPr>
      </w:pPr>
    </w:p>
    <w:p w14:paraId="4B330F11" w14:textId="7F96EEE7" w:rsidR="00290F0E" w:rsidRPr="0082639A" w:rsidRDefault="00290F0E" w:rsidP="0082639A">
      <w:pPr>
        <w:contextualSpacing/>
        <w:jc w:val="left"/>
        <w:rPr>
          <w:color w:val="000000" w:themeColor="text1"/>
        </w:rPr>
      </w:pPr>
      <w:r w:rsidRPr="0082639A">
        <w:rPr>
          <w:bCs/>
          <w:color w:val="000000" w:themeColor="text1"/>
        </w:rPr>
        <w:t xml:space="preserve">[Place </w:t>
      </w:r>
      <w:r w:rsidR="00E85BFE" w:rsidRPr="00E85BFE">
        <w:rPr>
          <w:b/>
          <w:bCs/>
          <w:color w:val="000000" w:themeColor="text1"/>
        </w:rPr>
        <w:t>Figure</w:t>
      </w:r>
      <w:r w:rsidRPr="0082639A">
        <w:rPr>
          <w:bCs/>
          <w:color w:val="000000" w:themeColor="text1"/>
        </w:rPr>
        <w:t xml:space="preserve"> 3 here]</w:t>
      </w:r>
    </w:p>
    <w:p w14:paraId="5428630A" w14:textId="0274E78D" w:rsidR="007B1623" w:rsidRPr="00291AD8" w:rsidRDefault="00C32447" w:rsidP="0082639A">
      <w:pPr>
        <w:contextualSpacing/>
        <w:jc w:val="left"/>
        <w:rPr>
          <w:color w:val="000000" w:themeColor="text1"/>
        </w:rPr>
      </w:pPr>
      <w:bookmarkStart w:id="2" w:name="Figure_Legends"/>
      <w:r w:rsidRPr="0082639A">
        <w:rPr>
          <w:bCs/>
          <w:color w:val="000000" w:themeColor="text1"/>
        </w:rPr>
        <w:t xml:space="preserve"> </w:t>
      </w:r>
    </w:p>
    <w:p w14:paraId="6697BAC1" w14:textId="3838F93F" w:rsidR="00122E93" w:rsidRPr="00291AD8" w:rsidRDefault="009726EE" w:rsidP="0082639A">
      <w:pPr>
        <w:contextualSpacing/>
        <w:jc w:val="left"/>
        <w:rPr>
          <w:bCs/>
          <w:color w:val="808080"/>
        </w:rPr>
      </w:pPr>
      <w:r w:rsidRPr="0082639A">
        <w:rPr>
          <w:b/>
        </w:rPr>
        <w:t>F</w:t>
      </w:r>
      <w:r w:rsidR="00B32616" w:rsidRPr="0082639A">
        <w:rPr>
          <w:b/>
        </w:rPr>
        <w:t>IGURE</w:t>
      </w:r>
      <w:r w:rsidR="007E058A" w:rsidRPr="0082639A">
        <w:rPr>
          <w:b/>
        </w:rPr>
        <w:t xml:space="preserve"> </w:t>
      </w:r>
      <w:r w:rsidR="00086FF5" w:rsidRPr="0082639A">
        <w:rPr>
          <w:b/>
          <w:bCs/>
        </w:rPr>
        <w:t xml:space="preserve">AND </w:t>
      </w:r>
      <w:r w:rsidR="007E058A" w:rsidRPr="0082639A">
        <w:rPr>
          <w:b/>
        </w:rPr>
        <w:t>TABLE</w:t>
      </w:r>
      <w:r w:rsidR="00B32616" w:rsidRPr="0082639A">
        <w:rPr>
          <w:b/>
        </w:rPr>
        <w:t xml:space="preserve"> LEGENDS</w:t>
      </w:r>
      <w:bookmarkEnd w:id="2"/>
      <w:r w:rsidR="00B32616" w:rsidRPr="0082639A">
        <w:rPr>
          <w:b/>
        </w:rPr>
        <w:t>:</w:t>
      </w:r>
      <w:r w:rsidR="00B32616" w:rsidRPr="0082639A">
        <w:rPr>
          <w:i/>
          <w:color w:val="808080"/>
        </w:rPr>
        <w:t xml:space="preserve"> </w:t>
      </w:r>
    </w:p>
    <w:p w14:paraId="66D78C13" w14:textId="15C48B2D" w:rsidR="006518F2" w:rsidRPr="0082639A" w:rsidRDefault="006518F2" w:rsidP="0082639A">
      <w:pPr>
        <w:pStyle w:val="NormalWeb"/>
        <w:spacing w:before="0" w:beforeAutospacing="0" w:after="0" w:afterAutospacing="0"/>
        <w:contextualSpacing/>
        <w:jc w:val="left"/>
        <w:rPr>
          <w:bCs/>
          <w:color w:val="000000" w:themeColor="text1"/>
          <w:kern w:val="24"/>
        </w:rPr>
      </w:pPr>
      <w:r w:rsidRPr="0082639A">
        <w:rPr>
          <w:b/>
          <w:bCs/>
          <w:color w:val="000000" w:themeColor="text1"/>
          <w:kern w:val="24"/>
        </w:rPr>
        <w:t>Figure 1: Phenotyping of TMCs in tonsils.</w:t>
      </w:r>
      <w:r w:rsidRPr="0082639A">
        <w:rPr>
          <w:bCs/>
          <w:color w:val="000000" w:themeColor="text1"/>
          <w:kern w:val="24"/>
        </w:rPr>
        <w:t xml:space="preserve"> TMCs from healthy donors were obtained after dissection of human tonsillar tissue and isolation of cells. (</w:t>
      </w:r>
      <w:r w:rsidRPr="008D46BC">
        <w:rPr>
          <w:b/>
          <w:color w:val="000000" w:themeColor="text1"/>
          <w:kern w:val="24"/>
        </w:rPr>
        <w:t>A</w:t>
      </w:r>
      <w:r w:rsidRPr="0082639A">
        <w:rPr>
          <w:bCs/>
          <w:color w:val="000000" w:themeColor="text1"/>
          <w:kern w:val="24"/>
        </w:rPr>
        <w:t xml:space="preserve">) Cells were </w:t>
      </w:r>
      <w:r w:rsidR="0082639A" w:rsidRPr="0082639A">
        <w:rPr>
          <w:bCs/>
          <w:color w:val="000000" w:themeColor="text1"/>
          <w:kern w:val="24"/>
        </w:rPr>
        <w:t>stained,</w:t>
      </w:r>
      <w:r w:rsidRPr="0082639A">
        <w:rPr>
          <w:bCs/>
          <w:color w:val="000000" w:themeColor="text1"/>
          <w:kern w:val="24"/>
        </w:rPr>
        <w:t xml:space="preserve"> and data were </w:t>
      </w:r>
      <w:r w:rsidRPr="0082639A">
        <w:rPr>
          <w:bCs/>
          <w:color w:val="000000" w:themeColor="text1"/>
          <w:kern w:val="24"/>
        </w:rPr>
        <w:lastRenderedPageBreak/>
        <w:t>acquired by flow cytometry. Data represent a representative experiment. (</w:t>
      </w:r>
      <w:r w:rsidRPr="008D46BC">
        <w:rPr>
          <w:b/>
          <w:color w:val="000000" w:themeColor="text1"/>
          <w:kern w:val="24"/>
        </w:rPr>
        <w:t>B</w:t>
      </w:r>
      <w:r w:rsidRPr="0082639A">
        <w:rPr>
          <w:bCs/>
          <w:color w:val="000000" w:themeColor="text1"/>
          <w:kern w:val="24"/>
        </w:rPr>
        <w:t xml:space="preserve">) The table summarizes the percentage of each cell type in live TMCs in tonsils from </w:t>
      </w:r>
      <w:r w:rsidR="00E85BFE" w:rsidRPr="00CF34EE">
        <w:rPr>
          <w:bCs/>
          <w:color w:val="000000" w:themeColor="text1"/>
          <w:kern w:val="24"/>
        </w:rPr>
        <w:t>six</w:t>
      </w:r>
      <w:r w:rsidRPr="0082639A">
        <w:rPr>
          <w:bCs/>
          <w:color w:val="000000" w:themeColor="text1"/>
          <w:kern w:val="24"/>
        </w:rPr>
        <w:t xml:space="preserve"> different healthy donors and compares </w:t>
      </w:r>
      <w:r w:rsidR="001227D7">
        <w:rPr>
          <w:bCs/>
          <w:color w:val="000000" w:themeColor="text1"/>
          <w:kern w:val="24"/>
        </w:rPr>
        <w:t>each</w:t>
      </w:r>
      <w:r w:rsidR="001227D7" w:rsidRPr="0082639A">
        <w:rPr>
          <w:bCs/>
          <w:color w:val="000000" w:themeColor="text1"/>
          <w:kern w:val="24"/>
        </w:rPr>
        <w:t xml:space="preserve"> </w:t>
      </w:r>
      <w:r w:rsidRPr="0082639A">
        <w:rPr>
          <w:bCs/>
          <w:color w:val="000000" w:themeColor="text1"/>
          <w:kern w:val="24"/>
        </w:rPr>
        <w:t xml:space="preserve">to the percentage of each cell type in PBMCs from blood, </w:t>
      </w:r>
      <w:r w:rsidR="001227D7">
        <w:rPr>
          <w:bCs/>
          <w:color w:val="000000" w:themeColor="text1"/>
          <w:kern w:val="24"/>
        </w:rPr>
        <w:t xml:space="preserve">as </w:t>
      </w:r>
      <w:r w:rsidRPr="0082639A">
        <w:rPr>
          <w:bCs/>
          <w:color w:val="000000" w:themeColor="text1"/>
          <w:kern w:val="24"/>
        </w:rPr>
        <w:t>defined in the literature</w:t>
      </w:r>
      <w:r w:rsidR="000F28A4" w:rsidRPr="0082639A">
        <w:rPr>
          <w:bCs/>
          <w:color w:val="000000" w:themeColor="text1"/>
          <w:kern w:val="24"/>
        </w:rPr>
        <w:fldChar w:fldCharType="begin" w:fldLock="1"/>
      </w:r>
      <w:r w:rsidR="00202207" w:rsidRPr="0082639A">
        <w:rPr>
          <w:bCs/>
          <w:color w:val="000000" w:themeColor="text1"/>
          <w:kern w:val="24"/>
        </w:rPr>
        <w:instrText>ADDIN CSL_CITATION {"citationItems":[{"id":"ITEM-1","itemData":{"DOI":"10.1007/978-3-319-16104-4_15","author":[{"dropping-particle":"","family":"Kleiveland","given":"Charlotte R.","non-dropping-particle":"","parse-names":false,"suffix":""}],"container-title":"The Impact of Food Bioactives on Health","id":"ITEM-1","issued":{"date-parts":[["2015"]]},"page":"161-167","publisher":"Springer International Publishing","publisher-place":"Cham","title":"Peripheral Blood Mononuclear Cells","type":"chapter"},"uris":["http://www.mendeley.com/documents/?uuid=02349eff-3cb7-33cc-8fb8-22592208d0ef"]},{"id":"ITEM-2","itemData":{"DOI":"10.1111/j.1365-2249.2007.03576.x","ISSN":"1365-2249","PMID":"18234052","abstract":"Dendritic cells (DCs) can acquire unique features or phenotypes in different tissue microenvironments and decide whether immunity or tolerance develops. DCs observed within the decidua have been implicated in pregnancy maintenance. However, the precise distribution of decidual DC subsets and their phenotypic characteristics are largely unknown. Using flow cytometry, we identified three DC subsets in normal human first-trimester decidua: BDCA-1+ CD19- CD14(-) myeloid DC type 1 (MDC1), BDCA-3+ CD14- myeloid DC type 2 (MDC2) and BDCA-2+ CD123+ plasmacytoid DC (PDC). The percentage of MDC1 to mononuclear cells in the decidua was similar to that in the peripheral blood controls. The percentage of MDC2 in the decidua was significantly higher than that in the peripheral blood controls, whereas the percentage of PDC was significantly lower. Both MDC1 and MDC2 subsets expressed human leucocyte antigen D-related, CD86 and CD80 at low levels, suggesting a characteristic of immature myeloid DCs. Immunoglobulin-like transcript 3, suggested to be involved in immune tolerance induction, was also expressed on decidual MDC1 and MDC2 subsets. In addition, as gestational age increased from 6 to 9 weeks, the numbers of MDC1 decreased but MDC2 increased significantly. This is the first study to demonstrate the presence of three previously unidentified BDCA-1+, BDCA-3+ and BDCA-2+ DC subsets in human decidua, these decidual DCs might play important role in the maintenance of pregnancy.","author":[{"dropping-particle":"","family":"Ban","given":"Y-L","non-dropping-particle":"","parse-names":false,"suffix":""},{"dropping-particle":"","family":"Kong","given":"B-H","non-dropping-particle":"","parse-names":false,"suffix":""},{"dropping-particle":"","family":"Qu","given":"X","non-dropping-particle":"","parse-names":false,"suffix":""},{"dropping-particle":"","family":"Yang","given":"Q-F","non-dropping-particle":"","parse-names":false,"suffix":""},{"dropping-particle":"","family":"Ma","given":"Y-Y","non-dropping-particle":"","parse-names":false,"suffix":""}],"container-title":"Clinical and experimental immunology","id":"ITEM-2","issue":"3","issued":{"date-parts":[["2008","3"]]},"page":"399-406","publisher":"Wiley-Blackwell","title":"BDCA-1+, BDCA-2+ and BDCA-3+ dendritic cells in early human pregnancy decidua.","type":"article-journal","volume":"151"},"uris":["http://www.mendeley.com/documents/?uuid=dcb4b718-04b3-3cec-b5e7-ff90568bdd59"]}],"mendeley":{"formattedCitation":"&lt;sup&gt;18,19&lt;/sup&gt;","plainTextFormattedCitation":"18,19","previouslyFormattedCitation":"&lt;sup&gt;17,18&lt;/sup&gt;"},"properties":{"noteIndex":0},"schema":"https://github.com/citation-style-language/schema/raw/master/csl-citation.json"}</w:instrText>
      </w:r>
      <w:r w:rsidR="000F28A4" w:rsidRPr="0082639A">
        <w:rPr>
          <w:bCs/>
          <w:color w:val="000000" w:themeColor="text1"/>
          <w:kern w:val="24"/>
        </w:rPr>
        <w:fldChar w:fldCharType="separate"/>
      </w:r>
      <w:r w:rsidR="00202207" w:rsidRPr="0082639A">
        <w:rPr>
          <w:bCs/>
          <w:noProof/>
          <w:color w:val="000000" w:themeColor="text1"/>
          <w:kern w:val="24"/>
          <w:vertAlign w:val="superscript"/>
        </w:rPr>
        <w:t>18,19</w:t>
      </w:r>
      <w:r w:rsidR="000F28A4" w:rsidRPr="0082639A">
        <w:rPr>
          <w:bCs/>
          <w:color w:val="000000" w:themeColor="text1"/>
          <w:kern w:val="24"/>
        </w:rPr>
        <w:fldChar w:fldCharType="end"/>
      </w:r>
      <w:r w:rsidRPr="0082639A">
        <w:rPr>
          <w:bCs/>
          <w:color w:val="000000" w:themeColor="text1"/>
          <w:kern w:val="24"/>
        </w:rPr>
        <w:t xml:space="preserve">. Data are shown as the percentage of live </w:t>
      </w:r>
      <w:r w:rsidR="004C17B7" w:rsidRPr="0082639A">
        <w:rPr>
          <w:bCs/>
          <w:color w:val="000000" w:themeColor="text1"/>
          <w:kern w:val="24"/>
        </w:rPr>
        <w:t>cells</w:t>
      </w:r>
      <w:r w:rsidRPr="0082639A">
        <w:rPr>
          <w:bCs/>
          <w:color w:val="000000" w:themeColor="text1"/>
          <w:kern w:val="24"/>
        </w:rPr>
        <w:t xml:space="preserve"> </w:t>
      </w:r>
      <w:r w:rsidRPr="0082639A">
        <w:rPr>
          <w:bCs/>
          <w:color w:val="000000" w:themeColor="text1"/>
          <w:kern w:val="24"/>
        </w:rPr>
        <w:sym w:font="Symbol" w:char="F0B1"/>
      </w:r>
      <w:r w:rsidRPr="0082639A">
        <w:rPr>
          <w:bCs/>
          <w:color w:val="000000" w:themeColor="text1"/>
          <w:kern w:val="24"/>
        </w:rPr>
        <w:t xml:space="preserve"> SD. </w:t>
      </w:r>
    </w:p>
    <w:p w14:paraId="52C7BCB7" w14:textId="549CF80C" w:rsidR="00DB4927" w:rsidRPr="0082639A" w:rsidRDefault="00DB4927" w:rsidP="0082639A">
      <w:pPr>
        <w:pStyle w:val="NormalWeb"/>
        <w:spacing w:before="0" w:beforeAutospacing="0" w:after="0" w:afterAutospacing="0"/>
        <w:contextualSpacing/>
        <w:jc w:val="left"/>
        <w:rPr>
          <w:bCs/>
          <w:color w:val="000000" w:themeColor="text1"/>
          <w:kern w:val="24"/>
        </w:rPr>
      </w:pPr>
    </w:p>
    <w:p w14:paraId="1E4A2C19" w14:textId="2B12180E" w:rsidR="005F01ED" w:rsidRPr="0082639A" w:rsidRDefault="005F01ED" w:rsidP="005F01ED">
      <w:pPr>
        <w:contextualSpacing/>
        <w:jc w:val="left"/>
        <w:rPr>
          <w:bCs/>
          <w:color w:val="000000" w:themeColor="text1"/>
          <w:kern w:val="24"/>
        </w:rPr>
      </w:pPr>
      <w:r w:rsidRPr="0082639A">
        <w:rPr>
          <w:b/>
          <w:bCs/>
          <w:color w:val="000000" w:themeColor="text1"/>
          <w:kern w:val="24"/>
        </w:rPr>
        <w:t>Figure 2: TMCs produce</w:t>
      </w:r>
      <w:r w:rsidR="001227D7">
        <w:rPr>
          <w:b/>
          <w:bCs/>
          <w:color w:val="000000" w:themeColor="text1"/>
          <w:kern w:val="24"/>
        </w:rPr>
        <w:t>d</w:t>
      </w:r>
      <w:r w:rsidRPr="0082639A">
        <w:rPr>
          <w:b/>
          <w:bCs/>
          <w:color w:val="000000" w:themeColor="text1"/>
          <w:kern w:val="24"/>
        </w:rPr>
        <w:t xml:space="preserve"> cytokines upon stimulation. </w:t>
      </w:r>
      <w:r w:rsidRPr="0082639A">
        <w:rPr>
          <w:bCs/>
          <w:color w:val="000000" w:themeColor="text1"/>
          <w:kern w:val="24"/>
        </w:rPr>
        <w:t>(</w:t>
      </w:r>
      <w:r w:rsidRPr="0082639A">
        <w:rPr>
          <w:b/>
          <w:bCs/>
          <w:color w:val="000000" w:themeColor="text1"/>
          <w:kern w:val="24"/>
        </w:rPr>
        <w:t>A</w:t>
      </w:r>
      <w:r w:rsidRPr="0082639A">
        <w:rPr>
          <w:bCs/>
          <w:color w:val="000000" w:themeColor="text1"/>
          <w:kern w:val="24"/>
        </w:rPr>
        <w:t>)</w:t>
      </w:r>
      <w:r w:rsidRPr="0082639A">
        <w:rPr>
          <w:b/>
          <w:bCs/>
          <w:color w:val="000000" w:themeColor="text1"/>
          <w:kern w:val="24"/>
        </w:rPr>
        <w:t xml:space="preserve"> </w:t>
      </w:r>
      <w:r w:rsidRPr="0082639A">
        <w:rPr>
          <w:bCs/>
          <w:color w:val="000000" w:themeColor="text1"/>
          <w:kern w:val="24"/>
        </w:rPr>
        <w:t xml:space="preserve">Purified and isolated TMCs (blue) and PBMCs (green) </w:t>
      </w:r>
      <w:r w:rsidR="001227D7">
        <w:rPr>
          <w:bCs/>
          <w:color w:val="000000" w:themeColor="text1"/>
          <w:kern w:val="24"/>
        </w:rPr>
        <w:t>were</w:t>
      </w:r>
      <w:r w:rsidR="001227D7" w:rsidRPr="0082639A">
        <w:rPr>
          <w:bCs/>
          <w:color w:val="000000" w:themeColor="text1"/>
          <w:kern w:val="24"/>
        </w:rPr>
        <w:t xml:space="preserve"> </w:t>
      </w:r>
      <w:r w:rsidRPr="0082639A">
        <w:rPr>
          <w:bCs/>
          <w:color w:val="000000" w:themeColor="text1"/>
          <w:kern w:val="24"/>
        </w:rPr>
        <w:t xml:space="preserve">stimulated overnight with R848 (5 µg/mL). Supernatants </w:t>
      </w:r>
      <w:r w:rsidR="001227D7" w:rsidRPr="00D20B28">
        <w:rPr>
          <w:bCs/>
          <w:color w:val="000000" w:themeColor="text1"/>
          <w:kern w:val="24"/>
        </w:rPr>
        <w:t>were</w:t>
      </w:r>
      <w:r w:rsidR="001227D7" w:rsidRPr="0082639A">
        <w:rPr>
          <w:bCs/>
          <w:color w:val="000000" w:themeColor="text1"/>
          <w:kern w:val="24"/>
        </w:rPr>
        <w:t xml:space="preserve"> </w:t>
      </w:r>
      <w:r w:rsidRPr="0082639A">
        <w:rPr>
          <w:bCs/>
          <w:color w:val="000000" w:themeColor="text1"/>
          <w:kern w:val="24"/>
        </w:rPr>
        <w:t xml:space="preserve">retrieved and frozen until use. </w:t>
      </w:r>
      <w:r w:rsidR="001227D7">
        <w:rPr>
          <w:bCs/>
          <w:color w:val="000000" w:themeColor="text1"/>
          <w:kern w:val="24"/>
        </w:rPr>
        <w:t>A b</w:t>
      </w:r>
      <w:r w:rsidRPr="0082639A">
        <w:rPr>
          <w:bCs/>
          <w:color w:val="000000" w:themeColor="text1"/>
          <w:kern w:val="24"/>
        </w:rPr>
        <w:t xml:space="preserve">ead-based immunoassay </w:t>
      </w:r>
      <w:r w:rsidR="001227D7" w:rsidRPr="00D20B28">
        <w:rPr>
          <w:bCs/>
          <w:color w:val="000000" w:themeColor="text1"/>
          <w:kern w:val="24"/>
        </w:rPr>
        <w:t>was</w:t>
      </w:r>
      <w:r w:rsidR="001227D7" w:rsidRPr="0082639A">
        <w:rPr>
          <w:bCs/>
          <w:color w:val="000000" w:themeColor="text1"/>
          <w:kern w:val="24"/>
        </w:rPr>
        <w:t xml:space="preserve"> </w:t>
      </w:r>
      <w:r w:rsidRPr="0082639A">
        <w:rPr>
          <w:bCs/>
          <w:color w:val="000000" w:themeColor="text1"/>
          <w:kern w:val="24"/>
        </w:rPr>
        <w:t>performed to quantify multiple soluble cytokines simultaneously using a flow cytometer.</w:t>
      </w:r>
      <w:r w:rsidR="0061322F">
        <w:rPr>
          <w:bCs/>
          <w:color w:val="000000" w:themeColor="text1"/>
          <w:kern w:val="24"/>
        </w:rPr>
        <w:t xml:space="preserve"> </w:t>
      </w:r>
      <w:r w:rsidR="001227D7">
        <w:rPr>
          <w:bCs/>
          <w:color w:val="000000" w:themeColor="text1"/>
          <w:kern w:val="24"/>
        </w:rPr>
        <w:t>The g</w:t>
      </w:r>
      <w:r w:rsidRPr="0082639A">
        <w:rPr>
          <w:bCs/>
          <w:color w:val="000000" w:themeColor="text1"/>
          <w:kern w:val="24"/>
        </w:rPr>
        <w:t xml:space="preserve">raphs represent the concentration in picograms per milliliter of each measured cytokine. The fold increases are annotated in red on the graphs. </w:t>
      </w:r>
      <w:r>
        <w:rPr>
          <w:bCs/>
          <w:color w:val="000000" w:themeColor="text1"/>
          <w:kern w:val="24"/>
        </w:rPr>
        <w:t>Mann-Whitney U test</w:t>
      </w:r>
      <w:r w:rsidRPr="0082639A">
        <w:rPr>
          <w:bCs/>
          <w:color w:val="000000" w:themeColor="text1"/>
          <w:kern w:val="24"/>
        </w:rPr>
        <w:t>.</w:t>
      </w:r>
      <w:r>
        <w:rPr>
          <w:bCs/>
          <w:color w:val="000000" w:themeColor="text1"/>
          <w:kern w:val="24"/>
        </w:rPr>
        <w:t xml:space="preserve"> </w:t>
      </w:r>
      <w:r w:rsidRPr="0082639A">
        <w:rPr>
          <w:bCs/>
          <w:color w:val="000000" w:themeColor="text1"/>
          <w:kern w:val="24"/>
        </w:rPr>
        <w:t>(</w:t>
      </w:r>
      <w:r w:rsidRPr="0082639A">
        <w:rPr>
          <w:b/>
          <w:bCs/>
          <w:color w:val="000000" w:themeColor="text1"/>
          <w:kern w:val="24"/>
        </w:rPr>
        <w:t>B</w:t>
      </w:r>
      <w:r w:rsidRPr="0082639A">
        <w:rPr>
          <w:bCs/>
          <w:color w:val="000000" w:themeColor="text1"/>
          <w:kern w:val="24"/>
        </w:rPr>
        <w:t xml:space="preserve">) Purified and isolated TMCs from tonsils (blue) and tonsillar tissue blocs (orange) </w:t>
      </w:r>
      <w:r w:rsidR="001227D7" w:rsidRPr="00D20B28">
        <w:rPr>
          <w:bCs/>
          <w:color w:val="000000" w:themeColor="text1"/>
          <w:kern w:val="24"/>
        </w:rPr>
        <w:t>were</w:t>
      </w:r>
      <w:r w:rsidR="001227D7" w:rsidRPr="0082639A">
        <w:rPr>
          <w:bCs/>
          <w:color w:val="000000" w:themeColor="text1"/>
          <w:kern w:val="24"/>
        </w:rPr>
        <w:t xml:space="preserve"> </w:t>
      </w:r>
      <w:r w:rsidRPr="0082639A">
        <w:rPr>
          <w:bCs/>
          <w:color w:val="000000" w:themeColor="text1"/>
          <w:kern w:val="24"/>
        </w:rPr>
        <w:t xml:space="preserve">stimulated </w:t>
      </w:r>
      <w:r w:rsidR="00B65EA8">
        <w:rPr>
          <w:bCs/>
          <w:color w:val="000000" w:themeColor="text1"/>
          <w:kern w:val="24"/>
        </w:rPr>
        <w:t xml:space="preserve">for </w:t>
      </w:r>
      <w:r w:rsidRPr="00BB688E">
        <w:rPr>
          <w:bCs/>
          <w:color w:val="000000" w:themeColor="text1"/>
          <w:kern w:val="24"/>
        </w:rPr>
        <w:t>24</w:t>
      </w:r>
      <w:r w:rsidR="00E85BFE">
        <w:rPr>
          <w:bCs/>
          <w:color w:val="000000" w:themeColor="text1"/>
          <w:kern w:val="24"/>
        </w:rPr>
        <w:t xml:space="preserve"> </w:t>
      </w:r>
      <w:r w:rsidRPr="00BB688E">
        <w:rPr>
          <w:bCs/>
          <w:color w:val="000000" w:themeColor="text1"/>
          <w:kern w:val="24"/>
        </w:rPr>
        <w:t>h</w:t>
      </w:r>
      <w:r w:rsidRPr="0082639A">
        <w:rPr>
          <w:bCs/>
          <w:color w:val="000000" w:themeColor="text1"/>
          <w:kern w:val="24"/>
        </w:rPr>
        <w:t xml:space="preserve"> with Influenza A virus (IAV). </w:t>
      </w:r>
      <w:r w:rsidR="001227D7">
        <w:rPr>
          <w:bCs/>
          <w:color w:val="000000" w:themeColor="text1"/>
          <w:kern w:val="24"/>
        </w:rPr>
        <w:t xml:space="preserve">A </w:t>
      </w:r>
      <w:r w:rsidRPr="0082639A">
        <w:rPr>
          <w:bCs/>
          <w:color w:val="000000" w:themeColor="text1"/>
          <w:kern w:val="24"/>
        </w:rPr>
        <w:t xml:space="preserve">STING-37 reporter cell line assay </w:t>
      </w:r>
      <w:r w:rsidR="001227D7" w:rsidRPr="00D20B28">
        <w:rPr>
          <w:bCs/>
          <w:color w:val="000000" w:themeColor="text1"/>
          <w:kern w:val="24"/>
        </w:rPr>
        <w:t>was</w:t>
      </w:r>
      <w:r w:rsidR="001227D7" w:rsidRPr="0082639A">
        <w:rPr>
          <w:bCs/>
          <w:color w:val="000000" w:themeColor="text1"/>
          <w:kern w:val="24"/>
        </w:rPr>
        <w:t xml:space="preserve"> </w:t>
      </w:r>
      <w:r w:rsidRPr="0082639A">
        <w:rPr>
          <w:bCs/>
          <w:color w:val="000000" w:themeColor="text1"/>
          <w:kern w:val="24"/>
        </w:rPr>
        <w:t xml:space="preserve">used to measure IFN production in the supernatant. Box and whisker plots with median ± minimum to maximum. </w:t>
      </w:r>
      <w:r>
        <w:rPr>
          <w:bCs/>
          <w:color w:val="000000" w:themeColor="text1"/>
          <w:kern w:val="24"/>
        </w:rPr>
        <w:t>Mann-Whitney U test</w:t>
      </w:r>
      <w:r w:rsidRPr="0082639A">
        <w:rPr>
          <w:bCs/>
          <w:color w:val="000000" w:themeColor="text1"/>
          <w:kern w:val="24"/>
        </w:rPr>
        <w:t>.</w:t>
      </w:r>
      <w:r>
        <w:rPr>
          <w:bCs/>
          <w:color w:val="000000" w:themeColor="text1"/>
          <w:kern w:val="24"/>
        </w:rPr>
        <w:t xml:space="preserve"> </w:t>
      </w:r>
      <w:r w:rsidRPr="00474933">
        <w:rPr>
          <w:bCs/>
          <w:color w:val="000000" w:themeColor="text1"/>
          <w:kern w:val="24"/>
        </w:rPr>
        <w:t>***</w:t>
      </w:r>
      <w:r w:rsidR="00E85BFE" w:rsidRPr="00BB688E">
        <w:rPr>
          <w:bCs/>
          <w:i/>
          <w:iCs/>
          <w:color w:val="000000" w:themeColor="text1"/>
          <w:kern w:val="24"/>
        </w:rPr>
        <w:t>P</w:t>
      </w:r>
      <w:r w:rsidRPr="00474933">
        <w:rPr>
          <w:bCs/>
          <w:color w:val="000000" w:themeColor="text1"/>
          <w:kern w:val="24"/>
        </w:rPr>
        <w:t xml:space="preserve"> &lt; 0.001, **</w:t>
      </w:r>
      <w:r w:rsidR="00E85BFE" w:rsidRPr="00BB688E">
        <w:rPr>
          <w:bCs/>
          <w:i/>
          <w:iCs/>
          <w:color w:val="000000" w:themeColor="text1"/>
          <w:kern w:val="24"/>
        </w:rPr>
        <w:t>P</w:t>
      </w:r>
      <w:r>
        <w:rPr>
          <w:bCs/>
          <w:i/>
          <w:iCs/>
          <w:color w:val="000000" w:themeColor="text1"/>
          <w:kern w:val="24"/>
        </w:rPr>
        <w:t xml:space="preserve"> </w:t>
      </w:r>
      <w:r w:rsidRPr="00474933">
        <w:rPr>
          <w:bCs/>
          <w:color w:val="000000" w:themeColor="text1"/>
          <w:kern w:val="24"/>
        </w:rPr>
        <w:t>&lt; 0.01, *</w:t>
      </w:r>
      <w:r w:rsidR="00E85BFE" w:rsidRPr="00BB688E">
        <w:rPr>
          <w:bCs/>
          <w:i/>
          <w:iCs/>
          <w:color w:val="000000" w:themeColor="text1"/>
          <w:kern w:val="24"/>
        </w:rPr>
        <w:t>P</w:t>
      </w:r>
      <w:r>
        <w:rPr>
          <w:bCs/>
          <w:i/>
          <w:iCs/>
          <w:color w:val="000000" w:themeColor="text1"/>
          <w:kern w:val="24"/>
        </w:rPr>
        <w:t xml:space="preserve"> </w:t>
      </w:r>
      <w:r w:rsidRPr="00474933">
        <w:rPr>
          <w:bCs/>
          <w:color w:val="000000" w:themeColor="text1"/>
          <w:kern w:val="24"/>
        </w:rPr>
        <w:t>&lt; 0.05. NS</w:t>
      </w:r>
      <w:r w:rsidR="00E85BFE">
        <w:rPr>
          <w:bCs/>
          <w:color w:val="000000" w:themeColor="text1"/>
          <w:kern w:val="24"/>
        </w:rPr>
        <w:t xml:space="preserve"> =</w:t>
      </w:r>
      <w:r w:rsidRPr="00474933">
        <w:rPr>
          <w:bCs/>
          <w:color w:val="000000" w:themeColor="text1"/>
          <w:kern w:val="24"/>
        </w:rPr>
        <w:t xml:space="preserve"> non</w:t>
      </w:r>
      <w:r>
        <w:rPr>
          <w:bCs/>
          <w:color w:val="000000" w:themeColor="text1"/>
          <w:kern w:val="24"/>
        </w:rPr>
        <w:t>-</w:t>
      </w:r>
      <w:r w:rsidRPr="00474933">
        <w:rPr>
          <w:bCs/>
          <w:color w:val="000000" w:themeColor="text1"/>
          <w:kern w:val="24"/>
        </w:rPr>
        <w:t>stimulated.</w:t>
      </w:r>
    </w:p>
    <w:p w14:paraId="1E8A8749" w14:textId="77777777" w:rsidR="005F01ED" w:rsidRPr="0082639A" w:rsidRDefault="005F01ED" w:rsidP="005F01ED">
      <w:pPr>
        <w:pStyle w:val="NormalWeb"/>
        <w:spacing w:before="0" w:beforeAutospacing="0" w:after="0" w:afterAutospacing="0"/>
        <w:contextualSpacing/>
        <w:jc w:val="left"/>
        <w:rPr>
          <w:bCs/>
          <w:color w:val="000000" w:themeColor="text1"/>
          <w:kern w:val="24"/>
        </w:rPr>
      </w:pPr>
    </w:p>
    <w:p w14:paraId="4F786FE3" w14:textId="69E230C4" w:rsidR="00122E93" w:rsidRPr="0082639A" w:rsidRDefault="005F01ED" w:rsidP="005F01ED">
      <w:pPr>
        <w:contextualSpacing/>
        <w:jc w:val="left"/>
      </w:pPr>
      <w:r w:rsidRPr="0082639A">
        <w:rPr>
          <w:b/>
          <w:bCs/>
          <w:color w:val="000000" w:themeColor="text1"/>
          <w:kern w:val="24"/>
        </w:rPr>
        <w:t xml:space="preserve">Figure 3: Compound 1 </w:t>
      </w:r>
      <w:r w:rsidR="001227D7">
        <w:rPr>
          <w:b/>
          <w:bCs/>
          <w:color w:val="000000" w:themeColor="text1"/>
          <w:kern w:val="24"/>
        </w:rPr>
        <w:t>was</w:t>
      </w:r>
      <w:r w:rsidR="001227D7" w:rsidRPr="0082639A">
        <w:rPr>
          <w:b/>
          <w:bCs/>
          <w:color w:val="000000" w:themeColor="text1"/>
          <w:kern w:val="24"/>
        </w:rPr>
        <w:t xml:space="preserve"> </w:t>
      </w:r>
      <w:r w:rsidRPr="0082639A">
        <w:rPr>
          <w:b/>
          <w:bCs/>
          <w:color w:val="000000" w:themeColor="text1"/>
          <w:kern w:val="24"/>
        </w:rPr>
        <w:t xml:space="preserve">toxic to TMCs. </w:t>
      </w:r>
      <w:r w:rsidRPr="0082639A">
        <w:rPr>
          <w:bCs/>
          <w:color w:val="000000" w:themeColor="text1"/>
          <w:kern w:val="24"/>
        </w:rPr>
        <w:t xml:space="preserve">Purified and isolated TMCs and PBMCs </w:t>
      </w:r>
      <w:r w:rsidR="001227D7" w:rsidRPr="00D20B28">
        <w:rPr>
          <w:bCs/>
          <w:color w:val="000000" w:themeColor="text1"/>
          <w:kern w:val="24"/>
        </w:rPr>
        <w:t>were</w:t>
      </w:r>
      <w:r w:rsidR="001227D7" w:rsidRPr="0082639A">
        <w:rPr>
          <w:bCs/>
          <w:color w:val="000000" w:themeColor="text1"/>
          <w:kern w:val="24"/>
        </w:rPr>
        <w:t xml:space="preserve"> </w:t>
      </w:r>
      <w:r w:rsidR="001227D7" w:rsidRPr="00D20B28">
        <w:rPr>
          <w:bCs/>
          <w:color w:val="000000" w:themeColor="text1"/>
          <w:kern w:val="24"/>
        </w:rPr>
        <w:t>pre</w:t>
      </w:r>
      <w:r w:rsidRPr="0082639A">
        <w:rPr>
          <w:bCs/>
          <w:color w:val="000000" w:themeColor="text1"/>
          <w:kern w:val="24"/>
        </w:rPr>
        <w:t>incubated with compound 1 (C1) at various concentration</w:t>
      </w:r>
      <w:r w:rsidR="001227D7">
        <w:rPr>
          <w:bCs/>
          <w:color w:val="000000" w:themeColor="text1"/>
          <w:kern w:val="24"/>
        </w:rPr>
        <w:t>s</w:t>
      </w:r>
      <w:r w:rsidRPr="0082639A">
        <w:rPr>
          <w:bCs/>
          <w:color w:val="000000" w:themeColor="text1"/>
          <w:kern w:val="24"/>
        </w:rPr>
        <w:t xml:space="preserve"> for 1</w:t>
      </w:r>
      <w:r w:rsidR="001227D7">
        <w:rPr>
          <w:bCs/>
          <w:color w:val="000000" w:themeColor="text1"/>
          <w:kern w:val="24"/>
        </w:rPr>
        <w:t xml:space="preserve"> </w:t>
      </w:r>
      <w:r w:rsidRPr="0082639A">
        <w:rPr>
          <w:bCs/>
          <w:color w:val="000000" w:themeColor="text1"/>
          <w:kern w:val="24"/>
        </w:rPr>
        <w:t xml:space="preserve">h and then stimulated overnight with R848 (5 µg/mL). Supernatants </w:t>
      </w:r>
      <w:r w:rsidR="001227D7" w:rsidRPr="00D20B28">
        <w:rPr>
          <w:bCs/>
          <w:color w:val="000000" w:themeColor="text1"/>
          <w:kern w:val="24"/>
        </w:rPr>
        <w:t>were</w:t>
      </w:r>
      <w:r w:rsidR="001227D7" w:rsidRPr="0082639A">
        <w:rPr>
          <w:bCs/>
          <w:color w:val="000000" w:themeColor="text1"/>
          <w:kern w:val="24"/>
        </w:rPr>
        <w:t xml:space="preserve"> </w:t>
      </w:r>
      <w:r w:rsidRPr="0082639A">
        <w:rPr>
          <w:bCs/>
          <w:color w:val="000000" w:themeColor="text1"/>
          <w:kern w:val="24"/>
        </w:rPr>
        <w:t xml:space="preserve">retrieved, 60 µL of </w:t>
      </w:r>
      <w:r>
        <w:rPr>
          <w:bCs/>
          <w:color w:val="000000" w:themeColor="text1"/>
          <w:kern w:val="24"/>
        </w:rPr>
        <w:t>cell viability solution</w:t>
      </w:r>
      <w:r w:rsidRPr="0082639A">
        <w:rPr>
          <w:bCs/>
          <w:color w:val="000000" w:themeColor="text1"/>
          <w:kern w:val="24"/>
        </w:rPr>
        <w:t xml:space="preserve"> </w:t>
      </w:r>
      <w:r w:rsidR="001227D7" w:rsidRPr="00D20B28">
        <w:rPr>
          <w:bCs/>
          <w:color w:val="000000" w:themeColor="text1"/>
          <w:kern w:val="24"/>
        </w:rPr>
        <w:t>was</w:t>
      </w:r>
      <w:r w:rsidR="001227D7" w:rsidRPr="0082639A">
        <w:rPr>
          <w:bCs/>
          <w:color w:val="000000" w:themeColor="text1"/>
          <w:kern w:val="24"/>
        </w:rPr>
        <w:t xml:space="preserve"> </w:t>
      </w:r>
      <w:r w:rsidRPr="0082639A">
        <w:rPr>
          <w:bCs/>
          <w:color w:val="000000" w:themeColor="text1"/>
          <w:kern w:val="24"/>
        </w:rPr>
        <w:t>added</w:t>
      </w:r>
      <w:r w:rsidR="00B65EA8">
        <w:rPr>
          <w:bCs/>
          <w:color w:val="000000" w:themeColor="text1"/>
          <w:kern w:val="24"/>
        </w:rPr>
        <w:t>,</w:t>
      </w:r>
      <w:r w:rsidRPr="0082639A">
        <w:rPr>
          <w:bCs/>
          <w:color w:val="000000" w:themeColor="text1"/>
          <w:kern w:val="24"/>
        </w:rPr>
        <w:t xml:space="preserve"> and luminescence </w:t>
      </w:r>
      <w:r w:rsidR="001227D7" w:rsidRPr="00D20B28">
        <w:rPr>
          <w:bCs/>
          <w:color w:val="000000" w:themeColor="text1"/>
          <w:kern w:val="24"/>
        </w:rPr>
        <w:t>was</w:t>
      </w:r>
      <w:r w:rsidR="001227D7" w:rsidRPr="0082639A">
        <w:rPr>
          <w:bCs/>
          <w:color w:val="000000" w:themeColor="text1"/>
          <w:kern w:val="24"/>
        </w:rPr>
        <w:t xml:space="preserve"> </w:t>
      </w:r>
      <w:r w:rsidRPr="0082639A">
        <w:rPr>
          <w:bCs/>
          <w:color w:val="000000" w:themeColor="text1"/>
          <w:kern w:val="24"/>
        </w:rPr>
        <w:t xml:space="preserve">measured. </w:t>
      </w:r>
      <w:r w:rsidR="001227D7">
        <w:rPr>
          <w:bCs/>
          <w:color w:val="000000" w:themeColor="text1"/>
          <w:kern w:val="24"/>
        </w:rPr>
        <w:t xml:space="preserve">The </w:t>
      </w:r>
      <w:r w:rsidRPr="0082639A">
        <w:rPr>
          <w:bCs/>
          <w:color w:val="000000" w:themeColor="text1"/>
          <w:kern w:val="24"/>
        </w:rPr>
        <w:t>* represents the statistical analysis comparing C1 to NS. Box and whisker plots with median ± minimum to maximum. Kruskal-Wallis test with Dunn’s post hoc correction.</w:t>
      </w:r>
      <w:r w:rsidRPr="00474933">
        <w:rPr>
          <w:bCs/>
          <w:color w:val="000000" w:themeColor="text1"/>
          <w:kern w:val="24"/>
        </w:rPr>
        <w:t xml:space="preserve"> ****</w:t>
      </w:r>
      <w:r w:rsidR="00E85BFE" w:rsidRPr="00BB688E">
        <w:rPr>
          <w:bCs/>
          <w:i/>
          <w:iCs/>
          <w:color w:val="000000" w:themeColor="text1"/>
          <w:kern w:val="24"/>
        </w:rPr>
        <w:t>P</w:t>
      </w:r>
      <w:r w:rsidRPr="00474933">
        <w:rPr>
          <w:bCs/>
          <w:color w:val="000000" w:themeColor="text1"/>
          <w:kern w:val="24"/>
        </w:rPr>
        <w:t xml:space="preserve"> &lt; 0.0001, ***</w:t>
      </w:r>
      <w:r w:rsidR="00E85BFE" w:rsidRPr="00BB688E">
        <w:rPr>
          <w:bCs/>
          <w:i/>
          <w:iCs/>
          <w:color w:val="000000" w:themeColor="text1"/>
          <w:kern w:val="24"/>
        </w:rPr>
        <w:t>P</w:t>
      </w:r>
      <w:r w:rsidRPr="00474933">
        <w:rPr>
          <w:bCs/>
          <w:color w:val="000000" w:themeColor="text1"/>
          <w:kern w:val="24"/>
        </w:rPr>
        <w:t xml:space="preserve"> &lt; 0.001, **</w:t>
      </w:r>
      <w:r w:rsidR="00E85BFE" w:rsidRPr="00BB688E">
        <w:rPr>
          <w:bCs/>
          <w:i/>
          <w:iCs/>
          <w:color w:val="000000" w:themeColor="text1"/>
          <w:kern w:val="24"/>
        </w:rPr>
        <w:t>P</w:t>
      </w:r>
      <w:r w:rsidRPr="00474933">
        <w:rPr>
          <w:bCs/>
          <w:color w:val="000000" w:themeColor="text1"/>
          <w:kern w:val="24"/>
        </w:rPr>
        <w:t xml:space="preserve"> &lt; 0.01, *</w:t>
      </w:r>
      <w:r w:rsidR="00E85BFE" w:rsidRPr="00BB688E">
        <w:rPr>
          <w:bCs/>
          <w:i/>
          <w:iCs/>
          <w:color w:val="000000" w:themeColor="text1"/>
          <w:kern w:val="24"/>
        </w:rPr>
        <w:t>P</w:t>
      </w:r>
      <w:r w:rsidRPr="00474933">
        <w:rPr>
          <w:bCs/>
          <w:color w:val="000000" w:themeColor="text1"/>
          <w:kern w:val="24"/>
        </w:rPr>
        <w:t xml:space="preserve"> &lt; 0.05. NS</w:t>
      </w:r>
      <w:r w:rsidR="00E85BFE">
        <w:rPr>
          <w:bCs/>
          <w:color w:val="000000" w:themeColor="text1"/>
          <w:kern w:val="24"/>
        </w:rPr>
        <w:t xml:space="preserve"> =</w:t>
      </w:r>
      <w:r w:rsidRPr="00474933">
        <w:rPr>
          <w:bCs/>
          <w:color w:val="000000" w:themeColor="text1"/>
          <w:kern w:val="24"/>
        </w:rPr>
        <w:t xml:space="preserve"> non</w:t>
      </w:r>
      <w:r>
        <w:rPr>
          <w:bCs/>
          <w:color w:val="000000" w:themeColor="text1"/>
          <w:kern w:val="24"/>
        </w:rPr>
        <w:t>-</w:t>
      </w:r>
      <w:r w:rsidRPr="00474933">
        <w:rPr>
          <w:bCs/>
          <w:color w:val="000000" w:themeColor="text1"/>
          <w:kern w:val="24"/>
        </w:rPr>
        <w:t>stimulated.</w:t>
      </w:r>
    </w:p>
    <w:p w14:paraId="6F7DFECA" w14:textId="2BA5526C" w:rsidR="00B32616" w:rsidRDefault="00B32616" w:rsidP="0082639A">
      <w:pPr>
        <w:contextualSpacing/>
        <w:jc w:val="left"/>
        <w:rPr>
          <w:b/>
          <w:color w:val="000000" w:themeColor="text1"/>
        </w:rPr>
      </w:pPr>
    </w:p>
    <w:p w14:paraId="0057D447" w14:textId="1B4A8EED" w:rsidR="00291AD8" w:rsidRDefault="00291AD8" w:rsidP="0082639A">
      <w:pPr>
        <w:contextualSpacing/>
        <w:jc w:val="left"/>
        <w:rPr>
          <w:b/>
          <w:bCs/>
        </w:rPr>
      </w:pPr>
      <w:r w:rsidRPr="0082639A">
        <w:rPr>
          <w:b/>
        </w:rPr>
        <w:t>Table 1</w:t>
      </w:r>
      <w:r w:rsidRPr="00291AD8">
        <w:rPr>
          <w:b/>
          <w:bCs/>
        </w:rPr>
        <w:t>: List of antibodies for cell characterization by flow cytometry.</w:t>
      </w:r>
    </w:p>
    <w:p w14:paraId="1659CD80" w14:textId="77777777" w:rsidR="00291AD8" w:rsidRPr="0082639A" w:rsidRDefault="00291AD8" w:rsidP="0082639A">
      <w:pPr>
        <w:contextualSpacing/>
        <w:jc w:val="left"/>
        <w:rPr>
          <w:b/>
          <w:color w:val="000000" w:themeColor="text1"/>
        </w:rPr>
      </w:pPr>
    </w:p>
    <w:p w14:paraId="75E89829" w14:textId="54E2B038" w:rsidR="009726EE" w:rsidRPr="0082639A" w:rsidRDefault="009726EE" w:rsidP="0082639A">
      <w:pPr>
        <w:contextualSpacing/>
        <w:jc w:val="left"/>
        <w:rPr>
          <w:b/>
        </w:rPr>
      </w:pPr>
      <w:bookmarkStart w:id="3" w:name="Discussion"/>
      <w:r w:rsidRPr="0082639A">
        <w:rPr>
          <w:b/>
        </w:rPr>
        <w:t>DISCUSSION</w:t>
      </w:r>
      <w:bookmarkEnd w:id="3"/>
      <w:r w:rsidRPr="0082639A">
        <w:rPr>
          <w:b/>
          <w:bCs/>
        </w:rPr>
        <w:t xml:space="preserve">: </w:t>
      </w:r>
    </w:p>
    <w:p w14:paraId="2797872F" w14:textId="4EDC6D67" w:rsidR="00CC4FCF" w:rsidRPr="0082639A" w:rsidRDefault="00FB5FDF" w:rsidP="0082639A">
      <w:pPr>
        <w:pStyle w:val="NormalWeb"/>
        <w:spacing w:before="0" w:beforeAutospacing="0" w:after="0" w:afterAutospacing="0"/>
        <w:contextualSpacing/>
        <w:jc w:val="left"/>
      </w:pPr>
      <w:r w:rsidRPr="0082639A">
        <w:rPr>
          <w:color w:val="000000" w:themeColor="text1"/>
        </w:rPr>
        <w:t xml:space="preserve">Human tonsils represent an integrative and physiological </w:t>
      </w:r>
      <w:r w:rsidRPr="008D46BC">
        <w:rPr>
          <w:iCs/>
          <w:color w:val="000000" w:themeColor="text1"/>
        </w:rPr>
        <w:t>ex vivo</w:t>
      </w:r>
      <w:r w:rsidRPr="0082639A">
        <w:rPr>
          <w:color w:val="000000" w:themeColor="text1"/>
        </w:rPr>
        <w:t xml:space="preserve"> model to study innate immune response</w:t>
      </w:r>
      <w:r w:rsidR="001227D7">
        <w:rPr>
          <w:color w:val="000000" w:themeColor="text1"/>
        </w:rPr>
        <w:t>s</w:t>
      </w:r>
      <w:r w:rsidRPr="0082639A">
        <w:rPr>
          <w:color w:val="000000" w:themeColor="text1"/>
        </w:rPr>
        <w:t xml:space="preserve"> at the mucosal interface</w:t>
      </w:r>
      <w:r w:rsidR="001227D7">
        <w:rPr>
          <w:color w:val="000000" w:themeColor="text1"/>
        </w:rPr>
        <w:t>,</w:t>
      </w:r>
      <w:r w:rsidRPr="0082639A">
        <w:rPr>
          <w:color w:val="000000" w:themeColor="text1"/>
        </w:rPr>
        <w:t xml:space="preserve"> </w:t>
      </w:r>
      <w:r w:rsidR="001227D7" w:rsidRPr="00D20B28">
        <w:rPr>
          <w:color w:val="000000" w:themeColor="text1"/>
        </w:rPr>
        <w:t>because</w:t>
      </w:r>
      <w:r w:rsidR="001227D7" w:rsidRPr="0082639A">
        <w:rPr>
          <w:color w:val="000000" w:themeColor="text1"/>
        </w:rPr>
        <w:t xml:space="preserve"> </w:t>
      </w:r>
      <w:r w:rsidRPr="0082639A">
        <w:rPr>
          <w:color w:val="000000" w:themeColor="text1"/>
        </w:rPr>
        <w:t xml:space="preserve">they </w:t>
      </w:r>
      <w:r w:rsidRPr="0082639A">
        <w:t xml:space="preserve">mimic the role of a secondary lymphoid organ. </w:t>
      </w:r>
      <w:r w:rsidR="00CC4FCF" w:rsidRPr="0082639A">
        <w:t xml:space="preserve">Interestingly, </w:t>
      </w:r>
      <w:r w:rsidR="001227D7">
        <w:t xml:space="preserve">the </w:t>
      </w:r>
      <w:r w:rsidR="00CC4FCF" w:rsidRPr="0082639A">
        <w:t xml:space="preserve">cellular composition of the TMCs is </w:t>
      </w:r>
      <w:proofErr w:type="gramStart"/>
      <w:r w:rsidR="00CC4FCF" w:rsidRPr="0082639A">
        <w:t>similar to</w:t>
      </w:r>
      <w:proofErr w:type="gramEnd"/>
      <w:r w:rsidR="00CC4FCF" w:rsidRPr="0082639A">
        <w:t xml:space="preserve"> the PBMCs and includes all the major cell populations, </w:t>
      </w:r>
      <w:r w:rsidR="001227D7">
        <w:t>although</w:t>
      </w:r>
      <w:r w:rsidR="001227D7" w:rsidRPr="0082639A">
        <w:t xml:space="preserve"> </w:t>
      </w:r>
      <w:r w:rsidR="00CC4FCF" w:rsidRPr="0082639A">
        <w:t xml:space="preserve">their percentage can be different from </w:t>
      </w:r>
      <w:r w:rsidR="001227D7" w:rsidRPr="0082639A">
        <w:t xml:space="preserve">PBMCs </w:t>
      </w:r>
      <w:r w:rsidR="001227D7">
        <w:t xml:space="preserve">from </w:t>
      </w:r>
      <w:r w:rsidR="00CC4FCF" w:rsidRPr="0082639A">
        <w:t>blood (</w:t>
      </w:r>
      <w:r w:rsidR="00E85BFE" w:rsidRPr="00E85BFE">
        <w:rPr>
          <w:b/>
          <w:bCs/>
        </w:rPr>
        <w:t>Figure</w:t>
      </w:r>
      <w:r w:rsidR="00CC4FCF" w:rsidRPr="0082639A">
        <w:t xml:space="preserve"> </w:t>
      </w:r>
      <w:r w:rsidR="00CC4FCF" w:rsidRPr="008D46BC">
        <w:rPr>
          <w:b/>
        </w:rPr>
        <w:t>1</w:t>
      </w:r>
      <w:r w:rsidR="00CC4FCF" w:rsidRPr="0082639A">
        <w:t>).</w:t>
      </w:r>
      <w:r w:rsidR="004C17B7" w:rsidRPr="0082639A">
        <w:t xml:space="preserve"> Additional pop</w:t>
      </w:r>
      <w:r w:rsidR="00FF2C4C" w:rsidRPr="0082639A">
        <w:t>ulation</w:t>
      </w:r>
      <w:r w:rsidR="004C17B7" w:rsidRPr="0082639A">
        <w:t>s</w:t>
      </w:r>
      <w:r w:rsidR="00FF2C4C" w:rsidRPr="0082639A">
        <w:t xml:space="preserve"> can also be found</w:t>
      </w:r>
      <w:r w:rsidR="001227D7">
        <w:t>,</w:t>
      </w:r>
      <w:r w:rsidR="00FF2C4C" w:rsidRPr="0082639A">
        <w:t xml:space="preserve"> as </w:t>
      </w:r>
      <w:r w:rsidR="004C17B7" w:rsidRPr="0082639A">
        <w:t>all immune responses are initiated in tissues</w:t>
      </w:r>
      <w:r w:rsidR="00FF2C4C" w:rsidRPr="0082639A">
        <w:t xml:space="preserve"> </w:t>
      </w:r>
      <w:r w:rsidR="004C17B7" w:rsidRPr="0082639A">
        <w:t xml:space="preserve">(mucosa or secondary lymphoid organs) and not in blood. </w:t>
      </w:r>
    </w:p>
    <w:p w14:paraId="2ACAD0F0" w14:textId="77777777" w:rsidR="00CC4FCF" w:rsidRPr="0082639A" w:rsidRDefault="00CC4FCF" w:rsidP="0082639A">
      <w:pPr>
        <w:pStyle w:val="NormalWeb"/>
        <w:spacing w:before="0" w:beforeAutospacing="0" w:after="0" w:afterAutospacing="0"/>
        <w:contextualSpacing/>
        <w:jc w:val="left"/>
      </w:pPr>
    </w:p>
    <w:p w14:paraId="3D495B68" w14:textId="2A853F2B" w:rsidR="00FF2C4C" w:rsidRPr="0082639A" w:rsidRDefault="00FA3E3D" w:rsidP="008D46BC">
      <w:r w:rsidRPr="0082639A">
        <w:t xml:space="preserve">The use of human tissue explants as well as the use of cell culture or blood cells </w:t>
      </w:r>
      <w:r w:rsidR="001227D7">
        <w:t xml:space="preserve">each </w:t>
      </w:r>
      <w:r w:rsidRPr="0082639A">
        <w:t xml:space="preserve">have their advantages. However, </w:t>
      </w:r>
      <w:r w:rsidR="001227D7">
        <w:t>for the of</w:t>
      </w:r>
      <w:r w:rsidRPr="0082639A">
        <w:t xml:space="preserve"> study cytokine secretion and cell activation, tissue </w:t>
      </w:r>
      <w:r w:rsidR="005E0ADA" w:rsidRPr="0082639A">
        <w:t xml:space="preserve">explants were not the </w:t>
      </w:r>
      <w:r w:rsidR="001227D7">
        <w:t>best</w:t>
      </w:r>
      <w:r w:rsidR="001227D7" w:rsidRPr="0082639A">
        <w:t xml:space="preserve"> </w:t>
      </w:r>
      <w:r w:rsidR="005E0ADA" w:rsidRPr="0082639A">
        <w:t xml:space="preserve">model. </w:t>
      </w:r>
      <w:r w:rsidR="001227D7" w:rsidRPr="0082639A">
        <w:t>In fact</w:t>
      </w:r>
      <w:r w:rsidR="005E0ADA" w:rsidRPr="0082639A">
        <w:t xml:space="preserve">, we could not detect any </w:t>
      </w:r>
      <w:r w:rsidR="00C6056D" w:rsidRPr="0082639A">
        <w:t>IFN</w:t>
      </w:r>
      <w:r w:rsidR="005E0ADA" w:rsidRPr="0082639A">
        <w:t xml:space="preserve"> production in the supernatant of tissue explants (</w:t>
      </w:r>
      <w:r w:rsidR="00E85BFE" w:rsidRPr="00E85BFE">
        <w:rPr>
          <w:b/>
          <w:bCs/>
        </w:rPr>
        <w:t>Figure</w:t>
      </w:r>
      <w:r w:rsidR="005E0ADA" w:rsidRPr="0082639A">
        <w:t xml:space="preserve"> </w:t>
      </w:r>
      <w:r w:rsidR="005E0ADA" w:rsidRPr="008D46BC">
        <w:rPr>
          <w:b/>
        </w:rPr>
        <w:t>2B</w:t>
      </w:r>
      <w:r w:rsidR="005E0ADA" w:rsidRPr="0082639A">
        <w:t>)</w:t>
      </w:r>
      <w:r w:rsidR="001227D7">
        <w:t>.</w:t>
      </w:r>
      <w:r w:rsidR="00C6056D" w:rsidRPr="0082639A">
        <w:t xml:space="preserve"> </w:t>
      </w:r>
      <w:r w:rsidR="001227D7" w:rsidRPr="0082639A">
        <w:t xml:space="preserve">We </w:t>
      </w:r>
      <w:r w:rsidR="00C6056D" w:rsidRPr="0082639A">
        <w:t>speculate</w:t>
      </w:r>
      <w:r w:rsidR="001227D7">
        <w:t xml:space="preserve"> that it</w:t>
      </w:r>
      <w:r w:rsidR="00C6056D" w:rsidRPr="0082639A">
        <w:t xml:space="preserve"> is directly consumed by the surrounding cells. </w:t>
      </w:r>
      <w:r w:rsidR="00F17FE8" w:rsidRPr="0082639A">
        <w:t xml:space="preserve">On the other hand, </w:t>
      </w:r>
      <w:r w:rsidR="004C17B7" w:rsidRPr="0082639A">
        <w:t xml:space="preserve">stimulation of </w:t>
      </w:r>
      <w:r w:rsidR="00F17FE8" w:rsidRPr="0082639A">
        <w:t xml:space="preserve">blood cells (PBMCs) can mimic the primary response to infection but do not mimic what is happening in the tissues, where most of the cytokines are produced and where viruses replicate. </w:t>
      </w:r>
      <w:r w:rsidRPr="0082639A">
        <w:t xml:space="preserve">Therefore, we set up a protocol to isolate and purify </w:t>
      </w:r>
      <w:r w:rsidR="00B65EA8" w:rsidRPr="0082639A">
        <w:t>cells arising out of a secondary lymphoid tissue, the tonsil</w:t>
      </w:r>
      <w:r w:rsidR="00B65EA8">
        <w:t>. We purified</w:t>
      </w:r>
      <w:r w:rsidR="00B65EA8" w:rsidRPr="0082639A">
        <w:t xml:space="preserve"> </w:t>
      </w:r>
      <w:r w:rsidRPr="0082639A">
        <w:t>TMCs from healthy human tonsils</w:t>
      </w:r>
      <w:r w:rsidR="00E33202" w:rsidRPr="0082639A">
        <w:t>, which allows us to investigate immune cell activation upon stimulation</w:t>
      </w:r>
      <w:r w:rsidRPr="0082639A">
        <w:t>.</w:t>
      </w:r>
      <w:r w:rsidR="00B261EC" w:rsidRPr="0082639A">
        <w:t xml:space="preserve"> </w:t>
      </w:r>
      <w:r w:rsidR="00EA55DA" w:rsidRPr="0082639A">
        <w:t xml:space="preserve">However, one of the limitations of this model is that TMCs do not produce as </w:t>
      </w:r>
      <w:r w:rsidR="00B84545">
        <w:t>many</w:t>
      </w:r>
      <w:r w:rsidR="00B84545" w:rsidRPr="0082639A">
        <w:t xml:space="preserve"> </w:t>
      </w:r>
      <w:r w:rsidR="00B84545" w:rsidRPr="00D20B28">
        <w:t>pro</w:t>
      </w:r>
      <w:r w:rsidR="002B0C2C">
        <w:t>-</w:t>
      </w:r>
      <w:r w:rsidR="009076AF" w:rsidRPr="0082639A">
        <w:t>inflammatory</w:t>
      </w:r>
      <w:r w:rsidR="00EA55DA" w:rsidRPr="0082639A">
        <w:t xml:space="preserve"> cytokine</w:t>
      </w:r>
      <w:r w:rsidR="009076AF" w:rsidRPr="0082639A">
        <w:t>s</w:t>
      </w:r>
      <w:r w:rsidR="00EA55DA" w:rsidRPr="0082639A">
        <w:t xml:space="preserve"> as PBMCs </w:t>
      </w:r>
      <w:r w:rsidR="00B84545" w:rsidRPr="00D20B28">
        <w:rPr>
          <w:rFonts w:asciiTheme="minorHAnsi" w:hAnsiTheme="minorHAnsi" w:cstheme="minorHAnsi"/>
        </w:rPr>
        <w:t>ex vivo</w:t>
      </w:r>
      <w:r w:rsidR="00FF2C4C" w:rsidRPr="0082639A">
        <w:t xml:space="preserve"> </w:t>
      </w:r>
      <w:r w:rsidR="00FF2C4C" w:rsidRPr="0082639A">
        <w:lastRenderedPageBreak/>
        <w:t>upon</w:t>
      </w:r>
      <w:r w:rsidR="00FF2C4C" w:rsidRPr="0082639A">
        <w:rPr>
          <w:i/>
        </w:rPr>
        <w:t xml:space="preserve"> </w:t>
      </w:r>
      <w:r w:rsidR="00FF2C4C" w:rsidRPr="0082639A">
        <w:t>TLR7/8</w:t>
      </w:r>
      <w:r w:rsidR="00B84545">
        <w:t xml:space="preserve"> stimulation</w:t>
      </w:r>
      <w:r w:rsidR="00EA55DA" w:rsidRPr="0082639A">
        <w:t xml:space="preserve">, </w:t>
      </w:r>
      <w:r w:rsidR="00B84545">
        <w:t>although</w:t>
      </w:r>
      <w:r w:rsidR="00B84545" w:rsidRPr="0082639A">
        <w:t xml:space="preserve"> </w:t>
      </w:r>
      <w:r w:rsidR="00EA55DA" w:rsidRPr="0082639A">
        <w:t>levels of IFN</w:t>
      </w:r>
      <w:r w:rsidR="00EA55DA" w:rsidRPr="0082639A">
        <w:rPr>
          <w:color w:val="000000" w:themeColor="text1"/>
        </w:rPr>
        <w:sym w:font="Symbol" w:char="F061"/>
      </w:r>
      <w:r w:rsidR="00EA55DA" w:rsidRPr="0082639A">
        <w:rPr>
          <w:color w:val="000000" w:themeColor="text1"/>
        </w:rPr>
        <w:t xml:space="preserve">, the major antiviral cytokine, is similar in both cultures. </w:t>
      </w:r>
    </w:p>
    <w:p w14:paraId="0BCFDD2F" w14:textId="77777777" w:rsidR="00CC4FCF" w:rsidRPr="0082639A" w:rsidRDefault="00CC4FCF" w:rsidP="0082639A">
      <w:pPr>
        <w:pStyle w:val="NormalWeb"/>
        <w:spacing w:before="0" w:beforeAutospacing="0" w:after="0" w:afterAutospacing="0"/>
        <w:contextualSpacing/>
        <w:jc w:val="left"/>
      </w:pPr>
    </w:p>
    <w:p w14:paraId="7741FFF2" w14:textId="54D527CA" w:rsidR="008C62D1" w:rsidRPr="0082639A" w:rsidRDefault="008C62D1" w:rsidP="0082639A">
      <w:pPr>
        <w:pStyle w:val="NormalWeb"/>
        <w:spacing w:before="0" w:beforeAutospacing="0" w:after="0" w:afterAutospacing="0"/>
        <w:contextualSpacing/>
        <w:jc w:val="left"/>
      </w:pPr>
      <w:r w:rsidRPr="0082639A">
        <w:t>T</w:t>
      </w:r>
      <w:r w:rsidR="002C402A" w:rsidRPr="0082639A">
        <w:t xml:space="preserve">he study of compound toxicity on TMCs </w:t>
      </w:r>
      <w:r w:rsidR="002C402A" w:rsidRPr="008D46BC">
        <w:t>versus</w:t>
      </w:r>
      <w:r w:rsidR="002C402A" w:rsidRPr="0082639A">
        <w:t xml:space="preserve"> PBMCs revealed that </w:t>
      </w:r>
      <w:r w:rsidR="00B510CC" w:rsidRPr="0082639A">
        <w:t>TMCs</w:t>
      </w:r>
      <w:r w:rsidR="002C402A" w:rsidRPr="0082639A">
        <w:t xml:space="preserve"> are more sensitive</w:t>
      </w:r>
      <w:r w:rsidR="00DB4927" w:rsidRPr="0082639A">
        <w:t xml:space="preserve"> </w:t>
      </w:r>
      <w:r w:rsidR="00B510CC" w:rsidRPr="0082639A">
        <w:t xml:space="preserve">to a toxic drug </w:t>
      </w:r>
      <w:r w:rsidR="00DB4927" w:rsidRPr="0082639A">
        <w:t>(</w:t>
      </w:r>
      <w:r w:rsidR="00E85BFE" w:rsidRPr="00E85BFE">
        <w:rPr>
          <w:b/>
          <w:bCs/>
        </w:rPr>
        <w:t>Figure</w:t>
      </w:r>
      <w:r w:rsidR="00DB4927" w:rsidRPr="0082639A">
        <w:t xml:space="preserve"> </w:t>
      </w:r>
      <w:r w:rsidR="00DB4927" w:rsidRPr="008D46BC">
        <w:rPr>
          <w:b/>
        </w:rPr>
        <w:t>3</w:t>
      </w:r>
      <w:r w:rsidR="00DB4927" w:rsidRPr="0082639A">
        <w:t>)</w:t>
      </w:r>
      <w:r w:rsidR="00BF6091" w:rsidRPr="0082639A">
        <w:t xml:space="preserve">. </w:t>
      </w:r>
      <w:r w:rsidR="00284599" w:rsidRPr="0082639A">
        <w:t xml:space="preserve">Thus, </w:t>
      </w:r>
      <w:r w:rsidR="00B510CC" w:rsidRPr="0082639A">
        <w:t xml:space="preserve">the toxicity of new drugs and future treatments </w:t>
      </w:r>
      <w:r w:rsidR="002C402A" w:rsidRPr="0082639A">
        <w:t xml:space="preserve">should be </w:t>
      </w:r>
      <w:r w:rsidR="00B510CC" w:rsidRPr="0082639A">
        <w:t xml:space="preserve">tested in cells from tissues and not only </w:t>
      </w:r>
      <w:r w:rsidR="00E715CC" w:rsidRPr="0082639A">
        <w:t xml:space="preserve">on </w:t>
      </w:r>
      <w:r w:rsidR="00B510CC" w:rsidRPr="0082639A">
        <w:t>cell lines, PBMCs</w:t>
      </w:r>
      <w:r w:rsidR="00B84545">
        <w:t>,</w:t>
      </w:r>
      <w:r w:rsidR="00B510CC" w:rsidRPr="0082639A">
        <w:t xml:space="preserve"> or tissue explants</w:t>
      </w:r>
      <w:r w:rsidR="002C402A" w:rsidRPr="0082639A">
        <w:t xml:space="preserve">. </w:t>
      </w:r>
      <w:r w:rsidRPr="0082639A">
        <w:t xml:space="preserve">Therefore, the use of TMCs for drug testing seems to be a future application of the method described. </w:t>
      </w:r>
    </w:p>
    <w:p w14:paraId="4A5A5943" w14:textId="4F5C0B1B" w:rsidR="002206DD" w:rsidRPr="0082639A" w:rsidRDefault="002206DD" w:rsidP="0082639A">
      <w:pPr>
        <w:pStyle w:val="NormalWeb"/>
        <w:spacing w:before="0" w:beforeAutospacing="0" w:after="0" w:afterAutospacing="0"/>
        <w:contextualSpacing/>
        <w:jc w:val="left"/>
      </w:pPr>
    </w:p>
    <w:p w14:paraId="49AB6421" w14:textId="2D4F5151" w:rsidR="00A0385F" w:rsidRPr="0082639A" w:rsidRDefault="00A0385F" w:rsidP="0082639A">
      <w:pPr>
        <w:pStyle w:val="ListParagraph"/>
        <w:ind w:left="0"/>
        <w:jc w:val="left"/>
      </w:pPr>
      <w:r w:rsidRPr="0082639A">
        <w:t>Tonsils from adults or children can be obtained and processed as described. However, we recommend obtaining tonsils from children for two main reasons</w:t>
      </w:r>
      <w:r w:rsidR="00D07492" w:rsidRPr="0082639A">
        <w:t>: 1)</w:t>
      </w:r>
      <w:r w:rsidRPr="0082639A">
        <w:t xml:space="preserve"> </w:t>
      </w:r>
      <w:r w:rsidR="00D07492" w:rsidRPr="0082639A">
        <w:t>C</w:t>
      </w:r>
      <w:r w:rsidRPr="0082639A">
        <w:t>hildren’s tonsils contain more cells than the adults’</w:t>
      </w:r>
      <w:r w:rsidR="0035616A" w:rsidRPr="0082639A">
        <w:fldChar w:fldCharType="begin" w:fldLock="1"/>
      </w:r>
      <w:r w:rsidR="00202207" w:rsidRPr="0082639A">
        <w:instrText>ADDIN CSL_CITATION {"citationItems":[{"id":"ITEM-1","itemData":{"DOI":"10.1016/J.JPEDS.2012.07.041","ISSN":"0022-3476","abstract":"OBJECTIVE\nTo analyze age-associated changes in linear and cross-sectional area (CSA) measurements of adenoid, tonsils, and pharyngeal lumen. \n\nSTUDY DESIGN\nMeasurements were completed in head magnetic resonance imaging examinations performed for diagnostic purposes. Linear and nonlinear regression models were applied to describe the effect of age on the size of soft tissues and upper airway. \n\nRESULTS\nMagnetic resonance imaging data were analyzed in 149 children without snoring (aged 0-15.9 years) and in 33 children with snoring (aged 1.6-15 years). In the children without snoring, adenoid size increased during the first 7-8 years of life and then decreased gradually [% (adenoid oblique width/mental spine–clivus length) = 11.38 + 1.52 (age) − 0.11 (age)2, R2 = 0.22, P &lt; .01; adenoid CSA = 90.75 + 41.93 (age) − 2.47 (age)2; R2 = 0.50; P &lt; .01]. Nasopharyngeal airway CSA increased slowly up to age 8 years and rapidly thereafter. Similar patterns were noted for the tonsils and oropharyngeal airway. In contrast, in children with snoring, adenoid and tonsils were large irrespective of age, and nasopharyngeal airway size increased slowly with age. \n\nCONCLUSIONS\nIn children without snoring, growing adenotonsillar tissue narrows the upper airway lumen to variable degrees only during the first 8 years of life. In contrast, in children with snoring, appreciable pharyngeal lymphoid tissue enlargement is present during the preschool years and persists beyond the eighth birthday.","author":[{"dropping-particle":"","family":"Papaioannou","given":"Georgia","non-dropping-particle":"","parse-names":false,"suffix":""},{"dropping-particle":"","family":"Kambas","given":"Ilias","non-dropping-particle":"","parse-names":false,"suffix":""},{"dropping-particle":"","family":"Tsaoussoglou","given":"Marina","non-dropping-particle":"","parse-names":false,"suffix":""},{"dropping-particle":"","family":"Panaghiotopoulou-Gartagani","given":"Polytimi","non-dropping-particle":"","parse-names":false,"suffix":""},{"dropping-particle":"","family":"Chrousos","given":"George","non-dropping-particle":"","parse-names":false,"suffix":""},{"dropping-particle":"","family":"Kaditis","given":"Athanasios G.","non-dropping-particle":"","parse-names":false,"suffix":""}],"container-title":"The Journal of Pediatrics","id":"ITEM-1","issue":"2","issued":{"date-parts":[["2013","2","1"]]},"page":"269-274.e4","publisher":"Mosby","title":"Age-Dependent Changes in the Size of Adenotonsillar Tissue in Childhood: Implications for Sleep-Disordered Breathing","type":"article-journal","volume":"162"},"uris":["http://www.mendeley.com/documents/?uuid=5f7b7573-c301-3d37-a037-cbd091c14597"]}],"mendeley":{"formattedCitation":"&lt;sup&gt;20&lt;/sup&gt;","plainTextFormattedCitation":"20","previouslyFormattedCitation":"&lt;sup&gt;19&lt;/sup&gt;"},"properties":{"noteIndex":0},"schema":"https://github.com/citation-style-language/schema/raw/master/csl-citation.json"}</w:instrText>
      </w:r>
      <w:r w:rsidR="0035616A" w:rsidRPr="0082639A">
        <w:fldChar w:fldCharType="separate"/>
      </w:r>
      <w:r w:rsidR="00202207" w:rsidRPr="0082639A">
        <w:rPr>
          <w:noProof/>
          <w:vertAlign w:val="superscript"/>
        </w:rPr>
        <w:t>20</w:t>
      </w:r>
      <w:r w:rsidR="0035616A" w:rsidRPr="0082639A">
        <w:fldChar w:fldCharType="end"/>
      </w:r>
      <w:r w:rsidRPr="0082639A">
        <w:t xml:space="preserve">. Indeed, tonsillar hypertrophy is particularly common in children, </w:t>
      </w:r>
      <w:r w:rsidR="00B84545" w:rsidRPr="00D20B28">
        <w:t>because</w:t>
      </w:r>
      <w:r w:rsidR="00B84545" w:rsidRPr="0082639A">
        <w:t xml:space="preserve"> </w:t>
      </w:r>
      <w:r w:rsidRPr="0082639A">
        <w:t>they fight more childhood viruses. Thus, these large tonsils can become obstructive tonsils and need to be removed by a partial tonsillectomy to avoid complications like sleep apnea</w:t>
      </w:r>
      <w:r w:rsidR="0035616A" w:rsidRPr="0082639A">
        <w:fldChar w:fldCharType="begin" w:fldLock="1"/>
      </w:r>
      <w:r w:rsidR="000115C8" w:rsidRPr="0082639A">
        <w:instrText>ADDIN CSL_CITATION {"citationItems":[{"id":"ITEM-1","itemData":{"DOI":"10.1183/13993003.00385-2015","abstract":"This document summarises the conclusions of a European Respiratory Society Task Force on the diagnosis and management of obstructive sleep disordered breathing (SDB) in childhood and refers to children aged 2-18 years. Prospective cohort studies describing the natural history of SDB or randomised, double-blind, placebo-controlled trials regarding its management are scarce. Selected evidence (362 articles) can be consolidated into seven management steps. SDB is suspected when symptoms or abnormalities related to upper airway obstruction are present (step 1). Central nervous or cardiovascular system morbidity, growth failure or enuresis and predictors of SDB persistence in the long-term are recognised (steps 2 and 3), and SDB severity is determined objectively preferably using polysomnography (step 4). Children with an apnoea-hypopnoea index (AHI) &gt;5 episodes·h −1 , those with an AHI of 1-5 episodes·h −1 and the presence of morbidity or factors predicting SDB persistence, and children with complex conditions (e.g. Down syndrome and Prader-Willi syndrome) all appear to benefit from treatment (step 5). Treatment interventions are usually implemented in a stepwise fashion addressing all abnormalities that predispose to SDB (step 6) with re-evaluation after each intervention to detect residual disease and to determine the need for additional treatment (step 7). @ERSpublications Management of obstructive sleep disordered breathing in childhood should follow a stepwise approach","author":[{"dropping-particle":"","family":"Kaditis","given":"Athanasios G","non-dropping-particle":"","parse-names":false,"suffix":""},{"dropping-particle":"","family":"Luz","given":"Maria","non-dropping-particle":"","parse-names":false,"suffix":""},{"dropping-particle":"","family":"Alvarez","given":"Alonso","non-dropping-particle":"","parse-names":false,"suffix":""},{"dropping-particle":"","family":"Boudewyns","given":"An","non-dropping-particle":"","parse-names":false,"suffix":""},{"dropping-particle":"","family":"Alexopoulos","given":"Emmanouel I","non-dropping-particle":"","parse-names":false,"suffix":""},{"dropping-particle":"","family":"Ersu","given":"Refika","non-dropping-particle":"","parse-names":false,"suffix":""},{"dropping-particle":"","family":"Joosten","given":"Koen","non-dropping-particle":"","parse-names":false,"suffix":""},{"dropping-particle":"","family":"Larramona","given":"Helena","non-dropping-particle":"","parse-names":false,"suffix":""},{"dropping-particle":"","family":"Miano","given":"Silvia","non-dropping-particle":"","parse-names":false,"suffix":""},{"dropping-particle":"","family":"Narang","given":"Indra","non-dropping-particle":"","parse-names":false,"suffix":""},{"dropping-particle":"","family":"Trang","given":"Ha","non-dropping-particle":"","parse-names":false,"suffix":""},{"dropping-particle":"","family":"Tsaoussoglou","given":"Marina","non-dropping-particle":"","parse-names":false,"suffix":""},{"dropping-particle":"","family":"Vandenbussche","given":"Nele","non-dropping-particle":"","parse-names":false,"suffix":""},{"dropping-particle":"","family":"Villa","given":"Maria Pia","non-dropping-particle":"","parse-names":false,"suffix":""},{"dropping-particle":"","family":"Waardenburg","given":"Dick","non-dropping-particle":"Van","parse-names":false,"suffix":""},{"dropping-particle":"","family":"Weber","given":"Silke","non-dropping-particle":"","parse-names":false,"suffix":""},{"dropping-particle":"","family":"Verhulst","given":"Stijn","non-dropping-particle":"","parse-names":false,"suffix":""}],"container-title":"Eur Respir J","id":"ITEM-1","issued":{"date-parts":[["2016"]]},"page":"69-94","title":"Obstructive sleep disordered breathing in 2-to 18-year-old children: diagnosis and management TASK FORCE REPORT ERS STATEMENT","type":"article-journal","volume":"47"},"uris":["http://www.mendeley.com/documents/?uuid=508983b6-2efb-3b38-befd-c566637b3e25"]}],"mendeley":{"formattedCitation":"&lt;sup&gt;13&lt;/sup&gt;","plainTextFormattedCitation":"13","previouslyFormattedCitation":"&lt;sup&gt;13&lt;/sup&gt;"},"properties":{"noteIndex":0},"schema":"https://github.com/citation-style-language/schema/raw/master/csl-citation.json"}</w:instrText>
      </w:r>
      <w:r w:rsidR="0035616A" w:rsidRPr="0082639A">
        <w:fldChar w:fldCharType="separate"/>
      </w:r>
      <w:r w:rsidR="00114A15" w:rsidRPr="0082639A">
        <w:rPr>
          <w:noProof/>
          <w:vertAlign w:val="superscript"/>
        </w:rPr>
        <w:t>13</w:t>
      </w:r>
      <w:r w:rsidR="0035616A" w:rsidRPr="0082639A">
        <w:fldChar w:fldCharType="end"/>
      </w:r>
      <w:r w:rsidR="00B84545">
        <w:t xml:space="preserve">; </w:t>
      </w:r>
      <w:r w:rsidR="00D07492" w:rsidRPr="0082639A">
        <w:t xml:space="preserve">2) </w:t>
      </w:r>
      <w:r w:rsidR="00B84545">
        <w:t>Because</w:t>
      </w:r>
      <w:r w:rsidR="00B84545" w:rsidRPr="0082639A">
        <w:t xml:space="preserve"> </w:t>
      </w:r>
      <w:r w:rsidRPr="0082639A">
        <w:t>adults’ tonsils are usually removed after several episodes of ear-nose-throat (ENT) infections</w:t>
      </w:r>
      <w:r w:rsidR="00D07492" w:rsidRPr="0082639A">
        <w:t>,</w:t>
      </w:r>
      <w:r w:rsidRPr="0082639A">
        <w:t xml:space="preserve"> </w:t>
      </w:r>
      <w:r w:rsidR="00D07492" w:rsidRPr="0082639A">
        <w:t>these</w:t>
      </w:r>
      <w:r w:rsidRPr="0082639A">
        <w:t xml:space="preserve"> tonsils are less naïve and contain </w:t>
      </w:r>
      <w:r w:rsidR="00B84545" w:rsidRPr="00D20B28">
        <w:t>fewer</w:t>
      </w:r>
      <w:r w:rsidR="00B84545" w:rsidRPr="0082639A">
        <w:t xml:space="preserve"> </w:t>
      </w:r>
      <w:r w:rsidRPr="0082639A">
        <w:t xml:space="preserve">cells. </w:t>
      </w:r>
    </w:p>
    <w:p w14:paraId="66FA727A" w14:textId="77777777" w:rsidR="00A0385F" w:rsidRPr="0082639A" w:rsidRDefault="00A0385F" w:rsidP="0082639A">
      <w:pPr>
        <w:pStyle w:val="NormalWeb"/>
        <w:spacing w:before="0" w:beforeAutospacing="0" w:after="0" w:afterAutospacing="0"/>
        <w:contextualSpacing/>
        <w:jc w:val="left"/>
      </w:pPr>
    </w:p>
    <w:p w14:paraId="0050798E" w14:textId="79001BB9" w:rsidR="00267945" w:rsidRPr="0082639A" w:rsidRDefault="00D07492" w:rsidP="0082639A">
      <w:pPr>
        <w:contextualSpacing/>
        <w:jc w:val="left"/>
      </w:pPr>
      <w:r w:rsidRPr="0082639A">
        <w:t xml:space="preserve">It is critical to work on the tonsils as soon as possible after the </w:t>
      </w:r>
      <w:r w:rsidR="00B84545">
        <w:t xml:space="preserve">removal </w:t>
      </w:r>
      <w:r w:rsidRPr="0082639A">
        <w:t xml:space="preserve">surgery, ideally </w:t>
      </w:r>
      <w:r w:rsidR="00B84545">
        <w:t>&lt;</w:t>
      </w:r>
      <w:r w:rsidR="00B84545" w:rsidRPr="00D20B28">
        <w:t>3</w:t>
      </w:r>
      <w:r w:rsidR="00B84545" w:rsidRPr="0082639A">
        <w:t xml:space="preserve"> </w:t>
      </w:r>
      <w:r w:rsidR="00B84545" w:rsidRPr="00D20B28">
        <w:t>h</w:t>
      </w:r>
      <w:r w:rsidRPr="0082639A">
        <w:t xml:space="preserve"> </w:t>
      </w:r>
      <w:r w:rsidR="00B84545">
        <w:t>after</w:t>
      </w:r>
      <w:r w:rsidR="00B84545" w:rsidRPr="0082639A">
        <w:t xml:space="preserve"> </w:t>
      </w:r>
      <w:r w:rsidRPr="0082639A">
        <w:t>collection. Indeed, r</w:t>
      </w:r>
      <w:r w:rsidR="002206DD" w:rsidRPr="0082639A">
        <w:t xml:space="preserve">ight after removal and until dissection, the tonsils from each side are kept together in a 50 mL sterile </w:t>
      </w:r>
      <w:r w:rsidR="00B84545" w:rsidRPr="0082639A">
        <w:t xml:space="preserve">vial </w:t>
      </w:r>
      <w:r w:rsidR="002206DD" w:rsidRPr="0082639A">
        <w:t>containing around 20 mL of PBS</w:t>
      </w:r>
      <w:r w:rsidRPr="0082639A">
        <w:t xml:space="preserve">, so that they are totally </w:t>
      </w:r>
      <w:r w:rsidR="00B84545">
        <w:t>sub</w:t>
      </w:r>
      <w:r w:rsidRPr="0082639A">
        <w:t>merged</w:t>
      </w:r>
      <w:r w:rsidR="002206DD" w:rsidRPr="0082639A">
        <w:t>.</w:t>
      </w:r>
    </w:p>
    <w:p w14:paraId="42436E60" w14:textId="77777777" w:rsidR="00267945" w:rsidRPr="0082639A" w:rsidRDefault="00267945" w:rsidP="0082639A">
      <w:pPr>
        <w:contextualSpacing/>
        <w:jc w:val="left"/>
      </w:pPr>
    </w:p>
    <w:p w14:paraId="05569E4A" w14:textId="2615416F" w:rsidR="005678B0" w:rsidRPr="0082639A" w:rsidRDefault="00267945" w:rsidP="0082639A">
      <w:pPr>
        <w:contextualSpacing/>
        <w:jc w:val="left"/>
      </w:pPr>
      <w:proofErr w:type="spellStart"/>
      <w:r w:rsidRPr="0082639A">
        <w:t>Interdonor</w:t>
      </w:r>
      <w:proofErr w:type="spellEnd"/>
      <w:r w:rsidRPr="0082639A">
        <w:t xml:space="preserve"> variability can represent a major issue</w:t>
      </w:r>
      <w:r w:rsidR="00245F94" w:rsidRPr="0082639A">
        <w:t xml:space="preserve"> for reproducibility. Indeed, variability in cellular composition between donors</w:t>
      </w:r>
      <w:r w:rsidR="00557323" w:rsidRPr="0082639A">
        <w:t xml:space="preserve"> </w:t>
      </w:r>
      <w:r w:rsidR="00245F94" w:rsidRPr="0082639A">
        <w:t xml:space="preserve">can </w:t>
      </w:r>
      <w:r w:rsidR="00B84545">
        <w:t>be significant</w:t>
      </w:r>
      <w:r w:rsidR="00245F94" w:rsidRPr="0082639A">
        <w:t xml:space="preserve">. Our protocol, using TMCs and not tissue explants, limits this variability </w:t>
      </w:r>
      <w:r w:rsidR="00B84545" w:rsidRPr="00D20B28">
        <w:t>because</w:t>
      </w:r>
      <w:r w:rsidR="00B84545" w:rsidRPr="0082639A">
        <w:t xml:space="preserve"> </w:t>
      </w:r>
      <w:r w:rsidR="00245F94" w:rsidRPr="0082639A">
        <w:t xml:space="preserve">the cells from the whole tonsils are mixed before being plated and placed in culture, while tissue explants bring </w:t>
      </w:r>
      <w:proofErr w:type="spellStart"/>
      <w:r w:rsidR="0061322F" w:rsidRPr="0061322F">
        <w:t>intra</w:t>
      </w:r>
      <w:r w:rsidR="00245F94" w:rsidRPr="0082639A">
        <w:t>donor</w:t>
      </w:r>
      <w:proofErr w:type="spellEnd"/>
      <w:r w:rsidR="00245F94" w:rsidRPr="0082639A">
        <w:t xml:space="preserve"> variability in cellular composition </w:t>
      </w:r>
      <w:r w:rsidR="00B84545" w:rsidRPr="00D20B28">
        <w:t>because</w:t>
      </w:r>
      <w:r w:rsidR="00B84545" w:rsidRPr="0082639A">
        <w:t xml:space="preserve"> </w:t>
      </w:r>
      <w:r w:rsidR="009D3CF9" w:rsidRPr="0082639A">
        <w:t xml:space="preserve">the pieces come </w:t>
      </w:r>
      <w:r w:rsidR="00245F94" w:rsidRPr="0082639A">
        <w:t xml:space="preserve">from different areas within the same specimen. </w:t>
      </w:r>
      <w:r w:rsidR="00557323" w:rsidRPr="0082639A">
        <w:t xml:space="preserve">Partial tonsillectomy can only be performed on </w:t>
      </w:r>
      <w:r w:rsidR="0061322F" w:rsidRPr="0061322F">
        <w:t>non</w:t>
      </w:r>
      <w:r w:rsidR="00557323" w:rsidRPr="0082639A">
        <w:t>inflamed tonsils, which limits the inflammatory status variability between patients. W</w:t>
      </w:r>
      <w:r w:rsidR="009D3CF9" w:rsidRPr="0082639A">
        <w:t xml:space="preserve">e </w:t>
      </w:r>
      <w:r w:rsidR="00557323" w:rsidRPr="0082639A">
        <w:t xml:space="preserve">also </w:t>
      </w:r>
      <w:r w:rsidR="009D3CF9" w:rsidRPr="0082639A">
        <w:t xml:space="preserve">recommend </w:t>
      </w:r>
      <w:r w:rsidR="00557323" w:rsidRPr="0082639A">
        <w:t>collecting</w:t>
      </w:r>
      <w:r w:rsidR="009D3CF9" w:rsidRPr="0082639A">
        <w:t xml:space="preserve"> tonsils surgically removed on different days. </w:t>
      </w:r>
      <w:r w:rsidR="00B400DF" w:rsidRPr="0082639A">
        <w:t xml:space="preserve">We </w:t>
      </w:r>
      <w:r w:rsidR="00557323" w:rsidRPr="0082639A">
        <w:t xml:space="preserve">have clearly noticed that </w:t>
      </w:r>
      <w:r w:rsidR="00557323" w:rsidRPr="00D20B28">
        <w:t>inter-</w:t>
      </w:r>
      <w:r w:rsidR="00557323" w:rsidRPr="0082639A">
        <w:t xml:space="preserve">surgeon and </w:t>
      </w:r>
      <w:r w:rsidR="00557323" w:rsidRPr="00D20B28">
        <w:t>inter-</w:t>
      </w:r>
      <w:r w:rsidR="00557323" w:rsidRPr="0082639A">
        <w:t xml:space="preserve">day variabilities </w:t>
      </w:r>
      <w:r w:rsidR="00B400DF">
        <w:t>are</w:t>
      </w:r>
      <w:r w:rsidR="00B400DF" w:rsidRPr="0082639A">
        <w:t xml:space="preserve"> </w:t>
      </w:r>
      <w:r w:rsidR="00557323" w:rsidRPr="0082639A">
        <w:t xml:space="preserve">higher than </w:t>
      </w:r>
      <w:proofErr w:type="spellStart"/>
      <w:r w:rsidR="00B400DF" w:rsidRPr="00D20B28">
        <w:t>inter</w:t>
      </w:r>
      <w:r w:rsidR="00557323" w:rsidRPr="0082639A">
        <w:t>donor</w:t>
      </w:r>
      <w:proofErr w:type="spellEnd"/>
      <w:r w:rsidR="00557323" w:rsidRPr="0082639A">
        <w:t xml:space="preserve"> variability (data not shown).</w:t>
      </w:r>
      <w:r w:rsidR="00E715CC" w:rsidRPr="0082639A">
        <w:t xml:space="preserve"> </w:t>
      </w:r>
    </w:p>
    <w:p w14:paraId="2236F453" w14:textId="33368857" w:rsidR="00086FF5" w:rsidRPr="0082639A" w:rsidRDefault="00086FF5" w:rsidP="0082639A">
      <w:pPr>
        <w:pStyle w:val="ListParagraph"/>
        <w:ind w:left="360"/>
        <w:jc w:val="left"/>
        <w:rPr>
          <w:b/>
          <w:color w:val="000000" w:themeColor="text1"/>
        </w:rPr>
      </w:pPr>
    </w:p>
    <w:p w14:paraId="511C8F47" w14:textId="0160A6E9" w:rsidR="009726EE" w:rsidRPr="0082639A" w:rsidRDefault="009726EE" w:rsidP="0082639A">
      <w:pPr>
        <w:contextualSpacing/>
        <w:jc w:val="left"/>
      </w:pPr>
      <w:bookmarkStart w:id="4" w:name="Acknowledgments"/>
      <w:r w:rsidRPr="0082639A">
        <w:rPr>
          <w:b/>
          <w:bCs/>
        </w:rPr>
        <w:t>ACKNOWLEDGMENTS</w:t>
      </w:r>
      <w:bookmarkEnd w:id="4"/>
      <w:r w:rsidRPr="0082639A">
        <w:rPr>
          <w:b/>
          <w:bCs/>
        </w:rPr>
        <w:t>:</w:t>
      </w:r>
      <w:r w:rsidRPr="0082639A">
        <w:t xml:space="preserve"> </w:t>
      </w:r>
    </w:p>
    <w:p w14:paraId="6430047A" w14:textId="6E92C8D3" w:rsidR="00B72BDE" w:rsidRPr="0082639A" w:rsidRDefault="001B6D4A" w:rsidP="0082639A">
      <w:pPr>
        <w:contextualSpacing/>
        <w:jc w:val="left"/>
        <w:rPr>
          <w:color w:val="000000" w:themeColor="text1"/>
        </w:rPr>
      </w:pPr>
      <w:r w:rsidRPr="0082639A">
        <w:rPr>
          <w:color w:val="000000" w:themeColor="text1"/>
        </w:rPr>
        <w:t xml:space="preserve">This work was supported by the </w:t>
      </w:r>
      <w:proofErr w:type="spellStart"/>
      <w:r w:rsidRPr="0082639A">
        <w:rPr>
          <w:color w:val="000000" w:themeColor="text1"/>
        </w:rPr>
        <w:t>Agence</w:t>
      </w:r>
      <w:proofErr w:type="spellEnd"/>
      <w:r w:rsidRPr="0082639A">
        <w:rPr>
          <w:color w:val="000000" w:themeColor="text1"/>
        </w:rPr>
        <w:t xml:space="preserve"> National de la Recherche sur le SIDA et les </w:t>
      </w:r>
      <w:proofErr w:type="spellStart"/>
      <w:r w:rsidRPr="0082639A">
        <w:rPr>
          <w:color w:val="000000" w:themeColor="text1"/>
        </w:rPr>
        <w:t>Hépatites</w:t>
      </w:r>
      <w:proofErr w:type="spellEnd"/>
      <w:r w:rsidRPr="0082639A">
        <w:rPr>
          <w:color w:val="000000" w:themeColor="text1"/>
        </w:rPr>
        <w:t xml:space="preserve"> ANRS (J</w:t>
      </w:r>
      <w:r w:rsidR="005678B0" w:rsidRPr="0082639A">
        <w:rPr>
          <w:color w:val="000000" w:themeColor="text1"/>
        </w:rPr>
        <w:t>-</w:t>
      </w:r>
      <w:r w:rsidRPr="0082639A">
        <w:rPr>
          <w:color w:val="000000" w:themeColor="text1"/>
        </w:rPr>
        <w:t xml:space="preserve">P.H) for the experiments and N.B. fellowship (AAP 2017 166). N.S. acknowledges support from the ANRS for fellowship (AAP 2016 1), the European Molecular Biology Organization EMBO for Fellowship (LT 834 2017), the </w:t>
      </w:r>
      <w:r w:rsidR="002E3E1A" w:rsidRPr="0082639A">
        <w:rPr>
          <w:color w:val="000000" w:themeColor="text1"/>
        </w:rPr>
        <w:t>startup</w:t>
      </w:r>
      <w:r w:rsidRPr="0082639A">
        <w:rPr>
          <w:color w:val="000000" w:themeColor="text1"/>
        </w:rPr>
        <w:t xml:space="preserve"> funding program “</w:t>
      </w:r>
      <w:proofErr w:type="spellStart"/>
      <w:r w:rsidRPr="0082639A">
        <w:rPr>
          <w:color w:val="000000" w:themeColor="text1"/>
        </w:rPr>
        <w:t>Baustein</w:t>
      </w:r>
      <w:proofErr w:type="spellEnd"/>
      <w:r w:rsidRPr="0082639A">
        <w:rPr>
          <w:color w:val="000000" w:themeColor="text1"/>
        </w:rPr>
        <w:t xml:space="preserve">” of the Medical Faculty of Ulm University (LSBN.0147) and the Deutsche </w:t>
      </w:r>
      <w:proofErr w:type="spellStart"/>
      <w:r w:rsidRPr="0082639A">
        <w:rPr>
          <w:color w:val="000000" w:themeColor="text1"/>
        </w:rPr>
        <w:t>Forschungsgemeinschaft</w:t>
      </w:r>
      <w:proofErr w:type="spellEnd"/>
      <w:r w:rsidRPr="0082639A">
        <w:rPr>
          <w:color w:val="000000" w:themeColor="text1"/>
        </w:rPr>
        <w:t xml:space="preserve"> DFG (SM 544/1 1). </w:t>
      </w:r>
    </w:p>
    <w:p w14:paraId="0D407829" w14:textId="77777777" w:rsidR="001B6D4A" w:rsidRPr="0082639A" w:rsidRDefault="001B6D4A" w:rsidP="0082639A">
      <w:pPr>
        <w:contextualSpacing/>
        <w:jc w:val="left"/>
        <w:rPr>
          <w:color w:val="808080" w:themeColor="background1" w:themeShade="80"/>
        </w:rPr>
      </w:pPr>
    </w:p>
    <w:p w14:paraId="089A3BB5" w14:textId="2472A920" w:rsidR="009726EE" w:rsidRPr="0082639A" w:rsidRDefault="009726EE" w:rsidP="0082639A">
      <w:pPr>
        <w:contextualSpacing/>
        <w:jc w:val="left"/>
        <w:rPr>
          <w:b/>
        </w:rPr>
      </w:pPr>
      <w:bookmarkStart w:id="5" w:name="Disclosures"/>
      <w:r w:rsidRPr="0082639A">
        <w:rPr>
          <w:b/>
        </w:rPr>
        <w:t>DISCLOSURES</w:t>
      </w:r>
      <w:bookmarkEnd w:id="5"/>
      <w:r w:rsidRPr="0082639A">
        <w:rPr>
          <w:b/>
        </w:rPr>
        <w:t xml:space="preserve">: </w:t>
      </w:r>
    </w:p>
    <w:p w14:paraId="1FF13186" w14:textId="66C7665F" w:rsidR="009726EE" w:rsidRPr="0082639A" w:rsidRDefault="009726EE" w:rsidP="0082639A">
      <w:pPr>
        <w:pStyle w:val="NormalWeb"/>
        <w:spacing w:before="0" w:beforeAutospacing="0" w:after="0" w:afterAutospacing="0"/>
        <w:contextualSpacing/>
        <w:jc w:val="left"/>
        <w:rPr>
          <w:color w:val="000000" w:themeColor="text1"/>
        </w:rPr>
      </w:pPr>
      <w:r w:rsidRPr="0082639A">
        <w:rPr>
          <w:color w:val="000000" w:themeColor="text1"/>
        </w:rPr>
        <w:t>The authors have nothing to disclose.</w:t>
      </w:r>
    </w:p>
    <w:p w14:paraId="03059FF3" w14:textId="77777777" w:rsidR="009726EE" w:rsidRPr="0082639A" w:rsidRDefault="009726EE" w:rsidP="0082639A">
      <w:pPr>
        <w:contextualSpacing/>
        <w:jc w:val="left"/>
        <w:rPr>
          <w:color w:val="7F7F7F"/>
        </w:rPr>
      </w:pPr>
    </w:p>
    <w:p w14:paraId="367008C1" w14:textId="187BFDE4" w:rsidR="001B6D4A" w:rsidRPr="0082639A" w:rsidRDefault="009726EE" w:rsidP="0082639A">
      <w:pPr>
        <w:autoSpaceDE/>
        <w:autoSpaceDN/>
        <w:adjustRightInd/>
        <w:contextualSpacing/>
        <w:jc w:val="left"/>
        <w:rPr>
          <w:i/>
          <w:color w:val="808080"/>
        </w:rPr>
      </w:pPr>
      <w:bookmarkStart w:id="6" w:name="References"/>
      <w:r w:rsidRPr="0082639A">
        <w:rPr>
          <w:b/>
          <w:bCs/>
        </w:rPr>
        <w:t>REFERENCES</w:t>
      </w:r>
      <w:r w:rsidR="00B400DF" w:rsidRPr="008D46BC">
        <w:rPr>
          <w:b/>
          <w:bCs/>
        </w:rPr>
        <w:t>:</w:t>
      </w:r>
      <w:bookmarkEnd w:id="6"/>
    </w:p>
    <w:p w14:paraId="606F5C54" w14:textId="6DB4651F" w:rsidR="00202207" w:rsidRPr="0082639A" w:rsidRDefault="005E786C" w:rsidP="0082639A">
      <w:pPr>
        <w:ind w:left="640" w:hanging="640"/>
        <w:jc w:val="left"/>
        <w:rPr>
          <w:noProof/>
        </w:rPr>
      </w:pPr>
      <w:r w:rsidRPr="0082639A">
        <w:rPr>
          <w:color w:val="808080" w:themeColor="background1" w:themeShade="80"/>
        </w:rPr>
        <w:fldChar w:fldCharType="begin" w:fldLock="1"/>
      </w:r>
      <w:r w:rsidRPr="0082639A">
        <w:rPr>
          <w:color w:val="808080" w:themeColor="background1" w:themeShade="80"/>
        </w:rPr>
        <w:instrText xml:space="preserve">ADDIN Mendeley Bibliography CSL_BIBLIOGRAPHY </w:instrText>
      </w:r>
      <w:r w:rsidRPr="0082639A">
        <w:rPr>
          <w:color w:val="808080" w:themeColor="background1" w:themeShade="80"/>
        </w:rPr>
        <w:fldChar w:fldCharType="separate"/>
      </w:r>
      <w:r w:rsidR="00202207" w:rsidRPr="0082639A">
        <w:rPr>
          <w:noProof/>
        </w:rPr>
        <w:t>1.</w:t>
      </w:r>
      <w:r w:rsidR="00202207" w:rsidRPr="0082639A">
        <w:rPr>
          <w:noProof/>
        </w:rPr>
        <w:tab/>
        <w:t xml:space="preserve">Taylor, M. W. A History of Cell Culture. </w:t>
      </w:r>
      <w:r w:rsidR="00202207" w:rsidRPr="0082639A">
        <w:rPr>
          <w:i/>
          <w:iCs/>
          <w:noProof/>
        </w:rPr>
        <w:t>Viruses and Man: A History of Interactions</w:t>
      </w:r>
      <w:r w:rsidR="005F01ED">
        <w:rPr>
          <w:i/>
          <w:iCs/>
          <w:noProof/>
        </w:rPr>
        <w:t>.</w:t>
      </w:r>
      <w:r w:rsidR="00202207" w:rsidRPr="0082639A">
        <w:rPr>
          <w:noProof/>
        </w:rPr>
        <w:t xml:space="preserve"> 41–52 </w:t>
      </w:r>
      <w:r w:rsidR="00202207" w:rsidRPr="0082639A">
        <w:rPr>
          <w:noProof/>
        </w:rPr>
        <w:lastRenderedPageBreak/>
        <w:t>(2014).</w:t>
      </w:r>
    </w:p>
    <w:p w14:paraId="2B35E6D9" w14:textId="3AD82960" w:rsidR="00202207" w:rsidRPr="0082639A" w:rsidRDefault="00202207" w:rsidP="0082639A">
      <w:pPr>
        <w:ind w:left="640" w:hanging="640"/>
        <w:jc w:val="left"/>
        <w:rPr>
          <w:noProof/>
        </w:rPr>
      </w:pPr>
      <w:r w:rsidRPr="0082639A">
        <w:rPr>
          <w:noProof/>
        </w:rPr>
        <w:t>2.</w:t>
      </w:r>
      <w:r w:rsidRPr="0082639A">
        <w:rPr>
          <w:noProof/>
        </w:rPr>
        <w:tab/>
        <w:t>S</w:t>
      </w:r>
      <w:r w:rsidR="005F01ED">
        <w:rPr>
          <w:noProof/>
        </w:rPr>
        <w:t>cherer</w:t>
      </w:r>
      <w:r w:rsidRPr="0082639A">
        <w:rPr>
          <w:noProof/>
        </w:rPr>
        <w:t>, W. F., S</w:t>
      </w:r>
      <w:r w:rsidR="005F01ED">
        <w:rPr>
          <w:noProof/>
        </w:rPr>
        <w:t>yverton</w:t>
      </w:r>
      <w:r w:rsidRPr="0082639A">
        <w:rPr>
          <w:noProof/>
        </w:rPr>
        <w:t>, J. T.</w:t>
      </w:r>
      <w:r w:rsidR="005F01ED">
        <w:rPr>
          <w:noProof/>
        </w:rPr>
        <w:t>,</w:t>
      </w:r>
      <w:r w:rsidRPr="0082639A">
        <w:rPr>
          <w:noProof/>
        </w:rPr>
        <w:t xml:space="preserve"> G</w:t>
      </w:r>
      <w:r w:rsidR="005F01ED">
        <w:rPr>
          <w:noProof/>
        </w:rPr>
        <w:t>ey</w:t>
      </w:r>
      <w:r w:rsidRPr="0082639A">
        <w:rPr>
          <w:noProof/>
        </w:rPr>
        <w:t>, G. O. Studies on the propagation in vitro of poliomyelitis viruses.</w:t>
      </w:r>
      <w:r w:rsidR="0061322F">
        <w:rPr>
          <w:noProof/>
        </w:rPr>
        <w:t xml:space="preserve"> </w:t>
      </w:r>
      <w:r w:rsidRPr="0082639A">
        <w:rPr>
          <w:noProof/>
        </w:rPr>
        <w:t>IV.</w:t>
      </w:r>
      <w:r w:rsidR="0061322F">
        <w:rPr>
          <w:noProof/>
        </w:rPr>
        <w:t xml:space="preserve"> </w:t>
      </w:r>
      <w:r w:rsidRPr="0082639A">
        <w:rPr>
          <w:noProof/>
        </w:rPr>
        <w:t xml:space="preserve">Viral multiplication in a stable strain of human malignant epithelial cells (strain HeLa) derived from an epidermoid carcinoma of the cervix. </w:t>
      </w:r>
      <w:r w:rsidRPr="0082639A">
        <w:rPr>
          <w:i/>
          <w:iCs/>
          <w:noProof/>
        </w:rPr>
        <w:t xml:space="preserve">The Journal of </w:t>
      </w:r>
      <w:r w:rsidR="005F01ED" w:rsidRPr="0082639A">
        <w:rPr>
          <w:i/>
          <w:iCs/>
          <w:noProof/>
        </w:rPr>
        <w:t>Experimental Medicine</w:t>
      </w:r>
      <w:r w:rsidR="005F01ED">
        <w:rPr>
          <w:i/>
          <w:iCs/>
          <w:noProof/>
        </w:rPr>
        <w:t>.</w:t>
      </w:r>
      <w:r w:rsidR="005F01ED" w:rsidRPr="0082639A">
        <w:rPr>
          <w:noProof/>
        </w:rPr>
        <w:t xml:space="preserve"> </w:t>
      </w:r>
      <w:r w:rsidRPr="0082639A">
        <w:rPr>
          <w:b/>
          <w:bCs/>
          <w:noProof/>
        </w:rPr>
        <w:t>97</w:t>
      </w:r>
      <w:r w:rsidRPr="0082639A">
        <w:rPr>
          <w:noProof/>
        </w:rPr>
        <w:t xml:space="preserve"> </w:t>
      </w:r>
      <w:r w:rsidR="005F01ED">
        <w:rPr>
          <w:noProof/>
        </w:rPr>
        <w:t>(</w:t>
      </w:r>
      <w:r w:rsidRPr="0082639A">
        <w:rPr>
          <w:noProof/>
        </w:rPr>
        <w:t>5</w:t>
      </w:r>
      <w:r w:rsidR="005F01ED">
        <w:rPr>
          <w:noProof/>
        </w:rPr>
        <w:t xml:space="preserve">), </w:t>
      </w:r>
      <w:r w:rsidRPr="0082639A">
        <w:rPr>
          <w:noProof/>
        </w:rPr>
        <w:t>695–710 (1953).</w:t>
      </w:r>
    </w:p>
    <w:p w14:paraId="4DE5CEA0" w14:textId="4480B180" w:rsidR="00202207" w:rsidRPr="0082639A" w:rsidRDefault="00202207" w:rsidP="0082639A">
      <w:pPr>
        <w:ind w:left="640" w:hanging="640"/>
        <w:jc w:val="left"/>
        <w:rPr>
          <w:noProof/>
        </w:rPr>
      </w:pPr>
      <w:r w:rsidRPr="0082639A">
        <w:rPr>
          <w:noProof/>
        </w:rPr>
        <w:t>3.</w:t>
      </w:r>
      <w:r w:rsidRPr="0082639A">
        <w:rPr>
          <w:noProof/>
        </w:rPr>
        <w:tab/>
        <w:t xml:space="preserve">Jones, H. W. Record of the first physician to see Henrietta Lacks at the Johns Hopkins Hospital: History of the beginning of the HeLa cell line. </w:t>
      </w:r>
      <w:r w:rsidRPr="0082639A">
        <w:rPr>
          <w:i/>
          <w:iCs/>
          <w:noProof/>
        </w:rPr>
        <w:t>American Journal of Obstetrics and Gynecology</w:t>
      </w:r>
      <w:r w:rsidR="005F01ED">
        <w:rPr>
          <w:i/>
          <w:iCs/>
          <w:noProof/>
        </w:rPr>
        <w:t>.</w:t>
      </w:r>
      <w:r w:rsidRPr="0082639A">
        <w:rPr>
          <w:noProof/>
        </w:rPr>
        <w:t xml:space="preserve"> </w:t>
      </w:r>
      <w:r w:rsidRPr="0082639A">
        <w:rPr>
          <w:b/>
          <w:bCs/>
          <w:noProof/>
        </w:rPr>
        <w:t>176</w:t>
      </w:r>
      <w:r w:rsidRPr="0082639A">
        <w:rPr>
          <w:noProof/>
        </w:rPr>
        <w:t xml:space="preserve"> </w:t>
      </w:r>
      <w:r w:rsidR="005F01ED">
        <w:rPr>
          <w:noProof/>
        </w:rPr>
        <w:t>(</w:t>
      </w:r>
      <w:r w:rsidRPr="0082639A">
        <w:rPr>
          <w:noProof/>
        </w:rPr>
        <w:t>6</w:t>
      </w:r>
      <w:r w:rsidR="005F01ED">
        <w:rPr>
          <w:noProof/>
        </w:rPr>
        <w:t xml:space="preserve">), </w:t>
      </w:r>
      <w:r w:rsidRPr="0082639A">
        <w:rPr>
          <w:noProof/>
        </w:rPr>
        <w:t>s227–s228 (1997).</w:t>
      </w:r>
    </w:p>
    <w:p w14:paraId="0434A805" w14:textId="5EECA6EB" w:rsidR="00202207" w:rsidRPr="0082639A" w:rsidRDefault="00202207" w:rsidP="0082639A">
      <w:pPr>
        <w:ind w:left="640" w:hanging="640"/>
        <w:jc w:val="left"/>
        <w:rPr>
          <w:noProof/>
        </w:rPr>
      </w:pPr>
      <w:r w:rsidRPr="0082639A">
        <w:rPr>
          <w:noProof/>
        </w:rPr>
        <w:t>4.</w:t>
      </w:r>
      <w:r w:rsidRPr="0082639A">
        <w:rPr>
          <w:noProof/>
        </w:rPr>
        <w:tab/>
        <w:t xml:space="preserve">Cummins, J. E. </w:t>
      </w:r>
      <w:r w:rsidRPr="005F01ED">
        <w:rPr>
          <w:noProof/>
        </w:rPr>
        <w:t>et al</w:t>
      </w:r>
      <w:r w:rsidRPr="0082639A">
        <w:rPr>
          <w:i/>
          <w:iCs/>
          <w:noProof/>
        </w:rPr>
        <w:t>.</w:t>
      </w:r>
      <w:r w:rsidRPr="0082639A">
        <w:rPr>
          <w:noProof/>
        </w:rPr>
        <w:t xml:space="preserve"> Preclinical Testing of Candidate Topical Microbicides for Anti-Human Immunodeficiency Virus Type 1 Activity and Tissue Toxicity in a Human Cervical Explant Culture. </w:t>
      </w:r>
      <w:r w:rsidR="005F01ED" w:rsidRPr="005F01ED">
        <w:rPr>
          <w:i/>
          <w:iCs/>
          <w:noProof/>
        </w:rPr>
        <w:t>Antimicrobial Agents and Chemotherapy</w:t>
      </w:r>
      <w:r w:rsidR="005F01ED">
        <w:rPr>
          <w:i/>
          <w:iCs/>
          <w:noProof/>
        </w:rPr>
        <w:t>.</w:t>
      </w:r>
      <w:r w:rsidRPr="0082639A">
        <w:rPr>
          <w:noProof/>
        </w:rPr>
        <w:t xml:space="preserve"> </w:t>
      </w:r>
      <w:r w:rsidRPr="0082639A">
        <w:rPr>
          <w:b/>
          <w:bCs/>
          <w:noProof/>
        </w:rPr>
        <w:t>51</w:t>
      </w:r>
      <w:r w:rsidRPr="0082639A">
        <w:rPr>
          <w:noProof/>
        </w:rPr>
        <w:t xml:space="preserve"> </w:t>
      </w:r>
      <w:r w:rsidR="005F01ED">
        <w:rPr>
          <w:noProof/>
        </w:rPr>
        <w:t>(</w:t>
      </w:r>
      <w:r w:rsidRPr="0082639A">
        <w:rPr>
          <w:noProof/>
        </w:rPr>
        <w:t>5</w:t>
      </w:r>
      <w:r w:rsidR="005F01ED">
        <w:rPr>
          <w:noProof/>
        </w:rPr>
        <w:t xml:space="preserve">), </w:t>
      </w:r>
      <w:r w:rsidRPr="0082639A">
        <w:rPr>
          <w:noProof/>
        </w:rPr>
        <w:t>1770–1779 (2007).</w:t>
      </w:r>
    </w:p>
    <w:p w14:paraId="731E7DC3" w14:textId="0C6BE786" w:rsidR="00202207" w:rsidRPr="0082639A" w:rsidRDefault="00202207" w:rsidP="0082639A">
      <w:pPr>
        <w:ind w:left="640" w:hanging="640"/>
        <w:jc w:val="left"/>
        <w:rPr>
          <w:noProof/>
        </w:rPr>
      </w:pPr>
      <w:r w:rsidRPr="0082639A">
        <w:rPr>
          <w:noProof/>
        </w:rPr>
        <w:t>5.</w:t>
      </w:r>
      <w:r w:rsidRPr="0082639A">
        <w:rPr>
          <w:noProof/>
        </w:rPr>
        <w:tab/>
        <w:t xml:space="preserve">Abner, S. R. </w:t>
      </w:r>
      <w:r w:rsidRPr="005F01ED">
        <w:rPr>
          <w:noProof/>
        </w:rPr>
        <w:t>et al.</w:t>
      </w:r>
      <w:r w:rsidRPr="0082639A">
        <w:rPr>
          <w:noProof/>
        </w:rPr>
        <w:t xml:space="preserve"> A Human Colorectal Explant Culture to Evaluate Topical Microbicides for the Prevention of HIV Infection. </w:t>
      </w:r>
      <w:r w:rsidRPr="0082639A">
        <w:rPr>
          <w:i/>
          <w:iCs/>
          <w:noProof/>
        </w:rPr>
        <w:t>The Journal of Infectious Diseases</w:t>
      </w:r>
      <w:r w:rsidR="005F01ED">
        <w:rPr>
          <w:i/>
          <w:iCs/>
          <w:noProof/>
        </w:rPr>
        <w:t>.</w:t>
      </w:r>
      <w:r w:rsidRPr="0082639A">
        <w:rPr>
          <w:noProof/>
        </w:rPr>
        <w:t xml:space="preserve"> </w:t>
      </w:r>
      <w:r w:rsidRPr="0082639A">
        <w:rPr>
          <w:b/>
          <w:bCs/>
          <w:noProof/>
        </w:rPr>
        <w:t>192</w:t>
      </w:r>
      <w:r w:rsidRPr="0082639A">
        <w:rPr>
          <w:noProof/>
        </w:rPr>
        <w:t xml:space="preserve"> </w:t>
      </w:r>
      <w:r w:rsidR="005F01ED">
        <w:rPr>
          <w:noProof/>
        </w:rPr>
        <w:t>(</w:t>
      </w:r>
      <w:r w:rsidRPr="0082639A">
        <w:rPr>
          <w:noProof/>
        </w:rPr>
        <w:t>9</w:t>
      </w:r>
      <w:r w:rsidR="005F01ED">
        <w:rPr>
          <w:noProof/>
        </w:rPr>
        <w:t xml:space="preserve">), </w:t>
      </w:r>
      <w:r w:rsidRPr="0082639A">
        <w:rPr>
          <w:noProof/>
        </w:rPr>
        <w:t>1545–1556 (2005).</w:t>
      </w:r>
    </w:p>
    <w:p w14:paraId="73CB99A6" w14:textId="7B6EF191" w:rsidR="00202207" w:rsidRPr="0082639A" w:rsidRDefault="00202207" w:rsidP="0082639A">
      <w:pPr>
        <w:ind w:left="640" w:hanging="640"/>
        <w:jc w:val="left"/>
        <w:rPr>
          <w:noProof/>
        </w:rPr>
      </w:pPr>
      <w:r w:rsidRPr="0082639A">
        <w:rPr>
          <w:noProof/>
        </w:rPr>
        <w:t>6.</w:t>
      </w:r>
      <w:r w:rsidRPr="0082639A">
        <w:rPr>
          <w:noProof/>
        </w:rPr>
        <w:tab/>
        <w:t>Introini, A., Vanpouille, C., Fitzgerald, W., Broliden, K.</w:t>
      </w:r>
      <w:r w:rsidR="005F01ED">
        <w:rPr>
          <w:noProof/>
        </w:rPr>
        <w:t>,</w:t>
      </w:r>
      <w:r w:rsidRPr="0082639A">
        <w:rPr>
          <w:noProof/>
        </w:rPr>
        <w:t xml:space="preserve"> Margolis, L. Ex Vivo Infection of Human Lymphoid Tissue and Female Genital Mucosa with Human Immunodeficiency Virus 1 and Histoculture. </w:t>
      </w:r>
      <w:r w:rsidRPr="0082639A">
        <w:rPr>
          <w:i/>
          <w:iCs/>
          <w:noProof/>
        </w:rPr>
        <w:t>Journal of Visualized Experiments</w:t>
      </w:r>
      <w:r w:rsidR="005F01ED">
        <w:rPr>
          <w:i/>
          <w:iCs/>
          <w:noProof/>
        </w:rPr>
        <w:t>.</w:t>
      </w:r>
      <w:r w:rsidRPr="0082639A">
        <w:rPr>
          <w:noProof/>
        </w:rPr>
        <w:t xml:space="preserve"> </w:t>
      </w:r>
      <w:r w:rsidR="005F01ED">
        <w:rPr>
          <w:noProof/>
        </w:rPr>
        <w:t>(</w:t>
      </w:r>
      <w:r w:rsidRPr="0082639A">
        <w:rPr>
          <w:noProof/>
        </w:rPr>
        <w:t>140</w:t>
      </w:r>
      <w:r w:rsidR="005F01ED">
        <w:rPr>
          <w:noProof/>
        </w:rPr>
        <w:t xml:space="preserve">), </w:t>
      </w:r>
      <w:r w:rsidRPr="0082639A">
        <w:rPr>
          <w:noProof/>
        </w:rPr>
        <w:t>e57013 (2018).</w:t>
      </w:r>
    </w:p>
    <w:p w14:paraId="64D2603A" w14:textId="229DC6F0" w:rsidR="00202207" w:rsidRPr="0082639A" w:rsidRDefault="00202207" w:rsidP="0082639A">
      <w:pPr>
        <w:ind w:left="640" w:hanging="640"/>
        <w:jc w:val="left"/>
        <w:rPr>
          <w:noProof/>
        </w:rPr>
      </w:pPr>
      <w:r w:rsidRPr="0082639A">
        <w:rPr>
          <w:noProof/>
        </w:rPr>
        <w:t>7.</w:t>
      </w:r>
      <w:r w:rsidRPr="0082639A">
        <w:rPr>
          <w:noProof/>
        </w:rPr>
        <w:tab/>
        <w:t xml:space="preserve">Elmore, S. A. Enhanced Histopathology of Mucosa-Associated Lymphoid Tissue. </w:t>
      </w:r>
      <w:r w:rsidRPr="0082639A">
        <w:rPr>
          <w:i/>
          <w:iCs/>
          <w:noProof/>
        </w:rPr>
        <w:t xml:space="preserve">Toxicologic </w:t>
      </w:r>
      <w:r w:rsidR="00B400DF">
        <w:rPr>
          <w:i/>
          <w:iCs/>
          <w:noProof/>
        </w:rPr>
        <w:t>P</w:t>
      </w:r>
      <w:r w:rsidRPr="0082639A">
        <w:rPr>
          <w:i/>
          <w:iCs/>
          <w:noProof/>
        </w:rPr>
        <w:t>athology</w:t>
      </w:r>
      <w:r w:rsidR="00B400DF">
        <w:rPr>
          <w:i/>
          <w:iCs/>
          <w:noProof/>
        </w:rPr>
        <w:t>.</w:t>
      </w:r>
      <w:r w:rsidRPr="0082639A">
        <w:rPr>
          <w:noProof/>
        </w:rPr>
        <w:t xml:space="preserve"> </w:t>
      </w:r>
      <w:r w:rsidRPr="0082639A">
        <w:rPr>
          <w:b/>
          <w:bCs/>
          <w:noProof/>
        </w:rPr>
        <w:t>34</w:t>
      </w:r>
      <w:r w:rsidRPr="0082639A">
        <w:rPr>
          <w:noProof/>
        </w:rPr>
        <w:t xml:space="preserve"> </w:t>
      </w:r>
      <w:r w:rsidR="005F01ED">
        <w:rPr>
          <w:noProof/>
        </w:rPr>
        <w:t>(</w:t>
      </w:r>
      <w:r w:rsidRPr="0082639A">
        <w:rPr>
          <w:noProof/>
        </w:rPr>
        <w:t>5</w:t>
      </w:r>
      <w:r w:rsidR="005F01ED">
        <w:rPr>
          <w:noProof/>
        </w:rPr>
        <w:t xml:space="preserve">), </w:t>
      </w:r>
      <w:r w:rsidRPr="0082639A">
        <w:rPr>
          <w:noProof/>
        </w:rPr>
        <w:t>687 (2006).</w:t>
      </w:r>
    </w:p>
    <w:p w14:paraId="75C272B3" w14:textId="1C5FF26B" w:rsidR="00202207" w:rsidRPr="0082639A" w:rsidRDefault="00202207" w:rsidP="005F01ED">
      <w:pPr>
        <w:ind w:left="640" w:hanging="640"/>
        <w:jc w:val="left"/>
        <w:rPr>
          <w:noProof/>
          <w:lang w:val="de-DE"/>
        </w:rPr>
      </w:pPr>
      <w:r w:rsidRPr="0082639A">
        <w:rPr>
          <w:noProof/>
        </w:rPr>
        <w:t>8.</w:t>
      </w:r>
      <w:r w:rsidRPr="0082639A">
        <w:rPr>
          <w:noProof/>
        </w:rPr>
        <w:tab/>
        <w:t>Strioga, M. M.</w:t>
      </w:r>
      <w:r w:rsidR="005F01ED">
        <w:rPr>
          <w:noProof/>
        </w:rPr>
        <w:t>,</w:t>
      </w:r>
      <w:r w:rsidRPr="0082639A">
        <w:rPr>
          <w:noProof/>
        </w:rPr>
        <w:t xml:space="preserve"> Dobrovolskiene, N. T. Dendritic Cells as Targets of Vaccines and Adjuvants. </w:t>
      </w:r>
      <w:r w:rsidRPr="0082639A">
        <w:rPr>
          <w:i/>
          <w:iCs/>
          <w:noProof/>
          <w:lang w:val="de-DE"/>
        </w:rPr>
        <w:t>Immunopotentiators in Modern Vaccines</w:t>
      </w:r>
      <w:r w:rsidR="005F01ED">
        <w:rPr>
          <w:i/>
          <w:iCs/>
          <w:noProof/>
          <w:lang w:val="de-DE"/>
        </w:rPr>
        <w:t>.</w:t>
      </w:r>
      <w:r w:rsidRPr="0082639A">
        <w:rPr>
          <w:noProof/>
          <w:lang w:val="de-DE"/>
        </w:rPr>
        <w:t xml:space="preserve"> 43–64</w:t>
      </w:r>
      <w:r w:rsidR="005F01ED">
        <w:rPr>
          <w:noProof/>
          <w:lang w:val="de-DE"/>
        </w:rPr>
        <w:t xml:space="preserve"> </w:t>
      </w:r>
      <w:r w:rsidRPr="0082639A">
        <w:rPr>
          <w:noProof/>
          <w:lang w:val="de-DE"/>
        </w:rPr>
        <w:t>(2017).</w:t>
      </w:r>
    </w:p>
    <w:p w14:paraId="3FB730DE" w14:textId="051269DA" w:rsidR="00202207" w:rsidRPr="0082639A" w:rsidRDefault="00202207" w:rsidP="0082639A">
      <w:pPr>
        <w:ind w:left="640" w:hanging="640"/>
        <w:jc w:val="left"/>
        <w:rPr>
          <w:noProof/>
        </w:rPr>
      </w:pPr>
      <w:r w:rsidRPr="0082639A">
        <w:rPr>
          <w:noProof/>
          <w:lang w:val="de-DE"/>
        </w:rPr>
        <w:t>9.</w:t>
      </w:r>
      <w:r w:rsidRPr="0082639A">
        <w:rPr>
          <w:noProof/>
          <w:lang w:val="de-DE"/>
        </w:rPr>
        <w:tab/>
        <w:t>Bachert, C.</w:t>
      </w:r>
      <w:r w:rsidR="005F01ED">
        <w:rPr>
          <w:noProof/>
          <w:lang w:val="de-DE"/>
        </w:rPr>
        <w:t>,</w:t>
      </w:r>
      <w:r w:rsidRPr="0082639A">
        <w:rPr>
          <w:noProof/>
          <w:lang w:val="de-DE"/>
        </w:rPr>
        <w:t xml:space="preserve"> Möller, P. Die Tonsille als MALT (mucosa-associated lymphoid tissue) der Nasenschleimhaut. </w:t>
      </w:r>
      <w:r w:rsidRPr="0082639A">
        <w:rPr>
          <w:i/>
          <w:iCs/>
          <w:noProof/>
        </w:rPr>
        <w:t>Laryngo-Rhino-Otologie</w:t>
      </w:r>
      <w:r w:rsidR="005F01ED">
        <w:rPr>
          <w:i/>
          <w:iCs/>
          <w:noProof/>
        </w:rPr>
        <w:t>.</w:t>
      </w:r>
      <w:r w:rsidRPr="0082639A">
        <w:rPr>
          <w:noProof/>
        </w:rPr>
        <w:t xml:space="preserve"> </w:t>
      </w:r>
      <w:r w:rsidRPr="0082639A">
        <w:rPr>
          <w:b/>
          <w:bCs/>
          <w:noProof/>
        </w:rPr>
        <w:t>69</w:t>
      </w:r>
      <w:r w:rsidRPr="0082639A">
        <w:rPr>
          <w:noProof/>
        </w:rPr>
        <w:t xml:space="preserve"> </w:t>
      </w:r>
      <w:r w:rsidR="005F01ED">
        <w:rPr>
          <w:noProof/>
        </w:rPr>
        <w:t>(</w:t>
      </w:r>
      <w:r w:rsidRPr="0082639A">
        <w:rPr>
          <w:noProof/>
        </w:rPr>
        <w:t>10</w:t>
      </w:r>
      <w:r w:rsidR="005F01ED">
        <w:rPr>
          <w:noProof/>
        </w:rPr>
        <w:t xml:space="preserve">), </w:t>
      </w:r>
      <w:r w:rsidRPr="0082639A">
        <w:rPr>
          <w:noProof/>
        </w:rPr>
        <w:t>515–520 (1990).</w:t>
      </w:r>
    </w:p>
    <w:p w14:paraId="71DA8797" w14:textId="09787824" w:rsidR="00202207" w:rsidRPr="0082639A" w:rsidRDefault="00202207" w:rsidP="0082639A">
      <w:pPr>
        <w:ind w:left="640" w:hanging="640"/>
        <w:jc w:val="left"/>
        <w:rPr>
          <w:noProof/>
        </w:rPr>
      </w:pPr>
      <w:r w:rsidRPr="0082639A">
        <w:rPr>
          <w:noProof/>
        </w:rPr>
        <w:t>10.</w:t>
      </w:r>
      <w:r w:rsidRPr="0082639A">
        <w:rPr>
          <w:noProof/>
        </w:rPr>
        <w:tab/>
        <w:t>Perry, M.</w:t>
      </w:r>
      <w:r w:rsidR="005F01ED">
        <w:rPr>
          <w:noProof/>
        </w:rPr>
        <w:t>,</w:t>
      </w:r>
      <w:r w:rsidRPr="0082639A">
        <w:rPr>
          <w:noProof/>
        </w:rPr>
        <w:t xml:space="preserve"> Whyte, A. Immunology of the tonsils. </w:t>
      </w:r>
      <w:r w:rsidRPr="0082639A">
        <w:rPr>
          <w:i/>
          <w:iCs/>
          <w:noProof/>
        </w:rPr>
        <w:t>Immunology Today</w:t>
      </w:r>
      <w:r w:rsidR="005F01ED">
        <w:rPr>
          <w:i/>
          <w:iCs/>
          <w:noProof/>
        </w:rPr>
        <w:t>.</w:t>
      </w:r>
      <w:r w:rsidRPr="0082639A">
        <w:rPr>
          <w:noProof/>
        </w:rPr>
        <w:t xml:space="preserve"> </w:t>
      </w:r>
      <w:r w:rsidRPr="0082639A">
        <w:rPr>
          <w:b/>
          <w:bCs/>
          <w:noProof/>
        </w:rPr>
        <w:t>19</w:t>
      </w:r>
      <w:r w:rsidR="005F01ED">
        <w:rPr>
          <w:b/>
          <w:bCs/>
          <w:noProof/>
        </w:rPr>
        <w:t xml:space="preserve"> </w:t>
      </w:r>
      <w:r w:rsidR="005F01ED" w:rsidRPr="005F01ED">
        <w:rPr>
          <w:noProof/>
        </w:rPr>
        <w:t>(</w:t>
      </w:r>
      <w:r w:rsidRPr="0082639A">
        <w:rPr>
          <w:noProof/>
        </w:rPr>
        <w:t>9</w:t>
      </w:r>
      <w:r w:rsidR="005F01ED">
        <w:rPr>
          <w:noProof/>
        </w:rPr>
        <w:t xml:space="preserve">), </w:t>
      </w:r>
      <w:r w:rsidRPr="0082639A">
        <w:rPr>
          <w:noProof/>
        </w:rPr>
        <w:t>414–421 (1998).</w:t>
      </w:r>
    </w:p>
    <w:p w14:paraId="6790AEFA" w14:textId="7CD91905" w:rsidR="00202207" w:rsidRPr="0082639A" w:rsidRDefault="00202207" w:rsidP="0082639A">
      <w:pPr>
        <w:ind w:left="640" w:hanging="640"/>
        <w:jc w:val="left"/>
        <w:rPr>
          <w:noProof/>
        </w:rPr>
      </w:pPr>
      <w:r w:rsidRPr="0082639A">
        <w:rPr>
          <w:noProof/>
        </w:rPr>
        <w:t>11.</w:t>
      </w:r>
      <w:r w:rsidRPr="0082639A">
        <w:rPr>
          <w:noProof/>
        </w:rPr>
        <w:tab/>
        <w:t xml:space="preserve">Perry, M. E. </w:t>
      </w:r>
      <w:r w:rsidRPr="005F01ED">
        <w:rPr>
          <w:noProof/>
        </w:rPr>
        <w:t xml:space="preserve">The specialised structure of crypt epithelium in the human palatine tonsil and its functional significance. </w:t>
      </w:r>
      <w:r w:rsidRPr="0082639A">
        <w:rPr>
          <w:i/>
          <w:iCs/>
          <w:noProof/>
        </w:rPr>
        <w:t>J</w:t>
      </w:r>
      <w:r w:rsidR="005F01ED">
        <w:rPr>
          <w:i/>
          <w:iCs/>
          <w:noProof/>
        </w:rPr>
        <w:t>ournal of</w:t>
      </w:r>
      <w:r w:rsidRPr="0082639A">
        <w:rPr>
          <w:i/>
          <w:iCs/>
          <w:noProof/>
        </w:rPr>
        <w:t xml:space="preserve"> Anat</w:t>
      </w:r>
      <w:r w:rsidR="005F01ED">
        <w:rPr>
          <w:i/>
          <w:iCs/>
          <w:noProof/>
        </w:rPr>
        <w:t>omy.</w:t>
      </w:r>
      <w:r w:rsidRPr="0082639A">
        <w:rPr>
          <w:noProof/>
        </w:rPr>
        <w:t xml:space="preserve"> </w:t>
      </w:r>
      <w:r w:rsidRPr="0082639A">
        <w:rPr>
          <w:b/>
          <w:bCs/>
          <w:noProof/>
        </w:rPr>
        <w:t>185</w:t>
      </w:r>
      <w:r w:rsidRPr="0082639A">
        <w:rPr>
          <w:noProof/>
        </w:rPr>
        <w:t>,</w:t>
      </w:r>
      <w:r w:rsidR="005F01ED">
        <w:rPr>
          <w:noProof/>
        </w:rPr>
        <w:t xml:space="preserve"> 111–127</w:t>
      </w:r>
      <w:r w:rsidRPr="0082639A">
        <w:rPr>
          <w:noProof/>
        </w:rPr>
        <w:t xml:space="preserve"> (1994).</w:t>
      </w:r>
    </w:p>
    <w:p w14:paraId="3495A83A" w14:textId="4E6BB05D" w:rsidR="00202207" w:rsidRPr="0082639A" w:rsidRDefault="00202207" w:rsidP="0082639A">
      <w:pPr>
        <w:ind w:left="640" w:hanging="640"/>
        <w:jc w:val="left"/>
        <w:rPr>
          <w:noProof/>
        </w:rPr>
      </w:pPr>
      <w:r w:rsidRPr="0082639A">
        <w:rPr>
          <w:noProof/>
        </w:rPr>
        <w:t>12.</w:t>
      </w:r>
      <w:r w:rsidRPr="0082639A">
        <w:rPr>
          <w:noProof/>
        </w:rPr>
        <w:tab/>
        <w:t xml:space="preserve">Cesta, M. F. Normal Structure, Function, and Histology of Mucosa-Associated Lymphoid Tissue. </w:t>
      </w:r>
      <w:r w:rsidRPr="0082639A">
        <w:rPr>
          <w:i/>
          <w:iCs/>
          <w:noProof/>
        </w:rPr>
        <w:t>Toxicologic Pathology</w:t>
      </w:r>
      <w:r w:rsidR="005F01ED">
        <w:rPr>
          <w:i/>
          <w:iCs/>
          <w:noProof/>
        </w:rPr>
        <w:t>.</w:t>
      </w:r>
      <w:r w:rsidRPr="0082639A">
        <w:rPr>
          <w:noProof/>
        </w:rPr>
        <w:t xml:space="preserve"> </w:t>
      </w:r>
      <w:r w:rsidRPr="0082639A">
        <w:rPr>
          <w:b/>
          <w:bCs/>
          <w:noProof/>
        </w:rPr>
        <w:t>34</w:t>
      </w:r>
      <w:r w:rsidRPr="0082639A">
        <w:rPr>
          <w:noProof/>
        </w:rPr>
        <w:t xml:space="preserve"> </w:t>
      </w:r>
      <w:r w:rsidR="005F01ED">
        <w:rPr>
          <w:noProof/>
        </w:rPr>
        <w:t>(</w:t>
      </w:r>
      <w:r w:rsidRPr="0082639A">
        <w:rPr>
          <w:noProof/>
        </w:rPr>
        <w:t>5</w:t>
      </w:r>
      <w:r w:rsidR="005F01ED">
        <w:rPr>
          <w:noProof/>
        </w:rPr>
        <w:t xml:space="preserve">), </w:t>
      </w:r>
      <w:r w:rsidRPr="0082639A">
        <w:rPr>
          <w:noProof/>
        </w:rPr>
        <w:t>599–608 (2006).</w:t>
      </w:r>
    </w:p>
    <w:p w14:paraId="6C639920" w14:textId="4F913056" w:rsidR="00202207" w:rsidRPr="0082639A" w:rsidRDefault="00202207" w:rsidP="0082639A">
      <w:pPr>
        <w:ind w:left="640" w:hanging="640"/>
        <w:jc w:val="left"/>
        <w:rPr>
          <w:noProof/>
          <w:lang w:val="fr-FR"/>
        </w:rPr>
      </w:pPr>
      <w:r w:rsidRPr="0082639A">
        <w:rPr>
          <w:noProof/>
        </w:rPr>
        <w:t>13.</w:t>
      </w:r>
      <w:r w:rsidRPr="0082639A">
        <w:rPr>
          <w:noProof/>
        </w:rPr>
        <w:tab/>
        <w:t xml:space="preserve">Kaditis, A. G. </w:t>
      </w:r>
      <w:r w:rsidRPr="005F01ED">
        <w:rPr>
          <w:noProof/>
        </w:rPr>
        <w:t>et al.</w:t>
      </w:r>
      <w:r w:rsidRPr="0082639A">
        <w:rPr>
          <w:noProof/>
        </w:rPr>
        <w:t xml:space="preserve"> Obstructive sleep disordered breathing in 2-to 18-year-old children: diagnosis and management TASK FORCE REPORT ERS STATEMENT. </w:t>
      </w:r>
      <w:r w:rsidRPr="0082639A">
        <w:rPr>
          <w:i/>
          <w:iCs/>
          <w:noProof/>
          <w:lang w:val="fr-FR"/>
        </w:rPr>
        <w:t>Eur</w:t>
      </w:r>
      <w:r w:rsidR="005F01ED">
        <w:rPr>
          <w:i/>
          <w:iCs/>
          <w:noProof/>
          <w:lang w:val="fr-FR"/>
        </w:rPr>
        <w:t>opean</w:t>
      </w:r>
      <w:r w:rsidRPr="0082639A">
        <w:rPr>
          <w:i/>
          <w:iCs/>
          <w:noProof/>
          <w:lang w:val="fr-FR"/>
        </w:rPr>
        <w:t xml:space="preserve"> Respir</w:t>
      </w:r>
      <w:r w:rsidR="005F01ED">
        <w:rPr>
          <w:i/>
          <w:iCs/>
          <w:noProof/>
          <w:lang w:val="fr-FR"/>
        </w:rPr>
        <w:t>atory</w:t>
      </w:r>
      <w:r w:rsidRPr="0082639A">
        <w:rPr>
          <w:i/>
          <w:iCs/>
          <w:noProof/>
          <w:lang w:val="fr-FR"/>
        </w:rPr>
        <w:t xml:space="preserve"> J</w:t>
      </w:r>
      <w:r w:rsidR="005F01ED">
        <w:rPr>
          <w:i/>
          <w:iCs/>
          <w:noProof/>
          <w:lang w:val="fr-FR"/>
        </w:rPr>
        <w:t>ournal.</w:t>
      </w:r>
      <w:r w:rsidRPr="0082639A">
        <w:rPr>
          <w:noProof/>
          <w:lang w:val="fr-FR"/>
        </w:rPr>
        <w:t xml:space="preserve"> </w:t>
      </w:r>
      <w:r w:rsidRPr="0082639A">
        <w:rPr>
          <w:b/>
          <w:bCs/>
          <w:noProof/>
          <w:lang w:val="fr-FR"/>
        </w:rPr>
        <w:t>47</w:t>
      </w:r>
      <w:r w:rsidRPr="0082639A">
        <w:rPr>
          <w:noProof/>
          <w:lang w:val="fr-FR"/>
        </w:rPr>
        <w:t>, 69–94 (2016).</w:t>
      </w:r>
    </w:p>
    <w:p w14:paraId="43F65B95" w14:textId="0FF82FEF" w:rsidR="00202207" w:rsidRPr="0082639A" w:rsidRDefault="00202207" w:rsidP="0082639A">
      <w:pPr>
        <w:ind w:left="640" w:hanging="640"/>
        <w:jc w:val="left"/>
        <w:rPr>
          <w:noProof/>
        </w:rPr>
      </w:pPr>
      <w:r w:rsidRPr="0082639A">
        <w:rPr>
          <w:noProof/>
          <w:lang w:val="fr-FR"/>
        </w:rPr>
        <w:t>14.</w:t>
      </w:r>
      <w:r w:rsidRPr="0082639A">
        <w:rPr>
          <w:noProof/>
          <w:lang w:val="fr-FR"/>
        </w:rPr>
        <w:tab/>
        <w:t xml:space="preserve">Herbeuval, J. P. </w:t>
      </w:r>
      <w:r w:rsidRPr="005F01ED">
        <w:rPr>
          <w:noProof/>
          <w:lang w:val="fr-FR"/>
        </w:rPr>
        <w:t xml:space="preserve">et al. </w:t>
      </w:r>
      <w:r w:rsidRPr="0082639A">
        <w:rPr>
          <w:noProof/>
        </w:rPr>
        <w:t xml:space="preserve">HAART reduces death ligand but not death receptors in lymphoid tissue of HIV-infected patients and simian immunodeficiency virus-infected macaques. </w:t>
      </w:r>
      <w:r w:rsidRPr="0082639A">
        <w:rPr>
          <w:i/>
          <w:iCs/>
          <w:noProof/>
        </w:rPr>
        <w:t>AIDS</w:t>
      </w:r>
      <w:r w:rsidR="005F01ED">
        <w:rPr>
          <w:i/>
          <w:iCs/>
          <w:noProof/>
        </w:rPr>
        <w:t>.</w:t>
      </w:r>
      <w:r w:rsidRPr="0082639A">
        <w:rPr>
          <w:noProof/>
        </w:rPr>
        <w:t xml:space="preserve"> </w:t>
      </w:r>
      <w:r w:rsidRPr="0082639A">
        <w:rPr>
          <w:b/>
          <w:bCs/>
          <w:noProof/>
        </w:rPr>
        <w:t>23</w:t>
      </w:r>
      <w:r w:rsidRPr="0082639A">
        <w:rPr>
          <w:noProof/>
        </w:rPr>
        <w:t xml:space="preserve"> </w:t>
      </w:r>
      <w:r w:rsidR="005F01ED">
        <w:rPr>
          <w:noProof/>
        </w:rPr>
        <w:t>(</w:t>
      </w:r>
      <w:r w:rsidRPr="0082639A">
        <w:rPr>
          <w:noProof/>
        </w:rPr>
        <w:t>1</w:t>
      </w:r>
      <w:r w:rsidR="005F01ED">
        <w:rPr>
          <w:noProof/>
        </w:rPr>
        <w:t xml:space="preserve">), </w:t>
      </w:r>
      <w:r w:rsidRPr="0082639A">
        <w:rPr>
          <w:noProof/>
        </w:rPr>
        <w:t>35–40 (2009).</w:t>
      </w:r>
    </w:p>
    <w:p w14:paraId="5D243FD0" w14:textId="2AE16CB8" w:rsidR="00202207" w:rsidRPr="0082639A" w:rsidRDefault="00202207" w:rsidP="0082639A">
      <w:pPr>
        <w:ind w:left="640" w:hanging="640"/>
        <w:jc w:val="left"/>
        <w:rPr>
          <w:noProof/>
        </w:rPr>
      </w:pPr>
      <w:r w:rsidRPr="0082639A">
        <w:rPr>
          <w:noProof/>
        </w:rPr>
        <w:t>15.</w:t>
      </w:r>
      <w:r w:rsidRPr="0082639A">
        <w:rPr>
          <w:noProof/>
        </w:rPr>
        <w:tab/>
        <w:t xml:space="preserve">Herbeuval, J. P. </w:t>
      </w:r>
      <w:r w:rsidRPr="005F01ED">
        <w:rPr>
          <w:noProof/>
        </w:rPr>
        <w:t>et al. D</w:t>
      </w:r>
      <w:r w:rsidRPr="0082639A">
        <w:rPr>
          <w:noProof/>
        </w:rPr>
        <w:t xml:space="preserve">ifferential expression of IFN-alpha and TRAIL/DR5 in lymphoid tissue of progressor versus nonprogressor HIV-1-infected patients. </w:t>
      </w:r>
      <w:r w:rsidRPr="0082639A">
        <w:rPr>
          <w:i/>
          <w:iCs/>
          <w:noProof/>
        </w:rPr>
        <w:t>Proc</w:t>
      </w:r>
      <w:r w:rsidR="005F01ED">
        <w:rPr>
          <w:i/>
          <w:iCs/>
          <w:noProof/>
        </w:rPr>
        <w:t>eedings of the</w:t>
      </w:r>
      <w:r w:rsidRPr="0082639A">
        <w:rPr>
          <w:i/>
          <w:iCs/>
          <w:noProof/>
        </w:rPr>
        <w:t xml:space="preserve"> Nat</w:t>
      </w:r>
      <w:r w:rsidR="005F01ED">
        <w:rPr>
          <w:i/>
          <w:iCs/>
          <w:noProof/>
        </w:rPr>
        <w:t>iona</w:t>
      </w:r>
      <w:r w:rsidRPr="0082639A">
        <w:rPr>
          <w:i/>
          <w:iCs/>
          <w:noProof/>
        </w:rPr>
        <w:t>l Acad</w:t>
      </w:r>
      <w:r w:rsidR="005F01ED">
        <w:rPr>
          <w:i/>
          <w:iCs/>
          <w:noProof/>
        </w:rPr>
        <w:t>emy of</w:t>
      </w:r>
      <w:r w:rsidRPr="0082639A">
        <w:rPr>
          <w:i/>
          <w:iCs/>
          <w:noProof/>
        </w:rPr>
        <w:t xml:space="preserve"> Sci</w:t>
      </w:r>
      <w:r w:rsidR="005F01ED">
        <w:rPr>
          <w:i/>
          <w:iCs/>
          <w:noProof/>
        </w:rPr>
        <w:t>ences of the</w:t>
      </w:r>
      <w:r w:rsidRPr="0082639A">
        <w:rPr>
          <w:i/>
          <w:iCs/>
          <w:noProof/>
        </w:rPr>
        <w:t xml:space="preserve"> U</w:t>
      </w:r>
      <w:r w:rsidR="005F01ED">
        <w:rPr>
          <w:i/>
          <w:iCs/>
          <w:noProof/>
        </w:rPr>
        <w:t>nited</w:t>
      </w:r>
      <w:r w:rsidRPr="0082639A">
        <w:rPr>
          <w:i/>
          <w:iCs/>
          <w:noProof/>
        </w:rPr>
        <w:t xml:space="preserve"> S</w:t>
      </w:r>
      <w:r w:rsidR="005F01ED">
        <w:rPr>
          <w:i/>
          <w:iCs/>
          <w:noProof/>
        </w:rPr>
        <w:t>tates of</w:t>
      </w:r>
      <w:r w:rsidRPr="0082639A">
        <w:rPr>
          <w:i/>
          <w:iCs/>
          <w:noProof/>
        </w:rPr>
        <w:t xml:space="preserve"> A</w:t>
      </w:r>
      <w:r w:rsidR="005F01ED">
        <w:rPr>
          <w:i/>
          <w:iCs/>
          <w:noProof/>
        </w:rPr>
        <w:t>merica.</w:t>
      </w:r>
      <w:r w:rsidRPr="0082639A">
        <w:rPr>
          <w:noProof/>
        </w:rPr>
        <w:t xml:space="preserve"> </w:t>
      </w:r>
      <w:r w:rsidRPr="0082639A">
        <w:rPr>
          <w:b/>
          <w:bCs/>
          <w:noProof/>
        </w:rPr>
        <w:t>103</w:t>
      </w:r>
      <w:r w:rsidR="005F01ED">
        <w:rPr>
          <w:noProof/>
        </w:rPr>
        <w:t xml:space="preserve"> (</w:t>
      </w:r>
      <w:r w:rsidRPr="0082639A">
        <w:rPr>
          <w:noProof/>
        </w:rPr>
        <w:t>18</w:t>
      </w:r>
      <w:r w:rsidR="005F01ED">
        <w:rPr>
          <w:noProof/>
        </w:rPr>
        <w:t xml:space="preserve">), </w:t>
      </w:r>
      <w:r w:rsidRPr="0082639A">
        <w:rPr>
          <w:noProof/>
        </w:rPr>
        <w:t>7000–7005 (2006).</w:t>
      </w:r>
    </w:p>
    <w:p w14:paraId="52B102DA" w14:textId="1FAD22E5" w:rsidR="00202207" w:rsidRPr="0082639A" w:rsidRDefault="00202207" w:rsidP="0082639A">
      <w:pPr>
        <w:ind w:left="640" w:hanging="640"/>
        <w:jc w:val="left"/>
        <w:rPr>
          <w:noProof/>
          <w:lang w:val="fr-FR"/>
        </w:rPr>
      </w:pPr>
      <w:r w:rsidRPr="0082639A">
        <w:rPr>
          <w:noProof/>
        </w:rPr>
        <w:t>16.</w:t>
      </w:r>
      <w:r w:rsidRPr="0082639A">
        <w:rPr>
          <w:noProof/>
        </w:rPr>
        <w:tab/>
        <w:t xml:space="preserve">Smith, N. </w:t>
      </w:r>
      <w:r w:rsidRPr="005F01ED">
        <w:rPr>
          <w:noProof/>
        </w:rPr>
        <w:t xml:space="preserve">et al. </w:t>
      </w:r>
      <w:r w:rsidRPr="0082639A">
        <w:rPr>
          <w:noProof/>
        </w:rPr>
        <w:t xml:space="preserve">Control of TLR7-mediated type I IFN signaling in pDCs through CXCR4 engagement—A new target for lupus treatment. </w:t>
      </w:r>
      <w:r w:rsidRPr="0082639A">
        <w:rPr>
          <w:i/>
          <w:iCs/>
          <w:noProof/>
          <w:lang w:val="fr-FR"/>
        </w:rPr>
        <w:t>Science Advances</w:t>
      </w:r>
      <w:r w:rsidR="005F01ED">
        <w:rPr>
          <w:i/>
          <w:iCs/>
          <w:noProof/>
          <w:lang w:val="fr-FR"/>
        </w:rPr>
        <w:t>.</w:t>
      </w:r>
      <w:r w:rsidRPr="0082639A">
        <w:rPr>
          <w:noProof/>
          <w:lang w:val="fr-FR"/>
        </w:rPr>
        <w:t xml:space="preserve"> </w:t>
      </w:r>
      <w:r w:rsidRPr="0082639A">
        <w:rPr>
          <w:b/>
          <w:bCs/>
          <w:noProof/>
          <w:lang w:val="fr-FR"/>
        </w:rPr>
        <w:t>5</w:t>
      </w:r>
      <w:r w:rsidRPr="0082639A">
        <w:rPr>
          <w:noProof/>
          <w:lang w:val="fr-FR"/>
        </w:rPr>
        <w:t xml:space="preserve"> </w:t>
      </w:r>
      <w:r w:rsidR="005F01ED">
        <w:rPr>
          <w:noProof/>
          <w:lang w:val="fr-FR"/>
        </w:rPr>
        <w:t>(</w:t>
      </w:r>
      <w:r w:rsidRPr="0082639A">
        <w:rPr>
          <w:noProof/>
          <w:lang w:val="fr-FR"/>
        </w:rPr>
        <w:t>7</w:t>
      </w:r>
      <w:r w:rsidR="005F01ED">
        <w:rPr>
          <w:noProof/>
          <w:lang w:val="fr-FR"/>
        </w:rPr>
        <w:t xml:space="preserve">), </w:t>
      </w:r>
      <w:r w:rsidRPr="0082639A">
        <w:rPr>
          <w:noProof/>
          <w:lang w:val="fr-FR"/>
        </w:rPr>
        <w:t>eaav9019 (2019).</w:t>
      </w:r>
    </w:p>
    <w:p w14:paraId="6BC73B6F" w14:textId="50207D76" w:rsidR="00202207" w:rsidRPr="0082639A" w:rsidRDefault="00202207" w:rsidP="0082639A">
      <w:pPr>
        <w:ind w:left="640" w:hanging="640"/>
        <w:jc w:val="left"/>
        <w:rPr>
          <w:noProof/>
        </w:rPr>
      </w:pPr>
      <w:r w:rsidRPr="0082639A">
        <w:rPr>
          <w:noProof/>
          <w:lang w:val="fr-FR"/>
        </w:rPr>
        <w:t>17.</w:t>
      </w:r>
      <w:r w:rsidRPr="0082639A">
        <w:rPr>
          <w:noProof/>
          <w:lang w:val="fr-FR"/>
        </w:rPr>
        <w:tab/>
        <w:t>Lucas-Hourani, M.</w:t>
      </w:r>
      <w:r w:rsidRPr="005F01ED">
        <w:rPr>
          <w:noProof/>
          <w:lang w:val="fr-FR"/>
        </w:rPr>
        <w:t xml:space="preserve"> et al. </w:t>
      </w:r>
      <w:r w:rsidRPr="0082639A">
        <w:rPr>
          <w:noProof/>
        </w:rPr>
        <w:t xml:space="preserve">Inhibition of pyrimidine biosynthesis pathway suppresses viral growth through innate immunity. </w:t>
      </w:r>
      <w:r w:rsidRPr="0082639A">
        <w:rPr>
          <w:i/>
          <w:iCs/>
          <w:noProof/>
        </w:rPr>
        <w:t>PLoS Pathog</w:t>
      </w:r>
      <w:r w:rsidR="005F01ED">
        <w:rPr>
          <w:i/>
          <w:iCs/>
          <w:noProof/>
        </w:rPr>
        <w:t>ens.</w:t>
      </w:r>
      <w:r w:rsidRPr="0082639A">
        <w:rPr>
          <w:noProof/>
        </w:rPr>
        <w:t xml:space="preserve"> </w:t>
      </w:r>
      <w:r w:rsidRPr="0082639A">
        <w:rPr>
          <w:b/>
          <w:bCs/>
          <w:noProof/>
        </w:rPr>
        <w:t>9</w:t>
      </w:r>
      <w:r w:rsidRPr="0082639A">
        <w:rPr>
          <w:noProof/>
        </w:rPr>
        <w:t xml:space="preserve"> </w:t>
      </w:r>
      <w:r w:rsidR="005F01ED">
        <w:rPr>
          <w:noProof/>
        </w:rPr>
        <w:t>(</w:t>
      </w:r>
      <w:r w:rsidRPr="0082639A">
        <w:rPr>
          <w:noProof/>
        </w:rPr>
        <w:t>10</w:t>
      </w:r>
      <w:r w:rsidR="005F01ED">
        <w:rPr>
          <w:noProof/>
        </w:rPr>
        <w:t xml:space="preserve">), </w:t>
      </w:r>
      <w:r w:rsidRPr="0082639A">
        <w:rPr>
          <w:noProof/>
        </w:rPr>
        <w:t>e1003678 (2013).</w:t>
      </w:r>
    </w:p>
    <w:p w14:paraId="55401426" w14:textId="073A7048" w:rsidR="00202207" w:rsidRPr="0082639A" w:rsidRDefault="00202207" w:rsidP="005F01ED">
      <w:pPr>
        <w:ind w:left="640" w:hanging="640"/>
        <w:jc w:val="left"/>
        <w:rPr>
          <w:noProof/>
        </w:rPr>
      </w:pPr>
      <w:r w:rsidRPr="0082639A">
        <w:rPr>
          <w:noProof/>
        </w:rPr>
        <w:lastRenderedPageBreak/>
        <w:t>18.</w:t>
      </w:r>
      <w:r w:rsidRPr="0082639A">
        <w:rPr>
          <w:noProof/>
        </w:rPr>
        <w:tab/>
        <w:t xml:space="preserve">Kleiveland, C. R. Peripheral Blood Mononuclear Cells. </w:t>
      </w:r>
      <w:r w:rsidRPr="0082639A">
        <w:rPr>
          <w:i/>
          <w:iCs/>
          <w:noProof/>
        </w:rPr>
        <w:t>The Impact of Food Bioactives on Health</w:t>
      </w:r>
      <w:r w:rsidR="005F01ED">
        <w:rPr>
          <w:i/>
          <w:iCs/>
          <w:noProof/>
        </w:rPr>
        <w:t>.</w:t>
      </w:r>
      <w:r w:rsidRPr="0082639A">
        <w:rPr>
          <w:noProof/>
        </w:rPr>
        <w:t xml:space="preserve"> 161–167</w:t>
      </w:r>
      <w:r w:rsidR="005F01ED">
        <w:rPr>
          <w:noProof/>
        </w:rPr>
        <w:t xml:space="preserve"> </w:t>
      </w:r>
      <w:r w:rsidRPr="0082639A">
        <w:rPr>
          <w:noProof/>
        </w:rPr>
        <w:t>(2015).</w:t>
      </w:r>
    </w:p>
    <w:p w14:paraId="1651D557" w14:textId="34F7AB75" w:rsidR="00202207" w:rsidRPr="0082639A" w:rsidRDefault="00202207" w:rsidP="0082639A">
      <w:pPr>
        <w:ind w:left="640" w:hanging="640"/>
        <w:jc w:val="left"/>
        <w:rPr>
          <w:noProof/>
        </w:rPr>
      </w:pPr>
      <w:r w:rsidRPr="0082639A">
        <w:rPr>
          <w:noProof/>
        </w:rPr>
        <w:t>19.</w:t>
      </w:r>
      <w:r w:rsidRPr="0082639A">
        <w:rPr>
          <w:noProof/>
        </w:rPr>
        <w:tab/>
        <w:t>Ban, Y.-L., Kong, B.-H., Qu, X., Yang, Q.-F.</w:t>
      </w:r>
      <w:r w:rsidR="005F01ED">
        <w:rPr>
          <w:noProof/>
        </w:rPr>
        <w:t>,</w:t>
      </w:r>
      <w:r w:rsidRPr="0082639A">
        <w:rPr>
          <w:noProof/>
        </w:rPr>
        <w:t xml:space="preserve"> Ma, Y.-Y. BDCA-1+, BDCA-2+ and BDCA-3+ dendritic cells in early human pregnancy decidua. </w:t>
      </w:r>
      <w:r w:rsidRPr="0082639A">
        <w:rPr>
          <w:i/>
          <w:iCs/>
          <w:noProof/>
        </w:rPr>
        <w:t>Clinical and</w:t>
      </w:r>
      <w:r w:rsidR="005F01ED" w:rsidRPr="0082639A">
        <w:rPr>
          <w:i/>
          <w:iCs/>
          <w:noProof/>
        </w:rPr>
        <w:t xml:space="preserve"> Experimental Immun</w:t>
      </w:r>
      <w:r w:rsidRPr="0082639A">
        <w:rPr>
          <w:i/>
          <w:iCs/>
          <w:noProof/>
        </w:rPr>
        <w:t>ology</w:t>
      </w:r>
      <w:r w:rsidR="005F01ED">
        <w:rPr>
          <w:i/>
          <w:iCs/>
          <w:noProof/>
        </w:rPr>
        <w:t>.</w:t>
      </w:r>
      <w:r w:rsidRPr="0082639A">
        <w:rPr>
          <w:noProof/>
        </w:rPr>
        <w:t xml:space="preserve"> </w:t>
      </w:r>
      <w:r w:rsidRPr="0082639A">
        <w:rPr>
          <w:b/>
          <w:bCs/>
          <w:noProof/>
        </w:rPr>
        <w:t>151</w:t>
      </w:r>
      <w:r w:rsidRPr="0082639A">
        <w:rPr>
          <w:noProof/>
        </w:rPr>
        <w:t xml:space="preserve"> </w:t>
      </w:r>
      <w:r w:rsidR="005F01ED">
        <w:rPr>
          <w:noProof/>
        </w:rPr>
        <w:t>(</w:t>
      </w:r>
      <w:r w:rsidRPr="0082639A">
        <w:rPr>
          <w:noProof/>
        </w:rPr>
        <w:t>3</w:t>
      </w:r>
      <w:r w:rsidR="005F01ED">
        <w:rPr>
          <w:noProof/>
        </w:rPr>
        <w:t xml:space="preserve">), </w:t>
      </w:r>
      <w:r w:rsidRPr="0082639A">
        <w:rPr>
          <w:noProof/>
        </w:rPr>
        <w:t>399–406 (2008).</w:t>
      </w:r>
    </w:p>
    <w:p w14:paraId="5C7234C8" w14:textId="1F3D58A6" w:rsidR="00202207" w:rsidRPr="0082639A" w:rsidRDefault="00202207" w:rsidP="0082639A">
      <w:pPr>
        <w:ind w:left="640" w:hanging="640"/>
        <w:jc w:val="left"/>
        <w:rPr>
          <w:noProof/>
        </w:rPr>
      </w:pPr>
      <w:r w:rsidRPr="0082639A">
        <w:rPr>
          <w:noProof/>
        </w:rPr>
        <w:t>20.</w:t>
      </w:r>
      <w:r w:rsidRPr="0082639A">
        <w:rPr>
          <w:noProof/>
        </w:rPr>
        <w:tab/>
        <w:t>Papaioannou, G.</w:t>
      </w:r>
      <w:r w:rsidR="005F01ED">
        <w:rPr>
          <w:noProof/>
        </w:rPr>
        <w:t xml:space="preserve"> et al.</w:t>
      </w:r>
      <w:r w:rsidRPr="0082639A">
        <w:rPr>
          <w:noProof/>
        </w:rPr>
        <w:t xml:space="preserve"> Age-Dependent Changes in the Size of Adenotonsillar Tissue in Childhood: Implications for Sleep-Disordered Breathing. </w:t>
      </w:r>
      <w:r w:rsidRPr="0082639A">
        <w:rPr>
          <w:i/>
          <w:iCs/>
          <w:noProof/>
        </w:rPr>
        <w:t>The Journal of Pediatrics</w:t>
      </w:r>
      <w:r w:rsidR="005F01ED">
        <w:rPr>
          <w:i/>
          <w:iCs/>
          <w:noProof/>
        </w:rPr>
        <w:t>.</w:t>
      </w:r>
      <w:r w:rsidRPr="0082639A">
        <w:rPr>
          <w:noProof/>
        </w:rPr>
        <w:t xml:space="preserve"> </w:t>
      </w:r>
      <w:r w:rsidRPr="0082639A">
        <w:rPr>
          <w:b/>
          <w:bCs/>
          <w:noProof/>
        </w:rPr>
        <w:t>162</w:t>
      </w:r>
      <w:r w:rsidRPr="0082639A">
        <w:rPr>
          <w:noProof/>
        </w:rPr>
        <w:t xml:space="preserve"> </w:t>
      </w:r>
      <w:r w:rsidR="005F01ED">
        <w:rPr>
          <w:noProof/>
        </w:rPr>
        <w:t>(</w:t>
      </w:r>
      <w:r w:rsidRPr="0082639A">
        <w:rPr>
          <w:noProof/>
        </w:rPr>
        <w:t>2</w:t>
      </w:r>
      <w:r w:rsidR="005F01ED">
        <w:rPr>
          <w:noProof/>
        </w:rPr>
        <w:t xml:space="preserve">), </w:t>
      </w:r>
      <w:r w:rsidRPr="0082639A">
        <w:rPr>
          <w:noProof/>
        </w:rPr>
        <w:t>269-274.e4 (2013).</w:t>
      </w:r>
    </w:p>
    <w:p w14:paraId="07DCF19F" w14:textId="5D8527DA" w:rsidR="009F659A" w:rsidRPr="0082639A" w:rsidRDefault="005E786C" w:rsidP="0082639A">
      <w:pPr>
        <w:ind w:left="426" w:hanging="426"/>
        <w:jc w:val="left"/>
        <w:rPr>
          <w:color w:val="808080" w:themeColor="background1" w:themeShade="80"/>
        </w:rPr>
      </w:pPr>
      <w:r w:rsidRPr="0082639A">
        <w:rPr>
          <w:color w:val="808080" w:themeColor="background1" w:themeShade="80"/>
        </w:rPr>
        <w:fldChar w:fldCharType="end"/>
      </w:r>
    </w:p>
    <w:sectPr w:rsidR="009F659A" w:rsidRPr="0082639A" w:rsidSect="008263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F5533" w14:textId="77777777" w:rsidR="0076710D" w:rsidRDefault="0076710D" w:rsidP="00621C4E">
      <w:r>
        <w:separator/>
      </w:r>
    </w:p>
  </w:endnote>
  <w:endnote w:type="continuationSeparator" w:id="0">
    <w:p w14:paraId="2207DED0" w14:textId="77777777" w:rsidR="0076710D" w:rsidRDefault="0076710D" w:rsidP="00621C4E">
      <w:r>
        <w:continuationSeparator/>
      </w:r>
    </w:p>
  </w:endnote>
  <w:endnote w:type="continuationNotice" w:id="1">
    <w:p w14:paraId="272896ED" w14:textId="77777777" w:rsidR="0076710D" w:rsidRDefault="0076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9C1C" w14:textId="77777777" w:rsidR="00AE2706" w:rsidRDefault="00AE2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AE2706" w:rsidRPr="00494F77" w:rsidRDefault="00AE2706"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E2706" w:rsidRDefault="00AE270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4277" w14:textId="77777777" w:rsidR="0076710D" w:rsidRDefault="0076710D" w:rsidP="00621C4E">
      <w:r>
        <w:separator/>
      </w:r>
    </w:p>
  </w:footnote>
  <w:footnote w:type="continuationSeparator" w:id="0">
    <w:p w14:paraId="37ECD697" w14:textId="77777777" w:rsidR="0076710D" w:rsidRDefault="0076710D" w:rsidP="00621C4E">
      <w:r>
        <w:continuationSeparator/>
      </w:r>
    </w:p>
  </w:footnote>
  <w:footnote w:type="continuationNotice" w:id="1">
    <w:p w14:paraId="2555B627" w14:textId="77777777" w:rsidR="0076710D" w:rsidRDefault="00767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FDBF" w14:textId="77777777" w:rsidR="00AE2706" w:rsidRDefault="00AE2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E2706" w:rsidRPr="006F06E4" w:rsidRDefault="00AE2706"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6345A7D" w:rsidR="00AE2706" w:rsidRPr="002642F7" w:rsidRDefault="00AE2706" w:rsidP="0026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F36A0"/>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7BB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CF55F8"/>
    <w:multiLevelType w:val="multilevel"/>
    <w:tmpl w:val="040C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A4A15"/>
    <w:multiLevelType w:val="hybridMultilevel"/>
    <w:tmpl w:val="E75AF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B46220"/>
    <w:multiLevelType w:val="hybridMultilevel"/>
    <w:tmpl w:val="04A6C4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155A0F"/>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8406300"/>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E51174B"/>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02A4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EA15DF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8EA7404"/>
    <w:multiLevelType w:val="hybridMultilevel"/>
    <w:tmpl w:val="E75AFB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05E59B1"/>
    <w:multiLevelType w:val="hybridMultilevel"/>
    <w:tmpl w:val="9EE8CF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AB1903"/>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D41F3"/>
    <w:multiLevelType w:val="multilevel"/>
    <w:tmpl w:val="9EDE2F82"/>
    <w:lvl w:ilvl="0">
      <w:start w:val="1"/>
      <w:numFmt w:val="decimal"/>
      <w:suff w:val="space"/>
      <w:lvlText w:val="%1."/>
      <w:lvlJc w:val="left"/>
      <w:pPr>
        <w:ind w:left="1440" w:firstLine="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B5541"/>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866C6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86650"/>
    <w:multiLevelType w:val="multilevel"/>
    <w:tmpl w:val="040C001F"/>
    <w:lvl w:ilvl="0">
      <w:start w:val="1"/>
      <w:numFmt w:val="decimal"/>
      <w:lvlText w:val="%1."/>
      <w:lvlJc w:val="left"/>
      <w:pPr>
        <w:ind w:left="1638" w:hanging="360"/>
      </w:pPr>
    </w:lvl>
    <w:lvl w:ilvl="1">
      <w:start w:val="1"/>
      <w:numFmt w:val="decimal"/>
      <w:lvlText w:val="%1.%2."/>
      <w:lvlJc w:val="left"/>
      <w:pPr>
        <w:ind w:left="2070" w:hanging="432"/>
      </w:pPr>
    </w:lvl>
    <w:lvl w:ilvl="2">
      <w:start w:val="1"/>
      <w:numFmt w:val="decimal"/>
      <w:lvlText w:val="%1.%2.%3."/>
      <w:lvlJc w:val="left"/>
      <w:pPr>
        <w:ind w:left="2502" w:hanging="504"/>
      </w:pPr>
    </w:lvl>
    <w:lvl w:ilvl="3">
      <w:start w:val="1"/>
      <w:numFmt w:val="decimal"/>
      <w:lvlText w:val="%1.%2.%3.%4."/>
      <w:lvlJc w:val="left"/>
      <w:pPr>
        <w:ind w:left="3006" w:hanging="648"/>
      </w:pPr>
    </w:lvl>
    <w:lvl w:ilvl="4">
      <w:start w:val="1"/>
      <w:numFmt w:val="decimal"/>
      <w:lvlText w:val="%1.%2.%3.%4.%5."/>
      <w:lvlJc w:val="left"/>
      <w:pPr>
        <w:ind w:left="3510" w:hanging="792"/>
      </w:pPr>
    </w:lvl>
    <w:lvl w:ilvl="5">
      <w:start w:val="1"/>
      <w:numFmt w:val="decimal"/>
      <w:lvlText w:val="%1.%2.%3.%4.%5.%6."/>
      <w:lvlJc w:val="left"/>
      <w:pPr>
        <w:ind w:left="4014" w:hanging="936"/>
      </w:pPr>
    </w:lvl>
    <w:lvl w:ilvl="6">
      <w:start w:val="1"/>
      <w:numFmt w:val="decimal"/>
      <w:lvlText w:val="%1.%2.%3.%4.%5.%6.%7."/>
      <w:lvlJc w:val="left"/>
      <w:pPr>
        <w:ind w:left="4518" w:hanging="1080"/>
      </w:pPr>
    </w:lvl>
    <w:lvl w:ilvl="7">
      <w:start w:val="1"/>
      <w:numFmt w:val="decimal"/>
      <w:lvlText w:val="%1.%2.%3.%4.%5.%6.%7.%8."/>
      <w:lvlJc w:val="left"/>
      <w:pPr>
        <w:ind w:left="5022" w:hanging="1224"/>
      </w:pPr>
    </w:lvl>
    <w:lvl w:ilvl="8">
      <w:start w:val="1"/>
      <w:numFmt w:val="decimal"/>
      <w:lvlText w:val="%1.%2.%3.%4.%5.%6.%7.%8.%9."/>
      <w:lvlJc w:val="left"/>
      <w:pPr>
        <w:ind w:left="5598" w:hanging="144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6259F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03712A"/>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672AB"/>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30"/>
  </w:num>
  <w:num w:numId="3">
    <w:abstractNumId w:val="4"/>
  </w:num>
  <w:num w:numId="4">
    <w:abstractNumId w:val="27"/>
  </w:num>
  <w:num w:numId="5">
    <w:abstractNumId w:val="15"/>
  </w:num>
  <w:num w:numId="6">
    <w:abstractNumId w:val="26"/>
  </w:num>
  <w:num w:numId="7">
    <w:abstractNumId w:val="0"/>
  </w:num>
  <w:num w:numId="8">
    <w:abstractNumId w:val="18"/>
  </w:num>
  <w:num w:numId="9">
    <w:abstractNumId w:val="19"/>
  </w:num>
  <w:num w:numId="10">
    <w:abstractNumId w:val="28"/>
  </w:num>
  <w:num w:numId="11">
    <w:abstractNumId w:val="35"/>
  </w:num>
  <w:num w:numId="12">
    <w:abstractNumId w:val="2"/>
  </w:num>
  <w:num w:numId="13">
    <w:abstractNumId w:val="31"/>
  </w:num>
  <w:num w:numId="14">
    <w:abstractNumId w:val="42"/>
  </w:num>
  <w:num w:numId="15">
    <w:abstractNumId w:val="20"/>
  </w:num>
  <w:num w:numId="16">
    <w:abstractNumId w:val="14"/>
  </w:num>
  <w:num w:numId="17">
    <w:abstractNumId w:val="33"/>
  </w:num>
  <w:num w:numId="18">
    <w:abstractNumId w:val="22"/>
  </w:num>
  <w:num w:numId="19">
    <w:abstractNumId w:val="38"/>
  </w:num>
  <w:num w:numId="20">
    <w:abstractNumId w:val="3"/>
  </w:num>
  <w:num w:numId="21">
    <w:abstractNumId w:val="39"/>
  </w:num>
  <w:num w:numId="22">
    <w:abstractNumId w:val="36"/>
  </w:num>
  <w:num w:numId="23">
    <w:abstractNumId w:val="23"/>
  </w:num>
  <w:num w:numId="24">
    <w:abstractNumId w:val="44"/>
  </w:num>
  <w:num w:numId="25">
    <w:abstractNumId w:val="12"/>
  </w:num>
  <w:num w:numId="26">
    <w:abstractNumId w:val="9"/>
  </w:num>
  <w:num w:numId="27">
    <w:abstractNumId w:val="24"/>
  </w:num>
  <w:num w:numId="28">
    <w:abstractNumId w:val="40"/>
  </w:num>
  <w:num w:numId="29">
    <w:abstractNumId w:val="37"/>
  </w:num>
  <w:num w:numId="30">
    <w:abstractNumId w:val="5"/>
  </w:num>
  <w:num w:numId="31">
    <w:abstractNumId w:val="8"/>
  </w:num>
  <w:num w:numId="32">
    <w:abstractNumId w:val="6"/>
  </w:num>
  <w:num w:numId="33">
    <w:abstractNumId w:val="21"/>
  </w:num>
  <w:num w:numId="34">
    <w:abstractNumId w:val="16"/>
  </w:num>
  <w:num w:numId="35">
    <w:abstractNumId w:val="34"/>
  </w:num>
  <w:num w:numId="36">
    <w:abstractNumId w:val="29"/>
  </w:num>
  <w:num w:numId="37">
    <w:abstractNumId w:val="25"/>
  </w:num>
  <w:num w:numId="38">
    <w:abstractNumId w:val="43"/>
  </w:num>
  <w:num w:numId="39">
    <w:abstractNumId w:val="13"/>
  </w:num>
  <w:num w:numId="40">
    <w:abstractNumId w:val="10"/>
  </w:num>
  <w:num w:numId="41">
    <w:abstractNumId w:val="32"/>
  </w:num>
  <w:num w:numId="42">
    <w:abstractNumId w:val="17"/>
  </w:num>
  <w:num w:numId="43">
    <w:abstractNumId w:val="1"/>
  </w:num>
  <w:num w:numId="44">
    <w:abstractNumId w:val="11"/>
  </w:num>
  <w:num w:numId="45">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159"/>
    <w:rsid w:val="00005815"/>
    <w:rsid w:val="00007DBC"/>
    <w:rsid w:val="00007EA1"/>
    <w:rsid w:val="000100F0"/>
    <w:rsid w:val="00011549"/>
    <w:rsid w:val="000115C8"/>
    <w:rsid w:val="000129B2"/>
    <w:rsid w:val="00012FF9"/>
    <w:rsid w:val="0001389C"/>
    <w:rsid w:val="00013A3C"/>
    <w:rsid w:val="00014314"/>
    <w:rsid w:val="00020529"/>
    <w:rsid w:val="00021434"/>
    <w:rsid w:val="00021774"/>
    <w:rsid w:val="00021DF3"/>
    <w:rsid w:val="00023869"/>
    <w:rsid w:val="00024598"/>
    <w:rsid w:val="000251AE"/>
    <w:rsid w:val="00025ACF"/>
    <w:rsid w:val="000279B0"/>
    <w:rsid w:val="00032769"/>
    <w:rsid w:val="0003311E"/>
    <w:rsid w:val="000353D0"/>
    <w:rsid w:val="00037B58"/>
    <w:rsid w:val="00037F4A"/>
    <w:rsid w:val="00042C09"/>
    <w:rsid w:val="00051B73"/>
    <w:rsid w:val="00057EB2"/>
    <w:rsid w:val="00060ABE"/>
    <w:rsid w:val="00061A50"/>
    <w:rsid w:val="0006361B"/>
    <w:rsid w:val="00064104"/>
    <w:rsid w:val="000652E3"/>
    <w:rsid w:val="00066025"/>
    <w:rsid w:val="00067A8F"/>
    <w:rsid w:val="000701D1"/>
    <w:rsid w:val="00072011"/>
    <w:rsid w:val="00080A20"/>
    <w:rsid w:val="00082796"/>
    <w:rsid w:val="00082DF4"/>
    <w:rsid w:val="00084FEA"/>
    <w:rsid w:val="00086FF5"/>
    <w:rsid w:val="00087C0A"/>
    <w:rsid w:val="00091F72"/>
    <w:rsid w:val="00093BC4"/>
    <w:rsid w:val="000943E6"/>
    <w:rsid w:val="00097929"/>
    <w:rsid w:val="000A1E80"/>
    <w:rsid w:val="000A3B70"/>
    <w:rsid w:val="000A5153"/>
    <w:rsid w:val="000B10AE"/>
    <w:rsid w:val="000B30BF"/>
    <w:rsid w:val="000B566B"/>
    <w:rsid w:val="000B615D"/>
    <w:rsid w:val="000B662E"/>
    <w:rsid w:val="000B7294"/>
    <w:rsid w:val="000B75D0"/>
    <w:rsid w:val="000C1CF8"/>
    <w:rsid w:val="000C49CF"/>
    <w:rsid w:val="000C52E9"/>
    <w:rsid w:val="000C5CDC"/>
    <w:rsid w:val="000C65DC"/>
    <w:rsid w:val="000C66F3"/>
    <w:rsid w:val="000C6900"/>
    <w:rsid w:val="000C72AF"/>
    <w:rsid w:val="000D2494"/>
    <w:rsid w:val="000D31E8"/>
    <w:rsid w:val="000D76E4"/>
    <w:rsid w:val="000E2CE7"/>
    <w:rsid w:val="000E3816"/>
    <w:rsid w:val="000E4F77"/>
    <w:rsid w:val="000F265C"/>
    <w:rsid w:val="000F28A4"/>
    <w:rsid w:val="000F3AFA"/>
    <w:rsid w:val="000F5712"/>
    <w:rsid w:val="000F6611"/>
    <w:rsid w:val="000F7E22"/>
    <w:rsid w:val="00104D8B"/>
    <w:rsid w:val="001104F3"/>
    <w:rsid w:val="00112EEB"/>
    <w:rsid w:val="00114A15"/>
    <w:rsid w:val="00115945"/>
    <w:rsid w:val="001173FF"/>
    <w:rsid w:val="001227D7"/>
    <w:rsid w:val="00122E93"/>
    <w:rsid w:val="00123670"/>
    <w:rsid w:val="0012563A"/>
    <w:rsid w:val="001264DE"/>
    <w:rsid w:val="001313A7"/>
    <w:rsid w:val="0013276F"/>
    <w:rsid w:val="00135526"/>
    <w:rsid w:val="0013621E"/>
    <w:rsid w:val="0013642E"/>
    <w:rsid w:val="00142EFE"/>
    <w:rsid w:val="00152A23"/>
    <w:rsid w:val="00153402"/>
    <w:rsid w:val="001535B2"/>
    <w:rsid w:val="00161FFC"/>
    <w:rsid w:val="00162CB7"/>
    <w:rsid w:val="00163B50"/>
    <w:rsid w:val="001665C9"/>
    <w:rsid w:val="00166F32"/>
    <w:rsid w:val="00171E5B"/>
    <w:rsid w:val="00171F94"/>
    <w:rsid w:val="00175D4E"/>
    <w:rsid w:val="0017668A"/>
    <w:rsid w:val="001766FE"/>
    <w:rsid w:val="001771E7"/>
    <w:rsid w:val="00184640"/>
    <w:rsid w:val="001863E6"/>
    <w:rsid w:val="00190262"/>
    <w:rsid w:val="00190956"/>
    <w:rsid w:val="001911FF"/>
    <w:rsid w:val="00192006"/>
    <w:rsid w:val="00193180"/>
    <w:rsid w:val="00196792"/>
    <w:rsid w:val="001967B5"/>
    <w:rsid w:val="001979D6"/>
    <w:rsid w:val="001A0D79"/>
    <w:rsid w:val="001B1519"/>
    <w:rsid w:val="001B2E2D"/>
    <w:rsid w:val="001B5CD2"/>
    <w:rsid w:val="001B6A53"/>
    <w:rsid w:val="001B6D4A"/>
    <w:rsid w:val="001C0BEE"/>
    <w:rsid w:val="001C1E49"/>
    <w:rsid w:val="001C27C1"/>
    <w:rsid w:val="001C2A98"/>
    <w:rsid w:val="001C4D95"/>
    <w:rsid w:val="001D3D7D"/>
    <w:rsid w:val="001D3FFF"/>
    <w:rsid w:val="001D625F"/>
    <w:rsid w:val="001D68A4"/>
    <w:rsid w:val="001D7520"/>
    <w:rsid w:val="001D7576"/>
    <w:rsid w:val="001E0D59"/>
    <w:rsid w:val="001E0E3F"/>
    <w:rsid w:val="001E14A0"/>
    <w:rsid w:val="001E6783"/>
    <w:rsid w:val="001E7376"/>
    <w:rsid w:val="001F225C"/>
    <w:rsid w:val="001F391D"/>
    <w:rsid w:val="001F727B"/>
    <w:rsid w:val="00201CFA"/>
    <w:rsid w:val="00202207"/>
    <w:rsid w:val="0020220D"/>
    <w:rsid w:val="00202448"/>
    <w:rsid w:val="00202D15"/>
    <w:rsid w:val="00205B3F"/>
    <w:rsid w:val="00212EAE"/>
    <w:rsid w:val="00214BEE"/>
    <w:rsid w:val="002205B8"/>
    <w:rsid w:val="002206DD"/>
    <w:rsid w:val="00224D1F"/>
    <w:rsid w:val="00225720"/>
    <w:rsid w:val="002259E5"/>
    <w:rsid w:val="00226140"/>
    <w:rsid w:val="0022721A"/>
    <w:rsid w:val="002274F3"/>
    <w:rsid w:val="0023094C"/>
    <w:rsid w:val="00233E3A"/>
    <w:rsid w:val="00234BE3"/>
    <w:rsid w:val="0023552E"/>
    <w:rsid w:val="00235A90"/>
    <w:rsid w:val="00241E48"/>
    <w:rsid w:val="0024214E"/>
    <w:rsid w:val="00242623"/>
    <w:rsid w:val="00243911"/>
    <w:rsid w:val="00245F94"/>
    <w:rsid w:val="00250558"/>
    <w:rsid w:val="002605D1"/>
    <w:rsid w:val="00260652"/>
    <w:rsid w:val="0026070C"/>
    <w:rsid w:val="00261F25"/>
    <w:rsid w:val="002642F7"/>
    <w:rsid w:val="002648A9"/>
    <w:rsid w:val="0026536F"/>
    <w:rsid w:val="0026553C"/>
    <w:rsid w:val="00267945"/>
    <w:rsid w:val="00267DD5"/>
    <w:rsid w:val="00274A0A"/>
    <w:rsid w:val="00275C26"/>
    <w:rsid w:val="00277593"/>
    <w:rsid w:val="00280909"/>
    <w:rsid w:val="00280918"/>
    <w:rsid w:val="00282AF6"/>
    <w:rsid w:val="00284599"/>
    <w:rsid w:val="0028596A"/>
    <w:rsid w:val="00287085"/>
    <w:rsid w:val="00290AF9"/>
    <w:rsid w:val="00290F0E"/>
    <w:rsid w:val="00291AD8"/>
    <w:rsid w:val="002967CF"/>
    <w:rsid w:val="00297788"/>
    <w:rsid w:val="002A3285"/>
    <w:rsid w:val="002A484B"/>
    <w:rsid w:val="002A4B86"/>
    <w:rsid w:val="002A64A6"/>
    <w:rsid w:val="002B0C2C"/>
    <w:rsid w:val="002B1BCA"/>
    <w:rsid w:val="002B3301"/>
    <w:rsid w:val="002B72F3"/>
    <w:rsid w:val="002C402A"/>
    <w:rsid w:val="002C47D4"/>
    <w:rsid w:val="002D0F38"/>
    <w:rsid w:val="002D77E3"/>
    <w:rsid w:val="002E3E1A"/>
    <w:rsid w:val="002E6A73"/>
    <w:rsid w:val="002F0B5A"/>
    <w:rsid w:val="002F2859"/>
    <w:rsid w:val="002F6E3C"/>
    <w:rsid w:val="0030117D"/>
    <w:rsid w:val="00301F30"/>
    <w:rsid w:val="003038A6"/>
    <w:rsid w:val="003038FD"/>
    <w:rsid w:val="00303C87"/>
    <w:rsid w:val="00305B6E"/>
    <w:rsid w:val="003108E5"/>
    <w:rsid w:val="003120CB"/>
    <w:rsid w:val="00313767"/>
    <w:rsid w:val="00320153"/>
    <w:rsid w:val="00320367"/>
    <w:rsid w:val="0032151B"/>
    <w:rsid w:val="00322871"/>
    <w:rsid w:val="003262FF"/>
    <w:rsid w:val="00326FB3"/>
    <w:rsid w:val="003316D4"/>
    <w:rsid w:val="00332EEE"/>
    <w:rsid w:val="00333822"/>
    <w:rsid w:val="00336715"/>
    <w:rsid w:val="00336C92"/>
    <w:rsid w:val="003401EC"/>
    <w:rsid w:val="00340DFD"/>
    <w:rsid w:val="003415D1"/>
    <w:rsid w:val="003444CC"/>
    <w:rsid w:val="003444F0"/>
    <w:rsid w:val="00344954"/>
    <w:rsid w:val="00347718"/>
    <w:rsid w:val="00350CD7"/>
    <w:rsid w:val="00355C07"/>
    <w:rsid w:val="0035616A"/>
    <w:rsid w:val="00360C17"/>
    <w:rsid w:val="003621C6"/>
    <w:rsid w:val="003622B8"/>
    <w:rsid w:val="00366B76"/>
    <w:rsid w:val="00373051"/>
    <w:rsid w:val="00373B8F"/>
    <w:rsid w:val="00376D95"/>
    <w:rsid w:val="00377FBB"/>
    <w:rsid w:val="00385140"/>
    <w:rsid w:val="00393CC7"/>
    <w:rsid w:val="003969AD"/>
    <w:rsid w:val="003971F7"/>
    <w:rsid w:val="003A16FC"/>
    <w:rsid w:val="003A4FCD"/>
    <w:rsid w:val="003B0944"/>
    <w:rsid w:val="003B1593"/>
    <w:rsid w:val="003B4381"/>
    <w:rsid w:val="003B7D5C"/>
    <w:rsid w:val="003C1043"/>
    <w:rsid w:val="003C1A30"/>
    <w:rsid w:val="003C3C4A"/>
    <w:rsid w:val="003C6779"/>
    <w:rsid w:val="003C74BE"/>
    <w:rsid w:val="003D2998"/>
    <w:rsid w:val="003D2F0A"/>
    <w:rsid w:val="003D3891"/>
    <w:rsid w:val="003D5D84"/>
    <w:rsid w:val="003E0F4F"/>
    <w:rsid w:val="003E18AC"/>
    <w:rsid w:val="003E210B"/>
    <w:rsid w:val="003E2A12"/>
    <w:rsid w:val="003E3384"/>
    <w:rsid w:val="003E3CA4"/>
    <w:rsid w:val="003E548E"/>
    <w:rsid w:val="003F1A82"/>
    <w:rsid w:val="00407EC8"/>
    <w:rsid w:val="004110EE"/>
    <w:rsid w:val="0041110A"/>
    <w:rsid w:val="00411624"/>
    <w:rsid w:val="004148E1"/>
    <w:rsid w:val="00414CFA"/>
    <w:rsid w:val="00415EC0"/>
    <w:rsid w:val="00420BE9"/>
    <w:rsid w:val="00423AD8"/>
    <w:rsid w:val="00423FDD"/>
    <w:rsid w:val="00424C85"/>
    <w:rsid w:val="004260BD"/>
    <w:rsid w:val="00426B3E"/>
    <w:rsid w:val="0043012F"/>
    <w:rsid w:val="00430F1F"/>
    <w:rsid w:val="004326EA"/>
    <w:rsid w:val="00437089"/>
    <w:rsid w:val="00440307"/>
    <w:rsid w:val="004428F5"/>
    <w:rsid w:val="0044434C"/>
    <w:rsid w:val="0044456B"/>
    <w:rsid w:val="00445D1E"/>
    <w:rsid w:val="00447BD1"/>
    <w:rsid w:val="004507F3"/>
    <w:rsid w:val="00450AF4"/>
    <w:rsid w:val="00456A57"/>
    <w:rsid w:val="004607DE"/>
    <w:rsid w:val="004671C7"/>
    <w:rsid w:val="00471FC5"/>
    <w:rsid w:val="00472F4D"/>
    <w:rsid w:val="004730BF"/>
    <w:rsid w:val="00474DCB"/>
    <w:rsid w:val="00475074"/>
    <w:rsid w:val="0047535C"/>
    <w:rsid w:val="004762F6"/>
    <w:rsid w:val="00476FC6"/>
    <w:rsid w:val="004830E3"/>
    <w:rsid w:val="004843DE"/>
    <w:rsid w:val="00484D80"/>
    <w:rsid w:val="00485870"/>
    <w:rsid w:val="00485FE8"/>
    <w:rsid w:val="00486B27"/>
    <w:rsid w:val="00490C56"/>
    <w:rsid w:val="00492473"/>
    <w:rsid w:val="00492EB5"/>
    <w:rsid w:val="00493886"/>
    <w:rsid w:val="00494F77"/>
    <w:rsid w:val="00497721"/>
    <w:rsid w:val="004A0229"/>
    <w:rsid w:val="004A35D2"/>
    <w:rsid w:val="004A5911"/>
    <w:rsid w:val="004A71E4"/>
    <w:rsid w:val="004B2F00"/>
    <w:rsid w:val="004B43BE"/>
    <w:rsid w:val="004B506F"/>
    <w:rsid w:val="004B6E31"/>
    <w:rsid w:val="004C17B7"/>
    <w:rsid w:val="004C1D66"/>
    <w:rsid w:val="004C31D7"/>
    <w:rsid w:val="004C3C80"/>
    <w:rsid w:val="004C4AD2"/>
    <w:rsid w:val="004C6981"/>
    <w:rsid w:val="004D1F21"/>
    <w:rsid w:val="004D268C"/>
    <w:rsid w:val="004D59D8"/>
    <w:rsid w:val="004D5DA1"/>
    <w:rsid w:val="004E029D"/>
    <w:rsid w:val="004E150F"/>
    <w:rsid w:val="004E1DCA"/>
    <w:rsid w:val="004E2390"/>
    <w:rsid w:val="004E23A1"/>
    <w:rsid w:val="004E3489"/>
    <w:rsid w:val="004E358A"/>
    <w:rsid w:val="004E3AFA"/>
    <w:rsid w:val="004E564A"/>
    <w:rsid w:val="004E6588"/>
    <w:rsid w:val="004F2742"/>
    <w:rsid w:val="00502A0A"/>
    <w:rsid w:val="00504B93"/>
    <w:rsid w:val="00507C50"/>
    <w:rsid w:val="00514D40"/>
    <w:rsid w:val="005178EE"/>
    <w:rsid w:val="00517C3A"/>
    <w:rsid w:val="00520244"/>
    <w:rsid w:val="00521769"/>
    <w:rsid w:val="00523627"/>
    <w:rsid w:val="00523FA3"/>
    <w:rsid w:val="00527BF4"/>
    <w:rsid w:val="005324BE"/>
    <w:rsid w:val="00534F6C"/>
    <w:rsid w:val="00535994"/>
    <w:rsid w:val="0053646D"/>
    <w:rsid w:val="0054014E"/>
    <w:rsid w:val="00540AAD"/>
    <w:rsid w:val="00543EC1"/>
    <w:rsid w:val="00546458"/>
    <w:rsid w:val="0055087C"/>
    <w:rsid w:val="00552E03"/>
    <w:rsid w:val="00553413"/>
    <w:rsid w:val="00555983"/>
    <w:rsid w:val="00557323"/>
    <w:rsid w:val="00560E31"/>
    <w:rsid w:val="00561BDA"/>
    <w:rsid w:val="00565557"/>
    <w:rsid w:val="00565A93"/>
    <w:rsid w:val="005678B0"/>
    <w:rsid w:val="00576952"/>
    <w:rsid w:val="00581B23"/>
    <w:rsid w:val="0058219C"/>
    <w:rsid w:val="00584CC1"/>
    <w:rsid w:val="0058707F"/>
    <w:rsid w:val="00591DBD"/>
    <w:rsid w:val="005931FE"/>
    <w:rsid w:val="005A0028"/>
    <w:rsid w:val="005A0ACC"/>
    <w:rsid w:val="005A356C"/>
    <w:rsid w:val="005B0072"/>
    <w:rsid w:val="005B0732"/>
    <w:rsid w:val="005B38A0"/>
    <w:rsid w:val="005B491C"/>
    <w:rsid w:val="005B4DBF"/>
    <w:rsid w:val="005B5DE2"/>
    <w:rsid w:val="005B674C"/>
    <w:rsid w:val="005C01DB"/>
    <w:rsid w:val="005C0F3F"/>
    <w:rsid w:val="005C24F2"/>
    <w:rsid w:val="005C7561"/>
    <w:rsid w:val="005D1E57"/>
    <w:rsid w:val="005D2F57"/>
    <w:rsid w:val="005D34F6"/>
    <w:rsid w:val="005D4F1A"/>
    <w:rsid w:val="005E0ADA"/>
    <w:rsid w:val="005E0B4A"/>
    <w:rsid w:val="005E1884"/>
    <w:rsid w:val="005E2DE3"/>
    <w:rsid w:val="005E786C"/>
    <w:rsid w:val="005F01ED"/>
    <w:rsid w:val="005F060E"/>
    <w:rsid w:val="005F23B9"/>
    <w:rsid w:val="005F373A"/>
    <w:rsid w:val="005F4F87"/>
    <w:rsid w:val="005F68AD"/>
    <w:rsid w:val="005F6B0E"/>
    <w:rsid w:val="005F760E"/>
    <w:rsid w:val="005F7B1D"/>
    <w:rsid w:val="0060222A"/>
    <w:rsid w:val="00605E5E"/>
    <w:rsid w:val="006070C4"/>
    <w:rsid w:val="006100BA"/>
    <w:rsid w:val="00610C21"/>
    <w:rsid w:val="00611907"/>
    <w:rsid w:val="00613116"/>
    <w:rsid w:val="0061322F"/>
    <w:rsid w:val="006202A6"/>
    <w:rsid w:val="0062054B"/>
    <w:rsid w:val="00621008"/>
    <w:rsid w:val="00621C4E"/>
    <w:rsid w:val="00624540"/>
    <w:rsid w:val="00624EAE"/>
    <w:rsid w:val="00625C42"/>
    <w:rsid w:val="006271D1"/>
    <w:rsid w:val="006305D7"/>
    <w:rsid w:val="00632F63"/>
    <w:rsid w:val="00633A01"/>
    <w:rsid w:val="00633B97"/>
    <w:rsid w:val="006341F7"/>
    <w:rsid w:val="00634585"/>
    <w:rsid w:val="00635014"/>
    <w:rsid w:val="006369CE"/>
    <w:rsid w:val="006411CA"/>
    <w:rsid w:val="0064605E"/>
    <w:rsid w:val="00650851"/>
    <w:rsid w:val="006518F2"/>
    <w:rsid w:val="006619C8"/>
    <w:rsid w:val="00671710"/>
    <w:rsid w:val="00673414"/>
    <w:rsid w:val="00676079"/>
    <w:rsid w:val="00676ECD"/>
    <w:rsid w:val="00677D0A"/>
    <w:rsid w:val="0068185F"/>
    <w:rsid w:val="006A01CF"/>
    <w:rsid w:val="006A60DD"/>
    <w:rsid w:val="006A7FD0"/>
    <w:rsid w:val="006B0679"/>
    <w:rsid w:val="006B074C"/>
    <w:rsid w:val="006B301A"/>
    <w:rsid w:val="006B3B84"/>
    <w:rsid w:val="006B4E7C"/>
    <w:rsid w:val="006B566E"/>
    <w:rsid w:val="006B5D8C"/>
    <w:rsid w:val="006B72D4"/>
    <w:rsid w:val="006C0C61"/>
    <w:rsid w:val="006C11CC"/>
    <w:rsid w:val="006C1AEB"/>
    <w:rsid w:val="006C4FDF"/>
    <w:rsid w:val="006C57FE"/>
    <w:rsid w:val="006C668E"/>
    <w:rsid w:val="006D1BED"/>
    <w:rsid w:val="006D1CAB"/>
    <w:rsid w:val="006D47F4"/>
    <w:rsid w:val="006E4B63"/>
    <w:rsid w:val="006F06E4"/>
    <w:rsid w:val="006F19F2"/>
    <w:rsid w:val="006F7B41"/>
    <w:rsid w:val="00702B5D"/>
    <w:rsid w:val="00703ED2"/>
    <w:rsid w:val="00707B8D"/>
    <w:rsid w:val="00713636"/>
    <w:rsid w:val="00714B8C"/>
    <w:rsid w:val="0071675D"/>
    <w:rsid w:val="00717736"/>
    <w:rsid w:val="007248B9"/>
    <w:rsid w:val="00724B3A"/>
    <w:rsid w:val="00732B47"/>
    <w:rsid w:val="00735CF5"/>
    <w:rsid w:val="00737EBE"/>
    <w:rsid w:val="0074063A"/>
    <w:rsid w:val="00742AA4"/>
    <w:rsid w:val="00743BA1"/>
    <w:rsid w:val="00745F1E"/>
    <w:rsid w:val="007501F6"/>
    <w:rsid w:val="007509FC"/>
    <w:rsid w:val="007515FE"/>
    <w:rsid w:val="00757C25"/>
    <w:rsid w:val="007601D0"/>
    <w:rsid w:val="007603BB"/>
    <w:rsid w:val="00760A08"/>
    <w:rsid w:val="0076109D"/>
    <w:rsid w:val="00765F68"/>
    <w:rsid w:val="00767107"/>
    <w:rsid w:val="0076710D"/>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3807"/>
    <w:rsid w:val="007A498A"/>
    <w:rsid w:val="007A4D4C"/>
    <w:rsid w:val="007A4DD6"/>
    <w:rsid w:val="007A52AB"/>
    <w:rsid w:val="007A5CB9"/>
    <w:rsid w:val="007B1623"/>
    <w:rsid w:val="007B20AE"/>
    <w:rsid w:val="007B6B07"/>
    <w:rsid w:val="007B6D43"/>
    <w:rsid w:val="007B749A"/>
    <w:rsid w:val="007B7C6E"/>
    <w:rsid w:val="007C0CA4"/>
    <w:rsid w:val="007C75AB"/>
    <w:rsid w:val="007D3126"/>
    <w:rsid w:val="007D44D7"/>
    <w:rsid w:val="007D621A"/>
    <w:rsid w:val="007D6C5F"/>
    <w:rsid w:val="007E058A"/>
    <w:rsid w:val="007E2887"/>
    <w:rsid w:val="007E5278"/>
    <w:rsid w:val="007E749C"/>
    <w:rsid w:val="007F1B5C"/>
    <w:rsid w:val="00801257"/>
    <w:rsid w:val="00803B0A"/>
    <w:rsid w:val="00804DED"/>
    <w:rsid w:val="00805B96"/>
    <w:rsid w:val="008105BE"/>
    <w:rsid w:val="008115A5"/>
    <w:rsid w:val="00811D46"/>
    <w:rsid w:val="00813FA8"/>
    <w:rsid w:val="0081415D"/>
    <w:rsid w:val="00814E2E"/>
    <w:rsid w:val="00820229"/>
    <w:rsid w:val="00822448"/>
    <w:rsid w:val="00822ABE"/>
    <w:rsid w:val="008244D1"/>
    <w:rsid w:val="0082639A"/>
    <w:rsid w:val="008272B6"/>
    <w:rsid w:val="00827F51"/>
    <w:rsid w:val="00830D67"/>
    <w:rsid w:val="0083104E"/>
    <w:rsid w:val="008343BE"/>
    <w:rsid w:val="00836535"/>
    <w:rsid w:val="00840FB4"/>
    <w:rsid w:val="008410B2"/>
    <w:rsid w:val="008473B0"/>
    <w:rsid w:val="008500A0"/>
    <w:rsid w:val="008502D9"/>
    <w:rsid w:val="008524E5"/>
    <w:rsid w:val="0085351C"/>
    <w:rsid w:val="0085435A"/>
    <w:rsid w:val="008549CA"/>
    <w:rsid w:val="008556C3"/>
    <w:rsid w:val="0085687C"/>
    <w:rsid w:val="008614D5"/>
    <w:rsid w:val="0086385F"/>
    <w:rsid w:val="00867864"/>
    <w:rsid w:val="008706C5"/>
    <w:rsid w:val="00873707"/>
    <w:rsid w:val="00874B20"/>
    <w:rsid w:val="008755C3"/>
    <w:rsid w:val="008757C6"/>
    <w:rsid w:val="008763E1"/>
    <w:rsid w:val="0087775C"/>
    <w:rsid w:val="00877EC8"/>
    <w:rsid w:val="00880F36"/>
    <w:rsid w:val="00885530"/>
    <w:rsid w:val="00886F7D"/>
    <w:rsid w:val="0088713F"/>
    <w:rsid w:val="00891047"/>
    <w:rsid w:val="008910D1"/>
    <w:rsid w:val="0089296C"/>
    <w:rsid w:val="00893069"/>
    <w:rsid w:val="00896ABD"/>
    <w:rsid w:val="00897285"/>
    <w:rsid w:val="00897A27"/>
    <w:rsid w:val="00897AB6"/>
    <w:rsid w:val="008A3380"/>
    <w:rsid w:val="008A7A9C"/>
    <w:rsid w:val="008B0DDF"/>
    <w:rsid w:val="008B5218"/>
    <w:rsid w:val="008B7102"/>
    <w:rsid w:val="008C3B7D"/>
    <w:rsid w:val="008C62D1"/>
    <w:rsid w:val="008D0F90"/>
    <w:rsid w:val="008D3715"/>
    <w:rsid w:val="008D3D68"/>
    <w:rsid w:val="008D46BC"/>
    <w:rsid w:val="008D4F10"/>
    <w:rsid w:val="008D5465"/>
    <w:rsid w:val="008D5E61"/>
    <w:rsid w:val="008D7EB7"/>
    <w:rsid w:val="008D7EC5"/>
    <w:rsid w:val="008E3684"/>
    <w:rsid w:val="008E3BA5"/>
    <w:rsid w:val="008E57F5"/>
    <w:rsid w:val="008E7606"/>
    <w:rsid w:val="008F1DAA"/>
    <w:rsid w:val="008F3EBD"/>
    <w:rsid w:val="008F60B2"/>
    <w:rsid w:val="008F7C41"/>
    <w:rsid w:val="009031E2"/>
    <w:rsid w:val="0090569B"/>
    <w:rsid w:val="009076AF"/>
    <w:rsid w:val="00907F51"/>
    <w:rsid w:val="00912042"/>
    <w:rsid w:val="0091276C"/>
    <w:rsid w:val="0091467C"/>
    <w:rsid w:val="009165AC"/>
    <w:rsid w:val="00916FFC"/>
    <w:rsid w:val="0092053F"/>
    <w:rsid w:val="00922A4E"/>
    <w:rsid w:val="0092340A"/>
    <w:rsid w:val="009313D9"/>
    <w:rsid w:val="009352A2"/>
    <w:rsid w:val="00935B7F"/>
    <w:rsid w:val="00941293"/>
    <w:rsid w:val="00942F39"/>
    <w:rsid w:val="00946372"/>
    <w:rsid w:val="00950C17"/>
    <w:rsid w:val="00951592"/>
    <w:rsid w:val="00951FAF"/>
    <w:rsid w:val="00953D69"/>
    <w:rsid w:val="00954740"/>
    <w:rsid w:val="00955AE5"/>
    <w:rsid w:val="00962E71"/>
    <w:rsid w:val="00963ABC"/>
    <w:rsid w:val="00963EE6"/>
    <w:rsid w:val="00965D21"/>
    <w:rsid w:val="00967764"/>
    <w:rsid w:val="00970B0E"/>
    <w:rsid w:val="00970BB9"/>
    <w:rsid w:val="00970F3D"/>
    <w:rsid w:val="009715AA"/>
    <w:rsid w:val="009726EE"/>
    <w:rsid w:val="00972CDE"/>
    <w:rsid w:val="009733DD"/>
    <w:rsid w:val="00975573"/>
    <w:rsid w:val="00976D03"/>
    <w:rsid w:val="00977B30"/>
    <w:rsid w:val="00982F41"/>
    <w:rsid w:val="0098426B"/>
    <w:rsid w:val="00985090"/>
    <w:rsid w:val="00987710"/>
    <w:rsid w:val="009904AB"/>
    <w:rsid w:val="00992BC0"/>
    <w:rsid w:val="00995688"/>
    <w:rsid w:val="009958A6"/>
    <w:rsid w:val="00996456"/>
    <w:rsid w:val="009A04F5"/>
    <w:rsid w:val="009A15EF"/>
    <w:rsid w:val="009A38A5"/>
    <w:rsid w:val="009A5B73"/>
    <w:rsid w:val="009B118B"/>
    <w:rsid w:val="009B1737"/>
    <w:rsid w:val="009B3D4B"/>
    <w:rsid w:val="009B5354"/>
    <w:rsid w:val="009B5B99"/>
    <w:rsid w:val="009B6EFC"/>
    <w:rsid w:val="009C1FD0"/>
    <w:rsid w:val="009C2DF8"/>
    <w:rsid w:val="009C31BF"/>
    <w:rsid w:val="009C68B7"/>
    <w:rsid w:val="009D0834"/>
    <w:rsid w:val="009D0A1E"/>
    <w:rsid w:val="009D13CF"/>
    <w:rsid w:val="009D2AE3"/>
    <w:rsid w:val="009D3CF9"/>
    <w:rsid w:val="009D52BC"/>
    <w:rsid w:val="009D7D0A"/>
    <w:rsid w:val="009E09D9"/>
    <w:rsid w:val="009F01B1"/>
    <w:rsid w:val="009F0DBB"/>
    <w:rsid w:val="009F1DCB"/>
    <w:rsid w:val="009F3887"/>
    <w:rsid w:val="009F659A"/>
    <w:rsid w:val="009F732B"/>
    <w:rsid w:val="00A01FE0"/>
    <w:rsid w:val="00A0385F"/>
    <w:rsid w:val="00A06945"/>
    <w:rsid w:val="00A10656"/>
    <w:rsid w:val="00A107DB"/>
    <w:rsid w:val="00A113C0"/>
    <w:rsid w:val="00A12FA6"/>
    <w:rsid w:val="00A1339B"/>
    <w:rsid w:val="00A14ABA"/>
    <w:rsid w:val="00A23FA6"/>
    <w:rsid w:val="00A24CB6"/>
    <w:rsid w:val="00A25750"/>
    <w:rsid w:val="00A26CD2"/>
    <w:rsid w:val="00A27667"/>
    <w:rsid w:val="00A32979"/>
    <w:rsid w:val="00A342D2"/>
    <w:rsid w:val="00A34A67"/>
    <w:rsid w:val="00A37462"/>
    <w:rsid w:val="00A459E1"/>
    <w:rsid w:val="00A46AC4"/>
    <w:rsid w:val="00A52296"/>
    <w:rsid w:val="00A53630"/>
    <w:rsid w:val="00A5447A"/>
    <w:rsid w:val="00A55661"/>
    <w:rsid w:val="00A61B70"/>
    <w:rsid w:val="00A61FA8"/>
    <w:rsid w:val="00A637F4"/>
    <w:rsid w:val="00A64DF2"/>
    <w:rsid w:val="00A65485"/>
    <w:rsid w:val="00A66E05"/>
    <w:rsid w:val="00A67D57"/>
    <w:rsid w:val="00A70753"/>
    <w:rsid w:val="00A712D2"/>
    <w:rsid w:val="00A77104"/>
    <w:rsid w:val="00A82C8A"/>
    <w:rsid w:val="00A8346B"/>
    <w:rsid w:val="00A852FF"/>
    <w:rsid w:val="00A87337"/>
    <w:rsid w:val="00A90C97"/>
    <w:rsid w:val="00A92BEB"/>
    <w:rsid w:val="00A92DDC"/>
    <w:rsid w:val="00A94D58"/>
    <w:rsid w:val="00A960C8"/>
    <w:rsid w:val="00A96604"/>
    <w:rsid w:val="00A97B78"/>
    <w:rsid w:val="00AA03DF"/>
    <w:rsid w:val="00AA1B4F"/>
    <w:rsid w:val="00AA21D8"/>
    <w:rsid w:val="00AA271A"/>
    <w:rsid w:val="00AA3270"/>
    <w:rsid w:val="00AA54F3"/>
    <w:rsid w:val="00AA6B43"/>
    <w:rsid w:val="00AA720D"/>
    <w:rsid w:val="00AB0B43"/>
    <w:rsid w:val="00AB367A"/>
    <w:rsid w:val="00AC01D1"/>
    <w:rsid w:val="00AC0AB2"/>
    <w:rsid w:val="00AC0E9F"/>
    <w:rsid w:val="00AC2A56"/>
    <w:rsid w:val="00AC52A5"/>
    <w:rsid w:val="00AC6EFD"/>
    <w:rsid w:val="00AC7151"/>
    <w:rsid w:val="00AD273B"/>
    <w:rsid w:val="00AD460A"/>
    <w:rsid w:val="00AD6A05"/>
    <w:rsid w:val="00AE084D"/>
    <w:rsid w:val="00AE118B"/>
    <w:rsid w:val="00AE2706"/>
    <w:rsid w:val="00AE272B"/>
    <w:rsid w:val="00AE3E3A"/>
    <w:rsid w:val="00AE77B4"/>
    <w:rsid w:val="00AE7C1A"/>
    <w:rsid w:val="00AE7DF8"/>
    <w:rsid w:val="00AF0D9C"/>
    <w:rsid w:val="00AF13AB"/>
    <w:rsid w:val="00AF1D36"/>
    <w:rsid w:val="00AF21F6"/>
    <w:rsid w:val="00AF280B"/>
    <w:rsid w:val="00AF3516"/>
    <w:rsid w:val="00AF4359"/>
    <w:rsid w:val="00AF5F75"/>
    <w:rsid w:val="00AF6001"/>
    <w:rsid w:val="00B01A16"/>
    <w:rsid w:val="00B052D7"/>
    <w:rsid w:val="00B07F45"/>
    <w:rsid w:val="00B1021A"/>
    <w:rsid w:val="00B1481A"/>
    <w:rsid w:val="00B15A1F"/>
    <w:rsid w:val="00B15FE9"/>
    <w:rsid w:val="00B2049B"/>
    <w:rsid w:val="00B2148A"/>
    <w:rsid w:val="00B220C2"/>
    <w:rsid w:val="00B25B32"/>
    <w:rsid w:val="00B261EC"/>
    <w:rsid w:val="00B3017F"/>
    <w:rsid w:val="00B32616"/>
    <w:rsid w:val="00B36C42"/>
    <w:rsid w:val="00B400DF"/>
    <w:rsid w:val="00B42EA7"/>
    <w:rsid w:val="00B510CC"/>
    <w:rsid w:val="00B51845"/>
    <w:rsid w:val="00B51923"/>
    <w:rsid w:val="00B5337C"/>
    <w:rsid w:val="00B53FDE"/>
    <w:rsid w:val="00B56397"/>
    <w:rsid w:val="00B571DA"/>
    <w:rsid w:val="00B57329"/>
    <w:rsid w:val="00B6027B"/>
    <w:rsid w:val="00B636C8"/>
    <w:rsid w:val="00B65EA8"/>
    <w:rsid w:val="00B65EDB"/>
    <w:rsid w:val="00B67AFF"/>
    <w:rsid w:val="00B70B59"/>
    <w:rsid w:val="00B72BDE"/>
    <w:rsid w:val="00B73657"/>
    <w:rsid w:val="00B739B3"/>
    <w:rsid w:val="00B75749"/>
    <w:rsid w:val="00B81B15"/>
    <w:rsid w:val="00B84545"/>
    <w:rsid w:val="00B873F0"/>
    <w:rsid w:val="00B908F1"/>
    <w:rsid w:val="00B915AE"/>
    <w:rsid w:val="00B97CBD"/>
    <w:rsid w:val="00BA1735"/>
    <w:rsid w:val="00BA19FA"/>
    <w:rsid w:val="00BA34BD"/>
    <w:rsid w:val="00BA4288"/>
    <w:rsid w:val="00BB0902"/>
    <w:rsid w:val="00BB1F9C"/>
    <w:rsid w:val="00BB3EF2"/>
    <w:rsid w:val="00BB48E5"/>
    <w:rsid w:val="00BB5607"/>
    <w:rsid w:val="00BB5ACA"/>
    <w:rsid w:val="00BB627F"/>
    <w:rsid w:val="00BB688E"/>
    <w:rsid w:val="00BC0C17"/>
    <w:rsid w:val="00BC3823"/>
    <w:rsid w:val="00BC5841"/>
    <w:rsid w:val="00BD2640"/>
    <w:rsid w:val="00BD2EF0"/>
    <w:rsid w:val="00BD438B"/>
    <w:rsid w:val="00BD60B4"/>
    <w:rsid w:val="00BD796B"/>
    <w:rsid w:val="00BE025E"/>
    <w:rsid w:val="00BE3DC0"/>
    <w:rsid w:val="00BE40C0"/>
    <w:rsid w:val="00BE5F4A"/>
    <w:rsid w:val="00BE7AEF"/>
    <w:rsid w:val="00BF09B0"/>
    <w:rsid w:val="00BF1544"/>
    <w:rsid w:val="00BF1B53"/>
    <w:rsid w:val="00BF22F0"/>
    <w:rsid w:val="00BF246D"/>
    <w:rsid w:val="00BF2682"/>
    <w:rsid w:val="00BF6091"/>
    <w:rsid w:val="00C06F06"/>
    <w:rsid w:val="00C11FB8"/>
    <w:rsid w:val="00C12134"/>
    <w:rsid w:val="00C13A08"/>
    <w:rsid w:val="00C1650E"/>
    <w:rsid w:val="00C20FAD"/>
    <w:rsid w:val="00C2375F"/>
    <w:rsid w:val="00C247CB"/>
    <w:rsid w:val="00C321AE"/>
    <w:rsid w:val="00C32447"/>
    <w:rsid w:val="00C32E66"/>
    <w:rsid w:val="00C3355F"/>
    <w:rsid w:val="00C33A04"/>
    <w:rsid w:val="00C3569A"/>
    <w:rsid w:val="00C36BFD"/>
    <w:rsid w:val="00C434D3"/>
    <w:rsid w:val="00C43F48"/>
    <w:rsid w:val="00C448FF"/>
    <w:rsid w:val="00C45E57"/>
    <w:rsid w:val="00C502F9"/>
    <w:rsid w:val="00C52F29"/>
    <w:rsid w:val="00C56CE6"/>
    <w:rsid w:val="00C56EB5"/>
    <w:rsid w:val="00C5745F"/>
    <w:rsid w:val="00C60005"/>
    <w:rsid w:val="00C6056D"/>
    <w:rsid w:val="00C61A98"/>
    <w:rsid w:val="00C63201"/>
    <w:rsid w:val="00C64CEE"/>
    <w:rsid w:val="00C64E62"/>
    <w:rsid w:val="00C651D5"/>
    <w:rsid w:val="00C65ADB"/>
    <w:rsid w:val="00C65CCC"/>
    <w:rsid w:val="00C723DF"/>
    <w:rsid w:val="00C74792"/>
    <w:rsid w:val="00C7618F"/>
    <w:rsid w:val="00C765A9"/>
    <w:rsid w:val="00C81157"/>
    <w:rsid w:val="00C8162D"/>
    <w:rsid w:val="00C830BB"/>
    <w:rsid w:val="00C83A0B"/>
    <w:rsid w:val="00C842D0"/>
    <w:rsid w:val="00C84ED1"/>
    <w:rsid w:val="00C863CC"/>
    <w:rsid w:val="00C86AA4"/>
    <w:rsid w:val="00C9038F"/>
    <w:rsid w:val="00C92AAB"/>
    <w:rsid w:val="00C95B0B"/>
    <w:rsid w:val="00C95D4C"/>
    <w:rsid w:val="00C9637F"/>
    <w:rsid w:val="00C9708A"/>
    <w:rsid w:val="00CA2435"/>
    <w:rsid w:val="00CA4068"/>
    <w:rsid w:val="00CA67F4"/>
    <w:rsid w:val="00CB37F8"/>
    <w:rsid w:val="00CB7DC3"/>
    <w:rsid w:val="00CC4FCF"/>
    <w:rsid w:val="00CC5BE1"/>
    <w:rsid w:val="00CC75A2"/>
    <w:rsid w:val="00CC7A18"/>
    <w:rsid w:val="00CD0E2F"/>
    <w:rsid w:val="00CD1D49"/>
    <w:rsid w:val="00CD2F20"/>
    <w:rsid w:val="00CD6B20"/>
    <w:rsid w:val="00CE1339"/>
    <w:rsid w:val="00CE61CC"/>
    <w:rsid w:val="00CE6E42"/>
    <w:rsid w:val="00CF20B7"/>
    <w:rsid w:val="00CF34EE"/>
    <w:rsid w:val="00CF6692"/>
    <w:rsid w:val="00CF7441"/>
    <w:rsid w:val="00D00D16"/>
    <w:rsid w:val="00D03C6C"/>
    <w:rsid w:val="00D04760"/>
    <w:rsid w:val="00D04A95"/>
    <w:rsid w:val="00D06288"/>
    <w:rsid w:val="00D068C7"/>
    <w:rsid w:val="00D07492"/>
    <w:rsid w:val="00D128A4"/>
    <w:rsid w:val="00D12F8B"/>
    <w:rsid w:val="00D132BC"/>
    <w:rsid w:val="00D1402E"/>
    <w:rsid w:val="00D147C8"/>
    <w:rsid w:val="00D14E59"/>
    <w:rsid w:val="00D15131"/>
    <w:rsid w:val="00D16FA2"/>
    <w:rsid w:val="00D20954"/>
    <w:rsid w:val="00D20B28"/>
    <w:rsid w:val="00D21C39"/>
    <w:rsid w:val="00D21FC6"/>
    <w:rsid w:val="00D2243A"/>
    <w:rsid w:val="00D33393"/>
    <w:rsid w:val="00D33D36"/>
    <w:rsid w:val="00D34D94"/>
    <w:rsid w:val="00D36D2E"/>
    <w:rsid w:val="00D409E2"/>
    <w:rsid w:val="00D427D7"/>
    <w:rsid w:val="00D44E62"/>
    <w:rsid w:val="00D51570"/>
    <w:rsid w:val="00D556AD"/>
    <w:rsid w:val="00D57934"/>
    <w:rsid w:val="00D60381"/>
    <w:rsid w:val="00D616DE"/>
    <w:rsid w:val="00D62014"/>
    <w:rsid w:val="00D62201"/>
    <w:rsid w:val="00D63CEF"/>
    <w:rsid w:val="00D644E9"/>
    <w:rsid w:val="00D651D1"/>
    <w:rsid w:val="00D67F78"/>
    <w:rsid w:val="00D717BB"/>
    <w:rsid w:val="00D7226B"/>
    <w:rsid w:val="00D72304"/>
    <w:rsid w:val="00D72707"/>
    <w:rsid w:val="00D75A9C"/>
    <w:rsid w:val="00D81BF2"/>
    <w:rsid w:val="00D829C8"/>
    <w:rsid w:val="00D86DA9"/>
    <w:rsid w:val="00D90871"/>
    <w:rsid w:val="00D9155F"/>
    <w:rsid w:val="00D91C5B"/>
    <w:rsid w:val="00D94008"/>
    <w:rsid w:val="00D9403F"/>
    <w:rsid w:val="00D959B4"/>
    <w:rsid w:val="00DA44DE"/>
    <w:rsid w:val="00DA6DBF"/>
    <w:rsid w:val="00DB4927"/>
    <w:rsid w:val="00DB620A"/>
    <w:rsid w:val="00DC03D1"/>
    <w:rsid w:val="00DC3832"/>
    <w:rsid w:val="00DC4878"/>
    <w:rsid w:val="00DC7A51"/>
    <w:rsid w:val="00DC7E28"/>
    <w:rsid w:val="00DD3B1E"/>
    <w:rsid w:val="00DE1461"/>
    <w:rsid w:val="00DE5B5F"/>
    <w:rsid w:val="00DE63CF"/>
    <w:rsid w:val="00DF2C1B"/>
    <w:rsid w:val="00DF614E"/>
    <w:rsid w:val="00DF6B93"/>
    <w:rsid w:val="00E00696"/>
    <w:rsid w:val="00E01CB7"/>
    <w:rsid w:val="00E03651"/>
    <w:rsid w:val="00E03808"/>
    <w:rsid w:val="00E060C2"/>
    <w:rsid w:val="00E06324"/>
    <w:rsid w:val="00E06508"/>
    <w:rsid w:val="00E07B81"/>
    <w:rsid w:val="00E10AFD"/>
    <w:rsid w:val="00E12B11"/>
    <w:rsid w:val="00E12FB0"/>
    <w:rsid w:val="00E14814"/>
    <w:rsid w:val="00E1591B"/>
    <w:rsid w:val="00E16A50"/>
    <w:rsid w:val="00E249B6"/>
    <w:rsid w:val="00E249D5"/>
    <w:rsid w:val="00E25017"/>
    <w:rsid w:val="00E25C0E"/>
    <w:rsid w:val="00E26F73"/>
    <w:rsid w:val="00E30A34"/>
    <w:rsid w:val="00E33202"/>
    <w:rsid w:val="00E33C68"/>
    <w:rsid w:val="00E34EEB"/>
    <w:rsid w:val="00E3687C"/>
    <w:rsid w:val="00E42EC2"/>
    <w:rsid w:val="00E448D2"/>
    <w:rsid w:val="00E44EB9"/>
    <w:rsid w:val="00E45BDC"/>
    <w:rsid w:val="00E46358"/>
    <w:rsid w:val="00E471DC"/>
    <w:rsid w:val="00E47F63"/>
    <w:rsid w:val="00E50EB4"/>
    <w:rsid w:val="00E5163F"/>
    <w:rsid w:val="00E532FC"/>
    <w:rsid w:val="00E559B4"/>
    <w:rsid w:val="00E55BB0"/>
    <w:rsid w:val="00E609E5"/>
    <w:rsid w:val="00E60F27"/>
    <w:rsid w:val="00E64C0F"/>
    <w:rsid w:val="00E64D93"/>
    <w:rsid w:val="00E65EDB"/>
    <w:rsid w:val="00E66927"/>
    <w:rsid w:val="00E677B8"/>
    <w:rsid w:val="00E67C9E"/>
    <w:rsid w:val="00E67FA1"/>
    <w:rsid w:val="00E715CC"/>
    <w:rsid w:val="00E7387D"/>
    <w:rsid w:val="00E73D53"/>
    <w:rsid w:val="00E740BA"/>
    <w:rsid w:val="00E750D4"/>
    <w:rsid w:val="00E75111"/>
    <w:rsid w:val="00E75C31"/>
    <w:rsid w:val="00E76F3D"/>
    <w:rsid w:val="00E77296"/>
    <w:rsid w:val="00E85BFE"/>
    <w:rsid w:val="00E87527"/>
    <w:rsid w:val="00E87EF7"/>
    <w:rsid w:val="00E93763"/>
    <w:rsid w:val="00E96C4C"/>
    <w:rsid w:val="00EA2AAE"/>
    <w:rsid w:val="00EA2EC0"/>
    <w:rsid w:val="00EA427A"/>
    <w:rsid w:val="00EA55DA"/>
    <w:rsid w:val="00EA566E"/>
    <w:rsid w:val="00EA58B7"/>
    <w:rsid w:val="00EA723B"/>
    <w:rsid w:val="00EB1C19"/>
    <w:rsid w:val="00EB2309"/>
    <w:rsid w:val="00EB32EB"/>
    <w:rsid w:val="00EB6350"/>
    <w:rsid w:val="00EB687A"/>
    <w:rsid w:val="00EB7ED3"/>
    <w:rsid w:val="00EC02D3"/>
    <w:rsid w:val="00EC1D64"/>
    <w:rsid w:val="00EC2F62"/>
    <w:rsid w:val="00EC62EB"/>
    <w:rsid w:val="00EC6E9F"/>
    <w:rsid w:val="00ED0B5E"/>
    <w:rsid w:val="00ED266D"/>
    <w:rsid w:val="00ED44F0"/>
    <w:rsid w:val="00ED4B33"/>
    <w:rsid w:val="00ED5993"/>
    <w:rsid w:val="00ED7DD6"/>
    <w:rsid w:val="00EE060B"/>
    <w:rsid w:val="00EE15A1"/>
    <w:rsid w:val="00EE2A7C"/>
    <w:rsid w:val="00EE2C42"/>
    <w:rsid w:val="00EE341B"/>
    <w:rsid w:val="00EE4453"/>
    <w:rsid w:val="00EE57B9"/>
    <w:rsid w:val="00EE58B4"/>
    <w:rsid w:val="00EE5FCE"/>
    <w:rsid w:val="00EE6BBD"/>
    <w:rsid w:val="00EE6E1E"/>
    <w:rsid w:val="00EE705F"/>
    <w:rsid w:val="00EF1462"/>
    <w:rsid w:val="00EF407F"/>
    <w:rsid w:val="00EF54FD"/>
    <w:rsid w:val="00F00E15"/>
    <w:rsid w:val="00F04E13"/>
    <w:rsid w:val="00F05952"/>
    <w:rsid w:val="00F05D65"/>
    <w:rsid w:val="00F06082"/>
    <w:rsid w:val="00F07F0D"/>
    <w:rsid w:val="00F10117"/>
    <w:rsid w:val="00F13112"/>
    <w:rsid w:val="00F16FE6"/>
    <w:rsid w:val="00F17FE8"/>
    <w:rsid w:val="00F204CE"/>
    <w:rsid w:val="00F238BD"/>
    <w:rsid w:val="00F24992"/>
    <w:rsid w:val="00F253E5"/>
    <w:rsid w:val="00F27363"/>
    <w:rsid w:val="00F32F2F"/>
    <w:rsid w:val="00F32FA3"/>
    <w:rsid w:val="00F33F3F"/>
    <w:rsid w:val="00F35BDD"/>
    <w:rsid w:val="00F35EF0"/>
    <w:rsid w:val="00F3781F"/>
    <w:rsid w:val="00F403FD"/>
    <w:rsid w:val="00F41E72"/>
    <w:rsid w:val="00F456F4"/>
    <w:rsid w:val="00F45BDF"/>
    <w:rsid w:val="00F45E70"/>
    <w:rsid w:val="00F50300"/>
    <w:rsid w:val="00F5414B"/>
    <w:rsid w:val="00F56E39"/>
    <w:rsid w:val="00F623E9"/>
    <w:rsid w:val="00F63951"/>
    <w:rsid w:val="00F63C86"/>
    <w:rsid w:val="00F65849"/>
    <w:rsid w:val="00F74B8F"/>
    <w:rsid w:val="00F75EA8"/>
    <w:rsid w:val="00F766BE"/>
    <w:rsid w:val="00F7708E"/>
    <w:rsid w:val="00F77EB9"/>
    <w:rsid w:val="00F80635"/>
    <w:rsid w:val="00F8115F"/>
    <w:rsid w:val="00F815D1"/>
    <w:rsid w:val="00F81E7E"/>
    <w:rsid w:val="00F81F0F"/>
    <w:rsid w:val="00F825F4"/>
    <w:rsid w:val="00F92932"/>
    <w:rsid w:val="00F92AA1"/>
    <w:rsid w:val="00F932DE"/>
    <w:rsid w:val="00F963DD"/>
    <w:rsid w:val="00F9641A"/>
    <w:rsid w:val="00F97004"/>
    <w:rsid w:val="00FA2045"/>
    <w:rsid w:val="00FA2F69"/>
    <w:rsid w:val="00FA3E3D"/>
    <w:rsid w:val="00FA54D4"/>
    <w:rsid w:val="00FA7A66"/>
    <w:rsid w:val="00FB1AA9"/>
    <w:rsid w:val="00FB4B5A"/>
    <w:rsid w:val="00FB5963"/>
    <w:rsid w:val="00FB59E1"/>
    <w:rsid w:val="00FB5DAA"/>
    <w:rsid w:val="00FB5FDF"/>
    <w:rsid w:val="00FC04B9"/>
    <w:rsid w:val="00FC161A"/>
    <w:rsid w:val="00FC23D5"/>
    <w:rsid w:val="00FC4337"/>
    <w:rsid w:val="00FC4C1A"/>
    <w:rsid w:val="00FC628F"/>
    <w:rsid w:val="00FC6468"/>
    <w:rsid w:val="00FC6D49"/>
    <w:rsid w:val="00FD0042"/>
    <w:rsid w:val="00FD4922"/>
    <w:rsid w:val="00FD6461"/>
    <w:rsid w:val="00FE0281"/>
    <w:rsid w:val="00FE7083"/>
    <w:rsid w:val="00FE79BA"/>
    <w:rsid w:val="00FF019F"/>
    <w:rsid w:val="00FF19D9"/>
    <w:rsid w:val="00FF1B2A"/>
    <w:rsid w:val="00FF2160"/>
    <w:rsid w:val="00FF2BFC"/>
    <w:rsid w:val="00FF2C4C"/>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unhideWhenUsed/>
    <w:rsid w:val="00951592"/>
    <w:rPr>
      <w:sz w:val="20"/>
      <w:szCs w:val="20"/>
    </w:rPr>
  </w:style>
  <w:style w:type="character" w:customStyle="1" w:styleId="FootnoteTextChar">
    <w:name w:val="Footnote Text Char"/>
    <w:basedOn w:val="DefaultParagraphFont"/>
    <w:link w:val="FootnoteText"/>
    <w:uiPriority w:val="99"/>
    <w:rsid w:val="00951592"/>
    <w:rPr>
      <w:rFonts w:ascii="Calibri" w:hAnsi="Calibri" w:cs="Calibri"/>
      <w:color w:val="000000"/>
    </w:rPr>
  </w:style>
  <w:style w:type="character" w:styleId="FootnoteReference">
    <w:name w:val="footnote reference"/>
    <w:basedOn w:val="DefaultParagraphFont"/>
    <w:uiPriority w:val="99"/>
    <w:semiHidden/>
    <w:unhideWhenUsed/>
    <w:rsid w:val="00951592"/>
    <w:rPr>
      <w:vertAlign w:val="superscript"/>
    </w:rPr>
  </w:style>
  <w:style w:type="table" w:styleId="TableGrid">
    <w:name w:val="Table Grid"/>
    <w:basedOn w:val="TableNormal"/>
    <w:uiPriority w:val="59"/>
    <w:rsid w:val="007D6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7D6C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7D6C5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1">
    <w:name w:val="Tableau Grille 6 Couleur1"/>
    <w:basedOn w:val="TableNormal"/>
    <w:uiPriority w:val="51"/>
    <w:rsid w:val="001236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2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611">
      <w:bodyDiv w:val="1"/>
      <w:marLeft w:val="0"/>
      <w:marRight w:val="0"/>
      <w:marTop w:val="0"/>
      <w:marBottom w:val="0"/>
      <w:divBdr>
        <w:top w:val="none" w:sz="0" w:space="0" w:color="auto"/>
        <w:left w:val="none" w:sz="0" w:space="0" w:color="auto"/>
        <w:bottom w:val="none" w:sz="0" w:space="0" w:color="auto"/>
        <w:right w:val="none" w:sz="0" w:space="0" w:color="auto"/>
      </w:divBdr>
    </w:div>
    <w:div w:id="42752435">
      <w:bodyDiv w:val="1"/>
      <w:marLeft w:val="0"/>
      <w:marRight w:val="0"/>
      <w:marTop w:val="0"/>
      <w:marBottom w:val="0"/>
      <w:divBdr>
        <w:top w:val="none" w:sz="0" w:space="0" w:color="auto"/>
        <w:left w:val="none" w:sz="0" w:space="0" w:color="auto"/>
        <w:bottom w:val="none" w:sz="0" w:space="0" w:color="auto"/>
        <w:right w:val="none" w:sz="0" w:space="0" w:color="auto"/>
      </w:divBdr>
      <w:divsChild>
        <w:div w:id="1537814588">
          <w:marLeft w:val="0"/>
          <w:marRight w:val="0"/>
          <w:marTop w:val="0"/>
          <w:marBottom w:val="0"/>
          <w:divBdr>
            <w:top w:val="none" w:sz="0" w:space="0" w:color="auto"/>
            <w:left w:val="none" w:sz="0" w:space="0" w:color="auto"/>
            <w:bottom w:val="none" w:sz="0" w:space="0" w:color="auto"/>
            <w:right w:val="none" w:sz="0" w:space="0" w:color="auto"/>
          </w:divBdr>
          <w:divsChild>
            <w:div w:id="398985779">
              <w:marLeft w:val="0"/>
              <w:marRight w:val="0"/>
              <w:marTop w:val="0"/>
              <w:marBottom w:val="0"/>
              <w:divBdr>
                <w:top w:val="none" w:sz="0" w:space="0" w:color="auto"/>
                <w:left w:val="none" w:sz="0" w:space="0" w:color="auto"/>
                <w:bottom w:val="none" w:sz="0" w:space="0" w:color="auto"/>
                <w:right w:val="none" w:sz="0" w:space="0" w:color="auto"/>
              </w:divBdr>
              <w:divsChild>
                <w:div w:id="16844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470">
      <w:bodyDiv w:val="1"/>
      <w:marLeft w:val="0"/>
      <w:marRight w:val="0"/>
      <w:marTop w:val="0"/>
      <w:marBottom w:val="0"/>
      <w:divBdr>
        <w:top w:val="none" w:sz="0" w:space="0" w:color="auto"/>
        <w:left w:val="none" w:sz="0" w:space="0" w:color="auto"/>
        <w:bottom w:val="none" w:sz="0" w:space="0" w:color="auto"/>
        <w:right w:val="none" w:sz="0" w:space="0" w:color="auto"/>
      </w:divBdr>
    </w:div>
    <w:div w:id="328095482">
      <w:bodyDiv w:val="1"/>
      <w:marLeft w:val="0"/>
      <w:marRight w:val="0"/>
      <w:marTop w:val="0"/>
      <w:marBottom w:val="0"/>
      <w:divBdr>
        <w:top w:val="none" w:sz="0" w:space="0" w:color="auto"/>
        <w:left w:val="none" w:sz="0" w:space="0" w:color="auto"/>
        <w:bottom w:val="none" w:sz="0" w:space="0" w:color="auto"/>
        <w:right w:val="none" w:sz="0" w:space="0" w:color="auto"/>
      </w:divBdr>
      <w:divsChild>
        <w:div w:id="1408725304">
          <w:marLeft w:val="0"/>
          <w:marRight w:val="0"/>
          <w:marTop w:val="0"/>
          <w:marBottom w:val="0"/>
          <w:divBdr>
            <w:top w:val="none" w:sz="0" w:space="0" w:color="auto"/>
            <w:left w:val="none" w:sz="0" w:space="0" w:color="auto"/>
            <w:bottom w:val="none" w:sz="0" w:space="0" w:color="auto"/>
            <w:right w:val="none" w:sz="0" w:space="0" w:color="auto"/>
          </w:divBdr>
          <w:divsChild>
            <w:div w:id="362830786">
              <w:marLeft w:val="0"/>
              <w:marRight w:val="0"/>
              <w:marTop w:val="0"/>
              <w:marBottom w:val="0"/>
              <w:divBdr>
                <w:top w:val="none" w:sz="0" w:space="0" w:color="auto"/>
                <w:left w:val="none" w:sz="0" w:space="0" w:color="auto"/>
                <w:bottom w:val="none" w:sz="0" w:space="0" w:color="auto"/>
                <w:right w:val="none" w:sz="0" w:space="0" w:color="auto"/>
              </w:divBdr>
              <w:divsChild>
                <w:div w:id="21208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5534445">
      <w:bodyDiv w:val="1"/>
      <w:marLeft w:val="0"/>
      <w:marRight w:val="0"/>
      <w:marTop w:val="0"/>
      <w:marBottom w:val="0"/>
      <w:divBdr>
        <w:top w:val="none" w:sz="0" w:space="0" w:color="auto"/>
        <w:left w:val="none" w:sz="0" w:space="0" w:color="auto"/>
        <w:bottom w:val="none" w:sz="0" w:space="0" w:color="auto"/>
        <w:right w:val="none" w:sz="0" w:space="0" w:color="auto"/>
      </w:divBdr>
    </w:div>
    <w:div w:id="575555045">
      <w:bodyDiv w:val="1"/>
      <w:marLeft w:val="0"/>
      <w:marRight w:val="0"/>
      <w:marTop w:val="0"/>
      <w:marBottom w:val="0"/>
      <w:divBdr>
        <w:top w:val="none" w:sz="0" w:space="0" w:color="auto"/>
        <w:left w:val="none" w:sz="0" w:space="0" w:color="auto"/>
        <w:bottom w:val="none" w:sz="0" w:space="0" w:color="auto"/>
        <w:right w:val="none" w:sz="0" w:space="0" w:color="auto"/>
      </w:divBdr>
    </w:div>
    <w:div w:id="649090630">
      <w:bodyDiv w:val="1"/>
      <w:marLeft w:val="0"/>
      <w:marRight w:val="0"/>
      <w:marTop w:val="0"/>
      <w:marBottom w:val="0"/>
      <w:divBdr>
        <w:top w:val="none" w:sz="0" w:space="0" w:color="auto"/>
        <w:left w:val="none" w:sz="0" w:space="0" w:color="auto"/>
        <w:bottom w:val="none" w:sz="0" w:space="0" w:color="auto"/>
        <w:right w:val="none" w:sz="0" w:space="0" w:color="auto"/>
      </w:divBdr>
      <w:divsChild>
        <w:div w:id="1431008318">
          <w:marLeft w:val="0"/>
          <w:marRight w:val="0"/>
          <w:marTop w:val="0"/>
          <w:marBottom w:val="0"/>
          <w:divBdr>
            <w:top w:val="none" w:sz="0" w:space="0" w:color="auto"/>
            <w:left w:val="none" w:sz="0" w:space="0" w:color="auto"/>
            <w:bottom w:val="none" w:sz="0" w:space="0" w:color="auto"/>
            <w:right w:val="none" w:sz="0" w:space="0" w:color="auto"/>
          </w:divBdr>
          <w:divsChild>
            <w:div w:id="14813420">
              <w:marLeft w:val="0"/>
              <w:marRight w:val="0"/>
              <w:marTop w:val="0"/>
              <w:marBottom w:val="0"/>
              <w:divBdr>
                <w:top w:val="none" w:sz="0" w:space="0" w:color="auto"/>
                <w:left w:val="none" w:sz="0" w:space="0" w:color="auto"/>
                <w:bottom w:val="none" w:sz="0" w:space="0" w:color="auto"/>
                <w:right w:val="none" w:sz="0" w:space="0" w:color="auto"/>
              </w:divBdr>
              <w:divsChild>
                <w:div w:id="5031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333">
      <w:bodyDiv w:val="1"/>
      <w:marLeft w:val="0"/>
      <w:marRight w:val="0"/>
      <w:marTop w:val="0"/>
      <w:marBottom w:val="0"/>
      <w:divBdr>
        <w:top w:val="none" w:sz="0" w:space="0" w:color="auto"/>
        <w:left w:val="none" w:sz="0" w:space="0" w:color="auto"/>
        <w:bottom w:val="none" w:sz="0" w:space="0" w:color="auto"/>
        <w:right w:val="none" w:sz="0" w:space="0" w:color="auto"/>
      </w:divBdr>
      <w:divsChild>
        <w:div w:id="1981693173">
          <w:marLeft w:val="0"/>
          <w:marRight w:val="0"/>
          <w:marTop w:val="0"/>
          <w:marBottom w:val="0"/>
          <w:divBdr>
            <w:top w:val="none" w:sz="0" w:space="0" w:color="auto"/>
            <w:left w:val="none" w:sz="0" w:space="0" w:color="auto"/>
            <w:bottom w:val="none" w:sz="0" w:space="0" w:color="auto"/>
            <w:right w:val="none" w:sz="0" w:space="0" w:color="auto"/>
          </w:divBdr>
          <w:divsChild>
            <w:div w:id="778598041">
              <w:marLeft w:val="0"/>
              <w:marRight w:val="0"/>
              <w:marTop w:val="0"/>
              <w:marBottom w:val="0"/>
              <w:divBdr>
                <w:top w:val="none" w:sz="0" w:space="0" w:color="auto"/>
                <w:left w:val="none" w:sz="0" w:space="0" w:color="auto"/>
                <w:bottom w:val="none" w:sz="0" w:space="0" w:color="auto"/>
                <w:right w:val="none" w:sz="0" w:space="0" w:color="auto"/>
              </w:divBdr>
              <w:divsChild>
                <w:div w:id="268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826">
      <w:bodyDiv w:val="1"/>
      <w:marLeft w:val="0"/>
      <w:marRight w:val="0"/>
      <w:marTop w:val="0"/>
      <w:marBottom w:val="0"/>
      <w:divBdr>
        <w:top w:val="none" w:sz="0" w:space="0" w:color="auto"/>
        <w:left w:val="none" w:sz="0" w:space="0" w:color="auto"/>
        <w:bottom w:val="none" w:sz="0" w:space="0" w:color="auto"/>
        <w:right w:val="none" w:sz="0" w:space="0" w:color="auto"/>
      </w:divBdr>
    </w:div>
    <w:div w:id="767895941">
      <w:bodyDiv w:val="1"/>
      <w:marLeft w:val="0"/>
      <w:marRight w:val="0"/>
      <w:marTop w:val="0"/>
      <w:marBottom w:val="0"/>
      <w:divBdr>
        <w:top w:val="none" w:sz="0" w:space="0" w:color="auto"/>
        <w:left w:val="none" w:sz="0" w:space="0" w:color="auto"/>
        <w:bottom w:val="none" w:sz="0" w:space="0" w:color="auto"/>
        <w:right w:val="none" w:sz="0" w:space="0" w:color="auto"/>
      </w:divBdr>
    </w:div>
    <w:div w:id="888343940">
      <w:bodyDiv w:val="1"/>
      <w:marLeft w:val="0"/>
      <w:marRight w:val="0"/>
      <w:marTop w:val="0"/>
      <w:marBottom w:val="0"/>
      <w:divBdr>
        <w:top w:val="none" w:sz="0" w:space="0" w:color="auto"/>
        <w:left w:val="none" w:sz="0" w:space="0" w:color="auto"/>
        <w:bottom w:val="none" w:sz="0" w:space="0" w:color="auto"/>
        <w:right w:val="none" w:sz="0" w:space="0" w:color="auto"/>
      </w:divBdr>
    </w:div>
    <w:div w:id="934172582">
      <w:bodyDiv w:val="1"/>
      <w:marLeft w:val="0"/>
      <w:marRight w:val="0"/>
      <w:marTop w:val="0"/>
      <w:marBottom w:val="0"/>
      <w:divBdr>
        <w:top w:val="none" w:sz="0" w:space="0" w:color="auto"/>
        <w:left w:val="none" w:sz="0" w:space="0" w:color="auto"/>
        <w:bottom w:val="none" w:sz="0" w:space="0" w:color="auto"/>
        <w:right w:val="none" w:sz="0" w:space="0" w:color="auto"/>
      </w:divBdr>
    </w:div>
    <w:div w:id="963073698">
      <w:bodyDiv w:val="1"/>
      <w:marLeft w:val="0"/>
      <w:marRight w:val="0"/>
      <w:marTop w:val="0"/>
      <w:marBottom w:val="0"/>
      <w:divBdr>
        <w:top w:val="none" w:sz="0" w:space="0" w:color="auto"/>
        <w:left w:val="none" w:sz="0" w:space="0" w:color="auto"/>
        <w:bottom w:val="none" w:sz="0" w:space="0" w:color="auto"/>
        <w:right w:val="none" w:sz="0" w:space="0" w:color="auto"/>
      </w:divBdr>
    </w:div>
    <w:div w:id="978076165">
      <w:bodyDiv w:val="1"/>
      <w:marLeft w:val="0"/>
      <w:marRight w:val="0"/>
      <w:marTop w:val="0"/>
      <w:marBottom w:val="0"/>
      <w:divBdr>
        <w:top w:val="none" w:sz="0" w:space="0" w:color="auto"/>
        <w:left w:val="none" w:sz="0" w:space="0" w:color="auto"/>
        <w:bottom w:val="none" w:sz="0" w:space="0" w:color="auto"/>
        <w:right w:val="none" w:sz="0" w:space="0" w:color="auto"/>
      </w:divBdr>
      <w:divsChild>
        <w:div w:id="1816295354">
          <w:marLeft w:val="0"/>
          <w:marRight w:val="0"/>
          <w:marTop w:val="0"/>
          <w:marBottom w:val="0"/>
          <w:divBdr>
            <w:top w:val="none" w:sz="0" w:space="0" w:color="auto"/>
            <w:left w:val="none" w:sz="0" w:space="0" w:color="auto"/>
            <w:bottom w:val="none" w:sz="0" w:space="0" w:color="auto"/>
            <w:right w:val="none" w:sz="0" w:space="0" w:color="auto"/>
          </w:divBdr>
          <w:divsChild>
            <w:div w:id="1834684400">
              <w:marLeft w:val="0"/>
              <w:marRight w:val="0"/>
              <w:marTop w:val="0"/>
              <w:marBottom w:val="0"/>
              <w:divBdr>
                <w:top w:val="none" w:sz="0" w:space="0" w:color="auto"/>
                <w:left w:val="none" w:sz="0" w:space="0" w:color="auto"/>
                <w:bottom w:val="none" w:sz="0" w:space="0" w:color="auto"/>
                <w:right w:val="none" w:sz="0" w:space="0" w:color="auto"/>
              </w:divBdr>
              <w:divsChild>
                <w:div w:id="14919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58317">
      <w:bodyDiv w:val="1"/>
      <w:marLeft w:val="0"/>
      <w:marRight w:val="0"/>
      <w:marTop w:val="0"/>
      <w:marBottom w:val="0"/>
      <w:divBdr>
        <w:top w:val="none" w:sz="0" w:space="0" w:color="auto"/>
        <w:left w:val="none" w:sz="0" w:space="0" w:color="auto"/>
        <w:bottom w:val="none" w:sz="0" w:space="0" w:color="auto"/>
        <w:right w:val="none" w:sz="0" w:space="0" w:color="auto"/>
      </w:divBdr>
    </w:div>
    <w:div w:id="1068845531">
      <w:bodyDiv w:val="1"/>
      <w:marLeft w:val="0"/>
      <w:marRight w:val="0"/>
      <w:marTop w:val="0"/>
      <w:marBottom w:val="0"/>
      <w:divBdr>
        <w:top w:val="none" w:sz="0" w:space="0" w:color="auto"/>
        <w:left w:val="none" w:sz="0" w:space="0" w:color="auto"/>
        <w:bottom w:val="none" w:sz="0" w:space="0" w:color="auto"/>
        <w:right w:val="none" w:sz="0" w:space="0" w:color="auto"/>
      </w:divBdr>
      <w:divsChild>
        <w:div w:id="1025986557">
          <w:marLeft w:val="0"/>
          <w:marRight w:val="0"/>
          <w:marTop w:val="0"/>
          <w:marBottom w:val="0"/>
          <w:divBdr>
            <w:top w:val="none" w:sz="0" w:space="0" w:color="auto"/>
            <w:left w:val="none" w:sz="0" w:space="0" w:color="auto"/>
            <w:bottom w:val="none" w:sz="0" w:space="0" w:color="auto"/>
            <w:right w:val="none" w:sz="0" w:space="0" w:color="auto"/>
          </w:divBdr>
          <w:divsChild>
            <w:div w:id="1784642520">
              <w:marLeft w:val="0"/>
              <w:marRight w:val="0"/>
              <w:marTop w:val="0"/>
              <w:marBottom w:val="0"/>
              <w:divBdr>
                <w:top w:val="none" w:sz="0" w:space="0" w:color="auto"/>
                <w:left w:val="none" w:sz="0" w:space="0" w:color="auto"/>
                <w:bottom w:val="none" w:sz="0" w:space="0" w:color="auto"/>
                <w:right w:val="none" w:sz="0" w:space="0" w:color="auto"/>
              </w:divBdr>
              <w:divsChild>
                <w:div w:id="526914991">
                  <w:marLeft w:val="0"/>
                  <w:marRight w:val="0"/>
                  <w:marTop w:val="0"/>
                  <w:marBottom w:val="0"/>
                  <w:divBdr>
                    <w:top w:val="none" w:sz="0" w:space="0" w:color="auto"/>
                    <w:left w:val="none" w:sz="0" w:space="0" w:color="auto"/>
                    <w:bottom w:val="none" w:sz="0" w:space="0" w:color="auto"/>
                    <w:right w:val="none" w:sz="0" w:space="0" w:color="auto"/>
                  </w:divBdr>
                  <w:divsChild>
                    <w:div w:id="14436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276664">
      <w:bodyDiv w:val="1"/>
      <w:marLeft w:val="0"/>
      <w:marRight w:val="0"/>
      <w:marTop w:val="0"/>
      <w:marBottom w:val="0"/>
      <w:divBdr>
        <w:top w:val="none" w:sz="0" w:space="0" w:color="auto"/>
        <w:left w:val="none" w:sz="0" w:space="0" w:color="auto"/>
        <w:bottom w:val="none" w:sz="0" w:space="0" w:color="auto"/>
        <w:right w:val="none" w:sz="0" w:space="0" w:color="auto"/>
      </w:divBdr>
    </w:div>
    <w:div w:id="1318343043">
      <w:bodyDiv w:val="1"/>
      <w:marLeft w:val="0"/>
      <w:marRight w:val="0"/>
      <w:marTop w:val="0"/>
      <w:marBottom w:val="0"/>
      <w:divBdr>
        <w:top w:val="none" w:sz="0" w:space="0" w:color="auto"/>
        <w:left w:val="none" w:sz="0" w:space="0" w:color="auto"/>
        <w:bottom w:val="none" w:sz="0" w:space="0" w:color="auto"/>
        <w:right w:val="none" w:sz="0" w:space="0" w:color="auto"/>
      </w:divBdr>
    </w:div>
    <w:div w:id="1362126532">
      <w:bodyDiv w:val="1"/>
      <w:marLeft w:val="0"/>
      <w:marRight w:val="0"/>
      <w:marTop w:val="0"/>
      <w:marBottom w:val="0"/>
      <w:divBdr>
        <w:top w:val="none" w:sz="0" w:space="0" w:color="auto"/>
        <w:left w:val="none" w:sz="0" w:space="0" w:color="auto"/>
        <w:bottom w:val="none" w:sz="0" w:space="0" w:color="auto"/>
        <w:right w:val="none" w:sz="0" w:space="0" w:color="auto"/>
      </w:divBdr>
    </w:div>
    <w:div w:id="1514951422">
      <w:bodyDiv w:val="1"/>
      <w:marLeft w:val="0"/>
      <w:marRight w:val="0"/>
      <w:marTop w:val="0"/>
      <w:marBottom w:val="0"/>
      <w:divBdr>
        <w:top w:val="none" w:sz="0" w:space="0" w:color="auto"/>
        <w:left w:val="none" w:sz="0" w:space="0" w:color="auto"/>
        <w:bottom w:val="none" w:sz="0" w:space="0" w:color="auto"/>
        <w:right w:val="none" w:sz="0" w:space="0" w:color="auto"/>
      </w:divBdr>
    </w:div>
    <w:div w:id="1603419629">
      <w:bodyDiv w:val="1"/>
      <w:marLeft w:val="0"/>
      <w:marRight w:val="0"/>
      <w:marTop w:val="0"/>
      <w:marBottom w:val="0"/>
      <w:divBdr>
        <w:top w:val="none" w:sz="0" w:space="0" w:color="auto"/>
        <w:left w:val="none" w:sz="0" w:space="0" w:color="auto"/>
        <w:bottom w:val="none" w:sz="0" w:space="0" w:color="auto"/>
        <w:right w:val="none" w:sz="0" w:space="0" w:color="auto"/>
      </w:divBdr>
    </w:div>
    <w:div w:id="1803229963">
      <w:bodyDiv w:val="1"/>
      <w:marLeft w:val="0"/>
      <w:marRight w:val="0"/>
      <w:marTop w:val="0"/>
      <w:marBottom w:val="0"/>
      <w:divBdr>
        <w:top w:val="none" w:sz="0" w:space="0" w:color="auto"/>
        <w:left w:val="none" w:sz="0" w:space="0" w:color="auto"/>
        <w:bottom w:val="none" w:sz="0" w:space="0" w:color="auto"/>
        <w:right w:val="none" w:sz="0" w:space="0" w:color="auto"/>
      </w:divBdr>
    </w:div>
    <w:div w:id="18492954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227801">
      <w:bodyDiv w:val="1"/>
      <w:marLeft w:val="0"/>
      <w:marRight w:val="0"/>
      <w:marTop w:val="0"/>
      <w:marBottom w:val="0"/>
      <w:divBdr>
        <w:top w:val="none" w:sz="0" w:space="0" w:color="auto"/>
        <w:left w:val="none" w:sz="0" w:space="0" w:color="auto"/>
        <w:bottom w:val="none" w:sz="0" w:space="0" w:color="auto"/>
        <w:right w:val="none" w:sz="0" w:space="0" w:color="auto"/>
      </w:divBdr>
      <w:divsChild>
        <w:div w:id="2092239699">
          <w:marLeft w:val="0"/>
          <w:marRight w:val="0"/>
          <w:marTop w:val="0"/>
          <w:marBottom w:val="0"/>
          <w:divBdr>
            <w:top w:val="none" w:sz="0" w:space="0" w:color="auto"/>
            <w:left w:val="none" w:sz="0" w:space="0" w:color="auto"/>
            <w:bottom w:val="none" w:sz="0" w:space="0" w:color="auto"/>
            <w:right w:val="none" w:sz="0" w:space="0" w:color="auto"/>
          </w:divBdr>
        </w:div>
        <w:div w:id="2025664387">
          <w:marLeft w:val="0"/>
          <w:marRight w:val="0"/>
          <w:marTop w:val="0"/>
          <w:marBottom w:val="0"/>
          <w:divBdr>
            <w:top w:val="none" w:sz="0" w:space="0" w:color="auto"/>
            <w:left w:val="none" w:sz="0" w:space="0" w:color="auto"/>
            <w:bottom w:val="none" w:sz="0" w:space="0" w:color="auto"/>
            <w:right w:val="none" w:sz="0" w:space="0" w:color="auto"/>
          </w:divBdr>
        </w:div>
        <w:div w:id="1437292854">
          <w:marLeft w:val="0"/>
          <w:marRight w:val="0"/>
          <w:marTop w:val="0"/>
          <w:marBottom w:val="0"/>
          <w:divBdr>
            <w:top w:val="none" w:sz="0" w:space="0" w:color="auto"/>
            <w:left w:val="none" w:sz="0" w:space="0" w:color="auto"/>
            <w:bottom w:val="none" w:sz="0" w:space="0" w:color="auto"/>
            <w:right w:val="none" w:sz="0" w:space="0" w:color="auto"/>
          </w:divBdr>
        </w:div>
        <w:div w:id="550728877">
          <w:marLeft w:val="0"/>
          <w:marRight w:val="0"/>
          <w:marTop w:val="0"/>
          <w:marBottom w:val="0"/>
          <w:divBdr>
            <w:top w:val="none" w:sz="0" w:space="0" w:color="auto"/>
            <w:left w:val="none" w:sz="0" w:space="0" w:color="auto"/>
            <w:bottom w:val="none" w:sz="0" w:space="0" w:color="auto"/>
            <w:right w:val="none" w:sz="0" w:space="0" w:color="auto"/>
          </w:divBdr>
        </w:div>
        <w:div w:id="1212377288">
          <w:marLeft w:val="0"/>
          <w:marRight w:val="0"/>
          <w:marTop w:val="0"/>
          <w:marBottom w:val="0"/>
          <w:divBdr>
            <w:top w:val="none" w:sz="0" w:space="0" w:color="auto"/>
            <w:left w:val="none" w:sz="0" w:space="0" w:color="auto"/>
            <w:bottom w:val="none" w:sz="0" w:space="0" w:color="auto"/>
            <w:right w:val="none" w:sz="0" w:space="0" w:color="auto"/>
          </w:divBdr>
        </w:div>
        <w:div w:id="1814519043">
          <w:marLeft w:val="0"/>
          <w:marRight w:val="0"/>
          <w:marTop w:val="0"/>
          <w:marBottom w:val="0"/>
          <w:divBdr>
            <w:top w:val="none" w:sz="0" w:space="0" w:color="auto"/>
            <w:left w:val="none" w:sz="0" w:space="0" w:color="auto"/>
            <w:bottom w:val="none" w:sz="0" w:space="0" w:color="auto"/>
            <w:right w:val="none" w:sz="0" w:space="0" w:color="auto"/>
          </w:divBdr>
        </w:div>
        <w:div w:id="1292902197">
          <w:marLeft w:val="0"/>
          <w:marRight w:val="0"/>
          <w:marTop w:val="0"/>
          <w:marBottom w:val="0"/>
          <w:divBdr>
            <w:top w:val="none" w:sz="0" w:space="0" w:color="auto"/>
            <w:left w:val="none" w:sz="0" w:space="0" w:color="auto"/>
            <w:bottom w:val="none" w:sz="0" w:space="0" w:color="auto"/>
            <w:right w:val="none" w:sz="0" w:space="0" w:color="auto"/>
          </w:divBdr>
        </w:div>
        <w:div w:id="848257935">
          <w:marLeft w:val="0"/>
          <w:marRight w:val="0"/>
          <w:marTop w:val="0"/>
          <w:marBottom w:val="0"/>
          <w:divBdr>
            <w:top w:val="none" w:sz="0" w:space="0" w:color="auto"/>
            <w:left w:val="none" w:sz="0" w:space="0" w:color="auto"/>
            <w:bottom w:val="none" w:sz="0" w:space="0" w:color="auto"/>
            <w:right w:val="none" w:sz="0" w:space="0" w:color="auto"/>
          </w:divBdr>
        </w:div>
        <w:div w:id="17853182">
          <w:marLeft w:val="0"/>
          <w:marRight w:val="0"/>
          <w:marTop w:val="0"/>
          <w:marBottom w:val="0"/>
          <w:divBdr>
            <w:top w:val="none" w:sz="0" w:space="0" w:color="auto"/>
            <w:left w:val="none" w:sz="0" w:space="0" w:color="auto"/>
            <w:bottom w:val="none" w:sz="0" w:space="0" w:color="auto"/>
            <w:right w:val="none" w:sz="0" w:space="0" w:color="auto"/>
          </w:divBdr>
        </w:div>
        <w:div w:id="95433696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0062446">
      <w:bodyDiv w:val="1"/>
      <w:marLeft w:val="0"/>
      <w:marRight w:val="0"/>
      <w:marTop w:val="0"/>
      <w:marBottom w:val="0"/>
      <w:divBdr>
        <w:top w:val="none" w:sz="0" w:space="0" w:color="auto"/>
        <w:left w:val="none" w:sz="0" w:space="0" w:color="auto"/>
        <w:bottom w:val="none" w:sz="0" w:space="0" w:color="auto"/>
        <w:right w:val="none" w:sz="0" w:space="0" w:color="auto"/>
      </w:divBdr>
    </w:div>
    <w:div w:id="2001156527">
      <w:bodyDiv w:val="1"/>
      <w:marLeft w:val="0"/>
      <w:marRight w:val="0"/>
      <w:marTop w:val="0"/>
      <w:marBottom w:val="0"/>
      <w:divBdr>
        <w:top w:val="none" w:sz="0" w:space="0" w:color="auto"/>
        <w:left w:val="none" w:sz="0" w:space="0" w:color="auto"/>
        <w:bottom w:val="none" w:sz="0" w:space="0" w:color="auto"/>
        <w:right w:val="none" w:sz="0" w:space="0" w:color="auto"/>
      </w:divBdr>
    </w:div>
    <w:div w:id="2093812919">
      <w:bodyDiv w:val="1"/>
      <w:marLeft w:val="0"/>
      <w:marRight w:val="0"/>
      <w:marTop w:val="0"/>
      <w:marBottom w:val="0"/>
      <w:divBdr>
        <w:top w:val="none" w:sz="0" w:space="0" w:color="auto"/>
        <w:left w:val="none" w:sz="0" w:space="0" w:color="auto"/>
        <w:bottom w:val="none" w:sz="0" w:space="0" w:color="auto"/>
        <w:right w:val="none" w:sz="0" w:space="0" w:color="auto"/>
      </w:divBdr>
    </w:div>
    <w:div w:id="2095591823">
      <w:bodyDiv w:val="1"/>
      <w:marLeft w:val="0"/>
      <w:marRight w:val="0"/>
      <w:marTop w:val="0"/>
      <w:marBottom w:val="0"/>
      <w:divBdr>
        <w:top w:val="none" w:sz="0" w:space="0" w:color="auto"/>
        <w:left w:val="none" w:sz="0" w:space="0" w:color="auto"/>
        <w:bottom w:val="none" w:sz="0" w:space="0" w:color="auto"/>
        <w:right w:val="none" w:sz="0" w:space="0" w:color="auto"/>
      </w:divBdr>
    </w:div>
    <w:div w:id="210515233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0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D467-6FA2-43DD-A4FA-853B9136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11702</Words>
  <Characters>66707</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78253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2019-11-20T18:47:00Z</dcterms:created>
  <dcterms:modified xsi:type="dcterms:W3CDTF">2019-11-20T18:58:00Z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0cdfb6a8-f598-3a91-ac2c-2ffc65f38fd5</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http://www.zotero.org/styles/cell</vt:lpwstr>
  </property>
  <property fmtid="{D5CDD505-2E9C-101B-9397-08002B2CF9AE}" pid="16" name="Mendeley Recent Style Name 2_1">
    <vt:lpwstr>Cell</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http://www.zotero.org/styles/journal-of-visualized-experiments</vt:lpwstr>
  </property>
  <property fmtid="{D5CDD505-2E9C-101B-9397-08002B2CF9AE}" pid="20" name="Mendeley Recent Style Name 4_1">
    <vt:lpwstr>Journal of Visualized Experiments</vt:lpwstr>
  </property>
  <property fmtid="{D5CDD505-2E9C-101B-9397-08002B2CF9AE}" pid="21" name="Mendeley Recent Style Id 5_1">
    <vt:lpwstr>http://csl.mendeley.com/styles/507055911/MSCA-2</vt:lpwstr>
  </property>
  <property fmtid="{D5CDD505-2E9C-101B-9397-08002B2CF9AE}" pid="22" name="Mendeley Recent Style Name 5_1">
    <vt:lpwstr>MSCA</vt:lpwstr>
  </property>
  <property fmtid="{D5CDD505-2E9C-101B-9397-08002B2CF9AE}" pid="23" name="Mendeley Recent Style Id 6_1">
    <vt:lpwstr>http://www.zotero.org/styles/nature</vt:lpwstr>
  </property>
  <property fmtid="{D5CDD505-2E9C-101B-9397-08002B2CF9AE}" pid="24" name="Mendeley Recent Style Name 6_1">
    <vt:lpwstr>Nature</vt:lpwstr>
  </property>
  <property fmtid="{D5CDD505-2E9C-101B-9397-08002B2CF9AE}" pid="25" name="Mendeley Recent Style Id 7_1">
    <vt:lpwstr>http://www.zotero.org/styles/science-without-titles</vt:lpwstr>
  </property>
  <property fmtid="{D5CDD505-2E9C-101B-9397-08002B2CF9AE}" pid="26" name="Mendeley Recent Style Name 7_1">
    <vt:lpwstr>Science (without titles)</vt:lpwstr>
  </property>
  <property fmtid="{D5CDD505-2E9C-101B-9397-08002B2CF9AE}" pid="27" name="Mendeley Recent Style Id 8_1">
    <vt:lpwstr>http://csl.mendeley.com/styles/507055911/MSCA</vt:lpwstr>
  </property>
  <property fmtid="{D5CDD505-2E9C-101B-9397-08002B2CF9AE}" pid="28" name="Mendeley Recent Style Name 8_1">
    <vt:lpwstr>Science (without titles) - Nikaïa Smith</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