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FFC0" w14:textId="77777777" w:rsidR="00D73111" w:rsidRPr="00D73111" w:rsidRDefault="00D73111" w:rsidP="00137C6A">
      <w:pPr>
        <w:spacing w:line="276" w:lineRule="auto"/>
        <w:jc w:val="both"/>
        <w:rPr>
          <w:b/>
        </w:rPr>
      </w:pPr>
      <w:r w:rsidRPr="00D73111">
        <w:rPr>
          <w:b/>
        </w:rPr>
        <w:t>Reviewer #3:</w:t>
      </w:r>
    </w:p>
    <w:p w14:paraId="1847187B" w14:textId="77777777" w:rsidR="00D73111" w:rsidRDefault="00D73111" w:rsidP="00137C6A">
      <w:pPr>
        <w:spacing w:line="276" w:lineRule="auto"/>
        <w:jc w:val="both"/>
      </w:pPr>
    </w:p>
    <w:p w14:paraId="7A82F535" w14:textId="77777777" w:rsidR="00D73111" w:rsidRDefault="00D73111" w:rsidP="00137C6A">
      <w:pPr>
        <w:spacing w:line="276" w:lineRule="auto"/>
        <w:jc w:val="both"/>
      </w:pPr>
      <w:r>
        <w:t xml:space="preserve">This paper, entitled "Step-by step experimental protocol for two different real-time place preference paradigms using optogenetics within the Ventral tegmental area (VTA)," is a follow-up to a recent study published by this group in the Journal of </w:t>
      </w:r>
      <w:proofErr w:type="spellStart"/>
      <w:r>
        <w:t>eNeuro</w:t>
      </w:r>
      <w:proofErr w:type="spellEnd"/>
      <w:r>
        <w:t xml:space="preserve">. Combining optogenetics with two behavioral paradigms, the paper describes in detail the protocol for performing a Time Place Preference test (RT-PP) and a modified version of the Conditioned Place Preference (CPP). Although the behavioral paradigms are well described, I have some concerns regarding the specificity of the </w:t>
      </w:r>
      <w:proofErr w:type="spellStart"/>
      <w:r>
        <w:t>cre</w:t>
      </w:r>
      <w:proofErr w:type="spellEnd"/>
      <w:r>
        <w:t>-lox recombination in the VGluT2-cre VTA and optogenetic stimulations.</w:t>
      </w:r>
    </w:p>
    <w:p w14:paraId="0D05D9E2" w14:textId="77777777" w:rsidR="00D73111" w:rsidRDefault="00D73111" w:rsidP="00137C6A">
      <w:pPr>
        <w:spacing w:line="276" w:lineRule="auto"/>
        <w:jc w:val="both"/>
      </w:pPr>
    </w:p>
    <w:p w14:paraId="34846EAC" w14:textId="77777777" w:rsidR="00DA2EE1" w:rsidRDefault="00DA2EE1" w:rsidP="00137C6A">
      <w:pPr>
        <w:spacing w:line="276" w:lineRule="auto"/>
        <w:jc w:val="both"/>
      </w:pPr>
    </w:p>
    <w:p w14:paraId="57967F78" w14:textId="77777777" w:rsidR="00DA2EE1" w:rsidRDefault="00DA2EE1" w:rsidP="00137C6A">
      <w:pPr>
        <w:spacing w:line="276" w:lineRule="auto"/>
        <w:jc w:val="both"/>
      </w:pPr>
    </w:p>
    <w:p w14:paraId="621AC590" w14:textId="77777777" w:rsidR="008E434E" w:rsidRDefault="008E434E" w:rsidP="00137C6A">
      <w:pPr>
        <w:spacing w:line="276" w:lineRule="auto"/>
        <w:jc w:val="both"/>
      </w:pPr>
    </w:p>
    <w:p w14:paraId="381A1255" w14:textId="77777777" w:rsidR="008E434E" w:rsidRDefault="008E434E" w:rsidP="00137C6A">
      <w:pPr>
        <w:spacing w:line="276" w:lineRule="auto"/>
        <w:jc w:val="both"/>
      </w:pPr>
    </w:p>
    <w:p w14:paraId="43A50745" w14:textId="77777777" w:rsidR="00D73111" w:rsidRDefault="00D73111" w:rsidP="00137C6A">
      <w:pPr>
        <w:spacing w:line="276" w:lineRule="auto"/>
        <w:jc w:val="both"/>
      </w:pPr>
      <w:r>
        <w:t>Major comments:</w:t>
      </w:r>
    </w:p>
    <w:p w14:paraId="2D14B264" w14:textId="77777777" w:rsidR="00D73111" w:rsidRDefault="00D73111" w:rsidP="00137C6A">
      <w:pPr>
        <w:spacing w:line="276" w:lineRule="auto"/>
        <w:jc w:val="both"/>
      </w:pPr>
    </w:p>
    <w:p w14:paraId="0E0C7561" w14:textId="77777777" w:rsidR="00D73111" w:rsidRDefault="00D73111" w:rsidP="00137C6A">
      <w:pPr>
        <w:spacing w:line="276" w:lineRule="auto"/>
        <w:jc w:val="both"/>
      </w:pPr>
      <w:r>
        <w:t xml:space="preserve">The abstract and the discussion claim that locomotor parameters (speed and acceleration) can be monitored in response to </w:t>
      </w:r>
      <w:proofErr w:type="spellStart"/>
      <w:r>
        <w:t>photostimulation</w:t>
      </w:r>
      <w:proofErr w:type="spellEnd"/>
      <w:r>
        <w:t>, but there are no data to support this conclusion.</w:t>
      </w:r>
    </w:p>
    <w:p w14:paraId="0EFFD5EB" w14:textId="77777777" w:rsidR="00D73111" w:rsidRDefault="00D73111" w:rsidP="00137C6A">
      <w:pPr>
        <w:spacing w:line="276" w:lineRule="auto"/>
        <w:jc w:val="both"/>
      </w:pPr>
      <w:r>
        <w:t>This statement should either be removed or data should be added to support it.</w:t>
      </w:r>
    </w:p>
    <w:p w14:paraId="07BE5D62" w14:textId="77777777" w:rsidR="006A2E60" w:rsidRDefault="006A2E60" w:rsidP="006A2E60">
      <w:pPr>
        <w:spacing w:line="276" w:lineRule="auto"/>
        <w:jc w:val="both"/>
      </w:pPr>
    </w:p>
    <w:p w14:paraId="2D11373E" w14:textId="77777777" w:rsidR="006A2E60" w:rsidRDefault="006A2E60" w:rsidP="006A2E60">
      <w:pPr>
        <w:spacing w:line="276" w:lineRule="auto"/>
        <w:jc w:val="both"/>
      </w:pPr>
      <w:r w:rsidRPr="00137C6A">
        <w:rPr>
          <w:b/>
        </w:rPr>
        <w:t>Answer</w:t>
      </w:r>
      <w:r>
        <w:t>:</w:t>
      </w:r>
      <w:r w:rsidR="006D70C0">
        <w:t xml:space="preserve"> Th</w:t>
      </w:r>
      <w:r w:rsidR="00704BF0">
        <w:t>is</w:t>
      </w:r>
      <w:r w:rsidR="006D70C0">
        <w:t xml:space="preserve"> statement </w:t>
      </w:r>
      <w:r w:rsidR="008C0D42" w:rsidRPr="008E434E">
        <w:t>has been</w:t>
      </w:r>
      <w:r w:rsidR="006D70C0">
        <w:t xml:space="preserve"> removed</w:t>
      </w:r>
      <w:r w:rsidR="00DA2EE1">
        <w:t xml:space="preserve"> from the abstract.</w:t>
      </w:r>
    </w:p>
    <w:p w14:paraId="088119AC" w14:textId="77777777" w:rsidR="006A2E60" w:rsidRDefault="006A2E60" w:rsidP="006A2E60">
      <w:pPr>
        <w:spacing w:line="276" w:lineRule="auto"/>
        <w:jc w:val="both"/>
      </w:pPr>
    </w:p>
    <w:p w14:paraId="5BC28E49" w14:textId="77777777" w:rsidR="00D73111" w:rsidRDefault="00D73111" w:rsidP="00137C6A">
      <w:pPr>
        <w:spacing w:line="276" w:lineRule="auto"/>
        <w:jc w:val="both"/>
      </w:pPr>
    </w:p>
    <w:p w14:paraId="1C32B102" w14:textId="77777777" w:rsidR="00D73111" w:rsidRDefault="00D73111" w:rsidP="00137C6A">
      <w:pPr>
        <w:spacing w:line="276" w:lineRule="auto"/>
        <w:jc w:val="both"/>
      </w:pPr>
      <w:r>
        <w:t>The authors should correct their use of the term "spatial and temporal resolution" in the abstract and discussion. A volume of 300nL is a lot and does not comply with the statement regarding spatial specificity. It may be correct in the case of dopaminergic neurons, because dopaminergic neurons are well delineated and circumscribed in nuclei, but it is unlikely correct for glutamatergic neurons which are spread all over the brain.</w:t>
      </w:r>
    </w:p>
    <w:p w14:paraId="5FBD6494" w14:textId="77777777" w:rsidR="00D73111" w:rsidRDefault="00D73111" w:rsidP="00137C6A">
      <w:pPr>
        <w:spacing w:line="276" w:lineRule="auto"/>
        <w:jc w:val="both"/>
      </w:pPr>
      <w:r>
        <w:t xml:space="preserve">Even by adding some IHC to support this claim, the volume is so high that the authors have likely induced a </w:t>
      </w:r>
      <w:proofErr w:type="spellStart"/>
      <w:r>
        <w:t>cre</w:t>
      </w:r>
      <w:proofErr w:type="spellEnd"/>
      <w:r>
        <w:t>-lox recombination outside of the VTA in VGluT2-cre mice. Furthermore, not all dopaminergic neurons express DAT in some dopaminergic groups. What about VTA neurons?</w:t>
      </w:r>
    </w:p>
    <w:p w14:paraId="7FC86D36" w14:textId="77777777" w:rsidR="006A2E60" w:rsidRDefault="006A2E60" w:rsidP="006A2E60">
      <w:pPr>
        <w:spacing w:line="276" w:lineRule="auto"/>
        <w:jc w:val="both"/>
      </w:pPr>
    </w:p>
    <w:p w14:paraId="47129C97" w14:textId="77777777" w:rsidR="006A2E60" w:rsidRDefault="006A2E60" w:rsidP="006A2E60">
      <w:pPr>
        <w:spacing w:line="276" w:lineRule="auto"/>
        <w:jc w:val="both"/>
      </w:pPr>
      <w:r w:rsidRPr="00137C6A">
        <w:rPr>
          <w:b/>
        </w:rPr>
        <w:t>Answer</w:t>
      </w:r>
      <w:r>
        <w:t>:</w:t>
      </w:r>
      <w:r w:rsidR="00B2239D">
        <w:t xml:space="preserve"> </w:t>
      </w:r>
      <w:r w:rsidR="00C25542">
        <w:t xml:space="preserve">These concerns </w:t>
      </w:r>
      <w:r w:rsidR="008C0D42" w:rsidRPr="008E434E">
        <w:t>have now been addressed in the D</w:t>
      </w:r>
      <w:r w:rsidR="00C25542" w:rsidRPr="008E434E">
        <w:t>iscussion</w:t>
      </w:r>
      <w:r w:rsidR="00FF514B" w:rsidRPr="008E434E">
        <w:t xml:space="preserve">. However, the use of DAT-Cre and VGLUT2-Cre mice was shown as examples and the data </w:t>
      </w:r>
      <w:r w:rsidR="00FF514B" w:rsidRPr="008E434E">
        <w:rPr>
          <w:i/>
        </w:rPr>
        <w:t>per se</w:t>
      </w:r>
      <w:r w:rsidR="00FF514B" w:rsidRPr="008E434E">
        <w:t xml:space="preserve"> has been published elsewhere (Bimpisidis et al, </w:t>
      </w:r>
      <w:proofErr w:type="spellStart"/>
      <w:r w:rsidR="00FF514B" w:rsidRPr="008E434E">
        <w:t>eNEURO</w:t>
      </w:r>
      <w:proofErr w:type="spellEnd"/>
      <w:r w:rsidR="00FF514B" w:rsidRPr="008E434E">
        <w:t>, 2019), and we now refer to this previous publication for discussion around specificity and implications of findings.</w:t>
      </w:r>
    </w:p>
    <w:p w14:paraId="300E1CF5" w14:textId="77777777" w:rsidR="00D73111" w:rsidRDefault="00D73111" w:rsidP="00137C6A">
      <w:pPr>
        <w:spacing w:line="276" w:lineRule="auto"/>
        <w:jc w:val="both"/>
      </w:pPr>
    </w:p>
    <w:p w14:paraId="28799D26" w14:textId="77777777" w:rsidR="00DA2EE1" w:rsidRDefault="00DA2EE1" w:rsidP="00137C6A">
      <w:pPr>
        <w:spacing w:line="276" w:lineRule="auto"/>
        <w:jc w:val="both"/>
      </w:pPr>
    </w:p>
    <w:p w14:paraId="64A452B7" w14:textId="77777777" w:rsidR="00D73111" w:rsidRDefault="00D73111" w:rsidP="00137C6A">
      <w:pPr>
        <w:spacing w:line="276" w:lineRule="auto"/>
        <w:jc w:val="both"/>
      </w:pPr>
      <w:r>
        <w:lastRenderedPageBreak/>
        <w:t xml:space="preserve">Regarding temporal resolution, in the absence of neural or motor recordings there is no information about the efficacy of dopaminergic or glutamatergic neurons of the VTA to fire action potentials upon </w:t>
      </w:r>
      <w:proofErr w:type="spellStart"/>
      <w:r>
        <w:t>photostimulation</w:t>
      </w:r>
      <w:proofErr w:type="spellEnd"/>
      <w:r>
        <w:t xml:space="preserve">. Although the stimulation parameters (10 </w:t>
      </w:r>
      <w:proofErr w:type="spellStart"/>
      <w:r>
        <w:t>ms</w:t>
      </w:r>
      <w:proofErr w:type="spellEnd"/>
      <w:r>
        <w:t xml:space="preserve"> pulse width at 20 Hz) appear to be in the physiological range according to other optogenetic studies, there is no information about the normal firing pattern of dopaminergic and glutamatergic neurons. If the temporal specificity can apply in several other optogenetic studies, it does not in the current one.</w:t>
      </w:r>
    </w:p>
    <w:p w14:paraId="0F06260D" w14:textId="77777777" w:rsidR="00D73111" w:rsidRDefault="00D73111" w:rsidP="00137C6A">
      <w:pPr>
        <w:spacing w:line="276" w:lineRule="auto"/>
        <w:jc w:val="both"/>
      </w:pPr>
      <w:r>
        <w:t>Please remove the term "spatial and temporal selectivity" or rephrase your statement.</w:t>
      </w:r>
    </w:p>
    <w:p w14:paraId="79EE85F4" w14:textId="77777777" w:rsidR="006A2E60" w:rsidRDefault="006A2E60" w:rsidP="006A2E60">
      <w:pPr>
        <w:spacing w:line="276" w:lineRule="auto"/>
        <w:jc w:val="both"/>
      </w:pPr>
    </w:p>
    <w:p w14:paraId="4E95DB8C" w14:textId="7B209180" w:rsidR="00E818D1" w:rsidRPr="008E434E" w:rsidRDefault="006A2E60" w:rsidP="00FF514B">
      <w:pPr>
        <w:spacing w:line="276" w:lineRule="auto"/>
        <w:jc w:val="both"/>
      </w:pPr>
      <w:r w:rsidRPr="00137C6A">
        <w:rPr>
          <w:b/>
        </w:rPr>
        <w:t>Answer</w:t>
      </w:r>
      <w:r>
        <w:t>:</w:t>
      </w:r>
      <w:r w:rsidR="00C25542">
        <w:t xml:space="preserve"> </w:t>
      </w:r>
      <w:r w:rsidR="00FF514B" w:rsidRPr="008E434E">
        <w:t xml:space="preserve">See response above. Further, in the </w:t>
      </w:r>
      <w:r w:rsidR="008E434E" w:rsidRPr="008E434E">
        <w:t>above-mentioned</w:t>
      </w:r>
      <w:r w:rsidR="00FF514B" w:rsidRPr="008E434E">
        <w:t xml:space="preserve"> publication, electrophysiological recordings were provided. We apologize for not making the reference to the previous publication sufficiently clear, but this has now been corrected. </w:t>
      </w:r>
    </w:p>
    <w:p w14:paraId="66147814" w14:textId="7DAFCA97" w:rsidR="00FF514B" w:rsidRPr="008E434E" w:rsidRDefault="00FF514B" w:rsidP="00FF514B">
      <w:pPr>
        <w:spacing w:line="276" w:lineRule="auto"/>
        <w:jc w:val="both"/>
      </w:pPr>
      <w:r w:rsidRPr="008E434E">
        <w:t xml:space="preserve">As the focus of the current study is on the methodological protocol, we have reduced the discussion around the previous findings and instead opted to refer to the </w:t>
      </w:r>
      <w:r w:rsidR="008E434E" w:rsidRPr="008E434E">
        <w:t>previously</w:t>
      </w:r>
      <w:r w:rsidRPr="008E434E">
        <w:t xml:space="preserve"> published study for </w:t>
      </w:r>
      <w:r w:rsidR="008E434E" w:rsidRPr="008E434E">
        <w:t>discussion</w:t>
      </w:r>
      <w:r w:rsidRPr="008E434E">
        <w:t xml:space="preserve"> about the findings. </w:t>
      </w:r>
    </w:p>
    <w:p w14:paraId="3A4F7886" w14:textId="5BFC10EB" w:rsidR="00FF514B" w:rsidRDefault="00FF514B" w:rsidP="00FF514B">
      <w:pPr>
        <w:spacing w:line="276" w:lineRule="auto"/>
        <w:jc w:val="both"/>
      </w:pPr>
      <w:r w:rsidRPr="008E434E">
        <w:t xml:space="preserve">“Spatial and temporal resolution” </w:t>
      </w:r>
      <w:r w:rsidR="004A2802" w:rsidRPr="008E434E">
        <w:t xml:space="preserve">and “Spatial and temporal selectivity” </w:t>
      </w:r>
      <w:r w:rsidRPr="008E434E">
        <w:t>has been used in the context of optogenetics, we are not sure how this should be changed</w:t>
      </w:r>
      <w:r w:rsidR="004A2802" w:rsidRPr="008E434E">
        <w:t>.</w:t>
      </w:r>
    </w:p>
    <w:p w14:paraId="15CF7DAE" w14:textId="77777777" w:rsidR="006A2E60" w:rsidRDefault="006A2E60" w:rsidP="006A2E60">
      <w:pPr>
        <w:spacing w:line="276" w:lineRule="auto"/>
        <w:jc w:val="both"/>
      </w:pPr>
    </w:p>
    <w:p w14:paraId="54153D3F" w14:textId="77777777" w:rsidR="006A2E60" w:rsidRDefault="006A2E60" w:rsidP="006A2E60">
      <w:pPr>
        <w:spacing w:line="276" w:lineRule="auto"/>
        <w:jc w:val="both"/>
      </w:pPr>
    </w:p>
    <w:p w14:paraId="6ADD5EBC" w14:textId="77777777" w:rsidR="00D73111" w:rsidRDefault="00D73111" w:rsidP="00137C6A">
      <w:pPr>
        <w:spacing w:line="276" w:lineRule="auto"/>
        <w:jc w:val="both"/>
      </w:pPr>
      <w:r>
        <w:t>Stimulation parameters: In the absence of neuronal readouts there is no evidence that the authors are activating or over-activating these neurons. If the light transmission of optical probes is not tested prior to implantation, there is no guarantee that setting up the laser power at 10mW at the output of the laser will deliver the same power through the neural tissue.</w:t>
      </w:r>
    </w:p>
    <w:p w14:paraId="49885340" w14:textId="77777777" w:rsidR="00D73111" w:rsidRDefault="00D73111" w:rsidP="00137C6A">
      <w:pPr>
        <w:spacing w:line="276" w:lineRule="auto"/>
        <w:jc w:val="both"/>
      </w:pPr>
      <w:r>
        <w:t>The authors need to clarify this point.</w:t>
      </w:r>
    </w:p>
    <w:p w14:paraId="0DEE88F5" w14:textId="77777777" w:rsidR="006A2E60" w:rsidRDefault="006A2E60" w:rsidP="006A2E60">
      <w:pPr>
        <w:spacing w:line="276" w:lineRule="auto"/>
        <w:jc w:val="both"/>
      </w:pPr>
    </w:p>
    <w:p w14:paraId="1308D627" w14:textId="77777777" w:rsidR="006A2E60" w:rsidRDefault="006A2E60" w:rsidP="006A2E60">
      <w:pPr>
        <w:spacing w:line="276" w:lineRule="auto"/>
        <w:jc w:val="both"/>
      </w:pPr>
      <w:r w:rsidRPr="00137C6A">
        <w:rPr>
          <w:b/>
        </w:rPr>
        <w:t>Answer</w:t>
      </w:r>
      <w:r>
        <w:t>:</w:t>
      </w:r>
      <w:r w:rsidR="001523E8">
        <w:t xml:space="preserve"> </w:t>
      </w:r>
      <w:r w:rsidR="001523E8" w:rsidRPr="008E434E">
        <w:t>This is a good point. The purpose of this protocol was the behavioral recording and assessment but we agree that this is important and have added a section in the D</w:t>
      </w:r>
      <w:r w:rsidR="00C25542" w:rsidRPr="008E434E">
        <w:t>iscussion about stimulation parameters</w:t>
      </w:r>
      <w:r w:rsidR="001523E8" w:rsidRPr="008E434E">
        <w:t>.</w:t>
      </w:r>
      <w:r w:rsidR="001523E8">
        <w:t xml:space="preserve"> </w:t>
      </w:r>
    </w:p>
    <w:p w14:paraId="550C6404" w14:textId="77777777" w:rsidR="00D73111" w:rsidRDefault="00D73111" w:rsidP="00137C6A">
      <w:pPr>
        <w:spacing w:line="276" w:lineRule="auto"/>
        <w:jc w:val="both"/>
      </w:pPr>
    </w:p>
    <w:p w14:paraId="5765E317" w14:textId="77777777" w:rsidR="00DA2EE1" w:rsidRDefault="00DA2EE1" w:rsidP="00137C6A">
      <w:pPr>
        <w:spacing w:line="276" w:lineRule="auto"/>
        <w:jc w:val="both"/>
      </w:pPr>
    </w:p>
    <w:p w14:paraId="10E0DB33" w14:textId="77777777" w:rsidR="00D73111" w:rsidRDefault="00D73111" w:rsidP="00137C6A">
      <w:pPr>
        <w:spacing w:line="276" w:lineRule="auto"/>
        <w:jc w:val="both"/>
      </w:pPr>
      <w:r>
        <w:t>Minor comments:</w:t>
      </w:r>
    </w:p>
    <w:p w14:paraId="1D45F34B" w14:textId="77777777" w:rsidR="00D73111" w:rsidRDefault="00D73111" w:rsidP="00137C6A">
      <w:pPr>
        <w:spacing w:line="276" w:lineRule="auto"/>
        <w:jc w:val="both"/>
      </w:pPr>
    </w:p>
    <w:p w14:paraId="1F934DD4" w14:textId="77777777" w:rsidR="00D73111" w:rsidRDefault="00D73111" w:rsidP="00137C6A">
      <w:pPr>
        <w:spacing w:line="276" w:lineRule="auto"/>
        <w:jc w:val="both"/>
      </w:pPr>
      <w:r>
        <w:t>Abstract and introduction</w:t>
      </w:r>
    </w:p>
    <w:p w14:paraId="711D7FBA" w14:textId="77777777" w:rsidR="00D73111" w:rsidRDefault="00D73111" w:rsidP="00137C6A">
      <w:pPr>
        <w:spacing w:line="276" w:lineRule="auto"/>
        <w:jc w:val="both"/>
      </w:pPr>
    </w:p>
    <w:p w14:paraId="13B9E7E0" w14:textId="77777777" w:rsidR="00D73111" w:rsidRDefault="00D73111" w:rsidP="00137C6A">
      <w:pPr>
        <w:spacing w:line="276" w:lineRule="auto"/>
        <w:jc w:val="both"/>
      </w:pPr>
      <w:r>
        <w:t>Line 51: The establishment of a causal relationship between neuronal firing and behavioral output. Yes and no, as the stimulation can activate neurons but also block them if they are overstimulated.</w:t>
      </w:r>
    </w:p>
    <w:p w14:paraId="5E014607" w14:textId="77777777" w:rsidR="006A2E60" w:rsidRDefault="006A2E60" w:rsidP="006A2E60">
      <w:pPr>
        <w:spacing w:line="276" w:lineRule="auto"/>
        <w:jc w:val="both"/>
      </w:pPr>
    </w:p>
    <w:p w14:paraId="71E86995" w14:textId="3050DF03" w:rsidR="006A2E60" w:rsidRDefault="006A2E60" w:rsidP="006A2E60">
      <w:pPr>
        <w:spacing w:line="276" w:lineRule="auto"/>
        <w:jc w:val="both"/>
      </w:pPr>
      <w:r w:rsidRPr="00137C6A">
        <w:rPr>
          <w:b/>
        </w:rPr>
        <w:t>Answer</w:t>
      </w:r>
      <w:r>
        <w:t>:</w:t>
      </w:r>
      <w:r w:rsidR="00B2239D">
        <w:t xml:space="preserve"> </w:t>
      </w:r>
      <w:r w:rsidR="001523E8">
        <w:t>This is true and this point has been added.</w:t>
      </w:r>
    </w:p>
    <w:p w14:paraId="7C2780AC" w14:textId="77777777" w:rsidR="006A2E60" w:rsidRDefault="006A2E60" w:rsidP="006A2E60">
      <w:pPr>
        <w:spacing w:line="276" w:lineRule="auto"/>
        <w:jc w:val="both"/>
      </w:pPr>
    </w:p>
    <w:p w14:paraId="128036F4" w14:textId="77777777" w:rsidR="00D73111" w:rsidRDefault="00D73111" w:rsidP="00137C6A">
      <w:pPr>
        <w:spacing w:line="276" w:lineRule="auto"/>
        <w:jc w:val="both"/>
      </w:pPr>
    </w:p>
    <w:p w14:paraId="484BFFE4" w14:textId="77777777" w:rsidR="00D73111" w:rsidRDefault="00D73111" w:rsidP="00137C6A">
      <w:pPr>
        <w:spacing w:line="276" w:lineRule="auto"/>
        <w:jc w:val="both"/>
      </w:pPr>
      <w:r>
        <w:t>Line 76: "behavioral optogenetics" is awkward. This is not a behavioral (optogenetic) stimulation, but a neuronal (or brain) stimulation evoking a behavioral response.</w:t>
      </w:r>
    </w:p>
    <w:p w14:paraId="26A4BC59" w14:textId="77777777" w:rsidR="006A2E60" w:rsidRDefault="006A2E60" w:rsidP="006A2E60">
      <w:pPr>
        <w:spacing w:line="276" w:lineRule="auto"/>
        <w:jc w:val="both"/>
      </w:pPr>
    </w:p>
    <w:p w14:paraId="18DA791A" w14:textId="6E02C350" w:rsidR="006A2E60" w:rsidRDefault="006A2E60" w:rsidP="006A2E60">
      <w:pPr>
        <w:spacing w:line="276" w:lineRule="auto"/>
        <w:jc w:val="both"/>
      </w:pPr>
      <w:r w:rsidRPr="00137C6A">
        <w:rPr>
          <w:b/>
        </w:rPr>
        <w:t>Answer</w:t>
      </w:r>
      <w:r>
        <w:t>:</w:t>
      </w:r>
      <w:r w:rsidR="00E36D64">
        <w:t xml:space="preserve"> </w:t>
      </w:r>
      <w:r w:rsidR="008E434E">
        <w:t>We have removed “behavioral” in front of the word “optogenetics” throughout.</w:t>
      </w:r>
      <w:r w:rsidR="001523E8">
        <w:t xml:space="preserve"> </w:t>
      </w:r>
    </w:p>
    <w:p w14:paraId="10649AF6" w14:textId="77777777" w:rsidR="006A2E60" w:rsidRDefault="006A2E60" w:rsidP="006A2E60">
      <w:pPr>
        <w:spacing w:line="276" w:lineRule="auto"/>
        <w:jc w:val="both"/>
      </w:pPr>
    </w:p>
    <w:p w14:paraId="7E9991E6" w14:textId="77777777" w:rsidR="00D73111" w:rsidRDefault="00D73111" w:rsidP="00137C6A">
      <w:pPr>
        <w:spacing w:line="276" w:lineRule="auto"/>
        <w:jc w:val="both"/>
      </w:pPr>
    </w:p>
    <w:p w14:paraId="7E66E490" w14:textId="77777777" w:rsidR="00D73111" w:rsidRDefault="00D73111" w:rsidP="00137C6A">
      <w:pPr>
        <w:spacing w:line="276" w:lineRule="auto"/>
        <w:jc w:val="both"/>
      </w:pPr>
      <w:r>
        <w:t>Line 110: Remove "intracranial."</w:t>
      </w:r>
    </w:p>
    <w:p w14:paraId="4C5B6272" w14:textId="77777777" w:rsidR="006A2E60" w:rsidRDefault="006A2E60" w:rsidP="006A2E60">
      <w:pPr>
        <w:spacing w:line="276" w:lineRule="auto"/>
        <w:jc w:val="both"/>
      </w:pPr>
    </w:p>
    <w:p w14:paraId="68DC8C40" w14:textId="77777777" w:rsidR="006A2E60" w:rsidRDefault="006A2E60" w:rsidP="006A2E60">
      <w:pPr>
        <w:spacing w:line="276" w:lineRule="auto"/>
        <w:jc w:val="both"/>
      </w:pPr>
      <w:r w:rsidRPr="00137C6A">
        <w:rPr>
          <w:b/>
        </w:rPr>
        <w:t>Answer</w:t>
      </w:r>
      <w:r>
        <w:t>:</w:t>
      </w:r>
      <w:r w:rsidR="003423DE">
        <w:t xml:space="preserve"> Corrected</w:t>
      </w:r>
      <w:r w:rsidR="00DA2EE1">
        <w:t>.</w:t>
      </w:r>
    </w:p>
    <w:p w14:paraId="6FFD4F1C" w14:textId="77777777" w:rsidR="006A2E60" w:rsidRDefault="006A2E60" w:rsidP="006A2E60">
      <w:pPr>
        <w:spacing w:line="276" w:lineRule="auto"/>
        <w:jc w:val="both"/>
      </w:pPr>
    </w:p>
    <w:p w14:paraId="63D0D989" w14:textId="77777777" w:rsidR="00D73111" w:rsidRDefault="00D73111" w:rsidP="00137C6A">
      <w:pPr>
        <w:spacing w:line="276" w:lineRule="auto"/>
        <w:jc w:val="both"/>
      </w:pPr>
    </w:p>
    <w:p w14:paraId="615E0A65" w14:textId="77777777" w:rsidR="00D73111" w:rsidRDefault="00D73111" w:rsidP="00137C6A">
      <w:pPr>
        <w:spacing w:line="276" w:lineRule="auto"/>
        <w:jc w:val="both"/>
      </w:pPr>
      <w:r>
        <w:t>Line 127 and 129: Need to add references to support these statements.</w:t>
      </w:r>
    </w:p>
    <w:p w14:paraId="6FC1A053" w14:textId="77777777" w:rsidR="006A2E60" w:rsidRDefault="006A2E60" w:rsidP="006A2E60">
      <w:pPr>
        <w:spacing w:line="276" w:lineRule="auto"/>
        <w:jc w:val="both"/>
      </w:pPr>
    </w:p>
    <w:p w14:paraId="723095F9" w14:textId="77777777" w:rsidR="006A2E60" w:rsidRDefault="006A2E60" w:rsidP="006A2E60">
      <w:pPr>
        <w:spacing w:line="276" w:lineRule="auto"/>
        <w:jc w:val="both"/>
      </w:pPr>
      <w:r w:rsidRPr="00137C6A">
        <w:rPr>
          <w:b/>
        </w:rPr>
        <w:t>Answer</w:t>
      </w:r>
      <w:r>
        <w:t>:</w:t>
      </w:r>
      <w:r w:rsidR="003E1B64">
        <w:t xml:space="preserve"> </w:t>
      </w:r>
      <w:r w:rsidR="001523E8">
        <w:t>R</w:t>
      </w:r>
      <w:r w:rsidR="00207542">
        <w:t xml:space="preserve">eferences </w:t>
      </w:r>
      <w:r w:rsidR="001523E8" w:rsidRPr="008E434E">
        <w:t>have been</w:t>
      </w:r>
      <w:r w:rsidR="00207542">
        <w:t xml:space="preserve"> added in the text</w:t>
      </w:r>
      <w:r w:rsidR="00DA2EE1">
        <w:t>.</w:t>
      </w:r>
    </w:p>
    <w:p w14:paraId="4CF65B2E" w14:textId="77777777" w:rsidR="006A2E60" w:rsidRDefault="006A2E60" w:rsidP="006A2E60">
      <w:pPr>
        <w:spacing w:line="276" w:lineRule="auto"/>
        <w:jc w:val="both"/>
      </w:pPr>
    </w:p>
    <w:p w14:paraId="2214D8F1" w14:textId="77777777" w:rsidR="00D73111" w:rsidRDefault="00D73111" w:rsidP="00137C6A">
      <w:pPr>
        <w:spacing w:line="276" w:lineRule="auto"/>
        <w:jc w:val="both"/>
      </w:pPr>
    </w:p>
    <w:p w14:paraId="0AECE8F7" w14:textId="77777777" w:rsidR="00D73111" w:rsidRDefault="00D73111" w:rsidP="00137C6A">
      <w:pPr>
        <w:spacing w:line="276" w:lineRule="auto"/>
        <w:jc w:val="both"/>
      </w:pPr>
      <w:r>
        <w:t>Protocol</w:t>
      </w:r>
    </w:p>
    <w:p w14:paraId="3DB2062D" w14:textId="77777777" w:rsidR="00D73111" w:rsidRDefault="00D73111" w:rsidP="00137C6A">
      <w:pPr>
        <w:spacing w:line="276" w:lineRule="auto"/>
        <w:jc w:val="both"/>
      </w:pPr>
    </w:p>
    <w:p w14:paraId="71A3B9E5" w14:textId="77777777" w:rsidR="00D73111" w:rsidRDefault="00D73111" w:rsidP="00137C6A">
      <w:pPr>
        <w:spacing w:line="276" w:lineRule="auto"/>
        <w:jc w:val="both"/>
      </w:pPr>
      <w:r>
        <w:t>Line 153: Are these Jackson mice? The stock# and the correct reference should be mentioned.</w:t>
      </w:r>
    </w:p>
    <w:p w14:paraId="311F8652" w14:textId="77777777" w:rsidR="006A2E60" w:rsidRDefault="006A2E60" w:rsidP="006A2E60">
      <w:pPr>
        <w:spacing w:line="276" w:lineRule="auto"/>
        <w:jc w:val="both"/>
      </w:pPr>
    </w:p>
    <w:p w14:paraId="2170C2A5" w14:textId="77777777" w:rsidR="006A2E60" w:rsidRDefault="006A2E60" w:rsidP="006A2E60">
      <w:pPr>
        <w:spacing w:line="276" w:lineRule="auto"/>
        <w:jc w:val="both"/>
      </w:pPr>
      <w:r w:rsidRPr="00137C6A">
        <w:rPr>
          <w:b/>
        </w:rPr>
        <w:t>Answer</w:t>
      </w:r>
      <w:r w:rsidRPr="008E434E">
        <w:t>:</w:t>
      </w:r>
      <w:r w:rsidR="001523E8" w:rsidRPr="008E434E">
        <w:t xml:space="preserve"> R</w:t>
      </w:r>
      <w:r w:rsidR="006D70C0" w:rsidRPr="008E434E">
        <w:t xml:space="preserve">eferences </w:t>
      </w:r>
      <w:r w:rsidR="001523E8" w:rsidRPr="008E434E">
        <w:t xml:space="preserve">to </w:t>
      </w:r>
      <w:r w:rsidR="006D70C0" w:rsidRPr="008E434E">
        <w:t>the papers describing the generation of the</w:t>
      </w:r>
      <w:r w:rsidR="001523E8" w:rsidRPr="008E434E">
        <w:t>se</w:t>
      </w:r>
      <w:r w:rsidR="006D70C0" w:rsidRPr="008E434E">
        <w:t xml:space="preserve"> mice </w:t>
      </w:r>
      <w:r w:rsidR="001523E8" w:rsidRPr="008E434E">
        <w:t>have been</w:t>
      </w:r>
      <w:r w:rsidR="006D70C0" w:rsidRPr="008E434E">
        <w:t xml:space="preserve"> added.</w:t>
      </w:r>
      <w:r w:rsidR="001523E8">
        <w:t xml:space="preserve"> </w:t>
      </w:r>
    </w:p>
    <w:p w14:paraId="7DE7F906" w14:textId="77777777" w:rsidR="006D70C0" w:rsidRDefault="006D70C0" w:rsidP="006A2E60">
      <w:pPr>
        <w:spacing w:line="276" w:lineRule="auto"/>
        <w:jc w:val="both"/>
      </w:pPr>
    </w:p>
    <w:p w14:paraId="47494727" w14:textId="77777777" w:rsidR="006A2E60" w:rsidRDefault="006A2E60" w:rsidP="006A2E60">
      <w:pPr>
        <w:spacing w:line="276" w:lineRule="auto"/>
        <w:jc w:val="both"/>
      </w:pPr>
    </w:p>
    <w:p w14:paraId="40C1D836" w14:textId="77777777" w:rsidR="00D73111" w:rsidRDefault="00D73111" w:rsidP="00137C6A">
      <w:pPr>
        <w:spacing w:line="276" w:lineRule="auto"/>
        <w:jc w:val="both"/>
      </w:pPr>
      <w:r>
        <w:t>Line 176: Need to add a local block prior to cutting the skin over the skull.</w:t>
      </w:r>
    </w:p>
    <w:p w14:paraId="679067A8" w14:textId="77777777" w:rsidR="00D73111" w:rsidRDefault="00D73111" w:rsidP="00137C6A">
      <w:pPr>
        <w:spacing w:line="276" w:lineRule="auto"/>
        <w:jc w:val="both"/>
      </w:pPr>
    </w:p>
    <w:p w14:paraId="29E58248" w14:textId="77777777" w:rsidR="006A2E60" w:rsidRDefault="006A2E60" w:rsidP="006A2E60">
      <w:pPr>
        <w:spacing w:line="276" w:lineRule="auto"/>
        <w:jc w:val="both"/>
      </w:pPr>
      <w:r w:rsidRPr="00137C6A">
        <w:rPr>
          <w:b/>
        </w:rPr>
        <w:t>Answer</w:t>
      </w:r>
      <w:r>
        <w:t>:</w:t>
      </w:r>
      <w:r w:rsidR="00207542">
        <w:t xml:space="preserve"> Corrected in the text</w:t>
      </w:r>
      <w:r w:rsidR="00DA2EE1">
        <w:t>.</w:t>
      </w:r>
    </w:p>
    <w:p w14:paraId="64C3CD5C" w14:textId="77777777" w:rsidR="006A2E60" w:rsidRDefault="006A2E60" w:rsidP="006A2E60">
      <w:pPr>
        <w:spacing w:line="276" w:lineRule="auto"/>
        <w:jc w:val="both"/>
      </w:pPr>
    </w:p>
    <w:p w14:paraId="46AA2E05" w14:textId="77777777" w:rsidR="006D70C0" w:rsidRDefault="006D70C0" w:rsidP="00137C6A">
      <w:pPr>
        <w:spacing w:line="276" w:lineRule="auto"/>
        <w:jc w:val="both"/>
      </w:pPr>
    </w:p>
    <w:p w14:paraId="646F3C91" w14:textId="77777777" w:rsidR="00D73111" w:rsidRDefault="00D73111" w:rsidP="00137C6A">
      <w:pPr>
        <w:spacing w:line="276" w:lineRule="auto"/>
        <w:jc w:val="both"/>
      </w:pPr>
      <w:r>
        <w:t>Line 179: I am not sure I understand the purpose of adding a local anesthetic over the skull after the skin incision?</w:t>
      </w:r>
    </w:p>
    <w:p w14:paraId="1A7360F8" w14:textId="77777777" w:rsidR="006A2E60" w:rsidRDefault="006A2E60" w:rsidP="006A2E60">
      <w:pPr>
        <w:spacing w:line="276" w:lineRule="auto"/>
        <w:jc w:val="both"/>
      </w:pPr>
    </w:p>
    <w:p w14:paraId="575BB8D9" w14:textId="77777777" w:rsidR="006A2E60" w:rsidRDefault="006A2E60" w:rsidP="006A2E60">
      <w:pPr>
        <w:spacing w:line="276" w:lineRule="auto"/>
        <w:jc w:val="both"/>
      </w:pPr>
      <w:r w:rsidRPr="00137C6A">
        <w:rPr>
          <w:b/>
        </w:rPr>
        <w:t>Answer</w:t>
      </w:r>
      <w:r>
        <w:t>:</w:t>
      </w:r>
      <w:r w:rsidR="00207542">
        <w:t xml:space="preserve"> The sequence of events </w:t>
      </w:r>
      <w:r w:rsidR="001523E8" w:rsidRPr="008E434E">
        <w:t>has been</w:t>
      </w:r>
      <w:r w:rsidR="00207542" w:rsidRPr="008E434E">
        <w:t xml:space="preserve"> corrected in the protocol</w:t>
      </w:r>
      <w:r w:rsidR="001523E8" w:rsidRPr="008E434E">
        <w:t>.</w:t>
      </w:r>
    </w:p>
    <w:p w14:paraId="74CF43DB" w14:textId="77777777" w:rsidR="006A2E60" w:rsidRDefault="006A2E60" w:rsidP="006A2E60">
      <w:pPr>
        <w:spacing w:line="276" w:lineRule="auto"/>
        <w:jc w:val="both"/>
      </w:pPr>
    </w:p>
    <w:p w14:paraId="4E6B1F65" w14:textId="77777777" w:rsidR="00D73111" w:rsidRDefault="00D73111" w:rsidP="00137C6A">
      <w:pPr>
        <w:spacing w:line="276" w:lineRule="auto"/>
        <w:jc w:val="both"/>
      </w:pPr>
    </w:p>
    <w:p w14:paraId="65309063" w14:textId="77777777" w:rsidR="00D73111" w:rsidRDefault="00D73111" w:rsidP="00137C6A">
      <w:pPr>
        <w:spacing w:line="276" w:lineRule="auto"/>
        <w:jc w:val="both"/>
      </w:pPr>
      <w:r>
        <w:t>Line 187: 300nL is a lot, but this will not be the first study using such a large volume. As noted above in the comments above, the use of spatial specificity can raise some questions in VGluT2-cre mice.</w:t>
      </w:r>
    </w:p>
    <w:p w14:paraId="132009FF" w14:textId="77777777" w:rsidR="006A2E60" w:rsidRDefault="006A2E60" w:rsidP="006A2E60">
      <w:pPr>
        <w:spacing w:line="276" w:lineRule="auto"/>
        <w:jc w:val="both"/>
      </w:pPr>
    </w:p>
    <w:p w14:paraId="4F2C41EB" w14:textId="0CAD5AB8" w:rsidR="006A2E60" w:rsidRDefault="006A2E60" w:rsidP="006A2E60">
      <w:pPr>
        <w:spacing w:line="276" w:lineRule="auto"/>
        <w:jc w:val="both"/>
      </w:pPr>
      <w:r w:rsidRPr="00207542">
        <w:rPr>
          <w:b/>
        </w:rPr>
        <w:lastRenderedPageBreak/>
        <w:t>Answer</w:t>
      </w:r>
      <w:r w:rsidRPr="00207542">
        <w:t>:</w:t>
      </w:r>
      <w:r w:rsidR="00433FD0" w:rsidRPr="00207542">
        <w:t xml:space="preserve"> We have used 300nL of virus which is within the volume range used in previous studies on VTA glutamate neurons (e.g. Root et al., 2014 </w:t>
      </w:r>
      <w:r w:rsidR="00433FD0" w:rsidRPr="00207542">
        <w:rPr>
          <w:i/>
        </w:rPr>
        <w:t xml:space="preserve">J </w:t>
      </w:r>
      <w:proofErr w:type="spellStart"/>
      <w:r w:rsidR="00433FD0" w:rsidRPr="00207542">
        <w:rPr>
          <w:i/>
        </w:rPr>
        <w:t>Neurosc</w:t>
      </w:r>
      <w:proofErr w:type="spellEnd"/>
      <w:r w:rsidR="00433FD0" w:rsidRPr="00207542">
        <w:t xml:space="preserve"> and Wang et al., 2015 </w:t>
      </w:r>
      <w:r w:rsidR="00433FD0" w:rsidRPr="00207542">
        <w:rPr>
          <w:i/>
        </w:rPr>
        <w:t xml:space="preserve">J </w:t>
      </w:r>
      <w:proofErr w:type="spellStart"/>
      <w:r w:rsidR="00433FD0" w:rsidRPr="00207542">
        <w:rPr>
          <w:i/>
        </w:rPr>
        <w:t>Neurosc</w:t>
      </w:r>
      <w:proofErr w:type="spellEnd"/>
      <w:r w:rsidR="00433FD0" w:rsidRPr="00207542">
        <w:t xml:space="preserve"> used 350nL; </w:t>
      </w:r>
      <w:proofErr w:type="spellStart"/>
      <w:r w:rsidR="00433FD0" w:rsidRPr="00207542">
        <w:t>Yoo</w:t>
      </w:r>
      <w:proofErr w:type="spellEnd"/>
      <w:r w:rsidR="00433FD0" w:rsidRPr="00207542">
        <w:t>, Zell et al., 2016 Nat Com used 300nL</w:t>
      </w:r>
      <w:r w:rsidR="00207542">
        <w:t>)</w:t>
      </w:r>
      <w:r w:rsidR="001523E8">
        <w:t xml:space="preserve"> </w:t>
      </w:r>
      <w:r w:rsidR="001523E8" w:rsidRPr="008E434E">
        <w:t>and the data we provide as examples have been published elsewhere</w:t>
      </w:r>
      <w:r w:rsidR="00C93B24" w:rsidRPr="008E434E">
        <w:t xml:space="preserve"> (Bimpisidis et al </w:t>
      </w:r>
      <w:proofErr w:type="spellStart"/>
      <w:r w:rsidR="00C93B24" w:rsidRPr="008E434E">
        <w:rPr>
          <w:i/>
        </w:rPr>
        <w:t>eNEURO</w:t>
      </w:r>
      <w:proofErr w:type="spellEnd"/>
      <w:r w:rsidR="00C93B24" w:rsidRPr="008E434E">
        <w:t>, 2019)</w:t>
      </w:r>
      <w:r w:rsidR="00207542" w:rsidRPr="008E434E">
        <w:t xml:space="preserve">. </w:t>
      </w:r>
      <w:r w:rsidR="001523E8" w:rsidRPr="008E434E">
        <w:t>A Discussion</w:t>
      </w:r>
      <w:r w:rsidR="00207542" w:rsidRPr="008E434E">
        <w:t xml:space="preserve"> </w:t>
      </w:r>
      <w:r w:rsidR="001523E8" w:rsidRPr="008E434E">
        <w:t xml:space="preserve">regarding </w:t>
      </w:r>
      <w:r w:rsidR="00207542" w:rsidRPr="008E434E">
        <w:t xml:space="preserve">the virus volume </w:t>
      </w:r>
      <w:r w:rsidR="001523E8" w:rsidRPr="008E434E">
        <w:t>has been</w:t>
      </w:r>
      <w:r w:rsidR="00207542" w:rsidRPr="008E434E">
        <w:t xml:space="preserve"> added in the text</w:t>
      </w:r>
      <w:r w:rsidR="001523E8" w:rsidRPr="008E434E">
        <w:t>.</w:t>
      </w:r>
      <w:r w:rsidR="001523E8">
        <w:t xml:space="preserve"> </w:t>
      </w:r>
    </w:p>
    <w:p w14:paraId="6FE9BCBE" w14:textId="77777777" w:rsidR="00D73111" w:rsidRDefault="00D73111" w:rsidP="00137C6A">
      <w:pPr>
        <w:spacing w:line="276" w:lineRule="auto"/>
        <w:jc w:val="both"/>
      </w:pPr>
    </w:p>
    <w:p w14:paraId="7B0BD131" w14:textId="77777777" w:rsidR="008E434E" w:rsidRDefault="008E434E" w:rsidP="00137C6A">
      <w:pPr>
        <w:spacing w:line="276" w:lineRule="auto"/>
        <w:jc w:val="both"/>
      </w:pPr>
    </w:p>
    <w:p w14:paraId="74FAC632" w14:textId="77777777" w:rsidR="00D73111" w:rsidRDefault="00D73111" w:rsidP="00137C6A">
      <w:pPr>
        <w:spacing w:line="276" w:lineRule="auto"/>
        <w:jc w:val="both"/>
      </w:pPr>
      <w:r>
        <w:t>Line 196: Usually, hemostatic materials are placed in the opening to protect the brain and several thin layers of dental acrylic are added several times to avoid burning the brain.</w:t>
      </w:r>
    </w:p>
    <w:p w14:paraId="5392720F" w14:textId="77777777" w:rsidR="006A2E60" w:rsidRDefault="006A2E60" w:rsidP="006A2E60">
      <w:pPr>
        <w:spacing w:line="276" w:lineRule="auto"/>
        <w:jc w:val="both"/>
      </w:pPr>
    </w:p>
    <w:p w14:paraId="342E9A11" w14:textId="77777777" w:rsidR="009C18A6" w:rsidRDefault="006A2E60" w:rsidP="006A2E60">
      <w:pPr>
        <w:spacing w:line="276" w:lineRule="auto"/>
        <w:jc w:val="both"/>
      </w:pPr>
      <w:r w:rsidRPr="00137C6A">
        <w:rPr>
          <w:b/>
        </w:rPr>
        <w:t>Answer</w:t>
      </w:r>
      <w:r w:rsidRPr="00207542">
        <w:t>:</w:t>
      </w:r>
      <w:r w:rsidR="009C18A6" w:rsidRPr="00207542">
        <w:t xml:space="preserve"> </w:t>
      </w:r>
      <w:r w:rsidR="00207542">
        <w:t>We added</w:t>
      </w:r>
      <w:r w:rsidR="00E53390">
        <w:t xml:space="preserve"> a note regarding </w:t>
      </w:r>
      <w:r w:rsidR="00DA2EE1">
        <w:t>this concern</w:t>
      </w:r>
      <w:r w:rsidR="00E53390">
        <w:t xml:space="preserve"> in the protocol</w:t>
      </w:r>
      <w:r w:rsidR="00DA2EE1">
        <w:t>.</w:t>
      </w:r>
    </w:p>
    <w:p w14:paraId="7AD9583C" w14:textId="77777777" w:rsidR="00E53390" w:rsidRDefault="00E53390" w:rsidP="006A2E60">
      <w:pPr>
        <w:spacing w:line="276" w:lineRule="auto"/>
        <w:jc w:val="both"/>
      </w:pPr>
    </w:p>
    <w:p w14:paraId="7F1B02BC" w14:textId="77777777" w:rsidR="00DA2EE1" w:rsidRDefault="00DA2EE1" w:rsidP="00137C6A">
      <w:pPr>
        <w:spacing w:line="276" w:lineRule="auto"/>
        <w:jc w:val="both"/>
        <w:rPr>
          <w:highlight w:val="green"/>
        </w:rPr>
      </w:pPr>
    </w:p>
    <w:p w14:paraId="4E62E43B" w14:textId="77777777" w:rsidR="00D73111" w:rsidRDefault="00D73111" w:rsidP="00137C6A">
      <w:pPr>
        <w:spacing w:line="276" w:lineRule="auto"/>
        <w:jc w:val="both"/>
      </w:pPr>
      <w:r>
        <w:t>Line 199: Why use tissue glue? Stitches or (even better) absorbable sutures should be sufficient.</w:t>
      </w:r>
    </w:p>
    <w:p w14:paraId="42DA95D5" w14:textId="77777777" w:rsidR="00D73111" w:rsidRDefault="00D73111" w:rsidP="00137C6A">
      <w:pPr>
        <w:spacing w:line="276" w:lineRule="auto"/>
        <w:jc w:val="both"/>
      </w:pPr>
    </w:p>
    <w:p w14:paraId="56B2E385" w14:textId="77777777" w:rsidR="006A2E60" w:rsidRDefault="006A2E60" w:rsidP="006A2E60">
      <w:pPr>
        <w:spacing w:line="276" w:lineRule="auto"/>
        <w:jc w:val="both"/>
      </w:pPr>
      <w:r w:rsidRPr="00137C6A">
        <w:rPr>
          <w:b/>
        </w:rPr>
        <w:t>Answer</w:t>
      </w:r>
      <w:r>
        <w:t>:</w:t>
      </w:r>
      <w:r w:rsidR="00E36D64">
        <w:t xml:space="preserve"> Rephrased</w:t>
      </w:r>
      <w:r w:rsidR="00DA2EE1">
        <w:t>.</w:t>
      </w:r>
    </w:p>
    <w:p w14:paraId="27CF48AC" w14:textId="77777777" w:rsidR="006A2E60" w:rsidRDefault="006A2E60" w:rsidP="006A2E60">
      <w:pPr>
        <w:spacing w:line="276" w:lineRule="auto"/>
        <w:jc w:val="both"/>
      </w:pPr>
    </w:p>
    <w:p w14:paraId="5623C2C7" w14:textId="77777777" w:rsidR="00DA2EE1" w:rsidRDefault="00DA2EE1" w:rsidP="00137C6A">
      <w:pPr>
        <w:spacing w:line="276" w:lineRule="auto"/>
        <w:jc w:val="both"/>
        <w:rPr>
          <w:highlight w:val="green"/>
        </w:rPr>
      </w:pPr>
    </w:p>
    <w:p w14:paraId="17648123" w14:textId="77777777" w:rsidR="00D73111" w:rsidRDefault="00D73111" w:rsidP="00137C6A">
      <w:pPr>
        <w:spacing w:line="276" w:lineRule="auto"/>
        <w:jc w:val="both"/>
      </w:pPr>
      <w:r>
        <w:t>Line 213: I don't understand why the authors need to turn the switch to external modulation to control the laser while the animal is not yet plugged. Perhaps the authors should describe how to plug the animal, then how to set up the parameters for the equipment.</w:t>
      </w:r>
    </w:p>
    <w:p w14:paraId="05BACE38" w14:textId="77777777" w:rsidR="00A91D37" w:rsidRDefault="00A91D37" w:rsidP="00137C6A">
      <w:pPr>
        <w:spacing w:line="276" w:lineRule="auto"/>
        <w:jc w:val="both"/>
        <w:rPr>
          <w:b/>
        </w:rPr>
      </w:pPr>
    </w:p>
    <w:p w14:paraId="374F3490" w14:textId="77777777" w:rsidR="008E434E" w:rsidRDefault="00A91D37" w:rsidP="00137C6A">
      <w:pPr>
        <w:spacing w:line="276" w:lineRule="auto"/>
        <w:jc w:val="both"/>
      </w:pPr>
      <w:r w:rsidRPr="00137C6A">
        <w:rPr>
          <w:b/>
        </w:rPr>
        <w:t>Answer</w:t>
      </w:r>
      <w:r w:rsidR="00333426">
        <w:rPr>
          <w:b/>
        </w:rPr>
        <w:t xml:space="preserve">: </w:t>
      </w:r>
      <w:r w:rsidR="00E53390">
        <w:t xml:space="preserve">The external modulation refers to the TTL signal coming from the tracking software. In the absence of signal the laser will not be turned on. Setting the laser to external modulation does not affect laser functionality. If it was not switched to this option the laser would be constantly on. </w:t>
      </w:r>
    </w:p>
    <w:p w14:paraId="317406C5" w14:textId="74A05C44" w:rsidR="00E53390" w:rsidRDefault="00E53390" w:rsidP="00137C6A">
      <w:pPr>
        <w:spacing w:line="276" w:lineRule="auto"/>
        <w:jc w:val="both"/>
      </w:pPr>
      <w:r w:rsidRPr="008E434E">
        <w:t xml:space="preserve">A description of </w:t>
      </w:r>
      <w:r w:rsidR="00C93B24" w:rsidRPr="008E434E">
        <w:t xml:space="preserve">such </w:t>
      </w:r>
      <w:r w:rsidRPr="008E434E">
        <w:t xml:space="preserve">an experiment </w:t>
      </w:r>
      <w:r w:rsidR="00C93B24" w:rsidRPr="008E434E">
        <w:t>has been</w:t>
      </w:r>
      <w:r w:rsidRPr="008E434E">
        <w:t xml:space="preserve"> added in the protocol</w:t>
      </w:r>
      <w:r w:rsidR="00C93B24" w:rsidRPr="008E434E">
        <w:t>.</w:t>
      </w:r>
    </w:p>
    <w:p w14:paraId="4B347CEC" w14:textId="77777777" w:rsidR="00E53390" w:rsidRDefault="00E53390" w:rsidP="00137C6A">
      <w:pPr>
        <w:spacing w:line="276" w:lineRule="auto"/>
        <w:jc w:val="both"/>
      </w:pPr>
    </w:p>
    <w:p w14:paraId="37A93CE8" w14:textId="77777777" w:rsidR="00DA2EE1" w:rsidRDefault="00DA2EE1" w:rsidP="00137C6A">
      <w:pPr>
        <w:spacing w:line="276" w:lineRule="auto"/>
        <w:jc w:val="both"/>
      </w:pPr>
    </w:p>
    <w:p w14:paraId="73D05205" w14:textId="77777777" w:rsidR="00D73111" w:rsidRDefault="00D73111" w:rsidP="00137C6A">
      <w:pPr>
        <w:spacing w:line="276" w:lineRule="auto"/>
        <w:jc w:val="both"/>
      </w:pPr>
      <w:r>
        <w:t>Results</w:t>
      </w:r>
    </w:p>
    <w:p w14:paraId="19E7836D" w14:textId="77777777" w:rsidR="00D73111" w:rsidRDefault="00D73111" w:rsidP="00137C6A">
      <w:pPr>
        <w:spacing w:line="276" w:lineRule="auto"/>
        <w:jc w:val="both"/>
      </w:pPr>
      <w:r>
        <w:t>Add a statement regarding the normality of the data distribution</w:t>
      </w:r>
    </w:p>
    <w:p w14:paraId="61A9BEF1" w14:textId="77777777" w:rsidR="00D73111" w:rsidRDefault="00D73111" w:rsidP="00137C6A">
      <w:pPr>
        <w:spacing w:line="276" w:lineRule="auto"/>
        <w:jc w:val="both"/>
      </w:pPr>
    </w:p>
    <w:p w14:paraId="480F154B" w14:textId="134FD470" w:rsidR="006A2E60" w:rsidRDefault="006A2E60" w:rsidP="006A2E60">
      <w:pPr>
        <w:spacing w:line="276" w:lineRule="auto"/>
        <w:jc w:val="both"/>
      </w:pPr>
      <w:r w:rsidRPr="00137C6A">
        <w:rPr>
          <w:b/>
        </w:rPr>
        <w:t>Answer</w:t>
      </w:r>
      <w:r>
        <w:t>:</w:t>
      </w:r>
      <w:r w:rsidR="00CD1636">
        <w:t xml:space="preserve"> A statement </w:t>
      </w:r>
      <w:r w:rsidR="00C93B24" w:rsidRPr="008E434E">
        <w:t>has been</w:t>
      </w:r>
      <w:r w:rsidR="00CD1636">
        <w:t xml:space="preserve"> added in the figure legends.</w:t>
      </w:r>
    </w:p>
    <w:p w14:paraId="05B0ADC0" w14:textId="77777777" w:rsidR="006A2E60" w:rsidRDefault="006A2E60" w:rsidP="006A2E60">
      <w:pPr>
        <w:spacing w:line="276" w:lineRule="auto"/>
        <w:jc w:val="both"/>
      </w:pPr>
    </w:p>
    <w:p w14:paraId="66064782" w14:textId="77777777" w:rsidR="00DA2EE1" w:rsidRDefault="00DA2EE1" w:rsidP="00137C6A">
      <w:pPr>
        <w:spacing w:line="276" w:lineRule="auto"/>
        <w:jc w:val="both"/>
      </w:pPr>
    </w:p>
    <w:p w14:paraId="7D70C80B" w14:textId="77777777" w:rsidR="00D73111" w:rsidRDefault="00D73111" w:rsidP="00137C6A">
      <w:pPr>
        <w:spacing w:line="276" w:lineRule="auto"/>
        <w:jc w:val="both"/>
      </w:pPr>
      <w:r>
        <w:t>Discussion</w:t>
      </w:r>
    </w:p>
    <w:p w14:paraId="6AB759BC" w14:textId="77777777" w:rsidR="00D73111" w:rsidRDefault="00D73111" w:rsidP="00137C6A">
      <w:pPr>
        <w:spacing w:line="276" w:lineRule="auto"/>
        <w:jc w:val="both"/>
      </w:pPr>
      <w:r>
        <w:t>Line 407 to 417: This is speculation. There are no data supporting these statements. Remove the statements or add some data.</w:t>
      </w:r>
    </w:p>
    <w:p w14:paraId="16FA785C" w14:textId="77777777" w:rsidR="00D73111" w:rsidRDefault="00D73111" w:rsidP="00137C6A">
      <w:pPr>
        <w:spacing w:line="276" w:lineRule="auto"/>
        <w:jc w:val="both"/>
      </w:pPr>
    </w:p>
    <w:p w14:paraId="21E82CF4" w14:textId="7C967B17" w:rsidR="006A2E60" w:rsidRDefault="006A2E60" w:rsidP="006A2E60">
      <w:pPr>
        <w:spacing w:line="276" w:lineRule="auto"/>
        <w:jc w:val="both"/>
      </w:pPr>
      <w:r w:rsidRPr="00137C6A">
        <w:rPr>
          <w:b/>
        </w:rPr>
        <w:lastRenderedPageBreak/>
        <w:t>Answer</w:t>
      </w:r>
      <w:r>
        <w:t>:</w:t>
      </w:r>
      <w:r w:rsidR="00CD1636">
        <w:t xml:space="preserve"> </w:t>
      </w:r>
      <w:r w:rsidR="00DA2EE1">
        <w:t xml:space="preserve">We have rephrased this sentence, </w:t>
      </w:r>
      <w:r w:rsidR="00CD1636">
        <w:t>added references and more</w:t>
      </w:r>
      <w:r w:rsidR="00DA2EE1">
        <w:t xml:space="preserve"> information after</w:t>
      </w:r>
      <w:r w:rsidR="00941DC3">
        <w:t xml:space="preserve"> </w:t>
      </w:r>
      <w:r w:rsidR="00941DC3" w:rsidRPr="008E434E">
        <w:t>suggestion by reviewers incl. yourself.</w:t>
      </w:r>
    </w:p>
    <w:p w14:paraId="631143B6" w14:textId="77777777" w:rsidR="006A2E60" w:rsidRDefault="006A2E60" w:rsidP="006A2E60">
      <w:pPr>
        <w:spacing w:line="276" w:lineRule="auto"/>
        <w:jc w:val="both"/>
      </w:pPr>
    </w:p>
    <w:p w14:paraId="285F8A5D" w14:textId="77777777" w:rsidR="00DA2EE1" w:rsidRDefault="00DA2EE1" w:rsidP="00137C6A">
      <w:pPr>
        <w:spacing w:line="276" w:lineRule="auto"/>
        <w:jc w:val="both"/>
        <w:rPr>
          <w:highlight w:val="green"/>
        </w:rPr>
      </w:pPr>
    </w:p>
    <w:p w14:paraId="1EA3F5EC" w14:textId="77777777" w:rsidR="00D73111" w:rsidRDefault="00D73111" w:rsidP="00137C6A">
      <w:pPr>
        <w:spacing w:line="276" w:lineRule="auto"/>
        <w:jc w:val="both"/>
      </w:pPr>
      <w:r>
        <w:t>Line 429 and other sections in the text: Correct "viral injection" by "</w:t>
      </w:r>
      <w:proofErr w:type="spellStart"/>
      <w:r>
        <w:t>cre</w:t>
      </w:r>
      <w:proofErr w:type="spellEnd"/>
      <w:r>
        <w:t xml:space="preserve">-lox recombination." One cannot verify the viral injection; the virus is not coupled to a fluorescent tag, but one can assess the extent of the </w:t>
      </w:r>
      <w:proofErr w:type="spellStart"/>
      <w:r>
        <w:t>cre</w:t>
      </w:r>
      <w:proofErr w:type="spellEnd"/>
      <w:r>
        <w:t>-lox recombination by fluorescence.</w:t>
      </w:r>
    </w:p>
    <w:p w14:paraId="131E1AE8" w14:textId="77777777" w:rsidR="00D73111" w:rsidRDefault="00D73111" w:rsidP="00137C6A">
      <w:pPr>
        <w:spacing w:line="276" w:lineRule="auto"/>
        <w:jc w:val="both"/>
      </w:pPr>
    </w:p>
    <w:p w14:paraId="04FAE44B" w14:textId="77777777" w:rsidR="006A2E60" w:rsidRDefault="006A2E60" w:rsidP="006A2E60">
      <w:pPr>
        <w:spacing w:line="276" w:lineRule="auto"/>
        <w:jc w:val="both"/>
      </w:pPr>
      <w:r w:rsidRPr="00137C6A">
        <w:rPr>
          <w:b/>
        </w:rPr>
        <w:t>Answer</w:t>
      </w:r>
      <w:r>
        <w:t>:</w:t>
      </w:r>
      <w:r w:rsidR="00E91B85">
        <w:t xml:space="preserve"> “viral injection” was replaced with “Cre-Lox recombination” throughout.</w:t>
      </w:r>
    </w:p>
    <w:p w14:paraId="2814B297" w14:textId="77777777" w:rsidR="006A2E60" w:rsidRDefault="006A2E60" w:rsidP="006A2E60">
      <w:pPr>
        <w:spacing w:line="276" w:lineRule="auto"/>
        <w:jc w:val="both"/>
      </w:pPr>
    </w:p>
    <w:p w14:paraId="3D141E2D" w14:textId="77777777" w:rsidR="003E1B64" w:rsidRDefault="003E1B64" w:rsidP="00137C6A">
      <w:pPr>
        <w:spacing w:line="276" w:lineRule="auto"/>
        <w:jc w:val="both"/>
        <w:rPr>
          <w:highlight w:val="yellow"/>
        </w:rPr>
      </w:pPr>
    </w:p>
    <w:p w14:paraId="0A9CCA26" w14:textId="77777777" w:rsidR="00D73111" w:rsidRDefault="00D73111" w:rsidP="00137C6A">
      <w:pPr>
        <w:spacing w:line="276" w:lineRule="auto"/>
        <w:jc w:val="both"/>
      </w:pPr>
      <w:bookmarkStart w:id="0" w:name="_GoBack"/>
      <w:bookmarkEnd w:id="0"/>
      <w:r>
        <w:t>Line 442: Correct "transfection" by "</w:t>
      </w:r>
      <w:proofErr w:type="spellStart"/>
      <w:r>
        <w:t>cre</w:t>
      </w:r>
      <w:proofErr w:type="spellEnd"/>
      <w:r>
        <w:t>-lox recombination."</w:t>
      </w:r>
    </w:p>
    <w:p w14:paraId="3C03C170" w14:textId="77777777" w:rsidR="00D73111" w:rsidRDefault="00D73111" w:rsidP="00137C6A">
      <w:pPr>
        <w:spacing w:line="276" w:lineRule="auto"/>
        <w:jc w:val="both"/>
      </w:pPr>
    </w:p>
    <w:p w14:paraId="7720B0EA" w14:textId="77777777" w:rsidR="006A2E60" w:rsidRDefault="006A2E60" w:rsidP="006A2E60">
      <w:pPr>
        <w:spacing w:line="276" w:lineRule="auto"/>
        <w:jc w:val="both"/>
      </w:pPr>
      <w:r w:rsidRPr="00137C6A">
        <w:rPr>
          <w:b/>
        </w:rPr>
        <w:t>Answer</w:t>
      </w:r>
      <w:r>
        <w:t>:</w:t>
      </w:r>
      <w:r w:rsidR="00E91B85">
        <w:t xml:space="preserve"> Corrected</w:t>
      </w:r>
      <w:r w:rsidR="00DA2EE1">
        <w:t>.</w:t>
      </w:r>
    </w:p>
    <w:p w14:paraId="3C2FE8EF" w14:textId="77777777" w:rsidR="006A2E60" w:rsidRDefault="006A2E60" w:rsidP="006A2E60">
      <w:pPr>
        <w:spacing w:line="276" w:lineRule="auto"/>
        <w:jc w:val="both"/>
      </w:pPr>
    </w:p>
    <w:p w14:paraId="1507F045" w14:textId="77777777" w:rsidR="006A2E60" w:rsidRDefault="006A2E60" w:rsidP="00137C6A">
      <w:pPr>
        <w:spacing w:line="276" w:lineRule="auto"/>
        <w:jc w:val="both"/>
        <w:rPr>
          <w:b/>
        </w:rPr>
      </w:pPr>
    </w:p>
    <w:p w14:paraId="6C993991" w14:textId="77777777" w:rsidR="006A2E60" w:rsidRDefault="006A2E60" w:rsidP="00137C6A">
      <w:pPr>
        <w:spacing w:line="276" w:lineRule="auto"/>
        <w:jc w:val="both"/>
        <w:rPr>
          <w:b/>
        </w:rPr>
      </w:pPr>
    </w:p>
    <w:sectPr w:rsidR="006A2E60" w:rsidSect="008946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11"/>
    <w:rsid w:val="00084405"/>
    <w:rsid w:val="000A5D0B"/>
    <w:rsid w:val="000E0A71"/>
    <w:rsid w:val="00107716"/>
    <w:rsid w:val="00121ED5"/>
    <w:rsid w:val="00137C6A"/>
    <w:rsid w:val="001523E8"/>
    <w:rsid w:val="0017243B"/>
    <w:rsid w:val="001A2131"/>
    <w:rsid w:val="00207542"/>
    <w:rsid w:val="00224773"/>
    <w:rsid w:val="002A208D"/>
    <w:rsid w:val="002F6637"/>
    <w:rsid w:val="00316790"/>
    <w:rsid w:val="00333426"/>
    <w:rsid w:val="00337BC3"/>
    <w:rsid w:val="003423DE"/>
    <w:rsid w:val="00356DFD"/>
    <w:rsid w:val="003820DA"/>
    <w:rsid w:val="003A03F4"/>
    <w:rsid w:val="003E1B64"/>
    <w:rsid w:val="003F16B6"/>
    <w:rsid w:val="003F24D0"/>
    <w:rsid w:val="003F303F"/>
    <w:rsid w:val="00433FD0"/>
    <w:rsid w:val="00456161"/>
    <w:rsid w:val="00487455"/>
    <w:rsid w:val="004A2802"/>
    <w:rsid w:val="004C37F4"/>
    <w:rsid w:val="004D408C"/>
    <w:rsid w:val="004D409D"/>
    <w:rsid w:val="004D60BF"/>
    <w:rsid w:val="004E4B8F"/>
    <w:rsid w:val="004F78ED"/>
    <w:rsid w:val="0051600E"/>
    <w:rsid w:val="005F4F70"/>
    <w:rsid w:val="006060B0"/>
    <w:rsid w:val="006122BC"/>
    <w:rsid w:val="00655647"/>
    <w:rsid w:val="006605A1"/>
    <w:rsid w:val="00663EDA"/>
    <w:rsid w:val="006A2E60"/>
    <w:rsid w:val="006D70C0"/>
    <w:rsid w:val="006E629F"/>
    <w:rsid w:val="007037B9"/>
    <w:rsid w:val="00704BF0"/>
    <w:rsid w:val="007113B8"/>
    <w:rsid w:val="007A0F31"/>
    <w:rsid w:val="007A4204"/>
    <w:rsid w:val="007B35D9"/>
    <w:rsid w:val="007C0486"/>
    <w:rsid w:val="008670A2"/>
    <w:rsid w:val="008946B2"/>
    <w:rsid w:val="008C0D42"/>
    <w:rsid w:val="008C7B5B"/>
    <w:rsid w:val="008E28B5"/>
    <w:rsid w:val="008E434E"/>
    <w:rsid w:val="00917906"/>
    <w:rsid w:val="00941DC3"/>
    <w:rsid w:val="0095201E"/>
    <w:rsid w:val="00992198"/>
    <w:rsid w:val="009C18A6"/>
    <w:rsid w:val="00A04749"/>
    <w:rsid w:val="00A05A0F"/>
    <w:rsid w:val="00A54DE3"/>
    <w:rsid w:val="00A91D37"/>
    <w:rsid w:val="00AC49A0"/>
    <w:rsid w:val="00B2239D"/>
    <w:rsid w:val="00B63983"/>
    <w:rsid w:val="00B66BCB"/>
    <w:rsid w:val="00BE61EB"/>
    <w:rsid w:val="00BE7269"/>
    <w:rsid w:val="00C07201"/>
    <w:rsid w:val="00C25542"/>
    <w:rsid w:val="00C34A53"/>
    <w:rsid w:val="00C53EDA"/>
    <w:rsid w:val="00C93B24"/>
    <w:rsid w:val="00CD1636"/>
    <w:rsid w:val="00CE0BE2"/>
    <w:rsid w:val="00D31F02"/>
    <w:rsid w:val="00D5249C"/>
    <w:rsid w:val="00D551B4"/>
    <w:rsid w:val="00D73111"/>
    <w:rsid w:val="00DA2EE1"/>
    <w:rsid w:val="00DD031F"/>
    <w:rsid w:val="00E11F88"/>
    <w:rsid w:val="00E36D64"/>
    <w:rsid w:val="00E47544"/>
    <w:rsid w:val="00E53390"/>
    <w:rsid w:val="00E818D1"/>
    <w:rsid w:val="00E91B85"/>
    <w:rsid w:val="00EC4F8F"/>
    <w:rsid w:val="00F1666C"/>
    <w:rsid w:val="00F577BF"/>
    <w:rsid w:val="00F965A4"/>
    <w:rsid w:val="00FC1957"/>
    <w:rsid w:val="00FC540F"/>
    <w:rsid w:val="00FF51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7DC283"/>
  <w14:defaultImageDpi w14:val="32767"/>
  <w15:docId w15:val="{BA8713FA-C527-A545-A234-A7090EDD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Zisis Bimpisidis</dc:creator>
  <cp:keywords/>
  <dc:description/>
  <cp:lastModifiedBy>Zisis Bimpisidis</cp:lastModifiedBy>
  <cp:revision>5</cp:revision>
  <dcterms:created xsi:type="dcterms:W3CDTF">2019-11-13T14:05:00Z</dcterms:created>
  <dcterms:modified xsi:type="dcterms:W3CDTF">2019-11-14T10:50:00Z</dcterms:modified>
</cp:coreProperties>
</file>