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0B2CF" w14:textId="77777777" w:rsidR="008A236A" w:rsidRDefault="001F4905" w:rsidP="001F4905">
      <w:pPr>
        <w:rPr>
          <w:rFonts w:ascii="Times New Roman" w:eastAsia="Times New Roman" w:hAnsi="Times New Roman" w:cs="Times New Roman"/>
        </w:rPr>
      </w:pPr>
      <w:r w:rsidRPr="001F4905">
        <w:rPr>
          <w:rFonts w:ascii="Times New Roman" w:eastAsia="Times New Roman" w:hAnsi="Times New Roman" w:cs="Times New Roman"/>
          <w:b/>
          <w:bCs/>
        </w:rPr>
        <w:t>Please note that novelty is not a requirement for publication and reviewer comments questioning the novelty of the article can be disregarded.</w:t>
      </w:r>
      <w:r w:rsidRPr="001F4905">
        <w:rPr>
          <w:rFonts w:ascii="Times New Roman" w:eastAsia="Times New Roman" w:hAnsi="Times New Roman" w:cs="Times New Roman"/>
          <w:b/>
          <w:bCs/>
        </w:rPr>
        <w:br/>
      </w:r>
      <w:r w:rsidRPr="001F4905">
        <w:rPr>
          <w:rFonts w:ascii="Times New Roman" w:eastAsia="Times New Roman" w:hAnsi="Times New Roman" w:cs="Times New Roman"/>
          <w:b/>
          <w:bCs/>
        </w:rPr>
        <w:b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1F4905">
        <w:rPr>
          <w:rFonts w:ascii="Times New Roman" w:eastAsia="Times New Roman" w:hAnsi="Times New Roman" w:cs="Times New Roman"/>
        </w:rPr>
        <w:br/>
      </w:r>
      <w:r w:rsidRPr="001F4905">
        <w:rPr>
          <w:rFonts w:ascii="Times New Roman" w:eastAsia="Times New Roman" w:hAnsi="Times New Roman" w:cs="Times New Roman"/>
        </w:rPr>
        <w:br/>
      </w:r>
      <w:r w:rsidRPr="001F4905">
        <w:rPr>
          <w:rFonts w:ascii="Times New Roman" w:eastAsia="Times New Roman" w:hAnsi="Times New Roman" w:cs="Times New Roman"/>
        </w:rPr>
        <w:br/>
      </w:r>
      <w:r w:rsidRPr="001F4905">
        <w:rPr>
          <w:rFonts w:ascii="Times New Roman" w:eastAsia="Times New Roman" w:hAnsi="Times New Roman" w:cs="Times New Roman"/>
          <w:b/>
          <w:bCs/>
        </w:rPr>
        <w:t>Editorial comments:</w:t>
      </w:r>
      <w:r w:rsidRPr="001F4905">
        <w:rPr>
          <w:rFonts w:ascii="Times New Roman" w:eastAsia="Times New Roman" w:hAnsi="Times New Roman" w:cs="Times New Roman"/>
        </w:rPr>
        <w:br/>
        <w:t xml:space="preserve">The manuscript has been modified and the updated manuscript, </w:t>
      </w:r>
      <w:r w:rsidRPr="001F4905">
        <w:rPr>
          <w:rFonts w:ascii="Times New Roman" w:eastAsia="Times New Roman" w:hAnsi="Times New Roman" w:cs="Times New Roman"/>
          <w:b/>
          <w:bCs/>
        </w:rPr>
        <w:t>60861_R1.docx</w:t>
      </w:r>
      <w:r w:rsidRPr="001F4905">
        <w:rPr>
          <w:rFonts w:ascii="Times New Roman" w:eastAsia="Times New Roman" w:hAnsi="Times New Roman" w:cs="Times New Roman"/>
        </w:rPr>
        <w:t xml:space="preserve">, is attached and located in your Editorial Manager account. </w:t>
      </w:r>
      <w:r w:rsidRPr="001F4905">
        <w:rPr>
          <w:rFonts w:ascii="Times New Roman" w:eastAsia="Times New Roman" w:hAnsi="Times New Roman" w:cs="Times New Roman"/>
          <w:b/>
          <w:bCs/>
        </w:rPr>
        <w:t>Please use the updated version to make your revisions.</w:t>
      </w:r>
      <w:r w:rsidRPr="001F4905">
        <w:rPr>
          <w:rFonts w:ascii="Times New Roman" w:eastAsia="Times New Roman" w:hAnsi="Times New Roman" w:cs="Times New Roman"/>
        </w:rPr>
        <w:br/>
      </w:r>
      <w:r w:rsidRPr="001F4905">
        <w:rPr>
          <w:rFonts w:ascii="Times New Roman" w:eastAsia="Times New Roman" w:hAnsi="Times New Roman" w:cs="Times New Roman"/>
        </w:rPr>
        <w:br/>
        <w:t>1.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1637BF3B" w14:textId="77777777" w:rsidR="008A236A" w:rsidRDefault="008A236A" w:rsidP="001F4905">
      <w:pPr>
        <w:rPr>
          <w:rFonts w:ascii="Times New Roman" w:eastAsia="Times New Roman" w:hAnsi="Times New Roman" w:cs="Times New Roman"/>
        </w:rPr>
      </w:pPr>
    </w:p>
    <w:p w14:paraId="41941ACE" w14:textId="22A28F12" w:rsidR="008A236A" w:rsidRPr="008A236A" w:rsidRDefault="008A236A" w:rsidP="001F4905">
      <w:pPr>
        <w:rPr>
          <w:rFonts w:ascii="Times New Roman" w:eastAsia="Times New Roman" w:hAnsi="Times New Roman" w:cs="Times New Roman"/>
          <w:i/>
          <w:iCs/>
        </w:rPr>
      </w:pPr>
      <w:r w:rsidRPr="008A236A">
        <w:rPr>
          <w:rFonts w:ascii="Times New Roman" w:eastAsia="Times New Roman" w:hAnsi="Times New Roman" w:cs="Times New Roman"/>
          <w:i/>
          <w:iCs/>
        </w:rPr>
        <w:t xml:space="preserve">We have highlighted </w:t>
      </w:r>
      <w:r>
        <w:rPr>
          <w:rFonts w:ascii="Times New Roman" w:eastAsia="Times New Roman" w:hAnsi="Times New Roman" w:cs="Times New Roman"/>
          <w:i/>
          <w:iCs/>
        </w:rPr>
        <w:t>2.75 pages</w:t>
      </w:r>
      <w:r w:rsidRPr="008A236A">
        <w:rPr>
          <w:rFonts w:ascii="Times New Roman" w:eastAsia="Times New Roman" w:hAnsi="Times New Roman" w:cs="Times New Roman"/>
          <w:i/>
          <w:iCs/>
        </w:rPr>
        <w:t xml:space="preserve"> of the protocol.</w:t>
      </w:r>
      <w:r w:rsidR="006C38C8">
        <w:rPr>
          <w:rFonts w:ascii="Times New Roman" w:eastAsia="Times New Roman" w:hAnsi="Times New Roman" w:cs="Times New Roman"/>
          <w:i/>
          <w:iCs/>
        </w:rPr>
        <w:t xml:space="preserve"> We have also included all of the highlighted portions at the very end of the manuscript, after the references, in a “consolidated protocol”, for ease of reading.</w:t>
      </w:r>
    </w:p>
    <w:p w14:paraId="6DD82385" w14:textId="73AFFD44" w:rsidR="008A236A" w:rsidRDefault="001F4905" w:rsidP="001F4905">
      <w:pPr>
        <w:rPr>
          <w:rFonts w:ascii="Times New Roman" w:eastAsia="Times New Roman" w:hAnsi="Times New Roman" w:cs="Times New Roman"/>
        </w:rPr>
      </w:pPr>
      <w:r w:rsidRPr="001F4905">
        <w:rPr>
          <w:rFonts w:ascii="Times New Roman" w:eastAsia="Times New Roman" w:hAnsi="Times New Roman" w:cs="Times New Roman"/>
        </w:rPr>
        <w:br/>
        <w:t xml:space="preserve">2. Please use </w:t>
      </w:r>
      <w:proofErr w:type="spellStart"/>
      <w:r w:rsidRPr="001F4905">
        <w:rPr>
          <w:rFonts w:ascii="Times New Roman" w:eastAsia="Times New Roman" w:hAnsi="Times New Roman" w:cs="Times New Roman"/>
        </w:rPr>
        <w:t>greek</w:t>
      </w:r>
      <w:proofErr w:type="spellEnd"/>
      <w:r w:rsidRPr="001F4905">
        <w:rPr>
          <w:rFonts w:ascii="Times New Roman" w:eastAsia="Times New Roman" w:hAnsi="Times New Roman" w:cs="Times New Roman"/>
        </w:rPr>
        <w:t xml:space="preserve"> characters for SI unit prefixed, e.g. use ‘</w:t>
      </w:r>
      <w:proofErr w:type="spellStart"/>
      <w:r w:rsidRPr="001F4905">
        <w:rPr>
          <w:rFonts w:ascii="Times New Roman" w:eastAsia="Times New Roman" w:hAnsi="Times New Roman" w:cs="Times New Roman"/>
        </w:rPr>
        <w:t>μL</w:t>
      </w:r>
      <w:proofErr w:type="spellEnd"/>
      <w:r w:rsidRPr="001F4905">
        <w:rPr>
          <w:rFonts w:ascii="Times New Roman" w:eastAsia="Times New Roman" w:hAnsi="Times New Roman" w:cs="Times New Roman"/>
        </w:rPr>
        <w:t>’ instead of ‘</w:t>
      </w:r>
      <w:proofErr w:type="spellStart"/>
      <w:r w:rsidRPr="001F4905">
        <w:rPr>
          <w:rFonts w:ascii="Times New Roman" w:eastAsia="Times New Roman" w:hAnsi="Times New Roman" w:cs="Times New Roman"/>
        </w:rPr>
        <w:t>uL</w:t>
      </w:r>
      <w:proofErr w:type="spellEnd"/>
      <w:r w:rsidRPr="001F4905">
        <w:rPr>
          <w:rFonts w:ascii="Times New Roman" w:eastAsia="Times New Roman" w:hAnsi="Times New Roman" w:cs="Times New Roman"/>
        </w:rPr>
        <w:t>’.</w:t>
      </w:r>
    </w:p>
    <w:p w14:paraId="457A4222" w14:textId="7E47F999" w:rsidR="008A236A" w:rsidRDefault="008A236A" w:rsidP="001F4905">
      <w:pPr>
        <w:rPr>
          <w:rFonts w:ascii="Times New Roman" w:eastAsia="Times New Roman" w:hAnsi="Times New Roman" w:cs="Times New Roman"/>
        </w:rPr>
      </w:pPr>
    </w:p>
    <w:p w14:paraId="2A3F6E53" w14:textId="2B7DC7B0" w:rsidR="008A236A" w:rsidRPr="008A236A" w:rsidRDefault="008A236A" w:rsidP="001F4905">
      <w:pPr>
        <w:rPr>
          <w:rFonts w:ascii="Times New Roman" w:eastAsia="Times New Roman" w:hAnsi="Times New Roman" w:cs="Times New Roman"/>
          <w:i/>
          <w:iCs/>
        </w:rPr>
      </w:pPr>
      <w:r w:rsidRPr="008A236A">
        <w:rPr>
          <w:rFonts w:ascii="Times New Roman" w:eastAsia="Times New Roman" w:hAnsi="Times New Roman" w:cs="Times New Roman"/>
          <w:i/>
          <w:iCs/>
        </w:rPr>
        <w:t>We have made this change.</w:t>
      </w:r>
    </w:p>
    <w:p w14:paraId="6FC656BC" w14:textId="17D79BA2" w:rsidR="008A236A" w:rsidRDefault="001F4905" w:rsidP="001F4905">
      <w:pPr>
        <w:rPr>
          <w:rFonts w:ascii="Times New Roman" w:eastAsia="Times New Roman" w:hAnsi="Times New Roman" w:cs="Times New Roman"/>
        </w:rPr>
      </w:pPr>
      <w:r w:rsidRPr="001F4905">
        <w:rPr>
          <w:rFonts w:ascii="Times New Roman" w:eastAsia="Times New Roman" w:hAnsi="Times New Roman" w:cs="Times New Roman"/>
        </w:rPr>
        <w:br/>
        <w:t>3. Please use h, min, s for time units.</w:t>
      </w:r>
    </w:p>
    <w:p w14:paraId="6B95F321" w14:textId="77777777" w:rsidR="008A236A" w:rsidRDefault="008A236A" w:rsidP="001F4905">
      <w:pPr>
        <w:rPr>
          <w:rFonts w:ascii="Times New Roman" w:eastAsia="Times New Roman" w:hAnsi="Times New Roman" w:cs="Times New Roman"/>
        </w:rPr>
      </w:pPr>
    </w:p>
    <w:p w14:paraId="04426953" w14:textId="17FD64A0" w:rsidR="0051559C" w:rsidRDefault="008A236A" w:rsidP="001F4905">
      <w:pPr>
        <w:rPr>
          <w:rFonts w:ascii="Times New Roman" w:eastAsia="Times New Roman" w:hAnsi="Times New Roman" w:cs="Times New Roman"/>
        </w:rPr>
      </w:pPr>
      <w:r w:rsidRPr="008A236A">
        <w:rPr>
          <w:rFonts w:ascii="Times New Roman" w:eastAsia="Times New Roman" w:hAnsi="Times New Roman" w:cs="Times New Roman"/>
          <w:i/>
          <w:iCs/>
        </w:rPr>
        <w:t>We have made this change.</w:t>
      </w:r>
      <w:r w:rsidR="001F4905" w:rsidRPr="001F4905">
        <w:rPr>
          <w:rFonts w:ascii="Times New Roman" w:eastAsia="Times New Roman" w:hAnsi="Times New Roman" w:cs="Times New Roman"/>
          <w:i/>
          <w:iCs/>
        </w:rPr>
        <w:br/>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b/>
          <w:bCs/>
        </w:rPr>
        <w:t>Reviewers' comments:</w:t>
      </w:r>
      <w:r w:rsidR="001F4905" w:rsidRPr="001F4905">
        <w:rPr>
          <w:rFonts w:ascii="Times New Roman" w:eastAsia="Times New Roman" w:hAnsi="Times New Roman" w:cs="Times New Roman"/>
        </w:rPr>
        <w:br/>
        <w:t>Reviewer #4:</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Manuscript Summary:</w:t>
      </w:r>
      <w:r w:rsidR="001F4905" w:rsidRPr="001F4905">
        <w:rPr>
          <w:rFonts w:ascii="Times New Roman" w:eastAsia="Times New Roman" w:hAnsi="Times New Roman" w:cs="Times New Roman"/>
        </w:rPr>
        <w:br/>
        <w:t>The article JoVE60861R1 describes an analytical method for the determination of 11 drug-resistant TB medications in hair samples by LC-MSMS. The method is quick, simple and sensitive, achieving limits of quantification between 0.01 and 1 ng/mg, depending on the medication, in just 2 mg of hair.</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Major Concerns:</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 xml:space="preserve">My main concern about this methodology is that has been already published in another journal, </w:t>
      </w:r>
      <w:r w:rsidR="001F4905" w:rsidRPr="001F4905">
        <w:rPr>
          <w:rFonts w:ascii="Times New Roman" w:eastAsia="Times New Roman" w:hAnsi="Times New Roman" w:cs="Times New Roman"/>
        </w:rPr>
        <w:lastRenderedPageBreak/>
        <w:t>as indicated by the authors (Reference 22 in the manuscript). What is the difference between that published method and the present one?</w:t>
      </w:r>
    </w:p>
    <w:p w14:paraId="66F3C535" w14:textId="77777777" w:rsidR="0051559C" w:rsidRDefault="0051559C" w:rsidP="001F4905">
      <w:pPr>
        <w:rPr>
          <w:rFonts w:ascii="Times New Roman" w:eastAsia="Times New Roman" w:hAnsi="Times New Roman" w:cs="Times New Roman"/>
        </w:rPr>
      </w:pPr>
    </w:p>
    <w:p w14:paraId="64E6AC28" w14:textId="13F6FFE0" w:rsidR="0051559C" w:rsidRDefault="0051559C" w:rsidP="001F4905">
      <w:pPr>
        <w:rPr>
          <w:rFonts w:ascii="Times New Roman" w:eastAsia="Times New Roman" w:hAnsi="Times New Roman" w:cs="Times New Roman"/>
        </w:rPr>
      </w:pPr>
      <w:r w:rsidRPr="0051559C">
        <w:rPr>
          <w:rFonts w:ascii="Times New Roman" w:eastAsia="Times New Roman" w:hAnsi="Times New Roman" w:cs="Times New Roman"/>
          <w:i/>
          <w:iCs/>
        </w:rPr>
        <w:t xml:space="preserve">Novelty is not a requirement of </w:t>
      </w:r>
      <w:proofErr w:type="spellStart"/>
      <w:r w:rsidRPr="0051559C">
        <w:rPr>
          <w:rFonts w:ascii="Times New Roman" w:eastAsia="Times New Roman" w:hAnsi="Times New Roman" w:cs="Times New Roman"/>
          <w:i/>
          <w:iCs/>
        </w:rPr>
        <w:t>JoVE</w:t>
      </w:r>
      <w:proofErr w:type="spellEnd"/>
      <w:r w:rsidRPr="0051559C">
        <w:rPr>
          <w:rFonts w:ascii="Times New Roman" w:eastAsia="Times New Roman" w:hAnsi="Times New Roman" w:cs="Times New Roman"/>
          <w:i/>
          <w:iCs/>
        </w:rPr>
        <w:t xml:space="preserve"> papers</w:t>
      </w:r>
      <w:r w:rsidR="00220755">
        <w:rPr>
          <w:rFonts w:ascii="Times New Roman" w:eastAsia="Times New Roman" w:hAnsi="Times New Roman" w:cs="Times New Roman"/>
          <w:i/>
          <w:iCs/>
        </w:rPr>
        <w:t xml:space="preserve"> as highlighted by the editor above.</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In the current protocol, the analytical procedure is described in detail, but there is no information about the validation. What parameters were evaluated? What were the results?</w:t>
      </w:r>
      <w:r w:rsidR="001F4905" w:rsidRPr="001F4905">
        <w:rPr>
          <w:rFonts w:ascii="Times New Roman" w:eastAsia="Times New Roman" w:hAnsi="Times New Roman" w:cs="Times New Roman"/>
        </w:rPr>
        <w:br/>
      </w:r>
    </w:p>
    <w:p w14:paraId="18C5FF0C" w14:textId="71E21479" w:rsidR="0051559C" w:rsidRPr="0051559C" w:rsidRDefault="0051559C" w:rsidP="001F4905">
      <w:pPr>
        <w:rPr>
          <w:rFonts w:ascii="Times New Roman" w:eastAsia="Times New Roman" w:hAnsi="Times New Roman" w:cs="Times New Roman"/>
          <w:i/>
          <w:iCs/>
        </w:rPr>
      </w:pPr>
      <w:r w:rsidRPr="0051559C">
        <w:rPr>
          <w:rFonts w:ascii="Times New Roman" w:eastAsia="Times New Roman" w:hAnsi="Times New Roman" w:cs="Times New Roman"/>
          <w:i/>
          <w:iCs/>
        </w:rPr>
        <w:t>We mention in the first paragraph of the Discussion that the validation is described elsewhere</w:t>
      </w:r>
      <w:r w:rsidR="0091090F">
        <w:rPr>
          <w:rFonts w:ascii="Times New Roman" w:eastAsia="Times New Roman" w:hAnsi="Times New Roman" w:cs="Times New Roman"/>
          <w:i/>
          <w:iCs/>
        </w:rPr>
        <w:t xml:space="preserve"> and provided the reference where the validation results were provided</w:t>
      </w:r>
      <w:r w:rsidRPr="0051559C">
        <w:rPr>
          <w:rFonts w:ascii="Times New Roman" w:eastAsia="Times New Roman" w:hAnsi="Times New Roman" w:cs="Times New Roman"/>
          <w:i/>
          <w:iCs/>
        </w:rPr>
        <w:t>.</w:t>
      </w:r>
    </w:p>
    <w:p w14:paraId="01963420" w14:textId="77777777" w:rsidR="0051559C" w:rsidRDefault="001F4905" w:rsidP="001F4905">
      <w:pPr>
        <w:rPr>
          <w:rFonts w:ascii="Times New Roman" w:eastAsia="Times New Roman" w:hAnsi="Times New Roman" w:cs="Times New Roman"/>
        </w:rPr>
      </w:pPr>
      <w:r w:rsidRPr="001F4905">
        <w:rPr>
          <w:rFonts w:ascii="Times New Roman" w:eastAsia="Times New Roman" w:hAnsi="Times New Roman" w:cs="Times New Roman"/>
        </w:rPr>
        <w:br/>
        <w:t>I noticed that the hair samples were not washed/decontaminated before the extraction procedure. Medications can also be present in the sweat, and contaminate the hair sample. This type the contamination may affect the timeline reflected by the hair analysis (sweat reflects recent exposure of days). The authors should add a comment about this.</w:t>
      </w:r>
    </w:p>
    <w:p w14:paraId="79BB010E" w14:textId="77777777" w:rsidR="0051559C" w:rsidRDefault="0051559C" w:rsidP="001F4905">
      <w:pPr>
        <w:rPr>
          <w:rFonts w:ascii="Times New Roman" w:eastAsia="Times New Roman" w:hAnsi="Times New Roman" w:cs="Times New Roman"/>
        </w:rPr>
      </w:pPr>
    </w:p>
    <w:p w14:paraId="55F8F249" w14:textId="69966A2A" w:rsidR="00E20177" w:rsidRPr="00E20177" w:rsidRDefault="00524C7C" w:rsidP="001F4905">
      <w:pPr>
        <w:rPr>
          <w:rFonts w:ascii="Times New Roman" w:eastAsia="Times New Roman" w:hAnsi="Times New Roman" w:cs="Times New Roman"/>
          <w:i/>
          <w:iCs/>
        </w:rPr>
      </w:pPr>
      <w:r>
        <w:rPr>
          <w:rFonts w:ascii="Times New Roman" w:eastAsia="Times New Roman" w:hAnsi="Times New Roman" w:cs="Times New Roman"/>
          <w:i/>
          <w:iCs/>
        </w:rPr>
        <w:t>We have a</w:t>
      </w:r>
      <w:r w:rsidR="009208A8">
        <w:rPr>
          <w:rFonts w:ascii="Times New Roman" w:eastAsia="Times New Roman" w:hAnsi="Times New Roman" w:cs="Times New Roman"/>
          <w:i/>
          <w:iCs/>
        </w:rPr>
        <w:t xml:space="preserve">dded a third paragraph in </w:t>
      </w:r>
      <w:r w:rsidR="00220755">
        <w:rPr>
          <w:rFonts w:ascii="Times New Roman" w:eastAsia="Times New Roman" w:hAnsi="Times New Roman" w:cs="Times New Roman"/>
          <w:i/>
          <w:iCs/>
        </w:rPr>
        <w:t>the D</w:t>
      </w:r>
      <w:r w:rsidR="009208A8">
        <w:rPr>
          <w:rFonts w:ascii="Times New Roman" w:eastAsia="Times New Roman" w:hAnsi="Times New Roman" w:cs="Times New Roman"/>
          <w:i/>
          <w:iCs/>
        </w:rPr>
        <w:t>iscussion section addressing this point</w:t>
      </w:r>
      <w:r>
        <w:rPr>
          <w:rFonts w:ascii="Times New Roman" w:eastAsia="Times New Roman" w:hAnsi="Times New Roman" w:cs="Times New Roman"/>
          <w:i/>
          <w:iCs/>
        </w:rPr>
        <w:t>, and noting that future studies could investigate external contamination of TB patient hair samples.</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Minor Concerns:</w:t>
      </w:r>
      <w:r w:rsidR="001F4905" w:rsidRPr="001F4905">
        <w:rPr>
          <w:rFonts w:ascii="Times New Roman" w:eastAsia="Times New Roman" w:hAnsi="Times New Roman" w:cs="Times New Roman"/>
        </w:rPr>
        <w:br/>
        <w:t>What LC-MSMS instrument (model, manufacturer) was employed?</w:t>
      </w:r>
      <w:r w:rsidR="001F4905" w:rsidRPr="001F4905">
        <w:rPr>
          <w:rFonts w:ascii="Times New Roman" w:eastAsia="Times New Roman" w:hAnsi="Times New Roman" w:cs="Times New Roman"/>
        </w:rPr>
        <w:br/>
        <w:t>What chromatographic column was (model, manufacturer) used?</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r>
      <w:r w:rsidR="0051559C" w:rsidRPr="00E20177">
        <w:rPr>
          <w:rFonts w:ascii="Times New Roman" w:eastAsia="Times New Roman" w:hAnsi="Times New Roman" w:cs="Times New Roman"/>
          <w:i/>
          <w:iCs/>
        </w:rPr>
        <w:t xml:space="preserve">As per the </w:t>
      </w:r>
      <w:r w:rsidR="00E20177" w:rsidRPr="00E20177">
        <w:rPr>
          <w:rFonts w:ascii="Times New Roman" w:eastAsia="Times New Roman" w:hAnsi="Times New Roman" w:cs="Times New Roman"/>
          <w:i/>
          <w:iCs/>
        </w:rPr>
        <w:t xml:space="preserve">Grammar section of the Jove Instructions for </w:t>
      </w:r>
      <w:r w:rsidR="009208A8">
        <w:rPr>
          <w:rFonts w:ascii="Times New Roman" w:eastAsia="Times New Roman" w:hAnsi="Times New Roman" w:cs="Times New Roman"/>
          <w:i/>
          <w:iCs/>
        </w:rPr>
        <w:t>A</w:t>
      </w:r>
      <w:r w:rsidR="00E20177" w:rsidRPr="00E20177">
        <w:rPr>
          <w:rFonts w:ascii="Times New Roman" w:eastAsia="Times New Roman" w:hAnsi="Times New Roman" w:cs="Times New Roman"/>
          <w:i/>
          <w:iCs/>
        </w:rPr>
        <w:t>uthors, comp</w:t>
      </w:r>
      <w:r w:rsidR="00220755">
        <w:rPr>
          <w:rFonts w:ascii="Times New Roman" w:eastAsia="Times New Roman" w:hAnsi="Times New Roman" w:cs="Times New Roman"/>
          <w:i/>
          <w:iCs/>
        </w:rPr>
        <w:t>any and brand names are not allowed</w:t>
      </w:r>
      <w:bookmarkStart w:id="0" w:name="_GoBack"/>
      <w:bookmarkEnd w:id="0"/>
      <w:r w:rsidR="00E20177" w:rsidRPr="00E20177">
        <w:rPr>
          <w:rFonts w:ascii="Times New Roman" w:eastAsia="Times New Roman" w:hAnsi="Times New Roman" w:cs="Times New Roman"/>
          <w:i/>
          <w:iCs/>
        </w:rPr>
        <w:t xml:space="preserve"> in the body of the paper. They are listed in the Table of Materials.</w:t>
      </w:r>
    </w:p>
    <w:p w14:paraId="66286E4E" w14:textId="77777777" w:rsidR="000C2768" w:rsidRDefault="00E20177" w:rsidP="001F4905">
      <w:pPr>
        <w:rPr>
          <w:rFonts w:ascii="Times New Roman" w:eastAsia="Times New Roman" w:hAnsi="Times New Roman" w:cs="Times New Roman"/>
        </w:rPr>
      </w:pPr>
      <w:r w:rsidRPr="001F4905">
        <w:rPr>
          <w:rFonts w:ascii="Times New Roman" w:eastAsia="Times New Roman" w:hAnsi="Times New Roman" w:cs="Times New Roman"/>
        </w:rPr>
        <w:t xml:space="preserve"> </w:t>
      </w:r>
      <w:r w:rsidR="001F4905" w:rsidRPr="001F4905">
        <w:rPr>
          <w:rFonts w:ascii="Times New Roman" w:eastAsia="Times New Roman" w:hAnsi="Times New Roman" w:cs="Times New Roman"/>
        </w:rPr>
        <w:br/>
        <w:t>Reviewer #5:</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Manuscript Summary:</w:t>
      </w:r>
      <w:r w:rsidR="001F4905" w:rsidRPr="001F4905">
        <w:rPr>
          <w:rFonts w:ascii="Times New Roman" w:eastAsia="Times New Roman" w:hAnsi="Times New Roman" w:cs="Times New Roman"/>
        </w:rPr>
        <w:br/>
        <w:t>This manuscript provides a clear and explicit new methodology for the simultaneous quantification in hair of 11 anti-tuberculosis medications that are used to treat drug-resistance disease. The data are well presented and the protocol is also very detailed.</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Major Concerns:</w:t>
      </w:r>
      <w:r w:rsidR="001F4905" w:rsidRPr="001F4905">
        <w:rPr>
          <w:rFonts w:ascii="Times New Roman" w:eastAsia="Times New Roman" w:hAnsi="Times New Roman" w:cs="Times New Roman"/>
        </w:rPr>
        <w:br/>
        <w:t>N/A</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Minor Concerns:</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My only main concern in the Results and the Discussion would be as follows:</w:t>
      </w:r>
      <w:r w:rsidR="001F4905" w:rsidRPr="001F4905">
        <w:rPr>
          <w:rFonts w:ascii="Times New Roman" w:eastAsia="Times New Roman" w:hAnsi="Times New Roman" w:cs="Times New Roman"/>
        </w:rPr>
        <w:br/>
      </w:r>
      <w:r w:rsidR="001F4905" w:rsidRPr="001F4905">
        <w:rPr>
          <w:rFonts w:ascii="Times New Roman" w:eastAsia="Times New Roman" w:hAnsi="Times New Roman" w:cs="Times New Roman"/>
        </w:rPr>
        <w:br/>
        <w:t>1. Please expand on the detection of some drugs in patients who were not supposed to be given those medications? Any potential for a false positive?</w:t>
      </w:r>
    </w:p>
    <w:p w14:paraId="3C61E27F" w14:textId="77777777" w:rsidR="000C2768" w:rsidRDefault="000C2768" w:rsidP="001F4905">
      <w:pPr>
        <w:rPr>
          <w:rFonts w:ascii="Times New Roman" w:eastAsia="Times New Roman" w:hAnsi="Times New Roman" w:cs="Times New Roman"/>
        </w:rPr>
      </w:pPr>
    </w:p>
    <w:p w14:paraId="7CE42BD9" w14:textId="5FBCBA9F" w:rsidR="000C2768" w:rsidRPr="009208A8" w:rsidRDefault="008C0F67" w:rsidP="001F4905">
      <w:pPr>
        <w:rPr>
          <w:rFonts w:ascii="Times New Roman" w:eastAsia="Times New Roman" w:hAnsi="Times New Roman" w:cs="Times New Roman"/>
          <w:i/>
          <w:iCs/>
        </w:rPr>
      </w:pPr>
      <w:r w:rsidRPr="009208A8">
        <w:rPr>
          <w:rFonts w:ascii="Times New Roman" w:eastAsia="Times New Roman" w:hAnsi="Times New Roman" w:cs="Times New Roman"/>
          <w:i/>
          <w:iCs/>
        </w:rPr>
        <w:t xml:space="preserve">We have changed the paragraph to more clearly demonstrate our process of unsuccessfully testing specificity in the original sample set (due to prior unrecorded regimens) and switching to </w:t>
      </w:r>
      <w:r w:rsidRPr="009208A8">
        <w:rPr>
          <w:rFonts w:ascii="Times New Roman" w:eastAsia="Times New Roman" w:hAnsi="Times New Roman" w:cs="Times New Roman"/>
          <w:i/>
          <w:iCs/>
        </w:rPr>
        <w:lastRenderedPageBreak/>
        <w:t xml:space="preserve">hair from patients who had not taken DR-TB drugs. </w:t>
      </w:r>
      <w:r w:rsidR="0021148F">
        <w:rPr>
          <w:rFonts w:ascii="Times New Roman" w:eastAsia="Times New Roman" w:hAnsi="Times New Roman" w:cs="Times New Roman"/>
          <w:i/>
          <w:iCs/>
        </w:rPr>
        <w:t>We recently submitted a paper detailing this specificity study that has yet to be accepted.</w:t>
      </w:r>
    </w:p>
    <w:p w14:paraId="488180BA" w14:textId="123B02B9" w:rsidR="001F4905" w:rsidRPr="001F4905" w:rsidRDefault="001F4905" w:rsidP="001F4905">
      <w:pPr>
        <w:rPr>
          <w:rFonts w:ascii="Times New Roman" w:eastAsia="Times New Roman" w:hAnsi="Times New Roman" w:cs="Times New Roman"/>
        </w:rPr>
      </w:pPr>
      <w:r w:rsidRPr="001F4905">
        <w:rPr>
          <w:rFonts w:ascii="Times New Roman" w:eastAsia="Times New Roman" w:hAnsi="Times New Roman" w:cs="Times New Roman"/>
        </w:rPr>
        <w:br/>
        <w:t>2. Since anti-TB therapy is usually DOT in many clinical settings, please provide some additional discussion about the utility of hair concentrations to monitor adherence. Perhaps they could be particularly useful to quantify drug concentrations in persons newly diagnosed with TB and establish is previous household-driven therapy has been provided (</w:t>
      </w:r>
      <w:proofErr w:type="spellStart"/>
      <w:r w:rsidRPr="001F4905">
        <w:rPr>
          <w:rFonts w:ascii="Times New Roman" w:eastAsia="Times New Roman" w:hAnsi="Times New Roman" w:cs="Times New Roman"/>
        </w:rPr>
        <w:t>ie</w:t>
      </w:r>
      <w:proofErr w:type="spellEnd"/>
      <w:r w:rsidRPr="001F4905">
        <w:rPr>
          <w:rFonts w:ascii="Times New Roman" w:eastAsia="Times New Roman" w:hAnsi="Times New Roman" w:cs="Times New Roman"/>
        </w:rPr>
        <w:t xml:space="preserve"> between family or community members), which could predict the likelihood of MDR TB upon diagnosis?</w:t>
      </w:r>
    </w:p>
    <w:p w14:paraId="7B7EA91D" w14:textId="28D9C1ED" w:rsidR="0091090F" w:rsidRDefault="0091090F"/>
    <w:p w14:paraId="44F1716C" w14:textId="63B7F610" w:rsidR="005509FE" w:rsidRPr="00A13D41" w:rsidRDefault="00730598">
      <w:pPr>
        <w:rPr>
          <w:rFonts w:ascii="Times New Roman" w:eastAsia="Times New Roman" w:hAnsi="Times New Roman" w:cs="Times New Roman"/>
        </w:rPr>
      </w:pPr>
      <w:r>
        <w:rPr>
          <w:rFonts w:ascii="Times New Roman" w:hAnsi="Times New Roman" w:cs="Times New Roman"/>
          <w:i/>
          <w:iCs/>
        </w:rPr>
        <w:t xml:space="preserve">Directly Observed Therapy has various implementations according to setting, and in conventional practice does not literally indicate medically observed pill consumption on a day-to-day basis (please see Metcalfe </w:t>
      </w:r>
      <w:proofErr w:type="spellStart"/>
      <w:r>
        <w:rPr>
          <w:rFonts w:ascii="Times New Roman" w:hAnsi="Times New Roman" w:cs="Times New Roman"/>
          <w:i/>
          <w:iCs/>
        </w:rPr>
        <w:t>PlosMed</w:t>
      </w:r>
      <w:proofErr w:type="spellEnd"/>
      <w:r>
        <w:rPr>
          <w:rFonts w:ascii="Times New Roman" w:hAnsi="Times New Roman" w:cs="Times New Roman"/>
          <w:i/>
          <w:iCs/>
        </w:rPr>
        <w:t xml:space="preserve"> 2015; </w:t>
      </w:r>
      <w:hyperlink r:id="rId5" w:history="1">
        <w:r w:rsidRPr="00730598">
          <w:rPr>
            <w:rFonts w:ascii="Times New Roman" w:eastAsia="Times New Roman" w:hAnsi="Times New Roman" w:cs="Times New Roman"/>
            <w:color w:val="0000FF"/>
            <w:u w:val="single"/>
          </w:rPr>
          <w:t>https://journals.plos.org/plosmedicine/article?id=10.1371/journal.pmed.1001877</w:t>
        </w:r>
      </w:hyperlink>
      <w:r>
        <w:rPr>
          <w:rFonts w:ascii="Times New Roman" w:eastAsia="Times New Roman" w:hAnsi="Times New Roman" w:cs="Times New Roman"/>
        </w:rPr>
        <w:t>).</w:t>
      </w:r>
      <w:r>
        <w:rPr>
          <w:rFonts w:ascii="Times New Roman" w:hAnsi="Times New Roman" w:cs="Times New Roman"/>
          <w:i/>
          <w:iCs/>
        </w:rPr>
        <w:t xml:space="preserve"> </w:t>
      </w:r>
      <w:r w:rsidR="00524C7C" w:rsidRPr="0091090F">
        <w:rPr>
          <w:rFonts w:ascii="Times New Roman" w:hAnsi="Times New Roman" w:cs="Times New Roman"/>
          <w:i/>
          <w:iCs/>
        </w:rPr>
        <w:t xml:space="preserve">We changed the final paragraph to </w:t>
      </w:r>
      <w:r>
        <w:rPr>
          <w:rFonts w:ascii="Times New Roman" w:hAnsi="Times New Roman" w:cs="Times New Roman"/>
          <w:i/>
          <w:iCs/>
        </w:rPr>
        <w:t>raise some clinically relevant benefits</w:t>
      </w:r>
      <w:r w:rsidR="00524C7C" w:rsidRPr="0091090F">
        <w:rPr>
          <w:rFonts w:ascii="Times New Roman" w:hAnsi="Times New Roman" w:cs="Times New Roman"/>
          <w:i/>
          <w:iCs/>
        </w:rPr>
        <w:t xml:space="preserve"> of improved drug monitoring.</w:t>
      </w:r>
    </w:p>
    <w:sectPr w:rsidR="005509FE" w:rsidRPr="00A13D41" w:rsidSect="007A4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905"/>
    <w:rsid w:val="00027FB6"/>
    <w:rsid w:val="000C2768"/>
    <w:rsid w:val="001F4905"/>
    <w:rsid w:val="0021148F"/>
    <w:rsid w:val="00220755"/>
    <w:rsid w:val="00366AC3"/>
    <w:rsid w:val="0051559C"/>
    <w:rsid w:val="00524C7C"/>
    <w:rsid w:val="005509FE"/>
    <w:rsid w:val="006C38C8"/>
    <w:rsid w:val="00730598"/>
    <w:rsid w:val="007A470E"/>
    <w:rsid w:val="008A236A"/>
    <w:rsid w:val="008C0F67"/>
    <w:rsid w:val="0091090F"/>
    <w:rsid w:val="009208A8"/>
    <w:rsid w:val="00982DAF"/>
    <w:rsid w:val="00A13D41"/>
    <w:rsid w:val="00B211F1"/>
    <w:rsid w:val="00E20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5F0B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4905"/>
    <w:rPr>
      <w:b/>
      <w:bCs/>
    </w:rPr>
  </w:style>
  <w:style w:type="paragraph" w:styleId="BalloonText">
    <w:name w:val="Balloon Text"/>
    <w:basedOn w:val="Normal"/>
    <w:link w:val="BalloonTextChar"/>
    <w:uiPriority w:val="99"/>
    <w:semiHidden/>
    <w:unhideWhenUsed/>
    <w:rsid w:val="00E201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0177"/>
    <w:rPr>
      <w:rFonts w:ascii="Times New Roman" w:hAnsi="Times New Roman" w:cs="Times New Roman"/>
      <w:sz w:val="18"/>
      <w:szCs w:val="18"/>
    </w:rPr>
  </w:style>
  <w:style w:type="character" w:styleId="Hyperlink">
    <w:name w:val="Hyperlink"/>
    <w:basedOn w:val="DefaultParagraphFont"/>
    <w:uiPriority w:val="99"/>
    <w:semiHidden/>
    <w:unhideWhenUsed/>
    <w:rsid w:val="0073059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4905"/>
    <w:rPr>
      <w:b/>
      <w:bCs/>
    </w:rPr>
  </w:style>
  <w:style w:type="paragraph" w:styleId="BalloonText">
    <w:name w:val="Balloon Text"/>
    <w:basedOn w:val="Normal"/>
    <w:link w:val="BalloonTextChar"/>
    <w:uiPriority w:val="99"/>
    <w:semiHidden/>
    <w:unhideWhenUsed/>
    <w:rsid w:val="00E201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0177"/>
    <w:rPr>
      <w:rFonts w:ascii="Times New Roman" w:hAnsi="Times New Roman" w:cs="Times New Roman"/>
      <w:sz w:val="18"/>
      <w:szCs w:val="18"/>
    </w:rPr>
  </w:style>
  <w:style w:type="character" w:styleId="Hyperlink">
    <w:name w:val="Hyperlink"/>
    <w:basedOn w:val="DefaultParagraphFont"/>
    <w:uiPriority w:val="99"/>
    <w:semiHidden/>
    <w:unhideWhenUsed/>
    <w:rsid w:val="007305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51433">
      <w:bodyDiv w:val="1"/>
      <w:marLeft w:val="0"/>
      <w:marRight w:val="0"/>
      <w:marTop w:val="0"/>
      <w:marBottom w:val="0"/>
      <w:divBdr>
        <w:top w:val="none" w:sz="0" w:space="0" w:color="auto"/>
        <w:left w:val="none" w:sz="0" w:space="0" w:color="auto"/>
        <w:bottom w:val="none" w:sz="0" w:space="0" w:color="auto"/>
        <w:right w:val="none" w:sz="0" w:space="0" w:color="auto"/>
      </w:divBdr>
    </w:div>
    <w:div w:id="20642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urnals.plos.org/plosmedicine/article?id=10.1371/journal.pmed.1001877"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771</Words>
  <Characters>4400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Reckers, Andrew</dc:creator>
  <cp:keywords/>
  <dc:description/>
  <cp:lastModifiedBy>Roy Gerona</cp:lastModifiedBy>
  <cp:revision>2</cp:revision>
  <dcterms:created xsi:type="dcterms:W3CDTF">2019-12-21T18:13:00Z</dcterms:created>
  <dcterms:modified xsi:type="dcterms:W3CDTF">2019-12-21T18:13:00Z</dcterms:modified>
</cp:coreProperties>
</file>